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8B" w:rsidRDefault="0072148B">
      <w:pPr>
        <w:widowControl w:val="0"/>
        <w:pBdr>
          <w:top w:val="nil"/>
          <w:left w:val="nil"/>
          <w:bottom w:val="nil"/>
          <w:right w:val="nil"/>
          <w:between w:val="nil"/>
        </w:pBdr>
        <w:spacing w:line="276" w:lineRule="auto"/>
      </w:pPr>
    </w:p>
    <w:p w:rsidR="00055543" w:rsidRPr="001135A8" w:rsidRDefault="00055543" w:rsidP="00055543">
      <w:pPr>
        <w:tabs>
          <w:tab w:val="left" w:pos="3465"/>
        </w:tabs>
        <w:spacing w:line="360" w:lineRule="auto"/>
        <w:ind w:right="-787"/>
        <w:jc w:val="both"/>
        <w:rPr>
          <w:rFonts w:ascii="Palatino Linotype" w:eastAsia="Palatino Linotype" w:hAnsi="Palatino Linotype" w:cs="Palatino Linotype"/>
        </w:rPr>
      </w:pPr>
      <w:bookmarkStart w:id="0" w:name="_GoBack"/>
      <w:bookmarkEnd w:id="0"/>
      <w:r w:rsidRPr="001135A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541967">
        <w:rPr>
          <w:rFonts w:ascii="Palatino Linotype" w:eastAsia="Palatino Linotype" w:hAnsi="Palatino Linotype" w:cs="Palatino Linotype"/>
        </w:rPr>
        <w:t xml:space="preserve"> de México; de fecha ocho de abril</w:t>
      </w:r>
      <w:r w:rsidRPr="001135A8">
        <w:rPr>
          <w:rFonts w:ascii="Palatino Linotype" w:eastAsia="Palatino Linotype" w:hAnsi="Palatino Linotype" w:cs="Palatino Linotype"/>
        </w:rPr>
        <w:t xml:space="preserve"> de dos mil veintiséis.</w:t>
      </w:r>
    </w:p>
    <w:p w:rsidR="0094714F" w:rsidRDefault="0094714F" w:rsidP="0094714F">
      <w:pPr>
        <w:tabs>
          <w:tab w:val="left" w:pos="3465"/>
        </w:tabs>
        <w:spacing w:line="360" w:lineRule="auto"/>
        <w:ind w:right="-787"/>
        <w:jc w:val="both"/>
        <w:rPr>
          <w:rFonts w:ascii="Palatino Linotype" w:eastAsia="Palatino Linotype" w:hAnsi="Palatino Linotype" w:cs="Palatino Linotype"/>
        </w:rPr>
      </w:pPr>
    </w:p>
    <w:p w:rsidR="0094714F" w:rsidRPr="00892CE6" w:rsidRDefault="0094714F" w:rsidP="0094714F">
      <w:pPr>
        <w:spacing w:line="360" w:lineRule="auto"/>
        <w:ind w:right="-787"/>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el Recurso de Revisión </w:t>
      </w:r>
      <w:r w:rsidR="00055543">
        <w:rPr>
          <w:rFonts w:ascii="Palatino Linotype" w:eastAsia="Palatino Linotype" w:hAnsi="Palatino Linotype" w:cs="Palatino Linotype"/>
          <w:b/>
          <w:color w:val="000000"/>
        </w:rPr>
        <w:t>11773</w:t>
      </w:r>
      <w:r w:rsidR="00195B7E" w:rsidRPr="00195B7E">
        <w:rPr>
          <w:rFonts w:ascii="Palatino Linotype" w:eastAsia="Palatino Linotype" w:hAnsi="Palatino Linotype" w:cs="Palatino Linotype"/>
          <w:b/>
          <w:color w:val="000000"/>
        </w:rPr>
        <w:t>/INFOEM/IP/RR/2025</w:t>
      </w:r>
      <w:r>
        <w:rPr>
          <w:rFonts w:ascii="Palatino Linotype" w:eastAsia="Palatino Linotype" w:hAnsi="Palatino Linotype" w:cs="Palatino Linotype"/>
          <w:color w:val="000000"/>
        </w:rPr>
        <w:t xml:space="preserve">, promovido </w:t>
      </w:r>
      <w:r w:rsidR="00055543">
        <w:rPr>
          <w:rFonts w:ascii="Palatino Linotype" w:eastAsia="Palatino Linotype" w:hAnsi="Palatino Linotype" w:cs="Palatino Linotype"/>
          <w:bCs/>
          <w:color w:val="000000"/>
        </w:rPr>
        <w:t>de manera anónima</w:t>
      </w:r>
      <w:r w:rsidRPr="009A3600">
        <w:rPr>
          <w:rFonts w:ascii="Palatino Linotype" w:eastAsia="Palatino Linotype" w:hAnsi="Palatino Linotype" w:cs="Palatino Linotype"/>
          <w:color w:val="000000"/>
        </w:rPr>
        <w:t>,</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otorgada a la solicitud de información </w:t>
      </w:r>
      <w:r w:rsidR="00055543" w:rsidRPr="00055543">
        <w:rPr>
          <w:rFonts w:ascii="Palatino Linotype" w:eastAsia="Palatino Linotype" w:hAnsi="Palatino Linotype" w:cs="Palatino Linotype"/>
          <w:b/>
        </w:rPr>
        <w:t>04633/TOLUCA/IP/2025</w:t>
      </w:r>
      <w:r>
        <w:rPr>
          <w:rFonts w:ascii="Palatino Linotype" w:eastAsia="Palatino Linotype" w:hAnsi="Palatino Linotype" w:cs="Palatino Linotype"/>
        </w:rPr>
        <w:t xml:space="preserve">, por parte del </w:t>
      </w:r>
      <w:r w:rsidR="005D691D" w:rsidRPr="005D691D">
        <w:rPr>
          <w:rFonts w:ascii="Palatino Linotype" w:eastAsia="Palatino Linotype" w:hAnsi="Palatino Linotype" w:cs="Palatino Linotype"/>
          <w:b/>
          <w:bCs/>
        </w:rPr>
        <w:t xml:space="preserve">Ayuntamiento de </w:t>
      </w:r>
      <w:r w:rsidR="00055543">
        <w:rPr>
          <w:rFonts w:ascii="Palatino Linotype" w:eastAsia="Palatino Linotype" w:hAnsi="Palatino Linotype" w:cs="Palatino Linotype"/>
          <w:b/>
          <w:bCs/>
        </w:rPr>
        <w:t>Toluca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emite la presente resolución con base en los siguientes: </w:t>
      </w:r>
    </w:p>
    <w:p w:rsidR="0094714F" w:rsidRDefault="0094714F" w:rsidP="0094714F">
      <w:pPr>
        <w:ind w:right="-788"/>
        <w:jc w:val="both"/>
        <w:rPr>
          <w:rFonts w:ascii="Palatino Linotype" w:eastAsia="Palatino Linotype" w:hAnsi="Palatino Linotype" w:cs="Palatino Linotype"/>
        </w:rPr>
      </w:pPr>
    </w:p>
    <w:p w:rsidR="0094714F" w:rsidRDefault="0094714F" w:rsidP="0094714F">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gjdgxs" w:colFirst="0" w:colLast="0"/>
      <w:bookmarkEnd w:id="1"/>
      <w:r>
        <w:rPr>
          <w:rFonts w:ascii="Palatino Linotype" w:eastAsia="Palatino Linotype" w:hAnsi="Palatino Linotype" w:cs="Palatino Linotype"/>
          <w:b/>
          <w:color w:val="000000"/>
          <w:sz w:val="24"/>
          <w:szCs w:val="24"/>
        </w:rPr>
        <w:t>A N T E C E D E N T E S</w:t>
      </w:r>
    </w:p>
    <w:p w:rsidR="0094714F" w:rsidRDefault="0094714F" w:rsidP="0094714F">
      <w:pPr>
        <w:pBdr>
          <w:top w:val="nil"/>
          <w:left w:val="nil"/>
          <w:bottom w:val="nil"/>
          <w:right w:val="nil"/>
          <w:between w:val="nil"/>
        </w:pBdr>
        <w:ind w:right="-788"/>
        <w:jc w:val="both"/>
        <w:rPr>
          <w:rFonts w:ascii="Palatino Linotype" w:eastAsia="Palatino Linotype" w:hAnsi="Palatino Linotype" w:cs="Palatino Linotype"/>
          <w:b/>
          <w:color w:val="000000"/>
          <w:u w:val="single"/>
        </w:rPr>
      </w:pPr>
    </w:p>
    <w:p w:rsidR="0094714F" w:rsidRDefault="0094714F" w:rsidP="005B1F2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sidR="002F5C3E">
        <w:rPr>
          <w:rFonts w:ascii="Palatino Linotype" w:eastAsia="Palatino Linotype" w:hAnsi="Palatino Linotype" w:cs="Palatino Linotype"/>
          <w:b/>
          <w:color w:val="000000"/>
        </w:rPr>
        <w:t>doce de septiembre</w:t>
      </w:r>
      <w:r>
        <w:rPr>
          <w:rFonts w:ascii="Palatino Linotype" w:eastAsia="Palatino Linotype" w:hAnsi="Palatino Linotype" w:cs="Palatino Linotype"/>
          <w:b/>
          <w:color w:val="000000"/>
        </w:rPr>
        <w:t xml:space="preserve"> de dos mil veinticinco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CF35BB">
        <w:rPr>
          <w:rFonts w:ascii="Palatino Linotype" w:eastAsia="Palatino Linotype" w:hAnsi="Palatino Linotype" w:cs="Palatino Linotype"/>
          <w:b/>
          <w:color w:val="000000"/>
        </w:rPr>
        <w:t>solicitud de información</w:t>
      </w:r>
      <w:r>
        <w:rPr>
          <w:rFonts w:ascii="Palatino Linotype" w:eastAsia="Palatino Linotype" w:hAnsi="Palatino Linotype" w:cs="Palatino Linotype"/>
          <w:color w:val="000000"/>
        </w:rPr>
        <w:t xml:space="preserve"> pública:</w:t>
      </w:r>
    </w:p>
    <w:p w:rsidR="0094714F" w:rsidRDefault="0094714F" w:rsidP="0094714F">
      <w:pPr>
        <w:pBdr>
          <w:top w:val="nil"/>
          <w:left w:val="nil"/>
          <w:bottom w:val="nil"/>
          <w:right w:val="nil"/>
          <w:between w:val="nil"/>
        </w:pBdr>
        <w:ind w:right="-788"/>
        <w:jc w:val="both"/>
        <w:rPr>
          <w:rFonts w:ascii="Palatino Linotype" w:eastAsia="Palatino Linotype" w:hAnsi="Palatino Linotype" w:cs="Palatino Linotype"/>
          <w:color w:val="000000"/>
        </w:rPr>
      </w:pPr>
    </w:p>
    <w:p w:rsidR="0094714F" w:rsidRDefault="0094714F" w:rsidP="0094714F">
      <w:pPr>
        <w:pBdr>
          <w:top w:val="nil"/>
          <w:left w:val="nil"/>
          <w:bottom w:val="nil"/>
          <w:right w:val="nil"/>
          <w:between w:val="nil"/>
        </w:pBdr>
        <w:ind w:left="567" w:right="-2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sidR="002F5C3E" w:rsidRPr="002F5C3E">
        <w:rPr>
          <w:rFonts w:ascii="Palatino Linotype" w:eastAsia="Palatino Linotype" w:hAnsi="Palatino Linotype" w:cs="Palatino Linotype"/>
          <w:i/>
          <w:color w:val="000000"/>
        </w:rPr>
        <w:t>Todas las contrataciones de obras realizadas en 2025 con el expediente técnico y de contratación, cuanto se ha pagado por cada uno y las facturas pagadas, donde esta la obra y el avance que tiene.</w:t>
      </w:r>
      <w:r>
        <w:rPr>
          <w:rFonts w:ascii="Palatino Linotype" w:eastAsia="Palatino Linotype" w:hAnsi="Palatino Linotype" w:cs="Palatino Linotype"/>
          <w:i/>
          <w:color w:val="000000"/>
        </w:rPr>
        <w:t>” (Sic)</w:t>
      </w:r>
    </w:p>
    <w:p w:rsidR="0094714F" w:rsidRDefault="0098003E" w:rsidP="0098003E">
      <w:pPr>
        <w:pBdr>
          <w:top w:val="nil"/>
          <w:left w:val="nil"/>
          <w:bottom w:val="nil"/>
          <w:right w:val="nil"/>
          <w:between w:val="nil"/>
        </w:pBdr>
        <w:tabs>
          <w:tab w:val="left" w:pos="3217"/>
        </w:tabs>
        <w:ind w:right="-78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rsidR="0094714F" w:rsidRPr="00723384" w:rsidRDefault="0094714F" w:rsidP="0094714F">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rsidR="00D75BB9" w:rsidRPr="00D75BB9" w:rsidRDefault="00D75BB9" w:rsidP="00D75BB9">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i/>
          <w:color w:val="000000"/>
        </w:rPr>
      </w:pPr>
    </w:p>
    <w:p w:rsidR="009A3600" w:rsidRDefault="00424FD7" w:rsidP="005B1F2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FF5EC8">
        <w:rPr>
          <w:rFonts w:ascii="Palatino Linotype" w:eastAsia="Palatino Linotype" w:hAnsi="Palatino Linotype" w:cs="Palatino Linotype"/>
          <w:b/>
          <w:color w:val="000000"/>
        </w:rPr>
        <w:t>seis de octubre</w:t>
      </w:r>
      <w:r w:rsidR="00B3687B">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rPr>
        <w:t>de dos mil veinticinco</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dio </w:t>
      </w:r>
      <w:r w:rsidRPr="00CF35BB">
        <w:rPr>
          <w:rFonts w:ascii="Palatino Linotype" w:eastAsia="Palatino Linotype" w:hAnsi="Palatino Linotype" w:cs="Palatino Linotype"/>
          <w:b/>
          <w:color w:val="000000"/>
        </w:rPr>
        <w:t>respuesta</w:t>
      </w:r>
      <w:r w:rsidR="00E31C25">
        <w:rPr>
          <w:rFonts w:ascii="Palatino Linotype" w:eastAsia="Palatino Linotype" w:hAnsi="Palatino Linotype" w:cs="Palatino Linotype"/>
          <w:color w:val="000000"/>
        </w:rPr>
        <w:t xml:space="preserve"> adjuntando </w:t>
      </w:r>
      <w:r w:rsidR="00FF5EC8">
        <w:rPr>
          <w:rFonts w:ascii="Palatino Linotype" w:eastAsia="Palatino Linotype" w:hAnsi="Palatino Linotype" w:cs="Palatino Linotype"/>
          <w:color w:val="000000"/>
        </w:rPr>
        <w:t>los archivos digitales siguientes</w:t>
      </w:r>
      <w:r>
        <w:rPr>
          <w:rFonts w:ascii="Palatino Linotype" w:eastAsia="Palatino Linotype" w:hAnsi="Palatino Linotype" w:cs="Palatino Linotype"/>
          <w:b/>
          <w:i/>
          <w:color w:val="000000"/>
        </w:rPr>
        <w:t>:</w:t>
      </w:r>
    </w:p>
    <w:p w:rsidR="005657A8" w:rsidRDefault="005657A8" w:rsidP="005657A8">
      <w:pPr>
        <w:pBdr>
          <w:top w:val="nil"/>
          <w:left w:val="nil"/>
          <w:bottom w:val="nil"/>
          <w:right w:val="nil"/>
          <w:between w:val="nil"/>
        </w:pBdr>
        <w:tabs>
          <w:tab w:val="left" w:pos="567"/>
        </w:tabs>
        <w:ind w:left="567" w:right="-788"/>
        <w:jc w:val="both"/>
        <w:rPr>
          <w:rFonts w:ascii="Palatino Linotype" w:eastAsia="Palatino Linotype" w:hAnsi="Palatino Linotype" w:cs="Palatino Linotype"/>
          <w:color w:val="000000"/>
        </w:rPr>
      </w:pPr>
    </w:p>
    <w:p w:rsidR="00217462" w:rsidRPr="00772239" w:rsidRDefault="00217462" w:rsidP="005657A8">
      <w:pPr>
        <w:pBdr>
          <w:top w:val="nil"/>
          <w:left w:val="nil"/>
          <w:bottom w:val="nil"/>
          <w:right w:val="nil"/>
          <w:between w:val="nil"/>
        </w:pBdr>
        <w:tabs>
          <w:tab w:val="left" w:pos="567"/>
        </w:tabs>
        <w:ind w:left="567" w:right="-788"/>
        <w:jc w:val="both"/>
        <w:rPr>
          <w:rFonts w:ascii="Palatino Linotype" w:eastAsia="Palatino Linotype" w:hAnsi="Palatino Linotype" w:cs="Palatino Linotype"/>
          <w:color w:val="000000"/>
        </w:rPr>
      </w:pPr>
    </w:p>
    <w:p w:rsidR="00FF5EC8" w:rsidRDefault="00FF5EC8" w:rsidP="00FF5EC8">
      <w:pPr>
        <w:pBdr>
          <w:top w:val="nil"/>
          <w:left w:val="nil"/>
          <w:bottom w:val="nil"/>
          <w:right w:val="nil"/>
          <w:between w:val="nil"/>
        </w:pBdr>
        <w:ind w:left="567" w:right="-788"/>
        <w:jc w:val="both"/>
        <w:rPr>
          <w:rFonts w:ascii="Palatino Linotype" w:eastAsia="Palatino Linotype" w:hAnsi="Palatino Linotype" w:cs="Palatino Linotype"/>
          <w:b/>
          <w:i/>
          <w:color w:val="000000"/>
          <w:sz w:val="22"/>
          <w:szCs w:val="22"/>
        </w:rPr>
      </w:pPr>
      <w:r w:rsidRPr="00FF5EC8">
        <w:rPr>
          <w:rFonts w:ascii="Palatino Linotype" w:eastAsia="Palatino Linotype" w:hAnsi="Palatino Linotype" w:cs="Palatino Linotype"/>
          <w:b/>
          <w:i/>
          <w:color w:val="000000"/>
          <w:sz w:val="22"/>
          <w:szCs w:val="22"/>
        </w:rPr>
        <w:lastRenderedPageBreak/>
        <w:t>04633.pdf</w:t>
      </w:r>
    </w:p>
    <w:p w:rsidR="000150EB" w:rsidRPr="000150EB" w:rsidRDefault="000150EB" w:rsidP="00FF5EC8">
      <w:pPr>
        <w:pBdr>
          <w:top w:val="nil"/>
          <w:left w:val="nil"/>
          <w:bottom w:val="nil"/>
          <w:right w:val="nil"/>
          <w:between w:val="nil"/>
        </w:pBdr>
        <w:ind w:left="567" w:right="-78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202010000/03157/2025 de fecha 22 de septiembre de 2025, firmado por el </w:t>
      </w:r>
      <w:r w:rsidRPr="00FE16B5">
        <w:rPr>
          <w:rFonts w:ascii="Palatino Linotype" w:eastAsia="Palatino Linotype" w:hAnsi="Palatino Linotype" w:cs="Palatino Linotype"/>
          <w:b/>
          <w:color w:val="000000"/>
          <w:sz w:val="22"/>
          <w:szCs w:val="22"/>
        </w:rPr>
        <w:t>Tesorero Municipal</w:t>
      </w:r>
      <w:r>
        <w:rPr>
          <w:rFonts w:ascii="Palatino Linotype" w:eastAsia="Palatino Linotype" w:hAnsi="Palatino Linotype" w:cs="Palatino Linotype"/>
          <w:color w:val="000000"/>
          <w:sz w:val="22"/>
          <w:szCs w:val="22"/>
        </w:rPr>
        <w:t xml:space="preserve"> a través del cual refirió </w:t>
      </w:r>
      <w:r w:rsidRPr="000150EB">
        <w:rPr>
          <w:rFonts w:ascii="Palatino Linotype" w:eastAsia="Palatino Linotype" w:hAnsi="Palatino Linotype" w:cs="Palatino Linotype"/>
          <w:i/>
          <w:color w:val="000000"/>
          <w:sz w:val="22"/>
          <w:szCs w:val="22"/>
        </w:rPr>
        <w:t>“… que una vez realizada una búsqueda exhaustiva en nuestros archivos, no se cuenta con registro financiero, documental, contable o presupuestal que ampare la información solicitada” (Sic)</w:t>
      </w:r>
    </w:p>
    <w:p w:rsidR="00FF5EC8" w:rsidRPr="00FF5EC8" w:rsidRDefault="00FF5EC8" w:rsidP="00FE16B5">
      <w:pPr>
        <w:pBdr>
          <w:top w:val="nil"/>
          <w:left w:val="nil"/>
          <w:bottom w:val="nil"/>
          <w:right w:val="nil"/>
          <w:between w:val="nil"/>
        </w:pBdr>
        <w:ind w:right="-788"/>
        <w:jc w:val="both"/>
        <w:rPr>
          <w:rFonts w:ascii="Palatino Linotype" w:eastAsia="Palatino Linotype" w:hAnsi="Palatino Linotype" w:cs="Palatino Linotype"/>
          <w:b/>
          <w:i/>
          <w:color w:val="000000"/>
          <w:sz w:val="22"/>
          <w:szCs w:val="22"/>
        </w:rPr>
      </w:pPr>
    </w:p>
    <w:p w:rsidR="00FF5EC8" w:rsidRDefault="00FF5EC8" w:rsidP="00FF5EC8">
      <w:pPr>
        <w:pBdr>
          <w:top w:val="nil"/>
          <w:left w:val="nil"/>
          <w:bottom w:val="nil"/>
          <w:right w:val="nil"/>
          <w:between w:val="nil"/>
        </w:pBdr>
        <w:ind w:left="567" w:right="-788"/>
        <w:jc w:val="both"/>
        <w:rPr>
          <w:rFonts w:ascii="Palatino Linotype" w:eastAsia="Palatino Linotype" w:hAnsi="Palatino Linotype" w:cs="Palatino Linotype"/>
          <w:b/>
          <w:i/>
          <w:color w:val="000000"/>
          <w:sz w:val="22"/>
          <w:szCs w:val="22"/>
        </w:rPr>
      </w:pPr>
      <w:r w:rsidRPr="00FF5EC8">
        <w:rPr>
          <w:rFonts w:ascii="Palatino Linotype" w:eastAsia="Palatino Linotype" w:hAnsi="Palatino Linotype" w:cs="Palatino Linotype"/>
          <w:b/>
          <w:i/>
          <w:color w:val="000000"/>
          <w:sz w:val="22"/>
          <w:szCs w:val="22"/>
        </w:rPr>
        <w:t>Respuesta Saimex 04633.pdf</w:t>
      </w: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w:t>
      </w:r>
      <w:r w:rsidRPr="00FE16B5">
        <w:rPr>
          <w:rFonts w:ascii="Palatino Linotype" w:eastAsia="Palatino Linotype" w:hAnsi="Palatino Linotype" w:cs="Palatino Linotype"/>
          <w:color w:val="000000"/>
          <w:sz w:val="22"/>
          <w:szCs w:val="22"/>
        </w:rPr>
        <w:t>210010000/2837/2025</w:t>
      </w:r>
      <w:r>
        <w:rPr>
          <w:rFonts w:ascii="Palatino Linotype" w:eastAsia="Palatino Linotype" w:hAnsi="Palatino Linotype" w:cs="Palatino Linotype"/>
          <w:color w:val="000000"/>
          <w:sz w:val="22"/>
          <w:szCs w:val="22"/>
        </w:rPr>
        <w:t xml:space="preserve"> de fecha 03 de octubre de 2025, firmado por el </w:t>
      </w:r>
      <w:r w:rsidRPr="00FE16B5">
        <w:rPr>
          <w:rFonts w:ascii="Palatino Linotype" w:eastAsia="Palatino Linotype" w:hAnsi="Palatino Linotype" w:cs="Palatino Linotype"/>
          <w:b/>
          <w:color w:val="000000"/>
          <w:sz w:val="22"/>
          <w:szCs w:val="22"/>
        </w:rPr>
        <w:t>Director General de Obras Públicas</w:t>
      </w:r>
      <w:r>
        <w:rPr>
          <w:rFonts w:ascii="Palatino Linotype" w:eastAsia="Palatino Linotype" w:hAnsi="Palatino Linotype" w:cs="Palatino Linotype"/>
          <w:color w:val="000000"/>
          <w:sz w:val="22"/>
          <w:szCs w:val="22"/>
        </w:rPr>
        <w:t xml:space="preserve">, a refiriendo que </w:t>
      </w:r>
      <w:r w:rsidRPr="00FE16B5">
        <w:rPr>
          <w:rFonts w:ascii="Palatino Linotype" w:eastAsia="Palatino Linotype" w:hAnsi="Palatino Linotype" w:cs="Palatino Linotype"/>
          <w:color w:val="000000"/>
          <w:sz w:val="22"/>
          <w:szCs w:val="22"/>
        </w:rPr>
        <w:t>realizó búsqueda exhaustiva y razonable de la información objeto de la solicitud en los archivos que se encuentr</w:t>
      </w:r>
      <w:r>
        <w:rPr>
          <w:rFonts w:ascii="Palatino Linotype" w:eastAsia="Palatino Linotype" w:hAnsi="Palatino Linotype" w:cs="Palatino Linotype"/>
          <w:color w:val="000000"/>
          <w:sz w:val="22"/>
          <w:szCs w:val="22"/>
        </w:rPr>
        <w:t>an bajo su resguardo y custodia, por lo que informa lo siguiente:</w:t>
      </w: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color w:val="000000"/>
          <w:sz w:val="22"/>
          <w:szCs w:val="22"/>
        </w:rPr>
      </w:pP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FE16B5">
        <w:rPr>
          <w:rFonts w:ascii="Palatino Linotype" w:eastAsia="Palatino Linotype" w:hAnsi="Palatino Linotype" w:cs="Palatino Linotype"/>
          <w:i/>
          <w:color w:val="000000"/>
          <w:sz w:val="22"/>
          <w:szCs w:val="22"/>
        </w:rPr>
        <w:t>En relación al “</w:t>
      </w:r>
      <w:r w:rsidRPr="00FE16B5">
        <w:rPr>
          <w:rFonts w:ascii="Palatino Linotype" w:eastAsia="Palatino Linotype" w:hAnsi="Palatino Linotype" w:cs="Palatino Linotype"/>
          <w:b/>
          <w:i/>
          <w:color w:val="000000"/>
          <w:sz w:val="22"/>
          <w:szCs w:val="22"/>
        </w:rPr>
        <w:t>Todas las contrataciones de obras realizadas en 2025..." (sic) y "..donde esta la obra y el avance que tiene." (sic), ...expediente técnico y de contratación..." (sic</w:t>
      </w:r>
      <w:r w:rsidRPr="00FE16B5">
        <w:rPr>
          <w:rFonts w:ascii="Palatino Linotype" w:eastAsia="Palatino Linotype" w:hAnsi="Palatino Linotype" w:cs="Palatino Linotype"/>
          <w:i/>
          <w:color w:val="000000"/>
          <w:sz w:val="22"/>
          <w:szCs w:val="22"/>
        </w:rPr>
        <w:t xml:space="preserve">), en la mencionada búsqueda se localizaron los documentos que dan cuenta de los solicitado integrados en el presente año fiscal a la fecha de la solicitud, los cuales constan de más de 8,000 (ocho mil) fojas, documentación que no se encuentra digitalizada. </w:t>
      </w: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sidRPr="00FE16B5">
        <w:rPr>
          <w:rFonts w:ascii="Palatino Linotype" w:eastAsia="Palatino Linotype" w:hAnsi="Palatino Linotype" w:cs="Palatino Linotype"/>
          <w:i/>
          <w:color w:val="000000"/>
          <w:sz w:val="22"/>
          <w:szCs w:val="22"/>
        </w:rPr>
        <w:t>En razón de lo expuesto, se autorizó mediante el acuerdo CT/SE/1193/01/2025 de la Milésima Centésima Nonagésima Tercera Sesión Extraordinaria del Comité de Transparencia del Municipio de Toluca, de fecha 01 de octubre de 2025, el cambio de modalidad en la entrega de la información, por lo que se</w:t>
      </w:r>
      <w:r>
        <w:rPr>
          <w:rFonts w:ascii="Palatino Linotype" w:eastAsia="Palatino Linotype" w:hAnsi="Palatino Linotype" w:cs="Palatino Linotype"/>
          <w:i/>
          <w:color w:val="000000"/>
          <w:sz w:val="22"/>
          <w:szCs w:val="22"/>
        </w:rPr>
        <w:t xml:space="preserve"> </w:t>
      </w:r>
      <w:r w:rsidRPr="00FE16B5">
        <w:rPr>
          <w:rFonts w:ascii="Palatino Linotype" w:eastAsia="Palatino Linotype" w:hAnsi="Palatino Linotype" w:cs="Palatino Linotype"/>
          <w:i/>
          <w:color w:val="000000"/>
          <w:sz w:val="22"/>
          <w:szCs w:val="22"/>
        </w:rPr>
        <w:t>pone a disposición del solicitante las siguientes modalidades para entrega de la información:</w:t>
      </w: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sidRPr="00FE16B5">
        <w:rPr>
          <w:rFonts w:ascii="Palatino Linotype" w:eastAsia="Palatino Linotype" w:hAnsi="Palatino Linotype" w:cs="Palatino Linotype"/>
          <w:i/>
          <w:color w:val="000000"/>
          <w:sz w:val="22"/>
          <w:szCs w:val="22"/>
        </w:rPr>
        <w:t>A. la Consulta directa en sitio</w:t>
      </w:r>
      <w:r>
        <w:rPr>
          <w:rFonts w:ascii="Palatino Linotype" w:eastAsia="Palatino Linotype" w:hAnsi="Palatino Linotype" w:cs="Palatino Linotype"/>
          <w:i/>
          <w:color w:val="000000"/>
          <w:sz w:val="22"/>
          <w:szCs w:val="22"/>
        </w:rPr>
        <w:t>…</w:t>
      </w: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w:t>
      </w:r>
      <w:r w:rsidRPr="00FE16B5">
        <w:rPr>
          <w:rFonts w:ascii="Palatino Linotype" w:eastAsia="Palatino Linotype" w:hAnsi="Palatino Linotype" w:cs="Palatino Linotype"/>
          <w:i/>
          <w:color w:val="000000"/>
          <w:sz w:val="22"/>
          <w:szCs w:val="22"/>
        </w:rPr>
        <w:t>De manera digital</w:t>
      </w:r>
      <w:r>
        <w:rPr>
          <w:rFonts w:ascii="Palatino Linotype" w:eastAsia="Palatino Linotype" w:hAnsi="Palatino Linotype" w:cs="Palatino Linotype"/>
          <w:i/>
          <w:color w:val="000000"/>
          <w:sz w:val="22"/>
          <w:szCs w:val="22"/>
        </w:rPr>
        <w:t>…</w:t>
      </w: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w:t>
      </w:r>
      <w:r w:rsidRPr="00FE16B5">
        <w:rPr>
          <w:rFonts w:ascii="Palatino Linotype" w:eastAsia="Palatino Linotype" w:hAnsi="Palatino Linotype" w:cs="Palatino Linotype"/>
          <w:i/>
          <w:color w:val="000000"/>
          <w:sz w:val="22"/>
          <w:szCs w:val="22"/>
        </w:rPr>
        <w:t>Copias simples o certificadas en versión pública</w:t>
      </w:r>
      <w:r>
        <w:rPr>
          <w:rFonts w:ascii="Palatino Linotype" w:eastAsia="Palatino Linotype" w:hAnsi="Palatino Linotype" w:cs="Palatino Linotype"/>
          <w:i/>
          <w:color w:val="000000"/>
          <w:sz w:val="22"/>
          <w:szCs w:val="22"/>
        </w:rPr>
        <w:t>…</w:t>
      </w: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p>
    <w:p w:rsid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sidRPr="00FE16B5">
        <w:rPr>
          <w:rFonts w:ascii="Palatino Linotype" w:eastAsia="Palatino Linotype" w:hAnsi="Palatino Linotype" w:cs="Palatino Linotype"/>
          <w:i/>
          <w:color w:val="000000"/>
          <w:sz w:val="22"/>
          <w:szCs w:val="22"/>
        </w:rPr>
        <w:t xml:space="preserve">Respecto a </w:t>
      </w:r>
      <w:r w:rsidRPr="00FE16B5">
        <w:rPr>
          <w:rFonts w:ascii="Palatino Linotype" w:eastAsia="Palatino Linotype" w:hAnsi="Palatino Linotype" w:cs="Palatino Linotype"/>
          <w:b/>
          <w:i/>
          <w:color w:val="000000"/>
          <w:sz w:val="22"/>
          <w:szCs w:val="22"/>
        </w:rPr>
        <w:t>“..cuanto se ha pagado por cada uno y las facturas pagadas..." (sic),</w:t>
      </w:r>
      <w:r w:rsidRPr="00FE16B5">
        <w:rPr>
          <w:rFonts w:ascii="Palatino Linotype" w:eastAsia="Palatino Linotype" w:hAnsi="Palatino Linotype" w:cs="Palatino Linotype"/>
          <w:i/>
          <w:color w:val="000000"/>
          <w:sz w:val="22"/>
          <w:szCs w:val="22"/>
        </w:rPr>
        <w:t xml:space="preserve"> en la mencionada búsqueda no se localizó expresión documental que dé cuenta de lo requerido por el solicitante, por no ser competencia ni atribución de esta Dirección General el generar, ni administrar la información de pagos y facturas indicadas en la solicitud.</w:t>
      </w:r>
    </w:p>
    <w:p w:rsidR="00FE16B5" w:rsidRP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E16B5" w:rsidRPr="00FE16B5" w:rsidRDefault="00FE16B5" w:rsidP="00FF5EC8">
      <w:pPr>
        <w:pBdr>
          <w:top w:val="nil"/>
          <w:left w:val="nil"/>
          <w:bottom w:val="nil"/>
          <w:right w:val="nil"/>
          <w:between w:val="nil"/>
        </w:pBdr>
        <w:ind w:left="567" w:right="-788"/>
        <w:jc w:val="both"/>
        <w:rPr>
          <w:rFonts w:ascii="Palatino Linotype" w:eastAsia="Palatino Linotype" w:hAnsi="Palatino Linotype" w:cs="Palatino Linotype"/>
          <w:color w:val="000000"/>
          <w:sz w:val="22"/>
          <w:szCs w:val="22"/>
        </w:rPr>
      </w:pPr>
    </w:p>
    <w:p w:rsidR="00FE16B5" w:rsidRPr="00FF5EC8" w:rsidRDefault="00FE16B5" w:rsidP="00FF5EC8">
      <w:pPr>
        <w:pBdr>
          <w:top w:val="nil"/>
          <w:left w:val="nil"/>
          <w:bottom w:val="nil"/>
          <w:right w:val="nil"/>
          <w:between w:val="nil"/>
        </w:pBdr>
        <w:ind w:left="567" w:right="-788"/>
        <w:jc w:val="both"/>
        <w:rPr>
          <w:rFonts w:ascii="Palatino Linotype" w:eastAsia="Palatino Linotype" w:hAnsi="Palatino Linotype" w:cs="Palatino Linotype"/>
          <w:b/>
          <w:i/>
          <w:color w:val="000000"/>
          <w:sz w:val="22"/>
          <w:szCs w:val="22"/>
        </w:rPr>
      </w:pPr>
    </w:p>
    <w:p w:rsidR="00D66859" w:rsidRDefault="00FF5EC8" w:rsidP="00FF5EC8">
      <w:pPr>
        <w:pBdr>
          <w:top w:val="nil"/>
          <w:left w:val="nil"/>
          <w:bottom w:val="nil"/>
          <w:right w:val="nil"/>
          <w:between w:val="nil"/>
        </w:pBdr>
        <w:ind w:left="567" w:right="-788"/>
        <w:jc w:val="both"/>
        <w:rPr>
          <w:rFonts w:ascii="Palatino Linotype" w:eastAsia="Palatino Linotype" w:hAnsi="Palatino Linotype" w:cs="Palatino Linotype"/>
          <w:b/>
          <w:i/>
          <w:color w:val="000000"/>
          <w:sz w:val="22"/>
          <w:szCs w:val="22"/>
        </w:rPr>
      </w:pPr>
      <w:r w:rsidRPr="00FF5EC8">
        <w:rPr>
          <w:rFonts w:ascii="Palatino Linotype" w:eastAsia="Palatino Linotype" w:hAnsi="Palatino Linotype" w:cs="Palatino Linotype"/>
          <w:b/>
          <w:i/>
          <w:color w:val="000000"/>
          <w:sz w:val="22"/>
          <w:szCs w:val="22"/>
        </w:rPr>
        <w:t>MILÉSIMA CENTÉSIMA NONAGÉSIMA TERCERA SESIÓN EXTRAORDINARIA 2025.pdf</w:t>
      </w:r>
    </w:p>
    <w:p w:rsidR="00A73553" w:rsidRDefault="00A73553" w:rsidP="00FF5EC8">
      <w:pPr>
        <w:pBdr>
          <w:top w:val="nil"/>
          <w:left w:val="nil"/>
          <w:bottom w:val="nil"/>
          <w:right w:val="nil"/>
          <w:between w:val="nil"/>
        </w:pBdr>
        <w:ind w:left="567" w:right="-788"/>
        <w:jc w:val="both"/>
        <w:rPr>
          <w:rFonts w:ascii="Palatino Linotype" w:eastAsia="Palatino Linotype" w:hAnsi="Palatino Linotype" w:cs="Palatino Linotype"/>
          <w:color w:val="000000"/>
          <w:sz w:val="22"/>
          <w:szCs w:val="22"/>
        </w:rPr>
      </w:pPr>
      <w:r w:rsidRPr="00A73553">
        <w:rPr>
          <w:rFonts w:ascii="Palatino Linotype" w:eastAsia="Palatino Linotype" w:hAnsi="Palatino Linotype" w:cs="Palatino Linotype"/>
          <w:color w:val="000000"/>
          <w:sz w:val="22"/>
          <w:szCs w:val="22"/>
        </w:rPr>
        <w:t>ACTA DE LA MILÉSIMA CENTÉSIMA NONAGÉSIMA TERCERA SESIÓN EXTRAORDINARIA 2025 DEL COMITÉ DE TRANSPARENCIA DEL MUNICIPIO DE TOLUCA, ADMINISTRACIÓN 2025-2027 NÚMERO CT/SE/1193/202</w:t>
      </w:r>
      <w:r>
        <w:rPr>
          <w:rFonts w:ascii="Palatino Linotype" w:eastAsia="Palatino Linotype" w:hAnsi="Palatino Linotype" w:cs="Palatino Linotype"/>
          <w:color w:val="000000"/>
          <w:sz w:val="22"/>
          <w:szCs w:val="22"/>
        </w:rPr>
        <w:t>5, a través del cual se decreta el acuerdo siguiente:</w:t>
      </w:r>
    </w:p>
    <w:p w:rsidR="00A73553" w:rsidRDefault="00A73553" w:rsidP="00FF5EC8">
      <w:pPr>
        <w:pBdr>
          <w:top w:val="nil"/>
          <w:left w:val="nil"/>
          <w:bottom w:val="nil"/>
          <w:right w:val="nil"/>
          <w:between w:val="nil"/>
        </w:pBdr>
        <w:ind w:left="567" w:right="-788"/>
        <w:jc w:val="both"/>
        <w:rPr>
          <w:rFonts w:ascii="Palatino Linotype" w:eastAsia="Palatino Linotype" w:hAnsi="Palatino Linotype" w:cs="Palatino Linotype"/>
          <w:color w:val="000000"/>
          <w:sz w:val="22"/>
          <w:szCs w:val="22"/>
        </w:rPr>
      </w:pPr>
    </w:p>
    <w:p w:rsidR="00A73553" w:rsidRPr="00A73553" w:rsidRDefault="00A73553"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sidRPr="00A73553">
        <w:rPr>
          <w:rFonts w:ascii="Palatino Linotype" w:eastAsia="Palatino Linotype" w:hAnsi="Palatino Linotype" w:cs="Palatino Linotype"/>
          <w:b/>
          <w:i/>
          <w:color w:val="000000"/>
          <w:sz w:val="22"/>
          <w:szCs w:val="22"/>
        </w:rPr>
        <w:t>ACUERDO CT/SE/1193/01/2025</w:t>
      </w:r>
      <w:r w:rsidRPr="00A73553">
        <w:rPr>
          <w:rFonts w:ascii="Palatino Linotype" w:eastAsia="Palatino Linotype" w:hAnsi="Palatino Linotype" w:cs="Palatino Linotype"/>
          <w:i/>
          <w:color w:val="000000"/>
          <w:sz w:val="22"/>
          <w:szCs w:val="22"/>
        </w:rPr>
        <w:t xml:space="preserve"> </w:t>
      </w:r>
    </w:p>
    <w:p w:rsidR="00A73553" w:rsidRPr="00A73553" w:rsidRDefault="00A73553" w:rsidP="00FF5EC8">
      <w:pPr>
        <w:pBdr>
          <w:top w:val="nil"/>
          <w:left w:val="nil"/>
          <w:bottom w:val="nil"/>
          <w:right w:val="nil"/>
          <w:between w:val="nil"/>
        </w:pBdr>
        <w:ind w:left="567" w:right="-788"/>
        <w:jc w:val="both"/>
        <w:rPr>
          <w:rFonts w:ascii="Palatino Linotype" w:eastAsia="Palatino Linotype" w:hAnsi="Palatino Linotype" w:cs="Palatino Linotype"/>
          <w:i/>
          <w:color w:val="000000"/>
          <w:sz w:val="22"/>
          <w:szCs w:val="22"/>
        </w:rPr>
      </w:pPr>
      <w:r w:rsidRPr="00A73553">
        <w:rPr>
          <w:rFonts w:ascii="Palatino Linotype" w:eastAsia="Palatino Linotype" w:hAnsi="Palatino Linotype" w:cs="Palatino Linotype"/>
          <w:i/>
          <w:color w:val="000000"/>
          <w:sz w:val="22"/>
          <w:szCs w:val="22"/>
        </w:rPr>
        <w:t>Se aprueba el cambio de modalidad a consulta directa, para dar respuesta a la Solicitud de Información número 04633/TOLUCA/IP/2025, con fundamento en el artículo 158 y demás aplicables de la Ley de Transparencia y Acceso a la Información Pública del Estado de México y Municipios.</w:t>
      </w:r>
    </w:p>
    <w:p w:rsidR="0043231A" w:rsidRPr="00B12D76" w:rsidRDefault="0043231A" w:rsidP="0043231A">
      <w:pPr>
        <w:pBdr>
          <w:top w:val="nil"/>
          <w:left w:val="nil"/>
          <w:bottom w:val="nil"/>
          <w:right w:val="nil"/>
          <w:between w:val="nil"/>
        </w:pBdr>
        <w:spacing w:line="360" w:lineRule="auto"/>
        <w:ind w:left="567" w:right="-787"/>
        <w:jc w:val="both"/>
        <w:rPr>
          <w:rFonts w:ascii="Palatino Linotype" w:eastAsia="Palatino Linotype" w:hAnsi="Palatino Linotype" w:cs="Palatino Linotype"/>
          <w:color w:val="000000"/>
        </w:rPr>
      </w:pPr>
    </w:p>
    <w:p w:rsidR="00D80BFC" w:rsidRPr="00444D67" w:rsidRDefault="00A077F4" w:rsidP="005B1F2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444D67">
        <w:rPr>
          <w:rFonts w:ascii="Palatino Linotype" w:eastAsia="Palatino Linotype" w:hAnsi="Palatino Linotype" w:cs="Palatino Linotype"/>
          <w:color w:val="000000"/>
        </w:rPr>
        <w:t>El</w:t>
      </w:r>
      <w:r w:rsidRPr="00444D67">
        <w:rPr>
          <w:rFonts w:ascii="Palatino Linotype" w:eastAsia="Palatino Linotype" w:hAnsi="Palatino Linotype" w:cs="Palatino Linotype"/>
          <w:b/>
          <w:color w:val="000000"/>
        </w:rPr>
        <w:t xml:space="preserve"> </w:t>
      </w:r>
      <w:r w:rsidR="00157D84">
        <w:rPr>
          <w:rFonts w:ascii="Palatino Linotype" w:eastAsia="Palatino Linotype" w:hAnsi="Palatino Linotype" w:cs="Palatino Linotype"/>
          <w:b/>
          <w:color w:val="000000"/>
        </w:rPr>
        <w:t>trece de octubre</w:t>
      </w:r>
      <w:r w:rsidRPr="00444D67">
        <w:rPr>
          <w:rFonts w:ascii="Palatino Linotype" w:eastAsia="Palatino Linotype" w:hAnsi="Palatino Linotype" w:cs="Palatino Linotype"/>
          <w:b/>
          <w:color w:val="000000"/>
        </w:rPr>
        <w:t xml:space="preserve"> de dos mil veinticinco</w:t>
      </w:r>
      <w:r w:rsidRPr="00444D67">
        <w:rPr>
          <w:rFonts w:ascii="Palatino Linotype" w:eastAsia="Palatino Linotype" w:hAnsi="Palatino Linotype" w:cs="Palatino Linotype"/>
          <w:color w:val="000000"/>
        </w:rPr>
        <w:t xml:space="preserve">, el particular interpuso </w:t>
      </w:r>
      <w:r w:rsidR="00C72A3B" w:rsidRPr="00444D67">
        <w:rPr>
          <w:rFonts w:ascii="Palatino Linotype" w:eastAsia="Palatino Linotype" w:hAnsi="Palatino Linotype" w:cs="Palatino Linotype"/>
          <w:b/>
          <w:color w:val="000000"/>
        </w:rPr>
        <w:t>recurso</w:t>
      </w:r>
      <w:r w:rsidRPr="00444D67">
        <w:rPr>
          <w:rFonts w:ascii="Palatino Linotype" w:eastAsia="Palatino Linotype" w:hAnsi="Palatino Linotype" w:cs="Palatino Linotype"/>
          <w:b/>
          <w:color w:val="000000"/>
        </w:rPr>
        <w:t xml:space="preserve"> de revisión</w:t>
      </w:r>
      <w:r w:rsidRPr="00444D67">
        <w:rPr>
          <w:rFonts w:ascii="Palatino Linotype" w:eastAsia="Palatino Linotype" w:hAnsi="Palatino Linotype" w:cs="Palatino Linotype"/>
          <w:color w:val="000000"/>
        </w:rPr>
        <w:t xml:space="preserve"> a</w:t>
      </w:r>
      <w:r w:rsidR="00C72A3B" w:rsidRPr="00444D67">
        <w:rPr>
          <w:rFonts w:ascii="Palatino Linotype" w:eastAsia="Palatino Linotype" w:hAnsi="Palatino Linotype" w:cs="Palatino Linotype"/>
          <w:color w:val="000000"/>
        </w:rPr>
        <w:t>l</w:t>
      </w:r>
      <w:r w:rsidRPr="00444D67">
        <w:rPr>
          <w:rFonts w:ascii="Palatino Linotype" w:eastAsia="Palatino Linotype" w:hAnsi="Palatino Linotype" w:cs="Palatino Linotype"/>
          <w:color w:val="000000"/>
        </w:rPr>
        <w:t xml:space="preserve"> </w:t>
      </w:r>
      <w:r w:rsidR="00C72A3B" w:rsidRPr="00444D67">
        <w:rPr>
          <w:rFonts w:ascii="Palatino Linotype" w:eastAsia="Palatino Linotype" w:hAnsi="Palatino Linotype" w:cs="Palatino Linotype"/>
          <w:color w:val="000000"/>
        </w:rPr>
        <w:t>que se le</w:t>
      </w:r>
      <w:r w:rsidRPr="00444D67">
        <w:rPr>
          <w:rFonts w:ascii="Palatino Linotype" w:eastAsia="Palatino Linotype" w:hAnsi="Palatino Linotype" w:cs="Palatino Linotype"/>
          <w:color w:val="000000"/>
        </w:rPr>
        <w:t xml:space="preserve"> </w:t>
      </w:r>
      <w:r w:rsidR="00C72A3B" w:rsidRPr="00444D67">
        <w:rPr>
          <w:rFonts w:ascii="Palatino Linotype" w:eastAsia="Palatino Linotype" w:hAnsi="Palatino Linotype" w:cs="Palatino Linotype"/>
          <w:color w:val="000000"/>
        </w:rPr>
        <w:t>asignó el folio</w:t>
      </w:r>
      <w:r w:rsidRPr="00444D67">
        <w:rPr>
          <w:rFonts w:ascii="Palatino Linotype" w:eastAsia="Palatino Linotype" w:hAnsi="Palatino Linotype" w:cs="Palatino Linotype"/>
          <w:color w:val="000000"/>
        </w:rPr>
        <w:t xml:space="preserve"> </w:t>
      </w:r>
      <w:r w:rsidR="00157D84">
        <w:rPr>
          <w:rFonts w:ascii="Palatino Linotype" w:eastAsia="Palatino Linotype" w:hAnsi="Palatino Linotype" w:cs="Palatino Linotype"/>
          <w:b/>
          <w:color w:val="000000"/>
        </w:rPr>
        <w:t>11773</w:t>
      </w:r>
      <w:r w:rsidR="005476ED" w:rsidRPr="00444D67">
        <w:rPr>
          <w:rFonts w:ascii="Palatino Linotype" w:eastAsia="Palatino Linotype" w:hAnsi="Palatino Linotype" w:cs="Palatino Linotype"/>
          <w:b/>
          <w:color w:val="000000"/>
        </w:rPr>
        <w:t>/INFOEM/IP/RR/2025</w:t>
      </w:r>
      <w:r w:rsidR="00C72A3B" w:rsidRPr="00444D67">
        <w:rPr>
          <w:rFonts w:ascii="Palatino Linotype" w:eastAsia="Palatino Linotype" w:hAnsi="Palatino Linotype" w:cs="Palatino Linotype"/>
          <w:b/>
          <w:color w:val="000000"/>
        </w:rPr>
        <w:t xml:space="preserve">, </w:t>
      </w:r>
      <w:r w:rsidR="00C72A3B" w:rsidRPr="00444D67">
        <w:rPr>
          <w:rFonts w:ascii="Palatino Linotype" w:eastAsia="Palatino Linotype" w:hAnsi="Palatino Linotype" w:cs="Palatino Linotype"/>
          <w:color w:val="000000"/>
        </w:rPr>
        <w:t>en contra de la respuesta emitida</w:t>
      </w:r>
      <w:r w:rsidRPr="00444D67">
        <w:rPr>
          <w:rFonts w:ascii="Palatino Linotype" w:eastAsia="Palatino Linotype" w:hAnsi="Palatino Linotype" w:cs="Palatino Linotype"/>
          <w:color w:val="000000"/>
        </w:rPr>
        <w:t xml:space="preserve"> por el sujeto obligado, realizando las siguientes manifestaciones como acto impugnado y razones o motivos de inconformidad:</w:t>
      </w:r>
    </w:p>
    <w:p w:rsidR="008721B7" w:rsidRPr="00444D67" w:rsidRDefault="008721B7" w:rsidP="005476ED">
      <w:pPr>
        <w:pBdr>
          <w:top w:val="nil"/>
          <w:left w:val="nil"/>
          <w:bottom w:val="nil"/>
          <w:right w:val="nil"/>
          <w:between w:val="nil"/>
        </w:pBdr>
        <w:tabs>
          <w:tab w:val="left" w:pos="0"/>
        </w:tabs>
        <w:ind w:right="-788"/>
        <w:jc w:val="both"/>
        <w:rPr>
          <w:rFonts w:ascii="Palatino Linotype" w:eastAsia="Palatino Linotype" w:hAnsi="Palatino Linotype" w:cs="Palatino Linotype"/>
          <w:color w:val="000000"/>
        </w:rPr>
      </w:pPr>
    </w:p>
    <w:p w:rsidR="00772239" w:rsidRPr="00444D67" w:rsidRDefault="00A077F4" w:rsidP="0050161B">
      <w:pPr>
        <w:pBdr>
          <w:top w:val="nil"/>
          <w:left w:val="nil"/>
          <w:bottom w:val="nil"/>
          <w:right w:val="nil"/>
          <w:between w:val="nil"/>
        </w:pBdr>
        <w:ind w:left="567" w:right="-787"/>
        <w:jc w:val="both"/>
        <w:rPr>
          <w:rFonts w:ascii="Palatino Linotype" w:eastAsia="Palatino Linotype" w:hAnsi="Palatino Linotype" w:cs="Palatino Linotype"/>
          <w:i/>
          <w:color w:val="000000"/>
          <w:sz w:val="22"/>
          <w:szCs w:val="22"/>
        </w:rPr>
      </w:pPr>
      <w:bookmarkStart w:id="2" w:name="_heading=h.30j0zll" w:colFirst="0" w:colLast="0"/>
      <w:bookmarkEnd w:id="2"/>
      <w:r w:rsidRPr="00444D67">
        <w:rPr>
          <w:rFonts w:ascii="Palatino Linotype" w:eastAsia="Palatino Linotype" w:hAnsi="Palatino Linotype" w:cs="Palatino Linotype"/>
          <w:b/>
          <w:color w:val="000000"/>
          <w:sz w:val="22"/>
          <w:szCs w:val="22"/>
        </w:rPr>
        <w:t>Acto impugnado</w:t>
      </w:r>
      <w:r w:rsidR="00772239" w:rsidRPr="00444D67">
        <w:rPr>
          <w:rFonts w:ascii="Palatino Linotype" w:eastAsia="Palatino Linotype" w:hAnsi="Palatino Linotype" w:cs="Palatino Linotype"/>
          <w:b/>
          <w:color w:val="000000"/>
          <w:sz w:val="22"/>
          <w:szCs w:val="22"/>
        </w:rPr>
        <w:t xml:space="preserve">: </w:t>
      </w:r>
      <w:r w:rsidR="00772239" w:rsidRPr="00444D67">
        <w:rPr>
          <w:rFonts w:ascii="Palatino Linotype" w:eastAsia="Palatino Linotype" w:hAnsi="Palatino Linotype" w:cs="Palatino Linotype"/>
          <w:i/>
          <w:color w:val="000000"/>
          <w:sz w:val="22"/>
          <w:szCs w:val="22"/>
        </w:rPr>
        <w:t>“</w:t>
      </w:r>
      <w:r w:rsidR="00157D84" w:rsidRPr="00157D84">
        <w:rPr>
          <w:rFonts w:ascii="Palatino Linotype" w:eastAsia="Palatino Linotype" w:hAnsi="Palatino Linotype" w:cs="Palatino Linotype"/>
          <w:i/>
          <w:color w:val="000000"/>
          <w:sz w:val="22"/>
          <w:szCs w:val="22"/>
        </w:rPr>
        <w:t>No entrega la información solicita son opacos</w:t>
      </w:r>
      <w:r w:rsidR="00772239" w:rsidRPr="00444D67">
        <w:rPr>
          <w:rFonts w:ascii="Palatino Linotype" w:eastAsia="Palatino Linotype" w:hAnsi="Palatino Linotype" w:cs="Palatino Linotype"/>
          <w:i/>
          <w:color w:val="000000"/>
          <w:sz w:val="22"/>
          <w:szCs w:val="22"/>
        </w:rPr>
        <w:t>” (Sic)</w:t>
      </w:r>
      <w:bookmarkStart w:id="3" w:name="_heading=h.1fob9te" w:colFirst="0" w:colLast="0"/>
      <w:bookmarkEnd w:id="3"/>
    </w:p>
    <w:p w:rsidR="00772239" w:rsidRPr="00444D67" w:rsidRDefault="00772239" w:rsidP="0050161B">
      <w:pPr>
        <w:pBdr>
          <w:top w:val="nil"/>
          <w:left w:val="nil"/>
          <w:bottom w:val="nil"/>
          <w:right w:val="nil"/>
          <w:between w:val="nil"/>
        </w:pBdr>
        <w:ind w:left="567" w:right="-787"/>
        <w:jc w:val="both"/>
        <w:rPr>
          <w:rFonts w:ascii="Palatino Linotype" w:eastAsia="Palatino Linotype" w:hAnsi="Palatino Linotype" w:cs="Palatino Linotype"/>
          <w:b/>
          <w:color w:val="000000"/>
          <w:sz w:val="22"/>
          <w:szCs w:val="22"/>
        </w:rPr>
      </w:pPr>
    </w:p>
    <w:p w:rsidR="00772239" w:rsidRPr="007A4327" w:rsidRDefault="007A4327" w:rsidP="0050161B">
      <w:pPr>
        <w:pBdr>
          <w:top w:val="nil"/>
          <w:left w:val="nil"/>
          <w:bottom w:val="nil"/>
          <w:right w:val="nil"/>
          <w:between w:val="nil"/>
        </w:pBdr>
        <w:ind w:left="567" w:right="-787"/>
        <w:jc w:val="both"/>
        <w:rPr>
          <w:rFonts w:ascii="Palatino Linotype" w:eastAsia="Palatino Linotype" w:hAnsi="Palatino Linotype" w:cs="Palatino Linotype"/>
          <w:i/>
          <w:color w:val="000000"/>
          <w:sz w:val="22"/>
          <w:szCs w:val="22"/>
        </w:rPr>
      </w:pPr>
      <w:r w:rsidRPr="00444D67">
        <w:rPr>
          <w:rFonts w:ascii="Palatino Linotype" w:eastAsia="Palatino Linotype" w:hAnsi="Palatino Linotype" w:cs="Palatino Linotype"/>
          <w:b/>
          <w:color w:val="000000"/>
          <w:sz w:val="22"/>
          <w:szCs w:val="22"/>
        </w:rPr>
        <w:t xml:space="preserve">Razones o Motivos de </w:t>
      </w:r>
      <w:r w:rsidR="00386CEB" w:rsidRPr="00444D67">
        <w:rPr>
          <w:rFonts w:ascii="Palatino Linotype" w:eastAsia="Palatino Linotype" w:hAnsi="Palatino Linotype" w:cs="Palatino Linotype"/>
          <w:b/>
          <w:color w:val="000000"/>
          <w:sz w:val="22"/>
          <w:szCs w:val="22"/>
        </w:rPr>
        <w:t>inconformidad:</w:t>
      </w:r>
      <w:r w:rsidR="00A077F4" w:rsidRPr="00444D67">
        <w:rPr>
          <w:rFonts w:ascii="Palatino Linotype" w:eastAsia="Palatino Linotype" w:hAnsi="Palatino Linotype" w:cs="Palatino Linotype"/>
          <w:b/>
          <w:color w:val="000000"/>
          <w:sz w:val="22"/>
          <w:szCs w:val="22"/>
        </w:rPr>
        <w:t xml:space="preserve"> </w:t>
      </w:r>
      <w:r w:rsidR="00772239" w:rsidRPr="00444D67">
        <w:rPr>
          <w:rFonts w:ascii="Palatino Linotype" w:eastAsia="Palatino Linotype" w:hAnsi="Palatino Linotype" w:cs="Palatino Linotype"/>
          <w:i/>
          <w:color w:val="000000"/>
          <w:sz w:val="22"/>
          <w:szCs w:val="22"/>
        </w:rPr>
        <w:t>“</w:t>
      </w:r>
      <w:r w:rsidR="00157D84" w:rsidRPr="00157D84">
        <w:rPr>
          <w:rFonts w:ascii="Palatino Linotype" w:eastAsia="Palatino Linotype" w:hAnsi="Palatino Linotype" w:cs="Palatino Linotype"/>
          <w:i/>
          <w:color w:val="000000"/>
          <w:sz w:val="22"/>
          <w:szCs w:val="22"/>
        </w:rPr>
        <w:t>No entrega la información solicita son opacos</w:t>
      </w:r>
      <w:r w:rsidR="002A6586">
        <w:rPr>
          <w:rFonts w:ascii="Palatino Linotype" w:eastAsia="Palatino Linotype" w:hAnsi="Palatino Linotype" w:cs="Palatino Linotype"/>
          <w:i/>
          <w:color w:val="000000"/>
          <w:sz w:val="22"/>
          <w:szCs w:val="22"/>
        </w:rPr>
        <w:t>”</w:t>
      </w:r>
      <w:r w:rsidR="002A6586" w:rsidRPr="002A6586">
        <w:rPr>
          <w:rFonts w:ascii="Palatino Linotype" w:eastAsia="Palatino Linotype" w:hAnsi="Palatino Linotype" w:cs="Palatino Linotype"/>
          <w:i/>
          <w:color w:val="000000"/>
          <w:sz w:val="22"/>
          <w:szCs w:val="22"/>
        </w:rPr>
        <w:t xml:space="preserve"> </w:t>
      </w:r>
      <w:r w:rsidR="00772239" w:rsidRPr="00444D67">
        <w:rPr>
          <w:rFonts w:ascii="Palatino Linotype" w:eastAsia="Palatino Linotype" w:hAnsi="Palatino Linotype" w:cs="Palatino Linotype"/>
          <w:i/>
          <w:color w:val="000000"/>
          <w:sz w:val="22"/>
          <w:szCs w:val="22"/>
        </w:rPr>
        <w:t>(Sic)</w:t>
      </w:r>
    </w:p>
    <w:p w:rsidR="00386CEB" w:rsidRDefault="00541228" w:rsidP="00541228">
      <w:pPr>
        <w:pBdr>
          <w:top w:val="nil"/>
          <w:left w:val="nil"/>
          <w:bottom w:val="nil"/>
          <w:right w:val="nil"/>
          <w:between w:val="nil"/>
        </w:pBdr>
        <w:tabs>
          <w:tab w:val="left" w:pos="3416"/>
        </w:tabs>
        <w:ind w:right="-78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b/>
      </w:r>
    </w:p>
    <w:p w:rsidR="0072148B" w:rsidRDefault="0072148B" w:rsidP="00723384">
      <w:pPr>
        <w:pBdr>
          <w:top w:val="nil"/>
          <w:left w:val="nil"/>
          <w:bottom w:val="nil"/>
          <w:right w:val="nil"/>
          <w:between w:val="nil"/>
        </w:pBdr>
        <w:tabs>
          <w:tab w:val="left" w:pos="0"/>
        </w:tabs>
        <w:ind w:right="-788"/>
        <w:jc w:val="both"/>
        <w:rPr>
          <w:rFonts w:ascii="Palatino Linotype" w:eastAsia="Palatino Linotype" w:hAnsi="Palatino Linotype" w:cs="Palatino Linotype"/>
          <w:i/>
          <w:color w:val="000000"/>
          <w:u w:val="single"/>
        </w:rPr>
      </w:pPr>
    </w:p>
    <w:p w:rsidR="005845B2" w:rsidRDefault="005845B2" w:rsidP="005B1F22">
      <w:pPr>
        <w:numPr>
          <w:ilvl w:val="0"/>
          <w:numId w:val="2"/>
        </w:numPr>
        <w:pBdr>
          <w:top w:val="nil"/>
          <w:left w:val="nil"/>
          <w:bottom w:val="nil"/>
          <w:right w:val="nil"/>
          <w:between w:val="nil"/>
        </w:pBdr>
        <w:tabs>
          <w:tab w:val="left" w:pos="0"/>
        </w:tabs>
        <w:spacing w:line="360" w:lineRule="auto"/>
        <w:ind w:left="0" w:right="-787" w:firstLine="0"/>
        <w:jc w:val="both"/>
        <w:rPr>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color w:val="000000"/>
        </w:rPr>
        <w:t xml:space="preserve">acuerdo de admisión </w:t>
      </w:r>
      <w:r>
        <w:rPr>
          <w:rFonts w:ascii="Palatino Linotype" w:eastAsia="Palatino Linotype" w:hAnsi="Palatino Linotype" w:cs="Palatino Linotype"/>
          <w:color w:val="000000"/>
        </w:rPr>
        <w:t xml:space="preserve">de fecha </w:t>
      </w:r>
      <w:r w:rsidR="00157D84">
        <w:rPr>
          <w:rFonts w:ascii="Palatino Linotype" w:eastAsia="Palatino Linotype" w:hAnsi="Palatino Linotype" w:cs="Palatino Linotype"/>
          <w:b/>
          <w:color w:val="000000"/>
        </w:rPr>
        <w:t>dieciséis de octubre</w:t>
      </w:r>
      <w:r w:rsidR="00DC7B42">
        <w:rPr>
          <w:rFonts w:ascii="Palatino Linotype" w:eastAsia="Palatino Linotype" w:hAnsi="Palatino Linotype" w:cs="Palatino Linotype"/>
          <w:b/>
          <w:color w:val="000000"/>
        </w:rPr>
        <w:t xml:space="preserve"> de</w:t>
      </w:r>
      <w:r>
        <w:rPr>
          <w:rFonts w:ascii="Palatino Linotype" w:eastAsia="Palatino Linotype" w:hAnsi="Palatino Linotype" w:cs="Palatino Linotype"/>
          <w:b/>
          <w:color w:val="000000"/>
        </w:rPr>
        <w:t xml:space="preserve"> dos mil veinticinco,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rsidR="005845B2" w:rsidRDefault="005845B2" w:rsidP="005845B2">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5845B2" w:rsidRPr="00DB33A3" w:rsidRDefault="005845B2" w:rsidP="00DB33A3">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953DB1">
        <w:rPr>
          <w:rFonts w:ascii="Palatino Linotype" w:eastAsia="Palatino Linotype" w:hAnsi="Palatino Linotype" w:cs="Palatino Linotype"/>
          <w:color w:val="000000"/>
        </w:rPr>
        <w:t>El Recurrente</w:t>
      </w:r>
      <w:r w:rsidRPr="00953DB1">
        <w:rPr>
          <w:rFonts w:ascii="Palatino Linotype" w:eastAsia="Palatino Linotype" w:hAnsi="Palatino Linotype" w:cs="Palatino Linotype"/>
          <w:b/>
          <w:color w:val="000000"/>
        </w:rPr>
        <w:t xml:space="preserve"> </w:t>
      </w:r>
      <w:r w:rsidR="00DB33A3">
        <w:rPr>
          <w:rFonts w:ascii="Palatino Linotype" w:eastAsia="Palatino Linotype" w:hAnsi="Palatino Linotype" w:cs="Palatino Linotype"/>
          <w:color w:val="000000"/>
        </w:rPr>
        <w:t xml:space="preserve">dejó de realizar manifestaciones que a su derecho conviniera y asistiera. </w:t>
      </w:r>
      <w:r w:rsidR="009163DD" w:rsidRPr="00DB33A3">
        <w:rPr>
          <w:rFonts w:ascii="Palatino Linotype" w:eastAsia="Palatino Linotype" w:hAnsi="Palatino Linotype" w:cs="Palatino Linotype"/>
          <w:color w:val="000000"/>
        </w:rPr>
        <w:t xml:space="preserve">Por </w:t>
      </w:r>
      <w:r w:rsidR="00A8169A" w:rsidRPr="00DB33A3">
        <w:rPr>
          <w:rFonts w:ascii="Palatino Linotype" w:eastAsia="Palatino Linotype" w:hAnsi="Palatino Linotype" w:cs="Palatino Linotype"/>
          <w:color w:val="000000"/>
        </w:rPr>
        <w:t xml:space="preserve">su parte, el Sujeto Obligado </w:t>
      </w:r>
      <w:r w:rsidR="00D44757" w:rsidRPr="00DB33A3">
        <w:rPr>
          <w:rFonts w:ascii="Palatino Linotype" w:eastAsia="Palatino Linotype" w:hAnsi="Palatino Linotype" w:cs="Palatino Linotype"/>
          <w:color w:val="000000"/>
        </w:rPr>
        <w:t xml:space="preserve">en fecha </w:t>
      </w:r>
      <w:r w:rsidR="00157D84">
        <w:rPr>
          <w:rFonts w:ascii="Palatino Linotype" w:eastAsia="Palatino Linotype" w:hAnsi="Palatino Linotype" w:cs="Palatino Linotype"/>
          <w:b/>
          <w:color w:val="000000"/>
        </w:rPr>
        <w:t>veintisiete de octubre</w:t>
      </w:r>
      <w:r w:rsidR="006C7D10">
        <w:rPr>
          <w:rFonts w:ascii="Palatino Linotype" w:eastAsia="Palatino Linotype" w:hAnsi="Palatino Linotype" w:cs="Palatino Linotype"/>
          <w:b/>
          <w:color w:val="000000"/>
        </w:rPr>
        <w:t xml:space="preserve"> de dos mil veinticinco,</w:t>
      </w:r>
      <w:r w:rsidR="00D44757" w:rsidRPr="00DB33A3">
        <w:rPr>
          <w:b/>
        </w:rPr>
        <w:t xml:space="preserve"> </w:t>
      </w:r>
      <w:r w:rsidR="00A8169A" w:rsidRPr="00DB33A3">
        <w:rPr>
          <w:rFonts w:ascii="Palatino Linotype" w:eastAsia="Palatino Linotype" w:hAnsi="Palatino Linotype" w:cs="Palatino Linotype"/>
          <w:color w:val="000000"/>
        </w:rPr>
        <w:t xml:space="preserve">rindió el </w:t>
      </w:r>
      <w:r w:rsidR="00A8169A" w:rsidRPr="00DB33A3">
        <w:rPr>
          <w:rFonts w:ascii="Palatino Linotype" w:eastAsia="Palatino Linotype" w:hAnsi="Palatino Linotype" w:cs="Palatino Linotype"/>
          <w:b/>
          <w:color w:val="000000"/>
        </w:rPr>
        <w:t>Informe Justificado</w:t>
      </w:r>
      <w:r w:rsidR="00A8169A" w:rsidRPr="00DB33A3">
        <w:rPr>
          <w:rFonts w:ascii="Palatino Linotype" w:eastAsia="Palatino Linotype" w:hAnsi="Palatino Linotype" w:cs="Palatino Linotype"/>
          <w:color w:val="000000"/>
        </w:rPr>
        <w:t xml:space="preserve"> </w:t>
      </w:r>
      <w:r w:rsidR="00D44757" w:rsidRPr="00DB33A3">
        <w:rPr>
          <w:rFonts w:ascii="Palatino Linotype" w:eastAsia="Palatino Linotype" w:hAnsi="Palatino Linotype" w:cs="Palatino Linotype"/>
          <w:color w:val="000000"/>
        </w:rPr>
        <w:t xml:space="preserve">a través </w:t>
      </w:r>
      <w:r w:rsidR="006C7D10">
        <w:rPr>
          <w:rFonts w:ascii="Palatino Linotype" w:eastAsia="Palatino Linotype" w:hAnsi="Palatino Linotype" w:cs="Palatino Linotype"/>
          <w:color w:val="000000"/>
        </w:rPr>
        <w:t>de los</w:t>
      </w:r>
      <w:r w:rsidR="00D44757" w:rsidRPr="00DB33A3">
        <w:rPr>
          <w:rFonts w:ascii="Palatino Linotype" w:eastAsia="Palatino Linotype" w:hAnsi="Palatino Linotype" w:cs="Palatino Linotype"/>
          <w:color w:val="000000"/>
        </w:rPr>
        <w:t xml:space="preserve"> siguiente</w:t>
      </w:r>
      <w:r w:rsidR="006C7D10">
        <w:rPr>
          <w:rFonts w:ascii="Palatino Linotype" w:eastAsia="Palatino Linotype" w:hAnsi="Palatino Linotype" w:cs="Palatino Linotype"/>
          <w:color w:val="000000"/>
        </w:rPr>
        <w:t>s</w:t>
      </w:r>
      <w:r w:rsidR="00D44757" w:rsidRPr="00DB33A3">
        <w:rPr>
          <w:rFonts w:ascii="Palatino Linotype" w:eastAsia="Palatino Linotype" w:hAnsi="Palatino Linotype" w:cs="Palatino Linotype"/>
          <w:color w:val="000000"/>
        </w:rPr>
        <w:t xml:space="preserve"> archivo</w:t>
      </w:r>
      <w:r w:rsidR="006C7D10">
        <w:rPr>
          <w:rFonts w:ascii="Palatino Linotype" w:eastAsia="Palatino Linotype" w:hAnsi="Palatino Linotype" w:cs="Palatino Linotype"/>
          <w:color w:val="000000"/>
        </w:rPr>
        <w:t>s</w:t>
      </w:r>
      <w:r w:rsidR="00D44757" w:rsidRPr="00DB33A3">
        <w:rPr>
          <w:rFonts w:ascii="Palatino Linotype" w:eastAsia="Palatino Linotype" w:hAnsi="Palatino Linotype" w:cs="Palatino Linotype"/>
          <w:color w:val="000000"/>
        </w:rPr>
        <w:t xml:space="preserve"> electrónico</w:t>
      </w:r>
      <w:r w:rsidR="00157D84">
        <w:rPr>
          <w:rFonts w:ascii="Palatino Linotype" w:eastAsia="Palatino Linotype" w:hAnsi="Palatino Linotype" w:cs="Palatino Linotype"/>
          <w:color w:val="000000"/>
        </w:rPr>
        <w:t>s</w:t>
      </w:r>
      <w:r w:rsidR="006C7CBE" w:rsidRPr="00DB33A3">
        <w:rPr>
          <w:rFonts w:ascii="Palatino Linotype" w:eastAsia="Palatino Linotype" w:hAnsi="Palatino Linotype" w:cs="Palatino Linotype"/>
          <w:color w:val="000000"/>
        </w:rPr>
        <w:t>:</w:t>
      </w:r>
    </w:p>
    <w:p w:rsidR="00402929" w:rsidRDefault="00402929" w:rsidP="00775B31">
      <w:pPr>
        <w:pBdr>
          <w:top w:val="nil"/>
          <w:left w:val="nil"/>
          <w:bottom w:val="nil"/>
          <w:right w:val="nil"/>
          <w:between w:val="nil"/>
        </w:pBdr>
        <w:ind w:left="567" w:right="-788"/>
        <w:jc w:val="both"/>
        <w:rPr>
          <w:rFonts w:ascii="Palatino Linotype" w:eastAsia="Palatino Linotype" w:hAnsi="Palatino Linotype" w:cs="Palatino Linotype"/>
          <w:b/>
          <w:i/>
          <w:color w:val="000000"/>
        </w:rPr>
      </w:pPr>
    </w:p>
    <w:p w:rsidR="0061622B" w:rsidRDefault="0061622B" w:rsidP="006C7D10">
      <w:pPr>
        <w:pBdr>
          <w:top w:val="nil"/>
          <w:left w:val="nil"/>
          <w:bottom w:val="nil"/>
          <w:right w:val="nil"/>
          <w:between w:val="nil"/>
        </w:pBdr>
        <w:ind w:left="567" w:right="-787"/>
        <w:rPr>
          <w:rFonts w:ascii="Palatino Linotype" w:eastAsia="Palatino Linotype" w:hAnsi="Palatino Linotype" w:cs="Palatino Linotype"/>
          <w:b/>
          <w:i/>
          <w:color w:val="000000"/>
          <w:sz w:val="22"/>
          <w:szCs w:val="22"/>
        </w:rPr>
      </w:pPr>
      <w:r w:rsidRPr="0061622B">
        <w:rPr>
          <w:rFonts w:ascii="Palatino Linotype" w:eastAsia="Palatino Linotype" w:hAnsi="Palatino Linotype" w:cs="Palatino Linotype"/>
          <w:b/>
          <w:i/>
          <w:color w:val="000000"/>
          <w:sz w:val="22"/>
          <w:szCs w:val="22"/>
        </w:rPr>
        <w:t>ANEXOS 11773-2025.pdf</w:t>
      </w:r>
    </w:p>
    <w:p w:rsidR="0061622B" w:rsidRDefault="00EC56E9" w:rsidP="006C7D10">
      <w:pPr>
        <w:pBdr>
          <w:top w:val="nil"/>
          <w:left w:val="nil"/>
          <w:bottom w:val="nil"/>
          <w:right w:val="nil"/>
          <w:between w:val="nil"/>
        </w:pBdr>
        <w:ind w:left="567" w:right="-787"/>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r w:rsidR="00480C73">
        <w:rPr>
          <w:rFonts w:ascii="Palatino Linotype" w:eastAsia="Palatino Linotype" w:hAnsi="Palatino Linotype" w:cs="Palatino Linotype"/>
          <w:color w:val="000000"/>
          <w:sz w:val="22"/>
          <w:szCs w:val="22"/>
        </w:rPr>
        <w:t xml:space="preserve">Oficio </w:t>
      </w:r>
      <w:r w:rsidR="00480C73" w:rsidRPr="00480C73">
        <w:rPr>
          <w:rFonts w:ascii="Palatino Linotype" w:eastAsia="Palatino Linotype" w:hAnsi="Palatino Linotype" w:cs="Palatino Linotype"/>
          <w:color w:val="000000"/>
          <w:sz w:val="22"/>
          <w:szCs w:val="22"/>
        </w:rPr>
        <w:t>210010000/3003/2025</w:t>
      </w:r>
      <w:r w:rsidR="00480C73">
        <w:rPr>
          <w:rFonts w:ascii="Palatino Linotype" w:eastAsia="Palatino Linotype" w:hAnsi="Palatino Linotype" w:cs="Palatino Linotype"/>
          <w:color w:val="000000"/>
          <w:sz w:val="22"/>
          <w:szCs w:val="22"/>
        </w:rPr>
        <w:t xml:space="preserve"> de fecha 20 de octubre de 2025, firmado por el </w:t>
      </w:r>
      <w:r w:rsidR="00480C73" w:rsidRPr="00EC56E9">
        <w:rPr>
          <w:rFonts w:ascii="Palatino Linotype" w:eastAsia="Palatino Linotype" w:hAnsi="Palatino Linotype" w:cs="Palatino Linotype"/>
          <w:b/>
          <w:color w:val="000000"/>
          <w:sz w:val="22"/>
          <w:szCs w:val="22"/>
        </w:rPr>
        <w:t>Director General de Obras Públicas</w:t>
      </w:r>
      <w:r w:rsidR="00480C73">
        <w:rPr>
          <w:rFonts w:ascii="Palatino Linotype" w:eastAsia="Palatino Linotype" w:hAnsi="Palatino Linotype" w:cs="Palatino Linotype"/>
          <w:color w:val="000000"/>
          <w:sz w:val="22"/>
          <w:szCs w:val="22"/>
        </w:rPr>
        <w:t xml:space="preserve">, a través del cual </w:t>
      </w:r>
      <w:r w:rsidR="00480C73" w:rsidRPr="00EC56E9">
        <w:rPr>
          <w:rFonts w:ascii="Palatino Linotype" w:eastAsia="Palatino Linotype" w:hAnsi="Palatino Linotype" w:cs="Palatino Linotype"/>
          <w:b/>
          <w:color w:val="000000"/>
          <w:sz w:val="22"/>
          <w:szCs w:val="22"/>
        </w:rPr>
        <w:t>ratifica la respuesta</w:t>
      </w:r>
      <w:r w:rsidR="00480C73">
        <w:rPr>
          <w:rFonts w:ascii="Palatino Linotype" w:eastAsia="Palatino Linotype" w:hAnsi="Palatino Linotype" w:cs="Palatino Linotype"/>
          <w:color w:val="000000"/>
          <w:sz w:val="22"/>
          <w:szCs w:val="22"/>
        </w:rPr>
        <w:t xml:space="preserve"> primigenia.</w:t>
      </w:r>
    </w:p>
    <w:p w:rsidR="00EC56E9" w:rsidRDefault="00EC56E9" w:rsidP="006C7D10">
      <w:pPr>
        <w:pBdr>
          <w:top w:val="nil"/>
          <w:left w:val="nil"/>
          <w:bottom w:val="nil"/>
          <w:right w:val="nil"/>
          <w:between w:val="nil"/>
        </w:pBdr>
        <w:ind w:left="567" w:right="-787"/>
        <w:rPr>
          <w:rFonts w:ascii="Palatino Linotype" w:eastAsia="Palatino Linotype" w:hAnsi="Palatino Linotype" w:cs="Palatino Linotype"/>
          <w:color w:val="000000"/>
          <w:sz w:val="22"/>
          <w:szCs w:val="22"/>
        </w:rPr>
      </w:pPr>
    </w:p>
    <w:p w:rsidR="00EC56E9" w:rsidRPr="0061622B" w:rsidRDefault="00EC56E9" w:rsidP="007C1673">
      <w:pPr>
        <w:pBdr>
          <w:top w:val="nil"/>
          <w:left w:val="nil"/>
          <w:bottom w:val="nil"/>
          <w:right w:val="nil"/>
          <w:between w:val="nil"/>
        </w:pBdr>
        <w:ind w:left="567" w:right="-787"/>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Oficio: 202010000/3500/2025 de fecha 17 de octubre de 2025, </w:t>
      </w:r>
      <w:r w:rsidR="007C1673">
        <w:rPr>
          <w:rFonts w:ascii="Palatino Linotype" w:eastAsia="Palatino Linotype" w:hAnsi="Palatino Linotype" w:cs="Palatino Linotype"/>
          <w:color w:val="000000"/>
          <w:sz w:val="22"/>
          <w:szCs w:val="22"/>
        </w:rPr>
        <w:t xml:space="preserve">firmado por el Tesorero Municipal, a través del cual </w:t>
      </w:r>
      <w:r w:rsidR="007C1673" w:rsidRPr="00EC56E9">
        <w:rPr>
          <w:rFonts w:ascii="Palatino Linotype" w:eastAsia="Palatino Linotype" w:hAnsi="Palatino Linotype" w:cs="Palatino Linotype"/>
          <w:b/>
          <w:color w:val="000000"/>
          <w:sz w:val="22"/>
          <w:szCs w:val="22"/>
        </w:rPr>
        <w:t>ratifica la respuesta</w:t>
      </w:r>
      <w:r w:rsidR="007C1673">
        <w:rPr>
          <w:rFonts w:ascii="Palatino Linotype" w:eastAsia="Palatino Linotype" w:hAnsi="Palatino Linotype" w:cs="Palatino Linotype"/>
          <w:color w:val="000000"/>
          <w:sz w:val="22"/>
          <w:szCs w:val="22"/>
        </w:rPr>
        <w:t xml:space="preserve"> primigenia.</w:t>
      </w:r>
    </w:p>
    <w:p w:rsidR="0061622B" w:rsidRDefault="0061622B" w:rsidP="007C1673">
      <w:pPr>
        <w:pBdr>
          <w:top w:val="nil"/>
          <w:left w:val="nil"/>
          <w:bottom w:val="nil"/>
          <w:right w:val="nil"/>
          <w:between w:val="nil"/>
        </w:pBdr>
        <w:ind w:left="567" w:right="-787"/>
        <w:rPr>
          <w:rFonts w:ascii="Palatino Linotype" w:eastAsia="Palatino Linotype" w:hAnsi="Palatino Linotype" w:cs="Palatino Linotype"/>
          <w:b/>
          <w:i/>
          <w:color w:val="000000"/>
          <w:sz w:val="22"/>
          <w:szCs w:val="22"/>
        </w:rPr>
      </w:pPr>
    </w:p>
    <w:p w:rsidR="0061622B" w:rsidRDefault="0061622B" w:rsidP="007C1673">
      <w:pPr>
        <w:pBdr>
          <w:top w:val="nil"/>
          <w:left w:val="nil"/>
          <w:bottom w:val="nil"/>
          <w:right w:val="nil"/>
          <w:between w:val="nil"/>
        </w:pBdr>
        <w:ind w:left="567" w:right="-787"/>
        <w:rPr>
          <w:rFonts w:ascii="Palatino Linotype" w:eastAsia="Palatino Linotype" w:hAnsi="Palatino Linotype" w:cs="Palatino Linotype"/>
          <w:b/>
          <w:i/>
          <w:color w:val="000000"/>
          <w:sz w:val="22"/>
          <w:szCs w:val="22"/>
        </w:rPr>
      </w:pPr>
      <w:r w:rsidRPr="0061622B">
        <w:rPr>
          <w:rFonts w:ascii="Palatino Linotype" w:eastAsia="Palatino Linotype" w:hAnsi="Palatino Linotype" w:cs="Palatino Linotype"/>
          <w:b/>
          <w:i/>
          <w:color w:val="000000"/>
          <w:sz w:val="22"/>
          <w:szCs w:val="22"/>
        </w:rPr>
        <w:t>Ratificación 11773.pdf</w:t>
      </w:r>
    </w:p>
    <w:p w:rsidR="001C1A84" w:rsidRPr="001C1A84" w:rsidRDefault="001C1A84" w:rsidP="001C1A84">
      <w:pPr>
        <w:pBdr>
          <w:top w:val="nil"/>
          <w:left w:val="nil"/>
          <w:bottom w:val="nil"/>
          <w:right w:val="nil"/>
          <w:between w:val="nil"/>
        </w:pBdr>
        <w:ind w:left="567" w:right="-78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Escrito del Titular de la Unidad de Transparencia a través del cual ratifica</w:t>
      </w:r>
      <w:r w:rsidRPr="001C1A84">
        <w:rPr>
          <w:rFonts w:ascii="Palatino Linotype" w:eastAsia="Palatino Linotype" w:hAnsi="Palatino Linotype" w:cs="Palatino Linotype"/>
          <w:color w:val="000000"/>
          <w:sz w:val="22"/>
          <w:szCs w:val="22"/>
        </w:rPr>
        <w:t xml:space="preserve"> la respuesta emi</w:t>
      </w:r>
      <w:r>
        <w:rPr>
          <w:rFonts w:ascii="Palatino Linotype" w:eastAsia="Palatino Linotype" w:hAnsi="Palatino Linotype" w:cs="Palatino Linotype"/>
          <w:color w:val="000000"/>
          <w:sz w:val="22"/>
          <w:szCs w:val="22"/>
        </w:rPr>
        <w:t>tida por la TESORERÍA MUNICIPAL y</w:t>
      </w:r>
      <w:r w:rsidRPr="001C1A84">
        <w:rPr>
          <w:rFonts w:ascii="Palatino Linotype" w:eastAsia="Palatino Linotype" w:hAnsi="Palatino Linotype" w:cs="Palatino Linotype"/>
          <w:color w:val="000000"/>
          <w:sz w:val="22"/>
          <w:szCs w:val="22"/>
        </w:rPr>
        <w:t xml:space="preserve"> DIRE</w:t>
      </w:r>
      <w:r>
        <w:rPr>
          <w:rFonts w:ascii="Palatino Linotype" w:eastAsia="Palatino Linotype" w:hAnsi="Palatino Linotype" w:cs="Palatino Linotype"/>
          <w:color w:val="000000"/>
          <w:sz w:val="22"/>
          <w:szCs w:val="22"/>
        </w:rPr>
        <w:t>CCIÓN GENERAL DE OBRAS PÚBLICAS.</w:t>
      </w:r>
    </w:p>
    <w:p w:rsidR="006C7D10" w:rsidRPr="006C7D10" w:rsidRDefault="006C7D10" w:rsidP="007C1673">
      <w:pPr>
        <w:pBdr>
          <w:top w:val="nil"/>
          <w:left w:val="nil"/>
          <w:bottom w:val="nil"/>
          <w:right w:val="nil"/>
          <w:between w:val="nil"/>
        </w:pBdr>
        <w:ind w:left="567" w:right="-787"/>
        <w:jc w:val="both"/>
        <w:rPr>
          <w:rFonts w:ascii="Palatino Linotype" w:eastAsia="Palatino Linotype" w:hAnsi="Palatino Linotype" w:cs="Palatino Linotype"/>
          <w:b/>
          <w:i/>
          <w:color w:val="000000"/>
          <w:sz w:val="22"/>
          <w:szCs w:val="22"/>
        </w:rPr>
      </w:pPr>
    </w:p>
    <w:p w:rsidR="00F25AAF" w:rsidRPr="009163DD" w:rsidRDefault="00F25AAF" w:rsidP="007C1673">
      <w:pPr>
        <w:pBdr>
          <w:top w:val="nil"/>
          <w:left w:val="nil"/>
          <w:bottom w:val="nil"/>
          <w:right w:val="nil"/>
          <w:between w:val="nil"/>
        </w:pBdr>
        <w:ind w:left="567" w:right="-787"/>
        <w:jc w:val="both"/>
        <w:rPr>
          <w:color w:val="000000"/>
        </w:rPr>
      </w:pPr>
    </w:p>
    <w:p w:rsidR="005845B2" w:rsidRPr="004F4E78" w:rsidRDefault="00E32EAC" w:rsidP="00294CA4">
      <w:pPr>
        <w:numPr>
          <w:ilvl w:val="0"/>
          <w:numId w:val="2"/>
        </w:numPr>
        <w:pBdr>
          <w:top w:val="nil"/>
          <w:left w:val="nil"/>
          <w:bottom w:val="nil"/>
          <w:right w:val="nil"/>
          <w:between w:val="nil"/>
        </w:pBdr>
        <w:tabs>
          <w:tab w:val="left" w:pos="0"/>
        </w:tabs>
        <w:spacing w:line="360" w:lineRule="auto"/>
        <w:ind w:left="0" w:right="-787"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332FEF">
        <w:rPr>
          <w:rFonts w:ascii="Palatino Linotype" w:eastAsia="Palatino Linotype" w:hAnsi="Palatino Linotype" w:cs="Palatino Linotype"/>
          <w:b/>
          <w:color w:val="000000"/>
        </w:rPr>
        <w:t>uno de diciembre</w:t>
      </w:r>
      <w:r w:rsidR="00A312B9">
        <w:rPr>
          <w:rFonts w:ascii="Palatino Linotype" w:eastAsia="Palatino Linotype" w:hAnsi="Palatino Linotype" w:cs="Palatino Linotype"/>
          <w:b/>
          <w:color w:val="000000"/>
        </w:rPr>
        <w:t xml:space="preserve"> </w:t>
      </w:r>
      <w:r w:rsidR="005845B2">
        <w:rPr>
          <w:rFonts w:ascii="Palatino Linotype" w:eastAsia="Palatino Linotype" w:hAnsi="Palatino Linotype" w:cs="Palatino Linotype"/>
          <w:b/>
          <w:color w:val="000000"/>
        </w:rPr>
        <w:t>de dos mil veinticinco</w:t>
      </w:r>
      <w:r w:rsidR="005845B2">
        <w:rPr>
          <w:rFonts w:ascii="Palatino Linotype" w:eastAsia="Palatino Linotype" w:hAnsi="Palatino Linotype" w:cs="Palatino Linotype"/>
          <w:color w:val="000000"/>
        </w:rPr>
        <w:t xml:space="preserve"> se acordó </w:t>
      </w:r>
      <w:r w:rsidR="005845B2">
        <w:rPr>
          <w:rFonts w:ascii="Palatino Linotype" w:eastAsia="Palatino Linotype" w:hAnsi="Palatino Linotype" w:cs="Palatino Linotype"/>
          <w:b/>
          <w:color w:val="000000"/>
        </w:rPr>
        <w:t>ampliar el término para resolver</w:t>
      </w:r>
      <w:r w:rsidR="005845B2">
        <w:rPr>
          <w:rFonts w:ascii="Palatino Linotype" w:eastAsia="Palatino Linotype" w:hAnsi="Palatino Linotype" w:cs="Palatino Linotype"/>
          <w:color w:val="000000"/>
        </w:rPr>
        <w:t xml:space="preserve"> el presente asunto.</w:t>
      </w:r>
    </w:p>
    <w:p w:rsidR="004F4E78" w:rsidRPr="004F4E78" w:rsidRDefault="004F4E78" w:rsidP="004F4E78">
      <w:pPr>
        <w:pBdr>
          <w:top w:val="nil"/>
          <w:left w:val="nil"/>
          <w:bottom w:val="nil"/>
          <w:right w:val="nil"/>
          <w:between w:val="nil"/>
        </w:pBdr>
        <w:tabs>
          <w:tab w:val="left" w:pos="0"/>
        </w:tabs>
        <w:spacing w:line="360" w:lineRule="auto"/>
        <w:ind w:right="-787"/>
        <w:jc w:val="both"/>
        <w:rPr>
          <w:color w:val="000000"/>
        </w:rPr>
      </w:pPr>
    </w:p>
    <w:p w:rsidR="004F4E78" w:rsidRPr="004F4E78" w:rsidRDefault="004F4E78" w:rsidP="004F4E7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diecinueve de marzo de dos mil veintiséis</w:t>
      </w:r>
      <w:r>
        <w:rPr>
          <w:rFonts w:ascii="Palatino Linotype" w:eastAsia="Palatino Linotype" w:hAnsi="Palatino Linotype" w:cs="Palatino Linotype"/>
          <w:color w:val="000000"/>
        </w:rPr>
        <w:t xml:space="preserve">, se realizó un </w:t>
      </w:r>
      <w:r w:rsidRPr="00FC239B">
        <w:rPr>
          <w:rFonts w:ascii="Palatino Linotype" w:eastAsia="Palatino Linotype" w:hAnsi="Palatino Linotype" w:cs="Palatino Linotype"/>
          <w:b/>
          <w:color w:val="000000"/>
        </w:rPr>
        <w:t>requerimiento de información</w:t>
      </w:r>
      <w:r>
        <w:rPr>
          <w:rFonts w:ascii="Palatino Linotype" w:eastAsia="Palatino Linotype" w:hAnsi="Palatino Linotype" w:cs="Palatino Linotype"/>
          <w:color w:val="000000"/>
        </w:rPr>
        <w:t xml:space="preserve"> al Sujeto Obligado </w:t>
      </w:r>
      <w:r w:rsidRPr="00FC239B">
        <w:rPr>
          <w:rFonts w:ascii="Palatino Linotype" w:eastAsia="Palatino Linotype" w:hAnsi="Palatino Linotype" w:cs="Palatino Linotype"/>
          <w:color w:val="000000"/>
        </w:rPr>
        <w:t xml:space="preserve">con la finalidad de allegarse de mayores elementos para poder validar el cambio de modalidad de entrega de información dentro del </w:t>
      </w:r>
      <w:r>
        <w:rPr>
          <w:rFonts w:ascii="Palatino Linotype" w:eastAsia="Palatino Linotype" w:hAnsi="Palatino Linotype" w:cs="Palatino Linotype"/>
          <w:color w:val="000000"/>
        </w:rPr>
        <w:t>presente recurso, proporcionando un plazo de tres días hábiles para la atención del mismo.</w:t>
      </w:r>
    </w:p>
    <w:p w:rsidR="004F4E78" w:rsidRPr="00FB5893" w:rsidRDefault="004F4E78" w:rsidP="004F4E78">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color w:val="000000"/>
        </w:rPr>
      </w:pPr>
    </w:p>
    <w:p w:rsidR="004F4E78" w:rsidRPr="004F4E78" w:rsidRDefault="004F4E78" w:rsidP="004F4E7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veinticuatro de marzo de dos mil veintiséis</w:t>
      </w:r>
      <w:r>
        <w:rPr>
          <w:rFonts w:ascii="Palatino Linotype" w:eastAsia="Palatino Linotype" w:hAnsi="Palatino Linotype" w:cs="Palatino Linotype"/>
          <w:color w:val="000000"/>
        </w:rPr>
        <w:t xml:space="preserve">, el Sujeto Obligado </w:t>
      </w:r>
      <w:r w:rsidRPr="004F4E78">
        <w:rPr>
          <w:rFonts w:ascii="Palatino Linotype" w:eastAsia="Palatino Linotype" w:hAnsi="Palatino Linotype" w:cs="Palatino Linotype"/>
          <w:b/>
          <w:color w:val="000000"/>
        </w:rPr>
        <w:t>atendió el requerimiento de información</w:t>
      </w:r>
      <w:r>
        <w:rPr>
          <w:rFonts w:ascii="Palatino Linotype" w:eastAsia="Palatino Linotype" w:hAnsi="Palatino Linotype" w:cs="Palatino Linotype"/>
          <w:color w:val="000000"/>
        </w:rPr>
        <w:t>, remitiendo diversas documentales concerniente al presente medio de impugnación.</w:t>
      </w:r>
    </w:p>
    <w:p w:rsidR="005845B2" w:rsidRDefault="005845B2" w:rsidP="00294CA4">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5845B2" w:rsidRPr="00D14CC7" w:rsidRDefault="005845B2" w:rsidP="005B1F2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Pr>
          <w:rFonts w:ascii="Palatino Linotype" w:eastAsia="Palatino Linotype" w:hAnsi="Palatino Linotype" w:cs="Palatino Linotype"/>
          <w:color w:val="000000"/>
        </w:rPr>
        <w:t xml:space="preserve">Seguidamente, en fecha </w:t>
      </w:r>
      <w:r w:rsidR="005B1172" w:rsidRPr="005B1172">
        <w:rPr>
          <w:rFonts w:ascii="Palatino Linotype" w:eastAsia="Palatino Linotype" w:hAnsi="Palatino Linotype" w:cs="Palatino Linotype"/>
          <w:b/>
          <w:color w:val="000000"/>
        </w:rPr>
        <w:t>veinticinco</w:t>
      </w:r>
      <w:r w:rsidR="00332FEF" w:rsidRPr="005B1172">
        <w:rPr>
          <w:rFonts w:ascii="Palatino Linotype" w:eastAsia="Palatino Linotype" w:hAnsi="Palatino Linotype" w:cs="Palatino Linotype"/>
          <w:b/>
          <w:color w:val="000000"/>
        </w:rPr>
        <w:t xml:space="preserve"> de marzo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r w:rsidR="001D7E2A">
        <w:rPr>
          <w:rFonts w:ascii="Palatino Linotype" w:eastAsia="Palatino Linotype" w:hAnsi="Palatino Linotype" w:cs="Palatino Linotype"/>
          <w:color w:val="000000"/>
        </w:rPr>
        <w:t>:</w:t>
      </w:r>
      <w:r w:rsidR="00D14CC7">
        <w:rPr>
          <w:rFonts w:ascii="Palatino Linotype" w:eastAsia="Palatino Linotype" w:hAnsi="Palatino Linotype" w:cs="Palatino Linotype"/>
          <w:color w:val="000000"/>
        </w:rPr>
        <w:t xml:space="preserve"> ---------------------------------------------------------------------------------------------------</w:t>
      </w:r>
    </w:p>
    <w:p w:rsidR="00D14CC7" w:rsidRDefault="00D14CC7" w:rsidP="00D14CC7">
      <w:pPr>
        <w:pStyle w:val="Prrafodelista"/>
        <w:rPr>
          <w:rFonts w:ascii="Palatino Linotype" w:eastAsia="Palatino Linotype" w:hAnsi="Palatino Linotype" w:cs="Palatino Linotype"/>
          <w:b/>
          <w:color w:val="000000"/>
        </w:rPr>
      </w:pPr>
    </w:p>
    <w:p w:rsidR="00D14CC7" w:rsidRDefault="00D14CC7" w:rsidP="00D14CC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color w:val="000000"/>
        </w:rPr>
      </w:pPr>
    </w:p>
    <w:p w:rsidR="00D14CC7" w:rsidRDefault="00D14CC7" w:rsidP="00D14CC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color w:val="000000"/>
        </w:rPr>
      </w:pPr>
    </w:p>
    <w:p w:rsidR="00D14CC7" w:rsidRDefault="00D14CC7" w:rsidP="00D14CC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color w:val="000000"/>
        </w:rPr>
      </w:pPr>
    </w:p>
    <w:p w:rsidR="0072148B" w:rsidRDefault="0072148B" w:rsidP="00723384">
      <w:pPr>
        <w:pBdr>
          <w:top w:val="nil"/>
          <w:left w:val="nil"/>
          <w:bottom w:val="nil"/>
          <w:right w:val="nil"/>
          <w:between w:val="nil"/>
        </w:pBdr>
        <w:ind w:right="-788"/>
        <w:jc w:val="both"/>
        <w:rPr>
          <w:rFonts w:ascii="Palatino Linotype" w:eastAsia="Palatino Linotype" w:hAnsi="Palatino Linotype" w:cs="Palatino Linotype"/>
          <w:b/>
          <w:color w:val="000000"/>
        </w:rPr>
      </w:pPr>
    </w:p>
    <w:p w:rsidR="001D7E2A" w:rsidRPr="00EC0FE5" w:rsidRDefault="001D7E2A" w:rsidP="001D7E2A">
      <w:pPr>
        <w:keepNext/>
        <w:keepLines/>
        <w:spacing w:line="360" w:lineRule="auto"/>
        <w:jc w:val="center"/>
        <w:rPr>
          <w:rFonts w:ascii="Palatino Linotype" w:eastAsia="Palatino Linotype" w:hAnsi="Palatino Linotype" w:cs="Palatino Linotype"/>
          <w:b/>
        </w:rPr>
      </w:pPr>
      <w:r w:rsidRPr="00EC0FE5">
        <w:rPr>
          <w:rFonts w:ascii="Palatino Linotype" w:eastAsia="Palatino Linotype" w:hAnsi="Palatino Linotype" w:cs="Palatino Linotype"/>
          <w:b/>
        </w:rPr>
        <w:t>C</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O</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N</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S</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I</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D</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E</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R</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A</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N</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D</w:t>
      </w:r>
      <w:r w:rsidR="00D14CC7">
        <w:rPr>
          <w:rFonts w:ascii="Palatino Linotype" w:eastAsia="Palatino Linotype" w:hAnsi="Palatino Linotype" w:cs="Palatino Linotype"/>
          <w:b/>
        </w:rPr>
        <w:t xml:space="preserve"> </w:t>
      </w:r>
      <w:r w:rsidRPr="00EC0FE5">
        <w:rPr>
          <w:rFonts w:ascii="Palatino Linotype" w:eastAsia="Palatino Linotype" w:hAnsi="Palatino Linotype" w:cs="Palatino Linotype"/>
          <w:b/>
        </w:rPr>
        <w:t xml:space="preserve">O </w:t>
      </w:r>
    </w:p>
    <w:p w:rsidR="001D7E2A" w:rsidRPr="00EC0FE5" w:rsidRDefault="001D7E2A" w:rsidP="001D7E2A">
      <w:pPr>
        <w:spacing w:line="360" w:lineRule="auto"/>
        <w:rPr>
          <w:rFonts w:ascii="Palatino Linotype" w:eastAsia="Palatino Linotype" w:hAnsi="Palatino Linotype" w:cs="Palatino Linotype"/>
        </w:rPr>
      </w:pPr>
    </w:p>
    <w:p w:rsidR="001D7E2A" w:rsidRPr="001D7E2A" w:rsidRDefault="001D7E2A" w:rsidP="001D7E2A">
      <w:pPr>
        <w:keepNext/>
        <w:keepLines/>
        <w:spacing w:line="360" w:lineRule="auto"/>
        <w:rPr>
          <w:rFonts w:ascii="Palatino Linotype" w:eastAsia="Palatino Linotype" w:hAnsi="Palatino Linotype" w:cs="Palatino Linotype"/>
          <w:b/>
        </w:rPr>
      </w:pPr>
      <w:r w:rsidRPr="00EC0FE5">
        <w:rPr>
          <w:rFonts w:ascii="Palatino Linotype" w:eastAsia="Palatino Linotype" w:hAnsi="Palatino Linotype" w:cs="Palatino Linotype"/>
          <w:b/>
        </w:rPr>
        <w:t>PRIMERO. De la competencia</w:t>
      </w:r>
    </w:p>
    <w:p w:rsidR="00055543" w:rsidRPr="008B7EF7" w:rsidRDefault="00055543" w:rsidP="00055543">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8B7EF7">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1D7E2A" w:rsidRPr="00EC0FE5" w:rsidRDefault="001D7E2A" w:rsidP="001D7E2A">
      <w:pPr>
        <w:tabs>
          <w:tab w:val="left" w:pos="426"/>
        </w:tabs>
        <w:spacing w:line="360" w:lineRule="auto"/>
        <w:jc w:val="both"/>
        <w:rPr>
          <w:rFonts w:ascii="Palatino Linotype" w:eastAsia="Palatino Linotype" w:hAnsi="Palatino Linotype" w:cs="Palatino Linotype"/>
          <w:color w:val="000000"/>
        </w:rPr>
      </w:pPr>
    </w:p>
    <w:p w:rsidR="001D7E2A" w:rsidRPr="001D7E2A" w:rsidRDefault="001D7E2A" w:rsidP="001D7E2A">
      <w:pPr>
        <w:keepNext/>
        <w:keepLines/>
        <w:spacing w:line="360" w:lineRule="auto"/>
        <w:rPr>
          <w:rFonts w:ascii="Palatino Linotype" w:eastAsia="Palatino Linotype" w:hAnsi="Palatino Linotype" w:cs="Palatino Linotype"/>
          <w:b/>
        </w:rPr>
      </w:pPr>
      <w:r w:rsidRPr="00EC0FE5">
        <w:rPr>
          <w:rFonts w:ascii="Palatino Linotype" w:eastAsia="Palatino Linotype" w:hAnsi="Palatino Linotype" w:cs="Palatino Linotype"/>
          <w:b/>
        </w:rPr>
        <w:t>SEGUNDO. De la oportunidad y procedencia.</w:t>
      </w:r>
    </w:p>
    <w:p w:rsidR="00D556B5" w:rsidRDefault="00AC35DC" w:rsidP="00D556B5">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w:t>
      </w:r>
      <w:r w:rsidR="008B7EF7">
        <w:rPr>
          <w:rFonts w:ascii="Palatino Linotype" w:eastAsia="Palatino Linotype" w:hAnsi="Palatino Linotype" w:cs="Palatino Linotype"/>
          <w:b/>
        </w:rPr>
        <w:t>seis de octubre</w:t>
      </w:r>
      <w:r>
        <w:rPr>
          <w:rFonts w:ascii="Palatino Linotype" w:eastAsia="Palatino Linotype" w:hAnsi="Palatino Linotype" w:cs="Palatino Linotype"/>
          <w:b/>
        </w:rPr>
        <w:t xml:space="preserve"> dos mil veinticinco</w:t>
      </w:r>
      <w:r>
        <w:rPr>
          <w:rFonts w:ascii="Palatino Linotype" w:eastAsia="Palatino Linotype" w:hAnsi="Palatino Linotype" w:cs="Palatino Linotype"/>
        </w:rPr>
        <w:t xml:space="preserve">, de tal forma que el plazo para interponer el recurso transcurrió del </w:t>
      </w:r>
      <w:r w:rsidR="008B7EF7">
        <w:rPr>
          <w:rFonts w:ascii="Palatino Linotype" w:eastAsia="Palatino Linotype" w:hAnsi="Palatino Linotype" w:cs="Palatino Linotype"/>
          <w:b/>
        </w:rPr>
        <w:t>siete al veintisiete de octubre</w:t>
      </w:r>
      <w:r>
        <w:rPr>
          <w:rFonts w:ascii="Palatino Linotype" w:eastAsia="Palatino Linotype" w:hAnsi="Palatino Linotype" w:cs="Palatino Linotype"/>
          <w:b/>
        </w:rPr>
        <w:t xml:space="preserve"> de dos mil veinticinco,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rPr>
        <w:t>PARTICULAR</w:t>
      </w:r>
      <w:r>
        <w:rPr>
          <w:rFonts w:ascii="Palatino Linotype" w:eastAsia="Palatino Linotype" w:hAnsi="Palatino Linotype" w:cs="Palatino Linotype"/>
        </w:rPr>
        <w:t xml:space="preserve"> presentó su inconformidad el </w:t>
      </w:r>
      <w:r w:rsidR="008B7EF7">
        <w:rPr>
          <w:rFonts w:ascii="Palatino Linotype" w:eastAsia="Palatino Linotype" w:hAnsi="Palatino Linotype" w:cs="Palatino Linotype"/>
          <w:b/>
        </w:rPr>
        <w:t>trece de octubre</w:t>
      </w:r>
      <w:r>
        <w:rPr>
          <w:rFonts w:ascii="Palatino Linotype" w:eastAsia="Palatino Linotype" w:hAnsi="Palatino Linotype" w:cs="Palatino Linotype"/>
          <w:b/>
        </w:rPr>
        <w:t xml:space="preserve"> de dos mil veinticinco</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1D7E2A" w:rsidRPr="00EC0FE5" w:rsidRDefault="001D7E2A" w:rsidP="001D7E2A">
      <w:pPr>
        <w:spacing w:line="360" w:lineRule="auto"/>
        <w:ind w:right="49"/>
        <w:jc w:val="both"/>
        <w:rPr>
          <w:rFonts w:ascii="Palatino Linotype" w:eastAsia="Palatino Linotype" w:hAnsi="Palatino Linotype" w:cs="Palatino Linotype"/>
        </w:rPr>
      </w:pPr>
    </w:p>
    <w:p w:rsidR="001D7E2A" w:rsidRDefault="001D7E2A" w:rsidP="001D7E2A">
      <w:pPr>
        <w:pStyle w:val="Ttulo2"/>
        <w:rPr>
          <w:rFonts w:ascii="Palatino Linotype" w:eastAsia="Palatino Linotype" w:hAnsi="Palatino Linotype" w:cs="Palatino Linotype"/>
          <w:b/>
          <w:i/>
          <w:color w:val="000000"/>
          <w:sz w:val="24"/>
          <w:szCs w:val="24"/>
        </w:rPr>
      </w:pPr>
      <w:r w:rsidRPr="00EC0FE5">
        <w:rPr>
          <w:rFonts w:ascii="Palatino Linotype" w:eastAsia="Palatino Linotype" w:hAnsi="Palatino Linotype" w:cs="Palatino Linotype"/>
          <w:b/>
          <w:color w:val="000000"/>
          <w:sz w:val="24"/>
          <w:szCs w:val="24"/>
        </w:rPr>
        <w:t xml:space="preserve">TERCERO. Del planteamiento de la </w:t>
      </w:r>
      <w:r w:rsidRPr="00EC0FE5">
        <w:rPr>
          <w:rFonts w:ascii="Palatino Linotype" w:eastAsia="Palatino Linotype" w:hAnsi="Palatino Linotype" w:cs="Palatino Linotype"/>
          <w:b/>
          <w:i/>
          <w:color w:val="000000"/>
          <w:sz w:val="24"/>
          <w:szCs w:val="24"/>
        </w:rPr>
        <w:t>Litis.</w:t>
      </w:r>
    </w:p>
    <w:p w:rsidR="0072148B" w:rsidRPr="00457D8A" w:rsidRDefault="00A077F4" w:rsidP="001D7E2A">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457D8A">
        <w:rPr>
          <w:rFonts w:ascii="Palatino Linotype" w:eastAsia="Palatino Linotype" w:hAnsi="Palatino Linotype" w:cs="Palatino Linotype"/>
          <w:color w:val="000000"/>
        </w:rPr>
        <w:t>Se solicitó tener acceso, a la información que a continuación se simplifica:</w:t>
      </w:r>
    </w:p>
    <w:p w:rsidR="003E60A6" w:rsidRDefault="003E60A6" w:rsidP="003E60A6">
      <w:pPr>
        <w:pBdr>
          <w:top w:val="nil"/>
          <w:left w:val="nil"/>
          <w:bottom w:val="nil"/>
          <w:right w:val="nil"/>
          <w:between w:val="nil"/>
        </w:pBdr>
        <w:ind w:left="567" w:right="-220"/>
        <w:jc w:val="both"/>
        <w:rPr>
          <w:rFonts w:ascii="Palatino Linotype" w:eastAsia="Palatino Linotype" w:hAnsi="Palatino Linotype" w:cs="Palatino Linotype"/>
          <w:i/>
          <w:color w:val="000000"/>
        </w:rPr>
      </w:pPr>
    </w:p>
    <w:p w:rsidR="008B7EF7" w:rsidRPr="008B7EF7" w:rsidRDefault="008B7EF7" w:rsidP="005F6634">
      <w:pPr>
        <w:pStyle w:val="Prrafodelista"/>
        <w:numPr>
          <w:ilvl w:val="0"/>
          <w:numId w:val="7"/>
        </w:numPr>
        <w:pBdr>
          <w:top w:val="nil"/>
          <w:left w:val="nil"/>
          <w:bottom w:val="nil"/>
          <w:right w:val="nil"/>
          <w:between w:val="nil"/>
        </w:pBdr>
        <w:ind w:right="-220"/>
        <w:jc w:val="both"/>
        <w:rPr>
          <w:rFonts w:ascii="Palatino Linotype" w:eastAsia="Palatino Linotype" w:hAnsi="Palatino Linotype" w:cs="Palatino Linotype"/>
          <w:i/>
          <w:color w:val="000000"/>
        </w:rPr>
      </w:pPr>
      <w:r w:rsidRPr="008B7EF7">
        <w:rPr>
          <w:rFonts w:ascii="Palatino Linotype" w:eastAsia="Palatino Linotype" w:hAnsi="Palatino Linotype" w:cs="Palatino Linotype"/>
          <w:i/>
          <w:color w:val="000000"/>
        </w:rPr>
        <w:t>De todas las contrataciones de obras realizadas en 2025:</w:t>
      </w:r>
    </w:p>
    <w:p w:rsidR="008B7EF7" w:rsidRPr="008B7EF7" w:rsidRDefault="008B7EF7" w:rsidP="005F6634">
      <w:pPr>
        <w:pStyle w:val="Prrafodelista"/>
        <w:numPr>
          <w:ilvl w:val="0"/>
          <w:numId w:val="8"/>
        </w:numPr>
        <w:pBdr>
          <w:top w:val="nil"/>
          <w:left w:val="nil"/>
          <w:bottom w:val="nil"/>
          <w:right w:val="nil"/>
          <w:between w:val="nil"/>
        </w:pBdr>
        <w:ind w:right="-220"/>
        <w:jc w:val="both"/>
        <w:rPr>
          <w:rFonts w:ascii="Palatino Linotype" w:eastAsia="Palatino Linotype" w:hAnsi="Palatino Linotype" w:cs="Palatino Linotype"/>
          <w:i/>
          <w:color w:val="000000"/>
        </w:rPr>
      </w:pPr>
      <w:r w:rsidRPr="008B7EF7">
        <w:rPr>
          <w:rFonts w:ascii="Palatino Linotype" w:eastAsia="Palatino Linotype" w:hAnsi="Palatino Linotype" w:cs="Palatino Linotype"/>
          <w:i/>
          <w:color w:val="000000"/>
        </w:rPr>
        <w:t>El expediente técnico y de contratación.</w:t>
      </w:r>
    </w:p>
    <w:p w:rsidR="008B7EF7" w:rsidRPr="008B7EF7" w:rsidRDefault="008B7EF7" w:rsidP="005F6634">
      <w:pPr>
        <w:pStyle w:val="Prrafodelista"/>
        <w:numPr>
          <w:ilvl w:val="0"/>
          <w:numId w:val="8"/>
        </w:numPr>
        <w:pBdr>
          <w:top w:val="nil"/>
          <w:left w:val="nil"/>
          <w:bottom w:val="nil"/>
          <w:right w:val="nil"/>
          <w:between w:val="nil"/>
        </w:pBdr>
        <w:ind w:right="-220"/>
        <w:jc w:val="both"/>
        <w:rPr>
          <w:rFonts w:ascii="Palatino Linotype" w:eastAsia="Palatino Linotype" w:hAnsi="Palatino Linotype" w:cs="Palatino Linotype"/>
          <w:i/>
          <w:color w:val="000000"/>
        </w:rPr>
      </w:pPr>
      <w:r w:rsidRPr="008B7EF7">
        <w:rPr>
          <w:rFonts w:ascii="Palatino Linotype" w:eastAsia="Palatino Linotype" w:hAnsi="Palatino Linotype" w:cs="Palatino Linotype"/>
          <w:i/>
          <w:color w:val="000000"/>
        </w:rPr>
        <w:t>Cuanto se ha pagado por cada uno.</w:t>
      </w:r>
    </w:p>
    <w:p w:rsidR="008B7EF7" w:rsidRPr="008B7EF7" w:rsidRDefault="008B7EF7" w:rsidP="005F6634">
      <w:pPr>
        <w:pStyle w:val="Prrafodelista"/>
        <w:numPr>
          <w:ilvl w:val="0"/>
          <w:numId w:val="8"/>
        </w:numPr>
        <w:pBdr>
          <w:top w:val="nil"/>
          <w:left w:val="nil"/>
          <w:bottom w:val="nil"/>
          <w:right w:val="nil"/>
          <w:between w:val="nil"/>
        </w:pBdr>
        <w:ind w:right="-220"/>
        <w:jc w:val="both"/>
        <w:rPr>
          <w:rFonts w:ascii="Palatino Linotype" w:eastAsia="Palatino Linotype" w:hAnsi="Palatino Linotype" w:cs="Palatino Linotype"/>
          <w:i/>
          <w:color w:val="000000"/>
        </w:rPr>
      </w:pPr>
      <w:r w:rsidRPr="008B7EF7">
        <w:rPr>
          <w:rFonts w:ascii="Palatino Linotype" w:eastAsia="Palatino Linotype" w:hAnsi="Palatino Linotype" w:cs="Palatino Linotype"/>
          <w:i/>
          <w:color w:val="000000"/>
        </w:rPr>
        <w:t>Facturas pagadas.</w:t>
      </w:r>
    </w:p>
    <w:p w:rsidR="008B7EF7" w:rsidRPr="008B7EF7" w:rsidRDefault="008B7EF7" w:rsidP="005F6634">
      <w:pPr>
        <w:pStyle w:val="Prrafodelista"/>
        <w:numPr>
          <w:ilvl w:val="0"/>
          <w:numId w:val="8"/>
        </w:numPr>
        <w:pBdr>
          <w:top w:val="nil"/>
          <w:left w:val="nil"/>
          <w:bottom w:val="nil"/>
          <w:right w:val="nil"/>
          <w:between w:val="nil"/>
        </w:pBdr>
        <w:ind w:right="-220"/>
        <w:jc w:val="both"/>
        <w:rPr>
          <w:rFonts w:ascii="Palatino Linotype" w:eastAsia="Palatino Linotype" w:hAnsi="Palatino Linotype" w:cs="Palatino Linotype"/>
          <w:i/>
          <w:color w:val="000000"/>
        </w:rPr>
      </w:pPr>
      <w:r w:rsidRPr="008B7EF7">
        <w:rPr>
          <w:rFonts w:ascii="Palatino Linotype" w:eastAsia="Palatino Linotype" w:hAnsi="Palatino Linotype" w:cs="Palatino Linotype"/>
          <w:i/>
          <w:color w:val="000000"/>
        </w:rPr>
        <w:t>Donde está la obra.</w:t>
      </w:r>
    </w:p>
    <w:p w:rsidR="008B7EF7" w:rsidRPr="008B7EF7" w:rsidRDefault="008B7EF7" w:rsidP="005F6634">
      <w:pPr>
        <w:pStyle w:val="Prrafodelista"/>
        <w:numPr>
          <w:ilvl w:val="0"/>
          <w:numId w:val="8"/>
        </w:numPr>
        <w:pBdr>
          <w:top w:val="nil"/>
          <w:left w:val="nil"/>
          <w:bottom w:val="nil"/>
          <w:right w:val="nil"/>
          <w:between w:val="nil"/>
        </w:pBdr>
        <w:ind w:right="-220"/>
        <w:jc w:val="both"/>
        <w:rPr>
          <w:rFonts w:ascii="Palatino Linotype" w:eastAsia="Palatino Linotype" w:hAnsi="Palatino Linotype" w:cs="Palatino Linotype"/>
          <w:i/>
          <w:color w:val="000000"/>
        </w:rPr>
      </w:pPr>
      <w:r w:rsidRPr="008B7EF7">
        <w:rPr>
          <w:rFonts w:ascii="Palatino Linotype" w:eastAsia="Palatino Linotype" w:hAnsi="Palatino Linotype" w:cs="Palatino Linotype"/>
          <w:i/>
          <w:color w:val="000000"/>
        </w:rPr>
        <w:t>Avance que tiene.</w:t>
      </w:r>
    </w:p>
    <w:p w:rsidR="002D2F4D" w:rsidRPr="00621071" w:rsidRDefault="002D2F4D" w:rsidP="002D2F4D">
      <w:pPr>
        <w:ind w:left="709" w:right="-788"/>
        <w:jc w:val="both"/>
        <w:rPr>
          <w:rFonts w:ascii="Palatino Linotype" w:eastAsia="Palatino Linotype" w:hAnsi="Palatino Linotype" w:cs="Palatino Linotype"/>
          <w:b/>
        </w:rPr>
      </w:pPr>
    </w:p>
    <w:p w:rsidR="00AD44D9" w:rsidRDefault="00AD44D9" w:rsidP="005B1F22">
      <w:pPr>
        <w:numPr>
          <w:ilvl w:val="0"/>
          <w:numId w:val="2"/>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remitió </w:t>
      </w:r>
      <w:r w:rsidR="00347692">
        <w:rPr>
          <w:rFonts w:ascii="Palatino Linotype" w:eastAsia="Palatino Linotype" w:hAnsi="Palatino Linotype" w:cs="Palatino Linotype"/>
        </w:rPr>
        <w:t>el</w:t>
      </w:r>
      <w:r>
        <w:rPr>
          <w:rFonts w:ascii="Palatino Linotype" w:eastAsia="Palatino Linotype" w:hAnsi="Palatino Linotype" w:cs="Palatino Linotype"/>
        </w:rPr>
        <w:t xml:space="preserve"> archivo ya d</w:t>
      </w:r>
      <w:r w:rsidR="008B7EF7">
        <w:rPr>
          <w:rFonts w:ascii="Palatino Linotype" w:eastAsia="Palatino Linotype" w:hAnsi="Palatino Linotype" w:cs="Palatino Linotype"/>
        </w:rPr>
        <w:t>escrito en el anterior párrafo 2</w:t>
      </w:r>
      <w:r>
        <w:rPr>
          <w:rFonts w:ascii="Palatino Linotype" w:eastAsia="Palatino Linotype" w:hAnsi="Palatino Linotype" w:cs="Palatino Linotype"/>
        </w:rPr>
        <w:t xml:space="preserve">, inconforme con la respuesta, se interpuso recurso de revisión argumentando sustancialmente </w:t>
      </w:r>
      <w:r w:rsidR="008B7EF7">
        <w:rPr>
          <w:rFonts w:ascii="Palatino Linotype" w:eastAsia="Palatino Linotype" w:hAnsi="Palatino Linotype" w:cs="Palatino Linotype"/>
        </w:rPr>
        <w:t>la negativa de la información solicitada</w:t>
      </w:r>
      <w:r w:rsidR="00870927">
        <w:rPr>
          <w:rFonts w:ascii="Palatino Linotype" w:eastAsia="Palatino Linotype" w:hAnsi="Palatino Linotype" w:cs="Palatino Linotype"/>
        </w:rPr>
        <w:t>.</w:t>
      </w:r>
    </w:p>
    <w:p w:rsidR="0072148B" w:rsidRDefault="0072148B">
      <w:pPr>
        <w:spacing w:line="360" w:lineRule="auto"/>
        <w:ind w:right="-787"/>
        <w:jc w:val="both"/>
        <w:rPr>
          <w:rFonts w:ascii="Palatino Linotype" w:eastAsia="Palatino Linotype" w:hAnsi="Palatino Linotype" w:cs="Palatino Linotype"/>
          <w:i/>
          <w:color w:val="000000"/>
        </w:rPr>
      </w:pPr>
    </w:p>
    <w:p w:rsidR="0072148B" w:rsidRDefault="00A077F4" w:rsidP="005B1F22">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824237">
        <w:rPr>
          <w:rFonts w:ascii="Palatino Linotype" w:eastAsia="Palatino Linotype" w:hAnsi="Palatino Linotype" w:cs="Palatino Linotype"/>
          <w:b/>
        </w:rPr>
        <w:t xml:space="preserve">179, </w:t>
      </w:r>
      <w:r w:rsidR="00974D11">
        <w:rPr>
          <w:rFonts w:ascii="Palatino Linotype" w:eastAsia="Palatino Linotype" w:hAnsi="Palatino Linotype" w:cs="Palatino Linotype"/>
          <w:b/>
        </w:rPr>
        <w:t>fracción</w:t>
      </w:r>
      <w:r w:rsidR="00C81A60">
        <w:rPr>
          <w:rFonts w:ascii="Palatino Linotype" w:eastAsia="Palatino Linotype" w:hAnsi="Palatino Linotype" w:cs="Palatino Linotype"/>
          <w:b/>
        </w:rPr>
        <w:t xml:space="preserve"> I</w:t>
      </w:r>
      <w:r w:rsidRPr="00824237">
        <w:rPr>
          <w:rFonts w:ascii="Palatino Linotype" w:eastAsia="Palatino Linotype" w:hAnsi="Palatino Linotype" w:cs="Palatino Linotype"/>
          <w:b/>
        </w:rPr>
        <w:t>, de la Ley de Transparencia y Acceso a la Información Pública del Estado de México y Municipios</w:t>
      </w:r>
      <w:r>
        <w:rPr>
          <w:rFonts w:ascii="Palatino Linotype" w:eastAsia="Palatino Linotype" w:hAnsi="Palatino Linotype" w:cs="Palatino Linotype"/>
        </w:rPr>
        <w:t xml:space="preserve">; </w:t>
      </w:r>
      <w:r w:rsidR="00870927">
        <w:rPr>
          <w:rFonts w:ascii="Palatino Linotype" w:eastAsia="Palatino Linotype" w:hAnsi="Palatino Linotype" w:cs="Palatino Linotype"/>
          <w:color w:val="000000"/>
        </w:rPr>
        <w:t>fracción que determina</w:t>
      </w:r>
      <w:r>
        <w:rPr>
          <w:rFonts w:ascii="Palatino Linotype" w:eastAsia="Palatino Linotype" w:hAnsi="Palatino Linotype" w:cs="Palatino Linotype"/>
          <w:color w:val="000000"/>
        </w:rPr>
        <w:t xml:space="preserve"> la hipótesis relativa a </w:t>
      </w:r>
      <w:r w:rsidR="00C81A60">
        <w:rPr>
          <w:rFonts w:ascii="Palatino Linotype" w:eastAsia="Palatino Linotype" w:hAnsi="Palatino Linotype" w:cs="Palatino Linotype"/>
          <w:b/>
          <w:color w:val="000000"/>
        </w:rPr>
        <w:t xml:space="preserve">la negativa a la información </w:t>
      </w:r>
      <w:r w:rsidR="008933E3">
        <w:rPr>
          <w:rFonts w:ascii="Palatino Linotype" w:eastAsia="Palatino Linotype" w:hAnsi="Palatino Linotype" w:cs="Palatino Linotype"/>
          <w:b/>
          <w:color w:val="000000"/>
        </w:rPr>
        <w:t>solicitada</w:t>
      </w:r>
      <w:r w:rsidR="00C81A60">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señalada. </w:t>
      </w:r>
    </w:p>
    <w:p w:rsidR="0072148B" w:rsidRDefault="0072148B">
      <w:pPr>
        <w:spacing w:line="360" w:lineRule="auto"/>
        <w:ind w:right="-787"/>
        <w:rPr>
          <w:rFonts w:ascii="Palatino Linotype" w:eastAsia="Palatino Linotype" w:hAnsi="Palatino Linotype" w:cs="Palatino Linotype"/>
        </w:rPr>
      </w:pPr>
    </w:p>
    <w:p w:rsidR="004C3113" w:rsidRPr="00EC0FE5" w:rsidRDefault="004C3113" w:rsidP="004C3113">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EC0FE5">
        <w:rPr>
          <w:rFonts w:ascii="Palatino Linotype" w:eastAsia="Palatino Linotype" w:hAnsi="Palatino Linotype" w:cs="Palatino Linotype"/>
          <w:b/>
          <w:color w:val="000000"/>
          <w:sz w:val="24"/>
          <w:szCs w:val="24"/>
        </w:rPr>
        <w:t>CUARTO. Del estudio y resolución del asunto.</w:t>
      </w:r>
    </w:p>
    <w:p w:rsidR="0072148B" w:rsidRDefault="00A077F4" w:rsidP="005B1F22">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w:t>
      </w:r>
      <w:r>
        <w:rPr>
          <w:rFonts w:ascii="Palatino Linotype" w:eastAsia="Palatino Linotype" w:hAnsi="Palatino Linotype" w:cs="Palatino Linotype"/>
        </w:rPr>
        <w:lastRenderedPageBreak/>
        <w:t>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72148B" w:rsidRPr="00A05A27" w:rsidRDefault="0072148B">
      <w:pPr>
        <w:spacing w:line="360" w:lineRule="auto"/>
        <w:ind w:right="-787"/>
        <w:jc w:val="both"/>
        <w:rPr>
          <w:rFonts w:ascii="Palatino Linotype" w:eastAsia="Palatino Linotype" w:hAnsi="Palatino Linotype" w:cs="Palatino Linotype"/>
          <w:sz w:val="20"/>
        </w:rPr>
      </w:pPr>
    </w:p>
    <w:p w:rsidR="0072148B" w:rsidRDefault="00A077F4" w:rsidP="005B1F22">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2148B" w:rsidRPr="00A05A27" w:rsidRDefault="0072148B">
      <w:pPr>
        <w:pBdr>
          <w:top w:val="nil"/>
          <w:left w:val="nil"/>
          <w:bottom w:val="nil"/>
          <w:right w:val="nil"/>
          <w:between w:val="nil"/>
        </w:pBdr>
        <w:spacing w:line="360" w:lineRule="auto"/>
        <w:ind w:left="720" w:right="-787"/>
        <w:rPr>
          <w:rFonts w:ascii="Palatino Linotype" w:eastAsia="Palatino Linotype" w:hAnsi="Palatino Linotype" w:cs="Palatino Linotype"/>
          <w:color w:val="000000"/>
          <w:sz w:val="20"/>
        </w:rPr>
      </w:pPr>
    </w:p>
    <w:p w:rsidR="008C32F3" w:rsidRDefault="00A077F4" w:rsidP="008C32F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A05A27" w:rsidRDefault="00A05A27" w:rsidP="00A05A27">
      <w:pPr>
        <w:spacing w:line="360" w:lineRule="auto"/>
        <w:ind w:right="-787"/>
        <w:jc w:val="both"/>
        <w:rPr>
          <w:rFonts w:ascii="Palatino Linotype" w:eastAsia="Palatino Linotype" w:hAnsi="Palatino Linotype" w:cs="Palatino Linotype"/>
        </w:rPr>
      </w:pPr>
    </w:p>
    <w:p w:rsidR="00217462" w:rsidRPr="008C32F3" w:rsidRDefault="00217462" w:rsidP="00A05A27">
      <w:pPr>
        <w:spacing w:line="360" w:lineRule="auto"/>
        <w:ind w:right="-787"/>
        <w:jc w:val="both"/>
        <w:rPr>
          <w:rFonts w:ascii="Palatino Linotype" w:eastAsia="Palatino Linotype" w:hAnsi="Palatino Linotype" w:cs="Palatino Linotype"/>
        </w:rPr>
      </w:pPr>
    </w:p>
    <w:p w:rsidR="0072148B" w:rsidRDefault="00A077F4" w:rsidP="005B1F22">
      <w:pPr>
        <w:numPr>
          <w:ilvl w:val="0"/>
          <w:numId w:val="4"/>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Del Sujeto Obligado.</w:t>
      </w:r>
    </w:p>
    <w:p w:rsidR="003F736E" w:rsidRPr="00AB33CE" w:rsidRDefault="003F736E" w:rsidP="003F736E">
      <w:pPr>
        <w:numPr>
          <w:ilvl w:val="0"/>
          <w:numId w:val="2"/>
        </w:numPr>
        <w:spacing w:line="360" w:lineRule="auto"/>
        <w:ind w:left="0" w:right="-787" w:firstLine="0"/>
        <w:jc w:val="both"/>
      </w:pPr>
      <w:r w:rsidRPr="00AB33CE">
        <w:rPr>
          <w:rFonts w:ascii="Palatino Linotype" w:eastAsia="Palatino Linotype" w:hAnsi="Palatino Linotype" w:cs="Palatino Linotype"/>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y se auxiliará de diversas dependencias, organismos descentralizados y órganos autónomos, , de conformidad con el artículo 90, del Bando Municipal 2025:</w:t>
      </w:r>
    </w:p>
    <w:p w:rsidR="003F736E" w:rsidRDefault="003F736E" w:rsidP="003F736E">
      <w:pPr>
        <w:ind w:left="1134" w:right="-22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Bando Municipal 2025</w:t>
      </w:r>
    </w:p>
    <w:p w:rsidR="003F736E" w:rsidRDefault="003F736E" w:rsidP="003F736E">
      <w:pPr>
        <w:ind w:left="1134" w:right="-220"/>
        <w:jc w:val="center"/>
        <w:rPr>
          <w:rFonts w:ascii="Palatino Linotype" w:eastAsia="Palatino Linotype" w:hAnsi="Palatino Linotype" w:cs="Palatino Linotype"/>
          <w:b/>
          <w:i/>
          <w:sz w:val="22"/>
          <w:szCs w:val="22"/>
        </w:rPr>
      </w:pPr>
    </w:p>
    <w:p w:rsidR="003F736E" w:rsidRDefault="003F736E" w:rsidP="003F736E">
      <w:pPr>
        <w:ind w:left="1134" w:right="-78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90. </w:t>
      </w:r>
      <w:r>
        <w:rPr>
          <w:rFonts w:ascii="Palatino Linotype" w:eastAsia="Palatino Linotype" w:hAnsi="Palatino Linotype" w:cs="Palatino Linotype"/>
          <w:i/>
          <w:sz w:val="22"/>
          <w:szCs w:val="22"/>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3F736E" w:rsidRDefault="003F736E" w:rsidP="003F736E">
      <w:pPr>
        <w:ind w:left="1134" w:right="-788"/>
        <w:jc w:val="both"/>
        <w:rPr>
          <w:rFonts w:ascii="Palatino Linotype" w:eastAsia="Palatino Linotype" w:hAnsi="Palatino Linotype" w:cs="Palatino Linotype"/>
          <w:i/>
          <w:sz w:val="22"/>
          <w:szCs w:val="22"/>
        </w:rPr>
      </w:pPr>
    </w:p>
    <w:p w:rsidR="003F736E" w:rsidRPr="00FA533D" w:rsidRDefault="003F736E" w:rsidP="003F736E">
      <w:pPr>
        <w:ind w:left="1134" w:right="-788"/>
        <w:jc w:val="both"/>
        <w:rPr>
          <w:rFonts w:ascii="Palatino Linotype" w:eastAsia="Palatino Linotype" w:hAnsi="Palatino Linotype" w:cs="Palatino Linotype"/>
          <w:b/>
          <w:i/>
          <w:sz w:val="22"/>
          <w:szCs w:val="22"/>
        </w:rPr>
      </w:pPr>
      <w:r w:rsidRPr="00FA533D">
        <w:rPr>
          <w:rFonts w:ascii="Palatino Linotype" w:eastAsia="Palatino Linotype" w:hAnsi="Palatino Linotype" w:cs="Palatino Linotype"/>
          <w:b/>
          <w:i/>
          <w:sz w:val="22"/>
          <w:szCs w:val="22"/>
        </w:rPr>
        <w:t xml:space="preserve">I. DEPENDENCIAS: </w:t>
      </w:r>
    </w:p>
    <w:p w:rsidR="003F736E" w:rsidRPr="00AB33CE" w:rsidRDefault="003F736E" w:rsidP="003F736E">
      <w:pPr>
        <w:ind w:left="1134" w:right="-788"/>
        <w:jc w:val="both"/>
        <w:rPr>
          <w:rFonts w:ascii="Palatino Linotype" w:eastAsia="Palatino Linotype" w:hAnsi="Palatino Linotype" w:cs="Palatino Linotype"/>
          <w:i/>
          <w:sz w:val="22"/>
          <w:szCs w:val="22"/>
        </w:rPr>
      </w:pPr>
      <w:r w:rsidRPr="00AB33CE">
        <w:rPr>
          <w:rFonts w:ascii="Palatino Linotype" w:eastAsia="Palatino Linotype" w:hAnsi="Palatino Linotype" w:cs="Palatino Linotype"/>
          <w:i/>
          <w:sz w:val="22"/>
          <w:szCs w:val="22"/>
        </w:rPr>
        <w:t xml:space="preserve">1. Secretaría del Ayuntamiento; </w:t>
      </w:r>
    </w:p>
    <w:p w:rsidR="003F736E" w:rsidRPr="006C0D5F" w:rsidRDefault="003F736E" w:rsidP="003F736E">
      <w:pPr>
        <w:ind w:left="1134" w:right="-788"/>
        <w:jc w:val="both"/>
        <w:rPr>
          <w:rFonts w:ascii="Palatino Linotype" w:eastAsia="Palatino Linotype" w:hAnsi="Palatino Linotype" w:cs="Palatino Linotype"/>
          <w:b/>
          <w:i/>
          <w:sz w:val="22"/>
          <w:szCs w:val="22"/>
        </w:rPr>
      </w:pPr>
      <w:r w:rsidRPr="006C0D5F">
        <w:rPr>
          <w:rFonts w:ascii="Palatino Linotype" w:eastAsia="Palatino Linotype" w:hAnsi="Palatino Linotype" w:cs="Palatino Linotype"/>
          <w:b/>
          <w:i/>
          <w:sz w:val="22"/>
          <w:szCs w:val="22"/>
        </w:rPr>
        <w:t xml:space="preserve">2. Tesorería Municipal;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3.</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Órgano Interno de Control;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4.</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Gobierno;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5.</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Seguridad y Protección; </w:t>
      </w:r>
    </w:p>
    <w:p w:rsidR="003F736E" w:rsidRPr="006C0D5F" w:rsidRDefault="003F736E" w:rsidP="003F736E">
      <w:pPr>
        <w:ind w:left="1134" w:right="-788"/>
        <w:jc w:val="both"/>
        <w:rPr>
          <w:rFonts w:ascii="Palatino Linotype" w:eastAsia="Palatino Linotype" w:hAnsi="Palatino Linotype" w:cs="Palatino Linotype"/>
          <w:i/>
          <w:sz w:val="22"/>
          <w:szCs w:val="22"/>
        </w:rPr>
      </w:pPr>
      <w:r w:rsidRPr="006C0D5F">
        <w:rPr>
          <w:rFonts w:ascii="Palatino Linotype" w:eastAsia="Palatino Linotype" w:hAnsi="Palatino Linotype" w:cs="Palatino Linotype"/>
          <w:i/>
          <w:sz w:val="22"/>
          <w:szCs w:val="22"/>
        </w:rPr>
        <w:t xml:space="preserve">6. Dirección General de Administración;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7.</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Medio Ambiente;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8.</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Servicios Públicos;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9.</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Innovación, Planeación y Gestión Urbana; </w:t>
      </w:r>
    </w:p>
    <w:p w:rsidR="003F736E" w:rsidRPr="003F736E" w:rsidRDefault="003F736E" w:rsidP="003F736E">
      <w:pPr>
        <w:ind w:left="1134" w:right="-788"/>
        <w:jc w:val="both"/>
        <w:rPr>
          <w:rFonts w:ascii="Palatino Linotype" w:eastAsia="Palatino Linotype" w:hAnsi="Palatino Linotype" w:cs="Palatino Linotype"/>
          <w:b/>
          <w:i/>
          <w:sz w:val="22"/>
          <w:szCs w:val="22"/>
        </w:rPr>
      </w:pPr>
      <w:r w:rsidRPr="003F736E">
        <w:rPr>
          <w:rFonts w:ascii="Palatino Linotype" w:eastAsia="Palatino Linotype" w:hAnsi="Palatino Linotype" w:cs="Palatino Linotype"/>
          <w:b/>
          <w:i/>
          <w:sz w:val="22"/>
          <w:szCs w:val="22"/>
        </w:rPr>
        <w:t xml:space="preserve">10. Dirección General de Obras Públicas;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11.</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Desarrollo Económico;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12.</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 xml:space="preserve">Dirección General de Bienestar; y </w:t>
      </w:r>
    </w:p>
    <w:p w:rsidR="003F736E" w:rsidRDefault="003F736E" w:rsidP="003F736E">
      <w:pPr>
        <w:ind w:left="1134" w:right="-788"/>
        <w:jc w:val="both"/>
        <w:rPr>
          <w:rFonts w:ascii="Palatino Linotype" w:eastAsia="Palatino Linotype" w:hAnsi="Palatino Linotype" w:cs="Palatino Linotype"/>
          <w:i/>
          <w:sz w:val="22"/>
          <w:szCs w:val="22"/>
        </w:rPr>
      </w:pPr>
      <w:r w:rsidRPr="00FA533D">
        <w:rPr>
          <w:rFonts w:ascii="Palatino Linotype" w:eastAsia="Palatino Linotype" w:hAnsi="Palatino Linotype" w:cs="Palatino Linotype"/>
          <w:i/>
          <w:sz w:val="22"/>
          <w:szCs w:val="22"/>
        </w:rPr>
        <w:t>13.</w:t>
      </w:r>
      <w:r>
        <w:rPr>
          <w:rFonts w:ascii="Palatino Linotype" w:eastAsia="Palatino Linotype" w:hAnsi="Palatino Linotype" w:cs="Palatino Linotype"/>
          <w:i/>
          <w:sz w:val="22"/>
          <w:szCs w:val="22"/>
        </w:rPr>
        <w:t xml:space="preserve"> </w:t>
      </w:r>
      <w:r w:rsidRPr="00FA533D">
        <w:rPr>
          <w:rFonts w:ascii="Palatino Linotype" w:eastAsia="Palatino Linotype" w:hAnsi="Palatino Linotype" w:cs="Palatino Linotype"/>
          <w:i/>
          <w:sz w:val="22"/>
          <w:szCs w:val="22"/>
        </w:rPr>
        <w:t>Dirección General de Educación, Cultura y Turismo.</w:t>
      </w:r>
    </w:p>
    <w:p w:rsidR="003F736E" w:rsidRDefault="003F736E" w:rsidP="003F736E">
      <w:pPr>
        <w:ind w:left="1134" w:right="-788"/>
        <w:jc w:val="both"/>
        <w:rPr>
          <w:rFonts w:ascii="Palatino Linotype" w:eastAsia="Palatino Linotype" w:hAnsi="Palatino Linotype" w:cs="Palatino Linotype"/>
          <w:i/>
          <w:sz w:val="22"/>
          <w:szCs w:val="22"/>
        </w:rPr>
      </w:pPr>
    </w:p>
    <w:p w:rsidR="003F736E" w:rsidRPr="005008B2" w:rsidRDefault="003F736E" w:rsidP="003F736E">
      <w:pPr>
        <w:ind w:left="1134" w:right="-788"/>
        <w:jc w:val="both"/>
        <w:rPr>
          <w:rFonts w:ascii="Palatino Linotype" w:eastAsia="Palatino Linotype" w:hAnsi="Palatino Linotype" w:cs="Palatino Linotype"/>
          <w:b/>
          <w:i/>
          <w:sz w:val="22"/>
          <w:szCs w:val="22"/>
        </w:rPr>
      </w:pPr>
      <w:r w:rsidRPr="005008B2">
        <w:rPr>
          <w:rFonts w:ascii="Palatino Linotype" w:eastAsia="Palatino Linotype" w:hAnsi="Palatino Linotype" w:cs="Palatino Linotype"/>
          <w:b/>
          <w:i/>
          <w:sz w:val="22"/>
          <w:szCs w:val="22"/>
        </w:rPr>
        <w:t xml:space="preserve">II. ORGANISMOS DESCENTRALIZADOS: </w:t>
      </w:r>
    </w:p>
    <w:p w:rsidR="003F736E" w:rsidRDefault="003F736E" w:rsidP="003F736E">
      <w:pPr>
        <w:ind w:left="1134" w:right="-788"/>
        <w:jc w:val="both"/>
        <w:rPr>
          <w:rFonts w:ascii="Palatino Linotype" w:eastAsia="Palatino Linotype" w:hAnsi="Palatino Linotype" w:cs="Palatino Linotype"/>
          <w:i/>
          <w:sz w:val="22"/>
          <w:szCs w:val="22"/>
        </w:rPr>
      </w:pPr>
      <w:r w:rsidRPr="005008B2">
        <w:rPr>
          <w:rFonts w:ascii="Palatino Linotype" w:eastAsia="Palatino Linotype" w:hAnsi="Palatino Linotype" w:cs="Palatino Linotype"/>
          <w:i/>
          <w:sz w:val="22"/>
          <w:szCs w:val="22"/>
        </w:rPr>
        <w:t xml:space="preserve">1. Sistema Municipal para el Desarrollo Integral de la Familia de Toluca; </w:t>
      </w:r>
    </w:p>
    <w:p w:rsidR="003F736E" w:rsidRDefault="003F736E" w:rsidP="003F736E">
      <w:pPr>
        <w:ind w:left="1134" w:right="-788"/>
        <w:jc w:val="both"/>
        <w:rPr>
          <w:rFonts w:ascii="Palatino Linotype" w:eastAsia="Palatino Linotype" w:hAnsi="Palatino Linotype" w:cs="Palatino Linotype"/>
          <w:i/>
          <w:sz w:val="22"/>
          <w:szCs w:val="22"/>
        </w:rPr>
      </w:pPr>
      <w:r w:rsidRPr="005008B2">
        <w:rPr>
          <w:rFonts w:ascii="Palatino Linotype" w:eastAsia="Palatino Linotype" w:hAnsi="Palatino Linotype" w:cs="Palatino Linotype"/>
          <w:i/>
          <w:sz w:val="22"/>
          <w:szCs w:val="22"/>
        </w:rPr>
        <w:t xml:space="preserve">2. Instituto Municipal de Cultura Física y Deporte de Toluca; </w:t>
      </w:r>
    </w:p>
    <w:p w:rsidR="003F736E" w:rsidRDefault="003F736E" w:rsidP="003F736E">
      <w:pPr>
        <w:ind w:left="1134" w:right="-788"/>
        <w:jc w:val="both"/>
        <w:rPr>
          <w:rFonts w:ascii="Palatino Linotype" w:eastAsia="Palatino Linotype" w:hAnsi="Palatino Linotype" w:cs="Palatino Linotype"/>
          <w:i/>
          <w:sz w:val="22"/>
          <w:szCs w:val="22"/>
        </w:rPr>
      </w:pPr>
      <w:r w:rsidRPr="005008B2">
        <w:rPr>
          <w:rFonts w:ascii="Palatino Linotype" w:eastAsia="Palatino Linotype" w:hAnsi="Palatino Linotype" w:cs="Palatino Linotype"/>
          <w:i/>
          <w:sz w:val="22"/>
          <w:szCs w:val="22"/>
        </w:rPr>
        <w:t xml:space="preserve">3. Instituto Municipal de la Mujer de Toluca; y </w:t>
      </w:r>
    </w:p>
    <w:p w:rsidR="003F736E" w:rsidRDefault="003F736E" w:rsidP="003F736E">
      <w:pPr>
        <w:ind w:left="1134" w:right="-788"/>
        <w:jc w:val="both"/>
        <w:rPr>
          <w:rFonts w:ascii="Palatino Linotype" w:eastAsia="Palatino Linotype" w:hAnsi="Palatino Linotype" w:cs="Palatino Linotype"/>
          <w:i/>
          <w:sz w:val="22"/>
          <w:szCs w:val="22"/>
        </w:rPr>
      </w:pPr>
      <w:r w:rsidRPr="005008B2">
        <w:rPr>
          <w:rFonts w:ascii="Palatino Linotype" w:eastAsia="Palatino Linotype" w:hAnsi="Palatino Linotype" w:cs="Palatino Linotype"/>
          <w:i/>
          <w:sz w:val="22"/>
          <w:szCs w:val="22"/>
        </w:rPr>
        <w:t>4.</w:t>
      </w:r>
      <w:r>
        <w:rPr>
          <w:rFonts w:ascii="Palatino Linotype" w:eastAsia="Palatino Linotype" w:hAnsi="Palatino Linotype" w:cs="Palatino Linotype"/>
          <w:i/>
          <w:sz w:val="22"/>
          <w:szCs w:val="22"/>
        </w:rPr>
        <w:t xml:space="preserve"> </w:t>
      </w:r>
      <w:r w:rsidRPr="005008B2">
        <w:rPr>
          <w:rFonts w:ascii="Palatino Linotype" w:eastAsia="Palatino Linotype" w:hAnsi="Palatino Linotype" w:cs="Palatino Linotype"/>
          <w:i/>
          <w:sz w:val="22"/>
          <w:szCs w:val="22"/>
        </w:rPr>
        <w:t xml:space="preserve">Organismo Agua y Saneamiento de Toluca. </w:t>
      </w:r>
    </w:p>
    <w:p w:rsidR="003F736E" w:rsidRDefault="003F736E" w:rsidP="003F736E">
      <w:pPr>
        <w:ind w:left="1134" w:right="-788"/>
        <w:jc w:val="both"/>
        <w:rPr>
          <w:rFonts w:ascii="Palatino Linotype" w:eastAsia="Palatino Linotype" w:hAnsi="Palatino Linotype" w:cs="Palatino Linotype"/>
          <w:i/>
          <w:sz w:val="22"/>
          <w:szCs w:val="22"/>
        </w:rPr>
      </w:pPr>
    </w:p>
    <w:p w:rsidR="003F736E" w:rsidRPr="005008B2" w:rsidRDefault="003F736E" w:rsidP="003F736E">
      <w:pPr>
        <w:ind w:left="1134" w:right="-788"/>
        <w:jc w:val="both"/>
        <w:rPr>
          <w:rFonts w:ascii="Palatino Linotype" w:eastAsia="Palatino Linotype" w:hAnsi="Palatino Linotype" w:cs="Palatino Linotype"/>
          <w:b/>
          <w:i/>
          <w:sz w:val="22"/>
          <w:szCs w:val="22"/>
        </w:rPr>
      </w:pPr>
      <w:r w:rsidRPr="005008B2">
        <w:rPr>
          <w:rFonts w:ascii="Palatino Linotype" w:eastAsia="Palatino Linotype" w:hAnsi="Palatino Linotype" w:cs="Palatino Linotype"/>
          <w:b/>
          <w:i/>
          <w:sz w:val="22"/>
          <w:szCs w:val="22"/>
        </w:rPr>
        <w:t xml:space="preserve">III. ÓRGANO AUTÓNOMO: </w:t>
      </w:r>
    </w:p>
    <w:p w:rsidR="003F736E" w:rsidRPr="006C0D5F" w:rsidRDefault="003F736E" w:rsidP="003F736E">
      <w:pPr>
        <w:ind w:left="1134" w:right="-788"/>
        <w:jc w:val="both"/>
        <w:rPr>
          <w:rFonts w:ascii="Palatino Linotype" w:eastAsia="Palatino Linotype" w:hAnsi="Palatino Linotype" w:cs="Palatino Linotype"/>
          <w:i/>
          <w:sz w:val="22"/>
          <w:szCs w:val="22"/>
        </w:rPr>
      </w:pPr>
      <w:r w:rsidRPr="006C0D5F">
        <w:rPr>
          <w:rFonts w:ascii="Palatino Linotype" w:eastAsia="Palatino Linotype" w:hAnsi="Palatino Linotype" w:cs="Palatino Linotype"/>
          <w:i/>
          <w:sz w:val="22"/>
          <w:szCs w:val="22"/>
        </w:rPr>
        <w:lastRenderedPageBreak/>
        <w:t>1. Defensoría Municipal de los Derechos Humanos de Toluca.</w:t>
      </w:r>
    </w:p>
    <w:p w:rsidR="003F736E" w:rsidRDefault="003F736E" w:rsidP="003F736E">
      <w:pPr>
        <w:spacing w:line="360" w:lineRule="auto"/>
        <w:ind w:right="-787"/>
        <w:jc w:val="both"/>
      </w:pPr>
    </w:p>
    <w:p w:rsidR="003F736E" w:rsidRDefault="003F736E" w:rsidP="003F736E">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sidRPr="006C0D5F">
        <w:rPr>
          <w:rFonts w:ascii="Palatino Linotype" w:eastAsia="Palatino Linotype" w:hAnsi="Palatino Linotype" w:cs="Palatino Linotype"/>
          <w:b/>
        </w:rPr>
        <w:t xml:space="preserve">Tesorería Municipal </w:t>
      </w:r>
      <w:r w:rsidRPr="006C0D5F">
        <w:rPr>
          <w:rFonts w:ascii="Palatino Linotype" w:eastAsia="Palatino Linotype" w:hAnsi="Palatino Linotype" w:cs="Palatino Linotype"/>
        </w:rPr>
        <w:t xml:space="preserve">es responsable de la </w:t>
      </w:r>
      <w:r w:rsidRPr="006C0D5F">
        <w:rPr>
          <w:rFonts w:ascii="Palatino Linotype" w:eastAsia="Palatino Linotype" w:hAnsi="Palatino Linotype" w:cs="Palatino Linotype"/>
          <w:b/>
        </w:rPr>
        <w:t>administración y control de los recursos financieros del municipio, asegurando el cumplimiento de las disposiciones fiscales y presupuestales</w:t>
      </w:r>
      <w:r w:rsidRPr="006C0D5F">
        <w:rPr>
          <w:rFonts w:ascii="Palatino Linotype" w:eastAsia="Palatino Linotype" w:hAnsi="Palatino Linotype" w:cs="Palatino Linotype"/>
        </w:rPr>
        <w:t>.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r>
        <w:rPr>
          <w:rFonts w:ascii="Palatino Linotype" w:eastAsia="Palatino Linotype" w:hAnsi="Palatino Linotype" w:cs="Palatino Linotype"/>
        </w:rPr>
        <w:t>, de conformidad con lo establecido en el artículo 92, fracción II, del Bando Municipal 2025.</w:t>
      </w:r>
    </w:p>
    <w:p w:rsidR="004400C5" w:rsidRDefault="004400C5" w:rsidP="004400C5">
      <w:pPr>
        <w:spacing w:line="360" w:lineRule="auto"/>
        <w:ind w:right="-787"/>
        <w:jc w:val="both"/>
        <w:rPr>
          <w:rFonts w:ascii="Palatino Linotype" w:eastAsia="Palatino Linotype" w:hAnsi="Palatino Linotype" w:cs="Palatino Linotype"/>
        </w:rPr>
      </w:pPr>
    </w:p>
    <w:p w:rsidR="004400C5" w:rsidRDefault="004400C5" w:rsidP="004400C5">
      <w:pPr>
        <w:numPr>
          <w:ilvl w:val="0"/>
          <w:numId w:val="2"/>
        </w:numPr>
        <w:spacing w:line="360" w:lineRule="auto"/>
        <w:ind w:left="0" w:right="-787" w:firstLine="0"/>
        <w:jc w:val="both"/>
        <w:rPr>
          <w:rFonts w:ascii="Palatino Linotype" w:eastAsia="Palatino Linotype" w:hAnsi="Palatino Linotype" w:cs="Palatino Linotype"/>
        </w:rPr>
      </w:pPr>
      <w:r w:rsidRPr="004400C5">
        <w:rPr>
          <w:rFonts w:ascii="Palatino Linotype" w:eastAsia="Palatino Linotype" w:hAnsi="Palatino Linotype" w:cs="Palatino Linotype"/>
        </w:rPr>
        <w:t xml:space="preserve">La </w:t>
      </w:r>
      <w:r w:rsidRPr="004400C5">
        <w:rPr>
          <w:rFonts w:ascii="Palatino Linotype" w:eastAsia="Palatino Linotype" w:hAnsi="Palatino Linotype" w:cs="Palatino Linotype"/>
          <w:b/>
        </w:rPr>
        <w:t>Dirección General de Obras Públicas</w:t>
      </w:r>
      <w:r w:rsidRPr="004400C5">
        <w:rPr>
          <w:rFonts w:ascii="Palatino Linotype" w:eastAsia="Palatino Linotype" w:hAnsi="Palatino Linotype" w:cs="Palatino Linotype"/>
        </w:rPr>
        <w:t xml:space="preserve"> es responsable de coordinar la planificación y ejecución del Programa Anual de Obra Pública en alineación con el Plan de Desarrollo Municipal. Llevará a cabo, además, la </w:t>
      </w:r>
      <w:r w:rsidRPr="004400C5">
        <w:rPr>
          <w:rFonts w:ascii="Palatino Linotype" w:eastAsia="Palatino Linotype" w:hAnsi="Palatino Linotype" w:cs="Palatino Linotype"/>
          <w:b/>
        </w:rPr>
        <w:t>presupuestación, adjudicación, contratación, ejecución y supervisión de la obra pública municipal</w:t>
      </w:r>
      <w:r w:rsidRPr="004400C5">
        <w:rPr>
          <w:rFonts w:ascii="Palatino Linotype" w:eastAsia="Palatino Linotype" w:hAnsi="Palatino Linotype" w:cs="Palatino Linotype"/>
        </w:rPr>
        <w:t>, así como en su caso, la rescisión y/o terminación anticipa</w:t>
      </w:r>
      <w:r>
        <w:rPr>
          <w:rFonts w:ascii="Palatino Linotype" w:eastAsia="Palatino Linotype" w:hAnsi="Palatino Linotype" w:cs="Palatino Linotype"/>
        </w:rPr>
        <w:t>da de contratos de obra pública, de conformidad con lo establecido en el artículo 92, fracción X, del Bando Municipal 2025.</w:t>
      </w:r>
    </w:p>
    <w:p w:rsidR="00BF5B47" w:rsidRDefault="00BF5B47" w:rsidP="00BF5B47">
      <w:pPr>
        <w:spacing w:line="360" w:lineRule="auto"/>
        <w:ind w:right="-787"/>
        <w:jc w:val="both"/>
        <w:rPr>
          <w:rFonts w:ascii="Palatino Linotype" w:eastAsia="Palatino Linotype" w:hAnsi="Palatino Linotype" w:cs="Palatino Linotype"/>
        </w:rPr>
      </w:pPr>
    </w:p>
    <w:p w:rsidR="006256AB" w:rsidRDefault="006256AB" w:rsidP="006256AB">
      <w:pPr>
        <w:numPr>
          <w:ilvl w:val="0"/>
          <w:numId w:val="2"/>
        </w:numPr>
        <w:spacing w:line="360" w:lineRule="auto"/>
        <w:ind w:left="0" w:right="-787" w:firstLine="0"/>
        <w:jc w:val="both"/>
      </w:pPr>
      <w:r>
        <w:rPr>
          <w:rFonts w:ascii="Palatino Linotype" w:eastAsia="Palatino Linotype" w:hAnsi="Palatino Linotype" w:cs="Palatino Linotype"/>
        </w:rPr>
        <w:t xml:space="preserve">De lo expuesto es de precisar que la respuesta fue emitida por la </w:t>
      </w:r>
      <w:r w:rsidRPr="00C84A19">
        <w:rPr>
          <w:rFonts w:ascii="Palatino Linotype" w:eastAsia="Palatino Linotype" w:hAnsi="Palatino Linotype" w:cs="Palatino Linotype"/>
          <w:b/>
        </w:rPr>
        <w:t>Tesorería Municipal</w:t>
      </w:r>
      <w:r>
        <w:rPr>
          <w:rFonts w:ascii="Palatino Linotype" w:eastAsia="Palatino Linotype" w:hAnsi="Palatino Linotype" w:cs="Palatino Linotype"/>
          <w:b/>
        </w:rPr>
        <w:t xml:space="preserve"> y la </w:t>
      </w:r>
      <w:r w:rsidRPr="004400C5">
        <w:rPr>
          <w:rFonts w:ascii="Palatino Linotype" w:eastAsia="Palatino Linotype" w:hAnsi="Palatino Linotype" w:cs="Palatino Linotype"/>
          <w:b/>
        </w:rPr>
        <w:t>Dirección General de Obras Públicas</w:t>
      </w:r>
      <w:r>
        <w:rPr>
          <w:rFonts w:ascii="Palatino Linotype" w:eastAsia="Palatino Linotype" w:hAnsi="Palatino Linotype" w:cs="Palatino Linotype"/>
        </w:rPr>
        <w:t xml:space="preserve">, por lo que podemos advertir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w:t>
      </w:r>
      <w:r>
        <w:rPr>
          <w:rFonts w:ascii="Palatino Linotype" w:eastAsia="Palatino Linotype" w:hAnsi="Palatino Linotype" w:cs="Palatino Linotype"/>
        </w:rPr>
        <w:lastRenderedPageBreak/>
        <w:t>la información de conformidad con la fracción XXXIX del artículo tercero de la legislación local vigente en materia de transparencia:</w:t>
      </w:r>
    </w:p>
    <w:p w:rsidR="00DC0FE5" w:rsidRPr="008F1E79" w:rsidRDefault="00DC0FE5" w:rsidP="00DC0FE5">
      <w:pPr>
        <w:spacing w:line="360" w:lineRule="auto"/>
        <w:ind w:right="-787"/>
        <w:jc w:val="both"/>
        <w:rPr>
          <w:rFonts w:ascii="Palatino Linotype" w:eastAsia="Palatino Linotype" w:hAnsi="Palatino Linotype" w:cs="Palatino Linotype"/>
        </w:rPr>
      </w:pPr>
    </w:p>
    <w:p w:rsidR="00311F00" w:rsidRDefault="00311F00" w:rsidP="00311F00">
      <w:pPr>
        <w:ind w:left="708"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11F00" w:rsidRDefault="00311F00" w:rsidP="00311F00">
      <w:pPr>
        <w:spacing w:line="360" w:lineRule="auto"/>
        <w:ind w:left="708" w:right="62"/>
        <w:jc w:val="both"/>
        <w:rPr>
          <w:rFonts w:ascii="Palatino Linotype" w:eastAsia="Palatino Linotype" w:hAnsi="Palatino Linotype" w:cs="Palatino Linotype"/>
          <w:sz w:val="22"/>
          <w:szCs w:val="22"/>
        </w:rPr>
      </w:pPr>
    </w:p>
    <w:p w:rsidR="00311F00" w:rsidRPr="00A05A27" w:rsidRDefault="00311F00" w:rsidP="00EB6113">
      <w:pPr>
        <w:numPr>
          <w:ilvl w:val="0"/>
          <w:numId w:val="2"/>
        </w:numPr>
        <w:spacing w:line="360" w:lineRule="auto"/>
        <w:ind w:left="0" w:right="-787" w:firstLine="0"/>
        <w:jc w:val="both"/>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A05A27" w:rsidRDefault="00A05A27" w:rsidP="00A05A27">
      <w:pPr>
        <w:spacing w:line="360" w:lineRule="auto"/>
        <w:ind w:right="-787"/>
        <w:jc w:val="both"/>
      </w:pPr>
    </w:p>
    <w:p w:rsidR="00311F00" w:rsidRDefault="00311F00" w:rsidP="00311F00">
      <w:pPr>
        <w:ind w:left="425"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w:t>
      </w:r>
      <w:r>
        <w:rPr>
          <w:rFonts w:ascii="Palatino Linotype" w:eastAsia="Palatino Linotype" w:hAnsi="Palatino Linotype" w:cs="Palatino Linotype"/>
          <w:b/>
          <w:i/>
          <w:sz w:val="22"/>
          <w:szCs w:val="22"/>
        </w:rPr>
        <w:t>todas las Áreas competentes</w:t>
      </w:r>
      <w:r>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311F00" w:rsidRDefault="00311F00" w:rsidP="00311F00">
      <w:pPr>
        <w:spacing w:line="360" w:lineRule="auto"/>
        <w:ind w:right="-787"/>
        <w:jc w:val="both"/>
        <w:rPr>
          <w:rFonts w:ascii="Palatino Linotype" w:eastAsia="Palatino Linotype" w:hAnsi="Palatino Linotype" w:cs="Palatino Linotype"/>
          <w:color w:val="000000"/>
          <w:sz w:val="22"/>
          <w:szCs w:val="22"/>
        </w:rPr>
      </w:pPr>
    </w:p>
    <w:p w:rsidR="00311F00" w:rsidRDefault="00311F00" w:rsidP="00EB611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Es de subrayar que el derecho de acceso a la información pública, consiste en que la información </w:t>
      </w:r>
      <w:r w:rsidRPr="00EB6113">
        <w:rPr>
          <w:rFonts w:ascii="Palatino Linotype" w:eastAsia="Palatino Linotype" w:hAnsi="Palatino Linotype" w:cs="Palatino Linotype"/>
        </w:rPr>
        <w:t>solicitada</w:t>
      </w:r>
      <w:r>
        <w:rPr>
          <w:rFonts w:ascii="Palatino Linotype" w:eastAsia="Palatino Linotype" w:hAnsi="Palatino Linotype" w:cs="Palatino Linotype"/>
          <w:color w:val="000000"/>
        </w:rPr>
        <w:t xml:space="preserve">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311F00" w:rsidRDefault="00311F00" w:rsidP="00311F00">
      <w:pPr>
        <w:spacing w:line="360" w:lineRule="auto"/>
        <w:ind w:right="-787"/>
        <w:jc w:val="both"/>
        <w:rPr>
          <w:color w:val="000000"/>
        </w:rPr>
      </w:pPr>
    </w:p>
    <w:p w:rsidR="00311F00" w:rsidRDefault="00311F00" w:rsidP="00311F00">
      <w:pP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311F00" w:rsidRDefault="00311F00" w:rsidP="00311F00">
      <w:pP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311F00" w:rsidRDefault="00311F00" w:rsidP="00311F00">
      <w:pPr>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11F00" w:rsidRDefault="00311F00" w:rsidP="00311F00">
      <w:pPr>
        <w:spacing w:line="360" w:lineRule="auto"/>
        <w:ind w:left="1134"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311F00" w:rsidRDefault="00311F00" w:rsidP="00311F00">
      <w:pPr>
        <w:ind w:right="-787"/>
        <w:jc w:val="both"/>
        <w:rPr>
          <w:rFonts w:ascii="Palatino Linotype" w:eastAsia="Palatino Linotype" w:hAnsi="Palatino Linotype" w:cs="Palatino Linotype"/>
        </w:rPr>
      </w:pPr>
    </w:p>
    <w:p w:rsidR="00311F00" w:rsidRPr="00677A90" w:rsidRDefault="00311F00" w:rsidP="00EB611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w:t>
      </w:r>
      <w:r w:rsidRPr="00EB6113">
        <w:rPr>
          <w:rFonts w:ascii="Palatino Linotype" w:eastAsia="Palatino Linotype" w:hAnsi="Palatino Linotype" w:cs="Palatino Linotype"/>
        </w:rPr>
        <w:t>Acuerdo</w:t>
      </w:r>
      <w:r>
        <w:rPr>
          <w:rFonts w:ascii="Palatino Linotype" w:eastAsia="Palatino Linotype" w:hAnsi="Palatino Linotype" w:cs="Palatino Linotype"/>
          <w:color w:val="000000"/>
        </w:rPr>
        <w:t xml:space="preserve">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77A90" w:rsidRDefault="00677A90" w:rsidP="00677A90">
      <w:pPr>
        <w:spacing w:line="360" w:lineRule="auto"/>
        <w:ind w:right="-787"/>
        <w:jc w:val="both"/>
        <w:rPr>
          <w:color w:val="000000"/>
        </w:rPr>
      </w:pPr>
    </w:p>
    <w:p w:rsidR="00311F00" w:rsidRDefault="00311F00" w:rsidP="00311F00">
      <w:pPr>
        <w:ind w:left="850"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311F00" w:rsidRDefault="00311F00" w:rsidP="00311F00">
      <w:pPr>
        <w:ind w:left="850"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11F00" w:rsidRDefault="00311F00" w:rsidP="00311F00">
      <w:pPr>
        <w:ind w:left="850"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11F00" w:rsidRDefault="00311F00" w:rsidP="00311F00">
      <w:pPr>
        <w:ind w:left="850"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 </w:t>
      </w:r>
      <w:r>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rsidR="00311F00" w:rsidRDefault="00311F00" w:rsidP="00311F00">
      <w:pPr>
        <w:ind w:left="850"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311F00" w:rsidRDefault="00311F00" w:rsidP="00311F00">
      <w:pPr>
        <w:ind w:left="850"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311F00" w:rsidRDefault="00311F00" w:rsidP="00311F00">
      <w:pPr>
        <w:tabs>
          <w:tab w:val="left" w:pos="851"/>
        </w:tabs>
        <w:spacing w:line="360" w:lineRule="auto"/>
        <w:ind w:left="850" w:right="-22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311F00" w:rsidRDefault="00311F00" w:rsidP="00311F00">
      <w:pPr>
        <w:pBdr>
          <w:top w:val="nil"/>
          <w:left w:val="nil"/>
          <w:bottom w:val="nil"/>
          <w:right w:val="nil"/>
          <w:between w:val="nil"/>
        </w:pBdr>
        <w:ind w:right="-787"/>
        <w:jc w:val="both"/>
        <w:rPr>
          <w:rFonts w:ascii="Palatino Linotype" w:eastAsia="Palatino Linotype" w:hAnsi="Palatino Linotype" w:cs="Palatino Linotype"/>
          <w:color w:val="000000"/>
        </w:rPr>
      </w:pPr>
    </w:p>
    <w:p w:rsidR="00311F00" w:rsidRPr="00677A90" w:rsidRDefault="00311F00" w:rsidP="00EB611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Por su parte </w:t>
      </w:r>
      <w:r w:rsidRPr="00EB6113">
        <w:rPr>
          <w:rFonts w:ascii="Palatino Linotype" w:eastAsia="Palatino Linotype" w:hAnsi="Palatino Linotype" w:cs="Palatino Linotype"/>
        </w:rPr>
        <w:t>los</w:t>
      </w:r>
      <w:r>
        <w:rPr>
          <w:rFonts w:ascii="Palatino Linotype" w:eastAsia="Palatino Linotype" w:hAnsi="Palatino Linotype" w:cs="Palatino Linotype"/>
          <w:color w:val="000000"/>
        </w:rPr>
        <w:t xml:space="preserve"> artículos 160 y 166, de la Ley local en la materia, que se reproduce de la siguiente forma:</w:t>
      </w:r>
    </w:p>
    <w:p w:rsidR="00677A90" w:rsidRDefault="00677A90" w:rsidP="00677A90">
      <w:pPr>
        <w:spacing w:line="360" w:lineRule="auto"/>
        <w:ind w:right="-787"/>
        <w:jc w:val="both"/>
        <w:rPr>
          <w:color w:val="000000"/>
        </w:rPr>
      </w:pPr>
    </w:p>
    <w:p w:rsidR="00311F00" w:rsidRDefault="00311F00" w:rsidP="00311F00">
      <w:pPr>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sz w:val="22"/>
          <w:szCs w:val="22"/>
        </w:rPr>
        <w:t>.</w:t>
      </w:r>
    </w:p>
    <w:p w:rsidR="00311F00" w:rsidRDefault="00311F00" w:rsidP="00311F00">
      <w:pPr>
        <w:ind w:left="566" w:right="-220"/>
        <w:jc w:val="both"/>
        <w:rPr>
          <w:rFonts w:ascii="Palatino Linotype" w:eastAsia="Palatino Linotype" w:hAnsi="Palatino Linotype" w:cs="Palatino Linotype"/>
          <w:i/>
          <w:sz w:val="22"/>
          <w:szCs w:val="22"/>
        </w:rPr>
      </w:pPr>
    </w:p>
    <w:p w:rsidR="00311F00" w:rsidRDefault="00311F00" w:rsidP="00311F00">
      <w:pPr>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311F00" w:rsidRDefault="00311F00" w:rsidP="00311F00">
      <w:pPr>
        <w:ind w:left="566" w:right="-22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311F00" w:rsidRDefault="00311F00" w:rsidP="00311F00">
      <w:pPr>
        <w:spacing w:line="360" w:lineRule="auto"/>
        <w:ind w:left="566"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311F00" w:rsidRDefault="00311F00" w:rsidP="00311F00">
      <w:pPr>
        <w:ind w:right="-787"/>
        <w:jc w:val="both"/>
        <w:rPr>
          <w:rFonts w:ascii="Palatino Linotype" w:eastAsia="Palatino Linotype" w:hAnsi="Palatino Linotype" w:cs="Palatino Linotype"/>
        </w:rPr>
      </w:pPr>
    </w:p>
    <w:p w:rsidR="00B06265" w:rsidRPr="005863D1" w:rsidRDefault="00311F00" w:rsidP="00EB6113">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Así que la obligación de los Sujetos Obligados de dar acceso a la información pública que generen, </w:t>
      </w:r>
      <w:r w:rsidRPr="00EB6113">
        <w:rPr>
          <w:rFonts w:ascii="Palatino Linotype" w:eastAsia="Palatino Linotype" w:hAnsi="Palatino Linotype" w:cs="Palatino Linotype"/>
        </w:rPr>
        <w:t>administren</w:t>
      </w:r>
      <w:r>
        <w:rPr>
          <w:rFonts w:ascii="Palatino Linotype" w:eastAsia="Palatino Linotype" w:hAnsi="Palatino Linotype" w:cs="Palatino Linotype"/>
          <w:color w:val="000000"/>
        </w:rPr>
        <w:t xml:space="preserve"> o posean, se tendrá por cumplida cuando el solicitante tenga a su disposición la información requerida, o cuando realice la consulta de la misma en el lugar que ésta se localice, siempre y cuando así resultare procedente.</w:t>
      </w:r>
    </w:p>
    <w:p w:rsidR="005863D1" w:rsidRPr="00310E1F" w:rsidRDefault="005863D1" w:rsidP="005863D1">
      <w:pPr>
        <w:spacing w:line="360" w:lineRule="auto"/>
        <w:ind w:right="-788"/>
        <w:jc w:val="both"/>
        <w:rPr>
          <w:color w:val="000000"/>
        </w:rPr>
      </w:pPr>
    </w:p>
    <w:p w:rsidR="00310E1F" w:rsidRDefault="00310E1F" w:rsidP="005F6634">
      <w:pPr>
        <w:numPr>
          <w:ilvl w:val="0"/>
          <w:numId w:val="6"/>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De la naturaleza de la información solicitada. </w:t>
      </w:r>
    </w:p>
    <w:p w:rsidR="00310E1F" w:rsidRPr="008B51D4" w:rsidRDefault="00310E1F" w:rsidP="00EB611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precisa </w:t>
      </w:r>
      <w:r w:rsidRPr="00EB6113">
        <w:rPr>
          <w:rFonts w:ascii="Palatino Linotype" w:eastAsia="Palatino Linotype" w:hAnsi="Palatino Linotype" w:cs="Palatino Linotype"/>
          <w:color w:val="000000"/>
        </w:rPr>
        <w:t>que</w:t>
      </w:r>
      <w:r>
        <w:rPr>
          <w:rFonts w:ascii="Palatino Linotype" w:eastAsia="Palatino Linotype" w:hAnsi="Palatino Linotype" w:cs="Palatino Linotype"/>
        </w:rPr>
        <w:t xml:space="preserve"> se obvia el análisis de la competencia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generar, administrar o poseer la información solicitada, dado que éste ha asumido la misma, en razón de que en su respuesta admitió contar con dicha información, tan es así que </w:t>
      </w:r>
      <w:r w:rsidR="001950D2">
        <w:rPr>
          <w:rFonts w:ascii="Palatino Linotype" w:eastAsia="Palatino Linotype" w:hAnsi="Palatino Linotype" w:cs="Palatino Linotype"/>
        </w:rPr>
        <w:t>se</w:t>
      </w:r>
      <w:r>
        <w:rPr>
          <w:rFonts w:ascii="Palatino Linotype" w:eastAsia="Palatino Linotype" w:hAnsi="Palatino Linotype" w:cs="Palatino Linotype"/>
        </w:rPr>
        <w:t xml:space="preserve"> </w:t>
      </w:r>
      <w:r w:rsidR="00EB6113">
        <w:rPr>
          <w:rFonts w:ascii="Palatino Linotype" w:eastAsia="Palatino Linotype" w:hAnsi="Palatino Linotype" w:cs="Palatino Linotype"/>
        </w:rPr>
        <w:t>propuso el cambio de modalidad a consulta directa.</w:t>
      </w:r>
    </w:p>
    <w:p w:rsidR="00310E1F" w:rsidRDefault="00310E1F" w:rsidP="00310E1F">
      <w:pPr>
        <w:tabs>
          <w:tab w:val="left" w:pos="0"/>
          <w:tab w:val="left" w:pos="567"/>
        </w:tabs>
        <w:spacing w:line="360" w:lineRule="auto"/>
        <w:ind w:left="-566" w:right="-787"/>
        <w:jc w:val="both"/>
        <w:rPr>
          <w:rFonts w:ascii="Palatino Linotype" w:eastAsia="Palatino Linotype" w:hAnsi="Palatino Linotype" w:cs="Palatino Linotype"/>
        </w:rPr>
      </w:pPr>
    </w:p>
    <w:p w:rsidR="00310E1F" w:rsidRPr="008C4029" w:rsidRDefault="00310E1F" w:rsidP="00EB6113">
      <w:pPr>
        <w:numPr>
          <w:ilvl w:val="0"/>
          <w:numId w:val="2"/>
        </w:numPr>
        <w:spacing w:line="360" w:lineRule="auto"/>
        <w:ind w:left="0" w:right="-787" w:firstLine="0"/>
        <w:jc w:val="both"/>
      </w:pPr>
      <w:bookmarkStart w:id="7" w:name="_heading=h.2s8eyo1" w:colFirst="0" w:colLast="0"/>
      <w:bookmarkEnd w:id="7"/>
      <w:r>
        <w:rPr>
          <w:rFonts w:ascii="Palatino Linotype" w:eastAsia="Palatino Linotype" w:hAnsi="Palatino Linotype" w:cs="Palatino Linotype"/>
        </w:rPr>
        <w:t xml:space="preserve">En efecto, el </w:t>
      </w:r>
      <w:r w:rsidRPr="00161483">
        <w:rPr>
          <w:rFonts w:ascii="Palatino Linotype" w:eastAsia="Palatino Linotype" w:hAnsi="Palatino Linotype" w:cs="Palatino Linotype"/>
          <w:color w:val="000000"/>
        </w:rPr>
        <w:t>hecho</w:t>
      </w:r>
      <w:r>
        <w:rPr>
          <w:rFonts w:ascii="Palatino Linotype" w:eastAsia="Palatino Linotype" w:hAnsi="Palatino Linotype" w:cs="Palatino Linotype"/>
        </w:rPr>
        <w:t xml:space="preserve"> 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w:t>
      </w:r>
      <w:r>
        <w:rPr>
          <w:rFonts w:ascii="Palatino Linotype" w:eastAsia="Palatino Linotype" w:hAnsi="Palatino Linotype" w:cs="Palatino Linotype"/>
        </w:rPr>
        <w:lastRenderedPageBreak/>
        <w:t>el artículo 12 de la Ley de Transparencia y Acceso a la Información Pública del Estado de México y Municipios.</w:t>
      </w:r>
    </w:p>
    <w:p w:rsidR="008C4029" w:rsidRDefault="008C4029" w:rsidP="008C4029">
      <w:pPr>
        <w:spacing w:line="360" w:lineRule="auto"/>
        <w:ind w:right="-787"/>
        <w:jc w:val="both"/>
      </w:pPr>
    </w:p>
    <w:p w:rsidR="00310E1F" w:rsidRDefault="00310E1F" w:rsidP="008C4029">
      <w:pPr>
        <w:tabs>
          <w:tab w:val="left" w:pos="8505"/>
        </w:tabs>
        <w:ind w:left="709" w:right="-8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rsidR="00310E1F" w:rsidRDefault="00310E1F" w:rsidP="008C4029">
      <w:pPr>
        <w:tabs>
          <w:tab w:val="left" w:pos="8505"/>
        </w:tabs>
        <w:ind w:left="709" w:right="-858"/>
        <w:jc w:val="both"/>
        <w:rPr>
          <w:rFonts w:ascii="Palatino Linotype" w:eastAsia="Palatino Linotype" w:hAnsi="Palatino Linotype" w:cs="Palatino Linotype"/>
          <w:i/>
          <w:sz w:val="22"/>
          <w:szCs w:val="22"/>
        </w:rPr>
      </w:pPr>
    </w:p>
    <w:p w:rsidR="00310E1F" w:rsidRDefault="00310E1F" w:rsidP="008C4029">
      <w:pPr>
        <w:tabs>
          <w:tab w:val="left" w:pos="8505"/>
        </w:tabs>
        <w:ind w:left="709" w:right="-8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C4029" w:rsidRDefault="008C4029" w:rsidP="008C4029">
      <w:pPr>
        <w:tabs>
          <w:tab w:val="left" w:pos="8505"/>
        </w:tabs>
        <w:ind w:left="709" w:right="-858"/>
        <w:jc w:val="both"/>
        <w:rPr>
          <w:rFonts w:ascii="Palatino Linotype" w:eastAsia="Palatino Linotype" w:hAnsi="Palatino Linotype" w:cs="Palatino Linotype"/>
          <w:i/>
          <w:sz w:val="22"/>
          <w:szCs w:val="22"/>
        </w:rPr>
      </w:pPr>
    </w:p>
    <w:p w:rsidR="00310E1F" w:rsidRDefault="00310E1F" w:rsidP="008C4029">
      <w:pPr>
        <w:pBdr>
          <w:top w:val="nil"/>
          <w:left w:val="nil"/>
          <w:bottom w:val="nil"/>
          <w:right w:val="nil"/>
          <w:between w:val="nil"/>
        </w:pBdr>
        <w:ind w:left="-566" w:right="-787"/>
        <w:rPr>
          <w:rFonts w:ascii="Palatino Linotype" w:eastAsia="Palatino Linotype" w:hAnsi="Palatino Linotype" w:cs="Palatino Linotype"/>
          <w:color w:val="000000"/>
        </w:rPr>
      </w:pPr>
    </w:p>
    <w:p w:rsidR="00310E1F" w:rsidRPr="00BD0216" w:rsidRDefault="00310E1F" w:rsidP="00EB6113">
      <w:pPr>
        <w:numPr>
          <w:ilvl w:val="0"/>
          <w:numId w:val="2"/>
        </w:numPr>
        <w:spacing w:line="360" w:lineRule="auto"/>
        <w:ind w:left="0" w:right="-787" w:firstLine="0"/>
        <w:jc w:val="both"/>
        <w:rPr>
          <w:color w:val="000000"/>
        </w:rPr>
      </w:pPr>
      <w:r>
        <w:rPr>
          <w:rFonts w:ascii="Palatino Linotype" w:eastAsia="Palatino Linotype" w:hAnsi="Palatino Linotype" w:cs="Palatino Linotype"/>
        </w:rPr>
        <w:t xml:space="preserve">Así, el estudio </w:t>
      </w:r>
      <w:r w:rsidRPr="00EB6113">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w:t>
      </w:r>
      <w:r w:rsidRPr="00161483">
        <w:rPr>
          <w:rFonts w:ascii="Palatino Linotype" w:eastAsia="Palatino Linotype" w:hAnsi="Palatino Linotype" w:cs="Palatino Linotype"/>
          <w:color w:val="000000"/>
        </w:rPr>
        <w:t>la</w:t>
      </w:r>
      <w:r>
        <w:rPr>
          <w:rFonts w:ascii="Palatino Linotype" w:eastAsia="Palatino Linotype" w:hAnsi="Palatino Linotype" w:cs="Palatino Linotype"/>
        </w:rPr>
        <w:t xml:space="preserve"> naturaleza jurídica de la información pública solicitada, tiene por objeto determinar si ésta la genera, posee o administra </w:t>
      </w:r>
      <w:r>
        <w:rPr>
          <w:rFonts w:ascii="Palatino Linotype" w:eastAsia="Palatino Linotype" w:hAnsi="Palatino Linotype" w:cs="Palatino Linotype"/>
          <w:b/>
        </w:rPr>
        <w:t>EL SUJETO OBLIGADO</w:t>
      </w:r>
      <w:r>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BD0216" w:rsidRPr="001F2A4E" w:rsidRDefault="00BD0216" w:rsidP="00BD0216">
      <w:pPr>
        <w:spacing w:line="360" w:lineRule="auto"/>
        <w:ind w:right="-787"/>
        <w:jc w:val="both"/>
        <w:rPr>
          <w:color w:val="000000"/>
        </w:rPr>
      </w:pPr>
    </w:p>
    <w:p w:rsidR="00101FAE" w:rsidRPr="001F0E64" w:rsidRDefault="0026411E" w:rsidP="00101FAE">
      <w:pPr>
        <w:numPr>
          <w:ilvl w:val="0"/>
          <w:numId w:val="2"/>
        </w:numPr>
        <w:spacing w:line="360" w:lineRule="auto"/>
        <w:ind w:left="0" w:right="-787" w:firstLine="0"/>
        <w:jc w:val="both"/>
        <w:rPr>
          <w:rFonts w:ascii="Palatino Linotype" w:eastAsia="Palatino Linotype" w:hAnsi="Palatino Linotype" w:cs="Palatino Linotype"/>
        </w:rPr>
      </w:pPr>
      <w:r w:rsidRPr="0026411E">
        <w:rPr>
          <w:rFonts w:ascii="Palatino Linotype" w:eastAsia="Palatino Linotype" w:hAnsi="Palatino Linotype" w:cs="Palatino Linotype"/>
        </w:rPr>
        <w:t>De</w:t>
      </w:r>
      <w:r w:rsidR="00107240" w:rsidRPr="0026411E">
        <w:rPr>
          <w:rFonts w:ascii="Palatino Linotype" w:eastAsia="Palatino Linotype" w:hAnsi="Palatino Linotype" w:cs="Palatino Linotype"/>
        </w:rPr>
        <w:t xml:space="preserve"> lo anterior, </w:t>
      </w:r>
      <w:r w:rsidRPr="0026411E">
        <w:rPr>
          <w:rFonts w:ascii="Palatino Linotype" w:eastAsia="Palatino Linotype" w:hAnsi="Palatino Linotype" w:cs="Palatino Linotype"/>
        </w:rPr>
        <w:t xml:space="preserve"> </w:t>
      </w:r>
      <w:r w:rsidR="00EB6113">
        <w:rPr>
          <w:rFonts w:ascii="Palatino Linotype" w:eastAsia="Palatino Linotype" w:hAnsi="Palatino Linotype" w:cs="Palatino Linotype"/>
        </w:rPr>
        <w:t>es de recordar que el particular requirió</w:t>
      </w:r>
      <w:r w:rsidR="00101FAE">
        <w:rPr>
          <w:rFonts w:ascii="Palatino Linotype" w:eastAsia="Palatino Linotype" w:hAnsi="Palatino Linotype" w:cs="Palatino Linotype"/>
        </w:rPr>
        <w:t xml:space="preserve"> </w:t>
      </w:r>
      <w:r w:rsidR="00101FAE" w:rsidRPr="00101FAE">
        <w:rPr>
          <w:rFonts w:ascii="Palatino Linotype" w:eastAsia="Palatino Linotype" w:hAnsi="Palatino Linotype" w:cs="Palatino Linotype"/>
          <w:i/>
          <w:u w:val="single"/>
        </w:rPr>
        <w:t>De todas las contrataciones de obras realizadas en 2025: El expediente técnico y de contratación; Cuanto se ha pagado por cada uno; Facturas pagadas; Donde está la obra; Avance</w:t>
      </w:r>
      <w:r w:rsidR="00101FAE">
        <w:rPr>
          <w:rFonts w:ascii="Palatino Linotype" w:eastAsia="Palatino Linotype" w:hAnsi="Palatino Linotype" w:cs="Palatino Linotype"/>
          <w:i/>
          <w:u w:val="single"/>
        </w:rPr>
        <w:t xml:space="preserve"> que tiene</w:t>
      </w:r>
      <w:r w:rsidR="00101FAE">
        <w:rPr>
          <w:rFonts w:ascii="Palatino Linotype" w:eastAsia="Palatino Linotype" w:hAnsi="Palatino Linotype" w:cs="Palatino Linotype"/>
        </w:rPr>
        <w:t xml:space="preserve">, en consecuencia el Sujeto Obligado otorgó respuesta a través de la Dirección General de Obras Públicas, señalando que para los puntos de solicitud </w:t>
      </w:r>
      <w:r w:rsidR="00101FAE" w:rsidRPr="00101FAE">
        <w:rPr>
          <w:rFonts w:ascii="Palatino Linotype" w:eastAsia="Palatino Linotype" w:hAnsi="Palatino Linotype" w:cs="Palatino Linotype"/>
          <w:b/>
          <w:i/>
        </w:rPr>
        <w:t>Todas las contrataciones de obras re</w:t>
      </w:r>
      <w:r w:rsidR="00101FAE">
        <w:rPr>
          <w:rFonts w:ascii="Palatino Linotype" w:eastAsia="Palatino Linotype" w:hAnsi="Palatino Linotype" w:cs="Palatino Linotype"/>
          <w:b/>
          <w:i/>
        </w:rPr>
        <w:t xml:space="preserve">alizadas en 2025, </w:t>
      </w:r>
      <w:r w:rsidR="00101FAE" w:rsidRPr="00101FAE">
        <w:rPr>
          <w:rFonts w:ascii="Palatino Linotype" w:eastAsia="Palatino Linotype" w:hAnsi="Palatino Linotype" w:cs="Palatino Linotype"/>
          <w:b/>
          <w:i/>
        </w:rPr>
        <w:t xml:space="preserve">donde está la obra y </w:t>
      </w:r>
      <w:r w:rsidR="00101FAE">
        <w:rPr>
          <w:rFonts w:ascii="Palatino Linotype" w:eastAsia="Palatino Linotype" w:hAnsi="Palatino Linotype" w:cs="Palatino Linotype"/>
          <w:b/>
          <w:i/>
        </w:rPr>
        <w:t xml:space="preserve">el avance que tiene, </w:t>
      </w:r>
      <w:r w:rsidR="00101FAE" w:rsidRPr="00101FAE">
        <w:rPr>
          <w:rFonts w:ascii="Palatino Linotype" w:eastAsia="Palatino Linotype" w:hAnsi="Palatino Linotype" w:cs="Palatino Linotype"/>
          <w:b/>
          <w:i/>
        </w:rPr>
        <w:t>expediente técnico y de contratación</w:t>
      </w:r>
      <w:r w:rsidR="00101FAE">
        <w:rPr>
          <w:rFonts w:ascii="Palatino Linotype" w:eastAsia="Palatino Linotype" w:hAnsi="Palatino Linotype" w:cs="Palatino Linotype"/>
          <w:b/>
          <w:i/>
        </w:rPr>
        <w:t>,</w:t>
      </w:r>
      <w:r w:rsidR="00101FAE" w:rsidRPr="00101FAE">
        <w:rPr>
          <w:rFonts w:ascii="Palatino Linotype" w:eastAsia="Palatino Linotype" w:hAnsi="Palatino Linotype" w:cs="Palatino Linotype"/>
          <w:i/>
        </w:rPr>
        <w:t xml:space="preserve"> los documentos que dan cuenta de los solicitado integrados en el presente año fiscal a la fecha de la solicitud, los cuales constan de más de 8,000 (ocho mil) fojas, documentación qu</w:t>
      </w:r>
      <w:r w:rsidR="00101FAE">
        <w:rPr>
          <w:rFonts w:ascii="Palatino Linotype" w:eastAsia="Palatino Linotype" w:hAnsi="Palatino Linotype" w:cs="Palatino Linotype"/>
          <w:i/>
        </w:rPr>
        <w:t xml:space="preserve">e no se encuentra digitalizada, </w:t>
      </w:r>
      <w:r w:rsidR="00101FAE" w:rsidRPr="00101FAE">
        <w:rPr>
          <w:rFonts w:ascii="Palatino Linotype" w:eastAsia="Palatino Linotype" w:hAnsi="Palatino Linotype" w:cs="Palatino Linotype"/>
        </w:rPr>
        <w:t>por lo que se aut</w:t>
      </w:r>
      <w:r w:rsidR="00101FAE">
        <w:rPr>
          <w:rFonts w:ascii="Palatino Linotype" w:eastAsia="Palatino Linotype" w:hAnsi="Palatino Linotype" w:cs="Palatino Linotype"/>
        </w:rPr>
        <w:t xml:space="preserve">orizó el </w:t>
      </w:r>
      <w:r w:rsidR="00101FAE">
        <w:rPr>
          <w:rFonts w:ascii="Palatino Linotype" w:eastAsia="Palatino Linotype" w:hAnsi="Palatino Linotype" w:cs="Palatino Linotype"/>
        </w:rPr>
        <w:lastRenderedPageBreak/>
        <w:t xml:space="preserve">cambio de modalidad ofreciendo diversas modalidades entrega de la información a través del Comité de Transparencia. Asimismo refirió en lo que respecta al punto de solicitud </w:t>
      </w:r>
      <w:r w:rsidR="00101FAE" w:rsidRPr="00101FAE">
        <w:rPr>
          <w:rFonts w:ascii="Palatino Linotype" w:eastAsia="Palatino Linotype" w:hAnsi="Palatino Linotype" w:cs="Palatino Linotype"/>
          <w:b/>
          <w:i/>
        </w:rPr>
        <w:t>cuanto se ha pagado por cada uno y las facturas pagadas</w:t>
      </w:r>
      <w:r w:rsidR="00101FAE">
        <w:rPr>
          <w:rFonts w:ascii="Palatino Linotype" w:eastAsia="Palatino Linotype" w:hAnsi="Palatino Linotype" w:cs="Palatino Linotype"/>
        </w:rPr>
        <w:t xml:space="preserve"> no se localizó información al</w:t>
      </w:r>
      <w:r w:rsidR="00101FAE" w:rsidRPr="00101FAE">
        <w:rPr>
          <w:rFonts w:ascii="Palatino Linotype" w:eastAsia="Palatino Linotype" w:hAnsi="Palatino Linotype" w:cs="Palatino Linotype"/>
          <w:i/>
        </w:rPr>
        <w:t xml:space="preserve"> </w:t>
      </w:r>
      <w:r w:rsidR="00101FAE" w:rsidRPr="00101FAE">
        <w:rPr>
          <w:rFonts w:ascii="Palatino Linotype" w:eastAsia="Palatino Linotype" w:hAnsi="Palatino Linotype" w:cs="Palatino Linotype"/>
        </w:rPr>
        <w:t xml:space="preserve">no ser competencia </w:t>
      </w:r>
      <w:r w:rsidR="00101FAE">
        <w:rPr>
          <w:rFonts w:ascii="Palatino Linotype" w:eastAsia="Palatino Linotype" w:hAnsi="Palatino Linotype" w:cs="Palatino Linotype"/>
        </w:rPr>
        <w:t>de tal unidad administrativa generar</w:t>
      </w:r>
      <w:r w:rsidR="00101FAE" w:rsidRPr="00101FAE">
        <w:rPr>
          <w:rFonts w:ascii="Palatino Linotype" w:eastAsia="Palatino Linotype" w:hAnsi="Palatino Linotype" w:cs="Palatino Linotype"/>
        </w:rPr>
        <w:t>, ni administrar la información de pagos y facturas indicadas en la solicitud.</w:t>
      </w:r>
      <w:r w:rsidR="00101FAE">
        <w:rPr>
          <w:rFonts w:ascii="Palatino Linotype" w:eastAsia="Palatino Linotype" w:hAnsi="Palatino Linotype" w:cs="Palatino Linotype"/>
        </w:rPr>
        <w:t xml:space="preserve"> Se adjuntó el acta de del Comité de transparencia respectiva. En este mismo sentido, la Tesorería Municipal se pronuncia refiriendo que </w:t>
      </w:r>
      <w:r w:rsidR="00101FAE" w:rsidRPr="00101FAE">
        <w:rPr>
          <w:rFonts w:ascii="Palatino Linotype" w:eastAsia="Palatino Linotype" w:hAnsi="Palatino Linotype" w:cs="Palatino Linotype"/>
          <w:i/>
        </w:rPr>
        <w:t>no se cuenta con registro financiero, documental, contable o presupuestal que ampare la información solicitada</w:t>
      </w:r>
      <w:r w:rsidR="00101FAE">
        <w:rPr>
          <w:rFonts w:ascii="Palatino Linotype" w:eastAsia="Palatino Linotype" w:hAnsi="Palatino Linotype" w:cs="Palatino Linotype"/>
          <w:i/>
        </w:rPr>
        <w:t>.</w:t>
      </w:r>
    </w:p>
    <w:p w:rsidR="001F0E64" w:rsidRDefault="001F0E64" w:rsidP="001F0E64">
      <w:pPr>
        <w:spacing w:line="360" w:lineRule="auto"/>
        <w:ind w:right="-787"/>
        <w:jc w:val="both"/>
        <w:rPr>
          <w:rFonts w:ascii="Palatino Linotype" w:eastAsia="Palatino Linotype" w:hAnsi="Palatino Linotype" w:cs="Palatino Linotype"/>
        </w:rPr>
      </w:pPr>
    </w:p>
    <w:p w:rsidR="00101FAE" w:rsidRDefault="00101FAE" w:rsidP="00101FAE">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sidR="00D90028">
        <w:rPr>
          <w:rFonts w:ascii="Palatino Linotype" w:eastAsia="Palatino Linotype" w:hAnsi="Palatino Linotype" w:cs="Palatino Linotype"/>
        </w:rPr>
        <w:t>consecuencia el particular se dolió por la negativa de la entrega de la información, ratificado el Sujeto Obligado su respuesta inicial.</w:t>
      </w:r>
    </w:p>
    <w:p w:rsidR="00D90028" w:rsidRDefault="00D90028" w:rsidP="00D90028">
      <w:pPr>
        <w:spacing w:line="360" w:lineRule="auto"/>
        <w:ind w:right="-787"/>
        <w:jc w:val="both"/>
        <w:rPr>
          <w:rFonts w:ascii="Palatino Linotype" w:eastAsia="Palatino Linotype" w:hAnsi="Palatino Linotype" w:cs="Palatino Linotype"/>
        </w:rPr>
      </w:pPr>
    </w:p>
    <w:p w:rsidR="00D90028" w:rsidRPr="00715CD6" w:rsidRDefault="00D90028" w:rsidP="00D90028">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Posteriormente en fecha </w:t>
      </w:r>
      <w:r w:rsidR="00715CD6">
        <w:rPr>
          <w:rFonts w:ascii="Palatino Linotype" w:eastAsia="Palatino Linotype" w:hAnsi="Palatino Linotype" w:cs="Palatino Linotype"/>
          <w:color w:val="000000"/>
        </w:rPr>
        <w:t>19 de marzo de 2026</w:t>
      </w:r>
      <w:r>
        <w:rPr>
          <w:rFonts w:ascii="Palatino Linotype" w:eastAsia="Palatino Linotype" w:hAnsi="Palatino Linotype" w:cs="Palatino Linotype"/>
          <w:color w:val="000000"/>
        </w:rPr>
        <w:t>, este Organismo realizó un requerimiento de información a la Titular de la Unidad de Transparencia  del Sujeto Obligado, a fin de contar con mayores elementos para resolver el presente medio de impugnación, como se muestra en  la siguiente captura de pantalla:</w:t>
      </w:r>
    </w:p>
    <w:p w:rsidR="00715CD6" w:rsidRDefault="00715CD6" w:rsidP="00715CD6">
      <w:pPr>
        <w:spacing w:line="360" w:lineRule="auto"/>
        <w:ind w:right="-787"/>
        <w:jc w:val="both"/>
        <w:rPr>
          <w:rFonts w:ascii="Palatino Linotype" w:eastAsia="Palatino Linotype" w:hAnsi="Palatino Linotype" w:cs="Palatino Linotype"/>
          <w:color w:val="000000"/>
        </w:rPr>
      </w:pPr>
    </w:p>
    <w:p w:rsidR="00715CD6" w:rsidRDefault="00715CD6" w:rsidP="00715CD6">
      <w:pPr>
        <w:spacing w:line="360" w:lineRule="auto"/>
        <w:ind w:right="-787"/>
        <w:jc w:val="center"/>
        <w:rPr>
          <w:color w:val="000000"/>
        </w:rPr>
      </w:pPr>
      <w:r w:rsidRPr="00715CD6">
        <w:rPr>
          <w:noProof/>
          <w:color w:val="000000"/>
          <w:lang w:val="es-MX" w:eastAsia="es-MX"/>
        </w:rPr>
        <w:lastRenderedPageBreak/>
        <w:drawing>
          <wp:inline distT="0" distB="0" distL="0" distR="0" wp14:anchorId="4F540933" wp14:editId="377C5549">
            <wp:extent cx="3540813" cy="3890793"/>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8401" cy="3910120"/>
                    </a:xfrm>
                    <a:prstGeom prst="rect">
                      <a:avLst/>
                    </a:prstGeom>
                  </pic:spPr>
                </pic:pic>
              </a:graphicData>
            </a:graphic>
          </wp:inline>
        </w:drawing>
      </w:r>
    </w:p>
    <w:p w:rsidR="00D14CC7" w:rsidRDefault="00D14CC7" w:rsidP="00715CD6">
      <w:pPr>
        <w:spacing w:line="360" w:lineRule="auto"/>
        <w:ind w:right="-787"/>
        <w:jc w:val="center"/>
        <w:rPr>
          <w:color w:val="000000"/>
        </w:rPr>
      </w:pPr>
    </w:p>
    <w:p w:rsidR="00715CD6" w:rsidRPr="00144A7C" w:rsidRDefault="00715CD6" w:rsidP="00715CD6">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Consecuentemente en fecha 24 de marzo de 2026, el Sujeto Obligado a través de la Titular de la Unidad de Transparencia, respondió vía correo electrónico a la solicitud de requerimiento de mayor información, con diversos docum</w:t>
      </w:r>
      <w:r w:rsidR="00144A7C">
        <w:rPr>
          <w:rFonts w:ascii="Palatino Linotype" w:eastAsia="Palatino Linotype" w:hAnsi="Palatino Linotype" w:cs="Palatino Linotype"/>
          <w:color w:val="000000"/>
        </w:rPr>
        <w:t>entos, mismos que se describen a continuación:</w:t>
      </w:r>
    </w:p>
    <w:p w:rsidR="00144A7C" w:rsidRDefault="00144A7C" w:rsidP="00144A7C">
      <w:pPr>
        <w:spacing w:line="360" w:lineRule="auto"/>
        <w:ind w:right="-787"/>
        <w:jc w:val="both"/>
        <w:rPr>
          <w:rFonts w:ascii="Palatino Linotype" w:eastAsia="Palatino Linotype" w:hAnsi="Palatino Linotype" w:cs="Palatino Linotype"/>
          <w:color w:val="000000"/>
        </w:rPr>
      </w:pPr>
    </w:p>
    <w:p w:rsidR="00144A7C" w:rsidRDefault="00144A7C" w:rsidP="00144A7C">
      <w:pPr>
        <w:numPr>
          <w:ilvl w:val="0"/>
          <w:numId w:val="2"/>
        </w:numPr>
        <w:spacing w:line="360" w:lineRule="auto"/>
        <w:ind w:left="0" w:right="-787" w:firstLine="0"/>
        <w:jc w:val="both"/>
        <w:rPr>
          <w:rFonts w:ascii="Palatino Linotype" w:eastAsia="Palatino Linotype" w:hAnsi="Palatino Linotype" w:cs="Palatino Linotype"/>
          <w:bCs/>
          <w:color w:val="000000"/>
        </w:rPr>
      </w:pPr>
      <w:r>
        <w:rPr>
          <w:rFonts w:ascii="Palatino Linotype" w:eastAsia="Palatino Linotype" w:hAnsi="Palatino Linotype" w:cs="Palatino Linotype"/>
          <w:color w:val="000000"/>
        </w:rPr>
        <w:t xml:space="preserve">Correo electrónico con asunto </w:t>
      </w:r>
      <w:r w:rsidRPr="00144A7C">
        <w:rPr>
          <w:rFonts w:ascii="Palatino Linotype" w:eastAsia="Palatino Linotype" w:hAnsi="Palatino Linotype" w:cs="Palatino Linotype"/>
          <w:b/>
          <w:bCs/>
          <w:color w:val="000000"/>
        </w:rPr>
        <w:t>Registro de Incidencia del Recurso de Revisión 11773/INFOEM/IP/RR/2025</w:t>
      </w:r>
      <w:r>
        <w:rPr>
          <w:rFonts w:ascii="Palatino Linotype" w:eastAsia="Palatino Linotype" w:hAnsi="Palatino Linotype" w:cs="Palatino Linotype"/>
          <w:bCs/>
          <w:color w:val="000000"/>
        </w:rPr>
        <w:t>, en los términos siguientes:</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MX" w:eastAsia="es-MX"/>
        </w:rPr>
        <w:t>LICENCIADO</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MX" w:eastAsia="es-MX"/>
        </w:rPr>
        <w:t>NELSON CORREA PERALTA</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MX" w:eastAsia="es-MX"/>
        </w:rPr>
        <w:t>DIRECTOR GENERAL DE INFORMÁTICA</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MX" w:eastAsia="es-MX"/>
        </w:rPr>
        <w:t>DEL INFOEM</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MX" w:eastAsia="es-MX"/>
        </w:rPr>
        <w:t>P R E S E N T E</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jc w:val="both"/>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i/>
          <w:color w:val="000000"/>
          <w:sz w:val="20"/>
          <w:szCs w:val="20"/>
          <w:lang w:val="es-ES" w:eastAsia="es-MX"/>
        </w:rPr>
        <w:lastRenderedPageBreak/>
        <w:t>Con fundamento en lo dispuesto por los artículos 158, 164 y 166 de la Ley de Transparencia y Acceso a la Información Pública del Estado de México y Municipios, artículos 3.19 y 3.20 del Código Reglamentario Municipal de Toluca; la </w:t>
      </w:r>
      <w:r w:rsidRPr="00144A7C">
        <w:rPr>
          <w:rFonts w:ascii="Palatino Linotype" w:eastAsia="Times New Roman" w:hAnsi="Palatino Linotype" w:cs="Arial"/>
          <w:b/>
          <w:bCs/>
          <w:i/>
          <w:color w:val="000000"/>
          <w:sz w:val="20"/>
          <w:szCs w:val="20"/>
          <w:lang w:val="es-ES" w:eastAsia="es-MX"/>
        </w:rPr>
        <w:t>DIRECCIÓN GENERAL DE OBRAS PÚBLICAS </w:t>
      </w:r>
      <w:r w:rsidRPr="00144A7C">
        <w:rPr>
          <w:rFonts w:ascii="Palatino Linotype" w:eastAsia="Times New Roman" w:hAnsi="Palatino Linotype" w:cs="Arial"/>
          <w:i/>
          <w:color w:val="000000"/>
          <w:sz w:val="20"/>
          <w:szCs w:val="20"/>
          <w:lang w:val="es-ES" w:eastAsia="es-MX"/>
        </w:rPr>
        <w:t>solicitó el </w:t>
      </w:r>
      <w:r w:rsidRPr="00144A7C">
        <w:rPr>
          <w:rFonts w:ascii="Palatino Linotype" w:eastAsia="Times New Roman" w:hAnsi="Palatino Linotype" w:cs="Arial"/>
          <w:b/>
          <w:bCs/>
          <w:i/>
          <w:color w:val="000000"/>
          <w:sz w:val="20"/>
          <w:szCs w:val="20"/>
          <w:lang w:val="es-ES" w:eastAsia="es-MX"/>
        </w:rPr>
        <w:t>cambio de modalidad</w:t>
      </w:r>
      <w:r w:rsidRPr="00144A7C">
        <w:rPr>
          <w:rFonts w:ascii="Palatino Linotype" w:eastAsia="Times New Roman" w:hAnsi="Palatino Linotype" w:cs="Arial"/>
          <w:i/>
          <w:color w:val="000000"/>
          <w:sz w:val="20"/>
          <w:szCs w:val="20"/>
          <w:lang w:val="es-ES" w:eastAsia="es-MX"/>
        </w:rPr>
        <w:t> </w:t>
      </w:r>
      <w:r w:rsidRPr="00144A7C">
        <w:rPr>
          <w:rFonts w:ascii="Palatino Linotype" w:eastAsia="Times New Roman" w:hAnsi="Palatino Linotype" w:cs="Arial"/>
          <w:b/>
          <w:bCs/>
          <w:i/>
          <w:color w:val="000000"/>
          <w:sz w:val="20"/>
          <w:szCs w:val="20"/>
          <w:lang w:val="es-ES" w:eastAsia="es-MX"/>
        </w:rPr>
        <w:t>de entrega para consulta directa,</w:t>
      </w:r>
      <w:r w:rsidRPr="00144A7C">
        <w:rPr>
          <w:rFonts w:ascii="Palatino Linotype" w:eastAsia="Times New Roman" w:hAnsi="Palatino Linotype" w:cs="Arial"/>
          <w:i/>
          <w:color w:val="000000"/>
          <w:sz w:val="20"/>
          <w:szCs w:val="20"/>
          <w:lang w:val="es-ES" w:eastAsia="es-MX"/>
        </w:rPr>
        <w:t> en virtud de que se requiere </w:t>
      </w:r>
      <w:r w:rsidRPr="00144A7C">
        <w:rPr>
          <w:rFonts w:ascii="Palatino Linotype" w:eastAsia="Times New Roman" w:hAnsi="Palatino Linotype" w:cs="Arial"/>
          <w:b/>
          <w:bCs/>
          <w:i/>
          <w:color w:val="000000"/>
          <w:sz w:val="20"/>
          <w:szCs w:val="20"/>
          <w:lang w:val="es-MX" w:eastAsia="es-MX"/>
        </w:rPr>
        <w:t>“</w:t>
      </w:r>
      <w:r w:rsidRPr="00144A7C">
        <w:rPr>
          <w:rFonts w:ascii="Palatino Linotype" w:eastAsia="Times New Roman" w:hAnsi="Palatino Linotype" w:cs="Arial"/>
          <w:b/>
          <w:bCs/>
          <w:i/>
          <w:iCs/>
          <w:color w:val="000000"/>
          <w:sz w:val="20"/>
          <w:szCs w:val="20"/>
          <w:lang w:val="es-MX" w:eastAsia="es-MX"/>
        </w:rPr>
        <w:t>Todas las contrataciones de obras realizadas en 2025 con el expediente técnico y de contratación, cuanto se ha pagado por cada uno y las facturas pagadas, donde esta la obra y el avance que tiene.</w:t>
      </w:r>
      <w:r w:rsidRPr="00144A7C">
        <w:rPr>
          <w:rFonts w:ascii="Palatino Linotype" w:eastAsia="Times New Roman" w:hAnsi="Palatino Linotype" w:cs="Arial"/>
          <w:b/>
          <w:bCs/>
          <w:i/>
          <w:color w:val="000000"/>
          <w:sz w:val="20"/>
          <w:szCs w:val="20"/>
          <w:lang w:val="es-MX" w:eastAsia="es-MX"/>
        </w:rPr>
        <w:t>” (sic)</w:t>
      </w:r>
      <w:r w:rsidRPr="00144A7C">
        <w:rPr>
          <w:rFonts w:ascii="Palatino Linotype" w:eastAsia="Times New Roman" w:hAnsi="Palatino Linotype" w:cs="Arial"/>
          <w:b/>
          <w:bCs/>
          <w:i/>
          <w:color w:val="000000"/>
          <w:sz w:val="20"/>
          <w:szCs w:val="20"/>
          <w:lang w:val="es-ES" w:eastAsia="es-MX"/>
        </w:rPr>
        <w:t>,</w:t>
      </w:r>
      <w:r w:rsidRPr="00144A7C">
        <w:rPr>
          <w:rFonts w:ascii="Palatino Linotype" w:eastAsia="Times New Roman" w:hAnsi="Palatino Linotype" w:cs="Arial"/>
          <w:i/>
          <w:color w:val="000000"/>
          <w:sz w:val="20"/>
          <w:szCs w:val="20"/>
          <w:lang w:val="es-ES" w:eastAsia="es-MX"/>
        </w:rPr>
        <w:t> </w:t>
      </w:r>
      <w:r w:rsidRPr="00144A7C">
        <w:rPr>
          <w:rFonts w:ascii="Palatino Linotype" w:eastAsia="Times New Roman" w:hAnsi="Palatino Linotype" w:cs="Arial"/>
          <w:i/>
          <w:color w:val="000000"/>
          <w:sz w:val="20"/>
          <w:szCs w:val="20"/>
          <w:lang w:val="es-MX" w:eastAsia="es-MX"/>
        </w:rPr>
        <w:t>de la Solicitud de Acceso a la Información Pública </w:t>
      </w:r>
      <w:r w:rsidRPr="00144A7C">
        <w:rPr>
          <w:rFonts w:ascii="Palatino Linotype" w:eastAsia="Times New Roman" w:hAnsi="Palatino Linotype" w:cs="Arial"/>
          <w:b/>
          <w:bCs/>
          <w:i/>
          <w:color w:val="000000"/>
          <w:sz w:val="20"/>
          <w:szCs w:val="20"/>
          <w:lang w:val="es-MX" w:eastAsia="es-MX"/>
        </w:rPr>
        <w:t>04633/TOLUCA/IP/2025 </w:t>
      </w:r>
      <w:r w:rsidRPr="00144A7C">
        <w:rPr>
          <w:rFonts w:ascii="Palatino Linotype" w:eastAsia="Times New Roman" w:hAnsi="Palatino Linotype" w:cs="Arial"/>
          <w:i/>
          <w:color w:val="000000"/>
          <w:sz w:val="20"/>
          <w:szCs w:val="20"/>
          <w:lang w:val="es-MX" w:eastAsia="es-MX"/>
        </w:rPr>
        <w:t>la cual deriva en el Recurso de Revisión</w:t>
      </w:r>
      <w:r w:rsidRPr="00144A7C">
        <w:rPr>
          <w:rFonts w:ascii="Palatino Linotype" w:eastAsia="Times New Roman" w:hAnsi="Palatino Linotype" w:cs="Arial"/>
          <w:b/>
          <w:bCs/>
          <w:i/>
          <w:color w:val="000000"/>
          <w:sz w:val="20"/>
          <w:szCs w:val="20"/>
          <w:lang w:val="es-MX" w:eastAsia="es-MX"/>
        </w:rPr>
        <w:t>11773/INFOEM/IP/RR/2025</w:t>
      </w:r>
      <w:r w:rsidRPr="00144A7C">
        <w:rPr>
          <w:rFonts w:ascii="Palatino Linotype" w:eastAsia="Times New Roman" w:hAnsi="Palatino Linotype" w:cs="Arial"/>
          <w:i/>
          <w:color w:val="000000"/>
          <w:sz w:val="20"/>
          <w:szCs w:val="20"/>
          <w:lang w:val="es-MX" w:eastAsia="es-MX"/>
        </w:rPr>
        <w:t>, </w:t>
      </w:r>
      <w:r w:rsidRPr="00144A7C">
        <w:rPr>
          <w:rFonts w:ascii="Palatino Linotype" w:eastAsia="Times New Roman" w:hAnsi="Palatino Linotype" w:cs="Arial"/>
          <w:i/>
          <w:color w:val="000000"/>
          <w:sz w:val="20"/>
          <w:szCs w:val="20"/>
          <w:lang w:val="es-ES" w:eastAsia="es-MX"/>
        </w:rPr>
        <w:t>y considerando que el sistema tiene un soporte tecnológico para que se puedan adjuntar archivos como respuesta a las solicitudes de información con un peso aproximado de hasta </w:t>
      </w:r>
      <w:r w:rsidRPr="00144A7C">
        <w:rPr>
          <w:rFonts w:ascii="Palatino Linotype" w:eastAsia="Times New Roman" w:hAnsi="Palatino Linotype" w:cs="Arial"/>
          <w:b/>
          <w:bCs/>
          <w:i/>
          <w:color w:val="000000"/>
          <w:sz w:val="20"/>
          <w:szCs w:val="20"/>
          <w:lang w:val="es-ES" w:eastAsia="es-MX"/>
        </w:rPr>
        <w:t>500 Mb</w:t>
      </w:r>
      <w:r w:rsidRPr="00144A7C">
        <w:rPr>
          <w:rFonts w:ascii="Palatino Linotype" w:eastAsia="Times New Roman" w:hAnsi="Palatino Linotype" w:cs="Arial"/>
          <w:i/>
          <w:color w:val="000000"/>
          <w:sz w:val="20"/>
          <w:szCs w:val="20"/>
          <w:lang w:val="es-ES" w:eastAsia="es-MX"/>
        </w:rPr>
        <w:t> (8 mil hojas) y el volumen de la información referida supera los 2750 MB  siento un total de 44080 (cuarenta y cuatro mil ochenta) fojas, se adjunta la solicitud enviada por el Servidor Público Habilitado a esta Unidad de Transparencia para pronta referencia.</w:t>
      </w:r>
    </w:p>
    <w:p w:rsidR="00144A7C" w:rsidRPr="00144A7C" w:rsidRDefault="00144A7C" w:rsidP="00144A7C">
      <w:pPr>
        <w:shd w:val="clear" w:color="auto" w:fill="FFFFFF"/>
        <w:ind w:left="567" w:right="-291"/>
        <w:jc w:val="both"/>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jc w:val="both"/>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i/>
          <w:color w:val="000000"/>
          <w:sz w:val="20"/>
          <w:szCs w:val="20"/>
          <w:lang w:val="es-ES" w:eastAsia="es-MX"/>
        </w:rPr>
        <w:t>Sirve de apoyo el criterio de interpretación para sujetos obligados reiterado vigente, visible con la clave de control </w:t>
      </w:r>
      <w:r w:rsidRPr="00144A7C">
        <w:rPr>
          <w:rFonts w:ascii="Palatino Linotype" w:eastAsia="Times New Roman" w:hAnsi="Palatino Linotype" w:cs="Arial"/>
          <w:b/>
          <w:bCs/>
          <w:i/>
          <w:color w:val="000000"/>
          <w:sz w:val="20"/>
          <w:szCs w:val="20"/>
          <w:lang w:val="es-ES" w:eastAsia="es-MX"/>
        </w:rPr>
        <w:t>SO/008/2017</w:t>
      </w:r>
      <w:r w:rsidRPr="00144A7C">
        <w:rPr>
          <w:rFonts w:ascii="Palatino Linotype" w:eastAsia="Times New Roman" w:hAnsi="Palatino Linotype" w:cs="Arial"/>
          <w:i/>
          <w:color w:val="000000"/>
          <w:sz w:val="20"/>
          <w:szCs w:val="20"/>
          <w:lang w:val="es-ES" w:eastAsia="es-MX"/>
        </w:rPr>
        <w:t>, emitido por el entonces Instituto Nacional de Transparencia, Acceso a la Información y Protección de Datos Personales (INAI).</w:t>
      </w:r>
    </w:p>
    <w:p w:rsidR="00144A7C" w:rsidRPr="00144A7C" w:rsidRDefault="00144A7C" w:rsidP="00144A7C">
      <w:pPr>
        <w:shd w:val="clear" w:color="auto" w:fill="FFFFFF"/>
        <w:ind w:left="567" w:right="-291"/>
        <w:jc w:val="both"/>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i/>
          <w:color w:val="000000"/>
          <w:sz w:val="20"/>
          <w:szCs w:val="20"/>
          <w:lang w:val="es-ES" w:eastAsia="es-MX"/>
        </w:rPr>
        <w:t> </w:t>
      </w:r>
    </w:p>
    <w:p w:rsidR="00144A7C" w:rsidRPr="00144A7C" w:rsidRDefault="00144A7C" w:rsidP="00144A7C">
      <w:pPr>
        <w:shd w:val="clear" w:color="auto" w:fill="FFFFFF"/>
        <w:ind w:left="567" w:right="-291"/>
        <w:jc w:val="both"/>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i/>
          <w:color w:val="000000"/>
          <w:sz w:val="20"/>
          <w:szCs w:val="20"/>
          <w:lang w:val="es-ES" w:eastAsia="es-MX"/>
        </w:rPr>
        <w:t>A efecto de estar en posibilidades de dar respuesta al Recurso de Revisión </w:t>
      </w:r>
      <w:r w:rsidRPr="00144A7C">
        <w:rPr>
          <w:rFonts w:ascii="Palatino Linotype" w:eastAsia="Times New Roman" w:hAnsi="Palatino Linotype" w:cs="Arial"/>
          <w:b/>
          <w:bCs/>
          <w:i/>
          <w:color w:val="000000"/>
          <w:sz w:val="20"/>
          <w:szCs w:val="20"/>
          <w:lang w:val="es-ES" w:eastAsia="es-MX"/>
        </w:rPr>
        <w:t>11773/INFOEM/IP/RR/2025</w:t>
      </w:r>
      <w:r w:rsidRPr="00144A7C">
        <w:rPr>
          <w:rFonts w:ascii="Palatino Linotype" w:eastAsia="Times New Roman" w:hAnsi="Palatino Linotype" w:cs="Arial"/>
          <w:i/>
          <w:color w:val="000000"/>
          <w:sz w:val="20"/>
          <w:szCs w:val="20"/>
          <w:lang w:val="es-ES" w:eastAsia="es-MX"/>
        </w:rPr>
        <w:t>, y toda vez que la información rebasa las capacidades técnicas para entregarse a través del Sistema SAIMEX, hago de su conocimiento de la presente incidencia, así mismo, se solicita la inscripción correspondiente en la bitácora que se lleva para tal efecto.</w:t>
      </w:r>
    </w:p>
    <w:p w:rsidR="00144A7C" w:rsidRPr="00144A7C" w:rsidRDefault="00144A7C" w:rsidP="00144A7C">
      <w:pPr>
        <w:shd w:val="clear" w:color="auto" w:fill="FFFFFF"/>
        <w:ind w:left="567" w:right="-291"/>
        <w:jc w:val="both"/>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i/>
          <w:color w:val="000000"/>
          <w:sz w:val="20"/>
          <w:szCs w:val="20"/>
          <w:lang w:val="es-ES" w:eastAsia="es-MX"/>
        </w:rPr>
        <w:t> </w:t>
      </w:r>
    </w:p>
    <w:p w:rsidR="00144A7C" w:rsidRPr="00144A7C" w:rsidRDefault="00144A7C" w:rsidP="00144A7C">
      <w:pPr>
        <w:shd w:val="clear" w:color="auto" w:fill="FFFFFF"/>
        <w:ind w:left="567" w:right="-291"/>
        <w:jc w:val="both"/>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i/>
          <w:color w:val="000000"/>
          <w:sz w:val="20"/>
          <w:szCs w:val="20"/>
          <w:lang w:val="es-ES" w:eastAsia="es-MX"/>
        </w:rPr>
        <w:t>Sin más por el momento, le reitero la seguridad de </w:t>
      </w:r>
      <w:r w:rsidRPr="00144A7C">
        <w:rPr>
          <w:rFonts w:ascii="Palatino Linotype" w:eastAsia="Times New Roman" w:hAnsi="Palatino Linotype" w:cs="Arial"/>
          <w:i/>
          <w:color w:val="005A95"/>
          <w:sz w:val="20"/>
          <w:szCs w:val="20"/>
          <w:lang w:val="es-ES" w:eastAsia="es-MX"/>
        </w:rPr>
        <w:t>mi</w:t>
      </w:r>
      <w:r w:rsidRPr="00144A7C">
        <w:rPr>
          <w:rFonts w:ascii="Palatino Linotype" w:eastAsia="Times New Roman" w:hAnsi="Palatino Linotype" w:cs="Arial"/>
          <w:i/>
          <w:color w:val="000000"/>
          <w:sz w:val="20"/>
          <w:szCs w:val="20"/>
          <w:lang w:val="es-ES" w:eastAsia="es-MX"/>
        </w:rPr>
        <w:t> más alta y distinguida consideración.</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jc w:val="center"/>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A T E N T A M E N T E</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rPr>
          <w:rFonts w:ascii="Palatino Linotype" w:eastAsia="Times New Roman" w:hAnsi="Palatino Linotype"/>
          <w:i/>
          <w:color w:val="000000"/>
          <w:sz w:val="20"/>
          <w:szCs w:val="20"/>
          <w:lang w:val="es-MX" w:eastAsia="es-MX"/>
        </w:rPr>
      </w:pPr>
      <w:r w:rsidRPr="00144A7C">
        <w:rPr>
          <w:rFonts w:ascii="Palatino Linotype" w:eastAsia="Times New Roman" w:hAnsi="Palatino Linotype" w:cs="Arial"/>
          <w:b/>
          <w:bCs/>
          <w:i/>
          <w:color w:val="000000"/>
          <w:sz w:val="20"/>
          <w:szCs w:val="20"/>
          <w:lang w:val="es-ES" w:eastAsia="es-MX"/>
        </w:rPr>
        <w:t> </w:t>
      </w:r>
    </w:p>
    <w:p w:rsidR="00144A7C" w:rsidRPr="00144A7C" w:rsidRDefault="00144A7C" w:rsidP="00144A7C">
      <w:pPr>
        <w:shd w:val="clear" w:color="auto" w:fill="FFFFFF"/>
        <w:ind w:left="567" w:right="-291"/>
        <w:jc w:val="center"/>
        <w:rPr>
          <w:rFonts w:ascii="Palatino Linotype" w:eastAsia="Times New Roman" w:hAnsi="Palatino Linotype"/>
          <w:i/>
          <w:color w:val="000000"/>
          <w:sz w:val="20"/>
          <w:szCs w:val="20"/>
          <w:lang w:val="es-MX" w:eastAsia="es-MX"/>
        </w:rPr>
      </w:pPr>
      <w:bookmarkStart w:id="8" w:name="_Hlk200108495"/>
      <w:bookmarkEnd w:id="8"/>
      <w:r w:rsidRPr="00144A7C">
        <w:rPr>
          <w:rFonts w:ascii="Palatino Linotype" w:eastAsia="Times New Roman" w:hAnsi="Palatino Linotype" w:cs="Arial"/>
          <w:b/>
          <w:bCs/>
          <w:i/>
          <w:color w:val="000000"/>
          <w:sz w:val="20"/>
          <w:szCs w:val="20"/>
          <w:lang w:val="es-MX" w:eastAsia="es-MX"/>
        </w:rPr>
        <w:t>LIC. ERASMO ELISEO PÉREZ MARTÍNEZ</w:t>
      </w:r>
    </w:p>
    <w:p w:rsidR="00144A7C" w:rsidRPr="00144A7C" w:rsidRDefault="00144A7C" w:rsidP="00144A7C">
      <w:pPr>
        <w:shd w:val="clear" w:color="auto" w:fill="FFFFFF"/>
        <w:ind w:left="567" w:right="-291"/>
        <w:jc w:val="center"/>
        <w:rPr>
          <w:rFonts w:ascii="Palatino Linotype" w:eastAsia="Times New Roman" w:hAnsi="Palatino Linotype"/>
          <w:color w:val="000000"/>
          <w:sz w:val="20"/>
          <w:szCs w:val="20"/>
          <w:lang w:val="es-MX" w:eastAsia="es-MX"/>
        </w:rPr>
      </w:pPr>
      <w:r w:rsidRPr="00144A7C">
        <w:rPr>
          <w:rFonts w:ascii="Palatino Linotype" w:eastAsia="Times New Roman" w:hAnsi="Palatino Linotype" w:cs="Arial"/>
          <w:b/>
          <w:bCs/>
          <w:i/>
          <w:color w:val="000000"/>
          <w:sz w:val="20"/>
          <w:szCs w:val="20"/>
          <w:lang w:val="es-MX" w:eastAsia="es-MX"/>
        </w:rPr>
        <w:t xml:space="preserve">JEFE DE DEPARTAMENTO DE ACCESO A LA INFORMACIÓN </w:t>
      </w:r>
      <w:r w:rsidRPr="00144A7C">
        <w:rPr>
          <w:rFonts w:ascii="Palatino Linotype" w:eastAsia="Times New Roman" w:hAnsi="Palatino Linotype" w:cs="Arial"/>
          <w:b/>
          <w:bCs/>
          <w:color w:val="000000"/>
          <w:sz w:val="20"/>
          <w:szCs w:val="20"/>
          <w:lang w:val="es-MX" w:eastAsia="es-MX"/>
        </w:rPr>
        <w:t>PÚBLICA DEL AYUNTAMIENTO DE TOLUCA</w:t>
      </w:r>
    </w:p>
    <w:p w:rsidR="00144A7C" w:rsidRDefault="00144A7C" w:rsidP="00144A7C">
      <w:pPr>
        <w:spacing w:line="360" w:lineRule="auto"/>
        <w:ind w:right="-787"/>
        <w:jc w:val="both"/>
        <w:rPr>
          <w:rFonts w:ascii="Palatino Linotype" w:eastAsia="Palatino Linotype" w:hAnsi="Palatino Linotype" w:cs="Palatino Linotype"/>
          <w:bCs/>
          <w:color w:val="000000"/>
        </w:rPr>
      </w:pPr>
    </w:p>
    <w:p w:rsidR="00144A7C" w:rsidRDefault="00144A7C"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Adjuntando los documentos siguientes:</w:t>
      </w:r>
    </w:p>
    <w:p w:rsidR="00144A7C" w:rsidRDefault="00144A7C" w:rsidP="00144A7C">
      <w:pPr>
        <w:ind w:left="567" w:right="-788"/>
        <w:jc w:val="both"/>
        <w:rPr>
          <w:rFonts w:ascii="Palatino Linotype" w:eastAsia="Palatino Linotype" w:hAnsi="Palatino Linotype" w:cs="Palatino Linotype"/>
          <w:bCs/>
          <w:color w:val="000000"/>
        </w:rPr>
      </w:pPr>
    </w:p>
    <w:p w:rsidR="00144A7C" w:rsidRDefault="00144A7C" w:rsidP="005F6634">
      <w:pPr>
        <w:pStyle w:val="Prrafodelista"/>
        <w:numPr>
          <w:ilvl w:val="0"/>
          <w:numId w:val="7"/>
        </w:numPr>
        <w:ind w:right="-788"/>
        <w:jc w:val="both"/>
        <w:rPr>
          <w:rFonts w:ascii="Palatino Linotype" w:eastAsia="Palatino Linotype" w:hAnsi="Palatino Linotype" w:cs="Palatino Linotype"/>
          <w:b/>
          <w:bCs/>
          <w:i/>
          <w:color w:val="000000"/>
        </w:rPr>
      </w:pPr>
      <w:r w:rsidRPr="00D419F8">
        <w:rPr>
          <w:rFonts w:ascii="Palatino Linotype" w:eastAsia="Palatino Linotype" w:hAnsi="Palatino Linotype" w:cs="Palatino Linotype"/>
          <w:b/>
          <w:bCs/>
          <w:i/>
          <w:color w:val="000000"/>
        </w:rPr>
        <w:t>11773_2025_REQUERIMIENTO DE INFORMACION.pdf</w:t>
      </w:r>
    </w:p>
    <w:p w:rsidR="005B6853" w:rsidRPr="00D419F8" w:rsidRDefault="005B6853" w:rsidP="005B6853">
      <w:pPr>
        <w:pStyle w:val="Prrafodelista"/>
        <w:ind w:left="1287" w:right="-788"/>
        <w:jc w:val="both"/>
        <w:rPr>
          <w:rFonts w:ascii="Palatino Linotype" w:eastAsia="Palatino Linotype" w:hAnsi="Palatino Linotype" w:cs="Palatino Linotype"/>
          <w:b/>
          <w:bCs/>
          <w:i/>
          <w:color w:val="000000"/>
        </w:rPr>
      </w:pPr>
    </w:p>
    <w:p w:rsidR="00BC698C" w:rsidRDefault="00BC698C"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 xml:space="preserve">Oficio EC/DGOP/0487/2026 de fecha 23 de marzo de 2026, firmado por el </w:t>
      </w:r>
      <w:r w:rsidRPr="00D419F8">
        <w:rPr>
          <w:rFonts w:ascii="Palatino Linotype" w:eastAsia="Palatino Linotype" w:hAnsi="Palatino Linotype" w:cs="Palatino Linotype"/>
          <w:b/>
          <w:bCs/>
          <w:color w:val="000000"/>
        </w:rPr>
        <w:t>Director General de Obras Públicas</w:t>
      </w:r>
      <w:r>
        <w:rPr>
          <w:rFonts w:ascii="Palatino Linotype" w:eastAsia="Palatino Linotype" w:hAnsi="Palatino Linotype" w:cs="Palatino Linotype"/>
          <w:bCs/>
          <w:color w:val="000000"/>
        </w:rPr>
        <w:t>, a través del cual refiere:</w:t>
      </w:r>
    </w:p>
    <w:p w:rsidR="00BC698C" w:rsidRDefault="00BC698C" w:rsidP="00144A7C">
      <w:pPr>
        <w:ind w:left="567" w:right="-788"/>
        <w:jc w:val="both"/>
        <w:rPr>
          <w:rFonts w:ascii="Palatino Linotype" w:eastAsia="Palatino Linotype" w:hAnsi="Palatino Linotype" w:cs="Palatino Linotype"/>
          <w:bCs/>
          <w:color w:val="000000"/>
        </w:rPr>
      </w:pPr>
    </w:p>
    <w:p w:rsidR="00BC698C" w:rsidRDefault="00D419F8"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lastRenderedPageBreak/>
        <w:t>1. la información requerida consta de 44,080 fojas, agregando el cuadro siguiente:</w:t>
      </w:r>
    </w:p>
    <w:p w:rsidR="00D419F8" w:rsidRDefault="00D419F8" w:rsidP="005B6853">
      <w:pPr>
        <w:ind w:left="567" w:right="-788"/>
        <w:jc w:val="center"/>
        <w:rPr>
          <w:rFonts w:ascii="Palatino Linotype" w:eastAsia="Palatino Linotype" w:hAnsi="Palatino Linotype" w:cs="Palatino Linotype"/>
          <w:bCs/>
          <w:color w:val="000000"/>
        </w:rPr>
      </w:pPr>
      <w:r w:rsidRPr="00D419F8">
        <w:rPr>
          <w:rFonts w:ascii="Palatino Linotype" w:eastAsia="Palatino Linotype" w:hAnsi="Palatino Linotype" w:cs="Palatino Linotype"/>
          <w:bCs/>
          <w:noProof/>
          <w:color w:val="000000"/>
          <w:lang w:val="es-MX" w:eastAsia="es-MX"/>
        </w:rPr>
        <w:drawing>
          <wp:inline distT="0" distB="0" distL="0" distR="0" wp14:anchorId="011FF430" wp14:editId="6CF5EDB5">
            <wp:extent cx="3536596" cy="856350"/>
            <wp:effectExtent l="0" t="0" r="698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09" r="7157"/>
                    <a:stretch/>
                  </pic:blipFill>
                  <pic:spPr bwMode="auto">
                    <a:xfrm>
                      <a:off x="0" y="0"/>
                      <a:ext cx="3588692" cy="868964"/>
                    </a:xfrm>
                    <a:prstGeom prst="rect">
                      <a:avLst/>
                    </a:prstGeom>
                    <a:ln>
                      <a:noFill/>
                    </a:ln>
                    <a:extLst>
                      <a:ext uri="{53640926-AAD7-44D8-BBD7-CCE9431645EC}">
                        <a14:shadowObscured xmlns:a14="http://schemas.microsoft.com/office/drawing/2010/main"/>
                      </a:ext>
                    </a:extLst>
                  </pic:spPr>
                </pic:pic>
              </a:graphicData>
            </a:graphic>
          </wp:inline>
        </w:drawing>
      </w:r>
    </w:p>
    <w:p w:rsidR="00D14CC7" w:rsidRDefault="00D14CC7" w:rsidP="005B6853">
      <w:pPr>
        <w:ind w:left="567" w:right="-788"/>
        <w:jc w:val="center"/>
        <w:rPr>
          <w:rFonts w:ascii="Palatino Linotype" w:eastAsia="Palatino Linotype" w:hAnsi="Palatino Linotype" w:cs="Palatino Linotype"/>
          <w:bCs/>
          <w:color w:val="000000"/>
        </w:rPr>
      </w:pPr>
    </w:p>
    <w:p w:rsidR="00D14CC7" w:rsidRDefault="00D14CC7" w:rsidP="005B6853">
      <w:pPr>
        <w:ind w:left="567" w:right="-788"/>
        <w:jc w:val="center"/>
        <w:rPr>
          <w:rFonts w:ascii="Palatino Linotype" w:eastAsia="Palatino Linotype" w:hAnsi="Palatino Linotype" w:cs="Palatino Linotype"/>
          <w:bCs/>
          <w:color w:val="000000"/>
        </w:rPr>
      </w:pPr>
    </w:p>
    <w:p w:rsidR="00D419F8" w:rsidRDefault="00D419F8"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Lo que implicaría un peso equivalente a 2750 MB, aunado a que generar las versiones públicas aumentaría el peso de las documentales.</w:t>
      </w:r>
    </w:p>
    <w:p w:rsidR="00D419F8" w:rsidRDefault="00D419F8" w:rsidP="00144A7C">
      <w:pPr>
        <w:ind w:left="567" w:right="-788"/>
        <w:jc w:val="both"/>
        <w:rPr>
          <w:rFonts w:ascii="Palatino Linotype" w:eastAsia="Palatino Linotype" w:hAnsi="Palatino Linotype" w:cs="Palatino Linotype"/>
          <w:bCs/>
          <w:color w:val="000000"/>
        </w:rPr>
      </w:pPr>
    </w:p>
    <w:p w:rsidR="00D419F8" w:rsidRDefault="00D419F8"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2. La Dirección General tiene una carga de trabajo considerable, por lo que no cuenta con la capacidad humana para realizar la digitalización y revisión minuciosa de los documentos para generar la versión pública, ya que solo es un servidor público encargado de realizar dichas actividades adicionales a sus labores cotidianas.</w:t>
      </w:r>
    </w:p>
    <w:p w:rsidR="00D419F8" w:rsidRDefault="00D419F8" w:rsidP="00144A7C">
      <w:pPr>
        <w:ind w:left="567" w:right="-788"/>
        <w:jc w:val="both"/>
        <w:rPr>
          <w:rFonts w:ascii="Palatino Linotype" w:eastAsia="Palatino Linotype" w:hAnsi="Palatino Linotype" w:cs="Palatino Linotype"/>
          <w:bCs/>
          <w:color w:val="000000"/>
        </w:rPr>
      </w:pPr>
    </w:p>
    <w:p w:rsidR="00D419F8" w:rsidRDefault="00D419F8"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3. Se solicita a la Unidad de transparencia realizar el reporte de incidencias correspondiente.</w:t>
      </w:r>
    </w:p>
    <w:p w:rsidR="00077A37" w:rsidRDefault="00077A37" w:rsidP="00144A7C">
      <w:pPr>
        <w:ind w:left="567" w:right="-788"/>
        <w:jc w:val="both"/>
        <w:rPr>
          <w:rFonts w:ascii="Palatino Linotype" w:eastAsia="Palatino Linotype" w:hAnsi="Palatino Linotype" w:cs="Palatino Linotype"/>
          <w:bCs/>
          <w:color w:val="000000"/>
        </w:rPr>
      </w:pPr>
    </w:p>
    <w:p w:rsidR="00077A37" w:rsidRDefault="00077A37"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Asimismo, adjunta evidencia fotográfica para atender el requerimiento de información.</w:t>
      </w:r>
    </w:p>
    <w:p w:rsidR="00077A37" w:rsidRDefault="00077A37" w:rsidP="00144A7C">
      <w:pPr>
        <w:ind w:left="567" w:right="-788"/>
        <w:jc w:val="both"/>
        <w:rPr>
          <w:rFonts w:ascii="Palatino Linotype" w:eastAsia="Palatino Linotype" w:hAnsi="Palatino Linotype" w:cs="Palatino Linotype"/>
          <w:bCs/>
          <w:color w:val="000000"/>
        </w:rPr>
      </w:pPr>
    </w:p>
    <w:p w:rsidR="00077A37" w:rsidRDefault="00077A37" w:rsidP="00077A37">
      <w:pPr>
        <w:ind w:left="567" w:right="-788"/>
        <w:jc w:val="center"/>
        <w:rPr>
          <w:rFonts w:ascii="Palatino Linotype" w:eastAsia="Palatino Linotype" w:hAnsi="Palatino Linotype" w:cs="Palatino Linotype"/>
          <w:bCs/>
          <w:color w:val="000000"/>
        </w:rPr>
      </w:pPr>
      <w:r w:rsidRPr="00077A37">
        <w:rPr>
          <w:rFonts w:ascii="Palatino Linotype" w:eastAsia="Palatino Linotype" w:hAnsi="Palatino Linotype" w:cs="Palatino Linotype"/>
          <w:bCs/>
          <w:noProof/>
          <w:color w:val="000000"/>
          <w:lang w:val="es-MX" w:eastAsia="es-MX"/>
        </w:rPr>
        <w:lastRenderedPageBreak/>
        <w:drawing>
          <wp:inline distT="0" distB="0" distL="0" distR="0" wp14:anchorId="14C8899D" wp14:editId="6DEF0A43">
            <wp:extent cx="3927475" cy="4765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9684" cy="4780642"/>
                    </a:xfrm>
                    <a:prstGeom prst="rect">
                      <a:avLst/>
                    </a:prstGeom>
                  </pic:spPr>
                </pic:pic>
              </a:graphicData>
            </a:graphic>
          </wp:inline>
        </w:drawing>
      </w:r>
    </w:p>
    <w:p w:rsidR="00077A37" w:rsidRDefault="00077A37" w:rsidP="00077A37">
      <w:pPr>
        <w:ind w:left="567" w:right="-788"/>
        <w:jc w:val="center"/>
        <w:rPr>
          <w:rFonts w:ascii="Palatino Linotype" w:eastAsia="Palatino Linotype" w:hAnsi="Palatino Linotype" w:cs="Palatino Linotype"/>
          <w:bCs/>
          <w:color w:val="000000"/>
        </w:rPr>
      </w:pPr>
    </w:p>
    <w:p w:rsidR="00077A37" w:rsidRPr="00BC698C" w:rsidRDefault="00077A37" w:rsidP="00077A37">
      <w:pPr>
        <w:ind w:left="567" w:right="-788"/>
        <w:jc w:val="center"/>
        <w:rPr>
          <w:rFonts w:ascii="Palatino Linotype" w:eastAsia="Palatino Linotype" w:hAnsi="Palatino Linotype" w:cs="Palatino Linotype"/>
          <w:bCs/>
          <w:color w:val="000000"/>
        </w:rPr>
      </w:pPr>
      <w:r w:rsidRPr="00077A37">
        <w:rPr>
          <w:rFonts w:ascii="Palatino Linotype" w:eastAsia="Palatino Linotype" w:hAnsi="Palatino Linotype" w:cs="Palatino Linotype"/>
          <w:bCs/>
          <w:noProof/>
          <w:color w:val="000000"/>
          <w:lang w:val="es-MX" w:eastAsia="es-MX"/>
        </w:rPr>
        <w:drawing>
          <wp:inline distT="0" distB="0" distL="0" distR="0" wp14:anchorId="39A2C9D1" wp14:editId="5A8C9789">
            <wp:extent cx="3477492" cy="2003082"/>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0237" cy="2010423"/>
                    </a:xfrm>
                    <a:prstGeom prst="rect">
                      <a:avLst/>
                    </a:prstGeom>
                  </pic:spPr>
                </pic:pic>
              </a:graphicData>
            </a:graphic>
          </wp:inline>
        </w:drawing>
      </w:r>
    </w:p>
    <w:p w:rsidR="00144A7C" w:rsidRPr="00144A7C" w:rsidRDefault="00144A7C" w:rsidP="00144A7C">
      <w:pPr>
        <w:ind w:left="567" w:right="-788"/>
        <w:jc w:val="both"/>
        <w:rPr>
          <w:rFonts w:ascii="Palatino Linotype" w:eastAsia="Palatino Linotype" w:hAnsi="Palatino Linotype" w:cs="Palatino Linotype"/>
          <w:bCs/>
          <w:color w:val="000000"/>
        </w:rPr>
      </w:pPr>
    </w:p>
    <w:p w:rsidR="00144A7C" w:rsidRPr="00144A7C" w:rsidRDefault="00144A7C" w:rsidP="00144A7C">
      <w:pPr>
        <w:ind w:left="567" w:right="-788"/>
        <w:jc w:val="both"/>
        <w:rPr>
          <w:rFonts w:ascii="Palatino Linotype" w:eastAsia="Palatino Linotype" w:hAnsi="Palatino Linotype" w:cs="Palatino Linotype"/>
          <w:b/>
          <w:bCs/>
          <w:i/>
          <w:color w:val="000000"/>
        </w:rPr>
      </w:pPr>
    </w:p>
    <w:p w:rsidR="00144A7C" w:rsidRPr="00B34D4E" w:rsidRDefault="00144A7C" w:rsidP="005F6634">
      <w:pPr>
        <w:pStyle w:val="Prrafodelista"/>
        <w:numPr>
          <w:ilvl w:val="0"/>
          <w:numId w:val="7"/>
        </w:numPr>
        <w:ind w:right="-788"/>
        <w:jc w:val="both"/>
        <w:rPr>
          <w:rFonts w:ascii="Palatino Linotype" w:eastAsia="Palatino Linotype" w:hAnsi="Palatino Linotype" w:cs="Palatino Linotype"/>
          <w:b/>
          <w:bCs/>
          <w:i/>
          <w:color w:val="000000"/>
        </w:rPr>
      </w:pPr>
      <w:r w:rsidRPr="00B34D4E">
        <w:rPr>
          <w:rFonts w:ascii="Palatino Linotype" w:eastAsia="Palatino Linotype" w:hAnsi="Palatino Linotype" w:cs="Palatino Linotype"/>
          <w:b/>
          <w:bCs/>
          <w:i/>
          <w:color w:val="000000"/>
        </w:rPr>
        <w:lastRenderedPageBreak/>
        <w:t>EVIDENCIA FOTOGRÁFICA PARA ATENDER REQUERIMIENTO ADICIONAL DE INFORMACIÓN DEL RECURSO DE REVISIÓN 11773.pdf</w:t>
      </w:r>
    </w:p>
    <w:p w:rsidR="00077A37" w:rsidRPr="00077A37" w:rsidRDefault="00077A37" w:rsidP="00144A7C">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Documento que contiene la evidencia fotográfica antes insertada.</w:t>
      </w:r>
    </w:p>
    <w:p w:rsidR="00BC698C" w:rsidRPr="00BC698C" w:rsidRDefault="00BC698C" w:rsidP="007A00A9">
      <w:pPr>
        <w:ind w:right="-788"/>
        <w:jc w:val="both"/>
        <w:rPr>
          <w:rFonts w:ascii="Palatino Linotype" w:eastAsia="Palatino Linotype" w:hAnsi="Palatino Linotype" w:cs="Palatino Linotype"/>
          <w:bCs/>
          <w:color w:val="000000"/>
        </w:rPr>
      </w:pPr>
    </w:p>
    <w:p w:rsidR="00144A7C" w:rsidRDefault="00144A7C" w:rsidP="005F6634">
      <w:pPr>
        <w:pStyle w:val="Prrafodelista"/>
        <w:numPr>
          <w:ilvl w:val="0"/>
          <w:numId w:val="7"/>
        </w:numPr>
        <w:ind w:right="-788"/>
        <w:jc w:val="both"/>
        <w:rPr>
          <w:rFonts w:ascii="Palatino Linotype" w:eastAsia="Palatino Linotype" w:hAnsi="Palatino Linotype" w:cs="Palatino Linotype"/>
          <w:b/>
          <w:bCs/>
          <w:i/>
          <w:color w:val="000000"/>
        </w:rPr>
      </w:pPr>
      <w:r w:rsidRPr="007A00A9">
        <w:rPr>
          <w:rFonts w:ascii="Palatino Linotype" w:eastAsia="Palatino Linotype" w:hAnsi="Palatino Linotype" w:cs="Palatino Linotype"/>
          <w:b/>
          <w:bCs/>
          <w:i/>
          <w:color w:val="000000"/>
        </w:rPr>
        <w:t>Of17 RIA RR11773.pdf</w:t>
      </w:r>
    </w:p>
    <w:p w:rsidR="007A00A9" w:rsidRDefault="007A00A9" w:rsidP="007A00A9">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 xml:space="preserve">Oficio 201007001/UT/0017/2026 de fecha 24 de marzo de 2026, firmado por el Jefe de Departamento de Acceso a la Información Pública, dirigido al Director General de Informática del INFOEM, solicitando el cambio de modalidad </w:t>
      </w:r>
      <w:r w:rsidR="00720661">
        <w:rPr>
          <w:rFonts w:ascii="Palatino Linotype" w:eastAsia="Palatino Linotype" w:hAnsi="Palatino Linotype" w:cs="Palatino Linotype"/>
          <w:bCs/>
          <w:color w:val="000000"/>
        </w:rPr>
        <w:t xml:space="preserve">a consulta directa, </w:t>
      </w:r>
      <w:r w:rsidR="00440051">
        <w:rPr>
          <w:rFonts w:ascii="Palatino Linotype" w:eastAsia="Palatino Linotype" w:hAnsi="Palatino Linotype" w:cs="Palatino Linotype"/>
          <w:bCs/>
          <w:color w:val="000000"/>
        </w:rPr>
        <w:t>considerando</w:t>
      </w:r>
      <w:r w:rsidR="00720661">
        <w:rPr>
          <w:rFonts w:ascii="Palatino Linotype" w:eastAsia="Palatino Linotype" w:hAnsi="Palatino Linotype" w:cs="Palatino Linotype"/>
          <w:bCs/>
          <w:color w:val="000000"/>
        </w:rPr>
        <w:t xml:space="preserve"> que el sistema tiene un soporte tecnológico de 500 Mb (8 mil hojas) y el volumen de la información supera los 2750 MB siendo un total de 44,080 (cuarenta y cuatro mil ochenta) fojas.</w:t>
      </w:r>
    </w:p>
    <w:p w:rsidR="00440051" w:rsidRPr="007A00A9" w:rsidRDefault="00440051" w:rsidP="007A00A9">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 xml:space="preserve">Haciendo de su conocimiento la incidencia, solicitando la </w:t>
      </w:r>
      <w:r w:rsidR="004F1F75">
        <w:rPr>
          <w:rFonts w:ascii="Palatino Linotype" w:eastAsia="Palatino Linotype" w:hAnsi="Palatino Linotype" w:cs="Palatino Linotype"/>
          <w:bCs/>
          <w:color w:val="000000"/>
        </w:rPr>
        <w:t>inscripción</w:t>
      </w:r>
      <w:r>
        <w:rPr>
          <w:rFonts w:ascii="Palatino Linotype" w:eastAsia="Palatino Linotype" w:hAnsi="Palatino Linotype" w:cs="Palatino Linotype"/>
          <w:bCs/>
          <w:color w:val="000000"/>
        </w:rPr>
        <w:t xml:space="preserve"> en la bitácora correspondiente.</w:t>
      </w:r>
    </w:p>
    <w:p w:rsidR="00144A7C" w:rsidRDefault="00144A7C" w:rsidP="00144A7C">
      <w:pPr>
        <w:ind w:left="567" w:right="-788"/>
        <w:jc w:val="both"/>
        <w:rPr>
          <w:rFonts w:ascii="Palatino Linotype" w:eastAsia="Palatino Linotype" w:hAnsi="Palatino Linotype" w:cs="Palatino Linotype"/>
          <w:bCs/>
          <w:color w:val="000000"/>
        </w:rPr>
      </w:pPr>
    </w:p>
    <w:p w:rsidR="00B148D6" w:rsidRPr="00FE7734" w:rsidRDefault="00B148D6" w:rsidP="00FE7734">
      <w:pPr>
        <w:numPr>
          <w:ilvl w:val="0"/>
          <w:numId w:val="2"/>
        </w:numPr>
        <w:spacing w:line="360" w:lineRule="auto"/>
        <w:ind w:left="0" w:right="-787" w:firstLine="0"/>
        <w:jc w:val="both"/>
        <w:rPr>
          <w:rFonts w:ascii="Palatino Linotype" w:eastAsia="Palatino Linotype" w:hAnsi="Palatino Linotype" w:cs="Palatino Linotype"/>
          <w:bCs/>
          <w:color w:val="000000"/>
        </w:rPr>
      </w:pPr>
      <w:r>
        <w:rPr>
          <w:rFonts w:ascii="Palatino Linotype" w:eastAsia="Palatino Linotype" w:hAnsi="Palatino Linotype" w:cs="Palatino Linotype"/>
          <w:color w:val="000000"/>
        </w:rPr>
        <w:t xml:space="preserve">Correo electrónico con asunto </w:t>
      </w:r>
      <w:r w:rsidRPr="00B148D6">
        <w:rPr>
          <w:rFonts w:ascii="Palatino Linotype" w:eastAsia="Palatino Linotype" w:hAnsi="Palatino Linotype" w:cs="Palatino Linotype"/>
          <w:b/>
          <w:bCs/>
          <w:color w:val="000000"/>
        </w:rPr>
        <w:t>Requerimiento de Información dentro del Recurso 11773/INFOEM/IP/RR/2025</w:t>
      </w:r>
      <w:r w:rsidR="00FE7734">
        <w:rPr>
          <w:rFonts w:ascii="Palatino Linotype" w:eastAsia="Palatino Linotype" w:hAnsi="Palatino Linotype" w:cs="Palatino Linotype"/>
          <w:bCs/>
          <w:color w:val="000000"/>
        </w:rPr>
        <w:t>, a</w:t>
      </w:r>
      <w:r w:rsidRPr="00FE7734">
        <w:rPr>
          <w:rFonts w:ascii="Palatino Linotype" w:eastAsia="Palatino Linotype" w:hAnsi="Palatino Linotype" w:cs="Palatino Linotype"/>
          <w:bCs/>
          <w:color w:val="000000"/>
        </w:rPr>
        <w:t>djuntando los documentos siguientes:</w:t>
      </w:r>
    </w:p>
    <w:p w:rsidR="00B148D6" w:rsidRDefault="00B148D6" w:rsidP="0095190E">
      <w:pPr>
        <w:ind w:left="567" w:right="-788"/>
        <w:jc w:val="both"/>
        <w:rPr>
          <w:rFonts w:ascii="Palatino Linotype" w:eastAsia="Palatino Linotype" w:hAnsi="Palatino Linotype" w:cs="Palatino Linotype"/>
          <w:bCs/>
          <w:color w:val="000000"/>
        </w:rPr>
      </w:pPr>
    </w:p>
    <w:p w:rsidR="00B148D6" w:rsidRPr="0095190E" w:rsidRDefault="00B148D6" w:rsidP="005F6634">
      <w:pPr>
        <w:pStyle w:val="Prrafodelista"/>
        <w:numPr>
          <w:ilvl w:val="0"/>
          <w:numId w:val="7"/>
        </w:numPr>
        <w:ind w:right="-788"/>
        <w:jc w:val="both"/>
        <w:rPr>
          <w:rFonts w:ascii="Palatino Linotype" w:eastAsia="Palatino Linotype" w:hAnsi="Palatino Linotype" w:cs="Palatino Linotype"/>
          <w:b/>
          <w:bCs/>
          <w:i/>
          <w:color w:val="000000"/>
        </w:rPr>
      </w:pPr>
      <w:r w:rsidRPr="0095190E">
        <w:rPr>
          <w:rFonts w:ascii="Palatino Linotype" w:eastAsia="Palatino Linotype" w:hAnsi="Palatino Linotype" w:cs="Palatino Linotype"/>
          <w:b/>
          <w:bCs/>
          <w:i/>
          <w:color w:val="000000"/>
        </w:rPr>
        <w:t>11773_2025_REQUERIMIENTO DE INFORMACION.pdf</w:t>
      </w:r>
    </w:p>
    <w:p w:rsidR="00375B06" w:rsidRPr="00375B06" w:rsidRDefault="00375B06" w:rsidP="0095190E">
      <w:pPr>
        <w:ind w:left="567" w:right="-788"/>
        <w:jc w:val="both"/>
        <w:rPr>
          <w:rFonts w:ascii="Palatino Linotype" w:eastAsia="Palatino Linotype" w:hAnsi="Palatino Linotype" w:cs="Palatino Linotype"/>
          <w:bCs/>
          <w:i/>
          <w:color w:val="000000"/>
        </w:rPr>
      </w:pPr>
      <w:r>
        <w:rPr>
          <w:rFonts w:ascii="Palatino Linotype" w:eastAsia="Palatino Linotype" w:hAnsi="Palatino Linotype" w:cs="Palatino Linotype"/>
          <w:bCs/>
          <w:color w:val="000000"/>
        </w:rPr>
        <w:t xml:space="preserve">Mismo Oficio EC/DGOP/0487/2026 de fecha 23 de marzo de 2026, firmado por el </w:t>
      </w:r>
      <w:r w:rsidRPr="00D419F8">
        <w:rPr>
          <w:rFonts w:ascii="Palatino Linotype" w:eastAsia="Palatino Linotype" w:hAnsi="Palatino Linotype" w:cs="Palatino Linotype"/>
          <w:b/>
          <w:bCs/>
          <w:color w:val="000000"/>
        </w:rPr>
        <w:t>Director General de Obras Públicas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Cs/>
          <w:color w:val="000000"/>
        </w:rPr>
        <w:t>ya referido con antelación con la evidencia fotográfica.</w:t>
      </w:r>
    </w:p>
    <w:p w:rsidR="00375B06" w:rsidRPr="00B148D6" w:rsidRDefault="00375B06" w:rsidP="0095190E">
      <w:pPr>
        <w:ind w:left="567" w:right="-788"/>
        <w:jc w:val="both"/>
        <w:rPr>
          <w:rFonts w:ascii="Palatino Linotype" w:eastAsia="Palatino Linotype" w:hAnsi="Palatino Linotype" w:cs="Palatino Linotype"/>
          <w:b/>
          <w:bCs/>
          <w:i/>
          <w:color w:val="000000"/>
        </w:rPr>
      </w:pPr>
    </w:p>
    <w:p w:rsidR="00B148D6" w:rsidRPr="0095190E" w:rsidRDefault="00B148D6" w:rsidP="005F6634">
      <w:pPr>
        <w:pStyle w:val="Prrafodelista"/>
        <w:numPr>
          <w:ilvl w:val="0"/>
          <w:numId w:val="7"/>
        </w:numPr>
        <w:ind w:right="-788"/>
        <w:jc w:val="both"/>
        <w:rPr>
          <w:rFonts w:ascii="Palatino Linotype" w:eastAsia="Palatino Linotype" w:hAnsi="Palatino Linotype" w:cs="Palatino Linotype"/>
          <w:b/>
          <w:bCs/>
          <w:i/>
          <w:color w:val="000000"/>
        </w:rPr>
      </w:pPr>
      <w:r w:rsidRPr="0095190E">
        <w:rPr>
          <w:rFonts w:ascii="Palatino Linotype" w:eastAsia="Palatino Linotype" w:hAnsi="Palatino Linotype" w:cs="Palatino Linotype"/>
          <w:b/>
          <w:bCs/>
          <w:i/>
          <w:color w:val="000000"/>
        </w:rPr>
        <w:t>EVIDENCIA FOTOGRÁFICA PARA ATENDER REQUERIMIENTO ADICIONAL DE INFORMACIÓN DEL RECURSO DE REVISIÓN 11773.pdf</w:t>
      </w:r>
    </w:p>
    <w:p w:rsidR="002C690D" w:rsidRPr="00077A37" w:rsidRDefault="002C690D" w:rsidP="0095190E">
      <w:pPr>
        <w:ind w:left="567" w:right="-788"/>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Documento que contiene la evidencia fotográfica insertada con antelación.</w:t>
      </w:r>
    </w:p>
    <w:p w:rsidR="002C690D" w:rsidRPr="00B148D6" w:rsidRDefault="002C690D" w:rsidP="0095190E">
      <w:pPr>
        <w:ind w:left="567" w:right="-788"/>
        <w:jc w:val="both"/>
        <w:rPr>
          <w:rFonts w:ascii="Palatino Linotype" w:eastAsia="Palatino Linotype" w:hAnsi="Palatino Linotype" w:cs="Palatino Linotype"/>
          <w:b/>
          <w:bCs/>
          <w:i/>
          <w:color w:val="000000"/>
        </w:rPr>
      </w:pPr>
    </w:p>
    <w:p w:rsidR="001D607B" w:rsidRPr="0095190E" w:rsidRDefault="00B148D6" w:rsidP="005F6634">
      <w:pPr>
        <w:pStyle w:val="Prrafodelista"/>
        <w:numPr>
          <w:ilvl w:val="0"/>
          <w:numId w:val="7"/>
        </w:numPr>
        <w:ind w:right="-788"/>
        <w:jc w:val="both"/>
        <w:rPr>
          <w:rFonts w:ascii="Palatino Linotype" w:eastAsia="Palatino Linotype" w:hAnsi="Palatino Linotype" w:cs="Palatino Linotype"/>
          <w:b/>
          <w:bCs/>
          <w:i/>
          <w:color w:val="000000"/>
        </w:rPr>
      </w:pPr>
      <w:r w:rsidRPr="0095190E">
        <w:rPr>
          <w:rFonts w:ascii="Palatino Linotype" w:eastAsia="Palatino Linotype" w:hAnsi="Palatino Linotype" w:cs="Palatino Linotype"/>
          <w:b/>
          <w:bCs/>
          <w:i/>
          <w:color w:val="000000"/>
        </w:rPr>
        <w:t>MILÉSIMA CENTÉSIMA NONAGÉSIMA TERCERA SESIÓN EXTRAORDINARIA 2025.pdf</w:t>
      </w:r>
    </w:p>
    <w:p w:rsidR="001D607B" w:rsidRPr="009C511D" w:rsidRDefault="001D607B" w:rsidP="0095190E">
      <w:pPr>
        <w:ind w:left="567" w:right="-788"/>
        <w:jc w:val="both"/>
        <w:rPr>
          <w:rFonts w:ascii="Palatino Linotype" w:eastAsia="Palatino Linotype" w:hAnsi="Palatino Linotype" w:cs="Palatino Linotype"/>
          <w:color w:val="000000"/>
          <w:sz w:val="22"/>
          <w:szCs w:val="22"/>
        </w:rPr>
      </w:pPr>
      <w:r w:rsidRPr="00A73553">
        <w:rPr>
          <w:rFonts w:ascii="Palatino Linotype" w:eastAsia="Palatino Linotype" w:hAnsi="Palatino Linotype" w:cs="Palatino Linotype"/>
          <w:color w:val="000000"/>
          <w:sz w:val="22"/>
          <w:szCs w:val="22"/>
        </w:rPr>
        <w:t xml:space="preserve">Acta de la milésima centésima nonagésima tercera sesión extraordinaria 2025 del Comité de </w:t>
      </w:r>
      <w:r w:rsidRPr="00B2193C">
        <w:rPr>
          <w:rFonts w:ascii="Palatino Linotype" w:eastAsia="Palatino Linotype" w:hAnsi="Palatino Linotype" w:cs="Palatino Linotype"/>
          <w:bCs/>
          <w:color w:val="000000"/>
        </w:rPr>
        <w:t>Transparencia</w:t>
      </w:r>
      <w:r w:rsidRPr="00A73553">
        <w:rPr>
          <w:rFonts w:ascii="Palatino Linotype" w:eastAsia="Palatino Linotype" w:hAnsi="Palatino Linotype" w:cs="Palatino Linotype"/>
          <w:color w:val="000000"/>
          <w:sz w:val="22"/>
          <w:szCs w:val="22"/>
        </w:rPr>
        <w:t xml:space="preserve"> del Municipio de Toluca, administración 2025-2027 número CT/SE/1193/202</w:t>
      </w:r>
      <w:r>
        <w:rPr>
          <w:rFonts w:ascii="Palatino Linotype" w:eastAsia="Palatino Linotype" w:hAnsi="Palatino Linotype" w:cs="Palatino Linotype"/>
          <w:color w:val="000000"/>
          <w:sz w:val="22"/>
          <w:szCs w:val="22"/>
        </w:rPr>
        <w:t>5, a través del cual se decreta el acuerdo</w:t>
      </w:r>
      <w:r w:rsidRPr="00A73553">
        <w:rPr>
          <w:rFonts w:ascii="Palatino Linotype" w:eastAsia="Palatino Linotype" w:hAnsi="Palatino Linotype" w:cs="Palatino Linotype"/>
          <w:b/>
          <w:i/>
          <w:color w:val="000000"/>
          <w:sz w:val="22"/>
          <w:szCs w:val="22"/>
        </w:rPr>
        <w:t xml:space="preserve"> CT/SE/1193/01/2025</w:t>
      </w:r>
      <w:r w:rsidR="009C511D">
        <w:rPr>
          <w:rFonts w:ascii="Palatino Linotype" w:eastAsia="Palatino Linotype" w:hAnsi="Palatino Linotype" w:cs="Palatino Linotype"/>
          <w:color w:val="000000"/>
          <w:sz w:val="22"/>
          <w:szCs w:val="22"/>
        </w:rPr>
        <w:t>, remitida en respuesta.</w:t>
      </w:r>
    </w:p>
    <w:p w:rsidR="001D607B" w:rsidRPr="00B148D6" w:rsidRDefault="001D607B" w:rsidP="0095190E">
      <w:pPr>
        <w:ind w:left="567" w:right="-788"/>
        <w:jc w:val="both"/>
        <w:rPr>
          <w:rFonts w:ascii="Palatino Linotype" w:eastAsia="Palatino Linotype" w:hAnsi="Palatino Linotype" w:cs="Palatino Linotype"/>
          <w:b/>
          <w:bCs/>
          <w:i/>
          <w:color w:val="000000"/>
        </w:rPr>
      </w:pPr>
    </w:p>
    <w:p w:rsidR="00D9119D" w:rsidRPr="0095190E" w:rsidRDefault="00B148D6" w:rsidP="005F6634">
      <w:pPr>
        <w:pStyle w:val="Prrafodelista"/>
        <w:numPr>
          <w:ilvl w:val="0"/>
          <w:numId w:val="7"/>
        </w:numPr>
        <w:ind w:right="-788"/>
        <w:jc w:val="both"/>
        <w:rPr>
          <w:rFonts w:ascii="Palatino Linotype" w:eastAsia="Palatino Linotype" w:hAnsi="Palatino Linotype" w:cs="Palatino Linotype"/>
          <w:b/>
          <w:bCs/>
          <w:i/>
          <w:color w:val="000000"/>
        </w:rPr>
      </w:pPr>
      <w:r w:rsidRPr="0095190E">
        <w:rPr>
          <w:rFonts w:ascii="Palatino Linotype" w:eastAsia="Palatino Linotype" w:hAnsi="Palatino Linotype" w:cs="Palatino Linotype"/>
          <w:b/>
          <w:bCs/>
          <w:i/>
          <w:color w:val="000000"/>
        </w:rPr>
        <w:t>RespuestaInfoemRR11773.pdf</w:t>
      </w:r>
    </w:p>
    <w:p w:rsidR="00D9119D" w:rsidRPr="00D9119D" w:rsidRDefault="00D9119D" w:rsidP="0095190E">
      <w:pPr>
        <w:ind w:left="567" w:right="-788"/>
        <w:jc w:val="both"/>
        <w:rPr>
          <w:rFonts w:ascii="Palatino Linotype" w:eastAsia="Palatino Linotype" w:hAnsi="Palatino Linotype" w:cs="Palatino Linotype"/>
          <w:bCs/>
          <w:color w:val="000000"/>
        </w:rPr>
      </w:pPr>
      <w:r w:rsidRPr="00D9119D">
        <w:rPr>
          <w:rFonts w:ascii="Palatino Linotype" w:eastAsia="Palatino Linotype" w:hAnsi="Palatino Linotype" w:cs="Palatino Linotype"/>
          <w:bCs/>
          <w:color w:val="000000"/>
          <w:lang w:val="es-MX"/>
        </w:rPr>
        <w:lastRenderedPageBreak/>
        <w:t xml:space="preserve"> Oficio: 201007000/UT/2238/2026</w:t>
      </w:r>
      <w:r>
        <w:rPr>
          <w:rFonts w:ascii="Palatino Linotype" w:eastAsia="Palatino Linotype" w:hAnsi="Palatino Linotype" w:cs="Palatino Linotype"/>
          <w:bCs/>
          <w:color w:val="000000"/>
          <w:lang w:val="es-MX"/>
        </w:rPr>
        <w:t xml:space="preserve"> de fecha 24 de marzo de 2026, </w:t>
      </w:r>
      <w:r w:rsidR="0095190E">
        <w:rPr>
          <w:rFonts w:ascii="Palatino Linotype" w:eastAsia="Palatino Linotype" w:hAnsi="Palatino Linotype" w:cs="Palatino Linotype"/>
          <w:bCs/>
          <w:color w:val="000000"/>
          <w:lang w:val="es-MX"/>
        </w:rPr>
        <w:t>firmado</w:t>
      </w:r>
      <w:r>
        <w:rPr>
          <w:rFonts w:ascii="Palatino Linotype" w:eastAsia="Palatino Linotype" w:hAnsi="Palatino Linotype" w:cs="Palatino Linotype"/>
          <w:bCs/>
          <w:color w:val="000000"/>
          <w:lang w:val="es-MX"/>
        </w:rPr>
        <w:t xml:space="preserve"> por el Titular de la Unidad de Transparencia, el cual muestra el mismo contenido que el insertado en el cuerpo del correo electrónico, en el que señala las documentales que se remiten.</w:t>
      </w:r>
    </w:p>
    <w:p w:rsidR="00D9119D" w:rsidRPr="00B148D6" w:rsidRDefault="00D9119D" w:rsidP="0095190E">
      <w:pPr>
        <w:ind w:left="567" w:right="-788"/>
        <w:jc w:val="both"/>
        <w:rPr>
          <w:rFonts w:ascii="Palatino Linotype" w:eastAsia="Palatino Linotype" w:hAnsi="Palatino Linotype" w:cs="Palatino Linotype"/>
          <w:b/>
          <w:bCs/>
          <w:i/>
          <w:color w:val="000000"/>
        </w:rPr>
      </w:pPr>
    </w:p>
    <w:p w:rsidR="00B148D6" w:rsidRPr="0095190E" w:rsidRDefault="00B148D6" w:rsidP="005F6634">
      <w:pPr>
        <w:pStyle w:val="Prrafodelista"/>
        <w:numPr>
          <w:ilvl w:val="0"/>
          <w:numId w:val="7"/>
        </w:numPr>
        <w:ind w:right="-788"/>
        <w:jc w:val="both"/>
        <w:rPr>
          <w:rFonts w:ascii="Palatino Linotype" w:eastAsia="Palatino Linotype" w:hAnsi="Palatino Linotype" w:cs="Palatino Linotype"/>
          <w:b/>
          <w:bCs/>
          <w:i/>
          <w:color w:val="000000"/>
        </w:rPr>
      </w:pPr>
      <w:r w:rsidRPr="0095190E">
        <w:rPr>
          <w:rFonts w:ascii="Palatino Linotype" w:eastAsia="Palatino Linotype" w:hAnsi="Palatino Linotype" w:cs="Palatino Linotype"/>
          <w:b/>
          <w:bCs/>
          <w:i/>
          <w:color w:val="000000"/>
        </w:rPr>
        <w:t>ROf166CambioModalidadTOLUCA2026.pdf</w:t>
      </w:r>
    </w:p>
    <w:p w:rsidR="0095190E" w:rsidRDefault="0095190E" w:rsidP="0095190E">
      <w:pPr>
        <w:ind w:left="567" w:right="-788"/>
        <w:jc w:val="both"/>
        <w:rPr>
          <w:rFonts w:ascii="Palatino Linotype" w:eastAsia="Palatino Linotype" w:hAnsi="Palatino Linotype" w:cs="Palatino Linotype"/>
          <w:bCs/>
          <w:color w:val="000000"/>
          <w:lang w:val="es-MX"/>
        </w:rPr>
      </w:pPr>
      <w:r w:rsidRPr="0095190E">
        <w:rPr>
          <w:rFonts w:ascii="Palatino Linotype" w:eastAsia="Palatino Linotype" w:hAnsi="Palatino Linotype" w:cs="Palatino Linotype"/>
          <w:bCs/>
          <w:color w:val="000000"/>
          <w:lang w:val="es-MX"/>
        </w:rPr>
        <w:t>Oficio No. INFOEM/DGI/166/2026</w:t>
      </w:r>
      <w:r>
        <w:rPr>
          <w:rFonts w:ascii="Palatino Linotype" w:eastAsia="Palatino Linotype" w:hAnsi="Palatino Linotype" w:cs="Palatino Linotype"/>
          <w:bCs/>
          <w:color w:val="000000"/>
          <w:lang w:val="es-MX"/>
        </w:rPr>
        <w:t xml:space="preserve">, de fecha 24 de marzo de 2026, firmado por el </w:t>
      </w:r>
      <w:r w:rsidRPr="0095190E">
        <w:rPr>
          <w:rFonts w:ascii="Palatino Linotype" w:eastAsia="Palatino Linotype" w:hAnsi="Palatino Linotype" w:cs="Palatino Linotype"/>
          <w:b/>
          <w:bCs/>
          <w:color w:val="000000"/>
          <w:lang w:val="es-MX"/>
        </w:rPr>
        <w:t>Director General de Informática</w:t>
      </w:r>
      <w:r>
        <w:rPr>
          <w:rFonts w:ascii="Palatino Linotype" w:eastAsia="Palatino Linotype" w:hAnsi="Palatino Linotype" w:cs="Palatino Linotype"/>
          <w:bCs/>
          <w:color w:val="000000"/>
          <w:lang w:val="es-MX"/>
        </w:rPr>
        <w:t xml:space="preserve">, dirigido al Jefe del Departamento de Acceso a la Información Pública del Ayuntamiento de Toluca, a través del cual refiere que la </w:t>
      </w:r>
      <w:r w:rsidRPr="0095190E">
        <w:rPr>
          <w:rFonts w:ascii="Palatino Linotype" w:eastAsia="Palatino Linotype" w:hAnsi="Palatino Linotype" w:cs="Palatino Linotype"/>
          <w:bCs/>
          <w:i/>
          <w:color w:val="000000"/>
          <w:lang w:val="es-MX"/>
        </w:rPr>
        <w:t xml:space="preserve">“incidencia técnica ha quedado registrada en la bitácora de incidencias, toda vez que trata de subir </w:t>
      </w:r>
      <w:r w:rsidRPr="0095190E">
        <w:rPr>
          <w:rFonts w:ascii="Palatino Linotype" w:eastAsia="Palatino Linotype" w:hAnsi="Palatino Linotype" w:cs="Palatino Linotype"/>
          <w:b/>
          <w:bCs/>
          <w:i/>
          <w:color w:val="000000"/>
          <w:lang w:val="es-MX"/>
        </w:rPr>
        <w:t xml:space="preserve">un peso de 2750MB, </w:t>
      </w:r>
      <w:r w:rsidRPr="0095190E">
        <w:rPr>
          <w:rFonts w:ascii="Palatino Linotype" w:eastAsia="Palatino Linotype" w:hAnsi="Palatino Linotype" w:cs="Palatino Linotype"/>
          <w:bCs/>
          <w:i/>
          <w:color w:val="000000"/>
          <w:lang w:val="es-MX"/>
        </w:rPr>
        <w:t>lo cual sobrepasa las capacidades técnicas del sistema Saimex.”(Sic)</w:t>
      </w:r>
      <w:r>
        <w:rPr>
          <w:rFonts w:ascii="Palatino Linotype" w:eastAsia="Palatino Linotype" w:hAnsi="Palatino Linotype" w:cs="Palatino Linotype"/>
          <w:bCs/>
          <w:color w:val="000000"/>
          <w:lang w:val="es-MX"/>
        </w:rPr>
        <w:t xml:space="preserve"> </w:t>
      </w:r>
    </w:p>
    <w:p w:rsidR="00130589" w:rsidRDefault="00130589" w:rsidP="0095190E">
      <w:pPr>
        <w:ind w:left="567" w:right="-788"/>
        <w:jc w:val="both"/>
        <w:rPr>
          <w:rFonts w:ascii="Palatino Linotype" w:eastAsia="Palatino Linotype" w:hAnsi="Palatino Linotype" w:cs="Palatino Linotype"/>
          <w:bCs/>
          <w:color w:val="000000"/>
          <w:lang w:val="es-MX"/>
        </w:rPr>
      </w:pPr>
    </w:p>
    <w:p w:rsidR="00130589" w:rsidRPr="0095190E" w:rsidRDefault="00130589" w:rsidP="00FE7734">
      <w:pPr>
        <w:ind w:left="567" w:right="-788"/>
        <w:jc w:val="center"/>
        <w:rPr>
          <w:rFonts w:ascii="Palatino Linotype" w:eastAsia="Palatino Linotype" w:hAnsi="Palatino Linotype" w:cs="Palatino Linotype"/>
          <w:bCs/>
          <w:color w:val="000000"/>
          <w:lang w:val="es-MX"/>
        </w:rPr>
      </w:pPr>
      <w:r w:rsidRPr="00130589">
        <w:rPr>
          <w:rFonts w:ascii="Palatino Linotype" w:eastAsia="Palatino Linotype" w:hAnsi="Palatino Linotype" w:cs="Palatino Linotype"/>
          <w:bCs/>
          <w:noProof/>
          <w:color w:val="000000"/>
          <w:lang w:val="es-MX" w:eastAsia="es-MX"/>
        </w:rPr>
        <w:drawing>
          <wp:inline distT="0" distB="0" distL="0" distR="0" wp14:anchorId="55F68C18" wp14:editId="7DBE80FA">
            <wp:extent cx="4491863" cy="4821382"/>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9110" cy="4839894"/>
                    </a:xfrm>
                    <a:prstGeom prst="rect">
                      <a:avLst/>
                    </a:prstGeom>
                  </pic:spPr>
                </pic:pic>
              </a:graphicData>
            </a:graphic>
          </wp:inline>
        </w:drawing>
      </w:r>
    </w:p>
    <w:p w:rsidR="00B148D6" w:rsidRDefault="00B148D6" w:rsidP="00B148D6">
      <w:pPr>
        <w:ind w:right="-788"/>
        <w:jc w:val="both"/>
        <w:rPr>
          <w:rFonts w:ascii="Palatino Linotype" w:eastAsia="Palatino Linotype" w:hAnsi="Palatino Linotype" w:cs="Palatino Linotype"/>
          <w:bCs/>
          <w:color w:val="000000"/>
        </w:rPr>
      </w:pPr>
    </w:p>
    <w:p w:rsidR="00144A7C" w:rsidRPr="00144A7C" w:rsidRDefault="00144A7C" w:rsidP="00FE7734">
      <w:pPr>
        <w:spacing w:line="360" w:lineRule="auto"/>
        <w:ind w:right="-787"/>
        <w:jc w:val="both"/>
        <w:rPr>
          <w:color w:val="000000"/>
        </w:rPr>
      </w:pPr>
    </w:p>
    <w:p w:rsidR="00FE7734" w:rsidRPr="00FE7734" w:rsidRDefault="00FE7734" w:rsidP="005F6634">
      <w:pPr>
        <w:numPr>
          <w:ilvl w:val="0"/>
          <w:numId w:val="6"/>
        </w:numPr>
        <w:pBdr>
          <w:top w:val="nil"/>
          <w:left w:val="nil"/>
          <w:bottom w:val="nil"/>
          <w:right w:val="nil"/>
          <w:between w:val="nil"/>
        </w:pBdr>
        <w:tabs>
          <w:tab w:val="left" w:pos="0"/>
          <w:tab w:val="left" w:pos="360"/>
        </w:tabs>
        <w:spacing w:line="360" w:lineRule="auto"/>
        <w:ind w:left="-566" w:right="-787" w:firstLine="0"/>
        <w:jc w:val="both"/>
        <w:rPr>
          <w:rFonts w:ascii="Palatino Linotype" w:eastAsia="Palatino Linotype" w:hAnsi="Palatino Linotype" w:cs="Palatino Linotype"/>
          <w:b/>
          <w:color w:val="000000"/>
        </w:rPr>
      </w:pPr>
      <w:r w:rsidRPr="00FE7734">
        <w:rPr>
          <w:rFonts w:ascii="Palatino Linotype" w:eastAsia="Palatino Linotype" w:hAnsi="Palatino Linotype" w:cs="Palatino Linotype"/>
          <w:b/>
          <w:color w:val="000000"/>
        </w:rPr>
        <w:lastRenderedPageBreak/>
        <w:t>De la modalidad de entrega.</w:t>
      </w: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razón de lo anterior, en primer lugar es de referir que </w:t>
      </w:r>
      <w:r w:rsidRPr="00FE7734">
        <w:rPr>
          <w:rFonts w:ascii="Palatino Linotype" w:eastAsia="Palatino Linotype" w:hAnsi="Palatino Linotype" w:cs="Palatino Linotype"/>
          <w:color w:val="000000"/>
        </w:rPr>
        <w:t>La Ley de Transparencia y Acceso a la Información Pública del Estado de México y Municipios establece en los artículos 155 fracción V, 158 y 164 lo siguiente:</w:t>
      </w:r>
    </w:p>
    <w:p w:rsidR="00FE7734" w:rsidRPr="00FE7734" w:rsidRDefault="00FE7734" w:rsidP="00FE7734">
      <w:pPr>
        <w:pBdr>
          <w:top w:val="nil"/>
          <w:left w:val="nil"/>
          <w:bottom w:val="nil"/>
          <w:right w:val="nil"/>
          <w:between w:val="nil"/>
        </w:pBdr>
        <w:spacing w:line="360" w:lineRule="auto"/>
        <w:ind w:right="-787"/>
        <w:jc w:val="both"/>
        <w:rPr>
          <w:color w:val="000000"/>
        </w:rPr>
      </w:pP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Artículo 155</w:t>
      </w:r>
      <w:r w:rsidRPr="00FE7734">
        <w:rPr>
          <w:rFonts w:ascii="Palatino Linotype" w:eastAsia="Palatino Linotype" w:hAnsi="Palatino Linotype" w:cs="Palatino Linotype"/>
          <w:i/>
          <w:color w:val="000000"/>
          <w:sz w:val="22"/>
          <w:szCs w:val="22"/>
        </w:rPr>
        <w:t>. Para presentar una solicitud por escrito, no se podrán exigir mayores requisitos que los siguientes:</w:t>
      </w: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I. a IV. …</w:t>
      </w: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w:t>
      </w: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Artículo 158.</w:t>
      </w:r>
      <w:r w:rsidRPr="00FE7734">
        <w:rPr>
          <w:rFonts w:ascii="Palatino Linotype" w:eastAsia="Palatino Linotype" w:hAnsi="Palatino Linotype" w:cs="Palatino Linotype"/>
          <w:i/>
          <w:color w:val="000000"/>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 xml:space="preserve"> </w:t>
      </w: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En todo caso, se facilitará su copia simple o certificada, así como su reproducción por cualquier medio disponible en las instalaciones del sujeto obligado o que, en su caso, aporte el solicitante.</w:t>
      </w: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p>
    <w:p w:rsidR="00FE7734" w:rsidRPr="00FE7734" w:rsidRDefault="00FE7734" w:rsidP="00FE7734">
      <w:pPr>
        <w:pBdr>
          <w:top w:val="nil"/>
          <w:left w:val="nil"/>
          <w:bottom w:val="nil"/>
          <w:right w:val="nil"/>
          <w:between w:val="nil"/>
        </w:pBdr>
        <w:tabs>
          <w:tab w:val="left" w:pos="851"/>
        </w:tabs>
        <w:ind w:left="141" w:right="-80"/>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Artículo 164</w:t>
      </w:r>
      <w:r w:rsidRPr="00FE7734">
        <w:rPr>
          <w:rFonts w:ascii="Palatino Linotype" w:eastAsia="Palatino Linotype" w:hAnsi="Palatino Linotype" w:cs="Palatino Linotype"/>
          <w:i/>
          <w:color w:val="000000"/>
          <w:sz w:val="22"/>
          <w:szCs w:val="22"/>
        </w:rPr>
        <w:t>. El acceso se dará en la modalidad de entrega y, en su caso, de envío elegidos por el solicitante. Cuando la información no pueda entregarse o enviarse en la modalidad solicitada, el sujeto obligado deberá ofrecer otra u otras modalidades de entrega.</w:t>
      </w:r>
    </w:p>
    <w:p w:rsidR="00FE7734" w:rsidRPr="00FE7734" w:rsidRDefault="00FE7734" w:rsidP="00FE7734">
      <w:pPr>
        <w:pBdr>
          <w:top w:val="nil"/>
          <w:left w:val="nil"/>
          <w:bottom w:val="nil"/>
          <w:right w:val="nil"/>
          <w:between w:val="nil"/>
        </w:pBdr>
        <w:tabs>
          <w:tab w:val="left" w:pos="851"/>
        </w:tabs>
        <w:ind w:left="-566" w:right="-787"/>
        <w:jc w:val="both"/>
        <w:rPr>
          <w:rFonts w:ascii="Palatino Linotype" w:eastAsia="Palatino Linotype" w:hAnsi="Palatino Linotype" w:cs="Palatino Linotype"/>
          <w:i/>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rsidR="00FE7734" w:rsidRPr="00FE7734" w:rsidRDefault="00FE7734" w:rsidP="00FE7734">
      <w:pPr>
        <w:pBdr>
          <w:top w:val="nil"/>
          <w:left w:val="nil"/>
          <w:bottom w:val="nil"/>
          <w:right w:val="nil"/>
          <w:between w:val="nil"/>
        </w:pBdr>
        <w:tabs>
          <w:tab w:val="left" w:pos="426"/>
        </w:tabs>
        <w:spacing w:line="360" w:lineRule="auto"/>
        <w:ind w:left="-566" w:right="-787"/>
        <w:jc w:val="both"/>
        <w:rPr>
          <w:rFonts w:ascii="Palatino Linotype" w:eastAsia="Palatino Linotype" w:hAnsi="Palatino Linotype" w:cs="Palatino Linotype"/>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lastRenderedPageBreak/>
        <w:t xml:space="preserve">Del artículo 158 ya transcrito, se tiene que, excepcionalmente, en el caso de que la información solicitada implique un análisis, estudio o procesamiento de documentos, cuya entrega o reproducción sobrepase las capacidades técnicas administrativas y humanas del </w:t>
      </w:r>
      <w:r w:rsidRPr="00FE7734">
        <w:rPr>
          <w:rFonts w:ascii="Palatino Linotype" w:eastAsia="Palatino Linotype" w:hAnsi="Palatino Linotype" w:cs="Palatino Linotype"/>
          <w:b/>
          <w:color w:val="000000"/>
        </w:rPr>
        <w:t>SUJETO OBLIGADO</w:t>
      </w:r>
      <w:r w:rsidRPr="00FE7734">
        <w:rPr>
          <w:rFonts w:ascii="Palatino Linotype" w:eastAsia="Palatino Linotype" w:hAnsi="Palatino Linotype" w:cs="Palatino Linotype"/>
          <w:color w:val="000000"/>
        </w:rPr>
        <w:t xml:space="preserve">, éste podrá poder a disposición los documentos vía </w:t>
      </w:r>
      <w:r w:rsidRPr="00FE7734">
        <w:rPr>
          <w:rFonts w:ascii="Palatino Linotype" w:eastAsia="Palatino Linotype" w:hAnsi="Palatino Linotype" w:cs="Palatino Linotype"/>
          <w:i/>
          <w:color w:val="000000"/>
        </w:rPr>
        <w:t>In Situ</w:t>
      </w:r>
      <w:r w:rsidRPr="00FE7734">
        <w:rPr>
          <w:rFonts w:ascii="Palatino Linotype" w:eastAsia="Palatino Linotype" w:hAnsi="Palatino Linotype" w:cs="Palatino Linotype"/>
          <w:color w:val="000000"/>
        </w:rPr>
        <w:t xml:space="preserve"> o Consulta Directa, </w:t>
      </w:r>
      <w:r w:rsidRPr="00FE7734">
        <w:rPr>
          <w:rFonts w:ascii="Palatino Linotype" w:eastAsia="Palatino Linotype" w:hAnsi="Palatino Linotype" w:cs="Palatino Linotype"/>
          <w:b/>
          <w:color w:val="000000"/>
        </w:rPr>
        <w:t>siempre y cuando se funden y motiven las razones que justifiquen la imposibilidad de entregar la información en la modalidad originalmente solicitada</w:t>
      </w:r>
      <w:r w:rsidRPr="00FE7734">
        <w:rPr>
          <w:rFonts w:ascii="Palatino Linotype" w:eastAsia="Palatino Linotype" w:hAnsi="Palatino Linotype" w:cs="Palatino Linotype"/>
          <w:color w:val="000000"/>
        </w:rPr>
        <w:t xml:space="preserve">. </w:t>
      </w:r>
    </w:p>
    <w:p w:rsidR="00FE7734" w:rsidRPr="00FE7734" w:rsidRDefault="00FE7734" w:rsidP="00FE7734">
      <w:pPr>
        <w:pBdr>
          <w:top w:val="nil"/>
          <w:left w:val="nil"/>
          <w:bottom w:val="nil"/>
          <w:right w:val="nil"/>
          <w:between w:val="nil"/>
        </w:pBdr>
        <w:tabs>
          <w:tab w:val="left" w:pos="0"/>
        </w:tabs>
        <w:spacing w:line="360" w:lineRule="auto"/>
        <w:ind w:left="-566" w:right="-787"/>
        <w:jc w:val="both"/>
        <w:rPr>
          <w:rFonts w:ascii="Palatino Linotype" w:eastAsia="Palatino Linotype" w:hAnsi="Palatino Linotype" w:cs="Palatino Linotype"/>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t xml:space="preserve">Es decir, del artículo anterior, se derivan tres hipótesis que en conjunto, y de manera fundada y motivada, validan el cambio de modalidad de entrega de la información y las cuales son, que las documentales a proporcionar </w:t>
      </w:r>
      <w:r w:rsidRPr="00FE7734">
        <w:rPr>
          <w:rFonts w:ascii="Palatino Linotype" w:eastAsia="Palatino Linotype" w:hAnsi="Palatino Linotype" w:cs="Palatino Linotype"/>
          <w:b/>
          <w:color w:val="000000"/>
        </w:rPr>
        <w:t>sobrepasen las capacidades técnicas, administrativas y humanas del SUJETO OBLIGADO</w:t>
      </w:r>
      <w:r w:rsidRPr="00FE7734">
        <w:rPr>
          <w:rFonts w:ascii="Palatino Linotype" w:eastAsia="Palatino Linotype" w:hAnsi="Palatino Linotype" w:cs="Palatino Linotype"/>
          <w:color w:val="000000"/>
        </w:rPr>
        <w:t xml:space="preserve">. </w:t>
      </w:r>
    </w:p>
    <w:p w:rsidR="00FE7734" w:rsidRPr="00FE7734" w:rsidRDefault="00FE7734" w:rsidP="00FE7734">
      <w:pPr>
        <w:pBdr>
          <w:top w:val="nil"/>
          <w:left w:val="nil"/>
          <w:bottom w:val="nil"/>
          <w:right w:val="nil"/>
          <w:between w:val="nil"/>
        </w:pBdr>
        <w:spacing w:line="360" w:lineRule="auto"/>
        <w:ind w:right="-787"/>
        <w:jc w:val="both"/>
        <w:rPr>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t>Para ello, cabe mencionar lo que se entiende por “</w:t>
      </w:r>
      <w:r w:rsidRPr="00FE7734">
        <w:rPr>
          <w:rFonts w:ascii="Palatino Linotype" w:eastAsia="Palatino Linotype" w:hAnsi="Palatino Linotype" w:cs="Palatino Linotype"/>
          <w:b/>
          <w:color w:val="000000"/>
        </w:rPr>
        <w:t>capacidad</w:t>
      </w:r>
      <w:r w:rsidRPr="00FE7734">
        <w:rPr>
          <w:rFonts w:ascii="Palatino Linotype" w:eastAsia="Palatino Linotype" w:hAnsi="Palatino Linotype" w:cs="Palatino Linotype"/>
          <w:color w:val="000000"/>
        </w:rPr>
        <w:t>”; que, de manera general, puede ser interpretado como la circunstancia o conjunto de condiciones, cualidades o aptitudes que permiten el desarrollo o el cumplimiento de una función o desempeño de un cargo.</w:t>
      </w:r>
    </w:p>
    <w:p w:rsidR="00FE7734" w:rsidRPr="00FE7734" w:rsidRDefault="00FE7734" w:rsidP="00FE7734">
      <w:pPr>
        <w:pBdr>
          <w:top w:val="nil"/>
          <w:left w:val="nil"/>
          <w:bottom w:val="nil"/>
          <w:right w:val="nil"/>
          <w:between w:val="nil"/>
        </w:pBdr>
        <w:tabs>
          <w:tab w:val="left" w:pos="0"/>
        </w:tabs>
        <w:ind w:left="-566" w:right="-787"/>
        <w:jc w:val="both"/>
        <w:rPr>
          <w:rFonts w:ascii="Palatino Linotype" w:eastAsia="Palatino Linotype" w:hAnsi="Palatino Linotype" w:cs="Palatino Linotype"/>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rsidR="00FE7734" w:rsidRPr="00FE7734" w:rsidRDefault="00FE7734" w:rsidP="00FE7734">
      <w:pPr>
        <w:pBdr>
          <w:top w:val="nil"/>
          <w:left w:val="nil"/>
          <w:bottom w:val="nil"/>
          <w:right w:val="nil"/>
          <w:between w:val="nil"/>
        </w:pBdr>
        <w:tabs>
          <w:tab w:val="left" w:pos="426"/>
        </w:tabs>
        <w:ind w:left="-566" w:right="-787"/>
        <w:jc w:val="both"/>
        <w:rPr>
          <w:rFonts w:ascii="Palatino Linotype" w:eastAsia="Palatino Linotype" w:hAnsi="Palatino Linotype" w:cs="Palatino Linotype"/>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t xml:space="preserve">Ahora bien, en relación con </w:t>
      </w:r>
      <w:r w:rsidRPr="00FE7734">
        <w:rPr>
          <w:rFonts w:ascii="Palatino Linotype" w:eastAsia="Palatino Linotype" w:hAnsi="Palatino Linotype" w:cs="Palatino Linotype"/>
          <w:b/>
          <w:color w:val="000000"/>
        </w:rPr>
        <w:t>el peso máximo de archivos que soporta el SAIMEX para adjuntar como respuesta a las solicitudes de información</w:t>
      </w:r>
      <w:r w:rsidRPr="00FE7734">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se</w:t>
      </w:r>
      <w:r w:rsidRPr="00FE7734">
        <w:rPr>
          <w:rFonts w:ascii="Palatino Linotype" w:eastAsia="Palatino Linotype" w:hAnsi="Palatino Linotype" w:cs="Palatino Linotype"/>
          <w:color w:val="000000"/>
        </w:rPr>
        <w:t xml:space="preserve"> tiene el soporte tecnológico para </w:t>
      </w:r>
      <w:r w:rsidRPr="00FE7734">
        <w:rPr>
          <w:rFonts w:ascii="Palatino Linotype" w:eastAsia="Palatino Linotype" w:hAnsi="Palatino Linotype" w:cs="Palatino Linotype"/>
          <w:color w:val="000000"/>
        </w:rPr>
        <w:lastRenderedPageBreak/>
        <w:t xml:space="preserve">que se puedan adjuntar archivos con un </w:t>
      </w:r>
      <w:r w:rsidRPr="00FE7734">
        <w:rPr>
          <w:rFonts w:ascii="Palatino Linotype" w:eastAsia="Palatino Linotype" w:hAnsi="Palatino Linotype" w:cs="Palatino Linotype"/>
          <w:b/>
          <w:color w:val="000000"/>
        </w:rPr>
        <w:t>peso aproximado de hasta 500Mb o un equivalente de hasta 8,000 hojas</w:t>
      </w:r>
      <w:r w:rsidRPr="00FE7734">
        <w:rPr>
          <w:rFonts w:ascii="Palatino Linotype" w:eastAsia="Palatino Linotype" w:hAnsi="Palatino Linotype" w:cs="Palatino Linotype"/>
          <w:color w:val="000000"/>
        </w:rPr>
        <w:t xml:space="preserve">, garantizando que el solicitante no tenga problemas en la descarga de la información usando conexiones a internet convencionales, bajo parámetros de escaneo en resolución máxima de 150Dpi's, escala de grises y formato "PDF" extraído directamente del escáner. </w:t>
      </w:r>
    </w:p>
    <w:p w:rsidR="00FE7734" w:rsidRPr="00FE7734" w:rsidRDefault="00FE7734" w:rsidP="00FE7734">
      <w:pPr>
        <w:pBdr>
          <w:top w:val="nil"/>
          <w:left w:val="nil"/>
          <w:bottom w:val="nil"/>
          <w:right w:val="nil"/>
          <w:between w:val="nil"/>
        </w:pBdr>
        <w:ind w:left="-566" w:right="-787"/>
        <w:rPr>
          <w:rFonts w:ascii="Palatino Linotype" w:eastAsia="Palatino Linotype" w:hAnsi="Palatino Linotype" w:cs="Palatino Linotype"/>
          <w:color w:val="000000"/>
        </w:rPr>
      </w:pPr>
    </w:p>
    <w:p w:rsidR="00FE7734" w:rsidRPr="00BF08AA" w:rsidRDefault="00FE7734" w:rsidP="00BF08AA">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lang w:val="es-MX"/>
        </w:rPr>
      </w:pPr>
      <w:r w:rsidRPr="00FE7734">
        <w:rPr>
          <w:rFonts w:ascii="Palatino Linotype" w:eastAsia="Palatino Linotype" w:hAnsi="Palatino Linotype" w:cs="Palatino Linotype"/>
          <w:color w:val="000000"/>
        </w:rPr>
        <w:t xml:space="preserve">En el presente caso, </w:t>
      </w:r>
      <w:r w:rsidR="00BF08AA">
        <w:rPr>
          <w:rFonts w:ascii="Palatino Linotype" w:eastAsia="Palatino Linotype" w:hAnsi="Palatino Linotype" w:cs="Palatino Linotype"/>
          <w:color w:val="000000"/>
        </w:rPr>
        <w:t xml:space="preserve">el Sujeto Obligado remitió la </w:t>
      </w:r>
      <w:r w:rsidR="00BF08AA" w:rsidRPr="00BF08AA">
        <w:rPr>
          <w:rFonts w:ascii="Palatino Linotype" w:eastAsia="Palatino Linotype" w:hAnsi="Palatino Linotype" w:cs="Palatino Linotype"/>
          <w:color w:val="000000"/>
          <w:lang w:val="es-MX"/>
        </w:rPr>
        <w:t xml:space="preserve"> incidencia técnica ha quedado registrada en la bitácora de incidencias, toda vez que trata de subir </w:t>
      </w:r>
      <w:r w:rsidR="00BF08AA" w:rsidRPr="00BF08AA">
        <w:rPr>
          <w:rFonts w:ascii="Palatino Linotype" w:eastAsia="Palatino Linotype" w:hAnsi="Palatino Linotype" w:cs="Palatino Linotype"/>
          <w:b/>
          <w:bCs/>
          <w:color w:val="000000"/>
          <w:lang w:val="es-MX"/>
        </w:rPr>
        <w:t xml:space="preserve">un peso de 2750MB, </w:t>
      </w:r>
      <w:r w:rsidR="00BF08AA" w:rsidRPr="00BF08AA">
        <w:rPr>
          <w:rFonts w:ascii="Palatino Linotype" w:eastAsia="Palatino Linotype" w:hAnsi="Palatino Linotype" w:cs="Palatino Linotype"/>
          <w:color w:val="000000"/>
          <w:lang w:val="es-MX"/>
        </w:rPr>
        <w:t>lo cual sobrepasa las capacida</w:t>
      </w:r>
      <w:r w:rsidR="00BF08AA">
        <w:rPr>
          <w:rFonts w:ascii="Palatino Linotype" w:eastAsia="Palatino Linotype" w:hAnsi="Palatino Linotype" w:cs="Palatino Linotype"/>
          <w:color w:val="000000"/>
          <w:lang w:val="es-MX"/>
        </w:rPr>
        <w:t xml:space="preserve">des técnicas del sistema Saimex, al </w:t>
      </w:r>
      <w:r w:rsidR="00535C69">
        <w:rPr>
          <w:rFonts w:ascii="Palatino Linotype" w:eastAsia="Palatino Linotype" w:hAnsi="Palatino Linotype" w:cs="Palatino Linotype"/>
          <w:color w:val="000000"/>
          <w:lang w:val="es-MX"/>
        </w:rPr>
        <w:t>referir</w:t>
      </w:r>
      <w:r w:rsidR="00BF08AA">
        <w:rPr>
          <w:rFonts w:ascii="Palatino Linotype" w:eastAsia="Palatino Linotype" w:hAnsi="Palatino Linotype" w:cs="Palatino Linotype"/>
          <w:color w:val="000000"/>
          <w:lang w:val="es-MX"/>
        </w:rPr>
        <w:t xml:space="preserve"> un cúmulo de </w:t>
      </w:r>
      <w:r w:rsidR="003D10AE">
        <w:rPr>
          <w:rFonts w:ascii="Palatino Linotype" w:eastAsia="Palatino Linotype" w:hAnsi="Palatino Linotype" w:cs="Palatino Linotype"/>
          <w:color w:val="000000"/>
          <w:lang w:val="es-MX"/>
        </w:rPr>
        <w:t>44,080 fojas.</w:t>
      </w:r>
    </w:p>
    <w:p w:rsidR="00FE7734" w:rsidRPr="00FE7734" w:rsidRDefault="00FE7734" w:rsidP="00FE7734">
      <w:pPr>
        <w:pBdr>
          <w:top w:val="nil"/>
          <w:left w:val="nil"/>
          <w:bottom w:val="nil"/>
          <w:right w:val="nil"/>
          <w:between w:val="nil"/>
        </w:pBdr>
        <w:spacing w:line="360" w:lineRule="auto"/>
        <w:ind w:right="-787"/>
        <w:jc w:val="both"/>
        <w:rPr>
          <w:color w:val="000000"/>
        </w:rPr>
      </w:pPr>
    </w:p>
    <w:p w:rsidR="00FE7734" w:rsidRPr="001C16A8" w:rsidRDefault="00FE7734" w:rsidP="001C16A8">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sidRPr="001C16A8">
        <w:rPr>
          <w:rFonts w:ascii="Palatino Linotype" w:eastAsia="Palatino Linotype" w:hAnsi="Palatino Linotype" w:cs="Palatino Linotype"/>
          <w:color w:val="000000"/>
        </w:rPr>
        <w:t xml:space="preserve">Asimismo, el Sujeto Obligado remitió el </w:t>
      </w:r>
      <w:r w:rsidR="001C16A8" w:rsidRPr="001C16A8">
        <w:rPr>
          <w:rFonts w:ascii="Palatino Linotype" w:eastAsia="Palatino Linotype" w:hAnsi="Palatino Linotype" w:cs="Palatino Linotype"/>
          <w:color w:val="000000"/>
        </w:rPr>
        <w:t>ACTA DE LA MILÉSIMA CENTÉSIMA NONAGÉSIMA TERCERA SESIÓN EXTRAORDINARIA 2025 DEL COMITÉ DE TRANSPARENCIA DEL MUNICIPIO DE TOLUCA, ADMINISTRACIÓN 2025-2027 NÚMERO CT/SE/1193/2025</w:t>
      </w:r>
      <w:r w:rsidR="001C16A8">
        <w:rPr>
          <w:rFonts w:ascii="Palatino Linotype" w:eastAsia="Palatino Linotype" w:hAnsi="Palatino Linotype" w:cs="Palatino Linotype"/>
          <w:color w:val="000000"/>
        </w:rPr>
        <w:t xml:space="preserve">, en la que se emitió el </w:t>
      </w:r>
      <w:r w:rsidR="001C16A8" w:rsidRPr="001C16A8">
        <w:rPr>
          <w:rFonts w:ascii="Palatino Linotype" w:eastAsia="Palatino Linotype" w:hAnsi="Palatino Linotype" w:cs="Palatino Linotype"/>
          <w:color w:val="000000"/>
        </w:rPr>
        <w:t>ACUERDO CT/SE/1193/01/2025 Se aprueba el cambio de modalidad a consulta directa, para dar respuesta a la Solicitud de Información número 04633/TOLUCA/IP/2025, con fundamento en el artículo 158 y demás aplicables de la Ley de Transparencia y Acceso a la Información Pública del Estado de México y Munici</w:t>
      </w:r>
      <w:r w:rsidR="001C16A8">
        <w:rPr>
          <w:rFonts w:ascii="Palatino Linotype" w:eastAsia="Palatino Linotype" w:hAnsi="Palatino Linotype" w:cs="Palatino Linotype"/>
          <w:color w:val="000000"/>
        </w:rPr>
        <w:t>pios, bajo los argumentos siguientes:</w:t>
      </w:r>
    </w:p>
    <w:p w:rsidR="001C16A8" w:rsidRDefault="001C16A8" w:rsidP="001C16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14CC7" w:rsidRDefault="00D14CC7" w:rsidP="001C16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14CC7" w:rsidRDefault="00D14CC7" w:rsidP="001C16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14CC7" w:rsidRDefault="00D14CC7" w:rsidP="001C16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14CC7" w:rsidRDefault="00D14CC7" w:rsidP="001C16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14CC7" w:rsidRDefault="00D14CC7" w:rsidP="001C16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1C16A8" w:rsidRPr="001C16A8" w:rsidRDefault="001C16A8" w:rsidP="005F6634">
      <w:pPr>
        <w:pStyle w:val="Prrafodelista"/>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1C16A8">
        <w:rPr>
          <w:rFonts w:ascii="Palatino Linotype" w:eastAsia="Palatino Linotype" w:hAnsi="Palatino Linotype" w:cs="Palatino Linotype"/>
          <w:color w:val="000000"/>
        </w:rPr>
        <w:lastRenderedPageBreak/>
        <w:t>Motivación del cambio de modalidad:</w:t>
      </w:r>
    </w:p>
    <w:p w:rsidR="001C16A8" w:rsidRPr="001C16A8" w:rsidRDefault="001C16A8" w:rsidP="001C16A8">
      <w:pPr>
        <w:pBdr>
          <w:top w:val="nil"/>
          <w:left w:val="nil"/>
          <w:bottom w:val="nil"/>
          <w:right w:val="nil"/>
          <w:between w:val="nil"/>
        </w:pBdr>
        <w:spacing w:line="360" w:lineRule="auto"/>
        <w:ind w:right="-787"/>
        <w:jc w:val="center"/>
        <w:rPr>
          <w:rFonts w:ascii="Palatino Linotype" w:eastAsia="Palatino Linotype" w:hAnsi="Palatino Linotype" w:cs="Palatino Linotype"/>
          <w:color w:val="000000"/>
          <w:sz w:val="22"/>
          <w:szCs w:val="22"/>
        </w:rPr>
      </w:pPr>
      <w:r w:rsidRPr="001C16A8">
        <w:rPr>
          <w:rFonts w:ascii="Palatino Linotype" w:eastAsia="Palatino Linotype" w:hAnsi="Palatino Linotype" w:cs="Palatino Linotype"/>
          <w:noProof/>
          <w:color w:val="000000"/>
          <w:sz w:val="22"/>
          <w:szCs w:val="22"/>
          <w:lang w:val="es-MX" w:eastAsia="es-MX"/>
        </w:rPr>
        <w:drawing>
          <wp:inline distT="0" distB="0" distL="0" distR="0" wp14:anchorId="21177DD9" wp14:editId="49C080A4">
            <wp:extent cx="4046393" cy="2263613"/>
            <wp:effectExtent l="152400" t="152400" r="354330" b="3657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5755" cy="2268850"/>
                    </a:xfrm>
                    <a:prstGeom prst="rect">
                      <a:avLst/>
                    </a:prstGeom>
                    <a:ln>
                      <a:noFill/>
                    </a:ln>
                    <a:effectLst>
                      <a:outerShdw blurRad="292100" dist="139700" dir="2700000" algn="tl" rotWithShape="0">
                        <a:srgbClr val="333333">
                          <a:alpha val="65000"/>
                        </a:srgbClr>
                      </a:outerShdw>
                    </a:effectLst>
                  </pic:spPr>
                </pic:pic>
              </a:graphicData>
            </a:graphic>
          </wp:inline>
        </w:drawing>
      </w:r>
    </w:p>
    <w:p w:rsidR="00FE7734" w:rsidRDefault="001C16A8" w:rsidP="005F6634">
      <w:pPr>
        <w:pStyle w:val="Prrafodelista"/>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Otras </w:t>
      </w:r>
      <w:r w:rsidRPr="001C16A8">
        <w:rPr>
          <w:rFonts w:ascii="Palatino Linotype" w:eastAsia="Palatino Linotype" w:hAnsi="Palatino Linotype" w:cs="Palatino Linotype"/>
          <w:color w:val="000000"/>
        </w:rPr>
        <w:t>modalidades</w:t>
      </w:r>
      <w:r>
        <w:rPr>
          <w:rFonts w:ascii="Palatino Linotype" w:eastAsia="Palatino Linotype" w:hAnsi="Palatino Linotype" w:cs="Palatino Linotype"/>
          <w:color w:val="000000"/>
          <w:sz w:val="22"/>
          <w:szCs w:val="22"/>
        </w:rPr>
        <w:t xml:space="preserve"> de entrega:</w:t>
      </w:r>
    </w:p>
    <w:p w:rsidR="001C16A8" w:rsidRDefault="001C16A8" w:rsidP="00293DB9">
      <w:pPr>
        <w:pBdr>
          <w:top w:val="nil"/>
          <w:left w:val="nil"/>
          <w:bottom w:val="nil"/>
          <w:right w:val="nil"/>
          <w:between w:val="nil"/>
        </w:pBdr>
        <w:spacing w:line="360" w:lineRule="auto"/>
        <w:ind w:right="-787"/>
        <w:jc w:val="center"/>
        <w:rPr>
          <w:rFonts w:ascii="Palatino Linotype" w:eastAsia="Palatino Linotype" w:hAnsi="Palatino Linotype" w:cs="Palatino Linotype"/>
          <w:color w:val="000000"/>
          <w:sz w:val="22"/>
          <w:szCs w:val="22"/>
        </w:rPr>
      </w:pPr>
      <w:r w:rsidRPr="001C16A8">
        <w:rPr>
          <w:rFonts w:ascii="Palatino Linotype" w:eastAsia="Palatino Linotype" w:hAnsi="Palatino Linotype" w:cs="Palatino Linotype"/>
          <w:noProof/>
          <w:color w:val="000000"/>
          <w:sz w:val="22"/>
          <w:szCs w:val="22"/>
          <w:lang w:val="es-MX" w:eastAsia="es-MX"/>
        </w:rPr>
        <w:drawing>
          <wp:inline distT="0" distB="0" distL="0" distR="0" wp14:anchorId="5215676A" wp14:editId="2FB36A2C">
            <wp:extent cx="4036514" cy="3426343"/>
            <wp:effectExtent l="152400" t="152400" r="364490" b="3651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8535" cy="3436547"/>
                    </a:xfrm>
                    <a:prstGeom prst="rect">
                      <a:avLst/>
                    </a:prstGeom>
                    <a:ln>
                      <a:noFill/>
                    </a:ln>
                    <a:effectLst>
                      <a:outerShdw blurRad="292100" dist="139700" dir="2700000" algn="tl" rotWithShape="0">
                        <a:srgbClr val="333333">
                          <a:alpha val="65000"/>
                        </a:srgbClr>
                      </a:outerShdw>
                    </a:effectLst>
                  </pic:spPr>
                </pic:pic>
              </a:graphicData>
            </a:graphic>
          </wp:inline>
        </w:drawing>
      </w:r>
    </w:p>
    <w:p w:rsidR="001C16A8" w:rsidRDefault="001C16A8" w:rsidP="001C16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FE7734" w:rsidRPr="00293DB9" w:rsidRDefault="001C16A8" w:rsidP="00293DB9">
      <w:pPr>
        <w:pBdr>
          <w:top w:val="nil"/>
          <w:left w:val="nil"/>
          <w:bottom w:val="nil"/>
          <w:right w:val="nil"/>
          <w:between w:val="nil"/>
        </w:pBdr>
        <w:spacing w:line="360" w:lineRule="auto"/>
        <w:ind w:right="-787"/>
        <w:jc w:val="center"/>
        <w:rPr>
          <w:rFonts w:ascii="Palatino Linotype" w:eastAsia="Palatino Linotype" w:hAnsi="Palatino Linotype" w:cs="Palatino Linotype"/>
          <w:color w:val="000000"/>
          <w:sz w:val="22"/>
          <w:szCs w:val="22"/>
        </w:rPr>
      </w:pPr>
      <w:r w:rsidRPr="001C16A8">
        <w:rPr>
          <w:rFonts w:ascii="Palatino Linotype" w:eastAsia="Palatino Linotype" w:hAnsi="Palatino Linotype" w:cs="Palatino Linotype"/>
          <w:noProof/>
          <w:color w:val="000000"/>
          <w:sz w:val="22"/>
          <w:szCs w:val="22"/>
          <w:lang w:val="es-MX" w:eastAsia="es-MX"/>
        </w:rPr>
        <w:drawing>
          <wp:inline distT="0" distB="0" distL="0" distR="0" wp14:anchorId="0D98DDF8" wp14:editId="07F668CF">
            <wp:extent cx="4038846" cy="4327335"/>
            <wp:effectExtent l="152400" t="152400" r="361950" b="3594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0972" cy="4351041"/>
                    </a:xfrm>
                    <a:prstGeom prst="rect">
                      <a:avLst/>
                    </a:prstGeom>
                    <a:ln>
                      <a:noFill/>
                    </a:ln>
                    <a:effectLst>
                      <a:outerShdw blurRad="292100" dist="139700" dir="2700000" algn="tl" rotWithShape="0">
                        <a:srgbClr val="333333">
                          <a:alpha val="65000"/>
                        </a:srgbClr>
                      </a:outerShdw>
                    </a:effectLst>
                  </pic:spPr>
                </pic:pic>
              </a:graphicData>
            </a:graphic>
          </wp:inline>
        </w:drawing>
      </w:r>
    </w:p>
    <w:p w:rsidR="00FE7734" w:rsidRPr="00293DB9" w:rsidRDefault="001C16A8" w:rsidP="00FE7734">
      <w:pPr>
        <w:numPr>
          <w:ilvl w:val="0"/>
          <w:numId w:val="2"/>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De lo anterior</w:t>
      </w:r>
      <w:r w:rsidR="00FE7734" w:rsidRPr="00FE7734">
        <w:rPr>
          <w:rFonts w:ascii="Palatino Linotype" w:eastAsia="Palatino Linotype" w:hAnsi="Palatino Linotype" w:cs="Palatino Linotype"/>
          <w:color w:val="000000"/>
        </w:rPr>
        <w:t xml:space="preserve">, se puede observar que el Sujeto Obligado, en el Acuerdo del Comité de Transparencia antes referido, </w:t>
      </w:r>
      <w:r>
        <w:rPr>
          <w:rFonts w:ascii="Palatino Linotype" w:eastAsia="Palatino Linotype" w:hAnsi="Palatino Linotype" w:cs="Palatino Linotype"/>
          <w:color w:val="000000"/>
        </w:rPr>
        <w:t>si bien</w:t>
      </w:r>
      <w:r w:rsidR="00FE7734" w:rsidRPr="00FE7734">
        <w:rPr>
          <w:rFonts w:ascii="Palatino Linotype" w:eastAsia="Palatino Linotype" w:hAnsi="Palatino Linotype" w:cs="Palatino Linotype"/>
          <w:color w:val="000000"/>
        </w:rPr>
        <w:t xml:space="preserve"> ofreció otras modalidades de entrega, tal como lo señala la Ley de Transparencia Local, en su artículo 164:</w:t>
      </w:r>
    </w:p>
    <w:p w:rsidR="00293DB9" w:rsidRPr="00FE7734" w:rsidRDefault="00293DB9" w:rsidP="00293DB9">
      <w:pPr>
        <w:pBdr>
          <w:top w:val="nil"/>
          <w:left w:val="nil"/>
          <w:bottom w:val="nil"/>
          <w:right w:val="nil"/>
          <w:between w:val="nil"/>
        </w:pBdr>
        <w:spacing w:line="360" w:lineRule="auto"/>
        <w:ind w:right="-787"/>
        <w:jc w:val="both"/>
        <w:rPr>
          <w:color w:val="000000"/>
        </w:rPr>
      </w:pPr>
    </w:p>
    <w:p w:rsidR="00FE7734" w:rsidRPr="00FE7734" w:rsidRDefault="00FE7734" w:rsidP="00FE7734">
      <w:pPr>
        <w:pBdr>
          <w:top w:val="nil"/>
          <w:left w:val="nil"/>
          <w:bottom w:val="nil"/>
          <w:right w:val="nil"/>
          <w:between w:val="nil"/>
        </w:pBdr>
        <w:tabs>
          <w:tab w:val="left" w:pos="851"/>
        </w:tabs>
        <w:ind w:left="283" w:right="-222"/>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Artículo 164</w:t>
      </w:r>
      <w:r w:rsidRPr="00FE7734">
        <w:rPr>
          <w:rFonts w:ascii="Palatino Linotype" w:eastAsia="Palatino Linotype" w:hAnsi="Palatino Linotype" w:cs="Palatino Linotype"/>
          <w:i/>
          <w:color w:val="000000"/>
          <w:sz w:val="22"/>
          <w:szCs w:val="22"/>
        </w:rPr>
        <w:t>. El acceso se dará en la modalidad de entrega y, en su caso, de envío elegidos por el solicitante. Cuando la información no pueda entregarse o enviarse en la modalidad solicitada, el sujeto obligado deberá ofrecer otra u otras modalidades de entrega.</w:t>
      </w:r>
    </w:p>
    <w:p w:rsidR="00FE7734" w:rsidRPr="00FE7734" w:rsidRDefault="00FE7734" w:rsidP="00FE7734">
      <w:pPr>
        <w:pBdr>
          <w:top w:val="nil"/>
          <w:left w:val="nil"/>
          <w:bottom w:val="nil"/>
          <w:right w:val="nil"/>
          <w:between w:val="nil"/>
        </w:pBdr>
        <w:tabs>
          <w:tab w:val="left" w:pos="851"/>
        </w:tabs>
        <w:ind w:left="283" w:right="-222"/>
        <w:jc w:val="both"/>
        <w:rPr>
          <w:rFonts w:ascii="Palatino Linotype" w:eastAsia="Palatino Linotype" w:hAnsi="Palatino Linotype" w:cs="Palatino Linotype"/>
          <w:i/>
          <w:color w:val="000000"/>
          <w:sz w:val="22"/>
          <w:szCs w:val="22"/>
        </w:rPr>
      </w:pPr>
    </w:p>
    <w:p w:rsidR="00FE7734" w:rsidRPr="00FE7734" w:rsidRDefault="00FE7734" w:rsidP="00FE7734">
      <w:pPr>
        <w:pBdr>
          <w:top w:val="nil"/>
          <w:left w:val="nil"/>
          <w:bottom w:val="nil"/>
          <w:right w:val="nil"/>
          <w:between w:val="nil"/>
        </w:pBdr>
        <w:tabs>
          <w:tab w:val="left" w:pos="851"/>
        </w:tabs>
        <w:ind w:left="283" w:right="-222"/>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En cualquier caso, se deberá fundar y motivar la necesidad de ofrecer otras modalidades.</w:t>
      </w:r>
    </w:p>
    <w:p w:rsidR="00FE7734" w:rsidRPr="00FE7734" w:rsidRDefault="00FE7734" w:rsidP="00FE7734">
      <w:pPr>
        <w:pBdr>
          <w:top w:val="nil"/>
          <w:left w:val="nil"/>
          <w:bottom w:val="nil"/>
          <w:right w:val="nil"/>
          <w:between w:val="nil"/>
        </w:pBdr>
        <w:tabs>
          <w:tab w:val="left" w:pos="851"/>
        </w:tabs>
        <w:ind w:left="-566" w:right="-787"/>
        <w:jc w:val="both"/>
        <w:rPr>
          <w:rFonts w:ascii="Palatino Linotype" w:eastAsia="Palatino Linotype" w:hAnsi="Palatino Linotype" w:cs="Palatino Linotype"/>
          <w:i/>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rsidR="00FE7734" w:rsidRPr="00FE7734" w:rsidRDefault="00FE7734" w:rsidP="00FE7734">
      <w:pPr>
        <w:pBdr>
          <w:top w:val="nil"/>
          <w:left w:val="nil"/>
          <w:bottom w:val="nil"/>
          <w:right w:val="nil"/>
          <w:between w:val="nil"/>
        </w:pBdr>
        <w:tabs>
          <w:tab w:val="left" w:pos="0"/>
        </w:tabs>
        <w:spacing w:line="360" w:lineRule="auto"/>
        <w:ind w:left="-566" w:right="-787"/>
        <w:jc w:val="both"/>
        <w:rPr>
          <w:color w:val="000000"/>
        </w:rPr>
      </w:pPr>
    </w:p>
    <w:p w:rsidR="00FE7734" w:rsidRPr="002342CB" w:rsidRDefault="001C16A8" w:rsidP="00FE7734">
      <w:pPr>
        <w:numPr>
          <w:ilvl w:val="0"/>
          <w:numId w:val="2"/>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lo que,</w:t>
      </w:r>
      <w:r w:rsidR="00FE7734" w:rsidRPr="00FE7734">
        <w:rPr>
          <w:rFonts w:ascii="Palatino Linotype" w:eastAsia="Palatino Linotype" w:hAnsi="Palatino Linotype" w:cs="Palatino Linotype"/>
          <w:color w:val="000000"/>
        </w:rPr>
        <w:t xml:space="preserve"> la esencia de solicitar la entrega de la información vía SAIMEX es que el particular se haga de ésta por </w:t>
      </w:r>
      <w:r w:rsidR="00FE7734" w:rsidRPr="00FE7734">
        <w:rPr>
          <w:rFonts w:ascii="Palatino Linotype" w:eastAsia="Palatino Linotype" w:hAnsi="Palatino Linotype" w:cs="Palatino Linotype"/>
          <w:b/>
          <w:color w:val="000000"/>
        </w:rPr>
        <w:t>medios electrónicos</w:t>
      </w:r>
      <w:r w:rsidR="00FE7734" w:rsidRPr="00FE7734">
        <w:rPr>
          <w:rFonts w:ascii="Palatino Linotype" w:eastAsia="Palatino Linotype" w:hAnsi="Palatino Linotype" w:cs="Palatino Linotype"/>
          <w:color w:val="000000"/>
        </w:rPr>
        <w:t xml:space="preserve">; esto es, por una vía digital, a distancia, que le permita descargar los documentos desde un ordenador o teléfono móvil. </w:t>
      </w:r>
      <w:r>
        <w:rPr>
          <w:rFonts w:ascii="Palatino Linotype" w:eastAsia="Palatino Linotype" w:hAnsi="Palatino Linotype" w:cs="Palatino Linotype"/>
          <w:color w:val="000000"/>
        </w:rPr>
        <w:t>En este sentido, y del análisis de las modalidades ofrecidas</w:t>
      </w:r>
      <w:r w:rsidR="00FE7734" w:rsidRPr="00FE7734">
        <w:rPr>
          <w:rFonts w:ascii="Palatino Linotype" w:eastAsia="Palatino Linotype" w:hAnsi="Palatino Linotype" w:cs="Palatino Linotype"/>
          <w:color w:val="000000"/>
        </w:rPr>
        <w:t xml:space="preserve">, el </w:t>
      </w:r>
      <w:r w:rsidR="00FE7734" w:rsidRPr="00FE7734">
        <w:rPr>
          <w:rFonts w:ascii="Palatino Linotype" w:eastAsia="Palatino Linotype" w:hAnsi="Palatino Linotype" w:cs="Palatino Linotype"/>
          <w:b/>
          <w:color w:val="000000"/>
        </w:rPr>
        <w:t>SUJETO OBLIGADO</w:t>
      </w:r>
      <w:r w:rsidR="00FE7734" w:rsidRPr="00FE7734">
        <w:rPr>
          <w:rFonts w:ascii="Palatino Linotype" w:eastAsia="Palatino Linotype" w:hAnsi="Palatino Linotype" w:cs="Palatino Linotype"/>
          <w:color w:val="000000"/>
        </w:rPr>
        <w:t xml:space="preserve"> debió ofrecer otras modalidades digitales para entregar la información al particular, tales como, de manera enunciativa </w:t>
      </w:r>
      <w:r w:rsidR="00FE7734" w:rsidRPr="00FE7734">
        <w:rPr>
          <w:rFonts w:ascii="Palatino Linotype" w:eastAsia="Palatino Linotype" w:hAnsi="Palatino Linotype" w:cs="Palatino Linotype"/>
        </w:rPr>
        <w:t>más</w:t>
      </w:r>
      <w:r w:rsidR="00FE7734" w:rsidRPr="00FE7734">
        <w:rPr>
          <w:rFonts w:ascii="Palatino Linotype" w:eastAsia="Palatino Linotype" w:hAnsi="Palatino Linotype" w:cs="Palatino Linotype"/>
          <w:color w:val="000000"/>
        </w:rPr>
        <w:t xml:space="preserve"> no limitativa, </w:t>
      </w:r>
      <w:r w:rsidR="00FE7734" w:rsidRPr="00FE7734">
        <w:rPr>
          <w:rFonts w:ascii="Palatino Linotype" w:eastAsia="Palatino Linotype" w:hAnsi="Palatino Linotype" w:cs="Palatino Linotype"/>
          <w:b/>
          <w:color w:val="000000"/>
        </w:rPr>
        <w:t xml:space="preserve">habilitar una liga electrónica para que descargue los archivos </w:t>
      </w:r>
      <w:r>
        <w:rPr>
          <w:rFonts w:ascii="Palatino Linotype" w:eastAsia="Palatino Linotype" w:hAnsi="Palatino Linotype" w:cs="Palatino Linotype"/>
          <w:b/>
          <w:color w:val="000000"/>
        </w:rPr>
        <w:t>a través de un servicio de nube</w:t>
      </w:r>
      <w:r w:rsidR="00FE7734" w:rsidRPr="00FE7734">
        <w:rPr>
          <w:rFonts w:ascii="Palatino Linotype" w:eastAsia="Palatino Linotype" w:hAnsi="Palatino Linotype" w:cs="Palatino Linotype"/>
          <w:b/>
          <w:color w:val="000000"/>
        </w:rPr>
        <w:t xml:space="preserve">; </w:t>
      </w:r>
      <w:r w:rsidR="002342CB">
        <w:rPr>
          <w:rFonts w:ascii="Palatino Linotype" w:eastAsia="Palatino Linotype" w:hAnsi="Palatino Linotype" w:cs="Palatino Linotype"/>
          <w:color w:val="000000"/>
        </w:rPr>
        <w:t xml:space="preserve">si bien, se le ofreció </w:t>
      </w:r>
      <w:r w:rsidR="00FE7734" w:rsidRPr="00FE7734">
        <w:rPr>
          <w:rFonts w:ascii="Palatino Linotype" w:eastAsia="Palatino Linotype" w:hAnsi="Palatino Linotype" w:cs="Palatino Linotype"/>
          <w:b/>
          <w:color w:val="000000"/>
        </w:rPr>
        <w:t>el acceso en disco compacto</w:t>
      </w:r>
      <w:r w:rsidR="002342CB">
        <w:rPr>
          <w:rFonts w:ascii="Palatino Linotype" w:eastAsia="Palatino Linotype" w:hAnsi="Palatino Linotype" w:cs="Palatino Linotype"/>
          <w:b/>
          <w:color w:val="000000"/>
        </w:rPr>
        <w:t xml:space="preserve"> o USB</w:t>
      </w:r>
      <w:r w:rsidR="00FE7734" w:rsidRPr="00FE7734">
        <w:rPr>
          <w:rFonts w:ascii="Palatino Linotype" w:eastAsia="Palatino Linotype" w:hAnsi="Palatino Linotype" w:cs="Palatino Linotype"/>
          <w:b/>
          <w:color w:val="000000"/>
        </w:rPr>
        <w:t xml:space="preserve">, </w:t>
      </w:r>
      <w:r w:rsidR="002342CB">
        <w:rPr>
          <w:rFonts w:ascii="Palatino Linotype" w:eastAsia="Palatino Linotype" w:hAnsi="Palatino Linotype" w:cs="Palatino Linotype"/>
          <w:color w:val="000000"/>
        </w:rPr>
        <w:t xml:space="preserve">no así </w:t>
      </w:r>
      <w:r w:rsidR="00FE7734" w:rsidRPr="00FE7734">
        <w:rPr>
          <w:rFonts w:ascii="Palatino Linotype" w:eastAsia="Palatino Linotype" w:hAnsi="Palatino Linotype" w:cs="Palatino Linotype"/>
          <w:b/>
          <w:color w:val="000000"/>
        </w:rPr>
        <w:t>la posibilidad de en</w:t>
      </w:r>
      <w:r w:rsidR="002342CB">
        <w:rPr>
          <w:rFonts w:ascii="Palatino Linotype" w:eastAsia="Palatino Linotype" w:hAnsi="Palatino Linotype" w:cs="Palatino Linotype"/>
          <w:b/>
          <w:color w:val="000000"/>
        </w:rPr>
        <w:t>vío mediante correo certificado</w:t>
      </w:r>
      <w:r w:rsidR="00FE7734" w:rsidRPr="00FE7734">
        <w:rPr>
          <w:rFonts w:ascii="Palatino Linotype" w:eastAsia="Palatino Linotype" w:hAnsi="Palatino Linotype" w:cs="Palatino Linotype"/>
          <w:b/>
          <w:color w:val="000000"/>
        </w:rPr>
        <w:t>; o, en su caso, darle la posibilidad de obtenerla de manera gratuita si ella misma aporta el CD o la USB en la que se le proporcionarán los archivos electrónicos</w:t>
      </w:r>
      <w:r w:rsidR="002342CB">
        <w:rPr>
          <w:rFonts w:ascii="Palatino Linotype" w:eastAsia="Palatino Linotype" w:hAnsi="Palatino Linotype" w:cs="Palatino Linotype"/>
          <w:color w:val="000000"/>
        </w:rPr>
        <w:t>.</w:t>
      </w:r>
    </w:p>
    <w:p w:rsidR="002342CB" w:rsidRPr="002342CB" w:rsidRDefault="002342CB" w:rsidP="002342CB">
      <w:pPr>
        <w:pBdr>
          <w:top w:val="nil"/>
          <w:left w:val="nil"/>
          <w:bottom w:val="nil"/>
          <w:right w:val="nil"/>
          <w:between w:val="nil"/>
        </w:pBdr>
        <w:spacing w:line="360" w:lineRule="auto"/>
        <w:ind w:right="-787"/>
        <w:jc w:val="both"/>
        <w:rPr>
          <w:color w:val="000000"/>
        </w:rPr>
      </w:pPr>
    </w:p>
    <w:p w:rsidR="002342CB" w:rsidRPr="002342CB" w:rsidRDefault="002342CB" w:rsidP="00FE7734">
      <w:pPr>
        <w:numPr>
          <w:ilvl w:val="0"/>
          <w:numId w:val="2"/>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Asimismo, se re refirió en el citado acuerdo que el particular debe cubrir el costo de la digitalización de la información</w:t>
      </w:r>
      <w:r w:rsidR="00BC4F5A">
        <w:rPr>
          <w:rFonts w:ascii="Palatino Linotype" w:eastAsia="Palatino Linotype" w:hAnsi="Palatino Linotype" w:cs="Palatino Linotype"/>
          <w:color w:val="000000"/>
        </w:rPr>
        <w:t>:</w:t>
      </w:r>
    </w:p>
    <w:p w:rsidR="002342CB" w:rsidRDefault="002342CB" w:rsidP="002342C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2342CB" w:rsidRPr="002342CB" w:rsidRDefault="002342CB" w:rsidP="002342CB">
      <w:pPr>
        <w:pBdr>
          <w:top w:val="nil"/>
          <w:left w:val="nil"/>
          <w:bottom w:val="nil"/>
          <w:right w:val="nil"/>
          <w:between w:val="nil"/>
        </w:pBdr>
        <w:spacing w:line="360" w:lineRule="auto"/>
        <w:ind w:right="-787"/>
        <w:jc w:val="center"/>
        <w:rPr>
          <w:color w:val="000000"/>
        </w:rPr>
      </w:pPr>
      <w:r w:rsidRPr="002342CB">
        <w:rPr>
          <w:noProof/>
          <w:color w:val="000000"/>
          <w:lang w:val="es-MX" w:eastAsia="es-MX"/>
        </w:rPr>
        <w:drawing>
          <wp:inline distT="0" distB="0" distL="0" distR="0" wp14:anchorId="4767A5FC" wp14:editId="2E99CDAD">
            <wp:extent cx="4305175" cy="998991"/>
            <wp:effectExtent l="152400" t="152400" r="362585" b="3536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9815" cy="1007029"/>
                    </a:xfrm>
                    <a:prstGeom prst="rect">
                      <a:avLst/>
                    </a:prstGeom>
                    <a:ln>
                      <a:noFill/>
                    </a:ln>
                    <a:effectLst>
                      <a:outerShdw blurRad="292100" dist="139700" dir="2700000" algn="tl" rotWithShape="0">
                        <a:srgbClr val="333333">
                          <a:alpha val="65000"/>
                        </a:srgbClr>
                      </a:outerShdw>
                    </a:effectLst>
                  </pic:spPr>
                </pic:pic>
              </a:graphicData>
            </a:graphic>
          </wp:inline>
        </w:drawing>
      </w:r>
    </w:p>
    <w:p w:rsidR="002342CB" w:rsidRPr="002342CB" w:rsidRDefault="002342CB" w:rsidP="002342CB">
      <w:pPr>
        <w:shd w:val="clear" w:color="auto" w:fill="FFFFFF"/>
        <w:spacing w:line="360" w:lineRule="atLeast"/>
        <w:rPr>
          <w:rFonts w:ascii="Times New Roman" w:eastAsia="Times New Roman" w:hAnsi="Times New Roman" w:cs="Times New Roman"/>
          <w:color w:val="000000"/>
          <w:lang w:val="es-MX" w:eastAsia="es-MX"/>
        </w:rPr>
      </w:pP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Palatino Linotype" w:eastAsia="Times New Roman" w:hAnsi="Palatino Linotype" w:cs="Times New Roman"/>
          <w:color w:val="000000"/>
          <w:lang w:val="es-MX" w:eastAsia="es-MX"/>
        </w:rPr>
      </w:pPr>
      <w:r w:rsidRPr="002342CB">
        <w:rPr>
          <w:rFonts w:ascii="Palatino Linotype" w:eastAsia="Times New Roman" w:hAnsi="Palatino Linotype" w:cs="Times New Roman"/>
          <w:color w:val="000000"/>
          <w:lang w:val="es-MX" w:eastAsia="es-MX"/>
        </w:rPr>
        <w:t xml:space="preserve">Por lo que es necesario precisar sobre </w:t>
      </w:r>
      <w:r w:rsidRPr="002342CB">
        <w:rPr>
          <w:rFonts w:ascii="Palatino Linotype" w:eastAsia="Times New Roman" w:hAnsi="Palatino Linotype" w:cs="Times New Roman"/>
          <w:b/>
          <w:bCs/>
          <w:color w:val="000000"/>
          <w:lang w:val="es-MX" w:eastAsia="es-MX"/>
        </w:rPr>
        <w:t>la gratuidad de la información solicitada a través del derecho de acceso a la información pública.</w:t>
      </w:r>
    </w:p>
    <w:p w:rsidR="002342CB" w:rsidRPr="002342CB" w:rsidRDefault="002342CB" w:rsidP="002342CB">
      <w:pPr>
        <w:pBdr>
          <w:top w:val="nil"/>
          <w:left w:val="nil"/>
          <w:bottom w:val="nil"/>
          <w:right w:val="nil"/>
          <w:between w:val="nil"/>
        </w:pBdr>
        <w:spacing w:line="360" w:lineRule="auto"/>
        <w:ind w:right="-787"/>
        <w:jc w:val="both"/>
        <w:rPr>
          <w:rFonts w:ascii="Palatino Linotype" w:eastAsia="Times New Roman" w:hAnsi="Palatino Linotype" w:cs="Times New Roman"/>
          <w:color w:val="000000"/>
          <w:lang w:val="es-MX" w:eastAsia="es-MX"/>
        </w:rPr>
      </w:pP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Times New Roman" w:eastAsia="Times New Roman" w:hAnsi="Times New Roman" w:cs="Times New Roman"/>
          <w:color w:val="000000"/>
          <w:lang w:val="es-MX" w:eastAsia="es-MX"/>
        </w:rPr>
      </w:pPr>
      <w:r w:rsidRPr="002342CB">
        <w:rPr>
          <w:rFonts w:ascii="Times New Roman" w:eastAsia="Times New Roman" w:hAnsi="Times New Roman" w:cs="Times New Roman"/>
          <w:b/>
          <w:bCs/>
          <w:color w:val="000000"/>
          <w:sz w:val="14"/>
          <w:szCs w:val="14"/>
          <w:lang w:val="es-MX" w:eastAsia="es-MX"/>
        </w:rPr>
        <w:t> </w:t>
      </w:r>
      <w:r w:rsidRPr="002342CB">
        <w:rPr>
          <w:rFonts w:ascii="Palatino Linotype" w:eastAsia="Palatino Linotype" w:hAnsi="Palatino Linotype" w:cs="Palatino Linotype"/>
          <w:color w:val="000000"/>
        </w:rPr>
        <w:t>De acuerdo a la fracción II, artículo 2 de la Ley de Transparencia Local, uno sus objetivos, es proveer lo necesario para garantizar a toda persona el derecho de acceso a la información pública, a través de procedimientos sencillos, expeditos, oportunos y </w:t>
      </w:r>
      <w:r w:rsidRPr="002342CB">
        <w:rPr>
          <w:rFonts w:ascii="Palatino Linotype" w:eastAsia="Palatino Linotype" w:hAnsi="Palatino Linotype" w:cs="Palatino Linotype"/>
          <w:b/>
          <w:color w:val="000000"/>
        </w:rPr>
        <w:t>gratuitos</w:t>
      </w:r>
      <w:r w:rsidRPr="002342CB">
        <w:rPr>
          <w:rFonts w:ascii="Palatino Linotype" w:eastAsia="Palatino Linotype" w:hAnsi="Palatino Linotype" w:cs="Palatino Linotype"/>
          <w:color w:val="000000"/>
        </w:rPr>
        <w:t>, determinando las bases mínimas sobre las cuales se regirán los mismos; así, con ello contribuir a la mejora de procedimientos y mecanismos que permitan transparentar la gestión pública,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color w:val="000000"/>
          <w:sz w:val="22"/>
          <w:szCs w:val="22"/>
          <w:lang w:val="es-MX" w:eastAsia="es-MX"/>
        </w:rPr>
        <w:t> </w:t>
      </w: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2342CB">
        <w:rPr>
          <w:rFonts w:ascii="Palatino Linotype" w:eastAsia="Palatino Linotype" w:hAnsi="Palatino Linotype" w:cs="Palatino Linotype"/>
          <w:color w:val="000000"/>
        </w:rPr>
        <w:t>Así, es importante analizar si el contenido de la información remitida en respuesta, para determinar si garantiza que la entrega de la información garantiza que sea oportuna, como lo establece el artículo 11 de la Ley de Transparencia Local:</w:t>
      </w:r>
    </w:p>
    <w:p w:rsidR="002342CB" w:rsidRPr="002342CB" w:rsidRDefault="002342CB" w:rsidP="002342CB">
      <w:pPr>
        <w:shd w:val="clear" w:color="auto" w:fill="FFFFFF"/>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color w:val="000000"/>
          <w:sz w:val="22"/>
          <w:szCs w:val="22"/>
          <w:lang w:val="es-MX" w:eastAsia="es-MX"/>
        </w:rPr>
        <w:t> </w:t>
      </w:r>
    </w:p>
    <w:p w:rsidR="002342CB" w:rsidRPr="002342CB" w:rsidRDefault="002342CB" w:rsidP="002342CB">
      <w:pPr>
        <w:pBdr>
          <w:top w:val="nil"/>
          <w:left w:val="nil"/>
          <w:bottom w:val="nil"/>
          <w:right w:val="nil"/>
          <w:between w:val="nil"/>
        </w:pBdr>
        <w:tabs>
          <w:tab w:val="left" w:pos="851"/>
        </w:tabs>
        <w:ind w:left="567" w:right="-222"/>
        <w:jc w:val="both"/>
        <w:rPr>
          <w:rFonts w:ascii="Palatino Linotype" w:eastAsia="Palatino Linotype" w:hAnsi="Palatino Linotype" w:cs="Palatino Linotype"/>
          <w:i/>
          <w:color w:val="000000"/>
          <w:sz w:val="22"/>
          <w:szCs w:val="22"/>
        </w:rPr>
      </w:pPr>
      <w:r w:rsidRPr="002342CB">
        <w:rPr>
          <w:rFonts w:ascii="Palatino Linotype" w:eastAsia="Palatino Linotype" w:hAnsi="Palatino Linotype" w:cs="Palatino Linotype"/>
          <w:b/>
          <w:i/>
          <w:color w:val="000000"/>
          <w:sz w:val="22"/>
          <w:szCs w:val="22"/>
        </w:rPr>
        <w:t>Artículo 11</w:t>
      </w:r>
      <w:r w:rsidRPr="002342CB">
        <w:rPr>
          <w:rFonts w:ascii="Palatino Linotype" w:eastAsia="Palatino Linotype" w:hAnsi="Palatino Linotype" w:cs="Palatino Linotype"/>
          <w:i/>
          <w:color w:val="000000"/>
          <w:sz w:val="22"/>
          <w:szCs w:val="22"/>
        </w:rPr>
        <w:t>.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2342CB" w:rsidRPr="002342CB" w:rsidRDefault="002342CB" w:rsidP="002342CB">
      <w:pPr>
        <w:pBdr>
          <w:top w:val="nil"/>
          <w:left w:val="nil"/>
          <w:bottom w:val="nil"/>
          <w:right w:val="nil"/>
          <w:between w:val="nil"/>
        </w:pBdr>
        <w:tabs>
          <w:tab w:val="left" w:pos="851"/>
        </w:tabs>
        <w:ind w:left="567" w:right="-2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color w:val="000000"/>
          <w:sz w:val="22"/>
          <w:szCs w:val="22"/>
          <w:lang w:val="es-MX" w:eastAsia="es-MX"/>
        </w:rPr>
        <w:t> </w:t>
      </w: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2342CB">
        <w:rPr>
          <w:rFonts w:ascii="Palatino Linotype" w:eastAsia="Palatino Linotype" w:hAnsi="Palatino Linotype" w:cs="Palatino Linotype"/>
          <w:color w:val="000000"/>
        </w:rPr>
        <w:t>Ley de Transparencia y Acceso a la Información Pública del Estado de México y Municipios, establece que uno de los principios por lo que se rige el acceso a la información pública consiste en la gratuidad del procedimiento:</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i/>
          <w:iCs/>
          <w:color w:val="000000"/>
          <w:sz w:val="22"/>
          <w:szCs w:val="22"/>
          <w:lang w:val="es-MX" w:eastAsia="es-MX"/>
        </w:rPr>
        <w:lastRenderedPageBreak/>
        <w:t> </w:t>
      </w:r>
    </w:p>
    <w:p w:rsidR="002342CB" w:rsidRPr="002342CB" w:rsidRDefault="002342CB" w:rsidP="002342CB">
      <w:pPr>
        <w:pBdr>
          <w:top w:val="nil"/>
          <w:left w:val="nil"/>
          <w:bottom w:val="nil"/>
          <w:right w:val="nil"/>
          <w:between w:val="nil"/>
        </w:pBdr>
        <w:tabs>
          <w:tab w:val="left" w:pos="851"/>
        </w:tabs>
        <w:ind w:left="567" w:right="-222"/>
        <w:jc w:val="both"/>
        <w:rPr>
          <w:rFonts w:ascii="Palatino Linotype" w:eastAsia="Palatino Linotype" w:hAnsi="Palatino Linotype" w:cs="Palatino Linotype"/>
          <w:i/>
          <w:color w:val="000000"/>
          <w:sz w:val="22"/>
          <w:szCs w:val="22"/>
        </w:rPr>
      </w:pPr>
      <w:r w:rsidRPr="002342CB">
        <w:rPr>
          <w:rFonts w:ascii="Palatino Linotype" w:eastAsia="Palatino Linotype" w:hAnsi="Palatino Linotype" w:cs="Palatino Linotype"/>
          <w:i/>
          <w:color w:val="000000"/>
          <w:sz w:val="22"/>
          <w:szCs w:val="22"/>
        </w:rPr>
        <w:t>“</w:t>
      </w:r>
      <w:r w:rsidRPr="002342CB">
        <w:rPr>
          <w:rFonts w:ascii="Palatino Linotype" w:eastAsia="Palatino Linotype" w:hAnsi="Palatino Linotype" w:cs="Palatino Linotype"/>
          <w:b/>
          <w:i/>
          <w:color w:val="000000"/>
          <w:sz w:val="22"/>
          <w:szCs w:val="22"/>
        </w:rPr>
        <w:t>Artículo 173</w:t>
      </w:r>
      <w:r w:rsidRPr="002342CB">
        <w:rPr>
          <w:rFonts w:ascii="Palatino Linotype" w:eastAsia="Palatino Linotype" w:hAnsi="Palatino Linotype" w:cs="Palatino Linotype"/>
          <w:i/>
          <w:color w:val="000000"/>
          <w:sz w:val="22"/>
          <w:szCs w:val="22"/>
        </w:rPr>
        <w:t>. Sin perjuicio de lo anteriormente establecido, el procedimiento de acceso a la información se rige por los siguientes principios:</w:t>
      </w:r>
    </w:p>
    <w:p w:rsidR="002342CB" w:rsidRPr="002342CB" w:rsidRDefault="002342CB" w:rsidP="002342CB">
      <w:pPr>
        <w:pBdr>
          <w:top w:val="nil"/>
          <w:left w:val="nil"/>
          <w:bottom w:val="nil"/>
          <w:right w:val="nil"/>
          <w:between w:val="nil"/>
        </w:pBdr>
        <w:tabs>
          <w:tab w:val="left" w:pos="851"/>
        </w:tabs>
        <w:ind w:left="567" w:right="-222"/>
        <w:jc w:val="both"/>
        <w:rPr>
          <w:rFonts w:ascii="Palatino Linotype" w:eastAsia="Palatino Linotype" w:hAnsi="Palatino Linotype" w:cs="Palatino Linotype"/>
          <w:i/>
          <w:color w:val="000000"/>
          <w:sz w:val="22"/>
          <w:szCs w:val="22"/>
        </w:rPr>
      </w:pPr>
      <w:r w:rsidRPr="002342CB">
        <w:rPr>
          <w:rFonts w:ascii="Palatino Linotype" w:eastAsia="Palatino Linotype" w:hAnsi="Palatino Linotype" w:cs="Palatino Linotype"/>
          <w:i/>
          <w:color w:val="000000"/>
          <w:sz w:val="22"/>
          <w:szCs w:val="22"/>
        </w:rPr>
        <w:t>I. Simplicidad y rapidez;</w:t>
      </w:r>
    </w:p>
    <w:p w:rsidR="002342CB" w:rsidRPr="002342CB" w:rsidRDefault="002342CB" w:rsidP="002342CB">
      <w:pPr>
        <w:pBdr>
          <w:top w:val="nil"/>
          <w:left w:val="nil"/>
          <w:bottom w:val="nil"/>
          <w:right w:val="nil"/>
          <w:between w:val="nil"/>
        </w:pBdr>
        <w:tabs>
          <w:tab w:val="left" w:pos="851"/>
        </w:tabs>
        <w:ind w:left="567" w:right="-222"/>
        <w:jc w:val="both"/>
        <w:rPr>
          <w:rFonts w:ascii="Palatino Linotype" w:eastAsia="Palatino Linotype" w:hAnsi="Palatino Linotype" w:cs="Palatino Linotype"/>
          <w:b/>
          <w:i/>
          <w:color w:val="000000"/>
          <w:sz w:val="22"/>
          <w:szCs w:val="22"/>
        </w:rPr>
      </w:pPr>
      <w:r w:rsidRPr="002342CB">
        <w:rPr>
          <w:rFonts w:ascii="Palatino Linotype" w:eastAsia="Palatino Linotype" w:hAnsi="Palatino Linotype" w:cs="Palatino Linotype"/>
          <w:b/>
          <w:i/>
          <w:color w:val="000000"/>
          <w:sz w:val="22"/>
          <w:szCs w:val="22"/>
        </w:rPr>
        <w:t>II. Gratuidad del procedimiento; y</w:t>
      </w:r>
    </w:p>
    <w:p w:rsidR="002342CB" w:rsidRPr="002342CB" w:rsidRDefault="002342CB" w:rsidP="002342CB">
      <w:pPr>
        <w:pBdr>
          <w:top w:val="nil"/>
          <w:left w:val="nil"/>
          <w:bottom w:val="nil"/>
          <w:right w:val="nil"/>
          <w:between w:val="nil"/>
        </w:pBdr>
        <w:tabs>
          <w:tab w:val="left" w:pos="851"/>
        </w:tabs>
        <w:ind w:left="567" w:right="-222"/>
        <w:jc w:val="both"/>
        <w:rPr>
          <w:rFonts w:ascii="Palatino Linotype" w:eastAsia="Palatino Linotype" w:hAnsi="Palatino Linotype" w:cs="Palatino Linotype"/>
          <w:i/>
          <w:color w:val="000000"/>
          <w:sz w:val="22"/>
          <w:szCs w:val="22"/>
        </w:rPr>
      </w:pPr>
      <w:r w:rsidRPr="002342CB">
        <w:rPr>
          <w:rFonts w:ascii="Palatino Linotype" w:eastAsia="Palatino Linotype" w:hAnsi="Palatino Linotype" w:cs="Palatino Linotype"/>
          <w:i/>
          <w:color w:val="000000"/>
          <w:sz w:val="22"/>
          <w:szCs w:val="22"/>
        </w:rPr>
        <w:t>III. Auxilio y orientación a los particulares.”</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i/>
          <w:iCs/>
          <w:color w:val="000000"/>
          <w:sz w:val="22"/>
          <w:szCs w:val="22"/>
          <w:lang w:val="es-MX" w:eastAsia="es-MX"/>
        </w:rPr>
        <w:t> </w:t>
      </w: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2342CB">
        <w:rPr>
          <w:rFonts w:ascii="Palatino Linotype" w:eastAsia="Palatino Linotype" w:hAnsi="Palatino Linotype" w:cs="Palatino Linotype"/>
          <w:color w:val="000000"/>
        </w:rPr>
        <w:t>Asimismo, el artículo 17 y 150  de  la Ley de Transparencia Local establece que la búsqueda y el acceso a la información pública deberá ser gratuita:</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color w:val="000000"/>
          <w:sz w:val="22"/>
          <w:szCs w:val="22"/>
          <w:lang w:val="es-MX" w:eastAsia="es-MX"/>
        </w:rPr>
        <w:t> </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i/>
          <w:iCs/>
          <w:color w:val="000000"/>
          <w:sz w:val="22"/>
          <w:szCs w:val="22"/>
          <w:lang w:val="es-MX" w:eastAsia="es-MX"/>
        </w:rPr>
        <w:t>“</w:t>
      </w:r>
      <w:r w:rsidRPr="002342CB">
        <w:rPr>
          <w:rFonts w:ascii="Palatino Linotype" w:eastAsia="Times New Roman" w:hAnsi="Palatino Linotype" w:cs="Times New Roman"/>
          <w:b/>
          <w:bCs/>
          <w:i/>
          <w:iCs/>
          <w:color w:val="000000"/>
          <w:sz w:val="22"/>
          <w:szCs w:val="22"/>
          <w:lang w:val="es-MX" w:eastAsia="es-MX"/>
        </w:rPr>
        <w:t>Artículo 17</w:t>
      </w:r>
      <w:r w:rsidRPr="002342CB">
        <w:rPr>
          <w:rFonts w:ascii="Palatino Linotype" w:eastAsia="Times New Roman" w:hAnsi="Palatino Linotype" w:cs="Times New Roman"/>
          <w:i/>
          <w:iCs/>
          <w:color w:val="000000"/>
          <w:sz w:val="22"/>
          <w:szCs w:val="22"/>
          <w:lang w:val="es-MX" w:eastAsia="es-MX"/>
        </w:rPr>
        <w:t>.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i/>
          <w:iCs/>
          <w:color w:val="000000"/>
          <w:sz w:val="22"/>
          <w:szCs w:val="22"/>
          <w:lang w:val="es-MX" w:eastAsia="es-MX"/>
        </w:rPr>
        <w:t> </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b/>
          <w:bCs/>
          <w:i/>
          <w:iCs/>
          <w:color w:val="000000"/>
          <w:sz w:val="22"/>
          <w:szCs w:val="22"/>
          <w:lang w:val="es-MX" w:eastAsia="es-MX"/>
        </w:rPr>
        <w:t>“Artículo 150</w:t>
      </w:r>
      <w:r>
        <w:rPr>
          <w:rFonts w:ascii="Palatino Linotype" w:eastAsia="Times New Roman" w:hAnsi="Palatino Linotype" w:cs="Times New Roman"/>
          <w:b/>
          <w:bCs/>
          <w:i/>
          <w:iCs/>
          <w:color w:val="000000"/>
          <w:sz w:val="22"/>
          <w:szCs w:val="22"/>
          <w:lang w:val="es-MX" w:eastAsia="es-MX"/>
        </w:rPr>
        <w:t>.</w:t>
      </w:r>
      <w:r w:rsidRPr="002342CB">
        <w:rPr>
          <w:rFonts w:ascii="Palatino Linotype" w:eastAsia="Times New Roman" w:hAnsi="Palatino Linotype" w:cs="Times New Roman"/>
          <w:i/>
          <w:iCs/>
          <w:color w:val="000000"/>
          <w:sz w:val="22"/>
          <w:szCs w:val="22"/>
          <w:lang w:val="es-MX" w:eastAsia="es-MX"/>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342CB" w:rsidRPr="002342CB" w:rsidRDefault="002342CB" w:rsidP="002342CB">
      <w:pPr>
        <w:shd w:val="clear" w:color="auto" w:fill="FFFFFF"/>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color w:val="000000"/>
          <w:sz w:val="22"/>
          <w:szCs w:val="22"/>
          <w:lang w:val="es-MX" w:eastAsia="es-MX"/>
        </w:rPr>
        <w:t> </w:t>
      </w: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2342CB">
        <w:rPr>
          <w:rFonts w:ascii="Palatino Linotype" w:eastAsia="Palatino Linotype" w:hAnsi="Palatino Linotype" w:cs="Palatino Linotype"/>
          <w:color w:val="000000"/>
        </w:rPr>
        <w:t>Con fundamento en los preceptos legales señalados, la gratuidad es un principio bajo el cual se rige el derecho de acceso a la información, razón por la cual, la información solicitada por el particular, debe ser entregada vía SAIMEX, sin que esto le genere algún costo.</w:t>
      </w:r>
    </w:p>
    <w:p w:rsidR="002342CB" w:rsidRPr="002342CB" w:rsidRDefault="002342CB" w:rsidP="002342CB">
      <w:pPr>
        <w:shd w:val="clear" w:color="auto" w:fill="FFFFFF"/>
        <w:spacing w:line="360" w:lineRule="atLeast"/>
        <w:jc w:val="both"/>
        <w:rPr>
          <w:rFonts w:ascii="Times New Roman" w:eastAsia="Times New Roman" w:hAnsi="Times New Roman" w:cs="Times New Roman"/>
          <w:color w:val="000000"/>
          <w:lang w:val="es-MX" w:eastAsia="es-MX"/>
        </w:rPr>
      </w:pPr>
      <w:r w:rsidRPr="002342CB">
        <w:rPr>
          <w:rFonts w:ascii="Palatino Linotype" w:eastAsia="Times New Roman" w:hAnsi="Palatino Linotype" w:cs="Times New Roman"/>
          <w:color w:val="000000"/>
          <w:sz w:val="22"/>
          <w:szCs w:val="22"/>
          <w:lang w:val="es-MX" w:eastAsia="es-MX"/>
        </w:rPr>
        <w:t> </w:t>
      </w: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2342CB">
        <w:rPr>
          <w:rFonts w:ascii="Palatino Linotype" w:eastAsia="Palatino Linotype" w:hAnsi="Palatino Linotype" w:cs="Palatino Linotype"/>
          <w:color w:val="000000"/>
        </w:rPr>
        <w:t xml:space="preserve">Es importante destacar, que el artículo 174 y 175 establecen el cobro de derechos para la entrega de la información con el objeto de que se cubran los costos de los materiales utilizados en la reproducción de la información, el costo por él envió de la misma o el pago por la certificación; sin embargo, en el caso particular que se comenta no se estima que se actualice ninguno de esos supuestos y no debe perderse de vista que la parte solicitante </w:t>
      </w:r>
      <w:r w:rsidRPr="002342CB">
        <w:rPr>
          <w:rFonts w:ascii="Palatino Linotype" w:eastAsia="Palatino Linotype" w:hAnsi="Palatino Linotype" w:cs="Palatino Linotype"/>
          <w:color w:val="000000"/>
        </w:rPr>
        <w:lastRenderedPageBreak/>
        <w:t xml:space="preserve">requirió la información a través del SAIMEX, por lo que ello </w:t>
      </w:r>
      <w:r w:rsidRPr="002342CB">
        <w:rPr>
          <w:rFonts w:ascii="Palatino Linotype" w:eastAsia="Palatino Linotype" w:hAnsi="Palatino Linotype" w:cs="Palatino Linotype"/>
          <w:b/>
          <w:color w:val="000000"/>
        </w:rPr>
        <w:t>únicamente implica la digitalización o escaneo de la información a entregar, lo cual no conlleva la utilización de materiales que generen un costo para el Sujeto Obligado</w:t>
      </w:r>
      <w:r w:rsidRPr="002342CB">
        <w:rPr>
          <w:rFonts w:ascii="Palatino Linotype" w:eastAsia="Palatino Linotype" w:hAnsi="Palatino Linotype" w:cs="Palatino Linotype"/>
          <w:color w:val="000000"/>
        </w:rPr>
        <w:t>, como es el caso por ejemplo de la emisión de copias; así tampoco se genera un gasto por él envió de l</w:t>
      </w:r>
      <w:r w:rsidR="00EB184B">
        <w:rPr>
          <w:rFonts w:ascii="Palatino Linotype" w:eastAsia="Palatino Linotype" w:hAnsi="Palatino Linotype" w:cs="Palatino Linotype"/>
          <w:color w:val="000000"/>
        </w:rPr>
        <w:t xml:space="preserve">a información, </w:t>
      </w:r>
      <w:r w:rsidRPr="002342CB">
        <w:rPr>
          <w:rFonts w:ascii="Palatino Linotype" w:eastAsia="Palatino Linotype" w:hAnsi="Palatino Linotype" w:cs="Palatino Linotype"/>
          <w:color w:val="000000"/>
        </w:rPr>
        <w:t>pues no necesita recurso alguno, más que un equipo de cómputo con acceso a internet y un digitalizador de documentos.</w:t>
      </w:r>
    </w:p>
    <w:p w:rsidR="002342CB" w:rsidRPr="002342CB" w:rsidRDefault="002342CB" w:rsidP="00EB184B">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2342CB" w:rsidRPr="002342CB" w:rsidRDefault="002342CB" w:rsidP="002342C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2342CB">
        <w:rPr>
          <w:rFonts w:ascii="Palatino Linotype" w:eastAsia="Palatino Linotype" w:hAnsi="Palatino Linotype" w:cs="Palatino Linotype"/>
          <w:color w:val="000000"/>
        </w:rPr>
        <w:t xml:space="preserve">Por lo anteriormente expuesto, este Órgano Garante determina que la </w:t>
      </w:r>
      <w:r w:rsidR="00EB184B">
        <w:rPr>
          <w:rFonts w:ascii="Palatino Linotype" w:eastAsia="Palatino Linotype" w:hAnsi="Palatino Linotype" w:cs="Palatino Linotype"/>
          <w:color w:val="000000"/>
        </w:rPr>
        <w:t xml:space="preserve">digitalización de documentación para la </w:t>
      </w:r>
      <w:r w:rsidRPr="002342CB">
        <w:rPr>
          <w:rFonts w:ascii="Palatino Linotype" w:eastAsia="Palatino Linotype" w:hAnsi="Palatino Linotype" w:cs="Palatino Linotype"/>
          <w:color w:val="000000"/>
        </w:rPr>
        <w:t xml:space="preserve">entrega de la información </w:t>
      </w:r>
      <w:r w:rsidR="00EB184B">
        <w:rPr>
          <w:rFonts w:ascii="Palatino Linotype" w:eastAsia="Palatino Linotype" w:hAnsi="Palatino Linotype" w:cs="Palatino Linotype"/>
          <w:color w:val="000000"/>
        </w:rPr>
        <w:t>no genera</w:t>
      </w:r>
      <w:r w:rsidRPr="002342CB">
        <w:rPr>
          <w:rFonts w:ascii="Palatino Linotype" w:eastAsia="Palatino Linotype" w:hAnsi="Palatino Linotype" w:cs="Palatino Linotype"/>
          <w:color w:val="000000"/>
        </w:rPr>
        <w:t xml:space="preserve"> costo alguno</w:t>
      </w:r>
      <w:r w:rsidR="00EB184B">
        <w:rPr>
          <w:rFonts w:ascii="Palatino Linotype" w:eastAsia="Palatino Linotype" w:hAnsi="Palatino Linotype" w:cs="Palatino Linotype"/>
          <w:color w:val="000000"/>
        </w:rPr>
        <w:t>.</w:t>
      </w:r>
    </w:p>
    <w:p w:rsidR="00FE7734" w:rsidRPr="00FE7734" w:rsidRDefault="00FE7734" w:rsidP="00BC4F5A">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rsidR="00FE7734" w:rsidRPr="00FE7734" w:rsidRDefault="00FE7734" w:rsidP="00FE7734">
      <w:pPr>
        <w:numPr>
          <w:ilvl w:val="0"/>
          <w:numId w:val="2"/>
        </w:numPr>
        <w:pBdr>
          <w:top w:val="nil"/>
          <w:left w:val="nil"/>
          <w:bottom w:val="nil"/>
          <w:right w:val="nil"/>
          <w:between w:val="nil"/>
        </w:pBdr>
        <w:spacing w:line="360" w:lineRule="auto"/>
        <w:ind w:left="0" w:right="-787" w:firstLine="0"/>
        <w:jc w:val="both"/>
        <w:rPr>
          <w:color w:val="000000"/>
        </w:rPr>
      </w:pPr>
      <w:r w:rsidRPr="00FE7734">
        <w:rPr>
          <w:rFonts w:ascii="Palatino Linotype" w:eastAsia="Palatino Linotype" w:hAnsi="Palatino Linotype" w:cs="Palatino Linotype"/>
          <w:color w:val="000000"/>
        </w:rPr>
        <w:t xml:space="preserve">Por ello, conviene traer a estudio lo establecido en el Capítulo X de </w:t>
      </w:r>
      <w:r w:rsidRPr="00FE7734">
        <w:rPr>
          <w:rFonts w:ascii="Palatino Linotype" w:eastAsia="Palatino Linotype" w:hAnsi="Palatino Linotype" w:cs="Palatino Linotype"/>
          <w:i/>
          <w:color w:val="000000"/>
        </w:rPr>
        <w:t>Lineamientos Generales en Materia de Clasificación y Desclasificación de la Información, así como para la Elaboración de Versiones Públicas</w:t>
      </w:r>
      <w:r w:rsidRPr="00FE7734">
        <w:rPr>
          <w:rFonts w:ascii="Palatino Linotype" w:eastAsia="Palatino Linotype" w:hAnsi="Palatino Linotype" w:cs="Palatino Linotype"/>
          <w:color w:val="000000"/>
        </w:rPr>
        <w:t>, relativo a la Consulta Directa, mismo que se transcribe a continuación:</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b/>
          <w:i/>
          <w:color w:val="000000"/>
          <w:sz w:val="22"/>
          <w:szCs w:val="22"/>
        </w:rPr>
      </w:pPr>
      <w:r w:rsidRPr="00FE7734">
        <w:rPr>
          <w:rFonts w:ascii="Palatino Linotype" w:eastAsia="Palatino Linotype" w:hAnsi="Palatino Linotype" w:cs="Palatino Linotype"/>
          <w:i/>
          <w:color w:val="000000"/>
          <w:sz w:val="22"/>
          <w:szCs w:val="22"/>
        </w:rPr>
        <w:t>“</w:t>
      </w:r>
      <w:r w:rsidRPr="00FE7734">
        <w:rPr>
          <w:rFonts w:ascii="Palatino Linotype" w:eastAsia="Palatino Linotype" w:hAnsi="Palatino Linotype" w:cs="Palatino Linotype"/>
          <w:b/>
          <w:i/>
          <w:color w:val="000000"/>
          <w:sz w:val="22"/>
          <w:szCs w:val="22"/>
        </w:rPr>
        <w:t xml:space="preserve">CAPÍTULO X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b/>
          <w:i/>
          <w:color w:val="000000"/>
          <w:sz w:val="22"/>
          <w:szCs w:val="22"/>
        </w:rPr>
      </w:pPr>
      <w:r w:rsidRPr="00FE7734">
        <w:rPr>
          <w:rFonts w:ascii="Palatino Linotype" w:eastAsia="Palatino Linotype" w:hAnsi="Palatino Linotype" w:cs="Palatino Linotype"/>
          <w:b/>
          <w:i/>
          <w:color w:val="000000"/>
          <w:sz w:val="22"/>
          <w:szCs w:val="22"/>
        </w:rPr>
        <w:t xml:space="preserve">DE LA CONSULTA DIRECTA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Sexagésimo séptimo.</w:t>
      </w:r>
      <w:r w:rsidRPr="00FE7734">
        <w:rPr>
          <w:rFonts w:ascii="Palatino Linotype" w:eastAsia="Palatino Linotype" w:hAnsi="Palatino Linotype" w:cs="Palatino Linotype"/>
          <w:i/>
          <w:color w:val="000000"/>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Sexagésimo octavo.</w:t>
      </w:r>
      <w:r w:rsidRPr="00FE7734">
        <w:rPr>
          <w:rFonts w:ascii="Palatino Linotype" w:eastAsia="Palatino Linotype" w:hAnsi="Palatino Linotype" w:cs="Palatino Linotype"/>
          <w:i/>
          <w:color w:val="000000"/>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Sexagésimo noveno.</w:t>
      </w:r>
      <w:r w:rsidRPr="00FE7734">
        <w:rPr>
          <w:rFonts w:ascii="Palatino Linotype" w:eastAsia="Palatino Linotype" w:hAnsi="Palatino Linotype" w:cs="Palatino Linotype"/>
          <w:i/>
          <w:color w:val="000000"/>
          <w:sz w:val="22"/>
          <w:szCs w:val="22"/>
        </w:rPr>
        <w:t xml:space="preserve"> En caso de que no sea posible otorgar acceso a la información en la modalidad de consulta directa ya sea por la naturaleza, contenido, el formato del documento o características </w:t>
      </w:r>
      <w:r w:rsidRPr="00FE7734">
        <w:rPr>
          <w:rFonts w:ascii="Palatino Linotype" w:eastAsia="Palatino Linotype" w:hAnsi="Palatino Linotype" w:cs="Palatino Linotype"/>
          <w:i/>
          <w:color w:val="000000"/>
          <w:sz w:val="22"/>
          <w:szCs w:val="22"/>
        </w:rPr>
        <w:lastRenderedPageBreak/>
        <w:t xml:space="preserve">físicas del mismo, el sujeto obligado deberá justificar el impedimento para el acceso a la consulta directa y, de ser posible, ofrecer las demás modalidades en las que es viable el acceso a la información.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Septuagésimo.</w:t>
      </w:r>
      <w:r w:rsidRPr="00FE7734">
        <w:rPr>
          <w:rFonts w:ascii="Palatino Linotype" w:eastAsia="Palatino Linotype" w:hAnsi="Palatino Linotype" w:cs="Palatino Linotype"/>
          <w:i/>
          <w:color w:val="000000"/>
          <w:sz w:val="22"/>
          <w:szCs w:val="22"/>
        </w:rPr>
        <w:t xml:space="preserve"> Para el desahogo de las actuaciones tendientes a permitir la consulta directa, en los casos en que ésta resulte procedente, los sujetos obligados deberán observar lo siguiente: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I.</w:t>
      </w:r>
      <w:r w:rsidRPr="00FE7734">
        <w:rPr>
          <w:rFonts w:ascii="Palatino Linotype" w:eastAsia="Palatino Linotype" w:hAnsi="Palatino Linotype" w:cs="Palatino Linotype"/>
          <w:i/>
          <w:color w:val="000000"/>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II.</w:t>
      </w:r>
      <w:r w:rsidRPr="00FE7734">
        <w:rPr>
          <w:rFonts w:ascii="Palatino Linotype" w:eastAsia="Palatino Linotype" w:hAnsi="Palatino Linotype" w:cs="Palatino Linotype"/>
          <w:i/>
          <w:color w:val="000000"/>
          <w:sz w:val="22"/>
          <w:szCs w:val="22"/>
        </w:rPr>
        <w:t xml:space="preserve"> En su caso, la procedencia de los ajustes razonables solicitados y/o la procedencia de acceso en la lengua indígena requerida;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 xml:space="preserve">III. </w:t>
      </w:r>
      <w:r w:rsidRPr="00FE7734">
        <w:rPr>
          <w:rFonts w:ascii="Palatino Linotype" w:eastAsia="Palatino Linotype" w:hAnsi="Palatino Linotype" w:cs="Palatino Linotype"/>
          <w:i/>
          <w:color w:val="000000"/>
          <w:sz w:val="22"/>
          <w:szCs w:val="22"/>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 xml:space="preserve">IV. </w:t>
      </w:r>
      <w:r w:rsidRPr="00FE7734">
        <w:rPr>
          <w:rFonts w:ascii="Palatino Linotype" w:eastAsia="Palatino Linotype" w:hAnsi="Palatino Linotype" w:cs="Palatino Linotype"/>
          <w:i/>
          <w:color w:val="000000"/>
          <w:sz w:val="22"/>
          <w:szCs w:val="22"/>
        </w:rPr>
        <w:t>Proporcionar al solicitante las facilidades y asistencia requerida para la consulta de los documentos;</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V.</w:t>
      </w:r>
      <w:r w:rsidRPr="00FE7734">
        <w:rPr>
          <w:rFonts w:ascii="Palatino Linotype" w:eastAsia="Palatino Linotype" w:hAnsi="Palatino Linotype" w:cs="Palatino Linotype"/>
          <w:i/>
          <w:color w:val="000000"/>
          <w:sz w:val="22"/>
          <w:szCs w:val="22"/>
        </w:rPr>
        <w:t xml:space="preserve"> Abstenerse de requerir al solicitante que acredite interés alguno;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VI.</w:t>
      </w:r>
      <w:r w:rsidRPr="00FE7734">
        <w:rPr>
          <w:rFonts w:ascii="Palatino Linotype" w:eastAsia="Palatino Linotype" w:hAnsi="Palatino Linotype" w:cs="Palatino Linotype"/>
          <w:i/>
          <w:color w:val="000000"/>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a)</w:t>
      </w:r>
      <w:r w:rsidRPr="00FE7734">
        <w:rPr>
          <w:rFonts w:ascii="Palatino Linotype" w:eastAsia="Palatino Linotype" w:hAnsi="Palatino Linotype" w:cs="Palatino Linotype"/>
          <w:i/>
          <w:color w:val="000000"/>
          <w:sz w:val="22"/>
          <w:szCs w:val="22"/>
        </w:rPr>
        <w:t xml:space="preserve"> Contar con instalaciones y mobiliario adecuado para asegurar tanto la integridad del documento consultado, como para proporcionar al solicitante las mejores condiciones para poder llevar a cabo la consulta directa;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b)</w:t>
      </w:r>
      <w:r w:rsidRPr="00FE7734">
        <w:rPr>
          <w:rFonts w:ascii="Palatino Linotype" w:eastAsia="Palatino Linotype" w:hAnsi="Palatino Linotype" w:cs="Palatino Linotype"/>
          <w:i/>
          <w:color w:val="000000"/>
          <w:sz w:val="22"/>
          <w:szCs w:val="22"/>
        </w:rPr>
        <w:t xml:space="preserve"> Equipo y personal de vigilancia;</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c)</w:t>
      </w:r>
      <w:r w:rsidRPr="00FE7734">
        <w:rPr>
          <w:rFonts w:ascii="Palatino Linotype" w:eastAsia="Palatino Linotype" w:hAnsi="Palatino Linotype" w:cs="Palatino Linotype"/>
          <w:i/>
          <w:color w:val="000000"/>
          <w:sz w:val="22"/>
          <w:szCs w:val="22"/>
        </w:rPr>
        <w:t xml:space="preserve"> Plan de acción contra robo o vandalismo;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d)</w:t>
      </w:r>
      <w:r w:rsidRPr="00FE7734">
        <w:rPr>
          <w:rFonts w:ascii="Palatino Linotype" w:eastAsia="Palatino Linotype" w:hAnsi="Palatino Linotype" w:cs="Palatino Linotype"/>
          <w:i/>
          <w:color w:val="000000"/>
          <w:sz w:val="22"/>
          <w:szCs w:val="22"/>
        </w:rPr>
        <w:t xml:space="preserve"> Extintores de fuego de gas inocuo;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e)</w:t>
      </w:r>
      <w:r w:rsidRPr="00FE7734">
        <w:rPr>
          <w:rFonts w:ascii="Palatino Linotype" w:eastAsia="Palatino Linotype" w:hAnsi="Palatino Linotype" w:cs="Palatino Linotype"/>
          <w:i/>
          <w:color w:val="000000"/>
          <w:sz w:val="22"/>
          <w:szCs w:val="22"/>
        </w:rPr>
        <w:t xml:space="preserve"> Registro e identificación del personal autorizado para el tratamiento de los documentos o expedientes a revisar;</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f)</w:t>
      </w:r>
      <w:r w:rsidRPr="00FE7734">
        <w:rPr>
          <w:rFonts w:ascii="Palatino Linotype" w:eastAsia="Palatino Linotype" w:hAnsi="Palatino Linotype" w:cs="Palatino Linotype"/>
          <w:i/>
          <w:color w:val="000000"/>
          <w:sz w:val="22"/>
          <w:szCs w:val="22"/>
        </w:rPr>
        <w:t xml:space="preserve"> Registro e identificación de los particulares autorizados para llevar a cabo la consulta directa, y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g)</w:t>
      </w:r>
      <w:r w:rsidRPr="00FE7734">
        <w:rPr>
          <w:rFonts w:ascii="Palatino Linotype" w:eastAsia="Palatino Linotype" w:hAnsi="Palatino Linotype" w:cs="Palatino Linotype"/>
          <w:i/>
          <w:color w:val="000000"/>
          <w:sz w:val="22"/>
          <w:szCs w:val="22"/>
        </w:rPr>
        <w:t xml:space="preserve"> Las demás que, a criterio de los sujetos obligados, resulten necesarias.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VII.</w:t>
      </w:r>
      <w:r w:rsidRPr="00FE7734">
        <w:rPr>
          <w:rFonts w:ascii="Palatino Linotype" w:eastAsia="Palatino Linotype" w:hAnsi="Palatino Linotype" w:cs="Palatino Linotype"/>
          <w:i/>
          <w:color w:val="000000"/>
          <w:sz w:val="22"/>
          <w:szCs w:val="22"/>
        </w:rPr>
        <w:t xml:space="preserve"> Hacer del conocimiento del solicitante, previo al acceso a la información, las reglas a que se sujetará la consulta para garantizar la integridad de los documentos, y</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VIII.</w:t>
      </w:r>
      <w:r w:rsidRPr="00FE7734">
        <w:rPr>
          <w:rFonts w:ascii="Palatino Linotype" w:eastAsia="Palatino Linotype" w:hAnsi="Palatino Linotype" w:cs="Palatino Linotype"/>
          <w:i/>
          <w:color w:val="000000"/>
          <w:sz w:val="22"/>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lastRenderedPageBreak/>
        <w:t xml:space="preserve">Septuagésimo primero. </w:t>
      </w:r>
      <w:r w:rsidRPr="00FE7734">
        <w:rPr>
          <w:rFonts w:ascii="Palatino Linotype" w:eastAsia="Palatino Linotype" w:hAnsi="Palatino Linotype" w:cs="Palatino Linotype"/>
          <w:i/>
          <w:color w:val="000000"/>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 xml:space="preserve">El solicitante deberá observar en todo momento las reglas que el sujeto obligado haya hecho de su conocimiento para efectos de la conservación de los documentos.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Septuagésimo segundo.</w:t>
      </w:r>
      <w:r w:rsidRPr="00FE7734">
        <w:rPr>
          <w:rFonts w:ascii="Palatino Linotype" w:eastAsia="Palatino Linotype" w:hAnsi="Palatino Linotype" w:cs="Palatino Linotype"/>
          <w:i/>
          <w:color w:val="000000"/>
          <w:sz w:val="22"/>
          <w:szCs w:val="22"/>
        </w:rPr>
        <w:t xml:space="preserve"> El solicitante deberá realizar la consulta de los documentos requeridos en el lugar, horarios y con la persona destinada para tal efecto.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b/>
          <w:i/>
          <w:color w:val="000000"/>
          <w:sz w:val="22"/>
          <w:szCs w:val="22"/>
        </w:rPr>
        <w:t>Septuagésimo tercero.</w:t>
      </w:r>
      <w:r w:rsidRPr="00FE7734">
        <w:rPr>
          <w:rFonts w:ascii="Palatino Linotype" w:eastAsia="Palatino Linotype" w:hAnsi="Palatino Linotype" w:cs="Palatino Linotype"/>
          <w:i/>
          <w:color w:val="000000"/>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FE7734" w:rsidRPr="00FE7734" w:rsidRDefault="00FE7734" w:rsidP="00293DB9">
      <w:pPr>
        <w:pBdr>
          <w:top w:val="nil"/>
          <w:left w:val="nil"/>
          <w:bottom w:val="nil"/>
          <w:right w:val="nil"/>
          <w:between w:val="nil"/>
        </w:pBdr>
        <w:tabs>
          <w:tab w:val="left" w:pos="851"/>
        </w:tabs>
        <w:ind w:left="567" w:right="-363"/>
        <w:jc w:val="both"/>
        <w:rPr>
          <w:rFonts w:ascii="Palatino Linotype" w:eastAsia="Palatino Linotype" w:hAnsi="Palatino Linotype" w:cs="Palatino Linotype"/>
          <w:i/>
          <w:color w:val="000000"/>
          <w:sz w:val="22"/>
          <w:szCs w:val="22"/>
        </w:rPr>
      </w:pPr>
      <w:r w:rsidRPr="00FE7734">
        <w:rPr>
          <w:rFonts w:ascii="Palatino Linotype" w:eastAsia="Palatino Linotype" w:hAnsi="Palatino Linotype" w:cs="Palatino Linotype"/>
          <w:i/>
          <w:color w:val="000000"/>
          <w:sz w:val="22"/>
          <w:szCs w:val="22"/>
        </w:rPr>
        <w:t>La información deberá ser entregada sin costo, cuando implique la entrega de no más de veinte hojas simples.”</w:t>
      </w:r>
    </w:p>
    <w:p w:rsidR="00FE7734" w:rsidRPr="00FE7734" w:rsidRDefault="00FE7734" w:rsidP="00FE7734">
      <w:pPr>
        <w:pBdr>
          <w:top w:val="nil"/>
          <w:left w:val="nil"/>
          <w:bottom w:val="nil"/>
          <w:right w:val="nil"/>
          <w:between w:val="nil"/>
        </w:pBdr>
        <w:tabs>
          <w:tab w:val="left" w:pos="851"/>
        </w:tabs>
        <w:spacing w:line="276" w:lineRule="auto"/>
        <w:ind w:left="-566" w:right="-787"/>
        <w:jc w:val="both"/>
        <w:rPr>
          <w:rFonts w:ascii="Palatino Linotype" w:eastAsia="Palatino Linotype" w:hAnsi="Palatino Linotype" w:cs="Palatino Linotype"/>
          <w:i/>
          <w:color w:val="000000"/>
        </w:rPr>
      </w:pPr>
    </w:p>
    <w:p w:rsidR="00FE7734" w:rsidRPr="00CA5E22" w:rsidRDefault="00FE7734" w:rsidP="00FE7734">
      <w:pPr>
        <w:numPr>
          <w:ilvl w:val="0"/>
          <w:numId w:val="2"/>
        </w:numPr>
        <w:pBdr>
          <w:top w:val="nil"/>
          <w:left w:val="nil"/>
          <w:bottom w:val="nil"/>
          <w:right w:val="nil"/>
          <w:between w:val="nil"/>
        </w:pBdr>
        <w:spacing w:line="360" w:lineRule="auto"/>
        <w:ind w:left="0" w:right="-787" w:firstLine="0"/>
        <w:jc w:val="both"/>
        <w:rPr>
          <w:rFonts w:ascii="Palatino Linotype" w:eastAsia="Calibri" w:hAnsi="Palatino Linotype" w:cs="Arial"/>
          <w:i/>
        </w:rPr>
      </w:pPr>
      <w:r w:rsidRPr="00FE7734">
        <w:rPr>
          <w:rFonts w:ascii="Palatino Linotype" w:eastAsia="Calibri" w:hAnsi="Palatino Linotype" w:cs="Arial"/>
        </w:rPr>
        <w:t xml:space="preserve">De lo anterior, si bien es cierto, el Sujeto Obligado asumió contar con la información, </w:t>
      </w:r>
      <w:r w:rsidR="00CA5E22">
        <w:rPr>
          <w:rFonts w:ascii="Palatino Linotype" w:eastAsia="Calibri" w:hAnsi="Palatino Linotype" w:cs="Arial"/>
        </w:rPr>
        <w:t>el</w:t>
      </w:r>
      <w:r w:rsidRPr="00FE7734">
        <w:rPr>
          <w:rFonts w:ascii="Palatino Linotype" w:eastAsia="Calibri" w:hAnsi="Palatino Linotype" w:cs="Arial"/>
        </w:rPr>
        <w:t xml:space="preserve"> contenido del acuerdo del comité de transparencia en el que se aprobó el cambio de modalidad a consulta directa, se determina que no </w:t>
      </w:r>
      <w:r w:rsidR="00CA5E22">
        <w:rPr>
          <w:rFonts w:ascii="Palatino Linotype" w:eastAsia="Calibri" w:hAnsi="Palatino Linotype" w:cs="Arial"/>
        </w:rPr>
        <w:t>cumple con las formalidades establecidas en la norma, por las consideraciones ya antes expuestas</w:t>
      </w:r>
      <w:r w:rsidRPr="00FE7734">
        <w:rPr>
          <w:rFonts w:ascii="Palatino Linotype" w:eastAsia="Palatino Linotype" w:hAnsi="Palatino Linotype" w:cs="Palatino Linotype"/>
        </w:rPr>
        <w:t xml:space="preserve">, en consecuencia </w:t>
      </w:r>
      <w:r w:rsidRPr="00FE7734">
        <w:rPr>
          <w:rFonts w:ascii="Palatino Linotype" w:eastAsia="Palatino Linotype" w:hAnsi="Palatino Linotype" w:cs="Palatino Linotype"/>
          <w:b/>
        </w:rPr>
        <w:t>este Organismo considera</w:t>
      </w:r>
      <w:r w:rsidRPr="00FE7734">
        <w:rPr>
          <w:rFonts w:ascii="Palatino Linotype" w:eastAsia="Palatino Linotype" w:hAnsi="Palatino Linotype" w:cs="Palatino Linotype"/>
        </w:rPr>
        <w:t xml:space="preserve"> </w:t>
      </w:r>
      <w:r w:rsidRPr="00FE7734">
        <w:rPr>
          <w:rFonts w:ascii="Palatino Linotype" w:eastAsia="Palatino Linotype" w:hAnsi="Palatino Linotype" w:cs="Palatino Linotype"/>
          <w:b/>
        </w:rPr>
        <w:t>inviable el cambio de modalidad de entrega de información</w:t>
      </w:r>
      <w:r w:rsidRPr="00FE7734">
        <w:rPr>
          <w:rFonts w:ascii="Palatino Linotype" w:eastAsia="Palatino Linotype" w:hAnsi="Palatino Linotype" w:cs="Palatino Linotype"/>
        </w:rPr>
        <w:t>.</w:t>
      </w:r>
    </w:p>
    <w:p w:rsidR="00CA5E22" w:rsidRPr="00CA5E22" w:rsidRDefault="00CA5E22" w:rsidP="00B433D1">
      <w:pPr>
        <w:pBdr>
          <w:top w:val="nil"/>
          <w:left w:val="nil"/>
          <w:bottom w:val="nil"/>
          <w:right w:val="nil"/>
          <w:between w:val="nil"/>
        </w:pBdr>
        <w:spacing w:line="360" w:lineRule="auto"/>
        <w:ind w:right="-787"/>
        <w:jc w:val="both"/>
        <w:rPr>
          <w:rFonts w:ascii="Palatino Linotype" w:eastAsia="Calibri" w:hAnsi="Palatino Linotype" w:cs="Arial"/>
          <w:i/>
        </w:rPr>
      </w:pPr>
    </w:p>
    <w:p w:rsidR="00CA5E22" w:rsidRPr="00B433D1" w:rsidRDefault="00CA5E22" w:rsidP="00B433D1">
      <w:pPr>
        <w:numPr>
          <w:ilvl w:val="0"/>
          <w:numId w:val="2"/>
        </w:numPr>
        <w:pBdr>
          <w:top w:val="nil"/>
          <w:left w:val="nil"/>
          <w:bottom w:val="nil"/>
          <w:right w:val="nil"/>
          <w:between w:val="nil"/>
        </w:pBdr>
        <w:spacing w:line="360" w:lineRule="auto"/>
        <w:ind w:left="0" w:right="-787" w:firstLine="0"/>
        <w:jc w:val="both"/>
        <w:rPr>
          <w:rFonts w:ascii="Palatino Linotype" w:eastAsia="Calibri" w:hAnsi="Palatino Linotype" w:cs="Arial"/>
          <w:i/>
        </w:rPr>
      </w:pPr>
      <w:r>
        <w:rPr>
          <w:rFonts w:ascii="Palatino Linotype" w:eastAsia="Palatino Linotype" w:hAnsi="Palatino Linotype" w:cs="Palatino Linotype"/>
        </w:rPr>
        <w:t xml:space="preserve">Asimismo, es de referir que </w:t>
      </w:r>
      <w:r w:rsidRPr="00B433D1">
        <w:rPr>
          <w:rFonts w:ascii="Palatino Linotype" w:eastAsia="Palatino Linotype" w:hAnsi="Palatino Linotype" w:cs="Palatino Linotype"/>
        </w:rPr>
        <w:t xml:space="preserve">se tiene como obligación de transparencia común la de poner a disposición la información relativa </w:t>
      </w:r>
      <w:r w:rsidR="00B433D1">
        <w:rPr>
          <w:rFonts w:ascii="Palatino Linotype" w:eastAsia="Palatino Linotype" w:hAnsi="Palatino Linotype" w:cs="Palatino Linotype"/>
        </w:rPr>
        <w:t>l</w:t>
      </w:r>
      <w:r w:rsidR="00B433D1" w:rsidRPr="00B433D1">
        <w:rPr>
          <w:rFonts w:ascii="Palatino Linotype" w:eastAsia="Palatino Linotype" w:hAnsi="Palatino Linotype" w:cs="Palatino Linotype"/>
        </w:rPr>
        <w:t>a información sobre los procesos y resultados sobre procedimientos de adjudicación directa, invitación restringida y licitación de cualquier naturaleza, incluyendo la versión pública del expediente respectivo</w:t>
      </w:r>
      <w:r w:rsidRPr="00B433D1">
        <w:rPr>
          <w:rFonts w:ascii="Palatino Linotype" w:eastAsia="Palatino Linotype" w:hAnsi="Palatino Linotype" w:cs="Palatino Linotype"/>
        </w:rPr>
        <w:t>, tal como lo señala el artículo 92, de la Ley de Transparencia y Acceso a la Información Pública del Estado de México y Municipios:</w:t>
      </w:r>
    </w:p>
    <w:p w:rsidR="00CA5E22" w:rsidRDefault="00CA5E22" w:rsidP="00CA5E22">
      <w:pPr>
        <w:spacing w:line="360" w:lineRule="auto"/>
        <w:ind w:right="-787"/>
        <w:jc w:val="both"/>
        <w:rPr>
          <w:rFonts w:ascii="Palatino Linotype" w:eastAsia="Palatino Linotype" w:hAnsi="Palatino Linotype" w:cs="Palatino Linotype"/>
          <w:highlight w:val="cyan"/>
        </w:rPr>
      </w:pPr>
    </w:p>
    <w:p w:rsidR="00CA5E22" w:rsidRPr="00487465" w:rsidRDefault="00CA5E22" w:rsidP="00CA5E22">
      <w:pPr>
        <w:ind w:left="1134" w:right="-574"/>
        <w:jc w:val="center"/>
        <w:rPr>
          <w:rFonts w:ascii="Palatino Linotype" w:hAnsi="Palatino Linotype" w:cs="Tahoma"/>
          <w:b/>
          <w:i/>
          <w:sz w:val="22"/>
          <w:szCs w:val="22"/>
        </w:rPr>
      </w:pPr>
      <w:r w:rsidRPr="00487465">
        <w:rPr>
          <w:rFonts w:ascii="Palatino Linotype" w:hAnsi="Palatino Linotype" w:cs="Tahoma"/>
          <w:b/>
          <w:i/>
          <w:sz w:val="22"/>
          <w:szCs w:val="22"/>
        </w:rPr>
        <w:t>De las Obligaciones de Transparencia Comunes</w:t>
      </w:r>
    </w:p>
    <w:p w:rsidR="00CA5E22" w:rsidRDefault="00CA5E22" w:rsidP="00CA5E22">
      <w:pPr>
        <w:ind w:left="1134" w:right="-574"/>
        <w:jc w:val="both"/>
        <w:rPr>
          <w:rFonts w:ascii="Palatino Linotype" w:hAnsi="Palatino Linotype" w:cs="Tahoma"/>
          <w:i/>
          <w:sz w:val="22"/>
          <w:szCs w:val="22"/>
        </w:rPr>
      </w:pPr>
    </w:p>
    <w:p w:rsidR="00CA5E22" w:rsidRDefault="00CA5E22" w:rsidP="00CA5E22">
      <w:pPr>
        <w:ind w:left="1134" w:right="-574"/>
        <w:jc w:val="both"/>
        <w:rPr>
          <w:rFonts w:ascii="Palatino Linotype" w:hAnsi="Palatino Linotype" w:cs="Tahoma"/>
          <w:i/>
          <w:sz w:val="22"/>
          <w:szCs w:val="22"/>
        </w:rPr>
      </w:pPr>
      <w:r w:rsidRPr="00487465">
        <w:rPr>
          <w:rFonts w:ascii="Palatino Linotype" w:hAnsi="Palatino Linotype" w:cs="Tahoma"/>
          <w:b/>
          <w:i/>
          <w:sz w:val="22"/>
          <w:szCs w:val="22"/>
        </w:rPr>
        <w:t>Artículo 92</w:t>
      </w:r>
      <w:r w:rsidRPr="00487465">
        <w:rPr>
          <w:rFonts w:ascii="Palatino Linotype" w:hAnsi="Palatino Linotype" w:cs="Tahoma"/>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A5E22" w:rsidRDefault="00CA5E22" w:rsidP="00CA5E22">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b/>
          <w:i/>
          <w:sz w:val="22"/>
          <w:szCs w:val="22"/>
        </w:rPr>
        <w:t>XXIX</w:t>
      </w:r>
      <w:r w:rsidRPr="00487465">
        <w:rPr>
          <w:rFonts w:ascii="Palatino Linotype" w:hAnsi="Palatino Linotype" w:cs="Tahoma"/>
          <w:i/>
          <w:sz w:val="22"/>
          <w:szCs w:val="22"/>
        </w:rPr>
        <w:t xml:space="preserve">. </w:t>
      </w:r>
      <w:r w:rsidRPr="00735577">
        <w:rPr>
          <w:rFonts w:ascii="Palatino Linotype" w:hAnsi="Palatino Linotype" w:cs="Tahoma"/>
          <w:b/>
          <w:i/>
          <w:sz w:val="22"/>
          <w:szCs w:val="22"/>
        </w:rPr>
        <w:t xml:space="preserve">La información sobre los procesos y resultados sobre procedimientos de adjudicación directa, invitación restringida y licitación de cualquier naturaleza, </w:t>
      </w:r>
      <w:r w:rsidRPr="00735577">
        <w:rPr>
          <w:rFonts w:ascii="Palatino Linotype" w:hAnsi="Palatino Linotype" w:cs="Tahoma"/>
          <w:b/>
          <w:i/>
          <w:sz w:val="22"/>
          <w:szCs w:val="22"/>
          <w:u w:val="single"/>
        </w:rPr>
        <w:t xml:space="preserve">incluyendo la versión </w:t>
      </w:r>
      <w:r w:rsidRPr="00AA7CDA">
        <w:rPr>
          <w:rFonts w:ascii="Palatino Linotype" w:hAnsi="Palatino Linotype" w:cs="Tahoma"/>
          <w:b/>
          <w:i/>
          <w:sz w:val="22"/>
          <w:szCs w:val="22"/>
          <w:u w:val="single"/>
        </w:rPr>
        <w:t>pública del expediente respectivo y de los contratos celebrados</w:t>
      </w:r>
      <w:r w:rsidRPr="00487465">
        <w:rPr>
          <w:rFonts w:ascii="Palatino Linotype" w:hAnsi="Palatino Linotype" w:cs="Tahoma"/>
          <w:i/>
          <w:sz w:val="22"/>
          <w:szCs w:val="22"/>
        </w:rPr>
        <w:t xml:space="preserve">, que deberán contener, por los menos, lo siguiente: </w:t>
      </w:r>
    </w:p>
    <w:p w:rsidR="00CA5E22" w:rsidRDefault="00CA5E22" w:rsidP="00CA5E22">
      <w:pPr>
        <w:ind w:left="1134" w:right="-574"/>
        <w:jc w:val="both"/>
        <w:rPr>
          <w:rFonts w:ascii="Palatino Linotype" w:hAnsi="Palatino Linotype" w:cs="Tahoma"/>
          <w:i/>
          <w:sz w:val="22"/>
          <w:szCs w:val="22"/>
        </w:rPr>
      </w:pPr>
    </w:p>
    <w:p w:rsidR="00CA5E22" w:rsidRPr="00735577" w:rsidRDefault="00CA5E22" w:rsidP="00CA5E22">
      <w:pPr>
        <w:ind w:left="1134" w:right="-574"/>
        <w:jc w:val="both"/>
        <w:rPr>
          <w:rFonts w:ascii="Palatino Linotype" w:hAnsi="Palatino Linotype" w:cs="Tahoma"/>
          <w:b/>
          <w:i/>
          <w:sz w:val="22"/>
          <w:szCs w:val="22"/>
        </w:rPr>
      </w:pPr>
      <w:r w:rsidRPr="00735577">
        <w:rPr>
          <w:rFonts w:ascii="Palatino Linotype" w:hAnsi="Palatino Linotype" w:cs="Tahoma"/>
          <w:b/>
          <w:i/>
          <w:sz w:val="22"/>
          <w:szCs w:val="22"/>
        </w:rPr>
        <w:t xml:space="preserve">a) De licitaciones públicas o procedimientos de invitación restringida: </w:t>
      </w:r>
    </w:p>
    <w:p w:rsidR="00CA5E22" w:rsidRDefault="00CA5E22" w:rsidP="00CA5E22">
      <w:pPr>
        <w:ind w:left="1134" w:right="-574"/>
        <w:jc w:val="both"/>
        <w:rPr>
          <w:rFonts w:ascii="Palatino Linotype" w:hAnsi="Palatino Linotype" w:cs="Tahoma"/>
          <w:i/>
          <w:sz w:val="22"/>
          <w:szCs w:val="22"/>
        </w:rPr>
      </w:pPr>
    </w:p>
    <w:p w:rsidR="00CA5E22" w:rsidRDefault="00CA5E22" w:rsidP="00CA5E22">
      <w:pPr>
        <w:ind w:left="1134" w:right="-574"/>
        <w:jc w:val="both"/>
        <w:rPr>
          <w:rFonts w:ascii="Palatino Linotype" w:hAnsi="Palatino Linotype" w:cs="Tahoma"/>
          <w:i/>
          <w:sz w:val="22"/>
          <w:szCs w:val="22"/>
        </w:rPr>
      </w:pPr>
      <w:r w:rsidRPr="00487465">
        <w:rPr>
          <w:rFonts w:ascii="Palatino Linotype" w:hAnsi="Palatino Linotype" w:cs="Tahoma"/>
          <w:i/>
          <w:sz w:val="22"/>
          <w:szCs w:val="22"/>
        </w:rPr>
        <w:t xml:space="preserve">1) La convocatoria o invitación emitida, así como los fundamentos legales aplicados para llevarla a cabo; </w:t>
      </w:r>
    </w:p>
    <w:p w:rsidR="00CA5E22" w:rsidRDefault="00CA5E22" w:rsidP="00CA5E22">
      <w:pPr>
        <w:ind w:left="1134" w:right="-574"/>
        <w:jc w:val="both"/>
        <w:rPr>
          <w:rFonts w:ascii="Palatino Linotype" w:hAnsi="Palatino Linotype" w:cs="Tahoma"/>
          <w:i/>
          <w:sz w:val="22"/>
          <w:szCs w:val="22"/>
        </w:rPr>
      </w:pPr>
      <w:r w:rsidRPr="00487465">
        <w:rPr>
          <w:rFonts w:ascii="Palatino Linotype" w:hAnsi="Palatino Linotype" w:cs="Tahoma"/>
          <w:i/>
          <w:sz w:val="22"/>
          <w:szCs w:val="22"/>
        </w:rPr>
        <w:t xml:space="preserve">2) Los nombres de los participantes o invitados; </w:t>
      </w:r>
    </w:p>
    <w:p w:rsidR="00CA5E22" w:rsidRDefault="00CA5E22" w:rsidP="00CA5E22">
      <w:pPr>
        <w:ind w:left="1134" w:right="-574"/>
        <w:jc w:val="both"/>
        <w:rPr>
          <w:rFonts w:ascii="Palatino Linotype" w:hAnsi="Palatino Linotype" w:cs="Tahoma"/>
          <w:i/>
          <w:sz w:val="22"/>
          <w:szCs w:val="22"/>
        </w:rPr>
      </w:pPr>
      <w:r w:rsidRPr="00487465">
        <w:rPr>
          <w:rFonts w:ascii="Palatino Linotype" w:hAnsi="Palatino Linotype" w:cs="Tahoma"/>
          <w:i/>
          <w:sz w:val="22"/>
          <w:szCs w:val="22"/>
        </w:rPr>
        <w:t xml:space="preserve">3) El nombre del ganador y las razones que lo justifican; </w:t>
      </w:r>
    </w:p>
    <w:p w:rsidR="00CA5E22" w:rsidRDefault="00CA5E22" w:rsidP="00CA5E22">
      <w:pPr>
        <w:ind w:left="1134" w:right="-574"/>
        <w:jc w:val="both"/>
        <w:rPr>
          <w:rFonts w:ascii="Palatino Linotype" w:hAnsi="Palatino Linotype" w:cs="Tahoma"/>
          <w:i/>
          <w:sz w:val="22"/>
          <w:szCs w:val="22"/>
        </w:rPr>
      </w:pPr>
      <w:r w:rsidRPr="00487465">
        <w:rPr>
          <w:rFonts w:ascii="Palatino Linotype" w:hAnsi="Palatino Linotype" w:cs="Tahoma"/>
          <w:i/>
          <w:sz w:val="22"/>
          <w:szCs w:val="22"/>
        </w:rPr>
        <w:t xml:space="preserve">4) El área solicitante y la responsable de su ejecución; </w:t>
      </w:r>
    </w:p>
    <w:p w:rsidR="00CA5E22" w:rsidRDefault="00CA5E22" w:rsidP="00CA5E22">
      <w:pPr>
        <w:ind w:left="1134" w:right="-574"/>
        <w:jc w:val="both"/>
        <w:rPr>
          <w:rFonts w:ascii="Palatino Linotype" w:hAnsi="Palatino Linotype" w:cs="Tahoma"/>
          <w:i/>
          <w:sz w:val="22"/>
          <w:szCs w:val="22"/>
        </w:rPr>
      </w:pPr>
      <w:r w:rsidRPr="00487465">
        <w:rPr>
          <w:rFonts w:ascii="Palatino Linotype" w:hAnsi="Palatino Linotype" w:cs="Tahoma"/>
          <w:i/>
          <w:sz w:val="22"/>
          <w:szCs w:val="22"/>
        </w:rPr>
        <w:t xml:space="preserve">5) Las convocatorias e invitaciones emitidas; </w:t>
      </w:r>
    </w:p>
    <w:p w:rsidR="00CA5E22" w:rsidRDefault="00CA5E22" w:rsidP="00CA5E22">
      <w:pPr>
        <w:ind w:left="1134" w:right="-574"/>
        <w:jc w:val="both"/>
        <w:rPr>
          <w:rFonts w:ascii="Palatino Linotype" w:hAnsi="Palatino Linotype" w:cs="Tahoma"/>
          <w:i/>
          <w:sz w:val="22"/>
          <w:szCs w:val="22"/>
        </w:rPr>
      </w:pPr>
      <w:r w:rsidRPr="00487465">
        <w:rPr>
          <w:rFonts w:ascii="Palatino Linotype" w:hAnsi="Palatino Linotype" w:cs="Tahoma"/>
          <w:i/>
          <w:sz w:val="22"/>
          <w:szCs w:val="22"/>
        </w:rPr>
        <w:t>6) Los dictámenes y fallo de adjudicación;</w:t>
      </w:r>
    </w:p>
    <w:p w:rsidR="00CA5E22" w:rsidRPr="00AA7CDA" w:rsidRDefault="00CA5E22" w:rsidP="00CA5E22">
      <w:pPr>
        <w:ind w:left="1134" w:right="-574"/>
        <w:jc w:val="both"/>
        <w:rPr>
          <w:rFonts w:ascii="Palatino Linotype" w:hAnsi="Palatino Linotype" w:cs="Tahoma"/>
          <w:i/>
          <w:sz w:val="22"/>
          <w:szCs w:val="22"/>
        </w:rPr>
      </w:pPr>
      <w:r w:rsidRPr="00AA7CDA">
        <w:rPr>
          <w:rFonts w:ascii="Palatino Linotype" w:hAnsi="Palatino Linotype" w:cs="Tahoma"/>
          <w:i/>
          <w:sz w:val="22"/>
          <w:szCs w:val="22"/>
        </w:rPr>
        <w:t xml:space="preserve">7) El contrato y, en su caso, sus anexos;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8) Los mecanismos de vigilancia y supervisión, incluyendo en su caso, los estudios de impacto urbano y ambiental, según corresponda;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9) La partida presupuestal, de conformidad con el clasificador por objeto del gasto, en el caso de ser aplicable;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10) Origen de los recursos especificando si son federales, estatales o municipales, así como el tipo de fondo de participación o aportación respectiva;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11) Los convenios modificatorios que, en su caso, sean firmados, precisando el objeto y la fecha de celebración;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12) Los informes de avance físico y financiero sobre las obras o servicios contratados;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13) El convenio de terminación; y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14) El finiquito. </w:t>
      </w:r>
    </w:p>
    <w:p w:rsidR="00CA5E22" w:rsidRDefault="00CA5E22" w:rsidP="00CA5E22">
      <w:pPr>
        <w:ind w:left="1134" w:right="-574"/>
        <w:jc w:val="both"/>
        <w:rPr>
          <w:rFonts w:ascii="Palatino Linotype" w:hAnsi="Palatino Linotype" w:cs="Tahoma"/>
          <w:i/>
          <w:sz w:val="22"/>
          <w:szCs w:val="22"/>
        </w:rPr>
      </w:pPr>
    </w:p>
    <w:p w:rsidR="00CA5E22" w:rsidRPr="00735577" w:rsidRDefault="00CA5E22" w:rsidP="00CA5E22">
      <w:pPr>
        <w:ind w:left="1134" w:right="-574"/>
        <w:jc w:val="both"/>
        <w:rPr>
          <w:rFonts w:ascii="Palatino Linotype" w:hAnsi="Palatino Linotype" w:cs="Tahoma"/>
          <w:b/>
          <w:i/>
          <w:sz w:val="22"/>
          <w:szCs w:val="22"/>
        </w:rPr>
      </w:pPr>
      <w:r w:rsidRPr="00735577">
        <w:rPr>
          <w:rFonts w:ascii="Palatino Linotype" w:hAnsi="Palatino Linotype" w:cs="Tahoma"/>
          <w:b/>
          <w:i/>
          <w:sz w:val="22"/>
          <w:szCs w:val="22"/>
        </w:rPr>
        <w:t xml:space="preserve">b) De las adjudicaciones directas: </w:t>
      </w:r>
    </w:p>
    <w:p w:rsidR="00CA5E22" w:rsidRDefault="00CA5E22" w:rsidP="00CA5E22">
      <w:pPr>
        <w:ind w:left="1134" w:right="-574"/>
        <w:jc w:val="both"/>
        <w:rPr>
          <w:rFonts w:ascii="Palatino Linotype" w:hAnsi="Palatino Linotype" w:cs="Tahoma"/>
          <w:i/>
          <w:sz w:val="22"/>
          <w:szCs w:val="22"/>
        </w:rPr>
      </w:pP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1) La propuesta enviada por el participante;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2) Los motivos y fundamentos legales aplicados para llevarla a cabo;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lastRenderedPageBreak/>
        <w:t xml:space="preserve">3) La autorización del ejercicio de la opción;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4) En su caso, las cotizaciones consideradas, especificando los nombres de los proveedores y sus montos;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5) El nombre de la persona física o jurídica colectiva adjudicada;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6) La unidad administrativa solicitante y la responsable de su ejecución; </w:t>
      </w:r>
    </w:p>
    <w:p w:rsidR="00CA5E22" w:rsidRPr="00AA7CDA" w:rsidRDefault="00CA5E22" w:rsidP="00CA5E22">
      <w:pPr>
        <w:ind w:left="1134" w:right="-574"/>
        <w:jc w:val="both"/>
        <w:rPr>
          <w:rFonts w:ascii="Palatino Linotype" w:hAnsi="Palatino Linotype" w:cs="Tahoma"/>
          <w:i/>
          <w:sz w:val="22"/>
          <w:szCs w:val="22"/>
        </w:rPr>
      </w:pPr>
      <w:r w:rsidRPr="00AA7CDA">
        <w:rPr>
          <w:rFonts w:ascii="Palatino Linotype" w:hAnsi="Palatino Linotype" w:cs="Tahoma"/>
          <w:i/>
          <w:sz w:val="22"/>
          <w:szCs w:val="22"/>
        </w:rPr>
        <w:t xml:space="preserve">7) El número, fecha, el monto del contrato y el plazo de entrega o de ejecución de los servicios u obra;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8) Los mecanismos de vigilancia y supervisión, incluyendo, en su caso, los estudios de impacto urbano y ambiental, según corresponda;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9) Los informes de avance sobre las obras o servicios contratados;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 xml:space="preserve">10) El convenio de terminación; y </w:t>
      </w:r>
    </w:p>
    <w:p w:rsidR="00CA5E22" w:rsidRDefault="00CA5E22" w:rsidP="00CA5E22">
      <w:pPr>
        <w:ind w:left="1134" w:right="-574"/>
        <w:jc w:val="both"/>
        <w:rPr>
          <w:rFonts w:ascii="Palatino Linotype" w:hAnsi="Palatino Linotype" w:cs="Tahoma"/>
          <w:i/>
          <w:sz w:val="22"/>
          <w:szCs w:val="22"/>
        </w:rPr>
      </w:pPr>
      <w:r w:rsidRPr="00735577">
        <w:rPr>
          <w:rFonts w:ascii="Palatino Linotype" w:hAnsi="Palatino Linotype" w:cs="Tahoma"/>
          <w:i/>
          <w:sz w:val="22"/>
          <w:szCs w:val="22"/>
        </w:rPr>
        <w:t>11) El finiquito.</w:t>
      </w:r>
    </w:p>
    <w:p w:rsidR="00CA5E22" w:rsidRDefault="00CA5E22" w:rsidP="00CA5E22">
      <w:pPr>
        <w:ind w:left="1134" w:right="-574"/>
        <w:jc w:val="both"/>
        <w:rPr>
          <w:rFonts w:ascii="Palatino Linotype" w:hAnsi="Palatino Linotype" w:cs="Tahoma"/>
          <w:i/>
          <w:sz w:val="22"/>
          <w:szCs w:val="22"/>
        </w:rPr>
      </w:pPr>
    </w:p>
    <w:p w:rsidR="00CA5E22" w:rsidRPr="00B433D1" w:rsidRDefault="00B433D1" w:rsidP="00B433D1">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7D0C83" w:rsidRDefault="007D0C83" w:rsidP="00FC620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mismo </w:t>
      </w:r>
      <w:r w:rsidRPr="00FC620B">
        <w:rPr>
          <w:rFonts w:ascii="Palatino Linotype" w:eastAsia="Palatino Linotype" w:hAnsi="Palatino Linotype" w:cs="Palatino Linotype"/>
        </w:rPr>
        <w:t>sentido</w:t>
      </w:r>
      <w:r>
        <w:rPr>
          <w:rFonts w:ascii="Palatino Linotype" w:eastAsia="Palatino Linotype" w:hAnsi="Palatino Linotype" w:cs="Palatino Linotype"/>
          <w:color w:val="000000"/>
        </w:rPr>
        <w:t xml:space="preserve"> los </w:t>
      </w:r>
      <w:r w:rsidRPr="007D0C83">
        <w:rPr>
          <w:rFonts w:ascii="Palatino Linotype" w:eastAsia="Palatino Linotype" w:hAnsi="Palatino Linotype" w:cs="Palatino Linotype"/>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color w:val="000000"/>
        </w:rPr>
        <w:t xml:space="preserve">, establecen en la fracción </w:t>
      </w:r>
      <w:r w:rsidRPr="007D0C83">
        <w:rPr>
          <w:rFonts w:ascii="Palatino Linotype" w:eastAsia="Palatino Linotype" w:hAnsi="Palatino Linotype" w:cs="Palatino Linotype"/>
          <w:color w:val="000000"/>
          <w:u w:val="single"/>
        </w:rPr>
        <w:t>XXVIII. La información sobre los resultados sobre procedimientos de adjudicación directa, invitación restringida y licitación de cualquier naturaleza, incluyendo la Versión Pública del Expediente respectivo y de los contratos celebrados, que deberá con</w:t>
      </w:r>
      <w:r>
        <w:rPr>
          <w:rFonts w:ascii="Palatino Linotype" w:eastAsia="Palatino Linotype" w:hAnsi="Palatino Linotype" w:cs="Palatino Linotype"/>
          <w:color w:val="000000"/>
          <w:u w:val="single"/>
        </w:rPr>
        <w:t>tener por lo menos lo siguiente:…</w:t>
      </w:r>
      <w:r>
        <w:rPr>
          <w:rFonts w:ascii="Palatino Linotype" w:eastAsia="Palatino Linotype" w:hAnsi="Palatino Linotype" w:cs="Palatino Linotype"/>
          <w:color w:val="000000"/>
        </w:rPr>
        <w:t xml:space="preserve"> establece como criterios sustantivos de contenido los siguientes:</w:t>
      </w:r>
    </w:p>
    <w:p w:rsidR="007D0C83" w:rsidRDefault="007D0C83" w:rsidP="007D0C83">
      <w:pPr>
        <w:spacing w:line="360" w:lineRule="auto"/>
        <w:ind w:right="-787"/>
        <w:jc w:val="both"/>
        <w:rPr>
          <w:rFonts w:ascii="Palatino Linotype" w:eastAsia="Palatino Linotype" w:hAnsi="Palatino Linotype" w:cs="Palatino Linotype"/>
          <w:color w:val="000000"/>
        </w:rPr>
      </w:pPr>
    </w:p>
    <w:p w:rsidR="007D0C83" w:rsidRDefault="007D0C83" w:rsidP="007D0C83">
      <w:pPr>
        <w:ind w:left="1134" w:right="-574"/>
        <w:jc w:val="both"/>
        <w:rPr>
          <w:rFonts w:ascii="Palatino Linotype" w:hAnsi="Palatino Linotype" w:cs="Tahoma"/>
          <w:i/>
          <w:sz w:val="22"/>
          <w:szCs w:val="22"/>
        </w:rPr>
      </w:pPr>
      <w:r w:rsidRPr="007D0C83">
        <w:rPr>
          <w:rFonts w:ascii="Palatino Linotype" w:hAnsi="Palatino Linotype" w:cs="Tahoma"/>
          <w:b/>
          <w:i/>
          <w:sz w:val="22"/>
          <w:szCs w:val="22"/>
        </w:rPr>
        <w:t>Criterios sustantivos de contenido</w:t>
      </w:r>
      <w:r w:rsidRPr="007D0C83">
        <w:rPr>
          <w:rFonts w:ascii="Palatino Linotype" w:hAnsi="Palatino Linotype" w:cs="Tahoma"/>
          <w:i/>
          <w:sz w:val="22"/>
          <w:szCs w:val="22"/>
        </w:rPr>
        <w:t xml:space="preserve"> </w:t>
      </w:r>
    </w:p>
    <w:p w:rsidR="007D0C83" w:rsidRDefault="007D0C83" w:rsidP="007D0C83">
      <w:pPr>
        <w:ind w:left="1134" w:right="-574"/>
        <w:jc w:val="both"/>
        <w:rPr>
          <w:rFonts w:ascii="Palatino Linotype" w:hAnsi="Palatino Linotype" w:cs="Tahoma"/>
          <w:i/>
          <w:sz w:val="22"/>
          <w:szCs w:val="22"/>
        </w:rPr>
      </w:pPr>
      <w:r w:rsidRPr="007D0C83">
        <w:rPr>
          <w:rFonts w:ascii="Palatino Linotype" w:hAnsi="Palatino Linotype" w:cs="Tahoma"/>
          <w:i/>
          <w:sz w:val="22"/>
          <w:szCs w:val="22"/>
        </w:rPr>
        <w:t xml:space="preserve">Respecto de cada una de las etapas del procedimiento de contratación </w:t>
      </w:r>
      <w:r w:rsidRPr="007D0C83">
        <w:rPr>
          <w:rFonts w:ascii="Palatino Linotype" w:hAnsi="Palatino Linotype" w:cs="Tahoma"/>
          <w:b/>
          <w:i/>
          <w:sz w:val="22"/>
          <w:szCs w:val="22"/>
        </w:rPr>
        <w:t xml:space="preserve">de licitación pública, invitación a cuando menos tres personas y adjudicación directa </w:t>
      </w:r>
      <w:r w:rsidRPr="007D0C83">
        <w:rPr>
          <w:rFonts w:ascii="Palatino Linotype" w:hAnsi="Palatino Linotype" w:cs="Tahoma"/>
          <w:i/>
          <w:sz w:val="22"/>
          <w:szCs w:val="22"/>
        </w:rPr>
        <w:t>se publicarán los siguientes datos:</w:t>
      </w:r>
    </w:p>
    <w:p w:rsidR="007D0C83" w:rsidRDefault="007D0C83" w:rsidP="007D0C83">
      <w:pPr>
        <w:ind w:left="1134" w:right="-574"/>
        <w:jc w:val="both"/>
        <w:rPr>
          <w:rFonts w:ascii="Palatino Linotype" w:hAnsi="Palatino Linotype" w:cs="Tahoma"/>
          <w:i/>
          <w:sz w:val="22"/>
          <w:szCs w:val="22"/>
        </w:rPr>
      </w:pPr>
    </w:p>
    <w:p w:rsidR="007D0C83" w:rsidRDefault="007D0C83" w:rsidP="007D0C83">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7D0C83" w:rsidRDefault="007D0C83" w:rsidP="007D0C83">
      <w:pPr>
        <w:ind w:left="1134" w:right="-574"/>
        <w:jc w:val="both"/>
        <w:rPr>
          <w:rFonts w:ascii="Palatino Linotype" w:hAnsi="Palatino Linotype" w:cs="Tahoma"/>
          <w:i/>
          <w:sz w:val="22"/>
          <w:szCs w:val="22"/>
        </w:rPr>
      </w:pPr>
      <w:r w:rsidRPr="007D0C83">
        <w:rPr>
          <w:rFonts w:ascii="Palatino Linotype" w:hAnsi="Palatino Linotype" w:cs="Tahoma"/>
          <w:b/>
          <w:i/>
          <w:sz w:val="22"/>
          <w:szCs w:val="22"/>
        </w:rPr>
        <w:t>Criterio 3</w:t>
      </w:r>
      <w:r w:rsidRPr="007D0C83">
        <w:rPr>
          <w:rFonts w:ascii="Palatino Linotype" w:hAnsi="Palatino Linotype" w:cs="Tahoma"/>
          <w:i/>
          <w:sz w:val="22"/>
          <w:szCs w:val="22"/>
        </w:rPr>
        <w:t xml:space="preserve"> Tipo de procedimiento (catálogo): Licitación pública/Invitación a cuando menos tres personas/ Adjudicación directa/ Otra (especificar). En caso de que no se haya llevado a cabo alguno de los tres procedimientos en el periodo que se informa, se deberá incluir un registro con el periodo </w:t>
      </w:r>
      <w:r w:rsidRPr="007D0C83">
        <w:rPr>
          <w:rFonts w:ascii="Palatino Linotype" w:hAnsi="Palatino Linotype" w:cs="Tahoma"/>
          <w:i/>
          <w:sz w:val="22"/>
          <w:szCs w:val="22"/>
        </w:rPr>
        <w:lastRenderedPageBreak/>
        <w:t>respectivo, el procedimiento y señalar mediante una nota fundamentada, motivada y actualizada al periodo correspondiente, que no se llevó a cabo ningún procedimiento de ese tipo.</w:t>
      </w:r>
    </w:p>
    <w:p w:rsidR="007D0C83" w:rsidRDefault="007D0C83" w:rsidP="007D0C83">
      <w:pPr>
        <w:ind w:left="1134" w:right="-574"/>
        <w:jc w:val="both"/>
        <w:rPr>
          <w:rFonts w:ascii="Palatino Linotype" w:hAnsi="Palatino Linotype" w:cs="Tahoma"/>
          <w:i/>
          <w:sz w:val="22"/>
          <w:szCs w:val="22"/>
        </w:rPr>
      </w:pPr>
    </w:p>
    <w:p w:rsidR="007D0C83"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4</w:t>
      </w:r>
      <w:r w:rsidRPr="00FC620B">
        <w:rPr>
          <w:rFonts w:ascii="Palatino Linotype" w:hAnsi="Palatino Linotype" w:cs="Tahoma"/>
          <w:i/>
          <w:sz w:val="22"/>
          <w:szCs w:val="22"/>
        </w:rPr>
        <w:t xml:space="preserve"> Materia o tipo de contratación (catálogo): Obra pública/Servicios relacionados con obra pública/Adquisiciones/Arrendamientos/Servicios.</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i/>
          <w:sz w:val="22"/>
          <w:szCs w:val="22"/>
        </w:rPr>
        <w:t>En cuanto al contrato se publicarán los siguientes datos:</w:t>
      </w:r>
    </w:p>
    <w:p w:rsidR="00FC620B" w:rsidRDefault="00FC620B" w:rsidP="007D0C83">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46</w:t>
      </w:r>
      <w:r w:rsidRPr="00FC620B">
        <w:rPr>
          <w:rFonts w:ascii="Palatino Linotype" w:hAnsi="Palatino Linotype" w:cs="Tahoma"/>
          <w:i/>
          <w:sz w:val="22"/>
          <w:szCs w:val="22"/>
        </w:rPr>
        <w:t xml:space="preserve"> Monto del contrato sin impuestos incluidos (expresados en pesos mexicanos).</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47</w:t>
      </w:r>
      <w:r w:rsidRPr="00FC620B">
        <w:rPr>
          <w:rFonts w:ascii="Palatino Linotype" w:hAnsi="Palatino Linotype" w:cs="Tahoma"/>
          <w:i/>
          <w:sz w:val="22"/>
          <w:szCs w:val="22"/>
        </w:rPr>
        <w:t xml:space="preserve"> Monto total del contrato con impuestos incluidos (expresados en pesos mexicanos).</w:t>
      </w:r>
    </w:p>
    <w:p w:rsidR="00FC620B" w:rsidRDefault="00FC620B" w:rsidP="007D0C83">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i/>
          <w:sz w:val="22"/>
          <w:szCs w:val="22"/>
        </w:rPr>
        <w:t>Si se trata de obra pública y/o servicios relacionados con la misma se deberán incluir los siguientes datos:</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63</w:t>
      </w:r>
      <w:r w:rsidRPr="00FC620B">
        <w:rPr>
          <w:rFonts w:ascii="Palatino Linotype" w:hAnsi="Palatino Linotype" w:cs="Tahoma"/>
          <w:i/>
          <w:sz w:val="22"/>
          <w:szCs w:val="22"/>
        </w:rPr>
        <w:t xml:space="preserve"> Lugar donde se realizará la obra pública y/o servicio relacionado con la misma. </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64</w:t>
      </w:r>
      <w:r w:rsidRPr="00FC620B">
        <w:rPr>
          <w:rFonts w:ascii="Palatino Linotype" w:hAnsi="Palatino Linotype" w:cs="Tahoma"/>
          <w:i/>
          <w:sz w:val="22"/>
          <w:szCs w:val="22"/>
        </w:rPr>
        <w:t xml:space="preserve"> Breve descripción de la obra pública.</w:t>
      </w:r>
    </w:p>
    <w:p w:rsidR="00FC620B" w:rsidRDefault="00FC620B" w:rsidP="007D0C83">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67</w:t>
      </w:r>
      <w:r w:rsidRPr="00FC620B">
        <w:rPr>
          <w:rFonts w:ascii="Palatino Linotype" w:hAnsi="Palatino Linotype" w:cs="Tahoma"/>
          <w:i/>
          <w:sz w:val="22"/>
          <w:szCs w:val="22"/>
        </w:rPr>
        <w:t xml:space="preserve"> Etapa de la obra pública y/o servicio de la misma (catálogo): En planeación/ En progreso/ Finiquito.</w:t>
      </w:r>
    </w:p>
    <w:p w:rsidR="00FC620B" w:rsidRDefault="00FC620B" w:rsidP="007D0C83">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i/>
          <w:sz w:val="22"/>
          <w:szCs w:val="22"/>
        </w:rPr>
        <w:t>Asimismo, se deberán publicar los siguientes documentos:</w:t>
      </w:r>
    </w:p>
    <w:p w:rsidR="00FC620B" w:rsidRDefault="00FC620B" w:rsidP="007D0C83">
      <w:pPr>
        <w:ind w:left="1134" w:right="-574"/>
        <w:jc w:val="both"/>
        <w:rPr>
          <w:rFonts w:ascii="Palatino Linotype" w:hAnsi="Palatino Linotype" w:cs="Tahoma"/>
          <w:i/>
          <w:sz w:val="22"/>
          <w:szCs w:val="22"/>
        </w:rPr>
      </w:pPr>
    </w:p>
    <w:p w:rsidR="00FC620B"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74</w:t>
      </w:r>
      <w:r w:rsidRPr="00FC620B">
        <w:rPr>
          <w:rFonts w:ascii="Palatino Linotype" w:hAnsi="Palatino Linotype" w:cs="Tahoma"/>
          <w:i/>
          <w:sz w:val="22"/>
          <w:szCs w:val="22"/>
        </w:rPr>
        <w:t xml:space="preserve"> Hipervínculo, en su caso, al (los) informe(s) de avance físicos en versión pública si así corresponde.</w:t>
      </w:r>
    </w:p>
    <w:p w:rsidR="00FC620B" w:rsidRDefault="00FC620B" w:rsidP="007D0C83">
      <w:pPr>
        <w:ind w:left="1134" w:right="-574"/>
        <w:jc w:val="both"/>
        <w:rPr>
          <w:rFonts w:ascii="Palatino Linotype" w:hAnsi="Palatino Linotype" w:cs="Tahoma"/>
          <w:i/>
          <w:sz w:val="22"/>
          <w:szCs w:val="22"/>
        </w:rPr>
      </w:pPr>
      <w:r>
        <w:rPr>
          <w:rFonts w:ascii="Palatino Linotype" w:hAnsi="Palatino Linotype" w:cs="Tahoma"/>
          <w:i/>
          <w:sz w:val="22"/>
          <w:szCs w:val="22"/>
        </w:rPr>
        <w:t>…</w:t>
      </w:r>
    </w:p>
    <w:p w:rsidR="00FC620B" w:rsidRPr="007D0C83" w:rsidRDefault="00FC620B" w:rsidP="007D0C83">
      <w:pPr>
        <w:ind w:left="1134" w:right="-574"/>
        <w:jc w:val="both"/>
        <w:rPr>
          <w:rFonts w:ascii="Palatino Linotype" w:hAnsi="Palatino Linotype" w:cs="Tahoma"/>
          <w:i/>
          <w:sz w:val="22"/>
          <w:szCs w:val="22"/>
        </w:rPr>
      </w:pPr>
      <w:r w:rsidRPr="00FC620B">
        <w:rPr>
          <w:rFonts w:ascii="Palatino Linotype" w:hAnsi="Palatino Linotype" w:cs="Tahoma"/>
          <w:b/>
          <w:i/>
          <w:sz w:val="22"/>
          <w:szCs w:val="22"/>
        </w:rPr>
        <w:t>Criterio 78</w:t>
      </w:r>
      <w:r w:rsidRPr="00FC620B">
        <w:rPr>
          <w:rFonts w:ascii="Palatino Linotype" w:hAnsi="Palatino Linotype" w:cs="Tahoma"/>
          <w:i/>
          <w:sz w:val="22"/>
          <w:szCs w:val="22"/>
        </w:rPr>
        <w:t xml:space="preserve"> Hipervínculo a la factura o documento que cumpla con requisitos fiscales.</w:t>
      </w:r>
    </w:p>
    <w:p w:rsidR="007D0C83" w:rsidRDefault="007D0C83" w:rsidP="007D0C83">
      <w:pPr>
        <w:spacing w:line="360" w:lineRule="auto"/>
        <w:ind w:right="-787"/>
        <w:jc w:val="both"/>
        <w:rPr>
          <w:rFonts w:ascii="Palatino Linotype" w:eastAsia="Palatino Linotype" w:hAnsi="Palatino Linotype" w:cs="Palatino Linotype"/>
          <w:color w:val="000000"/>
        </w:rPr>
      </w:pPr>
    </w:p>
    <w:p w:rsidR="003A7486" w:rsidRDefault="00FC620B" w:rsidP="003A7486">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Siguiendo la misma línea, es de referir que un </w:t>
      </w:r>
      <w:r w:rsidRPr="00FC620B">
        <w:rPr>
          <w:rFonts w:ascii="Palatino Linotype" w:eastAsia="Palatino Linotype" w:hAnsi="Palatino Linotype" w:cs="Palatino Linotype"/>
          <w:b/>
          <w:color w:val="000000"/>
        </w:rPr>
        <w:t>expediente técnico de obra pública</w:t>
      </w:r>
      <w:r w:rsidRPr="00FC620B">
        <w:rPr>
          <w:rFonts w:ascii="Palatino Linotype" w:eastAsia="Palatino Linotype" w:hAnsi="Palatino Linotype" w:cs="Palatino Linotype"/>
          <w:color w:val="000000"/>
        </w:rPr>
        <w:t xml:space="preserve"> municipal </w:t>
      </w:r>
      <w:r>
        <w:rPr>
          <w:rFonts w:ascii="Palatino Linotype" w:eastAsia="Palatino Linotype" w:hAnsi="Palatino Linotype" w:cs="Palatino Linotype"/>
          <w:color w:val="000000"/>
        </w:rPr>
        <w:t>está conformado por</w:t>
      </w:r>
      <w:r w:rsidRPr="00FC620B">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diversos</w:t>
      </w:r>
      <w:r w:rsidRPr="00FC620B">
        <w:rPr>
          <w:rFonts w:ascii="Palatino Linotype" w:eastAsia="Palatino Linotype" w:hAnsi="Palatino Linotype" w:cs="Palatino Linotype"/>
          <w:color w:val="000000"/>
        </w:rPr>
        <w:t xml:space="preserve"> documentos técnicos y económicos (planos, memorias, presupuestos, especificaciones) que definen detalladamente el alcance, diseño, costos y plazo</w:t>
      </w:r>
      <w:r w:rsidR="003A7486">
        <w:rPr>
          <w:rFonts w:ascii="Palatino Linotype" w:eastAsia="Palatino Linotype" w:hAnsi="Palatino Linotype" w:cs="Palatino Linotype"/>
          <w:color w:val="000000"/>
        </w:rPr>
        <w:t xml:space="preserve">s de un proyecto de ingeniería, documento </w:t>
      </w:r>
      <w:r w:rsidRPr="00FC620B">
        <w:rPr>
          <w:rFonts w:ascii="Palatino Linotype" w:eastAsia="Palatino Linotype" w:hAnsi="Palatino Linotype" w:cs="Palatino Linotype"/>
          <w:color w:val="000000"/>
        </w:rPr>
        <w:t>indispensa</w:t>
      </w:r>
      <w:r w:rsidR="003A7486">
        <w:rPr>
          <w:rFonts w:ascii="Palatino Linotype" w:eastAsia="Palatino Linotype" w:hAnsi="Palatino Linotype" w:cs="Palatino Linotype"/>
          <w:color w:val="000000"/>
        </w:rPr>
        <w:t xml:space="preserve">ble para la licitación y </w:t>
      </w:r>
      <w:r w:rsidRPr="00FC620B">
        <w:rPr>
          <w:rFonts w:ascii="Palatino Linotype" w:eastAsia="Palatino Linotype" w:hAnsi="Palatino Linotype" w:cs="Palatino Linotype"/>
          <w:color w:val="000000"/>
        </w:rPr>
        <w:lastRenderedPageBreak/>
        <w:t xml:space="preserve">contratación </w:t>
      </w:r>
      <w:r w:rsidR="003A7486">
        <w:rPr>
          <w:rFonts w:ascii="Palatino Linotype" w:eastAsia="Palatino Linotype" w:hAnsi="Palatino Linotype" w:cs="Palatino Linotype"/>
          <w:color w:val="000000"/>
        </w:rPr>
        <w:t>de obra pública, mismo que puede contener de manera enunciativa, los componentes siguientes:</w:t>
      </w:r>
    </w:p>
    <w:p w:rsidR="00FC620B" w:rsidRPr="003A7486" w:rsidRDefault="00FC620B" w:rsidP="003A7486">
      <w:pPr>
        <w:numPr>
          <w:ilvl w:val="1"/>
          <w:numId w:val="2"/>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3A7486">
        <w:rPr>
          <w:rFonts w:ascii="Palatino Linotype" w:eastAsia="Palatino Linotype" w:hAnsi="Palatino Linotype" w:cs="Palatino Linotype"/>
          <w:color w:val="000000"/>
        </w:rPr>
        <w:t>Descripción general del proyecto, objetivos y justificación.</w:t>
      </w:r>
    </w:p>
    <w:p w:rsidR="00FC620B" w:rsidRPr="00FC620B" w:rsidRDefault="00FC620B" w:rsidP="003A7486">
      <w:pPr>
        <w:numPr>
          <w:ilvl w:val="1"/>
          <w:numId w:val="2"/>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FC620B">
        <w:rPr>
          <w:rFonts w:ascii="Palatino Linotype" w:eastAsia="Palatino Linotype" w:hAnsi="Palatino Linotype" w:cs="Palatino Linotype"/>
          <w:color w:val="000000"/>
        </w:rPr>
        <w:t>Informes de suelo, topografía, impacto ambiental, entre otros.</w:t>
      </w:r>
    </w:p>
    <w:p w:rsidR="00FC620B" w:rsidRPr="00FC620B" w:rsidRDefault="00FC620B" w:rsidP="003A7486">
      <w:pPr>
        <w:numPr>
          <w:ilvl w:val="1"/>
          <w:numId w:val="2"/>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FC620B">
        <w:rPr>
          <w:rFonts w:ascii="Palatino Linotype" w:eastAsia="Palatino Linotype" w:hAnsi="Palatino Linotype" w:cs="Palatino Linotype"/>
          <w:color w:val="000000"/>
        </w:rPr>
        <w:t>Planos de Ejecución</w:t>
      </w:r>
      <w:r w:rsidRPr="00FC620B">
        <w:rPr>
          <w:rFonts w:ascii="Palatino Linotype" w:eastAsia="Palatino Linotype" w:hAnsi="Palatino Linotype" w:cs="Palatino Linotype"/>
          <w:b/>
          <w:bCs/>
          <w:color w:val="000000"/>
        </w:rPr>
        <w:t>:</w:t>
      </w:r>
      <w:r w:rsidRPr="00FC620B">
        <w:rPr>
          <w:rFonts w:ascii="Palatino Linotype" w:eastAsia="Palatino Linotype" w:hAnsi="Palatino Linotype" w:cs="Palatino Linotype"/>
          <w:color w:val="000000"/>
        </w:rPr>
        <w:t> Representación gráfica detallada de la obra.</w:t>
      </w:r>
    </w:p>
    <w:p w:rsidR="00FC620B" w:rsidRPr="00FC620B" w:rsidRDefault="00FC620B" w:rsidP="003A7486">
      <w:pPr>
        <w:numPr>
          <w:ilvl w:val="1"/>
          <w:numId w:val="2"/>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FC620B">
        <w:rPr>
          <w:rFonts w:ascii="Palatino Linotype" w:eastAsia="Palatino Linotype" w:hAnsi="Palatino Linotype" w:cs="Palatino Linotype"/>
          <w:color w:val="000000"/>
        </w:rPr>
        <w:t>Especificaciones Técnicas</w:t>
      </w:r>
      <w:r w:rsidRPr="00FC620B">
        <w:rPr>
          <w:rFonts w:ascii="Palatino Linotype" w:eastAsia="Palatino Linotype" w:hAnsi="Palatino Linotype" w:cs="Palatino Linotype"/>
          <w:b/>
          <w:bCs/>
          <w:color w:val="000000"/>
        </w:rPr>
        <w:t>:</w:t>
      </w:r>
      <w:r w:rsidRPr="00FC620B">
        <w:rPr>
          <w:rFonts w:ascii="Palatino Linotype" w:eastAsia="Palatino Linotype" w:hAnsi="Palatino Linotype" w:cs="Palatino Linotype"/>
          <w:color w:val="000000"/>
        </w:rPr>
        <w:t> Reglas y procedimientos detallados (calidad de materiales, métodos de construcción).</w:t>
      </w:r>
    </w:p>
    <w:p w:rsidR="00FC620B" w:rsidRPr="00FC620B" w:rsidRDefault="00FC620B" w:rsidP="003A7486">
      <w:pPr>
        <w:numPr>
          <w:ilvl w:val="1"/>
          <w:numId w:val="2"/>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FC620B">
        <w:rPr>
          <w:rFonts w:ascii="Palatino Linotype" w:eastAsia="Palatino Linotype" w:hAnsi="Palatino Linotype" w:cs="Palatino Linotype"/>
          <w:color w:val="000000"/>
        </w:rPr>
        <w:t>Cuantificación física de los trabajos a realizar.</w:t>
      </w:r>
    </w:p>
    <w:p w:rsidR="00FC620B" w:rsidRPr="00FC620B" w:rsidRDefault="00FC620B" w:rsidP="003A7486">
      <w:pPr>
        <w:numPr>
          <w:ilvl w:val="1"/>
          <w:numId w:val="2"/>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FC620B">
        <w:rPr>
          <w:rFonts w:ascii="Palatino Linotype" w:eastAsia="Palatino Linotype" w:hAnsi="Palatino Linotype" w:cs="Palatino Linotype"/>
          <w:color w:val="000000"/>
        </w:rPr>
        <w:t>Presupuesto de Obra.</w:t>
      </w:r>
    </w:p>
    <w:p w:rsidR="00FC620B" w:rsidRPr="00FC620B" w:rsidRDefault="00FC620B" w:rsidP="003A7486">
      <w:pPr>
        <w:numPr>
          <w:ilvl w:val="1"/>
          <w:numId w:val="2"/>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FC620B">
        <w:rPr>
          <w:rFonts w:ascii="Palatino Linotype" w:eastAsia="Palatino Linotype" w:hAnsi="Palatino Linotype" w:cs="Palatino Linotype"/>
          <w:color w:val="000000"/>
        </w:rPr>
        <w:t>Cronograma de Ejecución. </w:t>
      </w:r>
    </w:p>
    <w:p w:rsidR="00FC620B" w:rsidRDefault="00FC620B" w:rsidP="00F24A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F24AA1" w:rsidRDefault="00F24AA1" w:rsidP="00F24AA1">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Luego entonces</w:t>
      </w:r>
      <w:r w:rsidR="00D856DC">
        <w:rPr>
          <w:rFonts w:ascii="Palatino Linotype" w:eastAsia="Palatino Linotype" w:hAnsi="Palatino Linotype" w:cs="Palatino Linotype"/>
          <w:color w:val="000000"/>
        </w:rPr>
        <w:t xml:space="preserve">, dentro del procedimiento de licitación la </w:t>
      </w:r>
      <w:r w:rsidR="00D856DC" w:rsidRPr="00D856DC">
        <w:rPr>
          <w:rFonts w:ascii="Palatino Linotype" w:eastAsia="Palatino Linotype" w:hAnsi="Palatino Linotype" w:cs="Palatino Linotype"/>
          <w:color w:val="000000"/>
        </w:rPr>
        <w:t>Ley de Contratación Pública del Estado de México y Municipios</w:t>
      </w:r>
      <w:r w:rsidR="00D856DC">
        <w:rPr>
          <w:rFonts w:ascii="Palatino Linotype" w:eastAsia="Palatino Linotype" w:hAnsi="Palatino Linotype" w:cs="Palatino Linotype"/>
          <w:color w:val="000000"/>
        </w:rPr>
        <w:t>, establece lo siguiente en relación a las propuestas técnicas.</w:t>
      </w:r>
    </w:p>
    <w:p w:rsidR="00D856DC" w:rsidRDefault="00D856DC" w:rsidP="00D856D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856DC" w:rsidRDefault="00D856DC" w:rsidP="00293DB9">
      <w:pPr>
        <w:ind w:left="567" w:right="-574"/>
        <w:jc w:val="both"/>
        <w:rPr>
          <w:rFonts w:ascii="Palatino Linotype" w:hAnsi="Palatino Linotype" w:cs="Tahoma"/>
          <w:i/>
          <w:sz w:val="22"/>
          <w:szCs w:val="22"/>
        </w:rPr>
      </w:pPr>
      <w:r w:rsidRPr="00D856DC">
        <w:rPr>
          <w:rFonts w:ascii="Palatino Linotype" w:hAnsi="Palatino Linotype" w:cs="Tahoma"/>
          <w:b/>
          <w:i/>
          <w:sz w:val="22"/>
          <w:szCs w:val="22"/>
        </w:rPr>
        <w:t>Artículo 35</w:t>
      </w:r>
      <w:r w:rsidRPr="00D856DC">
        <w:rPr>
          <w:rFonts w:ascii="Palatino Linotype" w:hAnsi="Palatino Linotype" w:cs="Tahoma"/>
          <w:i/>
          <w:sz w:val="22"/>
          <w:szCs w:val="22"/>
        </w:rPr>
        <w:t xml:space="preserve">.- En los procedimientos de licitación pública se observará lo siguiente: </w:t>
      </w:r>
    </w:p>
    <w:p w:rsidR="00D856DC" w:rsidRDefault="00D856DC" w:rsidP="00293DB9">
      <w:pPr>
        <w:ind w:left="567" w:right="-574"/>
        <w:jc w:val="both"/>
        <w:rPr>
          <w:rFonts w:ascii="Palatino Linotype" w:hAnsi="Palatino Linotype" w:cs="Tahoma"/>
          <w:i/>
          <w:sz w:val="22"/>
          <w:szCs w:val="22"/>
        </w:rPr>
      </w:pPr>
    </w:p>
    <w:p w:rsidR="00D856DC" w:rsidRDefault="00D856DC" w:rsidP="00293DB9">
      <w:pPr>
        <w:ind w:left="567" w:right="-574"/>
        <w:jc w:val="both"/>
        <w:rPr>
          <w:rFonts w:ascii="Palatino Linotype" w:hAnsi="Palatino Linotype" w:cs="Tahoma"/>
          <w:i/>
          <w:sz w:val="22"/>
          <w:szCs w:val="22"/>
        </w:rPr>
      </w:pPr>
      <w:r w:rsidRPr="00D856DC">
        <w:rPr>
          <w:rFonts w:ascii="Palatino Linotype" w:hAnsi="Palatino Linotype" w:cs="Tahoma"/>
          <w:i/>
          <w:sz w:val="22"/>
          <w:szCs w:val="22"/>
        </w:rPr>
        <w:t>I. El acto de presentación y apertura de propuestas se llevará a cabo por el servidor público que designe la convocante, conforme al procedimiento que se establezca en el reglamento de esta Ley.</w:t>
      </w:r>
    </w:p>
    <w:p w:rsidR="00D856DC" w:rsidRDefault="00D856DC" w:rsidP="00293DB9">
      <w:pPr>
        <w:ind w:left="567" w:right="-574"/>
        <w:jc w:val="both"/>
        <w:rPr>
          <w:rFonts w:ascii="Palatino Linotype" w:hAnsi="Palatino Linotype" w:cs="Tahoma"/>
          <w:i/>
          <w:sz w:val="22"/>
          <w:szCs w:val="22"/>
        </w:rPr>
      </w:pPr>
      <w:r>
        <w:rPr>
          <w:rFonts w:ascii="Palatino Linotype" w:hAnsi="Palatino Linotype" w:cs="Tahoma"/>
          <w:i/>
          <w:sz w:val="22"/>
          <w:szCs w:val="22"/>
        </w:rPr>
        <w:t>…</w:t>
      </w:r>
    </w:p>
    <w:p w:rsidR="00D856DC" w:rsidRDefault="00D856DC" w:rsidP="00293DB9">
      <w:pPr>
        <w:ind w:left="567" w:right="-574"/>
        <w:jc w:val="both"/>
        <w:rPr>
          <w:rFonts w:ascii="Palatino Linotype" w:hAnsi="Palatino Linotype" w:cs="Tahoma"/>
          <w:i/>
          <w:sz w:val="22"/>
          <w:szCs w:val="22"/>
        </w:rPr>
      </w:pPr>
    </w:p>
    <w:p w:rsidR="00D856DC" w:rsidRDefault="00D856DC" w:rsidP="00293DB9">
      <w:pPr>
        <w:ind w:left="567" w:right="-574"/>
        <w:jc w:val="both"/>
        <w:rPr>
          <w:rFonts w:ascii="Palatino Linotype" w:hAnsi="Palatino Linotype" w:cs="Tahoma"/>
          <w:i/>
          <w:sz w:val="22"/>
          <w:szCs w:val="22"/>
        </w:rPr>
      </w:pPr>
      <w:r w:rsidRPr="00D856DC">
        <w:rPr>
          <w:rFonts w:ascii="Palatino Linotype" w:hAnsi="Palatino Linotype" w:cs="Tahoma"/>
          <w:b/>
          <w:i/>
          <w:sz w:val="22"/>
          <w:szCs w:val="22"/>
        </w:rPr>
        <w:t>Artículo 36</w:t>
      </w:r>
      <w:r w:rsidRPr="00D856DC">
        <w:rPr>
          <w:rFonts w:ascii="Palatino Linotype" w:hAnsi="Palatino Linotype" w:cs="Tahoma"/>
          <w:i/>
          <w:sz w:val="22"/>
          <w:szCs w:val="22"/>
        </w:rPr>
        <w:t xml:space="preserve">.- El </w:t>
      </w:r>
      <w:r w:rsidRPr="00D856DC">
        <w:rPr>
          <w:rFonts w:ascii="Palatino Linotype" w:hAnsi="Palatino Linotype" w:cs="Tahoma"/>
          <w:b/>
          <w:i/>
          <w:sz w:val="22"/>
          <w:szCs w:val="22"/>
        </w:rPr>
        <w:t>acto de presentación y apertura de propuestas</w:t>
      </w:r>
      <w:r w:rsidRPr="00D856DC">
        <w:rPr>
          <w:rFonts w:ascii="Palatino Linotype" w:hAnsi="Palatino Linotype" w:cs="Tahoma"/>
          <w:i/>
          <w:sz w:val="22"/>
          <w:szCs w:val="22"/>
        </w:rPr>
        <w:t xml:space="preserve"> se celebrará de manera pública y en presencia de todos los oferentes, en la forma siguiente: </w:t>
      </w:r>
    </w:p>
    <w:p w:rsidR="00D856DC" w:rsidRDefault="00D856DC" w:rsidP="00293DB9">
      <w:pPr>
        <w:ind w:left="567" w:right="-574"/>
        <w:jc w:val="both"/>
        <w:rPr>
          <w:rFonts w:ascii="Palatino Linotype" w:hAnsi="Palatino Linotype" w:cs="Tahoma"/>
          <w:i/>
          <w:sz w:val="22"/>
          <w:szCs w:val="22"/>
        </w:rPr>
      </w:pPr>
    </w:p>
    <w:p w:rsidR="00D856DC" w:rsidRDefault="00D856DC" w:rsidP="00293DB9">
      <w:pPr>
        <w:ind w:left="567" w:right="-574"/>
        <w:jc w:val="both"/>
        <w:rPr>
          <w:rFonts w:ascii="Palatino Linotype" w:hAnsi="Palatino Linotype" w:cs="Tahoma"/>
          <w:i/>
          <w:sz w:val="22"/>
          <w:szCs w:val="22"/>
        </w:rPr>
      </w:pPr>
      <w:r w:rsidRPr="00D856DC">
        <w:rPr>
          <w:rFonts w:ascii="Palatino Linotype" w:hAnsi="Palatino Linotype" w:cs="Tahoma"/>
          <w:i/>
          <w:sz w:val="22"/>
          <w:szCs w:val="22"/>
        </w:rPr>
        <w:t xml:space="preserve">I. Los licitantes presentarán, por escrito y en sobre cerrado por separado, sus propuestas técnica y económica, así como los demás documentos requeridos en las bases de la licitación. </w:t>
      </w:r>
    </w:p>
    <w:p w:rsidR="00A31BA0" w:rsidRDefault="00D856DC" w:rsidP="00293DB9">
      <w:pPr>
        <w:ind w:left="567" w:right="-574"/>
        <w:jc w:val="both"/>
        <w:rPr>
          <w:rFonts w:ascii="Palatino Linotype" w:hAnsi="Palatino Linotype" w:cs="Tahoma"/>
          <w:i/>
          <w:sz w:val="22"/>
          <w:szCs w:val="22"/>
        </w:rPr>
      </w:pPr>
      <w:r w:rsidRPr="00D856DC">
        <w:rPr>
          <w:rFonts w:ascii="Palatino Linotype" w:hAnsi="Palatino Linotype" w:cs="Tahoma"/>
          <w:i/>
          <w:sz w:val="22"/>
          <w:szCs w:val="22"/>
        </w:rPr>
        <w:t xml:space="preserve">II. La apertura de propuestas podrá efectuarse cuando se haya presentado una propuesta cuando menos. </w:t>
      </w:r>
    </w:p>
    <w:p w:rsidR="00A31BA0" w:rsidRDefault="00D856DC" w:rsidP="00293DB9">
      <w:pPr>
        <w:ind w:left="567" w:right="-574"/>
        <w:jc w:val="both"/>
        <w:rPr>
          <w:rFonts w:ascii="Palatino Linotype" w:hAnsi="Palatino Linotype" w:cs="Tahoma"/>
          <w:i/>
          <w:sz w:val="22"/>
          <w:szCs w:val="22"/>
        </w:rPr>
      </w:pPr>
      <w:r w:rsidRPr="00D856DC">
        <w:rPr>
          <w:rFonts w:ascii="Palatino Linotype" w:hAnsi="Palatino Linotype" w:cs="Tahoma"/>
          <w:i/>
          <w:sz w:val="22"/>
          <w:szCs w:val="22"/>
        </w:rPr>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rsidR="00D856DC" w:rsidRDefault="00D856DC" w:rsidP="00293DB9">
      <w:pPr>
        <w:ind w:left="567" w:right="-574"/>
        <w:jc w:val="both"/>
        <w:rPr>
          <w:rFonts w:ascii="Palatino Linotype" w:hAnsi="Palatino Linotype" w:cs="Tahoma"/>
          <w:i/>
          <w:sz w:val="22"/>
          <w:szCs w:val="22"/>
        </w:rPr>
      </w:pPr>
      <w:r w:rsidRPr="00D856DC">
        <w:rPr>
          <w:rFonts w:ascii="Palatino Linotype" w:hAnsi="Palatino Linotype" w:cs="Tahoma"/>
          <w:i/>
          <w:sz w:val="22"/>
          <w:szCs w:val="22"/>
        </w:rPr>
        <w:t>IV. Se procederá a la apertura de las propuestas económicas de los licitantes cuyas propuestas técnicas fueron aceptadas cuantitativamente.</w:t>
      </w:r>
    </w:p>
    <w:p w:rsidR="00A31BA0" w:rsidRDefault="00A31BA0" w:rsidP="00293DB9">
      <w:pPr>
        <w:ind w:left="567" w:right="-574"/>
        <w:jc w:val="both"/>
        <w:rPr>
          <w:rFonts w:ascii="Palatino Linotype" w:hAnsi="Palatino Linotype" w:cs="Tahoma"/>
          <w:i/>
          <w:sz w:val="22"/>
          <w:szCs w:val="22"/>
        </w:rPr>
      </w:pPr>
      <w:r>
        <w:rPr>
          <w:rFonts w:ascii="Palatino Linotype" w:hAnsi="Palatino Linotype" w:cs="Tahoma"/>
          <w:i/>
          <w:sz w:val="22"/>
          <w:szCs w:val="22"/>
        </w:rPr>
        <w:lastRenderedPageBreak/>
        <w:t>…</w:t>
      </w:r>
    </w:p>
    <w:p w:rsidR="00A31BA0" w:rsidRDefault="00A31BA0" w:rsidP="00293DB9">
      <w:pPr>
        <w:ind w:left="567" w:right="-574"/>
        <w:jc w:val="both"/>
        <w:rPr>
          <w:rFonts w:ascii="Palatino Linotype" w:hAnsi="Palatino Linotype" w:cs="Tahoma"/>
          <w:i/>
          <w:sz w:val="22"/>
          <w:szCs w:val="22"/>
        </w:rPr>
      </w:pPr>
    </w:p>
    <w:p w:rsidR="00A31BA0" w:rsidRPr="00D856DC" w:rsidRDefault="00A31BA0" w:rsidP="00293DB9">
      <w:pPr>
        <w:ind w:left="567" w:right="-574"/>
        <w:jc w:val="both"/>
        <w:rPr>
          <w:rFonts w:ascii="Palatino Linotype" w:hAnsi="Palatino Linotype" w:cs="Tahoma"/>
          <w:i/>
          <w:sz w:val="22"/>
          <w:szCs w:val="22"/>
        </w:rPr>
      </w:pPr>
      <w:r w:rsidRPr="00A31BA0">
        <w:rPr>
          <w:rFonts w:ascii="Palatino Linotype" w:hAnsi="Palatino Linotype" w:cs="Tahoma"/>
          <w:b/>
          <w:i/>
          <w:sz w:val="22"/>
          <w:szCs w:val="22"/>
        </w:rPr>
        <w:t>Artículo 37.-</w:t>
      </w:r>
      <w:r w:rsidRPr="00A31BA0">
        <w:rPr>
          <w:rFonts w:ascii="Palatino Linotype" w:hAnsi="Palatino Linotype" w:cs="Tahoma"/>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D856DC" w:rsidRPr="00F24AA1" w:rsidRDefault="00D856DC" w:rsidP="00D856D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A31BA0" w:rsidRDefault="00A31BA0" w:rsidP="00FC620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se advierte que la propuesta técnica y económica, o en el caso concreto, el expediente técnico de obra pública, es un documento indispensable en los procedimientos de adquisición.</w:t>
      </w:r>
    </w:p>
    <w:p w:rsidR="00A31BA0" w:rsidRDefault="00A31BA0" w:rsidP="00A31BA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CA5E22" w:rsidRDefault="00CA5E22" w:rsidP="00FC620B">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C864B5">
        <w:rPr>
          <w:rFonts w:ascii="Palatino Linotype" w:eastAsia="Palatino Linotype" w:hAnsi="Palatino Linotype" w:cs="Palatino Linotype"/>
          <w:color w:val="000000"/>
        </w:rPr>
        <w:t xml:space="preserve">Es así que </w:t>
      </w:r>
      <w:r w:rsidRPr="00FC620B">
        <w:rPr>
          <w:rFonts w:ascii="Palatino Linotype" w:eastAsia="Palatino Linotype" w:hAnsi="Palatino Linotype" w:cs="Palatino Linotype"/>
          <w:color w:val="000000"/>
        </w:rPr>
        <w:t>existe</w:t>
      </w:r>
      <w:r w:rsidRPr="00C864B5">
        <w:rPr>
          <w:rFonts w:ascii="Palatino Linotype" w:eastAsia="Palatino Linotype" w:hAnsi="Palatino Linotype" w:cs="Palatino Linotype"/>
          <w:color w:val="000000"/>
        </w:rPr>
        <w:t xml:space="preserve"> la obligación de publicitar la información que involucra recursos públicos, como lo son los</w:t>
      </w:r>
      <w:r>
        <w:rPr>
          <w:rFonts w:ascii="Palatino Linotype" w:eastAsia="Palatino Linotype" w:hAnsi="Palatino Linotype" w:cs="Palatino Linotype"/>
          <w:color w:val="000000"/>
        </w:rPr>
        <w:t xml:space="preserve"> expedientes de procedimientos</w:t>
      </w:r>
      <w:r w:rsidR="00A31BA0">
        <w:rPr>
          <w:rFonts w:ascii="Palatino Linotype" w:eastAsia="Palatino Linotype" w:hAnsi="Palatino Linotype" w:cs="Palatino Linotype"/>
          <w:color w:val="000000"/>
        </w:rPr>
        <w:t xml:space="preserve"> de adquisiciones y servicios;</w:t>
      </w:r>
      <w:r w:rsidRPr="00C864B5">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los </w:t>
      </w:r>
      <w:r w:rsidRPr="00C864B5">
        <w:rPr>
          <w:rFonts w:ascii="Palatino Linotype" w:eastAsia="Palatino Linotype" w:hAnsi="Palatino Linotype" w:cs="Palatino Linotype"/>
          <w:color w:val="000000"/>
        </w:rPr>
        <w:t xml:space="preserve">contratos </w:t>
      </w:r>
      <w:r>
        <w:rPr>
          <w:rFonts w:ascii="Palatino Linotype" w:eastAsia="Palatino Linotype" w:hAnsi="Palatino Linotype" w:cs="Palatino Linotype"/>
          <w:color w:val="000000"/>
        </w:rPr>
        <w:t xml:space="preserve">celebrados </w:t>
      </w:r>
      <w:r w:rsidRPr="00C864B5">
        <w:rPr>
          <w:rFonts w:ascii="Palatino Linotype" w:eastAsia="Palatino Linotype" w:hAnsi="Palatino Linotype" w:cs="Palatino Linotype"/>
          <w:color w:val="000000"/>
        </w:rPr>
        <w:t>derivados de un procedimiento de adquisición</w:t>
      </w:r>
      <w:r>
        <w:rPr>
          <w:rFonts w:ascii="Palatino Linotype" w:eastAsia="Palatino Linotype" w:hAnsi="Palatino Linotype" w:cs="Palatino Linotype"/>
          <w:color w:val="000000"/>
        </w:rPr>
        <w:t xml:space="preserve"> y servicios, así como, </w:t>
      </w:r>
      <w:r w:rsidRPr="00C864B5">
        <w:rPr>
          <w:rFonts w:ascii="Palatino Linotype" w:eastAsia="Palatino Linotype" w:hAnsi="Palatino Linotype" w:cs="Palatino Linotype"/>
          <w:color w:val="000000"/>
        </w:rPr>
        <w:t xml:space="preserve"> el documento que ampara las erogaciones realizadas con erario público, al ser información que resulta relevante </w:t>
      </w:r>
      <w:r>
        <w:rPr>
          <w:rFonts w:ascii="Palatino Linotype" w:eastAsia="Palatino Linotype" w:hAnsi="Palatino Linotype" w:cs="Palatino Linotype"/>
          <w:color w:val="000000"/>
        </w:rPr>
        <w:t>y</w:t>
      </w:r>
      <w:r w:rsidRPr="00C864B5">
        <w:rPr>
          <w:rFonts w:ascii="Palatino Linotype" w:eastAsia="Palatino Linotype" w:hAnsi="Palatino Linotype" w:cs="Palatino Linotype"/>
          <w:color w:val="000000"/>
        </w:rPr>
        <w:t xml:space="preserve"> beneficiosa para la sociedad y no simplemente de interés individual, cuya divulgación resulta útil para que el público comprenda las actividades que llevan a cabo los sujetos obligados.</w:t>
      </w:r>
    </w:p>
    <w:p w:rsidR="00CA5E22" w:rsidRDefault="00CA5E22" w:rsidP="00CA5E22">
      <w:pPr>
        <w:spacing w:line="360" w:lineRule="auto"/>
        <w:ind w:right="-787"/>
        <w:jc w:val="both"/>
        <w:rPr>
          <w:rFonts w:ascii="Palatino Linotype" w:eastAsia="Palatino Linotype" w:hAnsi="Palatino Linotype" w:cs="Palatino Linotype"/>
          <w:color w:val="000000"/>
        </w:rPr>
      </w:pPr>
    </w:p>
    <w:p w:rsidR="00A31BA0" w:rsidRPr="00293DB9" w:rsidRDefault="00A31BA0" w:rsidP="00A31BA0">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A31BA0">
        <w:rPr>
          <w:rFonts w:ascii="Palatino Linotype" w:eastAsia="Palatino Linotype" w:hAnsi="Palatino Linotype" w:cs="Palatino Linotype"/>
        </w:rPr>
        <w:t xml:space="preserve">En otro orden de ideas, es de recordar que el Sujeto Obligado a través de la </w:t>
      </w:r>
      <w:r w:rsidRPr="00A31BA0">
        <w:rPr>
          <w:rFonts w:ascii="Palatino Linotype" w:eastAsia="Palatino Linotype" w:hAnsi="Palatino Linotype" w:cs="Palatino Linotype"/>
          <w:b/>
        </w:rPr>
        <w:t>Tesorería Municipal</w:t>
      </w:r>
      <w:r w:rsidRPr="00A31BA0">
        <w:rPr>
          <w:rFonts w:ascii="Palatino Linotype" w:eastAsia="Palatino Linotype" w:hAnsi="Palatino Linotype" w:cs="Palatino Linotype"/>
        </w:rPr>
        <w:t xml:space="preserve"> </w:t>
      </w:r>
      <w:r w:rsidRPr="00A31BA0">
        <w:rPr>
          <w:rFonts w:ascii="Palatino Linotype" w:eastAsia="Palatino Linotype" w:hAnsi="Palatino Linotype" w:cs="Palatino Linotype"/>
          <w:color w:val="000000"/>
        </w:rPr>
        <w:t xml:space="preserve">refirió </w:t>
      </w:r>
      <w:r w:rsidRPr="00A31BA0">
        <w:rPr>
          <w:rFonts w:ascii="Palatino Linotype" w:eastAsia="Palatino Linotype" w:hAnsi="Palatino Linotype" w:cs="Palatino Linotype"/>
          <w:i/>
          <w:color w:val="000000"/>
        </w:rPr>
        <w:t>“… que una vez realizada una búsqueda exhaustiva en nuestros archivos, no se cuenta con registro financiero, documental, contable o presupuestal que ampare la información solicitada”</w:t>
      </w:r>
      <w:r>
        <w:rPr>
          <w:rFonts w:ascii="Palatino Linotype" w:eastAsia="Palatino Linotype" w:hAnsi="Palatino Linotype" w:cs="Palatino Linotype"/>
          <w:color w:val="000000"/>
        </w:rPr>
        <w:t xml:space="preserve"> circunstancia que resulta incongruente, toda vez que a través de la Dirección General de Obras Públicas se aceptó contar con documentales del procedimientos d</w:t>
      </w:r>
      <w:r w:rsidR="006129A8">
        <w:rPr>
          <w:rFonts w:ascii="Palatino Linotype" w:eastAsia="Palatino Linotype" w:hAnsi="Palatino Linotype" w:cs="Palatino Linotype"/>
          <w:color w:val="000000"/>
        </w:rPr>
        <w:t xml:space="preserve">e contratación de obra pública, y toda vez que dentro de los procesos de adquisiciones de </w:t>
      </w:r>
      <w:r w:rsidR="006129A8">
        <w:rPr>
          <w:rFonts w:ascii="Palatino Linotype" w:eastAsia="Palatino Linotype" w:hAnsi="Palatino Linotype" w:cs="Palatino Linotype"/>
          <w:color w:val="000000"/>
        </w:rPr>
        <w:lastRenderedPageBreak/>
        <w:t xml:space="preserve">encuentra el </w:t>
      </w:r>
      <w:r w:rsidR="006129A8" w:rsidRPr="006129A8">
        <w:rPr>
          <w:rFonts w:ascii="Palatino Linotype" w:eastAsia="Palatino Linotype" w:hAnsi="Palatino Linotype" w:cs="Palatino Linotype"/>
          <w:color w:val="000000"/>
        </w:rPr>
        <w:t>fallo con base en el dictamen de adjudicación</w:t>
      </w:r>
      <w:r w:rsidR="006129A8">
        <w:rPr>
          <w:rFonts w:ascii="Palatino Linotype" w:eastAsia="Palatino Linotype" w:hAnsi="Palatino Linotype" w:cs="Palatino Linotype"/>
          <w:color w:val="000000"/>
        </w:rPr>
        <w:t xml:space="preserve">, cuya </w:t>
      </w:r>
      <w:r w:rsidR="006129A8" w:rsidRPr="006129A8">
        <w:rPr>
          <w:rFonts w:ascii="Palatino Linotype" w:eastAsia="Palatino Linotype" w:hAnsi="Palatino Linotype" w:cs="Palatino Linotype"/>
          <w:color w:val="000000"/>
        </w:rPr>
        <w:t>adjudicación de los contratos derivados de los procedimientos de adquisiciones de bienes o servicios, obligará a la convocante y al licitante ganador a suscribir el contrato respectivo</w:t>
      </w:r>
      <w:r w:rsidR="006129A8">
        <w:rPr>
          <w:rFonts w:ascii="Palatino Linotype" w:eastAsia="Palatino Linotype" w:hAnsi="Palatino Linotype" w:cs="Palatino Linotype"/>
          <w:color w:val="000000"/>
        </w:rPr>
        <w:t>.</w:t>
      </w:r>
      <w:r w:rsidR="0055760E">
        <w:rPr>
          <w:rFonts w:ascii="Palatino Linotype" w:eastAsia="Palatino Linotype" w:hAnsi="Palatino Linotype" w:cs="Palatino Linotype"/>
          <w:color w:val="000000"/>
        </w:rPr>
        <w:t xml:space="preserve"> Consecuentemente la prestación de un bien o servicio derivado de un contrato, le sobreviene una contraprestación, que es la retribución económica del mismo.</w:t>
      </w:r>
    </w:p>
    <w:p w:rsidR="00293DB9" w:rsidRPr="0090304E" w:rsidRDefault="00293DB9" w:rsidP="00293DB9">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CA5E22" w:rsidRDefault="0090304E" w:rsidP="0090304E">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anterior, se considera viable analizar la naturaleza jurídica de </w:t>
      </w:r>
      <w:r w:rsidR="00CA5E22" w:rsidRPr="0090304E">
        <w:rPr>
          <w:rFonts w:ascii="Palatino Linotype" w:eastAsia="Palatino Linotype" w:hAnsi="Palatino Linotype" w:cs="Palatino Linotype"/>
          <w:b/>
        </w:rPr>
        <w:t>los documentos que acrediten la erogación de un gasto</w:t>
      </w:r>
      <w:r w:rsidR="00CA5E22" w:rsidRPr="0090304E">
        <w:rPr>
          <w:rFonts w:ascii="Palatino Linotype" w:eastAsia="Palatino Linotype" w:hAnsi="Palatino Linotype" w:cs="Palatino Linotype"/>
        </w:rPr>
        <w:t xml:space="preserve">, resulta necesario traer a </w:t>
      </w:r>
      <w:r w:rsidR="00CA5E22" w:rsidRPr="0090304E">
        <w:rPr>
          <w:rFonts w:ascii="Palatino Linotype" w:eastAsia="Palatino Linotype" w:hAnsi="Palatino Linotype" w:cs="Palatino Linotype"/>
          <w:color w:val="000000"/>
        </w:rPr>
        <w:t>contexto</w:t>
      </w:r>
      <w:r w:rsidR="00CA5E22" w:rsidRPr="0090304E">
        <w:rPr>
          <w:rFonts w:ascii="Palatino Linotype" w:eastAsia="Palatino Linotype" w:hAnsi="Palatino Linotype" w:cs="Palatino Linotype"/>
        </w:rPr>
        <w:t xml:space="preserve">, la Resolución Miscelánea Fiscal, establece que la </w:t>
      </w:r>
      <w:r w:rsidR="00CA5E22" w:rsidRPr="0090304E">
        <w:rPr>
          <w:rFonts w:ascii="Palatino Linotype" w:eastAsia="Palatino Linotype" w:hAnsi="Palatino Linotype" w:cs="Palatino Linotype"/>
          <w:b/>
        </w:rPr>
        <w:t>factura</w:t>
      </w:r>
      <w:r w:rsidR="00CA5E22" w:rsidRPr="0090304E">
        <w:rPr>
          <w:rFonts w:ascii="Palatino Linotype" w:eastAsia="Palatino Linotype" w:hAnsi="Palatino Linotype" w:cs="Palatino Linotype"/>
        </w:rPr>
        <w:t xml:space="preserve"> es lo mismo, que un Comprobante Fiscal Digital por Internet, por lo que, se puede considerar como el documento que comprueba la realización de una transacción</w:t>
      </w:r>
      <w:r w:rsidR="00CA5E22" w:rsidRPr="0090304E">
        <w:rPr>
          <w:rFonts w:ascii="Palatino Linotype" w:eastAsia="Palatino Linotype" w:hAnsi="Palatino Linotype" w:cs="Palatino Linotype"/>
          <w:b/>
        </w:rPr>
        <w:t xml:space="preserve"> </w:t>
      </w:r>
      <w:r w:rsidR="00CA5E22" w:rsidRPr="0090304E">
        <w:rPr>
          <w:rFonts w:ascii="Palatino Linotype" w:eastAsia="Palatino Linotype" w:hAnsi="Palatino Linotype" w:cs="Palatino Linotype"/>
        </w:rPr>
        <w:t>comercial, entre un comprador y un vendedor, mediante el cual, el primero queda obligado a realizar un pago, mientras que el segundo, a entregar o brindar un producto o servicio.</w:t>
      </w:r>
    </w:p>
    <w:p w:rsidR="0090304E" w:rsidRPr="0090304E" w:rsidRDefault="0090304E" w:rsidP="0090304E">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CA5E22"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sidRPr="00922F5E">
        <w:rPr>
          <w:rFonts w:ascii="Palatino Linotype" w:eastAsia="Palatino Linotype" w:hAnsi="Palatino Linotype" w:cs="Palatino Linotype"/>
        </w:rPr>
        <w:t xml:space="preserve">Resulta </w:t>
      </w:r>
      <w:r w:rsidRPr="0090304E">
        <w:rPr>
          <w:rFonts w:ascii="Palatino Linotype" w:eastAsia="Palatino Linotype" w:hAnsi="Palatino Linotype" w:cs="Palatino Linotype"/>
          <w:color w:val="000000"/>
        </w:rPr>
        <w:t>importante</w:t>
      </w:r>
      <w:r w:rsidRPr="00922F5E">
        <w:rPr>
          <w:rFonts w:ascii="Palatino Linotype" w:eastAsia="Palatino Linotype" w:hAnsi="Palatino Linotype" w:cs="Palatino Linotype"/>
        </w:rPr>
        <w:t xml:space="preserve"> señalar que este término se encuentra definido en el Glosario de Términos Hacendarios que emite el Instituto Hacendario del Estado de México, el cual expresa lo siguiente:</w:t>
      </w:r>
    </w:p>
    <w:p w:rsidR="0090304E" w:rsidRPr="0090304E" w:rsidRDefault="0090304E" w:rsidP="0090304E">
      <w:pPr>
        <w:pBdr>
          <w:top w:val="nil"/>
          <w:left w:val="nil"/>
          <w:bottom w:val="nil"/>
          <w:right w:val="nil"/>
          <w:between w:val="nil"/>
        </w:pBdr>
        <w:ind w:right="-787"/>
        <w:jc w:val="both"/>
        <w:rPr>
          <w:rFonts w:ascii="Palatino Linotype" w:eastAsia="Palatino Linotype" w:hAnsi="Palatino Linotype" w:cs="Palatino Linotype"/>
        </w:rPr>
      </w:pPr>
    </w:p>
    <w:p w:rsidR="00CA5E22" w:rsidRDefault="00CA5E22" w:rsidP="0090304E">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FACTURA</w:t>
      </w:r>
    </w:p>
    <w:p w:rsidR="00CA5E22" w:rsidRDefault="00CA5E22" w:rsidP="0090304E">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Es el documento fiscal que emite la persona física o moral para </w:t>
      </w:r>
      <w:r>
        <w:rPr>
          <w:rFonts w:ascii="Palatino Linotype" w:eastAsia="Palatino Linotype" w:hAnsi="Palatino Linotype" w:cs="Palatino Linotype"/>
          <w:b/>
          <w:i/>
          <w:u w:val="single"/>
        </w:rPr>
        <w:t>comprobar la venta o adquisición de un bien y/o servicio</w:t>
      </w:r>
      <w:r>
        <w:rPr>
          <w:rFonts w:ascii="Palatino Linotype" w:eastAsia="Palatino Linotype" w:hAnsi="Palatino Linotype" w:cs="Palatino Linotype"/>
          <w:i/>
        </w:rPr>
        <w:t>.” (Sic)</w:t>
      </w:r>
    </w:p>
    <w:p w:rsidR="00CA5E22" w:rsidRPr="00922F5E" w:rsidRDefault="00CA5E22" w:rsidP="0090304E">
      <w:pPr>
        <w:spacing w:line="360" w:lineRule="auto"/>
        <w:ind w:left="851" w:right="851"/>
        <w:jc w:val="both"/>
        <w:rPr>
          <w:rFonts w:ascii="Palatino Linotype" w:eastAsia="Palatino Linotype" w:hAnsi="Palatino Linotype" w:cs="Palatino Linotype"/>
          <w:i/>
        </w:rPr>
      </w:pPr>
    </w:p>
    <w:p w:rsidR="00CA5E22" w:rsidRPr="00922F5E"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sidRPr="00922F5E">
        <w:rPr>
          <w:rFonts w:ascii="Palatino Linotype" w:eastAsia="Palatino Linotype" w:hAnsi="Palatino Linotype" w:cs="Palatino Linotype"/>
        </w:rPr>
        <w:t xml:space="preserve">Es de señalarse que </w:t>
      </w:r>
      <w:r w:rsidRPr="00EB340E">
        <w:rPr>
          <w:rFonts w:ascii="Palatino Linotype" w:eastAsia="Palatino Linotype" w:hAnsi="Palatino Linotype" w:cs="Palatino Linotype"/>
          <w:b/>
        </w:rPr>
        <w:t>las facturas o comprobantes que amparan las erogaciones que se realizan con erario público tienen naturaleza pública</w:t>
      </w:r>
      <w:r w:rsidRPr="00922F5E">
        <w:rPr>
          <w:rFonts w:ascii="Palatino Linotype" w:eastAsia="Palatino Linotype" w:hAnsi="Palatino Linotype" w:cs="Palatino Linotype"/>
        </w:rPr>
        <w:t xml:space="preserve"> pues, constituyen los medios idóneos de evidencia del gasto realizado con recursos públicos, de ahí que convenga precisar que la Constitución Política del Estado Libre y Soberano de México en su artículo 129 señala que l</w:t>
      </w:r>
      <w:r w:rsidRPr="00922F5E">
        <w:rPr>
          <w:rFonts w:ascii="Palatino Linotype" w:eastAsia="Palatino Linotype" w:hAnsi="Palatino Linotype" w:cs="Palatino Linotype"/>
          <w:color w:val="000000"/>
        </w:rPr>
        <w:t xml:space="preserve">os </w:t>
      </w:r>
      <w:r w:rsidRPr="00922F5E">
        <w:rPr>
          <w:rFonts w:ascii="Palatino Linotype" w:eastAsia="Palatino Linotype" w:hAnsi="Palatino Linotype" w:cs="Palatino Linotype"/>
          <w:color w:val="000000"/>
        </w:rPr>
        <w:lastRenderedPageBreak/>
        <w:t xml:space="preserve">recursos económicos del Estado, de los Municipios, así como de los Organismos Autónomos, se administrarán con eficiencia, eficacia y honradez, para cumplir con los objetivos y programas a los que estén destinados. </w:t>
      </w:r>
    </w:p>
    <w:p w:rsidR="00CA5E22" w:rsidRDefault="00CA5E22" w:rsidP="00CA5E22">
      <w:pPr>
        <w:spacing w:line="360" w:lineRule="auto"/>
        <w:ind w:right="-787"/>
        <w:jc w:val="both"/>
        <w:rPr>
          <w:rFonts w:ascii="Palatino Linotype" w:hAnsi="Palatino Linotype" w:cs="Tahoma"/>
        </w:rPr>
      </w:pPr>
    </w:p>
    <w:p w:rsidR="00CA5E22" w:rsidRPr="003E260A"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3E260A">
        <w:rPr>
          <w:rFonts w:ascii="Palatino Linotype" w:hAnsi="Palatino Linotype" w:cs="Tahoma"/>
        </w:rPr>
        <w:t xml:space="preserve">En ese </w:t>
      </w:r>
      <w:r w:rsidRPr="00EB340E">
        <w:rPr>
          <w:rFonts w:ascii="Palatino Linotype" w:eastAsia="Palatino Linotype" w:hAnsi="Palatino Linotype" w:cs="Palatino Linotype"/>
          <w:color w:val="000000"/>
        </w:rPr>
        <w:t>contexto</w:t>
      </w:r>
      <w:r w:rsidRPr="003E260A">
        <w:rPr>
          <w:rFonts w:ascii="Palatino Linotype" w:hAnsi="Palatino Linotype" w:cs="Tahoma"/>
        </w:rPr>
        <w:t xml:space="preserve">, es de </w:t>
      </w:r>
      <w:r w:rsidRPr="0090304E">
        <w:rPr>
          <w:rFonts w:ascii="Palatino Linotype" w:eastAsia="Palatino Linotype" w:hAnsi="Palatino Linotype" w:cs="Palatino Linotype"/>
        </w:rPr>
        <w:t>referir</w:t>
      </w:r>
      <w:r w:rsidRPr="003E260A">
        <w:rPr>
          <w:rFonts w:ascii="Palatino Linotype" w:hAnsi="Palatino Linotype" w:cs="Tahoma"/>
        </w:rPr>
        <w:t xml:space="preserve"> que de conformidad con  los artículos 342, 343, 344 y 345 del Código </w:t>
      </w:r>
      <w:r w:rsidRPr="003E260A">
        <w:rPr>
          <w:rFonts w:ascii="Palatino Linotype" w:eastAsia="Palatino Linotype" w:hAnsi="Palatino Linotype" w:cs="Palatino Linotype"/>
          <w:color w:val="000000"/>
        </w:rPr>
        <w:t>Financiero</w:t>
      </w:r>
      <w:r w:rsidRPr="003E260A">
        <w:rPr>
          <w:rFonts w:ascii="Palatino Linotype" w:hAnsi="Palatino Linotype" w:cs="Tahoma"/>
        </w:rPr>
        <w:t xml:space="preserve"> del Estado de México y Municipios, disponen el sistema y las políticas que deben seguirse para llevar el </w:t>
      </w:r>
      <w:r w:rsidRPr="00F12F49">
        <w:rPr>
          <w:rFonts w:ascii="Palatino Linotype" w:hAnsi="Palatino Linotype" w:cs="Tahoma"/>
          <w:b/>
        </w:rPr>
        <w:t>registro contable y presupuestal de las operaciones financieras</w:t>
      </w:r>
      <w:r w:rsidRPr="003E260A">
        <w:rPr>
          <w:rFonts w:ascii="Palatino Linotype" w:hAnsi="Palatino Linotype" w:cs="Tahoma"/>
        </w:rPr>
        <w:t>, en los siguientes términos:</w:t>
      </w:r>
    </w:p>
    <w:p w:rsidR="00CA5E22" w:rsidRPr="004453B4" w:rsidRDefault="00CA5E22" w:rsidP="00CA5E22">
      <w:pPr>
        <w:spacing w:line="360" w:lineRule="auto"/>
        <w:ind w:right="-93"/>
        <w:jc w:val="both"/>
        <w:rPr>
          <w:rFonts w:ascii="Palatino Linotype" w:hAnsi="Palatino Linotype" w:cs="Tahoma"/>
          <w:sz w:val="22"/>
          <w:szCs w:val="22"/>
        </w:rPr>
      </w:pPr>
    </w:p>
    <w:p w:rsidR="00CA5E22" w:rsidRPr="004453B4" w:rsidRDefault="00CA5E22" w:rsidP="00CA5E22">
      <w:pPr>
        <w:ind w:left="567" w:right="-858"/>
        <w:jc w:val="both"/>
        <w:rPr>
          <w:rFonts w:ascii="Palatino Linotype" w:hAnsi="Palatino Linotype" w:cs="Tahoma"/>
          <w:i/>
          <w:sz w:val="22"/>
          <w:szCs w:val="22"/>
        </w:rPr>
      </w:pPr>
      <w:r w:rsidRPr="004453B4">
        <w:rPr>
          <w:rFonts w:ascii="Palatino Linotype" w:hAnsi="Palatino Linotype" w:cs="Tahoma"/>
          <w:b/>
          <w:i/>
          <w:sz w:val="22"/>
          <w:szCs w:val="22"/>
        </w:rPr>
        <w:t>Artículo 342.-</w:t>
      </w:r>
      <w:r w:rsidRPr="004453B4">
        <w:rPr>
          <w:rFonts w:ascii="Palatino Linotype" w:hAnsi="Palatino Linotype" w:cs="Tahoma"/>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CA5E22" w:rsidRPr="004453B4" w:rsidRDefault="00CA5E22" w:rsidP="00CA5E22">
      <w:pPr>
        <w:ind w:left="567" w:right="-858"/>
        <w:jc w:val="both"/>
        <w:rPr>
          <w:rFonts w:ascii="Palatino Linotype" w:hAnsi="Palatino Linotype" w:cs="Tahoma"/>
          <w:i/>
          <w:sz w:val="22"/>
          <w:szCs w:val="22"/>
        </w:rPr>
      </w:pPr>
    </w:p>
    <w:p w:rsidR="00CA5E22" w:rsidRPr="004453B4" w:rsidRDefault="00CA5E22" w:rsidP="00CA5E22">
      <w:pPr>
        <w:ind w:left="567" w:right="-858"/>
        <w:jc w:val="both"/>
        <w:rPr>
          <w:rFonts w:ascii="Palatino Linotype" w:hAnsi="Palatino Linotype" w:cs="Tahoma"/>
          <w:i/>
          <w:sz w:val="22"/>
          <w:szCs w:val="22"/>
        </w:rPr>
      </w:pPr>
      <w:r w:rsidRPr="003E260A">
        <w:rPr>
          <w:rFonts w:ascii="Palatino Linotype" w:hAnsi="Palatino Linotype" w:cs="Tahoma"/>
          <w:b/>
          <w:i/>
          <w:sz w:val="22"/>
          <w:szCs w:val="22"/>
        </w:rPr>
        <w:t>En el caso de los municipios</w:t>
      </w:r>
      <w:r w:rsidRPr="004453B4">
        <w:rPr>
          <w:rFonts w:ascii="Palatino Linotype" w:hAnsi="Palatino Linotype" w:cs="Tahoma"/>
          <w:i/>
          <w:sz w:val="22"/>
          <w:szCs w:val="22"/>
        </w:rPr>
        <w:t>,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CA5E22" w:rsidRPr="004453B4" w:rsidRDefault="00CA5E22" w:rsidP="00CA5E22">
      <w:pPr>
        <w:ind w:left="567" w:right="-858"/>
        <w:jc w:val="both"/>
        <w:rPr>
          <w:rFonts w:ascii="Palatino Linotype" w:hAnsi="Palatino Linotype" w:cs="Tahoma"/>
          <w:i/>
          <w:sz w:val="22"/>
          <w:szCs w:val="22"/>
        </w:rPr>
      </w:pPr>
    </w:p>
    <w:p w:rsidR="00CA5E22" w:rsidRPr="004453B4" w:rsidRDefault="00CA5E22" w:rsidP="00CA5E22">
      <w:pPr>
        <w:ind w:left="567" w:right="-858"/>
        <w:jc w:val="both"/>
        <w:rPr>
          <w:rFonts w:ascii="Palatino Linotype" w:hAnsi="Palatino Linotype" w:cs="Tahoma"/>
          <w:i/>
          <w:sz w:val="22"/>
          <w:szCs w:val="22"/>
        </w:rPr>
      </w:pPr>
      <w:r w:rsidRPr="004453B4">
        <w:rPr>
          <w:rFonts w:ascii="Palatino Linotype" w:hAnsi="Palatino Linotype" w:cs="Tahoma"/>
          <w:b/>
          <w:i/>
          <w:sz w:val="22"/>
          <w:szCs w:val="22"/>
        </w:rPr>
        <w:t>Artículo 343.-</w:t>
      </w:r>
      <w:r w:rsidRPr="004453B4">
        <w:rPr>
          <w:rFonts w:ascii="Palatino Linotype" w:hAnsi="Palatino Linotype" w:cs="Tahoma"/>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CA5E22" w:rsidRPr="004453B4" w:rsidRDefault="00CA5E22" w:rsidP="00CA5E22">
      <w:pPr>
        <w:ind w:left="567" w:right="-858"/>
        <w:jc w:val="both"/>
        <w:rPr>
          <w:rFonts w:ascii="Palatino Linotype" w:hAnsi="Palatino Linotype" w:cs="Tahoma"/>
          <w:i/>
          <w:sz w:val="22"/>
          <w:szCs w:val="22"/>
        </w:rPr>
      </w:pPr>
      <w:r w:rsidRPr="004453B4">
        <w:rPr>
          <w:rFonts w:ascii="Palatino Linotype" w:hAnsi="Palatino Linotype" w:cs="Tahoma"/>
          <w:i/>
          <w:sz w:val="22"/>
          <w:szCs w:val="22"/>
        </w:rPr>
        <w:t>El sistema de contabilidad sobre base acumulativa total, se sustentará en las normas emitidas por el Consejo Nacional de Armonización Contable.</w:t>
      </w:r>
    </w:p>
    <w:p w:rsidR="00CA5E22" w:rsidRPr="004453B4" w:rsidRDefault="00CA5E22" w:rsidP="00CA5E22">
      <w:pPr>
        <w:ind w:left="567" w:right="-858"/>
        <w:jc w:val="both"/>
        <w:rPr>
          <w:rFonts w:ascii="Palatino Linotype" w:hAnsi="Palatino Linotype" w:cs="Tahoma"/>
          <w:b/>
          <w:i/>
          <w:sz w:val="22"/>
          <w:szCs w:val="22"/>
        </w:rPr>
      </w:pPr>
    </w:p>
    <w:p w:rsidR="00CA5E22" w:rsidRPr="004453B4" w:rsidRDefault="00CA5E22" w:rsidP="00CA5E22">
      <w:pPr>
        <w:ind w:left="567" w:right="-858"/>
        <w:jc w:val="both"/>
        <w:rPr>
          <w:rFonts w:ascii="Palatino Linotype" w:hAnsi="Palatino Linotype" w:cs="Tahoma"/>
          <w:b/>
          <w:i/>
          <w:sz w:val="22"/>
          <w:szCs w:val="22"/>
        </w:rPr>
      </w:pPr>
      <w:r w:rsidRPr="004453B4">
        <w:rPr>
          <w:rFonts w:ascii="Palatino Linotype" w:hAnsi="Palatino Linotype" w:cs="Tahoma"/>
          <w:b/>
          <w:i/>
          <w:sz w:val="22"/>
          <w:szCs w:val="22"/>
        </w:rPr>
        <w:t>Artículo 344.- Los Entes Públicos, a través de cualquiera de sus unidades administrativas, de acuerdo con su naturaleza jurídica y según corresponda, registrarán contablemente el efecto patrimonial y presupuestal de las operaciones financieras que realicen</w:t>
      </w:r>
      <w:r w:rsidRPr="004453B4">
        <w:rPr>
          <w:rFonts w:ascii="Palatino Linotype" w:hAnsi="Palatino Linotype" w:cs="Tahoma"/>
          <w:i/>
          <w:sz w:val="22"/>
          <w:szCs w:val="22"/>
        </w:rPr>
        <w:t>, en el momento en que ocurran, con base en el sistema y políticas de registro establecidas, en el caso de los Municipios, se hará por la Tesorería.</w:t>
      </w:r>
    </w:p>
    <w:p w:rsidR="00CA5E22" w:rsidRPr="004453B4" w:rsidRDefault="00CA5E22" w:rsidP="00CA5E22">
      <w:pPr>
        <w:ind w:left="567" w:right="-858"/>
        <w:jc w:val="both"/>
        <w:rPr>
          <w:rFonts w:ascii="Palatino Linotype" w:hAnsi="Palatino Linotype" w:cs="Tahoma"/>
          <w:b/>
          <w:i/>
          <w:sz w:val="22"/>
          <w:szCs w:val="22"/>
        </w:rPr>
      </w:pPr>
    </w:p>
    <w:p w:rsidR="00CA5E22" w:rsidRPr="004453B4" w:rsidRDefault="00CA5E22" w:rsidP="00CA5E22">
      <w:pPr>
        <w:ind w:left="567" w:right="-858"/>
        <w:jc w:val="both"/>
        <w:rPr>
          <w:rFonts w:ascii="Palatino Linotype" w:hAnsi="Palatino Linotype" w:cs="Tahoma"/>
          <w:b/>
          <w:i/>
          <w:sz w:val="22"/>
          <w:szCs w:val="22"/>
        </w:rPr>
      </w:pPr>
      <w:r w:rsidRPr="004453B4">
        <w:rPr>
          <w:rFonts w:ascii="Palatino Linotype" w:hAnsi="Palatino Linotype" w:cs="Tahoma"/>
          <w:b/>
          <w:i/>
          <w:sz w:val="22"/>
          <w:szCs w:val="22"/>
        </w:rPr>
        <w:t xml:space="preserve">Todo registro contable y presupuestal deberá estar soportado con los documentos de registro, justificativos y comprobatorios originales, </w:t>
      </w:r>
      <w:r w:rsidRPr="004453B4">
        <w:rPr>
          <w:rFonts w:ascii="Palatino Linotype" w:hAnsi="Palatino Linotype" w:cs="Tahoma"/>
          <w:i/>
          <w:sz w:val="22"/>
          <w:szCs w:val="22"/>
        </w:rPr>
        <w:t xml:space="preserve">en copias certificadas o en medios electrónicos, según corresponda, los que deberán permanecer en custodia y conservación de los Entes Públicos ejecutores del </w:t>
      </w:r>
      <w:r w:rsidRPr="004453B4">
        <w:rPr>
          <w:rFonts w:ascii="Palatino Linotype" w:hAnsi="Palatino Linotype" w:cs="Tahoma"/>
          <w:i/>
          <w:sz w:val="22"/>
          <w:szCs w:val="22"/>
        </w:rPr>
        <w:lastRenderedPageBreak/>
        <w:t xml:space="preserve">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rsidR="00CA5E22" w:rsidRPr="004453B4" w:rsidRDefault="00CA5E22" w:rsidP="00CA5E22">
      <w:pPr>
        <w:ind w:left="567" w:right="-858"/>
        <w:jc w:val="both"/>
        <w:rPr>
          <w:rFonts w:ascii="Palatino Linotype" w:hAnsi="Palatino Linotype" w:cs="Tahoma"/>
          <w:i/>
          <w:sz w:val="22"/>
          <w:szCs w:val="22"/>
        </w:rPr>
      </w:pPr>
      <w:r w:rsidRPr="004453B4">
        <w:rPr>
          <w:rFonts w:ascii="Palatino Linotype" w:hAnsi="Palatino Linotype" w:cs="Tahoma"/>
          <w:i/>
          <w:sz w:val="22"/>
          <w:szCs w:val="22"/>
        </w:rPr>
        <w:t>…</w:t>
      </w:r>
    </w:p>
    <w:p w:rsidR="00CA5E22" w:rsidRPr="004453B4" w:rsidRDefault="00CA5E22" w:rsidP="00CA5E22">
      <w:pPr>
        <w:ind w:left="567" w:right="-858"/>
        <w:jc w:val="both"/>
        <w:rPr>
          <w:rFonts w:ascii="Palatino Linotype" w:hAnsi="Palatino Linotype" w:cs="Tahoma"/>
          <w:b/>
          <w:i/>
          <w:sz w:val="22"/>
          <w:szCs w:val="22"/>
        </w:rPr>
      </w:pPr>
    </w:p>
    <w:p w:rsidR="00CA5E22" w:rsidRPr="004453B4" w:rsidRDefault="00CA5E22" w:rsidP="00CA5E22">
      <w:pPr>
        <w:ind w:left="567" w:right="-858"/>
        <w:jc w:val="both"/>
        <w:rPr>
          <w:rFonts w:ascii="Palatino Linotype" w:hAnsi="Palatino Linotype" w:cs="Tahoma"/>
          <w:i/>
          <w:sz w:val="22"/>
          <w:szCs w:val="22"/>
        </w:rPr>
      </w:pPr>
      <w:r w:rsidRPr="004453B4">
        <w:rPr>
          <w:rFonts w:ascii="Palatino Linotype" w:hAnsi="Palatino Linotype" w:cs="Tahoma"/>
          <w:b/>
          <w:i/>
          <w:sz w:val="22"/>
          <w:szCs w:val="22"/>
        </w:rPr>
        <w:t>Artículo 345.-</w:t>
      </w:r>
      <w:r w:rsidRPr="004453B4">
        <w:rPr>
          <w:rFonts w:ascii="Palatino Linotype" w:hAnsi="Palatino Linotype" w:cs="Tahoma"/>
          <w:i/>
          <w:sz w:val="22"/>
          <w:szCs w:val="22"/>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CA5E22" w:rsidRPr="004453B4" w:rsidRDefault="00CA5E22" w:rsidP="00CA5E22">
      <w:pPr>
        <w:ind w:left="567" w:right="-858"/>
        <w:jc w:val="both"/>
        <w:rPr>
          <w:rFonts w:ascii="Palatino Linotype" w:hAnsi="Palatino Linotype" w:cs="Tahoma"/>
          <w:i/>
          <w:sz w:val="22"/>
          <w:szCs w:val="22"/>
        </w:rPr>
      </w:pPr>
    </w:p>
    <w:p w:rsidR="00CA5E22" w:rsidRPr="004453B4" w:rsidRDefault="00CA5E22" w:rsidP="00CA5E22">
      <w:pPr>
        <w:ind w:left="567" w:right="-858"/>
        <w:jc w:val="both"/>
        <w:rPr>
          <w:rFonts w:ascii="Palatino Linotype" w:hAnsi="Palatino Linotype" w:cs="Tahoma"/>
          <w:i/>
          <w:sz w:val="22"/>
          <w:szCs w:val="22"/>
        </w:rPr>
      </w:pPr>
      <w:r w:rsidRPr="004453B4">
        <w:rPr>
          <w:rFonts w:ascii="Palatino Linotype" w:hAnsi="Palatino Linotype" w:cs="Tahoma"/>
          <w:b/>
          <w:i/>
          <w:sz w:val="22"/>
          <w:szCs w:val="22"/>
        </w:rPr>
        <w:t>Los poderes Legislativo y Judicial, los Organismos Autónomos y las Entidades Públicas, de acuerdo con su naturaleza jurídica y según corresponda, deberán conservar la documentación contable del año en curso y la de ejercicios anteriores</w:t>
      </w:r>
      <w:r w:rsidRPr="004453B4">
        <w:rPr>
          <w:rFonts w:ascii="Palatino Linotype" w:hAnsi="Palatino Linotype" w:cs="Tahoma"/>
          <w:i/>
          <w:sz w:val="22"/>
          <w:szCs w:val="22"/>
        </w:rPr>
        <w:t>, cuyas cuentas públicas hayan sido revisadas y fiscalizadas, en sus propios Archivos Contables. Tratándose de los comprobantes fiscales digitales, estos deberán estar agregados en forma electrónica a cada póliza de registro contable.</w:t>
      </w:r>
    </w:p>
    <w:p w:rsidR="00CA5E22" w:rsidRPr="004453B4" w:rsidRDefault="00CA5E22" w:rsidP="00CA5E22">
      <w:pPr>
        <w:ind w:left="567" w:right="-858"/>
        <w:jc w:val="both"/>
        <w:rPr>
          <w:rFonts w:ascii="Palatino Linotype" w:hAnsi="Palatino Linotype" w:cs="Tahoma"/>
          <w:i/>
          <w:sz w:val="22"/>
          <w:szCs w:val="22"/>
        </w:rPr>
      </w:pPr>
    </w:p>
    <w:p w:rsidR="00CA5E22" w:rsidRPr="004453B4" w:rsidRDefault="00CA5E22" w:rsidP="00CA5E22">
      <w:pPr>
        <w:ind w:left="567" w:right="-858"/>
        <w:jc w:val="both"/>
        <w:rPr>
          <w:rFonts w:ascii="Palatino Linotype" w:hAnsi="Palatino Linotype" w:cs="Tahoma"/>
          <w:i/>
          <w:sz w:val="22"/>
          <w:szCs w:val="22"/>
        </w:rPr>
      </w:pPr>
      <w:r w:rsidRPr="004453B4">
        <w:rPr>
          <w:rFonts w:ascii="Palatino Linotype" w:hAnsi="Palatino Linotype" w:cs="Tahoma"/>
          <w:i/>
          <w:sz w:val="22"/>
          <w:szCs w:val="22"/>
        </w:rPr>
        <w:t>El plazo señalado en este artículo empezará a contar a partir de la publicación en el Periódico Oficial, del decreto correspondiente</w:t>
      </w:r>
      <w:r w:rsidRPr="004453B4">
        <w:rPr>
          <w:rFonts w:ascii="Palatino Linotype" w:hAnsi="Palatino Linotype" w:cs="Tahoma"/>
          <w:b/>
          <w:i/>
          <w:sz w:val="22"/>
          <w:szCs w:val="22"/>
        </w:rPr>
        <w:t xml:space="preserve"> </w:t>
      </w:r>
    </w:p>
    <w:p w:rsidR="00CA5E22" w:rsidRPr="004453B4" w:rsidRDefault="00CA5E22" w:rsidP="00CA5E22">
      <w:pPr>
        <w:spacing w:line="360" w:lineRule="auto"/>
        <w:ind w:right="-93"/>
        <w:jc w:val="both"/>
        <w:rPr>
          <w:rFonts w:ascii="Palatino Linotype" w:hAnsi="Palatino Linotype" w:cs="Tahoma"/>
          <w:i/>
          <w:sz w:val="22"/>
          <w:szCs w:val="22"/>
        </w:rPr>
      </w:pPr>
    </w:p>
    <w:p w:rsidR="00CA5E22" w:rsidRPr="003E260A"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3E260A">
        <w:rPr>
          <w:rFonts w:ascii="Palatino Linotype" w:hAnsi="Palatino Linotype" w:cs="Tahoma"/>
        </w:rPr>
        <w:t xml:space="preserve">De una </w:t>
      </w:r>
      <w:r w:rsidRPr="0090304E">
        <w:rPr>
          <w:rFonts w:ascii="Palatino Linotype" w:eastAsia="Palatino Linotype" w:hAnsi="Palatino Linotype" w:cs="Palatino Linotype"/>
        </w:rPr>
        <w:t>interpretación</w:t>
      </w:r>
      <w:r w:rsidRPr="003E260A">
        <w:rPr>
          <w:rFonts w:ascii="Palatino Linotype" w:hAnsi="Palatino Linotype" w:cs="Tahoma"/>
        </w:rPr>
        <w:t xml:space="preserve">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CA5E22" w:rsidRPr="004B2F2F" w:rsidRDefault="00CA5E22" w:rsidP="00CA5E22">
      <w:pPr>
        <w:spacing w:line="360" w:lineRule="auto"/>
        <w:ind w:right="-93"/>
        <w:jc w:val="both"/>
        <w:rPr>
          <w:rFonts w:ascii="Palatino Linotype" w:hAnsi="Palatino Linotype" w:cs="Tahoma"/>
          <w:sz w:val="22"/>
          <w:szCs w:val="22"/>
        </w:rPr>
      </w:pPr>
    </w:p>
    <w:p w:rsidR="00CA5E22" w:rsidRPr="003E260A"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90304E">
        <w:rPr>
          <w:rFonts w:ascii="Palatino Linotype" w:eastAsia="Palatino Linotype" w:hAnsi="Palatino Linotype" w:cs="Palatino Linotype"/>
        </w:rPr>
        <w:t>Al</w:t>
      </w:r>
      <w:r w:rsidRPr="003E260A">
        <w:rPr>
          <w:rFonts w:ascii="Palatino Linotype" w:hAnsi="Palatino Linotype" w:cs="Tahoma"/>
        </w:rPr>
        <w:t xml:space="preserve"> respecto, si bien es cierto que el Código Financiero del Estado de México y Municipios establece la </w:t>
      </w:r>
      <w:r w:rsidRPr="003E260A">
        <w:rPr>
          <w:rFonts w:ascii="Palatino Linotype" w:eastAsia="Palatino Linotype" w:hAnsi="Palatino Linotype" w:cs="Palatino Linotype"/>
          <w:color w:val="000000"/>
        </w:rPr>
        <w:t>obligación</w:t>
      </w:r>
      <w:r w:rsidRPr="003E260A">
        <w:rPr>
          <w:rFonts w:ascii="Palatino Linotype" w:hAnsi="Palatino Linotype" w:cs="Tahoma"/>
        </w:rPr>
        <w:t xml:space="preserve"> </w:t>
      </w:r>
      <w:r>
        <w:rPr>
          <w:rFonts w:ascii="Palatino Linotype" w:hAnsi="Palatino Linotype" w:cs="Tahoma"/>
        </w:rPr>
        <w:t>a los Municipios</w:t>
      </w:r>
      <w:r w:rsidRPr="003E260A">
        <w:rPr>
          <w:rFonts w:ascii="Palatino Linotype" w:hAnsi="Palatino Linotype" w:cs="Tahoma"/>
        </w:rPr>
        <w:t xml:space="preserve"> para llevar los registros contables y presupuestales; también lo es que, dicho ordenamiento jurídico no establece que debemos entender por registro contable y presupuestal; sin embargo, el “</w:t>
      </w:r>
      <w:r w:rsidRPr="003E260A">
        <w:rPr>
          <w:rFonts w:ascii="Palatino Linotype" w:hAnsi="Palatino Linotype" w:cs="Tahoma"/>
          <w:i/>
        </w:rPr>
        <w:t>Glosario de Términos para el Proceso de Planeación, Programación, Presupuestación y Evaluación en la Administración Pública”</w:t>
      </w:r>
      <w:r w:rsidRPr="003E260A">
        <w:rPr>
          <w:rFonts w:ascii="Palatino Linotype" w:hAnsi="Palatino Linotype" w:cs="Tahoma"/>
        </w:rPr>
        <w:t xml:space="preserve">, </w:t>
      </w:r>
      <w:r w:rsidRPr="003E260A">
        <w:rPr>
          <w:rFonts w:ascii="Palatino Linotype" w:hAnsi="Palatino Linotype" w:cs="Tahoma"/>
        </w:rPr>
        <w:lastRenderedPageBreak/>
        <w:t>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CA5E22" w:rsidRPr="004B2F2F" w:rsidRDefault="00CA5E22" w:rsidP="00CA5E22">
      <w:pPr>
        <w:ind w:left="1134" w:right="900"/>
        <w:jc w:val="both"/>
        <w:rPr>
          <w:rFonts w:ascii="Palatino Linotype" w:hAnsi="Palatino Linotype" w:cs="Tahoma"/>
          <w:sz w:val="22"/>
          <w:szCs w:val="22"/>
        </w:rPr>
      </w:pPr>
    </w:p>
    <w:p w:rsidR="00CA5E22" w:rsidRPr="004B2F2F" w:rsidRDefault="00CA5E22" w:rsidP="00CA5E22">
      <w:pPr>
        <w:ind w:left="1134" w:right="900"/>
        <w:jc w:val="both"/>
        <w:rPr>
          <w:rFonts w:ascii="Palatino Linotype" w:hAnsi="Palatino Linotype" w:cs="Tahoma"/>
          <w:b/>
          <w:i/>
          <w:sz w:val="22"/>
          <w:szCs w:val="22"/>
        </w:rPr>
      </w:pPr>
      <w:r w:rsidRPr="004B2F2F">
        <w:rPr>
          <w:rFonts w:ascii="Palatino Linotype" w:hAnsi="Palatino Linotype" w:cs="Tahoma"/>
          <w:b/>
          <w:i/>
          <w:sz w:val="22"/>
          <w:szCs w:val="22"/>
        </w:rPr>
        <w:t xml:space="preserve">REGISTRO CONTABLE. </w:t>
      </w:r>
      <w:r w:rsidRPr="004B2F2F">
        <w:rPr>
          <w:rFonts w:ascii="Palatino Linotype" w:hAnsi="Palatino Linotype" w:cs="Tahoma"/>
          <w:i/>
          <w:sz w:val="22"/>
          <w:szCs w:val="22"/>
        </w:rPr>
        <w:t>Asiento que se realiza en los libros de contabilidad de las actividades relacionadas con el ingreso y egresos de un ente económico.</w:t>
      </w:r>
    </w:p>
    <w:p w:rsidR="00CA5E22" w:rsidRPr="004B2F2F" w:rsidRDefault="00CA5E22" w:rsidP="00CA5E22">
      <w:pPr>
        <w:ind w:left="1134" w:right="900"/>
        <w:jc w:val="both"/>
        <w:rPr>
          <w:rFonts w:ascii="Palatino Linotype" w:hAnsi="Palatino Linotype" w:cs="Tahoma"/>
          <w:i/>
          <w:sz w:val="22"/>
          <w:szCs w:val="22"/>
        </w:rPr>
      </w:pPr>
    </w:p>
    <w:p w:rsidR="00CA5E22" w:rsidRPr="004B2F2F" w:rsidRDefault="00CA5E22" w:rsidP="00CA5E22">
      <w:pPr>
        <w:ind w:left="1134" w:right="900"/>
        <w:jc w:val="both"/>
        <w:rPr>
          <w:rFonts w:ascii="Palatino Linotype" w:hAnsi="Palatino Linotype" w:cs="Tahoma"/>
          <w:i/>
          <w:sz w:val="22"/>
          <w:szCs w:val="22"/>
        </w:rPr>
      </w:pPr>
      <w:r w:rsidRPr="004B2F2F">
        <w:rPr>
          <w:rFonts w:ascii="Palatino Linotype" w:hAnsi="Palatino Linotype" w:cs="Tahoma"/>
          <w:b/>
          <w:i/>
          <w:sz w:val="22"/>
          <w:szCs w:val="22"/>
        </w:rPr>
        <w:t xml:space="preserve">REGISTRO PRESUPUESTARIO. </w:t>
      </w:r>
      <w:r w:rsidRPr="004B2F2F">
        <w:rPr>
          <w:rFonts w:ascii="Palatino Linotype" w:hAnsi="Palatino Linotype" w:cs="Tahoma"/>
          <w:i/>
          <w:sz w:val="22"/>
          <w:szCs w:val="22"/>
        </w:rPr>
        <w:t>Asiento contable de las erogaciones realizadas por las dependencias y entidades con relación a la asignación, modificación y ejercicio de los recursos presupuestarios que se les hayan autorizado.</w:t>
      </w:r>
    </w:p>
    <w:p w:rsidR="00CA5E22" w:rsidRPr="007160CF" w:rsidRDefault="00CA5E22" w:rsidP="00CA5E22">
      <w:pPr>
        <w:spacing w:line="360" w:lineRule="auto"/>
        <w:jc w:val="both"/>
        <w:rPr>
          <w:rFonts w:ascii="Palatino Linotype" w:hAnsi="Palatino Linotype" w:cs="Tahoma"/>
          <w:sz w:val="22"/>
          <w:szCs w:val="22"/>
          <w:highlight w:val="yellow"/>
        </w:rPr>
      </w:pPr>
    </w:p>
    <w:p w:rsidR="00CA5E22"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9D34A4">
        <w:rPr>
          <w:rFonts w:ascii="Palatino Linotype" w:hAnsi="Palatino Linotype" w:cs="Tahoma"/>
        </w:rPr>
        <w:t xml:space="preserve">En este sentido, </w:t>
      </w:r>
      <w:r w:rsidRPr="009D34A4">
        <w:rPr>
          <w:rFonts w:ascii="Palatino Linotype" w:eastAsia="Palatino Linotype" w:hAnsi="Palatino Linotype" w:cs="Palatino Linotype"/>
          <w:color w:val="000000"/>
        </w:rPr>
        <w:t>cabe</w:t>
      </w:r>
      <w:r w:rsidRPr="009D34A4">
        <w:rPr>
          <w:rFonts w:ascii="Palatino Linotype" w:hAnsi="Palatino Linotype" w:cs="Tahoma"/>
        </w:rPr>
        <w:t xml:space="preserve"> referir que la Ley de Fiscalización Superior del Estado de México prevé en su artículo 4 </w:t>
      </w:r>
      <w:r w:rsidRPr="0090304E">
        <w:rPr>
          <w:rFonts w:ascii="Palatino Linotype" w:eastAsia="Palatino Linotype" w:hAnsi="Palatino Linotype" w:cs="Palatino Linotype"/>
        </w:rPr>
        <w:t>que</w:t>
      </w:r>
      <w:r w:rsidRPr="009D34A4">
        <w:rPr>
          <w:rFonts w:ascii="Palatino Linotype" w:hAnsi="Palatino Linotype" w:cs="Tahoma"/>
        </w:rPr>
        <w:t xml:space="preserve"> los Poderes Públicos del Estado son considerados entes fiscalizables, tal como se observa a continuación:</w:t>
      </w:r>
    </w:p>
    <w:p w:rsidR="00CA5E22" w:rsidRPr="00BF61BD" w:rsidRDefault="00CA5E22" w:rsidP="00CA5E22">
      <w:pPr>
        <w:spacing w:line="360" w:lineRule="auto"/>
        <w:ind w:right="-787"/>
        <w:jc w:val="both"/>
        <w:rPr>
          <w:rFonts w:ascii="Palatino Linotype" w:hAnsi="Palatino Linotype" w:cs="Tahoma"/>
        </w:rPr>
      </w:pPr>
    </w:p>
    <w:p w:rsidR="00CA5E22" w:rsidRPr="00DF678F" w:rsidRDefault="00CA5E22" w:rsidP="00CA5E22">
      <w:pPr>
        <w:ind w:left="1134" w:right="900"/>
        <w:jc w:val="both"/>
        <w:rPr>
          <w:rFonts w:ascii="Palatino Linotype" w:hAnsi="Palatino Linotype" w:cs="Tahoma"/>
          <w:i/>
          <w:sz w:val="22"/>
          <w:szCs w:val="22"/>
        </w:rPr>
      </w:pPr>
      <w:r w:rsidRPr="00DF678F">
        <w:rPr>
          <w:rFonts w:ascii="Palatino Linotype" w:hAnsi="Palatino Linotype" w:cs="Tahoma"/>
          <w:b/>
          <w:i/>
          <w:sz w:val="22"/>
          <w:szCs w:val="22"/>
        </w:rPr>
        <w:t>Artículo 4.</w:t>
      </w:r>
      <w:r w:rsidRPr="00DF678F">
        <w:rPr>
          <w:rFonts w:ascii="Palatino Linotype" w:hAnsi="Palatino Linotype" w:cs="Tahoma"/>
          <w:i/>
          <w:sz w:val="22"/>
          <w:szCs w:val="22"/>
        </w:rPr>
        <w:t xml:space="preserve"> Son sujetos de fiscalización:</w:t>
      </w:r>
    </w:p>
    <w:p w:rsidR="00CA5E22" w:rsidRPr="00DF678F" w:rsidRDefault="00CA5E22" w:rsidP="00CA5E22">
      <w:pPr>
        <w:ind w:left="1134" w:right="900"/>
        <w:jc w:val="both"/>
        <w:rPr>
          <w:rFonts w:ascii="Palatino Linotype" w:hAnsi="Palatino Linotype" w:cs="Tahoma"/>
          <w:i/>
          <w:sz w:val="22"/>
          <w:szCs w:val="22"/>
        </w:rPr>
      </w:pPr>
      <w:r w:rsidRPr="00DF678F">
        <w:rPr>
          <w:rFonts w:ascii="Palatino Linotype" w:hAnsi="Palatino Linotype" w:cs="Tahoma"/>
          <w:i/>
          <w:sz w:val="22"/>
          <w:szCs w:val="22"/>
        </w:rPr>
        <w:t>I. Los Poderes Públicos del Estado;</w:t>
      </w:r>
    </w:p>
    <w:p w:rsidR="00CA5E22" w:rsidRPr="009D34A4" w:rsidRDefault="00CA5E22" w:rsidP="00CA5E22">
      <w:pPr>
        <w:ind w:left="1134" w:right="900"/>
        <w:jc w:val="both"/>
        <w:rPr>
          <w:rFonts w:ascii="Palatino Linotype" w:hAnsi="Palatino Linotype" w:cs="Tahoma"/>
          <w:b/>
          <w:i/>
          <w:sz w:val="22"/>
          <w:szCs w:val="22"/>
        </w:rPr>
      </w:pPr>
      <w:r w:rsidRPr="009D34A4">
        <w:rPr>
          <w:rFonts w:ascii="Palatino Linotype" w:hAnsi="Palatino Linotype" w:cs="Tahoma"/>
          <w:b/>
          <w:i/>
          <w:sz w:val="22"/>
          <w:szCs w:val="22"/>
        </w:rPr>
        <w:t>II. Los municipios del Estado de México;</w:t>
      </w:r>
    </w:p>
    <w:p w:rsidR="00CA5E22" w:rsidRPr="00DF678F" w:rsidRDefault="00CA5E22" w:rsidP="00CA5E22">
      <w:pPr>
        <w:ind w:left="1134" w:right="900"/>
        <w:jc w:val="both"/>
        <w:rPr>
          <w:rFonts w:ascii="Palatino Linotype" w:hAnsi="Palatino Linotype" w:cs="Tahoma"/>
          <w:sz w:val="22"/>
          <w:szCs w:val="22"/>
        </w:rPr>
      </w:pPr>
      <w:r w:rsidRPr="00DF678F">
        <w:rPr>
          <w:rFonts w:ascii="Palatino Linotype" w:hAnsi="Palatino Linotype" w:cs="Tahoma"/>
          <w:sz w:val="22"/>
          <w:szCs w:val="22"/>
        </w:rPr>
        <w:t xml:space="preserve">Asimismo, el ordenamiento legal referido señala en su artículo 8, fracción XI lo siguiente: </w:t>
      </w:r>
    </w:p>
    <w:p w:rsidR="00CA5E22" w:rsidRPr="00DF678F" w:rsidRDefault="00CA5E22" w:rsidP="00CA5E22">
      <w:pPr>
        <w:ind w:left="1134" w:right="900"/>
        <w:jc w:val="both"/>
        <w:rPr>
          <w:rFonts w:ascii="Palatino Linotype" w:hAnsi="Palatino Linotype" w:cs="Tahoma"/>
          <w:sz w:val="22"/>
          <w:szCs w:val="22"/>
        </w:rPr>
      </w:pPr>
    </w:p>
    <w:p w:rsidR="00CA5E22" w:rsidRPr="00DF678F" w:rsidRDefault="00CA5E22" w:rsidP="00CA5E22">
      <w:pPr>
        <w:ind w:left="1134" w:right="900"/>
        <w:jc w:val="both"/>
        <w:rPr>
          <w:rFonts w:ascii="Palatino Linotype" w:hAnsi="Palatino Linotype" w:cs="Tahoma"/>
          <w:i/>
          <w:sz w:val="22"/>
          <w:szCs w:val="22"/>
        </w:rPr>
      </w:pPr>
      <w:r w:rsidRPr="00DF678F">
        <w:rPr>
          <w:rFonts w:ascii="Palatino Linotype" w:hAnsi="Palatino Linotype" w:cs="Tahoma"/>
          <w:i/>
          <w:sz w:val="22"/>
          <w:szCs w:val="22"/>
        </w:rPr>
        <w:t>Artículo 8. El Órgano Superior tendrá las siguientes atribuciones:</w:t>
      </w:r>
    </w:p>
    <w:p w:rsidR="00CA5E22" w:rsidRPr="00DF678F" w:rsidRDefault="00CA5E22" w:rsidP="00CA5E22">
      <w:pPr>
        <w:ind w:left="1134" w:right="900"/>
        <w:jc w:val="both"/>
        <w:rPr>
          <w:rFonts w:ascii="Palatino Linotype" w:hAnsi="Palatino Linotype" w:cs="Tahoma"/>
          <w:i/>
          <w:sz w:val="22"/>
          <w:szCs w:val="22"/>
        </w:rPr>
      </w:pPr>
      <w:r w:rsidRPr="00DF678F">
        <w:rPr>
          <w:rFonts w:ascii="Palatino Linotype" w:hAnsi="Palatino Linotype" w:cs="Tahoma"/>
          <w:i/>
          <w:sz w:val="22"/>
          <w:szCs w:val="22"/>
        </w:rPr>
        <w:t>…</w:t>
      </w:r>
    </w:p>
    <w:p w:rsidR="00CA5E22" w:rsidRPr="00DF678F" w:rsidRDefault="00CA5E22" w:rsidP="00CA5E22">
      <w:pPr>
        <w:ind w:left="1134" w:right="900"/>
        <w:jc w:val="both"/>
        <w:rPr>
          <w:rFonts w:ascii="Palatino Linotype" w:hAnsi="Palatino Linotype" w:cs="Tahoma"/>
          <w:i/>
          <w:sz w:val="22"/>
          <w:szCs w:val="22"/>
        </w:rPr>
      </w:pPr>
      <w:r w:rsidRPr="00DF678F">
        <w:rPr>
          <w:rFonts w:ascii="Palatino Linotype" w:hAnsi="Palatino Linotype" w:cs="Tahoma"/>
          <w:i/>
          <w:sz w:val="22"/>
          <w:szCs w:val="22"/>
        </w:rPr>
        <w:t xml:space="preserve">XI. </w:t>
      </w:r>
      <w:r w:rsidRPr="00DF678F">
        <w:rPr>
          <w:rFonts w:ascii="Palatino Linotype" w:hAnsi="Palatino Linotype" w:cs="Tahoma"/>
          <w:b/>
          <w:i/>
          <w:sz w:val="22"/>
          <w:szCs w:val="22"/>
        </w:rPr>
        <w:t>Establecer los lineamientos, criterios, procedimientos, métodos y sistemas para las acciones de control y evaluación, necesarios para la fiscalización de las cuentas públicas y los informes trimestrales</w:t>
      </w:r>
      <w:r w:rsidRPr="00DF678F">
        <w:rPr>
          <w:rFonts w:ascii="Palatino Linotype" w:hAnsi="Palatino Linotype" w:cs="Tahoma"/>
          <w:i/>
          <w:sz w:val="22"/>
          <w:szCs w:val="22"/>
        </w:rPr>
        <w:t xml:space="preserve">…” </w:t>
      </w:r>
    </w:p>
    <w:p w:rsidR="00CA5E22" w:rsidRPr="007160CF" w:rsidRDefault="00CA5E22" w:rsidP="00CA5E22">
      <w:pPr>
        <w:tabs>
          <w:tab w:val="left" w:pos="284"/>
        </w:tabs>
        <w:spacing w:before="240" w:after="240" w:line="360" w:lineRule="auto"/>
        <w:contextualSpacing/>
        <w:jc w:val="both"/>
        <w:rPr>
          <w:rFonts w:ascii="Palatino Linotype" w:hAnsi="Palatino Linotype"/>
          <w:bCs/>
          <w:sz w:val="22"/>
          <w:szCs w:val="22"/>
          <w:highlight w:val="yellow"/>
          <w:lang w:val="es-ES"/>
        </w:rPr>
      </w:pPr>
    </w:p>
    <w:p w:rsidR="00CA5E22" w:rsidRPr="00BF61BD"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hAnsi="Palatino Linotype"/>
          <w:bCs/>
          <w:lang w:val="es-ES"/>
        </w:rPr>
      </w:pPr>
      <w:r w:rsidRPr="009D34A4">
        <w:rPr>
          <w:rFonts w:ascii="Palatino Linotype" w:hAnsi="Palatino Linotype" w:cs="Tahoma"/>
        </w:rPr>
        <w:t>De</w:t>
      </w:r>
      <w:r w:rsidRPr="009D34A4">
        <w:rPr>
          <w:rFonts w:ascii="Palatino Linotype" w:hAnsi="Palatino Linotype"/>
          <w:lang w:val="es-ES"/>
        </w:rPr>
        <w:t xml:space="preserve"> la normatividad </w:t>
      </w:r>
      <w:r w:rsidRPr="00EB340E">
        <w:rPr>
          <w:rFonts w:ascii="Palatino Linotype" w:hAnsi="Palatino Linotype" w:cs="Tahoma"/>
        </w:rPr>
        <w:t>previamente</w:t>
      </w:r>
      <w:r w:rsidRPr="009D34A4">
        <w:rPr>
          <w:rFonts w:ascii="Palatino Linotype" w:hAnsi="Palatino Linotype"/>
          <w:lang w:val="es-ES"/>
        </w:rPr>
        <w:t xml:space="preserve"> plasmada, se desprende primeramente que el</w:t>
      </w:r>
      <w:r w:rsidRPr="009D34A4">
        <w:rPr>
          <w:rFonts w:ascii="Palatino Linotype" w:hAnsi="Palatino Linotype"/>
          <w:bCs/>
          <w:lang w:val="es-ES"/>
        </w:rPr>
        <w:t xml:space="preserve"> registro contable del efecto patrimonial y presupuestal de las operaciones financieras se realizará </w:t>
      </w:r>
      <w:r w:rsidRPr="009D34A4">
        <w:rPr>
          <w:rFonts w:ascii="Palatino Linotype" w:hAnsi="Palatino Linotype"/>
          <w:bCs/>
          <w:lang w:val="es-ES"/>
        </w:rPr>
        <w:lastRenderedPageBreak/>
        <w:t xml:space="preserve">conforme al sistema y a las disposiciones que se aprueben en materia de planeación, programación, </w:t>
      </w:r>
      <w:r w:rsidRPr="0090304E">
        <w:rPr>
          <w:rFonts w:ascii="Palatino Linotype" w:eastAsia="Palatino Linotype" w:hAnsi="Palatino Linotype" w:cs="Palatino Linotype"/>
        </w:rPr>
        <w:t>presupuestación</w:t>
      </w:r>
      <w:r w:rsidRPr="009D34A4">
        <w:rPr>
          <w:rFonts w:ascii="Palatino Linotype" w:hAnsi="Palatino Linotype"/>
          <w:bCs/>
          <w:lang w:val="es-ES"/>
        </w:rPr>
        <w:t>, evaluación y contabilidad gubernamental.</w:t>
      </w:r>
    </w:p>
    <w:p w:rsidR="00CA5E22" w:rsidRPr="002F5A77" w:rsidRDefault="00CA5E22" w:rsidP="00CA5E22">
      <w:pPr>
        <w:pBdr>
          <w:top w:val="nil"/>
          <w:left w:val="nil"/>
          <w:bottom w:val="nil"/>
          <w:right w:val="nil"/>
          <w:between w:val="nil"/>
        </w:pBdr>
        <w:rPr>
          <w:rFonts w:ascii="Palatino Linotype" w:eastAsia="Palatino Linotype" w:hAnsi="Palatino Linotype" w:cs="Palatino Linotype"/>
          <w:highlight w:val="green"/>
        </w:rPr>
      </w:pPr>
    </w:p>
    <w:p w:rsidR="00CA5E22" w:rsidRPr="002C3278"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sidRPr="002C3278">
        <w:rPr>
          <w:rFonts w:ascii="Palatino Linotype" w:eastAsia="Palatino Linotype" w:hAnsi="Palatino Linotype" w:cs="Palatino Linotype"/>
        </w:rPr>
        <w:t xml:space="preserve">En razón de lo </w:t>
      </w:r>
      <w:r w:rsidRPr="002C3278">
        <w:rPr>
          <w:rFonts w:ascii="Palatino Linotype" w:hAnsi="Palatino Linotype"/>
          <w:bCs/>
          <w:lang w:val="es-ES"/>
        </w:rPr>
        <w:t>expuesto</w:t>
      </w:r>
      <w:r w:rsidRPr="002C3278">
        <w:rPr>
          <w:rFonts w:ascii="Palatino Linotype" w:eastAsia="Palatino Linotype" w:hAnsi="Palatino Linotype" w:cs="Palatino Linotype"/>
        </w:rPr>
        <w:t>, los sujetos obligados deberán hacer pública toda aquella información relativa a los montos y las personas a quienes entreguen, por cualquier motivo, recursos públicos y en consecuencia, los servidores públicos deberán transparentar sus acciones así como garantizar y respetar el derecho de acceso a la información pública.</w:t>
      </w:r>
    </w:p>
    <w:p w:rsidR="00CA5E22" w:rsidRDefault="00CA5E22" w:rsidP="00CA5E22">
      <w:pPr>
        <w:spacing w:line="360" w:lineRule="auto"/>
        <w:ind w:right="-787"/>
        <w:jc w:val="both"/>
        <w:rPr>
          <w:rFonts w:ascii="Palatino Linotype" w:eastAsia="Palatino Linotype" w:hAnsi="Palatino Linotype" w:cs="Palatino Linotype"/>
          <w:b/>
          <w:i/>
          <w:u w:val="single"/>
        </w:rPr>
      </w:pPr>
    </w:p>
    <w:p w:rsidR="00CA5E22" w:rsidRPr="000912C2" w:rsidRDefault="0090304E" w:rsidP="0090304E">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color w:val="000000"/>
        </w:rPr>
      </w:pPr>
      <w:r w:rsidRPr="000912C2">
        <w:rPr>
          <w:rFonts w:ascii="Palatino Linotype" w:eastAsia="Palatino Linotype" w:hAnsi="Palatino Linotype" w:cs="Palatino Linotype"/>
          <w:color w:val="000000"/>
        </w:rPr>
        <w:t>Por</w:t>
      </w:r>
      <w:r w:rsidRPr="0090304E">
        <w:rPr>
          <w:rFonts w:ascii="Palatino Linotype" w:eastAsia="Palatino Linotype" w:hAnsi="Palatino Linotype" w:cs="Palatino Linotype"/>
        </w:rPr>
        <w:t xml:space="preserve"> ende</w:t>
      </w:r>
      <w:r w:rsidR="00CA5E22" w:rsidRPr="000912C2">
        <w:rPr>
          <w:rFonts w:ascii="Palatino Linotype" w:eastAsia="Palatino Linotype" w:hAnsi="Palatino Linotype" w:cs="Palatino Linotype"/>
          <w:color w:val="000000"/>
        </w:rPr>
        <w:t xml:space="preserve">, el </w:t>
      </w:r>
      <w:r w:rsidR="00CA5E22" w:rsidRPr="000912C2">
        <w:rPr>
          <w:rFonts w:ascii="Palatino Linotype" w:eastAsia="Palatino Linotype" w:hAnsi="Palatino Linotype" w:cs="Palatino Linotype"/>
          <w:b/>
          <w:color w:val="000000"/>
        </w:rPr>
        <w:t>SUJETO OBLIGADO</w:t>
      </w:r>
      <w:r w:rsidR="00CA5E22" w:rsidRPr="000912C2">
        <w:rPr>
          <w:rFonts w:ascii="Palatino Linotype" w:eastAsia="Palatino Linotype" w:hAnsi="Palatino Linotype" w:cs="Palatino Linotype"/>
          <w:color w:val="000000"/>
        </w:rPr>
        <w:t xml:space="preserve"> deberá realizar una </w:t>
      </w:r>
      <w:r w:rsidR="00CA5E22" w:rsidRPr="000912C2">
        <w:rPr>
          <w:rFonts w:ascii="Palatino Linotype" w:eastAsia="Palatino Linotype" w:hAnsi="Palatino Linotype" w:cs="Palatino Linotype"/>
          <w:b/>
          <w:color w:val="000000"/>
        </w:rPr>
        <w:t>nueva búsqueda exhaustiva y razonable</w:t>
      </w:r>
      <w:r w:rsidR="00CA5E22" w:rsidRPr="000912C2">
        <w:rPr>
          <w:rFonts w:ascii="Palatino Linotype" w:eastAsia="Palatino Linotype" w:hAnsi="Palatino Linotype" w:cs="Palatino Linotype"/>
          <w:color w:val="000000"/>
        </w:rPr>
        <w:t xml:space="preserve"> en las unidades administrativas que de conformidad a sus funciones y atribuciones posean, administren o generen la información, con la finalidad de entregar la que resulta de interés para </w:t>
      </w:r>
      <w:r w:rsidR="00CA5E22" w:rsidRPr="000912C2">
        <w:rPr>
          <w:rFonts w:ascii="Palatino Linotype" w:eastAsia="Palatino Linotype" w:hAnsi="Palatino Linotype" w:cs="Palatino Linotype"/>
          <w:b/>
          <w:color w:val="000000"/>
        </w:rPr>
        <w:t>EL RECURRENTE</w:t>
      </w:r>
      <w:r w:rsidR="00CA5E22" w:rsidRPr="000912C2">
        <w:rPr>
          <w:rFonts w:ascii="Palatino Linotype" w:eastAsia="Palatino Linotype" w:hAnsi="Palatino Linotype" w:cs="Palatino Linotype"/>
          <w:color w:val="000000"/>
        </w:rPr>
        <w:t>.</w:t>
      </w:r>
    </w:p>
    <w:p w:rsidR="00CA5E22" w:rsidRPr="000912C2" w:rsidRDefault="00CA5E22" w:rsidP="00CA5E22">
      <w:pPr>
        <w:spacing w:line="360" w:lineRule="auto"/>
        <w:ind w:right="-787"/>
        <w:jc w:val="both"/>
        <w:rPr>
          <w:rFonts w:ascii="Palatino Linotype" w:eastAsia="Palatino Linotype" w:hAnsi="Palatino Linotype" w:cs="Palatino Linotype"/>
          <w:color w:val="000000"/>
        </w:rPr>
      </w:pPr>
    </w:p>
    <w:p w:rsidR="00CA5E22" w:rsidRPr="000912C2" w:rsidRDefault="00CA5E22" w:rsidP="0090304E">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color w:val="000000"/>
        </w:rPr>
      </w:pPr>
      <w:r w:rsidRPr="0090304E">
        <w:rPr>
          <w:rFonts w:ascii="Palatino Linotype" w:eastAsia="Palatino Linotype" w:hAnsi="Palatino Linotype" w:cs="Palatino Linotype"/>
        </w:rPr>
        <w:t>Resultando</w:t>
      </w:r>
      <w:r w:rsidRPr="000912C2">
        <w:rPr>
          <w:rFonts w:ascii="Palatino Linotype" w:eastAsia="Palatino Linotype" w:hAnsi="Palatino Linotype" w:cs="Palatino Linotype"/>
          <w:color w:val="000000"/>
        </w:rPr>
        <w:t xml:space="preserve"> aplicable el Criterio orientador 02/17 emitido por el Pleno del Instituto Nacional de Transparencia y Acceso a la Información y Protección de Datos Personales, de título y texto siguientes:</w:t>
      </w:r>
    </w:p>
    <w:p w:rsidR="00CA5E22" w:rsidRPr="000912C2" w:rsidRDefault="00CA5E22" w:rsidP="00CA5E22">
      <w:pPr>
        <w:spacing w:line="360" w:lineRule="auto"/>
        <w:rPr>
          <w:rFonts w:ascii="Palatino Linotype" w:eastAsia="Palatino Linotype" w:hAnsi="Palatino Linotype" w:cs="Palatino Linotype"/>
        </w:rPr>
      </w:pPr>
    </w:p>
    <w:p w:rsidR="00CA5E22" w:rsidRPr="000912C2" w:rsidRDefault="00CA5E22" w:rsidP="00CA5E22">
      <w:pPr>
        <w:pBdr>
          <w:top w:val="nil"/>
          <w:left w:val="nil"/>
          <w:bottom w:val="nil"/>
          <w:right w:val="nil"/>
          <w:between w:val="nil"/>
        </w:pBdr>
        <w:ind w:left="567" w:right="-433"/>
        <w:jc w:val="both"/>
        <w:rPr>
          <w:rFonts w:ascii="Palatino Linotype" w:eastAsia="Palatino Linotype" w:hAnsi="Palatino Linotype" w:cs="Palatino Linotype"/>
          <w:i/>
          <w:sz w:val="22"/>
          <w:szCs w:val="22"/>
        </w:rPr>
      </w:pPr>
      <w:r w:rsidRPr="000912C2">
        <w:rPr>
          <w:rFonts w:ascii="Palatino Linotype" w:eastAsia="Palatino Linotype" w:hAnsi="Palatino Linotype" w:cs="Palatino Linotype"/>
          <w:b/>
          <w:i/>
          <w:sz w:val="22"/>
          <w:szCs w:val="22"/>
        </w:rPr>
        <w:t xml:space="preserve"> “Congruencia y exhaustividad. Sus alcances para garantizar el derecho de acceso a la información. </w:t>
      </w:r>
      <w:r w:rsidRPr="000912C2">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912C2">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0912C2">
        <w:rPr>
          <w:rFonts w:ascii="Palatino Linotype" w:eastAsia="Palatino Linotype" w:hAnsi="Palatino Linotype" w:cs="Palatino Linotype"/>
          <w:i/>
          <w:sz w:val="22"/>
          <w:szCs w:val="22"/>
        </w:rPr>
        <w:t xml:space="preserve">; mientras que </w:t>
      </w:r>
      <w:r w:rsidRPr="000912C2">
        <w:rPr>
          <w:rFonts w:ascii="Palatino Linotype" w:eastAsia="Palatino Linotype" w:hAnsi="Palatino Linotype" w:cs="Palatino Linotype"/>
          <w:b/>
          <w:i/>
          <w:sz w:val="22"/>
          <w:szCs w:val="22"/>
        </w:rPr>
        <w:t>la exhaustividad significa que dicha respuesta se refiera expresamente a cada uno de los puntos solicitados</w:t>
      </w:r>
      <w:r w:rsidRPr="000912C2">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CA5E22" w:rsidRPr="000912C2" w:rsidRDefault="00CA5E22" w:rsidP="00CA5E22">
      <w:pPr>
        <w:pBdr>
          <w:top w:val="nil"/>
          <w:left w:val="nil"/>
          <w:bottom w:val="nil"/>
          <w:right w:val="nil"/>
          <w:between w:val="nil"/>
        </w:pBdr>
        <w:ind w:right="851"/>
        <w:jc w:val="both"/>
        <w:rPr>
          <w:rFonts w:ascii="Palatino Linotype" w:eastAsia="Palatino Linotype" w:hAnsi="Palatino Linotype" w:cs="Palatino Linotype"/>
          <w:i/>
        </w:rPr>
      </w:pPr>
    </w:p>
    <w:p w:rsidR="00CA5E22" w:rsidRPr="000912C2" w:rsidRDefault="00CA5E22" w:rsidP="00CA5E22">
      <w:pPr>
        <w:pBdr>
          <w:top w:val="nil"/>
          <w:left w:val="nil"/>
          <w:bottom w:val="nil"/>
          <w:right w:val="nil"/>
          <w:between w:val="nil"/>
        </w:pBdr>
        <w:ind w:right="851"/>
        <w:jc w:val="both"/>
        <w:rPr>
          <w:rFonts w:ascii="Palatino Linotype" w:eastAsia="Palatino Linotype" w:hAnsi="Palatino Linotype" w:cs="Palatino Linotype"/>
          <w:i/>
        </w:rPr>
      </w:pPr>
    </w:p>
    <w:p w:rsidR="00CA5E22" w:rsidRPr="0041668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b/>
        </w:rPr>
      </w:pPr>
      <w:r w:rsidRPr="00724F01">
        <w:rPr>
          <w:rFonts w:ascii="Palatino Linotype" w:eastAsia="Palatino Linotype" w:hAnsi="Palatino Linotype" w:cs="Palatino Linotype"/>
          <w:color w:val="000000"/>
        </w:rPr>
        <w:t xml:space="preserve">Por lo anterior, este Organismo Garante, con la finalidad de garantizar el derecho humano de acceso a la </w:t>
      </w:r>
      <w:r w:rsidRPr="0090304E">
        <w:rPr>
          <w:rFonts w:ascii="Palatino Linotype" w:eastAsia="Palatino Linotype" w:hAnsi="Palatino Linotype" w:cs="Palatino Linotype"/>
        </w:rPr>
        <w:t>información</w:t>
      </w:r>
      <w:r w:rsidRPr="00724F01">
        <w:rPr>
          <w:rFonts w:ascii="Palatino Linotype" w:eastAsia="Palatino Linotype" w:hAnsi="Palatino Linotype" w:cs="Palatino Linotype"/>
          <w:color w:val="000000"/>
        </w:rPr>
        <w:t xml:space="preserve"> de la parte </w:t>
      </w:r>
      <w:r w:rsidRPr="00724F01">
        <w:rPr>
          <w:rFonts w:ascii="Palatino Linotype" w:eastAsia="Palatino Linotype" w:hAnsi="Palatino Linotype" w:cs="Palatino Linotype"/>
          <w:b/>
          <w:color w:val="000000"/>
        </w:rPr>
        <w:t>Recurrente,</w:t>
      </w:r>
      <w:r w:rsidRPr="00724F01">
        <w:rPr>
          <w:rFonts w:ascii="Palatino Linotype" w:eastAsia="Palatino Linotype" w:hAnsi="Palatino Linotype" w:cs="Palatino Linotype"/>
          <w:color w:val="000000"/>
        </w:rPr>
        <w:t xml:space="preserve"> y a fin de reparar el agravio causado ante la omisión en que incurriera el </w:t>
      </w:r>
      <w:r w:rsidRPr="00724F01">
        <w:rPr>
          <w:rFonts w:ascii="Palatino Linotype" w:eastAsia="Palatino Linotype" w:hAnsi="Palatino Linotype" w:cs="Palatino Linotype"/>
          <w:b/>
          <w:color w:val="000000"/>
        </w:rPr>
        <w:t>Sujeto Obligado</w:t>
      </w:r>
      <w:r w:rsidRPr="00724F01">
        <w:rPr>
          <w:rFonts w:ascii="Palatino Linotype" w:eastAsia="Palatino Linotype" w:hAnsi="Palatino Linotype" w:cs="Palatino Linotype"/>
          <w:color w:val="000000"/>
        </w:rPr>
        <w:t>, ya que como se señaló, su respuesta careció del principio de exhaustividad, al no pronunciarse por las consideraciones ya expuestas, por lo que se estima procedente</w:t>
      </w:r>
      <w:r w:rsidRPr="00724F01">
        <w:rPr>
          <w:rFonts w:ascii="Palatino Linotype" w:eastAsia="Palatino Linotype" w:hAnsi="Palatino Linotype" w:cs="Palatino Linotype"/>
          <w:b/>
          <w:color w:val="000000"/>
        </w:rPr>
        <w:t xml:space="preserve"> </w:t>
      </w:r>
      <w:r w:rsidR="0090304E">
        <w:rPr>
          <w:rFonts w:ascii="Palatino Linotype" w:eastAsia="Palatino Linotype" w:hAnsi="Palatino Linotype" w:cs="Palatino Linotype"/>
          <w:b/>
          <w:color w:val="000000"/>
        </w:rPr>
        <w:t>REVOCAR</w:t>
      </w:r>
      <w:r w:rsidRPr="00724F01">
        <w:rPr>
          <w:rFonts w:ascii="Palatino Linotype" w:eastAsia="Palatino Linotype" w:hAnsi="Palatino Linotype" w:cs="Palatino Linotype"/>
          <w:color w:val="000000"/>
        </w:rPr>
        <w:t xml:space="preserve"> la respuesta emitida y </w:t>
      </w:r>
      <w:r w:rsidRPr="00724F01">
        <w:rPr>
          <w:rFonts w:ascii="Palatino Linotype" w:eastAsia="Palatino Linotype" w:hAnsi="Palatino Linotype" w:cs="Palatino Linotype"/>
          <w:b/>
          <w:color w:val="000000"/>
        </w:rPr>
        <w:t>ORDENAR</w:t>
      </w:r>
      <w:r w:rsidRPr="00724F01">
        <w:rPr>
          <w:rFonts w:ascii="Palatino Linotype" w:eastAsia="Palatino Linotype" w:hAnsi="Palatino Linotype" w:cs="Palatino Linotype"/>
          <w:color w:val="000000"/>
        </w:rPr>
        <w:t xml:space="preserve"> que, previa búsqueda exhaustiva y razonable, de ser procedente en versión pública</w:t>
      </w:r>
      <w:r w:rsidRPr="00724F01">
        <w:rPr>
          <w:rFonts w:ascii="Palatino Linotype" w:eastAsia="Palatino Linotype" w:hAnsi="Palatino Linotype" w:cs="Palatino Linotype"/>
          <w:b/>
          <w:color w:val="000000"/>
        </w:rPr>
        <w:t xml:space="preserve">, </w:t>
      </w:r>
      <w:r w:rsidRPr="00724F01">
        <w:rPr>
          <w:rFonts w:ascii="Palatino Linotype" w:eastAsia="Palatino Linotype" w:hAnsi="Palatino Linotype" w:cs="Palatino Linotype"/>
          <w:color w:val="000000"/>
        </w:rPr>
        <w:t xml:space="preserve">se haga entrega </w:t>
      </w:r>
      <w:r w:rsidRPr="00724F01">
        <w:rPr>
          <w:rFonts w:ascii="Palatino Linotype" w:hAnsi="Palatino Linotype"/>
        </w:rPr>
        <w:t xml:space="preserve">de la información siguiente: </w:t>
      </w:r>
      <w:r w:rsidR="0090304E" w:rsidRPr="0090304E">
        <w:rPr>
          <w:rFonts w:ascii="Palatino Linotype" w:hAnsi="Palatino Linotype"/>
          <w:b/>
        </w:rPr>
        <w:t>De todas las contrataciones de obras realizadas del 01 de enero al 12 de septiembre de 2025, el documento en el que conste o se advierta: El expediente técnico y de contratación; Cuanto se ha pagado por cada obra; Facturas pagadas; Donde está la obra; Avance que tiene.</w:t>
      </w:r>
    </w:p>
    <w:p w:rsidR="00CA5E22" w:rsidRDefault="00CA5E22" w:rsidP="00CA5E22">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highlight w:val="yellow"/>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color w:val="000000"/>
        </w:rPr>
      </w:pPr>
      <w:r>
        <w:rPr>
          <w:rFonts w:ascii="Palatino Linotype" w:eastAsia="Palatino Linotype" w:hAnsi="Palatino Linotype" w:cs="Palatino Linotype"/>
          <w:color w:val="000000"/>
        </w:rPr>
        <w:t xml:space="preserve">Por otro lado, no pasa desapercibido para este Órgano Garante, que la información que se ordena entregar puede contener información susceptible de clasificarse; para lo cual,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atender al siguiente Considerando.</w:t>
      </w:r>
    </w:p>
    <w:p w:rsidR="00CA5E22" w:rsidRDefault="00CA5E22" w:rsidP="00CA5E22">
      <w:pPr>
        <w:spacing w:line="360" w:lineRule="auto"/>
        <w:ind w:right="-858"/>
        <w:jc w:val="both"/>
        <w:rPr>
          <w:rFonts w:ascii="Palatino Linotype" w:eastAsia="Palatino Linotype" w:hAnsi="Palatino Linotype" w:cs="Palatino Linotype"/>
          <w:b/>
          <w:color w:val="000000"/>
        </w:rPr>
      </w:pPr>
    </w:p>
    <w:p w:rsidR="00CA5E22" w:rsidRDefault="00CA5E22" w:rsidP="00CA5E22">
      <w:pPr>
        <w:keepNext/>
        <w:keepLines/>
        <w:spacing w:after="160"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rsidR="00CA5E22" w:rsidRDefault="00CA5E22" w:rsidP="00CA5E22">
      <w:pPr>
        <w:keepNext/>
        <w:keepLines/>
        <w:numPr>
          <w:ilvl w:val="0"/>
          <w:numId w:val="3"/>
        </w:numPr>
        <w:tabs>
          <w:tab w:val="left" w:pos="284"/>
        </w:tabs>
        <w:spacing w:after="160"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Nociones generales. </w:t>
      </w: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Debe destacarse </w:t>
      </w:r>
      <w:r w:rsidRPr="00900402">
        <w:rPr>
          <w:rFonts w:ascii="Palatino Linotype" w:eastAsia="Palatino Linotype" w:hAnsi="Palatino Linotype" w:cs="Palatino Linotype"/>
        </w:rPr>
        <w:t>que</w:t>
      </w:r>
      <w:r>
        <w:rPr>
          <w:rFonts w:ascii="Palatino Linotype" w:eastAsia="Palatino Linotype" w:hAnsi="Palatino Linotype" w:cs="Palatino Linotype"/>
          <w:color w:val="000000"/>
        </w:rPr>
        <w:t>,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eventualmente pudieran obrar datos personales susceptibles de protegerse,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CA5E22" w:rsidRDefault="00CA5E22" w:rsidP="00CA5E22">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A5E22" w:rsidRDefault="00CA5E22" w:rsidP="00CA5E22">
      <w:pPr>
        <w:tabs>
          <w:tab w:val="left" w:pos="284"/>
        </w:tabs>
        <w:spacing w:after="160" w:line="360" w:lineRule="auto"/>
        <w:ind w:right="49"/>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CA5E22" w:rsidTr="00D14CC7">
        <w:tc>
          <w:tcPr>
            <w:tcW w:w="2689" w:type="dxa"/>
          </w:tcPr>
          <w:p w:rsidR="00CA5E22" w:rsidRDefault="00CA5E22" w:rsidP="00CA5E22">
            <w:pPr>
              <w:tabs>
                <w:tab w:val="left" w:pos="284"/>
              </w:tabs>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 Requisitos previos.</w:t>
            </w:r>
          </w:p>
        </w:tc>
        <w:tc>
          <w:tcPr>
            <w:tcW w:w="7229" w:type="dxa"/>
          </w:tcPr>
          <w:p w:rsidR="00CA5E22" w:rsidRDefault="00CA5E22" w:rsidP="00CA5E22">
            <w:pPr>
              <w:tabs>
                <w:tab w:val="left" w:pos="284"/>
              </w:tabs>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CA5E22" w:rsidRDefault="00CA5E22" w:rsidP="00CA5E22">
            <w:pPr>
              <w:tabs>
                <w:tab w:val="left" w:pos="284"/>
              </w:tabs>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Al hacerlo tienen que precisar de qué información se trata, señalando el supuesto de clasificación (confidencialidad o reserva).</w:t>
            </w:r>
          </w:p>
          <w:p w:rsidR="00CA5E22" w:rsidRDefault="00CA5E22" w:rsidP="00CA5E22">
            <w:pPr>
              <w:tabs>
                <w:tab w:val="left" w:pos="284"/>
              </w:tabs>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Además, se debe señalar el procedimiento, de los tres que establecen los artículos 132 y 106 de la Ley Estatal y General, respectivamente.</w:t>
            </w:r>
          </w:p>
          <w:p w:rsidR="00CA5E22" w:rsidRDefault="00CA5E22" w:rsidP="00CA5E22">
            <w:pPr>
              <w:tabs>
                <w:tab w:val="left" w:pos="284"/>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b/>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b/>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CA5E22" w:rsidTr="00D14CC7">
        <w:tc>
          <w:tcPr>
            <w:tcW w:w="2689" w:type="dxa"/>
          </w:tcPr>
          <w:p w:rsidR="00CA5E22" w:rsidRDefault="00CA5E22" w:rsidP="00CA5E22">
            <w:pPr>
              <w:tabs>
                <w:tab w:val="left" w:pos="284"/>
              </w:tabs>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b) Supuestos de clasificación.</w:t>
            </w:r>
          </w:p>
        </w:tc>
        <w:tc>
          <w:tcPr>
            <w:tcW w:w="7229" w:type="dxa"/>
          </w:tcPr>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A5E22" w:rsidRDefault="00CA5E22" w:rsidP="00CA5E22">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A5E22" w:rsidTr="00D14CC7">
        <w:tc>
          <w:tcPr>
            <w:tcW w:w="2689" w:type="dxa"/>
          </w:tcPr>
          <w:p w:rsidR="00CA5E22" w:rsidRDefault="00CA5E22" w:rsidP="00CA5E22">
            <w:pPr>
              <w:tabs>
                <w:tab w:val="left" w:pos="284"/>
              </w:tabs>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c) Formalidades para emitir el acuerdo de clasificación.</w:t>
            </w:r>
          </w:p>
        </w:tc>
        <w:tc>
          <w:tcPr>
            <w:tcW w:w="7229" w:type="dxa"/>
          </w:tcPr>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CA5E22" w:rsidRDefault="00CA5E22" w:rsidP="00CA5E22">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Pr>
                <w:rFonts w:ascii="Palatino Linotype" w:eastAsia="Palatino Linotype" w:hAnsi="Palatino Linotype" w:cs="Palatino Linotype"/>
                <w:color w:val="000000"/>
                <w:sz w:val="22"/>
                <w:szCs w:val="22"/>
              </w:rPr>
              <w:lastRenderedPageBreak/>
              <w:t>áreas y que son sujetas a control, en primera instancia, por el Comité de Transparencia.</w:t>
            </w:r>
          </w:p>
        </w:tc>
      </w:tr>
      <w:tr w:rsidR="00CA5E22" w:rsidTr="00D14CC7">
        <w:tc>
          <w:tcPr>
            <w:tcW w:w="2689" w:type="dxa"/>
          </w:tcPr>
          <w:p w:rsidR="00CA5E22" w:rsidRDefault="00CA5E22" w:rsidP="00CA5E22">
            <w:pPr>
              <w:tabs>
                <w:tab w:val="left" w:pos="284"/>
              </w:tabs>
              <w:spacing w:line="360" w:lineRule="auto"/>
              <w:rPr>
                <w:rFonts w:ascii="Palatino Linotype" w:eastAsia="Palatino Linotype" w:hAnsi="Palatino Linotype" w:cs="Palatino Linotype"/>
                <w:b/>
                <w:sz w:val="22"/>
                <w:szCs w:val="22"/>
              </w:rPr>
            </w:pPr>
          </w:p>
          <w:p w:rsidR="00CA5E22" w:rsidRDefault="00CA5E22" w:rsidP="00CA5E22">
            <w:pPr>
              <w:tabs>
                <w:tab w:val="left" w:pos="284"/>
              </w:tabs>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 xml:space="preserve">d) Requisitos de fondo del acuerdo de clasificación. </w:t>
            </w:r>
          </w:p>
        </w:tc>
        <w:tc>
          <w:tcPr>
            <w:tcW w:w="7229" w:type="dxa"/>
          </w:tcPr>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que para una correcta </w:t>
            </w:r>
            <w:r>
              <w:rPr>
                <w:rFonts w:ascii="Palatino Linotype" w:eastAsia="Palatino Linotype" w:hAnsi="Palatino Linotype" w:cs="Palatino Linotype"/>
                <w:b/>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Ahora bien, </w:t>
            </w:r>
            <w:r>
              <w:rPr>
                <w:rFonts w:ascii="Palatino Linotype" w:eastAsia="Palatino Linotype" w:hAnsi="Palatino Linotype" w:cs="Palatino Linotype"/>
                <w:b/>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A5E22" w:rsidTr="00D14CC7">
        <w:tc>
          <w:tcPr>
            <w:tcW w:w="2689" w:type="dxa"/>
          </w:tcPr>
          <w:p w:rsidR="00CA5E22" w:rsidRDefault="00CA5E22" w:rsidP="00CA5E22">
            <w:pPr>
              <w:tabs>
                <w:tab w:val="left" w:pos="284"/>
              </w:tabs>
              <w:spacing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e) Condiciones especiales de la clasificación de la información como confidencial. </w:t>
            </w:r>
          </w:p>
        </w:tc>
        <w:tc>
          <w:tcPr>
            <w:tcW w:w="7229" w:type="dxa"/>
          </w:tcPr>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CA5E22" w:rsidRDefault="00CA5E22" w:rsidP="00CA5E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A5E22" w:rsidRDefault="00CA5E22" w:rsidP="00CA5E22">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A5E22" w:rsidRDefault="00CA5E22" w:rsidP="00CA5E22">
      <w:pPr>
        <w:tabs>
          <w:tab w:val="left" w:pos="284"/>
        </w:tabs>
        <w:spacing w:line="360" w:lineRule="auto"/>
        <w:rPr>
          <w:rFonts w:ascii="Palatino Linotype" w:eastAsia="Palatino Linotype" w:hAnsi="Palatino Linotype" w:cs="Palatino Linotype"/>
          <w:color w:val="000000"/>
        </w:rPr>
      </w:pPr>
    </w:p>
    <w:p w:rsidR="00CA5E22" w:rsidRDefault="00CA5E22" w:rsidP="00CA5E22">
      <w:pPr>
        <w:rPr>
          <w:rFonts w:ascii="Palatino Linotype" w:eastAsia="Palatino Linotype" w:hAnsi="Palatino Linotype" w:cs="Palatino Linotype"/>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iCs/>
        </w:rPr>
      </w:pPr>
      <w:r w:rsidRPr="00B94ABA">
        <w:rPr>
          <w:rFonts w:ascii="Palatino Linotype" w:hAnsi="Palatino Linotype" w:cs="Tahoma"/>
          <w:bCs/>
          <w:iCs/>
        </w:rPr>
        <w:t xml:space="preserve">Dada la </w:t>
      </w:r>
      <w:r w:rsidRPr="00EE12EE">
        <w:rPr>
          <w:rFonts w:ascii="Palatino Linotype" w:eastAsia="Palatino Linotype" w:hAnsi="Palatino Linotype" w:cs="Palatino Linotype"/>
          <w:color w:val="000000"/>
        </w:rPr>
        <w:t>complejidad</w:t>
      </w:r>
      <w:r w:rsidRPr="00B94ABA">
        <w:rPr>
          <w:rFonts w:ascii="Palatino Linotype" w:hAnsi="Palatino Linotype" w:cs="Tahoma"/>
          <w:bCs/>
          <w:iCs/>
        </w:rPr>
        <w:t xml:space="preserve"> de la información cuando involucra datos personales, pudiera pensarse que se trata de dos derechos en colisión; por un lado, la garantía individual de conocer sobre el ejercicio de atribuciones de servidores públicos así como de recursos públicos </w:t>
      </w:r>
      <w:r w:rsidRPr="00B94ABA">
        <w:rPr>
          <w:rFonts w:ascii="Palatino Linotype" w:hAnsi="Palatino Linotype" w:cs="Tahoma"/>
          <w:bCs/>
          <w:iCs/>
        </w:rPr>
        <w:lastRenderedPageBreak/>
        <w:t>y, por el otro, el derecho de las personas a la autodeterminación informativa y el derecho a la vida privada;</w:t>
      </w:r>
      <w:r w:rsidRPr="00416682">
        <w:rPr>
          <w:rFonts w:ascii="Palatino Linotype" w:eastAsia="Palatino Linotype" w:hAnsi="Palatino Linotype" w:cs="Palatino Linotype"/>
          <w:color w:val="000000"/>
        </w:rPr>
        <w:t xml:space="preserve"> </w:t>
      </w:r>
      <w:r w:rsidRPr="00B94ABA">
        <w:rPr>
          <w:rFonts w:ascii="Palatino Linotype" w:hAnsi="Palatino Linotype" w:cs="Tahoma"/>
          <w:bCs/>
          <w:iCs/>
        </w:rPr>
        <w:t xml:space="preserve">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w:t>
      </w:r>
      <w:r w:rsidRPr="00416682">
        <w:rPr>
          <w:rFonts w:ascii="Palatino Linotype" w:eastAsia="Palatino Linotype" w:hAnsi="Palatino Linotype" w:cs="Palatino Linotype"/>
          <w:color w:val="000000"/>
        </w:rPr>
        <w:t>cuentas</w:t>
      </w:r>
      <w:r w:rsidRPr="00B94ABA">
        <w:rPr>
          <w:rFonts w:ascii="Palatino Linotype" w:hAnsi="Palatino Linotype" w:cs="Tahoma"/>
          <w:bCs/>
          <w:iCs/>
        </w:rPr>
        <w:t>, constituyen información de naturaleza pública, en razón de que el beneficio de su publicidad es mayor que el beneficio de su clasificación, aun tratándose de información personal.</w:t>
      </w:r>
    </w:p>
    <w:p w:rsidR="00CA5E22" w:rsidRPr="00B94ABA" w:rsidRDefault="00CA5E22" w:rsidP="00CA5E22">
      <w:pPr>
        <w:spacing w:line="360" w:lineRule="auto"/>
        <w:jc w:val="both"/>
        <w:rPr>
          <w:rFonts w:ascii="Palatino Linotype" w:hAnsi="Palatino Linotype" w:cs="Tahoma"/>
          <w:bCs/>
          <w:iC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iCs/>
        </w:rPr>
      </w:pPr>
      <w:r w:rsidRPr="00B94ABA">
        <w:rPr>
          <w:rFonts w:ascii="Palatino Linotype" w:hAnsi="Palatino Linotype" w:cs="Tahoma"/>
          <w:bCs/>
          <w:iCs/>
        </w:rPr>
        <w:t xml:space="preserve">Ahora bien, </w:t>
      </w:r>
      <w:r w:rsidRPr="00844AFB">
        <w:rPr>
          <w:rFonts w:ascii="Palatino Linotype" w:eastAsia="Palatino Linotype" w:hAnsi="Palatino Linotype" w:cs="Palatino Linotype"/>
          <w:color w:val="000000"/>
        </w:rPr>
        <w:t>cuando</w:t>
      </w:r>
      <w:r w:rsidRPr="00B94ABA">
        <w:rPr>
          <w:rFonts w:ascii="Palatino Linotype" w:hAnsi="Palatino Linotype" w:cs="Tahoma"/>
          <w:bCs/>
          <w:iCs/>
        </w:rPr>
        <w:t xml:space="preserve">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CA5E22" w:rsidRPr="00B94ABA" w:rsidRDefault="00CA5E22" w:rsidP="00CA5E22">
      <w:pPr>
        <w:spacing w:line="360" w:lineRule="auto"/>
        <w:jc w:val="both"/>
        <w:rPr>
          <w:rFonts w:ascii="Palatino Linotype" w:hAnsi="Palatino Linotype" w:cs="Tahoma"/>
          <w:bCs/>
          <w:iC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iCs/>
        </w:rPr>
      </w:pPr>
      <w:r w:rsidRPr="00B94ABA">
        <w:rPr>
          <w:rFonts w:ascii="Palatino Linotype" w:hAnsi="Palatino Linotype" w:cs="Tahoma"/>
          <w:bCs/>
          <w:iCs/>
        </w:rPr>
        <w:t xml:space="preserve">Bajo este esquema, se aprecia que la información ordenada, puede contener información susceptible a clasificar como confidencial y otra que resulta publica; a fin de aportar mayores elementos para la correcta elaboración de las versiones públicas; de forma enunciativa más no limitativa; se analizan el Registro Federal de Contribuyentes (RFC) y la Clave Única de </w:t>
      </w:r>
      <w:r>
        <w:rPr>
          <w:rFonts w:ascii="Palatino Linotype" w:hAnsi="Palatino Linotype" w:cs="Tahoma"/>
          <w:bCs/>
          <w:iCs/>
        </w:rPr>
        <w:t>Registro de Población (CURP)</w:t>
      </w:r>
      <w:r w:rsidRPr="00B94ABA">
        <w:rPr>
          <w:rFonts w:ascii="Palatino Linotype" w:hAnsi="Palatino Linotype" w:cs="Tahoma"/>
          <w:bCs/>
          <w:iCs/>
        </w:rPr>
        <w:t xml:space="preserve">, el nombre de representante legal de una persona jurídico colectiva; </w:t>
      </w:r>
      <w:r>
        <w:rPr>
          <w:rFonts w:ascii="Palatino Linotype" w:hAnsi="Palatino Linotype" w:cs="Tahoma"/>
          <w:bCs/>
          <w:iCs/>
        </w:rPr>
        <w:t xml:space="preserve">entre otros, ya que </w:t>
      </w:r>
      <w:r w:rsidRPr="00B94ABA">
        <w:rPr>
          <w:rFonts w:ascii="Palatino Linotype" w:hAnsi="Palatino Linotype" w:cs="Tahoma"/>
          <w:bCs/>
          <w:iCs/>
        </w:rPr>
        <w:t xml:space="preserve">son datos que obran </w:t>
      </w:r>
      <w:r>
        <w:rPr>
          <w:rFonts w:ascii="Palatino Linotype" w:hAnsi="Palatino Linotype" w:cs="Tahoma"/>
          <w:bCs/>
          <w:iCs/>
        </w:rPr>
        <w:t>en los documentos solicitados</w:t>
      </w:r>
      <w:r w:rsidRPr="00B94ABA">
        <w:rPr>
          <w:rFonts w:ascii="Palatino Linotype" w:hAnsi="Palatino Linotype" w:cs="Tahoma"/>
          <w:bCs/>
          <w:lang w:eastAsia="en-US"/>
        </w:rPr>
        <w:t>.</w:t>
      </w:r>
    </w:p>
    <w:p w:rsidR="00CA5E22" w:rsidRDefault="00CA5E22" w:rsidP="00CA5E22">
      <w:pPr>
        <w:jc w:val="both"/>
        <w:rPr>
          <w:rFonts w:ascii="Palatino Linotype" w:hAnsi="Palatino Linotype" w:cs="Tahoma"/>
          <w:b/>
        </w:rPr>
      </w:pPr>
    </w:p>
    <w:p w:rsidR="00217462" w:rsidRPr="00B94ABA" w:rsidRDefault="00217462" w:rsidP="00CA5E22">
      <w:pPr>
        <w:jc w:val="both"/>
        <w:rPr>
          <w:rFonts w:ascii="Palatino Linotype" w:hAnsi="Palatino Linotype" w:cs="Tahoma"/>
          <w:b/>
        </w:rPr>
      </w:pPr>
    </w:p>
    <w:p w:rsidR="00CA5E22" w:rsidRPr="00EE12EE" w:rsidRDefault="00CA5E22" w:rsidP="005F6634">
      <w:pPr>
        <w:numPr>
          <w:ilvl w:val="0"/>
          <w:numId w:val="9"/>
        </w:numPr>
        <w:spacing w:line="360" w:lineRule="auto"/>
        <w:jc w:val="both"/>
        <w:rPr>
          <w:rFonts w:ascii="Palatino Linotype" w:hAnsi="Palatino Linotype" w:cs="Tahoma"/>
          <w:bCs/>
          <w:lang w:val="es-ES" w:eastAsia="en-US"/>
        </w:rPr>
      </w:pPr>
      <w:r w:rsidRPr="00B94ABA">
        <w:rPr>
          <w:rFonts w:ascii="Palatino Linotype" w:hAnsi="Palatino Linotype" w:cs="Tahoma"/>
          <w:b/>
          <w:bCs/>
          <w:lang w:eastAsia="en-US"/>
        </w:rPr>
        <w:lastRenderedPageBreak/>
        <w:t>Registro Federal de Contribuyentes (RFC)</w:t>
      </w:r>
    </w:p>
    <w:p w:rsidR="00CA5E22" w:rsidRPr="00B94ABA" w:rsidRDefault="00CA5E22" w:rsidP="00CA5E22">
      <w:pPr>
        <w:spacing w:line="360" w:lineRule="auto"/>
        <w:jc w:val="both"/>
        <w:rPr>
          <w:rFonts w:ascii="Palatino Linotype" w:hAnsi="Palatino Linotype" w:cs="Tahoma"/>
          <w:b/>
          <w:bCs/>
          <w:lang w:eastAsia="en-US"/>
        </w:rPr>
      </w:pPr>
      <w:r w:rsidRPr="00B94ABA">
        <w:rPr>
          <w:rFonts w:ascii="Palatino Linotype" w:hAnsi="Palatino Linotype" w:cs="Tahoma"/>
          <w:b/>
          <w:bCs/>
          <w:lang w:eastAsia="en-US"/>
        </w:rPr>
        <w:t>Persona física.</w:t>
      </w: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B94ABA">
        <w:rPr>
          <w:rFonts w:ascii="Palatino Linotype" w:hAnsi="Palatino Linotype" w:cs="Tahoma"/>
        </w:rPr>
        <w:t xml:space="preserve">Al respecto, </w:t>
      </w:r>
      <w:r w:rsidRPr="00844AFB">
        <w:rPr>
          <w:rFonts w:ascii="Palatino Linotype" w:hAnsi="Palatino Linotype" w:cs="Tahoma"/>
          <w:bCs/>
          <w:iCs/>
        </w:rPr>
        <w:t>cabe</w:t>
      </w:r>
      <w:r w:rsidRPr="00B94ABA">
        <w:rPr>
          <w:rFonts w:ascii="Palatino Linotype" w:hAnsi="Palatino Linotype" w:cs="Tahoma"/>
        </w:rPr>
        <w:t xml:space="preserve"> precisar que las personas físicas que deban presentar declaraciones periódicas o que </w:t>
      </w:r>
      <w:r w:rsidRPr="00416682">
        <w:rPr>
          <w:rFonts w:ascii="Palatino Linotype" w:hAnsi="Palatino Linotype" w:cs="Tahoma"/>
          <w:bCs/>
          <w:iCs/>
        </w:rPr>
        <w:t>están</w:t>
      </w:r>
      <w:r w:rsidRPr="00B94ABA">
        <w:rPr>
          <w:rFonts w:ascii="Palatino Linotype" w:hAnsi="Palatino Linotype" w:cs="Tahoma"/>
        </w:rPr>
        <w:t xml:space="preserve">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CA5E22" w:rsidRPr="00B94ABA" w:rsidRDefault="00CA5E22" w:rsidP="00CA5E22">
      <w:pPr>
        <w:jc w:val="both"/>
        <w:rPr>
          <w:rFonts w:ascii="Palatino Linotype" w:hAnsi="Palatino Linotype" w:cs="Tahoma"/>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B94ABA">
        <w:rPr>
          <w:rFonts w:ascii="Palatino Linotype" w:hAnsi="Palatino Linotype" w:cs="Tahoma"/>
        </w:rPr>
        <w:t xml:space="preserve">De </w:t>
      </w:r>
      <w:r w:rsidRPr="00844AFB">
        <w:rPr>
          <w:rFonts w:ascii="Palatino Linotype" w:hAnsi="Palatino Linotype" w:cs="Tahoma"/>
          <w:bCs/>
          <w:iCs/>
        </w:rPr>
        <w:t>acuerdo</w:t>
      </w:r>
      <w:r w:rsidRPr="00B94ABA">
        <w:rPr>
          <w:rFonts w:ascii="Palatino Linotype" w:hAnsi="Palatino Linotype" w:cs="Tahoma"/>
        </w:rPr>
        <w:t xml:space="preserve"> con lo establecido en el artículo en comento, esta clave se compone de trece caracteres </w:t>
      </w:r>
      <w:r w:rsidRPr="00416682">
        <w:rPr>
          <w:rFonts w:ascii="Palatino Linotype" w:hAnsi="Palatino Linotype" w:cs="Tahoma"/>
          <w:bCs/>
          <w:iCs/>
        </w:rPr>
        <w:t>alfanuméricos</w:t>
      </w:r>
      <w:r w:rsidRPr="00B94ABA">
        <w:rPr>
          <w:rFonts w:ascii="Palatino Linotype" w:hAnsi="Palatino Linotype" w:cs="Tahoma"/>
        </w:rPr>
        <w:t>, con datos obtenidos de los apellidos, nombre(s), fecha de nacimiento del titular, más una homoclave que establece el sistema automático del Servicio de Administración Tributaria.</w:t>
      </w:r>
    </w:p>
    <w:p w:rsidR="00CA5E22" w:rsidRPr="00B94ABA" w:rsidRDefault="00CA5E22" w:rsidP="00CA5E22">
      <w:pPr>
        <w:jc w:val="both"/>
        <w:rPr>
          <w:rFonts w:ascii="Palatino Linotype" w:hAnsi="Palatino Linotype" w:cs="Tahoma"/>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844AFB">
        <w:rPr>
          <w:rFonts w:ascii="Palatino Linotype" w:hAnsi="Palatino Linotype" w:cs="Tahoma"/>
          <w:bCs/>
          <w:iCs/>
        </w:rPr>
        <w:t>Ahora</w:t>
      </w:r>
      <w:r w:rsidRPr="00B94ABA">
        <w:rPr>
          <w:rFonts w:ascii="Palatino Linotype" w:hAnsi="Palatino Linotype" w:cs="Tahoma"/>
        </w:rPr>
        <w:t xml:space="preserve"> bien, la clave del Registro Federal de Contribuyentes es el medio de control que tiene la </w:t>
      </w:r>
      <w:r w:rsidRPr="00416682">
        <w:rPr>
          <w:rFonts w:ascii="Palatino Linotype" w:hAnsi="Palatino Linotype" w:cs="Tahoma"/>
          <w:bCs/>
          <w:iCs/>
        </w:rPr>
        <w:t>Secretaría</w:t>
      </w:r>
      <w:r w:rsidRPr="00B94ABA">
        <w:rPr>
          <w:rFonts w:ascii="Palatino Linotype" w:hAnsi="Palatino Linotype" w:cs="Tahoma"/>
        </w:rPr>
        <w:t xml:space="preserve">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CA5E22" w:rsidRPr="00B94ABA" w:rsidRDefault="00CA5E22" w:rsidP="00CA5E22">
      <w:pPr>
        <w:jc w:val="both"/>
        <w:rPr>
          <w:rFonts w:ascii="Palatino Linotype" w:hAnsi="Palatino Linotype" w:cs="Tahoma"/>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rPr>
      </w:pPr>
      <w:r w:rsidRPr="00B94ABA">
        <w:rPr>
          <w:rFonts w:ascii="Palatino Linotype" w:hAnsi="Palatino Linotype" w:cs="Tahoma"/>
        </w:rPr>
        <w:t xml:space="preserve">Conforme a lo expuesto, el Registro Federal de Contribuyentes, es un dato personal, ya que hace a las </w:t>
      </w:r>
      <w:r w:rsidRPr="00416682">
        <w:rPr>
          <w:rFonts w:ascii="Palatino Linotype" w:hAnsi="Palatino Linotype" w:cs="Tahoma"/>
          <w:bCs/>
          <w:iCs/>
        </w:rPr>
        <w:t>personas</w:t>
      </w:r>
      <w:r w:rsidRPr="00B94ABA">
        <w:rPr>
          <w:rFonts w:ascii="Palatino Linotype" w:hAnsi="Palatino Linotype" w:cs="Tahoma"/>
        </w:rPr>
        <w:t xml:space="preserve"> físicas </w:t>
      </w:r>
      <w:r w:rsidRPr="00844AFB">
        <w:rPr>
          <w:rFonts w:ascii="Palatino Linotype" w:hAnsi="Palatino Linotype" w:cs="Tahoma"/>
          <w:bCs/>
          <w:iCs/>
        </w:rPr>
        <w:t>identificas</w:t>
      </w:r>
      <w:r w:rsidRPr="00B94ABA">
        <w:rPr>
          <w:rFonts w:ascii="Palatino Linotype" w:hAnsi="Palatino Linotype" w:cs="Tahoma"/>
        </w:rPr>
        <w:t xml:space="preserve"> e identificables, además de que las relaciona como contribuyentes de las autoridades fiscales. Es de destacar que dicho dato únicamente sirve para efectos fiscales y pago de contribuciones, por lo que se trata de un dato relevante </w:t>
      </w:r>
      <w:r w:rsidRPr="00B94ABA">
        <w:rPr>
          <w:rFonts w:ascii="Palatino Linotype" w:hAnsi="Palatino Linotype" w:cs="Tahoma"/>
        </w:rPr>
        <w:lastRenderedPageBreak/>
        <w:t xml:space="preserve">únicamente para las personas involucrada, en el pago de estos, en el presente caso, del pago del Impuesto Sobre el Producto del Trabajo. </w:t>
      </w:r>
    </w:p>
    <w:p w:rsidR="00217462" w:rsidRPr="00B94ABA" w:rsidRDefault="00217462" w:rsidP="00217462">
      <w:pPr>
        <w:pBdr>
          <w:top w:val="nil"/>
          <w:left w:val="nil"/>
          <w:bottom w:val="nil"/>
          <w:right w:val="nil"/>
          <w:between w:val="nil"/>
        </w:pBdr>
        <w:spacing w:line="360" w:lineRule="auto"/>
        <w:ind w:right="-788"/>
        <w:jc w:val="both"/>
        <w:rPr>
          <w:rFonts w:ascii="Palatino Linotype" w:hAnsi="Palatino Linotype" w:cs="Tahoma"/>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rPr>
      </w:pPr>
      <w:r w:rsidRPr="00B94ABA">
        <w:rPr>
          <w:rFonts w:ascii="Palatino Linotype" w:hAnsi="Palatino Linotype" w:cs="Tahoma"/>
          <w:bCs/>
        </w:rPr>
        <w:t xml:space="preserve">Lo </w:t>
      </w:r>
      <w:r w:rsidRPr="00EE12EE">
        <w:rPr>
          <w:rFonts w:ascii="Palatino Linotype" w:hAnsi="Palatino Linotype" w:cs="Tahoma"/>
        </w:rPr>
        <w:t>anterior</w:t>
      </w:r>
      <w:r w:rsidRPr="00B94ABA">
        <w:rPr>
          <w:rFonts w:ascii="Palatino Linotype" w:hAnsi="Palatino Linotype" w:cs="Tahoma"/>
          <w:bCs/>
        </w:rPr>
        <w:t xml:space="preserve">, resulta </w:t>
      </w:r>
      <w:r w:rsidRPr="00844AFB">
        <w:rPr>
          <w:rFonts w:ascii="Palatino Linotype" w:hAnsi="Palatino Linotype" w:cs="Tahoma"/>
          <w:bCs/>
          <w:iCs/>
        </w:rPr>
        <w:t>congruente</w:t>
      </w:r>
      <w:r w:rsidRPr="00B94ABA">
        <w:rPr>
          <w:rFonts w:ascii="Palatino Linotype" w:hAnsi="Palatino Linotype" w:cs="Tahoma"/>
          <w:bCs/>
        </w:rPr>
        <w:t xml:space="preserve"> con el Criterio </w:t>
      </w:r>
      <w:r>
        <w:rPr>
          <w:rFonts w:ascii="Palatino Linotype" w:hAnsi="Palatino Linotype" w:cs="Tahoma"/>
          <w:bCs/>
        </w:rPr>
        <w:t xml:space="preserve">orientador </w:t>
      </w:r>
      <w:r w:rsidRPr="00B94ABA">
        <w:rPr>
          <w:rFonts w:ascii="Palatino Linotype" w:hAnsi="Palatino Linotype" w:cs="Tahoma"/>
          <w:bCs/>
        </w:rPr>
        <w:t>19/17 emitido por el Instituto Nacional de Transparencia, Acceso a la Información y Protección de Datos Personales, en el cual se señala lo siguiente:</w:t>
      </w:r>
    </w:p>
    <w:p w:rsidR="00CA5E22" w:rsidRPr="00EE12EE" w:rsidRDefault="00CA5E22" w:rsidP="00CA5E22">
      <w:pPr>
        <w:spacing w:line="360" w:lineRule="auto"/>
        <w:ind w:right="-787"/>
        <w:jc w:val="both"/>
        <w:rPr>
          <w:rFonts w:ascii="Palatino Linotype" w:hAnsi="Palatino Linotype" w:cs="Tahoma"/>
          <w:bCs/>
        </w:rPr>
      </w:pPr>
    </w:p>
    <w:p w:rsidR="00CA5E22" w:rsidRPr="005A7D35" w:rsidRDefault="00CA5E22" w:rsidP="00CA5E22">
      <w:pPr>
        <w:ind w:left="1134" w:right="-716"/>
        <w:contextualSpacing/>
        <w:jc w:val="both"/>
        <w:rPr>
          <w:rFonts w:ascii="Palatino Linotype" w:hAnsi="Palatino Linotype" w:cs="Tahoma"/>
          <w:i/>
          <w:sz w:val="22"/>
          <w:szCs w:val="22"/>
        </w:rPr>
      </w:pPr>
      <w:r w:rsidRPr="005A7D35">
        <w:rPr>
          <w:rFonts w:ascii="Palatino Linotype" w:hAnsi="Palatino Linotype" w:cs="Tahoma"/>
          <w:b/>
          <w:i/>
          <w:sz w:val="22"/>
          <w:szCs w:val="22"/>
        </w:rPr>
        <w:t>Registro Federal de Contribuyentes (RFC) de personas físicas.</w:t>
      </w:r>
      <w:r w:rsidRPr="005A7D35">
        <w:rPr>
          <w:rFonts w:ascii="Palatino Linotype" w:hAnsi="Palatino Linotype" w:cs="Tahoma"/>
          <w:i/>
          <w:sz w:val="22"/>
          <w:szCs w:val="22"/>
        </w:rPr>
        <w:t xml:space="preserve"> El RFC es una clave de carácter fiscal, única e irrepetible, que permite identificar al titular, su edad y fecha de nacimiento, por lo que es un dato personal de carácter confidencial.</w:t>
      </w:r>
    </w:p>
    <w:p w:rsidR="00CA5E22" w:rsidRPr="00112495" w:rsidRDefault="00CA5E22" w:rsidP="00CA5E22">
      <w:pPr>
        <w:spacing w:line="360" w:lineRule="auto"/>
        <w:ind w:left="567"/>
        <w:contextualSpacing/>
        <w:jc w:val="both"/>
        <w:rPr>
          <w:rFonts w:ascii="Palatino Linotype" w:hAnsi="Palatino Linotype" w:cs="Tahoma"/>
          <w:sz w:val="22"/>
          <w:szCs w:val="22"/>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lang w:eastAsia="en-US"/>
        </w:rPr>
      </w:pPr>
      <w:r w:rsidRPr="00B94ABA">
        <w:rPr>
          <w:rFonts w:ascii="Palatino Linotype" w:hAnsi="Palatino Linotype" w:cs="Tahoma"/>
        </w:rPr>
        <w:t xml:space="preserve">De tal </w:t>
      </w:r>
      <w:r w:rsidRPr="00844AFB">
        <w:rPr>
          <w:rFonts w:ascii="Palatino Linotype" w:hAnsi="Palatino Linotype" w:cs="Tahoma"/>
          <w:bCs/>
          <w:iCs/>
        </w:rPr>
        <w:t>suerte</w:t>
      </w:r>
      <w:r w:rsidRPr="00B94ABA">
        <w:rPr>
          <w:rFonts w:ascii="Palatino Linotype" w:hAnsi="Palatino Linotype" w:cs="Tahoma"/>
        </w:rPr>
        <w:t xml:space="preserve">, el Registro Federal de Contribuyentes de </w:t>
      </w:r>
      <w:r>
        <w:rPr>
          <w:rFonts w:ascii="Palatino Linotype" w:hAnsi="Palatino Linotype" w:cs="Tahoma"/>
        </w:rPr>
        <w:t>persona físicas</w:t>
      </w:r>
      <w:r w:rsidRPr="00B94ABA">
        <w:rPr>
          <w:rFonts w:ascii="Palatino Linotype" w:hAnsi="Palatino Linotype" w:cs="Tahoma"/>
        </w:rPr>
        <w:t xml:space="preserve"> no guarda relación con la </w:t>
      </w:r>
      <w:r w:rsidRPr="00416682">
        <w:rPr>
          <w:rFonts w:ascii="Palatino Linotype" w:hAnsi="Palatino Linotype" w:cs="Tahoma"/>
          <w:bCs/>
        </w:rPr>
        <w:t>transparencia</w:t>
      </w:r>
      <w:r w:rsidRPr="00B94ABA">
        <w:rPr>
          <w:rFonts w:ascii="Palatino Linotype" w:hAnsi="Palatino Linotype" w:cs="Tahoma"/>
        </w:rPr>
        <w:t xml:space="preserve"> de los recursos públicos, por lo que constituye un dato personal </w:t>
      </w:r>
      <w:r w:rsidRPr="00EE12EE">
        <w:rPr>
          <w:rFonts w:ascii="Palatino Linotype" w:hAnsi="Palatino Linotype" w:cs="Tahoma"/>
          <w:bCs/>
        </w:rPr>
        <w:t>confidencial</w:t>
      </w:r>
      <w:r w:rsidRPr="00B94ABA">
        <w:rPr>
          <w:rFonts w:ascii="Palatino Linotype" w:hAnsi="Palatino Linotype" w:cs="Tahoma"/>
        </w:rPr>
        <w:t xml:space="preserve"> al actualizar el supuesto normativo del artículo 143, fracción I, de la Ley de Transparencia y Acceso a la Información Pública del Estado de México y Municipios.</w:t>
      </w:r>
    </w:p>
    <w:p w:rsidR="00CA5E22" w:rsidRPr="00B94ABA" w:rsidRDefault="00CA5E22" w:rsidP="00CA5E22">
      <w:pPr>
        <w:jc w:val="both"/>
        <w:rPr>
          <w:rFonts w:ascii="Palatino Linotype" w:hAnsi="Palatino Linotype" w:cs="Tahoma"/>
          <w:bCs/>
          <w:lang w:val="es-ES" w:eastAsia="en-US"/>
        </w:rPr>
      </w:pPr>
    </w:p>
    <w:p w:rsidR="00CA5E22" w:rsidRPr="005C3BF0" w:rsidRDefault="00CA5E22" w:rsidP="005F6634">
      <w:pPr>
        <w:pStyle w:val="Prrafodelista"/>
        <w:numPr>
          <w:ilvl w:val="0"/>
          <w:numId w:val="9"/>
        </w:numPr>
        <w:spacing w:line="360" w:lineRule="auto"/>
        <w:ind w:right="-93"/>
        <w:jc w:val="both"/>
        <w:rPr>
          <w:rFonts w:ascii="Palatino Linotype" w:hAnsi="Palatino Linotype" w:cs="Tahoma"/>
          <w:b/>
          <w:lang w:val="es-ES" w:eastAsia="en-US"/>
        </w:rPr>
      </w:pPr>
      <w:r w:rsidRPr="005C3BF0">
        <w:rPr>
          <w:rFonts w:ascii="Palatino Linotype" w:hAnsi="Palatino Linotype" w:cs="Tahoma"/>
          <w:b/>
          <w:lang w:val="es-ES" w:eastAsia="en-US"/>
        </w:rPr>
        <w:t>Persona Jurídico-colectiva.</w:t>
      </w:r>
    </w:p>
    <w:p w:rsidR="00CA5E22" w:rsidRPr="00F56DD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lang w:eastAsia="en-US"/>
        </w:rPr>
      </w:pPr>
      <w:r w:rsidRPr="00B94ABA">
        <w:rPr>
          <w:rFonts w:ascii="Palatino Linotype" w:hAnsi="Palatino Linotype" w:cs="Tahoma"/>
          <w:bCs/>
          <w:lang w:val="es-ES" w:eastAsia="en-US"/>
        </w:rPr>
        <w:t xml:space="preserve">Al </w:t>
      </w:r>
      <w:r w:rsidRPr="00416682">
        <w:rPr>
          <w:rFonts w:ascii="Palatino Linotype" w:hAnsi="Palatino Linotype" w:cs="Tahoma"/>
          <w:bCs/>
        </w:rPr>
        <w:t>respecto</w:t>
      </w:r>
      <w:r w:rsidRPr="00B94ABA">
        <w:rPr>
          <w:rFonts w:ascii="Palatino Linotype" w:hAnsi="Palatino Linotype" w:cs="Tahoma"/>
          <w:bCs/>
          <w:lang w:val="es-ES" w:eastAsia="en-US"/>
        </w:rPr>
        <w:t>,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w:t>
      </w:r>
      <w:r w:rsidRPr="00B94ABA">
        <w:rPr>
          <w:rFonts w:ascii="Palatino Linotype" w:hAnsi="Palatino Linotype" w:cs="Tahoma"/>
          <w:bCs/>
          <w:lang w:eastAsia="en-US"/>
        </w:rPr>
        <w:t xml:space="preserve">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w:t>
      </w:r>
      <w:r w:rsidRPr="00B94ABA">
        <w:rPr>
          <w:rFonts w:ascii="Palatino Linotype" w:hAnsi="Palatino Linotype" w:cs="Tahoma"/>
          <w:bCs/>
          <w:lang w:eastAsia="en-US"/>
        </w:rPr>
        <w:lastRenderedPageBreak/>
        <w:t xml:space="preserve">firmas ante las autoridades fiscales o ante notario o fedatario público. </w:t>
      </w:r>
      <w:r>
        <w:rPr>
          <w:rFonts w:ascii="Palatino Linotype" w:hAnsi="Palatino Linotype" w:cs="Tahoma"/>
          <w:bCs/>
          <w:lang w:eastAsia="en-US"/>
        </w:rPr>
        <w:t xml:space="preserve"> </w:t>
      </w:r>
      <w:r w:rsidRPr="00F56DDA">
        <w:rPr>
          <w:rFonts w:ascii="Palatino Linotype" w:hAnsi="Palatino Linotype" w:cs="Tahoma"/>
          <w:bCs/>
          <w:lang w:eastAsia="en-US"/>
        </w:rPr>
        <w:t xml:space="preserve">Derivado del trámite se obtiene, entre otros, la </w:t>
      </w:r>
      <w:r w:rsidRPr="00F56DDA">
        <w:rPr>
          <w:rFonts w:ascii="Palatino Linotype" w:hAnsi="Palatino Linotype" w:cs="Tahoma"/>
          <w:b/>
          <w:bCs/>
          <w:lang w:eastAsia="en-US"/>
        </w:rPr>
        <w:t>cédula de identificación fiscal o constancia de registro.</w:t>
      </w:r>
    </w:p>
    <w:p w:rsidR="00CA5E22" w:rsidRPr="00B94ABA" w:rsidRDefault="00CA5E22" w:rsidP="00CA5E22">
      <w:pPr>
        <w:jc w:val="both"/>
        <w:rPr>
          <w:rFonts w:ascii="Palatino Linotype" w:hAnsi="Palatino Linotype" w:cs="Tahoma"/>
          <w:bCs/>
          <w:lang w:val="es-ES" w:eastAsia="en-U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lang w:val="es-ES" w:eastAsia="en-US"/>
        </w:rPr>
      </w:pPr>
      <w:r w:rsidRPr="00B94ABA">
        <w:rPr>
          <w:rFonts w:ascii="Palatino Linotype" w:hAnsi="Palatino Linotype" w:cs="Tahoma"/>
          <w:bCs/>
          <w:lang w:val="es-ES" w:eastAsia="en-US"/>
        </w:rPr>
        <w:t xml:space="preserve">Por ende, la </w:t>
      </w:r>
      <w:r w:rsidRPr="00416682">
        <w:rPr>
          <w:rFonts w:ascii="Palatino Linotype" w:hAnsi="Palatino Linotype" w:cs="Tahoma"/>
          <w:bCs/>
        </w:rPr>
        <w:t>información</w:t>
      </w:r>
      <w:r w:rsidRPr="00B94ABA">
        <w:rPr>
          <w:rFonts w:ascii="Palatino Linotype" w:hAnsi="Palatino Linotype" w:cs="Tahoma"/>
          <w:bCs/>
          <w:lang w:val="es-ES" w:eastAsia="en-US"/>
        </w:rPr>
        <w:t xml:space="preserve"> correspondiente al Registro Federal de Contribuyentes de una persona moral da cuenta del cumplimiento o no en sus obligaciones fiscales; por tanto, no se actualiza su clasificación como confidencial.</w:t>
      </w:r>
    </w:p>
    <w:p w:rsidR="00CA5E22" w:rsidRPr="00B94ABA" w:rsidRDefault="00CA5E22" w:rsidP="00CA5E22">
      <w:pPr>
        <w:jc w:val="both"/>
        <w:rPr>
          <w:rFonts w:ascii="Palatino Linotype" w:hAnsi="Palatino Linotype" w:cs="Tahoma"/>
          <w:b/>
          <w:bCs/>
          <w:lang w:eastAsia="en-US"/>
        </w:rPr>
      </w:pPr>
    </w:p>
    <w:p w:rsidR="00CA5E22" w:rsidRPr="00EE12EE"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lang w:val="es-ES" w:eastAsia="en-US"/>
        </w:rPr>
      </w:pPr>
      <w:r w:rsidRPr="00B94ABA">
        <w:rPr>
          <w:rFonts w:ascii="Palatino Linotype" w:hAnsi="Palatino Linotype" w:cs="Tahoma"/>
          <w:bCs/>
          <w:lang w:val="es-ES" w:eastAsia="en-US"/>
        </w:rPr>
        <w:t>Además, resulta aplicable el Criterio</w:t>
      </w:r>
      <w:r>
        <w:rPr>
          <w:rFonts w:ascii="Palatino Linotype" w:hAnsi="Palatino Linotype" w:cs="Tahoma"/>
          <w:bCs/>
          <w:lang w:val="es-ES" w:eastAsia="en-US"/>
        </w:rPr>
        <w:t xml:space="preserve"> orientador</w:t>
      </w:r>
      <w:r w:rsidRPr="00B94ABA">
        <w:rPr>
          <w:rFonts w:ascii="Palatino Linotype" w:hAnsi="Palatino Linotype" w:cs="Tahoma"/>
          <w:bCs/>
          <w:lang w:val="es-ES" w:eastAsia="en-US"/>
        </w:rPr>
        <w:t xml:space="preserve"> 08/19 emitido por el Instituto Nacional de Transparencia, Acceso a la Información y Protección de Datos Personales, que señala lo siguiente:</w:t>
      </w:r>
    </w:p>
    <w:p w:rsidR="00CA5E22" w:rsidRPr="005A7D35" w:rsidRDefault="00CA5E22" w:rsidP="00CA5E22">
      <w:pPr>
        <w:ind w:left="567" w:right="-716"/>
        <w:jc w:val="both"/>
        <w:rPr>
          <w:rFonts w:ascii="Palatino Linotype" w:hAnsi="Palatino Linotype" w:cs="Tahoma"/>
          <w:bCs/>
          <w:i/>
          <w:sz w:val="22"/>
          <w:szCs w:val="22"/>
          <w:lang w:eastAsia="en-US"/>
        </w:rPr>
      </w:pPr>
      <w:r w:rsidRPr="005A7D35">
        <w:rPr>
          <w:rFonts w:ascii="Palatino Linotype" w:hAnsi="Palatino Linotype" w:cs="Tahoma"/>
          <w:b/>
          <w:bCs/>
          <w:i/>
          <w:sz w:val="22"/>
          <w:szCs w:val="22"/>
          <w:lang w:eastAsia="en-US"/>
        </w:rPr>
        <w:t xml:space="preserve">Razón social y RFC de personas morales. </w:t>
      </w:r>
      <w:r w:rsidRPr="005A7D35">
        <w:rPr>
          <w:rFonts w:ascii="Palatino Linotype" w:hAnsi="Palatino Linotype" w:cs="Tahoma"/>
          <w:bCs/>
          <w:i/>
          <w:sz w:val="22"/>
          <w:szCs w:val="22"/>
          <w:lang w:eastAsia="en-U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CA5E22" w:rsidRPr="00112495" w:rsidRDefault="00CA5E22" w:rsidP="00CA5E22">
      <w:pPr>
        <w:spacing w:line="360" w:lineRule="auto"/>
        <w:ind w:right="-93"/>
        <w:jc w:val="both"/>
        <w:rPr>
          <w:rFonts w:ascii="Palatino Linotype" w:hAnsi="Palatino Linotype" w:cs="Tahoma"/>
          <w:bCs/>
          <w:sz w:val="22"/>
          <w:szCs w:val="22"/>
          <w:lang w:val="es-ES" w:eastAsia="en-U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lang w:val="es-ES" w:eastAsia="en-US"/>
        </w:rPr>
      </w:pPr>
      <w:r w:rsidRPr="00B94ABA">
        <w:rPr>
          <w:rFonts w:ascii="Palatino Linotype" w:hAnsi="Palatino Linotype" w:cs="Tahoma"/>
          <w:bCs/>
          <w:lang w:val="es-ES" w:eastAsia="en-US"/>
        </w:rPr>
        <w:t>Dicho criterio, precisa que el Registro Federal de Contribuyentes de personas morales, es público, al no referir a hechos o actos de carácter económico, contable, jurídico o administrativo que sean útiles o representen una ventaja a sus competidores.</w:t>
      </w:r>
    </w:p>
    <w:p w:rsidR="00CA5E22" w:rsidRPr="00B94ABA" w:rsidRDefault="00CA5E22" w:rsidP="00CA5E22">
      <w:pPr>
        <w:spacing w:line="360" w:lineRule="auto"/>
        <w:ind w:right="-93"/>
        <w:jc w:val="both"/>
        <w:rPr>
          <w:rFonts w:ascii="Palatino Linotype" w:hAnsi="Palatino Linotype" w:cs="Tahoma"/>
          <w:bCs/>
          <w:lang w:val="es-ES" w:eastAsia="en-US"/>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lang w:eastAsia="en-US"/>
        </w:rPr>
      </w:pPr>
      <w:r w:rsidRPr="00B94ABA">
        <w:rPr>
          <w:rFonts w:ascii="Palatino Linotype" w:hAnsi="Palatino Linotype" w:cs="Tahoma"/>
          <w:bCs/>
          <w:lang w:val="es-ES" w:eastAsia="en-US"/>
        </w:rPr>
        <w:t xml:space="preserve">De tales circunstancias, el </w:t>
      </w:r>
      <w:r w:rsidRPr="00F56DDA">
        <w:rPr>
          <w:rFonts w:ascii="Palatino Linotype" w:hAnsi="Palatino Linotype" w:cs="Tahoma"/>
          <w:b/>
          <w:bCs/>
          <w:lang w:val="es-ES" w:eastAsia="en-US"/>
        </w:rPr>
        <w:t>Registro Federal de Contribuyentes de personas</w:t>
      </w:r>
      <w:r w:rsidRPr="00F56DDA">
        <w:rPr>
          <w:rFonts w:ascii="Palatino Linotype" w:hAnsi="Palatino Linotype" w:cs="Tahoma"/>
          <w:b/>
          <w:bCs/>
          <w:lang w:eastAsia="en-US"/>
        </w:rPr>
        <w:t xml:space="preserve"> morales, no actualizan la causal de clasificación</w:t>
      </w:r>
      <w:r w:rsidRPr="00B94ABA">
        <w:rPr>
          <w:rFonts w:ascii="Palatino Linotype" w:hAnsi="Palatino Linotype" w:cs="Tahoma"/>
          <w:bCs/>
          <w:lang w:eastAsia="en-US"/>
        </w:rPr>
        <w:t>, prevista en el artículo 143, fracción I de la Ley de Transparencia y Acceso a la Información Pública del Estado de México y Municipios, al ser de naturaleza pública.</w:t>
      </w:r>
    </w:p>
    <w:p w:rsidR="00CA5E22" w:rsidRDefault="00CA5E22" w:rsidP="00CA5E22">
      <w:pPr>
        <w:spacing w:line="360" w:lineRule="auto"/>
        <w:ind w:right="-787"/>
        <w:jc w:val="both"/>
        <w:rPr>
          <w:rFonts w:ascii="Palatino Linotype" w:hAnsi="Palatino Linotype" w:cs="Tahoma"/>
          <w:bCs/>
          <w:lang w:eastAsia="en-US"/>
        </w:rPr>
      </w:pPr>
    </w:p>
    <w:p w:rsidR="00CA5E22" w:rsidRPr="005440BE" w:rsidRDefault="00CA5E22" w:rsidP="00416682">
      <w:pPr>
        <w:numPr>
          <w:ilvl w:val="0"/>
          <w:numId w:val="2"/>
        </w:numPr>
        <w:pBdr>
          <w:top w:val="nil"/>
          <w:left w:val="nil"/>
          <w:bottom w:val="nil"/>
          <w:right w:val="nil"/>
          <w:between w:val="nil"/>
        </w:pBdr>
        <w:spacing w:line="360" w:lineRule="auto"/>
        <w:ind w:left="0" w:right="-788" w:firstLine="0"/>
        <w:jc w:val="both"/>
      </w:pPr>
      <w:r w:rsidRPr="005440BE">
        <w:rPr>
          <w:rFonts w:ascii="Palatino Linotype" w:hAnsi="Palatino Linotype"/>
          <w:color w:val="000000"/>
        </w:rPr>
        <w:t xml:space="preserve">Además, las </w:t>
      </w:r>
      <w:r w:rsidRPr="00416682">
        <w:rPr>
          <w:rFonts w:ascii="Palatino Linotype" w:hAnsi="Palatino Linotype" w:cs="Tahoma"/>
          <w:bCs/>
          <w:lang w:val="es-ES" w:eastAsia="en-US"/>
        </w:rPr>
        <w:t>personas</w:t>
      </w:r>
      <w:r w:rsidRPr="005440BE">
        <w:rPr>
          <w:rFonts w:ascii="Palatino Linotype" w:hAnsi="Palatino Linotype"/>
          <w:color w:val="000000"/>
        </w:rPr>
        <w:t xml:space="preserve"> físicas que realicen las actividades contratadas por las instituciones, renuncian </w:t>
      </w:r>
      <w:r w:rsidRPr="00F56DDA">
        <w:rPr>
          <w:rFonts w:ascii="Palatino Linotype" w:hAnsi="Palatino Linotype" w:cs="Tahoma"/>
          <w:bCs/>
          <w:lang w:val="es-ES" w:eastAsia="en-US"/>
        </w:rPr>
        <w:t>implícitamente</w:t>
      </w:r>
      <w:r w:rsidRPr="005440BE">
        <w:rPr>
          <w:rFonts w:ascii="Palatino Linotype" w:hAnsi="Palatino Linotype"/>
          <w:color w:val="000000"/>
        </w:rPr>
        <w:t xml:space="preserve"> a una parte de su derecho a la intimidad al obtener </w:t>
      </w:r>
      <w:r w:rsidRPr="005440BE">
        <w:rPr>
          <w:rFonts w:ascii="Palatino Linotype" w:hAnsi="Palatino Linotype"/>
          <w:color w:val="000000"/>
        </w:rPr>
        <w:lastRenderedPageBreak/>
        <w:t xml:space="preserve">beneficios y lucros de los recursos públicos por dicha contratación, por lo que no puede considerarse como información clasificada lo relativo a su nombre, registro federal de contribuyentes y </w:t>
      </w:r>
      <w:r w:rsidRPr="00416682">
        <w:rPr>
          <w:rFonts w:ascii="Palatino Linotype" w:hAnsi="Palatino Linotype" w:cs="Tahoma"/>
          <w:bCs/>
          <w:lang w:val="es-ES" w:eastAsia="en-US"/>
        </w:rPr>
        <w:t>domicilio</w:t>
      </w:r>
      <w:r w:rsidRPr="005440BE">
        <w:rPr>
          <w:rFonts w:ascii="Palatino Linotype" w:hAnsi="Palatino Linotype"/>
          <w:color w:val="000000"/>
        </w:rPr>
        <w:t xml:space="preserve"> fiscal, atento a que dicha información es la que puede generar certeza en los gobernados en que se está ejerciendo debidamente el presupuesto.</w:t>
      </w:r>
    </w:p>
    <w:p w:rsidR="00CA5E22" w:rsidRPr="005440BE" w:rsidRDefault="00CA5E22" w:rsidP="00CA5E22">
      <w:pPr>
        <w:spacing w:line="360" w:lineRule="auto"/>
        <w:ind w:right="276"/>
        <w:jc w:val="both"/>
      </w:pPr>
    </w:p>
    <w:p w:rsidR="00CA5E22" w:rsidRPr="00200F34" w:rsidRDefault="00CA5E22" w:rsidP="00416682">
      <w:pPr>
        <w:numPr>
          <w:ilvl w:val="0"/>
          <w:numId w:val="2"/>
        </w:numPr>
        <w:pBdr>
          <w:top w:val="nil"/>
          <w:left w:val="nil"/>
          <w:bottom w:val="nil"/>
          <w:right w:val="nil"/>
          <w:between w:val="nil"/>
        </w:pBdr>
        <w:spacing w:line="360" w:lineRule="auto"/>
        <w:ind w:left="0" w:right="-788" w:firstLine="0"/>
        <w:jc w:val="both"/>
      </w:pPr>
      <w:r w:rsidRPr="005440BE">
        <w:rPr>
          <w:rFonts w:ascii="Palatino Linotype" w:hAnsi="Palatino Linotype"/>
          <w:color w:val="000000"/>
        </w:rPr>
        <w:t>Robustece lo anterior el criterio</w:t>
      </w:r>
      <w:r>
        <w:rPr>
          <w:rFonts w:ascii="Palatino Linotype" w:hAnsi="Palatino Linotype"/>
          <w:color w:val="000000"/>
        </w:rPr>
        <w:t xml:space="preserve"> orientador</w:t>
      </w:r>
      <w:r w:rsidRPr="005440BE">
        <w:rPr>
          <w:rFonts w:ascii="Palatino Linotype" w:hAnsi="Palatino Linotype"/>
          <w:color w:val="000000"/>
        </w:rPr>
        <w:t xml:space="preserve"> 04/21 emitido por el Instituto Nacional de Transparencia, Acceso a la Información y Protección de Datos Personales, INAI, el cual refiere:</w:t>
      </w:r>
    </w:p>
    <w:p w:rsidR="00CA5E22" w:rsidRPr="005440BE" w:rsidRDefault="00CA5E22" w:rsidP="00CA5E22">
      <w:pPr>
        <w:spacing w:line="360" w:lineRule="auto"/>
        <w:ind w:right="-787"/>
        <w:jc w:val="both"/>
      </w:pPr>
    </w:p>
    <w:p w:rsidR="00CA5E22" w:rsidRDefault="00CA5E22" w:rsidP="00CA5E22">
      <w:pPr>
        <w:ind w:left="567" w:right="-716"/>
        <w:jc w:val="both"/>
        <w:rPr>
          <w:rFonts w:ascii="Palatino Linotype" w:hAnsi="Palatino Linotype"/>
          <w:i/>
          <w:iCs/>
          <w:color w:val="000000"/>
          <w:sz w:val="22"/>
          <w:szCs w:val="22"/>
        </w:rPr>
      </w:pPr>
      <w:r>
        <w:rPr>
          <w:rFonts w:ascii="Palatino Linotype" w:hAnsi="Palatino Linotype"/>
          <w:b/>
          <w:bCs/>
          <w:i/>
          <w:iCs/>
          <w:color w:val="000000"/>
          <w:sz w:val="22"/>
          <w:szCs w:val="22"/>
        </w:rPr>
        <w:t xml:space="preserve">“Registro Federal de Contribuyentes (RFC) de personas físicas proveedoras o contratistas. </w:t>
      </w:r>
      <w:r>
        <w:rPr>
          <w:rFonts w:ascii="Palatino Linotype" w:hAnsi="Palatino Linotype"/>
          <w:i/>
          <w:iCs/>
          <w:color w:val="000000"/>
          <w:sz w:val="22"/>
          <w:szCs w:val="22"/>
        </w:rPr>
        <w:t xml:space="preserve">El RFC de contratistas o proveedores de los sujetos obligados debe ser público, ya que al tratarse de personas con contrataciones públicas, su difusión favorece la </w:t>
      </w:r>
      <w:r w:rsidRPr="00200F34">
        <w:rPr>
          <w:rFonts w:ascii="Palatino Linotype" w:hAnsi="Palatino Linotype" w:cs="Tahoma"/>
          <w:bCs/>
          <w:i/>
          <w:sz w:val="22"/>
          <w:szCs w:val="22"/>
          <w:lang w:eastAsia="en-US"/>
        </w:rPr>
        <w:t>transparencia</w:t>
      </w:r>
      <w:r>
        <w:rPr>
          <w:rFonts w:ascii="Palatino Linotype" w:hAnsi="Palatino Linotype"/>
          <w:i/>
          <w:iCs/>
          <w:color w:val="000000"/>
          <w:sz w:val="22"/>
          <w:szCs w:val="22"/>
        </w:rPr>
        <w:t xml:space="preserve"> con la que deben administrarse los recursos públicos, en términos del artículo 134 de la Constitución Política de los Estados Unidos Mexicanos.”</w:t>
      </w:r>
    </w:p>
    <w:p w:rsidR="00CA5E22" w:rsidRDefault="00CA5E22" w:rsidP="00CA5E22">
      <w:pPr>
        <w:jc w:val="both"/>
        <w:rPr>
          <w:rFonts w:ascii="Palatino Linotype" w:hAnsi="Palatino Linotype" w:cs="Tahoma"/>
          <w:bCs/>
          <w:iCs/>
        </w:rPr>
      </w:pPr>
    </w:p>
    <w:p w:rsidR="00CA5E22" w:rsidRPr="00B94ABA" w:rsidRDefault="00CA5E22" w:rsidP="00CA5E22">
      <w:pPr>
        <w:jc w:val="both"/>
        <w:rPr>
          <w:rFonts w:ascii="Palatino Linotype" w:hAnsi="Palatino Linotype" w:cs="Tahoma"/>
          <w:bCs/>
          <w:iCs/>
        </w:rPr>
      </w:pPr>
    </w:p>
    <w:p w:rsidR="00CA5E22" w:rsidRPr="000B351A" w:rsidRDefault="00CA5E22" w:rsidP="005F6634">
      <w:pPr>
        <w:numPr>
          <w:ilvl w:val="0"/>
          <w:numId w:val="10"/>
        </w:numPr>
        <w:spacing w:line="360" w:lineRule="auto"/>
        <w:jc w:val="both"/>
        <w:rPr>
          <w:rFonts w:ascii="Palatino Linotype" w:hAnsi="Palatino Linotype" w:cs="Tahoma"/>
          <w:b/>
        </w:rPr>
      </w:pPr>
      <w:r w:rsidRPr="00B94ABA">
        <w:rPr>
          <w:rFonts w:ascii="Palatino Linotype" w:hAnsi="Palatino Linotype" w:cs="Tahoma"/>
          <w:b/>
        </w:rPr>
        <w:t>Clave Única de Registro de Población (CURP).</w:t>
      </w: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xml:space="preserve"> constituye un dato personal, ya que tiene </w:t>
      </w:r>
      <w:r w:rsidRPr="00416682">
        <w:rPr>
          <w:rFonts w:ascii="Palatino Linotype" w:hAnsi="Palatino Linotype"/>
          <w:color w:val="000000"/>
        </w:rPr>
        <w:t>como</w:t>
      </w:r>
      <w:r>
        <w:rPr>
          <w:rFonts w:ascii="Palatino Linotype" w:eastAsia="Palatino Linotype" w:hAnsi="Palatino Linotype" w:cs="Palatino Linotype"/>
        </w:rPr>
        <w:t xml:space="preserve">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CA5E22" w:rsidRDefault="00CA5E22" w:rsidP="00CA5E22">
      <w:pPr>
        <w:tabs>
          <w:tab w:val="left" w:pos="284"/>
        </w:tabs>
        <w:spacing w:line="360" w:lineRule="auto"/>
        <w:jc w:val="both"/>
        <w:rPr>
          <w:rFonts w:ascii="Palatino Linotype" w:eastAsia="Palatino Linotype" w:hAnsi="Palatino Linotype" w:cs="Palatino Linotype"/>
        </w:rPr>
      </w:pPr>
    </w:p>
    <w:p w:rsidR="00CA5E22" w:rsidRPr="00F4432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Nacional de Transparencia, Acceso a la Información y Protección </w:t>
      </w:r>
      <w:r w:rsidRPr="00416682">
        <w:rPr>
          <w:rFonts w:ascii="Palatino Linotype" w:hAnsi="Palatino Linotype"/>
          <w:color w:val="000000"/>
        </w:rPr>
        <w:t>de</w:t>
      </w:r>
      <w:r>
        <w:rPr>
          <w:rFonts w:ascii="Palatino Linotype" w:eastAsia="Palatino Linotype" w:hAnsi="Palatino Linotype" w:cs="Palatino Linotype"/>
        </w:rPr>
        <w:t xml:space="preserve"> Datos Personales, INAI, conforme al criterio orientador 18/17, el cual refiere: </w:t>
      </w:r>
    </w:p>
    <w:p w:rsidR="00CA5E22" w:rsidRPr="00EE12EE" w:rsidRDefault="00CA5E22" w:rsidP="00CA5E22">
      <w:pPr>
        <w:ind w:left="567" w:right="-7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A5E22" w:rsidRDefault="00CA5E22" w:rsidP="00CA5E22">
      <w:pPr>
        <w:pBdr>
          <w:top w:val="nil"/>
          <w:left w:val="nil"/>
          <w:bottom w:val="nil"/>
          <w:right w:val="nil"/>
          <w:between w:val="nil"/>
        </w:pBdr>
        <w:spacing w:line="360" w:lineRule="auto"/>
        <w:ind w:right="-787"/>
        <w:jc w:val="both"/>
        <w:rPr>
          <w:rFonts w:ascii="Palatino Linotype" w:eastAsia="Palatino Linotype" w:hAnsi="Palatino Linotype" w:cs="Palatino Linotype"/>
          <w:bCs/>
        </w:rPr>
      </w:pPr>
    </w:p>
    <w:p w:rsidR="00CA5E22" w:rsidRPr="007F369E" w:rsidRDefault="00CA5E22" w:rsidP="005F6634">
      <w:pPr>
        <w:pStyle w:val="Prrafodelista"/>
        <w:numPr>
          <w:ilvl w:val="0"/>
          <w:numId w:val="12"/>
        </w:numPr>
        <w:pBdr>
          <w:top w:val="nil"/>
          <w:left w:val="nil"/>
          <w:bottom w:val="nil"/>
          <w:right w:val="nil"/>
          <w:between w:val="nil"/>
        </w:pBdr>
        <w:spacing w:line="360" w:lineRule="auto"/>
        <w:ind w:right="-787"/>
        <w:jc w:val="both"/>
        <w:rPr>
          <w:rFonts w:ascii="Palatino Linotype" w:eastAsia="Palatino Linotype" w:hAnsi="Palatino Linotype" w:cs="Palatino Linotype"/>
          <w:b/>
          <w:bCs/>
        </w:rPr>
      </w:pPr>
      <w:r w:rsidRPr="007F369E">
        <w:rPr>
          <w:rFonts w:ascii="Palatino Linotype" w:hAnsi="Palatino Linotype"/>
          <w:b/>
          <w:color w:val="000000"/>
        </w:rPr>
        <w:t>Cuentas bancarias o clabes interbancarias</w:t>
      </w:r>
    </w:p>
    <w:p w:rsidR="00CA5E22" w:rsidRPr="00DF7389" w:rsidRDefault="00CA5E22" w:rsidP="00416682">
      <w:pPr>
        <w:numPr>
          <w:ilvl w:val="0"/>
          <w:numId w:val="2"/>
        </w:numPr>
        <w:pBdr>
          <w:top w:val="nil"/>
          <w:left w:val="nil"/>
          <w:bottom w:val="nil"/>
          <w:right w:val="nil"/>
          <w:between w:val="nil"/>
        </w:pBdr>
        <w:spacing w:line="360" w:lineRule="auto"/>
        <w:ind w:left="0" w:right="-788" w:firstLine="0"/>
        <w:jc w:val="both"/>
      </w:pPr>
      <w:r w:rsidRPr="005440BE">
        <w:rPr>
          <w:rFonts w:ascii="Palatino Linotype" w:eastAsia="Palatino Linotype" w:hAnsi="Palatino Linotype" w:cs="Palatino Linotype"/>
        </w:rPr>
        <w:t xml:space="preserve">Resulta </w:t>
      </w:r>
      <w:r w:rsidRPr="00416682">
        <w:rPr>
          <w:rFonts w:ascii="Palatino Linotype" w:hAnsi="Palatino Linotype"/>
          <w:color w:val="000000"/>
        </w:rPr>
        <w:t>importante</w:t>
      </w:r>
      <w:r w:rsidRPr="005440BE">
        <w:rPr>
          <w:rFonts w:ascii="Palatino Linotype" w:eastAsia="Palatino Linotype" w:hAnsi="Palatino Linotype" w:cs="Palatino Linotype"/>
        </w:rPr>
        <w:t xml:space="preserve"> señalar que </w:t>
      </w:r>
      <w:r w:rsidRPr="005440BE">
        <w:rPr>
          <w:rFonts w:ascii="Palatino Linotype" w:hAnsi="Palatino Linotype"/>
          <w:color w:val="000000"/>
        </w:rPr>
        <w:t>tratándose</w:t>
      </w:r>
      <w:r>
        <w:rPr>
          <w:rFonts w:ascii="Palatino Linotype" w:hAnsi="Palatino Linotype"/>
          <w:color w:val="000000"/>
        </w:rPr>
        <w:t xml:space="preserve"> de las cuentas bancarias o clab</w:t>
      </w:r>
      <w:r w:rsidRPr="005440BE">
        <w:rPr>
          <w:rFonts w:ascii="Palatino Linotype" w:hAnsi="Palatino Linotype"/>
          <w:color w:val="000000"/>
        </w:rPr>
        <w:t>es interbancarias de los Sujetos Obligados ya que su publicidad cede a la rendición de cuentas al transparentar la forma en que son administrados los recursos públicos.</w:t>
      </w:r>
    </w:p>
    <w:p w:rsidR="00CA5E22" w:rsidRPr="005440BE" w:rsidRDefault="00CA5E22" w:rsidP="00CA5E22">
      <w:pPr>
        <w:spacing w:line="360" w:lineRule="auto"/>
        <w:ind w:right="276"/>
        <w:jc w:val="both"/>
      </w:pPr>
    </w:p>
    <w:p w:rsidR="00CA5E22" w:rsidRPr="005440BE" w:rsidRDefault="00CA5E22" w:rsidP="00416682">
      <w:pPr>
        <w:numPr>
          <w:ilvl w:val="0"/>
          <w:numId w:val="2"/>
        </w:numPr>
        <w:pBdr>
          <w:top w:val="nil"/>
          <w:left w:val="nil"/>
          <w:bottom w:val="nil"/>
          <w:right w:val="nil"/>
          <w:between w:val="nil"/>
        </w:pBdr>
        <w:spacing w:line="360" w:lineRule="auto"/>
        <w:ind w:left="0" w:right="-788" w:firstLine="0"/>
        <w:jc w:val="both"/>
      </w:pPr>
      <w:r w:rsidRPr="005440BE">
        <w:rPr>
          <w:rFonts w:ascii="Palatino Linotype" w:hAnsi="Palatino Linotype"/>
          <w:color w:val="000000"/>
        </w:rPr>
        <w:t xml:space="preserve">Lo </w:t>
      </w:r>
      <w:r w:rsidRPr="00416682">
        <w:rPr>
          <w:rFonts w:ascii="Palatino Linotype" w:hAnsi="Palatino Linotype"/>
          <w:color w:val="000000"/>
        </w:rPr>
        <w:t>argumentado</w:t>
      </w:r>
      <w:r w:rsidRPr="005440BE">
        <w:rPr>
          <w:rFonts w:ascii="Palatino Linotype" w:hAnsi="Palatino Linotype"/>
          <w:color w:val="000000"/>
        </w:rPr>
        <w:t xml:space="preserve"> encuentra sustento en los criterios</w:t>
      </w:r>
      <w:r>
        <w:rPr>
          <w:rFonts w:ascii="Palatino Linotype" w:hAnsi="Palatino Linotype"/>
          <w:color w:val="000000"/>
        </w:rPr>
        <w:t xml:space="preserve"> orientadores</w:t>
      </w:r>
      <w:r w:rsidRPr="005440BE">
        <w:rPr>
          <w:rFonts w:ascii="Palatino Linotype" w:hAnsi="Palatino Linotype"/>
          <w:color w:val="000000"/>
        </w:rPr>
        <w:t xml:space="preserve"> 10/17 y 11/17 emitidos por el Instituto Nacional de Transparencia, Acceso a la Información y Protección de Datos Personales, INAI, que llevan por rubro y texto los siguientes:</w:t>
      </w:r>
    </w:p>
    <w:p w:rsidR="00CA5E22" w:rsidRDefault="00CA5E22" w:rsidP="00CA5E22">
      <w:pPr>
        <w:pStyle w:val="NormalWeb"/>
        <w:spacing w:before="240" w:beforeAutospacing="0" w:after="240" w:afterAutospacing="0"/>
        <w:ind w:left="567" w:right="-291"/>
        <w:jc w:val="both"/>
      </w:pPr>
      <w:r>
        <w:rPr>
          <w:rFonts w:ascii="Palatino Linotype" w:hAnsi="Palatino Linotype"/>
          <w:b/>
          <w:bCs/>
          <w:i/>
          <w:iCs/>
          <w:color w:val="000000"/>
          <w:sz w:val="22"/>
          <w:szCs w:val="22"/>
        </w:rPr>
        <w:t>“Cuentas bancarias y/o CLABE interbancaria de personas físicas y morales privadas.</w:t>
      </w:r>
      <w:r>
        <w:rPr>
          <w:rFonts w:ascii="Palatino Linotype" w:hAnsi="Palatino Linotype"/>
          <w:i/>
          <w:iCs/>
          <w:color w:val="000000"/>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CA5E22" w:rsidRDefault="00CA5E22" w:rsidP="00CA5E22">
      <w:pPr>
        <w:pStyle w:val="NormalWeb"/>
        <w:spacing w:before="240" w:beforeAutospacing="0" w:after="240" w:afterAutospacing="0"/>
        <w:ind w:left="567" w:right="-291"/>
        <w:jc w:val="both"/>
        <w:rPr>
          <w:rFonts w:ascii="Palatino Linotype" w:hAnsi="Palatino Linotype"/>
          <w:i/>
          <w:iCs/>
          <w:color w:val="000000"/>
          <w:sz w:val="22"/>
          <w:szCs w:val="22"/>
        </w:rPr>
      </w:pPr>
      <w:r>
        <w:rPr>
          <w:rFonts w:ascii="Palatino Linotype" w:hAnsi="Palatino Linotype"/>
          <w:b/>
          <w:bCs/>
          <w:i/>
          <w:iCs/>
          <w:color w:val="000000"/>
          <w:sz w:val="22"/>
          <w:szCs w:val="22"/>
        </w:rPr>
        <w:t>Cuentas bancarias y/o CLABE interbancaria de sujetos obligados que reciben y/o transfieren recursos públicos, son información pública</w:t>
      </w:r>
      <w:r>
        <w:rPr>
          <w:rFonts w:ascii="Palatino Linotype" w:hAnsi="Palatino Linotype"/>
          <w:i/>
          <w:iCs/>
          <w:color w:val="000000"/>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CA5E22" w:rsidRDefault="00CA5E22" w:rsidP="00CA5E22">
      <w:pPr>
        <w:pStyle w:val="NormalWeb"/>
        <w:spacing w:before="240" w:beforeAutospacing="0" w:after="240" w:afterAutospacing="0"/>
        <w:ind w:right="1127"/>
        <w:jc w:val="both"/>
        <w:rPr>
          <w:rFonts w:ascii="Palatino Linotype" w:hAnsi="Palatino Linotype"/>
          <w:i/>
          <w:iCs/>
          <w:color w:val="000000"/>
          <w:sz w:val="22"/>
          <w:szCs w:val="22"/>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bCs/>
        </w:rPr>
      </w:pPr>
      <w:r>
        <w:rPr>
          <w:rFonts w:ascii="Palatino Linotype" w:eastAsia="Palatino Linotype" w:hAnsi="Palatino Linotype" w:cs="Palatino Linotype"/>
        </w:rPr>
        <w:t xml:space="preserve">Si bien las cuentas bancarias y/o CLABE de personas que </w:t>
      </w:r>
      <w:r w:rsidRPr="00830AE7">
        <w:rPr>
          <w:rFonts w:ascii="Palatino Linotype" w:eastAsia="Palatino Linotype" w:hAnsi="Palatino Linotype" w:cs="Palatino Linotype"/>
          <w:bCs/>
          <w:iCs/>
        </w:rPr>
        <w:t xml:space="preserve">reciben y/o transfieren recursos </w:t>
      </w:r>
      <w:r w:rsidRPr="00416682">
        <w:rPr>
          <w:rFonts w:ascii="Palatino Linotype" w:hAnsi="Palatino Linotype"/>
          <w:color w:val="000000"/>
        </w:rPr>
        <w:t>públicos</w:t>
      </w:r>
      <w:r w:rsidRPr="00830AE7">
        <w:rPr>
          <w:rFonts w:ascii="Palatino Linotype" w:eastAsia="Palatino Linotype" w:hAnsi="Palatino Linotype" w:cs="Palatino Linotype"/>
        </w:rPr>
        <w:t xml:space="preserve"> </w:t>
      </w:r>
      <w:r>
        <w:rPr>
          <w:rFonts w:ascii="Palatino Linotype" w:eastAsia="Palatino Linotype" w:hAnsi="Palatino Linotype" w:cs="Palatino Linotype"/>
        </w:rPr>
        <w:t xml:space="preserve">corresponden a datos personales, </w:t>
      </w:r>
      <w:r>
        <w:rPr>
          <w:rFonts w:ascii="Palatino Linotype" w:eastAsia="Palatino Linotype" w:hAnsi="Palatino Linotype" w:cs="Palatino Linotype"/>
          <w:bCs/>
        </w:rPr>
        <w:t>no</w:t>
      </w:r>
      <w:r w:rsidRPr="00D828B2">
        <w:rPr>
          <w:rFonts w:ascii="Palatino Linotype" w:eastAsia="Palatino Linotype" w:hAnsi="Palatino Linotype" w:cs="Palatino Linotype"/>
          <w:bCs/>
        </w:rPr>
        <w:t xml:space="preserve"> actualiza</w:t>
      </w:r>
      <w:r>
        <w:rPr>
          <w:rFonts w:ascii="Palatino Linotype" w:eastAsia="Palatino Linotype" w:hAnsi="Palatino Linotype" w:cs="Palatino Linotype"/>
          <w:bCs/>
        </w:rPr>
        <w:t>n</w:t>
      </w:r>
      <w:r w:rsidRPr="00D828B2">
        <w:rPr>
          <w:rFonts w:ascii="Palatino Linotype" w:eastAsia="Palatino Linotype" w:hAnsi="Palatino Linotype" w:cs="Palatino Linotype"/>
          <w:bCs/>
        </w:rPr>
        <w:t xml:space="preserve"> la causal de clasificación </w:t>
      </w:r>
      <w:r w:rsidRPr="00D828B2">
        <w:rPr>
          <w:rFonts w:ascii="Palatino Linotype" w:eastAsia="Palatino Linotype" w:hAnsi="Palatino Linotype" w:cs="Palatino Linotype"/>
          <w:bCs/>
        </w:rPr>
        <w:lastRenderedPageBreak/>
        <w:t>establecida en el artículo 143, fracción I</w:t>
      </w:r>
      <w:r>
        <w:rPr>
          <w:rFonts w:ascii="Palatino Linotype" w:eastAsia="Palatino Linotype" w:hAnsi="Palatino Linotype" w:cs="Palatino Linotype"/>
          <w:bCs/>
        </w:rPr>
        <w:t>,</w:t>
      </w:r>
      <w:r w:rsidRPr="00D828B2">
        <w:rPr>
          <w:rFonts w:ascii="Palatino Linotype" w:eastAsia="Palatino Linotype" w:hAnsi="Palatino Linotype" w:cs="Palatino Linotype"/>
          <w:bCs/>
        </w:rPr>
        <w:t xml:space="preserve"> de la Ley de Transparencia y Acceso a la Información Pública del Estado de México y Municipios.</w:t>
      </w:r>
    </w:p>
    <w:p w:rsidR="00217462" w:rsidRDefault="00217462" w:rsidP="00217462">
      <w:pPr>
        <w:pBdr>
          <w:top w:val="nil"/>
          <w:left w:val="nil"/>
          <w:bottom w:val="nil"/>
          <w:right w:val="nil"/>
          <w:between w:val="nil"/>
        </w:pBdr>
        <w:spacing w:line="360" w:lineRule="auto"/>
        <w:ind w:right="-788"/>
        <w:jc w:val="both"/>
        <w:rPr>
          <w:rFonts w:ascii="Palatino Linotype" w:eastAsia="Palatino Linotype" w:hAnsi="Palatino Linotype" w:cs="Palatino Linotype"/>
          <w:bCs/>
        </w:rPr>
      </w:pPr>
    </w:p>
    <w:p w:rsidR="00CA5E22" w:rsidRPr="000B351A" w:rsidRDefault="00CA5E22" w:rsidP="005F6634">
      <w:pPr>
        <w:pStyle w:val="Prrafodelista"/>
        <w:numPr>
          <w:ilvl w:val="0"/>
          <w:numId w:val="11"/>
        </w:numPr>
        <w:spacing w:line="360" w:lineRule="auto"/>
        <w:jc w:val="both"/>
        <w:rPr>
          <w:rFonts w:ascii="Palatino Linotype" w:hAnsi="Palatino Linotype" w:cs="Tahoma"/>
          <w:b/>
          <w:lang w:val="es-ES" w:eastAsia="en-US"/>
        </w:rPr>
      </w:pPr>
      <w:r w:rsidRPr="00B94ABA">
        <w:rPr>
          <w:rFonts w:ascii="Palatino Linotype" w:hAnsi="Palatino Linotype" w:cs="Tahoma"/>
          <w:b/>
          <w:lang w:val="es-ES" w:eastAsia="en-US"/>
        </w:rPr>
        <w:t>Nombre</w:t>
      </w:r>
      <w:r>
        <w:rPr>
          <w:rFonts w:ascii="Palatino Linotype" w:hAnsi="Palatino Linotype" w:cs="Tahoma"/>
          <w:b/>
          <w:lang w:val="es-ES" w:eastAsia="en-US"/>
        </w:rPr>
        <w:t>, firma y rúbrica</w:t>
      </w:r>
      <w:r w:rsidRPr="00B94ABA">
        <w:rPr>
          <w:rFonts w:ascii="Palatino Linotype" w:hAnsi="Palatino Linotype" w:cs="Tahoma"/>
          <w:b/>
          <w:lang w:val="es-ES" w:eastAsia="en-US"/>
        </w:rPr>
        <w:t xml:space="preserve"> de representante legal.</w:t>
      </w: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B94ABA">
        <w:rPr>
          <w:rFonts w:ascii="Palatino Linotype" w:hAnsi="Palatino Linotype" w:cs="Tahoma"/>
          <w:lang w:val="es-ES"/>
        </w:rPr>
        <w:t xml:space="preserve">Al respecto, </w:t>
      </w:r>
      <w:r w:rsidRPr="00A729C7">
        <w:rPr>
          <w:rFonts w:ascii="Palatino Linotype" w:eastAsia="Palatino Linotype" w:hAnsi="Palatino Linotype" w:cs="Palatino Linotype"/>
        </w:rPr>
        <w:t>resulta</w:t>
      </w:r>
      <w:r w:rsidRPr="00B94ABA">
        <w:rPr>
          <w:rFonts w:ascii="Palatino Linotype" w:hAnsi="Palatino Linotype" w:cs="Tahoma"/>
          <w:lang w:val="es-ES"/>
        </w:rPr>
        <w:t xml:space="preserve"> </w:t>
      </w:r>
      <w:r w:rsidRPr="00416682">
        <w:rPr>
          <w:rFonts w:ascii="Palatino Linotype" w:hAnsi="Palatino Linotype"/>
          <w:color w:val="000000"/>
        </w:rPr>
        <w:t>necesario</w:t>
      </w:r>
      <w:r w:rsidRPr="00B94ABA">
        <w:rPr>
          <w:rFonts w:ascii="Palatino Linotype" w:hAnsi="Palatino Linotype" w:cs="Tahoma"/>
          <w:lang w:val="es-ES"/>
        </w:rPr>
        <w:t xml:space="preserve"> señalar que las personas jurídico colectivas son representadas mediante personas físicas, debidamente acreditadas para realizar determinados actos a nombre de la jurídico-colectiva, por lo que, el nombre de dichos individuos no </w:t>
      </w:r>
      <w:r w:rsidRPr="00EE12EE">
        <w:rPr>
          <w:rFonts w:ascii="Palatino Linotype" w:eastAsia="Palatino Linotype" w:hAnsi="Palatino Linotype" w:cs="Palatino Linotype"/>
        </w:rPr>
        <w:t>puede</w:t>
      </w:r>
      <w:r w:rsidRPr="00B94ABA">
        <w:rPr>
          <w:rFonts w:ascii="Palatino Linotype" w:hAnsi="Palatino Linotype" w:cs="Tahoma"/>
          <w:lang w:val="es-ES"/>
        </w:rPr>
        <w:t xml:space="preserve"> ser objeto de clasificación, en virtud de que la representación persigue la finalidad de dar certeza jurídica a los actos que realiza, en el presente caso, solicitar y recibir diversas Licencias de Funcionamiento.</w:t>
      </w:r>
    </w:p>
    <w:p w:rsidR="00CA5E22" w:rsidRPr="00B94ABA" w:rsidRDefault="00CA5E22" w:rsidP="00CA5E22">
      <w:pPr>
        <w:spacing w:line="360" w:lineRule="auto"/>
        <w:jc w:val="both"/>
        <w:rPr>
          <w:rFonts w:ascii="Palatino Linotype" w:hAnsi="Palatino Linotype" w:cs="Tahoma"/>
          <w:lang w:val="es-E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B94ABA">
        <w:rPr>
          <w:rFonts w:ascii="Palatino Linotype" w:hAnsi="Palatino Linotype" w:cs="Tahoma"/>
          <w:lang w:val="es-ES"/>
        </w:rPr>
        <w:t xml:space="preserve">En ese </w:t>
      </w:r>
      <w:r w:rsidRPr="00A729C7">
        <w:rPr>
          <w:rFonts w:ascii="Palatino Linotype" w:eastAsia="Palatino Linotype" w:hAnsi="Palatino Linotype" w:cs="Palatino Linotype"/>
        </w:rPr>
        <w:t>sentido</w:t>
      </w:r>
      <w:r w:rsidRPr="00B94ABA">
        <w:rPr>
          <w:rFonts w:ascii="Palatino Linotype" w:hAnsi="Palatino Linotype" w:cs="Tahoma"/>
          <w:lang w:val="es-ES"/>
        </w:rPr>
        <w:t>,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00CA5E22" w:rsidRPr="00B94ABA" w:rsidRDefault="00CA5E22" w:rsidP="00CA5E22">
      <w:pPr>
        <w:spacing w:line="360" w:lineRule="auto"/>
        <w:jc w:val="both"/>
        <w:rPr>
          <w:rFonts w:ascii="Palatino Linotype" w:hAnsi="Palatino Linotype" w:cs="Tahoma"/>
          <w:lang w:val="es-E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B94ABA">
        <w:rPr>
          <w:rFonts w:ascii="Palatino Linotype" w:hAnsi="Palatino Linotype" w:cs="Tahoma"/>
          <w:lang w:val="es-ES"/>
        </w:rPr>
        <w:t xml:space="preserve">En esa tesitura, la </w:t>
      </w:r>
      <w:r w:rsidRPr="00A729C7">
        <w:rPr>
          <w:rFonts w:ascii="Palatino Linotype" w:eastAsia="Palatino Linotype" w:hAnsi="Palatino Linotype" w:cs="Palatino Linotype"/>
        </w:rPr>
        <w:t>representación</w:t>
      </w:r>
      <w:r w:rsidRPr="00B94ABA">
        <w:rPr>
          <w:rFonts w:ascii="Palatino Linotype" w:hAnsi="Palatino Linotype" w:cs="Tahoma"/>
          <w:lang w:val="es-ES"/>
        </w:rPr>
        <w:t xml:space="preserve"> de las personas morales se realizará por medio de representantes o apoderados, y en el caso específico de las sociedades mercantiles, dicha representación se otorgará mediante instrumento público.</w:t>
      </w:r>
    </w:p>
    <w:p w:rsidR="00CA5E22" w:rsidRPr="00B94ABA" w:rsidRDefault="00CA5E22" w:rsidP="00CA5E22">
      <w:pPr>
        <w:spacing w:line="360" w:lineRule="auto"/>
        <w:jc w:val="both"/>
        <w:rPr>
          <w:rFonts w:ascii="Palatino Linotype" w:hAnsi="Palatino Linotype" w:cs="Tahoma"/>
          <w:lang w:val="es-E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B94ABA">
        <w:rPr>
          <w:rFonts w:ascii="Palatino Linotype" w:hAnsi="Palatino Linotype" w:cs="Tahoma"/>
          <w:lang w:val="es-ES"/>
        </w:rPr>
        <w:t xml:space="preserve">Ello, toda vez que la representación legal debe ser conocida para surtir efectos ante terceros; es decir, la publicidad de la misma tiene por objeto dar certeza a quienes se relacionan </w:t>
      </w:r>
      <w:r w:rsidRPr="00B94ABA">
        <w:rPr>
          <w:rFonts w:ascii="Palatino Linotype" w:hAnsi="Palatino Linotype" w:cs="Tahoma"/>
          <w:lang w:val="es-ES"/>
        </w:rPr>
        <w:lastRenderedPageBreak/>
        <w:t>con la persona jurídico-colectiva representada, que las actuaciones de su representante están previamente autorizadas y que surtirán efectos legales a que constriñe cada acto.</w:t>
      </w:r>
    </w:p>
    <w:p w:rsidR="00CA5E22" w:rsidRPr="00B94ABA" w:rsidRDefault="00CA5E22" w:rsidP="00CA5E22">
      <w:pPr>
        <w:spacing w:line="360" w:lineRule="auto"/>
        <w:jc w:val="both"/>
        <w:rPr>
          <w:rFonts w:ascii="Palatino Linotype" w:hAnsi="Palatino Linotype" w:cs="Tahoma"/>
          <w:lang w:val="es-ES"/>
        </w:rPr>
      </w:pPr>
    </w:p>
    <w:p w:rsidR="00CA5E22" w:rsidRPr="00B94ABA"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B94ABA">
        <w:rPr>
          <w:rFonts w:ascii="Palatino Linotype" w:hAnsi="Palatino Linotype" w:cs="Tahoma"/>
          <w:lang w:val="es-ES"/>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w:t>
      </w:r>
      <w:r w:rsidRPr="00EE12EE">
        <w:rPr>
          <w:rFonts w:ascii="Palatino Linotype" w:hAnsi="Palatino Linotype" w:cs="Tahoma"/>
          <w:b/>
          <w:lang w:val="es-ES"/>
        </w:rPr>
        <w:t>nombre, la firma y la rúbrica del apoderado legal de una empresa</w:t>
      </w:r>
      <w:r w:rsidRPr="00B94ABA">
        <w:rPr>
          <w:rFonts w:ascii="Palatino Linotype" w:hAnsi="Palatino Linotype" w:cs="Tahoma"/>
          <w:lang w:val="es-ES"/>
        </w:rPr>
        <w:t xml:space="preserve">, </w:t>
      </w:r>
      <w:r w:rsidRPr="00B94ABA">
        <w:rPr>
          <w:rFonts w:ascii="Palatino Linotype" w:hAnsi="Palatino Linotype" w:cs="Tahoma"/>
          <w:b/>
          <w:lang w:val="es-ES"/>
        </w:rPr>
        <w:t xml:space="preserve">es público, </w:t>
      </w:r>
      <w:r w:rsidRPr="00B94ABA">
        <w:rPr>
          <w:rFonts w:ascii="Palatino Linotype" w:hAnsi="Palatino Linotype" w:cs="Tahoma"/>
          <w:lang w:val="es-ES"/>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00CA5E22" w:rsidRPr="00B94ABA" w:rsidRDefault="00CA5E22" w:rsidP="00CA5E22">
      <w:pPr>
        <w:spacing w:line="360" w:lineRule="auto"/>
        <w:jc w:val="both"/>
        <w:rPr>
          <w:rFonts w:ascii="Palatino Linotype" w:hAnsi="Palatino Linotype" w:cs="Tahoma"/>
          <w:lang w:val="es-ES"/>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B94ABA">
        <w:rPr>
          <w:rFonts w:ascii="Palatino Linotype" w:hAnsi="Palatino Linotype" w:cs="Tahoma"/>
          <w:lang w:val="es-ES"/>
        </w:rPr>
        <w:t xml:space="preserve">Lo anterior, se robustece con el criterio </w:t>
      </w:r>
      <w:r>
        <w:rPr>
          <w:rFonts w:ascii="Palatino Linotype" w:hAnsi="Palatino Linotype" w:cs="Tahoma"/>
          <w:lang w:val="es-ES"/>
        </w:rPr>
        <w:t xml:space="preserve">orientador </w:t>
      </w:r>
      <w:r w:rsidRPr="00B94ABA">
        <w:rPr>
          <w:rFonts w:ascii="Palatino Linotype" w:hAnsi="Palatino Linotype" w:cs="Tahoma"/>
          <w:lang w:val="es-ES"/>
        </w:rPr>
        <w:t>01/19, emitido por el Instituto Nacional de Transparencia, Acceso a la Información Pública y Protección de Datos Personales, que establece lo siguiente:</w:t>
      </w:r>
    </w:p>
    <w:p w:rsidR="00CA5E22" w:rsidRPr="000B351A" w:rsidRDefault="00CA5E22" w:rsidP="00CA5E22">
      <w:pPr>
        <w:ind w:right="-788"/>
        <w:jc w:val="both"/>
        <w:rPr>
          <w:rFonts w:ascii="Palatino Linotype" w:hAnsi="Palatino Linotype" w:cs="Tahoma"/>
          <w:lang w:val="es-ES"/>
        </w:rPr>
      </w:pPr>
    </w:p>
    <w:p w:rsidR="00CA5E22" w:rsidRPr="00A16E11" w:rsidRDefault="00CA5E22" w:rsidP="00CA5E22">
      <w:pPr>
        <w:tabs>
          <w:tab w:val="left" w:pos="8080"/>
        </w:tabs>
        <w:ind w:left="567" w:right="-716"/>
        <w:jc w:val="both"/>
        <w:rPr>
          <w:rFonts w:ascii="Palatino Linotype" w:hAnsi="Palatino Linotype" w:cs="Tahoma"/>
          <w:i/>
          <w:sz w:val="22"/>
          <w:szCs w:val="22"/>
          <w:lang w:val="es-ES"/>
        </w:rPr>
      </w:pPr>
      <w:r w:rsidRPr="00A16E11">
        <w:rPr>
          <w:rFonts w:ascii="Palatino Linotype" w:hAnsi="Palatino Linotype" w:cs="Tahoma"/>
          <w:b/>
          <w:i/>
          <w:sz w:val="22"/>
          <w:szCs w:val="22"/>
        </w:rPr>
        <w:t>Datos de identificación del representante o apoderado legal.</w:t>
      </w:r>
      <w:r w:rsidRPr="00A16E11">
        <w:rPr>
          <w:rFonts w:ascii="Palatino Linotype" w:hAnsi="Palatino Linotype" w:cs="Tahoma"/>
          <w:i/>
          <w:sz w:val="22"/>
          <w:szCs w:val="22"/>
        </w:rPr>
        <w:t xml:space="preserve"> </w:t>
      </w:r>
      <w:r w:rsidRPr="00A16E11">
        <w:rPr>
          <w:rFonts w:ascii="Palatino Linotype" w:hAnsi="Palatino Linotype" w:cs="Tahoma"/>
          <w:b/>
          <w:i/>
          <w:sz w:val="22"/>
          <w:szCs w:val="22"/>
        </w:rPr>
        <w:t xml:space="preserve">Naturaleza jurídica. </w:t>
      </w:r>
      <w:r w:rsidRPr="00A16E11">
        <w:rPr>
          <w:rFonts w:ascii="Palatino Linotype" w:hAnsi="Palatino Linotype" w:cs="Tahoma"/>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CA5E22" w:rsidRPr="00112495" w:rsidRDefault="00CA5E22" w:rsidP="00CA5E22">
      <w:pPr>
        <w:spacing w:line="360" w:lineRule="auto"/>
        <w:jc w:val="both"/>
        <w:rPr>
          <w:rFonts w:ascii="Palatino Linotype" w:hAnsi="Palatino Linotype" w:cs="Tahoma"/>
          <w:sz w:val="22"/>
          <w:szCs w:val="22"/>
          <w:lang w:val="es-ES"/>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B94ABA">
        <w:rPr>
          <w:rFonts w:ascii="Palatino Linotype" w:hAnsi="Palatino Linotype" w:cs="Tahoma"/>
          <w:lang w:val="es-ES"/>
        </w:rPr>
        <w:t xml:space="preserve">Ante tales situaciones, </w:t>
      </w:r>
      <w:r w:rsidRPr="00A729C7">
        <w:rPr>
          <w:rFonts w:ascii="Palatino Linotype" w:hAnsi="Palatino Linotype" w:cs="Tahoma"/>
          <w:b/>
          <w:lang w:val="es-ES"/>
        </w:rPr>
        <w:t>el nombre, firma y rúbrica del representante legal</w:t>
      </w:r>
      <w:r w:rsidRPr="00B94ABA">
        <w:rPr>
          <w:rFonts w:ascii="Palatino Linotype" w:hAnsi="Palatino Linotype" w:cs="Tahoma"/>
          <w:lang w:val="es-ES"/>
        </w:rPr>
        <w:t xml:space="preserve">, de una persona jurídica colectiva que solicitó una Licencia de Funcionamiento, </w:t>
      </w:r>
      <w:r w:rsidRPr="00A729C7">
        <w:rPr>
          <w:rFonts w:ascii="Palatino Linotype" w:hAnsi="Palatino Linotype" w:cs="Tahoma"/>
          <w:b/>
          <w:lang w:val="es-ES"/>
        </w:rPr>
        <w:t>no es susceptible de ser clasificado como confidencial</w:t>
      </w:r>
      <w:r w:rsidRPr="00B94ABA">
        <w:rPr>
          <w:rFonts w:ascii="Palatino Linotype" w:hAnsi="Palatino Linotype" w:cs="Tahoma"/>
          <w:lang w:val="es-ES"/>
        </w:rPr>
        <w:t>, en términos del artículo 143, fracción I de la Ley Federal de Transparencia y Acceso a la Información Pública; inclusive ayuda a rendir cuentas, de que dicha autorización fue entregada a la persona adecuada.</w:t>
      </w:r>
    </w:p>
    <w:p w:rsidR="00CA5E22" w:rsidRPr="007F369E" w:rsidRDefault="00CA5E22" w:rsidP="005F6634">
      <w:pPr>
        <w:pStyle w:val="Prrafodelista"/>
        <w:numPr>
          <w:ilvl w:val="0"/>
          <w:numId w:val="12"/>
        </w:numPr>
        <w:shd w:val="clear" w:color="auto" w:fill="FFFFFF" w:themeFill="background1"/>
        <w:spacing w:line="360" w:lineRule="auto"/>
        <w:jc w:val="both"/>
        <w:rPr>
          <w:rFonts w:ascii="Palatino Linotype" w:hAnsi="Palatino Linotype" w:cs="Tahoma"/>
          <w:b/>
        </w:rPr>
      </w:pPr>
      <w:r w:rsidRPr="007F369E">
        <w:rPr>
          <w:rFonts w:ascii="Palatino Linotype" w:hAnsi="Palatino Linotype" w:cs="Tahoma"/>
          <w:b/>
        </w:rPr>
        <w:lastRenderedPageBreak/>
        <w:t>Domicilio Fiscal o legal (proveedor persona física o moral)</w:t>
      </w: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lang w:val="es-ES"/>
        </w:rPr>
      </w:pPr>
      <w:r w:rsidRPr="006A5D76">
        <w:rPr>
          <w:rFonts w:ascii="Palatino Linotype" w:eastAsia="Palatino Linotype" w:hAnsi="Palatino Linotype" w:cs="Palatino Linotype"/>
        </w:rPr>
        <w:t>De</w:t>
      </w:r>
      <w:r w:rsidRPr="00797B44">
        <w:rPr>
          <w:rFonts w:ascii="Palatino Linotype" w:hAnsi="Palatino Linotype" w:cs="Tahoma"/>
          <w:lang w:val="es-ES"/>
        </w:rPr>
        <w:t xml:space="preserv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CA5E22" w:rsidRPr="00797B44" w:rsidRDefault="00CA5E22" w:rsidP="00CA5E22">
      <w:pPr>
        <w:spacing w:line="360" w:lineRule="auto"/>
        <w:ind w:right="-787"/>
        <w:jc w:val="both"/>
        <w:rPr>
          <w:rFonts w:ascii="Palatino Linotype" w:hAnsi="Palatino Linotype" w:cs="Tahoma"/>
          <w:lang w:val="es-ES"/>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iCs/>
          <w:lang w:val="es-ES"/>
        </w:rPr>
      </w:pPr>
      <w:r w:rsidRPr="00797B44">
        <w:rPr>
          <w:rFonts w:ascii="Palatino Linotype" w:hAnsi="Palatino Linotype" w:cs="Tahoma"/>
          <w:bCs/>
          <w:iCs/>
          <w:lang w:val="es-ES"/>
        </w:rPr>
        <w:t xml:space="preserve">Además, </w:t>
      </w:r>
      <w:r w:rsidRPr="00416682">
        <w:rPr>
          <w:rFonts w:ascii="Palatino Linotype" w:hAnsi="Palatino Linotype" w:cs="Tahoma"/>
          <w:lang w:val="es-ES"/>
        </w:rPr>
        <w:t>respecto</w:t>
      </w:r>
      <w:r w:rsidRPr="00797B44">
        <w:rPr>
          <w:rFonts w:ascii="Palatino Linotype" w:hAnsi="Palatino Linotype" w:cs="Tahoma"/>
          <w:bCs/>
          <w:iCs/>
          <w:lang w:val="es-ES"/>
        </w:rPr>
        <w:t xml:space="preserve"> al domicilio fiscal, resulta necesario traer el artículo </w:t>
      </w:r>
      <w:r>
        <w:rPr>
          <w:rFonts w:ascii="Palatino Linotype" w:hAnsi="Palatino Linotype" w:cs="Tahoma"/>
          <w:bCs/>
          <w:iCs/>
          <w:lang w:val="es-ES"/>
        </w:rPr>
        <w:t>22</w:t>
      </w:r>
      <w:r w:rsidRPr="00797B44">
        <w:rPr>
          <w:rFonts w:ascii="Palatino Linotype" w:hAnsi="Palatino Linotype" w:cs="Tahoma"/>
          <w:bCs/>
          <w:iCs/>
          <w:lang w:val="es-ES"/>
        </w:rPr>
        <w:t xml:space="preserve"> del Código </w:t>
      </w:r>
      <w:r>
        <w:rPr>
          <w:rFonts w:ascii="Palatino Linotype" w:hAnsi="Palatino Linotype" w:cs="Tahoma"/>
          <w:bCs/>
          <w:iCs/>
          <w:lang w:val="es-ES"/>
        </w:rPr>
        <w:t>Financiero del Estado de México y Municipios, que establece:</w:t>
      </w:r>
    </w:p>
    <w:p w:rsidR="00CA5E22" w:rsidRPr="007B572A" w:rsidRDefault="00CA5E22" w:rsidP="00CA5E22">
      <w:pPr>
        <w:tabs>
          <w:tab w:val="left" w:pos="8080"/>
        </w:tabs>
        <w:ind w:left="567" w:right="-716"/>
        <w:jc w:val="both"/>
        <w:rPr>
          <w:rFonts w:ascii="Palatino Linotype" w:hAnsi="Palatino Linotype" w:cs="Tahoma"/>
          <w:b/>
          <w:bCs/>
          <w:i/>
          <w:iCs/>
          <w:sz w:val="22"/>
          <w:szCs w:val="22"/>
        </w:rPr>
      </w:pPr>
      <w:r w:rsidRPr="007B572A">
        <w:rPr>
          <w:rFonts w:ascii="Palatino Linotype" w:hAnsi="Palatino Linotype" w:cs="Tahoma"/>
          <w:b/>
          <w:bCs/>
          <w:i/>
          <w:iCs/>
          <w:sz w:val="22"/>
          <w:szCs w:val="22"/>
        </w:rPr>
        <w:t xml:space="preserve">Artículo 22.- Se considera domicilio fiscal de las personas físicas y </w:t>
      </w:r>
      <w:r w:rsidRPr="00200F34">
        <w:rPr>
          <w:rFonts w:ascii="Palatino Linotype" w:hAnsi="Palatino Linotype" w:cs="Tahoma"/>
          <w:i/>
          <w:sz w:val="22"/>
          <w:szCs w:val="22"/>
        </w:rPr>
        <w:t>jurídicas</w:t>
      </w:r>
      <w:r w:rsidRPr="007B572A">
        <w:rPr>
          <w:rFonts w:ascii="Palatino Linotype" w:hAnsi="Palatino Linotype" w:cs="Tahoma"/>
          <w:b/>
          <w:bCs/>
          <w:i/>
          <w:iCs/>
          <w:sz w:val="22"/>
          <w:szCs w:val="22"/>
        </w:rPr>
        <w:t xml:space="preserve"> colectivas: </w:t>
      </w:r>
    </w:p>
    <w:p w:rsidR="00CA5E22" w:rsidRDefault="00CA5E22" w:rsidP="00CA5E22">
      <w:pPr>
        <w:shd w:val="clear" w:color="auto" w:fill="FFFFFF" w:themeFill="background1"/>
        <w:ind w:left="1134" w:right="902"/>
        <w:jc w:val="both"/>
        <w:rPr>
          <w:rFonts w:ascii="Palatino Linotype" w:hAnsi="Palatino Linotype" w:cs="Tahoma"/>
          <w:bCs/>
          <w:i/>
          <w:iCs/>
          <w:sz w:val="22"/>
          <w:szCs w:val="22"/>
        </w:rPr>
      </w:pPr>
    </w:p>
    <w:p w:rsidR="00CA5E22" w:rsidRPr="00200F34" w:rsidRDefault="00CA5E22" w:rsidP="00CA5E22">
      <w:pPr>
        <w:tabs>
          <w:tab w:val="left" w:pos="8080"/>
        </w:tabs>
        <w:ind w:left="567" w:right="-716"/>
        <w:jc w:val="both"/>
        <w:rPr>
          <w:rFonts w:ascii="Palatino Linotype" w:hAnsi="Palatino Linotype" w:cs="Tahoma"/>
          <w:bCs/>
          <w:i/>
          <w:iCs/>
          <w:sz w:val="22"/>
          <w:szCs w:val="22"/>
        </w:rPr>
      </w:pPr>
      <w:r w:rsidRPr="00200F34">
        <w:rPr>
          <w:rFonts w:ascii="Palatino Linotype" w:hAnsi="Palatino Linotype" w:cs="Tahoma"/>
          <w:bCs/>
          <w:i/>
          <w:iCs/>
          <w:sz w:val="22"/>
          <w:szCs w:val="22"/>
        </w:rPr>
        <w:t xml:space="preserve">I. El lugar o establecimiento donde se realicen actividades que generen obligaciones fiscales. </w:t>
      </w:r>
    </w:p>
    <w:p w:rsidR="00CA5E22" w:rsidRPr="00200F34" w:rsidRDefault="00CA5E22" w:rsidP="00CA5E22">
      <w:pPr>
        <w:tabs>
          <w:tab w:val="left" w:pos="8080"/>
        </w:tabs>
        <w:ind w:left="567" w:right="-716"/>
        <w:jc w:val="both"/>
        <w:rPr>
          <w:rFonts w:ascii="Palatino Linotype" w:hAnsi="Palatino Linotype" w:cs="Tahoma"/>
          <w:bCs/>
          <w:i/>
          <w:iCs/>
          <w:sz w:val="22"/>
          <w:szCs w:val="22"/>
        </w:rPr>
      </w:pPr>
    </w:p>
    <w:p w:rsidR="00CA5E22" w:rsidRPr="00200F34" w:rsidRDefault="00CA5E22" w:rsidP="00CA5E22">
      <w:pPr>
        <w:tabs>
          <w:tab w:val="left" w:pos="8080"/>
        </w:tabs>
        <w:ind w:left="567" w:right="-716"/>
        <w:jc w:val="both"/>
        <w:rPr>
          <w:rFonts w:ascii="Palatino Linotype" w:hAnsi="Palatino Linotype" w:cs="Tahoma"/>
          <w:bCs/>
          <w:i/>
          <w:iCs/>
          <w:sz w:val="22"/>
          <w:szCs w:val="22"/>
        </w:rPr>
      </w:pPr>
      <w:r w:rsidRPr="00200F34">
        <w:rPr>
          <w:rFonts w:ascii="Palatino Linotype" w:hAnsi="Palatino Linotype" w:cs="Tahoma"/>
          <w:bCs/>
          <w:i/>
          <w:iCs/>
          <w:sz w:val="22"/>
          <w:szCs w:val="22"/>
        </w:rPr>
        <w:t xml:space="preserve">II. El lugar o establecimiento en que se realice el hecho generador de la obligación fiscal, cuando las actividades no se realicen en forma habitual. </w:t>
      </w:r>
    </w:p>
    <w:p w:rsidR="00CA5E22" w:rsidRPr="00200F34" w:rsidRDefault="00CA5E22" w:rsidP="00CA5E22">
      <w:pPr>
        <w:tabs>
          <w:tab w:val="left" w:pos="8080"/>
        </w:tabs>
        <w:ind w:left="567" w:right="-716"/>
        <w:jc w:val="both"/>
        <w:rPr>
          <w:rFonts w:ascii="Palatino Linotype" w:hAnsi="Palatino Linotype" w:cs="Tahoma"/>
          <w:bCs/>
          <w:i/>
          <w:iCs/>
          <w:sz w:val="22"/>
          <w:szCs w:val="22"/>
        </w:rPr>
      </w:pPr>
    </w:p>
    <w:p w:rsidR="00CA5E22" w:rsidRPr="00200F34" w:rsidRDefault="00CA5E22" w:rsidP="00CA5E22">
      <w:pPr>
        <w:tabs>
          <w:tab w:val="left" w:pos="8080"/>
        </w:tabs>
        <w:ind w:left="567" w:right="-716"/>
        <w:jc w:val="both"/>
        <w:rPr>
          <w:rFonts w:ascii="Palatino Linotype" w:hAnsi="Palatino Linotype" w:cs="Tahoma"/>
          <w:bCs/>
          <w:i/>
          <w:iCs/>
          <w:sz w:val="22"/>
          <w:szCs w:val="22"/>
        </w:rPr>
      </w:pPr>
      <w:r w:rsidRPr="00200F34">
        <w:rPr>
          <w:rFonts w:ascii="Palatino Linotype" w:hAnsi="Palatino Linotype" w:cs="Tahoma"/>
          <w:bCs/>
          <w:i/>
          <w:iCs/>
          <w:sz w:val="22"/>
          <w:szCs w:val="22"/>
        </w:rPr>
        <w:t xml:space="preserve">III. El inmueble en el que residan en el territorio del Estado de México, cuando realicen sus actividades en la vía pública, en puestos fijos y semifijos; </w:t>
      </w:r>
    </w:p>
    <w:p w:rsidR="00CA5E22" w:rsidRPr="00200F34" w:rsidRDefault="00CA5E22" w:rsidP="00CA5E22">
      <w:pPr>
        <w:tabs>
          <w:tab w:val="left" w:pos="8080"/>
        </w:tabs>
        <w:ind w:left="567" w:right="-716"/>
        <w:jc w:val="both"/>
        <w:rPr>
          <w:rFonts w:ascii="Palatino Linotype" w:hAnsi="Palatino Linotype" w:cs="Tahoma"/>
          <w:bCs/>
          <w:i/>
          <w:iCs/>
          <w:sz w:val="22"/>
          <w:szCs w:val="22"/>
        </w:rPr>
      </w:pPr>
    </w:p>
    <w:p w:rsidR="00CA5E22" w:rsidRPr="00200F34" w:rsidRDefault="00CA5E22" w:rsidP="00CA5E22">
      <w:pPr>
        <w:tabs>
          <w:tab w:val="left" w:pos="8080"/>
        </w:tabs>
        <w:ind w:left="567" w:right="-716"/>
        <w:jc w:val="both"/>
        <w:rPr>
          <w:rFonts w:ascii="Palatino Linotype" w:hAnsi="Palatino Linotype" w:cs="Tahoma"/>
          <w:bCs/>
          <w:i/>
          <w:iCs/>
          <w:sz w:val="22"/>
          <w:szCs w:val="22"/>
        </w:rPr>
      </w:pPr>
      <w:r w:rsidRPr="00200F34">
        <w:rPr>
          <w:rFonts w:ascii="Palatino Linotype" w:hAnsi="Palatino Linotype" w:cs="Tahoma"/>
          <w:bCs/>
          <w:i/>
          <w:iCs/>
          <w:sz w:val="22"/>
          <w:szCs w:val="22"/>
        </w:rPr>
        <w:t xml:space="preserve">IV. La residencia que identifique la autoridad fiscal, cuando exista certeza de que es el único lugar posible de localización del contribuyente. </w:t>
      </w:r>
    </w:p>
    <w:p w:rsidR="00CA5E22" w:rsidRPr="00200F34" w:rsidRDefault="00CA5E22" w:rsidP="00CA5E22">
      <w:pPr>
        <w:tabs>
          <w:tab w:val="left" w:pos="8080"/>
        </w:tabs>
        <w:ind w:left="567" w:right="-716"/>
        <w:jc w:val="both"/>
        <w:rPr>
          <w:rFonts w:ascii="Palatino Linotype" w:hAnsi="Palatino Linotype" w:cs="Tahoma"/>
          <w:bCs/>
          <w:i/>
          <w:iCs/>
          <w:sz w:val="22"/>
          <w:szCs w:val="22"/>
        </w:rPr>
      </w:pPr>
    </w:p>
    <w:p w:rsidR="00CA5E22" w:rsidRPr="00200F34" w:rsidRDefault="00CA5E22" w:rsidP="00CA5E22">
      <w:pPr>
        <w:tabs>
          <w:tab w:val="left" w:pos="8080"/>
        </w:tabs>
        <w:ind w:left="567" w:right="-716"/>
        <w:jc w:val="both"/>
        <w:rPr>
          <w:rFonts w:ascii="Palatino Linotype" w:hAnsi="Palatino Linotype" w:cs="Tahoma"/>
          <w:bCs/>
          <w:i/>
          <w:iCs/>
          <w:sz w:val="22"/>
          <w:szCs w:val="22"/>
        </w:rPr>
      </w:pPr>
      <w:r w:rsidRPr="00200F34">
        <w:rPr>
          <w:rFonts w:ascii="Palatino Linotype" w:hAnsi="Palatino Linotype" w:cs="Tahoma"/>
          <w:bCs/>
          <w:i/>
          <w:iCs/>
          <w:sz w:val="22"/>
          <w:szCs w:val="22"/>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rsidR="00CA5E22" w:rsidRPr="00200F34" w:rsidRDefault="00CA5E22" w:rsidP="00CA5E22">
      <w:pPr>
        <w:tabs>
          <w:tab w:val="left" w:pos="8080"/>
        </w:tabs>
        <w:ind w:left="567" w:right="-716"/>
        <w:jc w:val="both"/>
        <w:rPr>
          <w:rFonts w:ascii="Palatino Linotype" w:hAnsi="Palatino Linotype" w:cs="Tahoma"/>
          <w:bCs/>
          <w:i/>
          <w:iCs/>
          <w:sz w:val="22"/>
          <w:szCs w:val="22"/>
        </w:rPr>
      </w:pPr>
      <w:r w:rsidRPr="00200F34">
        <w:rPr>
          <w:rFonts w:ascii="Palatino Linotype" w:hAnsi="Palatino Linotype" w:cs="Tahoma"/>
          <w:bCs/>
          <w:i/>
          <w:iCs/>
          <w:sz w:val="22"/>
          <w:szCs w:val="22"/>
        </w:rPr>
        <w:t>…</w:t>
      </w:r>
    </w:p>
    <w:p w:rsidR="00CA5E22" w:rsidRPr="006A5D76" w:rsidRDefault="00CA5E22" w:rsidP="00CA5E22">
      <w:pPr>
        <w:jc w:val="both"/>
        <w:rPr>
          <w:rFonts w:ascii="Palatino Linotype" w:hAnsi="Palatino Linotype" w:cs="Tahoma"/>
          <w:bCs/>
          <w:iCs/>
          <w:lang w:val="es-ES"/>
        </w:rPr>
      </w:pPr>
    </w:p>
    <w:p w:rsidR="00CA5E22" w:rsidRPr="007F369E" w:rsidRDefault="00CA5E22" w:rsidP="005F6634">
      <w:pPr>
        <w:pStyle w:val="Prrafodelista"/>
        <w:numPr>
          <w:ilvl w:val="0"/>
          <w:numId w:val="12"/>
        </w:numPr>
        <w:spacing w:line="360" w:lineRule="auto"/>
        <w:ind w:right="-787"/>
        <w:jc w:val="both"/>
        <w:rPr>
          <w:rFonts w:ascii="Palatino Linotype" w:hAnsi="Palatino Linotype" w:cs="Tahoma"/>
          <w:b/>
          <w:bCs/>
        </w:rPr>
      </w:pPr>
      <w:r w:rsidRPr="007F369E">
        <w:rPr>
          <w:rFonts w:ascii="Palatino Linotype" w:hAnsi="Palatino Linotype" w:cs="Tahoma"/>
          <w:b/>
          <w:bCs/>
        </w:rPr>
        <w:t>Número telefónico</w:t>
      </w:r>
    </w:p>
    <w:p w:rsidR="00CA5E22" w:rsidRPr="004F6FBF"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rPr>
      </w:pPr>
      <w:r w:rsidRPr="004F6FBF">
        <w:rPr>
          <w:rFonts w:ascii="Palatino Linotype" w:hAnsi="Palatino Linotype" w:cs="Tahoma"/>
          <w:b/>
          <w:bCs/>
        </w:rPr>
        <w:t>Un</w:t>
      </w:r>
      <w:r w:rsidRPr="004F6FBF">
        <w:rPr>
          <w:rFonts w:ascii="Palatino Linotype" w:hAnsi="Palatino Linotype" w:cs="Tahoma"/>
          <w:bCs/>
        </w:rPr>
        <w:t> </w:t>
      </w:r>
      <w:r w:rsidRPr="004F6FBF">
        <w:rPr>
          <w:rFonts w:ascii="Palatino Linotype" w:hAnsi="Palatino Linotype" w:cs="Tahoma"/>
          <w:b/>
          <w:bCs/>
        </w:rPr>
        <w:t>número de teléfono</w:t>
      </w:r>
      <w:r w:rsidRPr="004F6FBF">
        <w:rPr>
          <w:rFonts w:ascii="Palatino Linotype" w:hAnsi="Palatino Linotype" w:cs="Tahoma"/>
          <w:bCs/>
        </w:rPr>
        <w:t> </w:t>
      </w:r>
      <w:r w:rsidRPr="00293DB9">
        <w:rPr>
          <w:rFonts w:ascii="Palatino Linotype" w:hAnsi="Palatino Linotype" w:cs="Tahoma"/>
          <w:bCs/>
        </w:rPr>
        <w:t xml:space="preserve">es una </w:t>
      </w:r>
      <w:r w:rsidRPr="00293DB9">
        <w:rPr>
          <w:rFonts w:ascii="Palatino Linotype" w:hAnsi="Palatino Linotype" w:cs="Tahoma"/>
          <w:lang w:val="es-ES"/>
        </w:rPr>
        <w:t>secuencia</w:t>
      </w:r>
      <w:r w:rsidRPr="00293DB9">
        <w:rPr>
          <w:rFonts w:ascii="Palatino Linotype" w:hAnsi="Palatino Linotype" w:cs="Tahoma"/>
          <w:bCs/>
        </w:rPr>
        <w:t xml:space="preserve"> de </w:t>
      </w:r>
      <w:r w:rsidRPr="00293DB9">
        <w:rPr>
          <w:rStyle w:val="Hipervnculo"/>
          <w:rFonts w:ascii="Palatino Linotype" w:hAnsi="Palatino Linotype" w:cs="Tahoma"/>
          <w:bCs/>
          <w:color w:val="auto"/>
          <w:u w:val="none"/>
        </w:rPr>
        <w:t>dígitos</w:t>
      </w:r>
      <w:r w:rsidRPr="00293DB9">
        <w:rPr>
          <w:rFonts w:ascii="Palatino Linotype" w:hAnsi="Palatino Linotype" w:cs="Tahoma"/>
          <w:bCs/>
        </w:rPr>
        <w:t> utilizada para identificar una </w:t>
      </w:r>
      <w:r w:rsidRPr="00293DB9">
        <w:rPr>
          <w:rStyle w:val="Hipervnculo"/>
          <w:rFonts w:ascii="Palatino Linotype" w:hAnsi="Palatino Linotype" w:cs="Tahoma"/>
          <w:bCs/>
          <w:color w:val="auto"/>
          <w:u w:val="none"/>
        </w:rPr>
        <w:t>línea telefónica</w:t>
      </w:r>
      <w:r w:rsidRPr="00293DB9">
        <w:rPr>
          <w:rFonts w:ascii="Palatino Linotype" w:hAnsi="Palatino Linotype" w:cs="Tahoma"/>
          <w:bCs/>
        </w:rPr>
        <w:t> dentro de una </w:t>
      </w:r>
      <w:r w:rsidRPr="00293DB9">
        <w:rPr>
          <w:rStyle w:val="Hipervnculo"/>
          <w:rFonts w:ascii="Palatino Linotype" w:hAnsi="Palatino Linotype" w:cs="Tahoma"/>
          <w:bCs/>
          <w:color w:val="auto"/>
          <w:u w:val="none"/>
        </w:rPr>
        <w:t>Red Telefónica Conmutada</w:t>
      </w:r>
      <w:r w:rsidRPr="00293DB9">
        <w:rPr>
          <w:rFonts w:ascii="Palatino Linotype" w:hAnsi="Palatino Linotype" w:cs="Tahoma"/>
          <w:bCs/>
        </w:rPr>
        <w:t>, el número contiene la información necesaria para identificar el punto final de la llamada. Los números de teléfono están a menudo asignados a líneas que tienen conectados dispositivos distintos de un </w:t>
      </w:r>
      <w:r w:rsidRPr="00293DB9">
        <w:rPr>
          <w:rStyle w:val="Hipervnculo"/>
          <w:rFonts w:ascii="Palatino Linotype" w:hAnsi="Palatino Linotype" w:cs="Tahoma"/>
          <w:bCs/>
          <w:color w:val="auto"/>
          <w:u w:val="none"/>
        </w:rPr>
        <w:t>teléfono</w:t>
      </w:r>
      <w:r w:rsidRPr="00293DB9">
        <w:rPr>
          <w:rFonts w:ascii="Palatino Linotype" w:hAnsi="Palatino Linotype" w:cs="Tahoma"/>
          <w:bCs/>
        </w:rPr>
        <w:t xml:space="preserve">, tales </w:t>
      </w:r>
      <w:r w:rsidRPr="00293DB9">
        <w:rPr>
          <w:rFonts w:ascii="Palatino Linotype" w:hAnsi="Palatino Linotype" w:cs="Tahoma"/>
          <w:bCs/>
        </w:rPr>
        <w:lastRenderedPageBreak/>
        <w:t>como </w:t>
      </w:r>
      <w:r w:rsidRPr="00293DB9">
        <w:rPr>
          <w:rStyle w:val="Hipervnculo"/>
          <w:rFonts w:ascii="Palatino Linotype" w:hAnsi="Palatino Linotype" w:cs="Tahoma"/>
          <w:bCs/>
          <w:color w:val="auto"/>
          <w:u w:val="none"/>
        </w:rPr>
        <w:t>faxes</w:t>
      </w:r>
      <w:r w:rsidRPr="00293DB9">
        <w:rPr>
          <w:rFonts w:ascii="Palatino Linotype" w:hAnsi="Palatino Linotype" w:cs="Tahoma"/>
          <w:bCs/>
        </w:rPr>
        <w:t> y </w:t>
      </w:r>
      <w:r w:rsidRPr="00293DB9">
        <w:rPr>
          <w:rStyle w:val="Hipervnculo"/>
          <w:rFonts w:ascii="Palatino Linotype" w:hAnsi="Palatino Linotype" w:cs="Tahoma"/>
          <w:bCs/>
          <w:color w:val="auto"/>
          <w:u w:val="none"/>
        </w:rPr>
        <w:t>módems</w:t>
      </w:r>
      <w:r w:rsidRPr="00293DB9">
        <w:rPr>
          <w:rFonts w:ascii="Palatino Linotype" w:hAnsi="Palatino Linotype" w:cs="Tahoma"/>
          <w:bCs/>
        </w:rPr>
        <w:t>. Cada uno de esos </w:t>
      </w:r>
      <w:r w:rsidRPr="00293DB9">
        <w:rPr>
          <w:rStyle w:val="Hipervnculo"/>
          <w:rFonts w:ascii="Palatino Linotype" w:hAnsi="Palatino Linotype" w:cs="Tahoma"/>
          <w:bCs/>
          <w:color w:val="auto"/>
          <w:u w:val="none"/>
        </w:rPr>
        <w:t>puntos de terminación de red</w:t>
      </w:r>
      <w:r w:rsidRPr="00293DB9">
        <w:rPr>
          <w:rFonts w:ascii="Palatino Linotype" w:hAnsi="Palatino Linotype" w:cs="Tahoma"/>
          <w:bCs/>
        </w:rPr>
        <w:t> deben de tener un número único en la red para poder realizar una </w:t>
      </w:r>
      <w:r w:rsidRPr="00293DB9">
        <w:rPr>
          <w:rStyle w:val="Hipervnculo"/>
          <w:rFonts w:ascii="Palatino Linotype" w:hAnsi="Palatino Linotype" w:cs="Tahoma"/>
          <w:bCs/>
          <w:color w:val="auto"/>
          <w:u w:val="none"/>
        </w:rPr>
        <w:t>llamada telefónica</w:t>
      </w:r>
      <w:r w:rsidRPr="00293DB9">
        <w:rPr>
          <w:rFonts w:ascii="Palatino Linotype" w:hAnsi="Palatino Linotype" w:cs="Tahoma"/>
          <w:bCs/>
        </w:rPr>
        <w:t>.</w:t>
      </w:r>
    </w:p>
    <w:p w:rsidR="00CA5E22" w:rsidRDefault="00CA5E22" w:rsidP="00CA5E22">
      <w:pPr>
        <w:spacing w:line="360" w:lineRule="auto"/>
        <w:ind w:right="-93"/>
        <w:jc w:val="both"/>
        <w:rPr>
          <w:rFonts w:ascii="Palatino Linotype" w:hAnsi="Palatino Linotype" w:cs="Tahoma"/>
          <w:bCs/>
        </w:rPr>
      </w:pPr>
    </w:p>
    <w:p w:rsidR="00CA5E22" w:rsidRPr="007F369E" w:rsidRDefault="00CA5E22" w:rsidP="005F6634">
      <w:pPr>
        <w:pStyle w:val="Prrafodelista"/>
        <w:numPr>
          <w:ilvl w:val="0"/>
          <w:numId w:val="12"/>
        </w:numPr>
        <w:spacing w:line="360" w:lineRule="auto"/>
        <w:jc w:val="both"/>
        <w:rPr>
          <w:rFonts w:ascii="Palatino Linotype" w:hAnsi="Palatino Linotype" w:cs="Tahoma"/>
          <w:szCs w:val="22"/>
        </w:rPr>
      </w:pPr>
      <w:r w:rsidRPr="007F369E">
        <w:rPr>
          <w:rFonts w:ascii="Palatino Linotype" w:hAnsi="Palatino Linotype" w:cs="Tahoma"/>
          <w:b/>
          <w:szCs w:val="22"/>
        </w:rPr>
        <w:t>Correo electrónico</w:t>
      </w:r>
    </w:p>
    <w:p w:rsidR="00CA5E22" w:rsidRPr="00495389"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lang w:eastAsia="en-US"/>
        </w:rPr>
      </w:pPr>
      <w:r w:rsidRPr="00416682">
        <w:rPr>
          <w:rFonts w:ascii="Palatino Linotype" w:hAnsi="Palatino Linotype" w:cs="Tahoma"/>
          <w:b/>
          <w:bCs/>
        </w:rPr>
        <w:t>El</w:t>
      </w:r>
      <w:r w:rsidRPr="00495389">
        <w:rPr>
          <w:rFonts w:ascii="Palatino Linotype" w:hAnsi="Palatino Linotype" w:cs="Tahoma"/>
          <w:bCs/>
          <w:lang w:eastAsia="en-US"/>
        </w:rPr>
        <w:t xml:space="preserve"> </w:t>
      </w:r>
      <w:r w:rsidRPr="00495389">
        <w:rPr>
          <w:rFonts w:ascii="Palatino Linotype" w:hAnsi="Palatino Linotype" w:cs="Tahoma"/>
          <w:b/>
          <w:bCs/>
          <w:lang w:eastAsia="en-US"/>
        </w:rPr>
        <w:t>correo electrónico</w:t>
      </w:r>
      <w:r w:rsidRPr="00495389">
        <w:rPr>
          <w:rFonts w:ascii="Palatino Linotype" w:hAnsi="Palatino Linotype" w:cs="Tahoma"/>
          <w:bCs/>
          <w:lang w:eastAsia="en-US"/>
        </w:rPr>
        <w:t xml:space="preserve"> es un siste</w:t>
      </w:r>
      <w:r w:rsidRPr="00912FA8">
        <w:rPr>
          <w:rFonts w:ascii="Palatino Linotype" w:hAnsi="Palatino Linotype" w:cs="Tahoma"/>
          <w:lang w:val="es-ES"/>
        </w:rPr>
        <w:t>m</w:t>
      </w:r>
      <w:r w:rsidRPr="00495389">
        <w:rPr>
          <w:rFonts w:ascii="Palatino Linotype" w:hAnsi="Palatino Linotype" w:cs="Tahoma"/>
          <w:bCs/>
          <w:lang w:eastAsia="en-US"/>
        </w:rPr>
        <w:t>a d</w:t>
      </w:r>
      <w:r w:rsidRPr="00912FA8">
        <w:rPr>
          <w:rFonts w:ascii="Palatino Linotype" w:hAnsi="Palatino Linotype" w:cs="Tahoma"/>
          <w:lang w:val="es-ES"/>
        </w:rPr>
        <w:t>e</w:t>
      </w:r>
      <w:r w:rsidRPr="00495389">
        <w:rPr>
          <w:rFonts w:ascii="Palatino Linotype" w:hAnsi="Palatino Linotype" w:cs="Tahoma"/>
          <w:bCs/>
          <w:lang w:eastAsia="en-US"/>
        </w:rPr>
        <w:t xml:space="preserve"> transmisión de mensajes </w:t>
      </w:r>
      <w:r>
        <w:rPr>
          <w:rFonts w:ascii="Palatino Linotype" w:hAnsi="Palatino Linotype" w:cs="Tahoma"/>
          <w:bCs/>
          <w:lang w:eastAsia="en-US"/>
        </w:rPr>
        <w:t>a través de internet</w:t>
      </w:r>
      <w:r w:rsidRPr="00495389">
        <w:rPr>
          <w:rFonts w:ascii="Palatino Linotype" w:hAnsi="Palatino Linotype" w:cs="Tahoma"/>
          <w:bCs/>
          <w:lang w:eastAsia="en-US"/>
        </w:rPr>
        <w: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CA5E22" w:rsidRDefault="00CA5E22" w:rsidP="00CA5E22">
      <w:pPr>
        <w:spacing w:line="360" w:lineRule="auto"/>
        <w:jc w:val="both"/>
      </w:pPr>
    </w:p>
    <w:p w:rsidR="00CA5E22" w:rsidRPr="00EB340E"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rPr>
      </w:pPr>
      <w:r w:rsidRPr="00495389">
        <w:rPr>
          <w:rFonts w:ascii="Palatino Linotype" w:hAnsi="Palatino Linotype" w:cs="Tahoma"/>
          <w:bCs/>
        </w:rPr>
        <w:t xml:space="preserve">Al respecto debe </w:t>
      </w:r>
      <w:r w:rsidRPr="00495389">
        <w:rPr>
          <w:rFonts w:ascii="Palatino Linotype" w:hAnsi="Palatino Linotype" w:cs="Tahoma"/>
          <w:bCs/>
          <w:lang w:eastAsia="en-US"/>
        </w:rPr>
        <w:t>mencionarse</w:t>
      </w:r>
      <w:r w:rsidRPr="00495389">
        <w:rPr>
          <w:rFonts w:ascii="Palatino Linotype" w:hAnsi="Palatino Linotype" w:cs="Tahoma"/>
          <w:bCs/>
        </w:rPr>
        <w:t xml:space="preserve"> que </w:t>
      </w:r>
      <w:r w:rsidRPr="00495389">
        <w:rPr>
          <w:rFonts w:ascii="Palatino Linotype" w:hAnsi="Palatino Linotype" w:cs="Tahoma"/>
          <w:bCs/>
          <w:iCs/>
          <w:lang w:val="es-ES"/>
        </w:rPr>
        <w:t xml:space="preserve">conforme a lo establecido en </w:t>
      </w:r>
      <w:r>
        <w:rPr>
          <w:rFonts w:ascii="Palatino Linotype" w:hAnsi="Palatino Linotype" w:cs="Tahoma"/>
          <w:bCs/>
          <w:iCs/>
          <w:lang w:val="es-ES"/>
        </w:rPr>
        <w:t>los criterios</w:t>
      </w:r>
      <w:r w:rsidRPr="00495389">
        <w:rPr>
          <w:rFonts w:ascii="Palatino Linotype" w:hAnsi="Palatino Linotype" w:cs="Tahoma"/>
          <w:bCs/>
          <w:iCs/>
          <w:lang w:val="es-ES"/>
        </w:rPr>
        <w:t xml:space="preserve"> número</w:t>
      </w:r>
      <w:r>
        <w:rPr>
          <w:rFonts w:ascii="Palatino Linotype" w:hAnsi="Palatino Linotype" w:cs="Tahoma"/>
          <w:bCs/>
          <w:iCs/>
          <w:lang w:val="es-ES"/>
        </w:rPr>
        <w:t>s</w:t>
      </w:r>
      <w:r w:rsidRPr="00495389">
        <w:rPr>
          <w:rFonts w:ascii="Palatino Linotype" w:hAnsi="Palatino Linotype" w:cs="Tahoma"/>
          <w:bCs/>
          <w:iCs/>
          <w:lang w:val="es-ES"/>
        </w:rPr>
        <w:t xml:space="preserve"> 16</w:t>
      </w:r>
      <w:r>
        <w:rPr>
          <w:rFonts w:ascii="Palatino Linotype" w:hAnsi="Palatino Linotype" w:cs="Tahoma"/>
          <w:bCs/>
          <w:iCs/>
          <w:lang w:val="es-ES"/>
        </w:rPr>
        <w:t xml:space="preserve">, 18 y </w:t>
      </w:r>
      <w:r w:rsidRPr="00416682">
        <w:rPr>
          <w:rFonts w:ascii="Palatino Linotype" w:hAnsi="Palatino Linotype" w:cs="Tahoma"/>
          <w:bCs/>
        </w:rPr>
        <w:t>19</w:t>
      </w:r>
      <w:r w:rsidRPr="00495389">
        <w:rPr>
          <w:rFonts w:ascii="Palatino Linotype" w:hAnsi="Palatino Linotype" w:cs="Tahoma"/>
          <w:bCs/>
          <w:iCs/>
          <w:lang w:val="es-ES"/>
        </w:rPr>
        <w:t xml:space="preserve"> de </w:t>
      </w:r>
      <w:r w:rsidRPr="00495389">
        <w:rPr>
          <w:rFonts w:ascii="Palatino Linotype" w:hAnsi="Palatino Linotype" w:cs="Tahoma"/>
          <w:bCs/>
        </w:rPr>
        <w:t>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w:t>
      </w:r>
      <w:r>
        <w:rPr>
          <w:rFonts w:ascii="Palatino Linotype" w:hAnsi="Palatino Linotype" w:cs="Tahoma"/>
          <w:bCs/>
        </w:rPr>
        <w:t>, artículo 70</w:t>
      </w:r>
      <w:r w:rsidRPr="00495389">
        <w:rPr>
          <w:rFonts w:ascii="Palatino Linotype" w:hAnsi="Palatino Linotype" w:cs="Tahoma"/>
          <w:bCs/>
        </w:rPr>
        <w:t xml:space="preserve">, </w:t>
      </w:r>
      <w:r w:rsidRPr="00784DCD">
        <w:rPr>
          <w:rFonts w:ascii="Palatino Linotype" w:hAnsi="Palatino Linotype" w:cs="Tahoma"/>
          <w:b/>
          <w:bCs/>
        </w:rPr>
        <w:t>el domicilio fiscal, y datos de contacto como teléfono y correo electrónico de los proveedores y contratistas, es un dato que debe ser público, motivo por el cual no es procedente que se realice su clasificación como confidencial.</w:t>
      </w:r>
    </w:p>
    <w:p w:rsidR="00CA5E22" w:rsidRPr="00EB340E" w:rsidRDefault="00CA5E22" w:rsidP="00CA5E22">
      <w:pPr>
        <w:spacing w:line="360" w:lineRule="auto"/>
        <w:ind w:right="-787"/>
        <w:jc w:val="both"/>
        <w:rPr>
          <w:rFonts w:ascii="Palatino Linotype" w:hAnsi="Palatino Linotype" w:cs="Tahoma"/>
          <w:bCs/>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w:t>
      </w:r>
      <w:r w:rsidRPr="00416682">
        <w:rPr>
          <w:rFonts w:ascii="Palatino Linotype" w:hAnsi="Palatino Linotype" w:cs="Tahoma"/>
          <w:bCs/>
        </w:rPr>
        <w:t>existe</w:t>
      </w:r>
      <w:r>
        <w:rPr>
          <w:rFonts w:ascii="Palatino Linotype" w:eastAsia="Palatino Linotype" w:hAnsi="Palatino Linotype" w:cs="Palatino Linotype"/>
        </w:rPr>
        <w:t xml:space="preserve"> diversa información en los documentos fiscales que constituyen un elemento adicional que permite a cualquier persona verificar la legitimidad del documento, por sí solos no contienen datos personales susceptibles de clasificación, ya que no hacen </w:t>
      </w:r>
      <w:r>
        <w:rPr>
          <w:rFonts w:ascii="Palatino Linotype" w:eastAsia="Palatino Linotype" w:hAnsi="Palatino Linotype" w:cs="Palatino Linotype"/>
        </w:rPr>
        <w:lastRenderedPageBreak/>
        <w:t>identificable al titular, pues dichos datos sólo son de utilidad de manera directa a la Secretaría de Hacienda y Crédito Público y si bien, en un momento derivan información personal de los contribuyentes, esta se encuentra encriptada como se verá a continuación.</w:t>
      </w:r>
    </w:p>
    <w:p w:rsidR="00CA5E22" w:rsidRDefault="00CA5E22" w:rsidP="00CA5E22">
      <w:pPr>
        <w:spacing w:line="360" w:lineRule="auto"/>
        <w:jc w:val="both"/>
        <w:rPr>
          <w:rFonts w:ascii="Palatino Linotype" w:eastAsia="Palatino Linotype" w:hAnsi="Palatino Linotype" w:cs="Palatino Linotype"/>
        </w:rPr>
      </w:pPr>
    </w:p>
    <w:p w:rsidR="00CA5E22" w:rsidRDefault="00CA5E22" w:rsidP="00CA5E2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Código Bidimensional o QR. </w:t>
      </w: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sidRPr="00912FA8">
        <w:rPr>
          <w:rFonts w:ascii="Palatino Linotype" w:hAnsi="Palatino Linotype" w:cs="Tahoma"/>
          <w:bCs/>
        </w:rPr>
        <w:t>principio</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7">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Sujeto Obligado, como del proveedor, persona física o moral. </w:t>
      </w:r>
    </w:p>
    <w:p w:rsidR="00CA5E22" w:rsidRDefault="00CA5E22" w:rsidP="00CA5E22">
      <w:pPr>
        <w:spacing w:line="360" w:lineRule="auto"/>
        <w:jc w:val="both"/>
        <w:rPr>
          <w:rFonts w:ascii="Palatino Linotype" w:eastAsia="Palatino Linotype" w:hAnsi="Palatino Linotype" w:cs="Palatino Linotype"/>
        </w:rPr>
      </w:pP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toda vez que el </w:t>
      </w:r>
      <w:r w:rsidRPr="001C3F1B">
        <w:rPr>
          <w:rFonts w:ascii="Palatino Linotype" w:eastAsia="Palatino Linotype" w:hAnsi="Palatino Linotype" w:cs="Palatino Linotype"/>
          <w:b/>
        </w:rPr>
        <w:t>código bidimensional</w:t>
      </w:r>
      <w:r>
        <w:rPr>
          <w:rFonts w:ascii="Palatino Linotype" w:eastAsia="Palatino Linotype" w:hAnsi="Palatino Linotype" w:cs="Palatino Linotype"/>
        </w:rPr>
        <w:t xml:space="preserve"> sólo permite el acceso al Registro Federal de Contribuyentes del proveedor y del Sujeto Obligado, los cuales guardan la naturaleza pública, se considera que </w:t>
      </w:r>
      <w:r w:rsidRPr="001C3F1B">
        <w:rPr>
          <w:rFonts w:ascii="Palatino Linotype" w:eastAsia="Palatino Linotype" w:hAnsi="Palatino Linotype" w:cs="Palatino Linotype"/>
          <w:b/>
        </w:rPr>
        <w:t>no se actualiza la causal de clasificación</w:t>
      </w:r>
      <w:r>
        <w:rPr>
          <w:rFonts w:ascii="Palatino Linotype" w:eastAsia="Palatino Linotype" w:hAnsi="Palatino Linotype" w:cs="Palatino Linotype"/>
        </w:rPr>
        <w:t xml:space="preserve"> prevista en el artículo 143, fracción I de la Ley de la materia, toda vez que únicamente da cuenta de datos que como se analizó en párrafos anteriores, no son susceptibles a testar.</w:t>
      </w:r>
    </w:p>
    <w:p w:rsidR="00CA5E22" w:rsidRDefault="00CA5E22" w:rsidP="00CA5E22">
      <w:pPr>
        <w:spacing w:line="360" w:lineRule="auto"/>
        <w:jc w:val="both"/>
        <w:rPr>
          <w:rFonts w:ascii="Palatino Linotype" w:eastAsia="Palatino Linotype" w:hAnsi="Palatino Linotype" w:cs="Palatino Linotype"/>
        </w:rPr>
      </w:pPr>
    </w:p>
    <w:p w:rsidR="00CA5E22" w:rsidRDefault="00CA5E22" w:rsidP="00CA5E22">
      <w:pPr>
        <w:ind w:right="-91"/>
        <w:jc w:val="both"/>
        <w:rPr>
          <w:rFonts w:ascii="Palatino Linotype" w:eastAsia="Palatino Linotype" w:hAnsi="Palatino Linotype" w:cs="Palatino Linotype"/>
          <w:b/>
        </w:rPr>
      </w:pPr>
      <w:r>
        <w:rPr>
          <w:rFonts w:ascii="Palatino Linotype" w:eastAsia="Palatino Linotype" w:hAnsi="Palatino Linotype" w:cs="Palatino Linotype"/>
          <w:b/>
        </w:rPr>
        <w:t>Cadenas originales y sellos.</w:t>
      </w:r>
    </w:p>
    <w:p w:rsidR="00CA5E22"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Pr>
          <w:rFonts w:ascii="Palatino Linotype" w:eastAsia="Palatino Linotype" w:hAnsi="Palatino Linotype" w:cs="Palatino Linotype"/>
        </w:rPr>
        <w:t>Las</w:t>
      </w:r>
      <w:r>
        <w:rPr>
          <w:rFonts w:ascii="Palatino Linotype" w:eastAsia="Palatino Linotype" w:hAnsi="Palatino Linotype" w:cs="Palatino Linotype"/>
          <w:b/>
        </w:rPr>
        <w:t xml:space="preserve"> cadenas originales y sellos</w:t>
      </w:r>
      <w:r>
        <w:rPr>
          <w:rFonts w:ascii="Palatino Linotype" w:eastAsia="Palatino Linotype" w:hAnsi="Palatino Linotype" w:cs="Palatino Linotype"/>
        </w:rPr>
        <w:t xml:space="preserve"> que se agregan a las facturas, tienen una secuencia de generación, determinados con base en el ANEXO 20 de la Segunda Resolución de modificaciones a la Resolución Miscelánea Fiscal para dos mil diecisiete, publicada en el </w:t>
      </w:r>
      <w:r>
        <w:rPr>
          <w:rFonts w:ascii="Palatino Linotype" w:eastAsia="Palatino Linotype" w:hAnsi="Palatino Linotype" w:cs="Palatino Linotype"/>
        </w:rPr>
        <w:lastRenderedPageBreak/>
        <w:t>Diario Oficial de la Federación el dieciocho de julio de dos mil diecisiete, que precisa los datos de los que se componen los elementos de seguridad y se puntualiza que dicha información está encriptada.</w:t>
      </w:r>
    </w:p>
    <w:p w:rsidR="00CA5E22" w:rsidRDefault="00CA5E22" w:rsidP="00CA5E22">
      <w:pPr>
        <w:ind w:left="1134" w:right="99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“Elementos utilizados en la generación de Sellos Digitales:</w:t>
      </w:r>
    </w:p>
    <w:p w:rsidR="00CA5E22" w:rsidRDefault="00CA5E22" w:rsidP="00CA5E22">
      <w:pPr>
        <w:ind w:left="1134" w:right="992"/>
        <w:rPr>
          <w:rFonts w:ascii="Palatino Linotype" w:eastAsia="Palatino Linotype" w:hAnsi="Palatino Linotype" w:cs="Palatino Linotype"/>
          <w:b/>
          <w:i/>
          <w:sz w:val="22"/>
          <w:szCs w:val="22"/>
        </w:rPr>
      </w:pPr>
    </w:p>
    <w:p w:rsidR="00CA5E22" w:rsidRDefault="00CA5E22" w:rsidP="00CA5E22">
      <w:pPr>
        <w:ind w:left="1134"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Cadena Original, el elemento a sellar, en este caso de un comprobante fiscal digital a través de Internet.</w:t>
      </w:r>
    </w:p>
    <w:p w:rsidR="00CA5E22" w:rsidRDefault="00CA5E22" w:rsidP="00CA5E22">
      <w:pPr>
        <w:ind w:left="1134"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Certificado de Sello Digital y su correspondiente clave privada.</w:t>
      </w:r>
    </w:p>
    <w:p w:rsidR="00CA5E22" w:rsidRDefault="00CA5E22" w:rsidP="00CA5E22">
      <w:pPr>
        <w:ind w:left="1134"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Algoritmos de criptografía de clave pública para firma electrónica avanzada.</w:t>
      </w:r>
    </w:p>
    <w:p w:rsidR="00CA5E22" w:rsidRDefault="00CA5E22" w:rsidP="00CA5E22">
      <w:pPr>
        <w:ind w:left="1134"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Especificaciones de conversión de la firma electrónica avanzada a Base 64.</w:t>
      </w:r>
    </w:p>
    <w:p w:rsidR="00CA5E22" w:rsidRDefault="00CA5E22" w:rsidP="00CA5E22">
      <w:pPr>
        <w:ind w:left="1134"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generación de sellos digitales se utiliza criptografía de clave pública aplicada a una cadena original.</w:t>
      </w:r>
    </w:p>
    <w:p w:rsidR="00CA5E22" w:rsidRDefault="00CA5E22" w:rsidP="00CA5E22">
      <w:pPr>
        <w:ind w:left="1134" w:right="992"/>
        <w:jc w:val="both"/>
        <w:rPr>
          <w:rFonts w:ascii="Palatino Linotype" w:eastAsia="Palatino Linotype" w:hAnsi="Palatino Linotype" w:cs="Palatino Linotype"/>
          <w:i/>
          <w:sz w:val="22"/>
          <w:szCs w:val="22"/>
        </w:rPr>
      </w:pPr>
    </w:p>
    <w:p w:rsidR="00CA5E22" w:rsidRDefault="00CA5E22" w:rsidP="00CA5E22">
      <w:pPr>
        <w:ind w:left="1134"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Criptografía de la Clave Pública</w:t>
      </w:r>
    </w:p>
    <w:p w:rsidR="00CA5E22" w:rsidRDefault="00CA5E22" w:rsidP="00CA5E22">
      <w:pPr>
        <w:ind w:left="1134"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CA5E22" w:rsidRDefault="00CA5E22" w:rsidP="00CA5E22">
      <w:pPr>
        <w:ind w:left="1134" w:right="992"/>
        <w:jc w:val="both"/>
        <w:rPr>
          <w:rFonts w:ascii="Palatino Linotype" w:eastAsia="Palatino Linotype" w:hAnsi="Palatino Linotype" w:cs="Palatino Linotype"/>
          <w:i/>
          <w:sz w:val="22"/>
          <w:szCs w:val="22"/>
        </w:rPr>
      </w:pPr>
    </w:p>
    <w:p w:rsidR="00CA5E22" w:rsidRPr="00784DCD"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hAnsi="Palatino Linotype" w:cs="Tahoma"/>
          <w:bCs/>
        </w:rPr>
      </w:pPr>
      <w:r>
        <w:rPr>
          <w:rFonts w:ascii="Palatino Linotype" w:eastAsia="Palatino Linotype" w:hAnsi="Palatino Linotype" w:cs="Palatino Linotype"/>
        </w:rPr>
        <w:t xml:space="preserve">Es decir, por sí solos las </w:t>
      </w:r>
      <w:r w:rsidRPr="001C3F1B">
        <w:rPr>
          <w:rFonts w:ascii="Palatino Linotype" w:eastAsia="Palatino Linotype" w:hAnsi="Palatino Linotype" w:cs="Palatino Linotype"/>
          <w:b/>
        </w:rPr>
        <w:t>cadenas originales y los sellos originales</w:t>
      </w:r>
      <w:r>
        <w:rPr>
          <w:rFonts w:ascii="Palatino Linotype" w:eastAsia="Palatino Linotype" w:hAnsi="Palatino Linotype" w:cs="Palatino Linotype"/>
        </w:rPr>
        <w:t xml:space="preserve"> no contienen datos personales confidenciales, por lo que se considera que </w:t>
      </w:r>
      <w:r>
        <w:rPr>
          <w:rFonts w:ascii="Palatino Linotype" w:eastAsia="Palatino Linotype" w:hAnsi="Palatino Linotype" w:cs="Palatino Linotype"/>
          <w:b/>
        </w:rPr>
        <w:t>no actualizan en supuesto de confidencialidad</w:t>
      </w:r>
      <w:r>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CA5E22" w:rsidRPr="0051644E" w:rsidRDefault="00CA5E22" w:rsidP="00CA5E22">
      <w:pPr>
        <w:spacing w:line="360" w:lineRule="auto"/>
        <w:ind w:right="1"/>
        <w:jc w:val="both"/>
        <w:rPr>
          <w:rFonts w:ascii="Palatino Linotype" w:eastAsia="Palatino Linotype" w:hAnsi="Palatino Linotype" w:cs="Palatino Linotype"/>
          <w:b/>
          <w:sz w:val="22"/>
          <w:szCs w:val="22"/>
        </w:rPr>
      </w:pPr>
    </w:p>
    <w:p w:rsidR="00CA5E22" w:rsidRPr="001B6D8E"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sidRPr="001B6D8E">
        <w:rPr>
          <w:rFonts w:ascii="Palatino Linotype" w:eastAsia="Palatino Linotype" w:hAnsi="Palatino Linotype" w:cs="Palatino Linotype"/>
        </w:rPr>
        <w:t xml:space="preserve">En ese sentido, el </w:t>
      </w:r>
      <w:r w:rsidRPr="001B6D8E">
        <w:rPr>
          <w:rFonts w:ascii="Palatino Linotype" w:eastAsia="Palatino Linotype" w:hAnsi="Palatino Linotype" w:cs="Palatino Linotype"/>
          <w:b/>
        </w:rPr>
        <w:t>SUJETO OBLIGADO</w:t>
      </w:r>
      <w:r w:rsidRPr="001B6D8E">
        <w:rPr>
          <w:rFonts w:ascii="Palatino Linotype" w:eastAsia="Palatino Linotype" w:hAnsi="Palatino Linotype" w:cs="Palatino Linotype"/>
        </w:rPr>
        <w:t xml:space="preserve"> deberá de emitir el Acuerdo del Comité de Transparencia, mediante el cual de manera fundada y motivada establezca las razones por las cuales se clasifican como confidenciales los datos expuestos con anterioridad.</w:t>
      </w:r>
    </w:p>
    <w:p w:rsidR="00CA5E22" w:rsidRPr="00A50657"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Derivado de lo establecido en párrafos anteriores,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CA5E22" w:rsidRDefault="00CA5E22" w:rsidP="00CA5E22">
      <w:pPr>
        <w:spacing w:line="360" w:lineRule="auto"/>
        <w:jc w:val="both"/>
        <w:rPr>
          <w:color w:val="000000"/>
        </w:rPr>
      </w:pPr>
    </w:p>
    <w:p w:rsidR="00CA5E22" w:rsidRPr="001C3F1B" w:rsidRDefault="00CA5E22" w:rsidP="00416682">
      <w:pPr>
        <w:numPr>
          <w:ilvl w:val="0"/>
          <w:numId w:val="2"/>
        </w:numPr>
        <w:pBdr>
          <w:top w:val="nil"/>
          <w:left w:val="nil"/>
          <w:bottom w:val="nil"/>
          <w:right w:val="nil"/>
          <w:between w:val="nil"/>
        </w:pBdr>
        <w:spacing w:line="360" w:lineRule="auto"/>
        <w:ind w:left="0" w:right="-788" w:firstLine="0"/>
        <w:jc w:val="both"/>
        <w:rPr>
          <w:rFonts w:ascii="Palatino Linotype" w:eastAsia="Palatino Linotype" w:hAnsi="Palatino Linotype" w:cs="Palatino Linotype"/>
        </w:rPr>
      </w:pPr>
      <w:r w:rsidRPr="001C3F1B">
        <w:rPr>
          <w:rFonts w:ascii="Palatino Linotype" w:eastAsia="Palatino Linotype" w:hAnsi="Palatino Linotype" w:cs="Palatino Linotype"/>
        </w:rPr>
        <w:t xml:space="preserve">Con fundamento en lo </w:t>
      </w:r>
      <w:r w:rsidRPr="001C3F1B">
        <w:rPr>
          <w:rFonts w:ascii="Palatino Linotype" w:hAnsi="Palatino Linotype"/>
        </w:rPr>
        <w:t>prescrito</w:t>
      </w:r>
      <w:r w:rsidRPr="001C3F1B">
        <w:rPr>
          <w:rFonts w:ascii="Palatino Linotype" w:eastAsia="Palatino Linotype" w:hAnsi="Palatino Linotype" w:cs="Palatino Linotype"/>
        </w:rPr>
        <w:t xml:space="preserve"> en los artículos </w:t>
      </w:r>
      <w:r w:rsidRPr="001C3F1B">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1C3F1B">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CA5E22" w:rsidRDefault="00CA5E22" w:rsidP="00CA5E22">
      <w:pPr>
        <w:ind w:right="278"/>
        <w:rPr>
          <w:rFonts w:ascii="Palatino Linotype" w:eastAsia="Palatino Linotype" w:hAnsi="Palatino Linotype" w:cs="Palatino Linotype"/>
        </w:rPr>
      </w:pPr>
    </w:p>
    <w:p w:rsidR="00CA5E22" w:rsidRDefault="00CA5E22" w:rsidP="00CA5E22">
      <w:pPr>
        <w:spacing w:line="360" w:lineRule="auto"/>
        <w:ind w:right="27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CA5E22" w:rsidRDefault="00CA5E22" w:rsidP="00CA5E22">
      <w:pPr>
        <w:spacing w:line="360" w:lineRule="auto"/>
        <w:ind w:right="-787"/>
        <w:jc w:val="center"/>
        <w:rPr>
          <w:rFonts w:ascii="Palatino Linotype" w:eastAsia="Palatino Linotype" w:hAnsi="Palatino Linotype" w:cs="Palatino Linotype"/>
          <w:b/>
        </w:rPr>
      </w:pPr>
    </w:p>
    <w:p w:rsidR="00CA5E22" w:rsidRPr="00493938" w:rsidRDefault="00CA5E22" w:rsidP="00CA5E22">
      <w:pPr>
        <w:spacing w:line="360" w:lineRule="auto"/>
        <w:ind w:right="-716"/>
        <w:jc w:val="both"/>
        <w:rPr>
          <w:rFonts w:ascii="Palatino Linotype" w:eastAsia="Palatino Linotype" w:hAnsi="Palatino Linotype" w:cs="Palatino Linotype"/>
        </w:rPr>
      </w:pPr>
      <w:r w:rsidRPr="00493938">
        <w:rPr>
          <w:rFonts w:ascii="Palatino Linotype" w:eastAsia="Palatino Linotype" w:hAnsi="Palatino Linotype" w:cs="Palatino Linotype"/>
          <w:b/>
        </w:rPr>
        <w:t xml:space="preserve">PRIMERO. </w:t>
      </w:r>
      <w:r w:rsidRPr="00493938">
        <w:rPr>
          <w:rFonts w:ascii="Palatino Linotype" w:eastAsia="Palatino Linotype" w:hAnsi="Palatino Linotype" w:cs="Palatino Linotype"/>
        </w:rPr>
        <w:t xml:space="preserve">Resultan </w:t>
      </w:r>
      <w:r w:rsidRPr="003030E0">
        <w:rPr>
          <w:rFonts w:ascii="Palatino Linotype" w:eastAsia="Palatino Linotype" w:hAnsi="Palatino Linotype" w:cs="Palatino Linotype"/>
          <w:b/>
        </w:rPr>
        <w:t>FUNDADAS</w:t>
      </w:r>
      <w:r w:rsidRPr="00493938">
        <w:rPr>
          <w:rFonts w:ascii="Palatino Linotype" w:eastAsia="Palatino Linotype" w:hAnsi="Palatino Linotype" w:cs="Palatino Linotype"/>
        </w:rPr>
        <w:t xml:space="preserve"> las</w:t>
      </w:r>
      <w:r w:rsidRPr="00493938">
        <w:rPr>
          <w:rFonts w:ascii="Palatino Linotype" w:eastAsia="Palatino Linotype" w:hAnsi="Palatino Linotype" w:cs="Palatino Linotype"/>
          <w:b/>
        </w:rPr>
        <w:t xml:space="preserve"> </w:t>
      </w:r>
      <w:r w:rsidRPr="00493938">
        <w:rPr>
          <w:rFonts w:ascii="Palatino Linotype" w:eastAsia="Palatino Linotype" w:hAnsi="Palatino Linotype" w:cs="Palatino Linotype"/>
        </w:rPr>
        <w:t xml:space="preserve">razones o motivos de inconformidad hechos valer en </w:t>
      </w:r>
      <w:r>
        <w:rPr>
          <w:rFonts w:ascii="Palatino Linotype" w:eastAsia="Palatino Linotype" w:hAnsi="Palatino Linotype" w:cs="Palatino Linotype"/>
        </w:rPr>
        <w:t>el</w:t>
      </w:r>
      <w:r w:rsidRPr="00493938">
        <w:rPr>
          <w:rFonts w:ascii="Palatino Linotype" w:eastAsia="Palatino Linotype" w:hAnsi="Palatino Linotype" w:cs="Palatino Linotype"/>
        </w:rPr>
        <w:t xml:space="preserve"> </w:t>
      </w:r>
      <w:r>
        <w:rPr>
          <w:rFonts w:ascii="Palatino Linotype" w:eastAsia="Palatino Linotype" w:hAnsi="Palatino Linotype" w:cs="Palatino Linotype"/>
        </w:rPr>
        <w:t>Recurso</w:t>
      </w:r>
      <w:r w:rsidRPr="00493938">
        <w:rPr>
          <w:rFonts w:ascii="Palatino Linotype" w:eastAsia="Palatino Linotype" w:hAnsi="Palatino Linotype" w:cs="Palatino Linotype"/>
        </w:rPr>
        <w:t xml:space="preserve"> de Revisión</w:t>
      </w:r>
      <w:r w:rsidRPr="00493938">
        <w:rPr>
          <w:rFonts w:ascii="Palatino Linotype" w:eastAsia="Palatino Linotype" w:hAnsi="Palatino Linotype" w:cs="Palatino Linotype"/>
          <w:b/>
        </w:rPr>
        <w:t> </w:t>
      </w:r>
      <w:r w:rsidR="00112D6E">
        <w:rPr>
          <w:rFonts w:ascii="Palatino Linotype" w:eastAsia="Palatino Linotype" w:hAnsi="Palatino Linotype" w:cs="Palatino Linotype"/>
          <w:b/>
          <w:color w:val="000000"/>
        </w:rPr>
        <w:t>11773</w:t>
      </w:r>
      <w:r>
        <w:rPr>
          <w:rFonts w:ascii="Palatino Linotype" w:eastAsia="Palatino Linotype" w:hAnsi="Palatino Linotype" w:cs="Palatino Linotype"/>
          <w:b/>
          <w:color w:val="000000"/>
        </w:rPr>
        <w:t xml:space="preserve">/INFOEM/IP/RR/2025 </w:t>
      </w:r>
      <w:r w:rsidRPr="00493938">
        <w:rPr>
          <w:rFonts w:ascii="Palatino Linotype" w:eastAsia="Palatino Linotype" w:hAnsi="Palatino Linotype" w:cs="Palatino Linotype"/>
        </w:rPr>
        <w:t xml:space="preserve">en términos del </w:t>
      </w:r>
      <w:r w:rsidRPr="00493938">
        <w:rPr>
          <w:rFonts w:ascii="Palatino Linotype" w:eastAsia="Palatino Linotype" w:hAnsi="Palatino Linotype" w:cs="Palatino Linotype"/>
          <w:b/>
        </w:rPr>
        <w:t xml:space="preserve">Considerando </w:t>
      </w:r>
      <w:r>
        <w:rPr>
          <w:rFonts w:ascii="Palatino Linotype" w:eastAsia="Palatino Linotype" w:hAnsi="Palatino Linotype" w:cs="Palatino Linotype"/>
          <w:b/>
        </w:rPr>
        <w:t>CUARTO</w:t>
      </w:r>
      <w:r w:rsidRPr="00493938">
        <w:rPr>
          <w:rFonts w:ascii="Palatino Linotype" w:eastAsia="Palatino Linotype" w:hAnsi="Palatino Linotype" w:cs="Palatino Linotype"/>
          <w:b/>
        </w:rPr>
        <w:t xml:space="preserve"> </w:t>
      </w:r>
      <w:r w:rsidRPr="00493938">
        <w:rPr>
          <w:rFonts w:ascii="Palatino Linotype" w:eastAsia="Palatino Linotype" w:hAnsi="Palatino Linotype" w:cs="Palatino Linotype"/>
        </w:rPr>
        <w:t>de la presente resolución.</w:t>
      </w:r>
    </w:p>
    <w:p w:rsidR="00CA5E22" w:rsidRPr="00BA36A4" w:rsidRDefault="00CA5E22" w:rsidP="00CA5E22">
      <w:pPr>
        <w:spacing w:line="360" w:lineRule="auto"/>
        <w:ind w:right="-716"/>
        <w:jc w:val="both"/>
        <w:rPr>
          <w:rFonts w:ascii="Palatino Linotype" w:eastAsia="Palatino Linotype" w:hAnsi="Palatino Linotype" w:cs="Palatino Linotype"/>
          <w:b/>
        </w:rPr>
      </w:pPr>
    </w:p>
    <w:p w:rsidR="00CA5E22" w:rsidRDefault="00CA5E22" w:rsidP="00CA5E22">
      <w:pPr>
        <w:spacing w:line="360" w:lineRule="auto"/>
        <w:ind w:right="-716"/>
        <w:jc w:val="both"/>
        <w:rPr>
          <w:rFonts w:ascii="Palatino Linotype" w:eastAsia="Palatino Linotype" w:hAnsi="Palatino Linotype" w:cs="Palatino Linotype"/>
        </w:rPr>
      </w:pPr>
      <w:bookmarkStart w:id="9" w:name="_heading=h.17dp8vu" w:colFirst="0" w:colLast="0"/>
      <w:bookmarkEnd w:id="9"/>
      <w:r w:rsidRPr="004F6FBF">
        <w:rPr>
          <w:rFonts w:ascii="Palatino Linotype" w:eastAsia="Palatino Linotype" w:hAnsi="Palatino Linotype" w:cs="Palatino Linotype"/>
          <w:b/>
        </w:rPr>
        <w:t>SEGUNDO.</w:t>
      </w:r>
      <w:r w:rsidRPr="004F6FBF">
        <w:rPr>
          <w:rFonts w:ascii="Palatino Linotype" w:eastAsia="Palatino Linotype" w:hAnsi="Palatino Linotype" w:cs="Palatino Linotype"/>
          <w:color w:val="2F5496"/>
        </w:rPr>
        <w:t xml:space="preserve"> </w:t>
      </w:r>
      <w:r w:rsidRPr="004F6FBF">
        <w:rPr>
          <w:rFonts w:ascii="Palatino Linotype" w:eastAsia="Palatino Linotype" w:hAnsi="Palatino Linotype" w:cs="Palatino Linotype"/>
          <w:color w:val="000000"/>
        </w:rPr>
        <w:t xml:space="preserve">Se </w:t>
      </w:r>
      <w:r w:rsidR="00112D6E">
        <w:rPr>
          <w:rFonts w:ascii="Palatino Linotype" w:eastAsia="Palatino Linotype" w:hAnsi="Palatino Linotype" w:cs="Palatino Linotype"/>
          <w:b/>
          <w:color w:val="000000"/>
        </w:rPr>
        <w:t>REVOCA</w:t>
      </w:r>
      <w:r w:rsidRPr="004F6FBF">
        <w:rPr>
          <w:rFonts w:ascii="Palatino Linotype" w:eastAsia="Palatino Linotype" w:hAnsi="Palatino Linotype" w:cs="Palatino Linotype"/>
          <w:b/>
          <w:color w:val="000000"/>
        </w:rPr>
        <w:t xml:space="preserve"> </w:t>
      </w:r>
      <w:r w:rsidRPr="004F6FBF">
        <w:rPr>
          <w:rFonts w:ascii="Palatino Linotype" w:eastAsia="Palatino Linotype" w:hAnsi="Palatino Linotype" w:cs="Palatino Linotype"/>
          <w:color w:val="000000"/>
        </w:rPr>
        <w:t xml:space="preserve">la respuesta emitida por el </w:t>
      </w:r>
      <w:r w:rsidRPr="004F6FBF">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Toluca</w:t>
      </w:r>
      <w:r w:rsidRPr="004F6FBF">
        <w:rPr>
          <w:rFonts w:ascii="Palatino Linotype" w:eastAsia="Palatino Linotype" w:hAnsi="Palatino Linotype" w:cs="Palatino Linotype"/>
          <w:color w:val="000000"/>
        </w:rPr>
        <w:t xml:space="preserve"> y se </w:t>
      </w:r>
      <w:r w:rsidRPr="004F6FBF">
        <w:rPr>
          <w:rFonts w:ascii="Palatino Linotype" w:eastAsia="Palatino Linotype" w:hAnsi="Palatino Linotype" w:cs="Palatino Linotype"/>
          <w:b/>
          <w:color w:val="000000"/>
        </w:rPr>
        <w:t>ORDENA</w:t>
      </w:r>
      <w:r w:rsidRPr="004F6FBF">
        <w:rPr>
          <w:rFonts w:ascii="Palatino Linotype" w:eastAsia="Palatino Linotype" w:hAnsi="Palatino Linotype" w:cs="Palatino Linotype"/>
          <w:color w:val="000000"/>
        </w:rPr>
        <w:t xml:space="preserve"> entregar, vía Sistema de Acceso a la Información Mexiquense </w:t>
      </w:r>
      <w:r w:rsidRPr="004F6FBF">
        <w:rPr>
          <w:rFonts w:ascii="Palatino Linotype" w:eastAsia="Palatino Linotype" w:hAnsi="Palatino Linotype" w:cs="Palatino Linotype"/>
          <w:b/>
          <w:color w:val="000000"/>
        </w:rPr>
        <w:t>(SAIMEX),</w:t>
      </w:r>
      <w:r w:rsidRPr="004F6FBF">
        <w:rPr>
          <w:rFonts w:ascii="Palatino Linotype" w:eastAsia="Palatino Linotype" w:hAnsi="Palatino Linotype" w:cs="Palatino Linotype"/>
        </w:rPr>
        <w:t xml:space="preserve"> previa búsqueda exhaustiva y razonable, se ser</w:t>
      </w:r>
      <w:r>
        <w:rPr>
          <w:rFonts w:ascii="Palatino Linotype" w:eastAsia="Palatino Linotype" w:hAnsi="Palatino Linotype" w:cs="Palatino Linotype"/>
        </w:rPr>
        <w:t xml:space="preserve"> procedente en versión pública</w:t>
      </w:r>
      <w:r w:rsidRPr="004F6FBF">
        <w:rPr>
          <w:rFonts w:ascii="Palatino Linotype" w:eastAsia="Palatino Linotype" w:hAnsi="Palatino Linotype" w:cs="Palatino Linotype"/>
        </w:rPr>
        <w:t>, la siguiente información:</w:t>
      </w:r>
    </w:p>
    <w:p w:rsidR="00B07F26" w:rsidRPr="00967869" w:rsidRDefault="00B07F26" w:rsidP="005F6634">
      <w:pPr>
        <w:pStyle w:val="Prrafodelista"/>
        <w:numPr>
          <w:ilvl w:val="0"/>
          <w:numId w:val="12"/>
        </w:numPr>
        <w:spacing w:line="360" w:lineRule="auto"/>
        <w:ind w:left="1276" w:right="-714"/>
        <w:jc w:val="both"/>
        <w:rPr>
          <w:rFonts w:ascii="Palatino Linotype" w:eastAsia="Palatino Linotype" w:hAnsi="Palatino Linotype" w:cs="Palatino Linotype"/>
          <w:b/>
          <w:color w:val="000000"/>
        </w:rPr>
      </w:pPr>
      <w:r w:rsidRPr="00967869">
        <w:rPr>
          <w:rFonts w:ascii="Palatino Linotype" w:eastAsia="Palatino Linotype" w:hAnsi="Palatino Linotype" w:cs="Palatino Linotype"/>
          <w:b/>
          <w:color w:val="000000"/>
        </w:rPr>
        <w:t xml:space="preserve">De todas las contrataciones de obras realizadas del 01 de enero al 12 de septiembre de 2025, el documento en el que conste o se advierta: </w:t>
      </w:r>
    </w:p>
    <w:p w:rsidR="00B07F26" w:rsidRPr="00967869" w:rsidRDefault="00B07F26" w:rsidP="005F6634">
      <w:pPr>
        <w:pStyle w:val="Prrafodelista"/>
        <w:numPr>
          <w:ilvl w:val="1"/>
          <w:numId w:val="12"/>
        </w:numPr>
        <w:spacing w:line="360" w:lineRule="auto"/>
        <w:ind w:right="-714"/>
        <w:jc w:val="both"/>
        <w:rPr>
          <w:rFonts w:ascii="Palatino Linotype" w:eastAsia="Palatino Linotype" w:hAnsi="Palatino Linotype" w:cs="Palatino Linotype"/>
          <w:b/>
          <w:color w:val="000000"/>
        </w:rPr>
      </w:pPr>
      <w:r w:rsidRPr="00967869">
        <w:rPr>
          <w:rFonts w:ascii="Palatino Linotype" w:eastAsia="Palatino Linotype" w:hAnsi="Palatino Linotype" w:cs="Palatino Linotype"/>
          <w:b/>
          <w:color w:val="000000"/>
        </w:rPr>
        <w:t>El expediente técnico y de contratación.</w:t>
      </w:r>
    </w:p>
    <w:p w:rsidR="00B07F26" w:rsidRPr="00967869" w:rsidRDefault="00062F62" w:rsidP="005F6634">
      <w:pPr>
        <w:pStyle w:val="Prrafodelista"/>
        <w:numPr>
          <w:ilvl w:val="1"/>
          <w:numId w:val="12"/>
        </w:numPr>
        <w:spacing w:line="360" w:lineRule="auto"/>
        <w:ind w:right="-714"/>
        <w:jc w:val="both"/>
        <w:rPr>
          <w:rFonts w:ascii="Palatino Linotype" w:eastAsia="Palatino Linotype" w:hAnsi="Palatino Linotype" w:cs="Palatino Linotype"/>
          <w:b/>
          <w:color w:val="000000"/>
        </w:rPr>
      </w:pPr>
      <w:r w:rsidRPr="00967869">
        <w:rPr>
          <w:rFonts w:ascii="Palatino Linotype" w:eastAsia="Palatino Linotype" w:hAnsi="Palatino Linotype" w:cs="Palatino Linotype"/>
          <w:b/>
          <w:color w:val="000000"/>
        </w:rPr>
        <w:lastRenderedPageBreak/>
        <w:t>Monto</w:t>
      </w:r>
      <w:r w:rsidR="00B07F26" w:rsidRPr="00967869">
        <w:rPr>
          <w:rFonts w:ascii="Palatino Linotype" w:eastAsia="Palatino Linotype" w:hAnsi="Palatino Linotype" w:cs="Palatino Linotype"/>
          <w:b/>
          <w:color w:val="000000"/>
        </w:rPr>
        <w:t xml:space="preserve"> pagado por cada obra.</w:t>
      </w:r>
    </w:p>
    <w:p w:rsidR="00B07F26" w:rsidRPr="00967869" w:rsidRDefault="00B07F26" w:rsidP="005F6634">
      <w:pPr>
        <w:pStyle w:val="Prrafodelista"/>
        <w:numPr>
          <w:ilvl w:val="1"/>
          <w:numId w:val="12"/>
        </w:numPr>
        <w:spacing w:line="360" w:lineRule="auto"/>
        <w:ind w:right="-714"/>
        <w:jc w:val="both"/>
        <w:rPr>
          <w:rFonts w:ascii="Palatino Linotype" w:eastAsia="Palatino Linotype" w:hAnsi="Palatino Linotype" w:cs="Palatino Linotype"/>
          <w:b/>
          <w:color w:val="000000"/>
        </w:rPr>
      </w:pPr>
      <w:r w:rsidRPr="00967869">
        <w:rPr>
          <w:rFonts w:ascii="Palatino Linotype" w:eastAsia="Palatino Linotype" w:hAnsi="Palatino Linotype" w:cs="Palatino Linotype"/>
          <w:b/>
          <w:color w:val="000000"/>
        </w:rPr>
        <w:t>Facturas pagadas.</w:t>
      </w:r>
    </w:p>
    <w:p w:rsidR="00B07F26" w:rsidRPr="00967869" w:rsidRDefault="00062F62" w:rsidP="005F6634">
      <w:pPr>
        <w:pStyle w:val="Prrafodelista"/>
        <w:numPr>
          <w:ilvl w:val="1"/>
          <w:numId w:val="12"/>
        </w:numPr>
        <w:spacing w:line="360" w:lineRule="auto"/>
        <w:ind w:right="-714"/>
        <w:jc w:val="both"/>
        <w:rPr>
          <w:rFonts w:ascii="Palatino Linotype" w:eastAsia="Palatino Linotype" w:hAnsi="Palatino Linotype" w:cs="Palatino Linotype"/>
          <w:b/>
          <w:color w:val="000000"/>
        </w:rPr>
      </w:pPr>
      <w:r w:rsidRPr="00967869">
        <w:rPr>
          <w:rFonts w:ascii="Palatino Linotype" w:eastAsia="Palatino Linotype" w:hAnsi="Palatino Linotype" w:cs="Palatino Linotype"/>
          <w:b/>
          <w:color w:val="000000"/>
        </w:rPr>
        <w:t>Dirección de cada</w:t>
      </w:r>
      <w:r w:rsidR="00B07F26" w:rsidRPr="00967869">
        <w:rPr>
          <w:rFonts w:ascii="Palatino Linotype" w:eastAsia="Palatino Linotype" w:hAnsi="Palatino Linotype" w:cs="Palatino Linotype"/>
          <w:b/>
          <w:color w:val="000000"/>
        </w:rPr>
        <w:t xml:space="preserve"> obra.</w:t>
      </w:r>
    </w:p>
    <w:p w:rsidR="00CA5E22" w:rsidRPr="00B07F26" w:rsidRDefault="00B07F26" w:rsidP="005F6634">
      <w:pPr>
        <w:pStyle w:val="Prrafodelista"/>
        <w:numPr>
          <w:ilvl w:val="1"/>
          <w:numId w:val="12"/>
        </w:numPr>
        <w:spacing w:line="360" w:lineRule="auto"/>
        <w:ind w:right="-714"/>
        <w:jc w:val="both"/>
        <w:rPr>
          <w:rFonts w:ascii="Palatino Linotype" w:eastAsia="Palatino Linotype" w:hAnsi="Palatino Linotype" w:cs="Palatino Linotype"/>
          <w:b/>
          <w:color w:val="000000"/>
        </w:rPr>
      </w:pPr>
      <w:r w:rsidRPr="00B07F26">
        <w:rPr>
          <w:rFonts w:ascii="Palatino Linotype" w:eastAsia="Palatino Linotype" w:hAnsi="Palatino Linotype" w:cs="Palatino Linotype"/>
          <w:b/>
          <w:color w:val="000000"/>
        </w:rPr>
        <w:t xml:space="preserve"> Avance que tiene</w:t>
      </w:r>
      <w:r>
        <w:rPr>
          <w:rFonts w:ascii="Palatino Linotype" w:eastAsia="Palatino Linotype" w:hAnsi="Palatino Linotype" w:cs="Palatino Linotype"/>
          <w:b/>
          <w:color w:val="000000"/>
        </w:rPr>
        <w:t>.</w:t>
      </w:r>
    </w:p>
    <w:p w:rsidR="00B07F26" w:rsidRPr="004F6FBF" w:rsidRDefault="00B07F26" w:rsidP="00B07F26">
      <w:pPr>
        <w:pStyle w:val="Prrafodelista"/>
        <w:spacing w:line="360" w:lineRule="auto"/>
        <w:ind w:left="993" w:right="-714"/>
        <w:jc w:val="both"/>
        <w:rPr>
          <w:rFonts w:ascii="Palatino Linotype" w:eastAsia="Palatino Linotype" w:hAnsi="Palatino Linotype" w:cs="Palatino Linotype"/>
          <w:b/>
        </w:rPr>
      </w:pPr>
    </w:p>
    <w:p w:rsidR="00CA5E22" w:rsidRPr="009745BA" w:rsidRDefault="00CA5E22" w:rsidP="00CA5E22">
      <w:pPr>
        <w:pStyle w:val="Prrafodelista"/>
        <w:tabs>
          <w:tab w:val="left" w:pos="8080"/>
        </w:tabs>
        <w:spacing w:line="360" w:lineRule="auto"/>
        <w:ind w:left="993" w:right="49"/>
        <w:jc w:val="both"/>
        <w:rPr>
          <w:rFonts w:ascii="Palatino Linotype" w:hAnsi="Palatino Linotype" w:cs="Arial"/>
          <w:b/>
          <w:sz w:val="22"/>
          <w:szCs w:val="22"/>
        </w:rPr>
      </w:pPr>
      <w:r w:rsidRPr="009745BA">
        <w:rPr>
          <w:rFonts w:ascii="Palatino Linotype" w:hAnsi="Palatino Linotype" w:cs="Arial"/>
          <w:sz w:val="22"/>
          <w:szCs w:val="22"/>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745BA">
        <w:rPr>
          <w:rFonts w:ascii="Palatino Linotype" w:hAnsi="Palatino Linotype" w:cs="Arial"/>
          <w:b/>
          <w:sz w:val="22"/>
          <w:szCs w:val="22"/>
        </w:rPr>
        <w:t>RECURRENTE.</w:t>
      </w:r>
    </w:p>
    <w:p w:rsidR="00CA5E22" w:rsidRPr="000F40B4" w:rsidRDefault="00CA5E22" w:rsidP="00CA5E22">
      <w:pPr>
        <w:spacing w:line="360" w:lineRule="auto"/>
        <w:ind w:right="-714"/>
        <w:jc w:val="both"/>
        <w:rPr>
          <w:rFonts w:ascii="Palatino Linotype" w:eastAsia="Palatino Linotype" w:hAnsi="Palatino Linotype" w:cs="Palatino Linotype"/>
          <w:b/>
        </w:rPr>
      </w:pPr>
    </w:p>
    <w:p w:rsidR="00CA5E22" w:rsidRPr="002E2702" w:rsidRDefault="00CA5E22" w:rsidP="00CA5E22">
      <w:pPr>
        <w:tabs>
          <w:tab w:val="left" w:pos="8080"/>
        </w:tabs>
        <w:spacing w:line="360" w:lineRule="auto"/>
        <w:ind w:right="-716"/>
        <w:jc w:val="both"/>
        <w:rPr>
          <w:rFonts w:ascii="Palatino Linotype" w:eastAsia="Palatino Linotype" w:hAnsi="Palatino Linotype" w:cs="Palatino Linotype"/>
          <w:color w:val="222222"/>
        </w:rPr>
      </w:pPr>
      <w:r w:rsidRPr="002E2702">
        <w:rPr>
          <w:rFonts w:ascii="Palatino Linotype" w:eastAsia="Palatino Linotype" w:hAnsi="Palatino Linotype" w:cs="Palatino Linotype"/>
          <w:b/>
        </w:rPr>
        <w:t xml:space="preserve">TERCERO. Notifíquese </w:t>
      </w:r>
      <w:r w:rsidRPr="002E2702">
        <w:rPr>
          <w:rFonts w:ascii="Palatino Linotype" w:eastAsia="Palatino Linotype" w:hAnsi="Palatino Linotype" w:cs="Palatino Linotype"/>
        </w:rPr>
        <w:t xml:space="preserve">vía </w:t>
      </w:r>
      <w:r w:rsidRPr="002E2702">
        <w:rPr>
          <w:rFonts w:ascii="Palatino Linotype" w:eastAsia="Palatino Linotype" w:hAnsi="Palatino Linotype" w:cs="Palatino Linotype"/>
          <w:b/>
        </w:rPr>
        <w:t xml:space="preserve">SAIMEX </w:t>
      </w:r>
      <w:r w:rsidRPr="002E2702">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541967">
        <w:rPr>
          <w:rFonts w:ascii="Palatino Linotype" w:eastAsia="Palatino Linotype" w:hAnsi="Palatino Linotype" w:cs="Palatino Linotype"/>
          <w:b/>
        </w:rPr>
        <w:t>dé cumplimiento a lo ordenado dentro del</w:t>
      </w:r>
      <w:r w:rsidRPr="002E2702">
        <w:rPr>
          <w:rFonts w:ascii="Palatino Linotype" w:eastAsia="Palatino Linotype" w:hAnsi="Palatino Linotype" w:cs="Palatino Linotype"/>
        </w:rPr>
        <w:t xml:space="preserve"> </w:t>
      </w:r>
      <w:r w:rsidRPr="002E2702">
        <w:rPr>
          <w:rFonts w:ascii="Palatino Linotype" w:eastAsia="Palatino Linotype" w:hAnsi="Palatino Linotype" w:cs="Palatino Linotype"/>
          <w:b/>
        </w:rPr>
        <w:t>plazo de diez días hábiles</w:t>
      </w:r>
      <w:r w:rsidRPr="002E2702">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A5E22" w:rsidRPr="002E2702" w:rsidRDefault="00CA5E22" w:rsidP="00CA5E22">
      <w:pPr>
        <w:tabs>
          <w:tab w:val="left" w:pos="8080"/>
        </w:tabs>
        <w:spacing w:line="360" w:lineRule="auto"/>
        <w:ind w:right="-716"/>
        <w:jc w:val="both"/>
        <w:rPr>
          <w:rFonts w:ascii="Palatino Linotype" w:eastAsia="Palatino Linotype" w:hAnsi="Palatino Linotype" w:cs="Palatino Linotype"/>
          <w:color w:val="222222"/>
        </w:rPr>
      </w:pPr>
    </w:p>
    <w:p w:rsidR="00CA5E22" w:rsidRPr="005C4B27" w:rsidRDefault="00CA5E22" w:rsidP="00CA5E22">
      <w:pPr>
        <w:spacing w:line="360" w:lineRule="auto"/>
        <w:ind w:right="-858"/>
        <w:jc w:val="both"/>
        <w:rPr>
          <w:rFonts w:ascii="Palatino Linotype" w:eastAsia="Palatino Linotype" w:hAnsi="Palatino Linotype" w:cs="Palatino Linotype"/>
          <w:b/>
        </w:rPr>
      </w:pPr>
      <w:r w:rsidRPr="005C4B27">
        <w:rPr>
          <w:rFonts w:ascii="Palatino Linotype" w:eastAsia="Palatino Linotype" w:hAnsi="Palatino Linotype" w:cs="Palatino Linotype"/>
          <w:b/>
        </w:rPr>
        <w:t xml:space="preserve">CUARTO. </w:t>
      </w:r>
      <w:r w:rsidRPr="005C4B2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C4B27">
        <w:rPr>
          <w:rFonts w:ascii="Palatino Linotype" w:eastAsia="Palatino Linotype" w:hAnsi="Palatino Linotype" w:cs="Palatino Linotype"/>
          <w:b/>
        </w:rPr>
        <w:lastRenderedPageBreak/>
        <w:t>SUJETO OBLIGADO</w:t>
      </w:r>
      <w:r w:rsidRPr="005C4B27">
        <w:rPr>
          <w:rFonts w:ascii="Palatino Linotype" w:eastAsia="Palatino Linotype" w:hAnsi="Palatino Linotype" w:cs="Palatino Linotype"/>
        </w:rPr>
        <w:t xml:space="preserve"> de manera fundada y motivada, podrá solicitar una ampliación de plazo para el cumplimiento de la presente resolución.</w:t>
      </w:r>
    </w:p>
    <w:p w:rsidR="00CA5E22" w:rsidRPr="005C4B27" w:rsidRDefault="00CA5E22" w:rsidP="00CA5E22">
      <w:pPr>
        <w:spacing w:line="360" w:lineRule="auto"/>
        <w:ind w:right="-858"/>
        <w:jc w:val="both"/>
        <w:rPr>
          <w:rFonts w:ascii="Palatino Linotype" w:eastAsia="Palatino Linotype" w:hAnsi="Palatino Linotype" w:cs="Palatino Linotype"/>
          <w:b/>
        </w:rPr>
      </w:pPr>
    </w:p>
    <w:p w:rsidR="00CA5E22" w:rsidRDefault="00CA5E22" w:rsidP="00CA5E22">
      <w:pPr>
        <w:spacing w:line="360" w:lineRule="auto"/>
        <w:ind w:right="-858"/>
        <w:jc w:val="both"/>
        <w:rPr>
          <w:rFonts w:ascii="Palatino Linotype" w:eastAsia="Palatino Linotype" w:hAnsi="Palatino Linotype" w:cs="Palatino Linotype"/>
        </w:rPr>
      </w:pPr>
      <w:r w:rsidRPr="005C4B27">
        <w:rPr>
          <w:rFonts w:ascii="Palatino Linotype" w:eastAsia="Palatino Linotype" w:hAnsi="Palatino Linotype" w:cs="Palatino Linotype"/>
          <w:b/>
        </w:rPr>
        <w:t>QUINTO. NOTIFÍQUESE</w:t>
      </w:r>
      <w:r w:rsidRPr="005C4B27">
        <w:rPr>
          <w:rFonts w:ascii="Palatino Linotype" w:eastAsia="Palatino Linotype" w:hAnsi="Palatino Linotype" w:cs="Palatino Linotype"/>
        </w:rPr>
        <w:t xml:space="preserve"> la presente resolución a la parte </w:t>
      </w:r>
      <w:r w:rsidRPr="005C4B27">
        <w:rPr>
          <w:rFonts w:ascii="Palatino Linotype" w:eastAsia="Palatino Linotype" w:hAnsi="Palatino Linotype" w:cs="Palatino Linotype"/>
          <w:b/>
        </w:rPr>
        <w:t>Recurrente</w:t>
      </w:r>
      <w:r w:rsidRPr="005C4B27">
        <w:rPr>
          <w:rFonts w:ascii="Palatino Linotype" w:eastAsia="Palatino Linotype" w:hAnsi="Palatino Linotype" w:cs="Palatino Linotype"/>
        </w:rPr>
        <w:t xml:space="preserve"> a través del Sistema de Acceso a la Información Mexiquense </w:t>
      </w:r>
      <w:r w:rsidRPr="005C4B27">
        <w:rPr>
          <w:rFonts w:ascii="Palatino Linotype" w:eastAsia="Palatino Linotype" w:hAnsi="Palatino Linotype" w:cs="Palatino Linotype"/>
          <w:b/>
        </w:rPr>
        <w:t>(SAIMEX)</w:t>
      </w:r>
      <w:r w:rsidRPr="005C4B27">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2F4EC5" w:rsidRDefault="002F4EC5" w:rsidP="00AB1910">
      <w:pPr>
        <w:spacing w:line="360" w:lineRule="auto"/>
        <w:ind w:right="-858"/>
        <w:jc w:val="both"/>
        <w:rPr>
          <w:rFonts w:ascii="Palatino Linotype" w:eastAsia="Palatino Linotype" w:hAnsi="Palatino Linotype" w:cs="Palatino Linotype"/>
        </w:rPr>
      </w:pPr>
    </w:p>
    <w:p w:rsidR="00541967" w:rsidRPr="003E2295" w:rsidRDefault="00541967" w:rsidP="00541967">
      <w:pPr>
        <w:spacing w:before="240" w:after="240" w:line="360" w:lineRule="auto"/>
        <w:ind w:right="-858" w:firstLine="1"/>
        <w:jc w:val="both"/>
        <w:rPr>
          <w:rFonts w:ascii="Palatino Linotype" w:hAnsi="Palatino Linotype"/>
        </w:rPr>
      </w:pPr>
      <w:bookmarkStart w:id="10"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0"/>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jc w:val="both"/>
        <w:rPr>
          <w:rFonts w:ascii="Palatino Linotype" w:eastAsia="Palatino Linotype" w:hAnsi="Palatino Linotype" w:cs="Palatino Linotype"/>
        </w:rPr>
      </w:pPr>
    </w:p>
    <w:p w:rsidR="0072148B" w:rsidRDefault="0072148B">
      <w:pPr>
        <w:spacing w:line="360" w:lineRule="auto"/>
        <w:ind w:right="-787"/>
        <w:rPr>
          <w:rFonts w:ascii="Palatino Linotype" w:eastAsia="Palatino Linotype" w:hAnsi="Palatino Linotype" w:cs="Palatino Linotype"/>
        </w:rPr>
      </w:pPr>
    </w:p>
    <w:p w:rsidR="0072148B" w:rsidRDefault="0072148B">
      <w:pPr>
        <w:tabs>
          <w:tab w:val="left" w:pos="3374"/>
        </w:tabs>
        <w:spacing w:line="360" w:lineRule="auto"/>
        <w:ind w:right="-787"/>
        <w:rPr>
          <w:rFonts w:ascii="Palatino Linotype" w:eastAsia="Palatino Linotype" w:hAnsi="Palatino Linotype" w:cs="Palatino Linotype"/>
        </w:rPr>
      </w:pPr>
      <w:bookmarkStart w:id="11" w:name="_heading=h.lnxbz9" w:colFirst="0" w:colLast="0"/>
      <w:bookmarkEnd w:id="11"/>
    </w:p>
    <w:sectPr w:rsidR="0072148B">
      <w:headerReference w:type="even" r:id="rId18"/>
      <w:headerReference w:type="default" r:id="rId19"/>
      <w:footerReference w:type="default" r:id="rId20"/>
      <w:headerReference w:type="first" r:id="rId21"/>
      <w:footerReference w:type="first" r:id="rId22"/>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C08" w:rsidRDefault="004D2C08">
      <w:r>
        <w:separator/>
      </w:r>
    </w:p>
  </w:endnote>
  <w:endnote w:type="continuationSeparator" w:id="0">
    <w:p w:rsidR="004D2C08" w:rsidRDefault="004D2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C7" w:rsidRDefault="00D14CC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17462">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17462">
      <w:rPr>
        <w:rFonts w:ascii="Palatino Linotype" w:eastAsia="Palatino Linotype" w:hAnsi="Palatino Linotype" w:cs="Palatino Linotype"/>
        <w:noProof/>
        <w:color w:val="000000"/>
        <w:sz w:val="20"/>
        <w:szCs w:val="20"/>
      </w:rPr>
      <w:t>62</w:t>
    </w:r>
    <w:r>
      <w:rPr>
        <w:rFonts w:ascii="Palatino Linotype" w:eastAsia="Palatino Linotype" w:hAnsi="Palatino Linotype" w:cs="Palatino Linotype"/>
        <w:color w:val="000000"/>
        <w:sz w:val="20"/>
        <w:szCs w:val="20"/>
      </w:rPr>
      <w:fldChar w:fldCharType="end"/>
    </w:r>
  </w:p>
  <w:p w:rsidR="00D14CC7" w:rsidRDefault="00D14CC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C7" w:rsidRDefault="00D14CC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17462">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17462">
      <w:rPr>
        <w:rFonts w:ascii="Palatino Linotype" w:eastAsia="Palatino Linotype" w:hAnsi="Palatino Linotype" w:cs="Palatino Linotype"/>
        <w:noProof/>
        <w:color w:val="000000"/>
        <w:sz w:val="20"/>
        <w:szCs w:val="20"/>
      </w:rPr>
      <w:t>62</w:t>
    </w:r>
    <w:r>
      <w:rPr>
        <w:rFonts w:ascii="Palatino Linotype" w:eastAsia="Palatino Linotype" w:hAnsi="Palatino Linotype" w:cs="Palatino Linotype"/>
        <w:color w:val="000000"/>
        <w:sz w:val="20"/>
        <w:szCs w:val="20"/>
      </w:rPr>
      <w:fldChar w:fldCharType="end"/>
    </w:r>
  </w:p>
  <w:p w:rsidR="00D14CC7" w:rsidRDefault="00D14CC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C08" w:rsidRDefault="004D2C08">
      <w:r>
        <w:separator/>
      </w:r>
    </w:p>
  </w:footnote>
  <w:footnote w:type="continuationSeparator" w:id="0">
    <w:p w:rsidR="004D2C08" w:rsidRDefault="004D2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C7" w:rsidRDefault="004D2C0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C7" w:rsidRDefault="00D14CC7">
    <w:pPr>
      <w:widowControl w:val="0"/>
      <w:pBdr>
        <w:top w:val="nil"/>
        <w:left w:val="nil"/>
        <w:bottom w:val="nil"/>
        <w:right w:val="nil"/>
        <w:between w:val="nil"/>
      </w:pBdr>
      <w:spacing w:line="276" w:lineRule="auto"/>
      <w:rPr>
        <w:color w:val="000000"/>
      </w:rPr>
    </w:pPr>
  </w:p>
  <w:tbl>
    <w:tblPr>
      <w:tblW w:w="6761" w:type="dxa"/>
      <w:tblInd w:w="3261" w:type="dxa"/>
      <w:tblLayout w:type="fixed"/>
      <w:tblLook w:val="0400" w:firstRow="0" w:lastRow="0" w:firstColumn="0" w:lastColumn="0" w:noHBand="0" w:noVBand="1"/>
    </w:tblPr>
    <w:tblGrid>
      <w:gridCol w:w="2509"/>
      <w:gridCol w:w="4252"/>
    </w:tblGrid>
    <w:tr w:rsidR="00D14CC7" w:rsidTr="008933E3">
      <w:trPr>
        <w:trHeight w:val="227"/>
      </w:trPr>
      <w:tc>
        <w:tcPr>
          <w:tcW w:w="2509" w:type="dxa"/>
        </w:tcPr>
        <w:p w:rsidR="00D14CC7" w:rsidRDefault="00D14CC7" w:rsidP="0005554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D14CC7" w:rsidRDefault="00D14CC7" w:rsidP="00055543">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11773</w:t>
          </w:r>
          <w:r w:rsidRPr="00092C1B">
            <w:rPr>
              <w:rFonts w:ascii="Palatino Linotype" w:eastAsia="Palatino Linotype" w:hAnsi="Palatino Linotype" w:cs="Palatino Linotype"/>
              <w:color w:val="000000"/>
              <w:sz w:val="22"/>
              <w:szCs w:val="22"/>
            </w:rPr>
            <w:t>/INFOEM/IP/RR/2025</w:t>
          </w:r>
        </w:p>
      </w:tc>
    </w:tr>
    <w:tr w:rsidR="00D14CC7" w:rsidTr="008933E3">
      <w:trPr>
        <w:trHeight w:val="342"/>
      </w:trPr>
      <w:tc>
        <w:tcPr>
          <w:tcW w:w="2509" w:type="dxa"/>
        </w:tcPr>
        <w:p w:rsidR="00D14CC7" w:rsidRDefault="00D14CC7" w:rsidP="0005554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D14CC7" w:rsidRPr="00C103FC" w:rsidRDefault="00D14CC7" w:rsidP="00055543">
          <w:pPr>
            <w:rPr>
              <w:rFonts w:ascii="Palatino Linotype" w:eastAsia="Palatino Linotype" w:hAnsi="Palatino Linotype" w:cs="Palatino Linotype"/>
              <w:color w:val="000000"/>
              <w:sz w:val="22"/>
              <w:szCs w:val="22"/>
            </w:rPr>
          </w:pPr>
          <w:r w:rsidRPr="00C103FC">
            <w:rPr>
              <w:rFonts w:ascii="Palatino Linotype" w:eastAsia="Palatino Linotype" w:hAnsi="Palatino Linotype" w:cs="Palatino Linotype"/>
              <w:bCs/>
              <w:color w:val="000000"/>
              <w:sz w:val="22"/>
              <w:szCs w:val="22"/>
            </w:rPr>
            <w:t xml:space="preserve">Ayuntamiento de </w:t>
          </w:r>
          <w:r>
            <w:rPr>
              <w:rFonts w:ascii="Palatino Linotype" w:eastAsia="Palatino Linotype" w:hAnsi="Palatino Linotype" w:cs="Palatino Linotype"/>
              <w:bCs/>
              <w:color w:val="000000"/>
              <w:sz w:val="22"/>
              <w:szCs w:val="22"/>
            </w:rPr>
            <w:t>Toluca</w:t>
          </w:r>
        </w:p>
      </w:tc>
    </w:tr>
    <w:tr w:rsidR="00D14CC7" w:rsidTr="008933E3">
      <w:trPr>
        <w:trHeight w:val="342"/>
      </w:trPr>
      <w:tc>
        <w:tcPr>
          <w:tcW w:w="2509" w:type="dxa"/>
        </w:tcPr>
        <w:p w:rsidR="00D14CC7" w:rsidRDefault="00D14CC7" w:rsidP="0005554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D14CC7" w:rsidRDefault="00D14CC7" w:rsidP="00055543">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14CC7" w:rsidRDefault="004D2C08">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C7" w:rsidRDefault="00D14CC7">
    <w:pPr>
      <w:widowControl w:val="0"/>
      <w:pBdr>
        <w:top w:val="nil"/>
        <w:left w:val="nil"/>
        <w:bottom w:val="nil"/>
        <w:right w:val="nil"/>
        <w:between w:val="nil"/>
      </w:pBdr>
      <w:spacing w:line="276" w:lineRule="auto"/>
      <w:rPr>
        <w:color w:val="000000"/>
        <w:sz w:val="14"/>
        <w:szCs w:val="14"/>
      </w:rPr>
    </w:pPr>
  </w:p>
  <w:tbl>
    <w:tblPr>
      <w:tblW w:w="6761" w:type="dxa"/>
      <w:tblInd w:w="3261" w:type="dxa"/>
      <w:tblLayout w:type="fixed"/>
      <w:tblLook w:val="0400" w:firstRow="0" w:lastRow="0" w:firstColumn="0" w:lastColumn="0" w:noHBand="0" w:noVBand="1"/>
    </w:tblPr>
    <w:tblGrid>
      <w:gridCol w:w="2509"/>
      <w:gridCol w:w="4252"/>
    </w:tblGrid>
    <w:tr w:rsidR="00D14CC7" w:rsidTr="008363F8">
      <w:trPr>
        <w:trHeight w:val="227"/>
      </w:trPr>
      <w:tc>
        <w:tcPr>
          <w:tcW w:w="2509" w:type="dxa"/>
        </w:tcPr>
        <w:p w:rsidR="00D14CC7" w:rsidRDefault="00D14CC7" w:rsidP="0094714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D14CC7" w:rsidRDefault="00D14CC7" w:rsidP="0094714F">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11773</w:t>
          </w:r>
          <w:r w:rsidRPr="00092C1B">
            <w:rPr>
              <w:rFonts w:ascii="Palatino Linotype" w:eastAsia="Palatino Linotype" w:hAnsi="Palatino Linotype" w:cs="Palatino Linotype"/>
              <w:color w:val="000000"/>
              <w:sz w:val="22"/>
              <w:szCs w:val="22"/>
            </w:rPr>
            <w:t>/INFOEM/IP/RR/2025</w:t>
          </w:r>
        </w:p>
      </w:tc>
    </w:tr>
    <w:tr w:rsidR="00D14CC7" w:rsidTr="008363F8">
      <w:trPr>
        <w:trHeight w:val="242"/>
      </w:trPr>
      <w:tc>
        <w:tcPr>
          <w:tcW w:w="2509" w:type="dxa"/>
        </w:tcPr>
        <w:p w:rsidR="00D14CC7" w:rsidRDefault="00D14CC7" w:rsidP="0094714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2" w:type="dxa"/>
        </w:tcPr>
        <w:p w:rsidR="00D14CC7" w:rsidRDefault="00D14CC7" w:rsidP="0094714F">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 w:val="22"/>
              <w:szCs w:val="22"/>
              <w:highlight w:val="green"/>
            </w:rPr>
          </w:pPr>
        </w:p>
      </w:tc>
    </w:tr>
    <w:tr w:rsidR="00D14CC7" w:rsidTr="008363F8">
      <w:trPr>
        <w:trHeight w:val="342"/>
      </w:trPr>
      <w:tc>
        <w:tcPr>
          <w:tcW w:w="2509" w:type="dxa"/>
        </w:tcPr>
        <w:p w:rsidR="00D14CC7" w:rsidRDefault="00D14CC7" w:rsidP="0094714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D14CC7" w:rsidRPr="00C103FC" w:rsidRDefault="00D14CC7" w:rsidP="00055543">
          <w:pPr>
            <w:rPr>
              <w:rFonts w:ascii="Palatino Linotype" w:eastAsia="Palatino Linotype" w:hAnsi="Palatino Linotype" w:cs="Palatino Linotype"/>
              <w:color w:val="000000"/>
              <w:sz w:val="22"/>
              <w:szCs w:val="22"/>
            </w:rPr>
          </w:pPr>
          <w:r w:rsidRPr="00C103FC">
            <w:rPr>
              <w:rFonts w:ascii="Palatino Linotype" w:eastAsia="Palatino Linotype" w:hAnsi="Palatino Linotype" w:cs="Palatino Linotype"/>
              <w:bCs/>
              <w:color w:val="000000"/>
              <w:sz w:val="22"/>
              <w:szCs w:val="22"/>
            </w:rPr>
            <w:t xml:space="preserve">Ayuntamiento de </w:t>
          </w:r>
          <w:r>
            <w:rPr>
              <w:rFonts w:ascii="Palatino Linotype" w:eastAsia="Palatino Linotype" w:hAnsi="Palatino Linotype" w:cs="Palatino Linotype"/>
              <w:bCs/>
              <w:color w:val="000000"/>
              <w:sz w:val="22"/>
              <w:szCs w:val="22"/>
            </w:rPr>
            <w:t>Toluca</w:t>
          </w:r>
        </w:p>
      </w:tc>
    </w:tr>
    <w:tr w:rsidR="00D14CC7" w:rsidTr="008363F8">
      <w:trPr>
        <w:trHeight w:val="342"/>
      </w:trPr>
      <w:tc>
        <w:tcPr>
          <w:tcW w:w="2509" w:type="dxa"/>
        </w:tcPr>
        <w:p w:rsidR="00D14CC7" w:rsidRDefault="00D14CC7" w:rsidP="0094714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D14CC7" w:rsidRDefault="00D14CC7" w:rsidP="0094714F">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14CC7" w:rsidRDefault="004D2C08">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DFB4B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61E5DD7"/>
    <w:multiLevelType w:val="hybridMultilevel"/>
    <w:tmpl w:val="F2261E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616C2F"/>
    <w:multiLevelType w:val="hybridMultilevel"/>
    <w:tmpl w:val="81E6E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52816292"/>
    <w:multiLevelType w:val="hybridMultilevel"/>
    <w:tmpl w:val="AEEC1782"/>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9" w15:restartNumberingAfterBreak="0">
    <w:nsid w:val="5DBE099A"/>
    <w:multiLevelType w:val="multilevel"/>
    <w:tmpl w:val="FD4250D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E064666"/>
    <w:multiLevelType w:val="hybridMultilevel"/>
    <w:tmpl w:val="711CD964"/>
    <w:lvl w:ilvl="0" w:tplc="080A0001">
      <w:start w:val="1"/>
      <w:numFmt w:val="bullet"/>
      <w:lvlText w:val=""/>
      <w:lvlJc w:val="left"/>
      <w:pPr>
        <w:ind w:left="720" w:hanging="360"/>
      </w:pPr>
      <w:rPr>
        <w:rFonts w:ascii="Symbol" w:hAnsi="Symbol" w:hint="default"/>
      </w:rPr>
    </w:lvl>
    <w:lvl w:ilvl="1" w:tplc="080A0011">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435A25"/>
    <w:multiLevelType w:val="multilevel"/>
    <w:tmpl w:val="ED40723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5"/>
  </w:num>
  <w:num w:numId="4">
    <w:abstractNumId w:val="8"/>
  </w:num>
  <w:num w:numId="5">
    <w:abstractNumId w:val="9"/>
  </w:num>
  <w:num w:numId="6">
    <w:abstractNumId w:val="4"/>
  </w:num>
  <w:num w:numId="7">
    <w:abstractNumId w:val="1"/>
  </w:num>
  <w:num w:numId="8">
    <w:abstractNumId w:val="7"/>
  </w:num>
  <w:num w:numId="9">
    <w:abstractNumId w:val="3"/>
  </w:num>
  <w:num w:numId="10">
    <w:abstractNumId w:val="2"/>
  </w:num>
  <w:num w:numId="11">
    <w:abstractNumId w:val="0"/>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8B"/>
    <w:rsid w:val="00002B41"/>
    <w:rsid w:val="0000381A"/>
    <w:rsid w:val="00004A5C"/>
    <w:rsid w:val="00007763"/>
    <w:rsid w:val="000103CF"/>
    <w:rsid w:val="00011345"/>
    <w:rsid w:val="00013A73"/>
    <w:rsid w:val="000150EB"/>
    <w:rsid w:val="00021BCC"/>
    <w:rsid w:val="00021DE1"/>
    <w:rsid w:val="00022B9B"/>
    <w:rsid w:val="000263A7"/>
    <w:rsid w:val="00027C8C"/>
    <w:rsid w:val="00031D0E"/>
    <w:rsid w:val="000345AD"/>
    <w:rsid w:val="00036156"/>
    <w:rsid w:val="00040DDC"/>
    <w:rsid w:val="00044620"/>
    <w:rsid w:val="00045421"/>
    <w:rsid w:val="00047CD1"/>
    <w:rsid w:val="00047DC8"/>
    <w:rsid w:val="0005134E"/>
    <w:rsid w:val="000515F3"/>
    <w:rsid w:val="00052D67"/>
    <w:rsid w:val="0005315C"/>
    <w:rsid w:val="00053E7B"/>
    <w:rsid w:val="00055543"/>
    <w:rsid w:val="000558B0"/>
    <w:rsid w:val="00056568"/>
    <w:rsid w:val="000574E1"/>
    <w:rsid w:val="00061E9F"/>
    <w:rsid w:val="00062BE7"/>
    <w:rsid w:val="00062F62"/>
    <w:rsid w:val="0006485B"/>
    <w:rsid w:val="000665C2"/>
    <w:rsid w:val="00067E22"/>
    <w:rsid w:val="00072E6D"/>
    <w:rsid w:val="00072FAF"/>
    <w:rsid w:val="00077434"/>
    <w:rsid w:val="00077A37"/>
    <w:rsid w:val="0008242E"/>
    <w:rsid w:val="00083581"/>
    <w:rsid w:val="000862F3"/>
    <w:rsid w:val="00090380"/>
    <w:rsid w:val="00092C1B"/>
    <w:rsid w:val="000A2217"/>
    <w:rsid w:val="000A27E2"/>
    <w:rsid w:val="000B12C2"/>
    <w:rsid w:val="000B47EF"/>
    <w:rsid w:val="000B62A9"/>
    <w:rsid w:val="000B74E0"/>
    <w:rsid w:val="000B7A47"/>
    <w:rsid w:val="000C0909"/>
    <w:rsid w:val="000C37ED"/>
    <w:rsid w:val="000C7E4E"/>
    <w:rsid w:val="000D2A9F"/>
    <w:rsid w:val="000D3E6C"/>
    <w:rsid w:val="000D76E0"/>
    <w:rsid w:val="000E2518"/>
    <w:rsid w:val="000E55E8"/>
    <w:rsid w:val="000E66B5"/>
    <w:rsid w:val="000E685C"/>
    <w:rsid w:val="000E76DB"/>
    <w:rsid w:val="000F31D6"/>
    <w:rsid w:val="000F4C96"/>
    <w:rsid w:val="000F522E"/>
    <w:rsid w:val="000F56FE"/>
    <w:rsid w:val="000F5FDF"/>
    <w:rsid w:val="000F6F52"/>
    <w:rsid w:val="00101619"/>
    <w:rsid w:val="00101FAE"/>
    <w:rsid w:val="00102BD5"/>
    <w:rsid w:val="00102DAE"/>
    <w:rsid w:val="001032FE"/>
    <w:rsid w:val="0010699E"/>
    <w:rsid w:val="00107240"/>
    <w:rsid w:val="00107934"/>
    <w:rsid w:val="001100CF"/>
    <w:rsid w:val="00111626"/>
    <w:rsid w:val="00111B76"/>
    <w:rsid w:val="00112D6E"/>
    <w:rsid w:val="0011729D"/>
    <w:rsid w:val="001206AD"/>
    <w:rsid w:val="00120A69"/>
    <w:rsid w:val="00121CA3"/>
    <w:rsid w:val="0012631F"/>
    <w:rsid w:val="0012710D"/>
    <w:rsid w:val="0012757E"/>
    <w:rsid w:val="00130589"/>
    <w:rsid w:val="00130955"/>
    <w:rsid w:val="00132813"/>
    <w:rsid w:val="001436C5"/>
    <w:rsid w:val="00144A7C"/>
    <w:rsid w:val="00145EE1"/>
    <w:rsid w:val="00147884"/>
    <w:rsid w:val="001514FE"/>
    <w:rsid w:val="00154785"/>
    <w:rsid w:val="00154CBE"/>
    <w:rsid w:val="00156661"/>
    <w:rsid w:val="00157D84"/>
    <w:rsid w:val="00162FDB"/>
    <w:rsid w:val="00163426"/>
    <w:rsid w:val="001636AD"/>
    <w:rsid w:val="00165844"/>
    <w:rsid w:val="00166A07"/>
    <w:rsid w:val="001675CC"/>
    <w:rsid w:val="00167C8C"/>
    <w:rsid w:val="00180976"/>
    <w:rsid w:val="00180B8D"/>
    <w:rsid w:val="00182309"/>
    <w:rsid w:val="00190AE4"/>
    <w:rsid w:val="001917E5"/>
    <w:rsid w:val="001947EE"/>
    <w:rsid w:val="001950D2"/>
    <w:rsid w:val="001951C8"/>
    <w:rsid w:val="00195B7E"/>
    <w:rsid w:val="001960AB"/>
    <w:rsid w:val="001A5066"/>
    <w:rsid w:val="001A547B"/>
    <w:rsid w:val="001B036F"/>
    <w:rsid w:val="001B2FA1"/>
    <w:rsid w:val="001B53AD"/>
    <w:rsid w:val="001B5438"/>
    <w:rsid w:val="001B60C8"/>
    <w:rsid w:val="001B6954"/>
    <w:rsid w:val="001C16A8"/>
    <w:rsid w:val="001C1A84"/>
    <w:rsid w:val="001C24A8"/>
    <w:rsid w:val="001C45FC"/>
    <w:rsid w:val="001C50E4"/>
    <w:rsid w:val="001C765C"/>
    <w:rsid w:val="001D607B"/>
    <w:rsid w:val="001D7665"/>
    <w:rsid w:val="001D7E2A"/>
    <w:rsid w:val="001E1131"/>
    <w:rsid w:val="001E18B8"/>
    <w:rsid w:val="001E5DEC"/>
    <w:rsid w:val="001F04E4"/>
    <w:rsid w:val="001F0E64"/>
    <w:rsid w:val="001F0F1E"/>
    <w:rsid w:val="001F2200"/>
    <w:rsid w:val="00202E5A"/>
    <w:rsid w:val="002036B0"/>
    <w:rsid w:val="002048F2"/>
    <w:rsid w:val="00206B6A"/>
    <w:rsid w:val="00210460"/>
    <w:rsid w:val="00212D78"/>
    <w:rsid w:val="00217462"/>
    <w:rsid w:val="00223B36"/>
    <w:rsid w:val="0022423F"/>
    <w:rsid w:val="00232DAC"/>
    <w:rsid w:val="002342CB"/>
    <w:rsid w:val="00234E39"/>
    <w:rsid w:val="0024562F"/>
    <w:rsid w:val="00246354"/>
    <w:rsid w:val="00247643"/>
    <w:rsid w:val="00251044"/>
    <w:rsid w:val="002523B3"/>
    <w:rsid w:val="00253026"/>
    <w:rsid w:val="0026181C"/>
    <w:rsid w:val="0026411E"/>
    <w:rsid w:val="00267DA2"/>
    <w:rsid w:val="002707F9"/>
    <w:rsid w:val="00280E9D"/>
    <w:rsid w:val="00283332"/>
    <w:rsid w:val="00286918"/>
    <w:rsid w:val="0029293C"/>
    <w:rsid w:val="00293CF4"/>
    <w:rsid w:val="00293DB9"/>
    <w:rsid w:val="002941FF"/>
    <w:rsid w:val="002945E9"/>
    <w:rsid w:val="00294CA4"/>
    <w:rsid w:val="00295D96"/>
    <w:rsid w:val="002A0275"/>
    <w:rsid w:val="002A1D19"/>
    <w:rsid w:val="002A3C88"/>
    <w:rsid w:val="002A5691"/>
    <w:rsid w:val="002A574C"/>
    <w:rsid w:val="002A6586"/>
    <w:rsid w:val="002B0011"/>
    <w:rsid w:val="002C2C1F"/>
    <w:rsid w:val="002C4106"/>
    <w:rsid w:val="002C65D1"/>
    <w:rsid w:val="002C690D"/>
    <w:rsid w:val="002D2F4D"/>
    <w:rsid w:val="002D7E17"/>
    <w:rsid w:val="002E1616"/>
    <w:rsid w:val="002F0CD9"/>
    <w:rsid w:val="002F1189"/>
    <w:rsid w:val="002F2579"/>
    <w:rsid w:val="002F40AE"/>
    <w:rsid w:val="002F4E2A"/>
    <w:rsid w:val="002F4EC5"/>
    <w:rsid w:val="002F53FA"/>
    <w:rsid w:val="002F5C3E"/>
    <w:rsid w:val="00300F3C"/>
    <w:rsid w:val="00301757"/>
    <w:rsid w:val="00301B26"/>
    <w:rsid w:val="00302BD9"/>
    <w:rsid w:val="00302ED7"/>
    <w:rsid w:val="00304470"/>
    <w:rsid w:val="00304B6F"/>
    <w:rsid w:val="003050A2"/>
    <w:rsid w:val="003056F8"/>
    <w:rsid w:val="00310943"/>
    <w:rsid w:val="00310E1F"/>
    <w:rsid w:val="00311F00"/>
    <w:rsid w:val="003143D5"/>
    <w:rsid w:val="0031443C"/>
    <w:rsid w:val="00315D4E"/>
    <w:rsid w:val="003200FF"/>
    <w:rsid w:val="003208BC"/>
    <w:rsid w:val="0032110D"/>
    <w:rsid w:val="00325B01"/>
    <w:rsid w:val="00326DA2"/>
    <w:rsid w:val="0032793E"/>
    <w:rsid w:val="0033123F"/>
    <w:rsid w:val="003328F0"/>
    <w:rsid w:val="00332FEF"/>
    <w:rsid w:val="00333C27"/>
    <w:rsid w:val="00342E49"/>
    <w:rsid w:val="0034447C"/>
    <w:rsid w:val="00347692"/>
    <w:rsid w:val="0035269D"/>
    <w:rsid w:val="0035362A"/>
    <w:rsid w:val="0035709D"/>
    <w:rsid w:val="00367C4B"/>
    <w:rsid w:val="00375B06"/>
    <w:rsid w:val="00375CAB"/>
    <w:rsid w:val="0037694B"/>
    <w:rsid w:val="0037746D"/>
    <w:rsid w:val="00383AF6"/>
    <w:rsid w:val="00386CEB"/>
    <w:rsid w:val="00391555"/>
    <w:rsid w:val="003A2910"/>
    <w:rsid w:val="003A45D3"/>
    <w:rsid w:val="003A7486"/>
    <w:rsid w:val="003B0217"/>
    <w:rsid w:val="003B0D03"/>
    <w:rsid w:val="003B3576"/>
    <w:rsid w:val="003B4823"/>
    <w:rsid w:val="003B6B46"/>
    <w:rsid w:val="003B6C00"/>
    <w:rsid w:val="003C05CC"/>
    <w:rsid w:val="003C1F9D"/>
    <w:rsid w:val="003C3F56"/>
    <w:rsid w:val="003D10AE"/>
    <w:rsid w:val="003D129D"/>
    <w:rsid w:val="003D1704"/>
    <w:rsid w:val="003D6E13"/>
    <w:rsid w:val="003E28A7"/>
    <w:rsid w:val="003E60A6"/>
    <w:rsid w:val="003E6126"/>
    <w:rsid w:val="003E7493"/>
    <w:rsid w:val="003F736E"/>
    <w:rsid w:val="00402929"/>
    <w:rsid w:val="0040705E"/>
    <w:rsid w:val="00410ADD"/>
    <w:rsid w:val="00416129"/>
    <w:rsid w:val="00416682"/>
    <w:rsid w:val="00417A09"/>
    <w:rsid w:val="00421E66"/>
    <w:rsid w:val="00424FD7"/>
    <w:rsid w:val="00426346"/>
    <w:rsid w:val="00426A19"/>
    <w:rsid w:val="0043231A"/>
    <w:rsid w:val="0043397F"/>
    <w:rsid w:val="00434E54"/>
    <w:rsid w:val="00440051"/>
    <w:rsid w:val="004400C5"/>
    <w:rsid w:val="00441632"/>
    <w:rsid w:val="00444D67"/>
    <w:rsid w:val="00444D78"/>
    <w:rsid w:val="0045179E"/>
    <w:rsid w:val="004527E2"/>
    <w:rsid w:val="00452F91"/>
    <w:rsid w:val="004538DE"/>
    <w:rsid w:val="00454E4E"/>
    <w:rsid w:val="00456A7C"/>
    <w:rsid w:val="00457D8A"/>
    <w:rsid w:val="00460F8D"/>
    <w:rsid w:val="0046226E"/>
    <w:rsid w:val="00462292"/>
    <w:rsid w:val="004628B0"/>
    <w:rsid w:val="004635C1"/>
    <w:rsid w:val="00464924"/>
    <w:rsid w:val="00471FD5"/>
    <w:rsid w:val="0047751A"/>
    <w:rsid w:val="00480448"/>
    <w:rsid w:val="00480C73"/>
    <w:rsid w:val="00481E02"/>
    <w:rsid w:val="00483F8B"/>
    <w:rsid w:val="00484E75"/>
    <w:rsid w:val="0048535A"/>
    <w:rsid w:val="004862E6"/>
    <w:rsid w:val="00486875"/>
    <w:rsid w:val="004907F2"/>
    <w:rsid w:val="0049170D"/>
    <w:rsid w:val="00492074"/>
    <w:rsid w:val="00495CA2"/>
    <w:rsid w:val="004963DB"/>
    <w:rsid w:val="0049652E"/>
    <w:rsid w:val="004A1A83"/>
    <w:rsid w:val="004A1DF4"/>
    <w:rsid w:val="004A7F3C"/>
    <w:rsid w:val="004B0961"/>
    <w:rsid w:val="004B6864"/>
    <w:rsid w:val="004B73BB"/>
    <w:rsid w:val="004C0441"/>
    <w:rsid w:val="004C3113"/>
    <w:rsid w:val="004C4F0A"/>
    <w:rsid w:val="004D0276"/>
    <w:rsid w:val="004D2C08"/>
    <w:rsid w:val="004D39CC"/>
    <w:rsid w:val="004D60D6"/>
    <w:rsid w:val="004D683B"/>
    <w:rsid w:val="004D71BC"/>
    <w:rsid w:val="004D7588"/>
    <w:rsid w:val="004E09A2"/>
    <w:rsid w:val="004E11B4"/>
    <w:rsid w:val="004E1B70"/>
    <w:rsid w:val="004E49C5"/>
    <w:rsid w:val="004E7B4F"/>
    <w:rsid w:val="004F1F75"/>
    <w:rsid w:val="004F24A7"/>
    <w:rsid w:val="004F4E78"/>
    <w:rsid w:val="004F62B6"/>
    <w:rsid w:val="00500888"/>
    <w:rsid w:val="0050161B"/>
    <w:rsid w:val="00501D8C"/>
    <w:rsid w:val="00507D15"/>
    <w:rsid w:val="005116D0"/>
    <w:rsid w:val="00514DB7"/>
    <w:rsid w:val="00535C69"/>
    <w:rsid w:val="005371AD"/>
    <w:rsid w:val="00537628"/>
    <w:rsid w:val="00541013"/>
    <w:rsid w:val="00541228"/>
    <w:rsid w:val="005417D6"/>
    <w:rsid w:val="00541967"/>
    <w:rsid w:val="00541C2C"/>
    <w:rsid w:val="00542931"/>
    <w:rsid w:val="00542CAB"/>
    <w:rsid w:val="00544C45"/>
    <w:rsid w:val="005450EC"/>
    <w:rsid w:val="00547582"/>
    <w:rsid w:val="005476ED"/>
    <w:rsid w:val="00552FCF"/>
    <w:rsid w:val="005550BA"/>
    <w:rsid w:val="0055760E"/>
    <w:rsid w:val="005612FD"/>
    <w:rsid w:val="0056374C"/>
    <w:rsid w:val="005657A8"/>
    <w:rsid w:val="00565E2F"/>
    <w:rsid w:val="005660FD"/>
    <w:rsid w:val="00570DE4"/>
    <w:rsid w:val="00571EB5"/>
    <w:rsid w:val="00574A50"/>
    <w:rsid w:val="00576C02"/>
    <w:rsid w:val="005773D3"/>
    <w:rsid w:val="00580577"/>
    <w:rsid w:val="005812D5"/>
    <w:rsid w:val="00582D27"/>
    <w:rsid w:val="005845B2"/>
    <w:rsid w:val="005863D1"/>
    <w:rsid w:val="00587114"/>
    <w:rsid w:val="00590927"/>
    <w:rsid w:val="005920DE"/>
    <w:rsid w:val="00593EF4"/>
    <w:rsid w:val="00596C55"/>
    <w:rsid w:val="005A3450"/>
    <w:rsid w:val="005A5ECC"/>
    <w:rsid w:val="005A61B5"/>
    <w:rsid w:val="005B1172"/>
    <w:rsid w:val="005B1F22"/>
    <w:rsid w:val="005B256A"/>
    <w:rsid w:val="005B551C"/>
    <w:rsid w:val="005B613B"/>
    <w:rsid w:val="005B6853"/>
    <w:rsid w:val="005B6EB9"/>
    <w:rsid w:val="005B7C89"/>
    <w:rsid w:val="005C7FD6"/>
    <w:rsid w:val="005D512A"/>
    <w:rsid w:val="005D5D9F"/>
    <w:rsid w:val="005D691D"/>
    <w:rsid w:val="005E596F"/>
    <w:rsid w:val="005E7E92"/>
    <w:rsid w:val="005F48B0"/>
    <w:rsid w:val="005F6634"/>
    <w:rsid w:val="00604D38"/>
    <w:rsid w:val="00605C11"/>
    <w:rsid w:val="00605F11"/>
    <w:rsid w:val="00607A0E"/>
    <w:rsid w:val="006105CE"/>
    <w:rsid w:val="006114F6"/>
    <w:rsid w:val="006129A8"/>
    <w:rsid w:val="006152B3"/>
    <w:rsid w:val="00615330"/>
    <w:rsid w:val="0061622B"/>
    <w:rsid w:val="0061632B"/>
    <w:rsid w:val="00620DD1"/>
    <w:rsid w:val="00621071"/>
    <w:rsid w:val="00624488"/>
    <w:rsid w:val="00624FDF"/>
    <w:rsid w:val="006256AB"/>
    <w:rsid w:val="0062686B"/>
    <w:rsid w:val="00631F3E"/>
    <w:rsid w:val="00635FEE"/>
    <w:rsid w:val="00636160"/>
    <w:rsid w:val="0063678F"/>
    <w:rsid w:val="00646DD0"/>
    <w:rsid w:val="00647506"/>
    <w:rsid w:val="006542F1"/>
    <w:rsid w:val="0065652D"/>
    <w:rsid w:val="00657714"/>
    <w:rsid w:val="00660C7D"/>
    <w:rsid w:val="0066177F"/>
    <w:rsid w:val="00661CB2"/>
    <w:rsid w:val="006640D2"/>
    <w:rsid w:val="0067389D"/>
    <w:rsid w:val="00674202"/>
    <w:rsid w:val="006747BE"/>
    <w:rsid w:val="006752A3"/>
    <w:rsid w:val="00677A90"/>
    <w:rsid w:val="00677E2A"/>
    <w:rsid w:val="006803BB"/>
    <w:rsid w:val="00681073"/>
    <w:rsid w:val="00692C86"/>
    <w:rsid w:val="006933EA"/>
    <w:rsid w:val="006B043B"/>
    <w:rsid w:val="006B18FD"/>
    <w:rsid w:val="006B264A"/>
    <w:rsid w:val="006B5B63"/>
    <w:rsid w:val="006C175B"/>
    <w:rsid w:val="006C7CBE"/>
    <w:rsid w:val="006C7D10"/>
    <w:rsid w:val="006D0182"/>
    <w:rsid w:val="006D2648"/>
    <w:rsid w:val="006D3B66"/>
    <w:rsid w:val="006D68CE"/>
    <w:rsid w:val="006E3950"/>
    <w:rsid w:val="006E3D9B"/>
    <w:rsid w:val="006F0051"/>
    <w:rsid w:val="006F26AA"/>
    <w:rsid w:val="006F5C09"/>
    <w:rsid w:val="006F5F1A"/>
    <w:rsid w:val="007029DE"/>
    <w:rsid w:val="00707D1A"/>
    <w:rsid w:val="00715CD6"/>
    <w:rsid w:val="00715EEB"/>
    <w:rsid w:val="00716138"/>
    <w:rsid w:val="00716BF4"/>
    <w:rsid w:val="00720661"/>
    <w:rsid w:val="0072148B"/>
    <w:rsid w:val="00722303"/>
    <w:rsid w:val="00722D8C"/>
    <w:rsid w:val="00723384"/>
    <w:rsid w:val="00723805"/>
    <w:rsid w:val="00724EEA"/>
    <w:rsid w:val="00727C6C"/>
    <w:rsid w:val="00731E49"/>
    <w:rsid w:val="007323B4"/>
    <w:rsid w:val="00732E34"/>
    <w:rsid w:val="0073565A"/>
    <w:rsid w:val="00736320"/>
    <w:rsid w:val="00736A79"/>
    <w:rsid w:val="007377E0"/>
    <w:rsid w:val="00741EBD"/>
    <w:rsid w:val="0074215D"/>
    <w:rsid w:val="0074422A"/>
    <w:rsid w:val="00745957"/>
    <w:rsid w:val="00746C22"/>
    <w:rsid w:val="00750176"/>
    <w:rsid w:val="00764880"/>
    <w:rsid w:val="00764A93"/>
    <w:rsid w:val="00770484"/>
    <w:rsid w:val="00772239"/>
    <w:rsid w:val="007747BE"/>
    <w:rsid w:val="00775B31"/>
    <w:rsid w:val="007772C7"/>
    <w:rsid w:val="007812F9"/>
    <w:rsid w:val="00781B93"/>
    <w:rsid w:val="0078388E"/>
    <w:rsid w:val="00786FBF"/>
    <w:rsid w:val="00787549"/>
    <w:rsid w:val="007902C0"/>
    <w:rsid w:val="00792453"/>
    <w:rsid w:val="007A00A9"/>
    <w:rsid w:val="007A0261"/>
    <w:rsid w:val="007A0AF9"/>
    <w:rsid w:val="007A1641"/>
    <w:rsid w:val="007A4327"/>
    <w:rsid w:val="007A4599"/>
    <w:rsid w:val="007B09CA"/>
    <w:rsid w:val="007B4A40"/>
    <w:rsid w:val="007C099E"/>
    <w:rsid w:val="007C0F5A"/>
    <w:rsid w:val="007C1673"/>
    <w:rsid w:val="007C61A8"/>
    <w:rsid w:val="007C7A10"/>
    <w:rsid w:val="007D0C83"/>
    <w:rsid w:val="007D239C"/>
    <w:rsid w:val="007D3669"/>
    <w:rsid w:val="007D41EC"/>
    <w:rsid w:val="007D760C"/>
    <w:rsid w:val="007D7818"/>
    <w:rsid w:val="007E0C9D"/>
    <w:rsid w:val="007E2308"/>
    <w:rsid w:val="007E2FE8"/>
    <w:rsid w:val="007E5939"/>
    <w:rsid w:val="007E71B3"/>
    <w:rsid w:val="007F36FB"/>
    <w:rsid w:val="007F47C5"/>
    <w:rsid w:val="007F758B"/>
    <w:rsid w:val="008016DD"/>
    <w:rsid w:val="00806768"/>
    <w:rsid w:val="00807E2F"/>
    <w:rsid w:val="0081558A"/>
    <w:rsid w:val="008157A1"/>
    <w:rsid w:val="00824237"/>
    <w:rsid w:val="0082623E"/>
    <w:rsid w:val="00827B46"/>
    <w:rsid w:val="00831182"/>
    <w:rsid w:val="00832E00"/>
    <w:rsid w:val="008358A6"/>
    <w:rsid w:val="008363F8"/>
    <w:rsid w:val="008435A3"/>
    <w:rsid w:val="00843C91"/>
    <w:rsid w:val="00844B32"/>
    <w:rsid w:val="00850900"/>
    <w:rsid w:val="00850FED"/>
    <w:rsid w:val="00852F42"/>
    <w:rsid w:val="00864D0D"/>
    <w:rsid w:val="00870927"/>
    <w:rsid w:val="008721B7"/>
    <w:rsid w:val="008729D8"/>
    <w:rsid w:val="00876B60"/>
    <w:rsid w:val="00885733"/>
    <w:rsid w:val="00886321"/>
    <w:rsid w:val="0088753A"/>
    <w:rsid w:val="00887AC7"/>
    <w:rsid w:val="00890C6B"/>
    <w:rsid w:val="00892CE6"/>
    <w:rsid w:val="008933E3"/>
    <w:rsid w:val="0089369C"/>
    <w:rsid w:val="00894DAD"/>
    <w:rsid w:val="008966B2"/>
    <w:rsid w:val="008968B5"/>
    <w:rsid w:val="008A25C2"/>
    <w:rsid w:val="008A2D0D"/>
    <w:rsid w:val="008A4EDC"/>
    <w:rsid w:val="008A6719"/>
    <w:rsid w:val="008B01A3"/>
    <w:rsid w:val="008B25A3"/>
    <w:rsid w:val="008B51D4"/>
    <w:rsid w:val="008B5598"/>
    <w:rsid w:val="008B6F18"/>
    <w:rsid w:val="008B7EF7"/>
    <w:rsid w:val="008C2F58"/>
    <w:rsid w:val="008C32F3"/>
    <w:rsid w:val="008C4029"/>
    <w:rsid w:val="008C52A6"/>
    <w:rsid w:val="008C6C54"/>
    <w:rsid w:val="008C76F5"/>
    <w:rsid w:val="008D54F1"/>
    <w:rsid w:val="008D5738"/>
    <w:rsid w:val="008D7FBB"/>
    <w:rsid w:val="008E67E0"/>
    <w:rsid w:val="008E7885"/>
    <w:rsid w:val="008F1859"/>
    <w:rsid w:val="008F1E79"/>
    <w:rsid w:val="008F5223"/>
    <w:rsid w:val="009005EF"/>
    <w:rsid w:val="00901364"/>
    <w:rsid w:val="00901E86"/>
    <w:rsid w:val="0090304E"/>
    <w:rsid w:val="0090617B"/>
    <w:rsid w:val="009069CC"/>
    <w:rsid w:val="009073A0"/>
    <w:rsid w:val="0091476A"/>
    <w:rsid w:val="00915AD7"/>
    <w:rsid w:val="00915F4B"/>
    <w:rsid w:val="009163DD"/>
    <w:rsid w:val="00917CA0"/>
    <w:rsid w:val="00920166"/>
    <w:rsid w:val="009216EF"/>
    <w:rsid w:val="00924F69"/>
    <w:rsid w:val="00926E85"/>
    <w:rsid w:val="00927219"/>
    <w:rsid w:val="00932B26"/>
    <w:rsid w:val="00933786"/>
    <w:rsid w:val="00935970"/>
    <w:rsid w:val="00937641"/>
    <w:rsid w:val="0094066D"/>
    <w:rsid w:val="00944CCC"/>
    <w:rsid w:val="0094529D"/>
    <w:rsid w:val="00946D72"/>
    <w:rsid w:val="0094714F"/>
    <w:rsid w:val="00947FC5"/>
    <w:rsid w:val="009517EF"/>
    <w:rsid w:val="0095190E"/>
    <w:rsid w:val="00953DB1"/>
    <w:rsid w:val="00955249"/>
    <w:rsid w:val="00955253"/>
    <w:rsid w:val="00956F13"/>
    <w:rsid w:val="0096104E"/>
    <w:rsid w:val="009647A5"/>
    <w:rsid w:val="00966A6B"/>
    <w:rsid w:val="00967869"/>
    <w:rsid w:val="009732E9"/>
    <w:rsid w:val="00974D11"/>
    <w:rsid w:val="0097504E"/>
    <w:rsid w:val="00975625"/>
    <w:rsid w:val="00977952"/>
    <w:rsid w:val="0098003E"/>
    <w:rsid w:val="00981C8C"/>
    <w:rsid w:val="00982E45"/>
    <w:rsid w:val="00983293"/>
    <w:rsid w:val="00983F75"/>
    <w:rsid w:val="00987BD0"/>
    <w:rsid w:val="00987D8C"/>
    <w:rsid w:val="00991E0E"/>
    <w:rsid w:val="00992013"/>
    <w:rsid w:val="009920A4"/>
    <w:rsid w:val="00995271"/>
    <w:rsid w:val="00997806"/>
    <w:rsid w:val="009A3600"/>
    <w:rsid w:val="009A5E1F"/>
    <w:rsid w:val="009B5200"/>
    <w:rsid w:val="009B5C4B"/>
    <w:rsid w:val="009B6C44"/>
    <w:rsid w:val="009B700D"/>
    <w:rsid w:val="009C0673"/>
    <w:rsid w:val="009C511D"/>
    <w:rsid w:val="009C5FE2"/>
    <w:rsid w:val="009D0F78"/>
    <w:rsid w:val="009E02F9"/>
    <w:rsid w:val="009E1194"/>
    <w:rsid w:val="009E3F2A"/>
    <w:rsid w:val="009E436F"/>
    <w:rsid w:val="009E5007"/>
    <w:rsid w:val="009E5C8E"/>
    <w:rsid w:val="009E6DF0"/>
    <w:rsid w:val="009F3179"/>
    <w:rsid w:val="009F34AC"/>
    <w:rsid w:val="009F3AC6"/>
    <w:rsid w:val="009F74E4"/>
    <w:rsid w:val="009F7865"/>
    <w:rsid w:val="00A004B2"/>
    <w:rsid w:val="00A00CDF"/>
    <w:rsid w:val="00A04939"/>
    <w:rsid w:val="00A05A27"/>
    <w:rsid w:val="00A05C0A"/>
    <w:rsid w:val="00A07629"/>
    <w:rsid w:val="00A077F4"/>
    <w:rsid w:val="00A07EBE"/>
    <w:rsid w:val="00A13F5C"/>
    <w:rsid w:val="00A201C9"/>
    <w:rsid w:val="00A23D4F"/>
    <w:rsid w:val="00A277B0"/>
    <w:rsid w:val="00A312B9"/>
    <w:rsid w:val="00A31BA0"/>
    <w:rsid w:val="00A33C63"/>
    <w:rsid w:val="00A41AE5"/>
    <w:rsid w:val="00A46662"/>
    <w:rsid w:val="00A50912"/>
    <w:rsid w:val="00A544E5"/>
    <w:rsid w:val="00A54BC1"/>
    <w:rsid w:val="00A55BE4"/>
    <w:rsid w:val="00A608C9"/>
    <w:rsid w:val="00A6170A"/>
    <w:rsid w:val="00A656B0"/>
    <w:rsid w:val="00A70952"/>
    <w:rsid w:val="00A7154E"/>
    <w:rsid w:val="00A71E74"/>
    <w:rsid w:val="00A73553"/>
    <w:rsid w:val="00A76931"/>
    <w:rsid w:val="00A777BE"/>
    <w:rsid w:val="00A80919"/>
    <w:rsid w:val="00A8169A"/>
    <w:rsid w:val="00A818C8"/>
    <w:rsid w:val="00A84514"/>
    <w:rsid w:val="00A84DBF"/>
    <w:rsid w:val="00A9102D"/>
    <w:rsid w:val="00A93ED3"/>
    <w:rsid w:val="00A96D4A"/>
    <w:rsid w:val="00A96EEA"/>
    <w:rsid w:val="00AA45F5"/>
    <w:rsid w:val="00AA78C7"/>
    <w:rsid w:val="00AB1910"/>
    <w:rsid w:val="00AB3417"/>
    <w:rsid w:val="00AB6DEC"/>
    <w:rsid w:val="00AB727C"/>
    <w:rsid w:val="00AB73F5"/>
    <w:rsid w:val="00AC0F7A"/>
    <w:rsid w:val="00AC35DC"/>
    <w:rsid w:val="00AC5750"/>
    <w:rsid w:val="00AD0448"/>
    <w:rsid w:val="00AD1B7C"/>
    <w:rsid w:val="00AD1BCB"/>
    <w:rsid w:val="00AD44D9"/>
    <w:rsid w:val="00AD6DFC"/>
    <w:rsid w:val="00AD720E"/>
    <w:rsid w:val="00AE0ABF"/>
    <w:rsid w:val="00AE355D"/>
    <w:rsid w:val="00AE3F4D"/>
    <w:rsid w:val="00AE4751"/>
    <w:rsid w:val="00AE4DA1"/>
    <w:rsid w:val="00AE6D5C"/>
    <w:rsid w:val="00AF17AA"/>
    <w:rsid w:val="00AF203F"/>
    <w:rsid w:val="00AF311E"/>
    <w:rsid w:val="00AF78B0"/>
    <w:rsid w:val="00B014E7"/>
    <w:rsid w:val="00B03A43"/>
    <w:rsid w:val="00B06265"/>
    <w:rsid w:val="00B07F26"/>
    <w:rsid w:val="00B12D76"/>
    <w:rsid w:val="00B13DDF"/>
    <w:rsid w:val="00B148D6"/>
    <w:rsid w:val="00B16349"/>
    <w:rsid w:val="00B20CF2"/>
    <w:rsid w:val="00B2193C"/>
    <w:rsid w:val="00B22495"/>
    <w:rsid w:val="00B23447"/>
    <w:rsid w:val="00B25209"/>
    <w:rsid w:val="00B27270"/>
    <w:rsid w:val="00B30113"/>
    <w:rsid w:val="00B30AE3"/>
    <w:rsid w:val="00B324FA"/>
    <w:rsid w:val="00B327CD"/>
    <w:rsid w:val="00B34D4E"/>
    <w:rsid w:val="00B35A9F"/>
    <w:rsid w:val="00B363D5"/>
    <w:rsid w:val="00B3687B"/>
    <w:rsid w:val="00B40EE9"/>
    <w:rsid w:val="00B433D1"/>
    <w:rsid w:val="00B4694F"/>
    <w:rsid w:val="00B46DE0"/>
    <w:rsid w:val="00B535D6"/>
    <w:rsid w:val="00B53865"/>
    <w:rsid w:val="00B53B77"/>
    <w:rsid w:val="00B63039"/>
    <w:rsid w:val="00B6480C"/>
    <w:rsid w:val="00B64B3F"/>
    <w:rsid w:val="00B80235"/>
    <w:rsid w:val="00B81F00"/>
    <w:rsid w:val="00B83BD7"/>
    <w:rsid w:val="00B854F2"/>
    <w:rsid w:val="00B85A13"/>
    <w:rsid w:val="00B8678D"/>
    <w:rsid w:val="00B87E39"/>
    <w:rsid w:val="00B91F0C"/>
    <w:rsid w:val="00B9210D"/>
    <w:rsid w:val="00B93BA1"/>
    <w:rsid w:val="00B9541A"/>
    <w:rsid w:val="00B96127"/>
    <w:rsid w:val="00BA3BFB"/>
    <w:rsid w:val="00BA7C98"/>
    <w:rsid w:val="00BB1676"/>
    <w:rsid w:val="00BB22A5"/>
    <w:rsid w:val="00BB3745"/>
    <w:rsid w:val="00BC3157"/>
    <w:rsid w:val="00BC4C3C"/>
    <w:rsid w:val="00BC4D20"/>
    <w:rsid w:val="00BC4F5A"/>
    <w:rsid w:val="00BC698C"/>
    <w:rsid w:val="00BC793B"/>
    <w:rsid w:val="00BD0216"/>
    <w:rsid w:val="00BD1E23"/>
    <w:rsid w:val="00BD3367"/>
    <w:rsid w:val="00BD4F32"/>
    <w:rsid w:val="00BD5B95"/>
    <w:rsid w:val="00BD62F1"/>
    <w:rsid w:val="00BD6FF5"/>
    <w:rsid w:val="00BE071C"/>
    <w:rsid w:val="00BE7045"/>
    <w:rsid w:val="00BE7A41"/>
    <w:rsid w:val="00BE7FA3"/>
    <w:rsid w:val="00BF0013"/>
    <w:rsid w:val="00BF08AA"/>
    <w:rsid w:val="00BF14D1"/>
    <w:rsid w:val="00BF3D0C"/>
    <w:rsid w:val="00BF480C"/>
    <w:rsid w:val="00BF5B47"/>
    <w:rsid w:val="00BF733F"/>
    <w:rsid w:val="00C103FC"/>
    <w:rsid w:val="00C12017"/>
    <w:rsid w:val="00C164D2"/>
    <w:rsid w:val="00C210EF"/>
    <w:rsid w:val="00C223AB"/>
    <w:rsid w:val="00C23B16"/>
    <w:rsid w:val="00C23E2B"/>
    <w:rsid w:val="00C2625F"/>
    <w:rsid w:val="00C35652"/>
    <w:rsid w:val="00C37F6A"/>
    <w:rsid w:val="00C40970"/>
    <w:rsid w:val="00C440CF"/>
    <w:rsid w:val="00C50AFF"/>
    <w:rsid w:val="00C52824"/>
    <w:rsid w:val="00C62D68"/>
    <w:rsid w:val="00C66DD4"/>
    <w:rsid w:val="00C72A3B"/>
    <w:rsid w:val="00C7488F"/>
    <w:rsid w:val="00C7744F"/>
    <w:rsid w:val="00C81A04"/>
    <w:rsid w:val="00C81A60"/>
    <w:rsid w:val="00C84534"/>
    <w:rsid w:val="00C877D6"/>
    <w:rsid w:val="00C940E0"/>
    <w:rsid w:val="00C95445"/>
    <w:rsid w:val="00C96120"/>
    <w:rsid w:val="00C97A34"/>
    <w:rsid w:val="00CA0F75"/>
    <w:rsid w:val="00CA4389"/>
    <w:rsid w:val="00CA5E22"/>
    <w:rsid w:val="00CA7077"/>
    <w:rsid w:val="00CA7DFC"/>
    <w:rsid w:val="00CA7F15"/>
    <w:rsid w:val="00CC4C0B"/>
    <w:rsid w:val="00CC53E2"/>
    <w:rsid w:val="00CD2EE4"/>
    <w:rsid w:val="00CD3AF0"/>
    <w:rsid w:val="00CE2C90"/>
    <w:rsid w:val="00CE5FC3"/>
    <w:rsid w:val="00CE784F"/>
    <w:rsid w:val="00CF0CC2"/>
    <w:rsid w:val="00CF35BB"/>
    <w:rsid w:val="00CF4858"/>
    <w:rsid w:val="00D0314A"/>
    <w:rsid w:val="00D0500B"/>
    <w:rsid w:val="00D101A5"/>
    <w:rsid w:val="00D1142D"/>
    <w:rsid w:val="00D13D7F"/>
    <w:rsid w:val="00D14CC7"/>
    <w:rsid w:val="00D17C76"/>
    <w:rsid w:val="00D26D99"/>
    <w:rsid w:val="00D3047E"/>
    <w:rsid w:val="00D32C4C"/>
    <w:rsid w:val="00D33C82"/>
    <w:rsid w:val="00D368E3"/>
    <w:rsid w:val="00D419F8"/>
    <w:rsid w:val="00D41D2E"/>
    <w:rsid w:val="00D44757"/>
    <w:rsid w:val="00D47A1E"/>
    <w:rsid w:val="00D556B5"/>
    <w:rsid w:val="00D55B30"/>
    <w:rsid w:val="00D56BFD"/>
    <w:rsid w:val="00D56F03"/>
    <w:rsid w:val="00D6118F"/>
    <w:rsid w:val="00D61DF3"/>
    <w:rsid w:val="00D621E5"/>
    <w:rsid w:val="00D63885"/>
    <w:rsid w:val="00D66859"/>
    <w:rsid w:val="00D66E45"/>
    <w:rsid w:val="00D678DB"/>
    <w:rsid w:val="00D75BB9"/>
    <w:rsid w:val="00D760C3"/>
    <w:rsid w:val="00D77778"/>
    <w:rsid w:val="00D80BFC"/>
    <w:rsid w:val="00D81B84"/>
    <w:rsid w:val="00D83071"/>
    <w:rsid w:val="00D83445"/>
    <w:rsid w:val="00D856DC"/>
    <w:rsid w:val="00D876F5"/>
    <w:rsid w:val="00D90028"/>
    <w:rsid w:val="00D9119D"/>
    <w:rsid w:val="00D925D4"/>
    <w:rsid w:val="00D95142"/>
    <w:rsid w:val="00D95175"/>
    <w:rsid w:val="00DA0D19"/>
    <w:rsid w:val="00DA0EE3"/>
    <w:rsid w:val="00DA6542"/>
    <w:rsid w:val="00DB103B"/>
    <w:rsid w:val="00DB273A"/>
    <w:rsid w:val="00DB33A3"/>
    <w:rsid w:val="00DB56F1"/>
    <w:rsid w:val="00DB7F9F"/>
    <w:rsid w:val="00DC0131"/>
    <w:rsid w:val="00DC0B19"/>
    <w:rsid w:val="00DC0FE5"/>
    <w:rsid w:val="00DC117F"/>
    <w:rsid w:val="00DC1823"/>
    <w:rsid w:val="00DC40CA"/>
    <w:rsid w:val="00DC5293"/>
    <w:rsid w:val="00DC6ADB"/>
    <w:rsid w:val="00DC7B42"/>
    <w:rsid w:val="00DD1745"/>
    <w:rsid w:val="00DD1D1D"/>
    <w:rsid w:val="00DD5FBC"/>
    <w:rsid w:val="00DD6697"/>
    <w:rsid w:val="00DE18BE"/>
    <w:rsid w:val="00DE5B37"/>
    <w:rsid w:val="00DE6FA2"/>
    <w:rsid w:val="00DE7200"/>
    <w:rsid w:val="00DE73C1"/>
    <w:rsid w:val="00DF134C"/>
    <w:rsid w:val="00DF7DD3"/>
    <w:rsid w:val="00E004A2"/>
    <w:rsid w:val="00E010CB"/>
    <w:rsid w:val="00E0416B"/>
    <w:rsid w:val="00E044A8"/>
    <w:rsid w:val="00E104C5"/>
    <w:rsid w:val="00E132E5"/>
    <w:rsid w:val="00E13D7D"/>
    <w:rsid w:val="00E20B0D"/>
    <w:rsid w:val="00E23049"/>
    <w:rsid w:val="00E24554"/>
    <w:rsid w:val="00E24C3B"/>
    <w:rsid w:val="00E25819"/>
    <w:rsid w:val="00E27B14"/>
    <w:rsid w:val="00E27ECA"/>
    <w:rsid w:val="00E31C25"/>
    <w:rsid w:val="00E32EAC"/>
    <w:rsid w:val="00E34954"/>
    <w:rsid w:val="00E352C5"/>
    <w:rsid w:val="00E37638"/>
    <w:rsid w:val="00E40FB7"/>
    <w:rsid w:val="00E42296"/>
    <w:rsid w:val="00E42BC9"/>
    <w:rsid w:val="00E46F9F"/>
    <w:rsid w:val="00E478F1"/>
    <w:rsid w:val="00E509E9"/>
    <w:rsid w:val="00E53D5D"/>
    <w:rsid w:val="00E562EA"/>
    <w:rsid w:val="00E6157E"/>
    <w:rsid w:val="00E61A91"/>
    <w:rsid w:val="00E63EE7"/>
    <w:rsid w:val="00E65E20"/>
    <w:rsid w:val="00E65EA9"/>
    <w:rsid w:val="00E66F19"/>
    <w:rsid w:val="00E711A7"/>
    <w:rsid w:val="00E717F8"/>
    <w:rsid w:val="00E7284C"/>
    <w:rsid w:val="00E72878"/>
    <w:rsid w:val="00E748CE"/>
    <w:rsid w:val="00E80867"/>
    <w:rsid w:val="00E9208C"/>
    <w:rsid w:val="00E973F7"/>
    <w:rsid w:val="00E97D3E"/>
    <w:rsid w:val="00EA082B"/>
    <w:rsid w:val="00EA12B2"/>
    <w:rsid w:val="00EA15BE"/>
    <w:rsid w:val="00EA1EE1"/>
    <w:rsid w:val="00EA5771"/>
    <w:rsid w:val="00EA672E"/>
    <w:rsid w:val="00EA79F5"/>
    <w:rsid w:val="00EB184B"/>
    <w:rsid w:val="00EB5D6E"/>
    <w:rsid w:val="00EB6113"/>
    <w:rsid w:val="00EC041E"/>
    <w:rsid w:val="00EC1D3B"/>
    <w:rsid w:val="00EC3094"/>
    <w:rsid w:val="00EC5472"/>
    <w:rsid w:val="00EC56E9"/>
    <w:rsid w:val="00EC606E"/>
    <w:rsid w:val="00ED3C08"/>
    <w:rsid w:val="00ED5DB1"/>
    <w:rsid w:val="00EE2FED"/>
    <w:rsid w:val="00EE3F2F"/>
    <w:rsid w:val="00EE51B5"/>
    <w:rsid w:val="00EE5629"/>
    <w:rsid w:val="00EE6E72"/>
    <w:rsid w:val="00EE75AA"/>
    <w:rsid w:val="00EF1277"/>
    <w:rsid w:val="00EF4419"/>
    <w:rsid w:val="00EF6563"/>
    <w:rsid w:val="00EF6C14"/>
    <w:rsid w:val="00EF7AEE"/>
    <w:rsid w:val="00F029A6"/>
    <w:rsid w:val="00F03885"/>
    <w:rsid w:val="00F04547"/>
    <w:rsid w:val="00F07B58"/>
    <w:rsid w:val="00F11921"/>
    <w:rsid w:val="00F12C99"/>
    <w:rsid w:val="00F17FEE"/>
    <w:rsid w:val="00F20AD1"/>
    <w:rsid w:val="00F2251E"/>
    <w:rsid w:val="00F24AA1"/>
    <w:rsid w:val="00F25AAF"/>
    <w:rsid w:val="00F44556"/>
    <w:rsid w:val="00F463C9"/>
    <w:rsid w:val="00F472F6"/>
    <w:rsid w:val="00F540BD"/>
    <w:rsid w:val="00F546EC"/>
    <w:rsid w:val="00F560E9"/>
    <w:rsid w:val="00F563AA"/>
    <w:rsid w:val="00F668FB"/>
    <w:rsid w:val="00F66C16"/>
    <w:rsid w:val="00F7681A"/>
    <w:rsid w:val="00F77AAA"/>
    <w:rsid w:val="00F817B8"/>
    <w:rsid w:val="00F82938"/>
    <w:rsid w:val="00F832F2"/>
    <w:rsid w:val="00F84855"/>
    <w:rsid w:val="00F860D3"/>
    <w:rsid w:val="00F91D34"/>
    <w:rsid w:val="00F93612"/>
    <w:rsid w:val="00F942B6"/>
    <w:rsid w:val="00F9509E"/>
    <w:rsid w:val="00F956FF"/>
    <w:rsid w:val="00FA1013"/>
    <w:rsid w:val="00FA1B19"/>
    <w:rsid w:val="00FA3B21"/>
    <w:rsid w:val="00FA4F72"/>
    <w:rsid w:val="00FA6340"/>
    <w:rsid w:val="00FB0BE4"/>
    <w:rsid w:val="00FB65CD"/>
    <w:rsid w:val="00FC0F2B"/>
    <w:rsid w:val="00FC1209"/>
    <w:rsid w:val="00FC5C2B"/>
    <w:rsid w:val="00FC620B"/>
    <w:rsid w:val="00FC62CD"/>
    <w:rsid w:val="00FD385B"/>
    <w:rsid w:val="00FE16B5"/>
    <w:rsid w:val="00FE263C"/>
    <w:rsid w:val="00FE7734"/>
    <w:rsid w:val="00FF0A63"/>
    <w:rsid w:val="00FF1DAC"/>
    <w:rsid w:val="00FF40B5"/>
    <w:rsid w:val="00FF5EC8"/>
    <w:rsid w:val="00FF76F2"/>
    <w:rsid w:val="00FF78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FE5A373-890C-4FDE-B712-FA50A552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70" w:type="dxa"/>
        <w:right w:w="70" w:type="dxa"/>
      </w:tblCellMar>
    </w:tblPr>
  </w:style>
  <w:style w:type="table" w:customStyle="1" w:styleId="1">
    <w:name w:val="1"/>
    <w:basedOn w:val="TableNormal2"/>
    <w:tblPr>
      <w:tblStyleRowBandSize w:val="1"/>
      <w:tblStyleColBandSize w:val="1"/>
      <w:tblCellMar>
        <w:left w:w="70" w:type="dxa"/>
        <w:right w:w="70" w:type="dxa"/>
      </w:tblCellMar>
    </w:tblPr>
  </w:style>
  <w:style w:type="paragraph" w:styleId="NormalWeb">
    <w:name w:val="Normal (Web)"/>
    <w:basedOn w:val="Normal"/>
    <w:uiPriority w:val="99"/>
    <w:rsid w:val="00E23049"/>
    <w:pPr>
      <w:spacing w:before="100" w:beforeAutospacing="1" w:after="100" w:afterAutospacing="1"/>
    </w:pPr>
    <w:rPr>
      <w:rFonts w:ascii="Times New Roman" w:eastAsia="Times New Roman" w:hAnsi="Times New Roman" w:cs="Times New Roman"/>
      <w:lang w:val="es-ES" w:eastAsia="es-MX"/>
    </w:rPr>
  </w:style>
  <w:style w:type="paragraph" w:customStyle="1" w:styleId="Default">
    <w:name w:val="Default"/>
    <w:rsid w:val="00444D78"/>
    <w:pPr>
      <w:autoSpaceDE w:val="0"/>
      <w:autoSpaceDN w:val="0"/>
      <w:adjustRightInd w:val="0"/>
    </w:pPr>
    <w:rPr>
      <w:rFonts w:ascii="Arial" w:eastAsiaTheme="minorHAnsi" w:hAnsi="Arial" w:cs="Arial"/>
      <w:color w:val="000000"/>
      <w:lang w:val="es-MX" w:eastAsia="en-US"/>
    </w:rPr>
  </w:style>
  <w:style w:type="table" w:customStyle="1" w:styleId="TableNormal0">
    <w:name w:val="TableNormal"/>
    <w:rsid w:val="002B0011"/>
    <w:tblPr>
      <w:tblCellMar>
        <w:top w:w="0" w:type="dxa"/>
        <w:left w:w="0" w:type="dxa"/>
        <w:bottom w:w="0" w:type="dxa"/>
        <w:right w:w="0" w:type="dxa"/>
      </w:tblCellMar>
    </w:tblPr>
  </w:style>
  <w:style w:type="character" w:customStyle="1" w:styleId="object">
    <w:name w:val="object"/>
    <w:basedOn w:val="Fuentedeprrafopredeter"/>
    <w:rsid w:val="00144A7C"/>
  </w:style>
  <w:style w:type="character" w:customStyle="1" w:styleId="vkekvd">
    <w:name w:val="vkekvd"/>
    <w:basedOn w:val="Fuentedeprrafopredeter"/>
    <w:rsid w:val="00FC620B"/>
  </w:style>
  <w:style w:type="character" w:customStyle="1" w:styleId="ifmvxd">
    <w:name w:val="ifmvxd"/>
    <w:basedOn w:val="Fuentedeprrafopredeter"/>
    <w:rsid w:val="00FC620B"/>
  </w:style>
  <w:style w:type="character" w:customStyle="1" w:styleId="ijm6od">
    <w:name w:val="ijm6od"/>
    <w:basedOn w:val="Fuentedeprrafopredeter"/>
    <w:rsid w:val="00FC620B"/>
  </w:style>
  <w:style w:type="character" w:styleId="Textoennegrita">
    <w:name w:val="Strong"/>
    <w:basedOn w:val="Fuentedeprrafopredeter"/>
    <w:uiPriority w:val="22"/>
    <w:qFormat/>
    <w:rsid w:val="00FC620B"/>
    <w:rPr>
      <w:b/>
      <w:bCs/>
    </w:rPr>
  </w:style>
  <w:style w:type="character" w:customStyle="1" w:styleId="t286pc">
    <w:name w:val="t286pc"/>
    <w:basedOn w:val="Fuentedeprrafopredeter"/>
    <w:rsid w:val="00FC6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88993">
      <w:bodyDiv w:val="1"/>
      <w:marLeft w:val="0"/>
      <w:marRight w:val="0"/>
      <w:marTop w:val="0"/>
      <w:marBottom w:val="0"/>
      <w:divBdr>
        <w:top w:val="none" w:sz="0" w:space="0" w:color="auto"/>
        <w:left w:val="none" w:sz="0" w:space="0" w:color="auto"/>
        <w:bottom w:val="none" w:sz="0" w:space="0" w:color="auto"/>
        <w:right w:val="none" w:sz="0" w:space="0" w:color="auto"/>
      </w:divBdr>
    </w:div>
    <w:div w:id="112487059">
      <w:bodyDiv w:val="1"/>
      <w:marLeft w:val="0"/>
      <w:marRight w:val="0"/>
      <w:marTop w:val="0"/>
      <w:marBottom w:val="0"/>
      <w:divBdr>
        <w:top w:val="none" w:sz="0" w:space="0" w:color="auto"/>
        <w:left w:val="none" w:sz="0" w:space="0" w:color="auto"/>
        <w:bottom w:val="none" w:sz="0" w:space="0" w:color="auto"/>
        <w:right w:val="none" w:sz="0" w:space="0" w:color="auto"/>
      </w:divBdr>
    </w:div>
    <w:div w:id="169682792">
      <w:bodyDiv w:val="1"/>
      <w:marLeft w:val="0"/>
      <w:marRight w:val="0"/>
      <w:marTop w:val="0"/>
      <w:marBottom w:val="0"/>
      <w:divBdr>
        <w:top w:val="none" w:sz="0" w:space="0" w:color="auto"/>
        <w:left w:val="none" w:sz="0" w:space="0" w:color="auto"/>
        <w:bottom w:val="none" w:sz="0" w:space="0" w:color="auto"/>
        <w:right w:val="none" w:sz="0" w:space="0" w:color="auto"/>
      </w:divBdr>
    </w:div>
    <w:div w:id="179903546">
      <w:bodyDiv w:val="1"/>
      <w:marLeft w:val="0"/>
      <w:marRight w:val="0"/>
      <w:marTop w:val="0"/>
      <w:marBottom w:val="0"/>
      <w:divBdr>
        <w:top w:val="none" w:sz="0" w:space="0" w:color="auto"/>
        <w:left w:val="none" w:sz="0" w:space="0" w:color="auto"/>
        <w:bottom w:val="none" w:sz="0" w:space="0" w:color="auto"/>
        <w:right w:val="none" w:sz="0" w:space="0" w:color="auto"/>
      </w:divBdr>
    </w:div>
    <w:div w:id="181213737">
      <w:bodyDiv w:val="1"/>
      <w:marLeft w:val="0"/>
      <w:marRight w:val="0"/>
      <w:marTop w:val="0"/>
      <w:marBottom w:val="0"/>
      <w:divBdr>
        <w:top w:val="none" w:sz="0" w:space="0" w:color="auto"/>
        <w:left w:val="none" w:sz="0" w:space="0" w:color="auto"/>
        <w:bottom w:val="none" w:sz="0" w:space="0" w:color="auto"/>
        <w:right w:val="none" w:sz="0" w:space="0" w:color="auto"/>
      </w:divBdr>
    </w:div>
    <w:div w:id="245112151">
      <w:bodyDiv w:val="1"/>
      <w:marLeft w:val="0"/>
      <w:marRight w:val="0"/>
      <w:marTop w:val="0"/>
      <w:marBottom w:val="0"/>
      <w:divBdr>
        <w:top w:val="none" w:sz="0" w:space="0" w:color="auto"/>
        <w:left w:val="none" w:sz="0" w:space="0" w:color="auto"/>
        <w:bottom w:val="none" w:sz="0" w:space="0" w:color="auto"/>
        <w:right w:val="none" w:sz="0" w:space="0" w:color="auto"/>
      </w:divBdr>
    </w:div>
    <w:div w:id="276259902">
      <w:bodyDiv w:val="1"/>
      <w:marLeft w:val="0"/>
      <w:marRight w:val="0"/>
      <w:marTop w:val="0"/>
      <w:marBottom w:val="0"/>
      <w:divBdr>
        <w:top w:val="none" w:sz="0" w:space="0" w:color="auto"/>
        <w:left w:val="none" w:sz="0" w:space="0" w:color="auto"/>
        <w:bottom w:val="none" w:sz="0" w:space="0" w:color="auto"/>
        <w:right w:val="none" w:sz="0" w:space="0" w:color="auto"/>
      </w:divBdr>
    </w:div>
    <w:div w:id="326324921">
      <w:bodyDiv w:val="1"/>
      <w:marLeft w:val="0"/>
      <w:marRight w:val="0"/>
      <w:marTop w:val="0"/>
      <w:marBottom w:val="0"/>
      <w:divBdr>
        <w:top w:val="none" w:sz="0" w:space="0" w:color="auto"/>
        <w:left w:val="none" w:sz="0" w:space="0" w:color="auto"/>
        <w:bottom w:val="none" w:sz="0" w:space="0" w:color="auto"/>
        <w:right w:val="none" w:sz="0" w:space="0" w:color="auto"/>
      </w:divBdr>
    </w:div>
    <w:div w:id="347219423">
      <w:bodyDiv w:val="1"/>
      <w:marLeft w:val="0"/>
      <w:marRight w:val="0"/>
      <w:marTop w:val="0"/>
      <w:marBottom w:val="0"/>
      <w:divBdr>
        <w:top w:val="none" w:sz="0" w:space="0" w:color="auto"/>
        <w:left w:val="none" w:sz="0" w:space="0" w:color="auto"/>
        <w:bottom w:val="none" w:sz="0" w:space="0" w:color="auto"/>
        <w:right w:val="none" w:sz="0" w:space="0" w:color="auto"/>
      </w:divBdr>
    </w:div>
    <w:div w:id="376054250">
      <w:bodyDiv w:val="1"/>
      <w:marLeft w:val="0"/>
      <w:marRight w:val="0"/>
      <w:marTop w:val="0"/>
      <w:marBottom w:val="0"/>
      <w:divBdr>
        <w:top w:val="none" w:sz="0" w:space="0" w:color="auto"/>
        <w:left w:val="none" w:sz="0" w:space="0" w:color="auto"/>
        <w:bottom w:val="none" w:sz="0" w:space="0" w:color="auto"/>
        <w:right w:val="none" w:sz="0" w:space="0" w:color="auto"/>
      </w:divBdr>
      <w:divsChild>
        <w:div w:id="623121699">
          <w:marLeft w:val="0"/>
          <w:marRight w:val="0"/>
          <w:marTop w:val="0"/>
          <w:marBottom w:val="0"/>
          <w:divBdr>
            <w:top w:val="none" w:sz="0" w:space="0" w:color="auto"/>
            <w:left w:val="none" w:sz="0" w:space="0" w:color="auto"/>
            <w:bottom w:val="none" w:sz="0" w:space="0" w:color="auto"/>
            <w:right w:val="none" w:sz="0" w:space="0" w:color="auto"/>
          </w:divBdr>
        </w:div>
      </w:divsChild>
    </w:div>
    <w:div w:id="389041257">
      <w:bodyDiv w:val="1"/>
      <w:marLeft w:val="0"/>
      <w:marRight w:val="0"/>
      <w:marTop w:val="0"/>
      <w:marBottom w:val="0"/>
      <w:divBdr>
        <w:top w:val="none" w:sz="0" w:space="0" w:color="auto"/>
        <w:left w:val="none" w:sz="0" w:space="0" w:color="auto"/>
        <w:bottom w:val="none" w:sz="0" w:space="0" w:color="auto"/>
        <w:right w:val="none" w:sz="0" w:space="0" w:color="auto"/>
      </w:divBdr>
      <w:divsChild>
        <w:div w:id="1401100502">
          <w:marLeft w:val="0"/>
          <w:marRight w:val="0"/>
          <w:marTop w:val="0"/>
          <w:marBottom w:val="0"/>
          <w:divBdr>
            <w:top w:val="none" w:sz="0" w:space="0" w:color="auto"/>
            <w:left w:val="none" w:sz="0" w:space="0" w:color="auto"/>
            <w:bottom w:val="none" w:sz="0" w:space="0" w:color="auto"/>
            <w:right w:val="none" w:sz="0" w:space="0" w:color="auto"/>
          </w:divBdr>
          <w:divsChild>
            <w:div w:id="580649903">
              <w:marLeft w:val="0"/>
              <w:marRight w:val="0"/>
              <w:marTop w:val="0"/>
              <w:marBottom w:val="0"/>
              <w:divBdr>
                <w:top w:val="none" w:sz="0" w:space="0" w:color="auto"/>
                <w:left w:val="none" w:sz="0" w:space="0" w:color="auto"/>
                <w:bottom w:val="none" w:sz="0" w:space="0" w:color="auto"/>
                <w:right w:val="none" w:sz="0" w:space="0" w:color="auto"/>
              </w:divBdr>
            </w:div>
          </w:divsChild>
        </w:div>
        <w:div w:id="1796289861">
          <w:marLeft w:val="0"/>
          <w:marRight w:val="0"/>
          <w:marTop w:val="0"/>
          <w:marBottom w:val="0"/>
          <w:divBdr>
            <w:top w:val="none" w:sz="0" w:space="0" w:color="auto"/>
            <w:left w:val="none" w:sz="0" w:space="0" w:color="auto"/>
            <w:bottom w:val="none" w:sz="0" w:space="0" w:color="auto"/>
            <w:right w:val="none" w:sz="0" w:space="0" w:color="auto"/>
          </w:divBdr>
        </w:div>
        <w:div w:id="1253323013">
          <w:marLeft w:val="0"/>
          <w:marRight w:val="0"/>
          <w:marTop w:val="0"/>
          <w:marBottom w:val="0"/>
          <w:divBdr>
            <w:top w:val="none" w:sz="0" w:space="0" w:color="auto"/>
            <w:left w:val="none" w:sz="0" w:space="0" w:color="auto"/>
            <w:bottom w:val="none" w:sz="0" w:space="0" w:color="auto"/>
            <w:right w:val="none" w:sz="0" w:space="0" w:color="auto"/>
          </w:divBdr>
        </w:div>
      </w:divsChild>
    </w:div>
    <w:div w:id="415328067">
      <w:bodyDiv w:val="1"/>
      <w:marLeft w:val="0"/>
      <w:marRight w:val="0"/>
      <w:marTop w:val="0"/>
      <w:marBottom w:val="0"/>
      <w:divBdr>
        <w:top w:val="none" w:sz="0" w:space="0" w:color="auto"/>
        <w:left w:val="none" w:sz="0" w:space="0" w:color="auto"/>
        <w:bottom w:val="none" w:sz="0" w:space="0" w:color="auto"/>
        <w:right w:val="none" w:sz="0" w:space="0" w:color="auto"/>
      </w:divBdr>
      <w:divsChild>
        <w:div w:id="785081863">
          <w:marLeft w:val="0"/>
          <w:marRight w:val="0"/>
          <w:marTop w:val="0"/>
          <w:marBottom w:val="0"/>
          <w:divBdr>
            <w:top w:val="none" w:sz="0" w:space="0" w:color="auto"/>
            <w:left w:val="none" w:sz="0" w:space="0" w:color="auto"/>
            <w:bottom w:val="none" w:sz="0" w:space="0" w:color="auto"/>
            <w:right w:val="none" w:sz="0" w:space="0" w:color="auto"/>
          </w:divBdr>
          <w:divsChild>
            <w:div w:id="631713129">
              <w:marLeft w:val="0"/>
              <w:marRight w:val="0"/>
              <w:marTop w:val="0"/>
              <w:marBottom w:val="0"/>
              <w:divBdr>
                <w:top w:val="none" w:sz="0" w:space="0" w:color="auto"/>
                <w:left w:val="none" w:sz="0" w:space="0" w:color="auto"/>
                <w:bottom w:val="none" w:sz="0" w:space="0" w:color="auto"/>
                <w:right w:val="none" w:sz="0" w:space="0" w:color="auto"/>
              </w:divBdr>
            </w:div>
          </w:divsChild>
        </w:div>
        <w:div w:id="1311061538">
          <w:marLeft w:val="0"/>
          <w:marRight w:val="0"/>
          <w:marTop w:val="0"/>
          <w:marBottom w:val="0"/>
          <w:divBdr>
            <w:top w:val="none" w:sz="0" w:space="0" w:color="auto"/>
            <w:left w:val="none" w:sz="0" w:space="0" w:color="auto"/>
            <w:bottom w:val="none" w:sz="0" w:space="0" w:color="auto"/>
            <w:right w:val="none" w:sz="0" w:space="0" w:color="auto"/>
          </w:divBdr>
        </w:div>
        <w:div w:id="1739013692">
          <w:marLeft w:val="0"/>
          <w:marRight w:val="0"/>
          <w:marTop w:val="0"/>
          <w:marBottom w:val="0"/>
          <w:divBdr>
            <w:top w:val="none" w:sz="0" w:space="0" w:color="auto"/>
            <w:left w:val="none" w:sz="0" w:space="0" w:color="auto"/>
            <w:bottom w:val="none" w:sz="0" w:space="0" w:color="auto"/>
            <w:right w:val="none" w:sz="0" w:space="0" w:color="auto"/>
          </w:divBdr>
        </w:div>
      </w:divsChild>
    </w:div>
    <w:div w:id="416710200">
      <w:bodyDiv w:val="1"/>
      <w:marLeft w:val="0"/>
      <w:marRight w:val="0"/>
      <w:marTop w:val="0"/>
      <w:marBottom w:val="0"/>
      <w:divBdr>
        <w:top w:val="none" w:sz="0" w:space="0" w:color="auto"/>
        <w:left w:val="none" w:sz="0" w:space="0" w:color="auto"/>
        <w:bottom w:val="none" w:sz="0" w:space="0" w:color="auto"/>
        <w:right w:val="none" w:sz="0" w:space="0" w:color="auto"/>
      </w:divBdr>
    </w:div>
    <w:div w:id="479687001">
      <w:bodyDiv w:val="1"/>
      <w:marLeft w:val="0"/>
      <w:marRight w:val="0"/>
      <w:marTop w:val="0"/>
      <w:marBottom w:val="0"/>
      <w:divBdr>
        <w:top w:val="none" w:sz="0" w:space="0" w:color="auto"/>
        <w:left w:val="none" w:sz="0" w:space="0" w:color="auto"/>
        <w:bottom w:val="none" w:sz="0" w:space="0" w:color="auto"/>
        <w:right w:val="none" w:sz="0" w:space="0" w:color="auto"/>
      </w:divBdr>
    </w:div>
    <w:div w:id="488251570">
      <w:bodyDiv w:val="1"/>
      <w:marLeft w:val="0"/>
      <w:marRight w:val="0"/>
      <w:marTop w:val="0"/>
      <w:marBottom w:val="0"/>
      <w:divBdr>
        <w:top w:val="none" w:sz="0" w:space="0" w:color="auto"/>
        <w:left w:val="none" w:sz="0" w:space="0" w:color="auto"/>
        <w:bottom w:val="none" w:sz="0" w:space="0" w:color="auto"/>
        <w:right w:val="none" w:sz="0" w:space="0" w:color="auto"/>
      </w:divBdr>
    </w:div>
    <w:div w:id="525753437">
      <w:bodyDiv w:val="1"/>
      <w:marLeft w:val="0"/>
      <w:marRight w:val="0"/>
      <w:marTop w:val="0"/>
      <w:marBottom w:val="0"/>
      <w:divBdr>
        <w:top w:val="none" w:sz="0" w:space="0" w:color="auto"/>
        <w:left w:val="none" w:sz="0" w:space="0" w:color="auto"/>
        <w:bottom w:val="none" w:sz="0" w:space="0" w:color="auto"/>
        <w:right w:val="none" w:sz="0" w:space="0" w:color="auto"/>
      </w:divBdr>
    </w:div>
    <w:div w:id="555244072">
      <w:bodyDiv w:val="1"/>
      <w:marLeft w:val="0"/>
      <w:marRight w:val="0"/>
      <w:marTop w:val="0"/>
      <w:marBottom w:val="0"/>
      <w:divBdr>
        <w:top w:val="none" w:sz="0" w:space="0" w:color="auto"/>
        <w:left w:val="none" w:sz="0" w:space="0" w:color="auto"/>
        <w:bottom w:val="none" w:sz="0" w:space="0" w:color="auto"/>
        <w:right w:val="none" w:sz="0" w:space="0" w:color="auto"/>
      </w:divBdr>
    </w:div>
    <w:div w:id="567769158">
      <w:bodyDiv w:val="1"/>
      <w:marLeft w:val="0"/>
      <w:marRight w:val="0"/>
      <w:marTop w:val="0"/>
      <w:marBottom w:val="0"/>
      <w:divBdr>
        <w:top w:val="none" w:sz="0" w:space="0" w:color="auto"/>
        <w:left w:val="none" w:sz="0" w:space="0" w:color="auto"/>
        <w:bottom w:val="none" w:sz="0" w:space="0" w:color="auto"/>
        <w:right w:val="none" w:sz="0" w:space="0" w:color="auto"/>
      </w:divBdr>
    </w:div>
    <w:div w:id="644243988">
      <w:bodyDiv w:val="1"/>
      <w:marLeft w:val="0"/>
      <w:marRight w:val="0"/>
      <w:marTop w:val="0"/>
      <w:marBottom w:val="0"/>
      <w:divBdr>
        <w:top w:val="none" w:sz="0" w:space="0" w:color="auto"/>
        <w:left w:val="none" w:sz="0" w:space="0" w:color="auto"/>
        <w:bottom w:val="none" w:sz="0" w:space="0" w:color="auto"/>
        <w:right w:val="none" w:sz="0" w:space="0" w:color="auto"/>
      </w:divBdr>
    </w:div>
    <w:div w:id="645864863">
      <w:bodyDiv w:val="1"/>
      <w:marLeft w:val="0"/>
      <w:marRight w:val="0"/>
      <w:marTop w:val="0"/>
      <w:marBottom w:val="0"/>
      <w:divBdr>
        <w:top w:val="none" w:sz="0" w:space="0" w:color="auto"/>
        <w:left w:val="none" w:sz="0" w:space="0" w:color="auto"/>
        <w:bottom w:val="none" w:sz="0" w:space="0" w:color="auto"/>
        <w:right w:val="none" w:sz="0" w:space="0" w:color="auto"/>
      </w:divBdr>
    </w:div>
    <w:div w:id="667250852">
      <w:bodyDiv w:val="1"/>
      <w:marLeft w:val="0"/>
      <w:marRight w:val="0"/>
      <w:marTop w:val="0"/>
      <w:marBottom w:val="0"/>
      <w:divBdr>
        <w:top w:val="none" w:sz="0" w:space="0" w:color="auto"/>
        <w:left w:val="none" w:sz="0" w:space="0" w:color="auto"/>
        <w:bottom w:val="none" w:sz="0" w:space="0" w:color="auto"/>
        <w:right w:val="none" w:sz="0" w:space="0" w:color="auto"/>
      </w:divBdr>
    </w:div>
    <w:div w:id="690572515">
      <w:bodyDiv w:val="1"/>
      <w:marLeft w:val="0"/>
      <w:marRight w:val="0"/>
      <w:marTop w:val="0"/>
      <w:marBottom w:val="0"/>
      <w:divBdr>
        <w:top w:val="none" w:sz="0" w:space="0" w:color="auto"/>
        <w:left w:val="none" w:sz="0" w:space="0" w:color="auto"/>
        <w:bottom w:val="none" w:sz="0" w:space="0" w:color="auto"/>
        <w:right w:val="none" w:sz="0" w:space="0" w:color="auto"/>
      </w:divBdr>
    </w:div>
    <w:div w:id="743144985">
      <w:bodyDiv w:val="1"/>
      <w:marLeft w:val="0"/>
      <w:marRight w:val="0"/>
      <w:marTop w:val="0"/>
      <w:marBottom w:val="0"/>
      <w:divBdr>
        <w:top w:val="none" w:sz="0" w:space="0" w:color="auto"/>
        <w:left w:val="none" w:sz="0" w:space="0" w:color="auto"/>
        <w:bottom w:val="none" w:sz="0" w:space="0" w:color="auto"/>
        <w:right w:val="none" w:sz="0" w:space="0" w:color="auto"/>
      </w:divBdr>
    </w:div>
    <w:div w:id="769590698">
      <w:bodyDiv w:val="1"/>
      <w:marLeft w:val="0"/>
      <w:marRight w:val="0"/>
      <w:marTop w:val="0"/>
      <w:marBottom w:val="0"/>
      <w:divBdr>
        <w:top w:val="none" w:sz="0" w:space="0" w:color="auto"/>
        <w:left w:val="none" w:sz="0" w:space="0" w:color="auto"/>
        <w:bottom w:val="none" w:sz="0" w:space="0" w:color="auto"/>
        <w:right w:val="none" w:sz="0" w:space="0" w:color="auto"/>
      </w:divBdr>
    </w:div>
    <w:div w:id="786974491">
      <w:bodyDiv w:val="1"/>
      <w:marLeft w:val="0"/>
      <w:marRight w:val="0"/>
      <w:marTop w:val="0"/>
      <w:marBottom w:val="0"/>
      <w:divBdr>
        <w:top w:val="none" w:sz="0" w:space="0" w:color="auto"/>
        <w:left w:val="none" w:sz="0" w:space="0" w:color="auto"/>
        <w:bottom w:val="none" w:sz="0" w:space="0" w:color="auto"/>
        <w:right w:val="none" w:sz="0" w:space="0" w:color="auto"/>
      </w:divBdr>
    </w:div>
    <w:div w:id="820150102">
      <w:bodyDiv w:val="1"/>
      <w:marLeft w:val="0"/>
      <w:marRight w:val="0"/>
      <w:marTop w:val="0"/>
      <w:marBottom w:val="0"/>
      <w:divBdr>
        <w:top w:val="none" w:sz="0" w:space="0" w:color="auto"/>
        <w:left w:val="none" w:sz="0" w:space="0" w:color="auto"/>
        <w:bottom w:val="none" w:sz="0" w:space="0" w:color="auto"/>
        <w:right w:val="none" w:sz="0" w:space="0" w:color="auto"/>
      </w:divBdr>
      <w:divsChild>
        <w:div w:id="1869562645">
          <w:marLeft w:val="0"/>
          <w:marRight w:val="0"/>
          <w:marTop w:val="0"/>
          <w:marBottom w:val="0"/>
          <w:divBdr>
            <w:top w:val="none" w:sz="0" w:space="0" w:color="auto"/>
            <w:left w:val="none" w:sz="0" w:space="0" w:color="auto"/>
            <w:bottom w:val="none" w:sz="0" w:space="0" w:color="auto"/>
            <w:right w:val="none" w:sz="0" w:space="0" w:color="auto"/>
          </w:divBdr>
        </w:div>
      </w:divsChild>
    </w:div>
    <w:div w:id="822086160">
      <w:bodyDiv w:val="1"/>
      <w:marLeft w:val="0"/>
      <w:marRight w:val="0"/>
      <w:marTop w:val="0"/>
      <w:marBottom w:val="0"/>
      <w:divBdr>
        <w:top w:val="none" w:sz="0" w:space="0" w:color="auto"/>
        <w:left w:val="none" w:sz="0" w:space="0" w:color="auto"/>
        <w:bottom w:val="none" w:sz="0" w:space="0" w:color="auto"/>
        <w:right w:val="none" w:sz="0" w:space="0" w:color="auto"/>
      </w:divBdr>
    </w:div>
    <w:div w:id="983781816">
      <w:bodyDiv w:val="1"/>
      <w:marLeft w:val="0"/>
      <w:marRight w:val="0"/>
      <w:marTop w:val="0"/>
      <w:marBottom w:val="0"/>
      <w:divBdr>
        <w:top w:val="none" w:sz="0" w:space="0" w:color="auto"/>
        <w:left w:val="none" w:sz="0" w:space="0" w:color="auto"/>
        <w:bottom w:val="none" w:sz="0" w:space="0" w:color="auto"/>
        <w:right w:val="none" w:sz="0" w:space="0" w:color="auto"/>
      </w:divBdr>
    </w:div>
    <w:div w:id="1053309681">
      <w:bodyDiv w:val="1"/>
      <w:marLeft w:val="0"/>
      <w:marRight w:val="0"/>
      <w:marTop w:val="0"/>
      <w:marBottom w:val="0"/>
      <w:divBdr>
        <w:top w:val="none" w:sz="0" w:space="0" w:color="auto"/>
        <w:left w:val="none" w:sz="0" w:space="0" w:color="auto"/>
        <w:bottom w:val="none" w:sz="0" w:space="0" w:color="auto"/>
        <w:right w:val="none" w:sz="0" w:space="0" w:color="auto"/>
      </w:divBdr>
    </w:div>
    <w:div w:id="1069310899">
      <w:bodyDiv w:val="1"/>
      <w:marLeft w:val="0"/>
      <w:marRight w:val="0"/>
      <w:marTop w:val="0"/>
      <w:marBottom w:val="0"/>
      <w:divBdr>
        <w:top w:val="none" w:sz="0" w:space="0" w:color="auto"/>
        <w:left w:val="none" w:sz="0" w:space="0" w:color="auto"/>
        <w:bottom w:val="none" w:sz="0" w:space="0" w:color="auto"/>
        <w:right w:val="none" w:sz="0" w:space="0" w:color="auto"/>
      </w:divBdr>
    </w:div>
    <w:div w:id="1085222194">
      <w:bodyDiv w:val="1"/>
      <w:marLeft w:val="0"/>
      <w:marRight w:val="0"/>
      <w:marTop w:val="0"/>
      <w:marBottom w:val="0"/>
      <w:divBdr>
        <w:top w:val="none" w:sz="0" w:space="0" w:color="auto"/>
        <w:left w:val="none" w:sz="0" w:space="0" w:color="auto"/>
        <w:bottom w:val="none" w:sz="0" w:space="0" w:color="auto"/>
        <w:right w:val="none" w:sz="0" w:space="0" w:color="auto"/>
      </w:divBdr>
      <w:divsChild>
        <w:div w:id="1195193517">
          <w:marLeft w:val="0"/>
          <w:marRight w:val="0"/>
          <w:marTop w:val="0"/>
          <w:marBottom w:val="0"/>
          <w:divBdr>
            <w:top w:val="none" w:sz="0" w:space="0" w:color="auto"/>
            <w:left w:val="none" w:sz="0" w:space="0" w:color="auto"/>
            <w:bottom w:val="none" w:sz="0" w:space="0" w:color="auto"/>
            <w:right w:val="none" w:sz="0" w:space="0" w:color="auto"/>
          </w:divBdr>
        </w:div>
      </w:divsChild>
    </w:div>
    <w:div w:id="1160269411">
      <w:bodyDiv w:val="1"/>
      <w:marLeft w:val="0"/>
      <w:marRight w:val="0"/>
      <w:marTop w:val="0"/>
      <w:marBottom w:val="0"/>
      <w:divBdr>
        <w:top w:val="none" w:sz="0" w:space="0" w:color="auto"/>
        <w:left w:val="none" w:sz="0" w:space="0" w:color="auto"/>
        <w:bottom w:val="none" w:sz="0" w:space="0" w:color="auto"/>
        <w:right w:val="none" w:sz="0" w:space="0" w:color="auto"/>
      </w:divBdr>
      <w:divsChild>
        <w:div w:id="1038354203">
          <w:marLeft w:val="0"/>
          <w:marRight w:val="0"/>
          <w:marTop w:val="0"/>
          <w:marBottom w:val="0"/>
          <w:divBdr>
            <w:top w:val="none" w:sz="0" w:space="0" w:color="auto"/>
            <w:left w:val="none" w:sz="0" w:space="0" w:color="auto"/>
            <w:bottom w:val="none" w:sz="0" w:space="0" w:color="auto"/>
            <w:right w:val="none" w:sz="0" w:space="0" w:color="auto"/>
          </w:divBdr>
          <w:divsChild>
            <w:div w:id="1501773750">
              <w:marLeft w:val="0"/>
              <w:marRight w:val="0"/>
              <w:marTop w:val="0"/>
              <w:marBottom w:val="0"/>
              <w:divBdr>
                <w:top w:val="none" w:sz="0" w:space="0" w:color="auto"/>
                <w:left w:val="none" w:sz="0" w:space="0" w:color="auto"/>
                <w:bottom w:val="none" w:sz="0" w:space="0" w:color="auto"/>
                <w:right w:val="none" w:sz="0" w:space="0" w:color="auto"/>
              </w:divBdr>
            </w:div>
          </w:divsChild>
        </w:div>
        <w:div w:id="480852441">
          <w:marLeft w:val="0"/>
          <w:marRight w:val="0"/>
          <w:marTop w:val="0"/>
          <w:marBottom w:val="0"/>
          <w:divBdr>
            <w:top w:val="none" w:sz="0" w:space="0" w:color="auto"/>
            <w:left w:val="none" w:sz="0" w:space="0" w:color="auto"/>
            <w:bottom w:val="none" w:sz="0" w:space="0" w:color="auto"/>
            <w:right w:val="none" w:sz="0" w:space="0" w:color="auto"/>
          </w:divBdr>
        </w:div>
        <w:div w:id="153882870">
          <w:marLeft w:val="0"/>
          <w:marRight w:val="0"/>
          <w:marTop w:val="0"/>
          <w:marBottom w:val="0"/>
          <w:divBdr>
            <w:top w:val="none" w:sz="0" w:space="0" w:color="auto"/>
            <w:left w:val="none" w:sz="0" w:space="0" w:color="auto"/>
            <w:bottom w:val="none" w:sz="0" w:space="0" w:color="auto"/>
            <w:right w:val="none" w:sz="0" w:space="0" w:color="auto"/>
          </w:divBdr>
        </w:div>
      </w:divsChild>
    </w:div>
    <w:div w:id="1172642908">
      <w:bodyDiv w:val="1"/>
      <w:marLeft w:val="0"/>
      <w:marRight w:val="0"/>
      <w:marTop w:val="0"/>
      <w:marBottom w:val="0"/>
      <w:divBdr>
        <w:top w:val="none" w:sz="0" w:space="0" w:color="auto"/>
        <w:left w:val="none" w:sz="0" w:space="0" w:color="auto"/>
        <w:bottom w:val="none" w:sz="0" w:space="0" w:color="auto"/>
        <w:right w:val="none" w:sz="0" w:space="0" w:color="auto"/>
      </w:divBdr>
    </w:div>
    <w:div w:id="1173446561">
      <w:bodyDiv w:val="1"/>
      <w:marLeft w:val="0"/>
      <w:marRight w:val="0"/>
      <w:marTop w:val="0"/>
      <w:marBottom w:val="0"/>
      <w:divBdr>
        <w:top w:val="none" w:sz="0" w:space="0" w:color="auto"/>
        <w:left w:val="none" w:sz="0" w:space="0" w:color="auto"/>
        <w:bottom w:val="none" w:sz="0" w:space="0" w:color="auto"/>
        <w:right w:val="none" w:sz="0" w:space="0" w:color="auto"/>
      </w:divBdr>
    </w:div>
    <w:div w:id="1195923039">
      <w:bodyDiv w:val="1"/>
      <w:marLeft w:val="0"/>
      <w:marRight w:val="0"/>
      <w:marTop w:val="0"/>
      <w:marBottom w:val="0"/>
      <w:divBdr>
        <w:top w:val="none" w:sz="0" w:space="0" w:color="auto"/>
        <w:left w:val="none" w:sz="0" w:space="0" w:color="auto"/>
        <w:bottom w:val="none" w:sz="0" w:space="0" w:color="auto"/>
        <w:right w:val="none" w:sz="0" w:space="0" w:color="auto"/>
      </w:divBdr>
    </w:div>
    <w:div w:id="1298953911">
      <w:bodyDiv w:val="1"/>
      <w:marLeft w:val="0"/>
      <w:marRight w:val="0"/>
      <w:marTop w:val="0"/>
      <w:marBottom w:val="0"/>
      <w:divBdr>
        <w:top w:val="none" w:sz="0" w:space="0" w:color="auto"/>
        <w:left w:val="none" w:sz="0" w:space="0" w:color="auto"/>
        <w:bottom w:val="none" w:sz="0" w:space="0" w:color="auto"/>
        <w:right w:val="none" w:sz="0" w:space="0" w:color="auto"/>
      </w:divBdr>
    </w:div>
    <w:div w:id="1341201512">
      <w:bodyDiv w:val="1"/>
      <w:marLeft w:val="0"/>
      <w:marRight w:val="0"/>
      <w:marTop w:val="0"/>
      <w:marBottom w:val="0"/>
      <w:divBdr>
        <w:top w:val="none" w:sz="0" w:space="0" w:color="auto"/>
        <w:left w:val="none" w:sz="0" w:space="0" w:color="auto"/>
        <w:bottom w:val="none" w:sz="0" w:space="0" w:color="auto"/>
        <w:right w:val="none" w:sz="0" w:space="0" w:color="auto"/>
      </w:divBdr>
    </w:div>
    <w:div w:id="1396049559">
      <w:bodyDiv w:val="1"/>
      <w:marLeft w:val="0"/>
      <w:marRight w:val="0"/>
      <w:marTop w:val="0"/>
      <w:marBottom w:val="0"/>
      <w:divBdr>
        <w:top w:val="none" w:sz="0" w:space="0" w:color="auto"/>
        <w:left w:val="none" w:sz="0" w:space="0" w:color="auto"/>
        <w:bottom w:val="none" w:sz="0" w:space="0" w:color="auto"/>
        <w:right w:val="none" w:sz="0" w:space="0" w:color="auto"/>
      </w:divBdr>
    </w:div>
    <w:div w:id="1404261484">
      <w:bodyDiv w:val="1"/>
      <w:marLeft w:val="0"/>
      <w:marRight w:val="0"/>
      <w:marTop w:val="0"/>
      <w:marBottom w:val="0"/>
      <w:divBdr>
        <w:top w:val="none" w:sz="0" w:space="0" w:color="auto"/>
        <w:left w:val="none" w:sz="0" w:space="0" w:color="auto"/>
        <w:bottom w:val="none" w:sz="0" w:space="0" w:color="auto"/>
        <w:right w:val="none" w:sz="0" w:space="0" w:color="auto"/>
      </w:divBdr>
    </w:div>
    <w:div w:id="1433939454">
      <w:bodyDiv w:val="1"/>
      <w:marLeft w:val="0"/>
      <w:marRight w:val="0"/>
      <w:marTop w:val="0"/>
      <w:marBottom w:val="0"/>
      <w:divBdr>
        <w:top w:val="none" w:sz="0" w:space="0" w:color="auto"/>
        <w:left w:val="none" w:sz="0" w:space="0" w:color="auto"/>
        <w:bottom w:val="none" w:sz="0" w:space="0" w:color="auto"/>
        <w:right w:val="none" w:sz="0" w:space="0" w:color="auto"/>
      </w:divBdr>
    </w:div>
    <w:div w:id="1517379673">
      <w:bodyDiv w:val="1"/>
      <w:marLeft w:val="0"/>
      <w:marRight w:val="0"/>
      <w:marTop w:val="0"/>
      <w:marBottom w:val="0"/>
      <w:divBdr>
        <w:top w:val="none" w:sz="0" w:space="0" w:color="auto"/>
        <w:left w:val="none" w:sz="0" w:space="0" w:color="auto"/>
        <w:bottom w:val="none" w:sz="0" w:space="0" w:color="auto"/>
        <w:right w:val="none" w:sz="0" w:space="0" w:color="auto"/>
      </w:divBdr>
    </w:div>
    <w:div w:id="1541817858">
      <w:bodyDiv w:val="1"/>
      <w:marLeft w:val="0"/>
      <w:marRight w:val="0"/>
      <w:marTop w:val="0"/>
      <w:marBottom w:val="0"/>
      <w:divBdr>
        <w:top w:val="none" w:sz="0" w:space="0" w:color="auto"/>
        <w:left w:val="none" w:sz="0" w:space="0" w:color="auto"/>
        <w:bottom w:val="none" w:sz="0" w:space="0" w:color="auto"/>
        <w:right w:val="none" w:sz="0" w:space="0" w:color="auto"/>
      </w:divBdr>
    </w:div>
    <w:div w:id="1553805398">
      <w:bodyDiv w:val="1"/>
      <w:marLeft w:val="0"/>
      <w:marRight w:val="0"/>
      <w:marTop w:val="0"/>
      <w:marBottom w:val="0"/>
      <w:divBdr>
        <w:top w:val="none" w:sz="0" w:space="0" w:color="auto"/>
        <w:left w:val="none" w:sz="0" w:space="0" w:color="auto"/>
        <w:bottom w:val="none" w:sz="0" w:space="0" w:color="auto"/>
        <w:right w:val="none" w:sz="0" w:space="0" w:color="auto"/>
      </w:divBdr>
    </w:div>
    <w:div w:id="1611812373">
      <w:bodyDiv w:val="1"/>
      <w:marLeft w:val="0"/>
      <w:marRight w:val="0"/>
      <w:marTop w:val="0"/>
      <w:marBottom w:val="0"/>
      <w:divBdr>
        <w:top w:val="none" w:sz="0" w:space="0" w:color="auto"/>
        <w:left w:val="none" w:sz="0" w:space="0" w:color="auto"/>
        <w:bottom w:val="none" w:sz="0" w:space="0" w:color="auto"/>
        <w:right w:val="none" w:sz="0" w:space="0" w:color="auto"/>
      </w:divBdr>
    </w:div>
    <w:div w:id="1620062679">
      <w:bodyDiv w:val="1"/>
      <w:marLeft w:val="0"/>
      <w:marRight w:val="0"/>
      <w:marTop w:val="0"/>
      <w:marBottom w:val="0"/>
      <w:divBdr>
        <w:top w:val="none" w:sz="0" w:space="0" w:color="auto"/>
        <w:left w:val="none" w:sz="0" w:space="0" w:color="auto"/>
        <w:bottom w:val="none" w:sz="0" w:space="0" w:color="auto"/>
        <w:right w:val="none" w:sz="0" w:space="0" w:color="auto"/>
      </w:divBdr>
    </w:div>
    <w:div w:id="1682052648">
      <w:bodyDiv w:val="1"/>
      <w:marLeft w:val="0"/>
      <w:marRight w:val="0"/>
      <w:marTop w:val="0"/>
      <w:marBottom w:val="0"/>
      <w:divBdr>
        <w:top w:val="none" w:sz="0" w:space="0" w:color="auto"/>
        <w:left w:val="none" w:sz="0" w:space="0" w:color="auto"/>
        <w:bottom w:val="none" w:sz="0" w:space="0" w:color="auto"/>
        <w:right w:val="none" w:sz="0" w:space="0" w:color="auto"/>
      </w:divBdr>
    </w:div>
    <w:div w:id="1736204398">
      <w:bodyDiv w:val="1"/>
      <w:marLeft w:val="0"/>
      <w:marRight w:val="0"/>
      <w:marTop w:val="0"/>
      <w:marBottom w:val="0"/>
      <w:divBdr>
        <w:top w:val="none" w:sz="0" w:space="0" w:color="auto"/>
        <w:left w:val="none" w:sz="0" w:space="0" w:color="auto"/>
        <w:bottom w:val="none" w:sz="0" w:space="0" w:color="auto"/>
        <w:right w:val="none" w:sz="0" w:space="0" w:color="auto"/>
      </w:divBdr>
    </w:div>
    <w:div w:id="1752315283">
      <w:bodyDiv w:val="1"/>
      <w:marLeft w:val="0"/>
      <w:marRight w:val="0"/>
      <w:marTop w:val="0"/>
      <w:marBottom w:val="0"/>
      <w:divBdr>
        <w:top w:val="none" w:sz="0" w:space="0" w:color="auto"/>
        <w:left w:val="none" w:sz="0" w:space="0" w:color="auto"/>
        <w:bottom w:val="none" w:sz="0" w:space="0" w:color="auto"/>
        <w:right w:val="none" w:sz="0" w:space="0" w:color="auto"/>
      </w:divBdr>
    </w:div>
    <w:div w:id="1755972095">
      <w:bodyDiv w:val="1"/>
      <w:marLeft w:val="0"/>
      <w:marRight w:val="0"/>
      <w:marTop w:val="0"/>
      <w:marBottom w:val="0"/>
      <w:divBdr>
        <w:top w:val="none" w:sz="0" w:space="0" w:color="auto"/>
        <w:left w:val="none" w:sz="0" w:space="0" w:color="auto"/>
        <w:bottom w:val="none" w:sz="0" w:space="0" w:color="auto"/>
        <w:right w:val="none" w:sz="0" w:space="0" w:color="auto"/>
      </w:divBdr>
    </w:div>
    <w:div w:id="1763791985">
      <w:bodyDiv w:val="1"/>
      <w:marLeft w:val="0"/>
      <w:marRight w:val="0"/>
      <w:marTop w:val="0"/>
      <w:marBottom w:val="0"/>
      <w:divBdr>
        <w:top w:val="none" w:sz="0" w:space="0" w:color="auto"/>
        <w:left w:val="none" w:sz="0" w:space="0" w:color="auto"/>
        <w:bottom w:val="none" w:sz="0" w:space="0" w:color="auto"/>
        <w:right w:val="none" w:sz="0" w:space="0" w:color="auto"/>
      </w:divBdr>
    </w:div>
    <w:div w:id="1783842368">
      <w:bodyDiv w:val="1"/>
      <w:marLeft w:val="0"/>
      <w:marRight w:val="0"/>
      <w:marTop w:val="0"/>
      <w:marBottom w:val="0"/>
      <w:divBdr>
        <w:top w:val="none" w:sz="0" w:space="0" w:color="auto"/>
        <w:left w:val="none" w:sz="0" w:space="0" w:color="auto"/>
        <w:bottom w:val="none" w:sz="0" w:space="0" w:color="auto"/>
        <w:right w:val="none" w:sz="0" w:space="0" w:color="auto"/>
      </w:divBdr>
    </w:div>
    <w:div w:id="1830442876">
      <w:bodyDiv w:val="1"/>
      <w:marLeft w:val="0"/>
      <w:marRight w:val="0"/>
      <w:marTop w:val="0"/>
      <w:marBottom w:val="0"/>
      <w:divBdr>
        <w:top w:val="none" w:sz="0" w:space="0" w:color="auto"/>
        <w:left w:val="none" w:sz="0" w:space="0" w:color="auto"/>
        <w:bottom w:val="none" w:sz="0" w:space="0" w:color="auto"/>
        <w:right w:val="none" w:sz="0" w:space="0" w:color="auto"/>
      </w:divBdr>
      <w:divsChild>
        <w:div w:id="441267635">
          <w:marLeft w:val="0"/>
          <w:marRight w:val="0"/>
          <w:marTop w:val="0"/>
          <w:marBottom w:val="0"/>
          <w:divBdr>
            <w:top w:val="none" w:sz="0" w:space="0" w:color="auto"/>
            <w:left w:val="none" w:sz="0" w:space="0" w:color="auto"/>
            <w:bottom w:val="none" w:sz="0" w:space="0" w:color="auto"/>
            <w:right w:val="none" w:sz="0" w:space="0" w:color="auto"/>
          </w:divBdr>
        </w:div>
      </w:divsChild>
    </w:div>
    <w:div w:id="1857033107">
      <w:bodyDiv w:val="1"/>
      <w:marLeft w:val="0"/>
      <w:marRight w:val="0"/>
      <w:marTop w:val="0"/>
      <w:marBottom w:val="0"/>
      <w:divBdr>
        <w:top w:val="none" w:sz="0" w:space="0" w:color="auto"/>
        <w:left w:val="none" w:sz="0" w:space="0" w:color="auto"/>
        <w:bottom w:val="none" w:sz="0" w:space="0" w:color="auto"/>
        <w:right w:val="none" w:sz="0" w:space="0" w:color="auto"/>
      </w:divBdr>
    </w:div>
    <w:div w:id="1857042423">
      <w:bodyDiv w:val="1"/>
      <w:marLeft w:val="0"/>
      <w:marRight w:val="0"/>
      <w:marTop w:val="0"/>
      <w:marBottom w:val="0"/>
      <w:divBdr>
        <w:top w:val="none" w:sz="0" w:space="0" w:color="auto"/>
        <w:left w:val="none" w:sz="0" w:space="0" w:color="auto"/>
        <w:bottom w:val="none" w:sz="0" w:space="0" w:color="auto"/>
        <w:right w:val="none" w:sz="0" w:space="0" w:color="auto"/>
      </w:divBdr>
    </w:div>
    <w:div w:id="1877236205">
      <w:bodyDiv w:val="1"/>
      <w:marLeft w:val="0"/>
      <w:marRight w:val="0"/>
      <w:marTop w:val="0"/>
      <w:marBottom w:val="0"/>
      <w:divBdr>
        <w:top w:val="none" w:sz="0" w:space="0" w:color="auto"/>
        <w:left w:val="none" w:sz="0" w:space="0" w:color="auto"/>
        <w:bottom w:val="none" w:sz="0" w:space="0" w:color="auto"/>
        <w:right w:val="none" w:sz="0" w:space="0" w:color="auto"/>
      </w:divBdr>
    </w:div>
    <w:div w:id="1967352093">
      <w:bodyDiv w:val="1"/>
      <w:marLeft w:val="0"/>
      <w:marRight w:val="0"/>
      <w:marTop w:val="0"/>
      <w:marBottom w:val="0"/>
      <w:divBdr>
        <w:top w:val="none" w:sz="0" w:space="0" w:color="auto"/>
        <w:left w:val="none" w:sz="0" w:space="0" w:color="auto"/>
        <w:bottom w:val="none" w:sz="0" w:space="0" w:color="auto"/>
        <w:right w:val="none" w:sz="0" w:space="0" w:color="auto"/>
      </w:divBdr>
    </w:div>
    <w:div w:id="1973709471">
      <w:bodyDiv w:val="1"/>
      <w:marLeft w:val="0"/>
      <w:marRight w:val="0"/>
      <w:marTop w:val="0"/>
      <w:marBottom w:val="0"/>
      <w:divBdr>
        <w:top w:val="none" w:sz="0" w:space="0" w:color="auto"/>
        <w:left w:val="none" w:sz="0" w:space="0" w:color="auto"/>
        <w:bottom w:val="none" w:sz="0" w:space="0" w:color="auto"/>
        <w:right w:val="none" w:sz="0" w:space="0" w:color="auto"/>
      </w:divBdr>
    </w:div>
    <w:div w:id="1984265167">
      <w:bodyDiv w:val="1"/>
      <w:marLeft w:val="0"/>
      <w:marRight w:val="0"/>
      <w:marTop w:val="0"/>
      <w:marBottom w:val="0"/>
      <w:divBdr>
        <w:top w:val="none" w:sz="0" w:space="0" w:color="auto"/>
        <w:left w:val="none" w:sz="0" w:space="0" w:color="auto"/>
        <w:bottom w:val="none" w:sz="0" w:space="0" w:color="auto"/>
        <w:right w:val="none" w:sz="0" w:space="0" w:color="auto"/>
      </w:divBdr>
    </w:div>
    <w:div w:id="2011520948">
      <w:bodyDiv w:val="1"/>
      <w:marLeft w:val="0"/>
      <w:marRight w:val="0"/>
      <w:marTop w:val="0"/>
      <w:marBottom w:val="0"/>
      <w:divBdr>
        <w:top w:val="none" w:sz="0" w:space="0" w:color="auto"/>
        <w:left w:val="none" w:sz="0" w:space="0" w:color="auto"/>
        <w:bottom w:val="none" w:sz="0" w:space="0" w:color="auto"/>
        <w:right w:val="none" w:sz="0" w:space="0" w:color="auto"/>
      </w:divBdr>
    </w:div>
    <w:div w:id="2024696836">
      <w:bodyDiv w:val="1"/>
      <w:marLeft w:val="0"/>
      <w:marRight w:val="0"/>
      <w:marTop w:val="0"/>
      <w:marBottom w:val="0"/>
      <w:divBdr>
        <w:top w:val="none" w:sz="0" w:space="0" w:color="auto"/>
        <w:left w:val="none" w:sz="0" w:space="0" w:color="auto"/>
        <w:bottom w:val="none" w:sz="0" w:space="0" w:color="auto"/>
        <w:right w:val="none" w:sz="0" w:space="0" w:color="auto"/>
      </w:divBdr>
    </w:div>
    <w:div w:id="2049380207">
      <w:bodyDiv w:val="1"/>
      <w:marLeft w:val="0"/>
      <w:marRight w:val="0"/>
      <w:marTop w:val="0"/>
      <w:marBottom w:val="0"/>
      <w:divBdr>
        <w:top w:val="none" w:sz="0" w:space="0" w:color="auto"/>
        <w:left w:val="none" w:sz="0" w:space="0" w:color="auto"/>
        <w:bottom w:val="none" w:sz="0" w:space="0" w:color="auto"/>
        <w:right w:val="none" w:sz="0" w:space="0" w:color="auto"/>
      </w:divBdr>
    </w:div>
    <w:div w:id="2064938350">
      <w:bodyDiv w:val="1"/>
      <w:marLeft w:val="0"/>
      <w:marRight w:val="0"/>
      <w:marTop w:val="0"/>
      <w:marBottom w:val="0"/>
      <w:divBdr>
        <w:top w:val="none" w:sz="0" w:space="0" w:color="auto"/>
        <w:left w:val="none" w:sz="0" w:space="0" w:color="auto"/>
        <w:bottom w:val="none" w:sz="0" w:space="0" w:color="auto"/>
        <w:right w:val="none" w:sz="0" w:space="0" w:color="auto"/>
      </w:divBdr>
    </w:div>
    <w:div w:id="2104765854">
      <w:bodyDiv w:val="1"/>
      <w:marLeft w:val="0"/>
      <w:marRight w:val="0"/>
      <w:marTop w:val="0"/>
      <w:marBottom w:val="0"/>
      <w:divBdr>
        <w:top w:val="none" w:sz="0" w:space="0" w:color="auto"/>
        <w:left w:val="none" w:sz="0" w:space="0" w:color="auto"/>
        <w:bottom w:val="none" w:sz="0" w:space="0" w:color="auto"/>
        <w:right w:val="none" w:sz="0" w:space="0" w:color="auto"/>
      </w:divBdr>
    </w:div>
    <w:div w:id="2134592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of.gob.mx/nota_detalle.php?codigo=5492254&amp;fecha=28/07/201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TIpGKhTGD+DXTKB1IvvqaoPdw==">CgMxLjAyCGguZ2pkZ3hzMgloLjMwajB6bGwyCWguMWZvYjl0ZTIJaC4zem55c2g3MgloLjJldDkycDAyCGgudHlqY3d0MgloLjNkeTZ2a20yCWguMXQzaDVzZjIJaC4xN2RwOHZ1MgloLjRkMzRvZzgyCGgubG54Yno5OAByITFIbWx2UkM2RWRnR0ZXOElOcjRSOXZRNzNiM0dFR3RFRw==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62</Pages>
  <Words>15504</Words>
  <Characters>85276</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100579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9</cp:revision>
  <cp:lastPrinted>2026-04-10T16:18:00Z</cp:lastPrinted>
  <dcterms:created xsi:type="dcterms:W3CDTF">2026-04-06T17:38:00Z</dcterms:created>
  <dcterms:modified xsi:type="dcterms:W3CDTF">2026-04-17T20:34:00Z</dcterms:modified>
</cp:coreProperties>
</file>