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649" w:rsidRDefault="008B4649">
      <w:pPr>
        <w:widowControl w:val="0"/>
        <w:pBdr>
          <w:top w:val="nil"/>
          <w:left w:val="nil"/>
          <w:bottom w:val="nil"/>
          <w:right w:val="nil"/>
          <w:between w:val="nil"/>
        </w:pBdr>
        <w:spacing w:line="276" w:lineRule="auto"/>
      </w:pPr>
    </w:p>
    <w:p w:rsidR="008B4649" w:rsidRDefault="007203B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bookmarkStart w:id="0" w:name="_GoBack"/>
      <w:bookmarkEnd w:id="0"/>
      <w:r>
        <w:rPr>
          <w:rFonts w:ascii="Palatino Linotype" w:eastAsia="Palatino Linotype" w:hAnsi="Palatino Linotype" w:cs="Palatino Linotype"/>
          <w:color w:val="000000"/>
          <w:sz w:val="22"/>
          <w:szCs w:val="22"/>
        </w:rPr>
        <w:t xml:space="preserve">Resolución del Pleno del Instituto de Transparencia, Acceso a la Información Pública y Protección de Datos Personales del Estado de México y Municipios, con domicilio en Metepec, Estado de México; de fecha </w:t>
      </w:r>
      <w:r w:rsidR="00561E62">
        <w:rPr>
          <w:rFonts w:ascii="Palatino Linotype" w:eastAsia="Palatino Linotype" w:hAnsi="Palatino Linotype" w:cs="Palatino Linotype"/>
          <w:b/>
          <w:bCs/>
          <w:color w:val="000000"/>
          <w:sz w:val="22"/>
          <w:szCs w:val="22"/>
        </w:rPr>
        <w:t>veinticinco</w:t>
      </w:r>
      <w:r>
        <w:rPr>
          <w:rFonts w:ascii="Palatino Linotype" w:eastAsia="Palatino Linotype" w:hAnsi="Palatino Linotype" w:cs="Palatino Linotype"/>
          <w:b/>
          <w:bCs/>
          <w:color w:val="000000"/>
          <w:sz w:val="22"/>
          <w:szCs w:val="22"/>
        </w:rPr>
        <w:t xml:space="preserve"> de marzo de dos mil veintiséis</w:t>
      </w:r>
      <w:r>
        <w:rPr>
          <w:rFonts w:ascii="Palatino Linotype" w:eastAsia="Palatino Linotype" w:hAnsi="Palatino Linotype" w:cs="Palatino Linotype"/>
          <w:color w:val="000000"/>
          <w:sz w:val="22"/>
          <w:szCs w:val="22"/>
        </w:rPr>
        <w:t>.</w:t>
      </w:r>
    </w:p>
    <w:p w:rsidR="008B4649" w:rsidRDefault="008B464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rsidR="008B4649" w:rsidRDefault="007203B0">
      <w:pPr>
        <w:pBdr>
          <w:top w:val="nil"/>
          <w:left w:val="nil"/>
          <w:bottom w:val="nil"/>
          <w:right w:val="nil"/>
          <w:between w:val="nil"/>
        </w:pBdr>
        <w:spacing w:line="360" w:lineRule="auto"/>
        <w:ind w:right="-787"/>
        <w:jc w:val="both"/>
        <w:rPr>
          <w:rFonts w:ascii="Palatino Linotype" w:eastAsia="Palatino Linotype" w:hAnsi="Palatino Linotype" w:cs="Palatino Linotype"/>
          <w:b/>
          <w:bCs/>
          <w:color w:val="000000"/>
          <w:sz w:val="22"/>
          <w:szCs w:val="22"/>
        </w:rPr>
      </w:pPr>
      <w:bookmarkStart w:id="1" w:name="_heading=h.gjdgxs" w:colFirst="0" w:colLast="0"/>
      <w:bookmarkEnd w:id="1"/>
      <w:r>
        <w:rPr>
          <w:rFonts w:ascii="Palatino Linotype" w:eastAsia="Palatino Linotype" w:hAnsi="Palatino Linotype" w:cs="Palatino Linotype"/>
          <w:color w:val="000000"/>
          <w:sz w:val="22"/>
          <w:szCs w:val="22"/>
        </w:rPr>
        <w:t xml:space="preserve">VISTO el expediente electrónico formado con motivo del Recurso de Revisión                                      </w:t>
      </w:r>
      <w:r>
        <w:rPr>
          <w:rFonts w:ascii="Palatino Linotype" w:eastAsia="Palatino Linotype" w:hAnsi="Palatino Linotype" w:cs="Palatino Linotype"/>
          <w:b/>
          <w:bCs/>
          <w:color w:val="000000"/>
          <w:sz w:val="22"/>
          <w:szCs w:val="22"/>
        </w:rPr>
        <w:t xml:space="preserve">10103/INFOEM/IP/RR/2025 </w:t>
      </w:r>
      <w:r>
        <w:rPr>
          <w:rFonts w:ascii="Palatino Linotype" w:eastAsia="Palatino Linotype" w:hAnsi="Palatino Linotype" w:cs="Palatino Linotype"/>
          <w:color w:val="000000"/>
          <w:sz w:val="22"/>
          <w:szCs w:val="22"/>
        </w:rPr>
        <w:t xml:space="preserve">promovido por </w:t>
      </w:r>
      <w:r w:rsidR="001653A2">
        <w:rPr>
          <w:rFonts w:ascii="Palatino Linotype" w:eastAsia="Palatino Linotype" w:hAnsi="Palatino Linotype" w:cs="Palatino Linotype"/>
          <w:b/>
          <w:bCs/>
          <w:sz w:val="22"/>
          <w:szCs w:val="22"/>
        </w:rPr>
        <w:t>XXXX</w:t>
      </w:r>
      <w:r>
        <w:rPr>
          <w:rFonts w:ascii="Palatino Linotype" w:eastAsia="Palatino Linotype" w:hAnsi="Palatino Linotype" w:cs="Palatino Linotype"/>
          <w:color w:val="000000"/>
          <w:sz w:val="22"/>
          <w:szCs w:val="22"/>
        </w:rPr>
        <w:t xml:space="preserve">, a través del Sistema de Acceso a la Información Mexiquense (SAIMEX), a quien en lo sucesivo se le identificará como </w:t>
      </w:r>
      <w:r>
        <w:rPr>
          <w:rFonts w:ascii="Palatino Linotype" w:eastAsia="Palatino Linotype" w:hAnsi="Palatino Linotype" w:cs="Palatino Linotype"/>
          <w:b/>
          <w:bCs/>
          <w:color w:val="000000"/>
          <w:sz w:val="22"/>
          <w:szCs w:val="22"/>
        </w:rPr>
        <w:t>EL RECURRENTE</w:t>
      </w:r>
      <w:r>
        <w:rPr>
          <w:rFonts w:ascii="Palatino Linotype" w:eastAsia="Palatino Linotype" w:hAnsi="Palatino Linotype" w:cs="Palatino Linotype"/>
          <w:color w:val="000000"/>
          <w:sz w:val="22"/>
          <w:szCs w:val="22"/>
        </w:rPr>
        <w:t xml:space="preserve">, en contra de las respuestas del </w:t>
      </w:r>
      <w:r>
        <w:rPr>
          <w:rFonts w:ascii="Palatino Linotype" w:eastAsia="Palatino Linotype" w:hAnsi="Palatino Linotype" w:cs="Palatino Linotype"/>
          <w:b/>
          <w:bCs/>
          <w:color w:val="000000"/>
          <w:sz w:val="22"/>
          <w:szCs w:val="22"/>
        </w:rPr>
        <w:t>Ayuntamiento de Teoloyucan</w:t>
      </w:r>
      <w:r>
        <w:rPr>
          <w:rFonts w:ascii="Palatino Linotype" w:eastAsia="Palatino Linotype" w:hAnsi="Palatino Linotype" w:cs="Palatino Linotype"/>
          <w:color w:val="000000"/>
          <w:sz w:val="22"/>
          <w:szCs w:val="22"/>
        </w:rPr>
        <w:t xml:space="preserve">, en </w:t>
      </w:r>
      <w:r>
        <w:rPr>
          <w:rFonts w:ascii="Palatino Linotype" w:eastAsia="Palatino Linotype" w:hAnsi="Palatino Linotype" w:cs="Palatino Linotype"/>
          <w:sz w:val="22"/>
          <w:szCs w:val="22"/>
        </w:rPr>
        <w:t>adelante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color w:val="000000"/>
          <w:sz w:val="22"/>
          <w:szCs w:val="22"/>
        </w:rPr>
        <w:t>EL SUJETO OBLIGADO</w:t>
      </w:r>
      <w:r>
        <w:rPr>
          <w:rFonts w:ascii="Palatino Linotype" w:eastAsia="Palatino Linotype" w:hAnsi="Palatino Linotype" w:cs="Palatino Linotype"/>
          <w:color w:val="000000"/>
          <w:sz w:val="22"/>
          <w:szCs w:val="22"/>
        </w:rPr>
        <w:t>, se procede a dictar la presente resolución, con base en los siguientes:</w:t>
      </w:r>
    </w:p>
    <w:p w:rsidR="008B4649" w:rsidRDefault="008B464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rsidR="008B4649" w:rsidRDefault="007203B0">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 N T E C E D E N T E S</w:t>
      </w:r>
    </w:p>
    <w:p w:rsidR="008B4649" w:rsidRDefault="008B4649">
      <w:pPr>
        <w:spacing w:line="360" w:lineRule="auto"/>
        <w:ind w:right="-787"/>
        <w:rPr>
          <w:rFonts w:ascii="Palatino Linotype" w:eastAsia="Palatino Linotype" w:hAnsi="Palatino Linotype" w:cs="Palatino Linotype"/>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i/>
          <w:iCs/>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nueve de julio de dos mil veinticinco, </w:t>
      </w:r>
      <w:r>
        <w:rPr>
          <w:rFonts w:ascii="Palatino Linotype" w:eastAsia="Palatino Linotype" w:hAnsi="Palatino Linotype" w:cs="Palatino Linotype"/>
          <w:color w:val="000000"/>
          <w:sz w:val="22"/>
          <w:szCs w:val="22"/>
        </w:rPr>
        <w:t xml:space="preserve">el solicitante </w:t>
      </w:r>
      <w:r>
        <w:rPr>
          <w:rFonts w:ascii="Palatino Linotype" w:eastAsia="Palatino Linotype" w:hAnsi="Palatino Linotype" w:cs="Palatino Linotype"/>
          <w:sz w:val="22"/>
          <w:szCs w:val="22"/>
        </w:rPr>
        <w:t>ingresó</w:t>
      </w:r>
      <w:r>
        <w:rPr>
          <w:rFonts w:ascii="Palatino Linotype" w:eastAsia="Palatino Linotype" w:hAnsi="Palatino Linotype" w:cs="Palatino Linotype"/>
          <w:color w:val="000000"/>
          <w:sz w:val="22"/>
          <w:szCs w:val="22"/>
        </w:rPr>
        <w:t xml:space="preserve"> la solicitud de información, que quedó registrada con el número </w:t>
      </w:r>
      <w:r>
        <w:rPr>
          <w:rFonts w:ascii="Palatino Linotype" w:eastAsia="Palatino Linotype" w:hAnsi="Palatino Linotype" w:cs="Palatino Linotype"/>
          <w:b/>
          <w:bCs/>
          <w:color w:val="000000"/>
          <w:sz w:val="22"/>
          <w:szCs w:val="22"/>
        </w:rPr>
        <w:t>00900/TEOLOYU/IP/2025</w:t>
      </w:r>
      <w:r>
        <w:rPr>
          <w:rFonts w:ascii="Palatino Linotype" w:eastAsia="Palatino Linotype" w:hAnsi="Palatino Linotype" w:cs="Palatino Linotype"/>
          <w:color w:val="000000"/>
          <w:sz w:val="22"/>
          <w:szCs w:val="22"/>
        </w:rPr>
        <w:t xml:space="preserve">, la solicitud de información consistió en obtener la siguiente información. </w:t>
      </w:r>
    </w:p>
    <w:p w:rsidR="008B4649" w:rsidRDefault="008B4649">
      <w:pPr>
        <w:pBdr>
          <w:top w:val="nil"/>
          <w:left w:val="nil"/>
          <w:bottom w:val="nil"/>
          <w:right w:val="nil"/>
          <w:between w:val="nil"/>
        </w:pBdr>
        <w:spacing w:line="360" w:lineRule="auto"/>
        <w:ind w:right="-787"/>
        <w:jc w:val="both"/>
        <w:rPr>
          <w:rFonts w:ascii="Palatino Linotype" w:eastAsia="Palatino Linotype" w:hAnsi="Palatino Linotype" w:cs="Palatino Linotype"/>
          <w:i/>
          <w:iCs/>
          <w:sz w:val="22"/>
          <w:szCs w:val="22"/>
        </w:rPr>
      </w:pPr>
    </w:p>
    <w:p w:rsidR="008B4649" w:rsidRDefault="007203B0">
      <w:pPr>
        <w:pBdr>
          <w:top w:val="nil"/>
          <w:left w:val="nil"/>
          <w:bottom w:val="nil"/>
          <w:right w:val="nil"/>
          <w:between w:val="nil"/>
        </w:pBdr>
        <w:ind w:left="1134" w:right="27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“Solicitud de información pública – Techo presupuestal, aplicación de recursos y nómina de Regidurías y Sindicatura del Ayuntamiento de Teoloyucan.”</w:t>
      </w:r>
    </w:p>
    <w:p w:rsidR="008B4649" w:rsidRDefault="008B4649">
      <w:pPr>
        <w:pBdr>
          <w:top w:val="nil"/>
          <w:left w:val="nil"/>
          <w:bottom w:val="nil"/>
          <w:right w:val="nil"/>
          <w:between w:val="nil"/>
        </w:pBdr>
        <w:spacing w:line="360" w:lineRule="auto"/>
        <w:ind w:left="1134" w:right="-787"/>
        <w:jc w:val="both"/>
        <w:rPr>
          <w:rFonts w:ascii="Palatino Linotype" w:eastAsia="Palatino Linotype" w:hAnsi="Palatino Linotype" w:cs="Palatino Linotype"/>
          <w:i/>
          <w:iCs/>
          <w:sz w:val="22"/>
          <w:szCs w:val="22"/>
        </w:rPr>
      </w:pPr>
    </w:p>
    <w:p w:rsidR="008B4649" w:rsidRDefault="007203B0">
      <w:pPr>
        <w:numPr>
          <w:ilvl w:val="0"/>
          <w:numId w:val="1"/>
        </w:numPr>
        <w:pBdr>
          <w:top w:val="nil"/>
          <w:left w:val="nil"/>
          <w:bottom w:val="nil"/>
          <w:right w:val="nil"/>
          <w:between w:val="nil"/>
        </w:pBdr>
        <w:spacing w:line="360" w:lineRule="auto"/>
        <w:ind w:left="709" w:right="-78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Modalidad de entrega</w:t>
      </w:r>
      <w:r>
        <w:rPr>
          <w:rFonts w:ascii="Palatino Linotype" w:eastAsia="Palatino Linotype" w:hAnsi="Palatino Linotype" w:cs="Palatino Linotype"/>
          <w:color w:val="000000"/>
          <w:sz w:val="22"/>
          <w:szCs w:val="22"/>
        </w:rPr>
        <w:t>: Sistema de Acceso a la Información (SAIMEX)</w:t>
      </w:r>
    </w:p>
    <w:p w:rsidR="008B4649" w:rsidRDefault="008B4649">
      <w:pPr>
        <w:pBdr>
          <w:top w:val="nil"/>
          <w:left w:val="nil"/>
          <w:bottom w:val="nil"/>
          <w:right w:val="nil"/>
          <w:between w:val="nil"/>
        </w:pBdr>
        <w:ind w:right="-787"/>
        <w:jc w:val="both"/>
        <w:rPr>
          <w:rFonts w:ascii="Palatino Linotype" w:eastAsia="Palatino Linotype" w:hAnsi="Palatino Linotype" w:cs="Palatino Linotype"/>
          <w:i/>
          <w:iCs/>
          <w:color w:val="000000"/>
          <w:sz w:val="22"/>
          <w:szCs w:val="22"/>
        </w:rPr>
      </w:pPr>
    </w:p>
    <w:p w:rsidR="008B4649" w:rsidRDefault="008B4649">
      <w:pPr>
        <w:pBdr>
          <w:top w:val="nil"/>
          <w:left w:val="nil"/>
          <w:bottom w:val="nil"/>
          <w:right w:val="nil"/>
          <w:between w:val="nil"/>
        </w:pBdr>
        <w:ind w:left="1134" w:right="277"/>
        <w:jc w:val="both"/>
        <w:rPr>
          <w:rFonts w:ascii="Palatino Linotype" w:eastAsia="Palatino Linotype" w:hAnsi="Palatino Linotype" w:cs="Palatino Linotype"/>
          <w:i/>
          <w:iCs/>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Al momento de ingresar la solicitud de información el </w:t>
      </w:r>
      <w:r>
        <w:rPr>
          <w:rFonts w:ascii="Palatino Linotype" w:eastAsia="Palatino Linotype" w:hAnsi="Palatino Linotype" w:cs="Palatino Linotype"/>
          <w:b/>
          <w:bCs/>
          <w:color w:val="000000"/>
          <w:sz w:val="22"/>
          <w:szCs w:val="22"/>
        </w:rPr>
        <w:t xml:space="preserve">SOLICITANTE anexo el archivo electrónico TEOLOYUCAN.docx, </w:t>
      </w:r>
      <w:r>
        <w:rPr>
          <w:rFonts w:ascii="Palatino Linotype" w:eastAsia="Palatino Linotype" w:hAnsi="Palatino Linotype" w:cs="Palatino Linotype"/>
          <w:color w:val="000000"/>
          <w:sz w:val="22"/>
          <w:szCs w:val="22"/>
        </w:rPr>
        <w:t xml:space="preserve">cuyo contenido es el siguiente. </w:t>
      </w:r>
    </w:p>
    <w:p w:rsidR="008B4649" w:rsidRDefault="007203B0">
      <w:pPr>
        <w:pStyle w:val="Ttulo1"/>
        <w:ind w:left="1134" w:right="27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lastRenderedPageBreak/>
        <w:t>Solicitud de Información Pública</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Asunto: Solicitud de información pública – Techo presupuestal, aplicación de recursos y nómina de Regidurías y Sindicatura del Ayuntamiento de Teoloyucan</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 QUIEN CORRESPONDA:</w:t>
      </w:r>
      <w:r>
        <w:rPr>
          <w:rFonts w:ascii="Palatino Linotype" w:eastAsia="Palatino Linotype" w:hAnsi="Palatino Linotype" w:cs="Palatino Linotype"/>
          <w:i/>
          <w:iCs/>
          <w:sz w:val="22"/>
          <w:szCs w:val="22"/>
        </w:rPr>
        <w:br/>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Con fundamento en los artículos 1, 4, 5, 8, 10, 11, 27 y demás relativos y aplicables de la Ley de Transparencia y Acceso a la Información Pública del Estado de México y Municipios, y en ejercicio de mi derecho como ciudadano a conocer el manejo de los recursos públicos, me permito realizar la siguiente:</w:t>
      </w:r>
    </w:p>
    <w:p w:rsidR="008B4649" w:rsidRDefault="007203B0">
      <w:pPr>
        <w:pStyle w:val="Ttulo2"/>
        <w:ind w:left="1134" w:right="27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SOLICITUD DE INFORMACIÓN:</w:t>
      </w:r>
    </w:p>
    <w:p w:rsidR="008B4649" w:rsidRDefault="007203B0">
      <w:pPr>
        <w:pBdr>
          <w:top w:val="nil"/>
          <w:left w:val="nil"/>
          <w:bottom w:val="nil"/>
          <w:right w:val="nil"/>
          <w:between w:val="nil"/>
        </w:pBdr>
        <w:spacing w:line="276" w:lineRule="auto"/>
        <w:ind w:left="1134" w:right="277" w:hanging="3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1. Techo presupuestal asignado a cada una de las siete Regidurías y la Sindicatura del Ayuntamiento de Teoloyucan, Estado de México, correspondiente al periodo comprendido del 1 de enero al 31 de julio de 2025 (o del periodo que comprenda los primeros 7 meses de la actual administración municipal).</w:t>
      </w:r>
    </w:p>
    <w:p w:rsidR="008B4649" w:rsidRDefault="007203B0">
      <w:pPr>
        <w:pBdr>
          <w:top w:val="nil"/>
          <w:left w:val="nil"/>
          <w:bottom w:val="nil"/>
          <w:right w:val="nil"/>
          <w:between w:val="nil"/>
        </w:pBdr>
        <w:spacing w:line="276" w:lineRule="auto"/>
        <w:ind w:left="1134" w:right="277" w:hanging="3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2. Informe detallado de la aplicación de dichos recursos en cada Regiduría y la Sindicatura durante ese mismo periodo. Se solicita que se desglose por tipo de gasto (nómina, operativos, materiales, viáticos, etc.).</w:t>
      </w:r>
    </w:p>
    <w:p w:rsidR="008B4649" w:rsidRDefault="007203B0">
      <w:pPr>
        <w:pBdr>
          <w:top w:val="nil"/>
          <w:left w:val="nil"/>
          <w:bottom w:val="nil"/>
          <w:right w:val="nil"/>
          <w:between w:val="nil"/>
        </w:pBdr>
        <w:spacing w:after="200" w:line="276" w:lineRule="auto"/>
        <w:ind w:left="1134" w:right="277" w:hanging="36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3. Nombre completo, puesto o cargo, fecha de alta, sueldo bruto y sueldo neto (antes y después de impuestos) de cada uno de los integrantes de las siete Regidurías y la Sindicatura. Esto incluye personal administrativo, asesores, auxiliares, choferes, etc., que laboren directamente bajo cada figura edilicia.</w:t>
      </w:r>
    </w:p>
    <w:p w:rsidR="008B4649" w:rsidRDefault="007203B0">
      <w:pPr>
        <w:pStyle w:val="Ttulo2"/>
        <w:ind w:left="1134" w:right="27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FUNDAMENTACIÓN:</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Esta solicitud se basa en el principio de máxima publicidad consagrado en la legislación en materia de transparencia y en el derecho de la ciudadanía a conocer el destino y ejercicio de los recursos públicos que provienen del erario.</w:t>
      </w:r>
      <w:r>
        <w:rPr>
          <w:rFonts w:ascii="Palatino Linotype" w:eastAsia="Palatino Linotype" w:hAnsi="Palatino Linotype" w:cs="Palatino Linotype"/>
          <w:i/>
          <w:iCs/>
          <w:sz w:val="22"/>
          <w:szCs w:val="22"/>
        </w:rPr>
        <w:br/>
      </w:r>
      <w:r>
        <w:rPr>
          <w:rFonts w:ascii="Palatino Linotype" w:eastAsia="Palatino Linotype" w:hAnsi="Palatino Linotype" w:cs="Palatino Linotype"/>
          <w:i/>
          <w:iCs/>
          <w:sz w:val="22"/>
          <w:szCs w:val="22"/>
        </w:rPr>
        <w:br/>
        <w:t>Asimismo, el artículo 11 de la Ley citada establece que toda la información en posesión de los sujetos obligados es pública y accesible a cualquier persona, salvo las excepciones que marca la ley, las cuales en este caso no aplican por tratarse de recursos públicos, información presupuestal y nómina, que deben estar disponibles de manera abierta, clara y verificable para promover la rendición de cuentas.</w:t>
      </w:r>
      <w:r>
        <w:rPr>
          <w:rFonts w:ascii="Palatino Linotype" w:eastAsia="Palatino Linotype" w:hAnsi="Palatino Linotype" w:cs="Palatino Linotype"/>
          <w:i/>
          <w:iCs/>
          <w:sz w:val="22"/>
          <w:szCs w:val="22"/>
        </w:rPr>
        <w:br/>
      </w:r>
      <w:r>
        <w:rPr>
          <w:rFonts w:ascii="Palatino Linotype" w:eastAsia="Palatino Linotype" w:hAnsi="Palatino Linotype" w:cs="Palatino Linotype"/>
          <w:i/>
          <w:iCs/>
          <w:sz w:val="22"/>
          <w:szCs w:val="22"/>
        </w:rPr>
        <w:br/>
      </w:r>
      <w:r>
        <w:rPr>
          <w:rFonts w:ascii="Palatino Linotype" w:eastAsia="Palatino Linotype" w:hAnsi="Palatino Linotype" w:cs="Palatino Linotype"/>
          <w:i/>
          <w:iCs/>
          <w:sz w:val="22"/>
          <w:szCs w:val="22"/>
        </w:rPr>
        <w:lastRenderedPageBreak/>
        <w:t>El objetivo de esta solicitud es contribuir al seguimiento del correcto uso del presupuesto asignado al Ayuntamiento de Teoloyucan y asegurar que los recursos públicos se administren con eficiencia, transparencia y responsabilidad.</w:t>
      </w:r>
    </w:p>
    <w:p w:rsidR="008B4649" w:rsidRDefault="007203B0">
      <w:pPr>
        <w:pStyle w:val="Ttulo2"/>
        <w:ind w:left="1134" w:right="27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FORMA DE ENTREGA:</w:t>
      </w:r>
    </w:p>
    <w:p w:rsidR="008B4649" w:rsidRDefault="007203B0">
      <w:pPr>
        <w:ind w:left="1134" w:right="27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Solicito que la información me sea entregada de forma electrónica, a través de esta misma plataforma (IPOMEX) en formato Excel o PDF legible, para facilitar su análisis.</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Agradezco de antemano su atención y colaboración para hacer valer el derecho ciudadano a la transparencia.</w:t>
      </w:r>
    </w:p>
    <w:p w:rsidR="008B4649" w:rsidRDefault="008B4649">
      <w:pPr>
        <w:rPr>
          <w:sz w:val="22"/>
          <w:szCs w:val="22"/>
        </w:rPr>
      </w:pPr>
    </w:p>
    <w:p w:rsidR="008B4649" w:rsidRDefault="008B464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nueve de julio de dos mil veinticinco,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giro el requerimiento de información para que fuera atendida la solicitud de información </w:t>
      </w:r>
      <w:r>
        <w:rPr>
          <w:rFonts w:ascii="Palatino Linotype" w:eastAsia="Palatino Linotype" w:hAnsi="Palatino Linotype" w:cs="Palatino Linotype"/>
          <w:b/>
          <w:bCs/>
          <w:color w:val="000000"/>
          <w:sz w:val="22"/>
          <w:szCs w:val="22"/>
        </w:rPr>
        <w:t xml:space="preserve">00900/TEOLOYU/IP/2025. </w:t>
      </w:r>
    </w:p>
    <w:p w:rsidR="008B4649" w:rsidRDefault="008B4649">
      <w:pPr>
        <w:rPr>
          <w:rFonts w:ascii="Palatino Linotype" w:eastAsia="Palatino Linotype" w:hAnsi="Palatino Linotype" w:cs="Palatino Linotype"/>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diecisiete de julio de dos mil veinticinco,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emitió la solicitud de aclaración, en la cual se señaló lo siguiente. </w:t>
      </w:r>
    </w:p>
    <w:p w:rsidR="008B4649" w:rsidRDefault="008B4649">
      <w:pPr>
        <w:pBdr>
          <w:top w:val="nil"/>
          <w:left w:val="nil"/>
          <w:bottom w:val="nil"/>
          <w:right w:val="nil"/>
          <w:between w:val="nil"/>
        </w:pBdr>
        <w:ind w:left="720"/>
        <w:jc w:val="both"/>
        <w:rPr>
          <w:rFonts w:ascii="Palatino Linotype" w:eastAsia="Palatino Linotype" w:hAnsi="Palatino Linotype" w:cs="Palatino Linotype"/>
          <w:color w:val="000000"/>
          <w:sz w:val="22"/>
          <w:szCs w:val="22"/>
        </w:rPr>
      </w:pPr>
    </w:p>
    <w:tbl>
      <w:tblPr>
        <w:tblStyle w:val="a"/>
        <w:tblW w:w="10500" w:type="dxa"/>
        <w:jc w:val="center"/>
        <w:tblInd w:w="0" w:type="dxa"/>
        <w:tblLayout w:type="fixed"/>
        <w:tblLook w:val="0400" w:firstRow="0" w:lastRow="0" w:firstColumn="0" w:lastColumn="0" w:noHBand="0" w:noVBand="1"/>
      </w:tblPr>
      <w:tblGrid>
        <w:gridCol w:w="10500"/>
      </w:tblGrid>
      <w:tr w:rsidR="008B4649">
        <w:trPr>
          <w:trHeight w:val="150"/>
          <w:jc w:val="center"/>
        </w:trPr>
        <w:tc>
          <w:tcPr>
            <w:tcW w:w="10500" w:type="dxa"/>
            <w:vAlign w:val="center"/>
          </w:tcPr>
          <w:p w:rsidR="008B4649" w:rsidRDefault="007203B0">
            <w:pPr>
              <w:ind w:left="1133"/>
              <w:jc w:val="both"/>
              <w:rPr>
                <w:sz w:val="20"/>
                <w:szCs w:val="20"/>
              </w:rPr>
            </w:pPr>
            <w:r>
              <w:rPr>
                <w:rFonts w:ascii="Verdana" w:eastAsia="Verdana" w:hAnsi="Verdana" w:cs="Verdana"/>
                <w:sz w:val="20"/>
                <w:szCs w:val="20"/>
              </w:rPr>
              <w:t>Con fundamento en el artículo 159 de la Ley de Transparencia y Acceso a la Información Pública del Estado de México y Municipios, se le requiere para que dentro del plazo de diez días hábiles realice lo siguiente:</w:t>
            </w:r>
          </w:p>
        </w:tc>
      </w:tr>
      <w:tr w:rsidR="008B4649">
        <w:trPr>
          <w:trHeight w:val="375"/>
          <w:jc w:val="center"/>
        </w:trPr>
        <w:tc>
          <w:tcPr>
            <w:tcW w:w="10500" w:type="dxa"/>
            <w:vAlign w:val="center"/>
          </w:tcPr>
          <w:p w:rsidR="008B4649" w:rsidRDefault="008B4649">
            <w:pPr>
              <w:ind w:left="1133"/>
              <w:jc w:val="both"/>
              <w:rPr>
                <w:sz w:val="20"/>
                <w:szCs w:val="20"/>
              </w:rPr>
            </w:pPr>
          </w:p>
        </w:tc>
      </w:tr>
      <w:tr w:rsidR="008B4649">
        <w:trPr>
          <w:trHeight w:val="150"/>
          <w:jc w:val="center"/>
        </w:trPr>
        <w:tc>
          <w:tcPr>
            <w:tcW w:w="10500" w:type="dxa"/>
            <w:vAlign w:val="center"/>
          </w:tcPr>
          <w:p w:rsidR="008B4649" w:rsidRDefault="007203B0">
            <w:pPr>
              <w:ind w:left="1133"/>
              <w:jc w:val="both"/>
              <w:rPr>
                <w:sz w:val="20"/>
                <w:szCs w:val="20"/>
              </w:rPr>
            </w:pPr>
            <w:r>
              <w:rPr>
                <w:rFonts w:ascii="Verdana" w:eastAsia="Verdana" w:hAnsi="Verdana" w:cs="Verdana"/>
                <w:sz w:val="20"/>
                <w:szCs w:val="20"/>
              </w:rPr>
              <w:t>El servidor público habilitado requiere que aclare el periodo respecto del cual requiere la información solicitada.</w:t>
            </w:r>
          </w:p>
        </w:tc>
      </w:tr>
      <w:tr w:rsidR="008B4649">
        <w:trPr>
          <w:trHeight w:val="375"/>
          <w:jc w:val="center"/>
        </w:trPr>
        <w:tc>
          <w:tcPr>
            <w:tcW w:w="10500" w:type="dxa"/>
            <w:vAlign w:val="center"/>
          </w:tcPr>
          <w:p w:rsidR="008B4649" w:rsidRDefault="008B4649">
            <w:pPr>
              <w:ind w:left="1133"/>
              <w:jc w:val="both"/>
              <w:rPr>
                <w:sz w:val="20"/>
                <w:szCs w:val="20"/>
              </w:rPr>
            </w:pPr>
          </w:p>
        </w:tc>
      </w:tr>
      <w:tr w:rsidR="008B4649">
        <w:trPr>
          <w:trHeight w:val="150"/>
          <w:jc w:val="center"/>
        </w:trPr>
        <w:tc>
          <w:tcPr>
            <w:tcW w:w="10500" w:type="dxa"/>
            <w:vAlign w:val="center"/>
          </w:tcPr>
          <w:p w:rsidR="008B4649" w:rsidRDefault="007203B0">
            <w:pPr>
              <w:ind w:left="1133"/>
              <w:jc w:val="both"/>
              <w:rPr>
                <w:sz w:val="20"/>
                <w:szCs w:val="20"/>
              </w:rPr>
            </w:pPr>
            <w:r>
              <w:rPr>
                <w:rFonts w:ascii="Verdana" w:eastAsia="Verdana" w:hAnsi="Verdana" w:cs="Verdana"/>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tc>
      </w:tr>
      <w:tr w:rsidR="008B4649">
        <w:trPr>
          <w:trHeight w:val="150"/>
          <w:jc w:val="center"/>
        </w:trPr>
        <w:tc>
          <w:tcPr>
            <w:tcW w:w="10500" w:type="dxa"/>
            <w:vAlign w:val="center"/>
          </w:tcPr>
          <w:p w:rsidR="008B4649" w:rsidRDefault="008B4649">
            <w:pPr>
              <w:jc w:val="both"/>
              <w:rPr>
                <w:sz w:val="22"/>
                <w:szCs w:val="22"/>
              </w:rPr>
            </w:pPr>
          </w:p>
        </w:tc>
      </w:tr>
    </w:tbl>
    <w:p w:rsidR="008B4649" w:rsidRDefault="008B464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rsidR="008B4649" w:rsidRDefault="008B4649">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diecisiete de julio de dos mil veinticinco,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SOLICITANTE </w:t>
      </w:r>
      <w:r>
        <w:rPr>
          <w:rFonts w:ascii="Palatino Linotype" w:eastAsia="Palatino Linotype" w:hAnsi="Palatino Linotype" w:cs="Palatino Linotype"/>
          <w:color w:val="000000"/>
          <w:sz w:val="22"/>
          <w:szCs w:val="22"/>
        </w:rPr>
        <w:t xml:space="preserve">atendió la aclaración manifestando lo siguiente. </w:t>
      </w:r>
    </w:p>
    <w:p w:rsidR="008B4649" w:rsidRDefault="008B4649">
      <w:pPr>
        <w:rPr>
          <w:sz w:val="22"/>
          <w:szCs w:val="22"/>
        </w:rPr>
      </w:pPr>
    </w:p>
    <w:tbl>
      <w:tblPr>
        <w:tblStyle w:val="a0"/>
        <w:tblW w:w="10410" w:type="dxa"/>
        <w:jc w:val="center"/>
        <w:tblInd w:w="0" w:type="dxa"/>
        <w:tblLayout w:type="fixed"/>
        <w:tblLook w:val="0400" w:firstRow="0" w:lastRow="0" w:firstColumn="0" w:lastColumn="0" w:noHBand="0" w:noVBand="1"/>
      </w:tblPr>
      <w:tblGrid>
        <w:gridCol w:w="10410"/>
      </w:tblGrid>
      <w:tr w:rsidR="008B4649">
        <w:trPr>
          <w:jc w:val="center"/>
        </w:trPr>
        <w:tc>
          <w:tcPr>
            <w:tcW w:w="10410" w:type="dxa"/>
            <w:vAlign w:val="center"/>
          </w:tcPr>
          <w:p w:rsidR="008B4649" w:rsidRDefault="007203B0">
            <w:pPr>
              <w:ind w:left="2267"/>
              <w:rPr>
                <w:sz w:val="20"/>
                <w:szCs w:val="20"/>
              </w:rPr>
            </w:pPr>
            <w:r>
              <w:rPr>
                <w:sz w:val="20"/>
                <w:szCs w:val="20"/>
              </w:rPr>
              <w:t> </w:t>
            </w:r>
          </w:p>
        </w:tc>
      </w:tr>
      <w:tr w:rsidR="008B4649">
        <w:trPr>
          <w:jc w:val="center"/>
        </w:trPr>
        <w:tc>
          <w:tcPr>
            <w:tcW w:w="10410" w:type="dxa"/>
            <w:vAlign w:val="center"/>
          </w:tcPr>
          <w:p w:rsidR="008B4649" w:rsidRDefault="007203B0">
            <w:pPr>
              <w:ind w:left="2267"/>
              <w:rPr>
                <w:sz w:val="20"/>
                <w:szCs w:val="20"/>
              </w:rPr>
            </w:pPr>
            <w:r>
              <w:rPr>
                <w:rFonts w:ascii="Verdana" w:eastAsia="Verdana" w:hAnsi="Verdana" w:cs="Verdana"/>
                <w:sz w:val="20"/>
                <w:szCs w:val="20"/>
              </w:rPr>
              <w:t>ES DE MANIFESTARSE QUE DICHO PERIODO SE CAPTURO EN EL DOCUEMNTO ADJUNTO A LA SOLICITUD, DOCUMENTO DENOMINADO "TEOLOYUCAN", EN EL MISMO VIENE SEÑALADO EL PERIODO DE TAL REQUERIMIENTO !!!!</w:t>
            </w:r>
          </w:p>
        </w:tc>
      </w:tr>
    </w:tbl>
    <w:p w:rsidR="008B4649" w:rsidRDefault="008B4649">
      <w:pPr>
        <w:rPr>
          <w:sz w:val="22"/>
          <w:szCs w:val="22"/>
        </w:rPr>
      </w:pPr>
    </w:p>
    <w:tbl>
      <w:tblPr>
        <w:tblStyle w:val="a1"/>
        <w:tblW w:w="10500" w:type="dxa"/>
        <w:jc w:val="center"/>
        <w:tblInd w:w="0" w:type="dxa"/>
        <w:tblLayout w:type="fixed"/>
        <w:tblLook w:val="0400" w:firstRow="0" w:lastRow="0" w:firstColumn="0" w:lastColumn="0" w:noHBand="0" w:noVBand="1"/>
      </w:tblPr>
      <w:tblGrid>
        <w:gridCol w:w="10500"/>
      </w:tblGrid>
      <w:tr w:rsidR="008B4649">
        <w:trPr>
          <w:jc w:val="center"/>
        </w:trPr>
        <w:tc>
          <w:tcPr>
            <w:tcW w:w="10500" w:type="dxa"/>
            <w:vAlign w:val="center"/>
          </w:tcPr>
          <w:p w:rsidR="008B4649" w:rsidRDefault="008B4649">
            <w:pPr>
              <w:rPr>
                <w:sz w:val="22"/>
                <w:szCs w:val="22"/>
              </w:rPr>
            </w:pPr>
          </w:p>
        </w:tc>
      </w:tr>
      <w:tr w:rsidR="008B4649">
        <w:trPr>
          <w:jc w:val="center"/>
        </w:trPr>
        <w:tc>
          <w:tcPr>
            <w:tcW w:w="10500" w:type="dxa"/>
            <w:vAlign w:val="center"/>
          </w:tcPr>
          <w:p w:rsidR="008B4649" w:rsidRDefault="008B4649">
            <w:pPr>
              <w:rPr>
                <w:sz w:val="22"/>
                <w:szCs w:val="22"/>
              </w:rPr>
            </w:pPr>
          </w:p>
        </w:tc>
      </w:tr>
    </w:tbl>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Al momento de realizar la aclaración el </w:t>
      </w:r>
      <w:r>
        <w:rPr>
          <w:rFonts w:ascii="Palatino Linotype" w:eastAsia="Palatino Linotype" w:hAnsi="Palatino Linotype" w:cs="Palatino Linotype"/>
          <w:b/>
          <w:bCs/>
          <w:color w:val="000000"/>
          <w:sz w:val="22"/>
          <w:szCs w:val="22"/>
        </w:rPr>
        <w:t xml:space="preserve">SOLICITANTE </w:t>
      </w:r>
      <w:r>
        <w:rPr>
          <w:rFonts w:ascii="Palatino Linotype" w:eastAsia="Palatino Linotype" w:hAnsi="Palatino Linotype" w:cs="Palatino Linotype"/>
          <w:color w:val="000000"/>
          <w:sz w:val="22"/>
          <w:szCs w:val="22"/>
        </w:rPr>
        <w:t xml:space="preserve">anexo los archivos electrónicos </w:t>
      </w:r>
      <w:r>
        <w:rPr>
          <w:rFonts w:ascii="Palatino Linotype" w:eastAsia="Palatino Linotype" w:hAnsi="Palatino Linotype" w:cs="Palatino Linotype"/>
          <w:b/>
          <w:bCs/>
          <w:color w:val="000000"/>
          <w:sz w:val="22"/>
          <w:szCs w:val="22"/>
        </w:rPr>
        <w:t xml:space="preserve">Captura de pantalla 2025-07-17 102438.png y TEOLOYUCAN (1).docx, </w:t>
      </w:r>
      <w:r>
        <w:rPr>
          <w:rFonts w:ascii="Palatino Linotype" w:eastAsia="Palatino Linotype" w:hAnsi="Palatino Linotype" w:cs="Palatino Linotype"/>
          <w:color w:val="000000"/>
          <w:sz w:val="22"/>
          <w:szCs w:val="22"/>
        </w:rPr>
        <w:t xml:space="preserve">los cuales contienen la solicitud inicial. </w:t>
      </w:r>
    </w:p>
    <w:p w:rsidR="008B4649" w:rsidRDefault="008B4649">
      <w:pPr>
        <w:pBdr>
          <w:top w:val="nil"/>
          <w:left w:val="nil"/>
          <w:bottom w:val="nil"/>
          <w:right w:val="nil"/>
          <w:between w:val="nil"/>
        </w:pBdr>
        <w:spacing w:line="360" w:lineRule="auto"/>
        <w:ind w:left="360" w:right="-787"/>
        <w:jc w:val="both"/>
        <w:rPr>
          <w:rFonts w:ascii="Palatino Linotype" w:eastAsia="Palatino Linotype" w:hAnsi="Palatino Linotype" w:cs="Palatino Linotype"/>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diecisiete de julio de dos mil veinticinco,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sz w:val="22"/>
          <w:szCs w:val="22"/>
        </w:rPr>
        <w:t>giró</w:t>
      </w:r>
      <w:r>
        <w:rPr>
          <w:rFonts w:ascii="Palatino Linotype" w:eastAsia="Palatino Linotype" w:hAnsi="Palatino Linotype" w:cs="Palatino Linotype"/>
          <w:color w:val="000000"/>
          <w:sz w:val="22"/>
          <w:szCs w:val="22"/>
        </w:rPr>
        <w:t xml:space="preserve"> nuevamente el requerimiento de información para que fuera atendida la solicitud de información </w:t>
      </w:r>
      <w:r>
        <w:rPr>
          <w:rFonts w:ascii="Palatino Linotype" w:eastAsia="Palatino Linotype" w:hAnsi="Palatino Linotype" w:cs="Palatino Linotype"/>
          <w:b/>
          <w:bCs/>
          <w:color w:val="000000"/>
          <w:sz w:val="22"/>
          <w:szCs w:val="22"/>
        </w:rPr>
        <w:t xml:space="preserve">00900/TEOLOYU/IP/2025. </w:t>
      </w:r>
    </w:p>
    <w:p w:rsidR="008B4649" w:rsidRDefault="008B4649">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veinticinco de agosto de dos mil veinticinco,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dio respuesta por medio de un archivo electrónico en formato pdf, cuyo contenido grosso modo es el siguiente. </w:t>
      </w:r>
    </w:p>
    <w:p w:rsidR="008B4649" w:rsidRDefault="007203B0">
      <w:pPr>
        <w:pBdr>
          <w:top w:val="nil"/>
          <w:left w:val="nil"/>
          <w:bottom w:val="nil"/>
          <w:right w:val="nil"/>
          <w:between w:val="nil"/>
        </w:pBdr>
        <w:ind w:left="1134" w:right="27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Solicitud 900.pdf: </w:t>
      </w:r>
      <w:r>
        <w:rPr>
          <w:rFonts w:ascii="Palatino Linotype" w:eastAsia="Palatino Linotype" w:hAnsi="Palatino Linotype" w:cs="Palatino Linotype"/>
          <w:i/>
          <w:iCs/>
          <w:color w:val="000000"/>
          <w:sz w:val="22"/>
          <w:szCs w:val="22"/>
        </w:rPr>
        <w:t xml:space="preserve">oficio de la Dirección de Administración, mediante el cual entrega una tabla que contiene el nombre, categoría, departamento y sueldo bruto y neto mensual, del personal adscrito a la sindicatura y regidurías.   </w:t>
      </w:r>
    </w:p>
    <w:p w:rsidR="008B4649" w:rsidRDefault="008B4649">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veintisiete de agosto de dos mil veinticinco</w:t>
      </w:r>
      <w:r>
        <w:rPr>
          <w:rFonts w:ascii="Palatino Linotype" w:eastAsia="Palatino Linotype" w:hAnsi="Palatino Linotype" w:cs="Palatino Linotype"/>
          <w:color w:val="000000"/>
          <w:sz w:val="22"/>
          <w:szCs w:val="22"/>
        </w:rPr>
        <w:t xml:space="preserve">, el solicitante interpuso recurso de revisión en contra de la respuesta emitida por 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señalando las siguientes razones o motivos de inconformidad:</w:t>
      </w:r>
    </w:p>
    <w:p w:rsidR="008B4649" w:rsidRDefault="007203B0">
      <w:pPr>
        <w:numPr>
          <w:ilvl w:val="0"/>
          <w:numId w:val="6"/>
        </w:numPr>
        <w:pBdr>
          <w:top w:val="nil"/>
          <w:left w:val="nil"/>
          <w:bottom w:val="nil"/>
          <w:right w:val="nil"/>
          <w:between w:val="nil"/>
        </w:pBdr>
        <w:ind w:left="1134" w:right="277" w:firstLine="0"/>
        <w:jc w:val="both"/>
        <w:rPr>
          <w:rFonts w:ascii="Palatino Linotype" w:eastAsia="Palatino Linotype" w:hAnsi="Palatino Linotype" w:cs="Palatino Linotype"/>
          <w:color w:val="000000"/>
          <w:sz w:val="22"/>
          <w:szCs w:val="22"/>
        </w:rPr>
      </w:pPr>
      <w:bookmarkStart w:id="2" w:name="_heading=h.1fob9te" w:colFirst="0" w:colLast="0"/>
      <w:bookmarkEnd w:id="2"/>
      <w:r>
        <w:rPr>
          <w:rFonts w:ascii="Palatino Linotype" w:eastAsia="Palatino Linotype" w:hAnsi="Palatino Linotype" w:cs="Palatino Linotype"/>
          <w:b/>
          <w:bCs/>
          <w:color w:val="000000"/>
          <w:sz w:val="22"/>
          <w:szCs w:val="22"/>
        </w:rPr>
        <w:t xml:space="preserve">Acto impugnado: </w:t>
      </w:r>
      <w:r>
        <w:rPr>
          <w:rFonts w:ascii="Palatino Linotype" w:eastAsia="Palatino Linotype" w:hAnsi="Palatino Linotype" w:cs="Palatino Linotype"/>
          <w:i/>
          <w:iCs/>
          <w:color w:val="000000"/>
          <w:sz w:val="22"/>
          <w:szCs w:val="22"/>
        </w:rPr>
        <w:t>“el sujeto obligado entregó únicamente un listado de nómina de la Sindicatura y de las regidurías, omitiendo proporcionar el techo presupuestal solicitado..”</w:t>
      </w:r>
    </w:p>
    <w:p w:rsidR="008B4649" w:rsidRDefault="008B4649">
      <w:pPr>
        <w:pBdr>
          <w:top w:val="nil"/>
          <w:left w:val="nil"/>
          <w:bottom w:val="nil"/>
          <w:right w:val="nil"/>
          <w:between w:val="nil"/>
        </w:pBdr>
        <w:ind w:left="1134" w:right="277"/>
        <w:jc w:val="both"/>
        <w:rPr>
          <w:rFonts w:ascii="Palatino Linotype" w:eastAsia="Palatino Linotype" w:hAnsi="Palatino Linotype" w:cs="Palatino Linotype"/>
          <w:color w:val="000000"/>
          <w:sz w:val="22"/>
          <w:szCs w:val="22"/>
        </w:rPr>
      </w:pPr>
    </w:p>
    <w:p w:rsidR="008B4649" w:rsidRDefault="007203B0">
      <w:pPr>
        <w:numPr>
          <w:ilvl w:val="0"/>
          <w:numId w:val="6"/>
        </w:numPr>
        <w:pBdr>
          <w:top w:val="nil"/>
          <w:left w:val="nil"/>
          <w:bottom w:val="nil"/>
          <w:right w:val="nil"/>
          <w:between w:val="nil"/>
        </w:pBdr>
        <w:ind w:left="1134" w:right="277" w:firstLine="0"/>
        <w:jc w:val="both"/>
        <w:rPr>
          <w:rFonts w:ascii="Palatino Linotype" w:eastAsia="Palatino Linotype" w:hAnsi="Palatino Linotype" w:cs="Palatino Linotype"/>
          <w:color w:val="000000"/>
          <w:sz w:val="22"/>
          <w:szCs w:val="22"/>
        </w:rPr>
      </w:pPr>
      <w:bookmarkStart w:id="3" w:name="_heading=h.3znysh7" w:colFirst="0" w:colLast="0"/>
      <w:bookmarkEnd w:id="3"/>
      <w:r>
        <w:rPr>
          <w:rFonts w:ascii="Palatino Linotype" w:eastAsia="Palatino Linotype" w:hAnsi="Palatino Linotype" w:cs="Palatino Linotype"/>
          <w:b/>
          <w:bCs/>
          <w:color w:val="000000"/>
          <w:sz w:val="22"/>
          <w:szCs w:val="22"/>
        </w:rPr>
        <w:lastRenderedPageBreak/>
        <w:t xml:space="preserve">Razones o Motivos de inconformidad: </w:t>
      </w:r>
      <w:r>
        <w:rPr>
          <w:rFonts w:ascii="Palatino Linotype" w:eastAsia="Palatino Linotype" w:hAnsi="Palatino Linotype" w:cs="Palatino Linotype"/>
          <w:i/>
          <w:iCs/>
          <w:color w:val="000000"/>
          <w:sz w:val="22"/>
          <w:szCs w:val="22"/>
        </w:rPr>
        <w:t>“El Ayuntamiento de Teoloyucan vulnera mi derecho de acceso a la información pública por lo siguiente: 1. Incongruencia con lo solicitado: o Pedí el techo presupuestal de la Sindicatura y regidurías. o La respuesta fue un listado de nómina, lo cual no corresponde a la información requerida ni satisface la solicitud. 2. Violación al principio de máxima publicidad (Art. 5 LTAIPEMyM): o El techo presupuestal es información pública de carácter financiero derivada del Presupuesto de Egresos Municipal. o La autoridad restringió el derecho de acceso al entregar información distinta a la requerida. 3. Incumplimiento de obligaciones de transparencia (Art. 95 LTAIPEMyM): o Los ayuntamientos deben publicar de manera proactiva el presupuesto asignado y su ejercicio, por lo que no existe justificación válida para negar o sustituir la información solicitada. 4. Falta de fundamentación y motivación (Art. 92 LTAIPEMyM): o La respuesta no contiene fundamento legal que explique la omisión ni motivación que justifique la entrega de información distinta..”</w:t>
      </w:r>
    </w:p>
    <w:p w:rsidR="008B4649" w:rsidRDefault="008B4649">
      <w:pPr>
        <w:ind w:right="-787"/>
        <w:jc w:val="both"/>
        <w:rPr>
          <w:rFonts w:ascii="Palatino Linotype" w:eastAsia="Palatino Linotype" w:hAnsi="Palatino Linotype" w:cs="Palatino Linotype"/>
          <w:b/>
          <w:bCs/>
          <w:i/>
          <w:iCs/>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Al momento de interponer el recurso de revisión el entonces </w:t>
      </w:r>
      <w:r>
        <w:rPr>
          <w:rFonts w:ascii="Palatino Linotype" w:eastAsia="Palatino Linotype" w:hAnsi="Palatino Linotype" w:cs="Palatino Linotype"/>
          <w:b/>
          <w:bCs/>
          <w:color w:val="000000"/>
          <w:sz w:val="22"/>
          <w:szCs w:val="22"/>
        </w:rPr>
        <w:t xml:space="preserve">SOLICITANTE </w:t>
      </w:r>
      <w:r>
        <w:rPr>
          <w:rFonts w:ascii="Palatino Linotype" w:eastAsia="Palatino Linotype" w:hAnsi="Palatino Linotype" w:cs="Palatino Linotype"/>
          <w:sz w:val="22"/>
          <w:szCs w:val="22"/>
        </w:rPr>
        <w:t>entregó</w:t>
      </w:r>
      <w:r>
        <w:rPr>
          <w:rFonts w:ascii="Palatino Linotype" w:eastAsia="Palatino Linotype" w:hAnsi="Palatino Linotype" w:cs="Palatino Linotype"/>
          <w:color w:val="000000"/>
          <w:sz w:val="22"/>
          <w:szCs w:val="22"/>
        </w:rPr>
        <w:t xml:space="preserve"> tres archivos electrónicos, cuyo contenido grosso modo es el siguiente. </w:t>
      </w:r>
    </w:p>
    <w:p w:rsidR="008B4649" w:rsidRDefault="007203B0">
      <w:pPr>
        <w:pBdr>
          <w:top w:val="nil"/>
          <w:left w:val="nil"/>
          <w:bottom w:val="nil"/>
          <w:right w:val="nil"/>
          <w:between w:val="nil"/>
        </w:pBdr>
        <w:ind w:left="1134" w:right="27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Recurso de Revisión.docx: </w:t>
      </w:r>
      <w:r>
        <w:rPr>
          <w:rFonts w:ascii="Palatino Linotype" w:eastAsia="Palatino Linotype" w:hAnsi="Palatino Linotype" w:cs="Palatino Linotype"/>
          <w:i/>
          <w:iCs/>
          <w:color w:val="000000"/>
          <w:sz w:val="22"/>
          <w:szCs w:val="22"/>
        </w:rPr>
        <w:t xml:space="preserve">documento que contiene la inconformidad del </w:t>
      </w:r>
      <w:r>
        <w:rPr>
          <w:rFonts w:ascii="Palatino Linotype" w:eastAsia="Palatino Linotype" w:hAnsi="Palatino Linotype" w:cs="Palatino Linotype"/>
          <w:b/>
          <w:bCs/>
          <w:i/>
          <w:iCs/>
          <w:color w:val="000000"/>
          <w:sz w:val="22"/>
          <w:szCs w:val="22"/>
        </w:rPr>
        <w:t xml:space="preserve">RECURRENTE </w:t>
      </w:r>
      <w:r>
        <w:rPr>
          <w:rFonts w:ascii="Palatino Linotype" w:eastAsia="Palatino Linotype" w:hAnsi="Palatino Linotype" w:cs="Palatino Linotype"/>
          <w:i/>
          <w:iCs/>
          <w:color w:val="000000"/>
          <w:sz w:val="22"/>
          <w:szCs w:val="22"/>
        </w:rPr>
        <w:t xml:space="preserve">del cual se observa que se duele el techo presupuestal aprobado a sindicatura y regidurías, así como de la información de nómina entregada. </w:t>
      </w:r>
    </w:p>
    <w:p w:rsidR="008B4649" w:rsidRDefault="007203B0">
      <w:pPr>
        <w:pBdr>
          <w:top w:val="nil"/>
          <w:left w:val="nil"/>
          <w:bottom w:val="nil"/>
          <w:right w:val="nil"/>
          <w:between w:val="nil"/>
        </w:pBdr>
        <w:ind w:left="1134" w:right="27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RESPUESTA Solicitud</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i/>
          <w:iCs/>
          <w:color w:val="000000"/>
          <w:sz w:val="22"/>
          <w:szCs w:val="22"/>
        </w:rPr>
        <w:t xml:space="preserve">900.pdf: </w:t>
      </w:r>
      <w:r>
        <w:rPr>
          <w:rFonts w:ascii="Palatino Linotype" w:eastAsia="Palatino Linotype" w:hAnsi="Palatino Linotype" w:cs="Palatino Linotype"/>
          <w:i/>
          <w:iCs/>
          <w:color w:val="000000"/>
          <w:sz w:val="22"/>
          <w:szCs w:val="22"/>
        </w:rPr>
        <w:t xml:space="preserve">documento con el que dio respuesta la Dirección de Administración. </w:t>
      </w:r>
    </w:p>
    <w:p w:rsidR="008B4649" w:rsidRDefault="007203B0">
      <w:pPr>
        <w:pBdr>
          <w:top w:val="nil"/>
          <w:left w:val="nil"/>
          <w:bottom w:val="nil"/>
          <w:right w:val="nil"/>
          <w:between w:val="nil"/>
        </w:pBdr>
        <w:spacing w:line="360" w:lineRule="auto"/>
        <w:ind w:left="1134" w:right="-78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ACUSE 900.pdf: </w:t>
      </w:r>
      <w:r>
        <w:rPr>
          <w:rFonts w:ascii="Palatino Linotype" w:eastAsia="Palatino Linotype" w:hAnsi="Palatino Linotype" w:cs="Palatino Linotype"/>
          <w:i/>
          <w:iCs/>
          <w:color w:val="000000"/>
          <w:sz w:val="22"/>
          <w:szCs w:val="22"/>
        </w:rPr>
        <w:t xml:space="preserve">acuse de la solicitud de información. </w:t>
      </w:r>
    </w:p>
    <w:p w:rsidR="008B4649" w:rsidRDefault="008B464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Consecutivamente</w:t>
      </w:r>
      <w:r>
        <w:rPr>
          <w:rFonts w:ascii="Palatino Linotype" w:eastAsia="Palatino Linotype" w:hAnsi="Palatino Linotype" w:cs="Palatino Linotype"/>
          <w:i/>
          <w:iCs/>
          <w:color w:val="000000"/>
          <w:sz w:val="22"/>
          <w:szCs w:val="22"/>
        </w:rPr>
        <w:t xml:space="preserve">, </w:t>
      </w:r>
      <w:r>
        <w:rPr>
          <w:rFonts w:ascii="Palatino Linotype" w:eastAsia="Palatino Linotype" w:hAnsi="Palatino Linotype" w:cs="Palatino Linotype"/>
          <w:color w:val="000000"/>
          <w:sz w:val="22"/>
          <w:szCs w:val="22"/>
        </w:rPr>
        <w:t xml:space="preserve">con fundamento en lo dispuesto por el artículo 185 fracción I de la Ley de Transparencia y Acceso a la Información Pública del Estado de México y Municipios, el recurso fue turnado a la ponencia de la </w:t>
      </w:r>
      <w:r>
        <w:rPr>
          <w:rFonts w:ascii="Palatino Linotype" w:eastAsia="Palatino Linotype" w:hAnsi="Palatino Linotype" w:cs="Palatino Linotype"/>
          <w:b/>
          <w:bCs/>
          <w:color w:val="000000"/>
          <w:sz w:val="22"/>
          <w:szCs w:val="22"/>
        </w:rPr>
        <w:t>Comisionada</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color w:val="000000"/>
          <w:sz w:val="22"/>
          <w:szCs w:val="22"/>
        </w:rPr>
        <w:t>María del Rosario Mejía Ayala</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con el objeto de su análisis.</w:t>
      </w:r>
    </w:p>
    <w:p w:rsidR="008B4649" w:rsidRDefault="008B464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La Comisionada Ponente con fundamento en lo dispuesto por el artículo 185 fracción II de la ley de la materia, a través del </w:t>
      </w:r>
      <w:r>
        <w:rPr>
          <w:rFonts w:ascii="Palatino Linotype" w:eastAsia="Palatino Linotype" w:hAnsi="Palatino Linotype" w:cs="Palatino Linotype"/>
          <w:b/>
          <w:bCs/>
          <w:color w:val="000000"/>
          <w:sz w:val="22"/>
          <w:szCs w:val="22"/>
        </w:rPr>
        <w:t xml:space="preserve">acuerdo de admisión </w:t>
      </w:r>
      <w:r>
        <w:rPr>
          <w:rFonts w:ascii="Palatino Linotype" w:eastAsia="Palatino Linotype" w:hAnsi="Palatino Linotype" w:cs="Palatino Linotype"/>
          <w:color w:val="000000"/>
          <w:sz w:val="22"/>
          <w:szCs w:val="22"/>
        </w:rPr>
        <w:t xml:space="preserve">del </w:t>
      </w:r>
      <w:r>
        <w:rPr>
          <w:rFonts w:ascii="Palatino Linotype" w:eastAsia="Palatino Linotype" w:hAnsi="Palatino Linotype" w:cs="Palatino Linotype"/>
          <w:b/>
          <w:bCs/>
          <w:color w:val="000000"/>
          <w:sz w:val="22"/>
          <w:szCs w:val="22"/>
        </w:rPr>
        <w:t xml:space="preserve">uno de septiembre  de dos mil veinticinco, </w:t>
      </w:r>
      <w:r>
        <w:rPr>
          <w:rFonts w:ascii="Palatino Linotype" w:eastAsia="Palatino Linotype" w:hAnsi="Palatino Linotype" w:cs="Palatino Linotype"/>
          <w:color w:val="000000"/>
          <w:sz w:val="22"/>
          <w:szCs w:val="22"/>
        </w:rPr>
        <w:t xml:space="preserve">puso a disposición de las partes el expediente electrónico vía SAIMEX a efecto de que en un plazo máximo de siete días </w:t>
      </w:r>
      <w:r>
        <w:rPr>
          <w:rFonts w:ascii="Palatino Linotype" w:eastAsia="Palatino Linotype" w:hAnsi="Palatino Linotype" w:cs="Palatino Linotype"/>
          <w:sz w:val="22"/>
          <w:szCs w:val="22"/>
        </w:rPr>
        <w:t>manifestara</w:t>
      </w:r>
      <w:r>
        <w:rPr>
          <w:rFonts w:ascii="Palatino Linotype" w:eastAsia="Palatino Linotype" w:hAnsi="Palatino Linotype" w:cs="Palatino Linotype"/>
          <w:color w:val="000000"/>
          <w:sz w:val="22"/>
          <w:szCs w:val="22"/>
        </w:rPr>
        <w:t xml:space="preserve"> lo que a su derecho conviniera, </w:t>
      </w:r>
      <w:r>
        <w:rPr>
          <w:rFonts w:ascii="Palatino Linotype" w:eastAsia="Palatino Linotype" w:hAnsi="Palatino Linotype" w:cs="Palatino Linotype"/>
          <w:sz w:val="22"/>
          <w:szCs w:val="22"/>
        </w:rPr>
        <w:t>ofreciera</w:t>
      </w:r>
      <w:r>
        <w:rPr>
          <w:rFonts w:ascii="Palatino Linotype" w:eastAsia="Palatino Linotype" w:hAnsi="Palatino Linotype" w:cs="Palatino Linotype"/>
          <w:color w:val="000000"/>
          <w:sz w:val="22"/>
          <w:szCs w:val="22"/>
        </w:rPr>
        <w:t xml:space="preserve"> pruebas y alegatos según corresponda al caso concreto, de esta forma para que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sz w:val="22"/>
          <w:szCs w:val="22"/>
        </w:rPr>
        <w:t>presentará</w:t>
      </w:r>
      <w:r>
        <w:rPr>
          <w:rFonts w:ascii="Palatino Linotype" w:eastAsia="Palatino Linotype" w:hAnsi="Palatino Linotype" w:cs="Palatino Linotype"/>
          <w:color w:val="000000"/>
          <w:sz w:val="22"/>
          <w:szCs w:val="22"/>
        </w:rPr>
        <w:t xml:space="preserve"> el Informe Justificado procedente.</w:t>
      </w:r>
    </w:p>
    <w:p w:rsidR="008B4649" w:rsidRDefault="008B4649">
      <w:pPr>
        <w:pBdr>
          <w:top w:val="nil"/>
          <w:left w:val="nil"/>
          <w:bottom w:val="nil"/>
          <w:right w:val="nil"/>
          <w:between w:val="nil"/>
        </w:pBdr>
        <w:ind w:left="708" w:right="-787"/>
        <w:rPr>
          <w:rFonts w:ascii="Palatino Linotype" w:eastAsia="Palatino Linotype" w:hAnsi="Palatino Linotype" w:cs="Palatino Linotype"/>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esa línea, tal y como se observa en el expediente electrónico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 xml:space="preserve">cuatro de septiembre de dos mil veinticinco </w:t>
      </w:r>
      <w:r>
        <w:rPr>
          <w:rFonts w:ascii="Palatino Linotype" w:eastAsia="Palatino Linotype" w:hAnsi="Palatino Linotype" w:cs="Palatino Linotype"/>
          <w:sz w:val="22"/>
          <w:szCs w:val="22"/>
        </w:rPr>
        <w:t>agregó</w:t>
      </w:r>
      <w:r>
        <w:rPr>
          <w:rFonts w:ascii="Palatino Linotype" w:eastAsia="Palatino Linotype" w:hAnsi="Palatino Linotype" w:cs="Palatino Linotype"/>
          <w:color w:val="000000"/>
          <w:sz w:val="22"/>
          <w:szCs w:val="22"/>
        </w:rPr>
        <w:t xml:space="preserve"> un  archivo electrónico en formato pdf, cuyo contenido grosso modo es el siguiente. </w:t>
      </w:r>
    </w:p>
    <w:p w:rsidR="008B4649" w:rsidRDefault="008B4649">
      <w:pPr>
        <w:pBdr>
          <w:top w:val="nil"/>
          <w:left w:val="nil"/>
          <w:bottom w:val="nil"/>
          <w:right w:val="nil"/>
          <w:between w:val="nil"/>
        </w:pBdr>
        <w:ind w:left="1134" w:right="277"/>
        <w:jc w:val="both"/>
        <w:rPr>
          <w:rFonts w:ascii="Palatino Linotype" w:eastAsia="Palatino Linotype" w:hAnsi="Palatino Linotype" w:cs="Palatino Linotype"/>
          <w:color w:val="000000"/>
          <w:sz w:val="22"/>
          <w:szCs w:val="22"/>
        </w:rPr>
      </w:pPr>
    </w:p>
    <w:p w:rsidR="008B4649" w:rsidRDefault="007203B0">
      <w:pPr>
        <w:pBdr>
          <w:top w:val="nil"/>
          <w:left w:val="nil"/>
          <w:bottom w:val="nil"/>
          <w:right w:val="nil"/>
          <w:between w:val="nil"/>
        </w:pBdr>
        <w:ind w:left="1134" w:right="27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respuesta rr. 10097.pdf: </w:t>
      </w:r>
      <w:r>
        <w:rPr>
          <w:rFonts w:ascii="Palatino Linotype" w:eastAsia="Palatino Linotype" w:hAnsi="Palatino Linotype" w:cs="Palatino Linotype"/>
          <w:i/>
          <w:iCs/>
          <w:color w:val="000000"/>
          <w:sz w:val="22"/>
          <w:szCs w:val="22"/>
        </w:rPr>
        <w:t xml:space="preserve">oficio de la Dirección de Administración, mediante el cual se ratifica la respuesta inicial. </w:t>
      </w:r>
    </w:p>
    <w:p w:rsidR="008B4649" w:rsidRDefault="008B4649">
      <w:pPr>
        <w:pBdr>
          <w:top w:val="nil"/>
          <w:left w:val="nil"/>
          <w:bottom w:val="nil"/>
          <w:right w:val="nil"/>
          <w:between w:val="nil"/>
        </w:pBdr>
        <w:ind w:left="1134" w:right="277"/>
        <w:jc w:val="both"/>
        <w:rPr>
          <w:rFonts w:ascii="Palatino Linotype" w:eastAsia="Palatino Linotype" w:hAnsi="Palatino Linotype" w:cs="Palatino Linotype"/>
          <w:i/>
          <w:iCs/>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color w:val="000000"/>
          <w:sz w:val="22"/>
          <w:szCs w:val="22"/>
        </w:rPr>
        <w:t xml:space="preserve">Por su parte el </w:t>
      </w:r>
      <w:r>
        <w:rPr>
          <w:rFonts w:ascii="Palatino Linotype" w:eastAsia="Palatino Linotype" w:hAnsi="Palatino Linotype" w:cs="Palatino Linotype"/>
          <w:b/>
          <w:bCs/>
          <w:color w:val="000000"/>
          <w:sz w:val="22"/>
          <w:szCs w:val="22"/>
        </w:rPr>
        <w:t xml:space="preserve">RECURRENTE el diecisiete de septiembre de dos mil veinticinco, </w:t>
      </w:r>
      <w:r>
        <w:rPr>
          <w:rFonts w:ascii="Palatino Linotype" w:eastAsia="Palatino Linotype" w:hAnsi="Palatino Linotype" w:cs="Palatino Linotype"/>
          <w:sz w:val="22"/>
          <w:szCs w:val="22"/>
        </w:rPr>
        <w:t>entregó</w:t>
      </w:r>
      <w:r>
        <w:rPr>
          <w:rFonts w:ascii="Palatino Linotype" w:eastAsia="Palatino Linotype" w:hAnsi="Palatino Linotype" w:cs="Palatino Linotype"/>
          <w:color w:val="000000"/>
          <w:sz w:val="22"/>
          <w:szCs w:val="22"/>
        </w:rPr>
        <w:t xml:space="preserve"> seis archivos electrónicos en formato pdf, cuyo contenido grosso modo es el siguiente. </w:t>
      </w:r>
    </w:p>
    <w:p w:rsidR="008B4649" w:rsidRDefault="007203B0">
      <w:pPr>
        <w:pBdr>
          <w:top w:val="nil"/>
          <w:left w:val="nil"/>
          <w:bottom w:val="nil"/>
          <w:right w:val="nil"/>
          <w:between w:val="nil"/>
        </w:pBdr>
        <w:ind w:left="1134" w:right="27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Recurso de Revisión.docx: </w:t>
      </w:r>
      <w:r>
        <w:rPr>
          <w:rFonts w:ascii="Palatino Linotype" w:eastAsia="Palatino Linotype" w:hAnsi="Palatino Linotype" w:cs="Palatino Linotype"/>
          <w:i/>
          <w:iCs/>
          <w:color w:val="000000"/>
          <w:sz w:val="22"/>
          <w:szCs w:val="22"/>
        </w:rPr>
        <w:t xml:space="preserve">documento que contiene la inconformidad del </w:t>
      </w:r>
      <w:r>
        <w:rPr>
          <w:rFonts w:ascii="Palatino Linotype" w:eastAsia="Palatino Linotype" w:hAnsi="Palatino Linotype" w:cs="Palatino Linotype"/>
          <w:b/>
          <w:bCs/>
          <w:i/>
          <w:iCs/>
          <w:color w:val="000000"/>
          <w:sz w:val="22"/>
          <w:szCs w:val="22"/>
        </w:rPr>
        <w:t xml:space="preserve">RECURRENTE </w:t>
      </w:r>
      <w:r>
        <w:rPr>
          <w:rFonts w:ascii="Palatino Linotype" w:eastAsia="Palatino Linotype" w:hAnsi="Palatino Linotype" w:cs="Palatino Linotype"/>
          <w:i/>
          <w:iCs/>
          <w:color w:val="000000"/>
          <w:sz w:val="22"/>
          <w:szCs w:val="22"/>
        </w:rPr>
        <w:t xml:space="preserve">del cual se observa que se duele el techo presupuestal aprobado a sindicatura y regidurías, así como de la información de nómina entregada. </w:t>
      </w:r>
    </w:p>
    <w:p w:rsidR="008B4649" w:rsidRDefault="007203B0">
      <w:pPr>
        <w:pBdr>
          <w:top w:val="nil"/>
          <w:left w:val="nil"/>
          <w:bottom w:val="nil"/>
          <w:right w:val="nil"/>
          <w:between w:val="nil"/>
        </w:pBdr>
        <w:ind w:left="1134" w:right="27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ACUSE 900.pdf: </w:t>
      </w:r>
      <w:r>
        <w:rPr>
          <w:rFonts w:ascii="Palatino Linotype" w:eastAsia="Palatino Linotype" w:hAnsi="Palatino Linotype" w:cs="Palatino Linotype"/>
          <w:i/>
          <w:iCs/>
          <w:color w:val="000000"/>
          <w:sz w:val="22"/>
          <w:szCs w:val="22"/>
        </w:rPr>
        <w:t>acuse de la solicitud de información</w:t>
      </w:r>
    </w:p>
    <w:p w:rsidR="008B4649" w:rsidRDefault="007203B0">
      <w:pPr>
        <w:pBdr>
          <w:top w:val="nil"/>
          <w:left w:val="nil"/>
          <w:bottom w:val="nil"/>
          <w:right w:val="nil"/>
          <w:between w:val="nil"/>
        </w:pBdr>
        <w:ind w:left="1134" w:right="27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i/>
          <w:iCs/>
          <w:color w:val="000000"/>
          <w:sz w:val="22"/>
          <w:szCs w:val="22"/>
        </w:rPr>
        <w:t xml:space="preserve">RESPUESTA Solicitud 900.pdf: </w:t>
      </w:r>
      <w:r>
        <w:rPr>
          <w:rFonts w:ascii="Palatino Linotype" w:eastAsia="Palatino Linotype" w:hAnsi="Palatino Linotype" w:cs="Palatino Linotype"/>
          <w:i/>
          <w:iCs/>
          <w:color w:val="000000"/>
          <w:sz w:val="22"/>
          <w:szCs w:val="22"/>
        </w:rPr>
        <w:t xml:space="preserve">documento con el que dio respuesta la Dirección de Administración. </w:t>
      </w:r>
    </w:p>
    <w:p w:rsidR="008B4649" w:rsidRDefault="008B4649">
      <w:pPr>
        <w:pBdr>
          <w:top w:val="nil"/>
          <w:left w:val="nil"/>
          <w:bottom w:val="nil"/>
          <w:right w:val="nil"/>
          <w:between w:val="nil"/>
        </w:pBdr>
        <w:ind w:left="1134" w:right="277"/>
        <w:jc w:val="both"/>
        <w:rPr>
          <w:rFonts w:ascii="Palatino Linotype" w:eastAsia="Palatino Linotype" w:hAnsi="Palatino Linotype" w:cs="Palatino Linotype"/>
          <w:i/>
          <w:iCs/>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bookmarkStart w:id="4" w:name="_heading=h.2et92p0" w:colFirst="0" w:colLast="0"/>
      <w:bookmarkEnd w:id="4"/>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doce de marzo de dos mil veintiséis</w:t>
      </w:r>
      <w:r>
        <w:rPr>
          <w:rFonts w:ascii="Palatino Linotype" w:eastAsia="Palatino Linotype" w:hAnsi="Palatino Linotype" w:cs="Palatino Linotype"/>
          <w:color w:val="000000"/>
          <w:sz w:val="22"/>
          <w:szCs w:val="22"/>
        </w:rPr>
        <w:t>, la Comisionada Ponente notificó el acuerdo de ampliación para emitir resolución, en términos del artículo 181 párrafo tercero de la Ley de Transparencia y Acceso a la Información Pública del Estado de México y Municipios______________________________________________________________________.</w:t>
      </w:r>
    </w:p>
    <w:p w:rsidR="008B4649" w:rsidRDefault="008B464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lastRenderedPageBreak/>
        <w:t>Finalmente, la Comisionada Ponente mediante acuerdo de fecha</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b/>
          <w:bCs/>
          <w:color w:val="000000"/>
          <w:sz w:val="22"/>
          <w:szCs w:val="22"/>
          <w:highlight w:val="white"/>
        </w:rPr>
        <w:t xml:space="preserve">diecinueve de marzo de dos mil </w:t>
      </w:r>
      <w:r w:rsidR="00793EC1">
        <w:rPr>
          <w:rFonts w:ascii="Palatino Linotype" w:eastAsia="Palatino Linotype" w:hAnsi="Palatino Linotype" w:cs="Palatino Linotype"/>
          <w:b/>
          <w:bCs/>
          <w:color w:val="000000"/>
          <w:sz w:val="22"/>
          <w:szCs w:val="22"/>
          <w:highlight w:val="white"/>
        </w:rPr>
        <w:t>veintiséis</w:t>
      </w:r>
      <w:r>
        <w:rPr>
          <w:rFonts w:ascii="Palatino Linotype" w:eastAsia="Palatino Linotype" w:hAnsi="Palatino Linotype" w:cs="Palatino Linotype"/>
          <w:color w:val="000000"/>
          <w:sz w:val="22"/>
          <w:szCs w:val="22"/>
          <w:highlight w:val="white"/>
        </w:rPr>
        <w:t>, decretó el cierre de instrucción d</w:t>
      </w:r>
      <w:r>
        <w:rPr>
          <w:rFonts w:ascii="Palatino Linotype" w:eastAsia="Palatino Linotype" w:hAnsi="Palatino Linotype" w:cs="Palatino Linotype"/>
          <w:color w:val="000000"/>
          <w:sz w:val="22"/>
          <w:szCs w:val="22"/>
        </w:rPr>
        <w:t>e los expedientes, por lo que no habiendo más que hacer constar, y________________________________________________________________________________.</w:t>
      </w:r>
    </w:p>
    <w:p w:rsidR="008B4649" w:rsidRDefault="008B4649">
      <w:pPr>
        <w:pBdr>
          <w:top w:val="nil"/>
          <w:left w:val="nil"/>
          <w:bottom w:val="nil"/>
          <w:right w:val="nil"/>
          <w:between w:val="nil"/>
        </w:pBdr>
        <w:spacing w:line="360" w:lineRule="auto"/>
        <w:ind w:right="-787"/>
        <w:jc w:val="both"/>
        <w:rPr>
          <w:rFonts w:ascii="Palatino Linotype" w:eastAsia="Palatino Linotype" w:hAnsi="Palatino Linotype" w:cs="Palatino Linotype"/>
          <w:sz w:val="22"/>
          <w:szCs w:val="22"/>
        </w:rPr>
      </w:pPr>
      <w:bookmarkStart w:id="5" w:name="_heading=h.162m1m3fkzl6" w:colFirst="0" w:colLast="0"/>
      <w:bookmarkEnd w:id="5"/>
    </w:p>
    <w:p w:rsidR="008B4649" w:rsidRDefault="008B4649">
      <w:pPr>
        <w:spacing w:line="360" w:lineRule="auto"/>
        <w:ind w:right="-787"/>
        <w:rPr>
          <w:rFonts w:ascii="Palatino Linotype" w:eastAsia="Palatino Linotype" w:hAnsi="Palatino Linotype" w:cs="Palatino Linotype"/>
          <w:b/>
          <w:bCs/>
          <w:color w:val="000000"/>
          <w:sz w:val="22"/>
          <w:szCs w:val="22"/>
        </w:rPr>
      </w:pPr>
    </w:p>
    <w:p w:rsidR="008B4649" w:rsidRDefault="007203B0">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C O N S I D E R A N D O </w:t>
      </w:r>
    </w:p>
    <w:p w:rsidR="008B4649" w:rsidRDefault="007203B0">
      <w:pPr>
        <w:pStyle w:val="Ttulo2"/>
        <w:spacing w:before="0" w:line="360" w:lineRule="auto"/>
        <w:ind w:right="-787"/>
        <w:rPr>
          <w:rFonts w:ascii="Palatino Linotype" w:eastAsia="Palatino Linotype" w:hAnsi="Palatino Linotype" w:cs="Palatino Linotype"/>
          <w:b/>
          <w:bCs/>
          <w:color w:val="000000"/>
          <w:sz w:val="22"/>
          <w:szCs w:val="22"/>
        </w:rPr>
      </w:pPr>
      <w:bookmarkStart w:id="6" w:name="_heading=h.tyjcwt" w:colFirst="0" w:colLast="0"/>
      <w:bookmarkEnd w:id="6"/>
      <w:r>
        <w:rPr>
          <w:rFonts w:ascii="Palatino Linotype" w:eastAsia="Palatino Linotype" w:hAnsi="Palatino Linotype" w:cs="Palatino Linotype"/>
          <w:b/>
          <w:bCs/>
          <w:color w:val="000000"/>
          <w:sz w:val="22"/>
          <w:szCs w:val="22"/>
        </w:rPr>
        <w:t>PRIMERO. De la competencia</w:t>
      </w: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8B4649" w:rsidRDefault="008B4649">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bCs/>
          <w:color w:val="000000"/>
          <w:sz w:val="22"/>
          <w:szCs w:val="22"/>
        </w:rPr>
      </w:pPr>
      <w:bookmarkStart w:id="7" w:name="_heading=h.3dy6vkm" w:colFirst="0" w:colLast="0"/>
      <w:bookmarkEnd w:id="7"/>
    </w:p>
    <w:p w:rsidR="008B4649" w:rsidRDefault="007203B0">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bCs/>
          <w:color w:val="000000"/>
          <w:sz w:val="22"/>
          <w:szCs w:val="22"/>
        </w:rPr>
      </w:pPr>
      <w:bookmarkStart w:id="8" w:name="_heading=h.1t3h5sf" w:colFirst="0" w:colLast="0"/>
      <w:bookmarkEnd w:id="8"/>
      <w:r>
        <w:rPr>
          <w:rFonts w:ascii="Palatino Linotype" w:eastAsia="Palatino Linotype" w:hAnsi="Palatino Linotype" w:cs="Palatino Linotype"/>
          <w:b/>
          <w:bCs/>
          <w:color w:val="000000"/>
          <w:sz w:val="22"/>
          <w:szCs w:val="22"/>
        </w:rPr>
        <w:t>SEGUNDO. De la oportunidad y procedencia.</w:t>
      </w: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bookmarkStart w:id="9" w:name="_heading=h.4d34og8" w:colFirst="0" w:colLast="0"/>
      <w:bookmarkEnd w:id="9"/>
      <w:r>
        <w:rPr>
          <w:rFonts w:ascii="Palatino Linotype" w:eastAsia="Palatino Linotype" w:hAnsi="Palatino Linotype" w:cs="Palatino Linotype"/>
          <w:color w:val="000000"/>
          <w:sz w:val="22"/>
          <w:szCs w:val="22"/>
        </w:rPr>
        <w:t xml:space="preserve">Los medios de impugnación fueron presentados a través del </w:t>
      </w:r>
      <w:r>
        <w:rPr>
          <w:rFonts w:ascii="Palatino Linotype" w:eastAsia="Palatino Linotype" w:hAnsi="Palatino Linotype" w:cs="Palatino Linotype"/>
          <w:b/>
          <w:bCs/>
          <w:color w:val="000000"/>
          <w:sz w:val="22"/>
          <w:szCs w:val="22"/>
        </w:rPr>
        <w:t>SAIMEX,</w:t>
      </w:r>
      <w:r>
        <w:rPr>
          <w:rFonts w:ascii="Palatino Linotype" w:eastAsia="Palatino Linotype" w:hAnsi="Palatino Linotype" w:cs="Palatino Linotype"/>
          <w:color w:val="000000"/>
          <w:sz w:val="22"/>
          <w:szCs w:val="22"/>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xml:space="preserve"> entregó su respuesta el </w:t>
      </w:r>
      <w:r>
        <w:rPr>
          <w:rFonts w:ascii="Palatino Linotype" w:eastAsia="Palatino Linotype" w:hAnsi="Palatino Linotype" w:cs="Palatino Linotype"/>
          <w:b/>
          <w:bCs/>
          <w:color w:val="000000"/>
          <w:sz w:val="22"/>
          <w:szCs w:val="22"/>
        </w:rPr>
        <w:t>veinticinco de agosto de dos mil veinticinco</w:t>
      </w:r>
      <w:r>
        <w:rPr>
          <w:rFonts w:ascii="Palatino Linotype" w:eastAsia="Palatino Linotype" w:hAnsi="Palatino Linotype" w:cs="Palatino Linotype"/>
          <w:color w:val="000000"/>
          <w:sz w:val="22"/>
          <w:szCs w:val="22"/>
        </w:rPr>
        <w:t xml:space="preserve">, de tal forma que el plazo para interponer el recurso de revisión transcurrió del día </w:t>
      </w:r>
      <w:r>
        <w:rPr>
          <w:rFonts w:ascii="Palatino Linotype" w:eastAsia="Palatino Linotype" w:hAnsi="Palatino Linotype" w:cs="Palatino Linotype"/>
          <w:b/>
          <w:bCs/>
          <w:color w:val="000000"/>
          <w:sz w:val="22"/>
          <w:szCs w:val="22"/>
        </w:rPr>
        <w:t>veintiséis de agosto al quince de septiembre de dos mil veinticinco</w:t>
      </w:r>
      <w:r>
        <w:rPr>
          <w:rFonts w:ascii="Palatino Linotype" w:eastAsia="Palatino Linotype" w:hAnsi="Palatino Linotype" w:cs="Palatino Linotype"/>
          <w:color w:val="000000"/>
          <w:sz w:val="22"/>
          <w:szCs w:val="22"/>
        </w:rPr>
        <w:t xml:space="preserve">; en consecuencia, el ahora </w:t>
      </w:r>
      <w:r>
        <w:rPr>
          <w:rFonts w:ascii="Palatino Linotype" w:eastAsia="Palatino Linotype" w:hAnsi="Palatino Linotype" w:cs="Palatino Linotype"/>
          <w:b/>
          <w:bCs/>
          <w:color w:val="000000"/>
          <w:sz w:val="22"/>
          <w:szCs w:val="22"/>
        </w:rPr>
        <w:t>RECURRENTE</w:t>
      </w:r>
      <w:r>
        <w:rPr>
          <w:rFonts w:ascii="Palatino Linotype" w:eastAsia="Palatino Linotype" w:hAnsi="Palatino Linotype" w:cs="Palatino Linotype"/>
          <w:color w:val="000000"/>
          <w:sz w:val="22"/>
          <w:szCs w:val="22"/>
        </w:rPr>
        <w:t xml:space="preserve"> presentó su </w:t>
      </w:r>
      <w:r>
        <w:rPr>
          <w:rFonts w:ascii="Palatino Linotype" w:eastAsia="Palatino Linotype" w:hAnsi="Palatino Linotype" w:cs="Palatino Linotype"/>
          <w:color w:val="000000"/>
          <w:sz w:val="22"/>
          <w:szCs w:val="22"/>
        </w:rPr>
        <w:lastRenderedPageBreak/>
        <w:t xml:space="preserve">inconformidad el día </w:t>
      </w:r>
      <w:r>
        <w:rPr>
          <w:rFonts w:ascii="Palatino Linotype" w:eastAsia="Palatino Linotype" w:hAnsi="Palatino Linotype" w:cs="Palatino Linotype"/>
          <w:b/>
          <w:bCs/>
          <w:color w:val="000000"/>
          <w:sz w:val="22"/>
          <w:szCs w:val="22"/>
        </w:rPr>
        <w:t>veintisiete de agosto  de dos mil veinticinco</w:t>
      </w:r>
      <w:r>
        <w:rPr>
          <w:rFonts w:ascii="Palatino Linotype" w:eastAsia="Palatino Linotype" w:hAnsi="Palatino Linotype" w:cs="Palatino Linotype"/>
          <w:color w:val="000000"/>
          <w:sz w:val="22"/>
          <w:szCs w:val="22"/>
        </w:rPr>
        <w:t>; es decir dentro del lapso legalmente establecido para tal efecto.</w:t>
      </w:r>
    </w:p>
    <w:p w:rsidR="008B4649" w:rsidRDefault="008B4649">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B4649" w:rsidRDefault="008B464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rsidR="008B4649" w:rsidRDefault="007203B0">
      <w:pPr>
        <w:pStyle w:val="Ttulo1"/>
        <w:spacing w:before="0" w:line="360" w:lineRule="auto"/>
        <w:ind w:right="-787"/>
        <w:rPr>
          <w:rFonts w:ascii="Palatino Linotype" w:eastAsia="Palatino Linotype" w:hAnsi="Palatino Linotype" w:cs="Palatino Linotype"/>
          <w:b/>
          <w:bCs/>
          <w:color w:val="000000"/>
          <w:sz w:val="22"/>
          <w:szCs w:val="22"/>
        </w:rPr>
      </w:pPr>
      <w:bookmarkStart w:id="10" w:name="_heading=h.2s8eyo1" w:colFirst="0" w:colLast="0"/>
      <w:bookmarkEnd w:id="10"/>
      <w:r>
        <w:rPr>
          <w:rFonts w:ascii="Palatino Linotype" w:eastAsia="Palatino Linotype" w:hAnsi="Palatino Linotype" w:cs="Palatino Linotype"/>
          <w:b/>
          <w:bCs/>
          <w:color w:val="000000"/>
          <w:sz w:val="22"/>
          <w:szCs w:val="22"/>
        </w:rPr>
        <w:t xml:space="preserve">TERCERO. Del planteamiento de la </w:t>
      </w:r>
      <w:r>
        <w:rPr>
          <w:rFonts w:ascii="Palatino Linotype" w:eastAsia="Palatino Linotype" w:hAnsi="Palatino Linotype" w:cs="Palatino Linotype"/>
          <w:b/>
          <w:bCs/>
          <w:i/>
          <w:iCs/>
          <w:color w:val="000000"/>
          <w:sz w:val="22"/>
          <w:szCs w:val="22"/>
        </w:rPr>
        <w:t>Litis</w:t>
      </w:r>
      <w:r>
        <w:rPr>
          <w:rFonts w:ascii="Palatino Linotype" w:eastAsia="Palatino Linotype" w:hAnsi="Palatino Linotype" w:cs="Palatino Linotype"/>
          <w:b/>
          <w:bCs/>
          <w:color w:val="000000"/>
          <w:sz w:val="22"/>
          <w:szCs w:val="22"/>
        </w:rPr>
        <w:t>.</w:t>
      </w: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De las constancias en el expediente al rubro indicado, se desprende que el particular solicitó la información que a continuación se desagrega:</w:t>
      </w:r>
    </w:p>
    <w:p w:rsidR="008B4649" w:rsidRDefault="008B4649">
      <w:pPr>
        <w:pBdr>
          <w:top w:val="nil"/>
          <w:left w:val="nil"/>
          <w:bottom w:val="nil"/>
          <w:right w:val="nil"/>
          <w:between w:val="nil"/>
        </w:pBdr>
        <w:spacing w:line="360" w:lineRule="auto"/>
        <w:ind w:right="-787"/>
        <w:jc w:val="both"/>
        <w:rPr>
          <w:rFonts w:ascii="Palatino Linotype" w:eastAsia="Palatino Linotype" w:hAnsi="Palatino Linotype" w:cs="Palatino Linotype"/>
          <w:b/>
          <w:bCs/>
          <w:color w:val="000000"/>
          <w:sz w:val="22"/>
          <w:szCs w:val="22"/>
        </w:rPr>
      </w:pPr>
    </w:p>
    <w:p w:rsidR="008B4649" w:rsidRDefault="007203B0">
      <w:pPr>
        <w:numPr>
          <w:ilvl w:val="3"/>
          <w:numId w:val="4"/>
        </w:numPr>
        <w:pBdr>
          <w:top w:val="nil"/>
          <w:left w:val="nil"/>
          <w:bottom w:val="nil"/>
          <w:right w:val="nil"/>
          <w:between w:val="nil"/>
        </w:pBdr>
        <w:ind w:left="1134" w:right="277" w:firstLine="0"/>
        <w:jc w:val="both"/>
        <w:rPr>
          <w:rFonts w:ascii="Palatino Linotype" w:eastAsia="Palatino Linotype" w:hAnsi="Palatino Linotype" w:cs="Palatino Linotype"/>
          <w:b/>
          <w:bCs/>
          <w:i/>
          <w:iCs/>
          <w:color w:val="000000"/>
          <w:sz w:val="22"/>
          <w:szCs w:val="22"/>
        </w:rPr>
      </w:pPr>
      <w:bookmarkStart w:id="11" w:name="_heading=h.tzyohm8c0xso" w:colFirst="0" w:colLast="0"/>
      <w:bookmarkEnd w:id="11"/>
      <w:r>
        <w:rPr>
          <w:rFonts w:ascii="Palatino Linotype" w:eastAsia="Palatino Linotype" w:hAnsi="Palatino Linotype" w:cs="Palatino Linotype"/>
          <w:b/>
          <w:bCs/>
          <w:i/>
          <w:iCs/>
          <w:color w:val="000000"/>
          <w:sz w:val="22"/>
          <w:szCs w:val="22"/>
        </w:rPr>
        <w:t>Techo presupuestal asignado a cada una de las siete Regidurías y la Sindicatura del Ayuntamiento de Teoloyucan, Estado de México.</w:t>
      </w:r>
    </w:p>
    <w:p w:rsidR="008B4649" w:rsidRDefault="008B4649">
      <w:pPr>
        <w:pBdr>
          <w:top w:val="nil"/>
          <w:left w:val="nil"/>
          <w:bottom w:val="nil"/>
          <w:right w:val="nil"/>
          <w:between w:val="nil"/>
        </w:pBdr>
        <w:ind w:right="277"/>
        <w:jc w:val="both"/>
        <w:rPr>
          <w:rFonts w:ascii="Palatino Linotype" w:eastAsia="Palatino Linotype" w:hAnsi="Palatino Linotype" w:cs="Palatino Linotype"/>
          <w:b/>
          <w:bCs/>
          <w:i/>
          <w:iCs/>
          <w:color w:val="000000"/>
          <w:sz w:val="22"/>
          <w:szCs w:val="22"/>
        </w:rPr>
      </w:pPr>
    </w:p>
    <w:p w:rsidR="008B4649" w:rsidRDefault="007203B0">
      <w:pPr>
        <w:numPr>
          <w:ilvl w:val="3"/>
          <w:numId w:val="4"/>
        </w:numPr>
        <w:pBdr>
          <w:top w:val="nil"/>
          <w:left w:val="nil"/>
          <w:bottom w:val="nil"/>
          <w:right w:val="nil"/>
          <w:between w:val="nil"/>
        </w:pBdr>
        <w:ind w:left="1134" w:right="277" w:firstLine="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Informe detallado de la aplicación de dichos recursos en cada Regiduría y la Sindicatura, del uno de enero al treinta y uno de julio. </w:t>
      </w:r>
    </w:p>
    <w:p w:rsidR="008B4649" w:rsidRDefault="008B4649">
      <w:pPr>
        <w:pBdr>
          <w:top w:val="nil"/>
          <w:left w:val="nil"/>
          <w:bottom w:val="nil"/>
          <w:right w:val="nil"/>
          <w:between w:val="nil"/>
        </w:pBdr>
        <w:ind w:left="720"/>
        <w:rPr>
          <w:rFonts w:ascii="Palatino Linotype" w:eastAsia="Palatino Linotype" w:hAnsi="Palatino Linotype" w:cs="Palatino Linotype"/>
          <w:b/>
          <w:bCs/>
          <w:i/>
          <w:iCs/>
          <w:color w:val="000000"/>
          <w:sz w:val="22"/>
          <w:szCs w:val="22"/>
        </w:rPr>
      </w:pPr>
    </w:p>
    <w:p w:rsidR="008B4649" w:rsidRDefault="008B4649">
      <w:pPr>
        <w:pBdr>
          <w:top w:val="nil"/>
          <w:left w:val="nil"/>
          <w:bottom w:val="nil"/>
          <w:right w:val="nil"/>
          <w:between w:val="nil"/>
        </w:pBdr>
        <w:ind w:left="2880" w:right="277"/>
        <w:jc w:val="both"/>
        <w:rPr>
          <w:rFonts w:ascii="Palatino Linotype" w:eastAsia="Palatino Linotype" w:hAnsi="Palatino Linotype" w:cs="Palatino Linotype"/>
          <w:b/>
          <w:bCs/>
          <w:i/>
          <w:iCs/>
          <w:color w:val="000000"/>
          <w:sz w:val="22"/>
          <w:szCs w:val="22"/>
        </w:rPr>
      </w:pPr>
    </w:p>
    <w:p w:rsidR="008B4649" w:rsidRDefault="007203B0">
      <w:pPr>
        <w:pBdr>
          <w:top w:val="nil"/>
          <w:left w:val="nil"/>
          <w:bottom w:val="nil"/>
          <w:right w:val="nil"/>
          <w:between w:val="nil"/>
        </w:pBdr>
        <w:ind w:left="1134" w:right="277"/>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3. Nombre completo, puesto o cargo, fecha de alta, sueldo bruto y sueldo neto (antes y después de impuestos) de cada uno de los integrantes de las siete Regidurías y la Sindicatura. Esto incluye personal administrativo, asesores, auxiliares, choferes, etc., que laboren directamente bajo cada figura edilicia.</w:t>
      </w:r>
    </w:p>
    <w:p w:rsidR="008B4649" w:rsidRDefault="008B4649">
      <w:pPr>
        <w:pBdr>
          <w:top w:val="nil"/>
          <w:left w:val="nil"/>
          <w:bottom w:val="nil"/>
          <w:right w:val="nil"/>
          <w:between w:val="nil"/>
        </w:pBdr>
        <w:ind w:right="277"/>
        <w:jc w:val="both"/>
        <w:rPr>
          <w:rFonts w:ascii="Palatino Linotype" w:eastAsia="Palatino Linotype" w:hAnsi="Palatino Linotype" w:cs="Palatino Linotype"/>
          <w:i/>
          <w:iCs/>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color w:val="000000"/>
          <w:sz w:val="22"/>
          <w:szCs w:val="22"/>
        </w:rPr>
        <w:t xml:space="preserve">En respuesta,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entrego la información referida en el párrafo ocho de la solicitud de información.  </w:t>
      </w:r>
    </w:p>
    <w:p w:rsidR="008B4649" w:rsidRDefault="008B4649">
      <w:pPr>
        <w:pBdr>
          <w:top w:val="nil"/>
          <w:left w:val="nil"/>
          <w:bottom w:val="nil"/>
          <w:right w:val="nil"/>
          <w:between w:val="nil"/>
        </w:pBdr>
        <w:spacing w:line="360" w:lineRule="auto"/>
        <w:ind w:right="-787"/>
        <w:jc w:val="both"/>
        <w:rPr>
          <w:rFonts w:ascii="Palatino Linotype" w:eastAsia="Palatino Linotype" w:hAnsi="Palatino Linotype" w:cs="Palatino Linotype"/>
          <w:i/>
          <w:iCs/>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dichas condiciones, la </w:t>
      </w:r>
      <w:r>
        <w:rPr>
          <w:rFonts w:ascii="Palatino Linotype" w:eastAsia="Palatino Linotype" w:hAnsi="Palatino Linotype" w:cs="Palatino Linotype"/>
          <w:i/>
          <w:iCs/>
          <w:color w:val="000000"/>
          <w:sz w:val="22"/>
          <w:szCs w:val="22"/>
        </w:rPr>
        <w:t>Litis</w:t>
      </w:r>
      <w:r>
        <w:rPr>
          <w:rFonts w:ascii="Palatino Linotype" w:eastAsia="Palatino Linotype" w:hAnsi="Palatino Linotype" w:cs="Palatino Linotype"/>
          <w:color w:val="000000"/>
          <w:sz w:val="22"/>
          <w:szCs w:val="22"/>
        </w:rPr>
        <w:t xml:space="preserve"> a resolver en estos recursos se circunscribe a determinar si se actualizan las causales de procedencia previstas en el artículo 179, </w:t>
      </w:r>
      <w:r>
        <w:rPr>
          <w:rFonts w:ascii="Palatino Linotype" w:eastAsia="Palatino Linotype" w:hAnsi="Palatino Linotype" w:cs="Palatino Linotype"/>
          <w:b/>
          <w:bCs/>
          <w:color w:val="000000"/>
          <w:sz w:val="22"/>
          <w:szCs w:val="22"/>
        </w:rPr>
        <w:t xml:space="preserve">fracción VI </w:t>
      </w:r>
      <w:r>
        <w:rPr>
          <w:rFonts w:ascii="Palatino Linotype" w:eastAsia="Palatino Linotype" w:hAnsi="Palatino Linotype" w:cs="Palatino Linotype"/>
          <w:color w:val="000000"/>
          <w:sz w:val="22"/>
          <w:szCs w:val="22"/>
        </w:rPr>
        <w:t>de la Ley</w:t>
      </w:r>
      <w:r>
        <w:rPr>
          <w:rFonts w:ascii="Palatino Linotype" w:eastAsia="Palatino Linotype" w:hAnsi="Palatino Linotype" w:cs="Palatino Linotype"/>
          <w:b/>
          <w:bCs/>
          <w:color w:val="000000"/>
          <w:sz w:val="22"/>
          <w:szCs w:val="22"/>
        </w:rPr>
        <w:t xml:space="preserve"> de Transparencia y Acceso a la Información Pública del Estado de </w:t>
      </w:r>
      <w:r>
        <w:rPr>
          <w:rFonts w:ascii="Palatino Linotype" w:eastAsia="Palatino Linotype" w:hAnsi="Palatino Linotype" w:cs="Palatino Linotype"/>
          <w:color w:val="000000"/>
          <w:sz w:val="22"/>
          <w:szCs w:val="22"/>
        </w:rPr>
        <w:t>México</w:t>
      </w:r>
      <w:r>
        <w:rPr>
          <w:rFonts w:ascii="Palatino Linotype" w:eastAsia="Palatino Linotype" w:hAnsi="Palatino Linotype" w:cs="Palatino Linotype"/>
          <w:b/>
          <w:bCs/>
          <w:color w:val="000000"/>
          <w:sz w:val="22"/>
          <w:szCs w:val="22"/>
        </w:rPr>
        <w:t xml:space="preserve"> y Municipios</w:t>
      </w:r>
      <w:r>
        <w:rPr>
          <w:rFonts w:ascii="Palatino Linotype" w:eastAsia="Palatino Linotype" w:hAnsi="Palatino Linotype" w:cs="Palatino Linotype"/>
          <w:color w:val="000000"/>
          <w:sz w:val="22"/>
          <w:szCs w:val="22"/>
        </w:rPr>
        <w:t xml:space="preserve">; fracción que determina la hipótesis jurídica relativa a la entrega de información que no corresponde con lo solicitado; contexto del cual se dolió </w:t>
      </w:r>
      <w:r>
        <w:rPr>
          <w:rFonts w:ascii="Palatino Linotype" w:eastAsia="Palatino Linotype" w:hAnsi="Palatino Linotype" w:cs="Palatino Linotype"/>
          <w:b/>
          <w:bCs/>
          <w:color w:val="000000"/>
          <w:sz w:val="22"/>
          <w:szCs w:val="22"/>
        </w:rPr>
        <w:t xml:space="preserve">EL RECURRENTE </w:t>
      </w:r>
      <w:r>
        <w:rPr>
          <w:rFonts w:ascii="Palatino Linotype" w:eastAsia="Palatino Linotype" w:hAnsi="Palatino Linotype" w:cs="Palatino Linotype"/>
          <w:color w:val="000000"/>
          <w:sz w:val="22"/>
          <w:szCs w:val="22"/>
        </w:rPr>
        <w:t>al momento de interponer su inconformidad.</w:t>
      </w:r>
    </w:p>
    <w:p w:rsidR="008B4649" w:rsidRDefault="008B464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modo tal que el presente recurso de revisión se </w:t>
      </w:r>
      <w:r>
        <w:rPr>
          <w:rFonts w:ascii="Palatino Linotype" w:eastAsia="Palatino Linotype" w:hAnsi="Palatino Linotype" w:cs="Palatino Linotype"/>
          <w:sz w:val="22"/>
          <w:szCs w:val="22"/>
        </w:rPr>
        <w:t>abocara</w:t>
      </w:r>
      <w:r>
        <w:rPr>
          <w:rFonts w:ascii="Palatino Linotype" w:eastAsia="Palatino Linotype" w:hAnsi="Palatino Linotype" w:cs="Palatino Linotype"/>
          <w:color w:val="000000"/>
          <w:sz w:val="22"/>
          <w:szCs w:val="22"/>
        </w:rPr>
        <w:t xml:space="preserve"> en determinar si 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xml:space="preserve"> con su respuesta ciertamente actualiza la causal de procedencia</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8B4649" w:rsidRDefault="008B4649">
      <w:pPr>
        <w:pBdr>
          <w:top w:val="nil"/>
          <w:left w:val="nil"/>
          <w:bottom w:val="nil"/>
          <w:right w:val="nil"/>
          <w:between w:val="nil"/>
        </w:pBdr>
        <w:spacing w:line="360" w:lineRule="auto"/>
        <w:ind w:left="709" w:right="-787"/>
        <w:rPr>
          <w:rFonts w:ascii="Palatino Linotype" w:eastAsia="Palatino Linotype" w:hAnsi="Palatino Linotype" w:cs="Palatino Linotype"/>
          <w:color w:val="000000"/>
          <w:sz w:val="22"/>
          <w:szCs w:val="22"/>
        </w:rPr>
      </w:pPr>
    </w:p>
    <w:p w:rsidR="008B4649" w:rsidRDefault="007203B0">
      <w:pPr>
        <w:keepNext/>
        <w:keepLines/>
        <w:spacing w:line="360" w:lineRule="auto"/>
        <w:ind w:right="-787"/>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CUARTO. Del estudio y resolución del estudio.</w:t>
      </w:r>
    </w:p>
    <w:p w:rsidR="008B4649" w:rsidRDefault="007203B0">
      <w:pPr>
        <w:keepNext/>
        <w:keepLines/>
        <w:numPr>
          <w:ilvl w:val="0"/>
          <w:numId w:val="5"/>
        </w:numPr>
        <w:spacing w:after="240" w:line="360" w:lineRule="auto"/>
        <w:ind w:left="786" w:right="-787"/>
        <w:rPr>
          <w:rFonts w:ascii="Palatino Linotype" w:eastAsia="Palatino Linotype" w:hAnsi="Palatino Linotype" w:cs="Palatino Linotype"/>
          <w:b/>
          <w:bCs/>
          <w:color w:val="000000"/>
          <w:sz w:val="22"/>
          <w:szCs w:val="22"/>
        </w:rPr>
      </w:pPr>
      <w:bookmarkStart w:id="12" w:name="_heading=h.17dp8vu" w:colFirst="0" w:colLast="0"/>
      <w:bookmarkEnd w:id="12"/>
      <w:r>
        <w:rPr>
          <w:rFonts w:ascii="Palatino Linotype" w:eastAsia="Palatino Linotype" w:hAnsi="Palatino Linotype" w:cs="Palatino Linotype"/>
          <w:b/>
          <w:bCs/>
          <w:color w:val="000000"/>
          <w:sz w:val="22"/>
          <w:szCs w:val="22"/>
        </w:rPr>
        <w:t>Del derecho de acceso a la información.</w:t>
      </w: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8B4649" w:rsidRDefault="007203B0">
      <w:pPr>
        <w:numPr>
          <w:ilvl w:val="0"/>
          <w:numId w:val="4"/>
        </w:numPr>
        <w:spacing w:before="240"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Definiendo el Derecho de Acceso a la Información Pública como: </w:t>
      </w:r>
      <w:r>
        <w:rPr>
          <w:rFonts w:ascii="Palatino Linotype" w:eastAsia="Palatino Linotype" w:hAnsi="Palatino Linotype" w:cs="Palatino Linotype"/>
          <w:i/>
          <w:iCs/>
          <w:color w:val="000000"/>
          <w:sz w:val="22"/>
          <w:szCs w:val="22"/>
        </w:rPr>
        <w:t>La igualdad de oportunidades para recibir, buscar e impartir información</w:t>
      </w:r>
      <w:r>
        <w:rPr>
          <w:rFonts w:ascii="Palatino Linotype" w:eastAsia="Palatino Linotype" w:hAnsi="Palatino Linotype" w:cs="Palatino Linotype"/>
          <w:i/>
          <w:iCs/>
          <w:sz w:val="22"/>
          <w:szCs w:val="22"/>
          <w:vertAlign w:val="superscript"/>
        </w:rPr>
        <w:footnoteReference w:id="1"/>
      </w:r>
      <w:r>
        <w:rPr>
          <w:rFonts w:ascii="Palatino Linotype" w:eastAsia="Palatino Linotype" w:hAnsi="Palatino Linotype" w:cs="Palatino Linotype"/>
          <w:i/>
          <w:iCs/>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iCs/>
          <w:sz w:val="22"/>
          <w:szCs w:val="22"/>
          <w:vertAlign w:val="superscript"/>
        </w:rPr>
        <w:footnoteReference w:id="2"/>
      </w:r>
      <w:r>
        <w:rPr>
          <w:rFonts w:ascii="Palatino Linotype" w:eastAsia="Palatino Linotype" w:hAnsi="Palatino Linotype" w:cs="Palatino Linotype"/>
          <w:color w:val="000000"/>
          <w:sz w:val="22"/>
          <w:szCs w:val="22"/>
        </w:rPr>
        <w:t>que se constituye como una herramienta fundamental para ejercer</w:t>
      </w:r>
      <w:r>
        <w:rPr>
          <w:rFonts w:ascii="Palatino Linotype" w:eastAsia="Palatino Linotype" w:hAnsi="Palatino Linotype" w:cs="Palatino Linotype"/>
          <w:i/>
          <w:iCs/>
          <w:color w:val="000000"/>
          <w:sz w:val="22"/>
          <w:szCs w:val="22"/>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iCs/>
          <w:sz w:val="22"/>
          <w:szCs w:val="22"/>
          <w:vertAlign w:val="superscript"/>
        </w:rPr>
        <w:footnoteReference w:id="3"/>
      </w:r>
      <w:r>
        <w:rPr>
          <w:rFonts w:ascii="Palatino Linotype" w:eastAsia="Palatino Linotype" w:hAnsi="Palatino Linotype" w:cs="Palatino Linotype"/>
          <w:color w:val="000000"/>
          <w:sz w:val="22"/>
          <w:szCs w:val="22"/>
        </w:rPr>
        <w:t>fomentando</w:t>
      </w:r>
      <w:r>
        <w:rPr>
          <w:rFonts w:ascii="Palatino Linotype" w:eastAsia="Palatino Linotype" w:hAnsi="Palatino Linotype" w:cs="Palatino Linotype"/>
          <w:i/>
          <w:iCs/>
          <w:color w:val="000000"/>
          <w:sz w:val="22"/>
          <w:szCs w:val="22"/>
        </w:rPr>
        <w:t xml:space="preserve"> la transparencia de las actividades estatales y </w:t>
      </w:r>
      <w:r>
        <w:rPr>
          <w:rFonts w:ascii="Palatino Linotype" w:eastAsia="Palatino Linotype" w:hAnsi="Palatino Linotype" w:cs="Palatino Linotype"/>
          <w:color w:val="000000"/>
          <w:sz w:val="22"/>
          <w:szCs w:val="22"/>
        </w:rPr>
        <w:t>promoviendo</w:t>
      </w:r>
      <w:r>
        <w:rPr>
          <w:rFonts w:ascii="Palatino Linotype" w:eastAsia="Palatino Linotype" w:hAnsi="Palatino Linotype" w:cs="Palatino Linotype"/>
          <w:i/>
          <w:iCs/>
          <w:color w:val="000000"/>
          <w:sz w:val="22"/>
          <w:szCs w:val="22"/>
        </w:rPr>
        <w:t xml:space="preserve"> la responsabilidad de los funcionarios sobre su gestión pública,</w:t>
      </w:r>
      <w:r>
        <w:rPr>
          <w:rFonts w:ascii="Palatino Linotype" w:eastAsia="Palatino Linotype" w:hAnsi="Palatino Linotype" w:cs="Palatino Linotype"/>
          <w:i/>
          <w:iCs/>
          <w:sz w:val="22"/>
          <w:szCs w:val="22"/>
          <w:vertAlign w:val="superscript"/>
        </w:rPr>
        <w:footnoteReference w:id="4"/>
      </w:r>
      <w:r>
        <w:rPr>
          <w:rFonts w:ascii="Palatino Linotype" w:eastAsia="Palatino Linotype" w:hAnsi="Palatino Linotype" w:cs="Palatino Linotype"/>
          <w:color w:val="000000"/>
          <w:sz w:val="22"/>
          <w:szCs w:val="22"/>
        </w:rPr>
        <w:t>que permite</w:t>
      </w:r>
      <w:r>
        <w:rPr>
          <w:rFonts w:ascii="Palatino Linotype" w:eastAsia="Palatino Linotype" w:hAnsi="Palatino Linotype" w:cs="Palatino Linotype"/>
          <w:i/>
          <w:iCs/>
          <w:color w:val="000000"/>
          <w:sz w:val="22"/>
          <w:szCs w:val="22"/>
        </w:rPr>
        <w:t xml:space="preserve"> saber qué están haciendo los gobiernos por sus pueblos, sin lo cual la verdad languidecería y la participación en el gobierno permanecería fragmentada.</w:t>
      </w:r>
    </w:p>
    <w:p w:rsidR="008B4649" w:rsidRDefault="008B4649">
      <w:pPr>
        <w:spacing w:line="360" w:lineRule="auto"/>
        <w:ind w:right="-787"/>
        <w:jc w:val="both"/>
        <w:rPr>
          <w:rFonts w:ascii="Palatino Linotype" w:eastAsia="Palatino Linotype" w:hAnsi="Palatino Linotype" w:cs="Palatino Linotype"/>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México, además de los derechos, están reconocidas las garantías para su protección, en ese sentido el párrafo tercero de artículo primero de la Constitución Política de los Estados Unidos Mexicanos dispone lo siguiente:</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w:t>
      </w:r>
      <w:r>
        <w:rPr>
          <w:rFonts w:ascii="Palatino Linotype" w:eastAsia="Palatino Linotype" w:hAnsi="Palatino Linotype" w:cs="Palatino Linotype"/>
          <w:i/>
          <w:iCs/>
          <w:sz w:val="22"/>
          <w:szCs w:val="22"/>
        </w:rPr>
        <w:t xml:space="preserve">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iCs/>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B4649" w:rsidRDefault="007203B0">
      <w:pPr>
        <w:ind w:left="1134" w:right="277"/>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sz w:val="22"/>
          <w:szCs w:val="22"/>
        </w:rPr>
        <w:t>”.</w:t>
      </w:r>
    </w:p>
    <w:p w:rsidR="008B4649" w:rsidRDefault="008B4649">
      <w:pPr>
        <w:ind w:right="277"/>
        <w:jc w:val="both"/>
        <w:rPr>
          <w:rFonts w:ascii="Palatino Linotype" w:eastAsia="Palatino Linotype" w:hAnsi="Palatino Linotype" w:cs="Palatino Linotype"/>
          <w:b/>
          <w:bCs/>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8B4649" w:rsidRDefault="008B4649">
      <w:pPr>
        <w:spacing w:line="360" w:lineRule="auto"/>
        <w:ind w:right="-787"/>
        <w:jc w:val="both"/>
        <w:rPr>
          <w:rFonts w:ascii="Palatino Linotype" w:eastAsia="Palatino Linotype" w:hAnsi="Palatino Linotype" w:cs="Palatino Linotype"/>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8B4649" w:rsidRDefault="008B4649">
      <w:pPr>
        <w:spacing w:line="360" w:lineRule="auto"/>
        <w:ind w:right="-787"/>
        <w:jc w:val="both"/>
        <w:rPr>
          <w:rFonts w:ascii="Palatino Linotype" w:eastAsia="Palatino Linotype" w:hAnsi="Palatino Linotype" w:cs="Palatino Linotype"/>
          <w:sz w:val="22"/>
          <w:szCs w:val="22"/>
        </w:rPr>
      </w:pPr>
    </w:p>
    <w:p w:rsidR="008B4649" w:rsidRDefault="007203B0">
      <w:pPr>
        <w:spacing w:after="240"/>
        <w:ind w:left="1134" w:right="27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 los Estados Unidos Mexicanos</w:t>
      </w:r>
    </w:p>
    <w:p w:rsidR="008B4649" w:rsidRDefault="007203B0">
      <w:pPr>
        <w:spacing w:before="240" w:after="240"/>
        <w:ind w:left="1134" w:right="27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“Artículo 6.</w:t>
      </w:r>
    </w:p>
    <w:p w:rsidR="008B4649" w:rsidRDefault="007203B0">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8B4649" w:rsidRDefault="007203B0">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efectos de lo dispuesto en el presente artículo se observará lo siguiente:</w:t>
      </w:r>
    </w:p>
    <w:p w:rsidR="008B4649" w:rsidRDefault="007203B0">
      <w:pPr>
        <w:spacing w:before="240" w:after="240"/>
        <w:ind w:left="1134" w:right="27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Para el ejercicio del derecho de acceso a la información</w:t>
      </w:r>
      <w:r>
        <w:rPr>
          <w:rFonts w:ascii="Palatino Linotype" w:eastAsia="Palatino Linotype" w:hAnsi="Palatino Linotype" w:cs="Palatino Linotype"/>
          <w:i/>
          <w:iCs/>
          <w:sz w:val="22"/>
          <w:szCs w:val="22"/>
        </w:rPr>
        <w:t xml:space="preserve">, la Federación y </w:t>
      </w:r>
      <w:r>
        <w:rPr>
          <w:rFonts w:ascii="Palatino Linotype" w:eastAsia="Palatino Linotype" w:hAnsi="Palatino Linotype" w:cs="Palatino Linotype"/>
          <w:b/>
          <w:bCs/>
          <w:i/>
          <w:iCs/>
          <w:sz w:val="22"/>
          <w:szCs w:val="22"/>
        </w:rPr>
        <w:t>las entidades federativas, en el ámbito de sus respectivas competencias, se regirán por los siguientes principios y bases:</w:t>
      </w:r>
    </w:p>
    <w:p w:rsidR="008B4649" w:rsidRDefault="007203B0">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 </w:t>
      </w:r>
      <w:r>
        <w:rPr>
          <w:rFonts w:ascii="Palatino Linotype" w:eastAsia="Palatino Linotype" w:hAnsi="Palatino Linotype" w:cs="Palatino Linotype"/>
          <w:b/>
          <w:bCs/>
          <w:i/>
          <w:iCs/>
          <w:sz w:val="22"/>
          <w:szCs w:val="22"/>
        </w:rPr>
        <w:tab/>
        <w:t>Toda la información en posesión de cualquier</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autoridad</w:t>
      </w:r>
      <w:r>
        <w:rPr>
          <w:rFonts w:ascii="Palatino Linotype" w:eastAsia="Palatino Linotype" w:hAnsi="Palatino Linotype" w:cs="Palatino Linotype"/>
          <w:i/>
          <w:iCs/>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bCs/>
          <w:i/>
          <w:iCs/>
          <w:sz w:val="22"/>
          <w:szCs w:val="22"/>
        </w:rPr>
        <w:t>municipal</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bCs/>
          <w:i/>
          <w:iCs/>
          <w:sz w:val="22"/>
          <w:szCs w:val="22"/>
        </w:rPr>
        <w:t xml:space="preserve">En la interpretación de este derecho deberá prevalecer el principio de </w:t>
      </w:r>
      <w:r>
        <w:rPr>
          <w:rFonts w:ascii="Palatino Linotype" w:eastAsia="Palatino Linotype" w:hAnsi="Palatino Linotype" w:cs="Palatino Linotype"/>
          <w:b/>
          <w:bCs/>
          <w:i/>
          <w:iCs/>
          <w:sz w:val="22"/>
          <w:szCs w:val="22"/>
        </w:rPr>
        <w:lastRenderedPageBreak/>
        <w:t>máxima publicidad. Los sujetos obligados deberán documentar todo acto que derive del 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rsidR="008B4649" w:rsidRDefault="008B4649">
      <w:pPr>
        <w:pBdr>
          <w:top w:val="nil"/>
          <w:left w:val="nil"/>
          <w:bottom w:val="nil"/>
          <w:right w:val="nil"/>
          <w:between w:val="nil"/>
        </w:pBdr>
        <w:tabs>
          <w:tab w:val="left" w:pos="567"/>
        </w:tabs>
        <w:spacing w:before="240" w:after="240"/>
        <w:ind w:left="1134" w:right="277"/>
        <w:jc w:val="both"/>
        <w:rPr>
          <w:rFonts w:ascii="Palatino Linotype" w:eastAsia="Palatino Linotype" w:hAnsi="Palatino Linotype" w:cs="Palatino Linotype"/>
          <w:b/>
          <w:bCs/>
          <w:i/>
          <w:iCs/>
          <w:color w:val="000000"/>
          <w:sz w:val="22"/>
          <w:szCs w:val="22"/>
        </w:rPr>
      </w:pPr>
    </w:p>
    <w:p w:rsidR="008B4649" w:rsidRDefault="007203B0">
      <w:pPr>
        <w:spacing w:before="240" w:after="240"/>
        <w:ind w:left="1134" w:right="27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del Estado Libre y Soberano de México</w:t>
      </w:r>
    </w:p>
    <w:p w:rsidR="008B4649" w:rsidRDefault="007203B0">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5</w:t>
      </w:r>
      <w:r>
        <w:rPr>
          <w:rFonts w:ascii="Palatino Linotype" w:eastAsia="Palatino Linotype" w:hAnsi="Palatino Linotype" w:cs="Palatino Linotype"/>
          <w:i/>
          <w:iCs/>
          <w:sz w:val="22"/>
          <w:szCs w:val="22"/>
        </w:rPr>
        <w:t xml:space="preserve">.- </w:t>
      </w:r>
    </w:p>
    <w:p w:rsidR="008B4649" w:rsidRDefault="007203B0">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8B4649" w:rsidRDefault="007203B0">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iCs/>
          <w:sz w:val="22"/>
          <w:szCs w:val="22"/>
        </w:rPr>
        <w:t>.</w:t>
      </w:r>
    </w:p>
    <w:p w:rsidR="008B4649" w:rsidRDefault="007203B0">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B4649" w:rsidRDefault="007203B0">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Este derecho se regirá por los principios y bases siguientes</w:t>
      </w:r>
      <w:r>
        <w:rPr>
          <w:rFonts w:ascii="Palatino Linotype" w:eastAsia="Palatino Linotype" w:hAnsi="Palatino Linotype" w:cs="Palatino Linotype"/>
          <w:i/>
          <w:iCs/>
          <w:sz w:val="22"/>
          <w:szCs w:val="22"/>
        </w:rPr>
        <w:t>:</w:t>
      </w:r>
    </w:p>
    <w:p w:rsidR="008B4649" w:rsidRDefault="007203B0">
      <w:pPr>
        <w:spacing w:before="240" w:after="240"/>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 Toda la información en posesión de cualquier autoridad, entidad, órgano y organismos de los</w:t>
      </w:r>
      <w:r>
        <w:rPr>
          <w:rFonts w:ascii="Palatino Linotype" w:eastAsia="Palatino Linotype" w:hAnsi="Palatino Linotype" w:cs="Palatino Linotype"/>
          <w:i/>
          <w:iCs/>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bCs/>
          <w:i/>
          <w:iCs/>
          <w:sz w:val="22"/>
          <w:szCs w:val="22"/>
        </w:rPr>
        <w:t>municipales</w:t>
      </w:r>
      <w:r>
        <w:rPr>
          <w:rFonts w:ascii="Palatino Linotype" w:eastAsia="Palatino Linotype" w:hAnsi="Palatino Linotype" w:cs="Palatino Linotype"/>
          <w:i/>
          <w:iCs/>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bCs/>
          <w:i/>
          <w:iCs/>
          <w:sz w:val="22"/>
          <w:szCs w:val="22"/>
        </w:rPr>
        <w:t>En la interpretación de este derecho deberá prevalecer el principio de máxima publicidad</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Los sujetos obligados deberán documentar todo acto que derive del ejercicio de sus facultades, competencias o funciones</w:t>
      </w:r>
      <w:r>
        <w:rPr>
          <w:rFonts w:ascii="Palatino Linotype" w:eastAsia="Palatino Linotype" w:hAnsi="Palatino Linotype" w:cs="Palatino Linotype"/>
          <w:i/>
          <w:iCs/>
          <w:sz w:val="22"/>
          <w:szCs w:val="22"/>
        </w:rPr>
        <w:t xml:space="preserve">, la ley determinará los supuestos </w:t>
      </w:r>
      <w:r>
        <w:rPr>
          <w:rFonts w:ascii="Palatino Linotype" w:eastAsia="Palatino Linotype" w:hAnsi="Palatino Linotype" w:cs="Palatino Linotype"/>
          <w:i/>
          <w:iCs/>
          <w:sz w:val="22"/>
          <w:szCs w:val="22"/>
        </w:rPr>
        <w:lastRenderedPageBreak/>
        <w:t>específicos bajo los cuales procederá la declaración de inexistencia de la información.”</w:t>
      </w:r>
    </w:p>
    <w:p w:rsidR="008B4649" w:rsidRDefault="008B4649">
      <w:pPr>
        <w:tabs>
          <w:tab w:val="left" w:pos="567"/>
        </w:tabs>
        <w:spacing w:before="240" w:after="240"/>
        <w:ind w:right="-787"/>
        <w:jc w:val="both"/>
        <w:rPr>
          <w:rFonts w:ascii="Palatino Linotype" w:eastAsia="Palatino Linotype" w:hAnsi="Palatino Linotype" w:cs="Palatino Linotype"/>
          <w:b/>
          <w:bCs/>
          <w:i/>
          <w:iCs/>
          <w:sz w:val="22"/>
          <w:szCs w:val="22"/>
        </w:rPr>
      </w:pPr>
    </w:p>
    <w:p w:rsidR="008B4649" w:rsidRDefault="007203B0">
      <w:pPr>
        <w:numPr>
          <w:ilvl w:val="0"/>
          <w:numId w:val="4"/>
        </w:numPr>
        <w:spacing w:before="240"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iCs/>
          <w:sz w:val="22"/>
          <w:szCs w:val="22"/>
        </w:rPr>
        <w:t>por los principios de simplicidad, rapidez gratuidad del procedimiento, auxilio y orientación a los particulares</w:t>
      </w:r>
      <w:r>
        <w:rPr>
          <w:rFonts w:ascii="Palatino Linotype" w:eastAsia="Palatino Linotype" w:hAnsi="Palatino Linotype" w:cs="Palatino Linotype"/>
          <w:sz w:val="22"/>
          <w:szCs w:val="22"/>
        </w:rPr>
        <w:t>, contemplando el derecho de las personas con discapacidad y hablantes de lengua indígena.</w:t>
      </w:r>
    </w:p>
    <w:p w:rsidR="008B4649" w:rsidRDefault="008B4649">
      <w:pPr>
        <w:spacing w:line="360" w:lineRule="auto"/>
        <w:ind w:right="-787"/>
        <w:jc w:val="both"/>
        <w:rPr>
          <w:rFonts w:ascii="Palatino Linotype" w:eastAsia="Palatino Linotype" w:hAnsi="Palatino Linotype" w:cs="Palatino Linotype"/>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Derecho de Acceso a la Información se garantiza y respeta oportunamente, y según lo que dispone la Ley, las </w:t>
      </w:r>
      <w:r>
        <w:rPr>
          <w:rFonts w:ascii="Palatino Linotype" w:eastAsia="Palatino Linotype" w:hAnsi="Palatino Linotype" w:cs="Palatino Linotype"/>
          <w:i/>
          <w:iCs/>
          <w:sz w:val="22"/>
          <w:szCs w:val="22"/>
        </w:rPr>
        <w:t>solicitudes de acceso a la información</w:t>
      </w:r>
      <w:r>
        <w:rPr>
          <w:rFonts w:ascii="Palatino Linotype" w:eastAsia="Palatino Linotype" w:hAnsi="Palatino Linotype" w:cs="Palatino Linotype"/>
          <w:sz w:val="22"/>
          <w:szCs w:val="22"/>
        </w:rPr>
        <w:t>.</w:t>
      </w:r>
    </w:p>
    <w:p w:rsidR="008B4649" w:rsidRDefault="008B4649">
      <w:pPr>
        <w:spacing w:line="360" w:lineRule="auto"/>
        <w:ind w:right="-787"/>
        <w:jc w:val="both"/>
        <w:rPr>
          <w:rFonts w:ascii="Palatino Linotype" w:eastAsia="Palatino Linotype" w:hAnsi="Palatino Linotype" w:cs="Palatino Linotype"/>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bookmarkStart w:id="13" w:name="_heading=h.3rdcrjn" w:colFirst="0" w:colLast="0"/>
      <w:bookmarkEnd w:id="13"/>
      <w:r>
        <w:rPr>
          <w:rFonts w:ascii="Palatino Linotype" w:eastAsia="Palatino Linotype" w:hAnsi="Palatino Linotype" w:cs="Palatino Linotype"/>
          <w:sz w:val="22"/>
          <w:szCs w:val="22"/>
        </w:rPr>
        <w:t xml:space="preserve">Así entonces, se procede analizar, en primer lugar, si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8B4649" w:rsidRDefault="008B4649">
      <w:pPr>
        <w:spacing w:line="360" w:lineRule="auto"/>
        <w:ind w:right="-787"/>
        <w:jc w:val="both"/>
        <w:rPr>
          <w:rFonts w:ascii="Palatino Linotype" w:eastAsia="Palatino Linotype" w:hAnsi="Palatino Linotype" w:cs="Palatino Linotype"/>
          <w:sz w:val="22"/>
          <w:szCs w:val="22"/>
        </w:rPr>
      </w:pPr>
    </w:p>
    <w:p w:rsidR="008B4649" w:rsidRDefault="007203B0">
      <w:pPr>
        <w:pStyle w:val="Ttulo1"/>
        <w:spacing w:before="0" w:after="240" w:line="360" w:lineRule="auto"/>
        <w:ind w:right="-787"/>
        <w:rPr>
          <w:rFonts w:ascii="Palatino Linotype" w:eastAsia="Palatino Linotype" w:hAnsi="Palatino Linotype" w:cs="Palatino Linotype"/>
          <w:b/>
          <w:bCs/>
          <w:color w:val="000000"/>
          <w:sz w:val="22"/>
          <w:szCs w:val="22"/>
        </w:rPr>
      </w:pPr>
      <w:bookmarkStart w:id="14" w:name="_heading=h.26in1rg" w:colFirst="0" w:colLast="0"/>
      <w:bookmarkEnd w:id="14"/>
      <w:r>
        <w:rPr>
          <w:rFonts w:ascii="Palatino Linotype" w:eastAsia="Palatino Linotype" w:hAnsi="Palatino Linotype" w:cs="Palatino Linotype"/>
          <w:b/>
          <w:bCs/>
          <w:color w:val="000000"/>
          <w:sz w:val="22"/>
          <w:szCs w:val="22"/>
        </w:rPr>
        <w:t>II. De la información solicitada y la respuesta del SUJETO OBLIGADO</w:t>
      </w: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Acotada la </w:t>
      </w:r>
      <w:r>
        <w:rPr>
          <w:rFonts w:ascii="Palatino Linotype" w:eastAsia="Palatino Linotype" w:hAnsi="Palatino Linotype" w:cs="Palatino Linotype"/>
          <w:i/>
          <w:iCs/>
          <w:color w:val="000000"/>
          <w:sz w:val="22"/>
          <w:szCs w:val="22"/>
        </w:rPr>
        <w:t>Litis</w:t>
      </w:r>
      <w:r>
        <w:rPr>
          <w:rFonts w:ascii="Palatino Linotype" w:eastAsia="Palatino Linotype" w:hAnsi="Palatino Linotype" w:cs="Palatino Linotype"/>
          <w:color w:val="000000"/>
          <w:sz w:val="22"/>
          <w:szCs w:val="22"/>
        </w:rPr>
        <w:t xml:space="preserve"> del presente asunto, primeramente es menester precisar que del escrito de inconformidad, se observa que el particular se duele por la negativa de la información solicitada. </w:t>
      </w:r>
    </w:p>
    <w:p w:rsidR="008B4649" w:rsidRDefault="008B4649">
      <w:pPr>
        <w:spacing w:line="360" w:lineRule="auto"/>
        <w:ind w:right="-787"/>
        <w:jc w:val="both"/>
        <w:rPr>
          <w:rFonts w:ascii="Palatino Linotype" w:eastAsia="Palatino Linotype" w:hAnsi="Palatino Linotype" w:cs="Palatino Linotype"/>
          <w:sz w:val="22"/>
          <w:szCs w:val="22"/>
        </w:rPr>
      </w:pPr>
    </w:p>
    <w:p w:rsidR="008B4649" w:rsidRPr="00793EC1" w:rsidRDefault="007203B0" w:rsidP="00793EC1">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es importante recordar la información que fue solicitada por el </w:t>
      </w:r>
      <w:r>
        <w:rPr>
          <w:rFonts w:ascii="Palatino Linotype" w:eastAsia="Palatino Linotype" w:hAnsi="Palatino Linotype" w:cs="Palatino Linotype"/>
          <w:b/>
          <w:bCs/>
          <w:sz w:val="22"/>
          <w:szCs w:val="22"/>
        </w:rPr>
        <w:t xml:space="preserve">RECURRENTE </w:t>
      </w:r>
      <w:r>
        <w:rPr>
          <w:rFonts w:ascii="Palatino Linotype" w:eastAsia="Palatino Linotype" w:hAnsi="Palatino Linotype" w:cs="Palatino Linotype"/>
          <w:sz w:val="22"/>
          <w:szCs w:val="22"/>
        </w:rPr>
        <w:t xml:space="preserve">así como la información proporcionada por el </w:t>
      </w:r>
      <w:r>
        <w:rPr>
          <w:rFonts w:ascii="Palatino Linotype" w:eastAsia="Palatino Linotype" w:hAnsi="Palatino Linotype" w:cs="Palatino Linotype"/>
          <w:b/>
          <w:bCs/>
          <w:sz w:val="22"/>
          <w:szCs w:val="22"/>
        </w:rPr>
        <w:t xml:space="preserve">SUJETO OBLIGADO. </w:t>
      </w:r>
    </w:p>
    <w:tbl>
      <w:tblPr>
        <w:tblStyle w:val="a2"/>
        <w:tblpPr w:leftFromText="141" w:rightFromText="141" w:vertAnchor="text" w:tblpX="628" w:tblpY="168"/>
        <w:tblW w:w="8205"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635"/>
        <w:gridCol w:w="1843"/>
        <w:gridCol w:w="1787"/>
        <w:gridCol w:w="1940"/>
      </w:tblGrid>
      <w:tr w:rsidR="008B4649">
        <w:tc>
          <w:tcPr>
            <w:tcW w:w="2635" w:type="dxa"/>
          </w:tcPr>
          <w:p w:rsidR="008B4649" w:rsidRDefault="007203B0">
            <w:pP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lastRenderedPageBreak/>
              <w:t>Información solicitada</w:t>
            </w:r>
          </w:p>
        </w:tc>
        <w:tc>
          <w:tcPr>
            <w:tcW w:w="1843" w:type="dxa"/>
          </w:tcPr>
          <w:p w:rsidR="008B4649" w:rsidRDefault="007203B0">
            <w:pP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Respuesta</w:t>
            </w:r>
          </w:p>
        </w:tc>
        <w:tc>
          <w:tcPr>
            <w:tcW w:w="1787" w:type="dxa"/>
          </w:tcPr>
          <w:p w:rsidR="008B4649" w:rsidRDefault="007203B0">
            <w:pP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Informe justificado</w:t>
            </w:r>
          </w:p>
        </w:tc>
        <w:tc>
          <w:tcPr>
            <w:tcW w:w="1940" w:type="dxa"/>
          </w:tcPr>
          <w:p w:rsidR="008B4649" w:rsidRDefault="007203B0">
            <w:pP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Colma </w:t>
            </w:r>
          </w:p>
        </w:tc>
      </w:tr>
      <w:tr w:rsidR="008B4649">
        <w:tc>
          <w:tcPr>
            <w:tcW w:w="2635" w:type="dxa"/>
          </w:tcPr>
          <w:p w:rsidR="008B4649" w:rsidRDefault="007203B0">
            <w:pP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1.- Techo presupuestal asignado a cada una de las siete Regidurías y la Sindicatura del Ayuntamiento de Teoloyucan, Estado de México.</w:t>
            </w:r>
          </w:p>
          <w:p w:rsidR="008B4649" w:rsidRDefault="008B4649">
            <w:pPr>
              <w:pBdr>
                <w:top w:val="nil"/>
                <w:left w:val="nil"/>
                <w:bottom w:val="nil"/>
                <w:right w:val="nil"/>
                <w:between w:val="nil"/>
              </w:pBdr>
              <w:ind w:right="277"/>
              <w:jc w:val="both"/>
              <w:rPr>
                <w:rFonts w:ascii="Palatino Linotype" w:eastAsia="Palatino Linotype" w:hAnsi="Palatino Linotype" w:cs="Palatino Linotype"/>
                <w:b/>
                <w:bCs/>
                <w:i/>
                <w:iCs/>
                <w:sz w:val="22"/>
                <w:szCs w:val="22"/>
              </w:rPr>
            </w:pPr>
          </w:p>
        </w:tc>
        <w:tc>
          <w:tcPr>
            <w:tcW w:w="1843" w:type="dxa"/>
          </w:tcPr>
          <w:p w:rsidR="008B4649" w:rsidRDefault="007203B0">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No se hace referencia</w:t>
            </w:r>
          </w:p>
        </w:tc>
        <w:tc>
          <w:tcPr>
            <w:tcW w:w="1787" w:type="dxa"/>
          </w:tcPr>
          <w:p w:rsidR="008B4649" w:rsidRDefault="007203B0">
            <w:pPr>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No se hace referencia</w:t>
            </w:r>
          </w:p>
        </w:tc>
        <w:tc>
          <w:tcPr>
            <w:tcW w:w="1940" w:type="dxa"/>
          </w:tcPr>
          <w:p w:rsidR="008B4649" w:rsidRDefault="007203B0">
            <w:pPr>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 xml:space="preserve">No colma, toda vez que no se entrega la información. </w:t>
            </w:r>
          </w:p>
        </w:tc>
      </w:tr>
      <w:tr w:rsidR="008B4649">
        <w:tc>
          <w:tcPr>
            <w:tcW w:w="2635" w:type="dxa"/>
          </w:tcPr>
          <w:p w:rsidR="008B4649" w:rsidRDefault="007203B0">
            <w:pPr>
              <w:pBdr>
                <w:top w:val="nil"/>
                <w:left w:val="nil"/>
                <w:bottom w:val="nil"/>
                <w:right w:val="nil"/>
                <w:between w:val="nil"/>
              </w:pBdr>
              <w:ind w:right="27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2.- Informe detallado de la aplicación de dichos recursos en cada Regiduría y la Sindicatura, del uno de enero al treinta y uno de julio. </w:t>
            </w:r>
          </w:p>
          <w:p w:rsidR="008B4649" w:rsidRDefault="008B4649">
            <w:pPr>
              <w:pBdr>
                <w:top w:val="nil"/>
                <w:left w:val="nil"/>
                <w:bottom w:val="nil"/>
                <w:right w:val="nil"/>
                <w:between w:val="nil"/>
              </w:pBdr>
              <w:ind w:right="277"/>
              <w:jc w:val="both"/>
              <w:rPr>
                <w:rFonts w:ascii="Palatino Linotype" w:eastAsia="Palatino Linotype" w:hAnsi="Palatino Linotype" w:cs="Palatino Linotype"/>
                <w:b/>
                <w:bCs/>
                <w:i/>
                <w:iCs/>
                <w:sz w:val="22"/>
                <w:szCs w:val="22"/>
              </w:rPr>
            </w:pPr>
          </w:p>
          <w:p w:rsidR="008B4649" w:rsidRDefault="008B4649">
            <w:pPr>
              <w:pBdr>
                <w:top w:val="nil"/>
                <w:left w:val="nil"/>
                <w:bottom w:val="nil"/>
                <w:right w:val="nil"/>
                <w:between w:val="nil"/>
              </w:pBdr>
              <w:ind w:right="277"/>
              <w:jc w:val="both"/>
              <w:rPr>
                <w:rFonts w:ascii="Palatino Linotype" w:eastAsia="Palatino Linotype" w:hAnsi="Palatino Linotype" w:cs="Palatino Linotype"/>
                <w:b/>
                <w:bCs/>
                <w:i/>
                <w:iCs/>
                <w:sz w:val="22"/>
                <w:szCs w:val="22"/>
              </w:rPr>
            </w:pPr>
          </w:p>
        </w:tc>
        <w:tc>
          <w:tcPr>
            <w:tcW w:w="1843" w:type="dxa"/>
          </w:tcPr>
          <w:p w:rsidR="008B4649" w:rsidRDefault="007203B0">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No se hace referencia</w:t>
            </w:r>
          </w:p>
        </w:tc>
        <w:tc>
          <w:tcPr>
            <w:tcW w:w="1787" w:type="dxa"/>
          </w:tcPr>
          <w:p w:rsidR="008B4649" w:rsidRDefault="007203B0">
            <w:pPr>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No se hace referencia</w:t>
            </w:r>
          </w:p>
        </w:tc>
        <w:tc>
          <w:tcPr>
            <w:tcW w:w="1940" w:type="dxa"/>
          </w:tcPr>
          <w:p w:rsidR="008B4649" w:rsidRDefault="007203B0">
            <w:pPr>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Actos consentidos</w:t>
            </w:r>
          </w:p>
        </w:tc>
      </w:tr>
      <w:tr w:rsidR="008B4649" w:rsidRPr="00793EC1">
        <w:tc>
          <w:tcPr>
            <w:tcW w:w="2635" w:type="dxa"/>
          </w:tcPr>
          <w:p w:rsidR="008B4649" w:rsidRDefault="007203B0">
            <w:pPr>
              <w:pBdr>
                <w:top w:val="nil"/>
                <w:left w:val="nil"/>
                <w:bottom w:val="nil"/>
                <w:right w:val="nil"/>
                <w:between w:val="nil"/>
              </w:pBdr>
              <w:ind w:right="27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3.- Nombre completo, puesto o cargo, fecha de alta, sueldo bruto y sueldo neto (antes y después de impuestos) de cada uno de los integrantes de las siete Regidurías y la Sindicatura. Esto incluye personal administrativo, asesores, auxiliares, choferes, etc., que laboren directamente bajo cada figura edilicia.</w:t>
            </w:r>
          </w:p>
        </w:tc>
        <w:tc>
          <w:tcPr>
            <w:tcW w:w="1843" w:type="dxa"/>
            <w:tcBorders>
              <w:bottom w:val="single" w:sz="4" w:space="0" w:color="000000"/>
            </w:tcBorders>
          </w:tcPr>
          <w:p w:rsidR="00793EC1" w:rsidRPr="00C52D63" w:rsidRDefault="00793EC1" w:rsidP="00793EC1">
            <w:pPr>
              <w:jc w:val="both"/>
              <w:rPr>
                <w:rFonts w:ascii="Palatino Linotype" w:eastAsia="Palatino Linotype" w:hAnsi="Palatino Linotype" w:cs="Palatino Linotype"/>
                <w:i/>
                <w:iCs/>
                <w:sz w:val="22"/>
                <w:szCs w:val="22"/>
              </w:rPr>
            </w:pPr>
            <w:r w:rsidRPr="00C52D63">
              <w:rPr>
                <w:rFonts w:ascii="Palatino Linotype" w:eastAsia="Palatino Linotype" w:hAnsi="Palatino Linotype" w:cs="Palatino Linotype"/>
                <w:b/>
                <w:bCs/>
                <w:i/>
                <w:iCs/>
                <w:sz w:val="22"/>
                <w:szCs w:val="22"/>
              </w:rPr>
              <w:t xml:space="preserve">Solicitud 900.pdf: </w:t>
            </w:r>
            <w:r w:rsidRPr="00C52D63">
              <w:rPr>
                <w:rFonts w:ascii="Palatino Linotype" w:eastAsia="Palatino Linotype" w:hAnsi="Palatino Linotype" w:cs="Palatino Linotype"/>
                <w:i/>
                <w:iCs/>
                <w:sz w:val="22"/>
                <w:szCs w:val="22"/>
              </w:rPr>
              <w:t xml:space="preserve">oficio de la Dirección de Administración, mediante el cual entrega una tabla que contiene el nombre, categoría, departamento y sueldo bruto y neto mensual, del personal adscrito a la sindicatura y regidurías.   </w:t>
            </w:r>
          </w:p>
          <w:p w:rsidR="008B4649" w:rsidRPr="00C52D63" w:rsidRDefault="008B4649">
            <w:pPr>
              <w:jc w:val="both"/>
              <w:rPr>
                <w:rFonts w:ascii="Palatino Linotype" w:eastAsia="Palatino Linotype" w:hAnsi="Palatino Linotype" w:cs="Palatino Linotype"/>
                <w:i/>
                <w:iCs/>
                <w:sz w:val="22"/>
                <w:szCs w:val="22"/>
              </w:rPr>
            </w:pPr>
          </w:p>
        </w:tc>
        <w:tc>
          <w:tcPr>
            <w:tcW w:w="1787" w:type="dxa"/>
          </w:tcPr>
          <w:p w:rsidR="008B4649" w:rsidRPr="00C52D63" w:rsidRDefault="00793EC1">
            <w:pPr>
              <w:rPr>
                <w:rFonts w:ascii="Palatino Linotype" w:eastAsia="Palatino Linotype" w:hAnsi="Palatino Linotype" w:cs="Palatino Linotype"/>
                <w:i/>
                <w:iCs/>
                <w:sz w:val="22"/>
                <w:szCs w:val="22"/>
              </w:rPr>
            </w:pPr>
            <w:r w:rsidRPr="00C52D63">
              <w:rPr>
                <w:rFonts w:ascii="Palatino Linotype" w:eastAsia="Palatino Linotype" w:hAnsi="Palatino Linotype" w:cs="Palatino Linotype"/>
                <w:i/>
                <w:iCs/>
                <w:sz w:val="22"/>
                <w:szCs w:val="22"/>
              </w:rPr>
              <w:t>Se ratifica la respuesta inicial</w:t>
            </w:r>
          </w:p>
        </w:tc>
        <w:tc>
          <w:tcPr>
            <w:tcW w:w="1940" w:type="dxa"/>
          </w:tcPr>
          <w:p w:rsidR="008B4649" w:rsidRPr="00793EC1" w:rsidRDefault="00793EC1">
            <w:pPr>
              <w:jc w:val="both"/>
              <w:rPr>
                <w:rFonts w:ascii="Palatino Linotype" w:eastAsia="Palatino Linotype" w:hAnsi="Palatino Linotype" w:cs="Palatino Linotype"/>
                <w:b/>
                <w:bCs/>
                <w:i/>
                <w:iCs/>
                <w:sz w:val="22"/>
                <w:szCs w:val="22"/>
                <w:highlight w:val="yellow"/>
              </w:rPr>
            </w:pPr>
            <w:r w:rsidRPr="00C52D63">
              <w:rPr>
                <w:rFonts w:ascii="Palatino Linotype" w:eastAsia="Palatino Linotype" w:hAnsi="Palatino Linotype" w:cs="Palatino Linotype"/>
                <w:i/>
                <w:iCs/>
                <w:sz w:val="22"/>
                <w:szCs w:val="22"/>
              </w:rPr>
              <w:t xml:space="preserve">Actos Consentidos </w:t>
            </w:r>
          </w:p>
        </w:tc>
      </w:tr>
    </w:tbl>
    <w:p w:rsidR="008B4649" w:rsidRDefault="008B4649">
      <w:pPr>
        <w:spacing w:line="360" w:lineRule="auto"/>
        <w:ind w:right="-787"/>
        <w:jc w:val="both"/>
        <w:rPr>
          <w:rFonts w:ascii="Palatino Linotype" w:eastAsia="Palatino Linotype" w:hAnsi="Palatino Linotype" w:cs="Palatino Linotype"/>
          <w:color w:val="000000"/>
          <w:sz w:val="22"/>
          <w:szCs w:val="22"/>
        </w:rPr>
      </w:pPr>
    </w:p>
    <w:p w:rsidR="00793EC1" w:rsidRDefault="00793EC1" w:rsidP="00793EC1">
      <w:pPr>
        <w:spacing w:line="360" w:lineRule="auto"/>
        <w:ind w:right="-787"/>
        <w:jc w:val="both"/>
        <w:rPr>
          <w:rFonts w:ascii="Palatino Linotype" w:eastAsia="Palatino Linotype" w:hAnsi="Palatino Linotype" w:cs="Palatino Linotype"/>
          <w:color w:val="000000"/>
          <w:sz w:val="22"/>
          <w:szCs w:val="22"/>
        </w:rPr>
      </w:pPr>
    </w:p>
    <w:p w:rsidR="00793EC1" w:rsidRDefault="00793EC1" w:rsidP="00793EC1">
      <w:pPr>
        <w:spacing w:line="360" w:lineRule="auto"/>
        <w:ind w:right="-787"/>
        <w:jc w:val="both"/>
        <w:rPr>
          <w:rFonts w:ascii="Palatino Linotype" w:eastAsia="Palatino Linotype" w:hAnsi="Palatino Linotype" w:cs="Palatino Linotype"/>
          <w:color w:val="000000"/>
          <w:sz w:val="22"/>
          <w:szCs w:val="22"/>
        </w:rPr>
      </w:pPr>
    </w:p>
    <w:p w:rsidR="00793EC1" w:rsidRDefault="00793EC1" w:rsidP="00793EC1">
      <w:pPr>
        <w:spacing w:line="360" w:lineRule="auto"/>
        <w:ind w:right="-787"/>
        <w:jc w:val="both"/>
        <w:rPr>
          <w:rFonts w:ascii="Palatino Linotype" w:eastAsia="Palatino Linotype" w:hAnsi="Palatino Linotype" w:cs="Palatino Linotype"/>
          <w:color w:val="000000"/>
          <w:sz w:val="22"/>
          <w:szCs w:val="22"/>
        </w:rPr>
      </w:pPr>
    </w:p>
    <w:p w:rsidR="00793EC1" w:rsidRDefault="00793EC1" w:rsidP="00793EC1">
      <w:pPr>
        <w:spacing w:line="360" w:lineRule="auto"/>
        <w:ind w:right="-787"/>
        <w:jc w:val="both"/>
        <w:rPr>
          <w:rFonts w:ascii="Palatino Linotype" w:eastAsia="Palatino Linotype" w:hAnsi="Palatino Linotype" w:cs="Palatino Linotype"/>
          <w:color w:val="000000"/>
          <w:sz w:val="22"/>
          <w:szCs w:val="22"/>
        </w:rPr>
      </w:pPr>
    </w:p>
    <w:p w:rsidR="00793EC1" w:rsidRDefault="00793EC1" w:rsidP="00793EC1">
      <w:pPr>
        <w:spacing w:line="360" w:lineRule="auto"/>
        <w:ind w:right="-787"/>
        <w:jc w:val="both"/>
        <w:rPr>
          <w:rFonts w:ascii="Palatino Linotype" w:eastAsia="Palatino Linotype" w:hAnsi="Palatino Linotype" w:cs="Palatino Linotype"/>
          <w:color w:val="000000"/>
          <w:sz w:val="22"/>
          <w:szCs w:val="22"/>
        </w:rPr>
      </w:pPr>
    </w:p>
    <w:p w:rsidR="00793EC1" w:rsidRDefault="00793EC1" w:rsidP="00793EC1">
      <w:pPr>
        <w:spacing w:line="360" w:lineRule="auto"/>
        <w:ind w:right="-787"/>
        <w:jc w:val="both"/>
        <w:rPr>
          <w:rFonts w:ascii="Palatino Linotype" w:eastAsia="Palatino Linotype" w:hAnsi="Palatino Linotype" w:cs="Palatino Linotype"/>
          <w:color w:val="000000"/>
          <w:sz w:val="22"/>
          <w:szCs w:val="22"/>
        </w:rPr>
      </w:pPr>
    </w:p>
    <w:p w:rsidR="00793EC1" w:rsidRDefault="00793EC1" w:rsidP="00793EC1">
      <w:pPr>
        <w:spacing w:line="360" w:lineRule="auto"/>
        <w:ind w:right="-787"/>
        <w:jc w:val="both"/>
        <w:rPr>
          <w:rFonts w:ascii="Palatino Linotype" w:eastAsia="Palatino Linotype" w:hAnsi="Palatino Linotype" w:cs="Palatino Linotype"/>
          <w:color w:val="000000"/>
          <w:sz w:val="22"/>
          <w:szCs w:val="22"/>
        </w:rPr>
      </w:pPr>
    </w:p>
    <w:p w:rsidR="00793EC1" w:rsidRDefault="00793EC1" w:rsidP="00793EC1">
      <w:pPr>
        <w:spacing w:line="360" w:lineRule="auto"/>
        <w:ind w:right="-787"/>
        <w:jc w:val="both"/>
        <w:rPr>
          <w:rFonts w:ascii="Palatino Linotype" w:eastAsia="Palatino Linotype" w:hAnsi="Palatino Linotype" w:cs="Palatino Linotype"/>
          <w:color w:val="000000"/>
          <w:sz w:val="22"/>
          <w:szCs w:val="22"/>
        </w:rPr>
      </w:pPr>
    </w:p>
    <w:p w:rsidR="00793EC1" w:rsidRDefault="00793EC1" w:rsidP="00793EC1">
      <w:pPr>
        <w:spacing w:line="360" w:lineRule="auto"/>
        <w:ind w:right="-787"/>
        <w:jc w:val="both"/>
        <w:rPr>
          <w:rFonts w:ascii="Palatino Linotype" w:eastAsia="Palatino Linotype" w:hAnsi="Palatino Linotype" w:cs="Palatino Linotype"/>
          <w:color w:val="000000"/>
          <w:sz w:val="22"/>
          <w:szCs w:val="22"/>
        </w:rPr>
      </w:pPr>
    </w:p>
    <w:p w:rsidR="00793EC1" w:rsidRDefault="00793EC1" w:rsidP="00793EC1">
      <w:pPr>
        <w:spacing w:line="360" w:lineRule="auto"/>
        <w:ind w:right="-787"/>
        <w:jc w:val="both"/>
        <w:rPr>
          <w:rFonts w:ascii="Palatino Linotype" w:eastAsia="Palatino Linotype" w:hAnsi="Palatino Linotype" w:cs="Palatino Linotype"/>
          <w:color w:val="000000"/>
          <w:sz w:val="22"/>
          <w:szCs w:val="22"/>
        </w:rPr>
      </w:pPr>
    </w:p>
    <w:p w:rsidR="00793EC1" w:rsidRDefault="00793EC1" w:rsidP="00793EC1">
      <w:pPr>
        <w:spacing w:line="360" w:lineRule="auto"/>
        <w:ind w:right="-787"/>
        <w:jc w:val="both"/>
        <w:rPr>
          <w:rFonts w:ascii="Palatino Linotype" w:eastAsia="Palatino Linotype" w:hAnsi="Palatino Linotype" w:cs="Palatino Linotype"/>
          <w:color w:val="000000"/>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primer punto, se debe de analizar que el punto dos y tres de la solicitud de información deben de tenerse como actos consentidos, toda vez que el </w:t>
      </w:r>
      <w:r>
        <w:rPr>
          <w:rFonts w:ascii="Palatino Linotype" w:eastAsia="Palatino Linotype" w:hAnsi="Palatino Linotype" w:cs="Palatino Linotype"/>
          <w:b/>
          <w:bCs/>
          <w:color w:val="000000"/>
          <w:sz w:val="22"/>
          <w:szCs w:val="22"/>
        </w:rPr>
        <w:t xml:space="preserve">RECURRENTE </w:t>
      </w:r>
      <w:r>
        <w:rPr>
          <w:rFonts w:ascii="Palatino Linotype" w:eastAsia="Palatino Linotype" w:hAnsi="Palatino Linotype" w:cs="Palatino Linotype"/>
          <w:color w:val="000000"/>
          <w:sz w:val="22"/>
          <w:szCs w:val="22"/>
        </w:rPr>
        <w:t xml:space="preserve">al momento de interponer el recurso de revisión no emitió pronunciamiento alguno, situación por la cual se hace el siguiente </w:t>
      </w:r>
      <w:r w:rsidR="00AE51CE">
        <w:rPr>
          <w:rFonts w:ascii="Palatino Linotype" w:eastAsia="Palatino Linotype" w:hAnsi="Palatino Linotype" w:cs="Palatino Linotype"/>
          <w:color w:val="000000"/>
          <w:sz w:val="22"/>
          <w:szCs w:val="22"/>
        </w:rPr>
        <w:t>análisis</w:t>
      </w:r>
      <w:r>
        <w:rPr>
          <w:rFonts w:ascii="Palatino Linotype" w:eastAsia="Palatino Linotype" w:hAnsi="Palatino Linotype" w:cs="Palatino Linotype"/>
          <w:color w:val="000000"/>
          <w:sz w:val="22"/>
          <w:szCs w:val="22"/>
        </w:rPr>
        <w:t xml:space="preserve">. </w:t>
      </w:r>
    </w:p>
    <w:p w:rsidR="008B4649" w:rsidRDefault="008B4649">
      <w:pPr>
        <w:spacing w:line="360" w:lineRule="auto"/>
        <w:jc w:val="both"/>
        <w:rPr>
          <w:rFonts w:ascii="Palatino Linotype" w:eastAsia="Palatino Linotype" w:hAnsi="Palatino Linotype" w:cs="Palatino Linotype"/>
          <w:color w:val="000000"/>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esa línea, al no existir inconformidad del resto de información, es que se tiene por </w:t>
      </w:r>
      <w:r>
        <w:rPr>
          <w:rFonts w:ascii="Palatino Linotype" w:eastAsia="Palatino Linotype" w:hAnsi="Palatino Linotype" w:cs="Palatino Linotype"/>
          <w:color w:val="000000"/>
          <w:sz w:val="22"/>
          <w:szCs w:val="22"/>
        </w:rPr>
        <w:t>consentida</w:t>
      </w:r>
      <w:r>
        <w:rPr>
          <w:rFonts w:ascii="Palatino Linotype" w:eastAsia="Palatino Linotype" w:hAnsi="Palatino Linotype" w:cs="Palatino Linotype"/>
          <w:sz w:val="22"/>
          <w:szCs w:val="22"/>
        </w:rPr>
        <w:t>, ya</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que la falta de impugnación respecto de los requerimientos que no fueron manifestados en el recurso de revisión, debe entenderse como </w:t>
      </w:r>
      <w:r>
        <w:rPr>
          <w:rFonts w:ascii="Palatino Linotype" w:eastAsia="Palatino Linotype" w:hAnsi="Palatino Linotype" w:cs="Palatino Linotype"/>
          <w:b/>
          <w:bCs/>
          <w:sz w:val="22"/>
          <w:szCs w:val="22"/>
        </w:rPr>
        <w:t>actos consentidos</w:t>
      </w:r>
      <w:r>
        <w:rPr>
          <w:rFonts w:ascii="Palatino Linotype" w:eastAsia="Palatino Linotype" w:hAnsi="Palatino Linotype" w:cs="Palatino Linotype"/>
          <w:sz w:val="22"/>
          <w:szCs w:val="22"/>
        </w:rPr>
        <w:t>.</w:t>
      </w:r>
    </w:p>
    <w:p w:rsidR="008B4649" w:rsidRDefault="008B4649">
      <w:p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Esto es así, debido a que cuando el recurrente impugna la respuesta del sujeto obligado y </w:t>
      </w:r>
      <w:r>
        <w:rPr>
          <w:rFonts w:ascii="Palatino Linotype" w:eastAsia="Palatino Linotype" w:hAnsi="Palatino Linotype" w:cs="Palatino Linotype"/>
          <w:color w:val="000000"/>
          <w:sz w:val="22"/>
          <w:szCs w:val="22"/>
        </w:rPr>
        <w:t>éste</w:t>
      </w:r>
      <w:r>
        <w:rPr>
          <w:rFonts w:ascii="Palatino Linotype" w:eastAsia="Palatino Linotype" w:hAnsi="Palatino Linotype" w:cs="Palatino Linotype"/>
          <w:sz w:val="22"/>
          <w:szCs w:val="22"/>
        </w:rPr>
        <w:t xml:space="preserve"> no expresa razón o motivo de inconformidad en contra de todos los rubros </w:t>
      </w:r>
      <w:r>
        <w:rPr>
          <w:rFonts w:ascii="Palatino Linotype" w:eastAsia="Palatino Linotype" w:hAnsi="Palatino Linotype" w:cs="Palatino Linotype"/>
          <w:color w:val="000000"/>
          <w:sz w:val="22"/>
          <w:szCs w:val="22"/>
        </w:rPr>
        <w:t>solicitados</w:t>
      </w:r>
      <w:r>
        <w:rPr>
          <w:rFonts w:ascii="Palatino Linotype" w:eastAsia="Palatino Linotype" w:hAnsi="Palatino Linotype" w:cs="Palatino Linotype"/>
          <w:sz w:val="22"/>
          <w:szCs w:val="22"/>
        </w:rPr>
        <w:t xml:space="preserve">, los mismos deben declararse </w:t>
      </w:r>
      <w:r>
        <w:rPr>
          <w:rFonts w:ascii="Palatino Linotype" w:eastAsia="Palatino Linotype" w:hAnsi="Palatino Linotype" w:cs="Palatino Linotype"/>
          <w:color w:val="000000"/>
          <w:sz w:val="22"/>
          <w:szCs w:val="22"/>
        </w:rPr>
        <w:t>firmes</w:t>
      </w:r>
      <w:r>
        <w:rPr>
          <w:rFonts w:ascii="Palatino Linotype" w:eastAsia="Palatino Linotype" w:hAnsi="Palatino Linotype" w:cs="Palatino Linotype"/>
          <w:sz w:val="22"/>
          <w:szCs w:val="22"/>
        </w:rPr>
        <w:t xml:space="preserve">, pues se entiende que el </w:t>
      </w:r>
      <w:r>
        <w:rPr>
          <w:rFonts w:ascii="Palatino Linotype" w:eastAsia="Palatino Linotype" w:hAnsi="Palatino Linotype" w:cs="Palatino Linotype"/>
          <w:color w:val="000000"/>
          <w:sz w:val="22"/>
          <w:szCs w:val="22"/>
        </w:rPr>
        <w:t>recurrente</w:t>
      </w:r>
      <w:r>
        <w:rPr>
          <w:rFonts w:ascii="Palatino Linotype" w:eastAsia="Palatino Linotype" w:hAnsi="Palatino Linotype" w:cs="Palatino Linotype"/>
          <w:sz w:val="22"/>
          <w:szCs w:val="22"/>
        </w:rPr>
        <w:t xml:space="preserv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8B4649" w:rsidRDefault="008B4649">
      <w:pPr>
        <w:pBdr>
          <w:top w:val="nil"/>
          <w:left w:val="nil"/>
          <w:bottom w:val="nil"/>
          <w:right w:val="nil"/>
          <w:between w:val="nil"/>
        </w:pBdr>
        <w:ind w:left="1134" w:right="900"/>
        <w:rPr>
          <w:rFonts w:ascii="Palatino Linotype" w:eastAsia="Palatino Linotype" w:hAnsi="Palatino Linotype" w:cs="Palatino Linotype"/>
          <w:color w:val="000000"/>
          <w:sz w:val="22"/>
          <w:szCs w:val="22"/>
        </w:rPr>
      </w:pPr>
    </w:p>
    <w:p w:rsidR="008B4649" w:rsidRDefault="007203B0">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“REVISIÓN EN AMPARO. LOS RESOLUTIVOS NO COMBATIDOS DEBEN DECLARARSE FIRMES. </w:t>
      </w:r>
      <w:r>
        <w:rPr>
          <w:rFonts w:ascii="Palatino Linotype" w:eastAsia="Palatino Linotype" w:hAnsi="Palatino Linotype" w:cs="Palatino Linotype"/>
          <w:i/>
          <w:iCs/>
          <w:color w:val="000000"/>
          <w:sz w:val="22"/>
          <w:szCs w:val="22"/>
          <w:u w:val="single"/>
        </w:rPr>
        <w:t>Cuando algún resolutivo de la sentencia impugnada afecta a EL RECURRENTE, y ésta no expresa agravio en contra de las consideraciones que le sirven de base, dicho resolutivo debe declararse firme.</w:t>
      </w:r>
      <w:r>
        <w:rPr>
          <w:rFonts w:ascii="Palatino Linotype" w:eastAsia="Palatino Linotype" w:hAnsi="Palatino Linotype" w:cs="Palatino Linotype"/>
          <w:i/>
          <w:iCs/>
          <w:color w:val="000000"/>
          <w:sz w:val="22"/>
          <w:szCs w:val="22"/>
        </w:rPr>
        <w:t> Esto es, en el caso referido, no obstante que la materia de la revisión comprende a todos los resolutivos que afectan a EL RECURRENTE, </w:t>
      </w:r>
      <w:r>
        <w:rPr>
          <w:rFonts w:ascii="Palatino Linotype" w:eastAsia="Palatino Linotype" w:hAnsi="Palatino Linotype" w:cs="Palatino Linotype"/>
          <w:i/>
          <w:iCs/>
          <w:color w:val="000000"/>
          <w:sz w:val="22"/>
          <w:szCs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Pr>
          <w:rFonts w:ascii="Palatino Linotype" w:eastAsia="Palatino Linotype" w:hAnsi="Palatino Linotype" w:cs="Palatino Linotype"/>
          <w:i/>
          <w:iCs/>
          <w:color w:val="000000"/>
          <w:sz w:val="22"/>
          <w:szCs w:val="22"/>
        </w:rPr>
        <w:t>.”</w:t>
      </w:r>
    </w:p>
    <w:p w:rsidR="008B4649" w:rsidRDefault="007203B0">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rsidR="008B4649" w:rsidRDefault="008B4649">
      <w:pPr>
        <w:pBdr>
          <w:top w:val="nil"/>
          <w:left w:val="nil"/>
          <w:bottom w:val="nil"/>
          <w:right w:val="nil"/>
          <w:between w:val="nil"/>
        </w:pBdr>
        <w:spacing w:line="360" w:lineRule="auto"/>
        <w:ind w:left="426" w:right="426"/>
        <w:jc w:val="center"/>
        <w:rPr>
          <w:rFonts w:ascii="Palatino Linotype" w:eastAsia="Palatino Linotype" w:hAnsi="Palatino Linotype" w:cs="Palatino Linotype"/>
          <w:color w:val="000000"/>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Consecutivamente, </w:t>
      </w:r>
      <w:r>
        <w:rPr>
          <w:rFonts w:ascii="Palatino Linotype" w:eastAsia="Palatino Linotype" w:hAnsi="Palatino Linotype" w:cs="Palatino Linotype"/>
          <w:b/>
          <w:bCs/>
          <w:sz w:val="22"/>
          <w:szCs w:val="22"/>
        </w:rPr>
        <w:t xml:space="preserve">la parte de la respuesta que no fue impugnada debe </w:t>
      </w:r>
      <w:r>
        <w:rPr>
          <w:rFonts w:ascii="Palatino Linotype" w:eastAsia="Palatino Linotype" w:hAnsi="Palatino Linotype" w:cs="Palatino Linotype"/>
          <w:sz w:val="22"/>
          <w:szCs w:val="22"/>
        </w:rPr>
        <w:t>declararse</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consentida</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color w:val="000000"/>
          <w:sz w:val="22"/>
          <w:szCs w:val="22"/>
        </w:rPr>
        <w:t>por</w:t>
      </w:r>
      <w:r>
        <w:rPr>
          <w:rFonts w:ascii="Palatino Linotype" w:eastAsia="Palatino Linotype" w:hAnsi="Palatino Linotype" w:cs="Palatino Linotype"/>
          <w:b/>
          <w:bCs/>
          <w:sz w:val="22"/>
          <w:szCs w:val="22"/>
        </w:rPr>
        <w:t xml:space="preserve"> el recurrente, toda vez que no realizó </w:t>
      </w:r>
      <w:r>
        <w:rPr>
          <w:rFonts w:ascii="Palatino Linotype" w:eastAsia="Palatino Linotype" w:hAnsi="Palatino Linotype" w:cs="Palatino Linotype"/>
          <w:sz w:val="22"/>
          <w:szCs w:val="22"/>
        </w:rPr>
        <w:t>manifestaciones</w:t>
      </w:r>
      <w:r>
        <w:rPr>
          <w:rFonts w:ascii="Palatino Linotype" w:eastAsia="Palatino Linotype" w:hAnsi="Palatino Linotype" w:cs="Palatino Linotype"/>
          <w:b/>
          <w:bCs/>
          <w:sz w:val="22"/>
          <w:szCs w:val="22"/>
        </w:rPr>
        <w:t xml:space="preserve"> de inconformidad</w:t>
      </w:r>
      <w:r>
        <w:rPr>
          <w:rFonts w:ascii="Palatino Linotype" w:eastAsia="Palatino Linotype" w:hAnsi="Palatino Linotype" w:cs="Palatino Linotype"/>
          <w:sz w:val="22"/>
          <w:szCs w:val="22"/>
        </w:rPr>
        <w:t xml:space="preserve">; por lo que, no </w:t>
      </w:r>
      <w:r>
        <w:rPr>
          <w:rFonts w:ascii="Palatino Linotype" w:eastAsia="Palatino Linotype" w:hAnsi="Palatino Linotype" w:cs="Palatino Linotype"/>
          <w:color w:val="000000"/>
          <w:sz w:val="22"/>
          <w:szCs w:val="22"/>
        </w:rPr>
        <w:t>pueden</w:t>
      </w:r>
      <w:r>
        <w:rPr>
          <w:rFonts w:ascii="Palatino Linotype" w:eastAsia="Palatino Linotype" w:hAnsi="Palatino Linotype" w:cs="Palatino Linotype"/>
          <w:sz w:val="22"/>
          <w:szCs w:val="22"/>
        </w:rPr>
        <w:t xml:space="preserve"> producirse efectos jurídicos tendentes a revocar, confirmar o modificar el acto reclamado ya que se infiere su consentimiento ante la falta </w:t>
      </w:r>
      <w:r>
        <w:rPr>
          <w:rFonts w:ascii="Palatino Linotype" w:eastAsia="Palatino Linotype" w:hAnsi="Palatino Linotype" w:cs="Palatino Linotype"/>
          <w:color w:val="000000"/>
          <w:sz w:val="22"/>
          <w:szCs w:val="22"/>
        </w:rPr>
        <w:t>de</w:t>
      </w:r>
      <w:r>
        <w:rPr>
          <w:rFonts w:ascii="Palatino Linotype" w:eastAsia="Palatino Linotype" w:hAnsi="Palatino Linotype" w:cs="Palatino Linotype"/>
          <w:sz w:val="22"/>
          <w:szCs w:val="22"/>
        </w:rPr>
        <w:t xml:space="preserve"> impugnación eficaz. Sirve de sustento a lo anterior por analogía la tesis jurisprudencial número 176,608 del Semanario Judicial de la Federación y su Gaceta que a la letra dice:</w:t>
      </w:r>
    </w:p>
    <w:p w:rsidR="008B4649" w:rsidRDefault="008B4649">
      <w:pPr>
        <w:spacing w:line="360" w:lineRule="auto"/>
        <w:jc w:val="both"/>
        <w:rPr>
          <w:rFonts w:ascii="Palatino Linotype" w:eastAsia="Palatino Linotype" w:hAnsi="Palatino Linotype" w:cs="Palatino Linotype"/>
          <w:sz w:val="22"/>
          <w:szCs w:val="22"/>
        </w:rPr>
      </w:pPr>
    </w:p>
    <w:p w:rsidR="008B4649" w:rsidRDefault="007203B0">
      <w:pPr>
        <w:pBdr>
          <w:top w:val="nil"/>
          <w:left w:val="nil"/>
          <w:bottom w:val="nil"/>
          <w:right w:val="nil"/>
          <w:between w:val="nil"/>
        </w:pBdr>
        <w:ind w:left="1134" w:right="90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“ACTOS CONSENTIDOS. SON LOS QUE NO SE IMPUGNAN MEDIANTE EL RECURSO IDÓNEO. </w:t>
      </w:r>
      <w:r>
        <w:rPr>
          <w:rFonts w:ascii="Palatino Linotype" w:eastAsia="Palatino Linotype" w:hAnsi="Palatino Linotype" w:cs="Palatino Linotype"/>
          <w:i/>
          <w:iCs/>
          <w:color w:val="000000"/>
          <w:sz w:val="22"/>
          <w:szCs w:val="22"/>
          <w:u w:val="single"/>
        </w:rPr>
        <w:t>Debe reputarse como consentido el acto que no se impugnó por el medio establecido por la ley</w:t>
      </w:r>
      <w:r>
        <w:rPr>
          <w:rFonts w:ascii="Palatino Linotype" w:eastAsia="Palatino Linotype" w:hAnsi="Palatino Linotype" w:cs="Palatino Linotype"/>
          <w:i/>
          <w:iCs/>
          <w:color w:val="000000"/>
          <w:sz w:val="22"/>
          <w:szCs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B4649" w:rsidRDefault="008B4649">
      <w:pPr>
        <w:spacing w:line="360" w:lineRule="auto"/>
        <w:ind w:right="-787"/>
        <w:jc w:val="both"/>
        <w:rPr>
          <w:rFonts w:ascii="Palatino Linotype" w:eastAsia="Palatino Linotype" w:hAnsi="Palatino Linotype" w:cs="Palatino Linotype"/>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en cuanto al punto uno de la solicitud de información consistente en </w:t>
      </w:r>
      <w:r>
        <w:rPr>
          <w:rFonts w:ascii="Palatino Linotype" w:eastAsia="Palatino Linotype" w:hAnsi="Palatino Linotype" w:cs="Palatino Linotype"/>
          <w:b/>
          <w:bCs/>
          <w:sz w:val="22"/>
          <w:szCs w:val="22"/>
        </w:rPr>
        <w:t xml:space="preserve">“Techo presupuestal asignado a cada una de las siete Regidurías y la Sindicatura del Ayuntamiento de Teoloyucan, Estado de México, correspondiente al periodo comprendido del 1 de enero al 31 de julio de 2025 (o del periodo que comprenda los primeros 7 meses de la actual administración municipal).”, </w:t>
      </w:r>
      <w:r>
        <w:rPr>
          <w:rFonts w:ascii="Palatino Linotype" w:eastAsia="Palatino Linotype" w:hAnsi="Palatino Linotype" w:cs="Palatino Linotype"/>
          <w:sz w:val="22"/>
          <w:szCs w:val="22"/>
        </w:rPr>
        <w:t xml:space="preserve">se hace el siguiente </w:t>
      </w:r>
      <w:r w:rsidR="00AE51CE">
        <w:rPr>
          <w:rFonts w:ascii="Palatino Linotype" w:eastAsia="Palatino Linotype" w:hAnsi="Palatino Linotype" w:cs="Palatino Linotype"/>
          <w:sz w:val="22"/>
          <w:szCs w:val="22"/>
        </w:rPr>
        <w:t>análisis</w:t>
      </w:r>
      <w:r>
        <w:rPr>
          <w:rFonts w:ascii="Palatino Linotype" w:eastAsia="Palatino Linotype" w:hAnsi="Palatino Linotype" w:cs="Palatino Linotype"/>
          <w:sz w:val="22"/>
          <w:szCs w:val="22"/>
        </w:rPr>
        <w:t>.</w:t>
      </w:r>
    </w:p>
    <w:p w:rsidR="008B4649" w:rsidRDefault="008B4649">
      <w:pPr>
        <w:rPr>
          <w:rFonts w:ascii="Palatino Linotype" w:eastAsia="Palatino Linotype" w:hAnsi="Palatino Linotype" w:cs="Palatino Linotype"/>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Primeramente, conviene señalar lo establecido en el artículo 31, fracciones XVIII y XIX de la Ley Orgánica Municipal del Estado de México, que a continuación se inserta:</w:t>
      </w:r>
    </w:p>
    <w:p w:rsidR="008B4649" w:rsidRDefault="008B4649">
      <w:pPr>
        <w:spacing w:line="360" w:lineRule="auto"/>
        <w:ind w:right="49"/>
        <w:jc w:val="both"/>
        <w:rPr>
          <w:rFonts w:ascii="Palatino Linotype" w:eastAsia="Palatino Linotype" w:hAnsi="Palatino Linotype" w:cs="Palatino Linotype"/>
          <w:sz w:val="22"/>
          <w:szCs w:val="22"/>
        </w:rPr>
      </w:pP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31.</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Son atribuciones de los ayuntamientos</w:t>
      </w:r>
      <w:r>
        <w:rPr>
          <w:rFonts w:ascii="Palatino Linotype" w:eastAsia="Palatino Linotype" w:hAnsi="Palatino Linotype" w:cs="Palatino Linotype"/>
          <w:i/>
          <w:iCs/>
          <w:sz w:val="22"/>
          <w:szCs w:val="22"/>
        </w:rPr>
        <w:t>:</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XVIII</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Administrar su hacienda</w:t>
      </w:r>
      <w:r>
        <w:rPr>
          <w:rFonts w:ascii="Palatino Linotype" w:eastAsia="Palatino Linotype" w:hAnsi="Palatino Linotype" w:cs="Palatino Linotype"/>
          <w:i/>
          <w:iCs/>
          <w:sz w:val="22"/>
          <w:szCs w:val="22"/>
        </w:rPr>
        <w:t xml:space="preserve"> en términos de ley, </w:t>
      </w:r>
      <w:r>
        <w:rPr>
          <w:rFonts w:ascii="Palatino Linotype" w:eastAsia="Palatino Linotype" w:hAnsi="Palatino Linotype" w:cs="Palatino Linotype"/>
          <w:b/>
          <w:bCs/>
          <w:i/>
          <w:iCs/>
          <w:sz w:val="22"/>
          <w:szCs w:val="22"/>
        </w:rPr>
        <w:t>y controlar a través del presidente y síndico la aplicación del presupuesto de egresos del municipio</w:t>
      </w:r>
      <w:r>
        <w:rPr>
          <w:rFonts w:ascii="Palatino Linotype" w:eastAsia="Palatino Linotype" w:hAnsi="Palatino Linotype" w:cs="Palatino Linotype"/>
          <w:i/>
          <w:iCs/>
          <w:sz w:val="22"/>
          <w:szCs w:val="22"/>
        </w:rPr>
        <w:t>;</w:t>
      </w:r>
    </w:p>
    <w:p w:rsidR="008B4649" w:rsidRDefault="008B4649">
      <w:pPr>
        <w:ind w:left="1134" w:right="277"/>
        <w:jc w:val="both"/>
        <w:rPr>
          <w:rFonts w:ascii="Palatino Linotype" w:eastAsia="Palatino Linotype" w:hAnsi="Palatino Linotype" w:cs="Palatino Linotype"/>
          <w:i/>
          <w:iCs/>
          <w:sz w:val="22"/>
          <w:szCs w:val="22"/>
        </w:rPr>
      </w:pP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XIX.</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Aprobar anualmente a más tardar el 20 de diciembre, su Presupuesto de Egresos,</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 xml:space="preserve">en base a los ingresos presupuestados para el ejercicio que corresponda, </w:t>
      </w:r>
      <w:r>
        <w:rPr>
          <w:rFonts w:ascii="Palatino Linotype" w:eastAsia="Palatino Linotype" w:hAnsi="Palatino Linotype" w:cs="Palatino Linotype"/>
          <w:i/>
          <w:iCs/>
          <w:sz w:val="22"/>
          <w:szCs w:val="22"/>
        </w:rPr>
        <w:t>el cual podrá ser adecuado en función de las implicaciones que deriven de la aprobación de la Ley de Ingresos Municipal que haga la Legislatura, así como por la asignación de las participaciones y aportaciones federales y estatales.</w:t>
      </w:r>
    </w:p>
    <w:p w:rsidR="008B4649" w:rsidRDefault="008B4649">
      <w:pPr>
        <w:ind w:left="1134" w:right="277"/>
        <w:jc w:val="both"/>
        <w:rPr>
          <w:rFonts w:ascii="Palatino Linotype" w:eastAsia="Palatino Linotype" w:hAnsi="Palatino Linotype" w:cs="Palatino Linotype"/>
          <w:i/>
          <w:iCs/>
          <w:sz w:val="22"/>
          <w:szCs w:val="22"/>
        </w:rPr>
      </w:pP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8B4649" w:rsidRDefault="008B4649">
      <w:pPr>
        <w:ind w:left="1134" w:right="277"/>
        <w:jc w:val="both"/>
        <w:rPr>
          <w:rFonts w:ascii="Palatino Linotype" w:eastAsia="Palatino Linotype" w:hAnsi="Palatino Linotype" w:cs="Palatino Linotype"/>
          <w:i/>
          <w:iCs/>
          <w:sz w:val="22"/>
          <w:szCs w:val="22"/>
        </w:rPr>
      </w:pP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w:t>
      </w:r>
      <w:r>
        <w:rPr>
          <w:rFonts w:ascii="Palatino Linotype" w:eastAsia="Palatino Linotype" w:hAnsi="Palatino Linotype" w:cs="Palatino Linotype"/>
          <w:i/>
          <w:iCs/>
          <w:sz w:val="22"/>
          <w:szCs w:val="22"/>
        </w:rPr>
        <w:t>, sujetándose a lo dispuesto por el Código Financiero y demás disposiciones legales aplicables.</w:t>
      </w:r>
    </w:p>
    <w:p w:rsidR="008B4649" w:rsidRDefault="008B4649">
      <w:pPr>
        <w:ind w:left="1134" w:right="277"/>
        <w:jc w:val="both"/>
        <w:rPr>
          <w:rFonts w:ascii="Palatino Linotype" w:eastAsia="Palatino Linotype" w:hAnsi="Palatino Linotype" w:cs="Palatino Linotype"/>
          <w:i/>
          <w:iCs/>
          <w:sz w:val="22"/>
          <w:szCs w:val="22"/>
        </w:rPr>
      </w:pP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8B4649" w:rsidRDefault="008B4649">
      <w:pPr>
        <w:ind w:left="1134" w:right="277"/>
        <w:jc w:val="both"/>
        <w:rPr>
          <w:rFonts w:ascii="Palatino Linotype" w:eastAsia="Palatino Linotype" w:hAnsi="Palatino Linotype" w:cs="Palatino Linotype"/>
          <w:i/>
          <w:iCs/>
          <w:sz w:val="22"/>
          <w:szCs w:val="22"/>
        </w:rPr>
      </w:pP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ayuntamientos podrán promover el financiamiento de proyectos productivos de las mujeres emprendedoras.</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(Énfasis añadido)</w:t>
      </w:r>
    </w:p>
    <w:p w:rsidR="008B4649" w:rsidRDefault="008B4649">
      <w:pPr>
        <w:spacing w:line="360" w:lineRule="auto"/>
        <w:ind w:right="-787"/>
        <w:jc w:val="both"/>
        <w:rPr>
          <w:rFonts w:ascii="Palatino Linotype" w:eastAsia="Palatino Linotype" w:hAnsi="Palatino Linotype" w:cs="Palatino Linotype"/>
          <w:i/>
          <w:iCs/>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Preceptos de los que se advierte que, los Ayuntamientos tienen la atribución de administrar libremente su hacienda y </w:t>
      </w:r>
      <w:r>
        <w:rPr>
          <w:rFonts w:ascii="Palatino Linotype" w:eastAsia="Palatino Linotype" w:hAnsi="Palatino Linotype" w:cs="Palatino Linotype"/>
          <w:b/>
          <w:bCs/>
          <w:sz w:val="22"/>
          <w:szCs w:val="22"/>
        </w:rPr>
        <w:t xml:space="preserve">aprobar anualmente su presupuesto de egresos con </w:t>
      </w:r>
      <w:r>
        <w:rPr>
          <w:rFonts w:ascii="Palatino Linotype" w:eastAsia="Palatino Linotype" w:hAnsi="Palatino Linotype" w:cs="Palatino Linotype"/>
          <w:b/>
          <w:bCs/>
          <w:sz w:val="22"/>
          <w:szCs w:val="22"/>
        </w:rPr>
        <w:lastRenderedPageBreak/>
        <w:t>base en los ingresos presupuestados para el ejercicio correspondiente</w:t>
      </w:r>
      <w:r>
        <w:rPr>
          <w:rFonts w:ascii="Palatino Linotype" w:eastAsia="Palatino Linotype" w:hAnsi="Palatino Linotype" w:cs="Palatino Linotype"/>
          <w:sz w:val="22"/>
          <w:szCs w:val="22"/>
        </w:rPr>
        <w:t xml:space="preserve"> y en su caso ser modificado acorde a las implicaciones que deriven de la aprobación de la Ley de Ingresos Municipal, así como la Legislatura por la asignación de participaciones y aportaciones federales y estatales; atento a ello, y en razón de que la información solicitada por el particular se encuentra relacionada con el presupuesto, es necesario señalar qué se entiende por presupuesto; de tal forma el Glosario de Términos Hacendarios, publicado por el Instituto Hacendario del Estado de México, lo ha definido como:</w:t>
      </w:r>
    </w:p>
    <w:p w:rsidR="008B4649" w:rsidRDefault="008B4649">
      <w:pPr>
        <w:spacing w:line="360" w:lineRule="auto"/>
        <w:ind w:right="49"/>
        <w:jc w:val="both"/>
        <w:rPr>
          <w:rFonts w:ascii="Palatino Linotype" w:eastAsia="Palatino Linotype" w:hAnsi="Palatino Linotype" w:cs="Palatino Linotype"/>
          <w:sz w:val="22"/>
          <w:szCs w:val="22"/>
        </w:rPr>
      </w:pPr>
    </w:p>
    <w:p w:rsidR="008B4649" w:rsidRDefault="007203B0">
      <w:pPr>
        <w:ind w:left="1134" w:right="277"/>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bCs/>
          <w:i/>
          <w:iCs/>
          <w:sz w:val="22"/>
          <w:szCs w:val="22"/>
        </w:rPr>
        <w:t>PRESUPUESTO</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Estimación programada en  forma sistemática de los ingresos  y egresos que maneja un organismo en un periodo determinado. Puede considerase como  un plan de acción  expresado en términos monetarios y cuyo ejercicio abarca generalmente  un año de actividad.”  </w:t>
      </w:r>
    </w:p>
    <w:p w:rsidR="008B4649" w:rsidRDefault="007203B0">
      <w:pPr>
        <w:spacing w:line="360" w:lineRule="auto"/>
        <w:ind w:right="49"/>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w:t>
      </w: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el artículo 285 del Código Financiero del Estado de México y Municipios</w:t>
      </w:r>
      <w:r>
        <w:rPr>
          <w:rFonts w:ascii="Palatino Linotype" w:eastAsia="Palatino Linotype" w:hAnsi="Palatino Linotype" w:cs="Palatino Linotype"/>
          <w:sz w:val="22"/>
          <w:szCs w:val="22"/>
          <w:vertAlign w:val="superscript"/>
        </w:rPr>
        <w:footnoteReference w:id="5"/>
      </w:r>
      <w:r>
        <w:rPr>
          <w:rFonts w:ascii="Palatino Linotype" w:eastAsia="Palatino Linotype" w:hAnsi="Palatino Linotype" w:cs="Palatino Linotype"/>
          <w:sz w:val="22"/>
          <w:szCs w:val="22"/>
        </w:rPr>
        <w:t xml:space="preserve">, prevé que el presupuesto es el instrumento jurídico, de política económica y de política de gasto, que en el caso concreto aprueba el Ayuntamiento en el cual se establece el ejercicio, control y evaluación del gasto público, en el mismo sentido, el Manual para la Planeación, Programación y Presupuestación Municipal para el ejercicio fiscal 2018, publicado en el </w:t>
      </w:r>
      <w:r>
        <w:rPr>
          <w:rFonts w:ascii="Palatino Linotype" w:eastAsia="Palatino Linotype" w:hAnsi="Palatino Linotype" w:cs="Palatino Linotype"/>
          <w:sz w:val="22"/>
          <w:szCs w:val="22"/>
        </w:rPr>
        <w:lastRenderedPageBreak/>
        <w:t>periódico Oficial del Gobierno del Estado de México, “Gaceta del Gobierno”, en fecha veinticuatro de octubre de dos mil diecisiete, en el Marco Conceptual numeral 1.2, define al presupuesto como:</w:t>
      </w:r>
    </w:p>
    <w:p w:rsidR="008B4649" w:rsidRDefault="008B4649">
      <w:pPr>
        <w:spacing w:line="360" w:lineRule="auto"/>
        <w:ind w:right="49"/>
        <w:jc w:val="both"/>
        <w:rPr>
          <w:rFonts w:ascii="Palatino Linotype" w:eastAsia="Palatino Linotype" w:hAnsi="Palatino Linotype" w:cs="Palatino Linotype"/>
          <w:sz w:val="22"/>
          <w:szCs w:val="22"/>
        </w:rPr>
      </w:pP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En otra perspectiva, </w:t>
      </w:r>
      <w:r>
        <w:rPr>
          <w:rFonts w:ascii="Palatino Linotype" w:eastAsia="Palatino Linotype" w:hAnsi="Palatino Linotype" w:cs="Palatino Linotype"/>
          <w:b/>
          <w:bCs/>
          <w:i/>
          <w:iCs/>
          <w:sz w:val="22"/>
          <w:szCs w:val="22"/>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Para efecto de este manual, </w:t>
      </w:r>
      <w:r>
        <w:rPr>
          <w:rFonts w:ascii="Palatino Linotype" w:eastAsia="Palatino Linotype" w:hAnsi="Palatino Linotype" w:cs="Palatino Linotype"/>
          <w:b/>
          <w:bCs/>
          <w:i/>
          <w:iCs/>
          <w:sz w:val="22"/>
          <w:szCs w:val="22"/>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El presupuesto público involucra los </w:t>
      </w:r>
      <w:r>
        <w:rPr>
          <w:rFonts w:ascii="Palatino Linotype" w:eastAsia="Palatino Linotype" w:hAnsi="Palatino Linotype" w:cs="Palatino Linotype"/>
          <w:b/>
          <w:bCs/>
          <w:i/>
          <w:iCs/>
          <w:sz w:val="22"/>
          <w:szCs w:val="22"/>
        </w:rPr>
        <w:t>planes, políticas, programas, proyectos, estrategias y objetivos del municipio,</w:t>
      </w:r>
      <w:r>
        <w:rPr>
          <w:rFonts w:ascii="Palatino Linotype" w:eastAsia="Palatino Linotype" w:hAnsi="Palatino Linotype" w:cs="Palatino Linotype"/>
          <w:i/>
          <w:iCs/>
          <w:sz w:val="22"/>
          <w:szCs w:val="22"/>
        </w:rPr>
        <w:t xml:space="preserve"> como medio efectivo de control del gasto público y en ellos se fundamentan las diferentes alternativas de asignación de recursos para gastos e inversiones.</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la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para mejorar los resultados en el tiempo, a fin de optimizar la calidad del gasto público.</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(Énfasis añadido)</w:t>
      </w:r>
    </w:p>
    <w:p w:rsidR="008B4649" w:rsidRDefault="008B4649">
      <w:pPr>
        <w:spacing w:line="360" w:lineRule="auto"/>
        <w:ind w:right="49"/>
        <w:jc w:val="both"/>
        <w:rPr>
          <w:rFonts w:ascii="Palatino Linotype" w:eastAsia="Palatino Linotype" w:hAnsi="Palatino Linotype" w:cs="Palatino Linotype"/>
          <w:i/>
          <w:iCs/>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el cual define en su Glosario, el Manual para la Planeación, Programación y Presupuesto de Egresos Municipal de la siguiente forma:</w:t>
      </w:r>
    </w:p>
    <w:p w:rsidR="008B4649" w:rsidRDefault="008B4649">
      <w:pPr>
        <w:spacing w:line="360" w:lineRule="auto"/>
        <w:ind w:left="851" w:right="822"/>
        <w:jc w:val="both"/>
        <w:rPr>
          <w:rFonts w:ascii="Palatino Linotype" w:eastAsia="Palatino Linotype" w:hAnsi="Palatino Linotype" w:cs="Palatino Linotype"/>
          <w:i/>
          <w:iCs/>
          <w:sz w:val="22"/>
          <w:szCs w:val="22"/>
        </w:rPr>
      </w:pP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Presupuesto Basado en Resultados (PbR): Instrumento de la GpR, que consiste en un conjunto de actividades y herramientas orientados a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la rendición de cuentas.</w:t>
      </w:r>
    </w:p>
    <w:p w:rsidR="008B4649" w:rsidRDefault="008B4649">
      <w:pPr>
        <w:spacing w:line="360" w:lineRule="auto"/>
        <w:ind w:right="49"/>
        <w:jc w:val="both"/>
        <w:rPr>
          <w:rFonts w:ascii="Palatino Linotype" w:eastAsia="Palatino Linotype" w:hAnsi="Palatino Linotype" w:cs="Palatino Linotype"/>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mismo Glosario define a los formatos PbRM, como los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rsidR="008B4649" w:rsidRDefault="008B4649">
      <w:pPr>
        <w:spacing w:line="360" w:lineRule="auto"/>
        <w:ind w:right="49"/>
        <w:jc w:val="both"/>
        <w:rPr>
          <w:rFonts w:ascii="Palatino Linotype" w:eastAsia="Palatino Linotype" w:hAnsi="Palatino Linotype" w:cs="Palatino Linotype"/>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el Manual para la Planeación, Programación y Presupuesto de Egresos Municipal, señala referente al Anteproyecto del Presupuesto de Egresos lo siguiente:</w:t>
      </w:r>
    </w:p>
    <w:p w:rsidR="008B4649" w:rsidRDefault="008B4649">
      <w:pPr>
        <w:spacing w:line="360" w:lineRule="auto"/>
        <w:ind w:right="49"/>
        <w:jc w:val="both"/>
        <w:rPr>
          <w:rFonts w:ascii="Palatino Linotype" w:eastAsia="Palatino Linotype" w:hAnsi="Palatino Linotype" w:cs="Palatino Linotype"/>
          <w:sz w:val="22"/>
          <w:szCs w:val="22"/>
        </w:rPr>
      </w:pP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III.2.6 Formatos que integran el Anteproyecto de Presupuesto de Egresos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Para la integración del Anteproyecto de Presupuesto de Egresos Municipal, además de los formatos: PbRM-01a, PbRM-01b, PbRM-01c, PbRM-01d y PbRM-01e que integran el Programa Anual… se deberán integrar los formatos que identifiquen la asignación presupuestal por concepto de gasto como son los que a continuación se mencionan: </w:t>
      </w:r>
    </w:p>
    <w:p w:rsidR="008B4649" w:rsidRDefault="007203B0">
      <w:pPr>
        <w:ind w:left="1134" w:right="277"/>
        <w:jc w:val="both"/>
        <w:rPr>
          <w:rFonts w:ascii="Palatino Linotype" w:eastAsia="Palatino Linotype" w:hAnsi="Palatino Linotype" w:cs="Palatino Linotype"/>
          <w:i/>
          <w:iCs/>
          <w:sz w:val="22"/>
          <w:szCs w:val="22"/>
        </w:rPr>
      </w:pPr>
      <w:r>
        <w:rPr>
          <w:rFonts w:ascii="Symbol" w:eastAsia="Symbol" w:hAnsi="Symbol" w:cs="Symbol"/>
          <w:i/>
          <w:iCs/>
          <w:sz w:val="22"/>
          <w:szCs w:val="22"/>
        </w:rPr>
        <w:t>∙</w:t>
      </w:r>
      <w:r>
        <w:rPr>
          <w:rFonts w:ascii="Palatino Linotype" w:eastAsia="Palatino Linotype" w:hAnsi="Palatino Linotype" w:cs="Palatino Linotype"/>
          <w:i/>
          <w:iCs/>
          <w:sz w:val="22"/>
          <w:szCs w:val="22"/>
        </w:rPr>
        <w:t xml:space="preserve"> Presupuesto de ingresos detallado para el ejercicio fiscal 2021 PbRM-03ª</w:t>
      </w:r>
    </w:p>
    <w:p w:rsidR="008B4649" w:rsidRDefault="007203B0">
      <w:pPr>
        <w:ind w:left="1134" w:right="277"/>
        <w:jc w:val="both"/>
        <w:rPr>
          <w:rFonts w:ascii="Palatino Linotype" w:eastAsia="Palatino Linotype" w:hAnsi="Palatino Linotype" w:cs="Palatino Linotype"/>
          <w:i/>
          <w:iCs/>
          <w:sz w:val="22"/>
          <w:szCs w:val="22"/>
        </w:rPr>
      </w:pPr>
      <w:r>
        <w:rPr>
          <w:rFonts w:ascii="Symbol" w:eastAsia="Symbol" w:hAnsi="Symbol" w:cs="Symbol"/>
          <w:i/>
          <w:iCs/>
          <w:sz w:val="22"/>
          <w:szCs w:val="22"/>
        </w:rPr>
        <w:t>∙</w:t>
      </w:r>
      <w:r>
        <w:rPr>
          <w:rFonts w:ascii="Palatino Linotype" w:eastAsia="Palatino Linotype" w:hAnsi="Palatino Linotype" w:cs="Palatino Linotype"/>
          <w:i/>
          <w:iCs/>
          <w:sz w:val="22"/>
          <w:szCs w:val="22"/>
        </w:rPr>
        <w:t xml:space="preserve"> Presupuesto de egresos detallado para el ejercicio fiscal 2021 PbRM-04ª</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Además, una vez conociendo los ingresos estimados, la Tesorería podrá utilizar el siguiente formato Presupuesto de egresos detallado PbRM-04ª</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Presupuesto de Egresos por Objeto del Gasto y Dependencia General PbRM-04b.</w:t>
      </w:r>
    </w:p>
    <w:p w:rsidR="008B4649" w:rsidRDefault="007203B0">
      <w:pPr>
        <w:spacing w:line="360" w:lineRule="auto"/>
        <w:ind w:left="851" w:right="822"/>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8B4649" w:rsidRDefault="008B4649">
      <w:pPr>
        <w:spacing w:line="360" w:lineRule="auto"/>
        <w:ind w:left="851" w:right="822"/>
        <w:jc w:val="both"/>
        <w:rPr>
          <w:rFonts w:ascii="Palatino Linotype" w:eastAsia="Palatino Linotype" w:hAnsi="Palatino Linotype" w:cs="Palatino Linotype"/>
          <w:i/>
          <w:iCs/>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que se refiere al Proyecto de egresos, señala los siguientes PbRM:</w:t>
      </w:r>
    </w:p>
    <w:p w:rsidR="008B4649" w:rsidRDefault="008B4649">
      <w:pPr>
        <w:spacing w:line="360" w:lineRule="auto"/>
        <w:ind w:right="49"/>
        <w:jc w:val="both"/>
        <w:rPr>
          <w:rFonts w:ascii="Palatino Linotype" w:eastAsia="Palatino Linotype" w:hAnsi="Palatino Linotype" w:cs="Palatino Linotype"/>
          <w:sz w:val="22"/>
          <w:szCs w:val="22"/>
        </w:rPr>
      </w:pP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III.3 Proyecto de Presupuesto de Egresos (Segunda etapa)</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III.3.2 Formatos que integran el Proyecto de Presupuesto de Egresos</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Presupuesto de ingresos para el ejercicio fiscal 2021 (Presupuesto de Ingresos Detallado) (PbRM-03a)…</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Carátula de Presupuesto de Ingresos (PbRM-03b)</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 siguiente: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Formatos del Programa Anual (PbRM-01 en todas sus series), así como el PbRM-02a “Calendarización de Metas de actividad”, el cual tiene por objeto </w:t>
      </w:r>
      <w:r>
        <w:rPr>
          <w:rFonts w:ascii="Palatino Linotype" w:eastAsia="Palatino Linotype" w:hAnsi="Palatino Linotype" w:cs="Palatino Linotype"/>
          <w:i/>
          <w:iCs/>
          <w:sz w:val="22"/>
          <w:szCs w:val="22"/>
        </w:rPr>
        <w:lastRenderedPageBreak/>
        <w:t xml:space="preserve">identificar trimestralmente la ejecución de la meta anual, la cual proviene del formato PbRM-01c.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Presupuesto de Egresos Detallado (PbRM-04a).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Presupuesto de Egresos por Objeto del Gasto y Dependencia General (PbRM-04b). En este formato se integran los conceptos por partida específica, y concentra la suma de los formatos de Presupuesto de Egresos detallado (PbRM-04a) a nivel de Dependencia General. </w:t>
      </w:r>
    </w:p>
    <w:p w:rsidR="008B4649" w:rsidRDefault="007203B0">
      <w:pPr>
        <w:ind w:left="1134" w:right="277"/>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Egreso Global Calendarizado (PbRM-04c). Este formato deberá contener la suma de los formatos por Partida Específica, Partida Genérica, Concepto y Capítulo del Gasto (PbRM-04b), de todas las Dependencias Generales.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Carátula de Presupuesto de Egresos (PbRM-04d). Este formato deberá registrar los importes del formato por Capítulo de Gasto (PbRM E-04c).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Información Vinculada al Proyecto de Presupuesto de Egresos.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Tabulador de Sueldos (PbRM-05). El monto total de este formato debe coincidir con el Capítulo 1000 contenido en la Carátula de Presupuesto de Egresos (PbRM 04d).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El Programa Anual de Obra (PbRM E-07a) y el Programa Anual de Reparaciones y Mantenimiento (PbRM E07b). - Deberán corresponder al importe del Capítulo 6000 Inversión Pública contenido en la Carátula de Presupuesto de Egresos (PbRM- 04d).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El Programa Anual de Adquisiciones (PbRM-06). - Este formato considera las adquisiciones de bienes y servicios de los proyectos, reflejadas en los capítulos 2000, 3000 y 5000.</w:t>
      </w:r>
    </w:p>
    <w:p w:rsidR="008B4649" w:rsidRDefault="008B4649">
      <w:pPr>
        <w:ind w:left="1134" w:right="277"/>
        <w:jc w:val="both"/>
        <w:rPr>
          <w:rFonts w:ascii="Palatino Linotype" w:eastAsia="Palatino Linotype" w:hAnsi="Palatino Linotype" w:cs="Palatino Linotype"/>
          <w:i/>
          <w:iCs/>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otra parte, el mismo Manual señala que además de lo ya mencionado, en esta última etapa del presupuesto municipal se integrarán los formatos que a continuación se detallan:</w:t>
      </w:r>
    </w:p>
    <w:p w:rsidR="008B4649" w:rsidRDefault="008B4649">
      <w:pPr>
        <w:spacing w:line="360" w:lineRule="auto"/>
        <w:ind w:right="49"/>
        <w:jc w:val="both"/>
        <w:rPr>
          <w:rFonts w:ascii="Palatino Linotype" w:eastAsia="Palatino Linotype" w:hAnsi="Palatino Linotype" w:cs="Palatino Linotype"/>
          <w:sz w:val="22"/>
          <w:szCs w:val="22"/>
        </w:rPr>
      </w:pP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Presupuesto de Egresos por Objeto del Gasto y Dependencia General (PbRM-04b). - Este formato deberá ser la suma de los formatos (PbRM-04a) </w:t>
      </w:r>
      <w:r>
        <w:rPr>
          <w:rFonts w:ascii="Palatino Linotype" w:eastAsia="Palatino Linotype" w:hAnsi="Palatino Linotype" w:cs="Palatino Linotype"/>
          <w:i/>
          <w:iCs/>
          <w:sz w:val="22"/>
          <w:szCs w:val="22"/>
        </w:rPr>
        <w:lastRenderedPageBreak/>
        <w:t xml:space="preserve">Presupuesto de Egresos Detallado el cual contiene datos a nivel de Partida Específica, Partida Genérica, Concepto y Capítulo del Gasto, de cada proyecto a nivel de Dependencia General.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Egreso Global Calendarizado (PbRM E-04c). - Este formato deberá ser la suma de los formatos (PbRM-04b) Presupuesto de Egresos por Objeto del Gasto y Dependencia General.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Carátula de Presupuesto de Egresos (PbRM-04d). - Este formato deberá registrar los importes del formato (PbRM04c)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Información Vinculada al Presupuesto de Egresos: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Tabulador de Sueldos (PbRM-05). - El monto total de este formato debe coincidir con el Capítulo 1000 contenido en la Caratula de Egresos (PbRM 04d).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El Programa Anual de Obra (PbRM E-07a) y el Programa Anual de Reparaciones y Mantenimiento (PbRM E07b). - deberán corresponder al importe del Capítulo 6000 Inversión Pública contenido en la Carátula de Egresos (PbR 04d). </w:t>
      </w:r>
    </w:p>
    <w:p w:rsidR="008B4649" w:rsidRDefault="007203B0">
      <w:pPr>
        <w:ind w:left="1134" w:right="27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El Programa de Adquisiciones (PbRM-06). - En este formato se considera las adquisiciones de Bienes y Servicios de los proyectos, reflejando los Capítulos 2000, 3000 y 5000.</w:t>
      </w:r>
    </w:p>
    <w:p w:rsidR="008B4649" w:rsidRDefault="008B4649">
      <w:pPr>
        <w:spacing w:line="360" w:lineRule="auto"/>
        <w:ind w:right="822"/>
        <w:jc w:val="both"/>
        <w:rPr>
          <w:rFonts w:ascii="Palatino Linotype" w:eastAsia="Palatino Linotype" w:hAnsi="Palatino Linotype" w:cs="Palatino Linotype"/>
          <w:i/>
          <w:iCs/>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De lo anterior, se tiene que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al momento de integrar el presupuesto de egresos debe de </w:t>
      </w:r>
      <w:r w:rsidR="00FE0A9C">
        <w:rPr>
          <w:rFonts w:ascii="Palatino Linotype" w:eastAsia="Palatino Linotype" w:hAnsi="Palatino Linotype" w:cs="Palatino Linotype"/>
          <w:sz w:val="22"/>
          <w:szCs w:val="22"/>
        </w:rPr>
        <w:t>entregar</w:t>
      </w:r>
      <w:r>
        <w:rPr>
          <w:rFonts w:ascii="Palatino Linotype" w:eastAsia="Palatino Linotype" w:hAnsi="Palatino Linotype" w:cs="Palatino Linotype"/>
          <w:sz w:val="22"/>
          <w:szCs w:val="22"/>
        </w:rPr>
        <w:t xml:space="preserve"> el documento Egreso Global Calendarizado, localizado en el (PbRM-04c) que contiene la suma de los formatos por Partida Específica, Partida Genérica, Concepto y Capítulo del Gasto (PbRM-04b), </w:t>
      </w:r>
      <w:r>
        <w:rPr>
          <w:rFonts w:ascii="Palatino Linotype" w:eastAsia="Palatino Linotype" w:hAnsi="Palatino Linotype" w:cs="Palatino Linotype"/>
          <w:b/>
          <w:bCs/>
          <w:sz w:val="22"/>
          <w:szCs w:val="22"/>
        </w:rPr>
        <w:t>de todas las Dependencias Generales.</w:t>
      </w:r>
    </w:p>
    <w:p w:rsidR="008B4649" w:rsidRDefault="007203B0">
      <w:pPr>
        <w:numPr>
          <w:ilvl w:val="0"/>
          <w:numId w:val="4"/>
        </w:numPr>
        <w:spacing w:line="360" w:lineRule="auto"/>
        <w:ind w:left="0" w:right="-787" w:firstLine="0"/>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En esa </w:t>
      </w:r>
      <w:r w:rsidR="00FE0A9C">
        <w:rPr>
          <w:rFonts w:ascii="Palatino Linotype" w:eastAsia="Palatino Linotype" w:hAnsi="Palatino Linotype" w:cs="Palatino Linotype"/>
          <w:sz w:val="22"/>
          <w:szCs w:val="22"/>
        </w:rPr>
        <w:t>línea</w:t>
      </w:r>
      <w:r>
        <w:rPr>
          <w:rFonts w:ascii="Palatino Linotype" w:eastAsia="Palatino Linotype" w:hAnsi="Palatino Linotype" w:cs="Palatino Linotype"/>
          <w:sz w:val="22"/>
          <w:szCs w:val="22"/>
        </w:rPr>
        <w:t xml:space="preserve">, se tiene que el </w:t>
      </w:r>
      <w:r>
        <w:rPr>
          <w:rFonts w:ascii="Palatino Linotype" w:eastAsia="Palatino Linotype" w:hAnsi="Palatino Linotype" w:cs="Palatino Linotype"/>
          <w:b/>
          <w:bCs/>
          <w:sz w:val="22"/>
          <w:szCs w:val="22"/>
        </w:rPr>
        <w:t xml:space="preserve">SUJETO OBLIGADO </w:t>
      </w:r>
      <w:r>
        <w:rPr>
          <w:rFonts w:ascii="Palatino Linotype" w:eastAsia="Palatino Linotype" w:hAnsi="Palatino Linotype" w:cs="Palatino Linotype"/>
          <w:sz w:val="22"/>
          <w:szCs w:val="22"/>
        </w:rPr>
        <w:t xml:space="preserve">cuenta con los documentos que dan cuenta de las </w:t>
      </w:r>
      <w:r w:rsidR="00FE0A9C">
        <w:rPr>
          <w:rFonts w:ascii="Palatino Linotype" w:eastAsia="Palatino Linotype" w:hAnsi="Palatino Linotype" w:cs="Palatino Linotype"/>
          <w:sz w:val="22"/>
          <w:szCs w:val="22"/>
        </w:rPr>
        <w:t>partidas</w:t>
      </w:r>
      <w:r>
        <w:rPr>
          <w:rFonts w:ascii="Palatino Linotype" w:eastAsia="Palatino Linotype" w:hAnsi="Palatino Linotype" w:cs="Palatino Linotype"/>
          <w:sz w:val="22"/>
          <w:szCs w:val="22"/>
        </w:rPr>
        <w:t xml:space="preserve"> </w:t>
      </w:r>
      <w:r w:rsidR="00FE0A9C">
        <w:rPr>
          <w:rFonts w:ascii="Palatino Linotype" w:eastAsia="Palatino Linotype" w:hAnsi="Palatino Linotype" w:cs="Palatino Linotype"/>
          <w:sz w:val="22"/>
          <w:szCs w:val="22"/>
        </w:rPr>
        <w:t>genéricas</w:t>
      </w:r>
      <w:r>
        <w:rPr>
          <w:rFonts w:ascii="Palatino Linotype" w:eastAsia="Palatino Linotype" w:hAnsi="Palatino Linotype" w:cs="Palatino Linotype"/>
          <w:sz w:val="22"/>
          <w:szCs w:val="22"/>
        </w:rPr>
        <w:t xml:space="preserve"> por dependencia, situación por la cual para colmar el derecho de acceso a la información </w:t>
      </w:r>
      <w:r w:rsidR="00FE0A9C">
        <w:rPr>
          <w:rFonts w:ascii="Palatino Linotype" w:eastAsia="Palatino Linotype" w:hAnsi="Palatino Linotype" w:cs="Palatino Linotype"/>
          <w:sz w:val="22"/>
          <w:szCs w:val="22"/>
        </w:rPr>
        <w:t>deberá</w:t>
      </w:r>
      <w:r>
        <w:rPr>
          <w:rFonts w:ascii="Palatino Linotype" w:eastAsia="Palatino Linotype" w:hAnsi="Palatino Linotype" w:cs="Palatino Linotype"/>
          <w:sz w:val="22"/>
          <w:szCs w:val="22"/>
        </w:rPr>
        <w:t xml:space="preserve"> de entregarse la información que contenga la información solicitada. </w:t>
      </w:r>
    </w:p>
    <w:p w:rsidR="008B4649" w:rsidRDefault="008B4649">
      <w:pPr>
        <w:spacing w:line="360" w:lineRule="auto"/>
        <w:ind w:right="-787"/>
        <w:jc w:val="both"/>
        <w:rPr>
          <w:rFonts w:ascii="Palatino Linotype" w:eastAsia="Palatino Linotype" w:hAnsi="Palatino Linotype" w:cs="Palatino Linotype"/>
          <w:b/>
          <w:bCs/>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Sirve de reforzamiento a lo </w:t>
      </w:r>
      <w:r w:rsidR="00FE0A9C">
        <w:rPr>
          <w:rFonts w:ascii="Palatino Linotype" w:eastAsia="Palatino Linotype" w:hAnsi="Palatino Linotype" w:cs="Palatino Linotype"/>
          <w:sz w:val="22"/>
          <w:szCs w:val="22"/>
        </w:rPr>
        <w:t>anterior, lo</w:t>
      </w:r>
      <w:r>
        <w:rPr>
          <w:rFonts w:ascii="Palatino Linotype" w:eastAsia="Palatino Linotype" w:hAnsi="Palatino Linotype" w:cs="Palatino Linotype"/>
          <w:sz w:val="22"/>
          <w:szCs w:val="22"/>
        </w:rPr>
        <w:t xml:space="preserve"> </w:t>
      </w:r>
      <w:r w:rsidR="00FE0A9C">
        <w:rPr>
          <w:rFonts w:ascii="Palatino Linotype" w:eastAsia="Palatino Linotype" w:hAnsi="Palatino Linotype" w:cs="Palatino Linotype"/>
          <w:sz w:val="22"/>
          <w:szCs w:val="22"/>
        </w:rPr>
        <w:t>regulado</w:t>
      </w:r>
      <w:r>
        <w:rPr>
          <w:rFonts w:ascii="Palatino Linotype" w:eastAsia="Palatino Linotype" w:hAnsi="Palatino Linotype" w:cs="Palatino Linotype"/>
          <w:sz w:val="22"/>
          <w:szCs w:val="22"/>
        </w:rPr>
        <w:t xml:space="preserve"> en los Lineamientos para la entrega del Presupuesto de Egresos Municipal, emitido por el Órgano Superior de Fiscalización del Estado de México, en la entrega del presupuesto de egresos municipal deben estar contenidos los siguientes presupuestos basados en resultados (PbRM):</w:t>
      </w:r>
    </w:p>
    <w:p w:rsidR="008B4649" w:rsidRDefault="008B4649">
      <w:pPr>
        <w:spacing w:line="360" w:lineRule="auto"/>
        <w:ind w:right="49"/>
        <w:jc w:val="both"/>
        <w:rPr>
          <w:rFonts w:ascii="Palatino Linotype" w:eastAsia="Palatino Linotype" w:hAnsi="Palatino Linotype" w:cs="Palatino Linotype"/>
          <w:sz w:val="22"/>
          <w:szCs w:val="22"/>
        </w:rPr>
      </w:pPr>
    </w:p>
    <w:p w:rsidR="008B4649" w:rsidRDefault="007203B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Presupuesto de Ingresos Formato PbRM-03b</w:t>
      </w:r>
    </w:p>
    <w:p w:rsidR="008B4649" w:rsidRDefault="007203B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Presupuesto de Egresos Formato PbRM-04d</w:t>
      </w:r>
    </w:p>
    <w:p w:rsidR="008B4649" w:rsidRDefault="007203B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Presupuesto de Ingresos Detallado Formato PbRM-3a</w:t>
      </w:r>
    </w:p>
    <w:p w:rsidR="008B4649" w:rsidRDefault="007203B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Tabulador de Sueldos Formato PbRM-05</w:t>
      </w:r>
    </w:p>
    <w:p w:rsidR="008B4649" w:rsidRDefault="007203B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Programa Anual de Adquisiciones Formato PbRM-06</w:t>
      </w:r>
    </w:p>
    <w:p w:rsidR="008B4649" w:rsidRDefault="007203B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Programa Anual de Obras Formato PbRm-07a</w:t>
      </w:r>
    </w:p>
    <w:p w:rsidR="008B4649" w:rsidRDefault="007203B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Programa Anual de Reparaciones y Mantenimiento Formato PbRM-07b</w:t>
      </w:r>
    </w:p>
    <w:p w:rsidR="008B4649" w:rsidRDefault="007203B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Programa Anual Dimensión Administrativa del Gasto Formato PbRM-01a</w:t>
      </w:r>
    </w:p>
    <w:p w:rsidR="008B4649" w:rsidRDefault="007203B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Programa Anual Descripción del Programa Presupuestario Formato PbRM-01b</w:t>
      </w:r>
    </w:p>
    <w:p w:rsidR="008B4649" w:rsidRDefault="007203B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Programa Anual de Metas de Actividad por Proyecto Formato PbRM-01c</w:t>
      </w:r>
    </w:p>
    <w:p w:rsidR="008B4649" w:rsidRDefault="007203B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Calendarización de Metas de Actividad por Proyecto Formato PbRM-02a</w:t>
      </w:r>
    </w:p>
    <w:p w:rsidR="008B4649" w:rsidRDefault="008B4649">
      <w:pPr>
        <w:spacing w:line="360" w:lineRule="auto"/>
        <w:ind w:right="49"/>
        <w:jc w:val="both"/>
        <w:rPr>
          <w:rFonts w:ascii="Palatino Linotype" w:eastAsia="Palatino Linotype" w:hAnsi="Palatino Linotype" w:cs="Palatino Linotype"/>
          <w:sz w:val="22"/>
          <w:szCs w:val="22"/>
        </w:rPr>
      </w:pPr>
    </w:p>
    <w:p w:rsidR="008B4649" w:rsidRDefault="008B4649">
      <w:pPr>
        <w:spacing w:line="360" w:lineRule="auto"/>
        <w:ind w:right="49"/>
        <w:jc w:val="both"/>
        <w:rPr>
          <w:rFonts w:ascii="Palatino Linotype" w:eastAsia="Palatino Linotype" w:hAnsi="Palatino Linotype" w:cs="Palatino Linotype"/>
          <w:sz w:val="22"/>
          <w:szCs w:val="22"/>
        </w:rPr>
      </w:pPr>
    </w:p>
    <w:p w:rsidR="008B4649" w:rsidRDefault="008B4649">
      <w:pPr>
        <w:spacing w:line="360" w:lineRule="auto"/>
        <w:ind w:right="-787"/>
        <w:jc w:val="both"/>
        <w:rPr>
          <w:rFonts w:ascii="Palatino Linotype" w:eastAsia="Palatino Linotype" w:hAnsi="Palatino Linotype" w:cs="Palatino Linotype"/>
          <w:b/>
          <w:bCs/>
          <w:i/>
          <w:iCs/>
          <w:color w:val="000000"/>
          <w:sz w:val="22"/>
          <w:szCs w:val="22"/>
        </w:rPr>
      </w:pPr>
    </w:p>
    <w:p w:rsidR="008B4649" w:rsidRDefault="008B4649">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8B4649" w:rsidRDefault="008B4649">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consecuencia, se tiene que para colmar el derecho de acceso a la información del </w:t>
      </w:r>
      <w:r>
        <w:rPr>
          <w:rFonts w:ascii="Palatino Linotype" w:eastAsia="Palatino Linotype" w:hAnsi="Palatino Linotype" w:cs="Palatino Linotype"/>
          <w:b/>
          <w:bCs/>
          <w:color w:val="000000"/>
          <w:sz w:val="22"/>
          <w:szCs w:val="22"/>
        </w:rPr>
        <w:t xml:space="preserve">RECURRENTE </w:t>
      </w:r>
      <w:r>
        <w:rPr>
          <w:rFonts w:ascii="Palatino Linotype" w:eastAsia="Palatino Linotype" w:hAnsi="Palatino Linotype" w:cs="Palatino Linotype"/>
          <w:color w:val="000000"/>
          <w:sz w:val="22"/>
          <w:szCs w:val="22"/>
        </w:rPr>
        <w:t xml:space="preserve">deberá de entregar la información que se ordene en resolutivos. </w:t>
      </w:r>
    </w:p>
    <w:p w:rsidR="008B4649" w:rsidRDefault="008B4649">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8B4649" w:rsidRDefault="007203B0">
      <w:pPr>
        <w:keepNext/>
        <w:keepLines/>
        <w:spacing w:after="160" w:line="360" w:lineRule="auto"/>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QUINTO. De la versión pública.</w:t>
      </w:r>
    </w:p>
    <w:p w:rsidR="008B4649" w:rsidRDefault="007203B0">
      <w:pPr>
        <w:keepNext/>
        <w:keepLines/>
        <w:numPr>
          <w:ilvl w:val="0"/>
          <w:numId w:val="7"/>
        </w:numPr>
        <w:tabs>
          <w:tab w:val="left" w:pos="284"/>
        </w:tabs>
        <w:spacing w:after="160" w:line="360" w:lineRule="auto"/>
        <w:ind w:left="0" w:firstLine="0"/>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Nociones generales. </w:t>
      </w: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debe destacarse, que debido a que des desconoce el contenido de la información que sea entregada  es que pudiera ser el caso que contenga datos susceptibles de protegerse, así como información susceptible de clasificarse como confidencial o reservada,  por lo que, el </w:t>
      </w:r>
      <w:r>
        <w:rPr>
          <w:rFonts w:ascii="Palatino Linotype" w:eastAsia="Palatino Linotype" w:hAnsi="Palatino Linotype" w:cs="Palatino Linotype"/>
          <w:b/>
          <w:bCs/>
          <w:color w:val="000000"/>
          <w:sz w:val="22"/>
          <w:szCs w:val="22"/>
        </w:rPr>
        <w:t xml:space="preserve">SUJETO OBLIGADO </w:t>
      </w:r>
      <w:r>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rsidR="008B4649" w:rsidRDefault="008B4649">
      <w:pPr>
        <w:tabs>
          <w:tab w:val="left" w:pos="0"/>
          <w:tab w:val="left" w:pos="284"/>
        </w:tabs>
        <w:spacing w:line="360" w:lineRule="auto"/>
        <w:ind w:right="49"/>
        <w:jc w:val="both"/>
        <w:rPr>
          <w:rFonts w:ascii="Palatino Linotype" w:eastAsia="Palatino Linotype" w:hAnsi="Palatino Linotype" w:cs="Palatino Linotype"/>
          <w:sz w:val="22"/>
          <w:szCs w:val="22"/>
          <w:highlight w:val="yellow"/>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No pasa desapercibido para este Órgano Garante que los sujetos obligados</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8B4649" w:rsidRDefault="008B4649">
      <w:pPr>
        <w:tabs>
          <w:tab w:val="left" w:pos="284"/>
        </w:tabs>
        <w:spacing w:after="160" w:line="360" w:lineRule="auto"/>
        <w:ind w:right="49"/>
        <w:jc w:val="both"/>
        <w:rPr>
          <w:rFonts w:ascii="Palatino Linotype" w:eastAsia="Palatino Linotype" w:hAnsi="Palatino Linotype" w:cs="Palatino Linotype"/>
          <w:color w:val="000000"/>
          <w:sz w:val="22"/>
          <w:szCs w:val="22"/>
        </w:rPr>
      </w:pPr>
    </w:p>
    <w:tbl>
      <w:tblPr>
        <w:tblStyle w:val="a3"/>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8B4649">
        <w:tc>
          <w:tcPr>
            <w:tcW w:w="2689" w:type="dxa"/>
          </w:tcPr>
          <w:p w:rsidR="008B4649" w:rsidRDefault="007203B0">
            <w:pPr>
              <w:tabs>
                <w:tab w:val="left" w:pos="284"/>
              </w:tabs>
              <w:spacing w:line="360" w:lineRule="auto"/>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 Requisitos previos.</w:t>
            </w:r>
          </w:p>
        </w:tc>
        <w:tc>
          <w:tcPr>
            <w:tcW w:w="6520" w:type="dxa"/>
          </w:tcPr>
          <w:p w:rsidR="008B4649" w:rsidRDefault="007203B0">
            <w:pPr>
              <w:tabs>
                <w:tab w:val="left" w:pos="284"/>
              </w:tabs>
              <w:spacing w:line="360" w:lineRule="auto"/>
              <w:ind w:right="49"/>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8B4649" w:rsidRDefault="007203B0">
            <w:pPr>
              <w:tabs>
                <w:tab w:val="left" w:pos="284"/>
              </w:tabs>
              <w:spacing w:line="360" w:lineRule="auto"/>
              <w:ind w:right="49"/>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lastRenderedPageBreak/>
              <w:t>Al hacerlo tienen que precisar de qué información se trata, señalando el supuesto de clasificación (confidencialidad o reserva).</w:t>
            </w:r>
          </w:p>
          <w:p w:rsidR="008B4649" w:rsidRDefault="007203B0">
            <w:pPr>
              <w:tabs>
                <w:tab w:val="left" w:pos="284"/>
              </w:tabs>
              <w:spacing w:line="360" w:lineRule="auto"/>
              <w:ind w:right="49"/>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Además, se debe señalar el procedimiento, de los tres que establecen los artículos 132 y 106 de la Ley Estatal y General, respectivamente.</w:t>
            </w:r>
          </w:p>
          <w:p w:rsidR="008B4649" w:rsidRDefault="007203B0">
            <w:pPr>
              <w:tabs>
                <w:tab w:val="left" w:pos="284"/>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b/>
                <w:bCs/>
                <w:color w:val="000000"/>
                <w:sz w:val="22"/>
                <w:szCs w:val="22"/>
                <w:u w:val="single"/>
              </w:rPr>
              <w:t>no se puede hacer un acuerdo para clasificar de manera general todos los documentos de un expediente o área, sin</w:t>
            </w:r>
            <w:r>
              <w:rPr>
                <w:rFonts w:ascii="Palatino Linotype" w:eastAsia="Palatino Linotype" w:hAnsi="Palatino Linotype" w:cs="Palatino Linotype"/>
                <w:b/>
                <w:bCs/>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8B4649">
        <w:tc>
          <w:tcPr>
            <w:tcW w:w="2689" w:type="dxa"/>
          </w:tcPr>
          <w:p w:rsidR="008B4649" w:rsidRDefault="007203B0">
            <w:pPr>
              <w:tabs>
                <w:tab w:val="left" w:pos="284"/>
              </w:tabs>
              <w:spacing w:line="360" w:lineRule="auto"/>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b) Supuestos de clasificación.</w:t>
            </w:r>
          </w:p>
        </w:tc>
        <w:tc>
          <w:tcPr>
            <w:tcW w:w="6520" w:type="dxa"/>
          </w:tcPr>
          <w:p w:rsidR="008B4649" w:rsidRDefault="007203B0">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rsidR="008B4649" w:rsidRDefault="007203B0">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Pr>
                <w:rFonts w:ascii="Palatino Linotype" w:eastAsia="Palatino Linotype" w:hAnsi="Palatino Linotype" w:cs="Palatino Linotype"/>
                <w:color w:val="000000"/>
                <w:sz w:val="22"/>
                <w:szCs w:val="22"/>
              </w:rPr>
              <w:lastRenderedPageBreak/>
              <w:t>ampliar las excepciones o supuestos de clasificación aduciendo analogía o mayoría de razón.</w:t>
            </w:r>
          </w:p>
          <w:p w:rsidR="008B4649" w:rsidRDefault="007203B0">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bCs/>
                <w:color w:val="000000"/>
                <w:sz w:val="22"/>
                <w:szCs w:val="22"/>
              </w:rPr>
              <w:t>Sujeto Obligado</w:t>
            </w:r>
            <w:r>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B4649">
        <w:tc>
          <w:tcPr>
            <w:tcW w:w="2689" w:type="dxa"/>
          </w:tcPr>
          <w:p w:rsidR="008B4649" w:rsidRDefault="007203B0">
            <w:pPr>
              <w:tabs>
                <w:tab w:val="left" w:pos="284"/>
              </w:tabs>
              <w:spacing w:line="360" w:lineRule="auto"/>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c) Formalidades para emitir el acuerdo de clasificación.</w:t>
            </w:r>
          </w:p>
        </w:tc>
        <w:tc>
          <w:tcPr>
            <w:tcW w:w="6520" w:type="dxa"/>
          </w:tcPr>
          <w:p w:rsidR="008B4649" w:rsidRDefault="007203B0">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rsidR="008B4649" w:rsidRDefault="007203B0">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Es necesario que </w:t>
            </w:r>
            <w:r>
              <w:rPr>
                <w:rFonts w:ascii="Palatino Linotype" w:eastAsia="Palatino Linotype" w:hAnsi="Palatino Linotype" w:cs="Palatino Linotype"/>
                <w:b/>
                <w:bCs/>
                <w:color w:val="000000"/>
                <w:sz w:val="22"/>
                <w:szCs w:val="22"/>
                <w:u w:val="single"/>
              </w:rPr>
              <w:t>el acto reúna con los requisitos elementales</w:t>
            </w:r>
            <w:r>
              <w:rPr>
                <w:rFonts w:ascii="Palatino Linotype" w:eastAsia="Palatino Linotype" w:hAnsi="Palatino Linotype" w:cs="Palatino Linotype"/>
                <w:color w:val="000000"/>
                <w:sz w:val="22"/>
                <w:szCs w:val="22"/>
              </w:rPr>
              <w:t>, entre ellos, que la autoridad que va a emitir el acto de autoridad sea la legalmente facultada para ello.</w:t>
            </w:r>
          </w:p>
          <w:p w:rsidR="008B4649" w:rsidRDefault="007203B0">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B4649">
        <w:tc>
          <w:tcPr>
            <w:tcW w:w="2689" w:type="dxa"/>
          </w:tcPr>
          <w:p w:rsidR="008B4649" w:rsidRDefault="008B4649">
            <w:pPr>
              <w:tabs>
                <w:tab w:val="left" w:pos="284"/>
              </w:tabs>
              <w:spacing w:line="360" w:lineRule="auto"/>
              <w:rPr>
                <w:rFonts w:ascii="Palatino Linotype" w:eastAsia="Palatino Linotype" w:hAnsi="Palatino Linotype" w:cs="Palatino Linotype"/>
                <w:b/>
                <w:bCs/>
                <w:sz w:val="22"/>
                <w:szCs w:val="22"/>
              </w:rPr>
            </w:pPr>
          </w:p>
          <w:p w:rsidR="008B4649" w:rsidRDefault="007203B0">
            <w:pPr>
              <w:tabs>
                <w:tab w:val="left" w:pos="284"/>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 xml:space="preserve">d) Requisitos de fondo del acuerdo de clasificación. </w:t>
            </w:r>
          </w:p>
        </w:tc>
        <w:tc>
          <w:tcPr>
            <w:tcW w:w="6520" w:type="dxa"/>
          </w:tcPr>
          <w:p w:rsidR="008B4649" w:rsidRDefault="007203B0">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color w:val="000000"/>
                <w:sz w:val="22"/>
                <w:szCs w:val="22"/>
              </w:rPr>
              <w:t>Sujetos Obligados</w:t>
            </w:r>
            <w:r>
              <w:rPr>
                <w:rFonts w:ascii="Palatino Linotype" w:eastAsia="Palatino Linotype" w:hAnsi="Palatino Linotype" w:cs="Palatino Linotype"/>
                <w:color w:val="000000"/>
                <w:sz w:val="22"/>
                <w:szCs w:val="22"/>
              </w:rPr>
              <w:t xml:space="preserve">, por lo que deberán fundar y motivar debidamente la clasificación. </w:t>
            </w:r>
          </w:p>
          <w:p w:rsidR="008B4649" w:rsidRDefault="007203B0">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lo anterior, se desprende que para una correcta </w:t>
            </w:r>
            <w:r>
              <w:rPr>
                <w:rFonts w:ascii="Palatino Linotype" w:eastAsia="Palatino Linotype" w:hAnsi="Palatino Linotype" w:cs="Palatino Linotype"/>
                <w:b/>
                <w:bCs/>
                <w:color w:val="000000"/>
                <w:sz w:val="22"/>
                <w:szCs w:val="22"/>
              </w:rPr>
              <w:t>clasificación total o parcial</w:t>
            </w:r>
            <w:r>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B4649" w:rsidRDefault="007203B0">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B4649" w:rsidRDefault="007203B0">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mismo sentido, el numeral trigésimo tercero fracción V de los Lineamientos Generales, precisa que para motivar la </w:t>
            </w:r>
            <w:r>
              <w:rPr>
                <w:rFonts w:ascii="Palatino Linotype" w:eastAsia="Palatino Linotype" w:hAnsi="Palatino Linotype" w:cs="Palatino Linotype"/>
                <w:color w:val="000000"/>
                <w:sz w:val="22"/>
                <w:szCs w:val="22"/>
              </w:rPr>
              <w:lastRenderedPageBreak/>
              <w:t>clasificación se deben acreditar las circunstancias de tiempo, modo y lugar.</w:t>
            </w:r>
          </w:p>
          <w:p w:rsidR="008B4649" w:rsidRDefault="007203B0">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w:t>
            </w:r>
            <w:r>
              <w:rPr>
                <w:rFonts w:ascii="Palatino Linotype" w:eastAsia="Palatino Linotype" w:hAnsi="Palatino Linotype" w:cs="Palatino Linotype"/>
                <w:b/>
                <w:bCs/>
                <w:color w:val="000000"/>
                <w:sz w:val="22"/>
                <w:szCs w:val="22"/>
                <w:u w:val="single"/>
              </w:rPr>
              <w:t>para cada caso además de fundar y motivar</w:t>
            </w:r>
            <w:r>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B4649">
        <w:tc>
          <w:tcPr>
            <w:tcW w:w="2689" w:type="dxa"/>
          </w:tcPr>
          <w:p w:rsidR="008B4649" w:rsidRDefault="007203B0">
            <w:pPr>
              <w:tabs>
                <w:tab w:val="left" w:pos="284"/>
              </w:tabs>
              <w:spacing w:line="360" w:lineRule="auto"/>
              <w:ind w:right="49"/>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 xml:space="preserve">e) Condiciones especiales de la clasificación de la información como confidencial. </w:t>
            </w:r>
          </w:p>
        </w:tc>
        <w:tc>
          <w:tcPr>
            <w:tcW w:w="6520" w:type="dxa"/>
          </w:tcPr>
          <w:p w:rsidR="008B4649" w:rsidRDefault="007203B0">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rsidR="008B4649" w:rsidRDefault="007203B0">
            <w:pPr>
              <w:tabs>
                <w:tab w:val="left" w:pos="284"/>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B4649" w:rsidRDefault="007203B0">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B4649" w:rsidRDefault="008B4649">
      <w:pPr>
        <w:tabs>
          <w:tab w:val="left" w:pos="284"/>
        </w:tabs>
        <w:spacing w:line="360" w:lineRule="auto"/>
        <w:rPr>
          <w:rFonts w:ascii="Palatino Linotype" w:eastAsia="Palatino Linotype" w:hAnsi="Palatino Linotype" w:cs="Palatino Linotype"/>
          <w:color w:val="000000"/>
          <w:sz w:val="22"/>
          <w:szCs w:val="22"/>
        </w:rPr>
      </w:pPr>
    </w:p>
    <w:p w:rsidR="008B4649" w:rsidRDefault="007203B0">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lastRenderedPageBreak/>
        <w:t xml:space="preserve">Si el servidor público incumple con estas formalidades y entrega la información sin proteger </w:t>
      </w:r>
      <w:r>
        <w:rPr>
          <w:rFonts w:ascii="Palatino Linotype" w:eastAsia="Palatino Linotype" w:hAnsi="Palatino Linotype" w:cs="Palatino Linotype"/>
          <w:color w:val="000000"/>
          <w:sz w:val="22"/>
          <w:szCs w:val="22"/>
        </w:rPr>
        <w:t>los</w:t>
      </w:r>
      <w:r>
        <w:rPr>
          <w:rFonts w:ascii="Palatino Linotype" w:eastAsia="Palatino Linotype" w:hAnsi="Palatino Linotype" w:cs="Palatino Linotype"/>
          <w:sz w:val="22"/>
          <w:szCs w:val="22"/>
        </w:rPr>
        <w:t xml:space="preserve"> datos personales incumple con lo que estipula las disposiciones legales establecidas, asimismo que si entrega un documento testado sin el debido acuerdo de clasificación.</w:t>
      </w:r>
    </w:p>
    <w:p w:rsidR="008B4649" w:rsidRDefault="008B4649">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8B4649" w:rsidRDefault="007203B0">
      <w:pPr>
        <w:numPr>
          <w:ilvl w:val="0"/>
          <w:numId w:val="4"/>
        </w:numPr>
        <w:spacing w:line="360" w:lineRule="auto"/>
        <w:ind w:left="0" w:right="-787"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Por lo anteriormente expuesto, este Órgano Garante considera parcialmente fundadas </w:t>
      </w:r>
      <w:r w:rsidRPr="00561E62">
        <w:rPr>
          <w:rFonts w:ascii="Palatino Linotype" w:eastAsia="Palatino Linotype" w:hAnsi="Palatino Linotype" w:cs="Palatino Linotype"/>
          <w:sz w:val="22"/>
          <w:szCs w:val="22"/>
        </w:rPr>
        <w:t>las razones o motivos de inconformidad que plantea el</w:t>
      </w:r>
      <w:r w:rsidRPr="00561E62">
        <w:rPr>
          <w:rFonts w:ascii="Palatino Linotype" w:eastAsia="Palatino Linotype" w:hAnsi="Palatino Linotype" w:cs="Palatino Linotype"/>
          <w:b/>
          <w:bCs/>
          <w:sz w:val="22"/>
          <w:szCs w:val="22"/>
        </w:rPr>
        <w:t xml:space="preserve"> RECURRENTE</w:t>
      </w:r>
      <w:r w:rsidRPr="00561E62">
        <w:rPr>
          <w:rFonts w:ascii="Palatino Linotype" w:eastAsia="Palatino Linotype" w:hAnsi="Palatino Linotype" w:cs="Palatino Linotype"/>
          <w:sz w:val="22"/>
          <w:szCs w:val="22"/>
        </w:rPr>
        <w:t xml:space="preserve">, determinando </w:t>
      </w:r>
      <w:r w:rsidR="005A492E" w:rsidRPr="00561E62">
        <w:rPr>
          <w:rFonts w:ascii="Palatino Linotype" w:eastAsia="Palatino Linotype" w:hAnsi="Palatino Linotype" w:cs="Palatino Linotype"/>
          <w:b/>
          <w:bCs/>
          <w:smallCaps/>
          <w:sz w:val="22"/>
          <w:szCs w:val="22"/>
        </w:rPr>
        <w:t>MODIFICAR</w:t>
      </w:r>
      <w:r w:rsidRPr="00561E62">
        <w:rPr>
          <w:rFonts w:ascii="Palatino Linotype" w:eastAsia="Palatino Linotype" w:hAnsi="Palatino Linotype" w:cs="Palatino Linotype"/>
          <w:b/>
          <w:bCs/>
          <w:smallCaps/>
          <w:sz w:val="22"/>
          <w:szCs w:val="22"/>
        </w:rPr>
        <w:t xml:space="preserve"> </w:t>
      </w:r>
      <w:r w:rsidRPr="00561E62">
        <w:rPr>
          <w:rFonts w:ascii="Palatino Linotype" w:eastAsia="Palatino Linotype" w:hAnsi="Palatino Linotype" w:cs="Palatino Linotype"/>
          <w:sz w:val="22"/>
          <w:szCs w:val="22"/>
        </w:rPr>
        <w:t xml:space="preserve">la respuesta del </w:t>
      </w:r>
      <w:r w:rsidRPr="00561E62">
        <w:rPr>
          <w:rFonts w:ascii="Palatino Linotype" w:eastAsia="Palatino Linotype" w:hAnsi="Palatino Linotype" w:cs="Palatino Linotype"/>
          <w:b/>
          <w:bCs/>
          <w:sz w:val="22"/>
          <w:szCs w:val="22"/>
        </w:rPr>
        <w:t>SUJETO OBLIGADO</w:t>
      </w:r>
      <w:r w:rsidRPr="00561E62">
        <w:rPr>
          <w:rFonts w:ascii="Palatino Linotype" w:eastAsia="Palatino Linotype" w:hAnsi="Palatino Linotype" w:cs="Palatino Linotype"/>
          <w:sz w:val="22"/>
          <w:szCs w:val="22"/>
        </w:rPr>
        <w:t>, por lo que con fundamento en lo prescrito</w:t>
      </w:r>
      <w:r>
        <w:rPr>
          <w:rFonts w:ascii="Palatino Linotype" w:eastAsia="Palatino Linotype" w:hAnsi="Palatino Linotype" w:cs="Palatino Linotype"/>
          <w:sz w:val="22"/>
          <w:szCs w:val="22"/>
        </w:rPr>
        <w:t xml:space="preserve">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sz w:val="22"/>
          <w:szCs w:val="22"/>
        </w:rPr>
        <w:t xml:space="preserve">este </w:t>
      </w:r>
      <w:r>
        <w:rPr>
          <w:rFonts w:ascii="Palatino Linotype" w:eastAsia="Palatino Linotype" w:hAnsi="Palatino Linotype" w:cs="Palatino Linotype"/>
          <w:b/>
          <w:bCs/>
          <w:color w:val="000000"/>
          <w:sz w:val="22"/>
          <w:szCs w:val="22"/>
        </w:rPr>
        <w:t>ÓRGANO GARANTE</w:t>
      </w:r>
      <w:r>
        <w:rPr>
          <w:rFonts w:ascii="Palatino Linotype" w:eastAsia="Palatino Linotype" w:hAnsi="Palatino Linotype" w:cs="Palatino Linotype"/>
          <w:color w:val="000000"/>
          <w:sz w:val="22"/>
          <w:szCs w:val="22"/>
        </w:rPr>
        <w:t xml:space="preserve"> emite los siguientes.</w:t>
      </w:r>
    </w:p>
    <w:p w:rsidR="008B4649" w:rsidRDefault="008B4649">
      <w:pPr>
        <w:pBdr>
          <w:top w:val="nil"/>
          <w:left w:val="nil"/>
          <w:bottom w:val="nil"/>
          <w:right w:val="nil"/>
          <w:between w:val="nil"/>
        </w:pBdr>
        <w:ind w:left="720" w:right="-787"/>
        <w:rPr>
          <w:rFonts w:ascii="Palatino Linotype" w:eastAsia="Palatino Linotype" w:hAnsi="Palatino Linotype" w:cs="Palatino Linotype"/>
          <w:color w:val="000000"/>
          <w:sz w:val="22"/>
          <w:szCs w:val="22"/>
        </w:rPr>
      </w:pPr>
    </w:p>
    <w:p w:rsidR="008B4649" w:rsidRDefault="008B4649">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sz w:val="22"/>
          <w:szCs w:val="22"/>
        </w:rPr>
      </w:pPr>
    </w:p>
    <w:p w:rsidR="008B4649" w:rsidRDefault="007203B0">
      <w:pPr>
        <w:pStyle w:val="Ttulo1"/>
        <w:spacing w:before="0" w:line="360" w:lineRule="auto"/>
        <w:ind w:right="-787"/>
        <w:jc w:val="center"/>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 E S O L U T I V O S</w:t>
      </w:r>
    </w:p>
    <w:p w:rsidR="008B4649" w:rsidRDefault="008B4649">
      <w:pPr>
        <w:spacing w:line="360" w:lineRule="auto"/>
        <w:ind w:right="-787"/>
        <w:rPr>
          <w:rFonts w:ascii="Palatino Linotype" w:eastAsia="Palatino Linotype" w:hAnsi="Palatino Linotype" w:cs="Palatino Linotype"/>
          <w:sz w:val="22"/>
          <w:szCs w:val="22"/>
        </w:rPr>
      </w:pPr>
    </w:p>
    <w:p w:rsidR="008B4649" w:rsidRDefault="007203B0">
      <w:pPr>
        <w:spacing w:line="360" w:lineRule="auto"/>
        <w:ind w:right="-787"/>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PRIMERO</w:t>
      </w:r>
      <w:r>
        <w:rPr>
          <w:rFonts w:ascii="Palatino Linotype" w:eastAsia="Palatino Linotype" w:hAnsi="Palatino Linotype" w:cs="Palatino Linotype"/>
          <w:sz w:val="22"/>
          <w:szCs w:val="22"/>
        </w:rPr>
        <w:t xml:space="preserve">. Resultan parcialmente fundadas las razones o motivos de inconformidad hechos valer en el Recurso de Revisión </w:t>
      </w:r>
      <w:r>
        <w:rPr>
          <w:rFonts w:ascii="Palatino Linotype" w:eastAsia="Palatino Linotype" w:hAnsi="Palatino Linotype" w:cs="Palatino Linotype"/>
          <w:b/>
          <w:bCs/>
          <w:sz w:val="22"/>
          <w:szCs w:val="22"/>
        </w:rPr>
        <w:t xml:space="preserve">10103/INFOEM/IP/RR/2025, </w:t>
      </w:r>
      <w:r>
        <w:rPr>
          <w:rFonts w:ascii="Palatino Linotype" w:eastAsia="Palatino Linotype" w:hAnsi="Palatino Linotype" w:cs="Palatino Linotype"/>
          <w:sz w:val="22"/>
          <w:szCs w:val="22"/>
        </w:rPr>
        <w:t xml:space="preserve">en términos de los Considerandos </w:t>
      </w:r>
      <w:r>
        <w:rPr>
          <w:rFonts w:ascii="Palatino Linotype" w:eastAsia="Palatino Linotype" w:hAnsi="Palatino Linotype" w:cs="Palatino Linotype"/>
          <w:b/>
          <w:bCs/>
          <w:sz w:val="22"/>
          <w:szCs w:val="22"/>
        </w:rPr>
        <w:t xml:space="preserve">Cuarto y Quinto </w:t>
      </w:r>
      <w:r>
        <w:rPr>
          <w:rFonts w:ascii="Palatino Linotype" w:eastAsia="Palatino Linotype" w:hAnsi="Palatino Linotype" w:cs="Palatino Linotype"/>
          <w:sz w:val="22"/>
          <w:szCs w:val="22"/>
        </w:rPr>
        <w:t xml:space="preserve">de la presente resolución. </w:t>
      </w:r>
    </w:p>
    <w:p w:rsidR="008B4649" w:rsidRDefault="008B4649">
      <w:pPr>
        <w:spacing w:line="360" w:lineRule="auto"/>
        <w:ind w:right="-787"/>
        <w:jc w:val="both"/>
        <w:rPr>
          <w:rFonts w:ascii="Palatino Linotype" w:eastAsia="Palatino Linotype" w:hAnsi="Palatino Linotype" w:cs="Palatino Linotype"/>
          <w:sz w:val="22"/>
          <w:szCs w:val="22"/>
        </w:rPr>
      </w:pPr>
    </w:p>
    <w:p w:rsidR="008B4649" w:rsidRDefault="007203B0">
      <w:pPr>
        <w:spacing w:line="360" w:lineRule="auto"/>
        <w:ind w:right="-787"/>
        <w:jc w:val="both"/>
        <w:rPr>
          <w:rFonts w:ascii="Palatino Linotype" w:eastAsia="Palatino Linotype" w:hAnsi="Palatino Linotype" w:cs="Palatino Linotype"/>
          <w:sz w:val="22"/>
          <w:szCs w:val="22"/>
        </w:rPr>
      </w:pPr>
      <w:bookmarkStart w:id="15" w:name="_heading=h.1ksv4uv" w:colFirst="0" w:colLast="0"/>
      <w:bookmarkEnd w:id="15"/>
      <w:r w:rsidRPr="00C52D63">
        <w:rPr>
          <w:rFonts w:ascii="Palatino Linotype" w:eastAsia="Palatino Linotype" w:hAnsi="Palatino Linotype" w:cs="Palatino Linotype"/>
          <w:b/>
          <w:bCs/>
          <w:sz w:val="22"/>
          <w:szCs w:val="22"/>
        </w:rPr>
        <w:t xml:space="preserve">SEGUNDO. </w:t>
      </w:r>
      <w:r w:rsidRPr="00C52D63">
        <w:rPr>
          <w:rFonts w:ascii="Palatino Linotype" w:eastAsia="Palatino Linotype" w:hAnsi="Palatino Linotype" w:cs="Palatino Linotype"/>
          <w:color w:val="000000"/>
          <w:sz w:val="22"/>
          <w:szCs w:val="22"/>
        </w:rPr>
        <w:t xml:space="preserve">Se </w:t>
      </w:r>
      <w:r w:rsidR="005A492E" w:rsidRPr="00C52D63">
        <w:rPr>
          <w:rFonts w:ascii="Palatino Linotype" w:eastAsia="Palatino Linotype" w:hAnsi="Palatino Linotype" w:cs="Palatino Linotype"/>
          <w:b/>
          <w:bCs/>
          <w:color w:val="000000"/>
          <w:sz w:val="22"/>
          <w:szCs w:val="22"/>
        </w:rPr>
        <w:t>MODIFICA</w:t>
      </w:r>
      <w:r w:rsidRPr="00C52D63">
        <w:rPr>
          <w:rFonts w:ascii="Palatino Linotype" w:eastAsia="Palatino Linotype" w:hAnsi="Palatino Linotype" w:cs="Palatino Linotype"/>
          <w:b/>
          <w:bCs/>
          <w:color w:val="000000"/>
          <w:sz w:val="22"/>
          <w:szCs w:val="22"/>
        </w:rPr>
        <w:t xml:space="preserve"> </w:t>
      </w:r>
      <w:r w:rsidRPr="00C52D63">
        <w:rPr>
          <w:rFonts w:ascii="Palatino Linotype" w:eastAsia="Palatino Linotype" w:hAnsi="Palatino Linotype" w:cs="Palatino Linotype"/>
          <w:color w:val="000000"/>
          <w:sz w:val="22"/>
          <w:szCs w:val="22"/>
        </w:rPr>
        <w:t xml:space="preserve">la respuesta emitida por el </w:t>
      </w:r>
      <w:r w:rsidRPr="00C52D63">
        <w:rPr>
          <w:rFonts w:ascii="Palatino Linotype" w:eastAsia="Palatino Linotype" w:hAnsi="Palatino Linotype" w:cs="Palatino Linotype"/>
          <w:b/>
          <w:bCs/>
          <w:color w:val="000000"/>
          <w:sz w:val="22"/>
          <w:szCs w:val="22"/>
        </w:rPr>
        <w:t xml:space="preserve">Ayuntamiento de Teoloyucan </w:t>
      </w:r>
      <w:r w:rsidRPr="00C52D63">
        <w:rPr>
          <w:rFonts w:ascii="Palatino Linotype" w:eastAsia="Palatino Linotype" w:hAnsi="Palatino Linotype" w:cs="Palatino Linotype"/>
          <w:color w:val="000000"/>
          <w:sz w:val="22"/>
          <w:szCs w:val="22"/>
        </w:rPr>
        <w:t xml:space="preserve">y </w:t>
      </w:r>
      <w:r w:rsidRPr="00C52D63">
        <w:rPr>
          <w:rFonts w:ascii="Palatino Linotype" w:eastAsia="Palatino Linotype" w:hAnsi="Palatino Linotype" w:cs="Palatino Linotype"/>
          <w:b/>
          <w:bCs/>
          <w:color w:val="000000"/>
          <w:sz w:val="22"/>
          <w:szCs w:val="22"/>
        </w:rPr>
        <w:t xml:space="preserve">se ordena </w:t>
      </w:r>
      <w:r w:rsidRPr="00C52D63">
        <w:rPr>
          <w:rFonts w:ascii="Palatino Linotype" w:eastAsia="Palatino Linotype" w:hAnsi="Palatino Linotype" w:cs="Palatino Linotype"/>
          <w:color w:val="000000"/>
          <w:sz w:val="22"/>
          <w:szCs w:val="22"/>
        </w:rPr>
        <w:t xml:space="preserve">entregar vía Sistema de Acceso a la Información Mexiquense </w:t>
      </w:r>
      <w:r w:rsidRPr="00C52D63">
        <w:rPr>
          <w:rFonts w:ascii="Palatino Linotype" w:eastAsia="Palatino Linotype" w:hAnsi="Palatino Linotype" w:cs="Palatino Linotype"/>
          <w:b/>
          <w:bCs/>
          <w:color w:val="000000"/>
          <w:sz w:val="22"/>
          <w:szCs w:val="22"/>
        </w:rPr>
        <w:t>(SAIMEX)</w:t>
      </w:r>
      <w:r w:rsidRPr="00C52D63">
        <w:rPr>
          <w:rFonts w:ascii="Palatino Linotype" w:eastAsia="Palatino Linotype" w:hAnsi="Palatino Linotype" w:cs="Palatino Linotype"/>
          <w:color w:val="000000"/>
          <w:sz w:val="22"/>
          <w:szCs w:val="22"/>
        </w:rPr>
        <w:t xml:space="preserve">, la siguiente información,  en formato xls, pdf o en el que hubiera </w:t>
      </w:r>
      <w:r w:rsidRPr="00C52D63">
        <w:rPr>
          <w:rFonts w:ascii="Palatino Linotype" w:eastAsia="Palatino Linotype" w:hAnsi="Palatino Linotype" w:cs="Palatino Linotype"/>
          <w:sz w:val="22"/>
          <w:szCs w:val="22"/>
        </w:rPr>
        <w:t>sido</w:t>
      </w:r>
      <w:r w:rsidRPr="00C52D63">
        <w:rPr>
          <w:rFonts w:ascii="Palatino Linotype" w:eastAsia="Palatino Linotype" w:hAnsi="Palatino Linotype" w:cs="Palatino Linotype"/>
          <w:color w:val="000000"/>
          <w:sz w:val="22"/>
          <w:szCs w:val="22"/>
        </w:rPr>
        <w:t xml:space="preserve"> generado, de ser el caso en versión pública</w:t>
      </w:r>
      <w:r w:rsidRPr="00C52D63">
        <w:rPr>
          <w:rFonts w:ascii="Palatino Linotype" w:eastAsia="Palatino Linotype" w:hAnsi="Palatino Linotype" w:cs="Palatino Linotype"/>
          <w:sz w:val="22"/>
          <w:szCs w:val="22"/>
        </w:rPr>
        <w:t>.</w:t>
      </w:r>
    </w:p>
    <w:p w:rsidR="008B4649" w:rsidRDefault="008B4649">
      <w:pPr>
        <w:pBdr>
          <w:top w:val="nil"/>
          <w:left w:val="nil"/>
          <w:bottom w:val="nil"/>
          <w:right w:val="nil"/>
          <w:between w:val="nil"/>
        </w:pBdr>
        <w:ind w:left="720"/>
        <w:jc w:val="both"/>
        <w:rPr>
          <w:rFonts w:ascii="Palatino Linotype" w:eastAsia="Palatino Linotype" w:hAnsi="Palatino Linotype" w:cs="Palatino Linotype"/>
          <w:b/>
          <w:bCs/>
          <w:i/>
          <w:iCs/>
          <w:color w:val="000000"/>
          <w:sz w:val="22"/>
          <w:szCs w:val="22"/>
        </w:rPr>
      </w:pPr>
      <w:bookmarkStart w:id="16" w:name="_heading=h.lnxbz9" w:colFirst="0" w:colLast="0"/>
      <w:bookmarkEnd w:id="16"/>
    </w:p>
    <w:p w:rsidR="008B4649" w:rsidRPr="00C52D63" w:rsidRDefault="007203B0">
      <w:pPr>
        <w:numPr>
          <w:ilvl w:val="0"/>
          <w:numId w:val="3"/>
        </w:numPr>
        <w:pBdr>
          <w:top w:val="nil"/>
          <w:left w:val="nil"/>
          <w:bottom w:val="nil"/>
          <w:right w:val="nil"/>
          <w:between w:val="nil"/>
        </w:pBdr>
        <w:jc w:val="both"/>
        <w:rPr>
          <w:rFonts w:ascii="Palatino Linotype" w:eastAsia="Palatino Linotype" w:hAnsi="Palatino Linotype" w:cs="Palatino Linotype"/>
          <w:b/>
          <w:bCs/>
          <w:i/>
          <w:iCs/>
          <w:color w:val="000000"/>
          <w:sz w:val="22"/>
          <w:szCs w:val="22"/>
        </w:rPr>
      </w:pPr>
      <w:r w:rsidRPr="00C52D63">
        <w:rPr>
          <w:rFonts w:ascii="Palatino Linotype" w:eastAsia="Palatino Linotype" w:hAnsi="Palatino Linotype" w:cs="Palatino Linotype"/>
          <w:b/>
          <w:bCs/>
          <w:i/>
          <w:iCs/>
          <w:color w:val="000000"/>
          <w:sz w:val="22"/>
          <w:szCs w:val="22"/>
        </w:rPr>
        <w:t>Documento donde o conste o se advierta el techo presupuestal de la sindicatura y regidurías, al nueve de julio de dos mil veinticinco.</w:t>
      </w:r>
    </w:p>
    <w:p w:rsidR="008B4649" w:rsidRDefault="008B4649">
      <w:pPr>
        <w:tabs>
          <w:tab w:val="left" w:pos="8080"/>
        </w:tabs>
        <w:spacing w:line="360" w:lineRule="auto"/>
        <w:ind w:right="-787"/>
        <w:jc w:val="both"/>
        <w:rPr>
          <w:rFonts w:ascii="Palatino Linotype" w:eastAsia="Palatino Linotype" w:hAnsi="Palatino Linotype" w:cs="Palatino Linotype"/>
          <w:sz w:val="22"/>
          <w:szCs w:val="22"/>
        </w:rPr>
      </w:pPr>
    </w:p>
    <w:p w:rsidR="008B4649" w:rsidRDefault="007203B0">
      <w:pPr>
        <w:tabs>
          <w:tab w:val="left" w:pos="8080"/>
        </w:tabs>
        <w:spacing w:line="360" w:lineRule="auto"/>
        <w:ind w:right="-78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y </w:t>
      </w:r>
      <w:r>
        <w:rPr>
          <w:rFonts w:ascii="Palatino Linotype" w:eastAsia="Palatino Linotype" w:hAnsi="Palatino Linotype" w:cs="Palatino Linotype"/>
          <w:b/>
          <w:bCs/>
          <w:sz w:val="22"/>
          <w:szCs w:val="22"/>
        </w:rPr>
        <w:t>documentos susceptibles de clasificarse en su totalidad</w:t>
      </w:r>
      <w:r>
        <w:rPr>
          <w:rFonts w:ascii="Palatino Linotype" w:eastAsia="Palatino Linotype" w:hAnsi="Palatino Linotype" w:cs="Palatino Linotype"/>
          <w:sz w:val="22"/>
          <w:szCs w:val="22"/>
        </w:rPr>
        <w:t xml:space="preserve"> que se supriman o eliminen dentro del soporte documental respectivo objeto de las versiones públicas que se formulen y se ponga a disposición de la parte recurrente.</w:t>
      </w:r>
    </w:p>
    <w:p w:rsidR="008B4649" w:rsidRDefault="008B4649">
      <w:pPr>
        <w:tabs>
          <w:tab w:val="left" w:pos="8080"/>
        </w:tabs>
        <w:spacing w:line="360" w:lineRule="auto"/>
        <w:ind w:right="-787"/>
        <w:jc w:val="both"/>
        <w:rPr>
          <w:rFonts w:ascii="Palatino Linotype" w:eastAsia="Palatino Linotype" w:hAnsi="Palatino Linotype" w:cs="Palatino Linotype"/>
          <w:b/>
          <w:bCs/>
          <w:sz w:val="22"/>
          <w:szCs w:val="22"/>
        </w:rPr>
      </w:pPr>
    </w:p>
    <w:p w:rsidR="008B4649" w:rsidRDefault="007203B0">
      <w:pPr>
        <w:tabs>
          <w:tab w:val="left" w:pos="8080"/>
        </w:tabs>
        <w:spacing w:line="360" w:lineRule="auto"/>
        <w:ind w:right="-787"/>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bCs/>
          <w:sz w:val="22"/>
          <w:szCs w:val="22"/>
        </w:rPr>
        <w:t xml:space="preserve">TERCERO. </w:t>
      </w:r>
      <w:r>
        <w:rPr>
          <w:rFonts w:ascii="Palatino Linotype" w:eastAsia="Palatino Linotype" w:hAnsi="Palatino Linotype" w:cs="Palatino Linotype"/>
          <w:color w:val="222222"/>
          <w:sz w:val="22"/>
          <w:szCs w:val="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color w:val="222222"/>
          <w:sz w:val="22"/>
          <w:szCs w:val="22"/>
        </w:rPr>
        <w:t xml:space="preserve">dé cumplimiento a lo ordenado dentro del plazo de diez días hábiles, </w:t>
      </w:r>
      <w:r>
        <w:rPr>
          <w:rFonts w:ascii="Palatino Linotype" w:eastAsia="Palatino Linotype" w:hAnsi="Palatino Linotype" w:cs="Palatino Linotype"/>
          <w:color w:val="222222"/>
          <w:sz w:val="22"/>
          <w:szCs w:val="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8B4649" w:rsidRDefault="008B4649">
      <w:pPr>
        <w:tabs>
          <w:tab w:val="left" w:pos="8080"/>
        </w:tabs>
        <w:spacing w:line="360" w:lineRule="auto"/>
        <w:ind w:right="-787"/>
        <w:jc w:val="both"/>
        <w:rPr>
          <w:rFonts w:ascii="Palatino Linotype" w:eastAsia="Palatino Linotype" w:hAnsi="Palatino Linotype" w:cs="Palatino Linotype"/>
          <w:color w:val="222222"/>
          <w:sz w:val="22"/>
          <w:szCs w:val="22"/>
        </w:rPr>
      </w:pPr>
    </w:p>
    <w:p w:rsidR="008B4649" w:rsidRDefault="007203B0">
      <w:pPr>
        <w:spacing w:line="360" w:lineRule="auto"/>
        <w:ind w:right="-787"/>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CUARTO. </w:t>
      </w:r>
      <w:r>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8B4649" w:rsidRDefault="008B4649">
      <w:pPr>
        <w:spacing w:line="360" w:lineRule="auto"/>
        <w:ind w:right="-787"/>
        <w:jc w:val="both"/>
        <w:rPr>
          <w:rFonts w:ascii="Palatino Linotype" w:eastAsia="Palatino Linotype" w:hAnsi="Palatino Linotype" w:cs="Palatino Linotype"/>
          <w:sz w:val="22"/>
          <w:szCs w:val="22"/>
        </w:rPr>
      </w:pPr>
    </w:p>
    <w:p w:rsidR="008B4649" w:rsidRDefault="007203B0">
      <w:pPr>
        <w:spacing w:line="360" w:lineRule="auto"/>
        <w:ind w:right="-787"/>
        <w:jc w:val="both"/>
        <w:rPr>
          <w:rFonts w:ascii="Palatino Linotype" w:eastAsia="Palatino Linotype" w:hAnsi="Palatino Linotype" w:cs="Palatino Linotype"/>
          <w:sz w:val="22"/>
          <w:szCs w:val="22"/>
        </w:rPr>
      </w:pPr>
      <w:bookmarkStart w:id="17" w:name="_heading=h.2jxsxqh" w:colFirst="0" w:colLast="0"/>
      <w:bookmarkEnd w:id="17"/>
      <w:r>
        <w:rPr>
          <w:rFonts w:ascii="Palatino Linotype" w:eastAsia="Palatino Linotype" w:hAnsi="Palatino Linotype" w:cs="Palatino Linotype"/>
          <w:b/>
          <w:bCs/>
          <w:sz w:val="22"/>
          <w:szCs w:val="22"/>
        </w:rPr>
        <w:lastRenderedPageBreak/>
        <w:t xml:space="preserve">QUINTO. </w:t>
      </w:r>
      <w:r>
        <w:rPr>
          <w:rFonts w:ascii="Palatino Linotype" w:eastAsia="Palatino Linotype" w:hAnsi="Palatino Linotype" w:cs="Palatino Linotype"/>
          <w:sz w:val="22"/>
          <w:szCs w:val="22"/>
        </w:rPr>
        <w:t xml:space="preserve">Notifíquese a </w:t>
      </w:r>
      <w:r>
        <w:rPr>
          <w:rFonts w:ascii="Palatino Linotype" w:eastAsia="Palatino Linotype" w:hAnsi="Palatino Linotype" w:cs="Palatino Linotype"/>
          <w:b/>
          <w:bCs/>
          <w:sz w:val="22"/>
          <w:szCs w:val="22"/>
        </w:rPr>
        <w:t>EL RECURRENTE</w:t>
      </w:r>
      <w:r>
        <w:rPr>
          <w:rFonts w:ascii="Palatino Linotype" w:eastAsia="Palatino Linotype" w:hAnsi="Palatino Linotype" w:cs="Palatino Linotype"/>
          <w:sz w:val="22"/>
          <w:szCs w:val="22"/>
        </w:rPr>
        <w:t xml:space="preserve"> la presente resolución, vía SAIMEX.</w:t>
      </w:r>
    </w:p>
    <w:p w:rsidR="008B4649" w:rsidRDefault="008B4649">
      <w:pPr>
        <w:shd w:val="clear" w:color="auto" w:fill="FFFFFF"/>
        <w:spacing w:line="360" w:lineRule="auto"/>
        <w:jc w:val="both"/>
        <w:rPr>
          <w:rFonts w:ascii="Palatino Linotype" w:eastAsia="Palatino Linotype" w:hAnsi="Palatino Linotype" w:cs="Palatino Linotype"/>
          <w:b/>
          <w:bCs/>
          <w:sz w:val="22"/>
          <w:szCs w:val="22"/>
        </w:rPr>
      </w:pPr>
    </w:p>
    <w:p w:rsidR="008B4649" w:rsidRDefault="007203B0">
      <w:pPr>
        <w:spacing w:line="360" w:lineRule="auto"/>
        <w:ind w:right="-787"/>
        <w:jc w:val="both"/>
        <w:rPr>
          <w:rFonts w:ascii="Palatino Linotype" w:eastAsia="Palatino Linotype" w:hAnsi="Palatino Linotype" w:cs="Palatino Linotype"/>
          <w:sz w:val="22"/>
          <w:szCs w:val="22"/>
        </w:rPr>
      </w:pPr>
      <w:bookmarkStart w:id="18" w:name="_heading=h.olnys9gk5lsn" w:colFirst="0" w:colLast="0"/>
      <w:bookmarkEnd w:id="18"/>
      <w:r>
        <w:rPr>
          <w:rFonts w:ascii="Palatino Linotype" w:eastAsia="Palatino Linotype" w:hAnsi="Palatino Linotype" w:cs="Palatino Linotype"/>
          <w:b/>
          <w:bCs/>
          <w:sz w:val="22"/>
          <w:szCs w:val="22"/>
        </w:rPr>
        <w:t xml:space="preserve">SEXTO. </w:t>
      </w:r>
      <w:r>
        <w:rPr>
          <w:rFonts w:ascii="Palatino Linotype" w:eastAsia="Palatino Linotype" w:hAnsi="Palatino Linotype" w:cs="Palatino Linotype"/>
          <w:sz w:val="22"/>
          <w:szCs w:val="22"/>
        </w:rPr>
        <w:t xml:space="preserve">Se hace del conocimiento del </w:t>
      </w:r>
      <w:r>
        <w:rPr>
          <w:rFonts w:ascii="Palatino Linotype" w:eastAsia="Palatino Linotype" w:hAnsi="Palatino Linotype" w:cs="Palatino Linotype"/>
          <w:b/>
          <w:bCs/>
          <w:sz w:val="22"/>
          <w:szCs w:val="22"/>
        </w:rPr>
        <w:t>RECURRENTE</w:t>
      </w:r>
      <w:r>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8B4649" w:rsidRDefault="008B4649">
      <w:pPr>
        <w:shd w:val="clear" w:color="auto" w:fill="FFFFFF"/>
        <w:spacing w:line="360" w:lineRule="auto"/>
        <w:jc w:val="both"/>
        <w:rPr>
          <w:rFonts w:ascii="Palatino Linotype" w:eastAsia="Palatino Linotype" w:hAnsi="Palatino Linotype" w:cs="Palatino Linotype"/>
          <w:sz w:val="22"/>
          <w:szCs w:val="22"/>
        </w:rPr>
      </w:pPr>
    </w:p>
    <w:p w:rsidR="00AE51CE" w:rsidRPr="00AE51CE" w:rsidRDefault="00AE51CE" w:rsidP="00AE51CE">
      <w:pPr>
        <w:spacing w:before="240" w:after="240" w:line="360" w:lineRule="auto"/>
        <w:ind w:right="-857" w:firstLine="1"/>
        <w:jc w:val="both"/>
        <w:rPr>
          <w:rFonts w:ascii="Palatino Linotype" w:hAnsi="Palatino Linotype"/>
          <w:sz w:val="22"/>
        </w:rPr>
      </w:pPr>
      <w:bookmarkStart w:id="19" w:name="_heading=h.201pcre2z08l" w:colFirst="0" w:colLast="0"/>
      <w:bookmarkStart w:id="20" w:name="_Hlk99014733"/>
      <w:bookmarkEnd w:id="19"/>
      <w:r w:rsidRPr="00AE51CE">
        <w:rPr>
          <w:rFonts w:ascii="Palatino Linotype" w:hAnsi="Palatino Linotype" w:cs="Palatino Linotype"/>
          <w:sz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(25) DE MARZO DE DOS MIL VEINTISÉIS, ANTE EL SECRETARIO TÉCNICO DEL PLENO </w:t>
      </w:r>
      <w:r w:rsidRPr="00AE51CE">
        <w:rPr>
          <w:rFonts w:ascii="Palatino Linotype" w:hAnsi="Palatino Linotype" w:cs="Palatino Linotype"/>
          <w:color w:val="000000" w:themeColor="text1"/>
          <w:sz w:val="22"/>
        </w:rPr>
        <w:t>ALEXIS TAPIA RAMÍREZ.</w:t>
      </w:r>
    </w:p>
    <w:bookmarkEnd w:id="20"/>
    <w:p w:rsidR="008B4649" w:rsidRPr="00AE51CE" w:rsidRDefault="008B4649" w:rsidP="00AE51CE">
      <w:pPr>
        <w:spacing w:line="360" w:lineRule="auto"/>
        <w:ind w:right="-857"/>
        <w:jc w:val="both"/>
        <w:rPr>
          <w:rFonts w:ascii="Palatino Linotype" w:eastAsia="Palatino Linotype" w:hAnsi="Palatino Linotype" w:cs="Palatino Linotype"/>
          <w:sz w:val="20"/>
          <w:szCs w:val="22"/>
        </w:rPr>
      </w:pPr>
    </w:p>
    <w:p w:rsidR="008B4649" w:rsidRDefault="008B4649">
      <w:pPr>
        <w:keepNext/>
        <w:keepLines/>
        <w:spacing w:after="240" w:line="360" w:lineRule="auto"/>
        <w:ind w:right="-787"/>
        <w:rPr>
          <w:rFonts w:ascii="Palatino Linotype" w:eastAsia="Palatino Linotype" w:hAnsi="Palatino Linotype" w:cs="Palatino Linotype"/>
          <w:sz w:val="22"/>
          <w:szCs w:val="22"/>
        </w:rPr>
      </w:pPr>
    </w:p>
    <w:p w:rsidR="008B4649" w:rsidRDefault="008B4649">
      <w:pPr>
        <w:ind w:right="-787"/>
        <w:rPr>
          <w:rFonts w:ascii="Palatino Linotype" w:eastAsia="Palatino Linotype" w:hAnsi="Palatino Linotype" w:cs="Palatino Linotype"/>
          <w:sz w:val="22"/>
          <w:szCs w:val="22"/>
        </w:rPr>
      </w:pPr>
    </w:p>
    <w:p w:rsidR="008B4649" w:rsidRDefault="008B4649">
      <w:pPr>
        <w:ind w:right="-787"/>
        <w:rPr>
          <w:rFonts w:ascii="Palatino Linotype" w:eastAsia="Palatino Linotype" w:hAnsi="Palatino Linotype" w:cs="Palatino Linotype"/>
          <w:sz w:val="22"/>
          <w:szCs w:val="22"/>
        </w:rPr>
      </w:pPr>
    </w:p>
    <w:p w:rsidR="008B4649" w:rsidRDefault="008B4649">
      <w:pPr>
        <w:rPr>
          <w:rFonts w:ascii="Palatino Linotype" w:eastAsia="Palatino Linotype" w:hAnsi="Palatino Linotype" w:cs="Palatino Linotype"/>
          <w:sz w:val="22"/>
          <w:szCs w:val="22"/>
        </w:rPr>
      </w:pPr>
    </w:p>
    <w:p w:rsidR="008B4649" w:rsidRDefault="008B4649">
      <w:pPr>
        <w:rPr>
          <w:rFonts w:ascii="Palatino Linotype" w:eastAsia="Palatino Linotype" w:hAnsi="Palatino Linotype" w:cs="Palatino Linotype"/>
          <w:sz w:val="22"/>
          <w:szCs w:val="22"/>
        </w:rPr>
      </w:pPr>
    </w:p>
    <w:p w:rsidR="008B4649" w:rsidRDefault="008B4649">
      <w:pPr>
        <w:rPr>
          <w:rFonts w:ascii="Palatino Linotype" w:eastAsia="Palatino Linotype" w:hAnsi="Palatino Linotype" w:cs="Palatino Linotype"/>
          <w:sz w:val="22"/>
          <w:szCs w:val="22"/>
        </w:rPr>
      </w:pPr>
    </w:p>
    <w:p w:rsidR="008B4649" w:rsidRDefault="008B4649">
      <w:pPr>
        <w:rPr>
          <w:rFonts w:ascii="Palatino Linotype" w:eastAsia="Palatino Linotype" w:hAnsi="Palatino Linotype" w:cs="Palatino Linotype"/>
          <w:sz w:val="22"/>
          <w:szCs w:val="22"/>
        </w:rPr>
      </w:pPr>
    </w:p>
    <w:p w:rsidR="008B4649" w:rsidRDefault="008B4649">
      <w:pPr>
        <w:rPr>
          <w:rFonts w:ascii="Palatino Linotype" w:eastAsia="Palatino Linotype" w:hAnsi="Palatino Linotype" w:cs="Palatino Linotype"/>
          <w:sz w:val="22"/>
          <w:szCs w:val="22"/>
        </w:rPr>
      </w:pPr>
    </w:p>
    <w:p w:rsidR="008B4649" w:rsidRDefault="008B4649">
      <w:pPr>
        <w:rPr>
          <w:rFonts w:ascii="Palatino Linotype" w:eastAsia="Palatino Linotype" w:hAnsi="Palatino Linotype" w:cs="Palatino Linotype"/>
          <w:sz w:val="22"/>
          <w:szCs w:val="22"/>
        </w:rPr>
      </w:pPr>
    </w:p>
    <w:p w:rsidR="008B4649" w:rsidRDefault="008B4649">
      <w:pPr>
        <w:rPr>
          <w:rFonts w:ascii="Palatino Linotype" w:eastAsia="Palatino Linotype" w:hAnsi="Palatino Linotype" w:cs="Palatino Linotype"/>
          <w:sz w:val="22"/>
          <w:szCs w:val="22"/>
        </w:rPr>
      </w:pPr>
    </w:p>
    <w:p w:rsidR="008B4649" w:rsidRDefault="008B4649">
      <w:pPr>
        <w:rPr>
          <w:rFonts w:ascii="Palatino Linotype" w:eastAsia="Palatino Linotype" w:hAnsi="Palatino Linotype" w:cs="Palatino Linotype"/>
          <w:sz w:val="22"/>
          <w:szCs w:val="22"/>
        </w:rPr>
      </w:pPr>
    </w:p>
    <w:p w:rsidR="008B4649" w:rsidRDefault="008B4649">
      <w:pPr>
        <w:rPr>
          <w:rFonts w:ascii="Palatino Linotype" w:eastAsia="Palatino Linotype" w:hAnsi="Palatino Linotype" w:cs="Palatino Linotype"/>
          <w:sz w:val="22"/>
          <w:szCs w:val="22"/>
        </w:rPr>
      </w:pPr>
    </w:p>
    <w:p w:rsidR="008B4649" w:rsidRDefault="008B4649">
      <w:pPr>
        <w:rPr>
          <w:sz w:val="22"/>
          <w:szCs w:val="22"/>
        </w:rPr>
      </w:pPr>
    </w:p>
    <w:p w:rsidR="008B4649" w:rsidRDefault="008B4649">
      <w:pPr>
        <w:rPr>
          <w:sz w:val="22"/>
          <w:szCs w:val="22"/>
        </w:rPr>
      </w:pPr>
    </w:p>
    <w:sectPr w:rsidR="008B4649">
      <w:headerReference w:type="default" r:id="rId8"/>
      <w:footerReference w:type="default" r:id="rId9"/>
      <w:headerReference w:type="first" r:id="rId10"/>
      <w:footerReference w:type="first" r:id="rId11"/>
      <w:pgSz w:w="12240" w:h="15840"/>
      <w:pgMar w:top="2410" w:right="2324"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49C" w:rsidRDefault="00BC049C">
      <w:r>
        <w:separator/>
      </w:r>
    </w:p>
  </w:endnote>
  <w:endnote w:type="continuationSeparator" w:id="0">
    <w:p w:rsidR="00BC049C" w:rsidRDefault="00BC0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6211C4A6-7089-42C3-BE0F-6A8A6A09638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embedRegular r:id="rId2" w:fontKey="{B70FB4EB-62A4-40B7-BCD1-7E78064FC904}"/>
    <w:embedBold r:id="rId3" w:fontKey="{3CBAA706-EE8A-4159-98F6-1B145915F1E9}"/>
    <w:embedItalic r:id="rId4" w:fontKey="{15DFA9B7-9F0D-4502-BC4A-ECF62A84FE44}"/>
    <w:embedBoldItalic r:id="rId5" w:fontKey="{621C336D-E876-47DB-B809-9C410B2397AE}"/>
  </w:font>
  <w:font w:name="Calibri">
    <w:panose1 w:val="020F0502020204030204"/>
    <w:charset w:val="00"/>
    <w:family w:val="swiss"/>
    <w:pitch w:val="variable"/>
    <w:sig w:usb0="E4002EFF" w:usb1="C200247B" w:usb2="00000009" w:usb3="00000000" w:csb0="000001FF" w:csb1="00000000"/>
    <w:embedRegular r:id="rId6" w:fontKey="{1A01DC38-564A-4BE4-82A6-F2640996D101}"/>
  </w:font>
  <w:font w:name="Georgia">
    <w:panose1 w:val="02040502050405020303"/>
    <w:charset w:val="00"/>
    <w:family w:val="roman"/>
    <w:pitch w:val="variable"/>
    <w:sig w:usb0="00000287" w:usb1="00000000" w:usb2="00000000" w:usb3="00000000" w:csb0="0000009F" w:csb1="00000000"/>
    <w:embedItalic r:id="rId7" w:fontKey="{20D59185-0D30-4568-8053-3B89A74F927D}"/>
  </w:font>
  <w:font w:name="Verdana">
    <w:panose1 w:val="020B0604030504040204"/>
    <w:charset w:val="00"/>
    <w:family w:val="swiss"/>
    <w:pitch w:val="variable"/>
    <w:sig w:usb0="A00006FF" w:usb1="4000205B" w:usb2="00000010" w:usb3="00000000" w:csb0="0000019F" w:csb1="00000000"/>
    <w:embedRegular r:id="rId8" w:fontKey="{7ABC03D1-F06D-4B5A-B4B6-E49460143DCA}"/>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4423C95B-3249-4CD5-8EAD-B8BB9D327B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3B0" w:rsidRDefault="007203B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1653A2">
      <w:rPr>
        <w:rFonts w:ascii="Arial" w:eastAsia="Arial" w:hAnsi="Arial" w:cs="Arial"/>
        <w:b/>
        <w:bCs/>
        <w:noProof/>
        <w:color w:val="000000"/>
        <w:sz w:val="20"/>
        <w:szCs w:val="20"/>
      </w:rPr>
      <w:t>21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1653A2">
      <w:rPr>
        <w:rFonts w:ascii="Arial" w:eastAsia="Arial" w:hAnsi="Arial" w:cs="Arial"/>
        <w:b/>
        <w:bCs/>
        <w:noProof/>
        <w:color w:val="000000"/>
        <w:sz w:val="20"/>
        <w:szCs w:val="20"/>
      </w:rPr>
      <w:t>33</w:t>
    </w:r>
    <w:r>
      <w:rPr>
        <w:rFonts w:ascii="Arial" w:eastAsia="Arial" w:hAnsi="Arial" w:cs="Arial"/>
        <w:b/>
        <w:bCs/>
        <w:color w:val="000000"/>
        <w:sz w:val="20"/>
        <w:szCs w:val="20"/>
      </w:rPr>
      <w:fldChar w:fldCharType="end"/>
    </w:r>
  </w:p>
  <w:p w:rsidR="007203B0" w:rsidRDefault="007203B0">
    <w:pPr>
      <w:pBdr>
        <w:top w:val="nil"/>
        <w:left w:val="nil"/>
        <w:bottom w:val="nil"/>
        <w:right w:val="nil"/>
        <w:between w:val="nil"/>
      </w:pBdr>
      <w:tabs>
        <w:tab w:val="center" w:pos="4252"/>
        <w:tab w:val="right" w:pos="8504"/>
      </w:tabs>
      <w:rPr>
        <w:color w:val="000000"/>
      </w:rPr>
    </w:pPr>
  </w:p>
  <w:p w:rsidR="007203B0" w:rsidRDefault="007203B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3B0" w:rsidRDefault="007203B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1653A2">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1653A2">
      <w:rPr>
        <w:rFonts w:ascii="Arial" w:eastAsia="Arial" w:hAnsi="Arial" w:cs="Arial"/>
        <w:b/>
        <w:bCs/>
        <w:noProof/>
        <w:color w:val="000000"/>
        <w:sz w:val="20"/>
        <w:szCs w:val="20"/>
      </w:rPr>
      <w:t>33</w:t>
    </w:r>
    <w:r>
      <w:rPr>
        <w:rFonts w:ascii="Arial" w:eastAsia="Arial" w:hAnsi="Arial" w:cs="Arial"/>
        <w:b/>
        <w:bCs/>
        <w:color w:val="000000"/>
        <w:sz w:val="20"/>
        <w:szCs w:val="20"/>
      </w:rPr>
      <w:fldChar w:fldCharType="end"/>
    </w:r>
  </w:p>
  <w:p w:rsidR="007203B0" w:rsidRDefault="007203B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49C" w:rsidRDefault="00BC049C">
      <w:r>
        <w:separator/>
      </w:r>
    </w:p>
  </w:footnote>
  <w:footnote w:type="continuationSeparator" w:id="0">
    <w:p w:rsidR="00BC049C" w:rsidRDefault="00BC049C">
      <w:r>
        <w:continuationSeparator/>
      </w:r>
    </w:p>
  </w:footnote>
  <w:footnote w:id="1">
    <w:p w:rsidR="007203B0" w:rsidRDefault="007203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7203B0" w:rsidRDefault="007203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7203B0" w:rsidRDefault="007203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7203B0" w:rsidRDefault="007203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7203B0" w:rsidRDefault="007203B0">
      <w:pPr>
        <w:tabs>
          <w:tab w:val="left" w:pos="709"/>
        </w:tabs>
        <w:ind w:right="49"/>
        <w:jc w:val="both"/>
        <w:rPr>
          <w:rFonts w:ascii="Palatino Linotype" w:eastAsia="Palatino Linotype" w:hAnsi="Palatino Linotype" w:cs="Palatino Linotype"/>
          <w:i/>
          <w:iCs/>
          <w:sz w:val="16"/>
          <w:szCs w:val="16"/>
        </w:rPr>
      </w:pPr>
      <w:r>
        <w:rPr>
          <w:vertAlign w:val="superscript"/>
        </w:rPr>
        <w:footnoteRef/>
      </w:r>
      <w:r>
        <w:t xml:space="preserve"> </w:t>
      </w:r>
      <w:r>
        <w:rPr>
          <w:rFonts w:ascii="Palatino Linotype" w:eastAsia="Palatino Linotype" w:hAnsi="Palatino Linotype" w:cs="Palatino Linotype"/>
          <w:i/>
          <w:iCs/>
          <w:sz w:val="16"/>
          <w:szCs w:val="16"/>
        </w:rPr>
        <w:t>“</w:t>
      </w:r>
      <w:r>
        <w:rPr>
          <w:rFonts w:ascii="Palatino Linotype" w:eastAsia="Palatino Linotype" w:hAnsi="Palatino Linotype" w:cs="Palatino Linotype"/>
          <w:b/>
          <w:bCs/>
          <w:i/>
          <w:iCs/>
          <w:sz w:val="16"/>
          <w:szCs w:val="16"/>
        </w:rPr>
        <w:t>Artículo 285</w:t>
      </w:r>
      <w:r>
        <w:rPr>
          <w:rFonts w:ascii="Palatino Linotype" w:eastAsia="Palatino Linotype" w:hAnsi="Palatino Linotype" w:cs="Palatino Linotype"/>
          <w:i/>
          <w:iCs/>
          <w:sz w:val="16"/>
          <w:szCs w:val="16"/>
        </w:rPr>
        <w:t xml:space="preserve">.- </w:t>
      </w:r>
      <w:r>
        <w:rPr>
          <w:rFonts w:ascii="Palatino Linotype" w:eastAsia="Palatino Linotype" w:hAnsi="Palatino Linotype" w:cs="Palatino Linotype"/>
          <w:b/>
          <w:bCs/>
          <w:i/>
          <w:iCs/>
          <w:sz w:val="16"/>
          <w:szCs w:val="16"/>
        </w:rPr>
        <w:t xml:space="preserve">El Presupuesto de Egresos del Estado </w:t>
      </w:r>
      <w:r>
        <w:rPr>
          <w:rFonts w:ascii="Palatino Linotype" w:eastAsia="Palatino Linotype" w:hAnsi="Palatino Linotype" w:cs="Palatino Linotype"/>
          <w:i/>
          <w:iCs/>
          <w:sz w:val="16"/>
          <w:szCs w:val="16"/>
        </w:rPr>
        <w:t>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7203B0" w:rsidRDefault="007203B0">
      <w:pPr>
        <w:ind w:right="49"/>
        <w:jc w:val="both"/>
        <w:rPr>
          <w:rFonts w:ascii="Palatino Linotype" w:eastAsia="Palatino Linotype" w:hAnsi="Palatino Linotype" w:cs="Palatino Linotype"/>
          <w:i/>
          <w:iCs/>
          <w:sz w:val="16"/>
          <w:szCs w:val="16"/>
        </w:rPr>
      </w:pPr>
    </w:p>
    <w:p w:rsidR="007203B0" w:rsidRDefault="007203B0">
      <w:pPr>
        <w:tabs>
          <w:tab w:val="left" w:pos="709"/>
        </w:tabs>
        <w:ind w:right="49"/>
        <w:jc w:val="both"/>
        <w:rPr>
          <w:rFonts w:ascii="Palatino Linotype" w:eastAsia="Palatino Linotype" w:hAnsi="Palatino Linotype" w:cs="Palatino Linotype"/>
          <w:i/>
          <w:iCs/>
          <w:sz w:val="16"/>
          <w:szCs w:val="16"/>
        </w:rPr>
      </w:pPr>
      <w:r>
        <w:rPr>
          <w:rFonts w:ascii="Palatino Linotype" w:eastAsia="Palatino Linotype" w:hAnsi="Palatino Linotype" w:cs="Palatino Linotype"/>
          <w:i/>
          <w:iCs/>
          <w:sz w:val="16"/>
          <w:szCs w:val="16"/>
        </w:rPr>
        <w:t>El gasto total aprobado en el Presupuesto de Egresos, no podrá exceder al total de los ingresos autorizados en la Ley de Ingresos.</w:t>
      </w:r>
    </w:p>
    <w:p w:rsidR="007203B0" w:rsidRDefault="007203B0">
      <w:pPr>
        <w:tabs>
          <w:tab w:val="left" w:pos="709"/>
        </w:tabs>
        <w:ind w:right="49"/>
        <w:jc w:val="both"/>
        <w:rPr>
          <w:rFonts w:ascii="Palatino Linotype" w:eastAsia="Palatino Linotype" w:hAnsi="Palatino Linotype" w:cs="Palatino Linotype"/>
          <w:b/>
          <w:bCs/>
          <w:i/>
          <w:iCs/>
          <w:sz w:val="16"/>
          <w:szCs w:val="16"/>
        </w:rPr>
      </w:pPr>
    </w:p>
    <w:p w:rsidR="007203B0" w:rsidRDefault="007203B0">
      <w:pPr>
        <w:tabs>
          <w:tab w:val="left" w:pos="709"/>
        </w:tabs>
        <w:ind w:right="49"/>
        <w:jc w:val="both"/>
        <w:rPr>
          <w:rFonts w:ascii="Palatino Linotype" w:eastAsia="Palatino Linotype" w:hAnsi="Palatino Linotype" w:cs="Palatino Linotype"/>
          <w:i/>
          <w:iCs/>
          <w:sz w:val="16"/>
          <w:szCs w:val="16"/>
        </w:rPr>
      </w:pPr>
      <w:r>
        <w:rPr>
          <w:rFonts w:ascii="Palatino Linotype" w:eastAsia="Palatino Linotype" w:hAnsi="Palatino Linotype" w:cs="Palatino Linotype"/>
          <w:b/>
          <w:bCs/>
          <w:i/>
          <w:iCs/>
          <w:sz w:val="16"/>
          <w:szCs w:val="16"/>
        </w:rPr>
        <w:t>En el caso de los municipios, el Presupuesto de Egresos, será el que se apruebe por el Ayuntamiento</w:t>
      </w:r>
      <w:r>
        <w:rPr>
          <w:rFonts w:ascii="Palatino Linotype" w:eastAsia="Palatino Linotype" w:hAnsi="Palatino Linotype" w:cs="Palatino Linotype"/>
          <w:i/>
          <w:iCs/>
          <w:sz w:val="16"/>
          <w:szCs w:val="16"/>
        </w:rPr>
        <w:t>.</w:t>
      </w:r>
    </w:p>
    <w:p w:rsidR="007203B0" w:rsidRDefault="007203B0">
      <w:pPr>
        <w:ind w:right="49"/>
        <w:jc w:val="both"/>
        <w:rPr>
          <w:rFonts w:ascii="Palatino Linotype" w:eastAsia="Palatino Linotype" w:hAnsi="Palatino Linotype" w:cs="Palatino Linotype"/>
          <w:i/>
          <w:iCs/>
          <w:sz w:val="16"/>
          <w:szCs w:val="16"/>
        </w:rPr>
      </w:pPr>
    </w:p>
    <w:p w:rsidR="007203B0" w:rsidRDefault="007203B0">
      <w:pPr>
        <w:tabs>
          <w:tab w:val="left" w:pos="709"/>
        </w:tabs>
        <w:ind w:right="49"/>
        <w:jc w:val="both"/>
        <w:rPr>
          <w:rFonts w:ascii="Palatino Linotype" w:eastAsia="Palatino Linotype" w:hAnsi="Palatino Linotype" w:cs="Palatino Linotype"/>
          <w:i/>
          <w:iCs/>
          <w:sz w:val="16"/>
          <w:szCs w:val="16"/>
        </w:rPr>
      </w:pPr>
      <w:r>
        <w:rPr>
          <w:rFonts w:ascii="Palatino Linotype" w:eastAsia="Palatino Linotype" w:hAnsi="Palatino Linotype" w:cs="Palatino Linotype"/>
          <w:i/>
          <w:iCs/>
          <w:sz w:val="16"/>
          <w:szCs w:val="16"/>
        </w:rPr>
        <w:t>En la aprobación del presupuesto de egresos de los municipios, los ayuntamientos determinarán la remuneración que corresponda a cada empleo, cargo o comisión.</w:t>
      </w:r>
    </w:p>
    <w:p w:rsidR="007203B0" w:rsidRDefault="007203B0">
      <w:pPr>
        <w:tabs>
          <w:tab w:val="left" w:pos="709"/>
        </w:tabs>
        <w:ind w:right="49"/>
        <w:jc w:val="both"/>
        <w:rPr>
          <w:rFonts w:ascii="Palatino Linotype" w:eastAsia="Palatino Linotype" w:hAnsi="Palatino Linotype" w:cs="Palatino Linotype"/>
          <w:i/>
          <w:iCs/>
          <w:sz w:val="16"/>
          <w:szCs w:val="16"/>
        </w:rPr>
      </w:pPr>
      <w:r>
        <w:rPr>
          <w:rFonts w:ascii="Palatino Linotype" w:eastAsia="Palatino Linotype" w:hAnsi="Palatino Linotype" w:cs="Palatino Linotype"/>
          <w:b/>
          <w:bCs/>
          <w:i/>
          <w:iCs/>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3B0" w:rsidRDefault="007203B0">
    <w:pPr>
      <w:widowControl w:val="0"/>
      <w:pBdr>
        <w:top w:val="nil"/>
        <w:left w:val="nil"/>
        <w:bottom w:val="nil"/>
        <w:right w:val="nil"/>
        <w:between w:val="nil"/>
      </w:pBdr>
      <w:spacing w:line="276" w:lineRule="auto"/>
      <w:rPr>
        <w:color w:val="000000"/>
        <w:sz w:val="20"/>
        <w:szCs w:val="20"/>
      </w:rPr>
    </w:pPr>
    <w:r>
      <w:rPr>
        <w:noProof/>
      </w:rPr>
      <w:drawing>
        <wp:anchor distT="0" distB="0" distL="0" distR="0" simplePos="0" relativeHeight="251658240" behindDoc="1" locked="0" layoutInCell="1" hidden="0" allowOverlap="1">
          <wp:simplePos x="0" y="0"/>
          <wp:positionH relativeFrom="column">
            <wp:posOffset>-1257297</wp:posOffset>
          </wp:positionH>
          <wp:positionV relativeFrom="paragraph">
            <wp:posOffset>-569591</wp:posOffset>
          </wp:positionV>
          <wp:extent cx="7813085" cy="10170000"/>
          <wp:effectExtent l="0" t="0" r="0" b="0"/>
          <wp:wrapNone/>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4"/>
      <w:tblW w:w="7996" w:type="dxa"/>
      <w:tblInd w:w="3828" w:type="dxa"/>
      <w:tblLayout w:type="fixed"/>
      <w:tblLook w:val="0400" w:firstRow="0" w:lastRow="0" w:firstColumn="0" w:lastColumn="0" w:noHBand="0" w:noVBand="1"/>
    </w:tblPr>
    <w:tblGrid>
      <w:gridCol w:w="2044"/>
      <w:gridCol w:w="5952"/>
    </w:tblGrid>
    <w:tr w:rsidR="007203B0" w:rsidTr="00561E62">
      <w:tc>
        <w:tcPr>
          <w:tcW w:w="2044" w:type="dxa"/>
          <w:vAlign w:val="center"/>
        </w:tcPr>
        <w:p w:rsidR="007203B0" w:rsidRPr="00561E62" w:rsidRDefault="007203B0">
          <w:pPr>
            <w:rPr>
              <w:rFonts w:ascii="Palatino Linotype" w:eastAsia="Palatino Linotype" w:hAnsi="Palatino Linotype" w:cs="Palatino Linotype"/>
              <w:b/>
              <w:bCs/>
              <w:sz w:val="22"/>
              <w:szCs w:val="20"/>
            </w:rPr>
          </w:pPr>
          <w:r w:rsidRPr="00561E62">
            <w:rPr>
              <w:rFonts w:ascii="Palatino Linotype" w:eastAsia="Palatino Linotype" w:hAnsi="Palatino Linotype" w:cs="Palatino Linotype"/>
              <w:b/>
              <w:bCs/>
              <w:sz w:val="22"/>
              <w:szCs w:val="20"/>
            </w:rPr>
            <w:t>Recurso de Revisión:</w:t>
          </w:r>
        </w:p>
      </w:tc>
      <w:tc>
        <w:tcPr>
          <w:tcW w:w="5952" w:type="dxa"/>
          <w:vAlign w:val="center"/>
        </w:tcPr>
        <w:p w:rsidR="007203B0" w:rsidRPr="00561E62" w:rsidRDefault="007203B0">
          <w:pPr>
            <w:ind w:right="-1093"/>
            <w:jc w:val="both"/>
            <w:rPr>
              <w:rFonts w:ascii="Palatino Linotype" w:eastAsia="Palatino Linotype" w:hAnsi="Palatino Linotype" w:cs="Palatino Linotype"/>
              <w:sz w:val="22"/>
              <w:szCs w:val="20"/>
            </w:rPr>
          </w:pPr>
          <w:r w:rsidRPr="00561E62">
            <w:rPr>
              <w:rFonts w:ascii="Palatino Linotype" w:eastAsia="Palatino Linotype" w:hAnsi="Palatino Linotype" w:cs="Palatino Linotype"/>
              <w:sz w:val="22"/>
              <w:szCs w:val="20"/>
            </w:rPr>
            <w:t xml:space="preserve">10103/INFOEM/IP/RR/2025 </w:t>
          </w:r>
        </w:p>
      </w:tc>
    </w:tr>
    <w:tr w:rsidR="007203B0" w:rsidTr="00561E62">
      <w:trPr>
        <w:trHeight w:val="228"/>
      </w:trPr>
      <w:tc>
        <w:tcPr>
          <w:tcW w:w="2044" w:type="dxa"/>
          <w:vAlign w:val="center"/>
        </w:tcPr>
        <w:p w:rsidR="007203B0" w:rsidRPr="00561E62" w:rsidRDefault="007203B0">
          <w:pPr>
            <w:rPr>
              <w:rFonts w:ascii="Palatino Linotype" w:eastAsia="Palatino Linotype" w:hAnsi="Palatino Linotype" w:cs="Palatino Linotype"/>
              <w:b/>
              <w:bCs/>
              <w:sz w:val="22"/>
              <w:szCs w:val="20"/>
            </w:rPr>
          </w:pPr>
          <w:r w:rsidRPr="00561E62">
            <w:rPr>
              <w:rFonts w:ascii="Palatino Linotype" w:eastAsia="Palatino Linotype" w:hAnsi="Palatino Linotype" w:cs="Palatino Linotype"/>
              <w:b/>
              <w:bCs/>
              <w:sz w:val="22"/>
              <w:szCs w:val="20"/>
            </w:rPr>
            <w:t>Sujeto Obligado:</w:t>
          </w:r>
        </w:p>
      </w:tc>
      <w:tc>
        <w:tcPr>
          <w:tcW w:w="5952" w:type="dxa"/>
          <w:shd w:val="clear" w:color="auto" w:fill="auto"/>
          <w:vAlign w:val="center"/>
        </w:tcPr>
        <w:p w:rsidR="007203B0" w:rsidRPr="00561E62" w:rsidRDefault="007203B0">
          <w:pPr>
            <w:ind w:right="-108"/>
            <w:rPr>
              <w:rFonts w:ascii="Palatino Linotype" w:eastAsia="Palatino Linotype" w:hAnsi="Palatino Linotype" w:cs="Palatino Linotype"/>
              <w:color w:val="000000"/>
              <w:sz w:val="22"/>
              <w:szCs w:val="20"/>
            </w:rPr>
          </w:pPr>
          <w:r w:rsidRPr="00561E62">
            <w:rPr>
              <w:rFonts w:ascii="Palatino Linotype" w:eastAsia="Palatino Linotype" w:hAnsi="Palatino Linotype" w:cs="Palatino Linotype"/>
              <w:b/>
              <w:bCs/>
              <w:color w:val="000000"/>
              <w:sz w:val="22"/>
              <w:szCs w:val="20"/>
            </w:rPr>
            <w:t>Ayuntamiento de Teoloyucan</w:t>
          </w:r>
        </w:p>
      </w:tc>
    </w:tr>
    <w:tr w:rsidR="007203B0" w:rsidTr="00561E62">
      <w:tc>
        <w:tcPr>
          <w:tcW w:w="2044" w:type="dxa"/>
          <w:vAlign w:val="center"/>
        </w:tcPr>
        <w:p w:rsidR="007203B0" w:rsidRPr="00561E62" w:rsidRDefault="007203B0">
          <w:pPr>
            <w:rPr>
              <w:rFonts w:ascii="Palatino Linotype" w:eastAsia="Palatino Linotype" w:hAnsi="Palatino Linotype" w:cs="Palatino Linotype"/>
              <w:b/>
              <w:bCs/>
              <w:sz w:val="22"/>
              <w:szCs w:val="20"/>
            </w:rPr>
          </w:pPr>
          <w:r w:rsidRPr="00561E62">
            <w:rPr>
              <w:rFonts w:ascii="Palatino Linotype" w:eastAsia="Palatino Linotype" w:hAnsi="Palatino Linotype" w:cs="Palatino Linotype"/>
              <w:b/>
              <w:bCs/>
              <w:sz w:val="22"/>
              <w:szCs w:val="20"/>
            </w:rPr>
            <w:t>Comisionada Ponente:</w:t>
          </w:r>
        </w:p>
      </w:tc>
      <w:tc>
        <w:tcPr>
          <w:tcW w:w="5952" w:type="dxa"/>
          <w:vAlign w:val="center"/>
        </w:tcPr>
        <w:p w:rsidR="007203B0" w:rsidRPr="00561E62" w:rsidRDefault="007203B0">
          <w:pPr>
            <w:ind w:right="-1093"/>
            <w:jc w:val="both"/>
            <w:rPr>
              <w:rFonts w:ascii="Palatino Linotype" w:eastAsia="Palatino Linotype" w:hAnsi="Palatino Linotype" w:cs="Palatino Linotype"/>
              <w:sz w:val="22"/>
              <w:szCs w:val="20"/>
            </w:rPr>
          </w:pPr>
          <w:r w:rsidRPr="00561E62">
            <w:rPr>
              <w:rFonts w:ascii="Palatino Linotype" w:eastAsia="Palatino Linotype" w:hAnsi="Palatino Linotype" w:cs="Palatino Linotype"/>
              <w:sz w:val="22"/>
              <w:szCs w:val="20"/>
            </w:rPr>
            <w:t>María del Rosario Mejía Ayala</w:t>
          </w:r>
        </w:p>
      </w:tc>
    </w:tr>
  </w:tbl>
  <w:p w:rsidR="007203B0" w:rsidRDefault="007203B0">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3B0" w:rsidRDefault="007203B0">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rPr>
      <w:drawing>
        <wp:anchor distT="0" distB="0" distL="0" distR="0" simplePos="0" relativeHeight="251659264" behindDoc="1" locked="0" layoutInCell="1" hidden="0" allowOverlap="1">
          <wp:simplePos x="0" y="0"/>
          <wp:positionH relativeFrom="column">
            <wp:posOffset>-1078861</wp:posOffset>
          </wp:positionH>
          <wp:positionV relativeFrom="paragraph">
            <wp:posOffset>-411475</wp:posOffset>
          </wp:positionV>
          <wp:extent cx="7813085" cy="10170000"/>
          <wp:effectExtent l="0" t="0" r="0" b="0"/>
          <wp:wrapNone/>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5"/>
      <w:tblW w:w="6660" w:type="dxa"/>
      <w:tblInd w:w="3495" w:type="dxa"/>
      <w:tblLayout w:type="fixed"/>
      <w:tblLook w:val="0400" w:firstRow="0" w:lastRow="0" w:firstColumn="0" w:lastColumn="0" w:noHBand="0" w:noVBand="1"/>
    </w:tblPr>
    <w:tblGrid>
      <w:gridCol w:w="2977"/>
      <w:gridCol w:w="3683"/>
    </w:tblGrid>
    <w:tr w:rsidR="007203B0">
      <w:trPr>
        <w:trHeight w:val="227"/>
      </w:trPr>
      <w:tc>
        <w:tcPr>
          <w:tcW w:w="2977" w:type="dxa"/>
          <w:vAlign w:val="center"/>
        </w:tcPr>
        <w:p w:rsidR="007203B0" w:rsidRDefault="007203B0">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683" w:type="dxa"/>
          <w:vAlign w:val="center"/>
        </w:tcPr>
        <w:p w:rsidR="007203B0" w:rsidRDefault="007203B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highlight w:val="green"/>
            </w:rPr>
          </w:pPr>
          <w:r>
            <w:rPr>
              <w:rFonts w:ascii="Palatino Linotype" w:eastAsia="Palatino Linotype" w:hAnsi="Palatino Linotype" w:cs="Palatino Linotype"/>
              <w:b/>
              <w:bCs/>
              <w:color w:val="000000"/>
              <w:sz w:val="22"/>
              <w:szCs w:val="22"/>
            </w:rPr>
            <w:t>10103/INFOEM/IP/RR/2025</w:t>
          </w:r>
        </w:p>
      </w:tc>
    </w:tr>
    <w:tr w:rsidR="007203B0">
      <w:trPr>
        <w:trHeight w:val="242"/>
      </w:trPr>
      <w:tc>
        <w:tcPr>
          <w:tcW w:w="2977" w:type="dxa"/>
          <w:vAlign w:val="center"/>
        </w:tcPr>
        <w:p w:rsidR="007203B0" w:rsidRDefault="007203B0">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683" w:type="dxa"/>
        </w:tcPr>
        <w:p w:rsidR="007203B0" w:rsidRDefault="007203B0" w:rsidP="001653A2">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bCs/>
              <w:sz w:val="22"/>
              <w:szCs w:val="22"/>
              <w:highlight w:val="green"/>
            </w:rPr>
          </w:pPr>
          <w:r>
            <w:rPr>
              <w:rFonts w:ascii="Palatino Linotype" w:eastAsia="Palatino Linotype" w:hAnsi="Palatino Linotype" w:cs="Palatino Linotype"/>
              <w:b/>
              <w:bCs/>
              <w:sz w:val="22"/>
              <w:szCs w:val="22"/>
            </w:rPr>
            <w:t> </w:t>
          </w:r>
          <w:r w:rsidR="001653A2">
            <w:rPr>
              <w:rFonts w:ascii="Palatino Linotype" w:eastAsia="Palatino Linotype" w:hAnsi="Palatino Linotype" w:cs="Palatino Linotype"/>
              <w:b/>
              <w:bCs/>
              <w:sz w:val="22"/>
              <w:szCs w:val="22"/>
            </w:rPr>
            <w:t>XXXX</w:t>
          </w:r>
        </w:p>
      </w:tc>
    </w:tr>
    <w:tr w:rsidR="007203B0">
      <w:trPr>
        <w:trHeight w:val="342"/>
      </w:trPr>
      <w:tc>
        <w:tcPr>
          <w:tcW w:w="2977" w:type="dxa"/>
          <w:vAlign w:val="center"/>
        </w:tcPr>
        <w:p w:rsidR="007203B0" w:rsidRDefault="007203B0">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683" w:type="dxa"/>
          <w:vAlign w:val="center"/>
        </w:tcPr>
        <w:p w:rsidR="007203B0" w:rsidRDefault="007203B0">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2"/>
              <w:szCs w:val="22"/>
              <w:highlight w:val="green"/>
            </w:rPr>
          </w:pPr>
          <w:r>
            <w:rPr>
              <w:rFonts w:ascii="Palatino Linotype" w:eastAsia="Palatino Linotype" w:hAnsi="Palatino Linotype" w:cs="Palatino Linotype"/>
              <w:b/>
              <w:bCs/>
              <w:color w:val="000000"/>
              <w:sz w:val="22"/>
              <w:szCs w:val="22"/>
            </w:rPr>
            <w:t xml:space="preserve">Ayuntamiento de Teoloyucan  </w:t>
          </w:r>
        </w:p>
      </w:tc>
    </w:tr>
    <w:tr w:rsidR="007203B0">
      <w:trPr>
        <w:trHeight w:val="342"/>
      </w:trPr>
      <w:tc>
        <w:tcPr>
          <w:tcW w:w="2977" w:type="dxa"/>
          <w:vAlign w:val="center"/>
        </w:tcPr>
        <w:p w:rsidR="007203B0" w:rsidRDefault="007203B0">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683" w:type="dxa"/>
          <w:vAlign w:val="center"/>
        </w:tcPr>
        <w:p w:rsidR="007203B0" w:rsidRDefault="007203B0">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María del Rosario Mejía Ayala</w:t>
          </w:r>
        </w:p>
      </w:tc>
    </w:tr>
  </w:tbl>
  <w:p w:rsidR="007203B0" w:rsidRDefault="007203B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8E78EF"/>
    <w:multiLevelType w:val="multilevel"/>
    <w:tmpl w:val="52DAEE0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36396695"/>
    <w:multiLevelType w:val="multilevel"/>
    <w:tmpl w:val="521A46A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F239EA"/>
    <w:multiLevelType w:val="multilevel"/>
    <w:tmpl w:val="2DF0A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DD592A"/>
    <w:multiLevelType w:val="multilevel"/>
    <w:tmpl w:val="F7BEE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2633EE"/>
    <w:multiLevelType w:val="multilevel"/>
    <w:tmpl w:val="0470B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842A68"/>
    <w:multiLevelType w:val="multilevel"/>
    <w:tmpl w:val="04F20E7C"/>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EE0239"/>
    <w:multiLevelType w:val="multilevel"/>
    <w:tmpl w:val="07C8E0AC"/>
    <w:lvl w:ilvl="0">
      <w:start w:val="1"/>
      <w:numFmt w:val="decimal"/>
      <w:lvlText w:val="%1."/>
      <w:lvlJc w:val="left"/>
      <w:pPr>
        <w:ind w:left="928" w:hanging="360"/>
      </w:pPr>
      <w:rPr>
        <w:rFonts w:ascii="Palatino Linotype" w:eastAsia="Palatino Linotype" w:hAnsi="Palatino Linotype" w:cs="Palatino Linotype"/>
        <w:b/>
        <w:bCs/>
        <w:i w:val="0"/>
        <w:iCs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bCs/>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2980892"/>
    <w:multiLevelType w:val="multilevel"/>
    <w:tmpl w:val="E5EE5E98"/>
    <w:lvl w:ilvl="0">
      <w:start w:val="1"/>
      <w:numFmt w:val="decimal"/>
      <w:pStyle w:val="Listaconnmero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5423653"/>
    <w:multiLevelType w:val="multilevel"/>
    <w:tmpl w:val="858606BA"/>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0"/>
  </w:num>
  <w:num w:numId="2">
    <w:abstractNumId w:val="4"/>
  </w:num>
  <w:num w:numId="3">
    <w:abstractNumId w:val="3"/>
  </w:num>
  <w:num w:numId="4">
    <w:abstractNumId w:val="5"/>
  </w:num>
  <w:num w:numId="5">
    <w:abstractNumId w:val="8"/>
  </w:num>
  <w:num w:numId="6">
    <w:abstractNumId w:val="2"/>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649"/>
    <w:rsid w:val="001653A2"/>
    <w:rsid w:val="00312C85"/>
    <w:rsid w:val="00337DC4"/>
    <w:rsid w:val="00561E62"/>
    <w:rsid w:val="0058582D"/>
    <w:rsid w:val="005A492E"/>
    <w:rsid w:val="007203B0"/>
    <w:rsid w:val="00793EC1"/>
    <w:rsid w:val="008B4649"/>
    <w:rsid w:val="008F2E3B"/>
    <w:rsid w:val="00A17A42"/>
    <w:rsid w:val="00A5700F"/>
    <w:rsid w:val="00AE51CE"/>
    <w:rsid w:val="00BC049C"/>
    <w:rsid w:val="00C52D63"/>
    <w:rsid w:val="00D02DE6"/>
    <w:rsid w:val="00FE0A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9B1592-D8C9-418B-B896-361D48ED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rsid w:val="007307DF"/>
    <w:rPr>
      <w:rFonts w:ascii="Calibri" w:eastAsia="Calibri" w:hAnsi="Calibri" w:cs="Calibri"/>
      <w:color w:val="2E75B5"/>
      <w:sz w:val="32"/>
      <w:szCs w:val="32"/>
      <w:lang w:eastAsia="es-MX"/>
    </w:rPr>
  </w:style>
  <w:style w:type="character" w:customStyle="1" w:styleId="Ttulo2Car">
    <w:name w:val="Título 2 Car"/>
    <w:basedOn w:val="Fuentedeprrafopredeter"/>
    <w:rsid w:val="007307DF"/>
    <w:rPr>
      <w:rFonts w:ascii="Calibri" w:eastAsia="Calibri" w:hAnsi="Calibri" w:cs="Calibri"/>
      <w:color w:val="2E75B5"/>
      <w:sz w:val="26"/>
      <w:szCs w:val="26"/>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07D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307DF"/>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7307DF"/>
    <w:pPr>
      <w:tabs>
        <w:tab w:val="center" w:pos="4419"/>
        <w:tab w:val="right" w:pos="8838"/>
      </w:tabs>
    </w:pPr>
  </w:style>
  <w:style w:type="character" w:customStyle="1" w:styleId="EncabezadoCar">
    <w:name w:val="Encabezado Car"/>
    <w:basedOn w:val="Fuentedeprrafopredeter"/>
    <w:link w:val="Encabezado"/>
    <w:uiPriority w:val="99"/>
    <w:rsid w:val="007307DF"/>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7307DF"/>
    <w:pPr>
      <w:tabs>
        <w:tab w:val="center" w:pos="4419"/>
        <w:tab w:val="right" w:pos="8838"/>
      </w:tabs>
    </w:pPr>
  </w:style>
  <w:style w:type="character" w:customStyle="1" w:styleId="PiedepginaCar">
    <w:name w:val="Pie de página Car"/>
    <w:basedOn w:val="Fuentedeprrafopredeter"/>
    <w:link w:val="Piedepgina"/>
    <w:uiPriority w:val="99"/>
    <w:rsid w:val="007307DF"/>
    <w:rPr>
      <w:rFonts w:ascii="Times New Roman" w:eastAsia="Times New Roman" w:hAnsi="Times New Roman" w:cs="Times New Roman"/>
      <w:sz w:val="24"/>
      <w:szCs w:val="24"/>
      <w:lang w:eastAsia="es-MX"/>
    </w:rPr>
  </w:style>
  <w:style w:type="paragraph" w:styleId="Listaconnmeros">
    <w:name w:val="List Number"/>
    <w:basedOn w:val="Normal"/>
    <w:uiPriority w:val="99"/>
    <w:unhideWhenUsed/>
    <w:rsid w:val="00D6463C"/>
    <w:pPr>
      <w:numPr>
        <w:numId w:val="9"/>
      </w:numPr>
      <w:spacing w:after="200" w:line="276" w:lineRule="auto"/>
      <w:contextualSpacing/>
    </w:pPr>
    <w:rPr>
      <w:rFonts w:asciiTheme="minorHAnsi" w:eastAsiaTheme="minorEastAsia" w:hAnsiTheme="minorHAnsi" w:cstheme="minorBidi"/>
      <w:sz w:val="22"/>
      <w:szCs w:val="22"/>
      <w:lang w:val="en-US"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C4035"/>
    <w:rPr>
      <w:vertAlign w:val="superscript"/>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DXdoAfucAIwN4MyFox2iyLaMqQ==">CgMxLjAyCGguZ2pkZ3hzMgloLjFmb2I5dGUyCWguM3pueXNoNzIJaC4yZXQ5MnAwMg5oLjE2Mm0xbTNma3psNjIIaC50eWpjd3QyCWguM2R5NnZrbTIJaC4xdDNoNXNmMgloLjRkMzRvZzgyCWguMnM4ZXlvMTIOaC50enlvaG04YzB4c28yCWguMTdkcDh2dTIJaC4zcmRjcmpuMgloLjI2aW4xcmcyCWguMWtzdjR1djIIaC5sbnhiejkyCWguMmp4c3hxaDIOaC5vbG55czlnazVsc24yDmguMjAxcGNyZTJ6MDhsOAByITFiRHVXMDcyRGY4d1VKYnBnVlZNbnp3VmJkUHRhcmJx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7728</Words>
  <Characters>42505</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9</cp:revision>
  <cp:lastPrinted>2026-03-26T21:20:00Z</cp:lastPrinted>
  <dcterms:created xsi:type="dcterms:W3CDTF">2026-03-23T18:48:00Z</dcterms:created>
  <dcterms:modified xsi:type="dcterms:W3CDTF">2026-04-08T19:50:00Z</dcterms:modified>
</cp:coreProperties>
</file>