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1A9D9E" w14:textId="77777777" w:rsidR="00C00D37" w:rsidRPr="0063563C" w:rsidRDefault="004A69F1">
      <w:pPr>
        <w:spacing w:before="240" w:after="240" w:line="360" w:lineRule="auto"/>
        <w:ind w:right="49" w:hanging="22"/>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Resolución del Pleno del Instituto de Transparencia, Acceso a la Información Pública y Protección de Datos Personales del Estado de México y Municipios, con domicilio en Metepec, Estado de México, de fecha </w:t>
      </w:r>
      <w:r w:rsidRPr="0063563C">
        <w:rPr>
          <w:rFonts w:ascii="Palatino Linotype" w:eastAsia="Palatino Linotype" w:hAnsi="Palatino Linotype" w:cs="Palatino Linotype"/>
          <w:b/>
          <w:bCs/>
          <w:sz w:val="22"/>
          <w:szCs w:val="22"/>
        </w:rPr>
        <w:t>diecisiete de septiembre de dos mil veintiséis.</w:t>
      </w:r>
    </w:p>
    <w:p w14:paraId="421D8932" w14:textId="48B5A2B7" w:rsidR="00C00D37" w:rsidRPr="0063563C" w:rsidRDefault="004A69F1">
      <w:pPr>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sz w:val="22"/>
          <w:szCs w:val="22"/>
        </w:rPr>
        <w:t xml:space="preserve">VISTO </w:t>
      </w:r>
      <w:r w:rsidRPr="0063563C">
        <w:rPr>
          <w:rFonts w:ascii="Palatino Linotype" w:eastAsia="Palatino Linotype" w:hAnsi="Palatino Linotype" w:cs="Palatino Linotype"/>
          <w:sz w:val="22"/>
          <w:szCs w:val="22"/>
        </w:rPr>
        <w:t xml:space="preserve">el expediente relativo al recurso de revisión </w:t>
      </w:r>
      <w:r w:rsidRPr="0063563C">
        <w:rPr>
          <w:rFonts w:ascii="Palatino Linotype" w:eastAsia="Palatino Linotype" w:hAnsi="Palatino Linotype" w:cs="Palatino Linotype"/>
          <w:b/>
          <w:bCs/>
          <w:sz w:val="22"/>
          <w:szCs w:val="22"/>
        </w:rPr>
        <w:t xml:space="preserve">06734/INFOEM/IP/RR/2026, </w:t>
      </w:r>
      <w:r w:rsidRPr="0063563C">
        <w:rPr>
          <w:rFonts w:ascii="Palatino Linotype" w:eastAsia="Palatino Linotype" w:hAnsi="Palatino Linotype" w:cs="Palatino Linotype"/>
          <w:sz w:val="22"/>
          <w:szCs w:val="22"/>
        </w:rPr>
        <w:t>interpuesto por</w:t>
      </w:r>
      <w:r w:rsidRPr="0063563C">
        <w:rPr>
          <w:rFonts w:ascii="Palatino Linotype" w:eastAsia="Palatino Linotype" w:hAnsi="Palatino Linotype" w:cs="Palatino Linotype"/>
          <w:b/>
          <w:bCs/>
          <w:sz w:val="22"/>
          <w:szCs w:val="22"/>
        </w:rPr>
        <w:t xml:space="preserve"> </w:t>
      </w:r>
      <w:r w:rsidR="000501D4" w:rsidRPr="000501D4">
        <w:rPr>
          <w:rFonts w:ascii="Palatino Linotype" w:eastAsia="Palatino Linotype" w:hAnsi="Palatino Linotype" w:cs="Palatino Linotype"/>
          <w:b/>
          <w:bCs/>
          <w:sz w:val="22"/>
          <w:szCs w:val="22"/>
        </w:rPr>
        <w:t>XXXX XXXXXX XXXXXXXXX</w:t>
      </w:r>
      <w:r w:rsidRPr="0063563C">
        <w:rPr>
          <w:rFonts w:ascii="Palatino Linotype" w:eastAsia="Palatino Linotype" w:hAnsi="Palatino Linotype" w:cs="Palatino Linotype"/>
          <w:sz w:val="22"/>
          <w:szCs w:val="22"/>
        </w:rPr>
        <w:t xml:space="preserve">, en lo sucesivo la parte </w:t>
      </w:r>
      <w:r w:rsidRPr="0063563C">
        <w:rPr>
          <w:rFonts w:ascii="Palatino Linotype" w:eastAsia="Palatino Linotype" w:hAnsi="Palatino Linotype" w:cs="Palatino Linotype"/>
          <w:b/>
          <w:bCs/>
          <w:sz w:val="22"/>
          <w:szCs w:val="22"/>
        </w:rPr>
        <w:t>Recurrente</w:t>
      </w:r>
      <w:r w:rsidRPr="0063563C">
        <w:rPr>
          <w:rFonts w:ascii="Palatino Linotype" w:eastAsia="Palatino Linotype" w:hAnsi="Palatino Linotype" w:cs="Palatino Linotype"/>
          <w:sz w:val="22"/>
          <w:szCs w:val="22"/>
        </w:rPr>
        <w:t xml:space="preserve">, en contra de la respuesta a la solicitud de información por parte del </w:t>
      </w:r>
      <w:r w:rsidRPr="0063563C">
        <w:rPr>
          <w:rFonts w:ascii="Palatino Linotype" w:eastAsia="Palatino Linotype" w:hAnsi="Palatino Linotype" w:cs="Palatino Linotype"/>
          <w:b/>
          <w:bCs/>
          <w:sz w:val="22"/>
          <w:szCs w:val="22"/>
        </w:rPr>
        <w:t>Ayuntamiento de Tianguistenco</w:t>
      </w:r>
      <w:r w:rsidRPr="0063563C">
        <w:rPr>
          <w:rFonts w:ascii="Palatino Linotype" w:eastAsia="Palatino Linotype" w:hAnsi="Palatino Linotype" w:cs="Palatino Linotype"/>
          <w:sz w:val="22"/>
          <w:szCs w:val="22"/>
        </w:rPr>
        <w:t xml:space="preserve">, en lo sucesivo el </w:t>
      </w:r>
      <w:r w:rsidRPr="0063563C">
        <w:rPr>
          <w:rFonts w:ascii="Palatino Linotype" w:eastAsia="Palatino Linotype" w:hAnsi="Palatino Linotype" w:cs="Palatino Linotype"/>
          <w:b/>
          <w:bCs/>
          <w:sz w:val="22"/>
          <w:szCs w:val="22"/>
        </w:rPr>
        <w:t xml:space="preserve">Sujeto Obligado; </w:t>
      </w:r>
      <w:r w:rsidRPr="0063563C">
        <w:rPr>
          <w:rFonts w:ascii="Palatino Linotype" w:eastAsia="Palatino Linotype" w:hAnsi="Palatino Linotype" w:cs="Palatino Linotype"/>
          <w:sz w:val="22"/>
          <w:szCs w:val="22"/>
        </w:rPr>
        <w:t xml:space="preserve">se procede a dictar la presente resolución, con base en lo siguiente.  </w:t>
      </w:r>
    </w:p>
    <w:p w14:paraId="022511FE" w14:textId="77777777" w:rsidR="00C00D37" w:rsidRPr="0063563C" w:rsidRDefault="004A69F1">
      <w:pPr>
        <w:spacing w:before="240" w:after="240" w:line="360" w:lineRule="auto"/>
        <w:ind w:right="49"/>
        <w:jc w:val="center"/>
        <w:rPr>
          <w:rFonts w:ascii="Palatino Linotype" w:eastAsia="Palatino Linotype" w:hAnsi="Palatino Linotype" w:cs="Palatino Linotype"/>
          <w:b/>
          <w:bCs/>
          <w:sz w:val="22"/>
          <w:szCs w:val="22"/>
        </w:rPr>
      </w:pPr>
      <w:r w:rsidRPr="0063563C">
        <w:rPr>
          <w:rFonts w:ascii="Palatino Linotype" w:eastAsia="Palatino Linotype" w:hAnsi="Palatino Linotype" w:cs="Palatino Linotype"/>
          <w:b/>
          <w:bCs/>
          <w:sz w:val="22"/>
          <w:szCs w:val="22"/>
        </w:rPr>
        <w:t>I.</w:t>
      </w:r>
      <w:r w:rsidRPr="0063563C">
        <w:rPr>
          <w:rFonts w:ascii="Palatino Linotype" w:eastAsia="Palatino Linotype" w:hAnsi="Palatino Linotype" w:cs="Palatino Linotype"/>
          <w:b/>
          <w:bCs/>
          <w:sz w:val="22"/>
          <w:szCs w:val="22"/>
        </w:rPr>
        <w:tab/>
        <w:t xml:space="preserve">A N T E C E D E N T E S </w:t>
      </w:r>
    </w:p>
    <w:p w14:paraId="632FF40B"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sz w:val="22"/>
          <w:szCs w:val="22"/>
        </w:rPr>
        <w:t>1.</w:t>
      </w:r>
      <w:r w:rsidRPr="0063563C">
        <w:rPr>
          <w:rFonts w:ascii="Palatino Linotype" w:eastAsia="Palatino Linotype" w:hAnsi="Palatino Linotype" w:cs="Palatino Linotype"/>
          <w:sz w:val="22"/>
          <w:szCs w:val="22"/>
        </w:rPr>
        <w:t xml:space="preserve"> </w:t>
      </w:r>
      <w:r w:rsidRPr="0063563C">
        <w:rPr>
          <w:rFonts w:ascii="Palatino Linotype" w:eastAsia="Palatino Linotype" w:hAnsi="Palatino Linotype" w:cs="Palatino Linotype"/>
          <w:b/>
          <w:bCs/>
          <w:sz w:val="22"/>
          <w:szCs w:val="22"/>
        </w:rPr>
        <w:t>Solicitud de Acceso a la Información. El veintisiete de mayo de dos mil veintiséis</w:t>
      </w:r>
      <w:r w:rsidRPr="0063563C">
        <w:rPr>
          <w:rFonts w:ascii="Palatino Linotype" w:eastAsia="Palatino Linotype" w:hAnsi="Palatino Linotype" w:cs="Palatino Linotype"/>
          <w:sz w:val="22"/>
          <w:szCs w:val="22"/>
        </w:rPr>
        <w:t xml:space="preserve">, </w:t>
      </w:r>
      <w:r w:rsidRPr="0063563C">
        <w:rPr>
          <w:rFonts w:ascii="Palatino Linotype" w:eastAsia="Palatino Linotype" w:hAnsi="Palatino Linotype" w:cs="Palatino Linotype"/>
          <w:b/>
          <w:bCs/>
          <w:sz w:val="22"/>
          <w:szCs w:val="22"/>
        </w:rPr>
        <w:t>LA PARTE</w:t>
      </w:r>
      <w:r w:rsidRPr="0063563C">
        <w:rPr>
          <w:rFonts w:ascii="Palatino Linotype" w:eastAsia="Palatino Linotype" w:hAnsi="Palatino Linotype" w:cs="Palatino Linotype"/>
          <w:sz w:val="22"/>
          <w:szCs w:val="22"/>
        </w:rPr>
        <w:t xml:space="preserve"> </w:t>
      </w:r>
      <w:r w:rsidRPr="0063563C">
        <w:rPr>
          <w:rFonts w:ascii="Palatino Linotype" w:eastAsia="Palatino Linotype" w:hAnsi="Palatino Linotype" w:cs="Palatino Linotype"/>
          <w:b/>
          <w:bCs/>
          <w:sz w:val="22"/>
          <w:szCs w:val="22"/>
        </w:rPr>
        <w:t>RECURRENTE</w:t>
      </w:r>
      <w:r w:rsidRPr="0063563C">
        <w:rPr>
          <w:rFonts w:ascii="Palatino Linotype" w:eastAsia="Palatino Linotype" w:hAnsi="Palatino Linotype" w:cs="Palatino Linotype"/>
          <w:sz w:val="22"/>
          <w:szCs w:val="22"/>
        </w:rPr>
        <w:t xml:space="preserve"> formuló solicitud de acceso a información pública a través del </w:t>
      </w:r>
      <w:r w:rsidRPr="0063563C">
        <w:rPr>
          <w:rFonts w:ascii="Palatino Linotype" w:eastAsia="Palatino Linotype" w:hAnsi="Palatino Linotype" w:cs="Palatino Linotype"/>
          <w:b/>
          <w:bCs/>
          <w:sz w:val="22"/>
          <w:szCs w:val="22"/>
        </w:rPr>
        <w:t>SAIMEX</w:t>
      </w:r>
      <w:r w:rsidRPr="0063563C">
        <w:rPr>
          <w:rFonts w:ascii="Palatino Linotype" w:eastAsia="Palatino Linotype" w:hAnsi="Palatino Linotype" w:cs="Palatino Linotype"/>
          <w:sz w:val="22"/>
          <w:szCs w:val="22"/>
        </w:rPr>
        <w:t xml:space="preserve">, en la que requirió lo siguiente: </w:t>
      </w:r>
    </w:p>
    <w:p w14:paraId="41B241BC" w14:textId="77777777" w:rsidR="00C00D37" w:rsidRPr="0063563C" w:rsidRDefault="004A69F1">
      <w:pPr>
        <w:spacing w:before="240" w:after="240" w:line="360" w:lineRule="auto"/>
        <w:ind w:left="567" w:right="843"/>
        <w:jc w:val="both"/>
        <w:rPr>
          <w:rFonts w:ascii="Palatino Linotype" w:eastAsia="Palatino Linotype" w:hAnsi="Palatino Linotype" w:cs="Palatino Linotype"/>
          <w:b/>
          <w:bCs/>
          <w:i/>
          <w:iCs/>
          <w:sz w:val="22"/>
          <w:szCs w:val="22"/>
        </w:rPr>
      </w:pPr>
      <w:bookmarkStart w:id="0" w:name="_heading=h.3znysh7" w:colFirst="0" w:colLast="0"/>
      <w:bookmarkEnd w:id="0"/>
      <w:r w:rsidRPr="0063563C">
        <w:rPr>
          <w:rFonts w:ascii="Palatino Linotype" w:eastAsia="Palatino Linotype" w:hAnsi="Palatino Linotype" w:cs="Palatino Linotype"/>
          <w:b/>
          <w:bCs/>
          <w:i/>
          <w:iCs/>
          <w:sz w:val="22"/>
          <w:szCs w:val="22"/>
        </w:rPr>
        <w:t>“Solicito el nombramiento del director Hugo Pillado Correa, quien funge como director de administración o encargado del despacho. Solicito los recibos de nómina de Hugo Pillado Correa. Solicito el expediente laboral de Hugo Pillado Correa. Solicito el título y la cédula profesional de Hugo Pillado Correa. Solicito todos los oficios y procedimientos que ha firmado Hugo Pillado Correa.”</w:t>
      </w:r>
    </w:p>
    <w:p w14:paraId="6E909DD0" w14:textId="77777777" w:rsidR="00C00D37" w:rsidRPr="0063563C" w:rsidRDefault="00C00D37">
      <w:pPr>
        <w:spacing w:before="240" w:after="240" w:line="360" w:lineRule="auto"/>
        <w:ind w:left="567" w:right="843"/>
        <w:jc w:val="both"/>
        <w:rPr>
          <w:rFonts w:ascii="Palatino Linotype" w:eastAsia="Palatino Linotype" w:hAnsi="Palatino Linotype" w:cs="Palatino Linotype"/>
          <w:i/>
          <w:iCs/>
          <w:sz w:val="22"/>
          <w:szCs w:val="22"/>
        </w:rPr>
      </w:pPr>
    </w:p>
    <w:p w14:paraId="3D033092" w14:textId="77777777" w:rsidR="00C00D37" w:rsidRPr="0063563C" w:rsidRDefault="004A69F1">
      <w:pPr>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sz w:val="22"/>
          <w:szCs w:val="22"/>
        </w:rPr>
        <w:lastRenderedPageBreak/>
        <w:t>Modalidad elegida para la entrega de la información:</w:t>
      </w:r>
      <w:r w:rsidRPr="0063563C">
        <w:rPr>
          <w:rFonts w:ascii="Palatino Linotype" w:eastAsia="Palatino Linotype" w:hAnsi="Palatino Linotype" w:cs="Palatino Linotype"/>
          <w:sz w:val="22"/>
          <w:szCs w:val="22"/>
        </w:rPr>
        <w:t xml:space="preserve"> a través del Sistema de Acceso a la Información Mexiquense (SAIMEX).</w:t>
      </w:r>
    </w:p>
    <w:p w14:paraId="3E6B1C31" w14:textId="77777777" w:rsidR="00C00D37" w:rsidRPr="0063563C" w:rsidRDefault="004A69F1">
      <w:pPr>
        <w:widowControl w:val="0"/>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sz w:val="22"/>
          <w:szCs w:val="22"/>
        </w:rPr>
        <w:t>2. Respuesta.</w:t>
      </w:r>
      <w:r w:rsidRPr="0063563C">
        <w:rPr>
          <w:rFonts w:ascii="Palatino Linotype" w:eastAsia="Palatino Linotype" w:hAnsi="Palatino Linotype" w:cs="Palatino Linotype"/>
          <w:sz w:val="22"/>
          <w:szCs w:val="22"/>
        </w:rPr>
        <w:t xml:space="preserve"> El </w:t>
      </w:r>
      <w:r w:rsidRPr="0063563C">
        <w:rPr>
          <w:rFonts w:ascii="Palatino Linotype" w:eastAsia="Palatino Linotype" w:hAnsi="Palatino Linotype" w:cs="Palatino Linotype"/>
          <w:b/>
          <w:bCs/>
          <w:sz w:val="22"/>
          <w:szCs w:val="22"/>
        </w:rPr>
        <w:t>diecisiete de junio de dos mil veintiséis</w:t>
      </w:r>
      <w:r w:rsidRPr="0063563C">
        <w:rPr>
          <w:rFonts w:ascii="Palatino Linotype" w:eastAsia="Palatino Linotype" w:hAnsi="Palatino Linotype" w:cs="Palatino Linotype"/>
          <w:sz w:val="22"/>
          <w:szCs w:val="22"/>
        </w:rPr>
        <w:t>, el Sujeto Obligado dio respuesta a la solicitud en los siguientes términos:</w:t>
      </w:r>
    </w:p>
    <w:p w14:paraId="2E2564C2" w14:textId="77777777" w:rsidR="00C00D37" w:rsidRPr="0063563C" w:rsidRDefault="004A69F1">
      <w:pPr>
        <w:widowControl w:val="0"/>
        <w:spacing w:before="240" w:after="240" w:line="360" w:lineRule="auto"/>
        <w:ind w:left="567" w:right="843"/>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“Tianguistenco, México a 17 de Junio de 2026</w:t>
      </w:r>
    </w:p>
    <w:p w14:paraId="6B9741F6" w14:textId="2C3CB556" w:rsidR="00C00D37" w:rsidRPr="0063563C" w:rsidRDefault="004A69F1">
      <w:pPr>
        <w:widowControl w:val="0"/>
        <w:spacing w:before="240" w:after="240" w:line="360" w:lineRule="auto"/>
        <w:ind w:left="567" w:right="843"/>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 xml:space="preserve">Nombre del solicitante: C. </w:t>
      </w:r>
      <w:r w:rsidR="000501D4">
        <w:rPr>
          <w:rFonts w:ascii="Palatino Linotype" w:eastAsia="Palatino Linotype" w:hAnsi="Palatino Linotype" w:cs="Palatino Linotype"/>
          <w:i/>
          <w:iCs/>
          <w:sz w:val="22"/>
          <w:szCs w:val="22"/>
        </w:rPr>
        <w:t>XXXXXXXXX</w:t>
      </w:r>
      <w:bookmarkStart w:id="1" w:name="_GoBack"/>
      <w:bookmarkEnd w:id="1"/>
    </w:p>
    <w:p w14:paraId="24CA7241" w14:textId="77777777" w:rsidR="00C00D37" w:rsidRPr="0063563C" w:rsidRDefault="004A69F1">
      <w:pPr>
        <w:widowControl w:val="0"/>
        <w:spacing w:before="240" w:after="240" w:line="360" w:lineRule="auto"/>
        <w:ind w:left="567" w:right="843"/>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Folio de la solicitud: 00131/TIANGUIS/IP/2026</w:t>
      </w:r>
    </w:p>
    <w:p w14:paraId="058DF312" w14:textId="77777777" w:rsidR="00C00D37" w:rsidRPr="0063563C" w:rsidRDefault="004A69F1">
      <w:pPr>
        <w:widowControl w:val="0"/>
        <w:spacing w:before="240" w:after="240" w:line="360" w:lineRule="auto"/>
        <w:ind w:left="567" w:right="843"/>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Con fundamento por los Artículos 6 de la Constitución Política de los Estados Unidos Mexicanos, 5 de la Constitución Política del Estado Libre y Soberano de México, 58 y 59 de la Ley de Transparencia y Acceso a la Información Pública del Estado de México y Municipios, artículo 215 del Bando Municipal Vigente del Ayuntamiento de Tianguistenco, México, administración 2025-2027; adjunta remite respuesta mediante oficio número: PMT/CRH/0313/2026 de fecha: 08 DE MAYO del 2026, y recibido el día 16 de JUNIO 2026, información que obra en los archivos de Coordinación de Recursos Humanos, por el Servidor Público Habilitado, para los efectos a que haya lugar. Artículo 12. Quienes generen, recopilen, administren, manejen, procesen, archiven o conserven información pública serán responsables de la misma en los términos de las disposiciones jurídicas aplicables. Los sujetos obligados sólo proporcionarán la información pública que se les requiera y que obre en sus archivos y en el estado en que ésta se encuentre. La obligación de proporcionar información no comprende el procesamiento de la misma, ni el presentarla conforme al interés del solicitante; no estarán obligados a generarla, resumirla, efectuar cálculos o practicar investigaciones.</w:t>
      </w:r>
    </w:p>
    <w:p w14:paraId="31B2A9A5" w14:textId="77777777" w:rsidR="00C00D37" w:rsidRPr="0063563C" w:rsidRDefault="004A69F1">
      <w:pPr>
        <w:widowControl w:val="0"/>
        <w:spacing w:before="240" w:after="240" w:line="360" w:lineRule="auto"/>
        <w:ind w:left="567" w:right="843"/>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lastRenderedPageBreak/>
        <w:t>ATENTAMENTE</w:t>
      </w:r>
    </w:p>
    <w:p w14:paraId="2E22E9F2" w14:textId="77777777" w:rsidR="00C00D37" w:rsidRPr="0063563C" w:rsidRDefault="004A69F1">
      <w:pPr>
        <w:widowControl w:val="0"/>
        <w:spacing w:before="240" w:after="240" w:line="360" w:lineRule="auto"/>
        <w:ind w:left="567" w:right="843"/>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LIC. EN D. Ignacio Benítez Bobadilla”</w:t>
      </w:r>
    </w:p>
    <w:p w14:paraId="0C75BBF0" w14:textId="77777777" w:rsidR="00C00D37" w:rsidRPr="0063563C" w:rsidRDefault="004A69F1">
      <w:pPr>
        <w:widowControl w:val="0"/>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El Sujeto Obligado acompañó su respuesta el archivo electrónico 00131.pdf, cuto contenido, en síntesis, es el siguiente:</w:t>
      </w:r>
    </w:p>
    <w:p w14:paraId="1BB7A38E" w14:textId="77777777" w:rsidR="00C00D37" w:rsidRPr="0063563C" w:rsidRDefault="000501D4">
      <w:pPr>
        <w:widowControl w:val="0"/>
        <w:numPr>
          <w:ilvl w:val="0"/>
          <w:numId w:val="2"/>
        </w:numPr>
        <w:pBdr>
          <w:top w:val="nil"/>
          <w:left w:val="nil"/>
          <w:bottom w:val="nil"/>
          <w:right w:val="nil"/>
          <w:between w:val="nil"/>
        </w:pBdr>
        <w:spacing w:before="240" w:line="360" w:lineRule="auto"/>
        <w:jc w:val="both"/>
        <w:rPr>
          <w:rFonts w:ascii="Palatino Linotype" w:eastAsia="Palatino Linotype" w:hAnsi="Palatino Linotype" w:cs="Palatino Linotype"/>
          <w:b/>
          <w:bCs/>
          <w:sz w:val="22"/>
          <w:szCs w:val="22"/>
        </w:rPr>
      </w:pPr>
      <w:hyperlink r:id="rId8">
        <w:r w:rsidR="004A69F1" w:rsidRPr="0063563C">
          <w:rPr>
            <w:rFonts w:ascii="Palatino Linotype" w:eastAsia="Palatino Linotype" w:hAnsi="Palatino Linotype" w:cs="Palatino Linotype"/>
            <w:b/>
            <w:bCs/>
            <w:sz w:val="22"/>
            <w:szCs w:val="22"/>
          </w:rPr>
          <w:t>00131.pdf</w:t>
        </w:r>
      </w:hyperlink>
    </w:p>
    <w:p w14:paraId="6F0A4F5B" w14:textId="77777777" w:rsidR="00C00D37" w:rsidRPr="0063563C" w:rsidRDefault="004A69F1">
      <w:pPr>
        <w:widowControl w:val="0"/>
        <w:pBdr>
          <w:top w:val="nil"/>
          <w:left w:val="nil"/>
          <w:bottom w:val="nil"/>
          <w:right w:val="nil"/>
          <w:between w:val="nil"/>
        </w:pBdr>
        <w:spacing w:after="240" w:line="360" w:lineRule="auto"/>
        <w:ind w:left="1080"/>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Contiene oficio número PMT/CRH/0313/2026, suscrito por Jorge Valente Montes Ancheyta, Coordinador de Recursos Humanos del Ayuntamiento de Tianguistenco, mediante el cual informó que, previa búsqueda en sus archivos, localizó diversa documentación del expediente laboral de Hugo Pillado Correa, Encargado de Despacho de la Dirección de Administración, y precisó que esa Coordinación no cuenta con recibos de nómina; anexó Kárdex Laboral, ficha curricular, nombramientos como Subdirector de Administración y como Encargado de Despacho de la Dirección de Administración, así como título profesional. Asimismo, contiene oficio número PMT/TM/0422/2026, de fecha cuatro de junio de dos mil veintiséis, suscrito por José Ricardo Mondragón Tapia, Tesorero Municipal, quien señaló que los recibos de nómina son competencia de esa Tesorería, pero negó su entrega al considerar que contienen datos personales.</w:t>
      </w:r>
    </w:p>
    <w:p w14:paraId="79934EEA"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sz w:val="22"/>
          <w:szCs w:val="22"/>
        </w:rPr>
        <w:t xml:space="preserve">3. Del Recurso de Revisión. </w:t>
      </w:r>
      <w:r w:rsidRPr="0063563C">
        <w:rPr>
          <w:rFonts w:ascii="Palatino Linotype" w:eastAsia="Palatino Linotype" w:hAnsi="Palatino Linotype" w:cs="Palatino Linotype"/>
          <w:sz w:val="22"/>
          <w:szCs w:val="22"/>
        </w:rPr>
        <w:t>Inconforme con la respuesta del</w:t>
      </w:r>
      <w:r w:rsidRPr="0063563C">
        <w:rPr>
          <w:rFonts w:ascii="Palatino Linotype" w:eastAsia="Palatino Linotype" w:hAnsi="Palatino Linotype" w:cs="Palatino Linotype"/>
          <w:b/>
          <w:bCs/>
          <w:sz w:val="22"/>
          <w:szCs w:val="22"/>
        </w:rPr>
        <w:t xml:space="preserve"> SUJETO OBLIGADO, </w:t>
      </w:r>
      <w:r w:rsidRPr="0063563C">
        <w:rPr>
          <w:rFonts w:ascii="Palatino Linotype" w:eastAsia="Palatino Linotype" w:hAnsi="Palatino Linotype" w:cs="Palatino Linotype"/>
          <w:sz w:val="22"/>
          <w:szCs w:val="22"/>
        </w:rPr>
        <w:t xml:space="preserve">el </w:t>
      </w:r>
      <w:r w:rsidRPr="0063563C">
        <w:rPr>
          <w:rFonts w:ascii="Palatino Linotype" w:eastAsia="Palatino Linotype" w:hAnsi="Palatino Linotype" w:cs="Palatino Linotype"/>
          <w:b/>
          <w:bCs/>
          <w:sz w:val="22"/>
          <w:szCs w:val="22"/>
        </w:rPr>
        <w:t xml:space="preserve">veinticinco de junio de dos mil veintiséis, LA PARTE RECURRENTE </w:t>
      </w:r>
      <w:r w:rsidRPr="0063563C">
        <w:rPr>
          <w:rFonts w:ascii="Palatino Linotype" w:eastAsia="Palatino Linotype" w:hAnsi="Palatino Linotype" w:cs="Palatino Linotype"/>
          <w:sz w:val="22"/>
          <w:szCs w:val="22"/>
        </w:rPr>
        <w:t xml:space="preserve">interpuso el recurso de revisión, mediante el cual y manifestó lo siguiente: </w:t>
      </w:r>
    </w:p>
    <w:p w14:paraId="234766C3" w14:textId="77777777" w:rsidR="00C00D37" w:rsidRPr="0063563C" w:rsidRDefault="004A69F1">
      <w:pPr>
        <w:numPr>
          <w:ilvl w:val="0"/>
          <w:numId w:val="1"/>
        </w:numPr>
        <w:pBdr>
          <w:top w:val="nil"/>
          <w:left w:val="nil"/>
          <w:bottom w:val="nil"/>
          <w:right w:val="nil"/>
          <w:between w:val="nil"/>
        </w:pBdr>
        <w:spacing w:before="240" w:line="360" w:lineRule="auto"/>
      </w:pPr>
      <w:r w:rsidRPr="0063563C">
        <w:rPr>
          <w:rFonts w:ascii="Palatino Linotype" w:eastAsia="Palatino Linotype" w:hAnsi="Palatino Linotype" w:cs="Palatino Linotype"/>
          <w:b/>
          <w:bCs/>
          <w:sz w:val="22"/>
          <w:szCs w:val="22"/>
        </w:rPr>
        <w:t>Acto Impugnado:</w:t>
      </w:r>
    </w:p>
    <w:p w14:paraId="053E1525" w14:textId="77777777" w:rsidR="00C00D37" w:rsidRPr="0063563C" w:rsidRDefault="00C00D37">
      <w:pPr>
        <w:pBdr>
          <w:top w:val="nil"/>
          <w:left w:val="nil"/>
          <w:bottom w:val="nil"/>
          <w:right w:val="nil"/>
          <w:between w:val="nil"/>
        </w:pBdr>
        <w:spacing w:line="360" w:lineRule="auto"/>
        <w:ind w:left="720" w:hanging="360"/>
        <w:rPr>
          <w:rFonts w:ascii="Palatino Linotype" w:eastAsia="Palatino Linotype" w:hAnsi="Palatino Linotype" w:cs="Palatino Linotype"/>
          <w:b/>
          <w:bCs/>
          <w:sz w:val="22"/>
          <w:szCs w:val="22"/>
        </w:rPr>
      </w:pPr>
    </w:p>
    <w:p w14:paraId="39BDD8CD" w14:textId="77777777" w:rsidR="00C00D37" w:rsidRPr="0063563C" w:rsidRDefault="004A69F1">
      <w:pPr>
        <w:pBdr>
          <w:top w:val="nil"/>
          <w:left w:val="nil"/>
          <w:bottom w:val="nil"/>
          <w:right w:val="nil"/>
          <w:between w:val="nil"/>
        </w:pBdr>
        <w:spacing w:line="360" w:lineRule="auto"/>
        <w:ind w:left="720" w:hanging="360"/>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 “</w:t>
      </w:r>
      <w:r w:rsidRPr="0063563C">
        <w:rPr>
          <w:rFonts w:ascii="Palatino Linotype" w:eastAsia="Palatino Linotype" w:hAnsi="Palatino Linotype" w:cs="Palatino Linotype"/>
          <w:i/>
          <w:iCs/>
          <w:sz w:val="22"/>
          <w:szCs w:val="22"/>
        </w:rPr>
        <w:t>LA NEGATIVA DE LA INFORMACIÓN COMPLETA QUE SE SOLICITÓ. PIDO QUE SE SANCIONE LA INCOMPETENCIA DEL TESORERO Y SU FALTA DE CONOCIMIENTO DE LA LEY</w:t>
      </w:r>
      <w:r w:rsidRPr="0063563C">
        <w:rPr>
          <w:rFonts w:ascii="Palatino Linotype" w:eastAsia="Palatino Linotype" w:hAnsi="Palatino Linotype" w:cs="Palatino Linotype"/>
          <w:sz w:val="22"/>
          <w:szCs w:val="22"/>
        </w:rPr>
        <w:t>” (Sic.)</w:t>
      </w:r>
    </w:p>
    <w:p w14:paraId="4332F854" w14:textId="77777777" w:rsidR="00C00D37" w:rsidRPr="0063563C" w:rsidRDefault="00C00D37">
      <w:pPr>
        <w:pBdr>
          <w:top w:val="nil"/>
          <w:left w:val="nil"/>
          <w:bottom w:val="nil"/>
          <w:right w:val="nil"/>
          <w:between w:val="nil"/>
        </w:pBdr>
        <w:spacing w:line="360" w:lineRule="auto"/>
        <w:ind w:left="720" w:hanging="360"/>
        <w:rPr>
          <w:rFonts w:ascii="Palatino Linotype" w:eastAsia="Palatino Linotype" w:hAnsi="Palatino Linotype" w:cs="Palatino Linotype"/>
          <w:sz w:val="22"/>
          <w:szCs w:val="22"/>
        </w:rPr>
      </w:pPr>
    </w:p>
    <w:p w14:paraId="156D8FC7" w14:textId="77777777" w:rsidR="00C00D37" w:rsidRPr="0063563C" w:rsidRDefault="004A69F1">
      <w:pPr>
        <w:numPr>
          <w:ilvl w:val="0"/>
          <w:numId w:val="1"/>
        </w:numPr>
        <w:pBdr>
          <w:top w:val="nil"/>
          <w:left w:val="nil"/>
          <w:bottom w:val="nil"/>
          <w:right w:val="nil"/>
          <w:between w:val="nil"/>
        </w:pBdr>
        <w:spacing w:line="360" w:lineRule="auto"/>
      </w:pPr>
      <w:r w:rsidRPr="0063563C">
        <w:rPr>
          <w:rFonts w:ascii="Palatino Linotype" w:eastAsia="Palatino Linotype" w:hAnsi="Palatino Linotype" w:cs="Palatino Linotype"/>
          <w:b/>
          <w:bCs/>
          <w:sz w:val="22"/>
          <w:szCs w:val="22"/>
        </w:rPr>
        <w:t>Motivo de inconformidad:</w:t>
      </w:r>
      <w:r w:rsidRPr="0063563C">
        <w:rPr>
          <w:rFonts w:ascii="Palatino Linotype" w:eastAsia="Palatino Linotype" w:hAnsi="Palatino Linotype" w:cs="Palatino Linotype"/>
          <w:sz w:val="22"/>
          <w:szCs w:val="22"/>
        </w:rPr>
        <w:t xml:space="preserve"> </w:t>
      </w:r>
    </w:p>
    <w:p w14:paraId="27316FEE" w14:textId="77777777" w:rsidR="00C00D37" w:rsidRPr="0063563C" w:rsidRDefault="00C00D37">
      <w:pPr>
        <w:pBdr>
          <w:top w:val="nil"/>
          <w:left w:val="nil"/>
          <w:bottom w:val="nil"/>
          <w:right w:val="nil"/>
          <w:between w:val="nil"/>
        </w:pBdr>
        <w:spacing w:line="360" w:lineRule="auto"/>
        <w:ind w:left="720" w:hanging="360"/>
        <w:jc w:val="both"/>
        <w:rPr>
          <w:rFonts w:ascii="Palatino Linotype" w:eastAsia="Palatino Linotype" w:hAnsi="Palatino Linotype" w:cs="Palatino Linotype"/>
          <w:sz w:val="22"/>
          <w:szCs w:val="22"/>
        </w:rPr>
      </w:pPr>
    </w:p>
    <w:p w14:paraId="2E9FBE80" w14:textId="77777777" w:rsidR="00C00D37" w:rsidRPr="0063563C" w:rsidRDefault="004A69F1">
      <w:pPr>
        <w:pBdr>
          <w:top w:val="nil"/>
          <w:left w:val="nil"/>
          <w:bottom w:val="nil"/>
          <w:right w:val="nil"/>
          <w:between w:val="nil"/>
        </w:pBdr>
        <w:spacing w:after="240" w:line="360" w:lineRule="auto"/>
        <w:ind w:left="720" w:hanging="360"/>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w:t>
      </w:r>
      <w:r w:rsidRPr="0063563C">
        <w:rPr>
          <w:rFonts w:ascii="Palatino Linotype" w:eastAsia="Palatino Linotype" w:hAnsi="Palatino Linotype" w:cs="Palatino Linotype"/>
          <w:i/>
          <w:iCs/>
          <w:sz w:val="22"/>
          <w:szCs w:val="22"/>
        </w:rPr>
        <w:t xml:space="preserve">LA NEGATIVA DE LA INFORMACIÓN COMPLETA QUE SE SOLICITÓ. PIDO QUE SE SANCIONE LA INCOMPETENCIA DEL TESORERO Y SU FALTA DE CONOCIMIENTO DE LA LEY </w:t>
      </w:r>
      <w:r w:rsidRPr="0063563C">
        <w:rPr>
          <w:rFonts w:ascii="Palatino Linotype" w:eastAsia="Palatino Linotype" w:hAnsi="Palatino Linotype" w:cs="Palatino Linotype"/>
          <w:sz w:val="22"/>
          <w:szCs w:val="22"/>
        </w:rPr>
        <w:t>(Sic.)</w:t>
      </w:r>
    </w:p>
    <w:p w14:paraId="415C0174" w14:textId="77777777" w:rsidR="00C00D37" w:rsidRPr="0063563C" w:rsidRDefault="00C00D37">
      <w:pPr>
        <w:spacing w:before="240" w:after="240" w:line="360" w:lineRule="auto"/>
        <w:rPr>
          <w:rFonts w:ascii="Palatino Linotype" w:eastAsia="Palatino Linotype" w:hAnsi="Palatino Linotype" w:cs="Palatino Linotype"/>
          <w:i/>
          <w:iCs/>
          <w:sz w:val="22"/>
          <w:szCs w:val="22"/>
        </w:rPr>
      </w:pPr>
    </w:p>
    <w:p w14:paraId="01B08787"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sz w:val="22"/>
          <w:szCs w:val="22"/>
        </w:rPr>
        <w:t xml:space="preserve">4. Turno. </w:t>
      </w:r>
      <w:r w:rsidRPr="0063563C">
        <w:rPr>
          <w:rFonts w:ascii="Palatino Linotype" w:eastAsia="Palatino Linotype" w:hAnsi="Palatino Linotype" w:cs="Palatino Linotype"/>
          <w:sz w:val="22"/>
          <w:szCs w:val="22"/>
        </w:rPr>
        <w:t xml:space="preserve">De conformidad con el artículo 185, fracción I de la Ley de Transparencia y Acceso a la Información Pública del Estado de México y Municipios, el recurso de revisión número </w:t>
      </w:r>
      <w:r w:rsidRPr="0063563C">
        <w:rPr>
          <w:rFonts w:ascii="Palatino Linotype" w:eastAsia="Palatino Linotype" w:hAnsi="Palatino Linotype" w:cs="Palatino Linotype"/>
          <w:b/>
          <w:bCs/>
          <w:sz w:val="22"/>
          <w:szCs w:val="22"/>
        </w:rPr>
        <w:t>06734/INFOEM/IP/RR/2026</w:t>
      </w:r>
      <w:r w:rsidRPr="0063563C">
        <w:rPr>
          <w:rFonts w:ascii="Palatino Linotype" w:eastAsia="Palatino Linotype" w:hAnsi="Palatino Linotype" w:cs="Palatino Linotype"/>
          <w:sz w:val="22"/>
          <w:szCs w:val="22"/>
        </w:rPr>
        <w:t xml:space="preserve">, se turnó por el sistema electrónico del Instituto de Transparencia, Acceso a la Información Pública y Protección de Datos Personales del Estado de México y Municipios, a la Comisionada </w:t>
      </w:r>
      <w:r w:rsidRPr="0063563C">
        <w:rPr>
          <w:rFonts w:ascii="Palatino Linotype" w:eastAsia="Palatino Linotype" w:hAnsi="Palatino Linotype" w:cs="Palatino Linotype"/>
          <w:b/>
          <w:bCs/>
          <w:sz w:val="22"/>
          <w:szCs w:val="22"/>
        </w:rPr>
        <w:t>Guadalupe Ramírez Peña</w:t>
      </w:r>
      <w:r w:rsidRPr="0063563C">
        <w:rPr>
          <w:rFonts w:ascii="Palatino Linotype" w:eastAsia="Palatino Linotype" w:hAnsi="Palatino Linotype" w:cs="Palatino Linotype"/>
          <w:sz w:val="22"/>
          <w:szCs w:val="22"/>
        </w:rPr>
        <w:t>, para su análisis, estudio, elaboración del proyecto y presentación ante el Pleno de este Instituto.</w:t>
      </w:r>
    </w:p>
    <w:p w14:paraId="6C4BE4FC" w14:textId="77777777" w:rsidR="00C00D37" w:rsidRPr="0063563C" w:rsidRDefault="004A69F1">
      <w:pPr>
        <w:spacing w:before="240" w:after="240" w:line="360" w:lineRule="auto"/>
        <w:jc w:val="both"/>
        <w:rPr>
          <w:rFonts w:ascii="Palatino Linotype" w:eastAsia="Palatino Linotype" w:hAnsi="Palatino Linotype" w:cs="Palatino Linotype"/>
          <w:b/>
          <w:bCs/>
          <w:sz w:val="22"/>
          <w:szCs w:val="22"/>
        </w:rPr>
      </w:pPr>
      <w:r w:rsidRPr="0063563C">
        <w:rPr>
          <w:rFonts w:ascii="Palatino Linotype" w:eastAsia="Palatino Linotype" w:hAnsi="Palatino Linotype" w:cs="Palatino Linotype"/>
          <w:b/>
          <w:bCs/>
          <w:sz w:val="22"/>
          <w:szCs w:val="22"/>
        </w:rPr>
        <w:t xml:space="preserve">5. Admisión. </w:t>
      </w:r>
      <w:r w:rsidRPr="0063563C">
        <w:rPr>
          <w:rFonts w:ascii="Palatino Linotype" w:eastAsia="Palatino Linotype" w:hAnsi="Palatino Linotype" w:cs="Palatino Linotype"/>
          <w:sz w:val="22"/>
          <w:szCs w:val="22"/>
        </w:rPr>
        <w:t xml:space="preserve">El </w:t>
      </w:r>
      <w:r w:rsidRPr="0063563C">
        <w:rPr>
          <w:rFonts w:ascii="Palatino Linotype" w:eastAsia="Palatino Linotype" w:hAnsi="Palatino Linotype" w:cs="Palatino Linotype"/>
          <w:b/>
          <w:bCs/>
          <w:sz w:val="22"/>
          <w:szCs w:val="22"/>
        </w:rPr>
        <w:t>veintiséis de junio de dos mil veintiséis</w:t>
      </w:r>
      <w:r w:rsidRPr="0063563C">
        <w:rPr>
          <w:rFonts w:ascii="Palatino Linotype" w:eastAsia="Palatino Linotype" w:hAnsi="Palatino Linotype" w:cs="Palatino Linotype"/>
          <w:sz w:val="22"/>
          <w:szCs w:val="22"/>
        </w:rPr>
        <w:t>, en términos de lo dispuesto en el artículo 185 fracciones I, II y IV de la Ley de Transparencia y Acceso a la Información Pública del Estado de México y Municipios, se admitió a trámite el recurso de revisión</w:t>
      </w:r>
      <w:r w:rsidRPr="0063563C">
        <w:rPr>
          <w:rFonts w:ascii="Palatino Linotype" w:eastAsia="Palatino Linotype" w:hAnsi="Palatino Linotype" w:cs="Palatino Linotype"/>
          <w:b/>
          <w:bCs/>
          <w:sz w:val="22"/>
          <w:szCs w:val="22"/>
        </w:rPr>
        <w:t xml:space="preserve">. </w:t>
      </w:r>
    </w:p>
    <w:p w14:paraId="369C986D"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sz w:val="22"/>
          <w:szCs w:val="22"/>
        </w:rPr>
        <w:t>6. Manifestaciones.</w:t>
      </w:r>
      <w:r w:rsidRPr="0063563C">
        <w:rPr>
          <w:rFonts w:ascii="Palatino Linotype" w:eastAsia="Palatino Linotype" w:hAnsi="Palatino Linotype" w:cs="Palatino Linotype"/>
          <w:sz w:val="22"/>
          <w:szCs w:val="22"/>
        </w:rPr>
        <w:t xml:space="preserve"> De las constancias que obran en el expediente electrónico del SAIMEX, se advierte que ni el Sujeto Obligado ni la parte Recurrente formularon las manifestaciones que conforme a derecho les asiste.</w:t>
      </w:r>
    </w:p>
    <w:p w14:paraId="30906856" w14:textId="77777777" w:rsidR="00C00D37" w:rsidRPr="0063563C" w:rsidRDefault="00C00D37">
      <w:pPr>
        <w:spacing w:before="240" w:after="240" w:line="360" w:lineRule="auto"/>
        <w:ind w:left="709"/>
        <w:jc w:val="both"/>
        <w:rPr>
          <w:rFonts w:ascii="Palatino Linotype" w:eastAsia="Palatino Linotype" w:hAnsi="Palatino Linotype" w:cs="Palatino Linotype"/>
          <w:sz w:val="22"/>
          <w:szCs w:val="22"/>
        </w:rPr>
      </w:pPr>
    </w:p>
    <w:p w14:paraId="2EFF83CF"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sz w:val="22"/>
          <w:szCs w:val="22"/>
        </w:rPr>
        <w:t>7. Ampliación de plazo. El diez de septiembre de dos mil veintiséis</w:t>
      </w:r>
      <w:r w:rsidRPr="0063563C">
        <w:rPr>
          <w:rFonts w:ascii="Palatino Linotype" w:eastAsia="Palatino Linotype" w:hAnsi="Palatino Linotype" w:cs="Palatino Linotype"/>
          <w:sz w:val="22"/>
          <w:szCs w:val="22"/>
        </w:rPr>
        <w:t>, se amplió el término para resolver el recurso de revisión en términos del artículo 181 párrafo tercero de la Ley de Transparencia y Acceso a la Información Pública del Estado de México y Municipios.</w:t>
      </w:r>
    </w:p>
    <w:p w14:paraId="1B706A80"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Este organismo garante no pasa por alto justificar, que el plazo para emitir la resolución en el presente asunto encuentra justificación en el alto número de recursos de revisión recibidos, circunstancia atípica que ha rebasado las capacidades técnicas y humanas del personal encargado de la proyección de las resoluciones a dichos medios de impugnación.</w:t>
      </w:r>
    </w:p>
    <w:p w14:paraId="42B28339"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Por ello, es menester precisar que, si bien se ha excedido el plazo para resolver el presente medio de impugnación, de conformidad con la ley de la materia, el plazo para emitir la resolución se encuentra justificada en los elementos para medir la razonabilidad de asuntos conforme a los parámetros establecidos por diversos órganos jurisdiccionales federales, aplicables también en procedimientos análogos, como el que nos ocupa.</w:t>
      </w:r>
    </w:p>
    <w:p w14:paraId="5560E990"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Así, en términos de lo que establecen los artículos 8.1 y 25 de la Convención Americana sobre Derechos Humanos, los recursos deben ser sencillos y resolverse en el menor tiempo posible, tomando en consideración la dilación total del procedimiento; esto es, en un plazo razonable.</w:t>
      </w:r>
    </w:p>
    <w:p w14:paraId="01ED1A93"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En ese sentido, el legislador fijó los términos procesales en las leyes, de manera general, sin que pudiera prever la variada gama de casos que son resueltos por los órganos jurisdiccionales o cuasi jurisdiccionales, tanto por la complejidad de los hechos, como por el número de casos que conocen. </w:t>
      </w:r>
    </w:p>
    <w:p w14:paraId="0021240A"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Por ello, excepcionalmente, si un asunto es resuelto con posterioridad a los plazos señalados por la norma debe analizarse la razonabilidad del tiempo necesario para su resolución atentos a los siguientes criterios: </w:t>
      </w:r>
    </w:p>
    <w:p w14:paraId="127054AD" w14:textId="77777777" w:rsidR="00C00D37" w:rsidRPr="0063563C" w:rsidRDefault="004A69F1">
      <w:pPr>
        <w:numPr>
          <w:ilvl w:val="0"/>
          <w:numId w:val="6"/>
        </w:numPr>
        <w:tabs>
          <w:tab w:val="left" w:pos="993"/>
        </w:tabs>
        <w:spacing w:before="240" w:after="240" w:line="360" w:lineRule="auto"/>
        <w:ind w:left="567" w:right="900" w:firstLine="0"/>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sz w:val="22"/>
          <w:szCs w:val="22"/>
        </w:rPr>
        <w:t>Complejidad del Asunto:</w:t>
      </w:r>
      <w:r w:rsidRPr="0063563C">
        <w:rPr>
          <w:rFonts w:ascii="Palatino Linotype" w:eastAsia="Palatino Linotype" w:hAnsi="Palatino Linotype" w:cs="Palatino Linotype"/>
          <w:sz w:val="22"/>
          <w:szCs w:val="22"/>
        </w:rPr>
        <w:t xml:space="preserve"> La complejidad de la prueba, la pluralidad de sujetos procesales, el tiempo transcurrido, las características y contexto del recurso. </w:t>
      </w:r>
    </w:p>
    <w:p w14:paraId="7A6D2E6E" w14:textId="77777777" w:rsidR="00C00D37" w:rsidRPr="0063563C" w:rsidRDefault="004A69F1">
      <w:pPr>
        <w:numPr>
          <w:ilvl w:val="0"/>
          <w:numId w:val="6"/>
        </w:numPr>
        <w:tabs>
          <w:tab w:val="left" w:pos="993"/>
        </w:tabs>
        <w:spacing w:before="240" w:after="240" w:line="360" w:lineRule="auto"/>
        <w:ind w:left="567" w:right="900" w:firstLine="0"/>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sz w:val="22"/>
          <w:szCs w:val="22"/>
        </w:rPr>
        <w:t>Actividad Procesal del interesado</w:t>
      </w:r>
      <w:r w:rsidRPr="0063563C">
        <w:rPr>
          <w:rFonts w:ascii="Palatino Linotype" w:eastAsia="Palatino Linotype" w:hAnsi="Palatino Linotype" w:cs="Palatino Linotype"/>
          <w:sz w:val="22"/>
          <w:szCs w:val="22"/>
        </w:rPr>
        <w:t>. Acciones u omisiones del interesado.</w:t>
      </w:r>
    </w:p>
    <w:p w14:paraId="499B2DBE" w14:textId="77777777" w:rsidR="00C00D37" w:rsidRPr="0063563C" w:rsidRDefault="004A69F1">
      <w:pPr>
        <w:numPr>
          <w:ilvl w:val="0"/>
          <w:numId w:val="6"/>
        </w:numPr>
        <w:tabs>
          <w:tab w:val="left" w:pos="993"/>
        </w:tabs>
        <w:spacing w:before="240" w:after="240" w:line="360" w:lineRule="auto"/>
        <w:ind w:left="567" w:right="900" w:firstLine="0"/>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sz w:val="22"/>
          <w:szCs w:val="22"/>
        </w:rPr>
        <w:t>Conducta de la Autoridad:</w:t>
      </w:r>
      <w:r w:rsidRPr="0063563C">
        <w:rPr>
          <w:rFonts w:ascii="Palatino Linotype" w:eastAsia="Palatino Linotype" w:hAnsi="Palatino Linotype" w:cs="Palatino Linotype"/>
          <w:sz w:val="22"/>
          <w:szCs w:val="22"/>
        </w:rPr>
        <w:t xml:space="preserve"> Las Acciones u omisiones realizadas en el procedimiento. Así como si la autoridad actuó con la debida diligencia.</w:t>
      </w:r>
    </w:p>
    <w:p w14:paraId="6136AE8F" w14:textId="77777777" w:rsidR="00C00D37" w:rsidRPr="0063563C" w:rsidRDefault="004A69F1">
      <w:pPr>
        <w:numPr>
          <w:ilvl w:val="0"/>
          <w:numId w:val="6"/>
        </w:numPr>
        <w:tabs>
          <w:tab w:val="left" w:pos="993"/>
        </w:tabs>
        <w:spacing w:before="240" w:after="240" w:line="360" w:lineRule="auto"/>
        <w:ind w:left="567" w:right="900" w:firstLine="0"/>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sz w:val="22"/>
          <w:szCs w:val="22"/>
        </w:rPr>
        <w:t>La afectación generada en la situación jurídica de la persona involucrada en el proceso:</w:t>
      </w:r>
      <w:r w:rsidRPr="0063563C">
        <w:rPr>
          <w:rFonts w:ascii="Palatino Linotype" w:eastAsia="Palatino Linotype" w:hAnsi="Palatino Linotype" w:cs="Palatino Linotype"/>
          <w:sz w:val="22"/>
          <w:szCs w:val="22"/>
        </w:rPr>
        <w:t xml:space="preserve"> Violación a sus derechos humanos.</w:t>
      </w:r>
    </w:p>
    <w:p w14:paraId="09D38A4E"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De modo que, cuando se trate de un asunto excepcional, por alguna o todas las características mencionadas; o bien, cuando el ingreso de asuntos al órgano jurisdiccional o cuasi jurisdiccional respectivo supere notoriamente al que podría considerarse normal, debe concluirse que es una excluyente de responsabilidad en relación con la actuación del funcionario, como ha acontecido en el caso que nos ocupa.</w:t>
      </w:r>
    </w:p>
    <w:p w14:paraId="136D8A76"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Argumento que encuentra sustento en la jurisprudencia P./J. 32/92 emitida por el Pleno de la Suprema Corte de Justicia de la Nación de rubro </w:t>
      </w:r>
      <w:r w:rsidRPr="0063563C">
        <w:rPr>
          <w:rFonts w:ascii="Palatino Linotype" w:eastAsia="Palatino Linotype" w:hAnsi="Palatino Linotype" w:cs="Palatino Linotype"/>
          <w:i/>
          <w:iCs/>
          <w:sz w:val="22"/>
          <w:szCs w:val="22"/>
        </w:rPr>
        <w:t>“TÉRMINOS PROCESALES. PARA DETERMINAR SI UN FUNCIONARIO JUDICIAL ACTUÓ INDEBIDAMENTE POR NO RESPETARLOS SE DEBE ATENDER AL PRESUPUESTO QUE CONSIDERÓ EL LEGISLADOR AL FIJARLOS Y LAS CARACTERÍSTICAS DEL CASO.”</w:t>
      </w:r>
      <w:r w:rsidRPr="0063563C">
        <w:rPr>
          <w:rFonts w:ascii="Palatino Linotype" w:eastAsia="Palatino Linotype" w:hAnsi="Palatino Linotype" w:cs="Palatino Linotype"/>
          <w:sz w:val="22"/>
          <w:szCs w:val="22"/>
        </w:rPr>
        <w:t>, visible en la Gaceta del Seminario Judicial de la Federación con el registro digital 205635.</w:t>
      </w:r>
    </w:p>
    <w:p w14:paraId="6C658637"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Razones por las cuales cabe concluir que, la resolución al recurso de revisión se solventa hasta esta fecha, debido a que existe una excesiva carga de trabajo en desproporción a la capacidad de los recursos materiales y humanos con que cuenta este Instituto para atender la enorme demanda de usuarios que acuden para que se les garantice su Derecho de acceso a la información Pública y Protección de Datos Personales, aunado a la complejidad de los hechos a los que se refieren, así como al volumen del expediente, la extensión de los escritos y pruebas aportadas y desahogadas por las partes; lo que impide la tramitación de los recursos dentro de los términos legales previamente establecidos por la Ley, por tratarse de causas de fuerza mayor.</w:t>
      </w:r>
    </w:p>
    <w:p w14:paraId="0DDAD269"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Al respecto, también son de considerar los criterios sostenidos por el Cuarto Tribunal Colegiado en Materia Administrativa del Primer Circuito, cuyos rubros y datos de identificación son los siguientes:</w:t>
      </w:r>
    </w:p>
    <w:p w14:paraId="1EC6C550" w14:textId="77777777" w:rsidR="00C00D37" w:rsidRPr="0063563C" w:rsidRDefault="004A69F1">
      <w:pPr>
        <w:spacing w:before="240" w:after="240" w:line="360" w:lineRule="auto"/>
        <w:ind w:left="851" w:right="900"/>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 </w:t>
      </w:r>
      <w:r w:rsidRPr="0063563C">
        <w:rPr>
          <w:rFonts w:ascii="Palatino Linotype" w:eastAsia="Palatino Linotype" w:hAnsi="Palatino Linotype" w:cs="Palatino Linotype"/>
          <w:b/>
          <w:bCs/>
          <w:i/>
          <w:iCs/>
          <w:sz w:val="22"/>
          <w:szCs w:val="22"/>
        </w:rPr>
        <w:t>“PLAZO RAZONABLE PARA RESOLVER. DIMENSIÓN Y EFECTOS DE ESTE CONCEPTO CUANDO SE ADUCE EXCESIVA CARGA DE TRABAJO</w:t>
      </w:r>
      <w:r w:rsidRPr="0063563C">
        <w:rPr>
          <w:rFonts w:ascii="Palatino Linotype" w:eastAsia="Palatino Linotype" w:hAnsi="Palatino Linotype" w:cs="Palatino Linotype"/>
          <w:i/>
          <w:iCs/>
          <w:sz w:val="22"/>
          <w:szCs w:val="22"/>
        </w:rPr>
        <w:t>.”</w:t>
      </w:r>
      <w:r w:rsidRPr="0063563C">
        <w:rPr>
          <w:rFonts w:ascii="Palatino Linotype" w:eastAsia="Palatino Linotype" w:hAnsi="Palatino Linotype" w:cs="Palatino Linotype"/>
          <w:sz w:val="22"/>
          <w:szCs w:val="22"/>
        </w:rPr>
        <w:t xml:space="preserve"> consultable en el Seminario Judicial de la Federación y su gaceta, con el registro digital 2002351.</w:t>
      </w:r>
    </w:p>
    <w:p w14:paraId="4A8C4642" w14:textId="77777777" w:rsidR="00C00D37" w:rsidRPr="0063563C" w:rsidRDefault="004A69F1">
      <w:pPr>
        <w:spacing w:before="240" w:after="240" w:line="360" w:lineRule="auto"/>
        <w:ind w:left="851" w:right="900"/>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“PLAZO RAZONABLE PARA RESOLVER. CONCEPTO Y ELEMENTOS QUE LO INTEGRAN A LA LUZ DEL DERECHO INTERNACIONAL DE LOS DERECHOS HUMANOS.”</w:t>
      </w:r>
      <w:r w:rsidRPr="0063563C">
        <w:rPr>
          <w:rFonts w:ascii="Palatino Linotype" w:eastAsia="Palatino Linotype" w:hAnsi="Palatino Linotype" w:cs="Palatino Linotype"/>
          <w:sz w:val="22"/>
          <w:szCs w:val="22"/>
        </w:rPr>
        <w:t>, visible en el Seminario Judicial de la Federación y su gaceta, con el registro digital 2002350.</w:t>
      </w:r>
    </w:p>
    <w:p w14:paraId="027034A9" w14:textId="77777777" w:rsidR="00C00D37" w:rsidRPr="0063563C" w:rsidRDefault="004A69F1">
      <w:pPr>
        <w:pBdr>
          <w:top w:val="nil"/>
          <w:left w:val="nil"/>
          <w:bottom w:val="nil"/>
          <w:right w:val="nil"/>
          <w:between w:val="nil"/>
        </w:pBd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Por ello, este organismo garante comprometido con la tutela de los derechos humanos confiados, señala que este exceso del plazo legal para resolver el presente asunto, resulta de carácter excepcional.</w:t>
      </w:r>
    </w:p>
    <w:p w14:paraId="25A0F357" w14:textId="77777777" w:rsidR="00C00D37" w:rsidRPr="0063563C" w:rsidRDefault="004A69F1">
      <w:pPr>
        <w:pBdr>
          <w:top w:val="nil"/>
          <w:left w:val="nil"/>
          <w:bottom w:val="nil"/>
          <w:right w:val="nil"/>
          <w:between w:val="nil"/>
        </w:pBd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sz w:val="22"/>
          <w:szCs w:val="22"/>
        </w:rPr>
        <w:t>8. Cierre de instrucción</w:t>
      </w:r>
      <w:r w:rsidRPr="0063563C">
        <w:rPr>
          <w:rFonts w:ascii="Palatino Linotype" w:eastAsia="Palatino Linotype" w:hAnsi="Palatino Linotype" w:cs="Palatino Linotype"/>
          <w:sz w:val="22"/>
          <w:szCs w:val="22"/>
        </w:rPr>
        <w:t xml:space="preserve">. En fecha </w:t>
      </w:r>
      <w:r w:rsidRPr="0063563C">
        <w:rPr>
          <w:rFonts w:ascii="Palatino Linotype" w:eastAsia="Palatino Linotype" w:hAnsi="Palatino Linotype" w:cs="Palatino Linotype"/>
          <w:b/>
          <w:bCs/>
          <w:sz w:val="22"/>
          <w:szCs w:val="22"/>
        </w:rPr>
        <w:t>diez de septiembre de dos mil veintiséis</w:t>
      </w:r>
      <w:r w:rsidRPr="0063563C">
        <w:rPr>
          <w:rFonts w:ascii="Palatino Linotype" w:eastAsia="Palatino Linotype" w:hAnsi="Palatino Linotype" w:cs="Palatino Linotype"/>
          <w:sz w:val="22"/>
          <w:szCs w:val="22"/>
        </w:rPr>
        <w:t>, la Comisionada Ponente determinó el cierre de instrucción en términos de la fracción VI del artículo 185 de la Ley de Transparencia y Acceso a la Información Pública del Estado de México y Municipios.</w:t>
      </w:r>
    </w:p>
    <w:p w14:paraId="2AA41013" w14:textId="77777777" w:rsidR="00C00D37" w:rsidRPr="0063563C" w:rsidRDefault="004A69F1">
      <w:pPr>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Debido a que fue debidamente sustanciado </w:t>
      </w:r>
      <w:r w:rsidRPr="0063563C">
        <w:rPr>
          <w:rFonts w:ascii="Palatino Linotype" w:eastAsia="Palatino Linotype" w:hAnsi="Palatino Linotype" w:cs="Palatino Linotype"/>
          <w:sz w:val="22"/>
          <w:szCs w:val="22"/>
        </w:rPr>
        <w:tab/>
        <w:t xml:space="preserve">el expediente electrónico y no existe diligencia pendiente de desahogo, se emite la Resolución que conforme a Derecho proceda, de acuerdo con los siguientes: </w:t>
      </w:r>
    </w:p>
    <w:p w14:paraId="73096D9C" w14:textId="77777777" w:rsidR="00C00D37" w:rsidRPr="0063563C" w:rsidRDefault="004A69F1">
      <w:pPr>
        <w:spacing w:before="240" w:after="240" w:line="360" w:lineRule="auto"/>
        <w:ind w:left="720" w:right="49" w:hanging="720"/>
        <w:jc w:val="center"/>
        <w:rPr>
          <w:rFonts w:ascii="Palatino Linotype" w:eastAsia="Palatino Linotype" w:hAnsi="Palatino Linotype" w:cs="Palatino Linotype"/>
          <w:b/>
          <w:bCs/>
          <w:sz w:val="22"/>
          <w:szCs w:val="22"/>
        </w:rPr>
      </w:pPr>
      <w:r w:rsidRPr="0063563C">
        <w:rPr>
          <w:rFonts w:ascii="Palatino Linotype" w:eastAsia="Palatino Linotype" w:hAnsi="Palatino Linotype" w:cs="Palatino Linotype"/>
          <w:b/>
          <w:bCs/>
          <w:sz w:val="22"/>
          <w:szCs w:val="22"/>
        </w:rPr>
        <w:t>II.</w:t>
      </w:r>
      <w:r w:rsidRPr="0063563C">
        <w:rPr>
          <w:rFonts w:ascii="Palatino Linotype" w:eastAsia="Palatino Linotype" w:hAnsi="Palatino Linotype" w:cs="Palatino Linotype"/>
          <w:b/>
          <w:bCs/>
          <w:sz w:val="22"/>
          <w:szCs w:val="22"/>
        </w:rPr>
        <w:tab/>
        <w:t xml:space="preserve">C O N S I D E R A N D O: </w:t>
      </w:r>
    </w:p>
    <w:p w14:paraId="4BBEE92A"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sz w:val="22"/>
          <w:szCs w:val="22"/>
        </w:rPr>
        <w:t>Primero. Competencia.</w:t>
      </w:r>
      <w:r w:rsidRPr="0063563C">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5 párrafos cuadragésimo cuarto, cuadragésimo quinto, cuadragésimo sexto, fracciones IV y V de la Constitución Política del Estado Libre y Soberano de México; Transitorio Cuarto, párrafo segundo del Decreto número 198 de la “LXII” Legislatura del Estado de México; 2, fracción II; 29, 36 fracciones I y II; 176, 178, 181, 185, fracción I, 186 y 188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7603D4E2"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sz w:val="22"/>
          <w:szCs w:val="22"/>
        </w:rPr>
        <w:t xml:space="preserve">Segundo. Oportunidad y Procedibilidad del Recurso de Revisión. </w:t>
      </w:r>
      <w:r w:rsidRPr="0063563C">
        <w:rPr>
          <w:rFonts w:ascii="Palatino Linotype" w:eastAsia="Palatino Linotype" w:hAnsi="Palatino Linotype" w:cs="Palatino Linotype"/>
          <w:sz w:val="22"/>
          <w:szCs w:val="22"/>
        </w:rPr>
        <w:t>Previo al estudio del fondo del asunto, se procede a analizar los requisitos de oportunidad y procedibilidad que debe reunir el recurso de revisión interpuesto, previstos en los artículos 178 y 180 de la Ley de Transparencia y Acceso a la Información Pública del Estado de México y Municipios.</w:t>
      </w:r>
    </w:p>
    <w:p w14:paraId="0C0AE022"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Al respecto la Ley de Transparencia y Acceso a la Información Pública del Estado de México y Municipios, establece lo siguiente:</w:t>
      </w:r>
    </w:p>
    <w:p w14:paraId="18453FE9" w14:textId="77777777" w:rsidR="00C00D37" w:rsidRPr="0063563C" w:rsidRDefault="004A69F1">
      <w:pPr>
        <w:spacing w:before="240" w:after="240" w:line="360" w:lineRule="auto"/>
        <w:ind w:left="851" w:right="900"/>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b/>
          <w:bCs/>
          <w:i/>
          <w:iCs/>
          <w:sz w:val="22"/>
          <w:szCs w:val="22"/>
        </w:rPr>
        <w:t xml:space="preserve">“Artículo 178. </w:t>
      </w:r>
      <w:r w:rsidRPr="0063563C">
        <w:rPr>
          <w:rFonts w:ascii="Palatino Linotype" w:eastAsia="Palatino Linotype" w:hAnsi="Palatino Linotype" w:cs="Palatino Linotype"/>
          <w:i/>
          <w:iCs/>
          <w:sz w:val="22"/>
          <w:szCs w:val="22"/>
        </w:rPr>
        <w:t>El solicitante podrá interponer, por sí mismo o a través de su representante, de manera directa o por medios electrónicos, recurso de revisión ante el Instituto o ante la Unidad de Transparencia que haya conocido de la solicitud dentro de los quince días hábiles, siguientes a la fecha de la notificación de la respuesta.</w:t>
      </w:r>
    </w:p>
    <w:p w14:paraId="33B19307" w14:textId="77777777" w:rsidR="00C00D37" w:rsidRPr="0063563C" w:rsidRDefault="004A69F1">
      <w:pPr>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Del precepto legal transcrito, se desprende que cuando los solicitantes de información en el ejercicio del derecho de acceso a la información no se encuentren satisfechos con la información entregada por los sujetos obligados, podrán interponer recurso de revisión de manera directa o por medios electrónicos dentro de los quince días hábiles siguientes a la fecha de notificación de la respuesta, y, toda vez que el </w:t>
      </w:r>
      <w:r w:rsidRPr="0063563C">
        <w:rPr>
          <w:rFonts w:ascii="Palatino Linotype" w:eastAsia="Palatino Linotype" w:hAnsi="Palatino Linotype" w:cs="Palatino Linotype"/>
          <w:b/>
          <w:bCs/>
          <w:sz w:val="22"/>
          <w:szCs w:val="22"/>
        </w:rPr>
        <w:t>SUJETO OBLIGADO</w:t>
      </w:r>
      <w:r w:rsidRPr="0063563C">
        <w:rPr>
          <w:rFonts w:ascii="Palatino Linotype" w:eastAsia="Palatino Linotype" w:hAnsi="Palatino Linotype" w:cs="Palatino Linotype"/>
          <w:sz w:val="22"/>
          <w:szCs w:val="22"/>
        </w:rPr>
        <w:t xml:space="preserve"> remitió la respuesta a la solicitud de información el día </w:t>
      </w:r>
      <w:r w:rsidRPr="0063563C">
        <w:rPr>
          <w:rFonts w:ascii="Palatino Linotype" w:eastAsia="Palatino Linotype" w:hAnsi="Palatino Linotype" w:cs="Palatino Linotype"/>
          <w:b/>
          <w:bCs/>
          <w:sz w:val="22"/>
          <w:szCs w:val="22"/>
        </w:rPr>
        <w:t xml:space="preserve">diecisiete de junio, </w:t>
      </w:r>
      <w:r w:rsidRPr="0063563C">
        <w:rPr>
          <w:rFonts w:ascii="Palatino Linotype" w:eastAsia="Palatino Linotype" w:hAnsi="Palatino Linotype" w:cs="Palatino Linotype"/>
          <w:sz w:val="22"/>
          <w:szCs w:val="22"/>
        </w:rPr>
        <w:t xml:space="preserve">mientras que el recurso de revisión interpuesto por la parte </w:t>
      </w:r>
      <w:r w:rsidRPr="0063563C">
        <w:rPr>
          <w:rFonts w:ascii="Palatino Linotype" w:eastAsia="Palatino Linotype" w:hAnsi="Palatino Linotype" w:cs="Palatino Linotype"/>
          <w:b/>
          <w:bCs/>
          <w:sz w:val="22"/>
          <w:szCs w:val="22"/>
        </w:rPr>
        <w:t>RECURRENTE</w:t>
      </w:r>
      <w:r w:rsidRPr="0063563C">
        <w:rPr>
          <w:rFonts w:ascii="Palatino Linotype" w:eastAsia="Palatino Linotype" w:hAnsi="Palatino Linotype" w:cs="Palatino Linotype"/>
          <w:sz w:val="22"/>
          <w:szCs w:val="22"/>
        </w:rPr>
        <w:t xml:space="preserve">, se tuvo por presentado el veintiséis del mismo mes y año, esto es al sexto día hábil siguiente en el que tuvo conocimiento de la respuesta. </w:t>
      </w:r>
    </w:p>
    <w:p w14:paraId="3E625506" w14:textId="77777777" w:rsidR="00C00D37" w:rsidRPr="0063563C" w:rsidRDefault="004A69F1">
      <w:pPr>
        <w:spacing w:before="240" w:after="240" w:line="360" w:lineRule="auto"/>
        <w:ind w:right="49"/>
        <w:jc w:val="both"/>
        <w:rPr>
          <w:rFonts w:ascii="Palatino Linotype" w:eastAsia="Palatino Linotype" w:hAnsi="Palatino Linotype" w:cs="Palatino Linotype"/>
          <w:b/>
          <w:bCs/>
          <w:sz w:val="22"/>
          <w:szCs w:val="22"/>
        </w:rPr>
      </w:pPr>
      <w:r w:rsidRPr="0063563C">
        <w:rPr>
          <w:rFonts w:ascii="Palatino Linotype" w:eastAsia="Palatino Linotype" w:hAnsi="Palatino Linotype" w:cs="Palatino Linotype"/>
          <w:sz w:val="22"/>
          <w:szCs w:val="22"/>
        </w:rPr>
        <w:t xml:space="preserve">Así también, por cuanto hace a la procedibilidad del recurso de revisión, una vez realizado el análisis de los formatos de interposición del recurso, se concluye la acreditación plena de los elementos formales precisados por el artículo 180 de la Ley de Transparencia y Acceso a la Información Pública del Estado de México y Municipios, en atención a que fue presentado mediante el formato visible en el </w:t>
      </w:r>
      <w:r w:rsidRPr="0063563C">
        <w:rPr>
          <w:rFonts w:ascii="Palatino Linotype" w:eastAsia="Palatino Linotype" w:hAnsi="Palatino Linotype" w:cs="Palatino Linotype"/>
          <w:b/>
          <w:bCs/>
          <w:sz w:val="22"/>
          <w:szCs w:val="22"/>
        </w:rPr>
        <w:t>SAIMEX.</w:t>
      </w:r>
    </w:p>
    <w:p w14:paraId="5D64AD15"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Asimismo, resulta procedente la interposición del recurso de revisión al rubro anotado, toda vez que se actualiza las hipótesis previstas en el artículo 179, fracción V de la ley de la materia, que a la letra dice:</w:t>
      </w:r>
    </w:p>
    <w:p w14:paraId="7A50D9AA" w14:textId="77777777" w:rsidR="00C00D37" w:rsidRPr="0063563C" w:rsidRDefault="004A69F1">
      <w:pPr>
        <w:spacing w:before="240" w:after="240" w:line="360" w:lineRule="auto"/>
        <w:ind w:left="567" w:right="1041"/>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w:t>
      </w:r>
      <w:r w:rsidRPr="0063563C">
        <w:rPr>
          <w:rFonts w:ascii="Palatino Linotype" w:eastAsia="Palatino Linotype" w:hAnsi="Palatino Linotype" w:cs="Palatino Linotype"/>
          <w:b/>
          <w:bCs/>
          <w:i/>
          <w:iCs/>
          <w:sz w:val="22"/>
          <w:szCs w:val="22"/>
        </w:rPr>
        <w:t xml:space="preserve">Artículo 179. </w:t>
      </w:r>
      <w:r w:rsidRPr="0063563C">
        <w:rPr>
          <w:rFonts w:ascii="Palatino Linotype" w:eastAsia="Palatino Linotype" w:hAnsi="Palatino Linotype" w:cs="Palatino Linotype"/>
          <w:i/>
          <w:iCs/>
          <w:sz w:val="22"/>
          <w:szCs w:val="22"/>
        </w:rPr>
        <w:t>El recurso de revisión es un medio de protección que la Ley otorga a los particulares, para hacer valer su derecho de acceso a la información pública, y procederá en contra de las siguientes causas:</w:t>
      </w:r>
    </w:p>
    <w:p w14:paraId="0ABB4333" w14:textId="77777777" w:rsidR="00C00D37" w:rsidRPr="0063563C" w:rsidRDefault="004A69F1">
      <w:pPr>
        <w:spacing w:before="240" w:after="240" w:line="360" w:lineRule="auto"/>
        <w:ind w:left="567" w:right="1041"/>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w:t>
      </w:r>
    </w:p>
    <w:p w14:paraId="4D0DB97E" w14:textId="77777777" w:rsidR="00C00D37" w:rsidRPr="0063563C" w:rsidRDefault="004A69F1">
      <w:pPr>
        <w:widowControl w:val="0"/>
        <w:numPr>
          <w:ilvl w:val="0"/>
          <w:numId w:val="3"/>
        </w:numPr>
        <w:pBdr>
          <w:top w:val="nil"/>
          <w:left w:val="nil"/>
          <w:bottom w:val="nil"/>
          <w:right w:val="nil"/>
          <w:between w:val="nil"/>
        </w:pBdr>
        <w:tabs>
          <w:tab w:val="left" w:pos="335"/>
        </w:tabs>
        <w:spacing w:before="240" w:after="240" w:line="360" w:lineRule="auto"/>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La entrega de información incompleta;</w:t>
      </w:r>
    </w:p>
    <w:p w14:paraId="2291F8EE" w14:textId="77777777" w:rsidR="00C00D37" w:rsidRPr="0063563C" w:rsidRDefault="004A69F1">
      <w:pPr>
        <w:spacing w:before="240" w:after="240" w:line="360" w:lineRule="auto"/>
        <w:ind w:left="567" w:right="1041"/>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w:t>
      </w:r>
    </w:p>
    <w:p w14:paraId="55079A5A"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sz w:val="22"/>
          <w:szCs w:val="22"/>
        </w:rPr>
        <w:t xml:space="preserve">Tercero. Materia de la revisión. </w:t>
      </w:r>
      <w:r w:rsidRPr="0063563C">
        <w:rPr>
          <w:rFonts w:ascii="Palatino Linotype" w:eastAsia="Palatino Linotype" w:hAnsi="Palatino Linotype" w:cs="Palatino Linotype"/>
          <w:sz w:val="22"/>
          <w:szCs w:val="22"/>
        </w:rPr>
        <w:t xml:space="preserve">De la revisión a las constancias y documentos que obran en el expediente electrónico se advierte, que el tema sobre el que este Organismo Garante de Transparencia y Acceso a la Información se pronunciará será: </w:t>
      </w:r>
      <w:r w:rsidRPr="0063563C">
        <w:rPr>
          <w:rFonts w:ascii="Palatino Linotype" w:eastAsia="Palatino Linotype" w:hAnsi="Palatino Linotype" w:cs="Palatino Linotype"/>
          <w:b/>
          <w:bCs/>
          <w:sz w:val="22"/>
          <w:szCs w:val="22"/>
        </w:rPr>
        <w:t xml:space="preserve">verificar si la respuesta otorgada por el Sujeto Obligado es adecuada y suficiente para satisfacer el derecho de acceso a la información pública </w:t>
      </w:r>
      <w:r w:rsidRPr="0063563C">
        <w:rPr>
          <w:rFonts w:ascii="Palatino Linotype" w:eastAsia="Palatino Linotype" w:hAnsi="Palatino Linotype" w:cs="Palatino Linotype"/>
          <w:sz w:val="22"/>
          <w:szCs w:val="22"/>
        </w:rPr>
        <w:t xml:space="preserve">de </w:t>
      </w:r>
      <w:r w:rsidRPr="0063563C">
        <w:rPr>
          <w:rFonts w:ascii="Palatino Linotype" w:eastAsia="Palatino Linotype" w:hAnsi="Palatino Linotype" w:cs="Palatino Linotype"/>
          <w:b/>
          <w:bCs/>
          <w:sz w:val="22"/>
          <w:szCs w:val="22"/>
        </w:rPr>
        <w:t>la parte</w:t>
      </w:r>
      <w:r w:rsidRPr="0063563C">
        <w:rPr>
          <w:rFonts w:ascii="Palatino Linotype" w:eastAsia="Palatino Linotype" w:hAnsi="Palatino Linotype" w:cs="Palatino Linotype"/>
          <w:sz w:val="22"/>
          <w:szCs w:val="22"/>
        </w:rPr>
        <w:t xml:space="preserve"> </w:t>
      </w:r>
      <w:r w:rsidRPr="0063563C">
        <w:rPr>
          <w:rFonts w:ascii="Palatino Linotype" w:eastAsia="Palatino Linotype" w:hAnsi="Palatino Linotype" w:cs="Palatino Linotype"/>
          <w:b/>
          <w:bCs/>
          <w:sz w:val="22"/>
          <w:szCs w:val="22"/>
        </w:rPr>
        <w:t>Recurrente</w:t>
      </w:r>
      <w:r w:rsidRPr="0063563C">
        <w:rPr>
          <w:rFonts w:ascii="Palatino Linotype" w:eastAsia="Palatino Linotype" w:hAnsi="Palatino Linotype" w:cs="Palatino Linotype"/>
          <w:sz w:val="22"/>
          <w:szCs w:val="22"/>
        </w:rPr>
        <w:t>, o en su defecto, en caso de ser procedente, ordenar la entrega de información.</w:t>
      </w:r>
    </w:p>
    <w:p w14:paraId="1FB94B02"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bookmarkStart w:id="2" w:name="_heading=h.2et92p0" w:colFirst="0" w:colLast="0"/>
      <w:bookmarkEnd w:id="2"/>
      <w:r w:rsidRPr="0063563C">
        <w:rPr>
          <w:rFonts w:ascii="Palatino Linotype" w:eastAsia="Palatino Linotype" w:hAnsi="Palatino Linotype" w:cs="Palatino Linotype"/>
          <w:b/>
          <w:bCs/>
          <w:sz w:val="22"/>
          <w:szCs w:val="22"/>
        </w:rPr>
        <w:t xml:space="preserve">Cuarto. Estudio del asunto. </w:t>
      </w:r>
      <w:r w:rsidRPr="0063563C">
        <w:rPr>
          <w:rFonts w:ascii="Palatino Linotype" w:eastAsia="Palatino Linotype" w:hAnsi="Palatino Linotype" w:cs="Palatino Linotype"/>
          <w:sz w:val="22"/>
          <w:szCs w:val="22"/>
        </w:rPr>
        <w:t>En primer lugar, es conveniente mencionar que de conformidad con el artículo 4 de la Ley de Transparencia y Acceso a la Información Pública del Estado de México y Municipios toda la información generada, obtenida, adquirida, transformada, administrada o en posesión de los sujetos obligados es pública y accesible de manera permanente a cualquier persona, privilegiando el principio de máxima publicidad, como así lo establece dicha determinación, que a continuación se transcribe para un mejor entendimiento:</w:t>
      </w:r>
    </w:p>
    <w:p w14:paraId="227F5D2D" w14:textId="77777777" w:rsidR="00C00D37" w:rsidRPr="0063563C" w:rsidRDefault="004A69F1">
      <w:pPr>
        <w:spacing w:before="240" w:after="240" w:line="360" w:lineRule="auto"/>
        <w:ind w:left="851" w:right="902"/>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w:t>
      </w:r>
      <w:r w:rsidRPr="0063563C">
        <w:rPr>
          <w:rFonts w:ascii="Palatino Linotype" w:eastAsia="Palatino Linotype" w:hAnsi="Palatino Linotype" w:cs="Palatino Linotype"/>
          <w:b/>
          <w:bCs/>
          <w:i/>
          <w:iCs/>
          <w:sz w:val="22"/>
          <w:szCs w:val="22"/>
        </w:rPr>
        <w:t>Artículo 4</w:t>
      </w:r>
      <w:r w:rsidRPr="0063563C">
        <w:rPr>
          <w:rFonts w:ascii="Palatino Linotype" w:eastAsia="Palatino Linotype" w:hAnsi="Palatino Linotype" w:cs="Palatino Linotype"/>
          <w:i/>
          <w:iCs/>
          <w:sz w:val="22"/>
          <w:szCs w:val="22"/>
        </w:rPr>
        <w:t xml:space="preserve">. El derecho humano de acceso a la información pública es la prerrogativa de las personas para buscar, difundir, investigar, recabar, recibir y solicitar información pública, sin necesidad de acreditar personalidad ni interés jurídico. </w:t>
      </w:r>
    </w:p>
    <w:p w14:paraId="0B264BD6" w14:textId="77777777" w:rsidR="00C00D37" w:rsidRPr="0063563C" w:rsidRDefault="004A69F1">
      <w:pPr>
        <w:spacing w:before="240" w:after="240" w:line="360" w:lineRule="auto"/>
        <w:ind w:left="851" w:right="902"/>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b/>
          <w:bCs/>
          <w:i/>
          <w:iCs/>
          <w:sz w:val="22"/>
          <w:szCs w:val="22"/>
        </w:rPr>
        <w:t>Toda la información generada, obtenida, adquirida, transformada, administrada o en posesión de los sujetos obligados es pública y accesible de manera permanente a cualquier persona</w:t>
      </w:r>
      <w:r w:rsidRPr="0063563C">
        <w:rPr>
          <w:rFonts w:ascii="Palatino Linotype" w:eastAsia="Palatino Linotype" w:hAnsi="Palatino Linotype" w:cs="Palatino Linotype"/>
          <w:i/>
          <w:iCs/>
          <w:sz w:val="22"/>
          <w:szCs w:val="22"/>
        </w:rPr>
        <w:t>, en los términos y condiciones que se establezcan en los tratados internacionales de los que el Estado mexicano sea parte, en la Ley General, la presente Ley y demás disposiciones de la materia, privilegiando el principio de máxima publicidad de la información. Solo podrá ser clasificada excepcionalmente Ley de Transparencia y Acceso a la Información Pública del Estado de México y Municipios 29 como reservada temporalmente por razones de interés público, en los términos de las causas legítimas y estrictamente necesarias previstas por esta Ley.</w:t>
      </w:r>
    </w:p>
    <w:p w14:paraId="573804F7" w14:textId="77777777" w:rsidR="00C00D37" w:rsidRPr="0063563C" w:rsidRDefault="004A69F1">
      <w:pPr>
        <w:spacing w:before="240" w:after="240" w:line="360" w:lineRule="auto"/>
        <w:ind w:left="851" w:right="902"/>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b/>
          <w:bCs/>
          <w:i/>
          <w:iCs/>
          <w:sz w:val="22"/>
          <w:szCs w:val="22"/>
        </w:rPr>
        <w:t>Los sujetos obligados deben poner en práctica, políticas y programas de acceso a la información que se apeguen a criterios de publicidad, veracidad, oportunidad, precisión y suficiencia en beneficio de los solicitantes</w:t>
      </w:r>
      <w:r w:rsidRPr="0063563C">
        <w:rPr>
          <w:rFonts w:ascii="Palatino Linotype" w:eastAsia="Palatino Linotype" w:hAnsi="Palatino Linotype" w:cs="Palatino Linotype"/>
          <w:i/>
          <w:iCs/>
          <w:sz w:val="22"/>
          <w:szCs w:val="22"/>
        </w:rPr>
        <w:t>.”</w:t>
      </w:r>
    </w:p>
    <w:p w14:paraId="1B2368BA"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Esto es, que los Sujetos Obligados tiene la obligación o deber de atender las solicitudes de acceso a la información pública que se les hagan de su conocimiento y proporcionar la información pública que obren en su poder conforme el estado que se encuentra y no hacer un procesamiento de la misma, ni presentarla conforme al interés del solicitante; como así lo establece el artículo 12 de la Ley de Transparencia y Acceso a la Información Pública del Estado de México y Municipios, que a la letra dice:</w:t>
      </w:r>
    </w:p>
    <w:p w14:paraId="387557C0" w14:textId="77777777" w:rsidR="00C00D37" w:rsidRPr="0063563C" w:rsidRDefault="004A69F1">
      <w:pPr>
        <w:spacing w:before="240" w:after="240" w:line="360" w:lineRule="auto"/>
        <w:ind w:left="851" w:right="902"/>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b/>
          <w:bCs/>
          <w:i/>
          <w:iCs/>
          <w:sz w:val="22"/>
          <w:szCs w:val="22"/>
        </w:rPr>
        <w:t>“Artículo 12.-</w:t>
      </w:r>
      <w:r w:rsidRPr="0063563C">
        <w:rPr>
          <w:rFonts w:ascii="Palatino Linotype" w:eastAsia="Palatino Linotype" w:hAnsi="Palatino Linotype" w:cs="Palatino Linotype"/>
          <w:i/>
          <w:iCs/>
          <w:sz w:val="22"/>
          <w:szCs w:val="22"/>
        </w:rPr>
        <w:t xml:space="preserve"> Quienes generen, recopilen, administren, manejen, procesen, archiven o conserven información pública serán responsables de la misma en los términos de las disposiciones jurídicas aplicables. </w:t>
      </w:r>
    </w:p>
    <w:p w14:paraId="08B432BA" w14:textId="77777777" w:rsidR="00C00D37" w:rsidRPr="0063563C" w:rsidRDefault="004A69F1">
      <w:pPr>
        <w:spacing w:before="240" w:after="240" w:line="360" w:lineRule="auto"/>
        <w:ind w:left="851" w:right="902"/>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b/>
          <w:bCs/>
          <w:i/>
          <w:iCs/>
          <w:sz w:val="22"/>
          <w:szCs w:val="22"/>
        </w:rPr>
        <w:t>Los sujetos obligados sólo proporcionarán la información pública que se les requiera y que obre en sus archivos y en el estado en que ésta se encuentre</w:t>
      </w:r>
      <w:r w:rsidRPr="0063563C">
        <w:rPr>
          <w:rFonts w:ascii="Palatino Linotype" w:eastAsia="Palatino Linotype" w:hAnsi="Palatino Linotype" w:cs="Palatino Linotype"/>
          <w:i/>
          <w:iCs/>
          <w:sz w:val="22"/>
          <w:szCs w:val="22"/>
        </w:rPr>
        <w:t xml:space="preserve">. </w:t>
      </w:r>
      <w:r w:rsidRPr="0063563C">
        <w:rPr>
          <w:rFonts w:ascii="Palatino Linotype" w:eastAsia="Palatino Linotype" w:hAnsi="Palatino Linotype" w:cs="Palatino Linotype"/>
          <w:b/>
          <w:bCs/>
          <w:i/>
          <w:iCs/>
          <w:sz w:val="22"/>
          <w:szCs w:val="22"/>
        </w:rPr>
        <w:t xml:space="preserve">La obligación de proporcionar información no comprende el procesamiento de la misma, ni el presentarla conforme al interés del solicitante; no estarán obligados a generarla, resumirla, efectuar cálculos o practicar investigaciones.” </w:t>
      </w:r>
    </w:p>
    <w:p w14:paraId="040AB21C" w14:textId="77777777" w:rsidR="00C00D37" w:rsidRPr="0063563C" w:rsidRDefault="004A69F1">
      <w:pPr>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Es decir, que todo sujeto obligado que genere, recopile, administre, procese, archive, posea o conserven, son responsables de la misma teniendo a su vez la obligación de proporcionar la información que se les requiera sin necesidad de resumirla, efectuar procedimientos para obtenerla, calcular y practicar investigaciones; en otras palabras, que los Sujetos Obligados solo se concretaran a proporcionar la información solicitada que tengan en su poder en el estado que se encuentran, sin necesidad de concretarse al interés o términos específicos del solicitante.</w:t>
      </w:r>
    </w:p>
    <w:p w14:paraId="295F99EA" w14:textId="77777777" w:rsidR="00C00D37" w:rsidRPr="0063563C" w:rsidRDefault="004A69F1">
      <w:pPr>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Sirve de apoyo a lo anterior, el criterio orientador 03-17, expuesto por el entonces  Instituto Nacional de Transparencia, Acceso a la Información y Protección de Datos Personales, que dice:</w:t>
      </w:r>
      <w:r w:rsidRPr="0063563C">
        <w:rPr>
          <w:rFonts w:ascii="Palatino Linotype" w:eastAsia="Palatino Linotype" w:hAnsi="Palatino Linotype" w:cs="Palatino Linotype"/>
          <w:b/>
          <w:bCs/>
          <w:sz w:val="22"/>
          <w:szCs w:val="22"/>
        </w:rPr>
        <w:t xml:space="preserve"> </w:t>
      </w:r>
    </w:p>
    <w:p w14:paraId="53A07342" w14:textId="77777777" w:rsidR="00C00D37" w:rsidRPr="0063563C" w:rsidRDefault="004A69F1">
      <w:pPr>
        <w:spacing w:before="240" w:after="240" w:line="360" w:lineRule="auto"/>
        <w:ind w:left="851" w:right="902"/>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w:t>
      </w:r>
      <w:r w:rsidRPr="0063563C">
        <w:rPr>
          <w:rFonts w:ascii="Palatino Linotype" w:eastAsia="Palatino Linotype" w:hAnsi="Palatino Linotype" w:cs="Palatino Linotype"/>
          <w:b/>
          <w:bCs/>
          <w:i/>
          <w:iCs/>
          <w:sz w:val="22"/>
          <w:szCs w:val="22"/>
        </w:rPr>
        <w:t>No existe obligación de elaborar documentos ad hoc para atender las solicitudes de acceso a la información.</w:t>
      </w:r>
      <w:r w:rsidRPr="0063563C">
        <w:rPr>
          <w:rFonts w:ascii="Palatino Linotype" w:eastAsia="Palatino Linotype" w:hAnsi="Palatino Linotype" w:cs="Palatino Linotype"/>
          <w:i/>
          <w:iCs/>
          <w:sz w:val="22"/>
          <w:szCs w:val="22"/>
        </w:rPr>
        <w:t xml:space="preserve"> Los artículos 129 de la Ley General de Transparencia y Acceso a la Información Pública y 130, párrafo cuarto, de la Ley Federal de Transparencia y Acceso a la Información Pública, señalan que los sujetos obligados deberán otorgar acceso a los documentos que se encuentren en sus archivos o que estén obligados a documentar, de acuerdo con sus facultades, competencias o funciones, conforme a las características físicas de la información o del lugar donde se encuentre. Por lo anterior, los sujetos obligados deben garantizar el derecho de acceso a la información del particular, proporcionando la información con la que cuentan en el formato en que la misma obre en sus archivos; sin necesidad de elaborar documentos ad hoc para atender las solicitudes de información”. </w:t>
      </w:r>
    </w:p>
    <w:p w14:paraId="4D728F3B"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En esa tesitura, el artículo 24 en su último párrafo de la Ley de la Materia, dispone que los Sujetos Obligados sólo proporcionarán la información pública que generen, administren o posean en el ejercicio de sus atribuciones; por consiguiente, la información pública se encuentra a disposición de cualquier persona, lo que implica que es deber de los Sujetos Obligados, garantizar el Derecho de Acceso a la Información Pública.</w:t>
      </w:r>
    </w:p>
    <w:p w14:paraId="3EEDA59F" w14:textId="77777777" w:rsidR="00C00D37" w:rsidRPr="0063563C" w:rsidRDefault="004A69F1">
      <w:pPr>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Siempre y cuando no se trate de información reservada o clasificada, que difundirla pondría en riesgo la seguridad jurídica y física del titular de la información, debiendo tener audacia los Sujetos Obligados para cuidar esta información a través del acuerdo clasificatorio del comité de transparencia y la versión pública que emita el servidor público habilitado de cada Sujeto Obligado; como así se establece en la Ley de Transparencia y Acceso a la Información Pública del Estado de México y Municipios.</w:t>
      </w:r>
    </w:p>
    <w:p w14:paraId="3DF7A0C6"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En conclusión, el derecho de acceso a la información pública, consiste en que la información solicitada conste en un documento en cualquiera de sus formas, a saber: expedientes, reportes, estudios, actas, resoluciones, oficios, correspondencia, acuerdos, directivas, directrices, circulares, contratos, convenios, instructivos, notas, memorandos, estadísticas o bien, cualquier otro registro que documente el ejercicio de las facultades, funciones y competencias de los Sujetos Obligados; los que, podrán estar en cualquier medio, sea escrito, impreso, sonoro, visual, electrónico, informático u holográfico de conformidad con el artículo 3, fracción XI de la Ley de la materia, el cual señala lo siguiente: </w:t>
      </w:r>
    </w:p>
    <w:p w14:paraId="5FDFA7DD" w14:textId="77777777" w:rsidR="00C00D37" w:rsidRPr="0063563C" w:rsidRDefault="004A69F1">
      <w:pPr>
        <w:spacing w:before="240" w:after="240" w:line="360" w:lineRule="auto"/>
        <w:ind w:left="851" w:right="902"/>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w:t>
      </w:r>
      <w:r w:rsidRPr="0063563C">
        <w:rPr>
          <w:rFonts w:ascii="Palatino Linotype" w:eastAsia="Palatino Linotype" w:hAnsi="Palatino Linotype" w:cs="Palatino Linotype"/>
          <w:b/>
          <w:bCs/>
          <w:i/>
          <w:iCs/>
          <w:sz w:val="22"/>
          <w:szCs w:val="22"/>
        </w:rPr>
        <w:t xml:space="preserve">Artículo 3. </w:t>
      </w:r>
      <w:r w:rsidRPr="0063563C">
        <w:rPr>
          <w:rFonts w:ascii="Palatino Linotype" w:eastAsia="Palatino Linotype" w:hAnsi="Palatino Linotype" w:cs="Palatino Linotype"/>
          <w:i/>
          <w:iCs/>
          <w:sz w:val="22"/>
          <w:szCs w:val="22"/>
        </w:rPr>
        <w:t>Para los efectos de la presente Ley se entenderá por:</w:t>
      </w:r>
    </w:p>
    <w:p w14:paraId="2237C49F" w14:textId="77777777" w:rsidR="00C00D37" w:rsidRPr="0063563C" w:rsidRDefault="004A69F1">
      <w:pPr>
        <w:spacing w:before="240" w:after="240" w:line="360" w:lineRule="auto"/>
        <w:ind w:left="1134" w:right="902"/>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w:t>
      </w:r>
    </w:p>
    <w:p w14:paraId="507EBA7D" w14:textId="77777777" w:rsidR="00C00D37" w:rsidRPr="0063563C" w:rsidRDefault="004A69F1">
      <w:pPr>
        <w:spacing w:before="240" w:after="240" w:line="360" w:lineRule="auto"/>
        <w:ind w:left="1134" w:right="902"/>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b/>
          <w:bCs/>
          <w:i/>
          <w:iCs/>
          <w:sz w:val="22"/>
          <w:szCs w:val="22"/>
        </w:rPr>
        <w:t>XI. Documento:</w:t>
      </w:r>
      <w:r w:rsidRPr="0063563C">
        <w:rPr>
          <w:rFonts w:ascii="Palatino Linotype" w:eastAsia="Palatino Linotype" w:hAnsi="Palatino Linotype" w:cs="Palatino Linotype"/>
          <w:i/>
          <w:iCs/>
          <w:sz w:val="22"/>
          <w:szCs w:val="22"/>
        </w:rPr>
        <w:t xml:space="preserve"> Los expedientes, reportes, estudios, actas</w:t>
      </w:r>
      <w:r w:rsidRPr="0063563C">
        <w:rPr>
          <w:rFonts w:ascii="Palatino Linotype" w:eastAsia="Palatino Linotype" w:hAnsi="Palatino Linotype" w:cs="Palatino Linotype"/>
          <w:b/>
          <w:bCs/>
          <w:i/>
          <w:iCs/>
          <w:sz w:val="22"/>
          <w:szCs w:val="22"/>
        </w:rPr>
        <w:t>,</w:t>
      </w:r>
      <w:r w:rsidRPr="0063563C">
        <w:rPr>
          <w:rFonts w:ascii="Palatino Linotype" w:eastAsia="Palatino Linotype" w:hAnsi="Palatino Linotype" w:cs="Palatino Linotype"/>
          <w:i/>
          <w:iCs/>
          <w:sz w:val="22"/>
          <w:szCs w:val="22"/>
        </w:rPr>
        <w:t xml:space="preserve"> resoluciones, oficios, correspondencia, acuerdos, directivas, directrices, circulares, contratos, convenios, instructivos, notas, memorandos, estadísticas o bien, cualquier otro registro que documente el ejercicio de las facultades, funciones y competencias de los sujetos obligados, sus servidores públicos e integrantes, sin importar su fuente o fecha de elaboración. Los documentos podrán estar en cualquier medio, sea escrito, impreso, sonoro, visual, electrónico, informático u holográfico…” </w:t>
      </w:r>
    </w:p>
    <w:p w14:paraId="28C52621"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Siendo aplicable, el Criterio de interpretación en el orden administrativo número 0002-11, emitido por Acuerdo del Pleno del Instituto de Transparencia y Acceso a la Información Pública del Estado de México y Municipios; publicado en el Periódico Oficial del Gobierno del Estado Libre y Soberano de México “Gaceta del Gobierno”, el diecinueve de octubre de dos mil once, cuyo rubro y texto refieren lo siguiente:</w:t>
      </w:r>
    </w:p>
    <w:p w14:paraId="2E5475DD" w14:textId="77777777" w:rsidR="00C00D37" w:rsidRPr="0063563C" w:rsidRDefault="004A69F1">
      <w:pPr>
        <w:spacing w:before="240" w:after="240" w:line="360" w:lineRule="auto"/>
        <w:ind w:left="851" w:right="902"/>
        <w:jc w:val="both"/>
        <w:rPr>
          <w:rFonts w:ascii="Palatino Linotype" w:eastAsia="Palatino Linotype" w:hAnsi="Palatino Linotype" w:cs="Palatino Linotype"/>
          <w:b/>
          <w:bCs/>
          <w:i/>
          <w:iCs/>
          <w:sz w:val="22"/>
          <w:szCs w:val="22"/>
        </w:rPr>
      </w:pPr>
      <w:r w:rsidRPr="0063563C">
        <w:rPr>
          <w:rFonts w:ascii="Palatino Linotype" w:eastAsia="Palatino Linotype" w:hAnsi="Palatino Linotype" w:cs="Palatino Linotype"/>
          <w:b/>
          <w:bCs/>
          <w:sz w:val="22"/>
          <w:szCs w:val="22"/>
        </w:rPr>
        <w:t>“</w:t>
      </w:r>
      <w:r w:rsidRPr="0063563C">
        <w:rPr>
          <w:rFonts w:ascii="Palatino Linotype" w:eastAsia="Palatino Linotype" w:hAnsi="Palatino Linotype" w:cs="Palatino Linotype"/>
          <w:b/>
          <w:bCs/>
          <w:i/>
          <w:iCs/>
          <w:sz w:val="22"/>
          <w:szCs w:val="22"/>
        </w:rPr>
        <w:t>CRITERIO 0002-11. INFORMACIÓN PÚBLICA, CONCEPTO DE, EN MATERIA DE TRANSPARENCIA. INTERPRETACIÓN SISTEMÁTICA DE LOS ARTÍCULOS 2°, FRACCIÓN V, XV, Y XVI, 3°, 4°, 11 Y 41.</w:t>
      </w:r>
      <w:r w:rsidRPr="0063563C">
        <w:rPr>
          <w:rFonts w:ascii="Palatino Linotype" w:eastAsia="Palatino Linotype" w:hAnsi="Palatino Linotype" w:cs="Palatino Linotype"/>
          <w:i/>
          <w:iCs/>
          <w:sz w:val="22"/>
          <w:szCs w:val="22"/>
        </w:rPr>
        <w:t xml:space="preserve"> De conformidad con los artículos antes referidos, el derecho de acceso a la información pública, se define en cuanto a su alcance y resultado material, el acceso a los archivos, registros y documentos públicos, administrados, generados o en posesión de los órganos u organismos públicos, en virtud del ejercicio de sus funciones de derecho público, sin importar su fuente, soporte o fecha de elaboración.</w:t>
      </w:r>
    </w:p>
    <w:p w14:paraId="793A69C3" w14:textId="77777777" w:rsidR="00C00D37" w:rsidRPr="0063563C" w:rsidRDefault="004A69F1">
      <w:pPr>
        <w:spacing w:before="240" w:after="240" w:line="360" w:lineRule="auto"/>
        <w:ind w:left="851" w:right="902"/>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En consecuencia el acceso a la información se refiere a que se cumplan cualquiera de los siguientes tres supuestos:</w:t>
      </w:r>
    </w:p>
    <w:p w14:paraId="50F84CCF" w14:textId="77777777" w:rsidR="00C00D37" w:rsidRPr="0063563C" w:rsidRDefault="004A69F1">
      <w:pPr>
        <w:spacing w:before="240" w:after="240" w:line="360" w:lineRule="auto"/>
        <w:ind w:left="1134" w:right="902"/>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1) Que se trate de información registrada en cualquier soporte documental, que en ejercicio de las atribuciones conferidas, sea generada por los Sujetos Obligados;</w:t>
      </w:r>
    </w:p>
    <w:p w14:paraId="60A77B7C" w14:textId="77777777" w:rsidR="00C00D37" w:rsidRPr="0063563C" w:rsidRDefault="004A69F1">
      <w:pPr>
        <w:spacing w:before="240" w:after="240" w:line="360" w:lineRule="auto"/>
        <w:ind w:left="1134" w:right="902"/>
        <w:jc w:val="both"/>
        <w:rPr>
          <w:rFonts w:ascii="Palatino Linotype" w:eastAsia="Palatino Linotype" w:hAnsi="Palatino Linotype" w:cs="Palatino Linotype"/>
          <w:b/>
          <w:bCs/>
          <w:i/>
          <w:iCs/>
          <w:sz w:val="22"/>
          <w:szCs w:val="22"/>
        </w:rPr>
      </w:pPr>
      <w:r w:rsidRPr="0063563C">
        <w:rPr>
          <w:rFonts w:ascii="Palatino Linotype" w:eastAsia="Palatino Linotype" w:hAnsi="Palatino Linotype" w:cs="Palatino Linotype"/>
          <w:b/>
          <w:bCs/>
          <w:i/>
          <w:iCs/>
          <w:sz w:val="22"/>
          <w:szCs w:val="22"/>
        </w:rPr>
        <w:t>2) Que se trate de información registrada en cualquier soporte documental, que en ejercicio de las atribuciones conferidas, sea administrada por los Sujetos Obligados, y</w:t>
      </w:r>
    </w:p>
    <w:p w14:paraId="14393F88" w14:textId="77777777" w:rsidR="00C00D37" w:rsidRPr="0063563C" w:rsidRDefault="004A69F1">
      <w:pPr>
        <w:spacing w:before="240" w:after="240" w:line="360" w:lineRule="auto"/>
        <w:ind w:left="1134" w:right="902"/>
        <w:jc w:val="both"/>
        <w:rPr>
          <w:rFonts w:ascii="Palatino Linotype" w:eastAsia="Palatino Linotype" w:hAnsi="Palatino Linotype" w:cs="Palatino Linotype"/>
          <w:b/>
          <w:bCs/>
          <w:i/>
          <w:iCs/>
          <w:sz w:val="22"/>
          <w:szCs w:val="22"/>
        </w:rPr>
      </w:pPr>
      <w:r w:rsidRPr="0063563C">
        <w:rPr>
          <w:rFonts w:ascii="Palatino Linotype" w:eastAsia="Palatino Linotype" w:hAnsi="Palatino Linotype" w:cs="Palatino Linotype"/>
          <w:b/>
          <w:bCs/>
          <w:i/>
          <w:iCs/>
          <w:sz w:val="22"/>
          <w:szCs w:val="22"/>
        </w:rPr>
        <w:t xml:space="preserve">3) Que se trate de información registrada en cualquier soporte documental, que en ejercicio de las atribuciones conferidas, se encuentre en posesión de los Sujetos Obligados.” </w:t>
      </w:r>
    </w:p>
    <w:p w14:paraId="73470511" w14:textId="77777777" w:rsidR="00C00D37" w:rsidRPr="0063563C" w:rsidRDefault="004A69F1">
      <w:pPr>
        <w:spacing w:before="240" w:after="240" w:line="360" w:lineRule="auto"/>
        <w:ind w:right="51"/>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Expuesto lo anterior, es de retomar que, la hoy Recurrente solicitó la siguiente información:</w:t>
      </w:r>
    </w:p>
    <w:p w14:paraId="069A5404" w14:textId="77777777" w:rsidR="00C00D37" w:rsidRPr="0063563C" w:rsidRDefault="004A69F1">
      <w:pPr>
        <w:spacing w:before="240" w:after="240" w:line="360" w:lineRule="auto"/>
        <w:ind w:left="709" w:right="51"/>
        <w:jc w:val="both"/>
        <w:rPr>
          <w:rFonts w:ascii="Palatino Linotype" w:eastAsia="Palatino Linotype" w:hAnsi="Palatino Linotype" w:cs="Palatino Linotype"/>
          <w:b/>
          <w:bCs/>
          <w:sz w:val="22"/>
          <w:szCs w:val="22"/>
        </w:rPr>
      </w:pPr>
      <w:r w:rsidRPr="0063563C">
        <w:rPr>
          <w:rFonts w:ascii="Palatino Linotype" w:eastAsia="Palatino Linotype" w:hAnsi="Palatino Linotype" w:cs="Palatino Linotype"/>
          <w:b/>
          <w:bCs/>
          <w:sz w:val="22"/>
          <w:szCs w:val="22"/>
        </w:rPr>
        <w:t>1. El nombramiento del director Hugo Pillado Correa, quien funge como director de administración o encargado del despacho</w:t>
      </w:r>
    </w:p>
    <w:p w14:paraId="6995D439" w14:textId="77777777" w:rsidR="00C00D37" w:rsidRPr="0063563C" w:rsidRDefault="004A69F1">
      <w:pPr>
        <w:spacing w:before="240" w:after="240" w:line="360" w:lineRule="auto"/>
        <w:ind w:left="709" w:right="51"/>
        <w:jc w:val="both"/>
        <w:rPr>
          <w:rFonts w:ascii="Palatino Linotype" w:eastAsia="Palatino Linotype" w:hAnsi="Palatino Linotype" w:cs="Palatino Linotype"/>
          <w:b/>
          <w:bCs/>
          <w:sz w:val="22"/>
          <w:szCs w:val="22"/>
        </w:rPr>
      </w:pPr>
      <w:r w:rsidRPr="0063563C">
        <w:rPr>
          <w:rFonts w:ascii="Palatino Linotype" w:eastAsia="Palatino Linotype" w:hAnsi="Palatino Linotype" w:cs="Palatino Linotype"/>
          <w:b/>
          <w:bCs/>
          <w:sz w:val="22"/>
          <w:szCs w:val="22"/>
        </w:rPr>
        <w:t xml:space="preserve">2. Los recibos de nómina de Hugo Pillado Correa. </w:t>
      </w:r>
    </w:p>
    <w:p w14:paraId="33FB8672" w14:textId="77777777" w:rsidR="00C00D37" w:rsidRPr="0063563C" w:rsidRDefault="004A69F1">
      <w:pPr>
        <w:spacing w:before="240" w:after="240" w:line="360" w:lineRule="auto"/>
        <w:ind w:left="709" w:right="51"/>
        <w:jc w:val="both"/>
        <w:rPr>
          <w:rFonts w:ascii="Palatino Linotype" w:eastAsia="Palatino Linotype" w:hAnsi="Palatino Linotype" w:cs="Palatino Linotype"/>
          <w:b/>
          <w:bCs/>
          <w:sz w:val="22"/>
          <w:szCs w:val="22"/>
        </w:rPr>
      </w:pPr>
      <w:r w:rsidRPr="0063563C">
        <w:rPr>
          <w:rFonts w:ascii="Palatino Linotype" w:eastAsia="Palatino Linotype" w:hAnsi="Palatino Linotype" w:cs="Palatino Linotype"/>
          <w:b/>
          <w:bCs/>
          <w:sz w:val="22"/>
          <w:szCs w:val="22"/>
        </w:rPr>
        <w:t xml:space="preserve">3. El expediente laboral de Hugo Pillado Correa. </w:t>
      </w:r>
    </w:p>
    <w:p w14:paraId="536180EE" w14:textId="77777777" w:rsidR="00C00D37" w:rsidRPr="0063563C" w:rsidRDefault="004A69F1">
      <w:pPr>
        <w:spacing w:before="240" w:after="240" w:line="360" w:lineRule="auto"/>
        <w:ind w:left="709" w:right="51"/>
        <w:jc w:val="both"/>
        <w:rPr>
          <w:rFonts w:ascii="Palatino Linotype" w:eastAsia="Palatino Linotype" w:hAnsi="Palatino Linotype" w:cs="Palatino Linotype"/>
          <w:b/>
          <w:bCs/>
          <w:sz w:val="22"/>
          <w:szCs w:val="22"/>
        </w:rPr>
      </w:pPr>
      <w:r w:rsidRPr="0063563C">
        <w:rPr>
          <w:rFonts w:ascii="Palatino Linotype" w:eastAsia="Palatino Linotype" w:hAnsi="Palatino Linotype" w:cs="Palatino Linotype"/>
          <w:b/>
          <w:bCs/>
          <w:sz w:val="22"/>
          <w:szCs w:val="22"/>
        </w:rPr>
        <w:t xml:space="preserve">4. El título y la cédula profesional de Hugo Pillado Correa. </w:t>
      </w:r>
    </w:p>
    <w:p w14:paraId="5E9C092B" w14:textId="77777777" w:rsidR="00C00D37" w:rsidRPr="0063563C" w:rsidRDefault="004A69F1">
      <w:pPr>
        <w:spacing w:before="240" w:after="240" w:line="360" w:lineRule="auto"/>
        <w:ind w:left="709" w:right="51"/>
        <w:jc w:val="both"/>
        <w:rPr>
          <w:rFonts w:ascii="Palatino Linotype" w:eastAsia="Palatino Linotype" w:hAnsi="Palatino Linotype" w:cs="Palatino Linotype"/>
          <w:b/>
          <w:bCs/>
          <w:sz w:val="22"/>
          <w:szCs w:val="22"/>
        </w:rPr>
      </w:pPr>
      <w:r w:rsidRPr="0063563C">
        <w:rPr>
          <w:rFonts w:ascii="Palatino Linotype" w:eastAsia="Palatino Linotype" w:hAnsi="Palatino Linotype" w:cs="Palatino Linotype"/>
          <w:b/>
          <w:bCs/>
          <w:sz w:val="22"/>
          <w:szCs w:val="22"/>
        </w:rPr>
        <w:t>5. Todos los oficios y procedimientos que ha firmado Hugo Pillado Correa.</w:t>
      </w:r>
    </w:p>
    <w:p w14:paraId="2318A73E" w14:textId="77777777" w:rsidR="00C00D37" w:rsidRPr="0063563C" w:rsidRDefault="004A69F1">
      <w:pPr>
        <w:spacing w:before="240" w:after="240" w:line="360" w:lineRule="auto"/>
        <w:ind w:right="51"/>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En respuesta, el Sujeto Obligado proporcionó lo siguiente: Kárdex Laboral, ficha curricular, nombramientos como Subdirector de Administración y como Encargado de Despacho de la Dirección de Administración, así como título profesional. </w:t>
      </w:r>
    </w:p>
    <w:p w14:paraId="03D4A93A" w14:textId="77777777" w:rsidR="00C00D37" w:rsidRPr="0063563C" w:rsidRDefault="004A69F1">
      <w:pPr>
        <w:spacing w:before="240" w:after="240" w:line="360" w:lineRule="auto"/>
        <w:ind w:right="51"/>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Asimismo, se advierte que el</w:t>
      </w:r>
      <w:r w:rsidRPr="0063563C">
        <w:rPr>
          <w:rFonts w:ascii="Palatino Linotype" w:eastAsia="Palatino Linotype" w:hAnsi="Palatino Linotype" w:cs="Palatino Linotype"/>
          <w:b/>
          <w:bCs/>
          <w:sz w:val="22"/>
          <w:szCs w:val="22"/>
        </w:rPr>
        <w:t xml:space="preserve"> Tesorero Municipal formuló respuesta en el sentido de señalar</w:t>
      </w:r>
      <w:r w:rsidRPr="0063563C">
        <w:rPr>
          <w:rFonts w:ascii="Palatino Linotype" w:eastAsia="Palatino Linotype" w:hAnsi="Palatino Linotype" w:cs="Palatino Linotype"/>
          <w:sz w:val="22"/>
          <w:szCs w:val="22"/>
        </w:rPr>
        <w:t xml:space="preserve"> que los recibos de nómina son de su competencia, no obstante, negó su entrega al considerar que contienen datos personales.</w:t>
      </w:r>
    </w:p>
    <w:p w14:paraId="106CD649"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Expuesto lo anterior, resulta pertinente analizar cada uno de los requerimientos solicitados, así como la información proporcionada por el Sujeto Obligado:</w:t>
      </w:r>
    </w:p>
    <w:p w14:paraId="3A657B8C" w14:textId="77777777" w:rsidR="00C00D37" w:rsidRPr="0063563C" w:rsidRDefault="004A69F1">
      <w:pPr>
        <w:spacing w:before="240" w:after="240" w:line="360" w:lineRule="auto"/>
        <w:ind w:right="51"/>
        <w:jc w:val="both"/>
        <w:rPr>
          <w:rFonts w:ascii="Palatino Linotype" w:eastAsia="Palatino Linotype" w:hAnsi="Palatino Linotype" w:cs="Palatino Linotype"/>
          <w:b/>
          <w:bCs/>
          <w:sz w:val="22"/>
          <w:szCs w:val="22"/>
        </w:rPr>
      </w:pPr>
      <w:r w:rsidRPr="0063563C">
        <w:rPr>
          <w:rFonts w:ascii="Palatino Linotype" w:eastAsia="Palatino Linotype" w:hAnsi="Palatino Linotype" w:cs="Palatino Linotype"/>
          <w:b/>
          <w:bCs/>
          <w:sz w:val="22"/>
          <w:szCs w:val="22"/>
        </w:rPr>
        <w:t>1. El nombramiento del director Hugo Pillado Correa, quien funge como director de administración o encargado del despacho</w:t>
      </w:r>
    </w:p>
    <w:p w14:paraId="62417935" w14:textId="77777777" w:rsidR="00C00D37" w:rsidRPr="0063563C" w:rsidRDefault="004A69F1">
      <w:pPr>
        <w:spacing w:before="240" w:after="240" w:line="360" w:lineRule="auto"/>
        <w:ind w:right="51"/>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Por cuanto hace a este  requerimiento identificado, del análisis de la respuesta se advierte que el Sujeto Obligado proporcionó dos nombramientos expedidos a favor de Hugo Pillado Correa: el primero, de fecha uno de febrero de dos mil veintiséis, mediante el cual fue designado Subdirector de Administración; y el segundo, de fecha diecisiete de abril de dos mil veintiséis, por el que se le nombró Encargado de Despacho de la Dirección de Administración, este último suscrito por la Presidenta Municipal Constitucional de Tianguistenco.</w:t>
      </w:r>
    </w:p>
    <w:p w14:paraId="04D3CDCF" w14:textId="77777777" w:rsidR="00C00D37" w:rsidRPr="0063563C" w:rsidRDefault="004A69F1">
      <w:pPr>
        <w:spacing w:before="240" w:after="240" w:line="360" w:lineRule="auto"/>
        <w:ind w:right="51"/>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En ese sentido, se estima que el requerimiento se encuentra satisfecho, toda vez que el particular solicitó el documento mediante el cual se acreditara el nombramiento de Hugo Pillado Correa como Director de Administración o Encargado del Despacho, y el Sujeto Obligado proporcionó precisamente la documental que acredita que, a partir del diecisiete de abril de dos mil veintiséis, fue designado Encargado de Despacho de la Dirección de Administración. Por tanto, respecto de este punto no se advierte omisión que deba ser subsanada, al haberse entregado la información existente en los archivos del Sujeto Obligado que corresponde con lo solicitado.</w:t>
      </w:r>
    </w:p>
    <w:p w14:paraId="4C8B32B9" w14:textId="77777777" w:rsidR="00C00D37" w:rsidRPr="0063563C" w:rsidRDefault="004A69F1">
      <w:pPr>
        <w:spacing w:before="240" w:after="240" w:line="360" w:lineRule="auto"/>
        <w:ind w:right="51"/>
        <w:jc w:val="both"/>
        <w:rPr>
          <w:rFonts w:ascii="Palatino Linotype" w:eastAsia="Palatino Linotype" w:hAnsi="Palatino Linotype" w:cs="Palatino Linotype"/>
          <w:b/>
          <w:bCs/>
          <w:sz w:val="22"/>
          <w:szCs w:val="22"/>
        </w:rPr>
      </w:pPr>
      <w:r w:rsidRPr="0063563C">
        <w:rPr>
          <w:rFonts w:ascii="Palatino Linotype" w:eastAsia="Palatino Linotype" w:hAnsi="Palatino Linotype" w:cs="Palatino Linotype"/>
          <w:b/>
          <w:bCs/>
          <w:sz w:val="22"/>
          <w:szCs w:val="22"/>
        </w:rPr>
        <w:t xml:space="preserve">2. Los recibos de nómina de Hugo Pillado Correa. </w:t>
      </w:r>
    </w:p>
    <w:p w14:paraId="1325C9B6" w14:textId="77777777" w:rsidR="00C00D37" w:rsidRPr="0063563C" w:rsidRDefault="004A69F1">
      <w:pPr>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Por cuanto hace a los recibos de nómina, debe señalarse que dichos documentos constituyen el soporte mediante el cual se acredita el pago de las remuneraciones, prestaciones y demás percepciones otorgadas a las personas servidoras públicas con cargo al erario. En esa medida, no se trata de documentación de naturaleza exclusivamente privada, pues permite conocer el destino y aplicación de recursos públicos, así como verificar que las cantidades efectivamente pagadas correspondan al empleo, cargo o comisión desempeñados.</w:t>
      </w:r>
    </w:p>
    <w:p w14:paraId="2BB8112D" w14:textId="77777777" w:rsidR="00C00D37" w:rsidRPr="0063563C" w:rsidRDefault="004A69F1">
      <w:pPr>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Lo anterior guarda congruencia con lo dispuesto en el artículo 92, fracción VIII, de la Ley de Transparencia y Acceso a la Información Pública del Estado de México y Municipios, que impone a los sujetos obligados el deber de poner a disposición del público la remuneración bruta y neta de todas las personas servidoras públicas, incluyendo sueldos, prestaciones, gratificaciones, primas, comisiones, dietas, bonos, estímulos y cualquier otro ingreso derivado del ejercicio de sus funciones. Por tanto, los comprobantes de nómina constituyen documentos susceptibles de acceso, al contener información directamente vinculada con el ejercicio del presupuesto público.</w:t>
      </w:r>
    </w:p>
    <w:p w14:paraId="4F77BED1" w14:textId="77777777" w:rsidR="00C00D37" w:rsidRPr="0063563C" w:rsidRDefault="004A69F1">
      <w:pPr>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Ahora bien, la naturaleza pública de los recibos de nómina no implica que la totalidad de su contenido deba difundirse de manera irrestricta. Tales documentos pueden contener datos personales concernientes a una persona física identificada o identificable, por lo que su entrega debe efectuarse mediante versión pública, protegiendo únicamente aquellos elementos cuya divulgación afecte la vida privada o el patrimonio de su titular, tales como números de cuenta bancaria, CLABE interbancaria, claves de seguridad social, domicilio, firmas electrónicas, cadenas o sellos digitales, préstamos personales, pensiones alimenticias y demás deducciones derivadas de decisiones o circunstancias estrictamente particulares.</w:t>
      </w:r>
    </w:p>
    <w:p w14:paraId="3FE03F1A" w14:textId="77777777" w:rsidR="00C00D37" w:rsidRPr="0063563C" w:rsidRDefault="004A69F1">
      <w:pPr>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En contraste, deben permanecer visibles los elementos relacionados con la rendición de cuentas, entre ellos el nombre de la persona servidora pública, el cargo, la adscripción, el periodo de pago, las percepciones cubiertas con recursos públicos y los montos bruto y neto; sin perjuicio de que cada dato sea analizado conforme a su naturaleza y contexto. La elaboración de la versión pública debe acompañarse de la determinación del Comité de Transparencia que funde y motive la clasificación de los datos suprimidos, sin que resulte jurídicamente válido testar de manera general o indiscriminada el contenido del documento.</w:t>
      </w:r>
    </w:p>
    <w:p w14:paraId="18E1A6DC" w14:textId="77777777" w:rsidR="00C00D37" w:rsidRPr="0063563C" w:rsidRDefault="004A69F1">
      <w:pPr>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No obstante, se advierte que la </w:t>
      </w:r>
      <w:r w:rsidRPr="0063563C">
        <w:rPr>
          <w:rFonts w:ascii="Palatino Linotype" w:eastAsia="Palatino Linotype" w:hAnsi="Palatino Linotype" w:cs="Palatino Linotype"/>
          <w:b/>
          <w:bCs/>
          <w:sz w:val="22"/>
          <w:szCs w:val="22"/>
        </w:rPr>
        <w:t>Tesorería Municipal reconoció expresamente ser competente para atender dicho punto</w:t>
      </w:r>
      <w:r w:rsidRPr="0063563C">
        <w:rPr>
          <w:rFonts w:ascii="Palatino Linotype" w:eastAsia="Palatino Linotype" w:hAnsi="Palatino Linotype" w:cs="Palatino Linotype"/>
          <w:sz w:val="22"/>
          <w:szCs w:val="22"/>
        </w:rPr>
        <w:t xml:space="preserve">; sin embargo, determinó negar su entrega bajo el argumento de que tales documentos contienen datos personales. </w:t>
      </w:r>
    </w:p>
    <w:p w14:paraId="23CAF44E" w14:textId="77777777" w:rsidR="00C00D37" w:rsidRPr="0063563C" w:rsidRDefault="004A69F1">
      <w:pPr>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Al respecto, dicha respuesta resulta insuficiente, pues la sola presencia de datos de carácter confidencial no constituye una razón válida para restringir el acceso a la totalidad del documento, máxime que, como se expuso previamente, los recibos de nómina dan cuenta del </w:t>
      </w:r>
      <w:r w:rsidRPr="0063563C">
        <w:rPr>
          <w:rFonts w:ascii="Palatino Linotype" w:eastAsia="Palatino Linotype" w:hAnsi="Palatino Linotype" w:cs="Palatino Linotype"/>
          <w:b/>
          <w:bCs/>
          <w:sz w:val="22"/>
          <w:szCs w:val="22"/>
        </w:rPr>
        <w:t>ejercicio de recursos públicos y de las remuneraciones percibidas por un servidor público</w:t>
      </w:r>
      <w:r w:rsidRPr="0063563C">
        <w:rPr>
          <w:rFonts w:ascii="Palatino Linotype" w:eastAsia="Palatino Linotype" w:hAnsi="Palatino Linotype" w:cs="Palatino Linotype"/>
          <w:sz w:val="22"/>
          <w:szCs w:val="22"/>
        </w:rPr>
        <w:t xml:space="preserve">. </w:t>
      </w:r>
    </w:p>
    <w:p w14:paraId="3C0B1885" w14:textId="77777777" w:rsidR="00C00D37" w:rsidRPr="0063563C" w:rsidRDefault="004A69F1">
      <w:pPr>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En consecuencia, el Sujeto Obligado debió proporcionar los recibos solicitados en </w:t>
      </w:r>
      <w:r w:rsidRPr="0063563C">
        <w:rPr>
          <w:rFonts w:ascii="Palatino Linotype" w:eastAsia="Palatino Linotype" w:hAnsi="Palatino Linotype" w:cs="Palatino Linotype"/>
          <w:b/>
          <w:bCs/>
          <w:sz w:val="22"/>
          <w:szCs w:val="22"/>
        </w:rPr>
        <w:t>versión pública</w:t>
      </w:r>
      <w:r w:rsidRPr="0063563C">
        <w:rPr>
          <w:rFonts w:ascii="Palatino Linotype" w:eastAsia="Palatino Linotype" w:hAnsi="Palatino Linotype" w:cs="Palatino Linotype"/>
          <w:sz w:val="22"/>
          <w:szCs w:val="22"/>
        </w:rPr>
        <w:t xml:space="preserve">, testando únicamente aquellos datos que actualicen alguna causal de confidencialidad y sometiendo dicha clasificación a la consideración de su Comité de Transparencia; por lo que, en este punto, </w:t>
      </w:r>
      <w:r w:rsidRPr="0063563C">
        <w:rPr>
          <w:rFonts w:ascii="Palatino Linotype" w:eastAsia="Palatino Linotype" w:hAnsi="Palatino Linotype" w:cs="Palatino Linotype"/>
          <w:b/>
          <w:bCs/>
          <w:sz w:val="22"/>
          <w:szCs w:val="22"/>
        </w:rPr>
        <w:t>resulta fundado el agravio de la parte recurrente</w:t>
      </w:r>
      <w:r w:rsidRPr="0063563C">
        <w:rPr>
          <w:rFonts w:ascii="Palatino Linotype" w:eastAsia="Palatino Linotype" w:hAnsi="Palatino Linotype" w:cs="Palatino Linotype"/>
          <w:sz w:val="22"/>
          <w:szCs w:val="22"/>
        </w:rPr>
        <w:t>, por tanto, lo procedente es ordenar al Sujeto Obligado que proporcione las versiones públicas de los recibos de nómina.</w:t>
      </w:r>
    </w:p>
    <w:p w14:paraId="10B88B66" w14:textId="77777777" w:rsidR="00C00D37" w:rsidRPr="0063563C" w:rsidRDefault="004A69F1">
      <w:pPr>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Ahora bien, sobre el particular, resulta pertinente hacer una precisión, pues la parte solicitante no señaló la temporalidad respecto de la cual requiere dicha información; sin embargo, tal circunstancia no constituye impedimento para su atención. </w:t>
      </w:r>
    </w:p>
    <w:p w14:paraId="12C87CCF" w14:textId="77777777" w:rsidR="00C00D37" w:rsidRPr="0063563C" w:rsidRDefault="004A69F1">
      <w:pPr>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De manera específica, tratándose de recibos de nómina, resulta aplicable el Criterio 04/2024, emitido por este Órgano autónomo, cuyo rubro y texto son los siguientes:</w:t>
      </w:r>
    </w:p>
    <w:p w14:paraId="3068BFE1" w14:textId="77777777" w:rsidR="00C00D37" w:rsidRPr="0063563C" w:rsidRDefault="004A69F1">
      <w:pPr>
        <w:spacing w:before="240" w:after="240" w:line="360" w:lineRule="auto"/>
        <w:ind w:left="567" w:right="49"/>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 xml:space="preserve"> “</w:t>
      </w:r>
      <w:r w:rsidRPr="0063563C">
        <w:rPr>
          <w:rFonts w:ascii="Palatino Linotype" w:eastAsia="Palatino Linotype" w:hAnsi="Palatino Linotype" w:cs="Palatino Linotype"/>
          <w:b/>
          <w:bCs/>
          <w:i/>
          <w:iCs/>
          <w:sz w:val="22"/>
          <w:szCs w:val="22"/>
        </w:rPr>
        <w:t>NÓMINA DE SERVIDORES PÚBLICOS. PERIODO DE BÚSQUEDA Y ENTREGA DE LA INFORMACIÓN, CUANDO NO SE PRECISA EN LA SOLICITUD DE INFORMACIÓN:</w:t>
      </w:r>
      <w:r w:rsidRPr="0063563C">
        <w:rPr>
          <w:rFonts w:ascii="Palatino Linotype" w:eastAsia="Palatino Linotype" w:hAnsi="Palatino Linotype" w:cs="Palatino Linotype"/>
          <w:i/>
          <w:iCs/>
          <w:sz w:val="22"/>
          <w:szCs w:val="22"/>
        </w:rPr>
        <w:t xml:space="preserve"> Cuando el particular no refiriera el periodo respecto del cual requiere la información, o bien, de la solicitud presentada no se adviertan elementos que permitan identificarlo, tratándose exclusivamente de información relativa a la nómina, los Sujetos Obligados deberán entregar lo correspondiente a las últimas dos quincenas pagadas previo a la fecha de presentación de la solicitud.”</w:t>
      </w:r>
    </w:p>
    <w:p w14:paraId="3D95FACC" w14:textId="77777777" w:rsidR="00C00D37" w:rsidRPr="0063563C" w:rsidRDefault="004A69F1">
      <w:pPr>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En consecuencia, toda vez que la solicitud que dio origen al presente asunto fue presentada el </w:t>
      </w:r>
      <w:r w:rsidRPr="0063563C">
        <w:rPr>
          <w:rFonts w:ascii="Palatino Linotype" w:eastAsia="Palatino Linotype" w:hAnsi="Palatino Linotype" w:cs="Palatino Linotype"/>
          <w:b/>
          <w:bCs/>
          <w:sz w:val="22"/>
          <w:szCs w:val="22"/>
        </w:rPr>
        <w:t>veintisiete de mayo de dos mil veintiséis</w:t>
      </w:r>
      <w:r w:rsidRPr="0063563C">
        <w:rPr>
          <w:rFonts w:ascii="Palatino Linotype" w:eastAsia="Palatino Linotype" w:hAnsi="Palatino Linotype" w:cs="Palatino Linotype"/>
          <w:sz w:val="22"/>
          <w:szCs w:val="22"/>
        </w:rPr>
        <w:t xml:space="preserve">, el Sujeto Obligado deberá proporcionar los </w:t>
      </w:r>
      <w:r w:rsidRPr="0063563C">
        <w:rPr>
          <w:rFonts w:ascii="Palatino Linotype" w:eastAsia="Palatino Linotype" w:hAnsi="Palatino Linotype" w:cs="Palatino Linotype"/>
          <w:b/>
          <w:bCs/>
          <w:sz w:val="22"/>
          <w:szCs w:val="22"/>
        </w:rPr>
        <w:t>recibos de nómina correspondientes a las últimas dos quincenas efectivamente pagadas a Hugo Pillado Correa con anterioridad a dicha fecha</w:t>
      </w:r>
      <w:r w:rsidRPr="0063563C">
        <w:rPr>
          <w:rFonts w:ascii="Palatino Linotype" w:eastAsia="Palatino Linotype" w:hAnsi="Palatino Linotype" w:cs="Palatino Linotype"/>
          <w:sz w:val="22"/>
          <w:szCs w:val="22"/>
        </w:rPr>
        <w:t>, en versión pública, acompañadas del acuerdo del Comité de Transparencia que funde y motive las supresiones realizadas.</w:t>
      </w:r>
    </w:p>
    <w:p w14:paraId="3DC338B4" w14:textId="77777777" w:rsidR="00C00D37" w:rsidRPr="0063563C" w:rsidRDefault="004A69F1">
      <w:pPr>
        <w:spacing w:before="240" w:after="240" w:line="360" w:lineRule="auto"/>
        <w:ind w:right="51"/>
        <w:jc w:val="both"/>
        <w:rPr>
          <w:rFonts w:ascii="Palatino Linotype" w:eastAsia="Palatino Linotype" w:hAnsi="Palatino Linotype" w:cs="Palatino Linotype"/>
          <w:b/>
          <w:bCs/>
          <w:sz w:val="22"/>
          <w:szCs w:val="22"/>
        </w:rPr>
      </w:pPr>
      <w:r w:rsidRPr="0063563C">
        <w:rPr>
          <w:rFonts w:ascii="Palatino Linotype" w:eastAsia="Palatino Linotype" w:hAnsi="Palatino Linotype" w:cs="Palatino Linotype"/>
          <w:b/>
          <w:bCs/>
          <w:sz w:val="22"/>
          <w:szCs w:val="22"/>
        </w:rPr>
        <w:t xml:space="preserve">3. El expediente laboral de Hugo Pillado Correa. </w:t>
      </w:r>
    </w:p>
    <w:p w14:paraId="05632E02" w14:textId="77777777" w:rsidR="00C00D37" w:rsidRPr="0063563C" w:rsidRDefault="004A69F1">
      <w:pPr>
        <w:tabs>
          <w:tab w:val="left" w:pos="709"/>
        </w:tabs>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Por lo que se refiere a la materia de los documentos que integran los expedientes laborales de servidores públicos, se procede a señalar los requisitos generales contenidos en los articulados 47, 48 y 49, de la Ley del Trabado de los Servidores Públicos del Estado de México y Municipios, así como el documento idóneo con el que se pudiera acreditar, son los siguientes:</w:t>
      </w:r>
    </w:p>
    <w:tbl>
      <w:tblPr>
        <w:tblStyle w:val="af8"/>
        <w:tblW w:w="878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67"/>
        <w:gridCol w:w="2607"/>
        <w:gridCol w:w="2410"/>
      </w:tblGrid>
      <w:tr w:rsidR="0090188B" w:rsidRPr="0063563C" w14:paraId="6ECE7784" w14:textId="77777777">
        <w:trPr>
          <w:tblHeader/>
        </w:trPr>
        <w:tc>
          <w:tcPr>
            <w:tcW w:w="3767" w:type="dxa"/>
            <w:shd w:val="clear" w:color="auto" w:fill="DDD9C4"/>
            <w:vAlign w:val="center"/>
          </w:tcPr>
          <w:p w14:paraId="48E8A352" w14:textId="77777777" w:rsidR="00C00D37" w:rsidRPr="0063563C" w:rsidRDefault="004A69F1">
            <w:pPr>
              <w:tabs>
                <w:tab w:val="left" w:pos="284"/>
                <w:tab w:val="left" w:pos="426"/>
              </w:tabs>
              <w:spacing w:before="240" w:after="240" w:line="360" w:lineRule="auto"/>
              <w:ind w:right="49"/>
              <w:jc w:val="center"/>
              <w:rPr>
                <w:rFonts w:ascii="Palatino Linotype" w:eastAsia="Palatino Linotype" w:hAnsi="Palatino Linotype" w:cs="Palatino Linotype"/>
                <w:b/>
                <w:bCs/>
                <w:sz w:val="22"/>
                <w:szCs w:val="22"/>
              </w:rPr>
            </w:pPr>
            <w:r w:rsidRPr="0063563C">
              <w:rPr>
                <w:rFonts w:ascii="Palatino Linotype" w:eastAsia="Palatino Linotype" w:hAnsi="Palatino Linotype" w:cs="Palatino Linotype"/>
                <w:b/>
                <w:bCs/>
                <w:sz w:val="22"/>
                <w:szCs w:val="22"/>
              </w:rPr>
              <w:t>Requisito establecido en la Ley del Trabajo de los Servidores Públicos del Estado y Municipios</w:t>
            </w:r>
          </w:p>
        </w:tc>
        <w:tc>
          <w:tcPr>
            <w:tcW w:w="2607" w:type="dxa"/>
            <w:shd w:val="clear" w:color="auto" w:fill="DDD9C4"/>
            <w:vAlign w:val="center"/>
          </w:tcPr>
          <w:p w14:paraId="1FCE5B28" w14:textId="77777777" w:rsidR="00C00D37" w:rsidRPr="0063563C" w:rsidRDefault="004A69F1">
            <w:pPr>
              <w:tabs>
                <w:tab w:val="left" w:pos="284"/>
                <w:tab w:val="left" w:pos="426"/>
              </w:tabs>
              <w:spacing w:before="240" w:after="240" w:line="360" w:lineRule="auto"/>
              <w:ind w:right="49"/>
              <w:jc w:val="center"/>
              <w:rPr>
                <w:rFonts w:ascii="Palatino Linotype" w:eastAsia="Palatino Linotype" w:hAnsi="Palatino Linotype" w:cs="Palatino Linotype"/>
                <w:b/>
                <w:bCs/>
                <w:sz w:val="22"/>
                <w:szCs w:val="22"/>
              </w:rPr>
            </w:pPr>
            <w:r w:rsidRPr="0063563C">
              <w:rPr>
                <w:rFonts w:ascii="Palatino Linotype" w:eastAsia="Palatino Linotype" w:hAnsi="Palatino Linotype" w:cs="Palatino Linotype"/>
                <w:b/>
                <w:bCs/>
                <w:sz w:val="22"/>
                <w:szCs w:val="22"/>
              </w:rPr>
              <w:t>Documento que lo acredita</w:t>
            </w:r>
          </w:p>
        </w:tc>
        <w:tc>
          <w:tcPr>
            <w:tcW w:w="2410" w:type="dxa"/>
            <w:shd w:val="clear" w:color="auto" w:fill="DDD9C4"/>
            <w:vAlign w:val="center"/>
          </w:tcPr>
          <w:p w14:paraId="4A8BC341" w14:textId="77777777" w:rsidR="00C00D37" w:rsidRPr="0063563C" w:rsidRDefault="004A69F1">
            <w:pPr>
              <w:tabs>
                <w:tab w:val="left" w:pos="284"/>
                <w:tab w:val="left" w:pos="426"/>
              </w:tabs>
              <w:spacing w:before="240" w:after="240" w:line="360" w:lineRule="auto"/>
              <w:ind w:right="49"/>
              <w:jc w:val="center"/>
              <w:rPr>
                <w:rFonts w:ascii="Palatino Linotype" w:eastAsia="Palatino Linotype" w:hAnsi="Palatino Linotype" w:cs="Palatino Linotype"/>
                <w:b/>
                <w:bCs/>
                <w:sz w:val="22"/>
                <w:szCs w:val="22"/>
              </w:rPr>
            </w:pPr>
            <w:r w:rsidRPr="0063563C">
              <w:rPr>
                <w:rFonts w:ascii="Palatino Linotype" w:eastAsia="Palatino Linotype" w:hAnsi="Palatino Linotype" w:cs="Palatino Linotype"/>
                <w:b/>
                <w:bCs/>
                <w:sz w:val="22"/>
                <w:szCs w:val="22"/>
              </w:rPr>
              <w:t>Clasificación de la Información</w:t>
            </w:r>
          </w:p>
        </w:tc>
      </w:tr>
      <w:tr w:rsidR="0090188B" w:rsidRPr="0063563C" w14:paraId="1E1973F0" w14:textId="77777777">
        <w:tc>
          <w:tcPr>
            <w:tcW w:w="3767" w:type="dxa"/>
            <w:vAlign w:val="center"/>
          </w:tcPr>
          <w:p w14:paraId="01CBFA2B" w14:textId="77777777" w:rsidR="00C00D37" w:rsidRPr="0063563C" w:rsidRDefault="004A69F1">
            <w:pPr>
              <w:tabs>
                <w:tab w:val="left" w:pos="284"/>
                <w:tab w:val="left" w:pos="426"/>
              </w:tabs>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Presentar una solicitud utilizando la forma oficial que se autorice por la institución pública o dependencia correspondiente.</w:t>
            </w:r>
          </w:p>
        </w:tc>
        <w:tc>
          <w:tcPr>
            <w:tcW w:w="2607" w:type="dxa"/>
            <w:vAlign w:val="center"/>
          </w:tcPr>
          <w:p w14:paraId="0948F6CD" w14:textId="77777777" w:rsidR="00C00D37" w:rsidRPr="0063563C" w:rsidRDefault="004A69F1">
            <w:pPr>
              <w:tabs>
                <w:tab w:val="left" w:pos="284"/>
                <w:tab w:val="left" w:pos="426"/>
              </w:tabs>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Solicitud de empleo, ficha curricular, currículum vitae o documento análogo</w:t>
            </w:r>
          </w:p>
        </w:tc>
        <w:tc>
          <w:tcPr>
            <w:tcW w:w="2410" w:type="dxa"/>
            <w:vAlign w:val="center"/>
          </w:tcPr>
          <w:p w14:paraId="4F30CC46" w14:textId="77777777" w:rsidR="00C00D37" w:rsidRPr="0063563C" w:rsidRDefault="004A69F1">
            <w:pPr>
              <w:tabs>
                <w:tab w:val="left" w:pos="284"/>
                <w:tab w:val="left" w:pos="426"/>
              </w:tabs>
              <w:spacing w:before="240" w:after="240" w:line="360" w:lineRule="auto"/>
              <w:ind w:right="49"/>
              <w:jc w:val="center"/>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En versión pública.</w:t>
            </w:r>
          </w:p>
        </w:tc>
      </w:tr>
      <w:tr w:rsidR="0090188B" w:rsidRPr="0063563C" w14:paraId="5D33066D" w14:textId="77777777">
        <w:trPr>
          <w:trHeight w:val="517"/>
        </w:trPr>
        <w:tc>
          <w:tcPr>
            <w:tcW w:w="3767" w:type="dxa"/>
            <w:vAlign w:val="center"/>
          </w:tcPr>
          <w:p w14:paraId="51817290" w14:textId="77777777" w:rsidR="00C00D37" w:rsidRPr="0063563C" w:rsidRDefault="004A69F1">
            <w:pPr>
              <w:tabs>
                <w:tab w:val="left" w:pos="284"/>
                <w:tab w:val="left" w:pos="426"/>
              </w:tabs>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Ser de nacionalidad mexicana.</w:t>
            </w:r>
          </w:p>
        </w:tc>
        <w:tc>
          <w:tcPr>
            <w:tcW w:w="2607" w:type="dxa"/>
            <w:vAlign w:val="center"/>
          </w:tcPr>
          <w:p w14:paraId="6E14D6E0" w14:textId="77777777" w:rsidR="00C00D37" w:rsidRPr="0063563C" w:rsidRDefault="004A69F1">
            <w:pPr>
              <w:tabs>
                <w:tab w:val="left" w:pos="284"/>
                <w:tab w:val="left" w:pos="426"/>
              </w:tabs>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Acta de nacimiento</w:t>
            </w:r>
          </w:p>
        </w:tc>
        <w:tc>
          <w:tcPr>
            <w:tcW w:w="2410" w:type="dxa"/>
            <w:vAlign w:val="center"/>
          </w:tcPr>
          <w:p w14:paraId="3084440A" w14:textId="77777777" w:rsidR="00C00D37" w:rsidRPr="0063563C" w:rsidRDefault="004A69F1">
            <w:pPr>
              <w:tabs>
                <w:tab w:val="left" w:pos="284"/>
                <w:tab w:val="left" w:pos="426"/>
              </w:tabs>
              <w:spacing w:before="240" w:after="240" w:line="360" w:lineRule="auto"/>
              <w:ind w:right="49"/>
              <w:jc w:val="center"/>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Confidencial</w:t>
            </w:r>
          </w:p>
        </w:tc>
      </w:tr>
      <w:tr w:rsidR="0090188B" w:rsidRPr="0063563C" w14:paraId="15FEE8CD" w14:textId="77777777">
        <w:tc>
          <w:tcPr>
            <w:tcW w:w="3767" w:type="dxa"/>
            <w:vAlign w:val="center"/>
          </w:tcPr>
          <w:p w14:paraId="098A78CA" w14:textId="77777777" w:rsidR="00C00D37" w:rsidRPr="0063563C" w:rsidRDefault="004A69F1">
            <w:pPr>
              <w:tabs>
                <w:tab w:val="left" w:pos="284"/>
                <w:tab w:val="left" w:pos="426"/>
              </w:tabs>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Estar en pleno ejercicio de sus derechos civiles y políticos.</w:t>
            </w:r>
          </w:p>
        </w:tc>
        <w:tc>
          <w:tcPr>
            <w:tcW w:w="2607" w:type="dxa"/>
            <w:vAlign w:val="center"/>
          </w:tcPr>
          <w:p w14:paraId="20489428" w14:textId="77777777" w:rsidR="00C00D37" w:rsidRPr="0063563C" w:rsidRDefault="004A69F1">
            <w:pPr>
              <w:tabs>
                <w:tab w:val="left" w:pos="284"/>
                <w:tab w:val="left" w:pos="426"/>
              </w:tabs>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Credencial de elector e Informe o certificado de no antecedentes penales.</w:t>
            </w:r>
          </w:p>
        </w:tc>
        <w:tc>
          <w:tcPr>
            <w:tcW w:w="2410" w:type="dxa"/>
            <w:vAlign w:val="center"/>
          </w:tcPr>
          <w:p w14:paraId="1B6893E8" w14:textId="77777777" w:rsidR="00C00D37" w:rsidRPr="0063563C" w:rsidRDefault="004A69F1">
            <w:pPr>
              <w:tabs>
                <w:tab w:val="left" w:pos="284"/>
                <w:tab w:val="left" w:pos="426"/>
              </w:tabs>
              <w:spacing w:before="240" w:after="240" w:line="360" w:lineRule="auto"/>
              <w:ind w:right="49"/>
              <w:jc w:val="center"/>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En versión pública.</w:t>
            </w:r>
          </w:p>
        </w:tc>
      </w:tr>
      <w:tr w:rsidR="0090188B" w:rsidRPr="0063563C" w14:paraId="027BD47A" w14:textId="77777777">
        <w:tc>
          <w:tcPr>
            <w:tcW w:w="3767" w:type="dxa"/>
            <w:vAlign w:val="center"/>
          </w:tcPr>
          <w:p w14:paraId="6F35B8D1" w14:textId="77777777" w:rsidR="00C00D37" w:rsidRPr="0063563C" w:rsidRDefault="004A69F1">
            <w:pPr>
              <w:tabs>
                <w:tab w:val="left" w:pos="284"/>
                <w:tab w:val="left" w:pos="426"/>
              </w:tabs>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Acreditar, cuando proceda, el cumplimiento de la Ley del Servicio Militar Nacional.</w:t>
            </w:r>
          </w:p>
        </w:tc>
        <w:tc>
          <w:tcPr>
            <w:tcW w:w="2607" w:type="dxa"/>
            <w:vAlign w:val="center"/>
          </w:tcPr>
          <w:p w14:paraId="7B001A8A" w14:textId="77777777" w:rsidR="00C00D37" w:rsidRPr="0063563C" w:rsidRDefault="004A69F1">
            <w:pPr>
              <w:tabs>
                <w:tab w:val="left" w:pos="284"/>
                <w:tab w:val="left" w:pos="426"/>
              </w:tabs>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Cartilla del Servicio Militar</w:t>
            </w:r>
          </w:p>
        </w:tc>
        <w:tc>
          <w:tcPr>
            <w:tcW w:w="2410" w:type="dxa"/>
            <w:vAlign w:val="center"/>
          </w:tcPr>
          <w:p w14:paraId="4E0720A2" w14:textId="77777777" w:rsidR="00C00D37" w:rsidRPr="0063563C" w:rsidRDefault="004A69F1">
            <w:pPr>
              <w:tabs>
                <w:tab w:val="left" w:pos="284"/>
                <w:tab w:val="left" w:pos="426"/>
              </w:tabs>
              <w:spacing w:before="240" w:after="240" w:line="360" w:lineRule="auto"/>
              <w:ind w:right="49"/>
              <w:jc w:val="center"/>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N/A</w:t>
            </w:r>
          </w:p>
        </w:tc>
      </w:tr>
      <w:tr w:rsidR="0090188B" w:rsidRPr="0063563C" w14:paraId="51D467EA" w14:textId="77777777">
        <w:tc>
          <w:tcPr>
            <w:tcW w:w="3767" w:type="dxa"/>
            <w:vAlign w:val="center"/>
          </w:tcPr>
          <w:p w14:paraId="6392F5D4" w14:textId="77777777" w:rsidR="00C00D37" w:rsidRPr="0063563C" w:rsidRDefault="004A69F1">
            <w:pPr>
              <w:tabs>
                <w:tab w:val="left" w:pos="284"/>
                <w:tab w:val="left" w:pos="426"/>
              </w:tabs>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No haber sido separado anteriormente del servicio por las causas previstas en el artículo 93 de la presente ley.</w:t>
            </w:r>
          </w:p>
        </w:tc>
        <w:tc>
          <w:tcPr>
            <w:tcW w:w="2607" w:type="dxa"/>
            <w:vAlign w:val="center"/>
          </w:tcPr>
          <w:p w14:paraId="17EDB7FD" w14:textId="77777777" w:rsidR="00C00D37" w:rsidRPr="0063563C" w:rsidRDefault="004A69F1">
            <w:pPr>
              <w:tabs>
                <w:tab w:val="left" w:pos="284"/>
                <w:tab w:val="left" w:pos="426"/>
              </w:tabs>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Constancia de no inhabilitación.</w:t>
            </w:r>
          </w:p>
        </w:tc>
        <w:tc>
          <w:tcPr>
            <w:tcW w:w="2410" w:type="dxa"/>
            <w:vAlign w:val="center"/>
          </w:tcPr>
          <w:p w14:paraId="15B81398" w14:textId="77777777" w:rsidR="00C00D37" w:rsidRPr="0063563C" w:rsidRDefault="004A69F1">
            <w:pPr>
              <w:tabs>
                <w:tab w:val="left" w:pos="284"/>
                <w:tab w:val="left" w:pos="426"/>
              </w:tabs>
              <w:spacing w:before="240" w:after="240" w:line="360" w:lineRule="auto"/>
              <w:ind w:right="49"/>
              <w:jc w:val="center"/>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En versión pública</w:t>
            </w:r>
          </w:p>
        </w:tc>
      </w:tr>
      <w:tr w:rsidR="0090188B" w:rsidRPr="0063563C" w14:paraId="476C82A5" w14:textId="77777777">
        <w:tc>
          <w:tcPr>
            <w:tcW w:w="3767" w:type="dxa"/>
            <w:vAlign w:val="center"/>
          </w:tcPr>
          <w:p w14:paraId="5CA3509A" w14:textId="77777777" w:rsidR="00C00D37" w:rsidRPr="0063563C" w:rsidRDefault="004A69F1">
            <w:pPr>
              <w:tabs>
                <w:tab w:val="left" w:pos="284"/>
                <w:tab w:val="left" w:pos="426"/>
              </w:tabs>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Tener buena salud, lo que se comprobará con los certificados médicos.</w:t>
            </w:r>
          </w:p>
        </w:tc>
        <w:tc>
          <w:tcPr>
            <w:tcW w:w="2607" w:type="dxa"/>
            <w:vAlign w:val="center"/>
          </w:tcPr>
          <w:p w14:paraId="00580090" w14:textId="77777777" w:rsidR="00C00D37" w:rsidRPr="0063563C" w:rsidRDefault="004A69F1">
            <w:pPr>
              <w:tabs>
                <w:tab w:val="left" w:pos="284"/>
                <w:tab w:val="left" w:pos="426"/>
              </w:tabs>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Certificado Médico</w:t>
            </w:r>
          </w:p>
        </w:tc>
        <w:tc>
          <w:tcPr>
            <w:tcW w:w="2410" w:type="dxa"/>
            <w:vAlign w:val="center"/>
          </w:tcPr>
          <w:p w14:paraId="4B1A34E8" w14:textId="77777777" w:rsidR="00C00D37" w:rsidRPr="0063563C" w:rsidRDefault="004A69F1">
            <w:pPr>
              <w:tabs>
                <w:tab w:val="left" w:pos="284"/>
                <w:tab w:val="left" w:pos="426"/>
              </w:tabs>
              <w:spacing w:before="240" w:after="240" w:line="360" w:lineRule="auto"/>
              <w:ind w:right="49"/>
              <w:jc w:val="center"/>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Confidencial</w:t>
            </w:r>
          </w:p>
        </w:tc>
      </w:tr>
      <w:tr w:rsidR="0090188B" w:rsidRPr="0063563C" w14:paraId="6FDE8AE5" w14:textId="77777777">
        <w:tc>
          <w:tcPr>
            <w:tcW w:w="3767" w:type="dxa"/>
            <w:vAlign w:val="center"/>
          </w:tcPr>
          <w:p w14:paraId="28DCDE6B" w14:textId="77777777" w:rsidR="00C00D37" w:rsidRPr="0063563C" w:rsidRDefault="004A69F1">
            <w:pPr>
              <w:tabs>
                <w:tab w:val="left" w:pos="284"/>
                <w:tab w:val="left" w:pos="426"/>
              </w:tabs>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Cumplir con los requisitos que se establezcan para los diferentes puestos.</w:t>
            </w:r>
          </w:p>
        </w:tc>
        <w:tc>
          <w:tcPr>
            <w:tcW w:w="2607" w:type="dxa"/>
            <w:vAlign w:val="center"/>
          </w:tcPr>
          <w:p w14:paraId="3C4D669E" w14:textId="77777777" w:rsidR="00C00D37" w:rsidRPr="0063563C" w:rsidRDefault="004A69F1">
            <w:pPr>
              <w:tabs>
                <w:tab w:val="left" w:pos="284"/>
                <w:tab w:val="left" w:pos="426"/>
              </w:tabs>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CV</w:t>
            </w:r>
          </w:p>
        </w:tc>
        <w:tc>
          <w:tcPr>
            <w:tcW w:w="2410" w:type="dxa"/>
            <w:vAlign w:val="center"/>
          </w:tcPr>
          <w:p w14:paraId="00669AA3" w14:textId="77777777" w:rsidR="00C00D37" w:rsidRPr="0063563C" w:rsidRDefault="004A69F1">
            <w:pPr>
              <w:tabs>
                <w:tab w:val="left" w:pos="284"/>
                <w:tab w:val="left" w:pos="426"/>
              </w:tabs>
              <w:spacing w:before="240" w:after="240" w:line="360" w:lineRule="auto"/>
              <w:ind w:right="49"/>
              <w:jc w:val="center"/>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En versión pública</w:t>
            </w:r>
          </w:p>
          <w:p w14:paraId="7B470D84" w14:textId="77777777" w:rsidR="00C00D37" w:rsidRPr="0063563C" w:rsidRDefault="00C00D37">
            <w:pPr>
              <w:tabs>
                <w:tab w:val="left" w:pos="284"/>
                <w:tab w:val="left" w:pos="426"/>
              </w:tabs>
              <w:spacing w:before="240" w:after="240" w:line="360" w:lineRule="auto"/>
              <w:ind w:right="49"/>
              <w:jc w:val="center"/>
              <w:rPr>
                <w:rFonts w:ascii="Palatino Linotype" w:eastAsia="Palatino Linotype" w:hAnsi="Palatino Linotype" w:cs="Palatino Linotype"/>
                <w:sz w:val="22"/>
                <w:szCs w:val="22"/>
              </w:rPr>
            </w:pPr>
          </w:p>
        </w:tc>
      </w:tr>
      <w:tr w:rsidR="0090188B" w:rsidRPr="0063563C" w14:paraId="3C6F1759" w14:textId="77777777">
        <w:tc>
          <w:tcPr>
            <w:tcW w:w="3767" w:type="dxa"/>
            <w:vAlign w:val="center"/>
          </w:tcPr>
          <w:p w14:paraId="47836ADA" w14:textId="77777777" w:rsidR="00C00D37" w:rsidRPr="0063563C" w:rsidRDefault="004A69F1">
            <w:pPr>
              <w:tabs>
                <w:tab w:val="left" w:pos="284"/>
                <w:tab w:val="left" w:pos="426"/>
              </w:tabs>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Acreditar por medio de los exámenes correspondientes los conocimientos y aptitudes necesarios para el desempeño del puesto.</w:t>
            </w:r>
          </w:p>
        </w:tc>
        <w:tc>
          <w:tcPr>
            <w:tcW w:w="2607" w:type="dxa"/>
            <w:vAlign w:val="center"/>
          </w:tcPr>
          <w:p w14:paraId="17A70A2F" w14:textId="77777777" w:rsidR="00C00D37" w:rsidRPr="0063563C" w:rsidRDefault="004A69F1">
            <w:pPr>
              <w:tabs>
                <w:tab w:val="left" w:pos="284"/>
                <w:tab w:val="left" w:pos="426"/>
              </w:tabs>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No se localizó que los servidores públicos adscritos al Sujeto Obligado se encuentren constreñidos a presentar examen de conocimientos y aptitudes para ostentar algún cargo; no obstante, no se descarta la posibilidad de que, si cuente con ellos, por lo que, de ser así se deberá entregar el documento que demuestre el resultado global, como aprobado/no aprobado.</w:t>
            </w:r>
          </w:p>
        </w:tc>
        <w:tc>
          <w:tcPr>
            <w:tcW w:w="2410" w:type="dxa"/>
            <w:vAlign w:val="center"/>
          </w:tcPr>
          <w:p w14:paraId="7E3E7082" w14:textId="77777777" w:rsidR="00C00D37" w:rsidRPr="0063563C" w:rsidRDefault="004A69F1">
            <w:pPr>
              <w:tabs>
                <w:tab w:val="left" w:pos="284"/>
                <w:tab w:val="left" w:pos="426"/>
              </w:tabs>
              <w:spacing w:before="240" w:after="240" w:line="360" w:lineRule="auto"/>
              <w:ind w:right="49"/>
              <w:jc w:val="center"/>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En versión pública el resultado global.</w:t>
            </w:r>
          </w:p>
        </w:tc>
      </w:tr>
      <w:tr w:rsidR="0090188B" w:rsidRPr="0063563C" w14:paraId="393ADEE4" w14:textId="77777777">
        <w:tc>
          <w:tcPr>
            <w:tcW w:w="3767" w:type="dxa"/>
            <w:vAlign w:val="center"/>
          </w:tcPr>
          <w:p w14:paraId="0CDF8F5F" w14:textId="77777777" w:rsidR="00C00D37" w:rsidRPr="0063563C" w:rsidRDefault="004A69F1">
            <w:pPr>
              <w:tabs>
                <w:tab w:val="left" w:pos="284"/>
                <w:tab w:val="left" w:pos="426"/>
              </w:tabs>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No estar inhabilitado para el ejercicio del servicio público.</w:t>
            </w:r>
          </w:p>
        </w:tc>
        <w:tc>
          <w:tcPr>
            <w:tcW w:w="2607" w:type="dxa"/>
            <w:vAlign w:val="center"/>
          </w:tcPr>
          <w:p w14:paraId="778BE169" w14:textId="77777777" w:rsidR="00C00D37" w:rsidRPr="0063563C" w:rsidRDefault="004A69F1">
            <w:pPr>
              <w:tabs>
                <w:tab w:val="left" w:pos="284"/>
                <w:tab w:val="left" w:pos="426"/>
              </w:tabs>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Constancia de no inhabilitación.</w:t>
            </w:r>
          </w:p>
        </w:tc>
        <w:tc>
          <w:tcPr>
            <w:tcW w:w="2410" w:type="dxa"/>
            <w:vAlign w:val="center"/>
          </w:tcPr>
          <w:p w14:paraId="4C53784C" w14:textId="77777777" w:rsidR="00C00D37" w:rsidRPr="0063563C" w:rsidRDefault="004A69F1">
            <w:pPr>
              <w:tabs>
                <w:tab w:val="left" w:pos="284"/>
                <w:tab w:val="left" w:pos="426"/>
              </w:tabs>
              <w:spacing w:before="240" w:after="240" w:line="360" w:lineRule="auto"/>
              <w:ind w:right="49"/>
              <w:jc w:val="center"/>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En versión Pública.</w:t>
            </w:r>
          </w:p>
        </w:tc>
      </w:tr>
      <w:tr w:rsidR="0090188B" w:rsidRPr="0063563C" w14:paraId="7847D73A" w14:textId="77777777">
        <w:tc>
          <w:tcPr>
            <w:tcW w:w="3767" w:type="dxa"/>
            <w:vAlign w:val="center"/>
          </w:tcPr>
          <w:p w14:paraId="22859E28" w14:textId="77777777" w:rsidR="00C00D37" w:rsidRPr="0063563C" w:rsidRDefault="004A69F1">
            <w:pPr>
              <w:tabs>
                <w:tab w:val="left" w:pos="284"/>
                <w:tab w:val="left" w:pos="426"/>
              </w:tabs>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Presentar certificado expedido por la Unidad del Registro de Deudores Alimentarios Morosos en el que conste, si se encuentra inscrito o no en el mismo.</w:t>
            </w:r>
          </w:p>
        </w:tc>
        <w:tc>
          <w:tcPr>
            <w:tcW w:w="2607" w:type="dxa"/>
            <w:vAlign w:val="center"/>
          </w:tcPr>
          <w:p w14:paraId="7B112963" w14:textId="77777777" w:rsidR="00C00D37" w:rsidRPr="0063563C" w:rsidRDefault="004A69F1">
            <w:pPr>
              <w:tabs>
                <w:tab w:val="left" w:pos="284"/>
                <w:tab w:val="left" w:pos="426"/>
              </w:tabs>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Certificado de No Deudor Alimentario Moroso.</w:t>
            </w:r>
          </w:p>
        </w:tc>
        <w:tc>
          <w:tcPr>
            <w:tcW w:w="2410" w:type="dxa"/>
            <w:vAlign w:val="center"/>
          </w:tcPr>
          <w:p w14:paraId="5C6DB865" w14:textId="77777777" w:rsidR="00C00D37" w:rsidRPr="0063563C" w:rsidRDefault="004A69F1">
            <w:pPr>
              <w:tabs>
                <w:tab w:val="left" w:pos="284"/>
                <w:tab w:val="left" w:pos="426"/>
              </w:tabs>
              <w:spacing w:before="240" w:after="240" w:line="360" w:lineRule="auto"/>
              <w:ind w:right="49"/>
              <w:jc w:val="center"/>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En versión Pública.</w:t>
            </w:r>
          </w:p>
        </w:tc>
      </w:tr>
      <w:tr w:rsidR="0090188B" w:rsidRPr="0063563C" w14:paraId="19A986AB" w14:textId="77777777">
        <w:tc>
          <w:tcPr>
            <w:tcW w:w="3767" w:type="dxa"/>
            <w:vAlign w:val="center"/>
          </w:tcPr>
          <w:p w14:paraId="7718B26B" w14:textId="77777777" w:rsidR="00C00D37" w:rsidRPr="0063563C" w:rsidRDefault="004A69F1">
            <w:pPr>
              <w:tabs>
                <w:tab w:val="left" w:pos="284"/>
                <w:tab w:val="left" w:pos="426"/>
              </w:tabs>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Para iniciar la prestación de los servicios</w:t>
            </w:r>
          </w:p>
        </w:tc>
        <w:tc>
          <w:tcPr>
            <w:tcW w:w="2607" w:type="dxa"/>
            <w:vAlign w:val="center"/>
          </w:tcPr>
          <w:p w14:paraId="0981B7DF" w14:textId="77777777" w:rsidR="00C00D37" w:rsidRPr="0063563C" w:rsidRDefault="004A69F1">
            <w:pPr>
              <w:tabs>
                <w:tab w:val="left" w:pos="284"/>
                <w:tab w:val="left" w:pos="426"/>
              </w:tabs>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Nombramiento, contrato o formato único de Movimientos de Personal.</w:t>
            </w:r>
          </w:p>
        </w:tc>
        <w:tc>
          <w:tcPr>
            <w:tcW w:w="2410" w:type="dxa"/>
            <w:vAlign w:val="center"/>
          </w:tcPr>
          <w:p w14:paraId="5077A95F" w14:textId="77777777" w:rsidR="00C00D37" w:rsidRPr="0063563C" w:rsidRDefault="004A69F1">
            <w:pPr>
              <w:tabs>
                <w:tab w:val="left" w:pos="284"/>
                <w:tab w:val="left" w:pos="426"/>
              </w:tabs>
              <w:spacing w:before="240" w:after="240" w:line="360" w:lineRule="auto"/>
              <w:ind w:right="49"/>
              <w:jc w:val="center"/>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En versión Pública.</w:t>
            </w:r>
          </w:p>
        </w:tc>
      </w:tr>
    </w:tbl>
    <w:p w14:paraId="17A009D7" w14:textId="77777777" w:rsidR="00C00D37" w:rsidRPr="0063563C" w:rsidRDefault="00C00D37">
      <w:pPr>
        <w:tabs>
          <w:tab w:val="left" w:pos="8222"/>
        </w:tabs>
        <w:spacing w:before="240" w:after="240" w:line="360" w:lineRule="auto"/>
        <w:ind w:right="49"/>
        <w:jc w:val="both"/>
        <w:rPr>
          <w:rFonts w:ascii="Palatino Linotype" w:eastAsia="Palatino Linotype" w:hAnsi="Palatino Linotype" w:cs="Palatino Linotype"/>
          <w:sz w:val="22"/>
          <w:szCs w:val="22"/>
        </w:rPr>
      </w:pPr>
    </w:p>
    <w:p w14:paraId="71A64E06" w14:textId="77777777" w:rsidR="00C00D37" w:rsidRPr="0063563C" w:rsidRDefault="004A69F1">
      <w:pPr>
        <w:tabs>
          <w:tab w:val="left" w:pos="8222"/>
        </w:tabs>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De este modo, es de referir que es de interés público de la ciudadanía, conocer que los trabajadores gubernamentales cumplen con todos los requisitos establecidos en la  normatividad respectiva, pues solo así, se puede saber, si los empleados, son aptos para ocupar determinados puestos; por otra parte, la publicidad de la información ayuda a rendir cuentas a la población, respecto a que las dependencias gubernamentales cumplen con lo establecido en los ordenamientos jurídicos, ya que permite a las personas verificar que una Dependencia o Ayuntamiento, contrata a servidores públicos capaces e idóneos para cumplir con sus funciones y cumplen con los requisitos respectivos.</w:t>
      </w:r>
    </w:p>
    <w:p w14:paraId="140C42FB" w14:textId="77777777" w:rsidR="00C00D37" w:rsidRPr="0063563C" w:rsidRDefault="004A69F1">
      <w:pPr>
        <w:tabs>
          <w:tab w:val="left" w:pos="8222"/>
        </w:tabs>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En atención a lo anterior, se procede al análisis pormenorizado de las documentales que conforman los expedientes laborales del personal, para efecto de determinar la procedencia de su entrega:</w:t>
      </w:r>
    </w:p>
    <w:p w14:paraId="357241F8" w14:textId="77777777" w:rsidR="00C00D37" w:rsidRPr="0063563C" w:rsidRDefault="004A69F1">
      <w:pPr>
        <w:numPr>
          <w:ilvl w:val="0"/>
          <w:numId w:val="8"/>
        </w:numPr>
        <w:pBdr>
          <w:top w:val="nil"/>
          <w:left w:val="nil"/>
          <w:bottom w:val="nil"/>
          <w:right w:val="nil"/>
          <w:between w:val="nil"/>
        </w:pBdr>
        <w:tabs>
          <w:tab w:val="left" w:pos="8222"/>
        </w:tabs>
        <w:spacing w:before="240" w:after="240" w:line="360" w:lineRule="auto"/>
        <w:ind w:right="49"/>
        <w:jc w:val="both"/>
        <w:rPr>
          <w:b/>
          <w:bCs/>
          <w:sz w:val="22"/>
          <w:szCs w:val="22"/>
        </w:rPr>
      </w:pPr>
      <w:r w:rsidRPr="0063563C">
        <w:rPr>
          <w:rFonts w:ascii="Palatino Linotype" w:eastAsia="Palatino Linotype" w:hAnsi="Palatino Linotype" w:cs="Palatino Linotype"/>
          <w:b/>
          <w:bCs/>
          <w:sz w:val="22"/>
          <w:szCs w:val="22"/>
          <w:u w:val="single"/>
        </w:rPr>
        <w:t>Solicitud de empleo.</w:t>
      </w:r>
    </w:p>
    <w:p w14:paraId="7B599611" w14:textId="77777777" w:rsidR="00C00D37" w:rsidRPr="0063563C" w:rsidRDefault="004A69F1">
      <w:pPr>
        <w:tabs>
          <w:tab w:val="left" w:pos="8222"/>
        </w:tabs>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La solicitud de empleo es un documento físico o digital, que se estructura a modo de formulario y tiene como finalidad recoger información que el empleador requiere conocer del aspirante. En ese sentido, es importante mencionar que este documento se constituye por diversos datos personales como: nombre, domicilio particular, correo electrónico y número de teléfono particular e incluso, en ciertos formatos, información de estado de salud, hábitos personales o de consanguíneos, sin embargo, también da cuenta de información que en el presente caso resulta ser de interés público, como experiencia laboral y grados de estudio.</w:t>
      </w:r>
    </w:p>
    <w:p w14:paraId="36DEF540" w14:textId="77777777" w:rsidR="00C00D37" w:rsidRPr="0063563C" w:rsidRDefault="004A69F1">
      <w:pPr>
        <w:tabs>
          <w:tab w:val="left" w:pos="8222"/>
        </w:tabs>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Por otro lado, es necesario referir que de acuerdo con el artículo 47 de la Ley de Trabajo de los Servidores Públicos del Estado de México, establece que para ingresar al servicio público se requiere presentar una solicitud de empleo, es decir, la entrega de este documento resulta ser un requisito indispensable para poder prestar servicios dentro de la Administración Pública del Estado de México.</w:t>
      </w:r>
    </w:p>
    <w:p w14:paraId="22736175" w14:textId="77777777" w:rsidR="00C00D37" w:rsidRPr="0063563C" w:rsidRDefault="004A69F1">
      <w:pPr>
        <w:tabs>
          <w:tab w:val="left" w:pos="8222"/>
        </w:tabs>
        <w:spacing w:before="240" w:after="240" w:line="360" w:lineRule="auto"/>
        <w:ind w:right="49"/>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Bajo este orden de ideas, este documento si bien, cuenta con datos personales que en nada abonan a la transparencia y rendición de cuentas, ya que atañen únicamente a la esfera privada del servidor público, también lo es que además de contener información que acredita el nivel académico o preparación de los servidores públicos, es un requisito indispensable de ingreso al servicio público, por lo que, su acceso toma relevancia al guardar relación directa con la contratación del servidor público y con el ejercicio de sus atribuciones.</w:t>
      </w:r>
    </w:p>
    <w:p w14:paraId="3F6E8ABD" w14:textId="77777777" w:rsidR="00C00D37" w:rsidRPr="0063563C" w:rsidRDefault="004A69F1">
      <w:pPr>
        <w:tabs>
          <w:tab w:val="left" w:pos="8222"/>
        </w:tabs>
        <w:spacing w:before="240" w:after="240" w:line="360" w:lineRule="auto"/>
        <w:ind w:right="49"/>
        <w:jc w:val="both"/>
        <w:rPr>
          <w:rFonts w:ascii="Palatino Linotype" w:eastAsia="Palatino Linotype" w:hAnsi="Palatino Linotype" w:cs="Palatino Linotype"/>
          <w:b/>
          <w:bCs/>
          <w:sz w:val="22"/>
          <w:szCs w:val="22"/>
        </w:rPr>
      </w:pPr>
      <w:r w:rsidRPr="0063563C">
        <w:rPr>
          <w:rFonts w:ascii="Palatino Linotype" w:eastAsia="Palatino Linotype" w:hAnsi="Palatino Linotype" w:cs="Palatino Linotype"/>
          <w:sz w:val="22"/>
          <w:szCs w:val="22"/>
        </w:rPr>
        <w:t xml:space="preserve">De esta manera, se trata de un documento de interés público, que contiene datos que actualizan la causal de clasificación parcial de información confidencial establecida en el artículo 143, fracción I, de la Ley de Transparencia y Acceso a la Información Pública del Estado de México y Municipios, </w:t>
      </w:r>
      <w:r w:rsidRPr="0063563C">
        <w:rPr>
          <w:rFonts w:ascii="Palatino Linotype" w:eastAsia="Palatino Linotype" w:hAnsi="Palatino Linotype" w:cs="Palatino Linotype"/>
          <w:b/>
          <w:bCs/>
          <w:sz w:val="22"/>
          <w:szCs w:val="22"/>
        </w:rPr>
        <w:t>por lo tanto, procede su entrega en versión pública.</w:t>
      </w:r>
    </w:p>
    <w:p w14:paraId="0ECD4835" w14:textId="77777777" w:rsidR="00C00D37" w:rsidRPr="0063563C" w:rsidRDefault="004A69F1">
      <w:pPr>
        <w:numPr>
          <w:ilvl w:val="0"/>
          <w:numId w:val="8"/>
        </w:numPr>
        <w:pBdr>
          <w:top w:val="nil"/>
          <w:left w:val="nil"/>
          <w:bottom w:val="nil"/>
          <w:right w:val="nil"/>
          <w:between w:val="nil"/>
        </w:pBdr>
        <w:tabs>
          <w:tab w:val="left" w:pos="8222"/>
        </w:tabs>
        <w:spacing w:before="240" w:after="240" w:line="360" w:lineRule="auto"/>
        <w:ind w:right="49"/>
        <w:jc w:val="both"/>
        <w:rPr>
          <w:b/>
          <w:bCs/>
          <w:sz w:val="22"/>
          <w:szCs w:val="22"/>
        </w:rPr>
      </w:pPr>
      <w:r w:rsidRPr="0063563C">
        <w:rPr>
          <w:rFonts w:ascii="Palatino Linotype" w:eastAsia="Palatino Linotype" w:hAnsi="Palatino Linotype" w:cs="Palatino Linotype"/>
          <w:b/>
          <w:bCs/>
          <w:sz w:val="22"/>
          <w:szCs w:val="22"/>
          <w:u w:val="single"/>
        </w:rPr>
        <w:t>Currículum vitae.</w:t>
      </w:r>
    </w:p>
    <w:p w14:paraId="7457E108"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El </w:t>
      </w:r>
      <w:r w:rsidRPr="0063563C">
        <w:rPr>
          <w:rFonts w:ascii="Palatino Linotype" w:eastAsia="Palatino Linotype" w:hAnsi="Palatino Linotype" w:cs="Palatino Linotype"/>
          <w:i/>
          <w:iCs/>
          <w:sz w:val="22"/>
          <w:szCs w:val="22"/>
        </w:rPr>
        <w:t>currículum vitae</w:t>
      </w:r>
      <w:r w:rsidRPr="0063563C">
        <w:rPr>
          <w:rFonts w:ascii="Palatino Linotype" w:eastAsia="Palatino Linotype" w:hAnsi="Palatino Linotype" w:cs="Palatino Linotype"/>
          <w:sz w:val="22"/>
          <w:szCs w:val="22"/>
        </w:rPr>
        <w:t>, es el documento que las personas elaboran con los datos de identificación y contacto</w:t>
      </w:r>
      <w:r w:rsidRPr="0063563C">
        <w:rPr>
          <w:rFonts w:ascii="Palatino Linotype" w:eastAsia="Palatino Linotype" w:hAnsi="Palatino Linotype" w:cs="Palatino Linotype"/>
          <w:sz w:val="22"/>
          <w:szCs w:val="22"/>
          <w:u w:val="single"/>
        </w:rPr>
        <w:t xml:space="preserve">, </w:t>
      </w:r>
      <w:r w:rsidRPr="0063563C">
        <w:rPr>
          <w:rFonts w:ascii="Palatino Linotype" w:eastAsia="Palatino Linotype" w:hAnsi="Palatino Linotype" w:cs="Palatino Linotype"/>
          <w:b/>
          <w:bCs/>
          <w:sz w:val="22"/>
          <w:szCs w:val="22"/>
          <w:u w:val="single"/>
        </w:rPr>
        <w:t>preparación académica y experiencia profesion</w:t>
      </w:r>
      <w:r w:rsidRPr="0063563C">
        <w:rPr>
          <w:rFonts w:ascii="Palatino Linotype" w:eastAsia="Palatino Linotype" w:hAnsi="Palatino Linotype" w:cs="Palatino Linotype"/>
          <w:b/>
          <w:bCs/>
          <w:sz w:val="22"/>
          <w:szCs w:val="22"/>
        </w:rPr>
        <w:t>al,</w:t>
      </w:r>
      <w:r w:rsidRPr="0063563C">
        <w:rPr>
          <w:rFonts w:ascii="Palatino Linotype" w:eastAsia="Palatino Linotype" w:hAnsi="Palatino Linotype" w:cs="Palatino Linotype"/>
          <w:sz w:val="22"/>
          <w:szCs w:val="22"/>
        </w:rPr>
        <w:t xml:space="preserve"> para presentarse ante un posible empleador. En este sentido, los documentos que dan cuenta de la preparación académica sirven como medios de identificación para que a su titular lo relacionen con el nivel de estudios con que cuenta y, por lo que hace al </w:t>
      </w:r>
      <w:r w:rsidRPr="0063563C">
        <w:rPr>
          <w:rFonts w:ascii="Palatino Linotype" w:eastAsia="Palatino Linotype" w:hAnsi="Palatino Linotype" w:cs="Palatino Linotype"/>
          <w:i/>
          <w:iCs/>
          <w:sz w:val="22"/>
          <w:szCs w:val="22"/>
        </w:rPr>
        <w:t>currículum vitae</w:t>
      </w:r>
      <w:r w:rsidRPr="0063563C">
        <w:rPr>
          <w:rFonts w:ascii="Palatino Linotype" w:eastAsia="Palatino Linotype" w:hAnsi="Palatino Linotype" w:cs="Palatino Linotype"/>
          <w:b/>
          <w:bCs/>
          <w:sz w:val="22"/>
          <w:szCs w:val="22"/>
          <w:u w:val="single"/>
        </w:rPr>
        <w:t>, se le suma la experiencia laboral</w:t>
      </w:r>
      <w:r w:rsidRPr="0063563C">
        <w:rPr>
          <w:rFonts w:ascii="Palatino Linotype" w:eastAsia="Palatino Linotype" w:hAnsi="Palatino Linotype" w:cs="Palatino Linotype"/>
          <w:sz w:val="22"/>
          <w:szCs w:val="22"/>
        </w:rPr>
        <w:t xml:space="preserve"> </w:t>
      </w:r>
      <w:r w:rsidRPr="0063563C">
        <w:rPr>
          <w:rFonts w:ascii="Palatino Linotype" w:eastAsia="Palatino Linotype" w:hAnsi="Palatino Linotype" w:cs="Palatino Linotype"/>
          <w:b/>
          <w:bCs/>
          <w:sz w:val="22"/>
          <w:szCs w:val="22"/>
          <w:u w:val="single"/>
        </w:rPr>
        <w:t xml:space="preserve">pues permiten identificar el nivel y tipo de preparación de su titular y en su caso su perfil </w:t>
      </w:r>
      <w:r w:rsidRPr="0063563C">
        <w:rPr>
          <w:rFonts w:ascii="Palatino Linotype" w:eastAsia="Palatino Linotype" w:hAnsi="Palatino Linotype" w:cs="Palatino Linotype"/>
          <w:b/>
          <w:bCs/>
          <w:sz w:val="22"/>
          <w:szCs w:val="22"/>
        </w:rPr>
        <w:t xml:space="preserve">profesional </w:t>
      </w:r>
      <w:r w:rsidRPr="0063563C">
        <w:rPr>
          <w:rFonts w:ascii="Palatino Linotype" w:eastAsia="Palatino Linotype" w:hAnsi="Palatino Linotype" w:cs="Palatino Linotype"/>
          <w:b/>
          <w:bCs/>
          <w:sz w:val="22"/>
          <w:szCs w:val="22"/>
          <w:u w:val="single"/>
        </w:rPr>
        <w:t>o laboral.</w:t>
      </w:r>
    </w:p>
    <w:p w14:paraId="6A60F08E"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Desde esta perspectiva, a través del currículum vite la persona solicitante puede advertir los estudios realizados o bien el nivel académico, así como la experiencia laboral de los servidores públicos que se encuentran adscritos al </w:t>
      </w:r>
      <w:r w:rsidRPr="0063563C">
        <w:rPr>
          <w:rFonts w:ascii="Palatino Linotype" w:eastAsia="Palatino Linotype" w:hAnsi="Palatino Linotype" w:cs="Palatino Linotype"/>
          <w:b/>
          <w:bCs/>
          <w:sz w:val="22"/>
          <w:szCs w:val="22"/>
        </w:rPr>
        <w:t>Sujeto Obligado</w:t>
      </w:r>
      <w:r w:rsidRPr="0063563C">
        <w:rPr>
          <w:rFonts w:ascii="Palatino Linotype" w:eastAsia="Palatino Linotype" w:hAnsi="Palatino Linotype" w:cs="Palatino Linotype"/>
          <w:sz w:val="22"/>
          <w:szCs w:val="22"/>
        </w:rPr>
        <w:t xml:space="preserve">, información que es de carácter público de conformidad con el criterio orientador 03/2009, emitido por el entonces Instituto Nacional de Transparencia Acceso a la Información Pública y Protección de Datos Personales (INAI), que establece que una de las formas en que los ciudadanos puedan evaluar las aptitudes de los servidores públicos para desempeñar el cargo público que les ha sido encomendado, </w:t>
      </w:r>
      <w:r w:rsidRPr="0063563C">
        <w:rPr>
          <w:rFonts w:ascii="Palatino Linotype" w:eastAsia="Palatino Linotype" w:hAnsi="Palatino Linotype" w:cs="Palatino Linotype"/>
          <w:b/>
          <w:bCs/>
          <w:sz w:val="22"/>
          <w:szCs w:val="22"/>
          <w:u w:val="single"/>
        </w:rPr>
        <w:t>es mediante la publicidad de ciertos datos contenidos en los currículos, o bien en las solicitudes de empleo,</w:t>
      </w:r>
      <w:r w:rsidRPr="0063563C">
        <w:rPr>
          <w:rFonts w:ascii="Palatino Linotype" w:eastAsia="Palatino Linotype" w:hAnsi="Palatino Linotype" w:cs="Palatino Linotype"/>
          <w:sz w:val="22"/>
          <w:szCs w:val="22"/>
        </w:rPr>
        <w:t xml:space="preserve"> el cual, para mayor ilustración se transcribe a continuación:</w:t>
      </w:r>
    </w:p>
    <w:p w14:paraId="23F97325" w14:textId="77777777" w:rsidR="00C00D37" w:rsidRPr="0063563C" w:rsidRDefault="004A69F1">
      <w:pPr>
        <w:spacing w:before="240" w:after="240" w:line="360" w:lineRule="auto"/>
        <w:ind w:left="567" w:right="612"/>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 xml:space="preserve"> “</w:t>
      </w:r>
      <w:r w:rsidRPr="0063563C">
        <w:rPr>
          <w:rFonts w:ascii="Palatino Linotype" w:eastAsia="Palatino Linotype" w:hAnsi="Palatino Linotype" w:cs="Palatino Linotype"/>
          <w:b/>
          <w:bCs/>
          <w:i/>
          <w:iCs/>
          <w:sz w:val="22"/>
          <w:szCs w:val="22"/>
        </w:rPr>
        <w:t>Curriculum Vitae de servidores públicos.</w:t>
      </w:r>
      <w:r w:rsidRPr="0063563C">
        <w:rPr>
          <w:rFonts w:ascii="Palatino Linotype" w:eastAsia="Palatino Linotype" w:hAnsi="Palatino Linotype" w:cs="Palatino Linotype"/>
          <w:i/>
          <w:iCs/>
          <w:sz w:val="22"/>
          <w:szCs w:val="22"/>
        </w:rPr>
        <w:t xml:space="preserve"> Es obligación de los sujetos obligados otorgar acceso a versiones públicas de los mismos ante una solicitud de acceso. Uno de los objetivos de la Ley Federal de Transparencia y Acceso a la Información Pública Gubernamental, de acuerdo con su artículo 4, fracción IV, es favorecer la rendición de cuentas a las personas, de manera que puedan valorar el desempeño de los sujetos obligados. Si bien en el curriculum vitae se describe información de una persona relacionada con su formación académica, trayectoria profesional, datos de contacto, datos biográficos, entre otros, los cuales constituyen datos personales, de acuerdo con lo previsto en el artículo 3, fracción II de la Ley Federal de Transparencia y Acceso a la Información Pública Gubernamental, y en consecuencia, representan información confidencial, en términos de lo establecido en el artículo 18, fracción II de la Ley Federal de Transparencia y Acceso a la Información Pública Gubernamental, tratándose del curriculum vitae de un servidor público, una de las formas en que los ciudadanos pueden evaluar sus aptitudes para desempeñar el cargo público que le ha sido encomendado, es mediante la publicidad de ciertos datos de los ahí contenidos. En esa tesitura, entre los datos personales del curriculum vitae de un servidor público susceptibles de hacerse del conocimiento público, ante una solicitud de acceso, se encuentran los relativos a su trayectoria académica, profesional, laboral, así como todos aquellos que acrediten su capacidad, habilidades o pericia para ocupar el cargo público.” (Sic)</w:t>
      </w:r>
    </w:p>
    <w:p w14:paraId="33C31A13" w14:textId="77777777" w:rsidR="00C00D37" w:rsidRPr="0063563C" w:rsidRDefault="004A69F1">
      <w:pPr>
        <w:spacing w:before="240" w:after="240" w:line="360" w:lineRule="auto"/>
        <w:jc w:val="both"/>
        <w:rPr>
          <w:rFonts w:ascii="Palatino Linotype" w:eastAsia="Palatino Linotype" w:hAnsi="Palatino Linotype" w:cs="Palatino Linotype"/>
          <w:b/>
          <w:bCs/>
          <w:sz w:val="22"/>
          <w:szCs w:val="22"/>
        </w:rPr>
      </w:pPr>
      <w:r w:rsidRPr="0063563C">
        <w:rPr>
          <w:rFonts w:ascii="Palatino Linotype" w:eastAsia="Palatino Linotype" w:hAnsi="Palatino Linotype" w:cs="Palatino Linotype"/>
          <w:sz w:val="22"/>
          <w:szCs w:val="22"/>
        </w:rPr>
        <w:t xml:space="preserve">Del cual se advierte que si bien en el currículum vitae se describe información de una persona relacionada con su formación académica, trayectoria profesional y datos de contacto entre otros que pudieran constituir datos personales; tratándose de servidores públicos, el conocimiento de los mismos por los gobernados contribuye a la evaluación de sus aptitudes </w:t>
      </w:r>
      <w:r w:rsidRPr="0063563C">
        <w:rPr>
          <w:rFonts w:ascii="Palatino Linotype" w:eastAsia="Palatino Linotype" w:hAnsi="Palatino Linotype" w:cs="Palatino Linotype"/>
          <w:b/>
          <w:bCs/>
          <w:sz w:val="22"/>
          <w:szCs w:val="22"/>
        </w:rPr>
        <w:t>de acuerdo a su nivel profesional y laboral</w:t>
      </w:r>
      <w:r w:rsidRPr="0063563C">
        <w:rPr>
          <w:rFonts w:ascii="Palatino Linotype" w:eastAsia="Palatino Linotype" w:hAnsi="Palatino Linotype" w:cs="Palatino Linotype"/>
          <w:sz w:val="22"/>
          <w:szCs w:val="22"/>
        </w:rPr>
        <w:t xml:space="preserve">, para el desempeño de sus funciones en el cargo que ostenten, razón que resulta suficiente para que sean de conocimiento público </w:t>
      </w:r>
      <w:r w:rsidRPr="0063563C">
        <w:rPr>
          <w:rFonts w:ascii="Palatino Linotype" w:eastAsia="Palatino Linotype" w:hAnsi="Palatino Linotype" w:cs="Palatino Linotype"/>
          <w:sz w:val="22"/>
          <w:szCs w:val="22"/>
          <w:u w:val="single"/>
        </w:rPr>
        <w:t>y si bien es cierto que no existe disposición legal que ordene de manera expresa que el sujeto obligado, deba contar en sus archivos con un documento denominado “currículum vitae”</w:t>
      </w:r>
      <w:r w:rsidRPr="0063563C">
        <w:rPr>
          <w:rFonts w:ascii="Palatino Linotype" w:eastAsia="Palatino Linotype" w:hAnsi="Palatino Linotype" w:cs="Palatino Linotype"/>
          <w:sz w:val="22"/>
          <w:szCs w:val="22"/>
        </w:rPr>
        <w:t xml:space="preserve"> de sus servidores públicos, </w:t>
      </w:r>
      <w:r w:rsidRPr="0063563C">
        <w:rPr>
          <w:rFonts w:ascii="Palatino Linotype" w:eastAsia="Palatino Linotype" w:hAnsi="Palatino Linotype" w:cs="Palatino Linotype"/>
          <w:b/>
          <w:bCs/>
          <w:sz w:val="22"/>
          <w:szCs w:val="22"/>
        </w:rPr>
        <w:t>también lo es que para el desempeño de un empleo, cargo o comisión en el servicio público sí es requisito, entre otros, presentar una solicitud del empleo, como se desprende del artículo 47 fracción I de la Ley del Trabajo para los Servidores Públicos del Estado y Municipios, a saber:</w:t>
      </w:r>
    </w:p>
    <w:p w14:paraId="5ECC1741" w14:textId="77777777" w:rsidR="00C00D37" w:rsidRPr="0063563C" w:rsidRDefault="004A69F1">
      <w:pPr>
        <w:spacing w:before="240" w:after="240" w:line="360" w:lineRule="auto"/>
        <w:ind w:left="567" w:right="560"/>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 xml:space="preserve">“ARTÍCULO 47. Para ingresar al servicio público se requiere: </w:t>
      </w:r>
    </w:p>
    <w:p w14:paraId="56A4F5F9" w14:textId="77777777" w:rsidR="00C00D37" w:rsidRPr="0063563C" w:rsidRDefault="004A69F1">
      <w:pPr>
        <w:spacing w:before="240" w:after="240" w:line="360" w:lineRule="auto"/>
        <w:ind w:left="567" w:right="560"/>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I. Presentar una solicitud utilizando la forma oficial que se autorice por la institución pública o dependencia correspondiente, a la cual se le prohíbe incluir la fotografía de quien solicita el empleo; […]”</w:t>
      </w:r>
    </w:p>
    <w:p w14:paraId="117D37BD"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sz w:val="22"/>
          <w:szCs w:val="22"/>
        </w:rPr>
        <w:t>Por lo que es posible determinar que, el currículum vítae, ficha curricular, solicitud de empleo o documento análogo, contienen información relacionada con la trayectoria académica, profesional y laboral,</w:t>
      </w:r>
      <w:r w:rsidRPr="0063563C">
        <w:rPr>
          <w:rFonts w:ascii="Palatino Linotype" w:eastAsia="Palatino Linotype" w:hAnsi="Palatino Linotype" w:cs="Palatino Linotype"/>
          <w:sz w:val="22"/>
          <w:szCs w:val="22"/>
        </w:rPr>
        <w:t xml:space="preserve"> por medio del cual se acredita la capacidad, habilidades, experiencia o pericia de una persona para ocupar un cargo, puesto o comisión, que permitan realizar una comparación de las actividades que ha realizado con las que habrá de desarrollar, y determinar si cumple con el perfil del cargo a ocupar.</w:t>
      </w:r>
    </w:p>
    <w:p w14:paraId="0BCFFED1" w14:textId="77777777" w:rsidR="00C00D37" w:rsidRPr="0063563C" w:rsidRDefault="00C00D37">
      <w:pPr>
        <w:spacing w:before="240" w:after="240" w:line="360" w:lineRule="auto"/>
        <w:jc w:val="both"/>
        <w:rPr>
          <w:rFonts w:ascii="Palatino Linotype" w:eastAsia="Palatino Linotype" w:hAnsi="Palatino Linotype" w:cs="Palatino Linotype"/>
          <w:sz w:val="22"/>
          <w:szCs w:val="22"/>
        </w:rPr>
      </w:pPr>
    </w:p>
    <w:p w14:paraId="456F5165"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En esa tesitura, debe apuntarse que la información curricular constituye una obligación de transparencia, pues </w:t>
      </w:r>
      <w:r w:rsidRPr="0063563C">
        <w:rPr>
          <w:rFonts w:ascii="Palatino Linotype" w:eastAsia="Palatino Linotype" w:hAnsi="Palatino Linotype" w:cs="Palatino Linotype"/>
          <w:b/>
          <w:bCs/>
          <w:sz w:val="22"/>
          <w:szCs w:val="22"/>
        </w:rPr>
        <w:t>el Sujeto Obligado</w:t>
      </w:r>
      <w:r w:rsidRPr="0063563C">
        <w:rPr>
          <w:rFonts w:ascii="Palatino Linotype" w:eastAsia="Palatino Linotype" w:hAnsi="Palatino Linotype" w:cs="Palatino Linotype"/>
          <w:sz w:val="22"/>
          <w:szCs w:val="22"/>
        </w:rPr>
        <w:t xml:space="preserve"> se encuentra constreñido a poner a disposición del público en su portal de Información Pública de Oficio Mexiquense (IPOMEX), la información curricular de sus servidores públicos, ello con la finalidad de enaltecer los principios de máxima publicidad, transparencia y certeza, como lo estipula  el artículo 92, fracción XXI de la ley aplicable a la materia, que es del tenor literal siguiente: </w:t>
      </w:r>
    </w:p>
    <w:p w14:paraId="5A9275BE" w14:textId="77777777" w:rsidR="00C00D37" w:rsidRPr="0063563C" w:rsidRDefault="004A69F1">
      <w:pPr>
        <w:spacing w:before="240" w:after="240" w:line="360" w:lineRule="auto"/>
        <w:ind w:left="567" w:right="612"/>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 xml:space="preserve"> “Artículo 92. Los sujetos obligados deberán poner a disposición del público de manera permanente y actualizada de forma sencilla, precisa y entendible, en los respectivos medios electrónicos, de acuerdo con sus facultades, atribuciones, funciones u objeto social, según corresponda, la información, por lo menos, de los temas, documentos y políticas que a continuación se señalan:</w:t>
      </w:r>
    </w:p>
    <w:p w14:paraId="3FBBE300" w14:textId="77777777" w:rsidR="00C00D37" w:rsidRPr="0063563C" w:rsidRDefault="004A69F1">
      <w:pPr>
        <w:spacing w:before="240" w:after="240" w:line="360" w:lineRule="auto"/>
        <w:ind w:left="567" w:right="612"/>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w:t>
      </w:r>
    </w:p>
    <w:p w14:paraId="26003CD6" w14:textId="77777777" w:rsidR="00C00D37" w:rsidRPr="0063563C" w:rsidRDefault="004A69F1">
      <w:pPr>
        <w:spacing w:before="240" w:after="240" w:line="360" w:lineRule="auto"/>
        <w:ind w:left="567" w:right="612"/>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XXI. La información curricular, desde el nivel de jefe de departamento o equivalente, hasta el titular del sujeto obligado, así como, en su caso, las sanciones administrativas de que haya sido objeto;”</w:t>
      </w:r>
    </w:p>
    <w:p w14:paraId="722A9C4E" w14:textId="77777777" w:rsidR="00C00D37" w:rsidRPr="0063563C" w:rsidRDefault="004A69F1">
      <w:pPr>
        <w:spacing w:before="240" w:after="240" w:line="360" w:lineRule="auto"/>
        <w:jc w:val="both"/>
        <w:rPr>
          <w:rFonts w:ascii="Palatino Linotype" w:eastAsia="Palatino Linotype" w:hAnsi="Palatino Linotype" w:cs="Palatino Linotype"/>
          <w:b/>
          <w:bCs/>
          <w:sz w:val="22"/>
          <w:szCs w:val="22"/>
        </w:rPr>
      </w:pPr>
      <w:r w:rsidRPr="0063563C">
        <w:rPr>
          <w:rFonts w:ascii="Palatino Linotype" w:eastAsia="Palatino Linotype" w:hAnsi="Palatino Linotype" w:cs="Palatino Linotype"/>
          <w:sz w:val="22"/>
          <w:szCs w:val="22"/>
        </w:rPr>
        <w:t xml:space="preserve">En ese contexto, según Islas, Jorge (2016), en la “Ley General de Transparencia y Acceso a la Información Pública Comentada” (p. 244), refirió que el </w:t>
      </w:r>
      <w:r w:rsidRPr="0063563C">
        <w:rPr>
          <w:rFonts w:ascii="Palatino Linotype" w:eastAsia="Palatino Linotype" w:hAnsi="Palatino Linotype" w:cs="Palatino Linotype"/>
          <w:b/>
          <w:bCs/>
          <w:i/>
          <w:iCs/>
          <w:sz w:val="22"/>
          <w:szCs w:val="22"/>
        </w:rPr>
        <w:t>currículum vitae</w:t>
      </w:r>
      <w:r w:rsidRPr="0063563C">
        <w:rPr>
          <w:rFonts w:ascii="Palatino Linotype" w:eastAsia="Palatino Linotype" w:hAnsi="Palatino Linotype" w:cs="Palatino Linotype"/>
          <w:b/>
          <w:bCs/>
          <w:sz w:val="22"/>
          <w:szCs w:val="22"/>
        </w:rPr>
        <w:t xml:space="preserve"> </w:t>
      </w:r>
      <w:r w:rsidRPr="0063563C">
        <w:rPr>
          <w:rFonts w:ascii="Palatino Linotype" w:eastAsia="Palatino Linotype" w:hAnsi="Palatino Linotype" w:cs="Palatino Linotype"/>
          <w:sz w:val="22"/>
          <w:szCs w:val="22"/>
        </w:rPr>
        <w:t>d</w:t>
      </w:r>
      <w:r w:rsidRPr="0063563C">
        <w:rPr>
          <w:rFonts w:ascii="Palatino Linotype" w:eastAsia="Palatino Linotype" w:hAnsi="Palatino Linotype" w:cs="Palatino Linotype"/>
          <w:b/>
          <w:bCs/>
          <w:sz w:val="22"/>
          <w:szCs w:val="22"/>
        </w:rPr>
        <w:t>e un servidor público, justifica que su formación académica resulta viable para el desempeño eficiente y correcto de su encargo; lo anterior, con el fin de acreditar que dichos trabajadores sean los más capacitados acordes al área solicitada.</w:t>
      </w:r>
    </w:p>
    <w:p w14:paraId="67BB4FE0" w14:textId="77777777" w:rsidR="00C00D37" w:rsidRPr="0063563C" w:rsidRDefault="00C00D37">
      <w:pPr>
        <w:spacing w:before="240" w:after="240" w:line="360" w:lineRule="auto"/>
        <w:jc w:val="both"/>
        <w:rPr>
          <w:rFonts w:ascii="Palatino Linotype" w:eastAsia="Palatino Linotype" w:hAnsi="Palatino Linotype" w:cs="Palatino Linotype"/>
          <w:sz w:val="22"/>
          <w:szCs w:val="22"/>
        </w:rPr>
      </w:pPr>
    </w:p>
    <w:p w14:paraId="17F421D0"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De esta manera, con la entrega que se realice del curriculum vitae, ficha curricular, solicitud de empleo o documento análogo, se colmaría el requisito previsto en la fracción I del artículo 47 de la Ley del Trabajo de la Entidad; </w:t>
      </w:r>
      <w:r w:rsidRPr="0063563C">
        <w:rPr>
          <w:rFonts w:ascii="Palatino Linotype" w:eastAsia="Palatino Linotype" w:hAnsi="Palatino Linotype" w:cs="Palatino Linotype"/>
          <w:b/>
          <w:bCs/>
          <w:sz w:val="22"/>
          <w:szCs w:val="22"/>
          <w:u w:val="single"/>
        </w:rPr>
        <w:t>y, por tanto, procede su entrega en versión pública de advertirse datos de índole confidencial.</w:t>
      </w:r>
    </w:p>
    <w:p w14:paraId="0BC1EF73" w14:textId="77777777" w:rsidR="00C00D37" w:rsidRPr="0063563C" w:rsidRDefault="004A69F1">
      <w:pPr>
        <w:numPr>
          <w:ilvl w:val="0"/>
          <w:numId w:val="8"/>
        </w:numPr>
        <w:pBdr>
          <w:top w:val="nil"/>
          <w:left w:val="nil"/>
          <w:bottom w:val="nil"/>
          <w:right w:val="nil"/>
          <w:between w:val="nil"/>
        </w:pBdr>
        <w:tabs>
          <w:tab w:val="left" w:pos="8222"/>
        </w:tabs>
        <w:spacing w:before="240" w:after="240" w:line="360" w:lineRule="auto"/>
        <w:ind w:right="49"/>
        <w:jc w:val="both"/>
        <w:rPr>
          <w:b/>
          <w:bCs/>
          <w:sz w:val="22"/>
          <w:szCs w:val="22"/>
        </w:rPr>
      </w:pPr>
      <w:r w:rsidRPr="0063563C">
        <w:rPr>
          <w:rFonts w:ascii="Palatino Linotype" w:eastAsia="Palatino Linotype" w:hAnsi="Palatino Linotype" w:cs="Palatino Linotype"/>
          <w:b/>
          <w:bCs/>
          <w:sz w:val="22"/>
          <w:szCs w:val="22"/>
          <w:u w:val="single"/>
        </w:rPr>
        <w:t>Documento que acredite la nacionalidad (acta de nacimiento)</w:t>
      </w:r>
    </w:p>
    <w:p w14:paraId="2A0BBBD0"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Dentro de la fracción II del artículo 47 de la Ley del Trabajo de los Servidores Públicos del Estado de México, el requisito consiste en ser de nacionalidad mexicana, por lo que el documento que colmaría este punto de la solicitud de manera enunciativa más no limitativa sería </w:t>
      </w:r>
      <w:r w:rsidRPr="0063563C">
        <w:rPr>
          <w:rFonts w:ascii="Palatino Linotype" w:eastAsia="Palatino Linotype" w:hAnsi="Palatino Linotype" w:cs="Palatino Linotype"/>
          <w:b/>
          <w:bCs/>
          <w:sz w:val="22"/>
          <w:szCs w:val="22"/>
          <w:u w:val="single"/>
        </w:rPr>
        <w:t>el acta de nacimiento</w:t>
      </w:r>
      <w:r w:rsidRPr="0063563C">
        <w:rPr>
          <w:rFonts w:ascii="Palatino Linotype" w:eastAsia="Palatino Linotype" w:hAnsi="Palatino Linotype" w:cs="Palatino Linotype"/>
          <w:sz w:val="22"/>
          <w:szCs w:val="22"/>
        </w:rPr>
        <w:t xml:space="preserve">, es por ello que conviene precisar que las actas emitidas por el Registro Civil dan cuenta de un atributo de la personalidad, tal como lo establece el artículo 2.3 del Código Civil del Estado México. En ese orden de ideas, el artículo 3.5 del citado Código Civil establece que el estado civil de las personas sólo se comprueba con las constancias relativas del Registro Civil, tal como lo es el Acta de Nacimiento. </w:t>
      </w:r>
    </w:p>
    <w:p w14:paraId="1F30D469"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Ahora bien, de acuerdo con el Formato Único del Acta de Nacimiento publicado por la Secretaría de Gobernación en el enlace </w:t>
      </w:r>
    </w:p>
    <w:p w14:paraId="2F517C50"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 </w:t>
      </w:r>
      <w:hyperlink r:id="rId9">
        <w:r w:rsidRPr="0063563C">
          <w:rPr>
            <w:rFonts w:ascii="Palatino Linotype" w:eastAsia="Palatino Linotype" w:hAnsi="Palatino Linotype" w:cs="Palatino Linotype"/>
            <w:sz w:val="22"/>
            <w:szCs w:val="22"/>
            <w:u w:val="single"/>
          </w:rPr>
          <w:t>http://www.diputados.gob.mx/documentos/N_Acta_Nacimiento.pdf</w:t>
        </w:r>
      </w:hyperlink>
      <w:r w:rsidRPr="0063563C">
        <w:rPr>
          <w:rFonts w:ascii="Palatino Linotype" w:eastAsia="Palatino Linotype" w:hAnsi="Palatino Linotype" w:cs="Palatino Linotype"/>
          <w:sz w:val="22"/>
          <w:szCs w:val="22"/>
        </w:rPr>
        <w:t xml:space="preserve"> , se advierte que el Acta de Nacimiento se componte de quince elementos siendo los siguientes: </w:t>
      </w:r>
    </w:p>
    <w:p w14:paraId="641ADD6E"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a) Folio de Impresión.</w:t>
      </w:r>
    </w:p>
    <w:p w14:paraId="75ADB307"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b) Denominación del Documento.</w:t>
      </w:r>
    </w:p>
    <w:p w14:paraId="23BA0D3B"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c) Identificador Electrónico. </w:t>
      </w:r>
    </w:p>
    <w:p w14:paraId="339A4350"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d) Elementos del Registro. </w:t>
      </w:r>
    </w:p>
    <w:p w14:paraId="4015145A"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e) Datos de la Persona Registrada. </w:t>
      </w:r>
    </w:p>
    <w:p w14:paraId="03BA94B2"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f) Datos de Filiación de la Persona Registrada. </w:t>
      </w:r>
    </w:p>
    <w:p w14:paraId="27E71588"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g) Anotaciones Marginales. </w:t>
      </w:r>
    </w:p>
    <w:p w14:paraId="6731C3F7"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h) Certificación. </w:t>
      </w:r>
    </w:p>
    <w:p w14:paraId="7B37D875"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i) Código Bidimensional QR que contiene información encriptada del acta. </w:t>
      </w:r>
    </w:p>
    <w:p w14:paraId="2877F8C4"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j) Leyenda “Soy México” </w:t>
      </w:r>
    </w:p>
    <w:p w14:paraId="1D8F3F36"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k) Firma Electrónica Avanzada. </w:t>
      </w:r>
    </w:p>
    <w:p w14:paraId="1B78C373"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l) Firma y datos de la autoridad emisora. </w:t>
      </w:r>
    </w:p>
    <w:p w14:paraId="02EEDB89"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m) Código QR. </w:t>
      </w:r>
    </w:p>
    <w:p w14:paraId="2068D88F"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n) Código de Verificación.</w:t>
      </w:r>
    </w:p>
    <w:p w14:paraId="7148ABDB"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o) Leyenda de instrucciones para la verificación del documento. </w:t>
      </w:r>
    </w:p>
    <w:p w14:paraId="0BF5F376"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Siendo de suma importancia mencionar que la información relativa a los incisos </w:t>
      </w:r>
      <w:r w:rsidRPr="0063563C">
        <w:rPr>
          <w:rFonts w:ascii="Palatino Linotype" w:eastAsia="Palatino Linotype" w:hAnsi="Palatino Linotype" w:cs="Palatino Linotype"/>
          <w:b/>
          <w:bCs/>
          <w:sz w:val="22"/>
          <w:szCs w:val="22"/>
        </w:rPr>
        <w:t>d) elementos de registro, e) datos de la persona registrada, f) datos de filiación de la persona registrada</w:t>
      </w:r>
      <w:r w:rsidRPr="0063563C">
        <w:rPr>
          <w:rFonts w:ascii="Palatino Linotype" w:eastAsia="Palatino Linotype" w:hAnsi="Palatino Linotype" w:cs="Palatino Linotype"/>
          <w:sz w:val="22"/>
          <w:szCs w:val="22"/>
        </w:rPr>
        <w:t xml:space="preserve">, </w:t>
      </w:r>
      <w:r w:rsidRPr="0063563C">
        <w:rPr>
          <w:rFonts w:ascii="Palatino Linotype" w:eastAsia="Palatino Linotype" w:hAnsi="Palatino Linotype" w:cs="Palatino Linotype"/>
          <w:b/>
          <w:bCs/>
          <w:sz w:val="22"/>
          <w:szCs w:val="22"/>
        </w:rPr>
        <w:t xml:space="preserve">g), anotaciones marginales </w:t>
      </w:r>
      <w:r w:rsidRPr="0063563C">
        <w:rPr>
          <w:rFonts w:ascii="Palatino Linotype" w:eastAsia="Palatino Linotype" w:hAnsi="Palatino Linotype" w:cs="Palatino Linotype"/>
          <w:sz w:val="22"/>
          <w:szCs w:val="22"/>
        </w:rPr>
        <w:t>y</w:t>
      </w:r>
      <w:r w:rsidRPr="0063563C">
        <w:rPr>
          <w:rFonts w:ascii="Palatino Linotype" w:eastAsia="Palatino Linotype" w:hAnsi="Palatino Linotype" w:cs="Palatino Linotype"/>
          <w:b/>
          <w:bCs/>
          <w:sz w:val="22"/>
          <w:szCs w:val="22"/>
        </w:rPr>
        <w:t xml:space="preserve"> m) Código QR, </w:t>
      </w:r>
      <w:r w:rsidRPr="0063563C">
        <w:rPr>
          <w:rFonts w:ascii="Palatino Linotype" w:eastAsia="Palatino Linotype" w:hAnsi="Palatino Linotype" w:cs="Palatino Linotype"/>
          <w:sz w:val="22"/>
          <w:szCs w:val="22"/>
        </w:rPr>
        <w:t>se encuentra intrínsecamente relacionada con la esfera privada de una persona haciéndole identificada o identificable, como al contener los siguientes datos:</w:t>
      </w:r>
    </w:p>
    <w:p w14:paraId="7589B5EE"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noProof/>
          <w:sz w:val="22"/>
          <w:szCs w:val="22"/>
        </w:rPr>
        <w:drawing>
          <wp:inline distT="0" distB="0" distL="0" distR="0" wp14:anchorId="4A996974" wp14:editId="7A6F5A88">
            <wp:extent cx="5610225" cy="1476375"/>
            <wp:effectExtent l="0" t="0" r="0" b="0"/>
            <wp:docPr id="194665057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5610225" cy="1476375"/>
                    </a:xfrm>
                    <a:prstGeom prst="rect">
                      <a:avLst/>
                    </a:prstGeom>
                    <a:ln/>
                  </pic:spPr>
                </pic:pic>
              </a:graphicData>
            </a:graphic>
          </wp:inline>
        </w:drawing>
      </w:r>
    </w:p>
    <w:p w14:paraId="3F1550EA"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noProof/>
          <w:sz w:val="22"/>
          <w:szCs w:val="22"/>
        </w:rPr>
        <w:drawing>
          <wp:inline distT="0" distB="0" distL="0" distR="0" wp14:anchorId="1CF119FB" wp14:editId="687E6E59">
            <wp:extent cx="5610225" cy="1695450"/>
            <wp:effectExtent l="0" t="0" r="0" b="0"/>
            <wp:docPr id="194665058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b="60179"/>
                    <a:stretch>
                      <a:fillRect/>
                    </a:stretch>
                  </pic:blipFill>
                  <pic:spPr>
                    <a:xfrm>
                      <a:off x="0" y="0"/>
                      <a:ext cx="5610225" cy="1695450"/>
                    </a:xfrm>
                    <a:prstGeom prst="rect">
                      <a:avLst/>
                    </a:prstGeom>
                    <a:ln/>
                  </pic:spPr>
                </pic:pic>
              </a:graphicData>
            </a:graphic>
          </wp:inline>
        </w:drawing>
      </w:r>
    </w:p>
    <w:p w14:paraId="2FCDF8C0"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noProof/>
          <w:sz w:val="22"/>
          <w:szCs w:val="22"/>
        </w:rPr>
        <w:drawing>
          <wp:inline distT="0" distB="0" distL="0" distR="0" wp14:anchorId="555C4710" wp14:editId="501F1EE2">
            <wp:extent cx="5610225" cy="1543050"/>
            <wp:effectExtent l="0" t="0" r="0" b="0"/>
            <wp:docPr id="194665058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1"/>
                    <a:srcRect t="42281" b="-222"/>
                    <a:stretch>
                      <a:fillRect/>
                    </a:stretch>
                  </pic:blipFill>
                  <pic:spPr>
                    <a:xfrm>
                      <a:off x="0" y="0"/>
                      <a:ext cx="5610225" cy="1543050"/>
                    </a:xfrm>
                    <a:prstGeom prst="rect">
                      <a:avLst/>
                    </a:prstGeom>
                    <a:ln/>
                  </pic:spPr>
                </pic:pic>
              </a:graphicData>
            </a:graphic>
          </wp:inline>
        </w:drawing>
      </w:r>
    </w:p>
    <w:p w14:paraId="0BCCAC21"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noProof/>
          <w:sz w:val="22"/>
          <w:szCs w:val="22"/>
        </w:rPr>
        <w:drawing>
          <wp:inline distT="0" distB="0" distL="0" distR="0" wp14:anchorId="54F0976C" wp14:editId="2CEDE37A">
            <wp:extent cx="5577840" cy="914400"/>
            <wp:effectExtent l="0" t="0" r="0" b="0"/>
            <wp:docPr id="194665058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5577840" cy="914400"/>
                    </a:xfrm>
                    <a:prstGeom prst="rect">
                      <a:avLst/>
                    </a:prstGeom>
                    <a:ln/>
                  </pic:spPr>
                </pic:pic>
              </a:graphicData>
            </a:graphic>
          </wp:inline>
        </w:drawing>
      </w:r>
    </w:p>
    <w:p w14:paraId="45F42150"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Dada esta relevancia, al ser el acta de nacimiento un documento mediante el cual se le otorga identidad a una persona, además de tratarse de información que no se encuentra relacionada con el ejercicio de un cargo público, sino con el ejercicio de los derechos personales de su titular, </w:t>
      </w:r>
      <w:r w:rsidRPr="0063563C">
        <w:rPr>
          <w:rFonts w:ascii="Palatino Linotype" w:eastAsia="Palatino Linotype" w:hAnsi="Palatino Linotype" w:cs="Palatino Linotype"/>
          <w:b/>
          <w:bCs/>
          <w:sz w:val="22"/>
          <w:szCs w:val="22"/>
        </w:rPr>
        <w:t>se estima que dicho documento debe ser clasificado como información confidencial en su totalidad,</w:t>
      </w:r>
      <w:r w:rsidRPr="0063563C">
        <w:rPr>
          <w:rFonts w:ascii="Palatino Linotype" w:eastAsia="Palatino Linotype" w:hAnsi="Palatino Linotype" w:cs="Palatino Linotype"/>
          <w:sz w:val="22"/>
          <w:szCs w:val="22"/>
        </w:rPr>
        <w:t xml:space="preserve"> al considerar que actualiza la causal de clasificación establecida en el artículo 143, fracción I, de la Ley de Transparencia y Acceso a la Información Pública del Estado de México y Municipios.</w:t>
      </w:r>
    </w:p>
    <w:p w14:paraId="41AEE429"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De esta manera, en cumplimiento a la presente se deberá hacer entrega del acuerdo que sustente la clasificación del acta de nacimiento en su totalidad del servidor público en cuestión.</w:t>
      </w:r>
    </w:p>
    <w:p w14:paraId="6D73DA86" w14:textId="77777777" w:rsidR="00C00D37" w:rsidRPr="0063563C" w:rsidRDefault="004A69F1">
      <w:pPr>
        <w:numPr>
          <w:ilvl w:val="0"/>
          <w:numId w:val="7"/>
        </w:numPr>
        <w:pBdr>
          <w:top w:val="nil"/>
          <w:left w:val="nil"/>
          <w:bottom w:val="nil"/>
          <w:right w:val="nil"/>
          <w:between w:val="nil"/>
        </w:pBdr>
        <w:spacing w:before="240" w:after="240" w:line="360" w:lineRule="auto"/>
        <w:jc w:val="both"/>
        <w:rPr>
          <w:sz w:val="22"/>
          <w:szCs w:val="22"/>
        </w:rPr>
      </w:pPr>
      <w:r w:rsidRPr="0063563C">
        <w:rPr>
          <w:rFonts w:ascii="Palatino Linotype" w:eastAsia="Palatino Linotype" w:hAnsi="Palatino Linotype" w:cs="Palatino Linotype"/>
          <w:b/>
          <w:bCs/>
          <w:sz w:val="22"/>
          <w:szCs w:val="22"/>
          <w:u w:val="single"/>
        </w:rPr>
        <w:t>La credencial para votar:</w:t>
      </w:r>
    </w:p>
    <w:p w14:paraId="10933A86"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Por lo que corresponde a dicha documental, se considera que la misma puede colmar el requisito previsto en el artículo 47 fracción III de la Ley del Trabajo de los Servidores Públicos del Estado y Municipios, relativo a “</w:t>
      </w:r>
      <w:r w:rsidRPr="0063563C">
        <w:rPr>
          <w:rFonts w:ascii="Palatino Linotype" w:eastAsia="Palatino Linotype" w:hAnsi="Palatino Linotype" w:cs="Palatino Linotype"/>
          <w:b/>
          <w:bCs/>
          <w:i/>
          <w:iCs/>
          <w:sz w:val="22"/>
          <w:szCs w:val="22"/>
        </w:rPr>
        <w:t>Estar en pleno ejercicio de sus derechos civiles y políticos, en su caso</w:t>
      </w:r>
      <w:r w:rsidRPr="0063563C">
        <w:rPr>
          <w:rFonts w:ascii="Palatino Linotype" w:eastAsia="Palatino Linotype" w:hAnsi="Palatino Linotype" w:cs="Palatino Linotype"/>
          <w:sz w:val="22"/>
          <w:szCs w:val="22"/>
        </w:rPr>
        <w:t>”.</w:t>
      </w:r>
    </w:p>
    <w:p w14:paraId="7B38D342"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Se afirma lo anterior, pues los derechos civiles y políticos son aquellos que garantizan las libertades individuales y la participación de las personas en la vida política y social, en igualdad y sin discriminación.</w:t>
      </w:r>
    </w:p>
    <w:p w14:paraId="4E0D8E1A"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Para efectos de garantizar el ejercicio de dichos derechos, la credencial de elector cumple un papel importante, pues dicha documental al obtenerse a partir de que los ciudadanos mexicanos cumplen la mayoría de edad que es a los 18 años, por tanto, estos últimos adquieren derechos establecidos en nuestra Constitución Política de los Estados Unidos Mexicanos, entre ellos el </w:t>
      </w:r>
      <w:r w:rsidRPr="0063563C">
        <w:rPr>
          <w:rFonts w:ascii="Palatino Linotype" w:eastAsia="Palatino Linotype" w:hAnsi="Palatino Linotype" w:cs="Palatino Linotype"/>
          <w:b/>
          <w:bCs/>
          <w:sz w:val="22"/>
          <w:szCs w:val="22"/>
        </w:rPr>
        <w:t>derecho al voto.</w:t>
      </w:r>
    </w:p>
    <w:p w14:paraId="7911507C"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De ahí que la credencial de elector es una documental que puede colmar el requisito antes señalado.</w:t>
      </w:r>
    </w:p>
    <w:p w14:paraId="2849AB78"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No obstante, no debe perderse de vista que la credencial para votar se constituye de diversos datos personales como el nombre, domicilio, huella digital, fotografía del elector, clave de registro o elector, Clave Única del Registro de Población y firma, tal como se refiere en el artículo 156 numeral 1, incisos d), g) e i) de la Ley General de Instituciones y Procedimientos Electorales que enlista los datos que, cuando menos, debe contener la credencial para votar, como son: </w:t>
      </w:r>
    </w:p>
    <w:p w14:paraId="2D43EF57" w14:textId="77777777" w:rsidR="00C00D37" w:rsidRPr="0063563C" w:rsidRDefault="004A69F1">
      <w:pPr>
        <w:tabs>
          <w:tab w:val="left" w:pos="8222"/>
        </w:tabs>
        <w:spacing w:before="240" w:after="240" w:line="360" w:lineRule="auto"/>
        <w:ind w:left="851" w:right="851"/>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w:t>
      </w:r>
      <w:r w:rsidRPr="0063563C">
        <w:rPr>
          <w:rFonts w:ascii="Palatino Linotype" w:eastAsia="Palatino Linotype" w:hAnsi="Palatino Linotype" w:cs="Palatino Linotype"/>
          <w:b/>
          <w:bCs/>
          <w:i/>
          <w:iCs/>
          <w:sz w:val="22"/>
          <w:szCs w:val="22"/>
        </w:rPr>
        <w:t>Artículo 156</w:t>
      </w:r>
      <w:r w:rsidRPr="0063563C">
        <w:rPr>
          <w:rFonts w:ascii="Palatino Linotype" w:eastAsia="Palatino Linotype" w:hAnsi="Palatino Linotype" w:cs="Palatino Linotype"/>
          <w:i/>
          <w:iCs/>
          <w:sz w:val="22"/>
          <w:szCs w:val="22"/>
        </w:rPr>
        <w:t>.</w:t>
      </w:r>
    </w:p>
    <w:p w14:paraId="2241A0CB" w14:textId="77777777" w:rsidR="00C00D37" w:rsidRPr="0063563C" w:rsidRDefault="004A69F1">
      <w:pPr>
        <w:tabs>
          <w:tab w:val="left" w:pos="8222"/>
        </w:tabs>
        <w:spacing w:before="240" w:after="240" w:line="360" w:lineRule="auto"/>
        <w:ind w:left="851" w:right="851"/>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b/>
          <w:bCs/>
          <w:i/>
          <w:iCs/>
          <w:sz w:val="22"/>
          <w:szCs w:val="22"/>
        </w:rPr>
        <w:t>1.</w:t>
      </w:r>
      <w:r w:rsidRPr="0063563C">
        <w:rPr>
          <w:rFonts w:ascii="Palatino Linotype" w:eastAsia="Palatino Linotype" w:hAnsi="Palatino Linotype" w:cs="Palatino Linotype"/>
          <w:i/>
          <w:iCs/>
          <w:sz w:val="22"/>
          <w:szCs w:val="22"/>
        </w:rPr>
        <w:t xml:space="preserve"> </w:t>
      </w:r>
      <w:r w:rsidRPr="0063563C">
        <w:rPr>
          <w:rFonts w:ascii="Palatino Linotype" w:eastAsia="Palatino Linotype" w:hAnsi="Palatino Linotype" w:cs="Palatino Linotype"/>
          <w:b/>
          <w:bCs/>
          <w:i/>
          <w:iCs/>
          <w:sz w:val="22"/>
          <w:szCs w:val="22"/>
          <w:u w:val="single"/>
        </w:rPr>
        <w:t>La credencial para votar deberá contener, cuando menos, los siguientes datos del elector</w:t>
      </w:r>
      <w:r w:rsidRPr="0063563C">
        <w:rPr>
          <w:rFonts w:ascii="Palatino Linotype" w:eastAsia="Palatino Linotype" w:hAnsi="Palatino Linotype" w:cs="Palatino Linotype"/>
          <w:i/>
          <w:iCs/>
          <w:sz w:val="22"/>
          <w:szCs w:val="22"/>
        </w:rPr>
        <w:t>:</w:t>
      </w:r>
    </w:p>
    <w:p w14:paraId="4AC24A76" w14:textId="77777777" w:rsidR="00C00D37" w:rsidRPr="0063563C" w:rsidRDefault="004A69F1">
      <w:pPr>
        <w:tabs>
          <w:tab w:val="left" w:pos="8222"/>
        </w:tabs>
        <w:spacing w:before="240" w:after="240" w:line="360" w:lineRule="auto"/>
        <w:ind w:left="851" w:right="851"/>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w:t>
      </w:r>
    </w:p>
    <w:p w14:paraId="1AAF6BFC" w14:textId="77777777" w:rsidR="00C00D37" w:rsidRPr="0063563C" w:rsidRDefault="004A69F1">
      <w:pPr>
        <w:tabs>
          <w:tab w:val="left" w:pos="8222"/>
        </w:tabs>
        <w:spacing w:before="240" w:after="240" w:line="360" w:lineRule="auto"/>
        <w:ind w:left="851" w:right="851"/>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 xml:space="preserve">d) </w:t>
      </w:r>
      <w:r w:rsidRPr="0063563C">
        <w:rPr>
          <w:rFonts w:ascii="Palatino Linotype" w:eastAsia="Palatino Linotype" w:hAnsi="Palatino Linotype" w:cs="Palatino Linotype"/>
          <w:b/>
          <w:bCs/>
          <w:i/>
          <w:iCs/>
          <w:sz w:val="22"/>
          <w:szCs w:val="22"/>
          <w:u w:val="single"/>
        </w:rPr>
        <w:t>Domicilio</w:t>
      </w:r>
      <w:r w:rsidRPr="0063563C">
        <w:rPr>
          <w:rFonts w:ascii="Palatino Linotype" w:eastAsia="Palatino Linotype" w:hAnsi="Palatino Linotype" w:cs="Palatino Linotype"/>
          <w:i/>
          <w:iCs/>
          <w:sz w:val="22"/>
          <w:szCs w:val="22"/>
        </w:rPr>
        <w:t>;</w:t>
      </w:r>
    </w:p>
    <w:p w14:paraId="56CE513A" w14:textId="77777777" w:rsidR="00C00D37" w:rsidRPr="0063563C" w:rsidRDefault="004A69F1">
      <w:pPr>
        <w:tabs>
          <w:tab w:val="left" w:pos="8222"/>
        </w:tabs>
        <w:spacing w:before="240" w:after="240" w:line="360" w:lineRule="auto"/>
        <w:ind w:left="851" w:right="851"/>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w:t>
      </w:r>
    </w:p>
    <w:p w14:paraId="440EFE21" w14:textId="77777777" w:rsidR="00C00D37" w:rsidRPr="0063563C" w:rsidRDefault="004A69F1">
      <w:pPr>
        <w:tabs>
          <w:tab w:val="left" w:pos="8222"/>
        </w:tabs>
        <w:spacing w:before="240" w:after="240" w:line="360" w:lineRule="auto"/>
        <w:ind w:left="851" w:right="851"/>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 xml:space="preserve">g) </w:t>
      </w:r>
      <w:r w:rsidRPr="0063563C">
        <w:rPr>
          <w:rFonts w:ascii="Palatino Linotype" w:eastAsia="Palatino Linotype" w:hAnsi="Palatino Linotype" w:cs="Palatino Linotype"/>
          <w:b/>
          <w:bCs/>
          <w:i/>
          <w:iCs/>
          <w:sz w:val="22"/>
          <w:szCs w:val="22"/>
        </w:rPr>
        <w:t>Firma</w:t>
      </w:r>
      <w:r w:rsidRPr="0063563C">
        <w:rPr>
          <w:rFonts w:ascii="Palatino Linotype" w:eastAsia="Palatino Linotype" w:hAnsi="Palatino Linotype" w:cs="Palatino Linotype"/>
          <w:i/>
          <w:iCs/>
          <w:sz w:val="22"/>
          <w:szCs w:val="22"/>
        </w:rPr>
        <w:t xml:space="preserve">, </w:t>
      </w:r>
      <w:r w:rsidRPr="0063563C">
        <w:rPr>
          <w:rFonts w:ascii="Palatino Linotype" w:eastAsia="Palatino Linotype" w:hAnsi="Palatino Linotype" w:cs="Palatino Linotype"/>
          <w:b/>
          <w:bCs/>
          <w:i/>
          <w:iCs/>
          <w:sz w:val="22"/>
          <w:szCs w:val="22"/>
          <w:u w:val="single"/>
        </w:rPr>
        <w:t>huella digital</w:t>
      </w:r>
      <w:r w:rsidRPr="0063563C">
        <w:rPr>
          <w:rFonts w:ascii="Palatino Linotype" w:eastAsia="Palatino Linotype" w:hAnsi="Palatino Linotype" w:cs="Palatino Linotype"/>
          <w:i/>
          <w:iCs/>
          <w:sz w:val="22"/>
          <w:szCs w:val="22"/>
        </w:rPr>
        <w:t xml:space="preserve"> y </w:t>
      </w:r>
      <w:r w:rsidRPr="0063563C">
        <w:rPr>
          <w:rFonts w:ascii="Palatino Linotype" w:eastAsia="Palatino Linotype" w:hAnsi="Palatino Linotype" w:cs="Palatino Linotype"/>
          <w:b/>
          <w:bCs/>
          <w:i/>
          <w:iCs/>
          <w:sz w:val="22"/>
          <w:szCs w:val="22"/>
          <w:u w:val="single"/>
        </w:rPr>
        <w:t>fotografía del elector</w:t>
      </w:r>
      <w:r w:rsidRPr="0063563C">
        <w:rPr>
          <w:rFonts w:ascii="Palatino Linotype" w:eastAsia="Palatino Linotype" w:hAnsi="Palatino Linotype" w:cs="Palatino Linotype"/>
          <w:i/>
          <w:iCs/>
          <w:sz w:val="22"/>
          <w:szCs w:val="22"/>
        </w:rPr>
        <w:t>;</w:t>
      </w:r>
    </w:p>
    <w:p w14:paraId="0E380C96" w14:textId="77777777" w:rsidR="00C00D37" w:rsidRPr="0063563C" w:rsidRDefault="004A69F1">
      <w:pPr>
        <w:tabs>
          <w:tab w:val="left" w:pos="8222"/>
        </w:tabs>
        <w:spacing w:before="240" w:after="240" w:line="360" w:lineRule="auto"/>
        <w:ind w:left="851" w:right="851"/>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w:t>
      </w:r>
    </w:p>
    <w:p w14:paraId="17478CBE" w14:textId="77777777" w:rsidR="00C00D37" w:rsidRPr="0063563C" w:rsidRDefault="004A69F1">
      <w:pPr>
        <w:tabs>
          <w:tab w:val="left" w:pos="8222"/>
        </w:tabs>
        <w:spacing w:before="240" w:after="240" w:line="360" w:lineRule="auto"/>
        <w:ind w:left="851" w:right="851"/>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 xml:space="preserve">i) </w:t>
      </w:r>
      <w:r w:rsidRPr="0063563C">
        <w:rPr>
          <w:rFonts w:ascii="Palatino Linotype" w:eastAsia="Palatino Linotype" w:hAnsi="Palatino Linotype" w:cs="Palatino Linotype"/>
          <w:b/>
          <w:bCs/>
          <w:i/>
          <w:iCs/>
          <w:sz w:val="22"/>
          <w:szCs w:val="22"/>
          <w:u w:val="single"/>
        </w:rPr>
        <w:t>Clave Única del Registro de Población</w:t>
      </w:r>
      <w:r w:rsidRPr="0063563C">
        <w:rPr>
          <w:rFonts w:ascii="Palatino Linotype" w:eastAsia="Palatino Linotype" w:hAnsi="Palatino Linotype" w:cs="Palatino Linotype"/>
          <w:i/>
          <w:iCs/>
          <w:sz w:val="22"/>
          <w:szCs w:val="22"/>
        </w:rPr>
        <w:t>.” (Sic)</w:t>
      </w:r>
    </w:p>
    <w:p w14:paraId="2EEF1BFB"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Por tanto, el conocimiento de dichos datos afecta la esfera más íntima de su Titular, en razón de que su utilización indebida pueda dar origen a un riesgo grave para éste.</w:t>
      </w:r>
    </w:p>
    <w:p w14:paraId="2611468D" w14:textId="77777777" w:rsidR="00C00D37" w:rsidRPr="0063563C" w:rsidRDefault="00C00D37">
      <w:pPr>
        <w:spacing w:before="240" w:after="240" w:line="360" w:lineRule="auto"/>
        <w:jc w:val="both"/>
        <w:rPr>
          <w:rFonts w:ascii="Palatino Linotype" w:eastAsia="Palatino Linotype" w:hAnsi="Palatino Linotype" w:cs="Palatino Linotype"/>
          <w:sz w:val="22"/>
          <w:szCs w:val="22"/>
        </w:rPr>
      </w:pPr>
    </w:p>
    <w:p w14:paraId="7FCC44F1"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Asimismo, en el caso particular de la clave de elector, debe precisarse que es un código alfa numérico compuesto por letras de los apellidos y nombre de la persona, seguido de la fecha de nacimiento y finalmente una serie de números indispensables para su inscripción en el Registro Federal de Electores que, a su vez, hace identificable a la persona que corresponde dicha credencial para votar, tan es así, que el Sistema de Administración Tributaria en su catálogo de trámites contempla como identificación oficial la credencial para votar expedida por el Instituto Nacional Electoral.</w:t>
      </w:r>
    </w:p>
    <w:p w14:paraId="5A7DDAD1"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Respecto a la edad, número identificador (OCR) y código de barras bidimensional y cifrado contenidos en las credenciales para votar, se advierte que se trata de elementos de información, control y presentación, de conformidad a lo señalado por el Instituto Nacional Electoral, en la página de Internet Institucional, http://portalanterior.ine.mx/archivos2/portal/credencial/pdf credencial/ABC_credenciales_ INE_2015.pdf, como se muestra a continuación, en su parte medular: </w:t>
      </w:r>
    </w:p>
    <w:p w14:paraId="29407B23" w14:textId="77777777" w:rsidR="00C00D37" w:rsidRPr="0063563C" w:rsidRDefault="004A69F1">
      <w:pPr>
        <w:spacing w:before="240" w:after="240" w:line="360" w:lineRule="auto"/>
        <w:jc w:val="center"/>
        <w:rPr>
          <w:rFonts w:ascii="Palatino Linotype" w:eastAsia="Palatino Linotype" w:hAnsi="Palatino Linotype" w:cs="Palatino Linotype"/>
          <w:sz w:val="22"/>
          <w:szCs w:val="22"/>
        </w:rPr>
      </w:pPr>
      <w:r w:rsidRPr="0063563C">
        <w:rPr>
          <w:rFonts w:ascii="Palatino Linotype" w:eastAsia="Palatino Linotype" w:hAnsi="Palatino Linotype" w:cs="Palatino Linotype"/>
          <w:noProof/>
          <w:sz w:val="22"/>
          <w:szCs w:val="22"/>
        </w:rPr>
        <w:drawing>
          <wp:inline distT="0" distB="0" distL="0" distR="0" wp14:anchorId="3D3C7F9C" wp14:editId="54F857AA">
            <wp:extent cx="5726099" cy="1553002"/>
            <wp:effectExtent l="0" t="0" r="0" b="0"/>
            <wp:docPr id="194665058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5726099" cy="1553002"/>
                    </a:xfrm>
                    <a:prstGeom prst="rect">
                      <a:avLst/>
                    </a:prstGeom>
                    <a:ln/>
                  </pic:spPr>
                </pic:pic>
              </a:graphicData>
            </a:graphic>
          </wp:inline>
        </w:drawing>
      </w:r>
      <w:r w:rsidRPr="0063563C">
        <w:rPr>
          <w:noProof/>
        </w:rPr>
        <mc:AlternateContent>
          <mc:Choice Requires="wpg">
            <w:drawing>
              <wp:anchor distT="0" distB="0" distL="114300" distR="114300" simplePos="0" relativeHeight="251658240" behindDoc="0" locked="0" layoutInCell="1" hidden="0" allowOverlap="1" wp14:anchorId="56480659" wp14:editId="24286C42">
                <wp:simplePos x="0" y="0"/>
                <wp:positionH relativeFrom="column">
                  <wp:posOffset>1250950</wp:posOffset>
                </wp:positionH>
                <wp:positionV relativeFrom="paragraph">
                  <wp:posOffset>260350</wp:posOffset>
                </wp:positionV>
                <wp:extent cx="2764809" cy="374650"/>
                <wp:effectExtent l="0" t="0" r="0" b="0"/>
                <wp:wrapNone/>
                <wp:docPr id="1946650573" name="Rectángulo 1946650573"/>
                <wp:cNvGraphicFramePr/>
                <a:graphic xmlns:a="http://schemas.openxmlformats.org/drawingml/2006/main">
                  <a:graphicData uri="http://schemas.microsoft.com/office/word/2010/wordprocessingShape">
                    <wps:wsp>
                      <wps:cNvSpPr/>
                      <wps:spPr>
                        <a:xfrm>
                          <a:off x="4001696" y="3630775"/>
                          <a:ext cx="2688609" cy="298450"/>
                        </a:xfrm>
                        <a:prstGeom prst="rect">
                          <a:avLst/>
                        </a:prstGeom>
                        <a:noFill/>
                        <a:ln w="19050" cap="flat" cmpd="sng">
                          <a:solidFill>
                            <a:srgbClr val="FF0000"/>
                          </a:solidFill>
                          <a:prstDash val="solid"/>
                          <a:miter lim="8000"/>
                          <a:headEnd type="none" w="sm" len="sm"/>
                          <a:tailEnd type="none" w="sm" len="sm"/>
                        </a:ln>
                      </wps:spPr>
                      <wps:txbx>
                        <w:txbxContent>
                          <w:p w14:paraId="414EB1A4" w14:textId="77777777" w:rsidR="00C00D37" w:rsidRDefault="00C00D37">
                            <w:pPr>
                              <w:textDirection w:val="btLr"/>
                            </w:pPr>
                          </w:p>
                        </w:txbxContent>
                      </wps:txbx>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1250950</wp:posOffset>
                </wp:positionH>
                <wp:positionV relativeFrom="paragraph">
                  <wp:posOffset>260350</wp:posOffset>
                </wp:positionV>
                <wp:extent cx="2764809" cy="374650"/>
                <wp:effectExtent b="0" l="0" r="0" t="0"/>
                <wp:wrapNone/>
                <wp:docPr id="1946650573" name="image9.png"/>
                <a:graphic>
                  <a:graphicData uri="http://schemas.openxmlformats.org/drawingml/2006/picture">
                    <pic:pic>
                      <pic:nvPicPr>
                        <pic:cNvPr id="0" name="image9.png"/>
                        <pic:cNvPicPr preferRelativeResize="0"/>
                      </pic:nvPicPr>
                      <pic:blipFill>
                        <a:blip r:embed="rId14"/>
                        <a:srcRect/>
                        <a:stretch>
                          <a:fillRect/>
                        </a:stretch>
                      </pic:blipFill>
                      <pic:spPr>
                        <a:xfrm>
                          <a:off x="0" y="0"/>
                          <a:ext cx="2764809" cy="374650"/>
                        </a:xfrm>
                        <a:prstGeom prst="rect"/>
                        <a:ln/>
                      </pic:spPr>
                    </pic:pic>
                  </a:graphicData>
                </a:graphic>
              </wp:anchor>
            </w:drawing>
          </mc:Fallback>
        </mc:AlternateContent>
      </w:r>
      <w:r w:rsidRPr="0063563C">
        <w:rPr>
          <w:noProof/>
        </w:rPr>
        <mc:AlternateContent>
          <mc:Choice Requires="wpg">
            <w:drawing>
              <wp:anchor distT="0" distB="0" distL="114300" distR="114300" simplePos="0" relativeHeight="251659264" behindDoc="0" locked="0" layoutInCell="1" hidden="0" allowOverlap="1" wp14:anchorId="3DCDF758" wp14:editId="2196BCDE">
                <wp:simplePos x="0" y="0"/>
                <wp:positionH relativeFrom="column">
                  <wp:posOffset>171450</wp:posOffset>
                </wp:positionH>
                <wp:positionV relativeFrom="paragraph">
                  <wp:posOffset>768350</wp:posOffset>
                </wp:positionV>
                <wp:extent cx="840474" cy="601639"/>
                <wp:effectExtent l="0" t="0" r="0" b="0"/>
                <wp:wrapNone/>
                <wp:docPr id="1946650575" name="Rectángulo 1946650575"/>
                <wp:cNvGraphicFramePr/>
                <a:graphic xmlns:a="http://schemas.openxmlformats.org/drawingml/2006/main">
                  <a:graphicData uri="http://schemas.microsoft.com/office/word/2010/wordprocessingShape">
                    <wps:wsp>
                      <wps:cNvSpPr/>
                      <wps:spPr>
                        <a:xfrm>
                          <a:off x="4963863" y="3517281"/>
                          <a:ext cx="764274" cy="525439"/>
                        </a:xfrm>
                        <a:prstGeom prst="rect">
                          <a:avLst/>
                        </a:prstGeom>
                        <a:noFill/>
                        <a:ln w="19050" cap="flat" cmpd="sng">
                          <a:solidFill>
                            <a:srgbClr val="FF0000"/>
                          </a:solidFill>
                          <a:prstDash val="solid"/>
                          <a:miter lim="8000"/>
                          <a:headEnd type="none" w="sm" len="sm"/>
                          <a:tailEnd type="none" w="sm" len="sm"/>
                        </a:ln>
                      </wps:spPr>
                      <wps:txbx>
                        <w:txbxContent>
                          <w:p w14:paraId="73CC92E1" w14:textId="77777777" w:rsidR="00C00D37" w:rsidRDefault="00C00D37">
                            <w:pPr>
                              <w:textDirection w:val="btLr"/>
                            </w:pPr>
                          </w:p>
                        </w:txbxContent>
                      </wps:txbx>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171450</wp:posOffset>
                </wp:positionH>
                <wp:positionV relativeFrom="paragraph">
                  <wp:posOffset>768350</wp:posOffset>
                </wp:positionV>
                <wp:extent cx="840474" cy="601639"/>
                <wp:effectExtent b="0" l="0" r="0" t="0"/>
                <wp:wrapNone/>
                <wp:docPr id="1946650575" name="image11.png"/>
                <a:graphic>
                  <a:graphicData uri="http://schemas.openxmlformats.org/drawingml/2006/picture">
                    <pic:pic>
                      <pic:nvPicPr>
                        <pic:cNvPr id="0" name="image11.png"/>
                        <pic:cNvPicPr preferRelativeResize="0"/>
                      </pic:nvPicPr>
                      <pic:blipFill>
                        <a:blip r:embed="rId14"/>
                        <a:srcRect/>
                        <a:stretch>
                          <a:fillRect/>
                        </a:stretch>
                      </pic:blipFill>
                      <pic:spPr>
                        <a:xfrm>
                          <a:off x="0" y="0"/>
                          <a:ext cx="840474" cy="601639"/>
                        </a:xfrm>
                        <a:prstGeom prst="rect"/>
                        <a:ln/>
                      </pic:spPr>
                    </pic:pic>
                  </a:graphicData>
                </a:graphic>
              </wp:anchor>
            </w:drawing>
          </mc:Fallback>
        </mc:AlternateContent>
      </w:r>
    </w:p>
    <w:p w14:paraId="29C0C72E" w14:textId="77777777" w:rsidR="00C00D37" w:rsidRPr="0063563C" w:rsidRDefault="004A69F1">
      <w:pPr>
        <w:widowControl w:val="0"/>
        <w:spacing w:before="240" w:after="240" w:line="360" w:lineRule="auto"/>
        <w:jc w:val="center"/>
        <w:rPr>
          <w:rFonts w:ascii="Palatino Linotype" w:eastAsia="Palatino Linotype" w:hAnsi="Palatino Linotype" w:cs="Palatino Linotype"/>
          <w:sz w:val="22"/>
          <w:szCs w:val="22"/>
        </w:rPr>
      </w:pPr>
      <w:r w:rsidRPr="0063563C">
        <w:rPr>
          <w:rFonts w:ascii="Palatino Linotype" w:eastAsia="Palatino Linotype" w:hAnsi="Palatino Linotype" w:cs="Palatino Linotype"/>
          <w:noProof/>
          <w:sz w:val="22"/>
          <w:szCs w:val="22"/>
        </w:rPr>
        <w:drawing>
          <wp:inline distT="0" distB="0" distL="0" distR="0" wp14:anchorId="2ED85895" wp14:editId="3CCB0DFE">
            <wp:extent cx="5871618" cy="2084929"/>
            <wp:effectExtent l="0" t="0" r="0" b="0"/>
            <wp:docPr id="194665058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5871618" cy="2084929"/>
                    </a:xfrm>
                    <a:prstGeom prst="rect">
                      <a:avLst/>
                    </a:prstGeom>
                    <a:ln/>
                  </pic:spPr>
                </pic:pic>
              </a:graphicData>
            </a:graphic>
          </wp:inline>
        </w:drawing>
      </w:r>
      <w:r w:rsidRPr="0063563C">
        <w:rPr>
          <w:noProof/>
        </w:rPr>
        <mc:AlternateContent>
          <mc:Choice Requires="wpg">
            <w:drawing>
              <wp:anchor distT="0" distB="0" distL="114300" distR="114300" simplePos="0" relativeHeight="251660288" behindDoc="0" locked="0" layoutInCell="1" hidden="0" allowOverlap="1" wp14:anchorId="54E49626" wp14:editId="60611794">
                <wp:simplePos x="0" y="0"/>
                <wp:positionH relativeFrom="column">
                  <wp:posOffset>1098550</wp:posOffset>
                </wp:positionH>
                <wp:positionV relativeFrom="paragraph">
                  <wp:posOffset>158750</wp:posOffset>
                </wp:positionV>
                <wp:extent cx="2580564" cy="526576"/>
                <wp:effectExtent l="0" t="0" r="0" b="0"/>
                <wp:wrapNone/>
                <wp:docPr id="1946650576" name="Rectángulo 1946650576"/>
                <wp:cNvGraphicFramePr/>
                <a:graphic xmlns:a="http://schemas.openxmlformats.org/drawingml/2006/main">
                  <a:graphicData uri="http://schemas.microsoft.com/office/word/2010/wordprocessingShape">
                    <wps:wsp>
                      <wps:cNvSpPr/>
                      <wps:spPr>
                        <a:xfrm>
                          <a:off x="4093818" y="3554812"/>
                          <a:ext cx="2504364" cy="450376"/>
                        </a:xfrm>
                        <a:prstGeom prst="rect">
                          <a:avLst/>
                        </a:prstGeom>
                        <a:noFill/>
                        <a:ln w="19050" cap="flat" cmpd="sng">
                          <a:solidFill>
                            <a:srgbClr val="FF0000"/>
                          </a:solidFill>
                          <a:prstDash val="solid"/>
                          <a:miter lim="8000"/>
                          <a:headEnd type="none" w="sm" len="sm"/>
                          <a:tailEnd type="none" w="sm" len="sm"/>
                        </a:ln>
                      </wps:spPr>
                      <wps:txbx>
                        <w:txbxContent>
                          <w:p w14:paraId="476F34D5" w14:textId="77777777" w:rsidR="00C00D37" w:rsidRDefault="00C00D37">
                            <w:pPr>
                              <w:textDirection w:val="btLr"/>
                            </w:pPr>
                          </w:p>
                        </w:txbxContent>
                      </wps:txbx>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1098550</wp:posOffset>
                </wp:positionH>
                <wp:positionV relativeFrom="paragraph">
                  <wp:posOffset>158750</wp:posOffset>
                </wp:positionV>
                <wp:extent cx="2580564" cy="526576"/>
                <wp:effectExtent b="0" l="0" r="0" t="0"/>
                <wp:wrapNone/>
                <wp:docPr id="1946650576" name="image12.png"/>
                <a:graphic>
                  <a:graphicData uri="http://schemas.openxmlformats.org/drawingml/2006/picture">
                    <pic:pic>
                      <pic:nvPicPr>
                        <pic:cNvPr id="0" name="image12.png"/>
                        <pic:cNvPicPr preferRelativeResize="0"/>
                      </pic:nvPicPr>
                      <pic:blipFill>
                        <a:blip r:embed="rId14"/>
                        <a:srcRect/>
                        <a:stretch>
                          <a:fillRect/>
                        </a:stretch>
                      </pic:blipFill>
                      <pic:spPr>
                        <a:xfrm>
                          <a:off x="0" y="0"/>
                          <a:ext cx="2580564" cy="526576"/>
                        </a:xfrm>
                        <a:prstGeom prst="rect"/>
                        <a:ln/>
                      </pic:spPr>
                    </pic:pic>
                  </a:graphicData>
                </a:graphic>
              </wp:anchor>
            </w:drawing>
          </mc:Fallback>
        </mc:AlternateContent>
      </w:r>
      <w:r w:rsidRPr="0063563C">
        <w:rPr>
          <w:noProof/>
        </w:rPr>
        <mc:AlternateContent>
          <mc:Choice Requires="wpg">
            <w:drawing>
              <wp:anchor distT="0" distB="0" distL="114300" distR="114300" simplePos="0" relativeHeight="251661312" behindDoc="0" locked="0" layoutInCell="1" hidden="0" allowOverlap="1" wp14:anchorId="07D27890" wp14:editId="3067E017">
                <wp:simplePos x="0" y="0"/>
                <wp:positionH relativeFrom="column">
                  <wp:posOffset>1122404</wp:posOffset>
                </wp:positionH>
                <wp:positionV relativeFrom="paragraph">
                  <wp:posOffset>977513</wp:posOffset>
                </wp:positionV>
                <wp:extent cx="2580564" cy="412750"/>
                <wp:effectExtent l="0" t="0" r="0" b="0"/>
                <wp:wrapNone/>
                <wp:docPr id="1946650572" name="Rectángulo 1946650572"/>
                <wp:cNvGraphicFramePr/>
                <a:graphic xmlns:a="http://schemas.openxmlformats.org/drawingml/2006/main">
                  <a:graphicData uri="http://schemas.microsoft.com/office/word/2010/wordprocessingShape">
                    <wps:wsp>
                      <wps:cNvSpPr/>
                      <wps:spPr>
                        <a:xfrm>
                          <a:off x="4065243" y="3583150"/>
                          <a:ext cx="2561514" cy="393700"/>
                        </a:xfrm>
                        <a:prstGeom prst="rect">
                          <a:avLst/>
                        </a:prstGeom>
                        <a:noFill/>
                        <a:ln w="19050" cap="flat" cmpd="sng">
                          <a:solidFill>
                            <a:srgbClr val="FF0000"/>
                          </a:solidFill>
                          <a:prstDash val="solid"/>
                          <a:miter lim="8000"/>
                          <a:headEnd type="none" w="sm" len="sm"/>
                          <a:tailEnd type="none" w="sm" len="sm"/>
                        </a:ln>
                      </wps:spPr>
                      <wps:txbx>
                        <w:txbxContent>
                          <w:p w14:paraId="1BBAB5F9" w14:textId="77777777" w:rsidR="00C00D37" w:rsidRDefault="00C00D37">
                            <w:pPr>
                              <w:textDirection w:val="btLr"/>
                            </w:pPr>
                          </w:p>
                        </w:txbxContent>
                      </wps:txbx>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1122404</wp:posOffset>
                </wp:positionH>
                <wp:positionV relativeFrom="paragraph">
                  <wp:posOffset>977513</wp:posOffset>
                </wp:positionV>
                <wp:extent cx="2580564" cy="412750"/>
                <wp:effectExtent b="0" l="0" r="0" t="0"/>
                <wp:wrapNone/>
                <wp:docPr id="1946650572" name="image8.png"/>
                <a:graphic>
                  <a:graphicData uri="http://schemas.openxmlformats.org/drawingml/2006/picture">
                    <pic:pic>
                      <pic:nvPicPr>
                        <pic:cNvPr id="0" name="image8.png"/>
                        <pic:cNvPicPr preferRelativeResize="0"/>
                      </pic:nvPicPr>
                      <pic:blipFill>
                        <a:blip r:embed="rId14"/>
                        <a:srcRect/>
                        <a:stretch>
                          <a:fillRect/>
                        </a:stretch>
                      </pic:blipFill>
                      <pic:spPr>
                        <a:xfrm>
                          <a:off x="0" y="0"/>
                          <a:ext cx="2580564" cy="412750"/>
                        </a:xfrm>
                        <a:prstGeom prst="rect"/>
                        <a:ln/>
                      </pic:spPr>
                    </pic:pic>
                  </a:graphicData>
                </a:graphic>
              </wp:anchor>
            </w:drawing>
          </mc:Fallback>
        </mc:AlternateContent>
      </w:r>
      <w:r w:rsidRPr="0063563C">
        <w:rPr>
          <w:noProof/>
        </w:rPr>
        <mc:AlternateContent>
          <mc:Choice Requires="wpg">
            <w:drawing>
              <wp:anchor distT="0" distB="0" distL="114300" distR="114300" simplePos="0" relativeHeight="251662336" behindDoc="0" locked="0" layoutInCell="1" hidden="0" allowOverlap="1" wp14:anchorId="1C0C998A" wp14:editId="2A6B0C0A">
                <wp:simplePos x="0" y="0"/>
                <wp:positionH relativeFrom="column">
                  <wp:posOffset>333623</wp:posOffset>
                </wp:positionH>
                <wp:positionV relativeFrom="paragraph">
                  <wp:posOffset>338483</wp:posOffset>
                </wp:positionV>
                <wp:extent cx="394335" cy="1299210"/>
                <wp:effectExtent l="0" t="0" r="0" b="0"/>
                <wp:wrapNone/>
                <wp:docPr id="1946650574" name="Rectángulo 1946650574"/>
                <wp:cNvGraphicFramePr/>
                <a:graphic xmlns:a="http://schemas.openxmlformats.org/drawingml/2006/main">
                  <a:graphicData uri="http://schemas.microsoft.com/office/word/2010/wordprocessingShape">
                    <wps:wsp>
                      <wps:cNvSpPr/>
                      <wps:spPr>
                        <a:xfrm>
                          <a:off x="5158358" y="3139920"/>
                          <a:ext cx="375285" cy="1280160"/>
                        </a:xfrm>
                        <a:prstGeom prst="rect">
                          <a:avLst/>
                        </a:prstGeom>
                        <a:noFill/>
                        <a:ln w="19050" cap="flat" cmpd="sng">
                          <a:solidFill>
                            <a:srgbClr val="FF0000"/>
                          </a:solidFill>
                          <a:prstDash val="solid"/>
                          <a:miter lim="8000"/>
                          <a:headEnd type="none" w="sm" len="sm"/>
                          <a:tailEnd type="none" w="sm" len="sm"/>
                        </a:ln>
                      </wps:spPr>
                      <wps:txbx>
                        <w:txbxContent>
                          <w:p w14:paraId="159E819B" w14:textId="77777777" w:rsidR="00C00D37" w:rsidRDefault="00C00D37">
                            <w:pPr>
                              <w:textDirection w:val="btLr"/>
                            </w:pPr>
                          </w:p>
                        </w:txbxContent>
                      </wps:txbx>
                      <wps:bodyPr spcFirstLastPara="1" wrap="square" lIns="91425" tIns="91425" rIns="91425" bIns="91425" anchor="ctr" anchorCtr="0">
                        <a:noAutofit/>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333623</wp:posOffset>
                </wp:positionH>
                <wp:positionV relativeFrom="paragraph">
                  <wp:posOffset>338483</wp:posOffset>
                </wp:positionV>
                <wp:extent cx="394335" cy="1299210"/>
                <wp:effectExtent b="0" l="0" r="0" t="0"/>
                <wp:wrapNone/>
                <wp:docPr id="1946650574" name="image10.png"/>
                <a:graphic>
                  <a:graphicData uri="http://schemas.openxmlformats.org/drawingml/2006/picture">
                    <pic:pic>
                      <pic:nvPicPr>
                        <pic:cNvPr id="0" name="image10.png"/>
                        <pic:cNvPicPr preferRelativeResize="0"/>
                      </pic:nvPicPr>
                      <pic:blipFill>
                        <a:blip r:embed="rId14"/>
                        <a:srcRect/>
                        <a:stretch>
                          <a:fillRect/>
                        </a:stretch>
                      </pic:blipFill>
                      <pic:spPr>
                        <a:xfrm>
                          <a:off x="0" y="0"/>
                          <a:ext cx="394335" cy="1299210"/>
                        </a:xfrm>
                        <a:prstGeom prst="rect"/>
                        <a:ln/>
                      </pic:spPr>
                    </pic:pic>
                  </a:graphicData>
                </a:graphic>
              </wp:anchor>
            </w:drawing>
          </mc:Fallback>
        </mc:AlternateContent>
      </w:r>
    </w:p>
    <w:p w14:paraId="63A604E7" w14:textId="77777777" w:rsidR="00C00D37" w:rsidRPr="0063563C" w:rsidRDefault="004A69F1">
      <w:pPr>
        <w:widowControl w:val="0"/>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En esa tesitura, en el caso del número identificador (OCR), debe precisarse que éste es generalmente utilizado en la realización de diversas operaciones bancarias y, en algunos casos, como un medio de identificación de las personas, por lo cual, su conocimiento y utilización, concierne únicamente a su titular. </w:t>
      </w:r>
    </w:p>
    <w:p w14:paraId="7316FFE9" w14:textId="77777777" w:rsidR="00C00D37" w:rsidRPr="0063563C" w:rsidRDefault="004A69F1">
      <w:pPr>
        <w:widowControl w:val="0"/>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En el caso de la edad, se trata de un dato personal sensible que concierne únicamente a su titular, al corresponder a su esfera más íntima. </w:t>
      </w:r>
    </w:p>
    <w:p w14:paraId="5464805C" w14:textId="77777777" w:rsidR="00C00D37" w:rsidRPr="0063563C" w:rsidRDefault="004A69F1">
      <w:pPr>
        <w:widowControl w:val="0"/>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El código de barras bidimensional y cifrado, como fue anteriormente mencionado, se trata de un medio de almacenamiento de información, que, en el caso de las credenciales para votar, contiene datos e información, utilizada para efectos electorales, misma, que únicamente concierne a las autoridades competentes en la materia y a su propio titular.</w:t>
      </w:r>
    </w:p>
    <w:p w14:paraId="2E9D26DC" w14:textId="77777777" w:rsidR="00C00D37" w:rsidRPr="0063563C" w:rsidRDefault="004A69F1">
      <w:pPr>
        <w:widowControl w:val="0"/>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Por lo tanto, aún y cuando la credencial de elector puede dar cuenta del requisito previsto en la fracción III del artículo 47 de la Ley del Trabajo de la Entidad, atendiendo los datos personales que la conforman, procede su clasificación en su totalidad.</w:t>
      </w:r>
    </w:p>
    <w:p w14:paraId="5DE88CCD" w14:textId="77777777" w:rsidR="00C00D37" w:rsidRPr="0063563C" w:rsidRDefault="004A69F1">
      <w:pPr>
        <w:numPr>
          <w:ilvl w:val="0"/>
          <w:numId w:val="8"/>
        </w:numPr>
        <w:pBdr>
          <w:top w:val="nil"/>
          <w:left w:val="nil"/>
          <w:bottom w:val="nil"/>
          <w:right w:val="nil"/>
          <w:between w:val="nil"/>
        </w:pBdr>
        <w:spacing w:before="240" w:after="240" w:line="360" w:lineRule="auto"/>
        <w:jc w:val="both"/>
        <w:rPr>
          <w:b/>
          <w:bCs/>
          <w:sz w:val="22"/>
          <w:szCs w:val="22"/>
        </w:rPr>
      </w:pPr>
      <w:r w:rsidRPr="0063563C">
        <w:rPr>
          <w:rFonts w:ascii="Palatino Linotype" w:eastAsia="Palatino Linotype" w:hAnsi="Palatino Linotype" w:cs="Palatino Linotype"/>
          <w:b/>
          <w:bCs/>
          <w:sz w:val="22"/>
          <w:szCs w:val="22"/>
          <w:u w:val="single"/>
        </w:rPr>
        <w:t>Informe o Certificado de no antecedentes penales.</w:t>
      </w:r>
    </w:p>
    <w:p w14:paraId="3D6E8E3B" w14:textId="77777777" w:rsidR="00C00D37" w:rsidRPr="0063563C" w:rsidRDefault="004A69F1">
      <w:pPr>
        <w:pBdr>
          <w:top w:val="nil"/>
          <w:left w:val="nil"/>
          <w:bottom w:val="nil"/>
          <w:right w:val="nil"/>
          <w:between w:val="nil"/>
        </w:pBdr>
        <w:spacing w:before="240" w:after="240" w:line="360" w:lineRule="auto"/>
        <w:ind w:right="-150"/>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Al respecto, mediante el Decreto Número 109, publicado en el periódico oficial “Gaceta de Gobierno” el 3 de agosto de 2016, se derogó la fracción V del artículo 47 de la Ley del Trabajo de los Servidores Públicos del Estado y Municipios, por lo que derivado de esta reforma ya no se mandata a las personas que deseen ingresar al servicio público a presentar el documento en el que acrediten “no contar con antecedentes penales por delitos intencionales”, lo anterior en virtud de que se contempla como una forma de discriminación, dicha premisa encuentra sustento en el dictamen que obra en la exposición de motivos de dicho decreto, mismo que se inserta a continuación: </w:t>
      </w:r>
    </w:p>
    <w:p w14:paraId="55534DA4" w14:textId="77777777" w:rsidR="00C00D37" w:rsidRPr="0063563C" w:rsidRDefault="004A69F1">
      <w:pPr>
        <w:spacing w:before="240" w:after="240" w:line="360" w:lineRule="auto"/>
        <w:ind w:left="567" w:right="851"/>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w:t>
      </w:r>
      <w:r w:rsidRPr="0063563C">
        <w:rPr>
          <w:rFonts w:ascii="Palatino Linotype" w:eastAsia="Palatino Linotype" w:hAnsi="Palatino Linotype" w:cs="Palatino Linotype"/>
          <w:b/>
          <w:bCs/>
          <w:i/>
          <w:iCs/>
          <w:sz w:val="22"/>
          <w:szCs w:val="22"/>
          <w:u w:val="single"/>
        </w:rPr>
        <w:t>Por otra parte, como se menciona en la iniciativa de decreto, reconocemos que el artículo 47 de la Ley del Trabajo para los Servidores Públicos del Estado y Municipios contempla una forma de discriminación que se traduce en lo dispuesto por su fracción V, en virtud que  dicho precepto establece como requisito para ingresar al servicio público el no contar con antecedentes penales por delitos intencionales</w:t>
      </w:r>
      <w:r w:rsidRPr="0063563C">
        <w:rPr>
          <w:rFonts w:ascii="Palatino Linotype" w:eastAsia="Palatino Linotype" w:hAnsi="Palatino Linotype" w:cs="Palatino Linotype"/>
          <w:i/>
          <w:iCs/>
          <w:sz w:val="22"/>
          <w:szCs w:val="22"/>
        </w:rPr>
        <w:t>, lo que se traduce en una violación de derecho y libertades consagrados en nuestra Carta Magna y en la propia Ley Federal para Prevenir y Eliminar la Discriminación, específicamente en su artículo 1, fracción III.</w:t>
      </w:r>
    </w:p>
    <w:p w14:paraId="77D66F1B" w14:textId="77777777" w:rsidR="00C00D37" w:rsidRPr="0063563C" w:rsidRDefault="004A69F1">
      <w:pPr>
        <w:spacing w:before="240" w:after="240" w:line="360" w:lineRule="auto"/>
        <w:ind w:left="567" w:right="851"/>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b/>
          <w:bCs/>
          <w:i/>
          <w:iCs/>
          <w:sz w:val="22"/>
          <w:szCs w:val="22"/>
          <w:u w:val="single"/>
        </w:rPr>
        <w:t>Por ello, resulta procedente derogar la fracción del citado precepto normativo de la Ley del Trabajo de los Servidores Públicos del Estado y Municipios, y suprimir este requisito, y de esta manera, no se distinga negativamente a las personas que deseen ingresar a laborar al  servicio público, ya que quienes hayan compurgado una pena son aptos de reinserción social y deben contar con la oportunidad de obtener  un trabajo que les permita ejercer una forma digna de vida, sin ningún tipo de distinción o discriminación y con ello garantizar el pleno respeto de sus derechos de igualdad y trabajo…</w:t>
      </w:r>
      <w:r w:rsidRPr="0063563C">
        <w:rPr>
          <w:rFonts w:ascii="Palatino Linotype" w:eastAsia="Palatino Linotype" w:hAnsi="Palatino Linotype" w:cs="Palatino Linotype"/>
          <w:i/>
          <w:iCs/>
          <w:sz w:val="22"/>
          <w:szCs w:val="22"/>
        </w:rPr>
        <w:t>” (Énfasis añadido)</w:t>
      </w:r>
    </w:p>
    <w:p w14:paraId="7871598A" w14:textId="77777777" w:rsidR="00C00D37" w:rsidRPr="0063563C" w:rsidRDefault="004A69F1">
      <w:pPr>
        <w:pBdr>
          <w:top w:val="nil"/>
          <w:left w:val="nil"/>
          <w:bottom w:val="nil"/>
          <w:right w:val="nil"/>
          <w:between w:val="nil"/>
        </w:pBdr>
        <w:spacing w:before="240" w:after="240" w:line="360" w:lineRule="auto"/>
        <w:ind w:right="-150"/>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En tal caso, es a partir de la publicación de la derogación de este precepto legal en el periódico oficial “Gaceta de Gobierno”, que la obligación de requerir a los servidores públicos el documento referido como condicionante para ingresar al servicio público es inexistente.</w:t>
      </w:r>
    </w:p>
    <w:p w14:paraId="2F84F15B" w14:textId="77777777" w:rsidR="00C00D37" w:rsidRPr="0063563C" w:rsidRDefault="004A69F1">
      <w:pPr>
        <w:pBdr>
          <w:top w:val="nil"/>
          <w:left w:val="nil"/>
          <w:bottom w:val="nil"/>
          <w:right w:val="nil"/>
          <w:between w:val="nil"/>
        </w:pBdr>
        <w:spacing w:before="240" w:after="240" w:line="360" w:lineRule="auto"/>
        <w:ind w:right="-150"/>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No obstante, debe tenerse en cuenta que el artículo 47 de la Ley del Trabajo de los Servidores Públicos del Estado y Municipios, refiere en la fracción III que para ingresar al servicio público, se requiere, estar en pleno ejercicio de sus derechos civiles y políticos, en su caso. </w:t>
      </w:r>
    </w:p>
    <w:p w14:paraId="1A2BEB08" w14:textId="77777777" w:rsidR="00C00D37" w:rsidRPr="0063563C" w:rsidRDefault="004A69F1">
      <w:pPr>
        <w:pBdr>
          <w:top w:val="nil"/>
          <w:left w:val="nil"/>
          <w:bottom w:val="nil"/>
          <w:right w:val="nil"/>
          <w:between w:val="nil"/>
        </w:pBdr>
        <w:spacing w:before="240" w:after="240" w:line="360" w:lineRule="auto"/>
        <w:ind w:right="-150"/>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Bajo este orden de ideas, se tiene que en el caso particular, si bien es cierto, la presentación del certificado de no antecedentes penales ya no es una condicionante para ingresar al servicio público, no menos cierto es que como se refirió anteriormente, el artículo 47 fracción III de la Ley del Trabajo de los Servidores Públicos del Estado de México y Municipios, contempla la acreditación del ejercicio de los derechos civiles y políticos, el cual se puede acreditar de manera enunciativa más no limitativa, mediante el informe o certificado de no antecedentes penales.</w:t>
      </w:r>
    </w:p>
    <w:p w14:paraId="21E44383" w14:textId="77777777" w:rsidR="00C00D37" w:rsidRPr="0063563C" w:rsidRDefault="004A69F1">
      <w:pPr>
        <w:pBdr>
          <w:top w:val="nil"/>
          <w:left w:val="nil"/>
          <w:bottom w:val="nil"/>
          <w:right w:val="nil"/>
          <w:between w:val="nil"/>
        </w:pBdr>
        <w:spacing w:before="240" w:after="240" w:line="360" w:lineRule="auto"/>
        <w:ind w:right="-150"/>
        <w:jc w:val="both"/>
        <w:rPr>
          <w:rFonts w:ascii="Palatino Linotype" w:eastAsia="Palatino Linotype" w:hAnsi="Palatino Linotype" w:cs="Palatino Linotype"/>
          <w:sz w:val="22"/>
          <w:szCs w:val="22"/>
          <w:u w:val="single"/>
        </w:rPr>
      </w:pPr>
      <w:r w:rsidRPr="0063563C">
        <w:rPr>
          <w:rFonts w:ascii="Palatino Linotype" w:eastAsia="Palatino Linotype" w:hAnsi="Palatino Linotype" w:cs="Palatino Linotype"/>
          <w:sz w:val="22"/>
          <w:szCs w:val="22"/>
          <w:u w:val="single"/>
        </w:rPr>
        <w:t>Máxime que dichos documentales también dan cuenta del cumplimiento del requisito en cuestión, pues en materia de derecho penal, una persona que tiene la imputación de un delito del cual ha resultado responsable mediante sentencia ejecutoriada y cuya pena haya sido la prisión, por tanto, sus derechos civiles y políticos pueden verse suspendidos.</w:t>
      </w:r>
    </w:p>
    <w:p w14:paraId="4CFEB582" w14:textId="77777777" w:rsidR="00C00D37" w:rsidRPr="0063563C" w:rsidRDefault="004A69F1">
      <w:pPr>
        <w:pBdr>
          <w:top w:val="nil"/>
          <w:left w:val="nil"/>
          <w:bottom w:val="nil"/>
          <w:right w:val="nil"/>
          <w:between w:val="nil"/>
        </w:pBdr>
        <w:spacing w:before="240" w:after="240" w:line="360" w:lineRule="auto"/>
        <w:ind w:right="-150"/>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Por lo que, </w:t>
      </w:r>
      <w:r w:rsidRPr="0063563C">
        <w:rPr>
          <w:rFonts w:ascii="Palatino Linotype" w:eastAsia="Palatino Linotype" w:hAnsi="Palatino Linotype" w:cs="Palatino Linotype"/>
          <w:b/>
          <w:bCs/>
          <w:sz w:val="22"/>
          <w:szCs w:val="22"/>
        </w:rPr>
        <w:t>para colmar el requisito de mérito, procede ordenarse la entrega del informe o certificado de no antecedentes penales del servidor público en cuestión</w:t>
      </w:r>
      <w:r w:rsidRPr="0063563C">
        <w:rPr>
          <w:rFonts w:ascii="Palatino Linotype" w:eastAsia="Palatino Linotype" w:hAnsi="Palatino Linotype" w:cs="Palatino Linotype"/>
          <w:sz w:val="22"/>
          <w:szCs w:val="22"/>
        </w:rPr>
        <w:t>, en versión pública, en virtud de que puede contener datos personales de índole confidencial tales como: el Registro Federal de Contribuyentes y Clave Única de Registro de Población.</w:t>
      </w:r>
    </w:p>
    <w:p w14:paraId="6286098D" w14:textId="77777777" w:rsidR="00C00D37" w:rsidRPr="0063563C" w:rsidRDefault="004A69F1">
      <w:pPr>
        <w:pBdr>
          <w:top w:val="nil"/>
          <w:left w:val="nil"/>
          <w:bottom w:val="nil"/>
          <w:right w:val="nil"/>
          <w:between w:val="nil"/>
        </w:pBdr>
        <w:spacing w:before="240" w:after="240" w:line="360" w:lineRule="auto"/>
        <w:ind w:right="-150"/>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Sin embargo, en el supuesto de que la información ordenada no obre en los archivos del </w:t>
      </w:r>
      <w:r w:rsidRPr="0063563C">
        <w:rPr>
          <w:rFonts w:ascii="Palatino Linotype" w:eastAsia="Palatino Linotype" w:hAnsi="Palatino Linotype" w:cs="Palatino Linotype"/>
          <w:b/>
          <w:bCs/>
          <w:sz w:val="22"/>
          <w:szCs w:val="22"/>
        </w:rPr>
        <w:t>Sujeto Obligado</w:t>
      </w:r>
      <w:r w:rsidRPr="0063563C">
        <w:rPr>
          <w:rFonts w:ascii="Palatino Linotype" w:eastAsia="Palatino Linotype" w:hAnsi="Palatino Linotype" w:cs="Palatino Linotype"/>
          <w:sz w:val="22"/>
          <w:szCs w:val="22"/>
        </w:rPr>
        <w:t xml:space="preserve"> </w:t>
      </w:r>
      <w:r w:rsidRPr="0063563C">
        <w:rPr>
          <w:rFonts w:ascii="Palatino Linotype" w:eastAsia="Palatino Linotype" w:hAnsi="Palatino Linotype" w:cs="Palatino Linotype"/>
          <w:b/>
          <w:bCs/>
          <w:sz w:val="22"/>
          <w:szCs w:val="22"/>
        </w:rPr>
        <w:t>por no haber sido requerido al servidor público al momento de su ingreso al servicio público</w:t>
      </w:r>
      <w:r w:rsidRPr="0063563C">
        <w:rPr>
          <w:rFonts w:ascii="Palatino Linotype" w:eastAsia="Palatino Linotype" w:hAnsi="Palatino Linotype" w:cs="Palatino Linotype"/>
          <w:sz w:val="22"/>
          <w:szCs w:val="22"/>
        </w:rPr>
        <w:t>, bastará con que así lo haga del conocimiento de la parte Recurrente, de manera fundada y motivada, en términos del artículo 19, párrafo segundo de la Ley de Transparencia y Acceso a la Información Pública del Estado de México y Municipios, para tener por colmado el requerimiento de información.</w:t>
      </w:r>
    </w:p>
    <w:p w14:paraId="4B295172" w14:textId="77777777" w:rsidR="00C00D37" w:rsidRPr="0063563C" w:rsidRDefault="004A69F1">
      <w:pPr>
        <w:numPr>
          <w:ilvl w:val="0"/>
          <w:numId w:val="8"/>
        </w:numPr>
        <w:pBdr>
          <w:top w:val="nil"/>
          <w:left w:val="nil"/>
          <w:bottom w:val="nil"/>
          <w:right w:val="nil"/>
          <w:between w:val="nil"/>
        </w:pBdr>
        <w:spacing w:before="240" w:after="240" w:line="360" w:lineRule="auto"/>
        <w:ind w:right="51"/>
        <w:jc w:val="both"/>
        <w:rPr>
          <w:b/>
          <w:bCs/>
          <w:sz w:val="22"/>
          <w:szCs w:val="22"/>
        </w:rPr>
      </w:pPr>
      <w:r w:rsidRPr="0063563C">
        <w:rPr>
          <w:rFonts w:ascii="Palatino Linotype" w:eastAsia="Palatino Linotype" w:hAnsi="Palatino Linotype" w:cs="Palatino Linotype"/>
          <w:b/>
          <w:bCs/>
          <w:sz w:val="22"/>
          <w:szCs w:val="22"/>
          <w:u w:val="single"/>
        </w:rPr>
        <w:t xml:space="preserve">Constancia o certificado médico: </w:t>
      </w:r>
    </w:p>
    <w:p w14:paraId="0B26597C" w14:textId="77777777" w:rsidR="00C00D37" w:rsidRPr="0063563C" w:rsidRDefault="004A69F1">
      <w:pPr>
        <w:spacing w:before="240" w:after="240" w:line="360" w:lineRule="auto"/>
        <w:ind w:right="51"/>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En principio, es de señalar que cualquier información que dé cuenta del estado de salud de una persona, concierne a su vida íntima y privada; lo anterior, pues el artículo 4°, fracción XII, de la Ley de Protección de Datos Personales en Posesión de Sujetos Obligados del Estado de México y Municipios, establece que los datos personales sensibles, son aquellos cuya utilización indebida, puedan dar origen a discriminación o conlleven a un riesgo grave para éste, entre los cuales se encuentran los que den cuenta del estado de salud, ya sea físico o mental.</w:t>
      </w:r>
    </w:p>
    <w:p w14:paraId="5943A012" w14:textId="77777777" w:rsidR="00C00D37" w:rsidRPr="0063563C" w:rsidRDefault="004A69F1">
      <w:pPr>
        <w:spacing w:before="240" w:after="240" w:line="360" w:lineRule="auto"/>
        <w:ind w:right="51"/>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De tales circunstancias, se considera que la información contenida en el certificado médico únicamente identifica el estado de salud físico y mental del servidor público, lo cual guarda el carácter confidencial, en términos del artículo 143, fracción I, de la Ley de Transparencia y Acceso a la Información Pública del Estado de México y Municipios, por lo que si bien es requisito tener buena salud, no se prevé como requisito obligatorio para ingresar al servicio público la entrega de certificado o constancia médica, sino sólo su comprobación mediante dichos documentos.</w:t>
      </w:r>
    </w:p>
    <w:p w14:paraId="1260AAF5" w14:textId="77777777" w:rsidR="00C00D37" w:rsidRPr="0063563C" w:rsidRDefault="004A69F1">
      <w:pPr>
        <w:spacing w:before="240" w:after="240" w:line="360" w:lineRule="auto"/>
        <w:ind w:right="51"/>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De ahí que el servidor público de quien se requiere no está constreñido en hacer entrega de dicho documento.</w:t>
      </w:r>
    </w:p>
    <w:p w14:paraId="218B395F" w14:textId="77777777" w:rsidR="00C00D37" w:rsidRPr="0063563C" w:rsidRDefault="004A69F1">
      <w:pPr>
        <w:spacing w:before="240" w:after="240" w:line="360" w:lineRule="auto"/>
        <w:ind w:right="51"/>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Por lo que, de obrar en los archivos dicha información, </w:t>
      </w:r>
      <w:r w:rsidRPr="0063563C">
        <w:rPr>
          <w:rFonts w:ascii="Palatino Linotype" w:eastAsia="Palatino Linotype" w:hAnsi="Palatino Linotype" w:cs="Palatino Linotype"/>
          <w:b/>
          <w:bCs/>
          <w:sz w:val="22"/>
          <w:szCs w:val="22"/>
        </w:rPr>
        <w:t>para colmar el  mismo deberá entregar el acuerdo que sustente la clasificación en su totalidad del certificado médico del servidor público requerido.</w:t>
      </w:r>
    </w:p>
    <w:p w14:paraId="7524A61C" w14:textId="77777777" w:rsidR="00C00D37" w:rsidRPr="0063563C" w:rsidRDefault="004A69F1">
      <w:pPr>
        <w:numPr>
          <w:ilvl w:val="0"/>
          <w:numId w:val="8"/>
        </w:numPr>
        <w:pBdr>
          <w:top w:val="nil"/>
          <w:left w:val="nil"/>
          <w:bottom w:val="nil"/>
          <w:right w:val="nil"/>
          <w:between w:val="nil"/>
        </w:pBdr>
        <w:spacing w:before="240" w:after="240" w:line="360" w:lineRule="auto"/>
        <w:jc w:val="both"/>
        <w:rPr>
          <w:b/>
          <w:bCs/>
          <w:sz w:val="22"/>
          <w:szCs w:val="22"/>
        </w:rPr>
      </w:pPr>
      <w:r w:rsidRPr="0063563C">
        <w:rPr>
          <w:rFonts w:ascii="Palatino Linotype" w:eastAsia="Palatino Linotype" w:hAnsi="Palatino Linotype" w:cs="Palatino Linotype"/>
          <w:b/>
          <w:bCs/>
          <w:sz w:val="22"/>
          <w:szCs w:val="22"/>
          <w:u w:val="single"/>
        </w:rPr>
        <w:t>Constancia de no inhabilitación.</w:t>
      </w:r>
    </w:p>
    <w:p w14:paraId="1A056DA5"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Al respecto dicho documento se encuentra regulado en el artículo 27 y 28 de la Ley General de Responsabilidades Administrativas, 28 de la Ley de Responsabilidades Administrativas, 28 quinto párrafo de la Ley de Responsabilidades Administrativas del Estado de México, con relación al 47, fracción X de la Ley del Trabajo de los Servidores públicos del Estado de México y Municipios. </w:t>
      </w:r>
    </w:p>
    <w:p w14:paraId="5D4C14F4"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Es el documento que expide la Secretaría de la Contraloría del Estado de México por medio del sistema electrónico extranet </w:t>
      </w:r>
      <w:hyperlink r:id="rId16">
        <w:r w:rsidRPr="0063563C">
          <w:rPr>
            <w:rFonts w:ascii="Palatino Linotype" w:eastAsia="Palatino Linotype" w:hAnsi="Palatino Linotype" w:cs="Palatino Linotype"/>
            <w:sz w:val="22"/>
            <w:szCs w:val="22"/>
            <w:u w:val="single"/>
          </w:rPr>
          <w:t>www.secogem.gob.mx/constancias/</w:t>
        </w:r>
      </w:hyperlink>
      <w:r w:rsidRPr="0063563C">
        <w:rPr>
          <w:rFonts w:ascii="Palatino Linotype" w:eastAsia="Palatino Linotype" w:hAnsi="Palatino Linotype" w:cs="Palatino Linotype"/>
          <w:sz w:val="22"/>
          <w:szCs w:val="22"/>
        </w:rPr>
        <w:t xml:space="preserve"> en el cual se informa si las personas físicas cuentan con alguna sanción o inhabilitación para ocupar un empleo, cargo o comisión de carácter público. </w:t>
      </w:r>
    </w:p>
    <w:p w14:paraId="4ACCAF74"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Por lo anterior, este documento es de naturaleza pública, sin embargo, no pasa desapercibido mencionar que puede contener datos que actualizan la causal prevista en la fracción I del artículo 143 de la Ley de Transparencia del Estado de México y Municipios, ya que puede contener datos como la CURP y RFC; y, por tanto, procede su entrega en versión pública.</w:t>
      </w:r>
    </w:p>
    <w:p w14:paraId="2973D4AD" w14:textId="77777777" w:rsidR="00C00D37" w:rsidRPr="0063563C" w:rsidRDefault="004A69F1">
      <w:pPr>
        <w:spacing w:before="240" w:after="240" w:line="360" w:lineRule="auto"/>
        <w:ind w:right="51"/>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Además, es de precisar que con la entrega de dichas constancias de no inhabilitación se colma el requisito relativo a “</w:t>
      </w:r>
      <w:r w:rsidRPr="0063563C">
        <w:rPr>
          <w:rFonts w:ascii="Palatino Linotype" w:eastAsia="Palatino Linotype" w:hAnsi="Palatino Linotype" w:cs="Palatino Linotype"/>
          <w:b/>
          <w:bCs/>
          <w:i/>
          <w:iCs/>
          <w:sz w:val="22"/>
          <w:szCs w:val="22"/>
        </w:rPr>
        <w:t>No haber sido separado anteriormente del servicio por las causas previstas en el artículo 93 de la Ley de Trabajo de los Servidores Públicos de la Entidad</w:t>
      </w:r>
      <w:r w:rsidRPr="0063563C">
        <w:rPr>
          <w:rFonts w:ascii="Palatino Linotype" w:eastAsia="Palatino Linotype" w:hAnsi="Palatino Linotype" w:cs="Palatino Linotype"/>
          <w:sz w:val="22"/>
          <w:szCs w:val="22"/>
        </w:rPr>
        <w:t>”.</w:t>
      </w:r>
    </w:p>
    <w:p w14:paraId="5BB2BB06"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Conviene citar el contenido del artículo 93 de la Ley del Trabajo de la Entidad, en la parte de nuestro interés:</w:t>
      </w:r>
    </w:p>
    <w:p w14:paraId="72BDCEA3" w14:textId="77777777" w:rsidR="00C00D37" w:rsidRPr="0063563C" w:rsidRDefault="004A69F1">
      <w:pPr>
        <w:spacing w:before="240" w:after="240" w:line="360" w:lineRule="auto"/>
        <w:ind w:left="567" w:right="560"/>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w:t>
      </w:r>
      <w:r w:rsidRPr="0063563C">
        <w:rPr>
          <w:rFonts w:ascii="Palatino Linotype" w:eastAsia="Palatino Linotype" w:hAnsi="Palatino Linotype" w:cs="Palatino Linotype"/>
          <w:b/>
          <w:bCs/>
          <w:i/>
          <w:iCs/>
          <w:sz w:val="22"/>
          <w:szCs w:val="22"/>
        </w:rPr>
        <w:t>ARTÍCULO 93. Son causas de rescisión de la relación laboral, sin responsabilidad para las instituciones públicas:</w:t>
      </w:r>
      <w:r w:rsidRPr="0063563C">
        <w:rPr>
          <w:rFonts w:ascii="Palatino Linotype" w:eastAsia="Palatino Linotype" w:hAnsi="Palatino Linotype" w:cs="Palatino Linotype"/>
          <w:i/>
          <w:iCs/>
          <w:sz w:val="22"/>
          <w:szCs w:val="22"/>
        </w:rPr>
        <w:t xml:space="preserve"> </w:t>
      </w:r>
    </w:p>
    <w:p w14:paraId="76AD2DE9" w14:textId="77777777" w:rsidR="00C00D37" w:rsidRPr="0063563C" w:rsidRDefault="004A69F1">
      <w:pPr>
        <w:spacing w:before="240" w:after="240" w:line="360" w:lineRule="auto"/>
        <w:ind w:left="567" w:right="560"/>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 xml:space="preserve">I. Engañar el servidor público con documentación o referencias falsas que le atribuyan capacidad, aptitudes o grados académicos de los que carezca. Esta causa dejará de tener efecto después de treinta días naturales de conocido el hecho; </w:t>
      </w:r>
    </w:p>
    <w:p w14:paraId="6CC736A8" w14:textId="77777777" w:rsidR="00C00D37" w:rsidRPr="0063563C" w:rsidRDefault="004A69F1">
      <w:pPr>
        <w:spacing w:before="240" w:after="240" w:line="360" w:lineRule="auto"/>
        <w:ind w:left="567" w:right="560"/>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 xml:space="preserve">II. Tener asignada más de una plaza en la misma o en diferentes instituciones públicas o dependencias, con las excepciones que esta ley señala, o bien cobrar un sueldo sin desempeñar funciones; </w:t>
      </w:r>
    </w:p>
    <w:p w14:paraId="3188C457" w14:textId="77777777" w:rsidR="00C00D37" w:rsidRPr="0063563C" w:rsidRDefault="004A69F1">
      <w:pPr>
        <w:spacing w:before="240" w:after="240" w:line="360" w:lineRule="auto"/>
        <w:ind w:left="567" w:right="560"/>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 xml:space="preserve">III. Incurrir durante sus labores en faltas de probidad u honradez, o bien en actos de violencia, amenazas, injurias o malos tratos en contra de sus superiores, compañeros o familiares de unos u otros, ya sea dentro o fuera de las horas de servicio, salvo que obre en defensa propia; </w:t>
      </w:r>
    </w:p>
    <w:p w14:paraId="66E11A71" w14:textId="77777777" w:rsidR="00C00D37" w:rsidRPr="0063563C" w:rsidRDefault="004A69F1">
      <w:pPr>
        <w:spacing w:before="240" w:after="240" w:line="360" w:lineRule="auto"/>
        <w:ind w:left="567" w:right="560"/>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 xml:space="preserve">IV. Incurrir en cuatro o más faltas de asistencia a sus labores sin causa justificada, dentro de un lapso de treinta días; V. Abandonar las labores sin autorización previa o razón plenamente justificada, en contravención a lo establecido en las condiciones generales de trabajo; </w:t>
      </w:r>
    </w:p>
    <w:p w14:paraId="64C03CE9" w14:textId="77777777" w:rsidR="00C00D37" w:rsidRPr="0063563C" w:rsidRDefault="004A69F1">
      <w:pPr>
        <w:spacing w:before="240" w:after="240" w:line="360" w:lineRule="auto"/>
        <w:ind w:left="567" w:right="560"/>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 xml:space="preserve">VI. Causar daños intencionalmente a edificios, obras, equipo, maquinaria, instrumentos, materias primas y demás objetos relacionados con el trabajo, o por sustraerlos en beneficio propio; </w:t>
      </w:r>
    </w:p>
    <w:p w14:paraId="3DEDAB02" w14:textId="77777777" w:rsidR="00C00D37" w:rsidRPr="0063563C" w:rsidRDefault="004A69F1">
      <w:pPr>
        <w:spacing w:before="240" w:after="240" w:line="360" w:lineRule="auto"/>
        <w:ind w:left="567" w:right="560"/>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 xml:space="preserve">VII. Cometer actos inmorales durante el trabajo; </w:t>
      </w:r>
    </w:p>
    <w:p w14:paraId="61C648F0" w14:textId="77777777" w:rsidR="00C00D37" w:rsidRPr="0063563C" w:rsidRDefault="004A69F1">
      <w:pPr>
        <w:spacing w:before="240" w:after="240" w:line="360" w:lineRule="auto"/>
        <w:ind w:left="567" w:right="560"/>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VIII. Revelar los asuntos confidenciales o reservados así calificados por la institución pública o dependencia donde labore, de los cuales tuviese conocimiento con motivo de su trabajo; […]”</w:t>
      </w:r>
    </w:p>
    <w:p w14:paraId="0EE8F788" w14:textId="77777777" w:rsidR="00C00D37" w:rsidRPr="0063563C" w:rsidRDefault="004A69F1">
      <w:pPr>
        <w:pBdr>
          <w:top w:val="nil"/>
          <w:left w:val="nil"/>
          <w:bottom w:val="nil"/>
          <w:right w:val="nil"/>
          <w:between w:val="nil"/>
        </w:pBdr>
        <w:spacing w:before="240" w:after="240" w:line="360" w:lineRule="auto"/>
        <w:ind w:right="-150"/>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Por lo que, en el caso, procede, en versión pública, en virtud de que puede contener datos personales de índole confidencial tales como: el Registro Federal de Contribuyentes.</w:t>
      </w:r>
    </w:p>
    <w:p w14:paraId="1A6CD5CE" w14:textId="77777777" w:rsidR="00C00D37" w:rsidRPr="0063563C" w:rsidRDefault="004A69F1">
      <w:pPr>
        <w:numPr>
          <w:ilvl w:val="0"/>
          <w:numId w:val="8"/>
        </w:numPr>
        <w:pBdr>
          <w:top w:val="nil"/>
          <w:left w:val="nil"/>
          <w:bottom w:val="nil"/>
          <w:right w:val="nil"/>
          <w:between w:val="nil"/>
        </w:pBdr>
        <w:spacing w:before="240" w:after="240" w:line="360" w:lineRule="auto"/>
        <w:jc w:val="both"/>
        <w:rPr>
          <w:b/>
          <w:bCs/>
          <w:sz w:val="22"/>
          <w:szCs w:val="22"/>
        </w:rPr>
      </w:pPr>
      <w:r w:rsidRPr="0063563C">
        <w:rPr>
          <w:rFonts w:ascii="Palatino Linotype" w:eastAsia="Palatino Linotype" w:hAnsi="Palatino Linotype" w:cs="Palatino Linotype"/>
          <w:b/>
          <w:bCs/>
          <w:sz w:val="22"/>
          <w:szCs w:val="22"/>
        </w:rPr>
        <w:t>Certificado de no deudor alimentario moroso:</w:t>
      </w:r>
    </w:p>
    <w:p w14:paraId="5C52F88E"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Por lo que hace los certificados de no deudor alimentario moroso, es de indicar que la Ley General de los Derechos de las Niñas, Niños y Adolescentes </w:t>
      </w:r>
      <w:hyperlink r:id="rId17">
        <w:r w:rsidRPr="0063563C">
          <w:rPr>
            <w:rFonts w:ascii="Palatino Linotype" w:eastAsia="Palatino Linotype" w:hAnsi="Palatino Linotype" w:cs="Palatino Linotype"/>
            <w:sz w:val="22"/>
            <w:szCs w:val="22"/>
          </w:rPr>
          <w:t>https://www.diputados.gob.mx/LeyesBiblio/pdf/LGDNNA.pdf</w:t>
        </w:r>
      </w:hyperlink>
      <w:r w:rsidRPr="0063563C">
        <w:rPr>
          <w:rFonts w:ascii="Palatino Linotype" w:eastAsia="Palatino Linotype" w:hAnsi="Palatino Linotype" w:cs="Palatino Linotype"/>
          <w:sz w:val="22"/>
          <w:szCs w:val="22"/>
        </w:rPr>
        <w:t xml:space="preserve"> en sus artículos 1, 13, 18 y 46, regula de manera enunciativa y no limitativa, entre otros derechos, garantizar el pleno ejercicio, respeto, protección y promoción de los derechos humanos, derecho a la vida, a la paz, a la supervivencia y al desarrollo, el recibir alimentos para lograr el sano desarrollo del menor en su ámbito, bio-psico-social, y establece como obligación de los progenitores para con sus hijos, el proporcionarles, apoyo, cuidados, educación y protección a su salud.</w:t>
      </w:r>
    </w:p>
    <w:p w14:paraId="76164CAE"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De ahí que, se crea el Registro Nacional de Obligaciones Alimentarias cuyo objeto es concentrar la información de deudores y acreedores de obligaciones alimentarias, a fin de dar efectiva protección y restitución de los derechos de niñas, niños y adolescentes. Los Tribunales Superiores de las entidades federativas y de la Ciudad de México suministrarán, intercambiarán, sistematizarán, consultarán, analizarán y actualizarán, la información que se genere sobre el incumplimiento de las obligaciones alimentarias en el ámbito de sus competencias utilizando los sistemas e instrumentos tecnológicos del Sistema Nacional DIF para que con ella integre al Registro Nacional de Obligaciones.</w:t>
      </w:r>
    </w:p>
    <w:p w14:paraId="50889B08"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sz w:val="22"/>
          <w:szCs w:val="22"/>
        </w:rPr>
        <w:t>La calidad de deudor moroso se difundirá en el Registro Nacional de Obligaciones Alimentarias, el cual, será público con base en lo dispuesto en la Ley General de Protección de Datos Personales en Posesión de Sujetos Obligados.</w:t>
      </w:r>
      <w:r w:rsidRPr="0063563C">
        <w:rPr>
          <w:rFonts w:ascii="Palatino Linotype" w:eastAsia="Palatino Linotype" w:hAnsi="Palatino Linotype" w:cs="Palatino Linotype"/>
          <w:sz w:val="22"/>
          <w:szCs w:val="22"/>
        </w:rPr>
        <w:t xml:space="preserve"> Es de recalcar que las Autoridades de los tres órdenes de gobierno (Federal, Estatal y Municipal) en el ámbito de sus competencias, dispondrán lo necesario a fin de establecer como requisito la presentación del certificado de no inscripción en el Registro Nacional de Obligaciones Alimentarias; es decir, la denominación que se le dio fue el de Registro de Deudores Alimentarios Morosos, ya que, la palabra moroso deriva de mora; la mora es el retraso en el cumplimiento de las obligaciones y se incurre en ella desde el momento en que feneció el plazo que se señaló para el cumplimiento de una obligación.</w:t>
      </w:r>
    </w:p>
    <w:p w14:paraId="23B06A6F"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Al respecto, en el Proyecto de Decreto por el que se Reforman y Adicionan Diversas Disposiciones para crear el Registro de Deudores Alimentarios del Estado de México, disponible en la dirección electrónica </w:t>
      </w:r>
      <w:hyperlink r:id="rId18">
        <w:r w:rsidRPr="0063563C">
          <w:rPr>
            <w:rFonts w:ascii="Palatino Linotype" w:eastAsia="Palatino Linotype" w:hAnsi="Palatino Linotype" w:cs="Palatino Linotype"/>
            <w:sz w:val="22"/>
            <w:szCs w:val="22"/>
          </w:rPr>
          <w:t>https://legislacion.edomex.gob.mx/sites/legislacion.edomex.gob.mx/files/files/pdf/gct/2014/nov144.PDF</w:t>
        </w:r>
      </w:hyperlink>
      <w:r w:rsidRPr="0063563C">
        <w:rPr>
          <w:rFonts w:ascii="Palatino Linotype" w:eastAsia="Palatino Linotype" w:hAnsi="Palatino Linotype" w:cs="Palatino Linotype"/>
          <w:sz w:val="22"/>
          <w:szCs w:val="22"/>
        </w:rPr>
        <w:t xml:space="preserve">, advierte lo siguiente: </w:t>
      </w:r>
    </w:p>
    <w:p w14:paraId="41EFE6B6" w14:textId="77777777" w:rsidR="00C00D37" w:rsidRPr="0063563C" w:rsidRDefault="004A69F1">
      <w:pPr>
        <w:spacing w:before="240" w:after="240" w:line="360" w:lineRule="auto"/>
        <w:ind w:left="567" w:right="567"/>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b/>
          <w:bCs/>
          <w:i/>
          <w:iCs/>
          <w:sz w:val="22"/>
          <w:szCs w:val="22"/>
        </w:rPr>
        <w:t>“</w:t>
      </w:r>
      <w:r w:rsidRPr="0063563C">
        <w:rPr>
          <w:rFonts w:ascii="Palatino Linotype" w:eastAsia="Palatino Linotype" w:hAnsi="Palatino Linotype" w:cs="Palatino Linotype"/>
          <w:i/>
          <w:iCs/>
          <w:sz w:val="22"/>
          <w:szCs w:val="22"/>
        </w:rPr>
        <w:t xml:space="preserve">4.146 Bis.- El área del Registro de Deudores Alimentarios Morosos, es una unidad administrativa del Registro Civil. Actos inscribibles en el Registro de Deudores Alimentarios Morosos </w:t>
      </w:r>
    </w:p>
    <w:p w14:paraId="2B72AB69" w14:textId="77777777" w:rsidR="00C00D37" w:rsidRPr="0063563C" w:rsidRDefault="004A69F1">
      <w:pPr>
        <w:spacing w:before="240" w:after="240" w:line="360" w:lineRule="auto"/>
        <w:ind w:left="567" w:right="567"/>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 xml:space="preserve">4.146 Ter.- En el Registro de Deudores Alimentarios Morosos se inscriben a las personas que el Juez de lo Familiar determina en términos del artículo 4.136 del presente Código. </w:t>
      </w:r>
    </w:p>
    <w:p w14:paraId="6926A612" w14:textId="77777777" w:rsidR="00C00D37" w:rsidRPr="0063563C" w:rsidRDefault="004A69F1">
      <w:pPr>
        <w:spacing w:before="240" w:after="240" w:line="360" w:lineRule="auto"/>
        <w:ind w:left="567" w:right="567"/>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Serán objeto de registro los empleadores que incumplan una orden de descuento para alimentos ordenada por el órgano jurisdiccional.</w:t>
      </w:r>
    </w:p>
    <w:p w14:paraId="0ABDF2F5" w14:textId="77777777" w:rsidR="00C00D37" w:rsidRPr="0063563C" w:rsidRDefault="004A69F1">
      <w:pPr>
        <w:spacing w:before="240" w:after="240" w:line="360" w:lineRule="auto"/>
        <w:ind w:left="567" w:right="567"/>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 xml:space="preserve">De los datos que contendrá el Registro de Deudores Alimentarios Morosos </w:t>
      </w:r>
    </w:p>
    <w:p w14:paraId="341E627E" w14:textId="77777777" w:rsidR="00C00D37" w:rsidRPr="0063563C" w:rsidRDefault="004A69F1">
      <w:pPr>
        <w:spacing w:before="240" w:after="240" w:line="360" w:lineRule="auto"/>
        <w:ind w:left="567" w:right="567"/>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 xml:space="preserve">Artículo. 4.146 Quáter.- El Registro de Deudores Alimentarios Morosos contendrá: </w:t>
      </w:r>
    </w:p>
    <w:p w14:paraId="0CB54C2D" w14:textId="77777777" w:rsidR="00C00D37" w:rsidRPr="0063563C" w:rsidRDefault="00C00D37">
      <w:pPr>
        <w:spacing w:before="240" w:after="240" w:line="360" w:lineRule="auto"/>
        <w:ind w:left="567" w:right="567"/>
        <w:jc w:val="both"/>
        <w:rPr>
          <w:rFonts w:ascii="Palatino Linotype" w:eastAsia="Palatino Linotype" w:hAnsi="Palatino Linotype" w:cs="Palatino Linotype"/>
          <w:i/>
          <w:iCs/>
          <w:sz w:val="22"/>
          <w:szCs w:val="22"/>
        </w:rPr>
      </w:pPr>
    </w:p>
    <w:p w14:paraId="22380A01" w14:textId="77777777" w:rsidR="00C00D37" w:rsidRPr="0063563C" w:rsidRDefault="004A69F1">
      <w:pPr>
        <w:spacing w:before="240" w:after="240" w:line="360" w:lineRule="auto"/>
        <w:ind w:left="567" w:right="567"/>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 xml:space="preserve">I. Nombre y Clave Única del Registro de Población del deudor alimentario; </w:t>
      </w:r>
    </w:p>
    <w:p w14:paraId="5AE48FEB" w14:textId="77777777" w:rsidR="00C00D37" w:rsidRPr="0063563C" w:rsidRDefault="004A69F1">
      <w:pPr>
        <w:spacing w:before="240" w:after="240" w:line="360" w:lineRule="auto"/>
        <w:ind w:left="567" w:right="567"/>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 xml:space="preserve">II. Nombre del acreedor o acreedores alimentarios; </w:t>
      </w:r>
    </w:p>
    <w:p w14:paraId="0D72161F" w14:textId="77777777" w:rsidR="00C00D37" w:rsidRPr="0063563C" w:rsidRDefault="004A69F1">
      <w:pPr>
        <w:spacing w:before="240" w:after="240" w:line="360" w:lineRule="auto"/>
        <w:ind w:left="567" w:right="567"/>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 xml:space="preserve">III. Datos del acta que acredite el vínculo entre deudor y acreedor alimentario, en su caso; </w:t>
      </w:r>
    </w:p>
    <w:p w14:paraId="6CC75E61" w14:textId="77777777" w:rsidR="00C00D37" w:rsidRPr="0063563C" w:rsidRDefault="004A69F1">
      <w:pPr>
        <w:spacing w:before="240" w:after="240" w:line="360" w:lineRule="auto"/>
        <w:ind w:left="567" w:right="567"/>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 xml:space="preserve">IV. Monto de la pensión decretada o convenida, en su caso, número de pagos incumplidos y monto del adeudo alimentario; </w:t>
      </w:r>
    </w:p>
    <w:p w14:paraId="377C9524" w14:textId="77777777" w:rsidR="00C00D37" w:rsidRPr="0063563C" w:rsidRDefault="004A69F1">
      <w:pPr>
        <w:spacing w:before="240" w:after="240" w:line="360" w:lineRule="auto"/>
        <w:ind w:left="567" w:right="567"/>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 xml:space="preserve">V. Órgano jurisdiccional que ordenó el registro; </w:t>
      </w:r>
    </w:p>
    <w:p w14:paraId="4172611E" w14:textId="77777777" w:rsidR="00C00D37" w:rsidRPr="0063563C" w:rsidRDefault="004A69F1">
      <w:pPr>
        <w:spacing w:before="240" w:after="240" w:line="360" w:lineRule="auto"/>
        <w:ind w:left="567" w:right="567"/>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 xml:space="preserve">VI. Datos del expediente jurisdiccional de la que deriva su inscripción. </w:t>
      </w:r>
    </w:p>
    <w:p w14:paraId="5C0489F9" w14:textId="77777777" w:rsidR="00C00D37" w:rsidRPr="0063563C" w:rsidRDefault="004A69F1">
      <w:pPr>
        <w:spacing w:before="240" w:after="240" w:line="360" w:lineRule="auto"/>
        <w:ind w:left="567" w:right="567"/>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Una vez hecha la inscripción a que se refiere el párrafo anterior se girará oficio al Instituto de la Función Registral del Estado de México, a efecto de que se anote el certificado de deudor alimentario en los folios reales de que sea propietario el deudor alimentario. El Instituto de la Función Registral informará al Registro Civil si fue procedente la anotación, en cuyo caso dará aviso al Juez del conocimiento para que el acreedor alimentario haga cobrable las cantidades adeudadas en la vía judicial respectiva.</w:t>
      </w:r>
    </w:p>
    <w:p w14:paraId="352DF9A3" w14:textId="77777777" w:rsidR="00C00D37" w:rsidRPr="0063563C" w:rsidRDefault="004A69F1">
      <w:pPr>
        <w:spacing w:before="240" w:after="240" w:line="360" w:lineRule="auto"/>
        <w:ind w:left="567" w:right="567"/>
        <w:jc w:val="both"/>
        <w:rPr>
          <w:rFonts w:ascii="Palatino Linotype" w:eastAsia="Palatino Linotype" w:hAnsi="Palatino Linotype" w:cs="Palatino Linotype"/>
          <w:b/>
          <w:bCs/>
          <w:i/>
          <w:iCs/>
          <w:sz w:val="22"/>
          <w:szCs w:val="22"/>
        </w:rPr>
      </w:pPr>
      <w:r w:rsidRPr="0063563C">
        <w:rPr>
          <w:rFonts w:ascii="Palatino Linotype" w:eastAsia="Palatino Linotype" w:hAnsi="Palatino Linotype" w:cs="Palatino Linotype"/>
          <w:b/>
          <w:bCs/>
          <w:i/>
          <w:iCs/>
          <w:sz w:val="22"/>
          <w:szCs w:val="22"/>
        </w:rPr>
        <w:t xml:space="preserve">Datos del Certificado expedido por la Unidad del Registro de Deudores Alimentarios Morosos </w:t>
      </w:r>
    </w:p>
    <w:p w14:paraId="3FCEB66F" w14:textId="77777777" w:rsidR="00C00D37" w:rsidRPr="0063563C" w:rsidRDefault="004A69F1">
      <w:pPr>
        <w:spacing w:before="240" w:after="240" w:line="360" w:lineRule="auto"/>
        <w:ind w:left="567" w:right="567"/>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 xml:space="preserve">Artículo 4.146 Quinquies.- </w:t>
      </w:r>
      <w:r w:rsidRPr="0063563C">
        <w:rPr>
          <w:rFonts w:ascii="Palatino Linotype" w:eastAsia="Palatino Linotype" w:hAnsi="Palatino Linotype" w:cs="Palatino Linotype"/>
          <w:b/>
          <w:bCs/>
          <w:i/>
          <w:iCs/>
          <w:sz w:val="22"/>
          <w:szCs w:val="22"/>
        </w:rPr>
        <w:t>El Certificado expedido por la Unidad del Registro de Deudores Alimentarios Morosos contendrá lo siguiente:</w:t>
      </w:r>
      <w:r w:rsidRPr="0063563C">
        <w:rPr>
          <w:rFonts w:ascii="Palatino Linotype" w:eastAsia="Palatino Linotype" w:hAnsi="Palatino Linotype" w:cs="Palatino Linotype"/>
          <w:i/>
          <w:iCs/>
          <w:sz w:val="22"/>
          <w:szCs w:val="22"/>
        </w:rPr>
        <w:t xml:space="preserve"> </w:t>
      </w:r>
    </w:p>
    <w:p w14:paraId="7839A074" w14:textId="77777777" w:rsidR="00C00D37" w:rsidRPr="0063563C" w:rsidRDefault="004A69F1">
      <w:pPr>
        <w:spacing w:before="240" w:after="240" w:line="360" w:lineRule="auto"/>
        <w:ind w:left="567" w:right="567"/>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 xml:space="preserve">I. Nombre y Clave Única de Registro de Población del solicitante; </w:t>
      </w:r>
    </w:p>
    <w:p w14:paraId="55CD8411" w14:textId="77777777" w:rsidR="00C00D37" w:rsidRPr="0063563C" w:rsidRDefault="004A69F1">
      <w:pPr>
        <w:spacing w:before="240" w:after="240" w:line="360" w:lineRule="auto"/>
        <w:ind w:left="567" w:right="567"/>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II. La información sobre su inscripción o no en el registro de deudores alimentarios morosos.</w:t>
      </w:r>
    </w:p>
    <w:p w14:paraId="485058D1" w14:textId="77777777" w:rsidR="00C00D37" w:rsidRPr="0063563C" w:rsidRDefault="004A69F1">
      <w:pPr>
        <w:spacing w:before="240" w:after="240" w:line="360" w:lineRule="auto"/>
        <w:ind w:left="567" w:right="567"/>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De ser el caso que el solicitante se encuentre inscrito en el registro, la constancia incluirá además lo siguiente:</w:t>
      </w:r>
    </w:p>
    <w:p w14:paraId="4D6C1F32" w14:textId="77777777" w:rsidR="00C00D37" w:rsidRPr="0063563C" w:rsidRDefault="004A69F1">
      <w:pPr>
        <w:spacing w:before="240" w:after="240" w:line="360" w:lineRule="auto"/>
        <w:ind w:left="567" w:right="567"/>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I. Número de acreedores alimentarios;</w:t>
      </w:r>
    </w:p>
    <w:p w14:paraId="47F58FC4" w14:textId="77777777" w:rsidR="00C00D37" w:rsidRPr="0063563C" w:rsidRDefault="004A69F1">
      <w:pPr>
        <w:spacing w:before="240" w:after="240" w:line="360" w:lineRule="auto"/>
        <w:ind w:left="567" w:right="567"/>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II. Monto de la pensión alimenticia decretada o convenida;</w:t>
      </w:r>
    </w:p>
    <w:p w14:paraId="32991A6F" w14:textId="77777777" w:rsidR="00C00D37" w:rsidRPr="0063563C" w:rsidRDefault="004A69F1">
      <w:pPr>
        <w:spacing w:before="240" w:after="240" w:line="360" w:lineRule="auto"/>
        <w:ind w:left="567" w:right="567"/>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III. Órgano jurisdiccional que ordenó el registro;</w:t>
      </w:r>
    </w:p>
    <w:p w14:paraId="3697F20F" w14:textId="77777777" w:rsidR="00C00D37" w:rsidRPr="0063563C" w:rsidRDefault="004A69F1">
      <w:pPr>
        <w:spacing w:before="240" w:after="240" w:line="360" w:lineRule="auto"/>
        <w:ind w:left="567" w:right="567"/>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IV. Datos del expediente jurisdiccional de la que deriva su inscripción.</w:t>
      </w:r>
    </w:p>
    <w:p w14:paraId="7E2E0C34" w14:textId="77777777" w:rsidR="00C00D37" w:rsidRPr="0063563C" w:rsidRDefault="004A69F1">
      <w:pPr>
        <w:spacing w:before="240" w:after="240" w:line="360" w:lineRule="auto"/>
        <w:ind w:left="567" w:right="567"/>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El Certificado a que se refiere el presente artículo será expedido el mismo día hábil de su solicitud.</w:t>
      </w:r>
    </w:p>
    <w:p w14:paraId="4797102A" w14:textId="77777777" w:rsidR="00C00D37" w:rsidRPr="0063563C" w:rsidRDefault="004A69F1">
      <w:pPr>
        <w:spacing w:before="240" w:after="240" w:line="360" w:lineRule="auto"/>
        <w:ind w:left="567" w:right="567"/>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w:t>
      </w:r>
    </w:p>
    <w:p w14:paraId="0953FD0B"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Ahora bien, respecto a aquellos servidores públicos que se encuentren o no inscritos en dicho registro, procede su entrega en versión pública, ya que al ser un requisito </w:t>
      </w:r>
      <w:r w:rsidRPr="0063563C">
        <w:rPr>
          <w:rFonts w:ascii="Palatino Linotype" w:eastAsia="Palatino Linotype" w:hAnsi="Palatino Linotype" w:cs="Palatino Linotype"/>
          <w:b/>
          <w:bCs/>
          <w:i/>
          <w:iCs/>
          <w:sz w:val="22"/>
          <w:szCs w:val="22"/>
        </w:rPr>
        <w:t xml:space="preserve">sine qua non </w:t>
      </w:r>
      <w:r w:rsidRPr="0063563C">
        <w:rPr>
          <w:rFonts w:ascii="Palatino Linotype" w:eastAsia="Palatino Linotype" w:hAnsi="Palatino Linotype" w:cs="Palatino Linotype"/>
          <w:sz w:val="22"/>
          <w:szCs w:val="22"/>
        </w:rPr>
        <w:t xml:space="preserve">para ingresar al servicio público, se convierte en información que da certeza a la ciudadanía de que el Servidor Público que ostenta un cargo de Titular cumplió con los requisitos señalados en la Ley del Trabajo de los Servidores Públicos del Estado y Municipios, tan es así, que se trae a colación lo señalado en la nota periodística </w:t>
      </w:r>
      <w:hyperlink r:id="rId19">
        <w:r w:rsidRPr="0063563C">
          <w:rPr>
            <w:rFonts w:ascii="Palatino Linotype" w:eastAsia="Palatino Linotype" w:hAnsi="Palatino Linotype" w:cs="Palatino Linotype"/>
            <w:sz w:val="22"/>
            <w:szCs w:val="22"/>
          </w:rPr>
          <w:t>https://www.unionedomex.mx/2023/03/24/busqueda-de-deudores-alimentarios-morosos-estado-de-mexico-2023/</w:t>
        </w:r>
      </w:hyperlink>
      <w:r w:rsidRPr="0063563C">
        <w:rPr>
          <w:rFonts w:ascii="Palatino Linotype" w:eastAsia="Palatino Linotype" w:hAnsi="Palatino Linotype" w:cs="Palatino Linotype"/>
          <w:sz w:val="22"/>
          <w:szCs w:val="22"/>
        </w:rPr>
        <w:t>, que a manera de referencia, se inserta:</w:t>
      </w:r>
    </w:p>
    <w:p w14:paraId="761F440B"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noProof/>
          <w:sz w:val="22"/>
          <w:szCs w:val="22"/>
        </w:rPr>
        <w:drawing>
          <wp:inline distT="0" distB="0" distL="0" distR="0" wp14:anchorId="67B9AB5B" wp14:editId="58EFA616">
            <wp:extent cx="5708780" cy="2172645"/>
            <wp:effectExtent l="3175" t="3175" r="3175" b="3175"/>
            <wp:docPr id="194665058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0"/>
                    <a:srcRect t="19894"/>
                    <a:stretch>
                      <a:fillRect/>
                    </a:stretch>
                  </pic:blipFill>
                  <pic:spPr>
                    <a:xfrm>
                      <a:off x="0" y="0"/>
                      <a:ext cx="5708780" cy="2172645"/>
                    </a:xfrm>
                    <a:prstGeom prst="rect">
                      <a:avLst/>
                    </a:prstGeom>
                    <a:ln w="3175">
                      <a:solidFill>
                        <a:srgbClr val="000000"/>
                      </a:solidFill>
                      <a:prstDash val="solid"/>
                    </a:ln>
                  </pic:spPr>
                </pic:pic>
              </a:graphicData>
            </a:graphic>
          </wp:inline>
        </w:drawing>
      </w:r>
    </w:p>
    <w:p w14:paraId="28824AEA"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Derivado de lo anterior, cualquier ciudadano que desee obtener dicha información, podrá ingresar a la Ventanilla Electrónica Única, en la que accederá con su CUTS y contraseña, capturando los datos como son CURP, nombre, primer y segundo apellido, y se comenzará la búsqueda de lo solicitado, en el que arrojará si se encuentra en calidad de deudor o no. </w:t>
      </w:r>
    </w:p>
    <w:p w14:paraId="2980C2A9"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Ahora, no pasa desapercibido, que el Certificado de No Deudor Alimentario pudiera contener información confidencial, como lo es de manera enunciativa más no limitativa el CURP; por lo tanto, procede su entrega en versión pública.</w:t>
      </w:r>
    </w:p>
    <w:p w14:paraId="4BB88418" w14:textId="77777777" w:rsidR="00C00D37" w:rsidRPr="0063563C" w:rsidRDefault="004A69F1">
      <w:pPr>
        <w:numPr>
          <w:ilvl w:val="0"/>
          <w:numId w:val="8"/>
        </w:numPr>
        <w:pBdr>
          <w:top w:val="nil"/>
          <w:left w:val="nil"/>
          <w:bottom w:val="nil"/>
          <w:right w:val="nil"/>
          <w:between w:val="nil"/>
        </w:pBdr>
        <w:spacing w:before="240" w:after="240" w:line="360" w:lineRule="auto"/>
        <w:jc w:val="both"/>
        <w:rPr>
          <w:b/>
          <w:bCs/>
          <w:sz w:val="22"/>
          <w:szCs w:val="22"/>
        </w:rPr>
      </w:pPr>
      <w:r w:rsidRPr="0063563C">
        <w:rPr>
          <w:rFonts w:ascii="Palatino Linotype" w:eastAsia="Palatino Linotype" w:hAnsi="Palatino Linotype" w:cs="Palatino Linotype"/>
          <w:b/>
          <w:bCs/>
          <w:sz w:val="22"/>
          <w:szCs w:val="22"/>
          <w:u w:val="single"/>
        </w:rPr>
        <w:t>Nombramiento, contrato o formato único de movimientos de personal:</w:t>
      </w:r>
    </w:p>
    <w:p w14:paraId="00B05720"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Conforme los artículos 48 fracción I y 49 de la Ley del Trabajo de los Servidores Públicos del Estado de México y Municipios, se indica que las Instituciones Públicas entre ellas la Secretaría de Movilidad, para acreditar su relación laboral con sus Servidores Públicos, se establecerá mediante </w:t>
      </w:r>
      <w:r w:rsidRPr="0063563C">
        <w:rPr>
          <w:rFonts w:ascii="Palatino Linotype" w:eastAsia="Palatino Linotype" w:hAnsi="Palatino Linotype" w:cs="Palatino Linotype"/>
          <w:b/>
          <w:bCs/>
          <w:sz w:val="22"/>
          <w:szCs w:val="22"/>
        </w:rPr>
        <w:t>nombramiento, formato único de movimiento de personal, contrato</w:t>
      </w:r>
      <w:r w:rsidRPr="0063563C">
        <w:rPr>
          <w:rFonts w:ascii="Palatino Linotype" w:eastAsia="Palatino Linotype" w:hAnsi="Palatino Linotype" w:cs="Palatino Linotype"/>
          <w:sz w:val="22"/>
          <w:szCs w:val="22"/>
        </w:rPr>
        <w:t xml:space="preserve"> o por cualquier otro acto que tenga como consecuencia la prestación personal subordinada del servicio y la percepción de un sueldo.</w:t>
      </w:r>
    </w:p>
    <w:p w14:paraId="080B2844" w14:textId="77777777" w:rsidR="00C00D37" w:rsidRPr="0063563C" w:rsidRDefault="004A69F1">
      <w:pPr>
        <w:tabs>
          <w:tab w:val="left" w:pos="4962"/>
        </w:tabs>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A mayor abundamiento, con relación al Formato Único de Personal, se indica que el servidor público al iniciar la prestación de los servicios se le confiere un formato único de personal (de alta), el cual contiene, entre otra información, el cargo para el que es designado, la fecha de inicio de sus servicios y el lugar de adscripción; asimismo, dicho formato se emite con relación a las bajas en el servicio público, como en cambios de adscripción.</w:t>
      </w:r>
    </w:p>
    <w:p w14:paraId="2F1470AD"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A partir de lo anterior, del análisis de las constancias que integran el expediente electrónico se advierte que el Sujeto Obligado proporcionó un documento denominado </w:t>
      </w:r>
      <w:r w:rsidRPr="0063563C">
        <w:rPr>
          <w:rFonts w:ascii="Palatino Linotype" w:eastAsia="Palatino Linotype" w:hAnsi="Palatino Linotype" w:cs="Palatino Linotype"/>
          <w:b/>
          <w:bCs/>
          <w:sz w:val="22"/>
          <w:szCs w:val="22"/>
        </w:rPr>
        <w:t>“Kárdex Laboral”</w:t>
      </w:r>
      <w:r w:rsidRPr="0063563C">
        <w:rPr>
          <w:rFonts w:ascii="Palatino Linotype" w:eastAsia="Palatino Linotype" w:hAnsi="Palatino Linotype" w:cs="Palatino Linotype"/>
          <w:sz w:val="22"/>
          <w:szCs w:val="22"/>
        </w:rPr>
        <w:t xml:space="preserve">, así como ficha curricular, nombramientos y documentación relacionada con la preparación académica del servidor público; sin embargo, tales documentales </w:t>
      </w:r>
      <w:r w:rsidRPr="0063563C">
        <w:rPr>
          <w:rFonts w:ascii="Palatino Linotype" w:eastAsia="Palatino Linotype" w:hAnsi="Palatino Linotype" w:cs="Palatino Linotype"/>
          <w:b/>
          <w:bCs/>
          <w:sz w:val="22"/>
          <w:szCs w:val="22"/>
        </w:rPr>
        <w:t>no colman por sí mismas lo solicitado</w:t>
      </w:r>
      <w:r w:rsidRPr="0063563C">
        <w:rPr>
          <w:rFonts w:ascii="Palatino Linotype" w:eastAsia="Palatino Linotype" w:hAnsi="Palatino Linotype" w:cs="Palatino Linotype"/>
          <w:sz w:val="22"/>
          <w:szCs w:val="22"/>
        </w:rPr>
        <w:t xml:space="preserve">, toda vez que la pretensión de la persona solicitante consistió en obtener el </w:t>
      </w:r>
      <w:r w:rsidRPr="0063563C">
        <w:rPr>
          <w:rFonts w:ascii="Palatino Linotype" w:eastAsia="Palatino Linotype" w:hAnsi="Palatino Linotype" w:cs="Palatino Linotype"/>
          <w:b/>
          <w:bCs/>
          <w:sz w:val="22"/>
          <w:szCs w:val="22"/>
        </w:rPr>
        <w:t>expediente laboral</w:t>
      </w:r>
      <w:r w:rsidRPr="0063563C">
        <w:rPr>
          <w:rFonts w:ascii="Palatino Linotype" w:eastAsia="Palatino Linotype" w:hAnsi="Palatino Linotype" w:cs="Palatino Linotype"/>
          <w:sz w:val="22"/>
          <w:szCs w:val="22"/>
        </w:rPr>
        <w:t xml:space="preserve">, entendido como el conjunto de documentos que obran en los archivos del Sujeto Obligado con motivo del ingreso, permanencia y relación laboral del servidor público de mérito. </w:t>
      </w:r>
    </w:p>
    <w:p w14:paraId="3E337620" w14:textId="77777777" w:rsidR="00C00D37" w:rsidRPr="0063563C" w:rsidRDefault="004A69F1">
      <w:pPr>
        <w:widowControl w:val="0"/>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En efecto, del propio Kárdex Laboral proporcionado se desprende que en el expediente de Hugo Pillado Correa se encuentran identificadas diversas documentales, entre ellas, Formato Único de Movimiento de Personal, acta de nacimiento, credencial de elector, CURP, título profesional y/o constancia del último grado de estudios, constancia domiciliaria, registro de no deudores alimentarios morosos, constancia de no inhabilitación, RFC con homoclave expedido por el SAT y alta ante el ISSEMYM; no obstante, de la documentación puesta a disposición únicamente se advierte la entrega de algunas de dichas constancias. Por tanto, el propio documento aportado por el Sujeto Obligado permite advertir que existen elementos adicionales que forman parte del expediente laboral y que no fueron materia de entrega ni</w:t>
      </w:r>
      <w:r w:rsidRPr="0063563C">
        <w:rPr>
          <w:rFonts w:ascii="Palatino Linotype" w:eastAsia="Palatino Linotype" w:hAnsi="Palatino Linotype" w:cs="Palatino Linotype"/>
          <w:b/>
          <w:bCs/>
          <w:sz w:val="22"/>
          <w:szCs w:val="22"/>
        </w:rPr>
        <w:t xml:space="preserve"> de </w:t>
      </w:r>
      <w:r w:rsidRPr="0063563C">
        <w:rPr>
          <w:rFonts w:ascii="Palatino Linotype" w:eastAsia="Palatino Linotype" w:hAnsi="Palatino Linotype" w:cs="Palatino Linotype"/>
          <w:sz w:val="22"/>
          <w:szCs w:val="22"/>
        </w:rPr>
        <w:t xml:space="preserve">pronunciamiento alguno. </w:t>
      </w:r>
    </w:p>
    <w:p w14:paraId="57478094" w14:textId="77777777" w:rsidR="00C00D37" w:rsidRPr="0063563C" w:rsidRDefault="00C00D37">
      <w:pPr>
        <w:widowControl w:val="0"/>
        <w:spacing w:before="240" w:after="240" w:line="360" w:lineRule="auto"/>
        <w:jc w:val="both"/>
        <w:rPr>
          <w:rFonts w:ascii="Palatino Linotype" w:eastAsia="Palatino Linotype" w:hAnsi="Palatino Linotype" w:cs="Palatino Linotype"/>
          <w:sz w:val="22"/>
          <w:szCs w:val="22"/>
        </w:rPr>
      </w:pPr>
    </w:p>
    <w:p w14:paraId="6D1C92EB" w14:textId="77777777" w:rsidR="00C00D37" w:rsidRPr="0063563C" w:rsidRDefault="004A69F1">
      <w:pPr>
        <w:widowControl w:val="0"/>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En esa tesitura, para satisfacer el derecho de acceso a la información, el Sujeto Obligado debió proporcionar las documentales que efectivamente obran en dicho expediente y que son susceptibles de acceso público; respecto de aquellas que contengan datos personales de carácter confidencial, elaborar, cuando jurídicamente proceda, las correspondientes </w:t>
      </w:r>
      <w:r w:rsidRPr="0063563C">
        <w:rPr>
          <w:rFonts w:ascii="Palatino Linotype" w:eastAsia="Palatino Linotype" w:hAnsi="Palatino Linotype" w:cs="Palatino Linotype"/>
          <w:b/>
          <w:bCs/>
          <w:sz w:val="22"/>
          <w:szCs w:val="22"/>
        </w:rPr>
        <w:t>versiones públicas</w:t>
      </w:r>
      <w:r w:rsidRPr="0063563C">
        <w:rPr>
          <w:rFonts w:ascii="Palatino Linotype" w:eastAsia="Palatino Linotype" w:hAnsi="Palatino Linotype" w:cs="Palatino Linotype"/>
          <w:sz w:val="22"/>
          <w:szCs w:val="22"/>
        </w:rPr>
        <w:t>, previa intervención de su Comité de Transparencia; y, respecto de aquellas cuyo contenido deba clasificarse en su totalidad, efectuar el procedimiento de clasificación previsto en la Ley de la materia.</w:t>
      </w:r>
    </w:p>
    <w:p w14:paraId="7C3D2373" w14:textId="77777777" w:rsidR="00C00D37" w:rsidRPr="0063563C" w:rsidRDefault="004A69F1">
      <w:pPr>
        <w:widowControl w:val="0"/>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Así, tomando en consideración que </w:t>
      </w:r>
      <w:r w:rsidRPr="0063563C">
        <w:rPr>
          <w:rFonts w:ascii="Palatino Linotype" w:eastAsia="Palatino Linotype" w:hAnsi="Palatino Linotype" w:cs="Palatino Linotype"/>
          <w:b/>
          <w:bCs/>
          <w:sz w:val="22"/>
          <w:szCs w:val="22"/>
        </w:rPr>
        <w:t>la existencia de diversas documentales se encuentra acreditada por el propio Kárdex proporcionado por el Sujeto Obligado</w:t>
      </w:r>
      <w:r w:rsidRPr="0063563C">
        <w:rPr>
          <w:rFonts w:ascii="Palatino Linotype" w:eastAsia="Palatino Linotype" w:hAnsi="Palatino Linotype" w:cs="Palatino Linotype"/>
          <w:sz w:val="22"/>
          <w:szCs w:val="22"/>
        </w:rPr>
        <w:t xml:space="preserve">, sin que todas ellas hayan sido entregadas o sometidas al tratamiento de clasificación correspondiente, se concluye que la respuesta otorgada resulta </w:t>
      </w:r>
      <w:r w:rsidRPr="0063563C">
        <w:rPr>
          <w:rFonts w:ascii="Palatino Linotype" w:eastAsia="Palatino Linotype" w:hAnsi="Palatino Linotype" w:cs="Palatino Linotype"/>
          <w:b/>
          <w:bCs/>
          <w:sz w:val="22"/>
          <w:szCs w:val="22"/>
        </w:rPr>
        <w:t>incompleta</w:t>
      </w:r>
      <w:r w:rsidRPr="0063563C">
        <w:rPr>
          <w:rFonts w:ascii="Palatino Linotype" w:eastAsia="Palatino Linotype" w:hAnsi="Palatino Linotype" w:cs="Palatino Linotype"/>
          <w:sz w:val="22"/>
          <w:szCs w:val="22"/>
        </w:rPr>
        <w:t xml:space="preserve"> y, en consecuencia, el agravio de la parte Recurrente deviene </w:t>
      </w:r>
      <w:r w:rsidRPr="0063563C">
        <w:rPr>
          <w:rFonts w:ascii="Palatino Linotype" w:eastAsia="Palatino Linotype" w:hAnsi="Palatino Linotype" w:cs="Palatino Linotype"/>
          <w:b/>
          <w:bCs/>
          <w:sz w:val="22"/>
          <w:szCs w:val="22"/>
        </w:rPr>
        <w:t>fundado</w:t>
      </w:r>
      <w:r w:rsidRPr="0063563C">
        <w:rPr>
          <w:rFonts w:ascii="Palatino Linotype" w:eastAsia="Palatino Linotype" w:hAnsi="Palatino Linotype" w:cs="Palatino Linotype"/>
          <w:sz w:val="22"/>
          <w:szCs w:val="22"/>
        </w:rPr>
        <w:t xml:space="preserve"> respecto de este punto; por lo que procede ordenar la entrega de las documentales que efectivamente integran el expediente laboral de Hugo Pillado Correa, en los términos arriba precisados.</w:t>
      </w:r>
    </w:p>
    <w:p w14:paraId="5085EA23" w14:textId="77777777" w:rsidR="00C00D37" w:rsidRPr="0063563C" w:rsidRDefault="004A69F1">
      <w:pPr>
        <w:spacing w:before="240" w:after="240" w:line="360" w:lineRule="auto"/>
        <w:ind w:right="51"/>
        <w:jc w:val="both"/>
        <w:rPr>
          <w:rFonts w:ascii="Palatino Linotype" w:eastAsia="Palatino Linotype" w:hAnsi="Palatino Linotype" w:cs="Palatino Linotype"/>
          <w:b/>
          <w:bCs/>
          <w:sz w:val="22"/>
          <w:szCs w:val="22"/>
        </w:rPr>
      </w:pPr>
      <w:r w:rsidRPr="0063563C">
        <w:rPr>
          <w:rFonts w:ascii="Palatino Linotype" w:eastAsia="Palatino Linotype" w:hAnsi="Palatino Linotype" w:cs="Palatino Linotype"/>
          <w:b/>
          <w:bCs/>
          <w:sz w:val="22"/>
          <w:szCs w:val="22"/>
        </w:rPr>
        <w:t xml:space="preserve">4. El título y la cédula profesional de Hugo Pillado Correa. </w:t>
      </w:r>
    </w:p>
    <w:p w14:paraId="3C742831" w14:textId="77777777" w:rsidR="00C00D37" w:rsidRPr="0063563C" w:rsidRDefault="004A69F1">
      <w:pPr>
        <w:spacing w:before="240" w:after="240" w:line="360" w:lineRule="auto"/>
        <w:ind w:right="51"/>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Por cuanto hace al requerimiento identificado con el numeral 4, consistente en “el título y la cédula profesional de Hugo Pillado Correa”, del análisis de las constancias proporcionadas se advierte que el Sujeto Obligado anexó un documento expedido por la Universidad Autónoma del Estado de México, mediante el cual se otorgó a Hugo Pillado Correa el grado de Maestro en Ciencias Agropecuarias y Recursos Naturales; de igual forma, en la ficha curricular proporcionada se señaló que cuenta con estudios de Licenciatura en Biología. </w:t>
      </w:r>
    </w:p>
    <w:p w14:paraId="4F36B3B8" w14:textId="77777777" w:rsidR="00C00D37" w:rsidRPr="0063563C" w:rsidRDefault="004A69F1">
      <w:pPr>
        <w:spacing w:before="240" w:after="240" w:line="360" w:lineRule="auto"/>
        <w:ind w:right="51"/>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En ese sentido, por cuanto hace al título o documento que acredita su grado académico, se tiene por atendido el requerimiento; sin embargo, de la revisión integral de la documentación remitida no se advierte la entrega de la cédula profesional solicitada, ni pronunciamiento alguno respecto de su existencia o inexistencia en los archivos del Sujeto Obligado.</w:t>
      </w:r>
    </w:p>
    <w:p w14:paraId="00998479" w14:textId="77777777" w:rsidR="00C00D37" w:rsidRPr="0063563C" w:rsidRDefault="004A69F1">
      <w:pPr>
        <w:spacing w:before="240" w:after="240" w:line="360" w:lineRule="auto"/>
        <w:ind w:right="51"/>
        <w:jc w:val="both"/>
        <w:rPr>
          <w:rFonts w:ascii="Palatino Linotype" w:eastAsia="Palatino Linotype" w:hAnsi="Palatino Linotype" w:cs="Palatino Linotype"/>
          <w:b/>
          <w:bCs/>
          <w:sz w:val="22"/>
          <w:szCs w:val="22"/>
        </w:rPr>
      </w:pPr>
      <w:r w:rsidRPr="0063563C">
        <w:rPr>
          <w:rFonts w:ascii="Palatino Linotype" w:eastAsia="Palatino Linotype" w:hAnsi="Palatino Linotype" w:cs="Palatino Linotype"/>
          <w:sz w:val="22"/>
          <w:szCs w:val="22"/>
        </w:rPr>
        <w:t xml:space="preserve"> Por tanto, la respuesta resulta incompleta y el agravio deviene fundado únicamente respecto de la cédula profesional, por lo que procede ordenar al Sujeto Obligado que realice una búsqueda en las unidades administrativas competentes y entregue dicho documento, en versión pública de contener información de carácter confidencial; o bien, en caso de que éste no obre en sus archivos, lo haga del conocimiento de la parte Recurrente conforme a la Ley de la materia</w:t>
      </w:r>
      <w:r w:rsidRPr="0063563C">
        <w:rPr>
          <w:rFonts w:ascii="Palatino Linotype" w:eastAsia="Palatino Linotype" w:hAnsi="Palatino Linotype" w:cs="Palatino Linotype"/>
          <w:b/>
          <w:bCs/>
          <w:sz w:val="22"/>
          <w:szCs w:val="22"/>
        </w:rPr>
        <w:t>.</w:t>
      </w:r>
    </w:p>
    <w:p w14:paraId="1C7BB548" w14:textId="77777777" w:rsidR="00C00D37" w:rsidRPr="0063563C" w:rsidRDefault="004A69F1">
      <w:pPr>
        <w:spacing w:before="240" w:after="240" w:line="360" w:lineRule="auto"/>
        <w:ind w:right="51"/>
        <w:jc w:val="both"/>
        <w:rPr>
          <w:rFonts w:ascii="Palatino Linotype" w:eastAsia="Palatino Linotype" w:hAnsi="Palatino Linotype" w:cs="Palatino Linotype"/>
          <w:b/>
          <w:bCs/>
          <w:sz w:val="22"/>
          <w:szCs w:val="22"/>
        </w:rPr>
      </w:pPr>
      <w:r w:rsidRPr="0063563C">
        <w:rPr>
          <w:rFonts w:ascii="Palatino Linotype" w:eastAsia="Palatino Linotype" w:hAnsi="Palatino Linotype" w:cs="Palatino Linotype"/>
          <w:b/>
          <w:bCs/>
          <w:sz w:val="22"/>
          <w:szCs w:val="22"/>
        </w:rPr>
        <w:t>5. Todos los oficios y procedimientos que ha firmado Hugo Pillado Correa.</w:t>
      </w:r>
    </w:p>
    <w:p w14:paraId="50E63BC9" w14:textId="77777777" w:rsidR="00C00D37" w:rsidRPr="0063563C" w:rsidRDefault="004A69F1">
      <w:pPr>
        <w:spacing w:before="240" w:after="240" w:line="360" w:lineRule="auto"/>
        <w:ind w:right="51"/>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Por cuanto hace al requerimiento identificado con el numeral 5, consistente en “todos los oficios y procedimientos que ha firmado Hugo Pillado Correa”, del análisis de las constancias que obran en el expediente electrónico se advierte que </w:t>
      </w:r>
      <w:r w:rsidRPr="0063563C">
        <w:rPr>
          <w:rFonts w:ascii="Palatino Linotype" w:eastAsia="Palatino Linotype" w:hAnsi="Palatino Linotype" w:cs="Palatino Linotype"/>
          <w:b/>
          <w:bCs/>
          <w:sz w:val="22"/>
          <w:szCs w:val="22"/>
        </w:rPr>
        <w:t>el Sujeto Obligado fue omiso en emitir un pronunciamiento que atendiera de manera puntual lo solicitado</w:t>
      </w:r>
      <w:r w:rsidRPr="0063563C">
        <w:rPr>
          <w:rFonts w:ascii="Palatino Linotype" w:eastAsia="Palatino Linotype" w:hAnsi="Palatino Linotype" w:cs="Palatino Linotype"/>
          <w:sz w:val="22"/>
          <w:szCs w:val="22"/>
        </w:rPr>
        <w:t>, toda vez que la Coordinación de Recursos Humanos únicamente se pronunció respecto de la documentación localizada en el expediente laboral del servidor público de mérito, mientras que la Tesorería Municipal circunscribió su respuesta a los recibos de nómina; sin que se advierta que alguna de las unidades administrativas consultadas hubiera realizado una búsqueda encaminada a localizar los oficios y documentos derivados de procedimientos suscritos por Hugo Pillado Correa, o bien, que hubiera manifestado de manera fundada y motivada que dicha información no obra en sus archivos.</w:t>
      </w:r>
    </w:p>
    <w:p w14:paraId="2B906EF1" w14:textId="77777777" w:rsidR="00C00D37" w:rsidRPr="0063563C" w:rsidRDefault="004A69F1">
      <w:pPr>
        <w:spacing w:before="240" w:after="240" w:line="360" w:lineRule="auto"/>
        <w:ind w:right="51"/>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En ese sentido, si bien los Sujetos Obligados deben proporcionar la información en el estado en que obre en sus archivos, lo cierto es que en el caso particular no se requiere la elaboración de un documento específico, ni realizar cálculos, estudios o procesamiento de información, sino efectuar la búsqueda de documentos preexistentes que pueden ser identificados a partir de un elemento objetivo, consistente en que hayan sido suscritos por Hugo Pillado Correa. Máxime que de la propia documentación proporcionada se desprende que el servidor público se encuentra adscrito a la Dirección de Administración y que fue designado inicialmente como Subdirector de Administración y, posteriormente, como Encargado de Despacho de la Dirección de Administración; por tanto, resulta razonable que dicha unidad administrativa pueda contar con documentación generada o suscrita por éste con motivo del ejercicio de sus atribuciones.</w:t>
      </w:r>
    </w:p>
    <w:p w14:paraId="5EFCD855" w14:textId="77777777" w:rsidR="00C00D37" w:rsidRPr="0063563C" w:rsidRDefault="004A69F1">
      <w:pPr>
        <w:spacing w:before="240" w:after="240" w:line="360" w:lineRule="auto"/>
        <w:ind w:right="51"/>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En esa tesitura, se concluye que la respuesta otorgada no satisface el requerimiento de mérito, pues no quedó acreditado que la solicitud hubiera sido turnada a la Dirección de Administración, unidad administrativa que, atendiendo al cargo desempeñado por Hugo Pillado Correa, resulta idónea para efectuar la búsqueda, ni a aquellas otras áreas que, conforme a sus atribuciones, pudieran contar con los oficios o documentos derivados de procedimientos suscritos por dicho servidor público. De ahí que el agravio resulte fundado en este punto, por lo que procede ordenar al Sujeto Obligado que realice una búsqueda exhaustiva y razonable en las unidades administrativas competentes y entregue a la parte Recurrente los documentos que sean localizados; en caso de que éstos contengan información susceptible de clasificación, deberá proporcionar las correspondientes versiones públicas, previo cumplimiento del procedimiento previsto en la Ley de la materia.</w:t>
      </w:r>
    </w:p>
    <w:p w14:paraId="25042B58" w14:textId="77777777" w:rsidR="00C00D37" w:rsidRPr="0063563C" w:rsidRDefault="004A69F1">
      <w:pPr>
        <w:spacing w:before="240" w:after="240" w:line="360" w:lineRule="auto"/>
        <w:ind w:right="51"/>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No obstante, para el caso de que no se llegara a localizar alguno de los oficios emitidos durante su encargo por haberse cancelado, bastará con que así se haga del conocimiento de la persona solicitante para tener por colmado su derecho de acceso a la información, en términos de lo dispuesto por el artículo 19, párrafo segundo de la Ley de Transparencia y Acceso a la Información Pública del Estado de México y Municipios, a saber:</w:t>
      </w:r>
    </w:p>
    <w:p w14:paraId="2BFF891D" w14:textId="77777777" w:rsidR="00C00D37" w:rsidRPr="0063563C" w:rsidRDefault="004A69F1">
      <w:pPr>
        <w:pBdr>
          <w:top w:val="nil"/>
          <w:left w:val="nil"/>
          <w:bottom w:val="nil"/>
          <w:right w:val="nil"/>
          <w:between w:val="nil"/>
        </w:pBdr>
        <w:spacing w:before="120" w:after="120"/>
        <w:ind w:left="851" w:right="902"/>
        <w:jc w:val="both"/>
      </w:pPr>
      <w:r w:rsidRPr="0063563C">
        <w:rPr>
          <w:rFonts w:ascii="Palatino Linotype" w:eastAsia="Palatino Linotype" w:hAnsi="Palatino Linotype" w:cs="Palatino Linotype"/>
          <w:i/>
          <w:iCs/>
          <w:sz w:val="22"/>
          <w:szCs w:val="22"/>
        </w:rPr>
        <w:t> “</w:t>
      </w:r>
      <w:r w:rsidRPr="0063563C">
        <w:rPr>
          <w:rFonts w:ascii="Palatino Linotype" w:eastAsia="Palatino Linotype" w:hAnsi="Palatino Linotype" w:cs="Palatino Linotype"/>
          <w:b/>
          <w:bCs/>
          <w:i/>
          <w:iCs/>
          <w:sz w:val="22"/>
          <w:szCs w:val="22"/>
        </w:rPr>
        <w:t>Artículo 19</w:t>
      </w:r>
      <w:r w:rsidRPr="0063563C">
        <w:rPr>
          <w:rFonts w:ascii="Palatino Linotype" w:eastAsia="Palatino Linotype" w:hAnsi="Palatino Linotype" w:cs="Palatino Linotype"/>
          <w:i/>
          <w:iCs/>
          <w:sz w:val="22"/>
          <w:szCs w:val="22"/>
        </w:rPr>
        <w:t>…</w:t>
      </w:r>
    </w:p>
    <w:p w14:paraId="053BF594" w14:textId="77777777" w:rsidR="00C00D37" w:rsidRPr="0063563C" w:rsidRDefault="004A69F1">
      <w:pPr>
        <w:pBdr>
          <w:top w:val="nil"/>
          <w:left w:val="nil"/>
          <w:bottom w:val="nil"/>
          <w:right w:val="nil"/>
          <w:between w:val="nil"/>
        </w:pBdr>
        <w:spacing w:before="120" w:after="120"/>
        <w:ind w:left="851" w:right="902"/>
        <w:jc w:val="both"/>
      </w:pPr>
      <w:r w:rsidRPr="0063563C">
        <w:rPr>
          <w:rFonts w:ascii="Palatino Linotype" w:eastAsia="Palatino Linotype" w:hAnsi="Palatino Linotype" w:cs="Palatino Linotype"/>
          <w:i/>
          <w:iCs/>
          <w:sz w:val="22"/>
          <w:szCs w:val="22"/>
        </w:rPr>
        <w:t>En los casos en que ciertas facultades, competencias o funciones no se hayan ejercido, se debe motivar la respuesta en función de las causas que motiven tal circunstancia.”</w:t>
      </w:r>
    </w:p>
    <w:p w14:paraId="6848F2A6" w14:textId="77777777" w:rsidR="00C00D37" w:rsidRPr="0063563C" w:rsidRDefault="004A69F1">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sz w:val="22"/>
          <w:szCs w:val="22"/>
        </w:rPr>
        <w:t xml:space="preserve">Quinto. Versión Pública. </w:t>
      </w:r>
      <w:r w:rsidRPr="0063563C">
        <w:rPr>
          <w:rFonts w:ascii="Palatino Linotype" w:eastAsia="Palatino Linotype" w:hAnsi="Palatino Linotype" w:cs="Palatino Linotype"/>
          <w:sz w:val="22"/>
          <w:szCs w:val="22"/>
        </w:rPr>
        <w:t xml:space="preserve">Para la entrega de la información, en razón de que el derecho de acceso a la información pública no es absoluto, sino que encuentra como excepciones que la información sobre la cual se peticiona el acceso, sea o contenga datos que deban ser clasificados en los términos que la misma Ley de la Materia señala, el </w:t>
      </w:r>
      <w:r w:rsidRPr="0063563C">
        <w:rPr>
          <w:rFonts w:ascii="Palatino Linotype" w:eastAsia="Palatino Linotype" w:hAnsi="Palatino Linotype" w:cs="Palatino Linotype"/>
          <w:b/>
          <w:bCs/>
          <w:sz w:val="22"/>
          <w:szCs w:val="22"/>
        </w:rPr>
        <w:t>Sujeto Obligado</w:t>
      </w:r>
      <w:r w:rsidRPr="0063563C">
        <w:rPr>
          <w:rFonts w:ascii="Palatino Linotype" w:eastAsia="Palatino Linotype" w:hAnsi="Palatino Linotype" w:cs="Palatino Linotype"/>
          <w:sz w:val="22"/>
          <w:szCs w:val="22"/>
        </w:rPr>
        <w:t xml:space="preserve"> tendrá que hacer la elaboración de una versión pública de los documentos que vaya entregar para dar cumplimiento a esta resolución, a fin de satisfacer el derecho de acceso a la información pública de la parte recurrente sin menoscabar el derecho a la protección de los datos personales de terceros, lo anterior, de conformidad a lo que señalan los artículos 3, fracciones IX, XX, XXXII, XLV; 6, 137 y 143 fracción I, de la Ley de Transparencia y Acceso a la Información Pública del Estado de México y Municipios vigente, los cuales establecen lo siguiente:</w:t>
      </w:r>
    </w:p>
    <w:p w14:paraId="5191B9DF" w14:textId="77777777" w:rsidR="00C00D37" w:rsidRPr="0063563C" w:rsidRDefault="00C00D37">
      <w:pPr>
        <w:rPr>
          <w:rFonts w:ascii="Palatino Linotype" w:eastAsia="Palatino Linotype" w:hAnsi="Palatino Linotype" w:cs="Palatino Linotype"/>
          <w:sz w:val="22"/>
          <w:szCs w:val="22"/>
        </w:rPr>
      </w:pPr>
    </w:p>
    <w:p w14:paraId="5E948B9B"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w:t>
      </w:r>
      <w:r w:rsidRPr="0063563C">
        <w:rPr>
          <w:rFonts w:ascii="Palatino Linotype" w:eastAsia="Palatino Linotype" w:hAnsi="Palatino Linotype" w:cs="Palatino Linotype"/>
          <w:b/>
          <w:bCs/>
          <w:i/>
          <w:iCs/>
          <w:sz w:val="22"/>
          <w:szCs w:val="22"/>
        </w:rPr>
        <w:t>Artículo 3.</w:t>
      </w:r>
      <w:r w:rsidRPr="0063563C">
        <w:rPr>
          <w:rFonts w:ascii="Palatino Linotype" w:eastAsia="Palatino Linotype" w:hAnsi="Palatino Linotype" w:cs="Palatino Linotype"/>
          <w:i/>
          <w:iCs/>
          <w:sz w:val="22"/>
          <w:szCs w:val="22"/>
        </w:rPr>
        <w:t xml:space="preserve"> Para los efectos de la presente Ley se entenderá por:…</w:t>
      </w:r>
    </w:p>
    <w:p w14:paraId="03BCB339"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XX.</w:t>
      </w:r>
      <w:r w:rsidRPr="0063563C">
        <w:rPr>
          <w:rFonts w:ascii="Palatino Linotype" w:eastAsia="Palatino Linotype" w:hAnsi="Palatino Linotype" w:cs="Palatino Linotype"/>
          <w:i/>
          <w:iCs/>
          <w:sz w:val="22"/>
          <w:szCs w:val="22"/>
        </w:rPr>
        <w:t xml:space="preserve"> Información clasificada: Aquella considerada por la presente Ley como reservada o confidencial; </w:t>
      </w:r>
    </w:p>
    <w:p w14:paraId="7934331F"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XXI.</w:t>
      </w:r>
      <w:r w:rsidRPr="0063563C">
        <w:rPr>
          <w:rFonts w:ascii="Palatino Linotype" w:eastAsia="Palatino Linotype" w:hAnsi="Palatino Linotype" w:cs="Palatino Linotype"/>
          <w:i/>
          <w:iCs/>
          <w:sz w:val="22"/>
          <w:szCs w:val="22"/>
        </w:rPr>
        <w:t xml:space="preserve"> Información confidencial: Se considera como información confidencial los secretos bancario, fiduciario, industrial, comercial, fiscal, bursátil y postal, cuya titularidad corresponda a particulares, sujetos de derecho internacional o a sujetos obligados cuando no involucren el ejercicio de recursos públicos;</w:t>
      </w:r>
    </w:p>
    <w:p w14:paraId="629A2CE9"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w:t>
      </w:r>
    </w:p>
    <w:p w14:paraId="4FB9E233"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XXXIV</w:t>
      </w:r>
      <w:r w:rsidRPr="0063563C">
        <w:rPr>
          <w:rFonts w:ascii="Palatino Linotype" w:eastAsia="Palatino Linotype" w:hAnsi="Palatino Linotype" w:cs="Palatino Linotype"/>
          <w:i/>
          <w:iCs/>
          <w:sz w:val="22"/>
          <w:szCs w:val="22"/>
        </w:rPr>
        <w:t>. Prueba de interés público: Es el proceso de ponderación entre el beneficio que reporta dar a conocer la información confidencial solicitada contra el daño que su divulgación genera en los derechos de las personas, llevado a cabo por el Instituto en el ámbito de sus respectivas competencias</w:t>
      </w:r>
    </w:p>
    <w:p w14:paraId="2927AC86"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w:t>
      </w:r>
    </w:p>
    <w:p w14:paraId="72125D07"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XLV.</w:t>
      </w:r>
      <w:r w:rsidRPr="0063563C">
        <w:rPr>
          <w:rFonts w:ascii="Palatino Linotype" w:eastAsia="Palatino Linotype" w:hAnsi="Palatino Linotype" w:cs="Palatino Linotype"/>
          <w:i/>
          <w:iCs/>
          <w:sz w:val="22"/>
          <w:szCs w:val="22"/>
        </w:rPr>
        <w:t xml:space="preserve"> Versión pública: Documento en el que se elimine, suprime o borra la información clasificada como reservada o confidencial para permitir su acceso</w:t>
      </w:r>
    </w:p>
    <w:p w14:paraId="4587D944"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Artículo 91.</w:t>
      </w:r>
      <w:r w:rsidRPr="0063563C">
        <w:rPr>
          <w:rFonts w:ascii="Palatino Linotype" w:eastAsia="Palatino Linotype" w:hAnsi="Palatino Linotype" w:cs="Palatino Linotype"/>
          <w:i/>
          <w:iCs/>
          <w:sz w:val="22"/>
          <w:szCs w:val="22"/>
        </w:rPr>
        <w:t xml:space="preserve"> El acceso a la información pública será restringido excepcionalmente, cuando ésta sea clasificada como reservada o confidencial.</w:t>
      </w:r>
    </w:p>
    <w:p w14:paraId="07A6EC22"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Artículo 122.</w:t>
      </w:r>
      <w:r w:rsidRPr="0063563C">
        <w:rPr>
          <w:rFonts w:ascii="Palatino Linotype" w:eastAsia="Palatino Linotype" w:hAnsi="Palatino Linotype" w:cs="Palatino Linotype"/>
          <w:i/>
          <w:iCs/>
          <w:sz w:val="22"/>
          <w:szCs w:val="22"/>
        </w:rPr>
        <w:t xml:space="preserve"> La clasificación es el proceso mediante el cual el sujeto obligado determina que la información en su poder actualiza alguno de los supuestos de reserva o confidencialidad, de conformidad con lo dispuesto en el presente título.</w:t>
      </w:r>
    </w:p>
    <w:p w14:paraId="29BD9371"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Los supuestos de reserva o confidencialidad previstos en las leyes deberán ser acordes con las bases, principios y disposiciones establecidos en la Ley General y, en ningún caso, podrán contravenirla.</w:t>
      </w:r>
    </w:p>
    <w:p w14:paraId="68CE2DA4"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Los titulares de las áreas de los sujetos obligados serán los responsables de clasificar la información, de conformidad con lo dispuesto en la presente Ley y demás disposiciones jurídicas aplicables</w:t>
      </w:r>
    </w:p>
    <w:p w14:paraId="48B9D361"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Artículo 135.</w:t>
      </w:r>
      <w:r w:rsidRPr="0063563C">
        <w:rPr>
          <w:rFonts w:ascii="Palatino Linotype" w:eastAsia="Palatino Linotype" w:hAnsi="Palatino Linotype" w:cs="Palatino Linotype"/>
          <w:i/>
          <w:iCs/>
          <w:sz w:val="22"/>
          <w:szCs w:val="22"/>
        </w:rPr>
        <w:t xml:space="preserve"> Los lineamientos generales que se emitan al respecto en materia de clasificación de la información reservada y confidencial y, para la elaboración de versiones públicas, serán de observancia obligatoria para los sujetos obligados.</w:t>
      </w:r>
    </w:p>
    <w:p w14:paraId="1BEF122C"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Artículo 137. Cuando un mismo medio, impreso o electrónico, contenga información pública y reservada o confidencial, la Unidad de Transparencia para efectos de atender una solicitud de información, deberán elaborar una versión pública en la que se testen las partes o secciones clasificadas, indicando su contenido de manera genérica y fundando y motivando su clasificación.”</w:t>
      </w:r>
    </w:p>
    <w:p w14:paraId="3D98E4F9"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Artículo 143</w:t>
      </w:r>
      <w:r w:rsidRPr="0063563C">
        <w:rPr>
          <w:rFonts w:ascii="Palatino Linotype" w:eastAsia="Palatino Linotype" w:hAnsi="Palatino Linotype" w:cs="Palatino Linotype"/>
          <w:i/>
          <w:iCs/>
          <w:sz w:val="22"/>
          <w:szCs w:val="22"/>
        </w:rPr>
        <w:t>. Para los efectos de esta Ley se considera información confidencial, la clasificada como tal, de manera permanente, por su naturaleza, cuando:</w:t>
      </w:r>
    </w:p>
    <w:p w14:paraId="2D94E6C5"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I. Se refiera a la información privada y los datos personales concernientes a una persona física o jurídica colectiva identificada o identificable; </w:t>
      </w:r>
    </w:p>
    <w:p w14:paraId="4465E3E4"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II.</w:t>
      </w:r>
      <w:r w:rsidRPr="0063563C">
        <w:rPr>
          <w:rFonts w:ascii="Palatino Linotype" w:eastAsia="Palatino Linotype" w:hAnsi="Palatino Linotype" w:cs="Palatino Linotype"/>
          <w:i/>
          <w:iCs/>
          <w:sz w:val="22"/>
          <w:szCs w:val="22"/>
        </w:rPr>
        <w:t xml:space="preserve"> Los secretos bancario, fiduciario, industrial, comercial, fiscal, bursátil y postal, cuya titularidad corresponda a particulares, sujetos de derecho internacional o a sujetos obligados cuando no involucren el ejercicio de recursos públicos; y </w:t>
      </w:r>
    </w:p>
    <w:p w14:paraId="13E470E1"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III.</w:t>
      </w:r>
      <w:r w:rsidRPr="0063563C">
        <w:rPr>
          <w:rFonts w:ascii="Palatino Linotype" w:eastAsia="Palatino Linotype" w:hAnsi="Palatino Linotype" w:cs="Palatino Linotype"/>
          <w:i/>
          <w:iCs/>
          <w:sz w:val="22"/>
          <w:szCs w:val="22"/>
        </w:rPr>
        <w:t xml:space="preserve"> La que presenten los particulares a los sujetos obligados, de conformidad con lo dispuesto por las leyes o los tratados internacionales.</w:t>
      </w:r>
    </w:p>
    <w:p w14:paraId="3DCB336B"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La información confidencial no estará sujeta a temporalidad alguna y sólo podrán tener acceso a ella los titulares de la misma, sus representantes y los servidores públicos facultados para ello.</w:t>
      </w:r>
    </w:p>
    <w:p w14:paraId="378054E2"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No se considerará confidencial la información que se encuentre en los registros públicos o en fuentes de acceso público, ni tampoco la que sea considerada por la presente ley como información pública.</w:t>
      </w:r>
    </w:p>
    <w:p w14:paraId="514520BE"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Artículo 147. Para que los sujetos obligados puedan permitir el acceso a información confidencial requieren obtener el consentimiento de los particulares titulares de la información.</w:t>
      </w:r>
    </w:p>
    <w:p w14:paraId="6405ED2B"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Artículo 148.</w:t>
      </w:r>
      <w:r w:rsidRPr="0063563C">
        <w:rPr>
          <w:rFonts w:ascii="Palatino Linotype" w:eastAsia="Palatino Linotype" w:hAnsi="Palatino Linotype" w:cs="Palatino Linotype"/>
          <w:i/>
          <w:iCs/>
          <w:sz w:val="22"/>
          <w:szCs w:val="22"/>
        </w:rPr>
        <w:t xml:space="preserve"> No se requerirá el consentimiento del titular de la información confidencial cuando:</w:t>
      </w:r>
    </w:p>
    <w:p w14:paraId="526863C9"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I.</w:t>
      </w:r>
      <w:r w:rsidRPr="0063563C">
        <w:rPr>
          <w:rFonts w:ascii="Palatino Linotype" w:eastAsia="Palatino Linotype" w:hAnsi="Palatino Linotype" w:cs="Palatino Linotype"/>
          <w:i/>
          <w:iCs/>
          <w:sz w:val="22"/>
          <w:szCs w:val="22"/>
        </w:rPr>
        <w:t xml:space="preserve"> La información se encuentre en registros públicos o fuentes de acceso público;</w:t>
      </w:r>
    </w:p>
    <w:p w14:paraId="09C8F5B5"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II.</w:t>
      </w:r>
      <w:r w:rsidRPr="0063563C">
        <w:rPr>
          <w:rFonts w:ascii="Palatino Linotype" w:eastAsia="Palatino Linotype" w:hAnsi="Palatino Linotype" w:cs="Palatino Linotype"/>
          <w:i/>
          <w:iCs/>
          <w:sz w:val="22"/>
          <w:szCs w:val="22"/>
        </w:rPr>
        <w:t xml:space="preserve"> Por Ley tenga el carácter de pública;</w:t>
      </w:r>
    </w:p>
    <w:p w14:paraId="7D86D281"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III</w:t>
      </w:r>
      <w:r w:rsidRPr="0063563C">
        <w:rPr>
          <w:rFonts w:ascii="Palatino Linotype" w:eastAsia="Palatino Linotype" w:hAnsi="Palatino Linotype" w:cs="Palatino Linotype"/>
          <w:i/>
          <w:iCs/>
          <w:sz w:val="22"/>
          <w:szCs w:val="22"/>
        </w:rPr>
        <w:t>. Exista una orden judicial;</w:t>
      </w:r>
    </w:p>
    <w:p w14:paraId="38469015"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IV.</w:t>
      </w:r>
      <w:r w:rsidRPr="0063563C">
        <w:rPr>
          <w:rFonts w:ascii="Palatino Linotype" w:eastAsia="Palatino Linotype" w:hAnsi="Palatino Linotype" w:cs="Palatino Linotype"/>
          <w:i/>
          <w:iCs/>
          <w:sz w:val="22"/>
          <w:szCs w:val="22"/>
        </w:rPr>
        <w:t xml:space="preserve"> Por razones de seguridad pública, o para proteger los derechos de terceros, se requiera su publicación; o</w:t>
      </w:r>
    </w:p>
    <w:p w14:paraId="06123ACB"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V.</w:t>
      </w:r>
      <w:r w:rsidRPr="0063563C">
        <w:rPr>
          <w:rFonts w:ascii="Palatino Linotype" w:eastAsia="Palatino Linotype" w:hAnsi="Palatino Linotype" w:cs="Palatino Linotype"/>
          <w:i/>
          <w:iCs/>
          <w:sz w:val="22"/>
          <w:szCs w:val="22"/>
        </w:rPr>
        <w:t xml:space="preserve"> Cuando se transmita entre sujetos obligados y entre éstos y los sujetos de derecho internacional, en términos de los tratados y los acuerdos interinstitucionales, siempre y cuando la información se utilice para el ejercicio de facultades propias de los mismos. Para efectos de la fracción I del presente artículo, deberá sujetarse a lo previsto en las disposiciones jurídicas aplicables.</w:t>
      </w:r>
    </w:p>
    <w:p w14:paraId="046623F7"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Para efectos de la fracción IV del presente artículo, el Instituto deberá aplicar la prueba de interés público. Además, se deberá corroborar una conexión patente entre la información confidencial y un tema de interés público y la proporcionalidad entre la invasión a la intimidad ocasionada por la divulgación de la información confidencial y el interés público de la información. </w:t>
      </w:r>
    </w:p>
    <w:p w14:paraId="5D7E6045"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Artículo 149.</w:t>
      </w:r>
      <w:r w:rsidRPr="0063563C">
        <w:rPr>
          <w:rFonts w:ascii="Palatino Linotype" w:eastAsia="Palatino Linotype" w:hAnsi="Palatino Linotype" w:cs="Palatino Linotype"/>
          <w:i/>
          <w:iCs/>
          <w:sz w:val="22"/>
          <w:szCs w:val="22"/>
        </w:rPr>
        <w:t xml:space="preserve"> El acuerdo que clasifique la información como confidencial deberá contener un razonamiento lógico en el que demuestre que la información se encuentra en alguna o algunas de las hipótesis previstas en la presente Ley.” </w:t>
      </w:r>
    </w:p>
    <w:p w14:paraId="544010FB" w14:textId="77777777" w:rsidR="00C00D37" w:rsidRPr="0063563C" w:rsidRDefault="00C00D37">
      <w:pPr>
        <w:rPr>
          <w:rFonts w:ascii="Palatino Linotype" w:eastAsia="Palatino Linotype" w:hAnsi="Palatino Linotype" w:cs="Palatino Linotype"/>
          <w:sz w:val="22"/>
          <w:szCs w:val="22"/>
        </w:rPr>
      </w:pPr>
    </w:p>
    <w:p w14:paraId="38D845D3" w14:textId="77777777" w:rsidR="00C00D37" w:rsidRPr="0063563C" w:rsidRDefault="004A69F1">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De los artículos transcritos anteriormente, se observan las excepciones que tiene el derecho de acceso a la información pública, respecto a algunos tipos de información, lo cual restringe su acceso, precisando de manera clara las hipótesis que dan lugar a clasificar la información, la cual puede ser de dos maneras: Reservada o Confidencial.</w:t>
      </w:r>
    </w:p>
    <w:p w14:paraId="5BFB84EB" w14:textId="77777777" w:rsidR="00C00D37" w:rsidRPr="0063563C" w:rsidRDefault="00C00D37">
      <w:pPr>
        <w:spacing w:line="360" w:lineRule="auto"/>
        <w:rPr>
          <w:rFonts w:ascii="Palatino Linotype" w:eastAsia="Palatino Linotype" w:hAnsi="Palatino Linotype" w:cs="Palatino Linotype"/>
          <w:sz w:val="22"/>
          <w:szCs w:val="22"/>
        </w:rPr>
      </w:pPr>
    </w:p>
    <w:p w14:paraId="5B272055" w14:textId="77777777" w:rsidR="00C00D37" w:rsidRPr="0063563C" w:rsidRDefault="004A69F1">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En otras palabras, la información confidencial será cuando por su naturaleza, contenga datos personales concernientes a una persona física o jurídico colectiva identificada o identificable, los secretos bancario, fiduciario, industrial, comercial, fiscal, bursátil y postal, cuya titularidad corresponda a particulares, sujetos de derecho internacional o a Sujetos Obligados cuando no involucren el ejercicio de recursos públicos y la que presenten los particulares a los Sujetos Obligados, de conformidad con lo dispuesto por las leyes o los tratados internacionales.</w:t>
      </w:r>
    </w:p>
    <w:p w14:paraId="07104B7A" w14:textId="77777777" w:rsidR="00C00D37" w:rsidRPr="0063563C" w:rsidRDefault="00C00D37">
      <w:pPr>
        <w:spacing w:line="360" w:lineRule="auto"/>
        <w:rPr>
          <w:rFonts w:ascii="Palatino Linotype" w:eastAsia="Palatino Linotype" w:hAnsi="Palatino Linotype" w:cs="Palatino Linotype"/>
          <w:sz w:val="22"/>
          <w:szCs w:val="22"/>
        </w:rPr>
      </w:pPr>
    </w:p>
    <w:p w14:paraId="172C3EB2" w14:textId="77777777" w:rsidR="00C00D37" w:rsidRPr="0063563C" w:rsidRDefault="004A69F1">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De igual forma, para el caso de la información confidencial se aprecia, que se establece un procedimiento para clasificar la información como confidencial, mediante el cual se fundamentará y motivará la necesidad de clasificar la información, en el que se precisen los motivos que obliguen a la clasificación; lo que se consolida con lo señalado por el artículo 168 de la Ley en la Materia, que señala:</w:t>
      </w:r>
    </w:p>
    <w:p w14:paraId="176DEF0F" w14:textId="77777777" w:rsidR="00C00D37" w:rsidRPr="0063563C" w:rsidRDefault="00C00D37">
      <w:pPr>
        <w:rPr>
          <w:rFonts w:ascii="Palatino Linotype" w:eastAsia="Palatino Linotype" w:hAnsi="Palatino Linotype" w:cs="Palatino Linotype"/>
          <w:sz w:val="22"/>
          <w:szCs w:val="22"/>
        </w:rPr>
      </w:pPr>
    </w:p>
    <w:p w14:paraId="6F78D55C"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w:t>
      </w:r>
      <w:r w:rsidRPr="0063563C">
        <w:rPr>
          <w:rFonts w:ascii="Palatino Linotype" w:eastAsia="Palatino Linotype" w:hAnsi="Palatino Linotype" w:cs="Palatino Linotype"/>
          <w:b/>
          <w:bCs/>
          <w:i/>
          <w:iCs/>
          <w:sz w:val="22"/>
          <w:szCs w:val="22"/>
        </w:rPr>
        <w:t>Artículo 168</w:t>
      </w:r>
      <w:r w:rsidRPr="0063563C">
        <w:rPr>
          <w:rFonts w:ascii="Palatino Linotype" w:eastAsia="Palatino Linotype" w:hAnsi="Palatino Linotype" w:cs="Palatino Linotype"/>
          <w:i/>
          <w:iCs/>
          <w:sz w:val="22"/>
          <w:szCs w:val="22"/>
        </w:rPr>
        <w:t>. En caso de que los sujetos obligados consideren que los documentos o la información deban ser clasificados, se sujetará a lo siguiente:</w:t>
      </w:r>
    </w:p>
    <w:p w14:paraId="099E0C22"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I.</w:t>
      </w:r>
      <w:r w:rsidRPr="0063563C">
        <w:rPr>
          <w:rFonts w:ascii="Palatino Linotype" w:eastAsia="Palatino Linotype" w:hAnsi="Palatino Linotype" w:cs="Palatino Linotype"/>
          <w:i/>
          <w:iCs/>
          <w:sz w:val="22"/>
          <w:szCs w:val="22"/>
        </w:rPr>
        <w:t xml:space="preserve"> El Área deberá remitir la solicitud, así como un escrito en el que </w:t>
      </w:r>
      <w:r w:rsidRPr="0063563C">
        <w:rPr>
          <w:rFonts w:ascii="Palatino Linotype" w:eastAsia="Palatino Linotype" w:hAnsi="Palatino Linotype" w:cs="Palatino Linotype"/>
          <w:b/>
          <w:bCs/>
          <w:i/>
          <w:iCs/>
          <w:sz w:val="22"/>
          <w:szCs w:val="22"/>
        </w:rPr>
        <w:t>funde y motive la clasificación al Comité de Transparencia</w:t>
      </w:r>
      <w:r w:rsidRPr="0063563C">
        <w:rPr>
          <w:rFonts w:ascii="Palatino Linotype" w:eastAsia="Palatino Linotype" w:hAnsi="Palatino Linotype" w:cs="Palatino Linotype"/>
          <w:i/>
          <w:iCs/>
          <w:sz w:val="22"/>
          <w:szCs w:val="22"/>
        </w:rPr>
        <w:t>, mismo que deberá resolver para:</w:t>
      </w:r>
    </w:p>
    <w:p w14:paraId="0F442270"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a</w:t>
      </w:r>
      <w:r w:rsidRPr="0063563C">
        <w:rPr>
          <w:rFonts w:ascii="Palatino Linotype" w:eastAsia="Palatino Linotype" w:hAnsi="Palatino Linotype" w:cs="Palatino Linotype"/>
          <w:b/>
          <w:bCs/>
          <w:i/>
          <w:iCs/>
          <w:sz w:val="22"/>
          <w:szCs w:val="22"/>
        </w:rPr>
        <w:t>) Confirmar la clasificación;</w:t>
      </w:r>
    </w:p>
    <w:p w14:paraId="43E9CB00"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b) Modificar la clasificación y otorgar total o parcialmente el acceso a la información; y c) Revocar la clasificación y conceder el acceso a la información.</w:t>
      </w:r>
    </w:p>
    <w:p w14:paraId="7B1D8E32"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II.</w:t>
      </w:r>
      <w:r w:rsidRPr="0063563C">
        <w:rPr>
          <w:rFonts w:ascii="Palatino Linotype" w:eastAsia="Palatino Linotype" w:hAnsi="Palatino Linotype" w:cs="Palatino Linotype"/>
          <w:i/>
          <w:iCs/>
          <w:sz w:val="22"/>
          <w:szCs w:val="22"/>
        </w:rPr>
        <w:t xml:space="preserve"> El Comité de Transparencia podrá tener acceso a la información que esté en poder del Área correspondiente, de la cual se haya solicitado su clasificación; y</w:t>
      </w:r>
    </w:p>
    <w:p w14:paraId="37E51424"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III.</w:t>
      </w:r>
      <w:r w:rsidRPr="0063563C">
        <w:rPr>
          <w:rFonts w:ascii="Palatino Linotype" w:eastAsia="Palatino Linotype" w:hAnsi="Palatino Linotype" w:cs="Palatino Linotype"/>
          <w:i/>
          <w:iCs/>
          <w:sz w:val="22"/>
          <w:szCs w:val="22"/>
        </w:rPr>
        <w:t xml:space="preserve"> La resolución del Comité de Transparencia será notificada al interesado en el plazo de respuesta a la solicitud que establece esta Ley.” </w:t>
      </w:r>
    </w:p>
    <w:p w14:paraId="6A428C35" w14:textId="77777777" w:rsidR="00C00D37" w:rsidRPr="0063563C" w:rsidRDefault="00C00D37">
      <w:pPr>
        <w:rPr>
          <w:rFonts w:ascii="Palatino Linotype" w:eastAsia="Palatino Linotype" w:hAnsi="Palatino Linotype" w:cs="Palatino Linotype"/>
          <w:sz w:val="22"/>
          <w:szCs w:val="22"/>
        </w:rPr>
      </w:pPr>
    </w:p>
    <w:p w14:paraId="1609B302" w14:textId="77777777" w:rsidR="00C00D37" w:rsidRPr="0063563C" w:rsidRDefault="004A69F1">
      <w:pPr>
        <w:pBdr>
          <w:top w:val="nil"/>
          <w:left w:val="nil"/>
          <w:bottom w:val="nil"/>
          <w:right w:val="nil"/>
          <w:between w:val="nil"/>
        </w:pBdr>
        <w:spacing w:line="360" w:lineRule="auto"/>
        <w:ind w:right="51"/>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De los preceptos anteriores se desprende que cuando un documento que vaya a ser entregado vía acceso a la información pública, contenga tanto información de interés público como información que debe ser clasificada, se hará la entrega del mismo, testando las secciones o datos que deban ser clasificados; por ende el </w:t>
      </w:r>
      <w:r w:rsidRPr="0063563C">
        <w:rPr>
          <w:rFonts w:ascii="Palatino Linotype" w:eastAsia="Palatino Linotype" w:hAnsi="Palatino Linotype" w:cs="Palatino Linotype"/>
          <w:b/>
          <w:bCs/>
          <w:sz w:val="22"/>
          <w:szCs w:val="22"/>
        </w:rPr>
        <w:t>Sujeto Obligado</w:t>
      </w:r>
      <w:r w:rsidRPr="0063563C">
        <w:rPr>
          <w:rFonts w:ascii="Palatino Linotype" w:eastAsia="Palatino Linotype" w:hAnsi="Palatino Linotype" w:cs="Palatino Linotype"/>
          <w:sz w:val="22"/>
          <w:szCs w:val="22"/>
        </w:rPr>
        <w:t xml:space="preserve"> deberá proceder a testar los datos personales que se encuentren contenidos en los documentos a entregar por parte del </w:t>
      </w:r>
      <w:r w:rsidRPr="0063563C">
        <w:rPr>
          <w:rFonts w:ascii="Palatino Linotype" w:eastAsia="Palatino Linotype" w:hAnsi="Palatino Linotype" w:cs="Palatino Linotype"/>
          <w:b/>
          <w:bCs/>
          <w:sz w:val="22"/>
          <w:szCs w:val="22"/>
        </w:rPr>
        <w:t>Sujeto Obligado</w:t>
      </w:r>
      <w:r w:rsidRPr="0063563C">
        <w:rPr>
          <w:rFonts w:ascii="Palatino Linotype" w:eastAsia="Palatino Linotype" w:hAnsi="Palatino Linotype" w:cs="Palatino Linotype"/>
          <w:sz w:val="22"/>
          <w:szCs w:val="22"/>
        </w:rPr>
        <w:t xml:space="preserve"> para satisfacer el derecho de acceso a la información pública de la recurrente, esto es, los datos concernientes a una persona identificada o identificable, o aquellos datos que tengan el carácter de sensibles, es decir los que afectan la esfera más íntima de su titular o cuya utilización indebida pueda dar origen a discriminación o conlleven un riesgo grave para aquel de acuerdo a lo que señala la fracción XII del artículo 4 de la Ley de Protección de Datos Personales en Posesión de Sujetos Obligados del Estado de México.</w:t>
      </w:r>
    </w:p>
    <w:p w14:paraId="0D2520D5" w14:textId="77777777" w:rsidR="00C00D37" w:rsidRPr="0063563C" w:rsidRDefault="00C00D37">
      <w:pPr>
        <w:spacing w:line="360" w:lineRule="auto"/>
        <w:rPr>
          <w:rFonts w:ascii="Palatino Linotype" w:eastAsia="Palatino Linotype" w:hAnsi="Palatino Linotype" w:cs="Palatino Linotype"/>
          <w:sz w:val="22"/>
          <w:szCs w:val="22"/>
        </w:rPr>
      </w:pPr>
    </w:p>
    <w:p w14:paraId="64693B55" w14:textId="77777777" w:rsidR="00C00D37" w:rsidRPr="0063563C" w:rsidRDefault="004A69F1">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En el caso específico, es criterio reiterado de este Instituto que además de los datos especificados en la Ley de Transparencia y Acceso a la Información Pública del Estado de México y Municipios, se consideran confidenciales y por tanto deben testarse al momento de la elaboración de versiones públicas la </w:t>
      </w:r>
      <w:r w:rsidRPr="0063563C">
        <w:rPr>
          <w:rFonts w:ascii="Palatino Linotype" w:eastAsia="Palatino Linotype" w:hAnsi="Palatino Linotype" w:cs="Palatino Linotype"/>
          <w:b/>
          <w:bCs/>
          <w:sz w:val="22"/>
          <w:szCs w:val="22"/>
        </w:rPr>
        <w:t>Clave de cualquier tipo de seguridad social</w:t>
      </w:r>
      <w:r w:rsidRPr="0063563C">
        <w:rPr>
          <w:rFonts w:ascii="Palatino Linotype" w:eastAsia="Palatino Linotype" w:hAnsi="Palatino Linotype" w:cs="Palatino Linotype"/>
          <w:sz w:val="22"/>
          <w:szCs w:val="22"/>
        </w:rPr>
        <w:t xml:space="preserve"> (ISSEMYM, u otros), así como, los </w:t>
      </w:r>
      <w:r w:rsidRPr="0063563C">
        <w:rPr>
          <w:rFonts w:ascii="Palatino Linotype" w:eastAsia="Palatino Linotype" w:hAnsi="Palatino Linotype" w:cs="Palatino Linotype"/>
          <w:b/>
          <w:bCs/>
          <w:sz w:val="22"/>
          <w:szCs w:val="22"/>
        </w:rPr>
        <w:t>préstamos o descuentos</w:t>
      </w:r>
      <w:r w:rsidRPr="0063563C">
        <w:rPr>
          <w:rFonts w:ascii="Palatino Linotype" w:eastAsia="Palatino Linotype" w:hAnsi="Palatino Linotype" w:cs="Palatino Linotype"/>
          <w:sz w:val="22"/>
          <w:szCs w:val="22"/>
        </w:rPr>
        <w:t xml:space="preserve"> que se le hagan a la persona y que no tengan relación con los impuestos o la cuota por seguridad social, así el</w:t>
      </w:r>
      <w:r w:rsidRPr="0063563C">
        <w:rPr>
          <w:rFonts w:ascii="Palatino Linotype" w:eastAsia="Palatino Linotype" w:hAnsi="Palatino Linotype" w:cs="Palatino Linotype"/>
          <w:b/>
          <w:bCs/>
          <w:sz w:val="22"/>
          <w:szCs w:val="22"/>
        </w:rPr>
        <w:t xml:space="preserve"> número de empleado, </w:t>
      </w:r>
      <w:r w:rsidRPr="0063563C">
        <w:rPr>
          <w:rFonts w:ascii="Palatino Linotype" w:eastAsia="Palatino Linotype" w:hAnsi="Palatino Linotype" w:cs="Palatino Linotype"/>
          <w:sz w:val="22"/>
          <w:szCs w:val="22"/>
        </w:rPr>
        <w:t xml:space="preserve">así como de ser el caso, el </w:t>
      </w:r>
      <w:r w:rsidRPr="0063563C">
        <w:rPr>
          <w:rFonts w:ascii="Palatino Linotype" w:eastAsia="Palatino Linotype" w:hAnsi="Palatino Linotype" w:cs="Palatino Linotype"/>
          <w:b/>
          <w:bCs/>
          <w:sz w:val="22"/>
          <w:szCs w:val="22"/>
        </w:rPr>
        <w:t>folio fiscal</w:t>
      </w:r>
      <w:r w:rsidRPr="0063563C">
        <w:rPr>
          <w:rFonts w:ascii="Palatino Linotype" w:eastAsia="Palatino Linotype" w:hAnsi="Palatino Linotype" w:cs="Palatino Linotype"/>
          <w:sz w:val="22"/>
          <w:szCs w:val="22"/>
        </w:rPr>
        <w:t xml:space="preserve">, la  </w:t>
      </w:r>
      <w:r w:rsidRPr="0063563C">
        <w:rPr>
          <w:rFonts w:ascii="Palatino Linotype" w:eastAsia="Palatino Linotype" w:hAnsi="Palatino Linotype" w:cs="Palatino Linotype"/>
          <w:b/>
          <w:bCs/>
          <w:sz w:val="22"/>
          <w:szCs w:val="22"/>
        </w:rPr>
        <w:t xml:space="preserve">cadena original, </w:t>
      </w:r>
      <w:r w:rsidRPr="0063563C">
        <w:rPr>
          <w:rFonts w:ascii="Palatino Linotype" w:eastAsia="Palatino Linotype" w:hAnsi="Palatino Linotype" w:cs="Palatino Linotype"/>
          <w:sz w:val="22"/>
          <w:szCs w:val="22"/>
        </w:rPr>
        <w:t>los</w:t>
      </w:r>
      <w:r w:rsidRPr="0063563C">
        <w:rPr>
          <w:rFonts w:ascii="Palatino Linotype" w:eastAsia="Palatino Linotype" w:hAnsi="Palatino Linotype" w:cs="Palatino Linotype"/>
          <w:b/>
          <w:bCs/>
          <w:sz w:val="22"/>
          <w:szCs w:val="22"/>
        </w:rPr>
        <w:t xml:space="preserve"> códigos bidimensionales o códigos QR,</w:t>
      </w:r>
      <w:r w:rsidRPr="0063563C">
        <w:rPr>
          <w:rFonts w:ascii="Palatino Linotype" w:eastAsia="Palatino Linotype" w:hAnsi="Palatino Linotype" w:cs="Palatino Linotype"/>
          <w:sz w:val="22"/>
          <w:szCs w:val="22"/>
        </w:rPr>
        <w:t xml:space="preserve"> y cualquier información de carácter fiscal, bajo las siguientes consideraciones. </w:t>
      </w:r>
    </w:p>
    <w:p w14:paraId="34160F4F" w14:textId="77777777" w:rsidR="00C00D37" w:rsidRPr="0063563C" w:rsidRDefault="004A69F1">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En cuanto a la clave de seguridad social y en su caso clave o número del servidor público –trabajador-, en virtud de que su divulgación no aporta a la transparencia o a la rendición de cuentas y sí provoca una transgresión a la vida privada e intimidad de la persona, esta información también resulta ser de carácter confidencial; siendo aplicable como orientador el criterio número 15/10 emitido por el entonces Instituto Federal de Transparencia y Acceso a la Información (INAI, cuyo texto y sentido literal es el siguiente:</w:t>
      </w:r>
    </w:p>
    <w:p w14:paraId="4D5624F6" w14:textId="77777777" w:rsidR="00C00D37" w:rsidRPr="0063563C" w:rsidRDefault="00C00D37">
      <w:pPr>
        <w:rPr>
          <w:rFonts w:ascii="Palatino Linotype" w:eastAsia="Palatino Linotype" w:hAnsi="Palatino Linotype" w:cs="Palatino Linotype"/>
          <w:sz w:val="22"/>
          <w:szCs w:val="22"/>
        </w:rPr>
      </w:pPr>
    </w:p>
    <w:p w14:paraId="7CD4D458"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“El número de ficha de identificación única de los trabajadores es información de carácter confidencial.</w:t>
      </w:r>
      <w:r w:rsidRPr="0063563C">
        <w:rPr>
          <w:rFonts w:ascii="Palatino Linotype" w:eastAsia="Palatino Linotype" w:hAnsi="Palatino Linotype" w:cs="Palatino Linotype"/>
          <w:i/>
          <w:iCs/>
          <w:sz w:val="22"/>
          <w:szCs w:val="22"/>
        </w:rPr>
        <w:t xml:space="preserve"> </w:t>
      </w:r>
      <w:r w:rsidRPr="0063563C">
        <w:rPr>
          <w:rFonts w:ascii="Palatino Linotype" w:eastAsia="Palatino Linotype" w:hAnsi="Palatino Linotype" w:cs="Palatino Linotype"/>
          <w:i/>
          <w:iCs/>
          <w:sz w:val="22"/>
          <w:szCs w:val="22"/>
          <w:u w:val="single"/>
        </w:rPr>
        <w:t>En los casos en que el número de trabajador o ficha de identificación única constituya un elemento por medio del cual los trabajadores puedan acceder a un sistema de datos o información de la dependencia o entidad, para hacer uso de diversos servicios, como la presentación de consultas relacionadas con su situación laboral particular</w:t>
      </w:r>
      <w:r w:rsidRPr="0063563C">
        <w:rPr>
          <w:rFonts w:ascii="Palatino Linotype" w:eastAsia="Palatino Linotype" w:hAnsi="Palatino Linotype" w:cs="Palatino Linotype"/>
          <w:i/>
          <w:iCs/>
          <w:sz w:val="22"/>
          <w:szCs w:val="22"/>
        </w:rPr>
        <w:t xml:space="preserve">, </w:t>
      </w:r>
      <w:r w:rsidRPr="0063563C">
        <w:rPr>
          <w:rFonts w:ascii="Palatino Linotype" w:eastAsia="Palatino Linotype" w:hAnsi="Palatino Linotype" w:cs="Palatino Linotype"/>
          <w:i/>
          <w:iCs/>
          <w:sz w:val="22"/>
          <w:szCs w:val="22"/>
          <w:u w:val="single"/>
        </w:rPr>
        <w:t>dicha información es susceptible de clasificarse con el carácter de confidencial</w:t>
      </w:r>
      <w:r w:rsidRPr="0063563C">
        <w:rPr>
          <w:rFonts w:ascii="Palatino Linotype" w:eastAsia="Palatino Linotype" w:hAnsi="Palatino Linotype" w:cs="Palatino Linotype"/>
          <w:i/>
          <w:iCs/>
          <w:sz w:val="22"/>
          <w:szCs w:val="22"/>
        </w:rPr>
        <w:t>, en términos de lo establecido en el artículo 18, fracción II de la Ley Federal de Transparencia y Acceso a la Información Pública Gubernamental, en virtud de que a través de la misma es posible conocer información personal de su titular.” </w:t>
      </w:r>
    </w:p>
    <w:p w14:paraId="0BE33227" w14:textId="77777777" w:rsidR="00C00D37" w:rsidRPr="0063563C" w:rsidRDefault="00C00D37">
      <w:pPr>
        <w:rPr>
          <w:rFonts w:ascii="Palatino Linotype" w:eastAsia="Palatino Linotype" w:hAnsi="Palatino Linotype" w:cs="Palatino Linotype"/>
          <w:sz w:val="22"/>
          <w:szCs w:val="22"/>
        </w:rPr>
      </w:pPr>
    </w:p>
    <w:p w14:paraId="2607B126" w14:textId="77777777" w:rsidR="00C00D37" w:rsidRPr="0063563C" w:rsidRDefault="004A69F1">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Respecto de los </w:t>
      </w:r>
      <w:r w:rsidRPr="0063563C">
        <w:rPr>
          <w:rFonts w:ascii="Palatino Linotype" w:eastAsia="Palatino Linotype" w:hAnsi="Palatino Linotype" w:cs="Palatino Linotype"/>
          <w:b/>
          <w:bCs/>
          <w:sz w:val="22"/>
          <w:szCs w:val="22"/>
        </w:rPr>
        <w:t>préstamos o descuentos</w:t>
      </w:r>
      <w:r w:rsidRPr="0063563C">
        <w:rPr>
          <w:rFonts w:ascii="Palatino Linotype" w:eastAsia="Palatino Linotype" w:hAnsi="Palatino Linotype" w:cs="Palatino Linotype"/>
          <w:sz w:val="22"/>
          <w:szCs w:val="22"/>
        </w:rPr>
        <w:t xml:space="preserve"> </w:t>
      </w:r>
      <w:r w:rsidRPr="0063563C">
        <w:rPr>
          <w:rFonts w:ascii="Palatino Linotype" w:eastAsia="Palatino Linotype" w:hAnsi="Palatino Linotype" w:cs="Palatino Linotype"/>
          <w:b/>
          <w:bCs/>
          <w:sz w:val="22"/>
          <w:szCs w:val="22"/>
        </w:rPr>
        <w:t>de carácter personal</w:t>
      </w:r>
      <w:r w:rsidRPr="0063563C">
        <w:rPr>
          <w:rFonts w:ascii="Palatino Linotype" w:eastAsia="Palatino Linotype" w:hAnsi="Palatino Linotype" w:cs="Palatino Linotype"/>
          <w:sz w:val="22"/>
          <w:szCs w:val="22"/>
        </w:rPr>
        <w:t>, éstos no deben tener relación con la prestación del servicio; es decir, son confidenciales los préstamos o descuentos que se le hagan a la persona en los que no se involucren instituciones públicas, en virtud de no favorecer en la transparencia y rendición de cuentas, sino, por el contrario, con ello se violentaría la protección de información confidencial, porque incide en la intimidad de un individuo identificado.</w:t>
      </w:r>
    </w:p>
    <w:p w14:paraId="1023D460" w14:textId="77777777" w:rsidR="00C00D37" w:rsidRPr="0063563C" w:rsidRDefault="00C00D37">
      <w:pPr>
        <w:spacing w:line="360" w:lineRule="auto"/>
        <w:rPr>
          <w:rFonts w:ascii="Palatino Linotype" w:eastAsia="Palatino Linotype" w:hAnsi="Palatino Linotype" w:cs="Palatino Linotype"/>
          <w:sz w:val="22"/>
          <w:szCs w:val="22"/>
        </w:rPr>
      </w:pPr>
    </w:p>
    <w:p w14:paraId="49972AFC" w14:textId="77777777" w:rsidR="00C00D37" w:rsidRPr="0063563C" w:rsidRDefault="004A69F1">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Por cuanto hace a las deducciones, para entender los límites y alcances de esta restricción, es oportuno recurrir al artículo 84 de la Ley del Trabajo de los Servidores Públicos del Estado y Municipios:</w:t>
      </w:r>
    </w:p>
    <w:p w14:paraId="4758E3A8" w14:textId="77777777" w:rsidR="00C00D37" w:rsidRPr="0063563C" w:rsidRDefault="00C00D37">
      <w:pPr>
        <w:rPr>
          <w:rFonts w:ascii="Palatino Linotype" w:eastAsia="Palatino Linotype" w:hAnsi="Palatino Linotype" w:cs="Palatino Linotype"/>
          <w:sz w:val="22"/>
          <w:szCs w:val="22"/>
        </w:rPr>
      </w:pPr>
    </w:p>
    <w:p w14:paraId="38228344" w14:textId="77777777" w:rsidR="00C00D37" w:rsidRPr="0063563C" w:rsidRDefault="004A69F1">
      <w:pPr>
        <w:pBdr>
          <w:top w:val="nil"/>
          <w:left w:val="nil"/>
          <w:bottom w:val="nil"/>
          <w:right w:val="nil"/>
          <w:between w:val="nil"/>
        </w:pBdr>
        <w:ind w:left="993"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 xml:space="preserve">“ARTÍCULO 84. </w:t>
      </w:r>
      <w:r w:rsidRPr="0063563C">
        <w:rPr>
          <w:rFonts w:ascii="Palatino Linotype" w:eastAsia="Palatino Linotype" w:hAnsi="Palatino Linotype" w:cs="Palatino Linotype"/>
          <w:i/>
          <w:iCs/>
          <w:sz w:val="22"/>
          <w:szCs w:val="22"/>
        </w:rPr>
        <w:t>Sólo podrán hacerse retenciones, descuentos o deducciones al sueldo de los servidores públicos por concepto de:</w:t>
      </w:r>
    </w:p>
    <w:p w14:paraId="1F129C60" w14:textId="77777777" w:rsidR="00C00D37" w:rsidRPr="0063563C" w:rsidRDefault="004A69F1">
      <w:pPr>
        <w:pBdr>
          <w:top w:val="nil"/>
          <w:left w:val="nil"/>
          <w:bottom w:val="nil"/>
          <w:right w:val="nil"/>
          <w:between w:val="nil"/>
        </w:pBdr>
        <w:ind w:left="993"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I. Gravámenes fiscales relacionados con el sueldo;</w:t>
      </w:r>
    </w:p>
    <w:p w14:paraId="2805CC18" w14:textId="77777777" w:rsidR="00C00D37" w:rsidRPr="0063563C" w:rsidRDefault="004A69F1">
      <w:pPr>
        <w:pBdr>
          <w:top w:val="nil"/>
          <w:left w:val="nil"/>
          <w:bottom w:val="nil"/>
          <w:right w:val="nil"/>
          <w:between w:val="nil"/>
        </w:pBdr>
        <w:ind w:left="993"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II. Deudas contraídas con las instituciones públicas o dependencias por concepto de anticipos de sueldo, pagos hechos con exceso, errores o pérdidas debidamente comprobados;</w:t>
      </w:r>
    </w:p>
    <w:p w14:paraId="0173778F" w14:textId="77777777" w:rsidR="00C00D37" w:rsidRPr="0063563C" w:rsidRDefault="004A69F1">
      <w:pPr>
        <w:pBdr>
          <w:top w:val="nil"/>
          <w:left w:val="nil"/>
          <w:bottom w:val="nil"/>
          <w:right w:val="nil"/>
          <w:between w:val="nil"/>
        </w:pBdr>
        <w:ind w:left="993"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III. Cuotas sindicales;</w:t>
      </w:r>
    </w:p>
    <w:p w14:paraId="45BE5D53" w14:textId="77777777" w:rsidR="00C00D37" w:rsidRPr="0063563C" w:rsidRDefault="004A69F1">
      <w:pPr>
        <w:pBdr>
          <w:top w:val="nil"/>
          <w:left w:val="nil"/>
          <w:bottom w:val="nil"/>
          <w:right w:val="nil"/>
          <w:between w:val="nil"/>
        </w:pBdr>
        <w:ind w:left="993"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IV. Cuotas de aportación a fondos para la constitución de cooperativas y de cajas de ahorro, siempre que el servidor público hubiese manifestado previamente, de manera expresa, su conformidad;</w:t>
      </w:r>
    </w:p>
    <w:p w14:paraId="330F11B8" w14:textId="77777777" w:rsidR="00C00D37" w:rsidRPr="0063563C" w:rsidRDefault="004A69F1">
      <w:pPr>
        <w:pBdr>
          <w:top w:val="nil"/>
          <w:left w:val="nil"/>
          <w:bottom w:val="nil"/>
          <w:right w:val="nil"/>
          <w:between w:val="nil"/>
        </w:pBdr>
        <w:ind w:left="993"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V. Descuentos ordenados por el Instituto de Seguridad Social del Estado de México y Municipios, con motivo de cuotas y obligaciones contraídas con éste por los servidores públicos;</w:t>
      </w:r>
    </w:p>
    <w:p w14:paraId="6427999B" w14:textId="77777777" w:rsidR="00C00D37" w:rsidRPr="0063563C" w:rsidRDefault="004A69F1">
      <w:pPr>
        <w:pBdr>
          <w:top w:val="nil"/>
          <w:left w:val="nil"/>
          <w:bottom w:val="nil"/>
          <w:right w:val="nil"/>
          <w:between w:val="nil"/>
        </w:pBdr>
        <w:ind w:left="993"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VI. Obligaciones a cargo del servidor público con las que haya consentido, derivadas de la adquisición o del uso de habitaciones consideradas como de interés social;</w:t>
      </w:r>
    </w:p>
    <w:p w14:paraId="5E3CC060" w14:textId="77777777" w:rsidR="00C00D37" w:rsidRPr="0063563C" w:rsidRDefault="004A69F1">
      <w:pPr>
        <w:pBdr>
          <w:top w:val="nil"/>
          <w:left w:val="nil"/>
          <w:bottom w:val="nil"/>
          <w:right w:val="nil"/>
          <w:between w:val="nil"/>
        </w:pBdr>
        <w:ind w:left="993"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VII. Faltas de puntualidad o de asistencia injustificadas;</w:t>
      </w:r>
    </w:p>
    <w:p w14:paraId="5BAD0062" w14:textId="77777777" w:rsidR="00C00D37" w:rsidRPr="0063563C" w:rsidRDefault="004A69F1">
      <w:pPr>
        <w:pBdr>
          <w:top w:val="nil"/>
          <w:left w:val="nil"/>
          <w:bottom w:val="nil"/>
          <w:right w:val="nil"/>
          <w:between w:val="nil"/>
        </w:pBdr>
        <w:ind w:left="993"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VIII. Pensiones alimenticias ordenadas por la autoridad judicial;</w:t>
      </w:r>
      <w:r w:rsidRPr="0063563C">
        <w:rPr>
          <w:rFonts w:ascii="Palatino Linotype" w:eastAsia="Palatino Linotype" w:hAnsi="Palatino Linotype" w:cs="Palatino Linotype"/>
          <w:i/>
          <w:iCs/>
          <w:sz w:val="22"/>
          <w:szCs w:val="22"/>
        </w:rPr>
        <w:t xml:space="preserve"> o</w:t>
      </w:r>
    </w:p>
    <w:p w14:paraId="16F4A3D1" w14:textId="77777777" w:rsidR="00C00D37" w:rsidRPr="0063563C" w:rsidRDefault="004A69F1">
      <w:pPr>
        <w:pBdr>
          <w:top w:val="nil"/>
          <w:left w:val="nil"/>
          <w:bottom w:val="nil"/>
          <w:right w:val="nil"/>
          <w:between w:val="nil"/>
        </w:pBdr>
        <w:ind w:left="993"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IX. Cualquier otro convenido con instituciones de servicios y aceptado por el servidor público.</w:t>
      </w:r>
    </w:p>
    <w:p w14:paraId="423D5833" w14:textId="77777777" w:rsidR="00C00D37" w:rsidRPr="0063563C" w:rsidRDefault="004A69F1">
      <w:pPr>
        <w:pBdr>
          <w:top w:val="nil"/>
          <w:left w:val="nil"/>
          <w:bottom w:val="nil"/>
          <w:right w:val="nil"/>
          <w:between w:val="nil"/>
        </w:pBdr>
        <w:ind w:left="993"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El monto total de las retenciones, descuentos o deducciones no podrá exceder del 30% de la remuneración total, excepto en los casos a que se refieren las fracciones IV, V y VI de este artículo, en que podrán ser de hasta el 50%, salvo en los casos en que se demuestre que el crédito se concedió con base en los ingresos familiares para hacer posible el derecho constitucional a una vivienda digna, o se refieran a lo establecido en la fracción VIII de este artículo, en que se ajustará a lo determinado por la autoridad judicial.” </w:t>
      </w:r>
    </w:p>
    <w:p w14:paraId="466D7D1C" w14:textId="77777777" w:rsidR="00C00D37" w:rsidRPr="0063563C" w:rsidRDefault="00C00D37">
      <w:pPr>
        <w:rPr>
          <w:rFonts w:ascii="Palatino Linotype" w:eastAsia="Palatino Linotype" w:hAnsi="Palatino Linotype" w:cs="Palatino Linotype"/>
          <w:sz w:val="22"/>
          <w:szCs w:val="22"/>
        </w:rPr>
      </w:pPr>
    </w:p>
    <w:p w14:paraId="71657A2E" w14:textId="77777777" w:rsidR="00C00D37" w:rsidRPr="0063563C" w:rsidRDefault="004A69F1">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Como se puede observar, la Ley del Trabajo de mérito establece claramente cuáles son esos descuentos o gravámenes que directamente se relacionan con las obligaciones adquiridas como servidores públicos y aquéllos que únicamente inciden en su vida privada. De este modo, descuentos por pensiones alimenticias o créditos adquiridos con instituciones privadas que no se relacionen con el gasto público, son información que debe clasificarse como confidencial.</w:t>
      </w:r>
    </w:p>
    <w:p w14:paraId="5D0D1CD6" w14:textId="77777777" w:rsidR="00C00D37" w:rsidRPr="0063563C" w:rsidRDefault="00C00D37">
      <w:pPr>
        <w:spacing w:line="360" w:lineRule="auto"/>
        <w:rPr>
          <w:rFonts w:ascii="Palatino Linotype" w:eastAsia="Palatino Linotype" w:hAnsi="Palatino Linotype" w:cs="Palatino Linotype"/>
          <w:sz w:val="22"/>
          <w:szCs w:val="22"/>
        </w:rPr>
      </w:pPr>
    </w:p>
    <w:p w14:paraId="5B182DC2" w14:textId="77777777" w:rsidR="00C00D37" w:rsidRPr="0063563C" w:rsidRDefault="004A69F1">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En conclusión, los préstamos o descuentos de carácter personal, en virtud de no tener relación con la prestación del servicio y al no involucrar instituciones públicas, se consideran datos confidenciales.</w:t>
      </w:r>
    </w:p>
    <w:p w14:paraId="49A05A85" w14:textId="77777777" w:rsidR="00C00D37" w:rsidRPr="0063563C" w:rsidRDefault="00C00D37">
      <w:pPr>
        <w:rPr>
          <w:rFonts w:ascii="Palatino Linotype" w:eastAsia="Palatino Linotype" w:hAnsi="Palatino Linotype" w:cs="Palatino Linotype"/>
          <w:sz w:val="22"/>
          <w:szCs w:val="22"/>
        </w:rPr>
      </w:pPr>
    </w:p>
    <w:p w14:paraId="27BD8180" w14:textId="77777777" w:rsidR="00C00D37" w:rsidRPr="0063563C" w:rsidRDefault="004A69F1">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sz w:val="22"/>
          <w:szCs w:val="22"/>
        </w:rPr>
        <w:t>De la información fiscal</w:t>
      </w:r>
      <w:r w:rsidRPr="0063563C">
        <w:rPr>
          <w:rFonts w:ascii="Palatino Linotype" w:eastAsia="Palatino Linotype" w:hAnsi="Palatino Linotype" w:cs="Palatino Linotype"/>
          <w:sz w:val="22"/>
          <w:szCs w:val="22"/>
        </w:rPr>
        <w:t>: </w:t>
      </w:r>
    </w:p>
    <w:p w14:paraId="2C1DD588" w14:textId="77777777" w:rsidR="00C00D37" w:rsidRPr="0063563C" w:rsidRDefault="004A69F1">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La </w:t>
      </w:r>
      <w:r w:rsidRPr="0063563C">
        <w:rPr>
          <w:rFonts w:ascii="Palatino Linotype" w:eastAsia="Palatino Linotype" w:hAnsi="Palatino Linotype" w:cs="Palatino Linotype"/>
          <w:b/>
          <w:bCs/>
          <w:sz w:val="22"/>
          <w:szCs w:val="22"/>
        </w:rPr>
        <w:t>Cadena Original</w:t>
      </w:r>
      <w:r w:rsidRPr="0063563C">
        <w:rPr>
          <w:rFonts w:ascii="Palatino Linotype" w:eastAsia="Palatino Linotype" w:hAnsi="Palatino Linotype" w:cs="Palatino Linotype"/>
          <w:sz w:val="22"/>
          <w:szCs w:val="22"/>
        </w:rPr>
        <w:t xml:space="preserve"> es la secuencia de datos formada con la información contenida dentro de los comprobantes fiscales, entre los que podría encontrarse de manera enunciativa, más no limitativa, el RFC del receptor, es decir del servidor público. En dicho supuesto, la cadena original constituiría información que únicamente atañe al contribuyente, siendo tarea del </w:t>
      </w:r>
      <w:r w:rsidRPr="0063563C">
        <w:rPr>
          <w:rFonts w:ascii="Palatino Linotype" w:eastAsia="Palatino Linotype" w:hAnsi="Palatino Linotype" w:cs="Palatino Linotype"/>
          <w:b/>
          <w:bCs/>
          <w:sz w:val="22"/>
          <w:szCs w:val="22"/>
        </w:rPr>
        <w:t>Sujeto Obligado</w:t>
      </w:r>
      <w:r w:rsidRPr="0063563C">
        <w:rPr>
          <w:rFonts w:ascii="Palatino Linotype" w:eastAsia="Palatino Linotype" w:hAnsi="Palatino Linotype" w:cs="Palatino Linotype"/>
          <w:sz w:val="22"/>
          <w:szCs w:val="22"/>
        </w:rPr>
        <w:t xml:space="preserve"> analizar dicha circunstancia con la finalidad de proteger, de ser el caso, la información a través de su clasificación por actualizarse el supuesto de confidencialidad.</w:t>
      </w:r>
    </w:p>
    <w:p w14:paraId="0F958791" w14:textId="77777777" w:rsidR="00C00D37" w:rsidRPr="0063563C" w:rsidRDefault="00C00D37">
      <w:pPr>
        <w:spacing w:line="360" w:lineRule="auto"/>
        <w:jc w:val="both"/>
        <w:rPr>
          <w:rFonts w:ascii="Palatino Linotype" w:eastAsia="Palatino Linotype" w:hAnsi="Palatino Linotype" w:cs="Palatino Linotype"/>
          <w:sz w:val="22"/>
          <w:szCs w:val="22"/>
        </w:rPr>
      </w:pPr>
    </w:p>
    <w:p w14:paraId="767E9240" w14:textId="77777777" w:rsidR="00C00D37" w:rsidRPr="0063563C" w:rsidRDefault="004A69F1">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Los </w:t>
      </w:r>
      <w:r w:rsidRPr="0063563C">
        <w:rPr>
          <w:rFonts w:ascii="Palatino Linotype" w:eastAsia="Palatino Linotype" w:hAnsi="Palatino Linotype" w:cs="Palatino Linotype"/>
          <w:b/>
          <w:bCs/>
          <w:sz w:val="22"/>
          <w:szCs w:val="22"/>
        </w:rPr>
        <w:t>códigos bidimensionales</w:t>
      </w:r>
      <w:r w:rsidRPr="0063563C">
        <w:rPr>
          <w:rFonts w:ascii="Palatino Linotype" w:eastAsia="Palatino Linotype" w:hAnsi="Palatino Linotype" w:cs="Palatino Linotype"/>
          <w:sz w:val="22"/>
          <w:szCs w:val="22"/>
        </w:rPr>
        <w:t xml:space="preserve"> o </w:t>
      </w:r>
      <w:r w:rsidRPr="0063563C">
        <w:rPr>
          <w:rFonts w:ascii="Palatino Linotype" w:eastAsia="Palatino Linotype" w:hAnsi="Palatino Linotype" w:cs="Palatino Linotype"/>
          <w:b/>
          <w:bCs/>
          <w:sz w:val="22"/>
          <w:szCs w:val="22"/>
        </w:rPr>
        <w:t xml:space="preserve">códigos QR, </w:t>
      </w:r>
      <w:r w:rsidRPr="0063563C">
        <w:rPr>
          <w:rFonts w:ascii="Palatino Linotype" w:eastAsia="Palatino Linotype" w:hAnsi="Palatino Linotype" w:cs="Palatino Linotype"/>
          <w:sz w:val="22"/>
          <w:szCs w:val="22"/>
        </w:rPr>
        <w:t xml:space="preserve">al corresponder a barras en dos dimensiones que, al igual que los códigos de barras o códigos unidimensionales, son utilizados para almacenar diversos tipos de datos de manera codificada, los cuales a través de lectores que pueden ser obtenidos por cualquier persona, pueden contener datos personales, no susceptibles de conocimiento público, debiendo el </w:t>
      </w:r>
      <w:r w:rsidRPr="0063563C">
        <w:rPr>
          <w:rFonts w:ascii="Palatino Linotype" w:eastAsia="Palatino Linotype" w:hAnsi="Palatino Linotype" w:cs="Palatino Linotype"/>
          <w:b/>
          <w:bCs/>
          <w:sz w:val="22"/>
          <w:szCs w:val="22"/>
        </w:rPr>
        <w:t xml:space="preserve">Sujeto Obligado </w:t>
      </w:r>
      <w:r w:rsidRPr="0063563C">
        <w:rPr>
          <w:rFonts w:ascii="Palatino Linotype" w:eastAsia="Palatino Linotype" w:hAnsi="Palatino Linotype" w:cs="Palatino Linotype"/>
          <w:sz w:val="22"/>
          <w:szCs w:val="22"/>
        </w:rPr>
        <w:t>analizar dicha circunstancia con la finalidad de determinar si se actualiza algún supuesto de confidencialidad.</w:t>
      </w:r>
    </w:p>
    <w:p w14:paraId="70BD9383" w14:textId="77777777" w:rsidR="00C00D37" w:rsidRPr="0063563C" w:rsidRDefault="00C00D37">
      <w:pPr>
        <w:spacing w:line="360" w:lineRule="auto"/>
        <w:jc w:val="both"/>
        <w:rPr>
          <w:rFonts w:ascii="Palatino Linotype" w:eastAsia="Palatino Linotype" w:hAnsi="Palatino Linotype" w:cs="Palatino Linotype"/>
          <w:sz w:val="22"/>
          <w:szCs w:val="22"/>
        </w:rPr>
      </w:pPr>
    </w:p>
    <w:p w14:paraId="33D108F1" w14:textId="77777777" w:rsidR="00C00D37" w:rsidRPr="0063563C" w:rsidRDefault="004A69F1">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En tal sentido, si derivado del análisis efectuado por </w:t>
      </w:r>
      <w:r w:rsidRPr="0063563C">
        <w:rPr>
          <w:rFonts w:ascii="Palatino Linotype" w:eastAsia="Palatino Linotype" w:hAnsi="Palatino Linotype" w:cs="Palatino Linotype"/>
          <w:b/>
          <w:bCs/>
          <w:sz w:val="22"/>
          <w:szCs w:val="22"/>
        </w:rPr>
        <w:t xml:space="preserve">Sujeto Obligado </w:t>
      </w:r>
      <w:r w:rsidRPr="0063563C">
        <w:rPr>
          <w:rFonts w:ascii="Palatino Linotype" w:eastAsia="Palatino Linotype" w:hAnsi="Palatino Linotype" w:cs="Palatino Linotype"/>
          <w:sz w:val="22"/>
          <w:szCs w:val="22"/>
        </w:rPr>
        <w:t>en el presente caso, se desprende que, de la información fiscal contenida en los comprobantes fiscales digitales por internet, tales como cadenas, sellos digitales y/o códigos bidimensionales, se pueden obtener datos personales como el Registro Federal de Contribuyentes, la Clave Única del Registro de Población, entre otros no susceptibles de conocimiento público que, de difundirse, pudieran hacer identificable a una persona, deberá clasificarla como confidencial, de manera fundada y motivada en términos del artículo 143, fracción I de la Ley de Transparencia y Acceso a la Información Pública del Estado de México y Municipios.</w:t>
      </w:r>
    </w:p>
    <w:p w14:paraId="7550E53B" w14:textId="77777777" w:rsidR="00C00D37" w:rsidRPr="0063563C" w:rsidRDefault="00C00D37">
      <w:pPr>
        <w:spacing w:line="360" w:lineRule="auto"/>
        <w:jc w:val="both"/>
        <w:rPr>
          <w:rFonts w:ascii="Palatino Linotype" w:eastAsia="Palatino Linotype" w:hAnsi="Palatino Linotype" w:cs="Palatino Linotype"/>
          <w:sz w:val="22"/>
          <w:szCs w:val="22"/>
        </w:rPr>
      </w:pPr>
    </w:p>
    <w:p w14:paraId="3B7706EA" w14:textId="77777777" w:rsidR="00C00D37" w:rsidRPr="0063563C" w:rsidRDefault="004A69F1">
      <w:pP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Por lo que hace a las </w:t>
      </w:r>
      <w:r w:rsidRPr="0063563C">
        <w:rPr>
          <w:rFonts w:ascii="Palatino Linotype" w:eastAsia="Palatino Linotype" w:hAnsi="Palatino Linotype" w:cs="Palatino Linotype"/>
          <w:b/>
          <w:bCs/>
          <w:sz w:val="22"/>
          <w:szCs w:val="22"/>
        </w:rPr>
        <w:t>fotografías de servidores públicos</w:t>
      </w:r>
      <w:r w:rsidRPr="0063563C">
        <w:rPr>
          <w:rFonts w:ascii="Palatino Linotype" w:eastAsia="Palatino Linotype" w:hAnsi="Palatino Linotype" w:cs="Palatino Linotype"/>
          <w:sz w:val="22"/>
          <w:szCs w:val="22"/>
        </w:rPr>
        <w:t>, es preciso señalar que estas dan cuenta de las características físicas de los servidores públicos; por lo que, no debe perderse de vista que la imagen personal es la apariencia física, la cual puede ser captada en dibujo, pintura, escultura, fotografía, y video; la imagen así captada puede ser reproducida, publicada y divulgada por diversos medios, desde volantes impresos de la forma más rudimentaria, hasta filmaciones y fotografías transmitidas por televisión cine, video, correo electrónico o Internet.</w:t>
      </w:r>
    </w:p>
    <w:p w14:paraId="605109DC" w14:textId="77777777" w:rsidR="00C00D37" w:rsidRPr="0063563C" w:rsidRDefault="00C00D37">
      <w:pPr>
        <w:widowControl w:val="0"/>
        <w:pBdr>
          <w:top w:val="nil"/>
          <w:left w:val="nil"/>
          <w:bottom w:val="nil"/>
          <w:right w:val="nil"/>
          <w:between w:val="nil"/>
        </w:pBdr>
        <w:spacing w:line="360" w:lineRule="auto"/>
        <w:jc w:val="both"/>
        <w:rPr>
          <w:rFonts w:ascii="Palatino Linotype" w:eastAsia="Palatino Linotype" w:hAnsi="Palatino Linotype" w:cs="Palatino Linotype"/>
          <w:sz w:val="22"/>
          <w:szCs w:val="22"/>
        </w:rPr>
      </w:pPr>
    </w:p>
    <w:p w14:paraId="1FF4285F" w14:textId="77777777" w:rsidR="00C00D37" w:rsidRPr="0063563C" w:rsidRDefault="004A69F1">
      <w:pPr>
        <w:widowControl w:val="0"/>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Así, dichos datos constituyen la reproducción fiel de las características físicas de una persona en un momento determinado, por lo que representan un instrumento de identificación, proyección exterior y factor imprescindible para su propio reconocimiento como sujeto individual; lo que en el presente caso, acreditaría e identificaría a una persona como servidor público, por lo que es posible advertir que existe cierto interés público, cuando la fotografía obra en documentos de servidores públicos vinculados con el cumplimiento de disposiciones legales.</w:t>
      </w:r>
    </w:p>
    <w:p w14:paraId="74BD8A1E" w14:textId="77777777" w:rsidR="00C00D37" w:rsidRPr="0063563C" w:rsidRDefault="00C00D37">
      <w:pPr>
        <w:widowControl w:val="0"/>
        <w:pBdr>
          <w:top w:val="nil"/>
          <w:left w:val="nil"/>
          <w:bottom w:val="nil"/>
          <w:right w:val="nil"/>
          <w:between w:val="nil"/>
        </w:pBdr>
        <w:spacing w:line="360" w:lineRule="auto"/>
        <w:jc w:val="both"/>
        <w:rPr>
          <w:rFonts w:ascii="Palatino Linotype" w:eastAsia="Palatino Linotype" w:hAnsi="Palatino Linotype" w:cs="Palatino Linotype"/>
          <w:sz w:val="22"/>
          <w:szCs w:val="22"/>
        </w:rPr>
      </w:pPr>
    </w:p>
    <w:p w14:paraId="26689749" w14:textId="77777777" w:rsidR="00C00D37" w:rsidRPr="0063563C" w:rsidRDefault="004A69F1">
      <w:pPr>
        <w:widowControl w:val="0"/>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Además, existen documentos que contienen la fotografía con los cuales se permite identificar que una persona que se acredita como trabajador gubernamental, realmente tiene el cargo con el que se ostenta, otros documentos con los cuales se rinde cuentas a la ciudadanía, por ejemplo cuando se cubre el perfil de puesto; además cuando se brinda servicios a la ciudadanía, es de relevancia conocer e identificar a todos sus trabajadores, no importa el nivel o rango (con excepción del personal operativo en materia de seguridad, respecto del cual el Pleno de este Instituto ya se ha pronunciado en el sentido de que la información que los haga identificados o identificables debe clasificarse como reservada).</w:t>
      </w:r>
    </w:p>
    <w:p w14:paraId="1580A510" w14:textId="77777777" w:rsidR="00C00D37" w:rsidRPr="0063563C" w:rsidRDefault="00C00D37">
      <w:pPr>
        <w:widowControl w:val="0"/>
        <w:pBdr>
          <w:top w:val="nil"/>
          <w:left w:val="nil"/>
          <w:bottom w:val="nil"/>
          <w:right w:val="nil"/>
          <w:between w:val="nil"/>
        </w:pBdr>
        <w:spacing w:line="360" w:lineRule="auto"/>
        <w:jc w:val="both"/>
        <w:rPr>
          <w:rFonts w:ascii="Palatino Linotype" w:eastAsia="Palatino Linotype" w:hAnsi="Palatino Linotype" w:cs="Palatino Linotype"/>
          <w:sz w:val="22"/>
          <w:szCs w:val="22"/>
        </w:rPr>
      </w:pPr>
    </w:p>
    <w:p w14:paraId="03490C9D" w14:textId="77777777" w:rsidR="00C00D37" w:rsidRPr="0063563C" w:rsidRDefault="004A69F1">
      <w:pPr>
        <w:widowControl w:val="0"/>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En este sentido, resultan aplicables por analogía, los Criterios orientadores 15/17 y 1/13 del entonces Instituto Nacional de Transparencia y Acceso a la Información Pública y Protección de Datos Personales, en los cuales se esgrimen argumentos, que, si bien no refieren de manera específica a fotografías de servidores públicos, sí establecen un criterio para que este dato personal pueda ser considerado como público, cuando se pretende acreditar que una persona es servidor público.</w:t>
      </w:r>
    </w:p>
    <w:p w14:paraId="2475A68C" w14:textId="77777777" w:rsidR="00C00D37" w:rsidRPr="0063563C" w:rsidRDefault="00C00D37">
      <w:pPr>
        <w:widowControl w:val="0"/>
        <w:pBdr>
          <w:top w:val="nil"/>
          <w:left w:val="nil"/>
          <w:bottom w:val="nil"/>
          <w:right w:val="nil"/>
          <w:between w:val="nil"/>
        </w:pBdr>
        <w:spacing w:line="360" w:lineRule="auto"/>
        <w:jc w:val="both"/>
        <w:rPr>
          <w:rFonts w:ascii="Palatino Linotype" w:eastAsia="Palatino Linotype" w:hAnsi="Palatino Linotype" w:cs="Palatino Linotype"/>
          <w:sz w:val="22"/>
          <w:szCs w:val="22"/>
        </w:rPr>
      </w:pPr>
    </w:p>
    <w:p w14:paraId="50831596" w14:textId="77777777" w:rsidR="00C00D37" w:rsidRPr="0063563C" w:rsidRDefault="004A69F1">
      <w:pPr>
        <w:widowControl w:val="0"/>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Debe tenerse presente que el actuar de los servidores públicos incide de manera específica en los derechos de los particulares, pues el acto de un servidor público en ejercicio de sus funciones, de manera directa genera derechos y obligaciones pues se considera un acto administrativo o acto de autoridad, por lo que es primordial, que estos trabajadores se identifiquen ante la ciudadanía, por lo que otorgar acceso a los documentos que obran en los archivos de los sujetos obligados y que además están directamente relacionados con el cumplimiento de disposiciones normativas o el ejercicio de funciones revisten un interés público. </w:t>
      </w:r>
    </w:p>
    <w:p w14:paraId="4FE00C55" w14:textId="77777777" w:rsidR="00C00D37" w:rsidRPr="0063563C" w:rsidRDefault="00C00D37">
      <w:pPr>
        <w:widowControl w:val="0"/>
        <w:pBdr>
          <w:top w:val="nil"/>
          <w:left w:val="nil"/>
          <w:bottom w:val="nil"/>
          <w:right w:val="nil"/>
          <w:between w:val="nil"/>
        </w:pBdr>
        <w:spacing w:line="360" w:lineRule="auto"/>
        <w:jc w:val="both"/>
        <w:rPr>
          <w:rFonts w:ascii="Palatino Linotype" w:eastAsia="Palatino Linotype" w:hAnsi="Palatino Linotype" w:cs="Palatino Linotype"/>
          <w:sz w:val="22"/>
          <w:szCs w:val="22"/>
        </w:rPr>
      </w:pPr>
    </w:p>
    <w:p w14:paraId="614607D9" w14:textId="77777777" w:rsidR="00C00D37" w:rsidRPr="0063563C" w:rsidRDefault="004A69F1">
      <w:pPr>
        <w:widowControl w:val="0"/>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Por lo anterior, cuando las fotografías de los servidores públicos obran en documentos que dan cuenta del cumplimiento de funciones, requisitos legales o los acredita como servidores públicos, deben ser consideradas un dato personal, que no puede ser clasificado como confidencial, pues en este caso, es superado por el interés público de conocer si en realidad, la persona que se ostenta en carácter de servidor público, se encuentra en ese encargo, si realiza las funciones o si cumple con los requisitos legales; sin que se considere como factor diferenciador para determinar la publicidad o clasificación el cargo o nivel jerárquico en el que se desempeñe el servidor público.</w:t>
      </w:r>
    </w:p>
    <w:p w14:paraId="56A7EA0B" w14:textId="77777777" w:rsidR="00C00D37" w:rsidRPr="0063563C" w:rsidRDefault="00C00D37">
      <w:pPr>
        <w:widowControl w:val="0"/>
        <w:pBdr>
          <w:top w:val="nil"/>
          <w:left w:val="nil"/>
          <w:bottom w:val="nil"/>
          <w:right w:val="nil"/>
          <w:between w:val="nil"/>
        </w:pBdr>
        <w:spacing w:line="360" w:lineRule="auto"/>
        <w:jc w:val="both"/>
        <w:rPr>
          <w:rFonts w:ascii="Palatino Linotype" w:eastAsia="Palatino Linotype" w:hAnsi="Palatino Linotype" w:cs="Palatino Linotype"/>
          <w:sz w:val="22"/>
          <w:szCs w:val="22"/>
        </w:rPr>
      </w:pPr>
    </w:p>
    <w:p w14:paraId="02CA9C83" w14:textId="77777777" w:rsidR="00C00D37" w:rsidRPr="0063563C" w:rsidRDefault="004A69F1">
      <w:pPr>
        <w:widowControl w:val="0"/>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De acuerdo con el argumento planteado, la determinación de esta resolución deja sin efectos el criterio adoptado anteriormente por el Pleno de este Instituto, con número 03/2019, en el que solo se consideraban como públicas las fotografías de mandos medios y/o superiores.</w:t>
      </w:r>
    </w:p>
    <w:p w14:paraId="31E31260" w14:textId="77777777" w:rsidR="00C00D37" w:rsidRPr="0063563C" w:rsidRDefault="00C00D37">
      <w:pPr>
        <w:widowControl w:val="0"/>
        <w:pBdr>
          <w:top w:val="nil"/>
          <w:left w:val="nil"/>
          <w:bottom w:val="nil"/>
          <w:right w:val="nil"/>
          <w:between w:val="nil"/>
        </w:pBdr>
        <w:spacing w:line="360" w:lineRule="auto"/>
        <w:jc w:val="both"/>
        <w:rPr>
          <w:rFonts w:ascii="Palatino Linotype" w:eastAsia="Palatino Linotype" w:hAnsi="Palatino Linotype" w:cs="Palatino Linotype"/>
          <w:sz w:val="22"/>
          <w:szCs w:val="22"/>
        </w:rPr>
      </w:pPr>
    </w:p>
    <w:p w14:paraId="6F44BCF9" w14:textId="77777777" w:rsidR="00C00D37" w:rsidRPr="0063563C" w:rsidRDefault="004A69F1">
      <w:pPr>
        <w:widowControl w:val="0"/>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Conforme a lo anterior, las fotografías de servidores públicos sin importar el nivel o rango guardan la naturaleza de públicas (con excepción del personal operativo en materia de seguridad) y no procede su clasificación, en términos del artículo 143, fracción I, de la Ley de Transparencia y Acceso a la Información Pública del Estado de México y Municipios, por lo que en la versión pública que se ordena, no podrá clasificarse esa información. Cabe hacer la aclaración que aquellos documentos que sean clasificados en su totalidad por no revestir de interés público, como lo es la credencial de elector, la fotografía correrá la misma suerte que el documento en cuestión, únicamente para dicha expresión documental. </w:t>
      </w:r>
    </w:p>
    <w:p w14:paraId="3B1293F8" w14:textId="77777777" w:rsidR="00C00D37" w:rsidRPr="0063563C" w:rsidRDefault="00C00D37">
      <w:pPr>
        <w:spacing w:line="360" w:lineRule="auto"/>
        <w:jc w:val="both"/>
        <w:rPr>
          <w:rFonts w:ascii="Palatino Linotype" w:eastAsia="Palatino Linotype" w:hAnsi="Palatino Linotype" w:cs="Palatino Linotype"/>
          <w:b/>
          <w:bCs/>
          <w:sz w:val="22"/>
          <w:szCs w:val="22"/>
        </w:rPr>
      </w:pPr>
    </w:p>
    <w:p w14:paraId="52C36024" w14:textId="77777777" w:rsidR="00C00D37" w:rsidRPr="0063563C" w:rsidRDefault="004A69F1">
      <w:pP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Referente a la </w:t>
      </w:r>
      <w:r w:rsidRPr="0063563C">
        <w:rPr>
          <w:rFonts w:ascii="Palatino Linotype" w:eastAsia="Palatino Linotype" w:hAnsi="Palatino Linotype" w:cs="Palatino Linotype"/>
          <w:b/>
          <w:bCs/>
          <w:sz w:val="22"/>
          <w:szCs w:val="22"/>
        </w:rPr>
        <w:t>firma de servidores públicos</w:t>
      </w:r>
      <w:r w:rsidRPr="0063563C">
        <w:rPr>
          <w:rFonts w:ascii="Palatino Linotype" w:eastAsia="Palatino Linotype" w:hAnsi="Palatino Linotype" w:cs="Palatino Linotype"/>
          <w:sz w:val="22"/>
          <w:szCs w:val="22"/>
        </w:rPr>
        <w:t>, tocante al tema de la firma, al tratarse de la escritura gráfica o grafo manuscrito que representa al nombre y apellido(s), o título, que una persona escribe de su propia mano, que tiene fines de identificación, jurídicos, representativos y diplomáticos, a través de los cuales es posible identificar o hacer identificable a su titular, constituye un dato personal que debe ser protegido, sin embargo, en el caso de los servidores públicos, dicho dato es público cuando, en ejercicio de las atribuciones que les fueron conferidas, emiten un acto de autoridad, siendo la firma el medio por el cual se le da validez a dicho acto.</w:t>
      </w:r>
    </w:p>
    <w:p w14:paraId="2C4C371F" w14:textId="77777777" w:rsidR="00C00D37" w:rsidRPr="0063563C" w:rsidRDefault="00C00D37">
      <w:pPr>
        <w:spacing w:line="360" w:lineRule="auto"/>
        <w:jc w:val="both"/>
        <w:rPr>
          <w:rFonts w:ascii="Palatino Linotype" w:eastAsia="Palatino Linotype" w:hAnsi="Palatino Linotype" w:cs="Palatino Linotype"/>
          <w:sz w:val="22"/>
          <w:szCs w:val="22"/>
        </w:rPr>
      </w:pPr>
    </w:p>
    <w:p w14:paraId="02EB6546" w14:textId="77777777" w:rsidR="00C00D37" w:rsidRPr="0063563C" w:rsidRDefault="004A69F1">
      <w:pP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Robustece lo anterior el criterio orientador 02-19 emitido por el Instituto Nacional de Transparencia, Acceso a la Información y Protección de Datos Personales, INAI, el cual refiere:</w:t>
      </w:r>
    </w:p>
    <w:p w14:paraId="1B98ED13" w14:textId="77777777" w:rsidR="00C00D37" w:rsidRPr="0063563C" w:rsidRDefault="004A69F1">
      <w:pPr>
        <w:spacing w:line="276" w:lineRule="auto"/>
        <w:ind w:left="851" w:right="616"/>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sz w:val="22"/>
          <w:szCs w:val="22"/>
        </w:rPr>
        <w:t xml:space="preserve"> </w:t>
      </w:r>
      <w:r w:rsidRPr="0063563C">
        <w:rPr>
          <w:rFonts w:ascii="Palatino Linotype" w:eastAsia="Palatino Linotype" w:hAnsi="Palatino Linotype" w:cs="Palatino Linotype"/>
          <w:i/>
          <w:iCs/>
          <w:sz w:val="22"/>
          <w:szCs w:val="22"/>
        </w:rPr>
        <w:t>“</w:t>
      </w:r>
      <w:r w:rsidRPr="0063563C">
        <w:rPr>
          <w:rFonts w:ascii="Palatino Linotype" w:eastAsia="Palatino Linotype" w:hAnsi="Palatino Linotype" w:cs="Palatino Linotype"/>
          <w:b/>
          <w:bCs/>
          <w:i/>
          <w:iCs/>
          <w:sz w:val="22"/>
          <w:szCs w:val="22"/>
        </w:rPr>
        <w:t>Firma y rúbrica de servidores públicos.</w:t>
      </w:r>
      <w:r w:rsidRPr="0063563C">
        <w:rPr>
          <w:rFonts w:ascii="Palatino Linotype" w:eastAsia="Palatino Linotype" w:hAnsi="Palatino Linotype" w:cs="Palatino Linotype"/>
          <w:i/>
          <w:iCs/>
          <w:sz w:val="22"/>
          <w:szCs w:val="22"/>
        </w:rPr>
        <w:t xml:space="preserve"> Si bien la firma y la rúbrica son datos personales confidenciales, cuando un servidor público emite un acto como autoridad, en ejercicio de las funciones que tiene conferidas, la firma o rúbrica mediante la cual se valida dicho acto es pública.”</w:t>
      </w:r>
    </w:p>
    <w:p w14:paraId="54CB9FAF" w14:textId="77777777" w:rsidR="00C00D37" w:rsidRPr="0063563C" w:rsidRDefault="00C00D37">
      <w:pPr>
        <w:spacing w:line="360" w:lineRule="auto"/>
        <w:jc w:val="both"/>
        <w:rPr>
          <w:rFonts w:ascii="Palatino Linotype" w:eastAsia="Palatino Linotype" w:hAnsi="Palatino Linotype" w:cs="Palatino Linotype"/>
          <w:sz w:val="22"/>
          <w:szCs w:val="22"/>
        </w:rPr>
      </w:pPr>
    </w:p>
    <w:p w14:paraId="22B9ECBE" w14:textId="77777777" w:rsidR="00C00D37" w:rsidRPr="0063563C" w:rsidRDefault="004A69F1">
      <w:pP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Contexto que en el presente asunto no se actualiza por no realizarse en ejercicio de sus funciones de derecho público; toda vez que el título profesional o el certificado de estudios corresponden a documentos emitidos por instituciones del Estado, Autónomas, Descentralizadas y Particulares, que tengan reconocimiento de validez oficial de estudios, a favor de una persona que haya concluido sus estudios correspondientes o demostrado tener determinados conocimientos, en términos de los artículos 1° y 8° de la Ley Reglamentaria del Artículo 5° Constitucional, Relativo al Ejercicio de las Profesiones en la Ciudad de México.</w:t>
      </w:r>
    </w:p>
    <w:p w14:paraId="51BC0BA4" w14:textId="77777777" w:rsidR="00C00D37" w:rsidRPr="0063563C" w:rsidRDefault="00C00D37">
      <w:pPr>
        <w:spacing w:line="360" w:lineRule="auto"/>
        <w:jc w:val="both"/>
        <w:rPr>
          <w:rFonts w:ascii="Palatino Linotype" w:eastAsia="Palatino Linotype" w:hAnsi="Palatino Linotype" w:cs="Palatino Linotype"/>
          <w:sz w:val="22"/>
          <w:szCs w:val="22"/>
        </w:rPr>
      </w:pPr>
    </w:p>
    <w:p w14:paraId="36176B85" w14:textId="77777777" w:rsidR="00C00D37" w:rsidRPr="0063563C" w:rsidRDefault="004A69F1">
      <w:pP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Por su parte la cédula profesional, es el documento que toda persona a quien legalmente se le haya expedido título profesional o grado académico equivalente, podrá obtener con</w:t>
      </w:r>
      <w:r w:rsidRPr="0063563C">
        <w:rPr>
          <w:rFonts w:ascii="Palatino Linotype" w:eastAsia="Palatino Linotype" w:hAnsi="Palatino Linotype" w:cs="Palatino Linotype"/>
          <w:b/>
          <w:bCs/>
          <w:sz w:val="22"/>
          <w:szCs w:val="22"/>
        </w:rPr>
        <w:t xml:space="preserve"> </w:t>
      </w:r>
      <w:r w:rsidRPr="0063563C">
        <w:rPr>
          <w:rFonts w:ascii="Palatino Linotype" w:eastAsia="Palatino Linotype" w:hAnsi="Palatino Linotype" w:cs="Palatino Linotype"/>
          <w:sz w:val="22"/>
          <w:szCs w:val="22"/>
        </w:rPr>
        <w:t>efectos de patente; esta es otorgada por la Dirección General de Profesiones, para identidad en todas las actividades profesionales, de conformidad con los artículos 3° y 23, fracción IV de la Ley Reglamentaria del Artículo 5° Constitucional, Relativo al Ejercicio de las Profesiones en la Ciudad de México.</w:t>
      </w:r>
    </w:p>
    <w:p w14:paraId="3B849818" w14:textId="77777777" w:rsidR="00C00D37" w:rsidRPr="0063563C" w:rsidRDefault="00C00D37">
      <w:pPr>
        <w:spacing w:line="360" w:lineRule="auto"/>
        <w:jc w:val="both"/>
        <w:rPr>
          <w:rFonts w:ascii="Palatino Linotype" w:eastAsia="Palatino Linotype" w:hAnsi="Palatino Linotype" w:cs="Palatino Linotype"/>
          <w:sz w:val="22"/>
          <w:szCs w:val="22"/>
        </w:rPr>
      </w:pPr>
    </w:p>
    <w:p w14:paraId="68CBB532" w14:textId="77777777" w:rsidR="00C00D37" w:rsidRPr="0063563C" w:rsidRDefault="004A69F1">
      <w:pP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Así, los documentos que dan cuenta de la preparación académica sirven como medios de identificación, para que a su titular lo relacionen con el nivel de estudios con que cuenta independientemente de que estos sean o no medios de identificación oficiales. Luego entonces, no es necesario que el ciudadano acceda a dicho dato personal, ya que actualiza la fracción I, del artículo 143 de la Ley de Transparencia y Acceso a la Información Pública del Estado de México y Municipios.</w:t>
      </w:r>
    </w:p>
    <w:p w14:paraId="69F32F41" w14:textId="77777777" w:rsidR="00C00D37" w:rsidRPr="0063563C" w:rsidRDefault="00C00D37">
      <w:pPr>
        <w:spacing w:line="360" w:lineRule="auto"/>
        <w:jc w:val="both"/>
        <w:rPr>
          <w:rFonts w:ascii="Palatino Linotype" w:eastAsia="Palatino Linotype" w:hAnsi="Palatino Linotype" w:cs="Palatino Linotype"/>
          <w:sz w:val="22"/>
          <w:szCs w:val="22"/>
        </w:rPr>
      </w:pPr>
    </w:p>
    <w:p w14:paraId="3168C6A0" w14:textId="77777777" w:rsidR="00C00D37" w:rsidRPr="0063563C" w:rsidRDefault="004A69F1">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Dicho lo anterior, es de recordar que determinar la clasificación de la información es un trabajo en conjunto tanto de los Servidores Públicos Habilitados, de las Unidades de Transparencia y del Comité de Transparencia del </w:t>
      </w:r>
      <w:r w:rsidRPr="0063563C">
        <w:rPr>
          <w:rFonts w:ascii="Palatino Linotype" w:eastAsia="Palatino Linotype" w:hAnsi="Palatino Linotype" w:cs="Palatino Linotype"/>
          <w:b/>
          <w:bCs/>
          <w:sz w:val="22"/>
          <w:szCs w:val="22"/>
        </w:rPr>
        <w:t>Sujeto Obligado</w:t>
      </w:r>
      <w:r w:rsidRPr="0063563C">
        <w:rPr>
          <w:rFonts w:ascii="Palatino Linotype" w:eastAsia="Palatino Linotype" w:hAnsi="Palatino Linotype" w:cs="Palatino Linotype"/>
          <w:sz w:val="22"/>
          <w:szCs w:val="22"/>
        </w:rPr>
        <w:t>, teniendo el deber los primeros de ellos de presentar ante la Unidad de Transparencia la propuesta de la clasificación de la información, para que luego ésta presente ante al Comité de Transparencia de así resultar procedente el proyecto de clasificación de la información y finalmente sea éste último quien apruebe, modifique o revoque la clasificación de la información solicitada.</w:t>
      </w:r>
    </w:p>
    <w:p w14:paraId="1B98C530" w14:textId="77777777" w:rsidR="00C00D37" w:rsidRPr="0063563C" w:rsidRDefault="00C00D37">
      <w:pPr>
        <w:spacing w:line="360" w:lineRule="auto"/>
        <w:jc w:val="both"/>
        <w:rPr>
          <w:rFonts w:ascii="Palatino Linotype" w:eastAsia="Palatino Linotype" w:hAnsi="Palatino Linotype" w:cs="Palatino Linotype"/>
          <w:sz w:val="22"/>
          <w:szCs w:val="22"/>
        </w:rPr>
      </w:pPr>
    </w:p>
    <w:p w14:paraId="4ED18CD7" w14:textId="77777777" w:rsidR="00C00D37" w:rsidRPr="0063563C" w:rsidRDefault="004A69F1">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Para lo cual, a su vez en el caso de información de carácter confidencial, se debe atender a lo que señala el artículo 149 de la Ley de Transparencia Local vigente, que se lee como sigue:</w:t>
      </w:r>
    </w:p>
    <w:p w14:paraId="5814FC1B" w14:textId="77777777" w:rsidR="00C00D37" w:rsidRPr="0063563C" w:rsidRDefault="00C00D37">
      <w:pPr>
        <w:rPr>
          <w:rFonts w:ascii="Palatino Linotype" w:eastAsia="Palatino Linotype" w:hAnsi="Palatino Linotype" w:cs="Palatino Linotype"/>
          <w:sz w:val="22"/>
          <w:szCs w:val="22"/>
        </w:rPr>
      </w:pPr>
    </w:p>
    <w:p w14:paraId="38187625" w14:textId="77777777" w:rsidR="00C00D37" w:rsidRPr="0063563C" w:rsidRDefault="004A69F1">
      <w:pPr>
        <w:pBdr>
          <w:top w:val="nil"/>
          <w:left w:val="nil"/>
          <w:bottom w:val="nil"/>
          <w:right w:val="nil"/>
          <w:between w:val="nil"/>
        </w:pBdr>
        <w:ind w:left="993" w:right="1041"/>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w:t>
      </w:r>
      <w:r w:rsidRPr="0063563C">
        <w:rPr>
          <w:rFonts w:ascii="Palatino Linotype" w:eastAsia="Palatino Linotype" w:hAnsi="Palatino Linotype" w:cs="Palatino Linotype"/>
          <w:b/>
          <w:bCs/>
          <w:i/>
          <w:iCs/>
          <w:sz w:val="22"/>
          <w:szCs w:val="22"/>
        </w:rPr>
        <w:t>Artículo 149.</w:t>
      </w:r>
      <w:r w:rsidRPr="0063563C">
        <w:rPr>
          <w:rFonts w:ascii="Palatino Linotype" w:eastAsia="Palatino Linotype" w:hAnsi="Palatino Linotype" w:cs="Palatino Linotype"/>
          <w:i/>
          <w:iCs/>
          <w:sz w:val="22"/>
          <w:szCs w:val="22"/>
        </w:rPr>
        <w:t xml:space="preserve"> El </w:t>
      </w:r>
      <w:r w:rsidRPr="0063563C">
        <w:rPr>
          <w:rFonts w:ascii="Palatino Linotype" w:eastAsia="Palatino Linotype" w:hAnsi="Palatino Linotype" w:cs="Palatino Linotype"/>
          <w:b/>
          <w:bCs/>
          <w:i/>
          <w:iCs/>
          <w:sz w:val="22"/>
          <w:szCs w:val="22"/>
        </w:rPr>
        <w:t>acuerdo que clasifique la información como confidencial</w:t>
      </w:r>
      <w:r w:rsidRPr="0063563C">
        <w:rPr>
          <w:rFonts w:ascii="Palatino Linotype" w:eastAsia="Palatino Linotype" w:hAnsi="Palatino Linotype" w:cs="Palatino Linotype"/>
          <w:i/>
          <w:iCs/>
          <w:sz w:val="22"/>
          <w:szCs w:val="22"/>
        </w:rPr>
        <w:t xml:space="preserve"> deberá contener un razonamiento lógico en el que demuestre que la información se encuentra en alguna o algunas de las hipótesis previstas en la presente Ley.” </w:t>
      </w:r>
    </w:p>
    <w:p w14:paraId="1D793738" w14:textId="77777777" w:rsidR="00C00D37" w:rsidRPr="0063563C" w:rsidRDefault="00C00D37">
      <w:pPr>
        <w:rPr>
          <w:rFonts w:ascii="Palatino Linotype" w:eastAsia="Palatino Linotype" w:hAnsi="Palatino Linotype" w:cs="Palatino Linotype"/>
          <w:sz w:val="22"/>
          <w:szCs w:val="22"/>
        </w:rPr>
      </w:pPr>
    </w:p>
    <w:p w14:paraId="4E4827A6" w14:textId="77777777" w:rsidR="00C00D37" w:rsidRPr="0063563C" w:rsidRDefault="004A69F1">
      <w:pPr>
        <w:pBdr>
          <w:top w:val="nil"/>
          <w:left w:val="nil"/>
          <w:bottom w:val="nil"/>
          <w:right w:val="nil"/>
          <w:between w:val="nil"/>
        </w:pBdr>
        <w:spacing w:line="360" w:lineRule="auto"/>
        <w:ind w:right="51"/>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Es decir, el </w:t>
      </w:r>
      <w:r w:rsidRPr="0063563C">
        <w:rPr>
          <w:rFonts w:ascii="Palatino Linotype" w:eastAsia="Palatino Linotype" w:hAnsi="Palatino Linotype" w:cs="Palatino Linotype"/>
          <w:b/>
          <w:bCs/>
          <w:sz w:val="22"/>
          <w:szCs w:val="22"/>
        </w:rPr>
        <w:t>Sujeto Obligado</w:t>
      </w:r>
      <w:r w:rsidRPr="0063563C">
        <w:rPr>
          <w:rFonts w:ascii="Palatino Linotype" w:eastAsia="Palatino Linotype" w:hAnsi="Palatino Linotype" w:cs="Palatino Linotype"/>
          <w:sz w:val="22"/>
          <w:szCs w:val="22"/>
        </w:rPr>
        <w:t xml:space="preserve"> a través de su Comité de Transparencia, deberá elaborar acuerdo que contenga un razonamiento lógico con el que se demuestre que la información que se testa de las versiones públicas que se sirva elaborar, encuadra en alguna de las hipótesis que contempla la Ley de la Materia en su artículo 143; ya que de lo contrario, se crearía la incertidumbre jurídica en relación a si lo entregado es formalmente una versión pública, o un documento ilegible, incompleto o tachado; en otras palabras si no se exponen de manera puntual las razones de la versión pública de la documentación entregada se estaría violentando el derecho de acceso a la información de la parte solicitante.</w:t>
      </w:r>
    </w:p>
    <w:p w14:paraId="4125F002" w14:textId="77777777" w:rsidR="00C00D37" w:rsidRPr="0063563C" w:rsidRDefault="00C00D37">
      <w:pPr>
        <w:spacing w:line="360" w:lineRule="auto"/>
        <w:rPr>
          <w:rFonts w:ascii="Palatino Linotype" w:eastAsia="Palatino Linotype" w:hAnsi="Palatino Linotype" w:cs="Palatino Linotype"/>
          <w:sz w:val="22"/>
          <w:szCs w:val="22"/>
        </w:rPr>
      </w:pPr>
    </w:p>
    <w:p w14:paraId="67755B5C" w14:textId="77777777" w:rsidR="00C00D37" w:rsidRPr="0063563C" w:rsidRDefault="004A69F1">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Igualmente, los Lineamientos Generales en Materia de Clasificación y Desclasificación de la Información, así como para la elaboración de Versiones Públicas, emitidos por el Consejo Nacional del Sistema Nacional de Transparencia, Acceso a la Información Pública y Protección de Datos Personales, publicados en el Diario Oficial de la Federación el día quince de abril de dos mil dieciséis, tienen por objeto establecer los criterios con base en los cuales los sujetos obligados clasificarán como reservada o confidencial la información que posean, desclasificarán y generarán, en su caso, versiones públicas de expedientes o documentos que contengan partes o secciones clasificadas.</w:t>
      </w:r>
    </w:p>
    <w:p w14:paraId="1C3EC213" w14:textId="77777777" w:rsidR="00C00D37" w:rsidRPr="0063563C" w:rsidRDefault="00C00D37">
      <w:pPr>
        <w:spacing w:line="360" w:lineRule="auto"/>
        <w:rPr>
          <w:rFonts w:ascii="Palatino Linotype" w:eastAsia="Palatino Linotype" w:hAnsi="Palatino Linotype" w:cs="Palatino Linotype"/>
          <w:sz w:val="22"/>
          <w:szCs w:val="22"/>
        </w:rPr>
      </w:pPr>
    </w:p>
    <w:p w14:paraId="2EA80ABA" w14:textId="77777777" w:rsidR="00C00D37" w:rsidRPr="0063563C" w:rsidRDefault="004A69F1">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Entorno a lo que aquí nos interesa, los Lineamientos Quincuagésimo, Quincuagésimo primero, Quincuagésimo segundo, Quincuagésimo tercero, Quincuagésimo cuarto y Quincuagésimo quinto señalan las formalidades que deberá llevar el acuerdo de clasificación que deberá emitir el </w:t>
      </w:r>
      <w:r w:rsidRPr="0063563C">
        <w:rPr>
          <w:rFonts w:ascii="Palatino Linotype" w:eastAsia="Palatino Linotype" w:hAnsi="Palatino Linotype" w:cs="Palatino Linotype"/>
          <w:b/>
          <w:bCs/>
          <w:sz w:val="22"/>
          <w:szCs w:val="22"/>
        </w:rPr>
        <w:t>Sujeto Obligado</w:t>
      </w:r>
      <w:r w:rsidRPr="0063563C">
        <w:rPr>
          <w:rFonts w:ascii="Palatino Linotype" w:eastAsia="Palatino Linotype" w:hAnsi="Palatino Linotype" w:cs="Palatino Linotype"/>
          <w:sz w:val="22"/>
          <w:szCs w:val="22"/>
        </w:rPr>
        <w:t>, siendo estas las siguientes:</w:t>
      </w:r>
    </w:p>
    <w:p w14:paraId="7FB04168" w14:textId="77777777" w:rsidR="00C00D37" w:rsidRPr="0063563C" w:rsidRDefault="00C00D37">
      <w:pPr>
        <w:rPr>
          <w:rFonts w:ascii="Palatino Linotype" w:eastAsia="Palatino Linotype" w:hAnsi="Palatino Linotype" w:cs="Palatino Linotype"/>
          <w:sz w:val="22"/>
          <w:szCs w:val="22"/>
        </w:rPr>
      </w:pPr>
    </w:p>
    <w:p w14:paraId="27CA29B2" w14:textId="77777777" w:rsidR="00C00D37" w:rsidRPr="0063563C" w:rsidRDefault="004A69F1">
      <w:pPr>
        <w:pBdr>
          <w:top w:val="nil"/>
          <w:left w:val="nil"/>
          <w:bottom w:val="nil"/>
          <w:right w:val="nil"/>
          <w:between w:val="nil"/>
        </w:pBdr>
        <w:ind w:left="567"/>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“CAPÍTULO VIII </w:t>
      </w:r>
    </w:p>
    <w:p w14:paraId="11AE4F55"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DE LOS ELEMENTOS PARA LA CLASIFICACIÓN </w:t>
      </w:r>
    </w:p>
    <w:p w14:paraId="67263629"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Quincuagésimo.</w:t>
      </w:r>
      <w:r w:rsidRPr="0063563C">
        <w:rPr>
          <w:rFonts w:ascii="Palatino Linotype" w:eastAsia="Palatino Linotype" w:hAnsi="Palatino Linotype" w:cs="Palatino Linotype"/>
          <w:i/>
          <w:iCs/>
          <w:sz w:val="22"/>
          <w:szCs w:val="22"/>
        </w:rPr>
        <w:t xml:space="preserve"> Los titulares de las áreas de los sujetos obligados podrán establecer sus propios modelos o formatos para la elaboración de versiones públicas de documentos o expedientes, siempre y cuando cumplan lo establecido en los presentes Lineamientos, así como en las correspondientes Leyes Generales. </w:t>
      </w:r>
    </w:p>
    <w:p w14:paraId="3FF8AB45"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Quincuagésimo primero.</w:t>
      </w:r>
      <w:r w:rsidRPr="0063563C">
        <w:rPr>
          <w:rFonts w:ascii="Palatino Linotype" w:eastAsia="Palatino Linotype" w:hAnsi="Palatino Linotype" w:cs="Palatino Linotype"/>
          <w:i/>
          <w:iCs/>
          <w:sz w:val="22"/>
          <w:szCs w:val="22"/>
        </w:rPr>
        <w:t xml:space="preserve"> Toda acta del Comité de Transparencia deberá contener: </w:t>
      </w:r>
    </w:p>
    <w:p w14:paraId="41CF50E1" w14:textId="77777777" w:rsidR="00C00D37" w:rsidRPr="0063563C" w:rsidRDefault="004A69F1">
      <w:pPr>
        <w:numPr>
          <w:ilvl w:val="0"/>
          <w:numId w:val="4"/>
        </w:numPr>
        <w:pBdr>
          <w:top w:val="nil"/>
          <w:left w:val="nil"/>
          <w:bottom w:val="nil"/>
          <w:right w:val="nil"/>
          <w:between w:val="nil"/>
        </w:pBdr>
        <w:ind w:left="851" w:right="616" w:firstLine="0"/>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El número de sesión y fecha; </w:t>
      </w:r>
    </w:p>
    <w:p w14:paraId="495EA746" w14:textId="77777777" w:rsidR="00C00D37" w:rsidRPr="0063563C" w:rsidRDefault="004A69F1">
      <w:pPr>
        <w:numPr>
          <w:ilvl w:val="0"/>
          <w:numId w:val="4"/>
        </w:numPr>
        <w:pBdr>
          <w:top w:val="nil"/>
          <w:left w:val="nil"/>
          <w:bottom w:val="nil"/>
          <w:right w:val="nil"/>
          <w:between w:val="nil"/>
        </w:pBdr>
        <w:ind w:left="851" w:right="616" w:firstLine="0"/>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El nombre del área que solicitó la clasificación de información; </w:t>
      </w:r>
    </w:p>
    <w:p w14:paraId="4F43F29C" w14:textId="77777777" w:rsidR="00C00D37" w:rsidRPr="0063563C" w:rsidRDefault="004A69F1">
      <w:pPr>
        <w:numPr>
          <w:ilvl w:val="0"/>
          <w:numId w:val="4"/>
        </w:numPr>
        <w:pBdr>
          <w:top w:val="nil"/>
          <w:left w:val="nil"/>
          <w:bottom w:val="nil"/>
          <w:right w:val="nil"/>
          <w:between w:val="nil"/>
        </w:pBdr>
        <w:ind w:left="851" w:right="616" w:firstLine="0"/>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La fundamentación legal y motivación correspondiente; </w:t>
      </w:r>
    </w:p>
    <w:p w14:paraId="7CBF1DC4" w14:textId="77777777" w:rsidR="00C00D37" w:rsidRPr="0063563C" w:rsidRDefault="004A69F1">
      <w:pPr>
        <w:numPr>
          <w:ilvl w:val="0"/>
          <w:numId w:val="4"/>
        </w:numPr>
        <w:pBdr>
          <w:top w:val="nil"/>
          <w:left w:val="nil"/>
          <w:bottom w:val="nil"/>
          <w:right w:val="nil"/>
          <w:between w:val="nil"/>
        </w:pBdr>
        <w:ind w:left="851" w:right="616" w:firstLine="0"/>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La resolución o resoluciones aprobadas; y </w:t>
      </w:r>
    </w:p>
    <w:p w14:paraId="4AE5D2E7" w14:textId="77777777" w:rsidR="00C00D37" w:rsidRPr="0063563C" w:rsidRDefault="004A69F1">
      <w:pPr>
        <w:numPr>
          <w:ilvl w:val="0"/>
          <w:numId w:val="4"/>
        </w:numPr>
        <w:pBdr>
          <w:top w:val="nil"/>
          <w:left w:val="nil"/>
          <w:bottom w:val="nil"/>
          <w:right w:val="nil"/>
          <w:between w:val="nil"/>
        </w:pBdr>
        <w:ind w:left="851" w:right="616" w:firstLine="0"/>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La rúbrica o firma digital de cada integrante del Comité de Transparencia. </w:t>
      </w:r>
    </w:p>
    <w:p w14:paraId="6DD8B491" w14:textId="77777777" w:rsidR="00C00D37" w:rsidRPr="0063563C" w:rsidRDefault="00C00D37">
      <w:pPr>
        <w:ind w:left="851" w:right="616"/>
        <w:rPr>
          <w:rFonts w:ascii="Palatino Linotype" w:eastAsia="Palatino Linotype" w:hAnsi="Palatino Linotype" w:cs="Palatino Linotype"/>
          <w:sz w:val="22"/>
          <w:szCs w:val="22"/>
        </w:rPr>
      </w:pPr>
    </w:p>
    <w:p w14:paraId="2D9417E9"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Las resoluciones del Comité en las que se haya determinado confirmar o modificar la clasificación de información pública como reservada, deberán incluir, cuando menos: </w:t>
      </w:r>
    </w:p>
    <w:p w14:paraId="25661B97"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I. Los motivos y razonamientos que sustenten la confirmación o modificación de la prueba de daño;</w:t>
      </w:r>
    </w:p>
    <w:p w14:paraId="593D3071"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II. Descripción de las partes o secciones reservadas, en caso de clasificación parcial; </w:t>
      </w:r>
    </w:p>
    <w:p w14:paraId="1B784EEC"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III. El periodo por el que mantendrá su clasificación y fecha de expiración; y </w:t>
      </w:r>
    </w:p>
    <w:p w14:paraId="71786E7A"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IV. El nombre del titular y área encargada de realizar la versión pública del documento, en su caso. </w:t>
      </w:r>
    </w:p>
    <w:p w14:paraId="343327BF"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En los casos en que se clasifique la información como reservada siempre se entregará o anexará la prueba de daño con la respuesta al solicitante. </w:t>
      </w:r>
    </w:p>
    <w:p w14:paraId="298893BE"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En los casos de resoluciones del Comité de Transparencia en las que se confirme la clasificación de información confidencial solo se deberán de identificar los tipos de datos protegidos, de conformidad con el lineamiento trigésimo octavo.</w:t>
      </w:r>
    </w:p>
    <w:p w14:paraId="7798B331"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 xml:space="preserve">Quincuagésimo segundo. </w:t>
      </w:r>
      <w:r w:rsidRPr="0063563C">
        <w:rPr>
          <w:rFonts w:ascii="Palatino Linotype" w:eastAsia="Palatino Linotype" w:hAnsi="Palatino Linotype" w:cs="Palatino Linotype"/>
          <w:i/>
          <w:iCs/>
          <w:sz w:val="22"/>
          <w:szCs w:val="22"/>
        </w:rPr>
        <w:t>Para la clasificación y elaboración de versiones públicas de documentos que contengan información clasificada como reservada o confidencial, las áreas de los sujetos obligados deberán tomar las medidas pertinentes tendientes a asegurar que el espacio utilizado para testar la información no podrá ser empleado para la sobreposición de contenido distinto al autorizado por el Comité.</w:t>
      </w:r>
    </w:p>
    <w:p w14:paraId="381F5078"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En el caso específico de la clasificación y elaboración de versiones públicas de documentos que contengan información confidencial, las áreas de los sujetos obligados deberán:</w:t>
      </w:r>
    </w:p>
    <w:p w14:paraId="245ED434"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I. Fijar la fecha en que se elaboró la versión pública y la fecha en la cual el Comité de</w:t>
      </w:r>
    </w:p>
    <w:p w14:paraId="64FF82BD"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Transparencia confirmó dicha versión;</w:t>
      </w:r>
    </w:p>
    <w:p w14:paraId="3947812D"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II. Señalar dentro del documento el tipo de información confidencial que fue testada en cada caso específico, de conformidad con el lineamiento trigésimo octavo; y</w:t>
      </w:r>
    </w:p>
    <w:p w14:paraId="07336023"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III. Señalar las personas o instancias autorizadas a acceder a la información clasificada.</w:t>
      </w:r>
    </w:p>
    <w:p w14:paraId="58FBC873"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2"/>
          <w:szCs w:val="22"/>
        </w:rPr>
        <w:t>En los documentos de difusión electrónica, señalar en la primera hoja y en el nombre del archivo, que la versión pública corresponde a un documento que contiene información confidencial.</w:t>
      </w:r>
    </w:p>
    <w:p w14:paraId="4E45C449"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i/>
          <w:iCs/>
          <w:sz w:val="22"/>
          <w:szCs w:val="22"/>
        </w:rPr>
        <w:t>…</w:t>
      </w:r>
    </w:p>
    <w:p w14:paraId="6587FC8F" w14:textId="77777777" w:rsidR="00C00D37" w:rsidRPr="0063563C" w:rsidRDefault="004A69F1">
      <w:pPr>
        <w:pBdr>
          <w:top w:val="nil"/>
          <w:left w:val="nil"/>
          <w:bottom w:val="nil"/>
          <w:right w:val="nil"/>
          <w:between w:val="nil"/>
        </w:pBdr>
        <w:ind w:left="851" w:right="616"/>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i/>
          <w:iCs/>
          <w:sz w:val="22"/>
          <w:szCs w:val="22"/>
        </w:rPr>
        <w:t xml:space="preserve">Quincuagésimo quinto. </w:t>
      </w:r>
      <w:r w:rsidRPr="0063563C">
        <w:rPr>
          <w:rFonts w:ascii="Palatino Linotype" w:eastAsia="Palatino Linotype" w:hAnsi="Palatino Linotype" w:cs="Palatino Linotype"/>
          <w:i/>
          <w:iCs/>
          <w:sz w:val="22"/>
          <w:szCs w:val="22"/>
        </w:rPr>
        <w:t>Cada área del sujeto obligado podrá designar formalmente a una o más personas como responsables del testado, que sean encargadas de la adecuada elaboración o supervisión de las versiones públicas de los documentos o expedientes, verificando que cumplan con los requisitos señalados en las Leyes Generales, los presentes Lineamientos y demás normativa aplicable antes de su confirmación por el Comité de Transparencia.” (Énfasis añadido) </w:t>
      </w:r>
    </w:p>
    <w:p w14:paraId="2CF0E433" w14:textId="77777777" w:rsidR="00C00D37" w:rsidRPr="0063563C" w:rsidRDefault="00C00D37">
      <w:pPr>
        <w:rPr>
          <w:rFonts w:ascii="Palatino Linotype" w:eastAsia="Palatino Linotype" w:hAnsi="Palatino Linotype" w:cs="Palatino Linotype"/>
          <w:sz w:val="22"/>
          <w:szCs w:val="22"/>
        </w:rPr>
      </w:pPr>
    </w:p>
    <w:p w14:paraId="306F41BC" w14:textId="77777777" w:rsidR="00C00D37" w:rsidRPr="0063563C" w:rsidRDefault="004A69F1">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Efectivamente, cuando se clasifica información como confidencial es importante someterlo al Comité de Transparencia, quien debe confirmar, modificar o revocar la clasificación.</w:t>
      </w:r>
    </w:p>
    <w:p w14:paraId="37398E88" w14:textId="77777777" w:rsidR="00C00D37" w:rsidRPr="0063563C" w:rsidRDefault="00C00D37">
      <w:pPr>
        <w:spacing w:line="360" w:lineRule="auto"/>
        <w:rPr>
          <w:rFonts w:ascii="Palatino Linotype" w:eastAsia="Palatino Linotype" w:hAnsi="Palatino Linotype" w:cs="Palatino Linotype"/>
          <w:sz w:val="22"/>
          <w:szCs w:val="22"/>
        </w:rPr>
      </w:pPr>
    </w:p>
    <w:p w14:paraId="361DCAF4" w14:textId="77777777" w:rsidR="00C00D37" w:rsidRPr="0063563C" w:rsidRDefault="004A69F1">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Por lo tanto, la entrega de documentos en su versión pública debe acompañarse necesariamente del Acuerdo del Comité de Transparencia que la sustente, en el que se expongan los fundamentos y razonamientos que llevaron al Sujeto Obligado a testar, suprimir o eliminar datos de dicho soporte documental, ya que no hacerlo implica que lo entregado no es legal ni formalmente una versión pública, sino más bien una documentación ilegible, incompleta o tachada; pues no señalar las razones por las que no se aprecian determinados datos -ya sea porque se testan o suprimen- deja al solicitante en estado de incertidumbre, al no conocer o comprender porque no aparecen en la documentación respectiva, es decir, si no se exponen de manera puntual las razones de ello se estaría violentando desde un inicio el derecho de acceso a la información del solicitante, por lo que el acuerdo respectivo, deberá hacerse del conocimiento de la parte Recurrente.</w:t>
      </w:r>
    </w:p>
    <w:p w14:paraId="2FFFBA6C" w14:textId="77777777" w:rsidR="00C00D37" w:rsidRPr="0063563C" w:rsidRDefault="00C00D37">
      <w:pPr>
        <w:spacing w:line="360" w:lineRule="auto"/>
        <w:rPr>
          <w:rFonts w:ascii="Palatino Linotype" w:eastAsia="Palatino Linotype" w:hAnsi="Palatino Linotype" w:cs="Palatino Linotype"/>
          <w:sz w:val="22"/>
          <w:szCs w:val="22"/>
        </w:rPr>
      </w:pPr>
    </w:p>
    <w:p w14:paraId="009F9B87" w14:textId="77777777" w:rsidR="00C00D37" w:rsidRPr="0063563C" w:rsidRDefault="004A69F1">
      <w:p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De este modo, como ha sido señalado en la presente resolución, en armonía entre los principios constitucionales de máxima publicidad y de protección de datos personales, la Ley de Transparencia y Acceso a la Información Pública del Estado de México y Municipios permite la elaboración de versiones públicas en las que se suprima aquella información relacionada con la vida privada.</w:t>
      </w:r>
    </w:p>
    <w:p w14:paraId="061E38CD" w14:textId="77777777" w:rsidR="00C00D37" w:rsidRPr="0063563C" w:rsidRDefault="004A69F1">
      <w:pPr>
        <w:pBdr>
          <w:top w:val="nil"/>
          <w:left w:val="nil"/>
          <w:bottom w:val="nil"/>
          <w:right w:val="nil"/>
          <w:between w:val="nil"/>
        </w:pBd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Así, con fundamento en lo prescrito en los artículos 5 párrafos cuadragésimo cuarto, cuadragésimo quinto y cuadragésimo sexto, fracciones IV y V de la Constitución Política del Estado Libre y Soberano de México; Transitorio Cuarto, párrafo segundo del Decreto número 198 de la “LXII” Legislatura del Estado de México; 2, fracción II; 29, 36 fracciones I y II; 176, 178, 181, 185, fracción I, 186 y 188 de la Ley de Transparencia y Acceso a la Información Pública del Estado de México y Municipios, este Pleno:</w:t>
      </w:r>
    </w:p>
    <w:p w14:paraId="5075D123" w14:textId="77777777" w:rsidR="00C00D37" w:rsidRPr="0063563C" w:rsidRDefault="004A69F1">
      <w:pPr>
        <w:spacing w:before="240" w:after="240" w:line="360" w:lineRule="auto"/>
        <w:ind w:left="360"/>
        <w:jc w:val="center"/>
        <w:rPr>
          <w:rFonts w:ascii="Palatino Linotype" w:eastAsia="Palatino Linotype" w:hAnsi="Palatino Linotype" w:cs="Palatino Linotype"/>
          <w:b/>
          <w:bCs/>
          <w:sz w:val="22"/>
          <w:szCs w:val="22"/>
        </w:rPr>
      </w:pPr>
      <w:r w:rsidRPr="0063563C">
        <w:rPr>
          <w:rFonts w:ascii="Palatino Linotype" w:eastAsia="Palatino Linotype" w:hAnsi="Palatino Linotype" w:cs="Palatino Linotype"/>
          <w:b/>
          <w:bCs/>
          <w:sz w:val="22"/>
          <w:szCs w:val="22"/>
        </w:rPr>
        <w:t>III. R E S U E L V E:</w:t>
      </w:r>
    </w:p>
    <w:p w14:paraId="52E507AF"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sz w:val="22"/>
          <w:szCs w:val="22"/>
        </w:rPr>
        <w:t xml:space="preserve">Primero. </w:t>
      </w:r>
      <w:r w:rsidRPr="0063563C">
        <w:rPr>
          <w:rFonts w:ascii="Palatino Linotype" w:eastAsia="Palatino Linotype" w:hAnsi="Palatino Linotype" w:cs="Palatino Linotype"/>
          <w:sz w:val="22"/>
          <w:szCs w:val="22"/>
        </w:rPr>
        <w:t xml:space="preserve">Se </w:t>
      </w:r>
      <w:r w:rsidRPr="0063563C">
        <w:rPr>
          <w:rFonts w:ascii="Palatino Linotype" w:eastAsia="Palatino Linotype" w:hAnsi="Palatino Linotype" w:cs="Palatino Linotype"/>
          <w:b/>
          <w:bCs/>
          <w:sz w:val="22"/>
          <w:szCs w:val="22"/>
        </w:rPr>
        <w:t>MODIFICA</w:t>
      </w:r>
      <w:r w:rsidRPr="0063563C">
        <w:rPr>
          <w:rFonts w:ascii="Palatino Linotype" w:eastAsia="Palatino Linotype" w:hAnsi="Palatino Linotype" w:cs="Palatino Linotype"/>
          <w:sz w:val="22"/>
          <w:szCs w:val="22"/>
        </w:rPr>
        <w:t xml:space="preserve"> la respuesta emitida por el Sujeto Obligado a la solicitud de acceso a la información identificada con el folio </w:t>
      </w:r>
      <w:r w:rsidRPr="0063563C">
        <w:rPr>
          <w:rFonts w:ascii="Palatino Linotype" w:eastAsia="Palatino Linotype" w:hAnsi="Palatino Linotype" w:cs="Palatino Linotype"/>
          <w:b/>
          <w:bCs/>
          <w:sz w:val="22"/>
          <w:szCs w:val="22"/>
        </w:rPr>
        <w:t>00131/TIANGUIS/IP/2026</w:t>
      </w:r>
      <w:r w:rsidRPr="0063563C">
        <w:rPr>
          <w:rFonts w:ascii="Palatino Linotype" w:eastAsia="Palatino Linotype" w:hAnsi="Palatino Linotype" w:cs="Palatino Linotype"/>
          <w:sz w:val="22"/>
          <w:szCs w:val="22"/>
        </w:rPr>
        <w:t>, en términos del Considerando cuarto de la presente resolución.</w:t>
      </w:r>
    </w:p>
    <w:p w14:paraId="3764A89B" w14:textId="77777777" w:rsidR="00C00D37" w:rsidRPr="0063563C" w:rsidRDefault="004A69F1">
      <w:pP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b/>
          <w:bCs/>
          <w:sz w:val="22"/>
          <w:szCs w:val="22"/>
        </w:rPr>
        <w:t>Tercero.</w:t>
      </w:r>
      <w:r w:rsidRPr="0063563C">
        <w:rPr>
          <w:rFonts w:ascii="Palatino Linotype" w:eastAsia="Palatino Linotype" w:hAnsi="Palatino Linotype" w:cs="Palatino Linotype"/>
          <w:sz w:val="22"/>
          <w:szCs w:val="22"/>
        </w:rPr>
        <w:t xml:space="preserve"> Se </w:t>
      </w:r>
      <w:r w:rsidRPr="0063563C">
        <w:rPr>
          <w:rFonts w:ascii="Palatino Linotype" w:eastAsia="Palatino Linotype" w:hAnsi="Palatino Linotype" w:cs="Palatino Linotype"/>
          <w:b/>
          <w:bCs/>
          <w:sz w:val="22"/>
          <w:szCs w:val="22"/>
        </w:rPr>
        <w:t>ORDENA</w:t>
      </w:r>
      <w:r w:rsidRPr="0063563C">
        <w:rPr>
          <w:rFonts w:ascii="Palatino Linotype" w:eastAsia="Palatino Linotype" w:hAnsi="Palatino Linotype" w:cs="Palatino Linotype"/>
          <w:sz w:val="22"/>
          <w:szCs w:val="22"/>
        </w:rPr>
        <w:t xml:space="preserve"> al Sujeto Obligado que, previa búsqueda exhaustiva y razonable, entregue a la parte recurrente, de ser el caso en versión pública, a través del Sistema de Acceso a la Información Mexiquense, del servidor público referido en la solicitud, lo siguiente:</w:t>
      </w:r>
    </w:p>
    <w:p w14:paraId="2BA50898" w14:textId="77777777" w:rsidR="00C00D37" w:rsidRPr="0063563C" w:rsidRDefault="004A69F1">
      <w:pPr>
        <w:numPr>
          <w:ilvl w:val="0"/>
          <w:numId w:val="5"/>
        </w:numPr>
        <w:pBdr>
          <w:top w:val="nil"/>
          <w:left w:val="nil"/>
          <w:bottom w:val="nil"/>
          <w:right w:val="nil"/>
          <w:between w:val="nil"/>
        </w:pBdr>
        <w:spacing w:before="240" w:line="360" w:lineRule="auto"/>
        <w:jc w:val="both"/>
        <w:rPr>
          <w:b/>
          <w:bCs/>
          <w:sz w:val="22"/>
          <w:szCs w:val="22"/>
        </w:rPr>
      </w:pPr>
      <w:r w:rsidRPr="0063563C">
        <w:rPr>
          <w:rFonts w:ascii="Palatino Linotype" w:eastAsia="Palatino Linotype" w:hAnsi="Palatino Linotype" w:cs="Palatino Linotype"/>
          <w:b/>
          <w:bCs/>
          <w:sz w:val="22"/>
          <w:szCs w:val="22"/>
        </w:rPr>
        <w:t>I. Recibos de nómina</w:t>
      </w:r>
      <w:r w:rsidRPr="0063563C">
        <w:rPr>
          <w:rFonts w:ascii="Palatino Linotype" w:eastAsia="Palatino Linotype" w:hAnsi="Palatino Linotype" w:cs="Palatino Linotype"/>
          <w:sz w:val="22"/>
          <w:szCs w:val="22"/>
        </w:rPr>
        <w:t>, correspondientes a la primera y segunda quincena de abril de dos mil veintiséis.</w:t>
      </w:r>
    </w:p>
    <w:p w14:paraId="7547713A" w14:textId="77777777" w:rsidR="00C00D37" w:rsidRPr="0063563C" w:rsidRDefault="004A69F1">
      <w:pPr>
        <w:numPr>
          <w:ilvl w:val="0"/>
          <w:numId w:val="5"/>
        </w:numPr>
        <w:pBdr>
          <w:top w:val="nil"/>
          <w:left w:val="nil"/>
          <w:bottom w:val="nil"/>
          <w:right w:val="nil"/>
          <w:between w:val="nil"/>
        </w:pBdr>
        <w:spacing w:line="360" w:lineRule="auto"/>
        <w:jc w:val="both"/>
        <w:rPr>
          <w:sz w:val="22"/>
          <w:szCs w:val="22"/>
        </w:rPr>
      </w:pPr>
      <w:r w:rsidRPr="0063563C">
        <w:rPr>
          <w:rFonts w:ascii="Palatino Linotype" w:eastAsia="Palatino Linotype" w:hAnsi="Palatino Linotype" w:cs="Palatino Linotype"/>
          <w:b/>
          <w:bCs/>
          <w:sz w:val="22"/>
          <w:szCs w:val="22"/>
        </w:rPr>
        <w:t>II. Expediente laboral</w:t>
      </w:r>
    </w:p>
    <w:p w14:paraId="50CFBF3F" w14:textId="77777777" w:rsidR="00C00D37" w:rsidRPr="0063563C" w:rsidRDefault="004A69F1">
      <w:pPr>
        <w:numPr>
          <w:ilvl w:val="0"/>
          <w:numId w:val="5"/>
        </w:numPr>
        <w:pBdr>
          <w:top w:val="nil"/>
          <w:left w:val="nil"/>
          <w:bottom w:val="nil"/>
          <w:right w:val="nil"/>
          <w:between w:val="nil"/>
        </w:pBdr>
        <w:spacing w:line="360" w:lineRule="auto"/>
        <w:jc w:val="both"/>
        <w:rPr>
          <w:b/>
          <w:bCs/>
          <w:sz w:val="22"/>
          <w:szCs w:val="22"/>
        </w:rPr>
      </w:pPr>
      <w:r w:rsidRPr="0063563C">
        <w:rPr>
          <w:rFonts w:ascii="Palatino Linotype" w:eastAsia="Palatino Linotype" w:hAnsi="Palatino Linotype" w:cs="Palatino Linotype"/>
          <w:b/>
          <w:bCs/>
          <w:sz w:val="22"/>
          <w:szCs w:val="22"/>
        </w:rPr>
        <w:t xml:space="preserve">III. Cédula profesional </w:t>
      </w:r>
    </w:p>
    <w:p w14:paraId="4CE8B36B" w14:textId="77777777" w:rsidR="00C00D37" w:rsidRPr="0063563C" w:rsidRDefault="004A69F1">
      <w:pPr>
        <w:numPr>
          <w:ilvl w:val="0"/>
          <w:numId w:val="5"/>
        </w:numPr>
        <w:pBdr>
          <w:top w:val="nil"/>
          <w:left w:val="nil"/>
          <w:bottom w:val="nil"/>
          <w:right w:val="nil"/>
          <w:between w:val="nil"/>
        </w:pBdr>
        <w:spacing w:line="360" w:lineRule="auto"/>
        <w:jc w:val="both"/>
        <w:rPr>
          <w:b/>
          <w:bCs/>
          <w:sz w:val="22"/>
          <w:szCs w:val="22"/>
        </w:rPr>
      </w:pPr>
      <w:r w:rsidRPr="0063563C">
        <w:rPr>
          <w:rFonts w:ascii="Palatino Linotype" w:eastAsia="Palatino Linotype" w:hAnsi="Palatino Linotype" w:cs="Palatino Linotype"/>
          <w:b/>
          <w:bCs/>
          <w:sz w:val="22"/>
          <w:szCs w:val="22"/>
        </w:rPr>
        <w:t xml:space="preserve">IV. Oficios y documentos suscritos </w:t>
      </w:r>
    </w:p>
    <w:p w14:paraId="1638006B" w14:textId="77777777" w:rsidR="00C00D37" w:rsidRPr="0063563C" w:rsidRDefault="004A69F1">
      <w:pPr>
        <w:pBdr>
          <w:top w:val="nil"/>
          <w:left w:val="nil"/>
          <w:bottom w:val="nil"/>
          <w:right w:val="nil"/>
          <w:between w:val="nil"/>
        </w:pBdr>
        <w:ind w:left="720" w:right="616"/>
        <w:jc w:val="both"/>
        <w:rPr>
          <w:rFonts w:ascii="Palatino Linotype" w:eastAsia="Palatino Linotype" w:hAnsi="Palatino Linotype" w:cs="Palatino Linotype"/>
          <w:b/>
          <w:bCs/>
          <w:i/>
          <w:iCs/>
          <w:sz w:val="22"/>
          <w:szCs w:val="22"/>
          <w:u w:val="single"/>
        </w:rPr>
      </w:pPr>
      <w:r w:rsidRPr="0063563C">
        <w:rPr>
          <w:rFonts w:ascii="Palatino Linotype" w:eastAsia="Palatino Linotype" w:hAnsi="Palatino Linotype" w:cs="Palatino Linotype"/>
          <w:i/>
          <w:iCs/>
          <w:sz w:val="22"/>
          <w:szCs w:val="22"/>
        </w:rPr>
        <w:t xml:space="preserve">Debiendo acompañar con el Acuerdo del Comité de Transparencia de acuerdo con la Ley de Transparencia y Acceso a la Información Pública del Estado de México y Municipios, en el que funde y motive las razones sobre los datos que se supriman o eliminen de los soportes documentales objeto de las versiones públicas que se formulen y se pongan a disposición del </w:t>
      </w:r>
      <w:r w:rsidRPr="0063563C">
        <w:rPr>
          <w:rFonts w:ascii="Palatino Linotype" w:eastAsia="Palatino Linotype" w:hAnsi="Palatino Linotype" w:cs="Palatino Linotype"/>
          <w:b/>
          <w:bCs/>
          <w:i/>
          <w:iCs/>
          <w:sz w:val="22"/>
          <w:szCs w:val="22"/>
        </w:rPr>
        <w:t>Recurrente</w:t>
      </w:r>
      <w:r w:rsidRPr="0063563C">
        <w:rPr>
          <w:rFonts w:ascii="Palatino Linotype" w:eastAsia="Palatino Linotype" w:hAnsi="Palatino Linotype" w:cs="Palatino Linotype"/>
          <w:i/>
          <w:iCs/>
          <w:sz w:val="22"/>
          <w:szCs w:val="22"/>
        </w:rPr>
        <w:t xml:space="preserve">, mismo que igualmente hará de su conocimiento, en el que se incluyan los fundamentos y motivos de la clasificación </w:t>
      </w:r>
      <w:r w:rsidRPr="0063563C">
        <w:rPr>
          <w:rFonts w:ascii="Palatino Linotype" w:eastAsia="Palatino Linotype" w:hAnsi="Palatino Linotype" w:cs="Palatino Linotype"/>
          <w:b/>
          <w:bCs/>
          <w:i/>
          <w:iCs/>
          <w:sz w:val="22"/>
          <w:szCs w:val="22"/>
          <w:u w:val="single"/>
        </w:rPr>
        <w:t>en su totalidad como información confidencial las documentales correspondientes.</w:t>
      </w:r>
    </w:p>
    <w:p w14:paraId="7D74B59A" w14:textId="77777777" w:rsidR="00C00D37" w:rsidRPr="0063563C" w:rsidRDefault="00C00D37">
      <w:pPr>
        <w:pBdr>
          <w:top w:val="nil"/>
          <w:left w:val="nil"/>
          <w:bottom w:val="nil"/>
          <w:right w:val="nil"/>
          <w:between w:val="nil"/>
        </w:pBdr>
        <w:ind w:left="720" w:right="616"/>
        <w:jc w:val="both"/>
        <w:rPr>
          <w:rFonts w:ascii="Palatino Linotype" w:eastAsia="Palatino Linotype" w:hAnsi="Palatino Linotype" w:cs="Palatino Linotype"/>
          <w:i/>
          <w:iCs/>
          <w:sz w:val="20"/>
          <w:szCs w:val="20"/>
        </w:rPr>
      </w:pPr>
    </w:p>
    <w:p w14:paraId="0167BFA6" w14:textId="77777777" w:rsidR="00C00D37" w:rsidRPr="0063563C" w:rsidRDefault="004A69F1">
      <w:pPr>
        <w:pBdr>
          <w:top w:val="nil"/>
          <w:left w:val="nil"/>
          <w:bottom w:val="nil"/>
          <w:right w:val="nil"/>
          <w:between w:val="nil"/>
        </w:pBdr>
        <w:ind w:left="720" w:right="616"/>
        <w:jc w:val="both"/>
        <w:rPr>
          <w:rFonts w:ascii="Palatino Linotype" w:eastAsia="Palatino Linotype" w:hAnsi="Palatino Linotype" w:cs="Palatino Linotype"/>
          <w:i/>
          <w:iCs/>
          <w:sz w:val="20"/>
          <w:szCs w:val="20"/>
        </w:rPr>
      </w:pPr>
      <w:r w:rsidRPr="0063563C">
        <w:rPr>
          <w:rFonts w:ascii="Palatino Linotype" w:eastAsia="Palatino Linotype" w:hAnsi="Palatino Linotype" w:cs="Palatino Linotype"/>
          <w:i/>
          <w:iCs/>
          <w:sz w:val="20"/>
          <w:szCs w:val="20"/>
        </w:rPr>
        <w:t>Para el caso de que la información que se ordena entregar en el punto III no obre en los archivos del Sujeto Obligado, por no ser requisito para ocupar el cargo, bastará con hacerlo del conocimiento del Particular en términos del artículo 19, párrafo segundo, de la Ley de Transparencia y Acceso a la Información Pública del Estado de México y Municipios, para tenerse por colmado dicho requerimiento. </w:t>
      </w:r>
    </w:p>
    <w:p w14:paraId="042FE999" w14:textId="77777777" w:rsidR="00C00D37" w:rsidRPr="0063563C" w:rsidRDefault="00C00D37">
      <w:pPr>
        <w:pBdr>
          <w:top w:val="nil"/>
          <w:left w:val="nil"/>
          <w:bottom w:val="nil"/>
          <w:right w:val="nil"/>
          <w:between w:val="nil"/>
        </w:pBdr>
        <w:ind w:left="720" w:right="616"/>
        <w:jc w:val="both"/>
        <w:rPr>
          <w:rFonts w:ascii="Palatino Linotype" w:eastAsia="Palatino Linotype" w:hAnsi="Palatino Linotype" w:cs="Palatino Linotype"/>
          <w:i/>
          <w:iCs/>
          <w:sz w:val="20"/>
          <w:szCs w:val="20"/>
        </w:rPr>
      </w:pPr>
    </w:p>
    <w:p w14:paraId="3D213F17" w14:textId="77777777" w:rsidR="00C00D37" w:rsidRPr="0063563C" w:rsidRDefault="004A69F1">
      <w:pPr>
        <w:pBdr>
          <w:top w:val="nil"/>
          <w:left w:val="nil"/>
          <w:bottom w:val="nil"/>
          <w:right w:val="nil"/>
          <w:between w:val="nil"/>
        </w:pBdr>
        <w:ind w:left="720" w:right="616"/>
        <w:jc w:val="both"/>
        <w:rPr>
          <w:rFonts w:ascii="Palatino Linotype" w:eastAsia="Palatino Linotype" w:hAnsi="Palatino Linotype" w:cs="Palatino Linotype"/>
          <w:i/>
          <w:iCs/>
          <w:sz w:val="22"/>
          <w:szCs w:val="22"/>
        </w:rPr>
      </w:pPr>
      <w:r w:rsidRPr="0063563C">
        <w:rPr>
          <w:rFonts w:ascii="Palatino Linotype" w:eastAsia="Palatino Linotype" w:hAnsi="Palatino Linotype" w:cs="Palatino Linotype"/>
          <w:i/>
          <w:iCs/>
          <w:sz w:val="20"/>
          <w:szCs w:val="20"/>
        </w:rPr>
        <w:t xml:space="preserve">En el supuesto que alguno de los oficios emitidos por el servidor público durante su encargo, no obre en los archivos del </w:t>
      </w:r>
      <w:r w:rsidRPr="0063563C">
        <w:rPr>
          <w:rFonts w:ascii="Palatino Linotype" w:eastAsia="Palatino Linotype" w:hAnsi="Palatino Linotype" w:cs="Palatino Linotype"/>
          <w:b/>
          <w:bCs/>
          <w:i/>
          <w:iCs/>
          <w:sz w:val="20"/>
          <w:szCs w:val="20"/>
        </w:rPr>
        <w:t>Sujeto Obligado</w:t>
      </w:r>
      <w:r w:rsidRPr="0063563C">
        <w:rPr>
          <w:rFonts w:ascii="Palatino Linotype" w:eastAsia="Palatino Linotype" w:hAnsi="Palatino Linotype" w:cs="Palatino Linotype"/>
          <w:i/>
          <w:iCs/>
          <w:sz w:val="20"/>
          <w:szCs w:val="20"/>
        </w:rPr>
        <w:t xml:space="preserve"> por haberse cancelado, bastará con que así lo haga del conocimiento de la parte </w:t>
      </w:r>
      <w:r w:rsidRPr="0063563C">
        <w:rPr>
          <w:rFonts w:ascii="Palatino Linotype" w:eastAsia="Palatino Linotype" w:hAnsi="Palatino Linotype" w:cs="Palatino Linotype"/>
          <w:b/>
          <w:bCs/>
          <w:i/>
          <w:iCs/>
          <w:sz w:val="20"/>
          <w:szCs w:val="20"/>
        </w:rPr>
        <w:t>Recurrente</w:t>
      </w:r>
      <w:r w:rsidRPr="0063563C">
        <w:rPr>
          <w:rFonts w:ascii="Palatino Linotype" w:eastAsia="Palatino Linotype" w:hAnsi="Palatino Linotype" w:cs="Palatino Linotype"/>
          <w:i/>
          <w:iCs/>
          <w:sz w:val="20"/>
          <w:szCs w:val="20"/>
        </w:rPr>
        <w:t>, de manera fundada y motivada, en términos del artículo 19, párrafo segundo de la Ley de Transparencia y Acceso a la Información Pública del Estado de México y Municipios, para tener por colmado el requerimiento de información.</w:t>
      </w:r>
    </w:p>
    <w:p w14:paraId="3F7E36A5" w14:textId="77777777" w:rsidR="00C00D37" w:rsidRPr="0063563C" w:rsidRDefault="004A69F1">
      <w:pPr>
        <w:pBdr>
          <w:top w:val="nil"/>
          <w:left w:val="nil"/>
          <w:bottom w:val="nil"/>
          <w:right w:val="nil"/>
          <w:between w:val="nil"/>
        </w:pBdr>
        <w:spacing w:before="240" w:after="240" w:line="360" w:lineRule="auto"/>
        <w:jc w:val="both"/>
      </w:pPr>
      <w:r w:rsidRPr="0063563C">
        <w:rPr>
          <w:rFonts w:ascii="Palatino Linotype" w:eastAsia="Palatino Linotype" w:hAnsi="Palatino Linotype" w:cs="Palatino Linotype"/>
          <w:b/>
          <w:bCs/>
          <w:sz w:val="22"/>
          <w:szCs w:val="22"/>
        </w:rPr>
        <w:t xml:space="preserve">Tercero. Notifíquese, </w:t>
      </w:r>
      <w:r w:rsidRPr="0063563C">
        <w:rPr>
          <w:rFonts w:ascii="Palatino Linotype" w:eastAsia="Palatino Linotype" w:hAnsi="Palatino Linotype" w:cs="Palatino Linotype"/>
          <w:sz w:val="22"/>
          <w:szCs w:val="22"/>
        </w:rPr>
        <w:t xml:space="preserve">vía </w:t>
      </w:r>
      <w:r w:rsidRPr="0063563C">
        <w:rPr>
          <w:rFonts w:ascii="Palatino Linotype" w:eastAsia="Palatino Linotype" w:hAnsi="Palatino Linotype" w:cs="Palatino Linotype"/>
          <w:b/>
          <w:bCs/>
          <w:sz w:val="22"/>
          <w:szCs w:val="22"/>
        </w:rPr>
        <w:t>SAIMEX</w:t>
      </w:r>
      <w:r w:rsidRPr="0063563C">
        <w:rPr>
          <w:rFonts w:ascii="Palatino Linotype" w:eastAsia="Palatino Linotype" w:hAnsi="Palatino Linotype" w:cs="Palatino Linotype"/>
          <w:sz w:val="22"/>
          <w:szCs w:val="22"/>
        </w:rPr>
        <w:t xml:space="preserve">, al Titular de la Unidad de Transparencia del </w:t>
      </w:r>
      <w:r w:rsidRPr="0063563C">
        <w:rPr>
          <w:rFonts w:ascii="Palatino Linotype" w:eastAsia="Palatino Linotype" w:hAnsi="Palatino Linotype" w:cs="Palatino Linotype"/>
          <w:b/>
          <w:bCs/>
          <w:sz w:val="22"/>
          <w:szCs w:val="22"/>
        </w:rPr>
        <w:t>Sujeto Obligado,</w:t>
      </w:r>
      <w:r w:rsidRPr="0063563C">
        <w:rPr>
          <w:rFonts w:ascii="Palatino Linotype" w:eastAsia="Palatino Linotype" w:hAnsi="Palatino Linotype" w:cs="Palatino Linotype"/>
          <w:sz w:val="22"/>
          <w:szCs w:val="22"/>
        </w:rPr>
        <w:t xml:space="preserve"> la presente resolución para que conforme a los artículos 186, último párrafo y 189, párrafo segundo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680337FF" w14:textId="77777777" w:rsidR="00C00D37" w:rsidRPr="0063563C" w:rsidRDefault="004A69F1">
      <w:pPr>
        <w:pBdr>
          <w:top w:val="nil"/>
          <w:left w:val="nil"/>
          <w:bottom w:val="nil"/>
          <w:right w:val="nil"/>
          <w:between w:val="nil"/>
        </w:pBdr>
        <w:spacing w:before="240" w:after="240" w:line="360" w:lineRule="auto"/>
        <w:jc w:val="both"/>
        <w:rPr>
          <w:rFonts w:ascii="Palatino Linotype" w:eastAsia="Palatino Linotype" w:hAnsi="Palatino Linotype" w:cs="Palatino Linotype"/>
          <w:sz w:val="22"/>
          <w:szCs w:val="22"/>
        </w:rPr>
      </w:pPr>
      <w:r w:rsidRPr="0063563C">
        <w:rPr>
          <w:rFonts w:ascii="Palatino Linotype" w:eastAsia="Palatino Linotype" w:hAnsi="Palatino Linotype" w:cs="Palatino Linotype"/>
          <w:sz w:val="22"/>
          <w:szCs w:val="22"/>
        </w:rPr>
        <w:t xml:space="preserve">De conformidad con el artículo 198 de la Ley de Transparencia y Acceso a la Información Pública del Estado de México y Municipios, de considerarlo procedente, el </w:t>
      </w:r>
      <w:r w:rsidRPr="0063563C">
        <w:rPr>
          <w:rFonts w:ascii="Palatino Linotype" w:eastAsia="Palatino Linotype" w:hAnsi="Palatino Linotype" w:cs="Palatino Linotype"/>
          <w:b/>
          <w:bCs/>
          <w:sz w:val="22"/>
          <w:szCs w:val="22"/>
        </w:rPr>
        <w:t>Sujeto Obligado</w:t>
      </w:r>
      <w:r w:rsidRPr="0063563C">
        <w:rPr>
          <w:rFonts w:ascii="Palatino Linotype" w:eastAsia="Palatino Linotype" w:hAnsi="Palatino Linotype" w:cs="Palatino Linotype"/>
          <w:sz w:val="22"/>
          <w:szCs w:val="22"/>
        </w:rPr>
        <w:t xml:space="preserve"> de manera fundada y motivada, podrá solicitar una ampliación de plazo para el cumplimiento de la presente resolución.</w:t>
      </w:r>
    </w:p>
    <w:p w14:paraId="5E882C98" w14:textId="77777777" w:rsidR="00C00D37" w:rsidRPr="0063563C" w:rsidRDefault="004A69F1">
      <w:pPr>
        <w:pBdr>
          <w:top w:val="nil"/>
          <w:left w:val="nil"/>
          <w:bottom w:val="nil"/>
          <w:right w:val="nil"/>
          <w:between w:val="nil"/>
        </w:pBdr>
        <w:spacing w:before="240" w:after="240" w:line="360" w:lineRule="auto"/>
        <w:jc w:val="both"/>
      </w:pPr>
      <w:r w:rsidRPr="0063563C">
        <w:rPr>
          <w:rFonts w:ascii="Palatino Linotype" w:eastAsia="Palatino Linotype" w:hAnsi="Palatino Linotype" w:cs="Palatino Linotype"/>
          <w:b/>
          <w:bCs/>
          <w:sz w:val="22"/>
          <w:szCs w:val="22"/>
        </w:rPr>
        <w:t xml:space="preserve">Cuarto.  Notifíquese, </w:t>
      </w:r>
      <w:r w:rsidRPr="0063563C">
        <w:rPr>
          <w:rFonts w:ascii="Palatino Linotype" w:eastAsia="Palatino Linotype" w:hAnsi="Palatino Linotype" w:cs="Palatino Linotype"/>
          <w:sz w:val="22"/>
          <w:szCs w:val="22"/>
        </w:rPr>
        <w:t xml:space="preserve">vía </w:t>
      </w:r>
      <w:r w:rsidRPr="0063563C">
        <w:rPr>
          <w:rFonts w:ascii="Palatino Linotype" w:eastAsia="Palatino Linotype" w:hAnsi="Palatino Linotype" w:cs="Palatino Linotype"/>
          <w:b/>
          <w:bCs/>
          <w:sz w:val="22"/>
          <w:szCs w:val="22"/>
        </w:rPr>
        <w:t>SAIMEX</w:t>
      </w:r>
      <w:r w:rsidRPr="0063563C">
        <w:rPr>
          <w:rFonts w:ascii="Palatino Linotype" w:eastAsia="Palatino Linotype" w:hAnsi="Palatino Linotype" w:cs="Palatino Linotype"/>
          <w:sz w:val="22"/>
          <w:szCs w:val="22"/>
        </w:rPr>
        <w:t xml:space="preserve"> a la parte </w:t>
      </w:r>
      <w:r w:rsidRPr="0063563C">
        <w:rPr>
          <w:rFonts w:ascii="Palatino Linotype" w:eastAsia="Palatino Linotype" w:hAnsi="Palatino Linotype" w:cs="Palatino Linotype"/>
          <w:b/>
          <w:bCs/>
          <w:sz w:val="22"/>
          <w:szCs w:val="22"/>
        </w:rPr>
        <w:t>Recurrente</w:t>
      </w:r>
      <w:r w:rsidRPr="0063563C">
        <w:rPr>
          <w:rFonts w:ascii="Palatino Linotype" w:eastAsia="Palatino Linotype" w:hAnsi="Palatino Linotype" w:cs="Palatino Linotype"/>
          <w:sz w:val="22"/>
          <w:szCs w:val="22"/>
        </w:rPr>
        <w:t xml:space="preserve"> la presente resolución, así como, que de conformidad con lo establecido en el artículo 196 de la Ley de Transparencia y Acceso a la Información Pública del Estado de México y Municipios, podrá impugnarla vía Juicio de Amparo en los términos de las leyes aplicables.</w:t>
      </w:r>
    </w:p>
    <w:p w14:paraId="29239FD5" w14:textId="57DE0F34" w:rsidR="00C00D37" w:rsidRPr="0090188B" w:rsidRDefault="004A69F1">
      <w:pPr>
        <w:spacing w:before="240" w:after="240" w:line="360" w:lineRule="auto"/>
        <w:jc w:val="both"/>
        <w:rPr>
          <w:rFonts w:ascii="Palatino Linotype" w:eastAsia="Palatino Linotype" w:hAnsi="Palatino Linotype" w:cs="Palatino Linotype"/>
          <w:b/>
          <w:bCs/>
          <w:sz w:val="22"/>
          <w:szCs w:val="22"/>
        </w:rPr>
      </w:pPr>
      <w:r w:rsidRPr="0063563C">
        <w:rPr>
          <w:rFonts w:ascii="Palatino Linotype" w:eastAsia="Palatino Linotype" w:hAnsi="Palatino Linotype" w:cs="Palatino Linotype"/>
          <w:sz w:val="22"/>
          <w:szCs w:val="22"/>
        </w:rPr>
        <w:t>ASÍ LO RESUELVE, POR UNANIMIDAD DE VOTOS, EL PLENO DEL INSTITUTO DE TRANSPARENCIA, ACCESO A LA INFORMACIÓN PÚBLICA Y PROTECCIÓN DE DATOS PERSONALES DEL ESTADO DE MÉXICO Y MUNICIPIOS, CONFORMADO POR LOS COMISIONADOS JOSÉ MARTÍNEZ VILCHIS, MARÍA DEL ROSARIO MEJÍA AYALA,</w:t>
      </w:r>
      <w:r w:rsidR="0090188B" w:rsidRPr="0063563C">
        <w:rPr>
          <w:rFonts w:ascii="Palatino Linotype" w:eastAsia="Palatino Linotype" w:hAnsi="Palatino Linotype" w:cs="Palatino Linotype"/>
          <w:sz w:val="22"/>
          <w:szCs w:val="22"/>
        </w:rPr>
        <w:t xml:space="preserve">  EMITIENDO VOTO PARTICULAR Y GUADALUPE RAMÍREZ PEÑA, EMITIENDO VOTO PARTICULAR</w:t>
      </w:r>
      <w:r w:rsidRPr="0063563C">
        <w:rPr>
          <w:rFonts w:ascii="Palatino Linotype" w:eastAsia="Palatino Linotype" w:hAnsi="Palatino Linotype" w:cs="Palatino Linotype"/>
          <w:sz w:val="22"/>
          <w:szCs w:val="22"/>
        </w:rPr>
        <w:t xml:space="preserve"> EN LA TRIGÉSIMA TERCERA SESIÓN ORDINARIA, CELEBRADA EL DIECISIETE DE SEPTIEMBRE DE DOS MIL VEINTISÉIS, ANTE EL SECRETARIO TÉCNICO DEL PLENO ALEXIS TAPIA RAMÍREZ.</w:t>
      </w:r>
    </w:p>
    <w:p w14:paraId="56B77556" w14:textId="77777777" w:rsidR="00C00D37" w:rsidRPr="0090188B" w:rsidRDefault="00C00D37">
      <w:pPr>
        <w:spacing w:before="240" w:after="240" w:line="360" w:lineRule="auto"/>
        <w:jc w:val="both"/>
        <w:rPr>
          <w:rFonts w:ascii="Palatino Linotype" w:eastAsia="Palatino Linotype" w:hAnsi="Palatino Linotype" w:cs="Palatino Linotype"/>
          <w:sz w:val="22"/>
          <w:szCs w:val="22"/>
        </w:rPr>
      </w:pPr>
    </w:p>
    <w:p w14:paraId="571D3E9B" w14:textId="77777777" w:rsidR="00C00D37" w:rsidRPr="0090188B" w:rsidRDefault="00C00D37">
      <w:pPr>
        <w:spacing w:before="240" w:after="240" w:line="360" w:lineRule="auto"/>
        <w:jc w:val="both"/>
        <w:rPr>
          <w:rFonts w:ascii="Palatino Linotype" w:eastAsia="Palatino Linotype" w:hAnsi="Palatino Linotype" w:cs="Palatino Linotype"/>
          <w:sz w:val="22"/>
          <w:szCs w:val="22"/>
        </w:rPr>
      </w:pPr>
    </w:p>
    <w:p w14:paraId="17F79C66" w14:textId="77777777" w:rsidR="00C00D37" w:rsidRPr="0090188B" w:rsidRDefault="00C00D37">
      <w:pPr>
        <w:spacing w:before="240" w:after="240" w:line="360" w:lineRule="auto"/>
        <w:jc w:val="both"/>
        <w:rPr>
          <w:rFonts w:ascii="Palatino Linotype" w:eastAsia="Palatino Linotype" w:hAnsi="Palatino Linotype" w:cs="Palatino Linotype"/>
          <w:b/>
          <w:bCs/>
          <w:sz w:val="22"/>
          <w:szCs w:val="22"/>
        </w:rPr>
      </w:pPr>
    </w:p>
    <w:p w14:paraId="1137B19A" w14:textId="77777777" w:rsidR="00C00D37" w:rsidRPr="0090188B" w:rsidRDefault="00C00D37">
      <w:pPr>
        <w:spacing w:before="240" w:after="240" w:line="360" w:lineRule="auto"/>
        <w:jc w:val="both"/>
        <w:rPr>
          <w:rFonts w:ascii="Palatino Linotype" w:eastAsia="Palatino Linotype" w:hAnsi="Palatino Linotype" w:cs="Palatino Linotype"/>
          <w:b/>
          <w:bCs/>
          <w:sz w:val="22"/>
          <w:szCs w:val="22"/>
        </w:rPr>
      </w:pPr>
    </w:p>
    <w:p w14:paraId="20A50B6F" w14:textId="77777777" w:rsidR="00C00D37" w:rsidRPr="0090188B" w:rsidRDefault="00C00D37">
      <w:pPr>
        <w:spacing w:before="240" w:after="240" w:line="360" w:lineRule="auto"/>
        <w:jc w:val="both"/>
        <w:rPr>
          <w:rFonts w:ascii="Palatino Linotype" w:eastAsia="Palatino Linotype" w:hAnsi="Palatino Linotype" w:cs="Palatino Linotype"/>
          <w:b/>
          <w:bCs/>
          <w:sz w:val="22"/>
          <w:szCs w:val="22"/>
        </w:rPr>
      </w:pPr>
    </w:p>
    <w:p w14:paraId="76B4546C" w14:textId="6A964190" w:rsidR="00C00D37" w:rsidRPr="0090188B" w:rsidRDefault="00C00D37">
      <w:pPr>
        <w:spacing w:before="240" w:after="240" w:line="360" w:lineRule="auto"/>
        <w:jc w:val="both"/>
        <w:rPr>
          <w:rFonts w:ascii="Palatino Linotype" w:eastAsia="Palatino Linotype" w:hAnsi="Palatino Linotype" w:cs="Palatino Linotype"/>
          <w:b/>
          <w:bCs/>
          <w:sz w:val="22"/>
          <w:szCs w:val="22"/>
        </w:rPr>
      </w:pPr>
    </w:p>
    <w:p w14:paraId="215E1678" w14:textId="3190B550" w:rsidR="0090188B" w:rsidRPr="0090188B" w:rsidRDefault="0090188B">
      <w:pPr>
        <w:spacing w:before="240" w:after="240" w:line="360" w:lineRule="auto"/>
        <w:jc w:val="both"/>
        <w:rPr>
          <w:rFonts w:ascii="Palatino Linotype" w:eastAsia="Palatino Linotype" w:hAnsi="Palatino Linotype" w:cs="Palatino Linotype"/>
          <w:b/>
          <w:bCs/>
          <w:sz w:val="22"/>
          <w:szCs w:val="22"/>
        </w:rPr>
      </w:pPr>
    </w:p>
    <w:p w14:paraId="17888EFD" w14:textId="6CE239FA" w:rsidR="0090188B" w:rsidRPr="0090188B" w:rsidRDefault="0090188B">
      <w:pPr>
        <w:spacing w:before="240" w:after="240" w:line="360" w:lineRule="auto"/>
        <w:jc w:val="both"/>
        <w:rPr>
          <w:rFonts w:ascii="Palatino Linotype" w:eastAsia="Palatino Linotype" w:hAnsi="Palatino Linotype" w:cs="Palatino Linotype"/>
          <w:b/>
          <w:bCs/>
          <w:sz w:val="22"/>
          <w:szCs w:val="22"/>
        </w:rPr>
      </w:pPr>
    </w:p>
    <w:p w14:paraId="3DD72342" w14:textId="01706323" w:rsidR="0090188B" w:rsidRPr="0090188B" w:rsidRDefault="0090188B">
      <w:pPr>
        <w:spacing w:before="240" w:after="240" w:line="360" w:lineRule="auto"/>
        <w:jc w:val="both"/>
        <w:rPr>
          <w:rFonts w:ascii="Palatino Linotype" w:eastAsia="Palatino Linotype" w:hAnsi="Palatino Linotype" w:cs="Palatino Linotype"/>
          <w:b/>
          <w:bCs/>
          <w:sz w:val="22"/>
          <w:szCs w:val="22"/>
        </w:rPr>
      </w:pPr>
    </w:p>
    <w:p w14:paraId="4F97E61E" w14:textId="1163F3C8" w:rsidR="0090188B" w:rsidRPr="0090188B" w:rsidRDefault="0090188B">
      <w:pPr>
        <w:spacing w:before="240" w:after="240" w:line="360" w:lineRule="auto"/>
        <w:jc w:val="both"/>
        <w:rPr>
          <w:rFonts w:ascii="Palatino Linotype" w:eastAsia="Palatino Linotype" w:hAnsi="Palatino Linotype" w:cs="Palatino Linotype"/>
          <w:b/>
          <w:bCs/>
          <w:sz w:val="22"/>
          <w:szCs w:val="22"/>
        </w:rPr>
      </w:pPr>
    </w:p>
    <w:p w14:paraId="428BE74B" w14:textId="0C350576" w:rsidR="0090188B" w:rsidRPr="0090188B" w:rsidRDefault="0090188B">
      <w:pPr>
        <w:spacing w:before="240" w:after="240" w:line="360" w:lineRule="auto"/>
        <w:jc w:val="both"/>
        <w:rPr>
          <w:rFonts w:ascii="Palatino Linotype" w:eastAsia="Palatino Linotype" w:hAnsi="Palatino Linotype" w:cs="Palatino Linotype"/>
          <w:b/>
          <w:bCs/>
          <w:sz w:val="22"/>
          <w:szCs w:val="22"/>
        </w:rPr>
      </w:pPr>
    </w:p>
    <w:p w14:paraId="691F31D8" w14:textId="6CC80B3A" w:rsidR="0090188B" w:rsidRPr="0090188B" w:rsidRDefault="0090188B">
      <w:pPr>
        <w:spacing w:before="240" w:after="240" w:line="360" w:lineRule="auto"/>
        <w:jc w:val="both"/>
        <w:rPr>
          <w:rFonts w:ascii="Palatino Linotype" w:eastAsia="Palatino Linotype" w:hAnsi="Palatino Linotype" w:cs="Palatino Linotype"/>
          <w:b/>
          <w:bCs/>
          <w:sz w:val="22"/>
          <w:szCs w:val="22"/>
        </w:rPr>
      </w:pPr>
    </w:p>
    <w:p w14:paraId="51638F27" w14:textId="77777777" w:rsidR="0090188B" w:rsidRPr="0090188B" w:rsidRDefault="0090188B">
      <w:pPr>
        <w:spacing w:before="240" w:after="240" w:line="360" w:lineRule="auto"/>
        <w:jc w:val="both"/>
        <w:rPr>
          <w:rFonts w:ascii="Palatino Linotype" w:eastAsia="Palatino Linotype" w:hAnsi="Palatino Linotype" w:cs="Palatino Linotype"/>
          <w:b/>
          <w:bCs/>
          <w:sz w:val="22"/>
          <w:szCs w:val="22"/>
        </w:rPr>
      </w:pPr>
    </w:p>
    <w:p w14:paraId="7F17AECA" w14:textId="77777777" w:rsidR="00C00D37" w:rsidRPr="0090188B" w:rsidRDefault="00C00D37">
      <w:pPr>
        <w:spacing w:before="240" w:after="240" w:line="360" w:lineRule="auto"/>
        <w:jc w:val="both"/>
        <w:rPr>
          <w:rFonts w:ascii="Palatino Linotype" w:eastAsia="Palatino Linotype" w:hAnsi="Palatino Linotype" w:cs="Palatino Linotype"/>
          <w:b/>
          <w:bCs/>
          <w:sz w:val="22"/>
          <w:szCs w:val="22"/>
        </w:rPr>
      </w:pPr>
    </w:p>
    <w:sectPr w:rsidR="00C00D37" w:rsidRPr="0090188B">
      <w:headerReference w:type="default" r:id="rId21"/>
      <w:footerReference w:type="default" r:id="rId22"/>
      <w:headerReference w:type="first" r:id="rId23"/>
      <w:footerReference w:type="first" r:id="rId24"/>
      <w:pgSz w:w="12240" w:h="15840"/>
      <w:pgMar w:top="2041" w:right="1474" w:bottom="1701"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D581D2" w14:textId="77777777" w:rsidR="008666CD" w:rsidRDefault="008666CD">
      <w:r>
        <w:separator/>
      </w:r>
    </w:p>
  </w:endnote>
  <w:endnote w:type="continuationSeparator" w:id="0">
    <w:p w14:paraId="43AA2882" w14:textId="77777777" w:rsidR="008666CD" w:rsidRDefault="00866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embedRegular r:id="rId1" w:fontKey="{72F39203-7E4A-4946-8561-9B7A9EEE4EEA}"/>
    <w:embedBold r:id="rId2" w:fontKey="{9CE49BF0-5D64-45AA-A827-B4A5339A5617}"/>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embedRegular r:id="rId3" w:fontKey="{63FA0891-BDD2-40D9-BFB6-734DEC452606}"/>
    <w:embedBold r:id="rId4" w:fontKey="{A2710730-28C7-4E7C-B81A-3ABCA25F6EAA}"/>
    <w:embedItalic r:id="rId5" w:fontKey="{B2BE8C97-0E28-4AB7-B247-3428C923F19D}"/>
    <w:embedBoldItalic r:id="rId6" w:fontKey="{4A3DFFFC-792F-48A3-B305-4756E4D79EEA}"/>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7" w:fontKey="{A32C5335-4B55-4B9A-A642-0E9482677758}"/>
    <w:embedBold r:id="rId8" w:fontKey="{19A4EE6D-BCD6-4FD8-9D0B-E47C17DE707F}"/>
    <w:embedItalic r:id="rId9" w:fontKey="{1C844F1B-F8DC-474F-96CE-DEFCF7F59A63}"/>
  </w:font>
  <w:font w:name="Georgia">
    <w:panose1 w:val="02040502050405020303"/>
    <w:charset w:val="00"/>
    <w:family w:val="roman"/>
    <w:pitch w:val="variable"/>
    <w:sig w:usb0="00000287" w:usb1="00000000" w:usb2="00000000" w:usb3="00000000" w:csb0="0000009F" w:csb1="00000000"/>
    <w:embedItalic r:id="rId10" w:fontKey="{0487664A-4039-41EC-84CC-FBA137851A4F}"/>
  </w:font>
  <w:font w:name="Calibri Light">
    <w:panose1 w:val="020F0302020204030204"/>
    <w:charset w:val="00"/>
    <w:family w:val="swiss"/>
    <w:pitch w:val="variable"/>
    <w:sig w:usb0="E4002EFF" w:usb1="C200247B" w:usb2="00000009" w:usb3="00000000" w:csb0="000001FF" w:csb1="00000000"/>
    <w:embedRegular r:id="rId11" w:fontKey="{46C12C49-9DD4-4BEE-906F-FDB6C7269E4B}"/>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6A468" w14:textId="2C9FC36D" w:rsidR="00C00D37" w:rsidRDefault="004A69F1">
    <w:pPr>
      <w:pBdr>
        <w:top w:val="nil"/>
        <w:left w:val="nil"/>
        <w:bottom w:val="nil"/>
        <w:right w:val="nil"/>
        <w:between w:val="nil"/>
      </w:pBdr>
      <w:tabs>
        <w:tab w:val="center" w:pos="4419"/>
        <w:tab w:val="right" w:pos="8838"/>
      </w:tabs>
      <w:jc w:val="right"/>
      <w:rPr>
        <w:color w:val="000000"/>
      </w:rPr>
    </w:pPr>
    <w:r>
      <w:rPr>
        <w:color w:val="000000"/>
      </w:rPr>
      <w:t xml:space="preserve">Página </w:t>
    </w:r>
    <w:r>
      <w:rPr>
        <w:b/>
        <w:bCs/>
        <w:color w:val="000000"/>
      </w:rPr>
      <w:fldChar w:fldCharType="begin"/>
    </w:r>
    <w:r>
      <w:rPr>
        <w:b/>
        <w:bCs/>
        <w:color w:val="000000"/>
      </w:rPr>
      <w:instrText>PAGE</w:instrText>
    </w:r>
    <w:r>
      <w:rPr>
        <w:b/>
        <w:bCs/>
        <w:color w:val="000000"/>
      </w:rPr>
      <w:fldChar w:fldCharType="separate"/>
    </w:r>
    <w:r w:rsidR="000501D4">
      <w:rPr>
        <w:b/>
        <w:bCs/>
        <w:noProof/>
        <w:color w:val="000000"/>
      </w:rPr>
      <w:t>62</w:t>
    </w:r>
    <w:r>
      <w:rPr>
        <w:b/>
        <w:bCs/>
        <w:color w:val="000000"/>
      </w:rPr>
      <w:fldChar w:fldCharType="end"/>
    </w:r>
    <w:r>
      <w:rPr>
        <w:color w:val="000000"/>
      </w:rPr>
      <w:t xml:space="preserve"> de </w:t>
    </w:r>
    <w:r>
      <w:rPr>
        <w:b/>
        <w:bCs/>
        <w:color w:val="000000"/>
      </w:rPr>
      <w:fldChar w:fldCharType="begin"/>
    </w:r>
    <w:r>
      <w:rPr>
        <w:b/>
        <w:bCs/>
        <w:color w:val="000000"/>
      </w:rPr>
      <w:instrText>NUMPAGES</w:instrText>
    </w:r>
    <w:r>
      <w:rPr>
        <w:b/>
        <w:bCs/>
        <w:color w:val="000000"/>
      </w:rPr>
      <w:fldChar w:fldCharType="separate"/>
    </w:r>
    <w:r w:rsidR="000501D4">
      <w:rPr>
        <w:b/>
        <w:bCs/>
        <w:noProof/>
        <w:color w:val="000000"/>
      </w:rPr>
      <w:t>67</w:t>
    </w:r>
    <w:r>
      <w:rPr>
        <w:b/>
        <w:bCs/>
        <w:color w:val="000000"/>
      </w:rPr>
      <w:fldChar w:fldCharType="end"/>
    </w:r>
  </w:p>
  <w:p w14:paraId="6DBDF515" w14:textId="77777777" w:rsidR="00C00D37" w:rsidRDefault="00C00D37">
    <w:pPr>
      <w:pBdr>
        <w:top w:val="nil"/>
        <w:left w:val="nil"/>
        <w:bottom w:val="nil"/>
        <w:right w:val="nil"/>
        <w:between w:val="nil"/>
      </w:pBdr>
      <w:tabs>
        <w:tab w:val="center" w:pos="4419"/>
        <w:tab w:val="right" w:pos="8838"/>
      </w:tabs>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5B851" w14:textId="0B810C95" w:rsidR="00C00D37" w:rsidRDefault="004A69F1">
    <w:pPr>
      <w:pBdr>
        <w:top w:val="nil"/>
        <w:left w:val="nil"/>
        <w:bottom w:val="nil"/>
        <w:right w:val="nil"/>
        <w:between w:val="nil"/>
      </w:pBdr>
      <w:tabs>
        <w:tab w:val="center" w:pos="4419"/>
        <w:tab w:val="right" w:pos="8838"/>
      </w:tabs>
      <w:jc w:val="right"/>
      <w:rPr>
        <w:color w:val="000000"/>
      </w:rPr>
    </w:pPr>
    <w:r>
      <w:rPr>
        <w:color w:val="000000"/>
      </w:rPr>
      <w:t xml:space="preserve">Página </w:t>
    </w:r>
    <w:r>
      <w:rPr>
        <w:b/>
        <w:bCs/>
        <w:color w:val="000000"/>
      </w:rPr>
      <w:fldChar w:fldCharType="begin"/>
    </w:r>
    <w:r>
      <w:rPr>
        <w:b/>
        <w:bCs/>
        <w:color w:val="000000"/>
      </w:rPr>
      <w:instrText>PAGE</w:instrText>
    </w:r>
    <w:r>
      <w:rPr>
        <w:b/>
        <w:bCs/>
        <w:color w:val="000000"/>
      </w:rPr>
      <w:fldChar w:fldCharType="separate"/>
    </w:r>
    <w:r w:rsidR="000501D4">
      <w:rPr>
        <w:b/>
        <w:bCs/>
        <w:noProof/>
        <w:color w:val="000000"/>
      </w:rPr>
      <w:t>1</w:t>
    </w:r>
    <w:r>
      <w:rPr>
        <w:b/>
        <w:bCs/>
        <w:color w:val="000000"/>
      </w:rPr>
      <w:fldChar w:fldCharType="end"/>
    </w:r>
    <w:r>
      <w:rPr>
        <w:color w:val="000000"/>
      </w:rPr>
      <w:t xml:space="preserve"> de </w:t>
    </w:r>
    <w:r>
      <w:rPr>
        <w:b/>
        <w:bCs/>
        <w:color w:val="000000"/>
      </w:rPr>
      <w:fldChar w:fldCharType="begin"/>
    </w:r>
    <w:r>
      <w:rPr>
        <w:b/>
        <w:bCs/>
        <w:color w:val="000000"/>
      </w:rPr>
      <w:instrText>NUMPAGES</w:instrText>
    </w:r>
    <w:r>
      <w:rPr>
        <w:b/>
        <w:bCs/>
        <w:color w:val="000000"/>
      </w:rPr>
      <w:fldChar w:fldCharType="separate"/>
    </w:r>
    <w:r w:rsidR="000501D4">
      <w:rPr>
        <w:b/>
        <w:bCs/>
        <w:noProof/>
        <w:color w:val="000000"/>
      </w:rPr>
      <w:t>67</w:t>
    </w:r>
    <w:r>
      <w:rPr>
        <w:b/>
        <w:bCs/>
        <w:color w:val="000000"/>
      </w:rPr>
      <w:fldChar w:fldCharType="end"/>
    </w:r>
  </w:p>
  <w:p w14:paraId="59FCC3E1" w14:textId="77777777" w:rsidR="00C00D37" w:rsidRDefault="00C00D37">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F93F71" w14:textId="77777777" w:rsidR="008666CD" w:rsidRDefault="008666CD">
      <w:r>
        <w:separator/>
      </w:r>
    </w:p>
  </w:footnote>
  <w:footnote w:type="continuationSeparator" w:id="0">
    <w:p w14:paraId="6A0FB5C5" w14:textId="77777777" w:rsidR="008666CD" w:rsidRDefault="008666C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FA7B3" w14:textId="77777777" w:rsidR="00C00D37" w:rsidRDefault="004A69F1">
    <w:pPr>
      <w:widowControl w:val="0"/>
      <w:pBdr>
        <w:top w:val="nil"/>
        <w:left w:val="nil"/>
        <w:bottom w:val="nil"/>
        <w:right w:val="nil"/>
        <w:between w:val="nil"/>
      </w:pBdr>
      <w:rPr>
        <w:color w:val="000000"/>
      </w:rPr>
    </w:pPr>
    <w:r>
      <w:rPr>
        <w:noProof/>
      </w:rPr>
      <w:drawing>
        <wp:anchor distT="0" distB="0" distL="0" distR="0" simplePos="0" relativeHeight="251658240" behindDoc="1" locked="0" layoutInCell="1" hidden="0" allowOverlap="1" wp14:anchorId="189DD6E4" wp14:editId="7A49999A">
          <wp:simplePos x="0" y="0"/>
          <wp:positionH relativeFrom="column">
            <wp:posOffset>0</wp:posOffset>
          </wp:positionH>
          <wp:positionV relativeFrom="paragraph">
            <wp:posOffset>-401952</wp:posOffset>
          </wp:positionV>
          <wp:extent cx="7809876" cy="10165823"/>
          <wp:effectExtent l="0" t="0" r="0" b="0"/>
          <wp:wrapNone/>
          <wp:docPr id="194665057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809876" cy="10165823"/>
                  </a:xfrm>
                  <a:prstGeom prst="rect">
                    <a:avLst/>
                  </a:prstGeom>
                  <a:ln/>
                </pic:spPr>
              </pic:pic>
            </a:graphicData>
          </a:graphic>
        </wp:anchor>
      </w:drawing>
    </w:r>
  </w:p>
  <w:tbl>
    <w:tblPr>
      <w:tblStyle w:val="af9"/>
      <w:tblW w:w="5603" w:type="dxa"/>
      <w:tblInd w:w="3611" w:type="dxa"/>
      <w:tblLayout w:type="fixed"/>
      <w:tblLook w:val="0400" w:firstRow="0" w:lastRow="0" w:firstColumn="0" w:lastColumn="0" w:noHBand="0" w:noVBand="1"/>
    </w:tblPr>
    <w:tblGrid>
      <w:gridCol w:w="2551"/>
      <w:gridCol w:w="3052"/>
    </w:tblGrid>
    <w:tr w:rsidR="00C00D37" w14:paraId="1B80AD7C" w14:textId="77777777">
      <w:tc>
        <w:tcPr>
          <w:tcW w:w="2551" w:type="dxa"/>
          <w:vAlign w:val="center"/>
        </w:tcPr>
        <w:p w14:paraId="5BE14415" w14:textId="77777777" w:rsidR="00C00D37" w:rsidRDefault="004A69F1">
          <w:pPr>
            <w:pBdr>
              <w:top w:val="nil"/>
              <w:left w:val="nil"/>
              <w:bottom w:val="nil"/>
              <w:right w:val="nil"/>
              <w:between w:val="nil"/>
            </w:pBdr>
            <w:tabs>
              <w:tab w:val="center" w:pos="4419"/>
              <w:tab w:val="right" w:pos="8838"/>
            </w:tabs>
            <w:rPr>
              <w:rFonts w:ascii="Palatino Linotype" w:eastAsia="Palatino Linotype" w:hAnsi="Palatino Linotype" w:cs="Palatino Linotype"/>
              <w:b/>
              <w:bCs/>
              <w:color w:val="000000"/>
              <w:sz w:val="22"/>
              <w:szCs w:val="22"/>
            </w:rPr>
          </w:pPr>
          <w:r>
            <w:rPr>
              <w:rFonts w:ascii="Palatino Linotype" w:eastAsia="Palatino Linotype" w:hAnsi="Palatino Linotype" w:cs="Palatino Linotype"/>
              <w:b/>
              <w:bCs/>
              <w:color w:val="000000"/>
              <w:sz w:val="22"/>
              <w:szCs w:val="22"/>
            </w:rPr>
            <w:t>Recurso de Revisión:</w:t>
          </w:r>
        </w:p>
        <w:p w14:paraId="6BFDD376" w14:textId="77777777" w:rsidR="00C00D37" w:rsidRDefault="00C00D37">
          <w:pPr>
            <w:pBdr>
              <w:top w:val="nil"/>
              <w:left w:val="nil"/>
              <w:bottom w:val="nil"/>
              <w:right w:val="nil"/>
              <w:between w:val="nil"/>
            </w:pBdr>
            <w:tabs>
              <w:tab w:val="center" w:pos="4419"/>
              <w:tab w:val="right" w:pos="8838"/>
            </w:tabs>
            <w:rPr>
              <w:rFonts w:ascii="Palatino Linotype" w:eastAsia="Palatino Linotype" w:hAnsi="Palatino Linotype" w:cs="Palatino Linotype"/>
              <w:b/>
              <w:bCs/>
              <w:color w:val="000000"/>
              <w:sz w:val="22"/>
              <w:szCs w:val="22"/>
            </w:rPr>
          </w:pPr>
        </w:p>
      </w:tc>
      <w:tc>
        <w:tcPr>
          <w:tcW w:w="3052" w:type="dxa"/>
          <w:vAlign w:val="center"/>
        </w:tcPr>
        <w:p w14:paraId="03A63D0C" w14:textId="77777777" w:rsidR="00C00D37" w:rsidRDefault="004A69F1">
          <w:pPr>
            <w:pBdr>
              <w:top w:val="nil"/>
              <w:left w:val="nil"/>
              <w:bottom w:val="nil"/>
              <w:right w:val="nil"/>
              <w:between w:val="nil"/>
            </w:pBdr>
            <w:tabs>
              <w:tab w:val="center" w:pos="4419"/>
              <w:tab w:val="right" w:pos="8838"/>
            </w:tabs>
            <w:rPr>
              <w:rFonts w:ascii="Palatino Linotype" w:eastAsia="Palatino Linotype" w:hAnsi="Palatino Linotype" w:cs="Palatino Linotype"/>
              <w:b/>
              <w:bCs/>
              <w:color w:val="000000"/>
              <w:sz w:val="22"/>
              <w:szCs w:val="22"/>
            </w:rPr>
          </w:pPr>
          <w:r>
            <w:rPr>
              <w:rFonts w:ascii="Palatino Linotype" w:eastAsia="Palatino Linotype" w:hAnsi="Palatino Linotype" w:cs="Palatino Linotype"/>
              <w:b/>
              <w:bCs/>
              <w:sz w:val="22"/>
              <w:szCs w:val="22"/>
            </w:rPr>
            <w:t>06734/</w:t>
          </w:r>
          <w:r>
            <w:rPr>
              <w:rFonts w:ascii="Palatino Linotype" w:eastAsia="Palatino Linotype" w:hAnsi="Palatino Linotype" w:cs="Palatino Linotype"/>
              <w:b/>
              <w:bCs/>
              <w:color w:val="000000"/>
              <w:sz w:val="22"/>
              <w:szCs w:val="22"/>
            </w:rPr>
            <w:t>INFOEM/IP/RR/2026</w:t>
          </w:r>
        </w:p>
      </w:tc>
    </w:tr>
    <w:tr w:rsidR="00C00D37" w14:paraId="6075245A" w14:textId="77777777">
      <w:trPr>
        <w:trHeight w:val="217"/>
      </w:trPr>
      <w:tc>
        <w:tcPr>
          <w:tcW w:w="2551" w:type="dxa"/>
          <w:vAlign w:val="center"/>
        </w:tcPr>
        <w:p w14:paraId="328C2366" w14:textId="77777777" w:rsidR="00C00D37" w:rsidRDefault="004A69F1">
          <w:pPr>
            <w:pBdr>
              <w:top w:val="nil"/>
              <w:left w:val="nil"/>
              <w:bottom w:val="nil"/>
              <w:right w:val="nil"/>
              <w:between w:val="nil"/>
            </w:pBdr>
            <w:tabs>
              <w:tab w:val="center" w:pos="4419"/>
              <w:tab w:val="right" w:pos="8838"/>
            </w:tabs>
            <w:rPr>
              <w:rFonts w:ascii="Palatino Linotype" w:eastAsia="Palatino Linotype" w:hAnsi="Palatino Linotype" w:cs="Palatino Linotype"/>
              <w:b/>
              <w:bCs/>
              <w:color w:val="000000"/>
              <w:sz w:val="22"/>
              <w:szCs w:val="22"/>
            </w:rPr>
          </w:pPr>
          <w:r>
            <w:rPr>
              <w:rFonts w:ascii="Palatino Linotype" w:eastAsia="Palatino Linotype" w:hAnsi="Palatino Linotype" w:cs="Palatino Linotype"/>
              <w:b/>
              <w:bCs/>
              <w:color w:val="000000"/>
              <w:sz w:val="22"/>
              <w:szCs w:val="22"/>
            </w:rPr>
            <w:t>Sujeto obligado:</w:t>
          </w:r>
        </w:p>
      </w:tc>
      <w:tc>
        <w:tcPr>
          <w:tcW w:w="3052" w:type="dxa"/>
          <w:vAlign w:val="center"/>
        </w:tcPr>
        <w:p w14:paraId="4536C01E" w14:textId="77777777" w:rsidR="00C00D37" w:rsidRDefault="004A69F1">
          <w:pPr>
            <w:pBdr>
              <w:top w:val="nil"/>
              <w:left w:val="nil"/>
              <w:bottom w:val="nil"/>
              <w:right w:val="nil"/>
              <w:between w:val="nil"/>
            </w:pBdr>
            <w:tabs>
              <w:tab w:val="center" w:pos="4419"/>
              <w:tab w:val="right" w:pos="8838"/>
            </w:tabs>
            <w:ind w:right="168"/>
            <w:jc w:val="both"/>
            <w:rPr>
              <w:rFonts w:ascii="Palatino Linotype" w:eastAsia="Palatino Linotype" w:hAnsi="Palatino Linotype" w:cs="Palatino Linotype"/>
              <w:b/>
              <w:bCs/>
              <w:color w:val="000000"/>
              <w:sz w:val="22"/>
              <w:szCs w:val="22"/>
            </w:rPr>
          </w:pPr>
          <w:r>
            <w:rPr>
              <w:rFonts w:ascii="Palatino Linotype" w:eastAsia="Palatino Linotype" w:hAnsi="Palatino Linotype" w:cs="Palatino Linotype"/>
              <w:b/>
              <w:bCs/>
              <w:color w:val="000000"/>
              <w:sz w:val="22"/>
              <w:szCs w:val="22"/>
            </w:rPr>
            <w:t>Ayuntamiento de Tianguistenco</w:t>
          </w:r>
        </w:p>
      </w:tc>
    </w:tr>
    <w:tr w:rsidR="00C00D37" w14:paraId="72C5EEB8" w14:textId="77777777">
      <w:tc>
        <w:tcPr>
          <w:tcW w:w="2551" w:type="dxa"/>
          <w:vAlign w:val="center"/>
        </w:tcPr>
        <w:p w14:paraId="0900684A" w14:textId="77777777" w:rsidR="00C00D37" w:rsidRDefault="004A69F1">
          <w:pPr>
            <w:pBdr>
              <w:top w:val="nil"/>
              <w:left w:val="nil"/>
              <w:bottom w:val="nil"/>
              <w:right w:val="nil"/>
              <w:between w:val="nil"/>
            </w:pBdr>
            <w:tabs>
              <w:tab w:val="center" w:pos="4419"/>
              <w:tab w:val="right" w:pos="8838"/>
            </w:tabs>
            <w:rPr>
              <w:rFonts w:ascii="Palatino Linotype" w:eastAsia="Palatino Linotype" w:hAnsi="Palatino Linotype" w:cs="Palatino Linotype"/>
              <w:b/>
              <w:bCs/>
              <w:color w:val="000000"/>
              <w:sz w:val="22"/>
              <w:szCs w:val="22"/>
            </w:rPr>
          </w:pPr>
          <w:r>
            <w:rPr>
              <w:rFonts w:ascii="Palatino Linotype" w:eastAsia="Palatino Linotype" w:hAnsi="Palatino Linotype" w:cs="Palatino Linotype"/>
              <w:b/>
              <w:bCs/>
              <w:color w:val="000000"/>
              <w:sz w:val="22"/>
              <w:szCs w:val="22"/>
            </w:rPr>
            <w:t>Comisionada ponente:</w:t>
          </w:r>
        </w:p>
      </w:tc>
      <w:tc>
        <w:tcPr>
          <w:tcW w:w="3052" w:type="dxa"/>
          <w:vAlign w:val="center"/>
        </w:tcPr>
        <w:p w14:paraId="6FAD9F52" w14:textId="77777777" w:rsidR="00C00D37" w:rsidRDefault="004A69F1">
          <w:pPr>
            <w:pBdr>
              <w:top w:val="nil"/>
              <w:left w:val="nil"/>
              <w:bottom w:val="nil"/>
              <w:right w:val="nil"/>
              <w:between w:val="nil"/>
            </w:pBdr>
            <w:tabs>
              <w:tab w:val="center" w:pos="4419"/>
              <w:tab w:val="right" w:pos="8838"/>
            </w:tabs>
            <w:rPr>
              <w:rFonts w:ascii="Palatino Linotype" w:eastAsia="Palatino Linotype" w:hAnsi="Palatino Linotype" w:cs="Palatino Linotype"/>
              <w:b/>
              <w:bCs/>
              <w:color w:val="000000"/>
              <w:sz w:val="22"/>
              <w:szCs w:val="22"/>
            </w:rPr>
          </w:pPr>
          <w:r>
            <w:rPr>
              <w:rFonts w:ascii="Palatino Linotype" w:eastAsia="Palatino Linotype" w:hAnsi="Palatino Linotype" w:cs="Palatino Linotype"/>
              <w:b/>
              <w:bCs/>
              <w:color w:val="000000"/>
              <w:sz w:val="22"/>
              <w:szCs w:val="22"/>
            </w:rPr>
            <w:t>Guadalupe Ramírez Peña</w:t>
          </w:r>
        </w:p>
      </w:tc>
    </w:tr>
  </w:tbl>
  <w:p w14:paraId="2E63F245" w14:textId="77777777" w:rsidR="00C00D37" w:rsidRDefault="00C00D37">
    <w:pPr>
      <w:pBdr>
        <w:top w:val="nil"/>
        <w:left w:val="nil"/>
        <w:bottom w:val="nil"/>
        <w:right w:val="nil"/>
        <w:between w:val="nil"/>
      </w:pBdr>
      <w:tabs>
        <w:tab w:val="center" w:pos="4419"/>
        <w:tab w:val="right" w:pos="8838"/>
      </w:tabs>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688EE" w14:textId="77777777" w:rsidR="00C00D37" w:rsidRDefault="004A69F1">
    <w:pPr>
      <w:widowControl w:val="0"/>
      <w:pBdr>
        <w:top w:val="nil"/>
        <w:left w:val="nil"/>
        <w:bottom w:val="nil"/>
        <w:right w:val="nil"/>
        <w:between w:val="nil"/>
      </w:pBdr>
      <w:rPr>
        <w:rFonts w:ascii="Palatino Linotype" w:eastAsia="Palatino Linotype" w:hAnsi="Palatino Linotype" w:cs="Palatino Linotype"/>
        <w:sz w:val="22"/>
        <w:szCs w:val="22"/>
      </w:rPr>
    </w:pPr>
    <w:r>
      <w:rPr>
        <w:rFonts w:ascii="Palatino Linotype" w:eastAsia="Palatino Linotype" w:hAnsi="Palatino Linotype" w:cs="Palatino Linotype"/>
        <w:sz w:val="22"/>
        <w:szCs w:val="22"/>
      </w:rPr>
      <w:t>|</w:t>
    </w:r>
    <w:r>
      <w:rPr>
        <w:noProof/>
      </w:rPr>
      <w:drawing>
        <wp:anchor distT="0" distB="0" distL="0" distR="0" simplePos="0" relativeHeight="251659264" behindDoc="1" locked="0" layoutInCell="1" hidden="0" allowOverlap="1" wp14:anchorId="7496B2A9" wp14:editId="5450F833">
          <wp:simplePos x="0" y="0"/>
          <wp:positionH relativeFrom="column">
            <wp:posOffset>-929003</wp:posOffset>
          </wp:positionH>
          <wp:positionV relativeFrom="paragraph">
            <wp:posOffset>-644523</wp:posOffset>
          </wp:positionV>
          <wp:extent cx="7809865" cy="10165715"/>
          <wp:effectExtent l="0" t="0" r="0" b="0"/>
          <wp:wrapNone/>
          <wp:docPr id="194665057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7809865" cy="10165715"/>
                  </a:xfrm>
                  <a:prstGeom prst="rect">
                    <a:avLst/>
                  </a:prstGeom>
                  <a:ln/>
                </pic:spPr>
              </pic:pic>
            </a:graphicData>
          </a:graphic>
        </wp:anchor>
      </w:drawing>
    </w:r>
  </w:p>
  <w:tbl>
    <w:tblPr>
      <w:tblStyle w:val="afa"/>
      <w:tblW w:w="5461" w:type="dxa"/>
      <w:tblInd w:w="3611" w:type="dxa"/>
      <w:tblLayout w:type="fixed"/>
      <w:tblLook w:val="0400" w:firstRow="0" w:lastRow="0" w:firstColumn="0" w:lastColumn="0" w:noHBand="0" w:noVBand="1"/>
    </w:tblPr>
    <w:tblGrid>
      <w:gridCol w:w="2343"/>
      <w:gridCol w:w="3118"/>
    </w:tblGrid>
    <w:tr w:rsidR="00C00D37" w14:paraId="1633F4D0" w14:textId="77777777">
      <w:tc>
        <w:tcPr>
          <w:tcW w:w="2343" w:type="dxa"/>
          <w:vAlign w:val="center"/>
        </w:tcPr>
        <w:p w14:paraId="5DEFBE5E" w14:textId="77777777" w:rsidR="00C00D37" w:rsidRDefault="004A69F1">
          <w:pPr>
            <w:pBdr>
              <w:top w:val="nil"/>
              <w:left w:val="nil"/>
              <w:bottom w:val="nil"/>
              <w:right w:val="nil"/>
              <w:between w:val="nil"/>
            </w:pBdr>
            <w:tabs>
              <w:tab w:val="center" w:pos="4419"/>
              <w:tab w:val="right" w:pos="8838"/>
            </w:tabs>
            <w:rPr>
              <w:rFonts w:ascii="Palatino Linotype" w:eastAsia="Palatino Linotype" w:hAnsi="Palatino Linotype" w:cs="Palatino Linotype"/>
              <w:b/>
              <w:bCs/>
              <w:color w:val="000000"/>
              <w:sz w:val="22"/>
              <w:szCs w:val="22"/>
            </w:rPr>
          </w:pPr>
          <w:r>
            <w:rPr>
              <w:rFonts w:ascii="Palatino Linotype" w:eastAsia="Palatino Linotype" w:hAnsi="Palatino Linotype" w:cs="Palatino Linotype"/>
              <w:b/>
              <w:bCs/>
              <w:color w:val="000000"/>
              <w:sz w:val="22"/>
              <w:szCs w:val="22"/>
            </w:rPr>
            <w:t>Recurso de Revisión:</w:t>
          </w:r>
        </w:p>
        <w:p w14:paraId="516706EC" w14:textId="77777777" w:rsidR="00C00D37" w:rsidRDefault="00C00D37">
          <w:pPr>
            <w:pBdr>
              <w:top w:val="nil"/>
              <w:left w:val="nil"/>
              <w:bottom w:val="nil"/>
              <w:right w:val="nil"/>
              <w:between w:val="nil"/>
            </w:pBdr>
            <w:tabs>
              <w:tab w:val="center" w:pos="4419"/>
              <w:tab w:val="right" w:pos="8838"/>
            </w:tabs>
            <w:rPr>
              <w:rFonts w:ascii="Palatino Linotype" w:eastAsia="Palatino Linotype" w:hAnsi="Palatino Linotype" w:cs="Palatino Linotype"/>
              <w:b/>
              <w:bCs/>
              <w:color w:val="000000"/>
              <w:sz w:val="22"/>
              <w:szCs w:val="22"/>
            </w:rPr>
          </w:pPr>
        </w:p>
      </w:tc>
      <w:tc>
        <w:tcPr>
          <w:tcW w:w="3118" w:type="dxa"/>
          <w:vAlign w:val="center"/>
        </w:tcPr>
        <w:p w14:paraId="78815F5A" w14:textId="77777777" w:rsidR="00C00D37" w:rsidRDefault="004A69F1">
          <w:pPr>
            <w:pBdr>
              <w:top w:val="nil"/>
              <w:left w:val="nil"/>
              <w:bottom w:val="nil"/>
              <w:right w:val="nil"/>
              <w:between w:val="nil"/>
            </w:pBdr>
            <w:tabs>
              <w:tab w:val="center" w:pos="4419"/>
              <w:tab w:val="right" w:pos="8838"/>
            </w:tabs>
            <w:rPr>
              <w:rFonts w:ascii="Palatino Linotype" w:eastAsia="Palatino Linotype" w:hAnsi="Palatino Linotype" w:cs="Palatino Linotype"/>
              <w:b/>
              <w:bCs/>
              <w:color w:val="000000"/>
              <w:sz w:val="22"/>
              <w:szCs w:val="22"/>
            </w:rPr>
          </w:pPr>
          <w:r>
            <w:rPr>
              <w:rFonts w:ascii="Palatino Linotype" w:eastAsia="Palatino Linotype" w:hAnsi="Palatino Linotype" w:cs="Palatino Linotype"/>
              <w:b/>
              <w:bCs/>
              <w:sz w:val="22"/>
              <w:szCs w:val="22"/>
            </w:rPr>
            <w:t>06734/INFOEM/IP/RR/2026</w:t>
          </w:r>
        </w:p>
      </w:tc>
    </w:tr>
    <w:tr w:rsidR="00C00D37" w14:paraId="1DD6F6FA" w14:textId="77777777">
      <w:tc>
        <w:tcPr>
          <w:tcW w:w="2343" w:type="dxa"/>
          <w:vAlign w:val="center"/>
        </w:tcPr>
        <w:p w14:paraId="62437F71" w14:textId="77777777" w:rsidR="00C00D37" w:rsidRDefault="004A69F1">
          <w:pPr>
            <w:pBdr>
              <w:top w:val="nil"/>
              <w:left w:val="nil"/>
              <w:bottom w:val="nil"/>
              <w:right w:val="nil"/>
              <w:between w:val="nil"/>
            </w:pBdr>
            <w:tabs>
              <w:tab w:val="center" w:pos="4419"/>
              <w:tab w:val="right" w:pos="8838"/>
            </w:tabs>
            <w:rPr>
              <w:rFonts w:ascii="Palatino Linotype" w:eastAsia="Palatino Linotype" w:hAnsi="Palatino Linotype" w:cs="Palatino Linotype"/>
              <w:b/>
              <w:bCs/>
              <w:color w:val="000000"/>
              <w:sz w:val="22"/>
              <w:szCs w:val="22"/>
            </w:rPr>
          </w:pPr>
          <w:r>
            <w:rPr>
              <w:rFonts w:ascii="Palatino Linotype" w:eastAsia="Palatino Linotype" w:hAnsi="Palatino Linotype" w:cs="Palatino Linotype"/>
              <w:b/>
              <w:bCs/>
              <w:color w:val="000000"/>
              <w:sz w:val="22"/>
              <w:szCs w:val="22"/>
            </w:rPr>
            <w:t>Recurrente:</w:t>
          </w:r>
        </w:p>
      </w:tc>
      <w:tc>
        <w:tcPr>
          <w:tcW w:w="3118" w:type="dxa"/>
          <w:vAlign w:val="center"/>
        </w:tcPr>
        <w:p w14:paraId="527CEE83" w14:textId="2628C577" w:rsidR="00C00D37" w:rsidRDefault="000501D4">
          <w:pPr>
            <w:pBdr>
              <w:top w:val="nil"/>
              <w:left w:val="nil"/>
              <w:bottom w:val="nil"/>
              <w:right w:val="nil"/>
              <w:between w:val="nil"/>
            </w:pBdr>
            <w:tabs>
              <w:tab w:val="center" w:pos="4419"/>
              <w:tab w:val="right" w:pos="8838"/>
            </w:tabs>
            <w:rPr>
              <w:rFonts w:ascii="Palatino Linotype" w:eastAsia="Palatino Linotype" w:hAnsi="Palatino Linotype" w:cs="Palatino Linotype"/>
              <w:b/>
              <w:bCs/>
              <w:color w:val="000000"/>
              <w:sz w:val="22"/>
              <w:szCs w:val="22"/>
            </w:rPr>
          </w:pPr>
          <w:r>
            <w:rPr>
              <w:rFonts w:ascii="Palatino Linotype" w:eastAsia="Palatino Linotype" w:hAnsi="Palatino Linotype" w:cs="Palatino Linotype"/>
              <w:b/>
              <w:bCs/>
              <w:color w:val="000000"/>
              <w:sz w:val="22"/>
              <w:szCs w:val="22"/>
            </w:rPr>
            <w:t>XXXX XXXXXX XXXXXXXX</w:t>
          </w:r>
        </w:p>
      </w:tc>
    </w:tr>
    <w:tr w:rsidR="00C00D37" w14:paraId="1730ECD0" w14:textId="77777777">
      <w:trPr>
        <w:trHeight w:val="152"/>
      </w:trPr>
      <w:tc>
        <w:tcPr>
          <w:tcW w:w="2343" w:type="dxa"/>
          <w:vAlign w:val="center"/>
        </w:tcPr>
        <w:p w14:paraId="5ACD9110" w14:textId="77777777" w:rsidR="00C00D37" w:rsidRDefault="004A69F1">
          <w:pPr>
            <w:tabs>
              <w:tab w:val="center" w:pos="4419"/>
              <w:tab w:val="right" w:pos="8838"/>
            </w:tabs>
            <w:rPr>
              <w:rFonts w:ascii="Palatino Linotype" w:eastAsia="Palatino Linotype" w:hAnsi="Palatino Linotype" w:cs="Palatino Linotype"/>
              <w:b/>
              <w:bCs/>
              <w:color w:val="000000"/>
              <w:sz w:val="22"/>
              <w:szCs w:val="22"/>
            </w:rPr>
          </w:pPr>
          <w:r>
            <w:rPr>
              <w:rFonts w:ascii="Palatino Linotype" w:eastAsia="Palatino Linotype" w:hAnsi="Palatino Linotype" w:cs="Palatino Linotype"/>
              <w:b/>
              <w:bCs/>
              <w:color w:val="000000"/>
              <w:sz w:val="22"/>
              <w:szCs w:val="22"/>
            </w:rPr>
            <w:t>Sujeto obligado:</w:t>
          </w:r>
        </w:p>
        <w:p w14:paraId="1B42EE27" w14:textId="77777777" w:rsidR="00C00D37" w:rsidRDefault="00C00D37">
          <w:pPr>
            <w:tabs>
              <w:tab w:val="center" w:pos="4419"/>
              <w:tab w:val="right" w:pos="8838"/>
            </w:tabs>
            <w:rPr>
              <w:rFonts w:ascii="Palatino Linotype" w:eastAsia="Palatino Linotype" w:hAnsi="Palatino Linotype" w:cs="Palatino Linotype"/>
              <w:b/>
              <w:bCs/>
              <w:color w:val="000000"/>
              <w:sz w:val="22"/>
              <w:szCs w:val="22"/>
            </w:rPr>
          </w:pPr>
        </w:p>
      </w:tc>
      <w:tc>
        <w:tcPr>
          <w:tcW w:w="3118" w:type="dxa"/>
          <w:vAlign w:val="center"/>
        </w:tcPr>
        <w:p w14:paraId="71B711C0" w14:textId="77777777" w:rsidR="00C00D37" w:rsidRDefault="004A69F1">
          <w:pPr>
            <w:pBdr>
              <w:top w:val="nil"/>
              <w:left w:val="nil"/>
              <w:bottom w:val="nil"/>
              <w:right w:val="nil"/>
              <w:between w:val="nil"/>
            </w:pBdr>
            <w:tabs>
              <w:tab w:val="center" w:pos="4419"/>
              <w:tab w:val="right" w:pos="8838"/>
            </w:tabs>
            <w:jc w:val="both"/>
            <w:rPr>
              <w:rFonts w:ascii="Palatino Linotype" w:eastAsia="Palatino Linotype" w:hAnsi="Palatino Linotype" w:cs="Palatino Linotype"/>
              <w:b/>
              <w:bCs/>
              <w:color w:val="000000"/>
              <w:sz w:val="22"/>
              <w:szCs w:val="22"/>
            </w:rPr>
          </w:pPr>
          <w:r>
            <w:rPr>
              <w:rFonts w:ascii="Palatino Linotype" w:eastAsia="Palatino Linotype" w:hAnsi="Palatino Linotype" w:cs="Palatino Linotype"/>
              <w:b/>
              <w:bCs/>
              <w:color w:val="000000"/>
              <w:sz w:val="22"/>
              <w:szCs w:val="22"/>
            </w:rPr>
            <w:t>Ayuntamiento de Tianguistenco</w:t>
          </w:r>
        </w:p>
      </w:tc>
    </w:tr>
    <w:tr w:rsidR="00C00D37" w14:paraId="16E153A2" w14:textId="77777777">
      <w:tc>
        <w:tcPr>
          <w:tcW w:w="2343" w:type="dxa"/>
          <w:vAlign w:val="center"/>
        </w:tcPr>
        <w:p w14:paraId="4AF996FE" w14:textId="77777777" w:rsidR="00C00D37" w:rsidRDefault="004A69F1">
          <w:pPr>
            <w:pBdr>
              <w:top w:val="nil"/>
              <w:left w:val="nil"/>
              <w:bottom w:val="nil"/>
              <w:right w:val="nil"/>
              <w:between w:val="nil"/>
            </w:pBdr>
            <w:tabs>
              <w:tab w:val="center" w:pos="4419"/>
              <w:tab w:val="right" w:pos="8838"/>
            </w:tabs>
            <w:rPr>
              <w:rFonts w:ascii="Palatino Linotype" w:eastAsia="Palatino Linotype" w:hAnsi="Palatino Linotype" w:cs="Palatino Linotype"/>
              <w:b/>
              <w:bCs/>
              <w:color w:val="000000"/>
              <w:sz w:val="22"/>
              <w:szCs w:val="22"/>
            </w:rPr>
          </w:pPr>
          <w:r>
            <w:rPr>
              <w:rFonts w:ascii="Palatino Linotype" w:eastAsia="Palatino Linotype" w:hAnsi="Palatino Linotype" w:cs="Palatino Linotype"/>
              <w:b/>
              <w:bCs/>
              <w:color w:val="000000"/>
              <w:sz w:val="22"/>
              <w:szCs w:val="22"/>
            </w:rPr>
            <w:t>Comisionada ponente:</w:t>
          </w:r>
        </w:p>
      </w:tc>
      <w:tc>
        <w:tcPr>
          <w:tcW w:w="3118" w:type="dxa"/>
          <w:vAlign w:val="center"/>
        </w:tcPr>
        <w:p w14:paraId="64226749" w14:textId="77777777" w:rsidR="00C00D37" w:rsidRDefault="004A69F1">
          <w:pPr>
            <w:pBdr>
              <w:top w:val="nil"/>
              <w:left w:val="nil"/>
              <w:bottom w:val="nil"/>
              <w:right w:val="nil"/>
              <w:between w:val="nil"/>
            </w:pBdr>
            <w:tabs>
              <w:tab w:val="center" w:pos="4419"/>
              <w:tab w:val="right" w:pos="8838"/>
            </w:tabs>
            <w:rPr>
              <w:rFonts w:ascii="Palatino Linotype" w:eastAsia="Palatino Linotype" w:hAnsi="Palatino Linotype" w:cs="Palatino Linotype"/>
              <w:b/>
              <w:bCs/>
              <w:color w:val="000000"/>
              <w:sz w:val="22"/>
              <w:szCs w:val="22"/>
            </w:rPr>
          </w:pPr>
          <w:r>
            <w:rPr>
              <w:rFonts w:ascii="Palatino Linotype" w:eastAsia="Palatino Linotype" w:hAnsi="Palatino Linotype" w:cs="Palatino Linotype"/>
              <w:b/>
              <w:bCs/>
              <w:color w:val="000000"/>
              <w:sz w:val="22"/>
              <w:szCs w:val="22"/>
            </w:rPr>
            <w:t>Guadalupe Ramírez Peña</w:t>
          </w:r>
        </w:p>
      </w:tc>
    </w:tr>
  </w:tbl>
  <w:p w14:paraId="5D5227D8" w14:textId="77777777" w:rsidR="00C00D37" w:rsidRDefault="004A69F1">
    <w:pPr>
      <w:rPr>
        <w:color w:val="000000"/>
        <w:sz w:val="22"/>
        <w:szCs w:val="22"/>
      </w:rPr>
    </w:pPr>
    <w:r>
      <w:rPr>
        <w:color w:val="000000"/>
        <w:sz w:val="22"/>
        <w:szCs w:val="22"/>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11E72"/>
    <w:multiLevelType w:val="multilevel"/>
    <w:tmpl w:val="3FD8B9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165E3A18"/>
    <w:multiLevelType w:val="multilevel"/>
    <w:tmpl w:val="D34E0FA8"/>
    <w:lvl w:ilvl="0">
      <w:numFmt w:val="upperRoman"/>
      <w:lvlText w:val="%1."/>
      <w:lvlJc w:val="righ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7693ACC"/>
    <w:multiLevelType w:val="multilevel"/>
    <w:tmpl w:val="E63645E6"/>
    <w:lvl w:ilvl="0">
      <w:start w:val="1"/>
      <w:numFmt w:val="decimal"/>
      <w:pStyle w:val="Listaconvietas"/>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2D8C02DA"/>
    <w:multiLevelType w:val="multilevel"/>
    <w:tmpl w:val="42148066"/>
    <w:lvl w:ilvl="0">
      <w:start w:val="5"/>
      <w:numFmt w:val="upperRoman"/>
      <w:lvlText w:val="%1."/>
      <w:lvlJc w:val="left"/>
      <w:pPr>
        <w:ind w:left="1296" w:hanging="720"/>
      </w:pPr>
    </w:lvl>
    <w:lvl w:ilvl="1">
      <w:start w:val="1"/>
      <w:numFmt w:val="lowerLetter"/>
      <w:lvlText w:val="%2."/>
      <w:lvlJc w:val="left"/>
      <w:pPr>
        <w:ind w:left="1656" w:hanging="360"/>
      </w:pPr>
    </w:lvl>
    <w:lvl w:ilvl="2">
      <w:start w:val="1"/>
      <w:numFmt w:val="lowerRoman"/>
      <w:lvlText w:val="%3."/>
      <w:lvlJc w:val="right"/>
      <w:pPr>
        <w:ind w:left="2376" w:hanging="180"/>
      </w:pPr>
    </w:lvl>
    <w:lvl w:ilvl="3">
      <w:start w:val="1"/>
      <w:numFmt w:val="decimal"/>
      <w:lvlText w:val="%4."/>
      <w:lvlJc w:val="left"/>
      <w:pPr>
        <w:ind w:left="3096" w:hanging="360"/>
      </w:pPr>
    </w:lvl>
    <w:lvl w:ilvl="4">
      <w:start w:val="1"/>
      <w:numFmt w:val="lowerLetter"/>
      <w:lvlText w:val="%5."/>
      <w:lvlJc w:val="left"/>
      <w:pPr>
        <w:ind w:left="3816" w:hanging="360"/>
      </w:pPr>
    </w:lvl>
    <w:lvl w:ilvl="5">
      <w:start w:val="1"/>
      <w:numFmt w:val="lowerRoman"/>
      <w:lvlText w:val="%6."/>
      <w:lvlJc w:val="right"/>
      <w:pPr>
        <w:ind w:left="4536" w:hanging="180"/>
      </w:pPr>
    </w:lvl>
    <w:lvl w:ilvl="6">
      <w:start w:val="1"/>
      <w:numFmt w:val="decimal"/>
      <w:lvlText w:val="%7."/>
      <w:lvlJc w:val="left"/>
      <w:pPr>
        <w:ind w:left="5256" w:hanging="360"/>
      </w:pPr>
    </w:lvl>
    <w:lvl w:ilvl="7">
      <w:start w:val="1"/>
      <w:numFmt w:val="lowerLetter"/>
      <w:lvlText w:val="%8."/>
      <w:lvlJc w:val="left"/>
      <w:pPr>
        <w:ind w:left="5976" w:hanging="360"/>
      </w:pPr>
    </w:lvl>
    <w:lvl w:ilvl="8">
      <w:start w:val="1"/>
      <w:numFmt w:val="lowerRoman"/>
      <w:lvlText w:val="%9."/>
      <w:lvlJc w:val="right"/>
      <w:pPr>
        <w:ind w:left="6696" w:hanging="180"/>
      </w:pPr>
    </w:lvl>
  </w:abstractNum>
  <w:abstractNum w:abstractNumId="4" w15:restartNumberingAfterBreak="0">
    <w:nsid w:val="2EE556A7"/>
    <w:multiLevelType w:val="multilevel"/>
    <w:tmpl w:val="38E05552"/>
    <w:lvl w:ilvl="0">
      <w:start w:val="1"/>
      <w:numFmt w:val="bullet"/>
      <w:pStyle w:val="Listaconvietas3"/>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6BA3C9C"/>
    <w:multiLevelType w:val="multilevel"/>
    <w:tmpl w:val="D1ECE812"/>
    <w:lvl w:ilvl="0">
      <w:start w:val="2"/>
      <w:numFmt w:val="bullet"/>
      <w:lvlText w:val="●"/>
      <w:lvlJc w:val="left"/>
      <w:pPr>
        <w:ind w:left="360" w:hanging="360"/>
      </w:pPr>
      <w:rPr>
        <w:rFonts w:ascii="Noto Sans Symbols" w:eastAsia="Noto Sans Symbols" w:hAnsi="Noto Sans Symbols" w:cs="Noto Sans Symbols"/>
        <w:b/>
        <w:bCs/>
        <w:i w:val="0"/>
        <w:iCs w:val="0"/>
        <w:color w:val="0D0D0D"/>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75633A30"/>
    <w:multiLevelType w:val="multilevel"/>
    <w:tmpl w:val="E118DD38"/>
    <w:lvl w:ilvl="0">
      <w:start w:val="3"/>
      <w:numFmt w:val="bullet"/>
      <w:lvlText w:val="-"/>
      <w:lvlJc w:val="left"/>
      <w:pPr>
        <w:ind w:left="720" w:hanging="360"/>
      </w:pPr>
      <w:rPr>
        <w:rFonts w:ascii="Palatino Linotype" w:eastAsia="Palatino Linotype" w:hAnsi="Palatino Linotype" w:cs="Palatino Linotyp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A136EEB"/>
    <w:multiLevelType w:val="multilevel"/>
    <w:tmpl w:val="1F2639CC"/>
    <w:lvl w:ilvl="0">
      <w:start w:val="1"/>
      <w:numFmt w:val="lowerLetter"/>
      <w:lvlText w:val="%1)"/>
      <w:lvlJc w:val="left"/>
      <w:pPr>
        <w:ind w:left="927" w:hanging="360"/>
      </w:pPr>
      <w:rPr>
        <w:b/>
        <w:bCs/>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4"/>
  </w:num>
  <w:num w:numId="2">
    <w:abstractNumId w:val="2"/>
  </w:num>
  <w:num w:numId="3">
    <w:abstractNumId w:val="3"/>
  </w:num>
  <w:num w:numId="4">
    <w:abstractNumId w:val="1"/>
  </w:num>
  <w:num w:numId="5">
    <w:abstractNumId w:val="6"/>
  </w:num>
  <w:num w:numId="6">
    <w:abstractNumId w:val="7"/>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0D37"/>
    <w:rsid w:val="000501D4"/>
    <w:rsid w:val="004A69F1"/>
    <w:rsid w:val="0063563C"/>
    <w:rsid w:val="008666CD"/>
    <w:rsid w:val="0090188B"/>
    <w:rsid w:val="00C00D3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8EDF"/>
  <w15:docId w15:val="{B000C3B7-16C3-4DD8-8C17-0431EC91F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0" w:type="dxa"/>
        <w:left w:w="0" w:type="dxa"/>
        <w:bottom w:w="0" w:type="dxa"/>
        <w:right w:w="0" w:type="dxa"/>
      </w:tblCellMar>
    </w:tblPr>
  </w:style>
  <w:style w:type="table" w:customStyle="1" w:styleId="TableNormal2">
    <w:name w:val="Table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20">
    <w:name w:val="Table Normal2"/>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paragraph" w:styleId="Encabezado">
    <w:name w:val="header"/>
    <w:basedOn w:val="Normal"/>
    <w:link w:val="EncabezadoCar"/>
    <w:uiPriority w:val="99"/>
    <w:unhideWhenUsed/>
    <w:rsid w:val="00CD74AE"/>
    <w:pPr>
      <w:tabs>
        <w:tab w:val="center" w:pos="4419"/>
        <w:tab w:val="right" w:pos="8838"/>
      </w:tabs>
    </w:pPr>
  </w:style>
  <w:style w:type="character" w:customStyle="1" w:styleId="EncabezadoCar">
    <w:name w:val="Encabezado Car"/>
    <w:basedOn w:val="Fuentedeprrafopredeter"/>
    <w:link w:val="Encabezado"/>
    <w:uiPriority w:val="99"/>
    <w:rsid w:val="00CD74AE"/>
  </w:style>
  <w:style w:type="paragraph" w:styleId="Piedepgina">
    <w:name w:val="footer"/>
    <w:basedOn w:val="Normal"/>
    <w:link w:val="PiedepginaCar"/>
    <w:uiPriority w:val="99"/>
    <w:unhideWhenUsed/>
    <w:rsid w:val="00CD74AE"/>
    <w:pPr>
      <w:tabs>
        <w:tab w:val="center" w:pos="4419"/>
        <w:tab w:val="right" w:pos="8838"/>
      </w:tabs>
    </w:pPr>
  </w:style>
  <w:style w:type="character" w:customStyle="1" w:styleId="PiedepginaCar">
    <w:name w:val="Pie de página Car"/>
    <w:basedOn w:val="Fuentedeprrafopredeter"/>
    <w:link w:val="Piedepgina"/>
    <w:uiPriority w:val="99"/>
    <w:rsid w:val="00CD74AE"/>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1"/>
    <w:qFormat/>
    <w:rsid w:val="00CD74AE"/>
    <w:pPr>
      <w:ind w:left="720"/>
      <w:contextualSpacing/>
    </w:pPr>
  </w:style>
  <w:style w:type="character" w:styleId="Hipervnculo">
    <w:name w:val="Hyperlink"/>
    <w:aliases w:val="Hipervínculo1,Hipervínculo11,Hipervínculo12,Hipervínculo13,Hipervínculo14,Hipervínculo15"/>
    <w:basedOn w:val="Fuentedeprrafopredeter"/>
    <w:uiPriority w:val="99"/>
    <w:unhideWhenUsed/>
    <w:qFormat/>
    <w:rsid w:val="00CD74AE"/>
    <w:rPr>
      <w:color w:val="0563C1" w:themeColor="hyperlink"/>
      <w:u w:val="single"/>
    </w:rPr>
  </w:style>
  <w:style w:type="table" w:styleId="Tablaconcuadrcula">
    <w:name w:val="Table Grid"/>
    <w:basedOn w:val="Tablanormal"/>
    <w:uiPriority w:val="39"/>
    <w:rsid w:val="009C1D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D2AA5"/>
    <w:pPr>
      <w:spacing w:before="100" w:beforeAutospacing="1" w:after="100" w:afterAutospacing="1"/>
    </w:p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72"/>
    <w:qFormat/>
    <w:locked/>
    <w:rsid w:val="009F3FE6"/>
  </w:style>
  <w:style w:type="table" w:customStyle="1" w:styleId="6">
    <w:name w:val="6"/>
    <w:basedOn w:val="TableNormal10"/>
    <w:tblPr>
      <w:tblStyleRowBandSize w:val="1"/>
      <w:tblStyleColBandSize w:val="1"/>
      <w:tblCellMar>
        <w:top w:w="15" w:type="dxa"/>
        <w:left w:w="15" w:type="dxa"/>
        <w:bottom w:w="15" w:type="dxa"/>
        <w:right w:w="15" w:type="dxa"/>
      </w:tblCellMar>
    </w:tblPr>
  </w:style>
  <w:style w:type="table" w:customStyle="1" w:styleId="5">
    <w:name w:val="5"/>
    <w:basedOn w:val="TableNormal10"/>
    <w:tblPr>
      <w:tblStyleRowBandSize w:val="1"/>
      <w:tblStyleColBandSize w:val="1"/>
      <w:tblCellMar>
        <w:left w:w="115" w:type="dxa"/>
        <w:right w:w="115" w:type="dxa"/>
      </w:tblCellMar>
    </w:tblPr>
  </w:style>
  <w:style w:type="table" w:customStyle="1" w:styleId="4">
    <w:name w:val="4"/>
    <w:basedOn w:val="TableNormal10"/>
    <w:tblPr>
      <w:tblStyleRowBandSize w:val="1"/>
      <w:tblStyleColBandSize w:val="1"/>
      <w:tblCellMar>
        <w:left w:w="115" w:type="dxa"/>
        <w:right w:w="115" w:type="dxa"/>
      </w:tblCellMar>
    </w:tblPr>
  </w:style>
  <w:style w:type="table" w:customStyle="1" w:styleId="3">
    <w:name w:val="3"/>
    <w:basedOn w:val="TableNormal10"/>
    <w:tblPr>
      <w:tblStyleRowBandSize w:val="1"/>
      <w:tblStyleColBandSize w:val="1"/>
      <w:tblCellMar>
        <w:top w:w="15" w:type="dxa"/>
        <w:left w:w="115" w:type="dxa"/>
        <w:bottom w:w="15" w:type="dxa"/>
        <w:right w:w="115" w:type="dxa"/>
      </w:tblCellMar>
    </w:tblPr>
  </w:style>
  <w:style w:type="table" w:customStyle="1" w:styleId="2">
    <w:name w:val="2"/>
    <w:basedOn w:val="TableNormal10"/>
    <w:tblPr>
      <w:tblStyleRowBandSize w:val="1"/>
      <w:tblStyleColBandSize w:val="1"/>
      <w:tblCellMar>
        <w:top w:w="15" w:type="dxa"/>
        <w:left w:w="115" w:type="dxa"/>
        <w:bottom w:w="15" w:type="dxa"/>
        <w:right w:w="115" w:type="dxa"/>
      </w:tblCellMar>
    </w:tblPr>
  </w:style>
  <w:style w:type="table" w:customStyle="1" w:styleId="1">
    <w:name w:val="1"/>
    <w:basedOn w:val="TableNormal10"/>
    <w:tblPr>
      <w:tblStyleRowBandSize w:val="1"/>
      <w:tblStyleColBandSize w:val="1"/>
      <w:tblCellMar>
        <w:top w:w="15" w:type="dxa"/>
        <w:left w:w="115" w:type="dxa"/>
        <w:bottom w:w="15" w:type="dxa"/>
        <w:right w:w="115" w:type="dxa"/>
      </w:tblCellMar>
    </w:tblPr>
  </w:style>
  <w:style w:type="character" w:customStyle="1" w:styleId="Mencinsinresolver1">
    <w:name w:val="Mención sin resolver1"/>
    <w:basedOn w:val="Fuentedeprrafopredeter"/>
    <w:uiPriority w:val="99"/>
    <w:semiHidden/>
    <w:unhideWhenUsed/>
    <w:rsid w:val="00B63FC6"/>
    <w:rPr>
      <w:color w:val="605E5C"/>
      <w:shd w:val="clear" w:color="auto" w:fill="E1DFDD"/>
    </w:rPr>
  </w:style>
  <w:style w:type="character" w:customStyle="1" w:styleId="Mencinsinresolver2">
    <w:name w:val="Mención sin resolver2"/>
    <w:basedOn w:val="Fuentedeprrafopredeter"/>
    <w:uiPriority w:val="99"/>
    <w:semiHidden/>
    <w:unhideWhenUsed/>
    <w:rsid w:val="00AC79ED"/>
    <w:rPr>
      <w:color w:val="605E5C"/>
      <w:shd w:val="clear" w:color="auto" w:fill="E1DFDD"/>
    </w:rPr>
  </w:style>
  <w:style w:type="paragraph" w:customStyle="1" w:styleId="Default">
    <w:name w:val="Default"/>
    <w:rsid w:val="00A27592"/>
    <w:pPr>
      <w:autoSpaceDE w:val="0"/>
      <w:autoSpaceDN w:val="0"/>
      <w:adjustRightInd w:val="0"/>
    </w:pPr>
    <w:rPr>
      <w:rFonts w:ascii="Arial" w:hAnsi="Arial" w:cs="Arial"/>
      <w:color w:val="000000"/>
    </w:rPr>
  </w:style>
  <w:style w:type="character" w:customStyle="1" w:styleId="normaltextrun">
    <w:name w:val="normaltextrun"/>
    <w:basedOn w:val="Fuentedeprrafopredeter"/>
    <w:rsid w:val="002F3C2D"/>
  </w:style>
  <w:style w:type="paragraph" w:styleId="Sinespaciado">
    <w:name w:val="No Spacing"/>
    <w:aliases w:val="Francesa,INAI"/>
    <w:link w:val="SinespaciadoCar"/>
    <w:uiPriority w:val="1"/>
    <w:qFormat/>
    <w:rsid w:val="00F01E4E"/>
    <w:rPr>
      <w:lang w:val="es-ES" w:eastAsia="es-ES"/>
    </w:rPr>
  </w:style>
  <w:style w:type="character" w:customStyle="1" w:styleId="SinespaciadoCar">
    <w:name w:val="Sin espaciado Car"/>
    <w:aliases w:val="Francesa Car,INAI Car"/>
    <w:link w:val="Sinespaciado"/>
    <w:uiPriority w:val="1"/>
    <w:locked/>
    <w:rsid w:val="00F01E4E"/>
    <w:rPr>
      <w:rFonts w:ascii="Times New Roman" w:eastAsia="Times New Roman" w:hAnsi="Times New Roman" w:cs="Times New Roman"/>
      <w:sz w:val="24"/>
      <w:szCs w:val="24"/>
      <w:lang w:val="es-ES" w:eastAsia="es-ES"/>
    </w:rPr>
  </w:style>
  <w:style w:type="table" w:customStyle="1" w:styleId="9">
    <w:name w:val="9"/>
    <w:basedOn w:val="TableNormal20"/>
    <w:tblPr>
      <w:tblStyleRowBandSize w:val="1"/>
      <w:tblStyleColBandSize w:val="1"/>
      <w:tblCellMar>
        <w:left w:w="108" w:type="dxa"/>
        <w:right w:w="108" w:type="dxa"/>
      </w:tblCellMar>
    </w:tblPr>
  </w:style>
  <w:style w:type="table" w:customStyle="1" w:styleId="8">
    <w:name w:val="8"/>
    <w:basedOn w:val="TableNormal20"/>
    <w:tblPr>
      <w:tblStyleRowBandSize w:val="1"/>
      <w:tblStyleColBandSize w:val="1"/>
      <w:tblCellMar>
        <w:top w:w="15" w:type="dxa"/>
        <w:left w:w="115" w:type="dxa"/>
        <w:bottom w:w="15" w:type="dxa"/>
        <w:right w:w="115" w:type="dxa"/>
      </w:tblCellMar>
    </w:tblPr>
  </w:style>
  <w:style w:type="table" w:customStyle="1" w:styleId="7">
    <w:name w:val="7"/>
    <w:basedOn w:val="TableNormal20"/>
    <w:tblPr>
      <w:tblStyleRowBandSize w:val="1"/>
      <w:tblStyleColBandSize w:val="1"/>
      <w:tblCellMar>
        <w:top w:w="15" w:type="dxa"/>
        <w:left w:w="115" w:type="dxa"/>
        <w:bottom w:w="15" w:type="dxa"/>
        <w:right w:w="115" w:type="dxa"/>
      </w:tblCellMar>
    </w:tblPr>
  </w:style>
  <w:style w:type="character" w:customStyle="1" w:styleId="Mencinsinresolver3">
    <w:name w:val="Mención sin resolver3"/>
    <w:basedOn w:val="Fuentedeprrafopredeter"/>
    <w:uiPriority w:val="99"/>
    <w:semiHidden/>
    <w:unhideWhenUsed/>
    <w:rsid w:val="00B91EC4"/>
    <w:rPr>
      <w:color w:val="605E5C"/>
      <w:shd w:val="clear" w:color="auto" w:fill="E1DFDD"/>
    </w:rPr>
  </w:style>
  <w:style w:type="character" w:styleId="Refdecomentario">
    <w:name w:val="annotation reference"/>
    <w:basedOn w:val="Fuentedeprrafopredeter"/>
    <w:uiPriority w:val="99"/>
    <w:semiHidden/>
    <w:unhideWhenUsed/>
    <w:rsid w:val="007266CA"/>
    <w:rPr>
      <w:sz w:val="16"/>
      <w:szCs w:val="16"/>
    </w:rPr>
  </w:style>
  <w:style w:type="paragraph" w:styleId="Textocomentario">
    <w:name w:val="annotation text"/>
    <w:basedOn w:val="Normal"/>
    <w:link w:val="TextocomentarioCar"/>
    <w:uiPriority w:val="99"/>
    <w:semiHidden/>
    <w:unhideWhenUsed/>
    <w:rsid w:val="007266CA"/>
    <w:rPr>
      <w:sz w:val="20"/>
      <w:szCs w:val="20"/>
    </w:rPr>
  </w:style>
  <w:style w:type="character" w:customStyle="1" w:styleId="TextocomentarioCar">
    <w:name w:val="Texto comentario Car"/>
    <w:basedOn w:val="Fuentedeprrafopredeter"/>
    <w:link w:val="Textocomentario"/>
    <w:uiPriority w:val="99"/>
    <w:semiHidden/>
    <w:rsid w:val="007266CA"/>
    <w:rPr>
      <w:rFonts w:eastAsia="Times New Roman" w:cs="Times New Roman"/>
      <w:sz w:val="20"/>
      <w:szCs w:val="20"/>
      <w:lang w:eastAsia="en-US"/>
    </w:rPr>
  </w:style>
  <w:style w:type="paragraph" w:styleId="Asuntodelcomentario">
    <w:name w:val="annotation subject"/>
    <w:basedOn w:val="Textocomentario"/>
    <w:next w:val="Textocomentario"/>
    <w:link w:val="AsuntodelcomentarioCar"/>
    <w:uiPriority w:val="99"/>
    <w:semiHidden/>
    <w:unhideWhenUsed/>
    <w:rsid w:val="007266CA"/>
    <w:rPr>
      <w:b/>
      <w:bCs/>
    </w:rPr>
  </w:style>
  <w:style w:type="character" w:customStyle="1" w:styleId="AsuntodelcomentarioCar">
    <w:name w:val="Asunto del comentario Car"/>
    <w:basedOn w:val="TextocomentarioCar"/>
    <w:link w:val="Asuntodelcomentario"/>
    <w:uiPriority w:val="99"/>
    <w:semiHidden/>
    <w:rsid w:val="007266CA"/>
    <w:rPr>
      <w:rFonts w:eastAsia="Times New Roman" w:cs="Times New Roman"/>
      <w:b/>
      <w:bCs/>
      <w:sz w:val="20"/>
      <w:szCs w:val="20"/>
      <w:lang w:eastAsia="en-US"/>
    </w:rPr>
  </w:style>
  <w:style w:type="character" w:styleId="Textodelmarcadordeposicin">
    <w:name w:val="Placeholder Text"/>
    <w:basedOn w:val="Fuentedeprrafopredeter"/>
    <w:uiPriority w:val="99"/>
    <w:semiHidden/>
    <w:rsid w:val="007266CA"/>
    <w:rPr>
      <w:color w:val="808080"/>
    </w:rPr>
  </w:style>
  <w:style w:type="character" w:styleId="Hipervnculovisitado">
    <w:name w:val="FollowedHyperlink"/>
    <w:basedOn w:val="Fuentedeprrafopredeter"/>
    <w:uiPriority w:val="99"/>
    <w:semiHidden/>
    <w:unhideWhenUsed/>
    <w:rsid w:val="00FC1F2B"/>
    <w:rPr>
      <w:color w:val="954F72" w:themeColor="followedHyperlink"/>
      <w:u w:val="single"/>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iPriority w:val="99"/>
    <w:unhideWhenUsed/>
    <w:qFormat/>
    <w:rsid w:val="00FC1F2B"/>
    <w:rPr>
      <w:rFonts w:asciiTheme="minorHAnsi" w:eastAsiaTheme="minorHAnsi" w:hAnsiTheme="minorHAnsi" w:cstheme="minorBidi"/>
      <w:sz w:val="20"/>
      <w:szCs w:val="20"/>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uiPriority w:val="99"/>
    <w:qFormat/>
    <w:rsid w:val="00FC1F2B"/>
    <w:rPr>
      <w:rFonts w:asciiTheme="minorHAnsi" w:eastAsiaTheme="minorHAnsi" w:hAnsiTheme="minorHAnsi" w:cstheme="minorBidi"/>
      <w:sz w:val="20"/>
      <w:szCs w:val="20"/>
      <w:lang w:eastAsia="en-US"/>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Ref,de nota al pie,註腳內容"/>
    <w:basedOn w:val="Fuentedeprrafopredeter"/>
    <w:uiPriority w:val="99"/>
    <w:unhideWhenUsed/>
    <w:qFormat/>
    <w:rsid w:val="00FC1F2B"/>
    <w:rPr>
      <w:vertAlign w:val="superscript"/>
    </w:rPr>
  </w:style>
  <w:style w:type="character" w:customStyle="1" w:styleId="PuestoCar">
    <w:name w:val="Puesto Car"/>
    <w:aliases w:val="Cita textual Car"/>
    <w:basedOn w:val="Fuentedeprrafopredeter"/>
    <w:uiPriority w:val="10"/>
    <w:rsid w:val="00EC101D"/>
    <w:rPr>
      <w:rFonts w:eastAsia="Times New Roman" w:cs="Times New Roman"/>
      <w:b/>
      <w:sz w:val="72"/>
      <w:szCs w:val="72"/>
      <w:lang w:eastAsia="en-US"/>
    </w:rPr>
  </w:style>
  <w:style w:type="table" w:customStyle="1" w:styleId="Tablanormal11">
    <w:name w:val="Tabla normal 11"/>
    <w:basedOn w:val="Tablanormal"/>
    <w:uiPriority w:val="41"/>
    <w:rsid w:val="009A0A8D"/>
    <w:rPr>
      <w:rFonts w:asciiTheme="minorHAnsi" w:eastAsiaTheme="minorHAnsi" w:hAnsiTheme="minorHAnsi" w:cstheme="minorBidi"/>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a">
    <w:basedOn w:val="TableNormal5"/>
    <w:tblPr>
      <w:tblStyleRowBandSize w:val="1"/>
      <w:tblStyleColBandSize w:val="1"/>
      <w:tblCellMar>
        <w:left w:w="115" w:type="dxa"/>
        <w:right w:w="115" w:type="dxa"/>
      </w:tblCellMar>
    </w:tblPr>
  </w:style>
  <w:style w:type="table" w:customStyle="1" w:styleId="a0">
    <w:basedOn w:val="TableNormal5"/>
    <w:tblPr>
      <w:tblStyleRowBandSize w:val="1"/>
      <w:tblStyleColBandSize w:val="1"/>
      <w:tblCellMar>
        <w:left w:w="115" w:type="dxa"/>
        <w:right w:w="115" w:type="dxa"/>
      </w:tblCellMar>
    </w:tblPr>
  </w:style>
  <w:style w:type="table" w:customStyle="1" w:styleId="a1">
    <w:basedOn w:val="TableNormal5"/>
    <w:tblPr>
      <w:tblStyleRowBandSize w:val="1"/>
      <w:tblStyleColBandSize w:val="1"/>
      <w:tblCellMar>
        <w:left w:w="115" w:type="dxa"/>
        <w:right w:w="115" w:type="dxa"/>
      </w:tblCellMar>
    </w:tblPr>
  </w:style>
  <w:style w:type="table" w:customStyle="1" w:styleId="a2">
    <w:basedOn w:val="TableNormal5"/>
    <w:tblPr>
      <w:tblStyleRowBandSize w:val="1"/>
      <w:tblStyleColBandSize w:val="1"/>
      <w:tblCellMar>
        <w:left w:w="115" w:type="dxa"/>
        <w:right w:w="115" w:type="dxa"/>
      </w:tblCellMar>
    </w:tblPr>
  </w:style>
  <w:style w:type="table" w:customStyle="1" w:styleId="a3">
    <w:basedOn w:val="TableNormal5"/>
    <w:tblPr>
      <w:tblStyleRowBandSize w:val="1"/>
      <w:tblStyleColBandSize w:val="1"/>
      <w:tblCellMar>
        <w:top w:w="15" w:type="dxa"/>
        <w:left w:w="115" w:type="dxa"/>
        <w:bottom w:w="15" w:type="dxa"/>
        <w:right w:w="115" w:type="dxa"/>
      </w:tblCellMar>
    </w:tblPr>
  </w:style>
  <w:style w:type="table" w:customStyle="1" w:styleId="a4">
    <w:basedOn w:val="TableNormal5"/>
    <w:tblPr>
      <w:tblStyleRowBandSize w:val="1"/>
      <w:tblStyleColBandSize w:val="1"/>
      <w:tblCellMar>
        <w:top w:w="15" w:type="dxa"/>
        <w:left w:w="115" w:type="dxa"/>
        <w:bottom w:w="15" w:type="dxa"/>
        <w:right w:w="115" w:type="dxa"/>
      </w:tblCellMar>
    </w:tblPr>
  </w:style>
  <w:style w:type="table" w:customStyle="1" w:styleId="a5">
    <w:basedOn w:val="TableNormal4"/>
    <w:tblPr>
      <w:tblStyleRowBandSize w:val="1"/>
      <w:tblStyleColBandSize w:val="1"/>
      <w:tblCellMar>
        <w:left w:w="115" w:type="dxa"/>
        <w:right w:w="115" w:type="dxa"/>
      </w:tblCellMar>
    </w:tblPr>
  </w:style>
  <w:style w:type="table" w:customStyle="1" w:styleId="a6">
    <w:basedOn w:val="TableNormal4"/>
    <w:tblPr>
      <w:tblStyleRowBandSize w:val="1"/>
      <w:tblStyleColBandSize w:val="1"/>
      <w:tblCellMar>
        <w:left w:w="115" w:type="dxa"/>
        <w:right w:w="115" w:type="dxa"/>
      </w:tblCellMar>
    </w:tblPr>
  </w:style>
  <w:style w:type="table" w:customStyle="1" w:styleId="a7">
    <w:basedOn w:val="TableNormal4"/>
    <w:tblPr>
      <w:tblStyleRowBandSize w:val="1"/>
      <w:tblStyleColBandSize w:val="1"/>
      <w:tblCellMar>
        <w:left w:w="115" w:type="dxa"/>
        <w:right w:w="115" w:type="dxa"/>
      </w:tblCellMar>
    </w:tblPr>
  </w:style>
  <w:style w:type="table" w:customStyle="1" w:styleId="a8">
    <w:basedOn w:val="TableNormal4"/>
    <w:tblPr>
      <w:tblStyleRowBandSize w:val="1"/>
      <w:tblStyleColBandSize w:val="1"/>
      <w:tblCellMar>
        <w:left w:w="115" w:type="dxa"/>
        <w:right w:w="115" w:type="dxa"/>
      </w:tblCellMar>
    </w:tblPr>
  </w:style>
  <w:style w:type="table" w:customStyle="1" w:styleId="a9">
    <w:basedOn w:val="TableNormal4"/>
    <w:tblPr>
      <w:tblStyleRowBandSize w:val="1"/>
      <w:tblStyleColBandSize w:val="1"/>
      <w:tblCellMar>
        <w:top w:w="15" w:type="dxa"/>
        <w:left w:w="115" w:type="dxa"/>
        <w:bottom w:w="15" w:type="dxa"/>
        <w:right w:w="115" w:type="dxa"/>
      </w:tblCellMar>
    </w:tblPr>
  </w:style>
  <w:style w:type="table" w:customStyle="1" w:styleId="aa">
    <w:basedOn w:val="TableNormal4"/>
    <w:tblPr>
      <w:tblStyleRowBandSize w:val="1"/>
      <w:tblStyleColBandSize w:val="1"/>
      <w:tblCellMar>
        <w:top w:w="15" w:type="dxa"/>
        <w:left w:w="115" w:type="dxa"/>
        <w:bottom w:w="15" w:type="dxa"/>
        <w:right w:w="115" w:type="dxa"/>
      </w:tblCellMar>
    </w:tblPr>
  </w:style>
  <w:style w:type="table" w:customStyle="1" w:styleId="ab">
    <w:basedOn w:val="TableNormal3"/>
    <w:tblPr>
      <w:tblStyleRowBandSize w:val="1"/>
      <w:tblStyleColBandSize w:val="1"/>
      <w:tblCellMar>
        <w:left w:w="115" w:type="dxa"/>
        <w:right w:w="115" w:type="dxa"/>
      </w:tblCellMar>
    </w:tblPr>
  </w:style>
  <w:style w:type="table" w:customStyle="1" w:styleId="ac">
    <w:basedOn w:val="TableNormal3"/>
    <w:tblPr>
      <w:tblStyleRowBandSize w:val="1"/>
      <w:tblStyleColBandSize w:val="1"/>
      <w:tblCellMar>
        <w:left w:w="115" w:type="dxa"/>
        <w:right w:w="115" w:type="dxa"/>
      </w:tblCellMar>
    </w:tblPr>
  </w:style>
  <w:style w:type="table" w:customStyle="1" w:styleId="ad">
    <w:basedOn w:val="TableNormal3"/>
    <w:tblPr>
      <w:tblStyleRowBandSize w:val="1"/>
      <w:tblStyleColBandSize w:val="1"/>
      <w:tblCellMar>
        <w:left w:w="115" w:type="dxa"/>
        <w:right w:w="115" w:type="dxa"/>
      </w:tblCellMar>
    </w:tblPr>
  </w:style>
  <w:style w:type="table" w:customStyle="1" w:styleId="ae">
    <w:basedOn w:val="TableNormal3"/>
    <w:tblPr>
      <w:tblStyleRowBandSize w:val="1"/>
      <w:tblStyleColBandSize w:val="1"/>
      <w:tblCellMar>
        <w:left w:w="115" w:type="dxa"/>
        <w:right w:w="115" w:type="dxa"/>
      </w:tblCellMar>
    </w:tblPr>
  </w:style>
  <w:style w:type="table" w:customStyle="1" w:styleId="af">
    <w:basedOn w:val="TableNormal3"/>
    <w:tblPr>
      <w:tblStyleRowBandSize w:val="1"/>
      <w:tblStyleColBandSize w:val="1"/>
      <w:tblCellMar>
        <w:left w:w="108" w:type="dxa"/>
        <w:right w:w="108" w:type="dxa"/>
      </w:tblCellMar>
    </w:tblPr>
  </w:style>
  <w:style w:type="table" w:customStyle="1" w:styleId="af0">
    <w:basedOn w:val="TableNormal3"/>
    <w:tblPr>
      <w:tblStyleRowBandSize w:val="1"/>
      <w:tblStyleColBandSize w:val="1"/>
      <w:tblCellMar>
        <w:left w:w="108" w:type="dxa"/>
        <w:right w:w="108" w:type="dxa"/>
      </w:tblCellMar>
    </w:tblPr>
  </w:style>
  <w:style w:type="table" w:customStyle="1" w:styleId="af1">
    <w:basedOn w:val="TableNormal3"/>
    <w:tblPr>
      <w:tblStyleRowBandSize w:val="1"/>
      <w:tblStyleColBandSize w:val="1"/>
      <w:tblCellMar>
        <w:top w:w="15" w:type="dxa"/>
        <w:left w:w="115" w:type="dxa"/>
        <w:bottom w:w="15" w:type="dxa"/>
        <w:right w:w="115" w:type="dxa"/>
      </w:tblCellMar>
    </w:tblPr>
  </w:style>
  <w:style w:type="table" w:customStyle="1" w:styleId="af2">
    <w:basedOn w:val="TableNormal3"/>
    <w:tblPr>
      <w:tblStyleRowBandSize w:val="1"/>
      <w:tblStyleColBandSize w:val="1"/>
      <w:tblCellMar>
        <w:top w:w="15" w:type="dxa"/>
        <w:left w:w="115" w:type="dxa"/>
        <w:bottom w:w="15" w:type="dxa"/>
        <w:right w:w="115" w:type="dxa"/>
      </w:tblCellMar>
    </w:tblPr>
  </w:style>
  <w:style w:type="character" w:styleId="Textoennegrita">
    <w:name w:val="Strong"/>
    <w:basedOn w:val="Fuentedeprrafopredeter"/>
    <w:uiPriority w:val="22"/>
    <w:qFormat/>
    <w:rsid w:val="00AC6527"/>
    <w:rPr>
      <w:b/>
      <w:bCs/>
    </w:rPr>
  </w:style>
  <w:style w:type="character" w:customStyle="1" w:styleId="apple-tab-span">
    <w:name w:val="apple-tab-span"/>
    <w:basedOn w:val="Fuentedeprrafopredeter"/>
    <w:rsid w:val="00EB58F7"/>
  </w:style>
  <w:style w:type="paragraph" w:styleId="Listaconvietas3">
    <w:name w:val="List Bullet 3"/>
    <w:basedOn w:val="Normal"/>
    <w:uiPriority w:val="99"/>
    <w:unhideWhenUsed/>
    <w:rsid w:val="00AF720B"/>
    <w:pPr>
      <w:numPr>
        <w:numId w:val="1"/>
      </w:numPr>
      <w:contextualSpacing/>
    </w:pPr>
  </w:style>
  <w:style w:type="table" w:customStyle="1" w:styleId="af3">
    <w:basedOn w:val="TableNormal2"/>
    <w:tblPr>
      <w:tblStyleRowBandSize w:val="1"/>
      <w:tblStyleColBandSize w:val="1"/>
      <w:tblCellMar>
        <w:left w:w="115" w:type="dxa"/>
        <w:right w:w="115" w:type="dxa"/>
      </w:tblCellMar>
    </w:tblPr>
  </w:style>
  <w:style w:type="table" w:customStyle="1" w:styleId="af4">
    <w:basedOn w:val="TableNormal2"/>
    <w:tblPr>
      <w:tblStyleRowBandSize w:val="1"/>
      <w:tblStyleColBandSize w:val="1"/>
      <w:tblCellMar>
        <w:top w:w="15" w:type="dxa"/>
        <w:left w:w="115" w:type="dxa"/>
        <w:bottom w:w="15" w:type="dxa"/>
        <w:right w:w="115" w:type="dxa"/>
      </w:tblCellMar>
    </w:tblPr>
  </w:style>
  <w:style w:type="table" w:customStyle="1" w:styleId="af5">
    <w:basedOn w:val="TableNormal2"/>
    <w:tblPr>
      <w:tblStyleRowBandSize w:val="1"/>
      <w:tblStyleColBandSize w:val="1"/>
      <w:tblCellMar>
        <w:top w:w="15" w:type="dxa"/>
        <w:left w:w="115" w:type="dxa"/>
        <w:bottom w:w="15" w:type="dxa"/>
        <w:right w:w="115" w:type="dxa"/>
      </w:tblCellMar>
    </w:tblPr>
  </w:style>
  <w:style w:type="paragraph" w:styleId="Listaconvietas">
    <w:name w:val="List Bullet"/>
    <w:basedOn w:val="Normal"/>
    <w:uiPriority w:val="99"/>
    <w:unhideWhenUsed/>
    <w:rsid w:val="00E97D6F"/>
    <w:pPr>
      <w:numPr>
        <w:numId w:val="2"/>
      </w:numPr>
      <w:contextualSpacing/>
    </w:pPr>
    <w:rPr>
      <w:lang w:val="es-ES"/>
    </w:rPr>
  </w:style>
  <w:style w:type="character" w:customStyle="1" w:styleId="Mencinsinresolver4">
    <w:name w:val="Mención sin resolver4"/>
    <w:basedOn w:val="Fuentedeprrafopredeter"/>
    <w:uiPriority w:val="99"/>
    <w:semiHidden/>
    <w:unhideWhenUsed/>
    <w:rsid w:val="00E8288F"/>
    <w:rPr>
      <w:color w:val="605E5C"/>
      <w:shd w:val="clear" w:color="auto" w:fill="E1DFDD"/>
    </w:rPr>
  </w:style>
  <w:style w:type="paragraph" w:customStyle="1" w:styleId="xgmail-msonormal">
    <w:name w:val="x_gmail-msonormal"/>
    <w:basedOn w:val="Normal"/>
    <w:rsid w:val="009B2050"/>
    <w:pPr>
      <w:spacing w:before="100" w:beforeAutospacing="1" w:after="100" w:afterAutospacing="1"/>
    </w:pPr>
    <w:rPr>
      <w:lang w:val="en-US" w:eastAsia="en-US"/>
    </w:rPr>
  </w:style>
  <w:style w:type="table" w:customStyle="1" w:styleId="11">
    <w:name w:val="11"/>
    <w:basedOn w:val="Tablanormal"/>
    <w:rsid w:val="0087332C"/>
    <w:rPr>
      <w:lang w:val="es-ES"/>
    </w:rPr>
    <w:tblPr>
      <w:tblStyleRowBandSize w:val="1"/>
      <w:tblStyleColBandSize w:val="1"/>
      <w:tblInd w:w="0" w:type="nil"/>
      <w:tblCellMar>
        <w:left w:w="115" w:type="dxa"/>
        <w:right w:w="115" w:type="dxa"/>
      </w:tblCellMar>
    </w:tblPr>
  </w:style>
  <w:style w:type="table" w:customStyle="1" w:styleId="10">
    <w:name w:val="10"/>
    <w:basedOn w:val="Tablanormal"/>
    <w:rsid w:val="0087332C"/>
    <w:rPr>
      <w:lang w:val="es-ES"/>
    </w:rPr>
    <w:tblPr>
      <w:tblStyleRowBandSize w:val="1"/>
      <w:tblStyleColBandSize w:val="1"/>
      <w:tblInd w:w="0" w:type="nil"/>
      <w:tblCellMar>
        <w:left w:w="115" w:type="dxa"/>
        <w:right w:w="115" w:type="dxa"/>
      </w:tblCellMar>
    </w:tblPr>
  </w:style>
  <w:style w:type="table" w:customStyle="1" w:styleId="af6">
    <w:basedOn w:val="TableNormal1"/>
    <w:tblPr>
      <w:tblStyleRowBandSize w:val="1"/>
      <w:tblStyleColBandSize w:val="1"/>
      <w:tblCellMar>
        <w:top w:w="15" w:type="dxa"/>
        <w:left w:w="115" w:type="dxa"/>
        <w:bottom w:w="15" w:type="dxa"/>
        <w:right w:w="115" w:type="dxa"/>
      </w:tblCellMar>
    </w:tblPr>
  </w:style>
  <w:style w:type="table" w:customStyle="1" w:styleId="af7">
    <w:basedOn w:val="TableNormal1"/>
    <w:tblPr>
      <w:tblStyleRowBandSize w:val="1"/>
      <w:tblStyleColBandSize w:val="1"/>
      <w:tblCellMar>
        <w:top w:w="15" w:type="dxa"/>
        <w:left w:w="115" w:type="dxa"/>
        <w:bottom w:w="15" w:type="dxa"/>
        <w:right w:w="115" w:type="dxa"/>
      </w:tblCellMar>
    </w:tblPr>
  </w:style>
  <w:style w:type="paragraph" w:styleId="Textoindependiente">
    <w:name w:val="Body Text"/>
    <w:basedOn w:val="Normal"/>
    <w:link w:val="TextoindependienteCar"/>
    <w:uiPriority w:val="99"/>
    <w:unhideWhenUsed/>
    <w:rsid w:val="00FB389B"/>
    <w:pPr>
      <w:spacing w:after="120"/>
    </w:pPr>
    <w:rPr>
      <w:lang w:val="es-ES" w:eastAsia="es-ES"/>
    </w:rPr>
  </w:style>
  <w:style w:type="character" w:customStyle="1" w:styleId="TextoindependienteCar">
    <w:name w:val="Texto independiente Car"/>
    <w:basedOn w:val="Fuentedeprrafopredeter"/>
    <w:link w:val="Textoindependiente"/>
    <w:uiPriority w:val="99"/>
    <w:rsid w:val="00FB389B"/>
    <w:rPr>
      <w:lang w:val="es-ES" w:eastAsia="es-ES"/>
    </w:rPr>
  </w:style>
  <w:style w:type="paragraph" w:customStyle="1" w:styleId="INFOEM">
    <w:name w:val="INFOEM"/>
    <w:basedOn w:val="Normal"/>
    <w:qFormat/>
    <w:rsid w:val="00D5108C"/>
    <w:pPr>
      <w:spacing w:before="240" w:after="160" w:line="360" w:lineRule="auto"/>
      <w:ind w:left="851" w:right="851"/>
      <w:jc w:val="both"/>
    </w:pPr>
    <w:rPr>
      <w:rFonts w:ascii="Palatino Linotype" w:eastAsiaTheme="minorHAnsi" w:hAnsi="Palatino Linotype" w:cstheme="minorBidi"/>
      <w:i/>
      <w:sz w:val="22"/>
      <w:szCs w:val="14"/>
      <w:lang w:eastAsia="en-US"/>
    </w:rPr>
  </w:style>
  <w:style w:type="character" w:customStyle="1" w:styleId="UnresolvedMention">
    <w:name w:val="Unresolved Mention"/>
    <w:basedOn w:val="Fuentedeprrafopredeter"/>
    <w:uiPriority w:val="99"/>
    <w:semiHidden/>
    <w:unhideWhenUsed/>
    <w:rsid w:val="00675376"/>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f8">
    <w:basedOn w:val="TableNormal0"/>
    <w:tblPr>
      <w:tblStyleRowBandSize w:val="1"/>
      <w:tblStyleColBandSize w:val="1"/>
      <w:tblCellMar>
        <w:top w:w="0" w:type="dxa"/>
        <w:left w:w="115" w:type="dxa"/>
        <w:bottom w:w="0" w:type="dxa"/>
        <w:right w:w="115" w:type="dxa"/>
      </w:tblCellMar>
    </w:tblPr>
  </w:style>
  <w:style w:type="table" w:customStyle="1" w:styleId="af9">
    <w:basedOn w:val="TableNormal0"/>
    <w:tblPr>
      <w:tblStyleRowBandSize w:val="1"/>
      <w:tblStyleColBandSize w:val="1"/>
      <w:tblCellMar>
        <w:top w:w="15" w:type="dxa"/>
        <w:left w:w="115" w:type="dxa"/>
        <w:bottom w:w="15" w:type="dxa"/>
        <w:right w:w="115" w:type="dxa"/>
      </w:tblCellMar>
    </w:tblPr>
  </w:style>
  <w:style w:type="table" w:customStyle="1" w:styleId="afa">
    <w:basedOn w:val="TableNormal0"/>
    <w:tblPr>
      <w:tblStyleRowBandSize w:val="1"/>
      <w:tblStyleColBandSize w:val="1"/>
      <w:tblCellMar>
        <w:top w:w="15" w:type="dxa"/>
        <w:left w:w="115" w:type="dxa"/>
        <w:bottom w:w="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imex.org.mx/saimex/solicitud/downloadAttach/2797172.page" TargetMode="External"/><Relationship Id="rId13" Type="http://schemas.openxmlformats.org/officeDocument/2006/relationships/image" Target="media/image4.png"/><Relationship Id="rId18" Type="http://schemas.openxmlformats.org/officeDocument/2006/relationships/hyperlink" Target="https://legislacion.edomex.gob.mx/sites/legislacion.edomex.gob.mx/files/files/pdf/gct/2014/nov144.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www.diputados.gob.mx/LeyesBiblio/pdf/LGDNNA.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ecogem.gob.mx/constancias/"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hyperlink" Target="https://www.unionedomex.mx/2023/03/24/busqueda-de-deudores-alimentarios-morosos-estado-de-mexico-2023/" TargetMode="External"/><Relationship Id="rId4" Type="http://schemas.openxmlformats.org/officeDocument/2006/relationships/settings" Target="settings.xml"/><Relationship Id="rId9" Type="http://schemas.openxmlformats.org/officeDocument/2006/relationships/hyperlink" Target="http://www.diputados.gob.mx/documentos/N_Acta_Nacimiento.pdf" TargetMode="External"/><Relationship Id="rId14" Type="http://schemas.openxmlformats.org/officeDocument/2006/relationships/image" Target="media/image9.png"/><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0v0dGEI5aDTBiq5mfObNnIbBA==">CgMxLjAyCWguM3pueXNoNzIJaC4yZXQ5MnAwOAByITF0c2lNV2ZLZnRURTZnR3JMM3ZQTTZzTjBmZ0IwZ0V0TA==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67</Pages>
  <Words>16770</Words>
  <Characters>92237</Characters>
  <Application>Microsoft Office Word</Application>
  <DocSecurity>0</DocSecurity>
  <Lines>768</Lines>
  <Paragraphs>217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108790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Cuenta Microsoft</dc:creator>
  <cp:lastModifiedBy>Maricela Villagómez Martínez</cp:lastModifiedBy>
  <cp:revision>2</cp:revision>
  <cp:lastPrinted>2026-09-18T19:58:00Z</cp:lastPrinted>
  <dcterms:created xsi:type="dcterms:W3CDTF">2026-09-22T22:21:00Z</dcterms:created>
  <dcterms:modified xsi:type="dcterms:W3CDTF">2026-09-22T22:21:00Z</dcterms:modified>
</cp:coreProperties>
</file>