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72A93B" w14:textId="6A7585A7" w:rsidR="00694AA0" w:rsidRPr="00882E62" w:rsidRDefault="005B22BA">
      <w:pPr>
        <w:spacing w:before="240" w:after="240" w:line="360" w:lineRule="auto"/>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424C9B" w:rsidRPr="00882E62">
        <w:rPr>
          <w:rFonts w:ascii="Palatino Linotype" w:eastAsia="Palatino Linotype" w:hAnsi="Palatino Linotype" w:cs="Palatino Linotype"/>
          <w:sz w:val="22"/>
          <w:szCs w:val="22"/>
        </w:rPr>
        <w:t>diecinueve</w:t>
      </w:r>
      <w:r w:rsidR="00DC5EDE" w:rsidRPr="00882E62">
        <w:rPr>
          <w:rFonts w:ascii="Palatino Linotype" w:eastAsia="Palatino Linotype" w:hAnsi="Palatino Linotype" w:cs="Palatino Linotype"/>
          <w:sz w:val="22"/>
          <w:szCs w:val="22"/>
        </w:rPr>
        <w:t xml:space="preserve"> de marzo</w:t>
      </w:r>
      <w:r w:rsidR="00FC4683" w:rsidRPr="00882E62">
        <w:rPr>
          <w:rFonts w:ascii="Palatino Linotype" w:eastAsia="Palatino Linotype" w:hAnsi="Palatino Linotype" w:cs="Palatino Linotype"/>
          <w:sz w:val="22"/>
          <w:szCs w:val="22"/>
        </w:rPr>
        <w:t xml:space="preserve"> </w:t>
      </w:r>
      <w:r w:rsidRPr="00882E62">
        <w:rPr>
          <w:rFonts w:ascii="Palatino Linotype" w:eastAsia="Palatino Linotype" w:hAnsi="Palatino Linotype" w:cs="Palatino Linotype"/>
          <w:sz w:val="22"/>
          <w:szCs w:val="22"/>
        </w:rPr>
        <w:t xml:space="preserve">de dos mil </w:t>
      </w:r>
      <w:r w:rsidR="00382740" w:rsidRPr="00882E62">
        <w:rPr>
          <w:rFonts w:ascii="Palatino Linotype" w:eastAsia="Palatino Linotype" w:hAnsi="Palatino Linotype" w:cs="Palatino Linotype"/>
          <w:sz w:val="22"/>
          <w:szCs w:val="22"/>
        </w:rPr>
        <w:t>veintiséis</w:t>
      </w:r>
      <w:r w:rsidRPr="00882E62">
        <w:rPr>
          <w:rFonts w:ascii="Palatino Linotype" w:eastAsia="Palatino Linotype" w:hAnsi="Palatino Linotype" w:cs="Palatino Linotype"/>
          <w:sz w:val="22"/>
          <w:szCs w:val="22"/>
        </w:rPr>
        <w:t xml:space="preserve">. </w:t>
      </w:r>
    </w:p>
    <w:p w14:paraId="32D33C57" w14:textId="46364E8E" w:rsidR="00694AA0" w:rsidRPr="00882E62" w:rsidRDefault="005B22BA" w:rsidP="00123CFF">
      <w:pPr>
        <w:tabs>
          <w:tab w:val="left" w:pos="5812"/>
        </w:tabs>
        <w:spacing w:before="240" w:after="240" w:line="360" w:lineRule="auto"/>
        <w:jc w:val="both"/>
        <w:rPr>
          <w:rFonts w:ascii="Palatino Linotype" w:eastAsia="Palatino Linotype" w:hAnsi="Palatino Linotype" w:cs="Palatino Linotype"/>
          <w:sz w:val="22"/>
          <w:szCs w:val="22"/>
        </w:rPr>
      </w:pPr>
      <w:bookmarkStart w:id="0" w:name="_heading=h.daj3j2xo6q66" w:colFirst="0" w:colLast="0"/>
      <w:bookmarkEnd w:id="0"/>
      <w:r w:rsidRPr="00882E62">
        <w:rPr>
          <w:rFonts w:ascii="Palatino Linotype" w:eastAsia="Palatino Linotype" w:hAnsi="Palatino Linotype" w:cs="Palatino Linotype"/>
          <w:b/>
          <w:sz w:val="22"/>
          <w:szCs w:val="22"/>
        </w:rPr>
        <w:t>VISTO</w:t>
      </w:r>
      <w:r w:rsidRPr="00882E62">
        <w:rPr>
          <w:rFonts w:ascii="Palatino Linotype" w:eastAsia="Palatino Linotype" w:hAnsi="Palatino Linotype" w:cs="Palatino Linotype"/>
          <w:sz w:val="22"/>
          <w:szCs w:val="22"/>
        </w:rPr>
        <w:t xml:space="preserve"> el expediente formado con motivo del recurso de revisión </w:t>
      </w:r>
      <w:r w:rsidR="00123CFF" w:rsidRPr="00882E62">
        <w:rPr>
          <w:rFonts w:ascii="Palatino Linotype" w:eastAsia="Palatino Linotype" w:hAnsi="Palatino Linotype" w:cs="Palatino Linotype"/>
          <w:b/>
          <w:sz w:val="22"/>
          <w:szCs w:val="22"/>
        </w:rPr>
        <w:t>10754/INFOEM/IP/RR/2025</w:t>
      </w:r>
      <w:r w:rsidRPr="00882E62">
        <w:rPr>
          <w:rFonts w:ascii="Palatino Linotype" w:eastAsia="Palatino Linotype" w:hAnsi="Palatino Linotype" w:cs="Palatino Linotype"/>
          <w:sz w:val="22"/>
          <w:szCs w:val="22"/>
        </w:rPr>
        <w:t>, interpuesto por</w:t>
      </w:r>
      <w:r w:rsidRPr="00882E62">
        <w:rPr>
          <w:rFonts w:ascii="Palatino Linotype" w:eastAsia="Palatino Linotype" w:hAnsi="Palatino Linotype" w:cs="Palatino Linotype"/>
          <w:b/>
          <w:sz w:val="22"/>
          <w:szCs w:val="22"/>
        </w:rPr>
        <w:t xml:space="preserve"> </w:t>
      </w:r>
      <w:r w:rsidR="00DC420C">
        <w:rPr>
          <w:rFonts w:ascii="Palatino Linotype" w:eastAsia="Palatino Linotype" w:hAnsi="Palatino Linotype" w:cs="Palatino Linotype"/>
          <w:b/>
          <w:sz w:val="22"/>
          <w:szCs w:val="22"/>
        </w:rPr>
        <w:t>XXXXXXX</w:t>
      </w:r>
      <w:bookmarkStart w:id="1" w:name="_GoBack"/>
      <w:bookmarkEnd w:id="1"/>
      <w:r w:rsidR="001A3D4C" w:rsidRPr="00882E62">
        <w:rPr>
          <w:rFonts w:ascii="Palatino Linotype" w:eastAsia="Palatino Linotype" w:hAnsi="Palatino Linotype" w:cs="Palatino Linotype"/>
          <w:b/>
          <w:sz w:val="22"/>
          <w:szCs w:val="22"/>
        </w:rPr>
        <w:t>,</w:t>
      </w:r>
      <w:r w:rsidRPr="00882E62">
        <w:rPr>
          <w:rFonts w:ascii="Palatino Linotype" w:eastAsia="Palatino Linotype" w:hAnsi="Palatino Linotype" w:cs="Palatino Linotype"/>
          <w:sz w:val="22"/>
          <w:szCs w:val="22"/>
        </w:rPr>
        <w:t xml:space="preserve"> en lo sucesivo</w:t>
      </w:r>
      <w:r w:rsidRPr="00882E62">
        <w:rPr>
          <w:rFonts w:ascii="Palatino Linotype" w:eastAsia="Palatino Linotype" w:hAnsi="Palatino Linotype" w:cs="Palatino Linotype"/>
          <w:b/>
          <w:sz w:val="22"/>
          <w:szCs w:val="22"/>
        </w:rPr>
        <w:t xml:space="preserve"> </w:t>
      </w:r>
      <w:r w:rsidRPr="00882E62">
        <w:rPr>
          <w:rFonts w:ascii="Palatino Linotype" w:eastAsia="Palatino Linotype" w:hAnsi="Palatino Linotype" w:cs="Palatino Linotype"/>
          <w:sz w:val="22"/>
          <w:szCs w:val="22"/>
        </w:rPr>
        <w:t xml:space="preserve">la parte </w:t>
      </w:r>
      <w:r w:rsidRPr="00882E62">
        <w:rPr>
          <w:rFonts w:ascii="Palatino Linotype" w:eastAsia="Palatino Linotype" w:hAnsi="Palatino Linotype" w:cs="Palatino Linotype"/>
          <w:b/>
          <w:sz w:val="22"/>
          <w:szCs w:val="22"/>
        </w:rPr>
        <w:t>Recurrente,</w:t>
      </w:r>
      <w:r w:rsidRPr="00882E62">
        <w:rPr>
          <w:rFonts w:ascii="Palatino Linotype" w:eastAsia="Palatino Linotype" w:hAnsi="Palatino Linotype" w:cs="Palatino Linotype"/>
          <w:sz w:val="22"/>
          <w:szCs w:val="22"/>
        </w:rPr>
        <w:t xml:space="preserve"> en contra de la respuesta a la solicitud de información con número de folio</w:t>
      </w:r>
      <w:r w:rsidRPr="00882E62">
        <w:rPr>
          <w:rFonts w:ascii="Palatino Linotype" w:eastAsia="Palatino Linotype" w:hAnsi="Palatino Linotype" w:cs="Palatino Linotype"/>
          <w:b/>
          <w:sz w:val="22"/>
          <w:szCs w:val="22"/>
        </w:rPr>
        <w:t xml:space="preserve"> </w:t>
      </w:r>
      <w:r w:rsidR="00123CFF" w:rsidRPr="00882E62">
        <w:rPr>
          <w:rFonts w:ascii="Palatino Linotype" w:eastAsia="Palatino Linotype" w:hAnsi="Palatino Linotype" w:cs="Palatino Linotype"/>
          <w:b/>
          <w:sz w:val="22"/>
          <w:szCs w:val="22"/>
        </w:rPr>
        <w:t>00239/TECAMAC/IP/2025</w:t>
      </w:r>
      <w:r w:rsidRPr="00882E62">
        <w:rPr>
          <w:rFonts w:ascii="Palatino Linotype" w:eastAsia="Palatino Linotype" w:hAnsi="Palatino Linotype" w:cs="Palatino Linotype"/>
          <w:b/>
          <w:sz w:val="22"/>
          <w:szCs w:val="22"/>
        </w:rPr>
        <w:t xml:space="preserve">, </w:t>
      </w:r>
      <w:r w:rsidRPr="00882E62">
        <w:rPr>
          <w:rFonts w:ascii="Palatino Linotype" w:eastAsia="Palatino Linotype" w:hAnsi="Palatino Linotype" w:cs="Palatino Linotype"/>
          <w:sz w:val="22"/>
          <w:szCs w:val="22"/>
        </w:rPr>
        <w:t xml:space="preserve">por parte del </w:t>
      </w:r>
      <w:r w:rsidR="00123CFF" w:rsidRPr="00882E62">
        <w:rPr>
          <w:rFonts w:ascii="Palatino Linotype" w:eastAsia="Palatino Linotype" w:hAnsi="Palatino Linotype" w:cs="Palatino Linotype"/>
          <w:b/>
          <w:sz w:val="22"/>
          <w:szCs w:val="22"/>
        </w:rPr>
        <w:t>Ayuntamiento de Tecámac</w:t>
      </w:r>
      <w:r w:rsidRPr="00882E62">
        <w:rPr>
          <w:rFonts w:ascii="Palatino Linotype" w:eastAsia="Palatino Linotype" w:hAnsi="Palatino Linotype" w:cs="Palatino Linotype"/>
          <w:b/>
          <w:sz w:val="22"/>
          <w:szCs w:val="22"/>
        </w:rPr>
        <w:t xml:space="preserve">, </w:t>
      </w:r>
      <w:r w:rsidRPr="00882E62">
        <w:rPr>
          <w:rFonts w:ascii="Palatino Linotype" w:eastAsia="Palatino Linotype" w:hAnsi="Palatino Linotype" w:cs="Palatino Linotype"/>
          <w:sz w:val="22"/>
          <w:szCs w:val="22"/>
        </w:rPr>
        <w:t xml:space="preserve">en lo sucesivo el </w:t>
      </w:r>
      <w:r w:rsidRPr="00882E62">
        <w:rPr>
          <w:rFonts w:ascii="Palatino Linotype" w:eastAsia="Palatino Linotype" w:hAnsi="Palatino Linotype" w:cs="Palatino Linotype"/>
          <w:b/>
          <w:sz w:val="22"/>
          <w:szCs w:val="22"/>
        </w:rPr>
        <w:t xml:space="preserve">Sujeto Obligado, </w:t>
      </w:r>
      <w:r w:rsidRPr="00882E62">
        <w:rPr>
          <w:rFonts w:ascii="Palatino Linotype" w:eastAsia="Palatino Linotype" w:hAnsi="Palatino Linotype" w:cs="Palatino Linotype"/>
          <w:sz w:val="22"/>
          <w:szCs w:val="22"/>
        </w:rPr>
        <w:t xml:space="preserve">se procede a dictar la presente resolución con base en los siguientes: </w:t>
      </w:r>
    </w:p>
    <w:p w14:paraId="6CBEA268" w14:textId="77777777" w:rsidR="00694AA0" w:rsidRPr="00882E62" w:rsidRDefault="005B22BA">
      <w:pPr>
        <w:spacing w:before="240" w:after="240" w:line="360" w:lineRule="auto"/>
        <w:jc w:val="center"/>
        <w:rPr>
          <w:rFonts w:ascii="Palatino Linotype" w:eastAsia="Palatino Linotype" w:hAnsi="Palatino Linotype" w:cs="Palatino Linotype"/>
          <w:b/>
          <w:sz w:val="22"/>
          <w:szCs w:val="22"/>
        </w:rPr>
      </w:pPr>
      <w:r w:rsidRPr="00882E62">
        <w:rPr>
          <w:rFonts w:ascii="Palatino Linotype" w:eastAsia="Palatino Linotype" w:hAnsi="Palatino Linotype" w:cs="Palatino Linotype"/>
          <w:b/>
          <w:sz w:val="22"/>
          <w:szCs w:val="22"/>
        </w:rPr>
        <w:t>I. A N T E C E D E N T E S</w:t>
      </w:r>
    </w:p>
    <w:p w14:paraId="68695096" w14:textId="0ECBACD8" w:rsidR="00694AA0" w:rsidRPr="00882E62" w:rsidRDefault="005B22BA">
      <w:pPr>
        <w:spacing w:before="240" w:after="240" w:line="360" w:lineRule="auto"/>
        <w:jc w:val="both"/>
        <w:rPr>
          <w:rFonts w:ascii="Palatino Linotype" w:eastAsia="Palatino Linotype" w:hAnsi="Palatino Linotype" w:cs="Palatino Linotype"/>
          <w:sz w:val="22"/>
          <w:szCs w:val="22"/>
        </w:rPr>
      </w:pPr>
      <w:bookmarkStart w:id="2" w:name="_heading=h.gjdgxs" w:colFirst="0" w:colLast="0"/>
      <w:bookmarkEnd w:id="2"/>
      <w:r w:rsidRPr="00882E62">
        <w:rPr>
          <w:rFonts w:ascii="Palatino Linotype" w:eastAsia="Palatino Linotype" w:hAnsi="Palatino Linotype" w:cs="Palatino Linotype"/>
          <w:b/>
          <w:sz w:val="22"/>
          <w:szCs w:val="22"/>
        </w:rPr>
        <w:t>1. Solicitud de acceso a la información.</w:t>
      </w:r>
      <w:r w:rsidRPr="00882E62">
        <w:rPr>
          <w:rFonts w:ascii="Palatino Linotype" w:eastAsia="Palatino Linotype" w:hAnsi="Palatino Linotype" w:cs="Palatino Linotype"/>
          <w:sz w:val="22"/>
          <w:szCs w:val="22"/>
        </w:rPr>
        <w:t xml:space="preserve"> El </w:t>
      </w:r>
      <w:r w:rsidR="008215D5" w:rsidRPr="00882E62">
        <w:rPr>
          <w:rFonts w:ascii="Palatino Linotype" w:eastAsia="Palatino Linotype" w:hAnsi="Palatino Linotype" w:cs="Palatino Linotype"/>
          <w:b/>
          <w:sz w:val="22"/>
          <w:szCs w:val="22"/>
        </w:rPr>
        <w:t>diecinueve de agosto</w:t>
      </w:r>
      <w:r w:rsidR="00A97285" w:rsidRPr="00882E62">
        <w:rPr>
          <w:rFonts w:ascii="Palatino Linotype" w:eastAsia="Palatino Linotype" w:hAnsi="Palatino Linotype" w:cs="Palatino Linotype"/>
          <w:b/>
          <w:sz w:val="22"/>
          <w:szCs w:val="22"/>
        </w:rPr>
        <w:t xml:space="preserve"> </w:t>
      </w:r>
      <w:r w:rsidR="009502ED" w:rsidRPr="00882E62">
        <w:rPr>
          <w:rFonts w:ascii="Palatino Linotype" w:eastAsia="Palatino Linotype" w:hAnsi="Palatino Linotype" w:cs="Palatino Linotype"/>
          <w:b/>
          <w:sz w:val="22"/>
          <w:szCs w:val="22"/>
        </w:rPr>
        <w:t>de</w:t>
      </w:r>
      <w:r w:rsidR="00A97285" w:rsidRPr="00882E62">
        <w:rPr>
          <w:rFonts w:ascii="Palatino Linotype" w:eastAsia="Palatino Linotype" w:hAnsi="Palatino Linotype" w:cs="Palatino Linotype"/>
          <w:b/>
          <w:sz w:val="22"/>
          <w:szCs w:val="22"/>
        </w:rPr>
        <w:t xml:space="preserve"> dos mil veinticinco</w:t>
      </w:r>
      <w:r w:rsidRPr="00882E62">
        <w:rPr>
          <w:rFonts w:ascii="Palatino Linotype" w:eastAsia="Palatino Linotype" w:hAnsi="Palatino Linotype" w:cs="Palatino Linotype"/>
          <w:b/>
          <w:sz w:val="22"/>
          <w:szCs w:val="22"/>
        </w:rPr>
        <w:t>,</w:t>
      </w:r>
      <w:r w:rsidRPr="00882E62">
        <w:rPr>
          <w:rFonts w:ascii="Palatino Linotype" w:eastAsia="Palatino Linotype" w:hAnsi="Palatino Linotype" w:cs="Palatino Linotype"/>
          <w:sz w:val="22"/>
          <w:szCs w:val="22"/>
        </w:rPr>
        <w:t xml:space="preserve"> </w:t>
      </w:r>
      <w:r w:rsidR="003C488E" w:rsidRPr="00882E62">
        <w:rPr>
          <w:rFonts w:ascii="Palatino Linotype" w:eastAsia="Palatino Linotype" w:hAnsi="Palatino Linotype" w:cs="Palatino Linotype"/>
          <w:sz w:val="22"/>
          <w:szCs w:val="22"/>
        </w:rPr>
        <w:t xml:space="preserve">la parte </w:t>
      </w:r>
      <w:r w:rsidR="003C488E" w:rsidRPr="00882E62">
        <w:rPr>
          <w:rFonts w:ascii="Palatino Linotype" w:eastAsia="Palatino Linotype" w:hAnsi="Palatino Linotype" w:cs="Palatino Linotype"/>
          <w:b/>
          <w:sz w:val="22"/>
          <w:szCs w:val="22"/>
        </w:rPr>
        <w:t xml:space="preserve">Recurrente </w:t>
      </w:r>
      <w:r w:rsidR="003C488E" w:rsidRPr="00882E62">
        <w:rPr>
          <w:rFonts w:ascii="Palatino Linotype" w:eastAsia="Palatino Linotype" w:hAnsi="Palatino Linotype" w:cs="Palatino Linotype"/>
          <w:sz w:val="22"/>
          <w:szCs w:val="22"/>
        </w:rPr>
        <w:t xml:space="preserve">presentó la solicitud de acceso a la información pública ante el </w:t>
      </w:r>
      <w:r w:rsidR="003C488E" w:rsidRPr="00882E62">
        <w:rPr>
          <w:rFonts w:ascii="Palatino Linotype" w:eastAsia="Palatino Linotype" w:hAnsi="Palatino Linotype" w:cs="Palatino Linotype"/>
          <w:b/>
          <w:sz w:val="22"/>
          <w:szCs w:val="22"/>
        </w:rPr>
        <w:t>Sujeto Obligado</w:t>
      </w:r>
      <w:r w:rsidR="003C488E" w:rsidRPr="00882E62">
        <w:rPr>
          <w:rFonts w:ascii="Palatino Linotype" w:eastAsia="Palatino Linotype" w:hAnsi="Palatino Linotype" w:cs="Palatino Linotype"/>
          <w:sz w:val="22"/>
          <w:szCs w:val="22"/>
        </w:rPr>
        <w:t xml:space="preserve">, a través del Sistema de Acceso a la Información Mexiquense, en lo subsecuente el </w:t>
      </w:r>
      <w:r w:rsidR="003C488E" w:rsidRPr="00882E62">
        <w:rPr>
          <w:rFonts w:ascii="Palatino Linotype" w:eastAsia="Palatino Linotype" w:hAnsi="Palatino Linotype" w:cs="Palatino Linotype"/>
          <w:b/>
          <w:sz w:val="22"/>
          <w:szCs w:val="22"/>
        </w:rPr>
        <w:t>SAIMEX,</w:t>
      </w:r>
      <w:r w:rsidR="003C488E" w:rsidRPr="00882E62">
        <w:rPr>
          <w:rFonts w:ascii="Palatino Linotype" w:eastAsia="Palatino Linotype" w:hAnsi="Palatino Linotype" w:cs="Palatino Linotype"/>
          <w:sz w:val="22"/>
          <w:szCs w:val="22"/>
        </w:rPr>
        <w:t xml:space="preserve"> </w:t>
      </w:r>
      <w:r w:rsidRPr="00882E62">
        <w:rPr>
          <w:rFonts w:ascii="Palatino Linotype" w:eastAsia="Palatino Linotype" w:hAnsi="Palatino Linotype" w:cs="Palatino Linotype"/>
          <w:sz w:val="22"/>
          <w:szCs w:val="22"/>
        </w:rPr>
        <w:t>mediante la cual requirió lo siguiente:</w:t>
      </w:r>
    </w:p>
    <w:p w14:paraId="2B457E68" w14:textId="459FF760" w:rsidR="00694AA0" w:rsidRPr="00882E62" w:rsidRDefault="005B22BA">
      <w:pPr>
        <w:spacing w:before="120" w:after="120"/>
        <w:ind w:left="851" w:right="902"/>
        <w:jc w:val="both"/>
        <w:rPr>
          <w:rFonts w:ascii="Palatino Linotype" w:eastAsia="Palatino Linotype" w:hAnsi="Palatino Linotype" w:cs="Palatino Linotype"/>
          <w:b/>
          <w:i/>
          <w:sz w:val="22"/>
          <w:szCs w:val="22"/>
        </w:rPr>
      </w:pPr>
      <w:r w:rsidRPr="00882E62">
        <w:rPr>
          <w:rFonts w:ascii="Palatino Linotype" w:eastAsia="Palatino Linotype" w:hAnsi="Palatino Linotype" w:cs="Palatino Linotype"/>
          <w:i/>
          <w:sz w:val="22"/>
          <w:szCs w:val="22"/>
        </w:rPr>
        <w:t xml:space="preserve"> “</w:t>
      </w:r>
      <w:r w:rsidR="008215D5" w:rsidRPr="00882E62">
        <w:rPr>
          <w:rFonts w:ascii="Palatino Linotype" w:eastAsia="Palatino Linotype" w:hAnsi="Palatino Linotype" w:cs="Palatino Linotype"/>
          <w:i/>
          <w:sz w:val="22"/>
          <w:szCs w:val="22"/>
        </w:rPr>
        <w:t xml:space="preserve">Solicito para los ejercicios fiscales del 2021, 2022, 2023, 2024, 2025, en formato Excel y </w:t>
      </w:r>
      <w:proofErr w:type="spellStart"/>
      <w:r w:rsidR="008215D5" w:rsidRPr="00882E62">
        <w:rPr>
          <w:rFonts w:ascii="Palatino Linotype" w:eastAsia="Palatino Linotype" w:hAnsi="Palatino Linotype" w:cs="Palatino Linotype"/>
          <w:i/>
          <w:sz w:val="22"/>
          <w:szCs w:val="22"/>
        </w:rPr>
        <w:t>pdf</w:t>
      </w:r>
      <w:proofErr w:type="spellEnd"/>
      <w:r w:rsidR="008215D5" w:rsidRPr="00882E62">
        <w:rPr>
          <w:rFonts w:ascii="Palatino Linotype" w:eastAsia="Palatino Linotype" w:hAnsi="Palatino Linotype" w:cs="Palatino Linotype"/>
          <w:i/>
          <w:sz w:val="22"/>
          <w:szCs w:val="22"/>
        </w:rPr>
        <w:t>. Lo siguiente: • Tabulador de sueldos de todas las categorías, y plazas, de todos los puestos de mando (sean mandos superiores, mandos medios, operativos, sindicalizadas) y base, con todos los componentes salariales (sueldo base, prestaciones, bonos, gratificaciones, etc.) • Tabuladores o escalafón de sueldos y compensaciones de los servidores públicos municipales. • Contrato colectivo de trabajo • Presupuesto anual del capítulo 1000, por partida y plazas • Formatos de: 1.-Tabulador de sueldos (PbRM-05), y 2.- Presupuesto de Egreso Global Calendarizado (PbRM-04c), estos referenciados en el Manual para la Planeación, Programación y Presupuesto de Egresos Municipal de cada ejercicio fiscal.</w:t>
      </w:r>
      <w:r w:rsidRPr="00882E62">
        <w:rPr>
          <w:rFonts w:ascii="Palatino Linotype" w:eastAsia="Palatino Linotype" w:hAnsi="Palatino Linotype" w:cs="Palatino Linotype"/>
          <w:b/>
          <w:i/>
          <w:sz w:val="22"/>
          <w:szCs w:val="22"/>
        </w:rPr>
        <w:t>”</w:t>
      </w:r>
      <w:r w:rsidRPr="00882E62">
        <w:rPr>
          <w:rFonts w:ascii="Palatino Linotype" w:eastAsia="Palatino Linotype" w:hAnsi="Palatino Linotype" w:cs="Palatino Linotype"/>
          <w:i/>
          <w:sz w:val="22"/>
          <w:szCs w:val="22"/>
        </w:rPr>
        <w:t xml:space="preserve"> (sic) </w:t>
      </w:r>
    </w:p>
    <w:p w14:paraId="11A48197" w14:textId="0D031E8D" w:rsidR="003C488E" w:rsidRPr="00882E62" w:rsidRDefault="003C488E" w:rsidP="003C488E">
      <w:pPr>
        <w:spacing w:before="240" w:after="240" w:line="360" w:lineRule="auto"/>
        <w:jc w:val="both"/>
        <w:rPr>
          <w:rFonts w:ascii="Palatino Linotype" w:eastAsia="Palatino Linotype" w:hAnsi="Palatino Linotype" w:cs="Palatino Linotype"/>
          <w:sz w:val="22"/>
          <w:szCs w:val="22"/>
        </w:rPr>
      </w:pPr>
      <w:bookmarkStart w:id="3" w:name="_heading=h.3dy6vkm" w:colFirst="0" w:colLast="0"/>
      <w:bookmarkEnd w:id="3"/>
      <w:r w:rsidRPr="00882E62">
        <w:rPr>
          <w:rFonts w:ascii="Palatino Linotype" w:eastAsia="Palatino Linotype" w:hAnsi="Palatino Linotype" w:cs="Palatino Linotype"/>
          <w:b/>
          <w:sz w:val="22"/>
          <w:szCs w:val="22"/>
        </w:rPr>
        <w:t>Modalidad de Entrega:</w:t>
      </w:r>
      <w:r w:rsidRPr="00882E62">
        <w:rPr>
          <w:rFonts w:ascii="Palatino Linotype" w:eastAsia="Palatino Linotype" w:hAnsi="Palatino Linotype" w:cs="Palatino Linotype"/>
          <w:sz w:val="22"/>
          <w:szCs w:val="22"/>
        </w:rPr>
        <w:t xml:space="preserve"> a través del</w:t>
      </w:r>
      <w:r w:rsidRPr="00882E62">
        <w:rPr>
          <w:rFonts w:ascii="Palatino Linotype" w:eastAsia="Palatino Linotype" w:hAnsi="Palatino Linotype" w:cs="Palatino Linotype"/>
          <w:b/>
          <w:sz w:val="22"/>
          <w:szCs w:val="22"/>
        </w:rPr>
        <w:t xml:space="preserve"> SAIMEX.</w:t>
      </w:r>
    </w:p>
    <w:p w14:paraId="7686068F" w14:textId="0A3EC3C5" w:rsidR="00694AA0" w:rsidRPr="00882E62" w:rsidRDefault="005B22BA">
      <w:pPr>
        <w:spacing w:before="240" w:after="240" w:line="360" w:lineRule="auto"/>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b/>
          <w:sz w:val="22"/>
          <w:szCs w:val="22"/>
        </w:rPr>
        <w:lastRenderedPageBreak/>
        <w:t xml:space="preserve">2. Respuesta. </w:t>
      </w:r>
      <w:r w:rsidR="004A5926" w:rsidRPr="00882E62">
        <w:rPr>
          <w:rFonts w:ascii="Palatino Linotype" w:eastAsia="Palatino Linotype" w:hAnsi="Palatino Linotype" w:cs="Palatino Linotype"/>
          <w:sz w:val="22"/>
          <w:szCs w:val="22"/>
        </w:rPr>
        <w:t xml:space="preserve">El </w:t>
      </w:r>
      <w:r w:rsidR="008215D5" w:rsidRPr="00882E62">
        <w:rPr>
          <w:rFonts w:ascii="Palatino Linotype" w:eastAsia="Palatino Linotype" w:hAnsi="Palatino Linotype" w:cs="Palatino Linotype"/>
          <w:b/>
          <w:sz w:val="22"/>
          <w:szCs w:val="22"/>
        </w:rPr>
        <w:t xml:space="preserve">diez de septiembre </w:t>
      </w:r>
      <w:r w:rsidR="00A97285" w:rsidRPr="00882E62">
        <w:rPr>
          <w:rFonts w:ascii="Palatino Linotype" w:eastAsia="Palatino Linotype" w:hAnsi="Palatino Linotype" w:cs="Palatino Linotype"/>
          <w:b/>
          <w:sz w:val="22"/>
          <w:szCs w:val="22"/>
        </w:rPr>
        <w:t>de dos mil veinticinco</w:t>
      </w:r>
      <w:r w:rsidRPr="00882E62">
        <w:rPr>
          <w:rFonts w:ascii="Palatino Linotype" w:eastAsia="Palatino Linotype" w:hAnsi="Palatino Linotype" w:cs="Palatino Linotype"/>
          <w:b/>
          <w:sz w:val="22"/>
          <w:szCs w:val="22"/>
        </w:rPr>
        <w:t>,</w:t>
      </w:r>
      <w:r w:rsidRPr="00882E62">
        <w:rPr>
          <w:rFonts w:ascii="Palatino Linotype" w:eastAsia="Palatino Linotype" w:hAnsi="Palatino Linotype" w:cs="Palatino Linotype"/>
          <w:sz w:val="22"/>
          <w:szCs w:val="22"/>
        </w:rPr>
        <w:t xml:space="preserve"> el </w:t>
      </w:r>
      <w:r w:rsidRPr="00882E62">
        <w:rPr>
          <w:rFonts w:ascii="Palatino Linotype" w:eastAsia="Palatino Linotype" w:hAnsi="Palatino Linotype" w:cs="Palatino Linotype"/>
          <w:b/>
          <w:sz w:val="22"/>
          <w:szCs w:val="22"/>
        </w:rPr>
        <w:t xml:space="preserve">Sujeto Obligado </w:t>
      </w:r>
      <w:r w:rsidRPr="00882E62">
        <w:rPr>
          <w:rFonts w:ascii="Palatino Linotype" w:eastAsia="Palatino Linotype" w:hAnsi="Palatino Linotype" w:cs="Palatino Linotype"/>
          <w:sz w:val="22"/>
          <w:szCs w:val="22"/>
        </w:rPr>
        <w:t xml:space="preserve">envió su respuesta a la solicitud de acceso a la información a través del SAIMEX, sustancialmente en los términos siguientes:   </w:t>
      </w:r>
    </w:p>
    <w:p w14:paraId="0EB69FD4" w14:textId="71AB93AB" w:rsidR="00694AA0" w:rsidRPr="00882E62" w:rsidRDefault="005B22BA">
      <w:pPr>
        <w:spacing w:before="240" w:after="240"/>
        <w:ind w:left="851" w:right="902"/>
        <w:jc w:val="both"/>
        <w:rPr>
          <w:rFonts w:ascii="Palatino Linotype" w:eastAsia="Palatino Linotype" w:hAnsi="Palatino Linotype" w:cs="Palatino Linotype"/>
          <w:i/>
          <w:sz w:val="22"/>
          <w:szCs w:val="22"/>
        </w:rPr>
      </w:pPr>
      <w:r w:rsidRPr="00882E62">
        <w:rPr>
          <w:rFonts w:ascii="Palatino Linotype" w:eastAsia="Palatino Linotype" w:hAnsi="Palatino Linotype" w:cs="Palatino Linotype"/>
          <w:i/>
          <w:sz w:val="22"/>
          <w:szCs w:val="22"/>
        </w:rPr>
        <w:t>“…</w:t>
      </w:r>
      <w:r w:rsidR="008215D5" w:rsidRPr="00882E62">
        <w:rPr>
          <w:rFonts w:ascii="Palatino Linotype" w:eastAsia="Palatino Linotype" w:hAnsi="Palatino Linotype" w:cs="Palatino Linotype"/>
          <w:i/>
          <w:sz w:val="22"/>
          <w:szCs w:val="22"/>
        </w:rPr>
        <w:t xml:space="preserve">En lo referente a esta Tesorería le referimos el artículo 12 de la Ley de Transparencia y Acceso a la Información Pública del Estado de México y Municipios: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La </w:t>
      </w:r>
      <w:proofErr w:type="spellStart"/>
      <w:r w:rsidR="008215D5" w:rsidRPr="00882E62">
        <w:rPr>
          <w:rFonts w:ascii="Palatino Linotype" w:eastAsia="Palatino Linotype" w:hAnsi="Palatino Linotype" w:cs="Palatino Linotype"/>
          <w:i/>
          <w:sz w:val="22"/>
          <w:szCs w:val="22"/>
        </w:rPr>
        <w:t>informacion</w:t>
      </w:r>
      <w:proofErr w:type="spellEnd"/>
      <w:r w:rsidR="008215D5" w:rsidRPr="00882E62">
        <w:rPr>
          <w:rFonts w:ascii="Palatino Linotype" w:eastAsia="Palatino Linotype" w:hAnsi="Palatino Linotype" w:cs="Palatino Linotype"/>
          <w:i/>
          <w:sz w:val="22"/>
          <w:szCs w:val="22"/>
        </w:rPr>
        <w:t xml:space="preserve"> solicitada se encuentra en la </w:t>
      </w:r>
      <w:proofErr w:type="spellStart"/>
      <w:r w:rsidR="008215D5" w:rsidRPr="00882E62">
        <w:rPr>
          <w:rFonts w:ascii="Palatino Linotype" w:eastAsia="Palatino Linotype" w:hAnsi="Palatino Linotype" w:cs="Palatino Linotype"/>
          <w:i/>
          <w:sz w:val="22"/>
          <w:szCs w:val="22"/>
        </w:rPr>
        <w:t>pagina</w:t>
      </w:r>
      <w:proofErr w:type="spellEnd"/>
      <w:r w:rsidR="008215D5" w:rsidRPr="00882E62">
        <w:rPr>
          <w:rFonts w:ascii="Palatino Linotype" w:eastAsia="Palatino Linotype" w:hAnsi="Palatino Linotype" w:cs="Palatino Linotype"/>
          <w:i/>
          <w:sz w:val="22"/>
          <w:szCs w:val="22"/>
        </w:rPr>
        <w:t xml:space="preserve"> principal del municipio, en el estado en que se encuentra</w:t>
      </w:r>
      <w:r w:rsidR="0018603F" w:rsidRPr="00882E62">
        <w:rPr>
          <w:rFonts w:ascii="Palatino Linotype" w:eastAsia="Palatino Linotype" w:hAnsi="Palatino Linotype" w:cs="Palatino Linotype"/>
          <w:i/>
          <w:sz w:val="22"/>
          <w:szCs w:val="22"/>
        </w:rPr>
        <w:t>.</w:t>
      </w:r>
      <w:r w:rsidRPr="00882E62">
        <w:rPr>
          <w:rFonts w:ascii="Palatino Linotype" w:eastAsia="Palatino Linotype" w:hAnsi="Palatino Linotype" w:cs="Palatino Linotype"/>
          <w:i/>
          <w:sz w:val="22"/>
          <w:szCs w:val="22"/>
        </w:rPr>
        <w:t>..” (sic)</w:t>
      </w:r>
    </w:p>
    <w:p w14:paraId="2166B49F" w14:textId="60EEB9A1" w:rsidR="00694AA0" w:rsidRPr="00882E62" w:rsidRDefault="005B22BA">
      <w:pPr>
        <w:spacing w:before="240" w:after="240" w:line="360" w:lineRule="auto"/>
        <w:ind w:right="49"/>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b/>
          <w:sz w:val="22"/>
          <w:szCs w:val="22"/>
        </w:rPr>
        <w:t xml:space="preserve">3. Interposición del recurso de revisión. </w:t>
      </w:r>
      <w:r w:rsidRPr="00882E62">
        <w:rPr>
          <w:rFonts w:ascii="Palatino Linotype" w:eastAsia="Palatino Linotype" w:hAnsi="Palatino Linotype" w:cs="Palatino Linotype"/>
          <w:sz w:val="22"/>
          <w:szCs w:val="22"/>
        </w:rPr>
        <w:t xml:space="preserve">Inconforme con los términos de la respuesta emitida por parte del </w:t>
      </w:r>
      <w:r w:rsidRPr="00882E62">
        <w:rPr>
          <w:rFonts w:ascii="Palatino Linotype" w:eastAsia="Palatino Linotype" w:hAnsi="Palatino Linotype" w:cs="Palatino Linotype"/>
          <w:b/>
          <w:sz w:val="22"/>
          <w:szCs w:val="22"/>
        </w:rPr>
        <w:t>Sujeto Obligado</w:t>
      </w:r>
      <w:r w:rsidRPr="00882E62">
        <w:rPr>
          <w:rFonts w:ascii="Palatino Linotype" w:eastAsia="Palatino Linotype" w:hAnsi="Palatino Linotype" w:cs="Palatino Linotype"/>
          <w:sz w:val="22"/>
          <w:szCs w:val="22"/>
        </w:rPr>
        <w:t xml:space="preserve">, el </w:t>
      </w:r>
      <w:r w:rsidR="008215D5" w:rsidRPr="00882E62">
        <w:rPr>
          <w:rFonts w:ascii="Palatino Linotype" w:eastAsia="Palatino Linotype" w:hAnsi="Palatino Linotype" w:cs="Palatino Linotype"/>
          <w:b/>
          <w:sz w:val="22"/>
          <w:szCs w:val="22"/>
        </w:rPr>
        <w:t>once de septiembre</w:t>
      </w:r>
      <w:r w:rsidR="006262EB" w:rsidRPr="00882E62">
        <w:rPr>
          <w:rFonts w:ascii="Palatino Linotype" w:eastAsia="Palatino Linotype" w:hAnsi="Palatino Linotype" w:cs="Palatino Linotype"/>
          <w:b/>
          <w:sz w:val="22"/>
          <w:szCs w:val="22"/>
        </w:rPr>
        <w:t xml:space="preserve"> </w:t>
      </w:r>
      <w:r w:rsidRPr="00882E62">
        <w:rPr>
          <w:rFonts w:ascii="Palatino Linotype" w:eastAsia="Palatino Linotype" w:hAnsi="Palatino Linotype" w:cs="Palatino Linotype"/>
          <w:b/>
          <w:sz w:val="22"/>
          <w:szCs w:val="22"/>
        </w:rPr>
        <w:t xml:space="preserve">de dos mil </w:t>
      </w:r>
      <w:r w:rsidR="00340A37" w:rsidRPr="00882E62">
        <w:rPr>
          <w:rFonts w:ascii="Palatino Linotype" w:eastAsia="Palatino Linotype" w:hAnsi="Palatino Linotype" w:cs="Palatino Linotype"/>
          <w:b/>
          <w:sz w:val="22"/>
          <w:szCs w:val="22"/>
        </w:rPr>
        <w:t>veinti</w:t>
      </w:r>
      <w:r w:rsidR="007728C9" w:rsidRPr="00882E62">
        <w:rPr>
          <w:rFonts w:ascii="Palatino Linotype" w:eastAsia="Palatino Linotype" w:hAnsi="Palatino Linotype" w:cs="Palatino Linotype"/>
          <w:b/>
          <w:sz w:val="22"/>
          <w:szCs w:val="22"/>
        </w:rPr>
        <w:t>cinco,</w:t>
      </w:r>
      <w:r w:rsidRPr="00882E62">
        <w:rPr>
          <w:rFonts w:ascii="Palatino Linotype" w:eastAsia="Palatino Linotype" w:hAnsi="Palatino Linotype" w:cs="Palatino Linotype"/>
          <w:sz w:val="22"/>
          <w:szCs w:val="22"/>
        </w:rPr>
        <w:t xml:space="preserve"> la parte </w:t>
      </w:r>
      <w:r w:rsidRPr="00882E62">
        <w:rPr>
          <w:rFonts w:ascii="Palatino Linotype" w:eastAsia="Palatino Linotype" w:hAnsi="Palatino Linotype" w:cs="Palatino Linotype"/>
          <w:b/>
          <w:sz w:val="22"/>
          <w:szCs w:val="22"/>
        </w:rPr>
        <w:t>Recurrente</w:t>
      </w:r>
      <w:r w:rsidRPr="00882E62">
        <w:rPr>
          <w:rFonts w:ascii="Palatino Linotype" w:eastAsia="Palatino Linotype" w:hAnsi="Palatino Linotype" w:cs="Palatino Linotype"/>
          <w:sz w:val="22"/>
          <w:szCs w:val="22"/>
        </w:rPr>
        <w:t xml:space="preserve"> interpuso el recurso de revisión a través de </w:t>
      </w:r>
      <w:r w:rsidRPr="00882E62">
        <w:rPr>
          <w:rFonts w:ascii="Palatino Linotype" w:eastAsia="Palatino Linotype" w:hAnsi="Palatino Linotype" w:cs="Palatino Linotype"/>
          <w:b/>
          <w:sz w:val="22"/>
          <w:szCs w:val="22"/>
        </w:rPr>
        <w:t xml:space="preserve">SAIMEX, </w:t>
      </w:r>
      <w:r w:rsidRPr="00882E62">
        <w:rPr>
          <w:rFonts w:ascii="Palatino Linotype" w:eastAsia="Palatino Linotype" w:hAnsi="Palatino Linotype" w:cs="Palatino Linotype"/>
          <w:sz w:val="22"/>
          <w:szCs w:val="22"/>
        </w:rPr>
        <w:t>en donde se manifestó de la siguiente manera:</w:t>
      </w:r>
    </w:p>
    <w:p w14:paraId="7C2BF786" w14:textId="77777777" w:rsidR="00694AA0" w:rsidRPr="00882E62" w:rsidRDefault="005B22BA">
      <w:pPr>
        <w:spacing w:before="240" w:after="240" w:line="360" w:lineRule="auto"/>
        <w:ind w:right="49"/>
        <w:jc w:val="both"/>
        <w:rPr>
          <w:rFonts w:ascii="Palatino Linotype" w:eastAsia="Palatino Linotype" w:hAnsi="Palatino Linotype" w:cs="Palatino Linotype"/>
          <w:b/>
          <w:sz w:val="22"/>
          <w:szCs w:val="22"/>
        </w:rPr>
      </w:pPr>
      <w:r w:rsidRPr="00882E62">
        <w:rPr>
          <w:rFonts w:ascii="Palatino Linotype" w:eastAsia="Palatino Linotype" w:hAnsi="Palatino Linotype" w:cs="Palatino Linotype"/>
          <w:b/>
          <w:sz w:val="22"/>
          <w:szCs w:val="22"/>
        </w:rPr>
        <w:t xml:space="preserve">Acto impugnado: </w:t>
      </w:r>
    </w:p>
    <w:p w14:paraId="3DC3BF9F" w14:textId="0D8EDE55" w:rsidR="00694AA0" w:rsidRPr="00882E62" w:rsidRDefault="005B22BA" w:rsidP="00340A37">
      <w:pPr>
        <w:ind w:left="851" w:right="900"/>
        <w:jc w:val="both"/>
        <w:rPr>
          <w:rFonts w:ascii="Palatino Linotype" w:eastAsia="Palatino Linotype" w:hAnsi="Palatino Linotype" w:cs="Palatino Linotype"/>
          <w:i/>
          <w:sz w:val="22"/>
          <w:szCs w:val="22"/>
        </w:rPr>
      </w:pPr>
      <w:r w:rsidRPr="00882E62">
        <w:rPr>
          <w:rFonts w:ascii="Palatino Linotype" w:eastAsia="Palatino Linotype" w:hAnsi="Palatino Linotype" w:cs="Palatino Linotype"/>
          <w:i/>
          <w:sz w:val="22"/>
          <w:szCs w:val="22"/>
        </w:rPr>
        <w:t>“</w:t>
      </w:r>
      <w:r w:rsidR="008215D5" w:rsidRPr="00882E62">
        <w:rPr>
          <w:rFonts w:ascii="Palatino Linotype" w:eastAsia="Palatino Linotype" w:hAnsi="Palatino Linotype" w:cs="Palatino Linotype"/>
          <w:i/>
          <w:sz w:val="22"/>
          <w:szCs w:val="22"/>
        </w:rPr>
        <w:t>EL incumplimiento a la solicitud de información, No respondió ninguna de los aspectos solicitados, incumpliendo la Ley de transparencia, dando una respuesta sin sentido</w:t>
      </w:r>
      <w:r w:rsidRPr="00882E62">
        <w:rPr>
          <w:rFonts w:ascii="Palatino Linotype" w:eastAsia="Palatino Linotype" w:hAnsi="Palatino Linotype" w:cs="Palatino Linotype"/>
          <w:i/>
          <w:sz w:val="22"/>
          <w:szCs w:val="22"/>
        </w:rPr>
        <w:t>” (sic)</w:t>
      </w:r>
    </w:p>
    <w:p w14:paraId="367E1F4A" w14:textId="77777777" w:rsidR="006262EB" w:rsidRPr="00882E62" w:rsidRDefault="006262EB" w:rsidP="009C1FBD">
      <w:pPr>
        <w:ind w:left="851" w:right="900"/>
        <w:rPr>
          <w:rFonts w:ascii="Palatino Linotype" w:eastAsia="Palatino Linotype" w:hAnsi="Palatino Linotype" w:cs="Palatino Linotype"/>
          <w:i/>
          <w:sz w:val="22"/>
          <w:szCs w:val="22"/>
        </w:rPr>
      </w:pPr>
    </w:p>
    <w:p w14:paraId="199B1EFD" w14:textId="77777777" w:rsidR="00694AA0" w:rsidRPr="00882E62" w:rsidRDefault="005B22BA">
      <w:pPr>
        <w:spacing w:line="360" w:lineRule="auto"/>
        <w:jc w:val="both"/>
        <w:rPr>
          <w:rFonts w:ascii="Palatino Linotype" w:eastAsia="Palatino Linotype" w:hAnsi="Palatino Linotype" w:cs="Palatino Linotype"/>
          <w:sz w:val="22"/>
          <w:szCs w:val="22"/>
        </w:rPr>
      </w:pPr>
      <w:bookmarkStart w:id="4" w:name="_heading=h.30j0zll" w:colFirst="0" w:colLast="0"/>
      <w:bookmarkEnd w:id="4"/>
      <w:r w:rsidRPr="00882E62">
        <w:rPr>
          <w:rFonts w:ascii="Palatino Linotype" w:eastAsia="Palatino Linotype" w:hAnsi="Palatino Linotype" w:cs="Palatino Linotype"/>
          <w:b/>
          <w:sz w:val="22"/>
          <w:szCs w:val="22"/>
        </w:rPr>
        <w:t>Y, Razones o motivos de inconformidad</w:t>
      </w:r>
      <w:r w:rsidRPr="00882E62">
        <w:rPr>
          <w:rFonts w:ascii="Palatino Linotype" w:eastAsia="Palatino Linotype" w:hAnsi="Palatino Linotype" w:cs="Palatino Linotype"/>
          <w:sz w:val="22"/>
          <w:szCs w:val="22"/>
        </w:rPr>
        <w:t>:</w:t>
      </w:r>
    </w:p>
    <w:p w14:paraId="6F009CC9" w14:textId="2B6569FA" w:rsidR="00694AA0" w:rsidRPr="00882E62" w:rsidRDefault="005B22BA">
      <w:pPr>
        <w:tabs>
          <w:tab w:val="left" w:pos="2745"/>
        </w:tabs>
        <w:spacing w:before="240" w:after="240"/>
        <w:ind w:left="851" w:right="900"/>
        <w:jc w:val="both"/>
        <w:rPr>
          <w:rFonts w:ascii="Palatino Linotype" w:eastAsia="Palatino Linotype" w:hAnsi="Palatino Linotype" w:cs="Palatino Linotype"/>
          <w:i/>
          <w:sz w:val="22"/>
          <w:szCs w:val="22"/>
        </w:rPr>
      </w:pPr>
      <w:r w:rsidRPr="00882E62">
        <w:rPr>
          <w:rFonts w:ascii="Palatino Linotype" w:eastAsia="Palatino Linotype" w:hAnsi="Palatino Linotype" w:cs="Palatino Linotype"/>
          <w:i/>
          <w:sz w:val="22"/>
          <w:szCs w:val="22"/>
        </w:rPr>
        <w:t>“</w:t>
      </w:r>
      <w:r w:rsidR="008215D5" w:rsidRPr="00882E62">
        <w:rPr>
          <w:rFonts w:ascii="Palatino Linotype" w:eastAsia="Palatino Linotype" w:hAnsi="Palatino Linotype" w:cs="Palatino Linotype"/>
          <w:i/>
          <w:sz w:val="22"/>
          <w:szCs w:val="22"/>
        </w:rPr>
        <w:t>No respondió ninguna de los aspectos solicitados, incumpliendo la Ley de transparencia, dando una respuesta sin sentido</w:t>
      </w:r>
      <w:r w:rsidR="00D74224" w:rsidRPr="00882E62">
        <w:rPr>
          <w:rFonts w:ascii="Palatino Linotype" w:eastAsia="Palatino Linotype" w:hAnsi="Palatino Linotype" w:cs="Palatino Linotype"/>
          <w:i/>
          <w:sz w:val="22"/>
          <w:szCs w:val="22"/>
        </w:rPr>
        <w:t xml:space="preserve">” </w:t>
      </w:r>
      <w:r w:rsidRPr="00882E62">
        <w:rPr>
          <w:rFonts w:ascii="Palatino Linotype" w:eastAsia="Palatino Linotype" w:hAnsi="Palatino Linotype" w:cs="Palatino Linotype"/>
          <w:i/>
          <w:sz w:val="22"/>
          <w:szCs w:val="22"/>
        </w:rPr>
        <w:t>(sic)</w:t>
      </w:r>
    </w:p>
    <w:p w14:paraId="058BB2CD" w14:textId="77777777" w:rsidR="00694AA0" w:rsidRPr="00882E62" w:rsidRDefault="005B22BA">
      <w:pPr>
        <w:spacing w:line="360" w:lineRule="auto"/>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b/>
          <w:sz w:val="22"/>
          <w:szCs w:val="22"/>
        </w:rPr>
        <w:t xml:space="preserve">4. Turno. </w:t>
      </w:r>
      <w:r w:rsidRPr="00882E62">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w:t>
      </w:r>
      <w:r w:rsidRPr="00882E62">
        <w:rPr>
          <w:rFonts w:ascii="Palatino Linotype" w:eastAsia="Palatino Linotype" w:hAnsi="Palatino Linotype" w:cs="Palatino Linotype"/>
          <w:sz w:val="22"/>
          <w:szCs w:val="22"/>
        </w:rPr>
        <w:lastRenderedPageBreak/>
        <w:t xml:space="preserve">Información Pública y Protección de Datos Personales del Estado de México y Municipios, a la Comisionada </w:t>
      </w:r>
      <w:r w:rsidRPr="00882E62">
        <w:rPr>
          <w:rFonts w:ascii="Palatino Linotype" w:eastAsia="Palatino Linotype" w:hAnsi="Palatino Linotype" w:cs="Palatino Linotype"/>
          <w:b/>
          <w:sz w:val="22"/>
          <w:szCs w:val="22"/>
        </w:rPr>
        <w:t xml:space="preserve">Guadalupe Ramírez Peña, </w:t>
      </w:r>
      <w:r w:rsidRPr="00882E62">
        <w:rPr>
          <w:rFonts w:ascii="Palatino Linotype" w:eastAsia="Palatino Linotype" w:hAnsi="Palatino Linotype" w:cs="Palatino Linotype"/>
          <w:sz w:val="22"/>
          <w:szCs w:val="22"/>
        </w:rPr>
        <w:t xml:space="preserve">a efecto de que analizara sobre su admisión o su </w:t>
      </w:r>
      <w:proofErr w:type="spellStart"/>
      <w:r w:rsidRPr="00882E62">
        <w:rPr>
          <w:rFonts w:ascii="Palatino Linotype" w:eastAsia="Palatino Linotype" w:hAnsi="Palatino Linotype" w:cs="Palatino Linotype"/>
          <w:sz w:val="22"/>
          <w:szCs w:val="22"/>
        </w:rPr>
        <w:t>desechamiento</w:t>
      </w:r>
      <w:proofErr w:type="spellEnd"/>
      <w:r w:rsidRPr="00882E62">
        <w:rPr>
          <w:rFonts w:ascii="Palatino Linotype" w:eastAsia="Palatino Linotype" w:hAnsi="Palatino Linotype" w:cs="Palatino Linotype"/>
          <w:sz w:val="22"/>
          <w:szCs w:val="22"/>
        </w:rPr>
        <w:t>.</w:t>
      </w:r>
    </w:p>
    <w:p w14:paraId="5B57059D" w14:textId="6E2574B5" w:rsidR="00694AA0" w:rsidRPr="00882E62" w:rsidRDefault="005B22BA" w:rsidP="00ED519E">
      <w:pPr>
        <w:spacing w:before="240" w:after="240" w:line="360" w:lineRule="auto"/>
        <w:jc w:val="both"/>
        <w:rPr>
          <w:rFonts w:ascii="Palatino Linotype" w:eastAsia="Palatino Linotype" w:hAnsi="Palatino Linotype" w:cs="Palatino Linotype"/>
          <w:b/>
          <w:sz w:val="22"/>
          <w:szCs w:val="22"/>
        </w:rPr>
      </w:pPr>
      <w:r w:rsidRPr="00882E62">
        <w:rPr>
          <w:rFonts w:ascii="Palatino Linotype" w:eastAsia="Palatino Linotype" w:hAnsi="Palatino Linotype" w:cs="Palatino Linotype"/>
          <w:b/>
          <w:sz w:val="22"/>
          <w:szCs w:val="22"/>
        </w:rPr>
        <w:t>5. Admisión del Recurso de revisión.</w:t>
      </w:r>
      <w:r w:rsidRPr="00882E62">
        <w:rPr>
          <w:rFonts w:ascii="Palatino Linotype" w:eastAsia="Palatino Linotype" w:hAnsi="Palatino Linotype" w:cs="Palatino Linotype"/>
          <w:sz w:val="22"/>
          <w:szCs w:val="22"/>
        </w:rPr>
        <w:t xml:space="preserve"> El</w:t>
      </w:r>
      <w:r w:rsidRPr="00882E62">
        <w:rPr>
          <w:rFonts w:ascii="Palatino Linotype" w:eastAsia="Palatino Linotype" w:hAnsi="Palatino Linotype" w:cs="Palatino Linotype"/>
          <w:b/>
          <w:sz w:val="22"/>
          <w:szCs w:val="22"/>
        </w:rPr>
        <w:t xml:space="preserve"> </w:t>
      </w:r>
      <w:r w:rsidR="008215D5" w:rsidRPr="00882E62">
        <w:rPr>
          <w:rFonts w:ascii="Palatino Linotype" w:eastAsia="Palatino Linotype" w:hAnsi="Palatino Linotype" w:cs="Palatino Linotype"/>
          <w:b/>
          <w:sz w:val="22"/>
          <w:szCs w:val="22"/>
        </w:rPr>
        <w:t xml:space="preserve">diecisiete de diciembre </w:t>
      </w:r>
      <w:r w:rsidR="007728C9" w:rsidRPr="00882E62">
        <w:rPr>
          <w:rFonts w:ascii="Palatino Linotype" w:eastAsia="Palatino Linotype" w:hAnsi="Palatino Linotype" w:cs="Palatino Linotype"/>
          <w:b/>
          <w:sz w:val="22"/>
          <w:szCs w:val="22"/>
        </w:rPr>
        <w:t xml:space="preserve">de dos mil </w:t>
      </w:r>
      <w:r w:rsidR="005B676A" w:rsidRPr="00882E62">
        <w:rPr>
          <w:rFonts w:ascii="Palatino Linotype" w:eastAsia="Palatino Linotype" w:hAnsi="Palatino Linotype" w:cs="Palatino Linotype"/>
          <w:b/>
          <w:sz w:val="22"/>
          <w:szCs w:val="22"/>
        </w:rPr>
        <w:t>veinticinco,</w:t>
      </w:r>
      <w:r w:rsidRPr="00882E62">
        <w:rPr>
          <w:rFonts w:ascii="Palatino Linotype" w:eastAsia="Palatino Linotype" w:hAnsi="Palatino Linotype" w:cs="Palatino Linotype"/>
          <w:b/>
          <w:sz w:val="22"/>
          <w:szCs w:val="22"/>
        </w:rPr>
        <w:t xml:space="preserve"> </w:t>
      </w:r>
      <w:r w:rsidRPr="00882E62">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882E62">
        <w:rPr>
          <w:rFonts w:ascii="Palatino Linotype" w:eastAsia="Palatino Linotype" w:hAnsi="Palatino Linotype" w:cs="Palatino Linotype"/>
          <w:b/>
          <w:sz w:val="22"/>
          <w:szCs w:val="22"/>
        </w:rPr>
        <w:t xml:space="preserve">Sujeto Obligado </w:t>
      </w:r>
      <w:r w:rsidRPr="00882E62">
        <w:rPr>
          <w:rFonts w:ascii="Palatino Linotype" w:eastAsia="Palatino Linotype" w:hAnsi="Palatino Linotype" w:cs="Palatino Linotype"/>
          <w:sz w:val="22"/>
          <w:szCs w:val="22"/>
        </w:rPr>
        <w:t>presentara su informe justificado.</w:t>
      </w:r>
    </w:p>
    <w:p w14:paraId="325DA203" w14:textId="157C423F" w:rsidR="004D5C20" w:rsidRPr="00882E62" w:rsidRDefault="005B22BA" w:rsidP="008215D5">
      <w:pPr>
        <w:widowControl w:val="0"/>
        <w:spacing w:before="240" w:after="240" w:line="360" w:lineRule="auto"/>
        <w:ind w:right="49"/>
        <w:jc w:val="both"/>
        <w:rPr>
          <w:rFonts w:ascii="Palatino Linotype" w:eastAsia="Palatino Linotype" w:hAnsi="Palatino Linotype" w:cs="Palatino Linotype"/>
          <w:sz w:val="22"/>
          <w:szCs w:val="22"/>
        </w:rPr>
      </w:pPr>
      <w:bookmarkStart w:id="5" w:name="_heading=h.2s8eyo1" w:colFirst="0" w:colLast="0"/>
      <w:bookmarkEnd w:id="5"/>
      <w:r w:rsidRPr="00882E62">
        <w:rPr>
          <w:rFonts w:ascii="Palatino Linotype" w:eastAsia="Palatino Linotype" w:hAnsi="Palatino Linotype" w:cs="Palatino Linotype"/>
          <w:b/>
          <w:sz w:val="22"/>
          <w:szCs w:val="22"/>
        </w:rPr>
        <w:t>6. Manifestaciones</w:t>
      </w:r>
      <w:r w:rsidRPr="00882E62">
        <w:rPr>
          <w:rFonts w:ascii="Palatino Linotype" w:eastAsia="Palatino Linotype" w:hAnsi="Palatino Linotype" w:cs="Palatino Linotype"/>
          <w:sz w:val="22"/>
          <w:szCs w:val="22"/>
        </w:rPr>
        <w:t xml:space="preserve">. </w:t>
      </w:r>
      <w:r w:rsidR="002249DB" w:rsidRPr="00882E62">
        <w:rPr>
          <w:rFonts w:ascii="Palatino Linotype" w:eastAsia="Palatino Linotype" w:hAnsi="Palatino Linotype" w:cs="Palatino Linotype"/>
          <w:sz w:val="22"/>
          <w:szCs w:val="22"/>
        </w:rPr>
        <w:t xml:space="preserve">De constancias del expediente electrónico del SAIMEX, se observa que el Sujeto Obligado fue omiso en rendir su informe justificado; así como, la parte Recurrente fue omisa en hacer valer manifestaciones o rendir alegatos que conforme a derecho resultaran procedentes, como se muestra: </w:t>
      </w:r>
    </w:p>
    <w:p w14:paraId="1948B853" w14:textId="2B0B9258" w:rsidR="008215D5" w:rsidRPr="00882E62" w:rsidRDefault="002249DB" w:rsidP="008215D5">
      <w:pPr>
        <w:widowControl w:val="0"/>
        <w:spacing w:before="240" w:after="240" w:line="360" w:lineRule="auto"/>
        <w:ind w:right="49"/>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noProof/>
          <w:sz w:val="22"/>
          <w:szCs w:val="22"/>
        </w:rPr>
        <w:drawing>
          <wp:inline distT="0" distB="0" distL="0" distR="0" wp14:anchorId="75FA1694" wp14:editId="3C5C4E3D">
            <wp:extent cx="5612130" cy="171958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719580"/>
                    </a:xfrm>
                    <a:prstGeom prst="rect">
                      <a:avLst/>
                    </a:prstGeom>
                  </pic:spPr>
                </pic:pic>
              </a:graphicData>
            </a:graphic>
          </wp:inline>
        </w:drawing>
      </w:r>
    </w:p>
    <w:p w14:paraId="6F2DFA86" w14:textId="4C9BF80E" w:rsidR="005F4F51" w:rsidRPr="00882E62" w:rsidRDefault="00AD444D" w:rsidP="002249DB">
      <w:pPr>
        <w:spacing w:before="240" w:after="240" w:line="360" w:lineRule="auto"/>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b/>
          <w:sz w:val="22"/>
          <w:szCs w:val="22"/>
        </w:rPr>
        <w:t>7</w:t>
      </w:r>
      <w:r w:rsidR="00DB513A" w:rsidRPr="00882E62">
        <w:rPr>
          <w:rFonts w:ascii="Palatino Linotype" w:eastAsia="Palatino Linotype" w:hAnsi="Palatino Linotype" w:cs="Palatino Linotype"/>
          <w:b/>
          <w:sz w:val="22"/>
          <w:szCs w:val="22"/>
        </w:rPr>
        <w:t>.</w:t>
      </w:r>
      <w:r w:rsidR="002B4799" w:rsidRPr="00882E62">
        <w:rPr>
          <w:rFonts w:ascii="Palatino Linotype" w:eastAsia="Palatino Linotype" w:hAnsi="Palatino Linotype" w:cs="Palatino Linotype"/>
          <w:b/>
          <w:sz w:val="22"/>
          <w:szCs w:val="22"/>
        </w:rPr>
        <w:t xml:space="preserve"> </w:t>
      </w:r>
      <w:r w:rsidR="005F4F51" w:rsidRPr="00882E62">
        <w:rPr>
          <w:rFonts w:ascii="Palatino Linotype" w:eastAsia="Palatino Linotype" w:hAnsi="Palatino Linotype" w:cs="Palatino Linotype"/>
          <w:b/>
          <w:sz w:val="22"/>
          <w:szCs w:val="22"/>
        </w:rPr>
        <w:t xml:space="preserve">Cierre de instrucción. </w:t>
      </w:r>
      <w:r w:rsidR="005F4F51" w:rsidRPr="00882E62">
        <w:rPr>
          <w:rFonts w:ascii="Palatino Linotype" w:eastAsia="Palatino Linotype" w:hAnsi="Palatino Linotype" w:cs="Palatino Linotype"/>
          <w:sz w:val="22"/>
          <w:szCs w:val="22"/>
        </w:rPr>
        <w:t>Una vez transcurrido el periodo otorgado a las partes para realizar sus manifestaciones y no habiendo documentos</w:t>
      </w:r>
      <w:r w:rsidR="00370738" w:rsidRPr="00882E62">
        <w:rPr>
          <w:rFonts w:ascii="Palatino Linotype" w:eastAsia="Palatino Linotype" w:hAnsi="Palatino Linotype" w:cs="Palatino Linotype"/>
          <w:sz w:val="22"/>
          <w:szCs w:val="22"/>
        </w:rPr>
        <w:t xml:space="preserve"> que integrar al expediente, el </w:t>
      </w:r>
      <w:r w:rsidR="002249DB" w:rsidRPr="00882E62">
        <w:rPr>
          <w:rFonts w:ascii="Palatino Linotype" w:eastAsia="Palatino Linotype" w:hAnsi="Palatino Linotype" w:cs="Palatino Linotype"/>
          <w:b/>
          <w:sz w:val="22"/>
          <w:szCs w:val="22"/>
        </w:rPr>
        <w:t xml:space="preserve">cuatro de </w:t>
      </w:r>
      <w:proofErr w:type="gramStart"/>
      <w:r w:rsidR="002249DB" w:rsidRPr="00882E62">
        <w:rPr>
          <w:rFonts w:ascii="Palatino Linotype" w:eastAsia="Palatino Linotype" w:hAnsi="Palatino Linotype" w:cs="Palatino Linotype"/>
          <w:b/>
          <w:sz w:val="22"/>
          <w:szCs w:val="22"/>
        </w:rPr>
        <w:t>marzo</w:t>
      </w:r>
      <w:r w:rsidR="004D5C20" w:rsidRPr="00882E62">
        <w:rPr>
          <w:rFonts w:ascii="Palatino Linotype" w:eastAsia="Palatino Linotype" w:hAnsi="Palatino Linotype" w:cs="Palatino Linotype"/>
          <w:b/>
          <w:sz w:val="22"/>
          <w:szCs w:val="22"/>
        </w:rPr>
        <w:t xml:space="preserve"> </w:t>
      </w:r>
      <w:r w:rsidR="00C87B6B" w:rsidRPr="00882E62">
        <w:rPr>
          <w:rFonts w:ascii="Palatino Linotype" w:eastAsia="Palatino Linotype" w:hAnsi="Palatino Linotype" w:cs="Palatino Linotype"/>
          <w:b/>
          <w:sz w:val="22"/>
          <w:szCs w:val="22"/>
        </w:rPr>
        <w:t xml:space="preserve"> </w:t>
      </w:r>
      <w:r w:rsidR="005F4F51" w:rsidRPr="00882E62">
        <w:rPr>
          <w:rFonts w:ascii="Palatino Linotype" w:eastAsia="Palatino Linotype" w:hAnsi="Palatino Linotype" w:cs="Palatino Linotype"/>
          <w:b/>
          <w:sz w:val="22"/>
          <w:szCs w:val="22"/>
        </w:rPr>
        <w:t>de</w:t>
      </w:r>
      <w:proofErr w:type="gramEnd"/>
      <w:r w:rsidR="005F4F51" w:rsidRPr="00882E62">
        <w:rPr>
          <w:rFonts w:ascii="Palatino Linotype" w:eastAsia="Palatino Linotype" w:hAnsi="Palatino Linotype" w:cs="Palatino Linotype"/>
          <w:b/>
          <w:sz w:val="22"/>
          <w:szCs w:val="22"/>
        </w:rPr>
        <w:t xml:space="preserve"> dos mil </w:t>
      </w:r>
      <w:r w:rsidR="002A6516" w:rsidRPr="00882E62">
        <w:rPr>
          <w:rFonts w:ascii="Palatino Linotype" w:eastAsia="Palatino Linotype" w:hAnsi="Palatino Linotype" w:cs="Palatino Linotype"/>
          <w:b/>
          <w:sz w:val="22"/>
          <w:szCs w:val="22"/>
        </w:rPr>
        <w:t>veintiséis</w:t>
      </w:r>
      <w:r w:rsidR="005F4F51" w:rsidRPr="00882E62">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7369831D" w14:textId="28AE4FB4" w:rsidR="00412650" w:rsidRPr="00882E62" w:rsidRDefault="008E4D0F" w:rsidP="00412650">
      <w:pPr>
        <w:spacing w:before="240" w:after="240" w:line="360" w:lineRule="auto"/>
        <w:jc w:val="both"/>
        <w:rPr>
          <w:rFonts w:ascii="Palatino Linotype" w:eastAsia="Palatino Linotype" w:hAnsi="Palatino Linotype" w:cs="Palatino Linotype"/>
          <w:b/>
          <w:sz w:val="22"/>
          <w:szCs w:val="22"/>
        </w:rPr>
      </w:pPr>
      <w:r w:rsidRPr="00882E62">
        <w:rPr>
          <w:rFonts w:ascii="Palatino Linotype" w:eastAsia="Palatino Linotype" w:hAnsi="Palatino Linotype" w:cs="Palatino Linotype"/>
          <w:b/>
          <w:sz w:val="22"/>
          <w:szCs w:val="22"/>
        </w:rPr>
        <w:t xml:space="preserve">8. </w:t>
      </w:r>
      <w:r w:rsidR="00412650" w:rsidRPr="00882E62">
        <w:rPr>
          <w:rFonts w:ascii="Palatino Linotype" w:eastAsia="Palatino Linotype" w:hAnsi="Palatino Linotype" w:cs="Palatino Linotype"/>
          <w:b/>
          <w:sz w:val="22"/>
          <w:szCs w:val="22"/>
        </w:rPr>
        <w:t>Ampliación del término para resolver</w:t>
      </w:r>
      <w:r w:rsidR="00412650" w:rsidRPr="00882E62">
        <w:rPr>
          <w:rFonts w:ascii="Palatino Linotype" w:eastAsia="Palatino Linotype" w:hAnsi="Palatino Linotype" w:cs="Palatino Linotype"/>
          <w:sz w:val="22"/>
          <w:szCs w:val="22"/>
        </w:rPr>
        <w:t xml:space="preserve">. El </w:t>
      </w:r>
      <w:r w:rsidR="00412650" w:rsidRPr="00882E62">
        <w:rPr>
          <w:rFonts w:ascii="Palatino Linotype" w:eastAsia="Palatino Linotype" w:hAnsi="Palatino Linotype" w:cs="Palatino Linotype"/>
          <w:b/>
          <w:sz w:val="22"/>
          <w:szCs w:val="22"/>
        </w:rPr>
        <w:t xml:space="preserve">cuatro de </w:t>
      </w:r>
      <w:r w:rsidR="00D259E5" w:rsidRPr="00882E62">
        <w:rPr>
          <w:rFonts w:ascii="Palatino Linotype" w:eastAsia="Palatino Linotype" w:hAnsi="Palatino Linotype" w:cs="Palatino Linotype"/>
          <w:b/>
          <w:sz w:val="22"/>
          <w:szCs w:val="22"/>
        </w:rPr>
        <w:t>marzo</w:t>
      </w:r>
      <w:r w:rsidR="00412650" w:rsidRPr="00882E62">
        <w:rPr>
          <w:rFonts w:ascii="Palatino Linotype" w:eastAsia="Palatino Linotype" w:hAnsi="Palatino Linotype" w:cs="Palatino Linotype"/>
          <w:b/>
          <w:sz w:val="22"/>
          <w:szCs w:val="22"/>
        </w:rPr>
        <w:t xml:space="preserve"> de dos mil veintiséis</w:t>
      </w:r>
      <w:r w:rsidR="00412650" w:rsidRPr="00882E62">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31D7D8D0" w14:textId="77777777" w:rsidR="00412650" w:rsidRPr="00882E62" w:rsidRDefault="00412650" w:rsidP="00412650">
      <w:pPr>
        <w:spacing w:before="240" w:after="240" w:line="360" w:lineRule="auto"/>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40A55EFB" w14:textId="77777777" w:rsidR="00412650" w:rsidRPr="00882E62" w:rsidRDefault="00412650" w:rsidP="00412650">
      <w:pPr>
        <w:spacing w:before="240" w:after="240" w:line="360" w:lineRule="auto"/>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3399E99" w14:textId="77777777" w:rsidR="00412650" w:rsidRPr="00882E62" w:rsidRDefault="00412650" w:rsidP="00412650">
      <w:pPr>
        <w:spacing w:before="240" w:after="240" w:line="360" w:lineRule="auto"/>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4861E22" w14:textId="77777777" w:rsidR="00412650" w:rsidRPr="00882E62" w:rsidRDefault="00412650" w:rsidP="00412650">
      <w:pPr>
        <w:spacing w:before="240" w:after="240" w:line="360" w:lineRule="auto"/>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83EF44A" w14:textId="77777777" w:rsidR="00412650" w:rsidRPr="00882E62" w:rsidRDefault="00412650" w:rsidP="00412650">
      <w:pPr>
        <w:spacing w:before="240" w:after="240" w:line="360" w:lineRule="auto"/>
        <w:jc w:val="both"/>
        <w:rPr>
          <w:rFonts w:ascii="Palatino Linotype" w:eastAsia="Palatino Linotype" w:hAnsi="Palatino Linotype" w:cs="Palatino Linotype"/>
          <w:strike/>
          <w:sz w:val="22"/>
          <w:szCs w:val="22"/>
        </w:rPr>
      </w:pPr>
      <w:r w:rsidRPr="00882E62">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022E9121" w14:textId="77777777" w:rsidR="00412650" w:rsidRPr="00882E62" w:rsidRDefault="00412650" w:rsidP="00412650">
      <w:pPr>
        <w:numPr>
          <w:ilvl w:val="0"/>
          <w:numId w:val="20"/>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14:paraId="4F825516" w14:textId="77777777" w:rsidR="00412650" w:rsidRPr="00882E62" w:rsidRDefault="00412650" w:rsidP="00412650">
      <w:pPr>
        <w:numPr>
          <w:ilvl w:val="0"/>
          <w:numId w:val="20"/>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Actividad Procesal del interesado. Acciones u omisiones del interesado.</w:t>
      </w:r>
    </w:p>
    <w:p w14:paraId="56070C61" w14:textId="77777777" w:rsidR="00412650" w:rsidRPr="00882E62" w:rsidRDefault="00412650" w:rsidP="00412650">
      <w:pPr>
        <w:numPr>
          <w:ilvl w:val="0"/>
          <w:numId w:val="20"/>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14:paraId="6772B87B" w14:textId="77777777" w:rsidR="00412650" w:rsidRPr="00882E62" w:rsidRDefault="00412650" w:rsidP="00412650">
      <w:pPr>
        <w:tabs>
          <w:tab w:val="left" w:pos="567"/>
        </w:tabs>
        <w:spacing w:before="240" w:after="240" w:line="360" w:lineRule="auto"/>
        <w:ind w:left="284"/>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371C3F52" w14:textId="77777777" w:rsidR="00412650" w:rsidRPr="00882E62" w:rsidRDefault="00412650" w:rsidP="00412650">
      <w:pPr>
        <w:spacing w:before="240" w:after="240" w:line="360" w:lineRule="auto"/>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1B5F133" w14:textId="77777777" w:rsidR="00412650" w:rsidRPr="00882E62" w:rsidRDefault="00412650" w:rsidP="00412650">
      <w:pPr>
        <w:spacing w:before="240" w:after="240" w:line="360" w:lineRule="auto"/>
        <w:jc w:val="both"/>
        <w:rPr>
          <w:rFonts w:ascii="Palatino Linotype" w:eastAsia="Palatino Linotype" w:hAnsi="Palatino Linotype" w:cs="Palatino Linotype"/>
          <w:b/>
          <w:sz w:val="22"/>
          <w:szCs w:val="22"/>
        </w:rPr>
      </w:pPr>
      <w:r w:rsidRPr="00882E62">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882E62">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882E62">
        <w:rPr>
          <w:rFonts w:ascii="Palatino Linotype" w:eastAsia="Palatino Linotype" w:hAnsi="Palatino Linotype" w:cs="Palatino Linotype"/>
          <w:sz w:val="22"/>
          <w:szCs w:val="22"/>
        </w:rPr>
        <w:t>, visible en la Gaceta del Seminario Judicial de la Federación con el registro digital 205635.</w:t>
      </w:r>
    </w:p>
    <w:p w14:paraId="4BF30526" w14:textId="77777777" w:rsidR="00412650" w:rsidRPr="00882E62" w:rsidRDefault="00412650" w:rsidP="00412650">
      <w:pPr>
        <w:spacing w:before="240" w:after="240" w:line="360" w:lineRule="auto"/>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519518E" w14:textId="77777777" w:rsidR="00412650" w:rsidRPr="00882E62" w:rsidRDefault="00412650" w:rsidP="00412650">
      <w:pPr>
        <w:spacing w:before="240" w:after="240" w:line="360" w:lineRule="auto"/>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775A8AC0" w14:textId="77777777" w:rsidR="00412650" w:rsidRPr="00882E62" w:rsidRDefault="00412650" w:rsidP="00412650">
      <w:pPr>
        <w:spacing w:before="120" w:after="120"/>
        <w:ind w:left="851" w:right="902"/>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 xml:space="preserve"> </w:t>
      </w:r>
      <w:r w:rsidRPr="00882E62">
        <w:rPr>
          <w:rFonts w:ascii="Palatino Linotype" w:eastAsia="Palatino Linotype" w:hAnsi="Palatino Linotype" w:cs="Palatino Linotype"/>
          <w:i/>
          <w:sz w:val="22"/>
          <w:szCs w:val="22"/>
        </w:rPr>
        <w:t>“</w:t>
      </w:r>
      <w:r w:rsidRPr="00882E62">
        <w:rPr>
          <w:rFonts w:ascii="Palatino Linotype" w:eastAsia="Palatino Linotype" w:hAnsi="Palatino Linotype" w:cs="Palatino Linotype"/>
          <w:b/>
          <w:i/>
          <w:sz w:val="22"/>
          <w:szCs w:val="22"/>
        </w:rPr>
        <w:t>PLAZO RAZONABLE PARA RESOLVER. DIMENSIÓN Y EFECTOS DE ESTE CONCEPTO CUANDO SE ADUCE EXCESIVA CARGA DE TRABAJO</w:t>
      </w:r>
      <w:r w:rsidRPr="00882E62">
        <w:rPr>
          <w:rFonts w:ascii="Palatino Linotype" w:eastAsia="Palatino Linotype" w:hAnsi="Palatino Linotype" w:cs="Palatino Linotype"/>
          <w:i/>
          <w:sz w:val="22"/>
          <w:szCs w:val="22"/>
        </w:rPr>
        <w:t>.”</w:t>
      </w:r>
      <w:r w:rsidRPr="00882E62">
        <w:rPr>
          <w:rFonts w:ascii="Palatino Linotype" w:eastAsia="Palatino Linotype" w:hAnsi="Palatino Linotype" w:cs="Palatino Linotype"/>
          <w:sz w:val="22"/>
          <w:szCs w:val="22"/>
        </w:rPr>
        <w:t xml:space="preserve"> consultable en el Seminario Judicial de la Federación y su gaceta, con el registro digital 2002351.</w:t>
      </w:r>
    </w:p>
    <w:p w14:paraId="6789E39B" w14:textId="77777777" w:rsidR="00412650" w:rsidRPr="00882E62" w:rsidRDefault="00412650" w:rsidP="00412650">
      <w:pPr>
        <w:spacing w:before="120" w:after="120"/>
        <w:ind w:left="851" w:right="902"/>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i/>
          <w:sz w:val="22"/>
          <w:szCs w:val="22"/>
        </w:rPr>
        <w:t>“</w:t>
      </w:r>
      <w:r w:rsidRPr="00882E62">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882E62">
        <w:rPr>
          <w:rFonts w:ascii="Palatino Linotype" w:eastAsia="Palatino Linotype" w:hAnsi="Palatino Linotype" w:cs="Palatino Linotype"/>
          <w:i/>
          <w:sz w:val="22"/>
          <w:szCs w:val="22"/>
        </w:rPr>
        <w:t>.”</w:t>
      </w:r>
      <w:r w:rsidRPr="00882E62">
        <w:rPr>
          <w:rFonts w:ascii="Palatino Linotype" w:eastAsia="Palatino Linotype" w:hAnsi="Palatino Linotype" w:cs="Palatino Linotype"/>
          <w:sz w:val="22"/>
          <w:szCs w:val="22"/>
        </w:rPr>
        <w:t>, visible en el Seminario Judicial de la Federación y su gaceta, con el registro digital 2002350.</w:t>
      </w:r>
    </w:p>
    <w:p w14:paraId="2FED94E4" w14:textId="77777777" w:rsidR="00412650" w:rsidRPr="00882E62" w:rsidRDefault="00412650" w:rsidP="00412650">
      <w:pPr>
        <w:widowControl w:val="0"/>
        <w:spacing w:before="240" w:line="360" w:lineRule="auto"/>
        <w:jc w:val="both"/>
        <w:rPr>
          <w:rFonts w:ascii="Palatino Linotype" w:eastAsia="Palatino Linotype" w:hAnsi="Palatino Linotype" w:cs="Palatino Linotype"/>
          <w:b/>
          <w:sz w:val="22"/>
          <w:szCs w:val="22"/>
        </w:rPr>
      </w:pPr>
      <w:r w:rsidRPr="00882E62">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3632DFE2" w14:textId="77777777" w:rsidR="00694AA0" w:rsidRPr="00882E62" w:rsidRDefault="005B22BA">
      <w:pPr>
        <w:spacing w:before="240" w:after="240" w:line="360" w:lineRule="auto"/>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58C3A9B5" w14:textId="77777777" w:rsidR="00694AA0" w:rsidRPr="00882E62" w:rsidRDefault="005B22BA">
      <w:pPr>
        <w:widowControl w:val="0"/>
        <w:spacing w:before="240" w:after="240" w:line="360" w:lineRule="auto"/>
        <w:jc w:val="center"/>
        <w:rPr>
          <w:rFonts w:ascii="Palatino Linotype" w:eastAsia="Palatino Linotype" w:hAnsi="Palatino Linotype" w:cs="Palatino Linotype"/>
          <w:b/>
          <w:sz w:val="22"/>
          <w:szCs w:val="22"/>
        </w:rPr>
      </w:pPr>
      <w:r w:rsidRPr="00882E62">
        <w:rPr>
          <w:rFonts w:ascii="Palatino Linotype" w:eastAsia="Palatino Linotype" w:hAnsi="Palatino Linotype" w:cs="Palatino Linotype"/>
          <w:b/>
          <w:sz w:val="22"/>
          <w:szCs w:val="22"/>
        </w:rPr>
        <w:t>II. C O N S I D E R A N D O S</w:t>
      </w:r>
    </w:p>
    <w:p w14:paraId="65525EF7" w14:textId="60C8B49A" w:rsidR="00694AA0" w:rsidRPr="00882E62" w:rsidRDefault="005B22BA">
      <w:pPr>
        <w:spacing w:before="240" w:after="240" w:line="360" w:lineRule="auto"/>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b/>
          <w:sz w:val="22"/>
          <w:szCs w:val="22"/>
        </w:rPr>
        <w:t>Primero. Competencia.</w:t>
      </w:r>
      <w:r w:rsidRPr="00882E62">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w:t>
      </w:r>
      <w:r w:rsidR="008E0B27" w:rsidRPr="00882E62">
        <w:rPr>
          <w:rFonts w:ascii="Palatino Linotype" w:eastAsia="Palatino Linotype" w:hAnsi="Palatino Linotype" w:cs="Palatino Linotype"/>
          <w:sz w:val="22"/>
          <w:szCs w:val="22"/>
        </w:rPr>
        <w:t>cuarto, cuadragésimo quinto y cuadragésimo sexto</w:t>
      </w:r>
      <w:r w:rsidRPr="00882E62">
        <w:rPr>
          <w:rFonts w:ascii="Palatino Linotype" w:eastAsia="Palatino Linotype" w:hAnsi="Palatino Linotype" w:cs="Palatino Linotype"/>
          <w:sz w:val="22"/>
          <w:szCs w:val="22"/>
        </w:rPr>
        <w:t xml:space="preserve">, fracciones IV y V de la Constitución Política del Estado Libre y Soberano de México; </w:t>
      </w:r>
      <w:r w:rsidR="00BE3EF4" w:rsidRPr="00882E62">
        <w:rPr>
          <w:rFonts w:ascii="Palatino Linotype" w:eastAsia="Palatino Linotype" w:hAnsi="Palatino Linotype" w:cs="Palatino Linotype"/>
          <w:sz w:val="22"/>
          <w:szCs w:val="22"/>
        </w:rPr>
        <w:t xml:space="preserve">transitorio Cuarto del Decreto número 198 de la “LXII” Legislatura del Estado de México; </w:t>
      </w:r>
      <w:r w:rsidRPr="00882E62">
        <w:rPr>
          <w:rFonts w:ascii="Palatino Linotype" w:eastAsia="Palatino Linotype" w:hAnsi="Palatino Linotype" w:cs="Palatino Linotype"/>
          <w:sz w:val="22"/>
          <w:szCs w:val="22"/>
        </w:rPr>
        <w:t>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4121E3F" w14:textId="77777777" w:rsidR="00694AA0" w:rsidRPr="00882E62" w:rsidRDefault="005B22BA">
      <w:pPr>
        <w:spacing w:before="240" w:after="240" w:line="360" w:lineRule="auto"/>
        <w:jc w:val="both"/>
        <w:rPr>
          <w:rFonts w:ascii="Palatino Linotype" w:eastAsia="Palatino Linotype" w:hAnsi="Palatino Linotype" w:cs="Palatino Linotype"/>
          <w:sz w:val="22"/>
          <w:szCs w:val="22"/>
        </w:rPr>
      </w:pPr>
      <w:bookmarkStart w:id="6" w:name="_heading=h.tyjcwt" w:colFirst="0" w:colLast="0"/>
      <w:bookmarkEnd w:id="6"/>
      <w:r w:rsidRPr="00882E62">
        <w:rPr>
          <w:rFonts w:ascii="Palatino Linotype" w:eastAsia="Palatino Linotype" w:hAnsi="Palatino Linotype" w:cs="Palatino Linotype"/>
          <w:b/>
          <w:sz w:val="22"/>
          <w:szCs w:val="22"/>
        </w:rPr>
        <w:t xml:space="preserve">Segundo. Oportunidad y </w:t>
      </w:r>
      <w:proofErr w:type="spellStart"/>
      <w:r w:rsidRPr="00882E62">
        <w:rPr>
          <w:rFonts w:ascii="Palatino Linotype" w:eastAsia="Palatino Linotype" w:hAnsi="Palatino Linotype" w:cs="Palatino Linotype"/>
          <w:b/>
          <w:sz w:val="22"/>
          <w:szCs w:val="22"/>
        </w:rPr>
        <w:t>Procedibilidad</w:t>
      </w:r>
      <w:proofErr w:type="spellEnd"/>
      <w:r w:rsidRPr="00882E62">
        <w:rPr>
          <w:rFonts w:ascii="Palatino Linotype" w:eastAsia="Palatino Linotype" w:hAnsi="Palatino Linotype" w:cs="Palatino Linotype"/>
          <w:b/>
          <w:sz w:val="22"/>
          <w:szCs w:val="22"/>
        </w:rPr>
        <w:t xml:space="preserve"> del Recurso de Revisión</w:t>
      </w:r>
      <w:r w:rsidRPr="00882E62">
        <w:rPr>
          <w:rFonts w:ascii="Palatino Linotype" w:eastAsia="Palatino Linotype" w:hAnsi="Palatino Linotype" w:cs="Palatino Linotype"/>
          <w:sz w:val="22"/>
          <w:szCs w:val="22"/>
        </w:rPr>
        <w:t xml:space="preserve">. Previo al estudio del fondo del asunto, se procede a analizar los requisitos de oportunidad y </w:t>
      </w:r>
      <w:proofErr w:type="spellStart"/>
      <w:r w:rsidRPr="00882E62">
        <w:rPr>
          <w:rFonts w:ascii="Palatino Linotype" w:eastAsia="Palatino Linotype" w:hAnsi="Palatino Linotype" w:cs="Palatino Linotype"/>
          <w:sz w:val="22"/>
          <w:szCs w:val="22"/>
        </w:rPr>
        <w:t>procedibilidad</w:t>
      </w:r>
      <w:proofErr w:type="spellEnd"/>
      <w:r w:rsidRPr="00882E62">
        <w:rPr>
          <w:rFonts w:ascii="Palatino Linotype" w:eastAsia="Palatino Linotype" w:hAnsi="Palatino Linotype" w:cs="Palatino Linotype"/>
          <w:sz w:val="22"/>
          <w:szCs w:val="22"/>
        </w:rPr>
        <w:t xml:space="preserve"> que debe reunir el recurso de revisión interpuesto, previstos en los artículos 178 y 180 de la Ley de Transparencia y Acceso a la Información Pública del Estado de México y Municipios.</w:t>
      </w:r>
    </w:p>
    <w:p w14:paraId="661F1BAB" w14:textId="490BF2F7" w:rsidR="00694AA0" w:rsidRPr="00882E62" w:rsidRDefault="005B22BA">
      <w:pPr>
        <w:spacing w:before="240" w:after="240" w:line="360" w:lineRule="auto"/>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882E62">
        <w:rPr>
          <w:rFonts w:ascii="Palatino Linotype" w:eastAsia="Palatino Linotype" w:hAnsi="Palatino Linotype" w:cs="Palatino Linotype"/>
          <w:b/>
          <w:sz w:val="22"/>
          <w:szCs w:val="22"/>
        </w:rPr>
        <w:t xml:space="preserve">Sujeto Obligado </w:t>
      </w:r>
      <w:r w:rsidRPr="00882E62">
        <w:rPr>
          <w:rFonts w:ascii="Palatino Linotype" w:eastAsia="Palatino Linotype" w:hAnsi="Palatino Linotype" w:cs="Palatino Linotype"/>
          <w:sz w:val="22"/>
          <w:szCs w:val="22"/>
        </w:rPr>
        <w:t xml:space="preserve">remitió la respuesta a la solicitud de información el día </w:t>
      </w:r>
      <w:r w:rsidR="00EB1AC8" w:rsidRPr="00882E62">
        <w:rPr>
          <w:rFonts w:ascii="Palatino Linotype" w:eastAsia="Palatino Linotype" w:hAnsi="Palatino Linotype" w:cs="Palatino Linotype"/>
          <w:b/>
          <w:sz w:val="22"/>
          <w:szCs w:val="22"/>
        </w:rPr>
        <w:t>diez de septiembre</w:t>
      </w:r>
      <w:r w:rsidR="00370738" w:rsidRPr="00882E62">
        <w:rPr>
          <w:rFonts w:ascii="Palatino Linotype" w:eastAsia="Palatino Linotype" w:hAnsi="Palatino Linotype" w:cs="Palatino Linotype"/>
          <w:b/>
          <w:sz w:val="22"/>
          <w:szCs w:val="22"/>
        </w:rPr>
        <w:t xml:space="preserve"> de dos mil veinti</w:t>
      </w:r>
      <w:r w:rsidR="00B177E5" w:rsidRPr="00882E62">
        <w:rPr>
          <w:rFonts w:ascii="Palatino Linotype" w:eastAsia="Palatino Linotype" w:hAnsi="Palatino Linotype" w:cs="Palatino Linotype"/>
          <w:b/>
          <w:sz w:val="22"/>
          <w:szCs w:val="22"/>
        </w:rPr>
        <w:t>cinco</w:t>
      </w:r>
      <w:r w:rsidRPr="00882E62">
        <w:rPr>
          <w:rFonts w:ascii="Palatino Linotype" w:eastAsia="Palatino Linotype" w:hAnsi="Palatino Linotype" w:cs="Palatino Linotype"/>
          <w:b/>
          <w:sz w:val="22"/>
          <w:szCs w:val="22"/>
        </w:rPr>
        <w:t xml:space="preserve">, </w:t>
      </w:r>
      <w:r w:rsidRPr="00882E62">
        <w:rPr>
          <w:rFonts w:ascii="Palatino Linotype" w:eastAsia="Palatino Linotype" w:hAnsi="Palatino Linotype" w:cs="Palatino Linotype"/>
          <w:sz w:val="22"/>
          <w:szCs w:val="22"/>
        </w:rPr>
        <w:t xml:space="preserve">mientras que el recurso de revisión interpuesto por la parte </w:t>
      </w:r>
      <w:r w:rsidRPr="00882E62">
        <w:rPr>
          <w:rFonts w:ascii="Palatino Linotype" w:eastAsia="Palatino Linotype" w:hAnsi="Palatino Linotype" w:cs="Palatino Linotype"/>
          <w:b/>
          <w:sz w:val="22"/>
          <w:szCs w:val="22"/>
        </w:rPr>
        <w:t xml:space="preserve">Recurrente, </w:t>
      </w:r>
      <w:r w:rsidRPr="00882E62">
        <w:rPr>
          <w:rFonts w:ascii="Palatino Linotype" w:eastAsia="Palatino Linotype" w:hAnsi="Palatino Linotype" w:cs="Palatino Linotype"/>
          <w:sz w:val="22"/>
          <w:szCs w:val="22"/>
        </w:rPr>
        <w:t>se tuvo por presentado el día</w:t>
      </w:r>
      <w:r w:rsidRPr="00882E62">
        <w:rPr>
          <w:rFonts w:ascii="Palatino Linotype" w:eastAsia="Palatino Linotype" w:hAnsi="Palatino Linotype" w:cs="Palatino Linotype"/>
          <w:b/>
          <w:sz w:val="22"/>
          <w:szCs w:val="22"/>
        </w:rPr>
        <w:t xml:space="preserve"> </w:t>
      </w:r>
      <w:r w:rsidR="00EB1AC8" w:rsidRPr="00882E62">
        <w:rPr>
          <w:rFonts w:ascii="Palatino Linotype" w:eastAsia="Palatino Linotype" w:hAnsi="Palatino Linotype" w:cs="Palatino Linotype"/>
          <w:b/>
          <w:sz w:val="22"/>
          <w:szCs w:val="22"/>
        </w:rPr>
        <w:t xml:space="preserve">once de septiembre </w:t>
      </w:r>
      <w:r w:rsidR="00133291" w:rsidRPr="00882E62">
        <w:rPr>
          <w:rFonts w:ascii="Palatino Linotype" w:eastAsia="Palatino Linotype" w:hAnsi="Palatino Linotype" w:cs="Palatino Linotype"/>
          <w:b/>
          <w:sz w:val="22"/>
          <w:szCs w:val="22"/>
        </w:rPr>
        <w:t xml:space="preserve"> de dos mil </w:t>
      </w:r>
      <w:r w:rsidR="00370738" w:rsidRPr="00882E62">
        <w:rPr>
          <w:rFonts w:ascii="Palatino Linotype" w:eastAsia="Palatino Linotype" w:hAnsi="Palatino Linotype" w:cs="Palatino Linotype"/>
          <w:b/>
          <w:sz w:val="22"/>
          <w:szCs w:val="22"/>
        </w:rPr>
        <w:t>veinti</w:t>
      </w:r>
      <w:r w:rsidR="00B177E5" w:rsidRPr="00882E62">
        <w:rPr>
          <w:rFonts w:ascii="Palatino Linotype" w:eastAsia="Palatino Linotype" w:hAnsi="Palatino Linotype" w:cs="Palatino Linotype"/>
          <w:b/>
          <w:sz w:val="22"/>
          <w:szCs w:val="22"/>
        </w:rPr>
        <w:t>cinco</w:t>
      </w:r>
      <w:r w:rsidRPr="00882E62">
        <w:rPr>
          <w:rFonts w:ascii="Palatino Linotype" w:eastAsia="Palatino Linotype" w:hAnsi="Palatino Linotype" w:cs="Palatino Linotype"/>
          <w:b/>
          <w:sz w:val="22"/>
          <w:szCs w:val="22"/>
        </w:rPr>
        <w:t xml:space="preserve">, </w:t>
      </w:r>
      <w:r w:rsidRPr="00882E62">
        <w:rPr>
          <w:rFonts w:ascii="Palatino Linotype" w:eastAsia="Palatino Linotype" w:hAnsi="Palatino Linotype" w:cs="Palatino Linotype"/>
          <w:sz w:val="22"/>
          <w:szCs w:val="22"/>
        </w:rPr>
        <w:t xml:space="preserve">esto es, </w:t>
      </w:r>
      <w:r w:rsidR="009711CB" w:rsidRPr="00882E62">
        <w:rPr>
          <w:rFonts w:ascii="Palatino Linotype" w:eastAsia="Palatino Linotype" w:hAnsi="Palatino Linotype" w:cs="Palatino Linotype"/>
          <w:sz w:val="22"/>
          <w:szCs w:val="22"/>
        </w:rPr>
        <w:t xml:space="preserve">al </w:t>
      </w:r>
      <w:r w:rsidR="00EB1AC8" w:rsidRPr="00882E62">
        <w:rPr>
          <w:rFonts w:ascii="Palatino Linotype" w:eastAsia="Palatino Linotype" w:hAnsi="Palatino Linotype" w:cs="Palatino Linotype"/>
          <w:sz w:val="22"/>
          <w:szCs w:val="22"/>
        </w:rPr>
        <w:t>siguiente</w:t>
      </w:r>
      <w:r w:rsidR="00B177E5" w:rsidRPr="00882E62">
        <w:rPr>
          <w:rFonts w:ascii="Palatino Linotype" w:eastAsia="Palatino Linotype" w:hAnsi="Palatino Linotype" w:cs="Palatino Linotype"/>
          <w:sz w:val="22"/>
          <w:szCs w:val="22"/>
        </w:rPr>
        <w:t xml:space="preserve"> día</w:t>
      </w:r>
      <w:r w:rsidR="00C1140A" w:rsidRPr="00882E62">
        <w:rPr>
          <w:rFonts w:ascii="Palatino Linotype" w:eastAsia="Palatino Linotype" w:hAnsi="Palatino Linotype" w:cs="Palatino Linotype"/>
          <w:sz w:val="22"/>
          <w:szCs w:val="22"/>
        </w:rPr>
        <w:t xml:space="preserve"> hábil posterior a</w:t>
      </w:r>
      <w:r w:rsidRPr="00882E62">
        <w:rPr>
          <w:rFonts w:ascii="Palatino Linotype" w:eastAsia="Palatino Linotype" w:hAnsi="Palatino Linotype" w:cs="Palatino Linotype"/>
          <w:sz w:val="22"/>
          <w:szCs w:val="22"/>
        </w:rPr>
        <w:t xml:space="preserve"> aquel en el que tuvo conocimiento de la respuesta impugnada. En este sentido, se concluye que el presente recurso de revisión se encuentra dentro de los márgenes temporales previstos en las disposiciones legales referidas.</w:t>
      </w:r>
    </w:p>
    <w:p w14:paraId="5B2A3305" w14:textId="77777777" w:rsidR="00BC1A53" w:rsidRPr="00882E62" w:rsidRDefault="00BC1A53" w:rsidP="00BC1A53">
      <w:pPr>
        <w:spacing w:line="360" w:lineRule="auto"/>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 xml:space="preserve">Además, por cuanto hace a la </w:t>
      </w:r>
      <w:proofErr w:type="spellStart"/>
      <w:r w:rsidRPr="00882E62">
        <w:rPr>
          <w:rFonts w:ascii="Palatino Linotype" w:eastAsia="Palatino Linotype" w:hAnsi="Palatino Linotype" w:cs="Palatino Linotype"/>
          <w:sz w:val="22"/>
          <w:szCs w:val="22"/>
        </w:rPr>
        <w:t>procedibilidad</w:t>
      </w:r>
      <w:proofErr w:type="spellEnd"/>
      <w:r w:rsidRPr="00882E62">
        <w:rPr>
          <w:rFonts w:ascii="Palatino Linotype" w:eastAsia="Palatino Linotype" w:hAnsi="Palatino Linotype" w:cs="Palatino Linotype"/>
          <w:sz w:val="22"/>
          <w:szCs w:val="22"/>
        </w:rPr>
        <w:t xml:space="preserve"> del recurso de revisión, es de suma importancia señalar que la parte</w:t>
      </w:r>
      <w:r w:rsidRPr="00882E62">
        <w:rPr>
          <w:rFonts w:ascii="Palatino Linotype" w:eastAsia="Palatino Linotype" w:hAnsi="Palatino Linotype" w:cs="Palatino Linotype"/>
          <w:b/>
          <w:sz w:val="22"/>
          <w:szCs w:val="22"/>
        </w:rPr>
        <w:t xml:space="preserve"> Recurrente</w:t>
      </w:r>
      <w:r w:rsidRPr="00882E62">
        <w:rPr>
          <w:rFonts w:ascii="Palatino Linotype" w:eastAsia="Palatino Linotype" w:hAnsi="Palatino Linotype" w:cs="Palatino Linotype"/>
          <w:sz w:val="22"/>
          <w:szCs w:val="22"/>
        </w:rPr>
        <w:t xml:space="preserve">, no señaló </w:t>
      </w:r>
      <w:r w:rsidRPr="00882E62">
        <w:rPr>
          <w:rFonts w:ascii="Palatino Linotype" w:eastAsia="Palatino Linotype" w:hAnsi="Palatino Linotype" w:cs="Palatino Linotype"/>
          <w:b/>
          <w:sz w:val="22"/>
          <w:szCs w:val="22"/>
        </w:rPr>
        <w:t>nombre completo,</w:t>
      </w:r>
      <w:r w:rsidRPr="00882E62">
        <w:rPr>
          <w:rFonts w:ascii="Palatino Linotype" w:eastAsia="Palatino Linotype" w:hAnsi="Palatino Linotype" w:cs="Palatino Linotype"/>
          <w:sz w:val="22"/>
          <w:szCs w:val="22"/>
        </w:rPr>
        <w:t xml:space="preserve">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14728A5" w14:textId="77777777" w:rsidR="00BC1A53" w:rsidRPr="00882E62" w:rsidRDefault="00BC1A53" w:rsidP="00BC1A53">
      <w:pPr>
        <w:spacing w:before="120" w:after="120"/>
        <w:ind w:left="851" w:right="902"/>
        <w:jc w:val="both"/>
        <w:rPr>
          <w:rFonts w:ascii="Palatino Linotype" w:eastAsia="Palatino Linotype" w:hAnsi="Palatino Linotype" w:cs="Palatino Linotype"/>
          <w:i/>
          <w:sz w:val="22"/>
          <w:szCs w:val="22"/>
        </w:rPr>
      </w:pPr>
      <w:r w:rsidRPr="00882E62">
        <w:rPr>
          <w:rFonts w:ascii="Palatino Linotype" w:eastAsia="Palatino Linotype" w:hAnsi="Palatino Linotype" w:cs="Palatino Linotype"/>
          <w:i/>
          <w:sz w:val="22"/>
          <w:szCs w:val="22"/>
        </w:rPr>
        <w:t>"</w:t>
      </w:r>
      <w:r w:rsidRPr="00882E62">
        <w:rPr>
          <w:rFonts w:ascii="Palatino Linotype" w:eastAsia="Palatino Linotype" w:hAnsi="Palatino Linotype" w:cs="Palatino Linotype"/>
          <w:b/>
          <w:i/>
          <w:sz w:val="22"/>
          <w:szCs w:val="22"/>
        </w:rPr>
        <w:t>Las solicitudes anónimas</w:t>
      </w:r>
      <w:r w:rsidRPr="00882E62">
        <w:rPr>
          <w:rFonts w:ascii="Palatino Linotype" w:eastAsia="Palatino Linotype" w:hAnsi="Palatino Linotype" w:cs="Palatino Linotype"/>
          <w:i/>
          <w:sz w:val="22"/>
          <w:szCs w:val="22"/>
        </w:rPr>
        <w:t xml:space="preserve">, con </w:t>
      </w:r>
      <w:r w:rsidRPr="00882E62">
        <w:rPr>
          <w:rFonts w:ascii="Palatino Linotype" w:eastAsia="Palatino Linotype" w:hAnsi="Palatino Linotype" w:cs="Palatino Linotype"/>
          <w:b/>
          <w:bCs/>
          <w:i/>
          <w:sz w:val="22"/>
          <w:szCs w:val="22"/>
        </w:rPr>
        <w:t>nombre incompleto</w:t>
      </w:r>
      <w:r w:rsidRPr="00882E62">
        <w:rPr>
          <w:rFonts w:ascii="Palatino Linotype" w:eastAsia="Palatino Linotype" w:hAnsi="Palatino Linotype" w:cs="Palatino Linotype"/>
          <w:i/>
          <w:sz w:val="22"/>
          <w:szCs w:val="22"/>
        </w:rPr>
        <w:t xml:space="preserve"> o </w:t>
      </w:r>
      <w:r w:rsidRPr="00882E62">
        <w:rPr>
          <w:rFonts w:ascii="Palatino Linotype" w:eastAsia="Palatino Linotype" w:hAnsi="Palatino Linotype" w:cs="Palatino Linotype"/>
          <w:b/>
          <w:i/>
          <w:sz w:val="22"/>
          <w:szCs w:val="22"/>
        </w:rPr>
        <w:t>seudónimo</w:t>
      </w:r>
      <w:r w:rsidRPr="00882E62">
        <w:rPr>
          <w:rFonts w:ascii="Palatino Linotype" w:eastAsia="Palatino Linotype" w:hAnsi="Palatino Linotype" w:cs="Palatino Linotype"/>
          <w:i/>
          <w:sz w:val="22"/>
          <w:szCs w:val="22"/>
        </w:rPr>
        <w:t xml:space="preserve"> serán procedentes para su trámite por parte del sujeto obligado ante quien se presente. No podrá requerirse información adicional con motivo del nombre proporcionado por el solicitante."</w:t>
      </w:r>
    </w:p>
    <w:p w14:paraId="2D8813A4" w14:textId="77777777" w:rsidR="00BC1A53" w:rsidRPr="00882E62" w:rsidRDefault="00BC1A53" w:rsidP="00BC1A53">
      <w:pPr>
        <w:spacing w:before="240" w:after="240" w:line="360" w:lineRule="auto"/>
        <w:jc w:val="both"/>
        <w:rPr>
          <w:rFonts w:ascii="Palatino Linotype" w:eastAsia="Palatino Linotype" w:hAnsi="Palatino Linotype" w:cs="Palatino Linotype"/>
          <w:b/>
          <w:sz w:val="22"/>
          <w:szCs w:val="22"/>
        </w:rPr>
      </w:pPr>
      <w:r w:rsidRPr="00882E62">
        <w:rPr>
          <w:rFonts w:ascii="Palatino Linotype" w:eastAsia="Palatino Linotype" w:hAnsi="Palatino Linotype" w:cs="Palatino Linotype"/>
          <w:sz w:val="22"/>
          <w:szCs w:val="22"/>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882E62">
        <w:rPr>
          <w:rFonts w:ascii="Palatino Linotype" w:eastAsia="Palatino Linotype" w:hAnsi="Palatino Linotype" w:cs="Palatino Linotype"/>
          <w:b/>
          <w:sz w:val="22"/>
          <w:szCs w:val="22"/>
        </w:rPr>
        <w:t xml:space="preserve"> SAIMEX.</w:t>
      </w:r>
    </w:p>
    <w:p w14:paraId="2DB43ED9" w14:textId="357D8530" w:rsidR="006E155A" w:rsidRPr="00882E62" w:rsidRDefault="005B22BA" w:rsidP="006E155A">
      <w:pPr>
        <w:spacing w:before="240" w:after="240" w:line="360" w:lineRule="auto"/>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882E62">
        <w:rPr>
          <w:rFonts w:ascii="Palatino Linotype" w:eastAsia="Palatino Linotype" w:hAnsi="Palatino Linotype" w:cs="Palatino Linotype"/>
          <w:b/>
          <w:sz w:val="22"/>
          <w:szCs w:val="22"/>
        </w:rPr>
        <w:t>Recurrente</w:t>
      </w:r>
      <w:r w:rsidRPr="00882E62">
        <w:rPr>
          <w:rFonts w:ascii="Palatino Linotype" w:eastAsia="Palatino Linotype" w:hAnsi="Palatino Linotype" w:cs="Palatino Linotype"/>
          <w:sz w:val="22"/>
          <w:szCs w:val="22"/>
        </w:rPr>
        <w:t xml:space="preserve"> en sus motivos de inconformidad, de acuerdo al artículo 179, </w:t>
      </w:r>
      <w:r w:rsidR="00C00558" w:rsidRPr="00882E62">
        <w:rPr>
          <w:rFonts w:ascii="Palatino Linotype" w:eastAsia="Palatino Linotype" w:hAnsi="Palatino Linotype" w:cs="Palatino Linotype"/>
          <w:sz w:val="22"/>
          <w:szCs w:val="22"/>
        </w:rPr>
        <w:t>f</w:t>
      </w:r>
      <w:r w:rsidR="00133291" w:rsidRPr="00882E62">
        <w:rPr>
          <w:rFonts w:ascii="Palatino Linotype" w:eastAsia="Palatino Linotype" w:hAnsi="Palatino Linotype" w:cs="Palatino Linotype"/>
          <w:sz w:val="22"/>
          <w:szCs w:val="22"/>
        </w:rPr>
        <w:t xml:space="preserve">racción </w:t>
      </w:r>
      <w:r w:rsidR="004D1FF5" w:rsidRPr="00882E62">
        <w:rPr>
          <w:rFonts w:ascii="Palatino Linotype" w:eastAsia="Palatino Linotype" w:hAnsi="Palatino Linotype" w:cs="Palatino Linotype"/>
          <w:sz w:val="22"/>
          <w:szCs w:val="22"/>
        </w:rPr>
        <w:t>I</w:t>
      </w:r>
      <w:r w:rsidR="00C00558" w:rsidRPr="00882E62">
        <w:rPr>
          <w:rFonts w:ascii="Palatino Linotype" w:eastAsia="Palatino Linotype" w:hAnsi="Palatino Linotype" w:cs="Palatino Linotype"/>
          <w:sz w:val="22"/>
          <w:szCs w:val="22"/>
        </w:rPr>
        <w:t xml:space="preserve"> </w:t>
      </w:r>
      <w:r w:rsidR="006E155A" w:rsidRPr="00882E62">
        <w:rPr>
          <w:rFonts w:ascii="Palatino Linotype" w:eastAsia="Palatino Linotype" w:hAnsi="Palatino Linotype" w:cs="Palatino Linotype"/>
          <w:sz w:val="22"/>
          <w:szCs w:val="22"/>
        </w:rPr>
        <w:t>del ordenamiento legal citado, que a la letra dice: </w:t>
      </w:r>
    </w:p>
    <w:p w14:paraId="76DBCF77" w14:textId="77777777" w:rsidR="006E155A" w:rsidRPr="00882E62" w:rsidRDefault="006E155A" w:rsidP="006E155A">
      <w:pPr>
        <w:tabs>
          <w:tab w:val="left" w:pos="7938"/>
        </w:tabs>
        <w:spacing w:before="120" w:after="120"/>
        <w:ind w:left="851" w:right="902"/>
        <w:jc w:val="both"/>
        <w:rPr>
          <w:rFonts w:ascii="Palatino Linotype" w:eastAsia="Palatino Linotype" w:hAnsi="Palatino Linotype" w:cs="Palatino Linotype"/>
          <w:i/>
          <w:sz w:val="22"/>
          <w:szCs w:val="22"/>
        </w:rPr>
      </w:pPr>
      <w:r w:rsidRPr="00882E62">
        <w:rPr>
          <w:rFonts w:ascii="Palatino Linotype" w:eastAsia="Palatino Linotype" w:hAnsi="Palatino Linotype" w:cs="Palatino Linotype"/>
          <w:i/>
          <w:sz w:val="22"/>
          <w:szCs w:val="22"/>
        </w:rPr>
        <w:t>“</w:t>
      </w:r>
      <w:r w:rsidRPr="00882E62">
        <w:rPr>
          <w:rFonts w:ascii="Palatino Linotype" w:eastAsia="Palatino Linotype" w:hAnsi="Palatino Linotype" w:cs="Palatino Linotype"/>
          <w:b/>
          <w:i/>
          <w:sz w:val="22"/>
          <w:szCs w:val="22"/>
        </w:rPr>
        <w:t>Artículo 179.</w:t>
      </w:r>
      <w:r w:rsidRPr="00882E62">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57894972" w14:textId="659634EA" w:rsidR="006E155A" w:rsidRPr="00882E62" w:rsidRDefault="00A64F2B" w:rsidP="006E155A">
      <w:pPr>
        <w:tabs>
          <w:tab w:val="left" w:pos="7938"/>
        </w:tabs>
        <w:spacing w:before="120" w:after="120"/>
        <w:ind w:left="851" w:right="900"/>
        <w:jc w:val="both"/>
        <w:rPr>
          <w:rFonts w:ascii="Palatino Linotype" w:eastAsia="Palatino Linotype" w:hAnsi="Palatino Linotype" w:cs="Palatino Linotype"/>
          <w:i/>
          <w:sz w:val="22"/>
          <w:szCs w:val="22"/>
        </w:rPr>
      </w:pPr>
      <w:r w:rsidRPr="00882E62">
        <w:rPr>
          <w:rFonts w:ascii="Palatino Linotype" w:hAnsi="Palatino Linotype"/>
          <w:b/>
          <w:i/>
          <w:sz w:val="22"/>
          <w:szCs w:val="22"/>
        </w:rPr>
        <w:t>I</w:t>
      </w:r>
      <w:r w:rsidR="00561AA1" w:rsidRPr="00882E62">
        <w:rPr>
          <w:rFonts w:ascii="Palatino Linotype" w:hAnsi="Palatino Linotype"/>
          <w:b/>
          <w:i/>
          <w:sz w:val="22"/>
          <w:szCs w:val="22"/>
        </w:rPr>
        <w:t xml:space="preserve">. </w:t>
      </w:r>
      <w:r w:rsidR="004D1FF5" w:rsidRPr="00882E62">
        <w:rPr>
          <w:rFonts w:ascii="Palatino Linotype" w:hAnsi="Palatino Linotype"/>
          <w:i/>
          <w:sz w:val="22"/>
          <w:szCs w:val="22"/>
        </w:rPr>
        <w:t>La negativa a la información solicitada</w:t>
      </w:r>
      <w:r w:rsidR="00133291" w:rsidRPr="00882E62">
        <w:rPr>
          <w:rFonts w:ascii="Palatino Linotype" w:hAnsi="Palatino Linotype"/>
          <w:i/>
          <w:sz w:val="22"/>
          <w:szCs w:val="22"/>
        </w:rPr>
        <w:t>;</w:t>
      </w:r>
      <w:r w:rsidR="006E155A" w:rsidRPr="00882E62">
        <w:rPr>
          <w:rFonts w:ascii="Palatino Linotype" w:eastAsia="Palatino Linotype" w:hAnsi="Palatino Linotype" w:cs="Palatino Linotype"/>
          <w:i/>
          <w:sz w:val="22"/>
          <w:szCs w:val="22"/>
        </w:rPr>
        <w:t>”</w:t>
      </w:r>
    </w:p>
    <w:p w14:paraId="7B3D2575" w14:textId="77777777" w:rsidR="00694AA0" w:rsidRPr="00882E62" w:rsidRDefault="005B22BA">
      <w:pPr>
        <w:spacing w:before="240" w:after="240" w:line="360" w:lineRule="auto"/>
        <w:jc w:val="both"/>
        <w:rPr>
          <w:rFonts w:ascii="Palatino Linotype" w:eastAsia="Palatino Linotype" w:hAnsi="Palatino Linotype" w:cs="Palatino Linotype"/>
          <w:b/>
          <w:sz w:val="22"/>
          <w:szCs w:val="22"/>
        </w:rPr>
      </w:pPr>
      <w:r w:rsidRPr="00882E62">
        <w:rPr>
          <w:rFonts w:ascii="Palatino Linotype" w:eastAsia="Palatino Linotype" w:hAnsi="Palatino Linotype" w:cs="Palatino Linotype"/>
          <w:b/>
          <w:sz w:val="22"/>
          <w:szCs w:val="22"/>
        </w:rPr>
        <w:t xml:space="preserve">Tercero. Materia de la revisión. </w:t>
      </w:r>
      <w:r w:rsidRPr="00882E62">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882E62">
        <w:rPr>
          <w:rFonts w:ascii="Palatino Linotype" w:eastAsia="Palatino Linotype" w:hAnsi="Palatino Linotype" w:cs="Palatino Linotype"/>
          <w:b/>
          <w:sz w:val="22"/>
          <w:szCs w:val="22"/>
        </w:rPr>
        <w:t xml:space="preserve">verificar si la información proporcionada por el Sujeto Obligado es adecuada y suficiente para satisfacer el derecho de acceso a la información pública </w:t>
      </w:r>
      <w:r w:rsidRPr="00882E62">
        <w:rPr>
          <w:rFonts w:ascii="Palatino Linotype" w:eastAsia="Palatino Linotype" w:hAnsi="Palatino Linotype" w:cs="Palatino Linotype"/>
          <w:sz w:val="22"/>
          <w:szCs w:val="22"/>
        </w:rPr>
        <w:t xml:space="preserve">de la parte </w:t>
      </w:r>
      <w:r w:rsidRPr="00882E62">
        <w:rPr>
          <w:rFonts w:ascii="Palatino Linotype" w:eastAsia="Palatino Linotype" w:hAnsi="Palatino Linotype" w:cs="Palatino Linotype"/>
          <w:b/>
          <w:sz w:val="22"/>
          <w:szCs w:val="22"/>
        </w:rPr>
        <w:t>Recurrente</w:t>
      </w:r>
      <w:r w:rsidRPr="00882E62">
        <w:rPr>
          <w:rFonts w:ascii="Palatino Linotype" w:eastAsia="Palatino Linotype" w:hAnsi="Palatino Linotype" w:cs="Palatino Linotype"/>
          <w:sz w:val="22"/>
          <w:szCs w:val="22"/>
        </w:rPr>
        <w:t>, o en su defecto, en caso de ser procedente, ordenar la entrega de información.</w:t>
      </w:r>
    </w:p>
    <w:p w14:paraId="73D2F728" w14:textId="77777777" w:rsidR="00694AA0" w:rsidRPr="00882E62" w:rsidRDefault="005B22BA">
      <w:pPr>
        <w:spacing w:before="240" w:after="240" w:line="360" w:lineRule="auto"/>
        <w:jc w:val="both"/>
        <w:rPr>
          <w:rFonts w:ascii="Palatino Linotype" w:eastAsia="Palatino Linotype" w:hAnsi="Palatino Linotype" w:cs="Palatino Linotype"/>
          <w:sz w:val="22"/>
          <w:szCs w:val="22"/>
        </w:rPr>
      </w:pPr>
      <w:bookmarkStart w:id="7" w:name="_heading=h.2et92p0" w:colFirst="0" w:colLast="0"/>
      <w:bookmarkEnd w:id="7"/>
      <w:r w:rsidRPr="00882E62">
        <w:rPr>
          <w:rFonts w:ascii="Palatino Linotype" w:eastAsia="Palatino Linotype" w:hAnsi="Palatino Linotype" w:cs="Palatino Linotype"/>
          <w:b/>
          <w:sz w:val="22"/>
          <w:szCs w:val="22"/>
        </w:rPr>
        <w:t xml:space="preserve">Cuarto. Estudio del asunto. </w:t>
      </w:r>
      <w:r w:rsidRPr="00882E62">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F60AAE5" w14:textId="77777777" w:rsidR="00694AA0" w:rsidRPr="00882E62" w:rsidRDefault="005B22BA">
      <w:pPr>
        <w:spacing w:before="120" w:after="120"/>
        <w:ind w:left="851" w:right="902"/>
        <w:jc w:val="both"/>
        <w:rPr>
          <w:rFonts w:ascii="Palatino Linotype" w:eastAsia="Palatino Linotype" w:hAnsi="Palatino Linotype" w:cs="Palatino Linotype"/>
          <w:i/>
          <w:sz w:val="22"/>
          <w:szCs w:val="22"/>
        </w:rPr>
      </w:pPr>
      <w:r w:rsidRPr="00882E62">
        <w:rPr>
          <w:rFonts w:ascii="Palatino Linotype" w:eastAsia="Palatino Linotype" w:hAnsi="Palatino Linotype" w:cs="Palatino Linotype"/>
          <w:i/>
          <w:sz w:val="22"/>
          <w:szCs w:val="22"/>
        </w:rPr>
        <w:t>“</w:t>
      </w:r>
      <w:r w:rsidRPr="00882E62">
        <w:rPr>
          <w:rFonts w:ascii="Palatino Linotype" w:eastAsia="Palatino Linotype" w:hAnsi="Palatino Linotype" w:cs="Palatino Linotype"/>
          <w:b/>
          <w:i/>
          <w:sz w:val="22"/>
          <w:szCs w:val="22"/>
        </w:rPr>
        <w:t>Artículo 4</w:t>
      </w:r>
      <w:r w:rsidRPr="00882E62">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A890CA7" w14:textId="77777777" w:rsidR="00694AA0" w:rsidRPr="00882E62" w:rsidRDefault="005B22BA">
      <w:pPr>
        <w:spacing w:before="120" w:after="120"/>
        <w:ind w:left="851" w:right="902"/>
        <w:jc w:val="both"/>
        <w:rPr>
          <w:rFonts w:ascii="Palatino Linotype" w:eastAsia="Palatino Linotype" w:hAnsi="Palatino Linotype" w:cs="Palatino Linotype"/>
          <w:i/>
          <w:sz w:val="22"/>
          <w:szCs w:val="22"/>
        </w:rPr>
      </w:pPr>
      <w:r w:rsidRPr="00882E6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882E62">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6B72714" w14:textId="77777777" w:rsidR="00694AA0" w:rsidRPr="00882E62" w:rsidRDefault="005B22BA">
      <w:pPr>
        <w:spacing w:before="120" w:after="120"/>
        <w:ind w:left="851" w:right="902"/>
        <w:jc w:val="both"/>
        <w:rPr>
          <w:rFonts w:ascii="Palatino Linotype" w:eastAsia="Palatino Linotype" w:hAnsi="Palatino Linotype" w:cs="Palatino Linotype"/>
          <w:i/>
          <w:sz w:val="22"/>
          <w:szCs w:val="22"/>
        </w:rPr>
      </w:pPr>
      <w:r w:rsidRPr="00882E62">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882E62">
        <w:rPr>
          <w:rFonts w:ascii="Palatino Linotype" w:eastAsia="Palatino Linotype" w:hAnsi="Palatino Linotype" w:cs="Palatino Linotype"/>
          <w:i/>
          <w:sz w:val="22"/>
          <w:szCs w:val="22"/>
        </w:rPr>
        <w:t>.”</w:t>
      </w:r>
    </w:p>
    <w:p w14:paraId="2B62FDE3" w14:textId="77777777" w:rsidR="00694AA0" w:rsidRPr="00882E62" w:rsidRDefault="005B22BA">
      <w:pPr>
        <w:spacing w:before="240" w:after="240" w:line="360" w:lineRule="auto"/>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FB2BC38" w14:textId="77777777" w:rsidR="00694AA0" w:rsidRPr="00882E62" w:rsidRDefault="005B22BA">
      <w:pPr>
        <w:spacing w:before="120" w:after="120"/>
        <w:ind w:left="851" w:right="902"/>
        <w:jc w:val="both"/>
        <w:rPr>
          <w:rFonts w:ascii="Palatino Linotype" w:eastAsia="Palatino Linotype" w:hAnsi="Palatino Linotype" w:cs="Palatino Linotype"/>
          <w:i/>
          <w:sz w:val="22"/>
          <w:szCs w:val="22"/>
        </w:rPr>
      </w:pPr>
      <w:r w:rsidRPr="00882E62">
        <w:rPr>
          <w:rFonts w:ascii="Palatino Linotype" w:eastAsia="Palatino Linotype" w:hAnsi="Palatino Linotype" w:cs="Palatino Linotype"/>
          <w:b/>
          <w:i/>
          <w:sz w:val="22"/>
          <w:szCs w:val="22"/>
        </w:rPr>
        <w:t>“Artículo 12.-</w:t>
      </w:r>
      <w:r w:rsidRPr="00882E62">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6EB6026" w14:textId="77777777" w:rsidR="00694AA0" w:rsidRPr="00882E62" w:rsidRDefault="005B22BA">
      <w:pPr>
        <w:spacing w:before="120" w:after="120"/>
        <w:ind w:left="851" w:right="902"/>
        <w:jc w:val="both"/>
        <w:rPr>
          <w:rFonts w:ascii="Palatino Linotype" w:eastAsia="Palatino Linotype" w:hAnsi="Palatino Linotype" w:cs="Palatino Linotype"/>
          <w:i/>
          <w:sz w:val="22"/>
          <w:szCs w:val="22"/>
        </w:rPr>
      </w:pPr>
      <w:r w:rsidRPr="00882E62">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882E62">
        <w:rPr>
          <w:rFonts w:ascii="Palatino Linotype" w:eastAsia="Palatino Linotype" w:hAnsi="Palatino Linotype" w:cs="Palatino Linotype"/>
          <w:i/>
          <w:sz w:val="22"/>
          <w:szCs w:val="22"/>
        </w:rPr>
        <w:t xml:space="preserve">. </w:t>
      </w:r>
      <w:r w:rsidRPr="00882E62">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1ED4674D" w14:textId="77777777" w:rsidR="00694AA0" w:rsidRPr="00882E62" w:rsidRDefault="005B22BA">
      <w:pPr>
        <w:spacing w:before="240" w:after="240" w:line="360" w:lineRule="auto"/>
        <w:ind w:right="-93"/>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558BB21D" w14:textId="77777777" w:rsidR="00694AA0" w:rsidRPr="00882E62" w:rsidRDefault="005B22BA">
      <w:pPr>
        <w:spacing w:before="240" w:after="240" w:line="360" w:lineRule="auto"/>
        <w:jc w:val="both"/>
        <w:rPr>
          <w:rFonts w:ascii="Palatino Linotype" w:eastAsia="Palatino Linotype" w:hAnsi="Palatino Linotype" w:cs="Palatino Linotype"/>
          <w:b/>
          <w:sz w:val="22"/>
          <w:szCs w:val="22"/>
        </w:rPr>
      </w:pPr>
      <w:r w:rsidRPr="00882E62">
        <w:rPr>
          <w:rFonts w:ascii="Palatino Linotype" w:eastAsia="Palatino Linotype" w:hAnsi="Palatino Linotype" w:cs="Palatino Linotype"/>
          <w:sz w:val="22"/>
          <w:szCs w:val="22"/>
        </w:rPr>
        <w:t xml:space="preserve">Sirve de apoyo a lo anterior, el criterio orientador con clave de control SO/003/2017, emitido por el entonces Instituto Nacional de Transparencia, Acceso a la Información y Protección de Datos Personales, </w:t>
      </w:r>
      <w:proofErr w:type="gramStart"/>
      <w:r w:rsidRPr="00882E62">
        <w:rPr>
          <w:rFonts w:ascii="Palatino Linotype" w:eastAsia="Palatino Linotype" w:hAnsi="Palatino Linotype" w:cs="Palatino Linotype"/>
          <w:sz w:val="22"/>
          <w:szCs w:val="22"/>
        </w:rPr>
        <w:t>que</w:t>
      </w:r>
      <w:proofErr w:type="gramEnd"/>
      <w:r w:rsidRPr="00882E62">
        <w:rPr>
          <w:rFonts w:ascii="Palatino Linotype" w:eastAsia="Palatino Linotype" w:hAnsi="Palatino Linotype" w:cs="Palatino Linotype"/>
          <w:sz w:val="22"/>
          <w:szCs w:val="22"/>
        </w:rPr>
        <w:t xml:space="preserve"> por rubro y texto, dispone lo siguiente:</w:t>
      </w:r>
      <w:r w:rsidRPr="00882E62">
        <w:rPr>
          <w:rFonts w:ascii="Palatino Linotype" w:eastAsia="Palatino Linotype" w:hAnsi="Palatino Linotype" w:cs="Palatino Linotype"/>
          <w:b/>
          <w:sz w:val="22"/>
          <w:szCs w:val="22"/>
        </w:rPr>
        <w:t xml:space="preserve"> </w:t>
      </w:r>
    </w:p>
    <w:p w14:paraId="6B3CE4C4" w14:textId="77777777" w:rsidR="00694AA0" w:rsidRPr="00882E62" w:rsidRDefault="005B22BA">
      <w:pPr>
        <w:spacing w:before="120" w:after="120"/>
        <w:ind w:left="1134" w:right="902"/>
        <w:jc w:val="both"/>
        <w:rPr>
          <w:rFonts w:ascii="Palatino Linotype" w:eastAsia="Palatino Linotype" w:hAnsi="Palatino Linotype" w:cs="Palatino Linotype"/>
          <w:i/>
          <w:sz w:val="22"/>
          <w:szCs w:val="22"/>
        </w:rPr>
      </w:pPr>
      <w:r w:rsidRPr="00882E62">
        <w:rPr>
          <w:rFonts w:ascii="Palatino Linotype" w:eastAsia="Palatino Linotype" w:hAnsi="Palatino Linotype" w:cs="Palatino Linotype"/>
          <w:i/>
          <w:sz w:val="22"/>
          <w:szCs w:val="22"/>
        </w:rPr>
        <w:t xml:space="preserve"> “</w:t>
      </w:r>
      <w:r w:rsidRPr="00882E62">
        <w:rPr>
          <w:rFonts w:ascii="Palatino Linotype" w:eastAsia="Palatino Linotype" w:hAnsi="Palatino Linotype" w:cs="Palatino Linotype"/>
          <w:b/>
          <w:i/>
          <w:sz w:val="22"/>
          <w:szCs w:val="22"/>
        </w:rPr>
        <w:t>No existe obligación de elaborar documentos ad hoc para atender las solicitudes de acceso a la información.</w:t>
      </w:r>
      <w:r w:rsidRPr="00882E62">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A211211" w14:textId="77777777" w:rsidR="00694AA0" w:rsidRPr="00882E62" w:rsidRDefault="005B22BA">
      <w:pPr>
        <w:spacing w:before="120" w:after="120" w:line="360" w:lineRule="auto"/>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1BEC828" w14:textId="77777777" w:rsidR="00694AA0" w:rsidRPr="00882E62" w:rsidRDefault="005B22BA">
      <w:pPr>
        <w:spacing w:before="120" w:after="120" w:line="360" w:lineRule="auto"/>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F115FEE" w14:textId="77777777" w:rsidR="00694AA0" w:rsidRPr="00882E62" w:rsidRDefault="005B22BA" w:rsidP="00C00558">
      <w:pPr>
        <w:spacing w:before="120" w:after="120"/>
        <w:ind w:left="851" w:right="902"/>
        <w:jc w:val="both"/>
        <w:rPr>
          <w:rFonts w:ascii="Palatino Linotype" w:eastAsia="Palatino Linotype" w:hAnsi="Palatino Linotype" w:cs="Palatino Linotype"/>
          <w:i/>
          <w:sz w:val="22"/>
          <w:szCs w:val="22"/>
        </w:rPr>
      </w:pPr>
      <w:r w:rsidRPr="00882E62">
        <w:rPr>
          <w:rFonts w:ascii="Palatino Linotype" w:eastAsia="Palatino Linotype" w:hAnsi="Palatino Linotype" w:cs="Palatino Linotype"/>
          <w:i/>
          <w:sz w:val="22"/>
          <w:szCs w:val="22"/>
        </w:rPr>
        <w:t>“</w:t>
      </w:r>
      <w:r w:rsidRPr="00882E62">
        <w:rPr>
          <w:rFonts w:ascii="Palatino Linotype" w:eastAsia="Palatino Linotype" w:hAnsi="Palatino Linotype" w:cs="Palatino Linotype"/>
          <w:b/>
          <w:i/>
          <w:sz w:val="22"/>
          <w:szCs w:val="22"/>
        </w:rPr>
        <w:t xml:space="preserve">Artículo 3. </w:t>
      </w:r>
      <w:r w:rsidRPr="00882E62">
        <w:rPr>
          <w:rFonts w:ascii="Palatino Linotype" w:eastAsia="Palatino Linotype" w:hAnsi="Palatino Linotype" w:cs="Palatino Linotype"/>
          <w:i/>
          <w:sz w:val="22"/>
          <w:szCs w:val="22"/>
        </w:rPr>
        <w:t>Para los efectos de la presente Ley se entenderá por:</w:t>
      </w:r>
    </w:p>
    <w:p w14:paraId="2899E630" w14:textId="77777777" w:rsidR="00694AA0" w:rsidRPr="00882E62" w:rsidRDefault="005B22BA" w:rsidP="00C00558">
      <w:pPr>
        <w:spacing w:before="120" w:after="120"/>
        <w:ind w:left="851" w:right="902"/>
        <w:jc w:val="both"/>
        <w:rPr>
          <w:rFonts w:ascii="Palatino Linotype" w:eastAsia="Palatino Linotype" w:hAnsi="Palatino Linotype" w:cs="Palatino Linotype"/>
          <w:i/>
          <w:sz w:val="22"/>
          <w:szCs w:val="22"/>
        </w:rPr>
      </w:pPr>
      <w:r w:rsidRPr="00882E62">
        <w:rPr>
          <w:rFonts w:ascii="Palatino Linotype" w:eastAsia="Palatino Linotype" w:hAnsi="Palatino Linotype" w:cs="Palatino Linotype"/>
          <w:i/>
          <w:sz w:val="22"/>
          <w:szCs w:val="22"/>
        </w:rPr>
        <w:t>…</w:t>
      </w:r>
    </w:p>
    <w:p w14:paraId="332076D0" w14:textId="77777777" w:rsidR="00694AA0" w:rsidRPr="00882E62" w:rsidRDefault="005B22BA" w:rsidP="00C00558">
      <w:pPr>
        <w:spacing w:before="120" w:after="120"/>
        <w:ind w:left="851" w:right="902"/>
        <w:jc w:val="both"/>
        <w:rPr>
          <w:rFonts w:ascii="Palatino Linotype" w:eastAsia="Palatino Linotype" w:hAnsi="Palatino Linotype" w:cs="Palatino Linotype"/>
          <w:i/>
          <w:sz w:val="22"/>
          <w:szCs w:val="22"/>
        </w:rPr>
      </w:pPr>
      <w:r w:rsidRPr="00882E62">
        <w:rPr>
          <w:rFonts w:ascii="Palatino Linotype" w:eastAsia="Palatino Linotype" w:hAnsi="Palatino Linotype" w:cs="Palatino Linotype"/>
          <w:b/>
          <w:i/>
          <w:sz w:val="22"/>
          <w:szCs w:val="22"/>
        </w:rPr>
        <w:t>XI. Documento:</w:t>
      </w:r>
      <w:r w:rsidRPr="00882E62">
        <w:rPr>
          <w:rFonts w:ascii="Palatino Linotype" w:eastAsia="Palatino Linotype" w:hAnsi="Palatino Linotype" w:cs="Palatino Linotype"/>
          <w:i/>
          <w:sz w:val="22"/>
          <w:szCs w:val="22"/>
        </w:rPr>
        <w:t xml:space="preserve"> Los expedientes, reportes, estudios, actas</w:t>
      </w:r>
      <w:r w:rsidRPr="00882E62">
        <w:rPr>
          <w:rFonts w:ascii="Palatino Linotype" w:eastAsia="Palatino Linotype" w:hAnsi="Palatino Linotype" w:cs="Palatino Linotype"/>
          <w:b/>
          <w:i/>
          <w:sz w:val="22"/>
          <w:szCs w:val="22"/>
        </w:rPr>
        <w:t>,</w:t>
      </w:r>
      <w:r w:rsidRPr="00882E62">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F7AC5F3" w14:textId="77777777" w:rsidR="00694AA0" w:rsidRPr="00882E62" w:rsidRDefault="005B22BA">
      <w:pPr>
        <w:spacing w:before="240" w:after="240" w:line="360" w:lineRule="auto"/>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4090AEB" w14:textId="77777777" w:rsidR="00694AA0" w:rsidRPr="00882E62" w:rsidRDefault="005B22BA" w:rsidP="00C00558">
      <w:pPr>
        <w:spacing w:before="120" w:after="120"/>
        <w:ind w:left="851" w:right="902"/>
        <w:jc w:val="both"/>
        <w:rPr>
          <w:rFonts w:ascii="Palatino Linotype" w:eastAsia="Palatino Linotype" w:hAnsi="Palatino Linotype" w:cs="Palatino Linotype"/>
          <w:i/>
          <w:sz w:val="22"/>
          <w:szCs w:val="22"/>
        </w:rPr>
      </w:pPr>
      <w:r w:rsidRPr="00882E62">
        <w:rPr>
          <w:rFonts w:ascii="Palatino Linotype" w:eastAsia="Palatino Linotype" w:hAnsi="Palatino Linotype" w:cs="Palatino Linotype"/>
          <w:b/>
          <w:sz w:val="22"/>
          <w:szCs w:val="22"/>
        </w:rPr>
        <w:t>“</w:t>
      </w:r>
      <w:r w:rsidRPr="00882E62">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882E6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9F494CB" w14:textId="77777777" w:rsidR="00694AA0" w:rsidRPr="00882E62" w:rsidRDefault="005B22BA" w:rsidP="00C00558">
      <w:pPr>
        <w:spacing w:before="120" w:after="120"/>
        <w:ind w:left="851" w:right="902"/>
        <w:jc w:val="both"/>
        <w:rPr>
          <w:rFonts w:ascii="Palatino Linotype" w:eastAsia="Palatino Linotype" w:hAnsi="Palatino Linotype" w:cs="Palatino Linotype"/>
          <w:i/>
          <w:sz w:val="22"/>
          <w:szCs w:val="22"/>
        </w:rPr>
      </w:pPr>
      <w:r w:rsidRPr="00882E62">
        <w:rPr>
          <w:rFonts w:ascii="Palatino Linotype" w:eastAsia="Palatino Linotype" w:hAnsi="Palatino Linotype" w:cs="Palatino Linotype"/>
          <w:i/>
          <w:sz w:val="22"/>
          <w:szCs w:val="22"/>
        </w:rPr>
        <w:t xml:space="preserve">En </w:t>
      </w:r>
      <w:proofErr w:type="gramStart"/>
      <w:r w:rsidRPr="00882E62">
        <w:rPr>
          <w:rFonts w:ascii="Palatino Linotype" w:eastAsia="Palatino Linotype" w:hAnsi="Palatino Linotype" w:cs="Palatino Linotype"/>
          <w:i/>
          <w:sz w:val="22"/>
          <w:szCs w:val="22"/>
        </w:rPr>
        <w:t>consecuencia</w:t>
      </w:r>
      <w:proofErr w:type="gramEnd"/>
      <w:r w:rsidRPr="00882E62">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06FCE4CD" w14:textId="77777777" w:rsidR="00694AA0" w:rsidRPr="00882E62" w:rsidRDefault="005B22BA" w:rsidP="00C00558">
      <w:pPr>
        <w:spacing w:before="120" w:after="120"/>
        <w:ind w:left="851" w:right="902"/>
        <w:jc w:val="both"/>
        <w:rPr>
          <w:rFonts w:ascii="Palatino Linotype" w:eastAsia="Palatino Linotype" w:hAnsi="Palatino Linotype" w:cs="Palatino Linotype"/>
          <w:i/>
          <w:sz w:val="22"/>
          <w:szCs w:val="22"/>
        </w:rPr>
      </w:pPr>
      <w:r w:rsidRPr="00882E62">
        <w:rPr>
          <w:rFonts w:ascii="Palatino Linotype" w:eastAsia="Palatino Linotype" w:hAnsi="Palatino Linotype" w:cs="Palatino Linotype"/>
          <w:i/>
          <w:sz w:val="22"/>
          <w:szCs w:val="22"/>
        </w:rPr>
        <w:t xml:space="preserve">1) Que se trate de información registrada en cualquier soporte documental, </w:t>
      </w:r>
      <w:proofErr w:type="gramStart"/>
      <w:r w:rsidRPr="00882E62">
        <w:rPr>
          <w:rFonts w:ascii="Palatino Linotype" w:eastAsia="Palatino Linotype" w:hAnsi="Palatino Linotype" w:cs="Palatino Linotype"/>
          <w:i/>
          <w:sz w:val="22"/>
          <w:szCs w:val="22"/>
        </w:rPr>
        <w:t>que</w:t>
      </w:r>
      <w:proofErr w:type="gramEnd"/>
      <w:r w:rsidRPr="00882E62">
        <w:rPr>
          <w:rFonts w:ascii="Palatino Linotype" w:eastAsia="Palatino Linotype" w:hAnsi="Palatino Linotype" w:cs="Palatino Linotype"/>
          <w:i/>
          <w:sz w:val="22"/>
          <w:szCs w:val="22"/>
        </w:rPr>
        <w:t xml:space="preserve"> en ejercicio de las atribuciones conferidas, sea generada por los Sujetos Obligados;</w:t>
      </w:r>
    </w:p>
    <w:p w14:paraId="2EE230AA" w14:textId="77777777" w:rsidR="00694AA0" w:rsidRPr="00882E62" w:rsidRDefault="005B22BA" w:rsidP="00C00558">
      <w:pPr>
        <w:spacing w:before="120" w:after="120"/>
        <w:ind w:left="851" w:right="902"/>
        <w:jc w:val="both"/>
        <w:rPr>
          <w:rFonts w:ascii="Palatino Linotype" w:eastAsia="Palatino Linotype" w:hAnsi="Palatino Linotype" w:cs="Palatino Linotype"/>
          <w:i/>
          <w:sz w:val="22"/>
          <w:szCs w:val="22"/>
        </w:rPr>
      </w:pPr>
      <w:r w:rsidRPr="00882E62">
        <w:rPr>
          <w:rFonts w:ascii="Palatino Linotype" w:eastAsia="Palatino Linotype" w:hAnsi="Palatino Linotype" w:cs="Palatino Linotype"/>
          <w:i/>
          <w:sz w:val="22"/>
          <w:szCs w:val="22"/>
        </w:rPr>
        <w:t xml:space="preserve">2) Que se trate de información registrada en cualquier soporte documental, </w:t>
      </w:r>
      <w:proofErr w:type="gramStart"/>
      <w:r w:rsidRPr="00882E62">
        <w:rPr>
          <w:rFonts w:ascii="Palatino Linotype" w:eastAsia="Palatino Linotype" w:hAnsi="Palatino Linotype" w:cs="Palatino Linotype"/>
          <w:i/>
          <w:sz w:val="22"/>
          <w:szCs w:val="22"/>
        </w:rPr>
        <w:t>que</w:t>
      </w:r>
      <w:proofErr w:type="gramEnd"/>
      <w:r w:rsidRPr="00882E62">
        <w:rPr>
          <w:rFonts w:ascii="Palatino Linotype" w:eastAsia="Palatino Linotype" w:hAnsi="Palatino Linotype" w:cs="Palatino Linotype"/>
          <w:i/>
          <w:sz w:val="22"/>
          <w:szCs w:val="22"/>
        </w:rPr>
        <w:t xml:space="preserve"> en ejercicio de las atribuciones conferidas, sea administrada por los Sujetos Obligados, y</w:t>
      </w:r>
    </w:p>
    <w:p w14:paraId="3671B955" w14:textId="77777777" w:rsidR="00694AA0" w:rsidRPr="00882E62" w:rsidRDefault="005B22BA" w:rsidP="00C00558">
      <w:pPr>
        <w:spacing w:before="120" w:after="120"/>
        <w:ind w:left="851" w:right="902"/>
        <w:jc w:val="both"/>
        <w:rPr>
          <w:rFonts w:ascii="Palatino Linotype" w:eastAsia="Palatino Linotype" w:hAnsi="Palatino Linotype" w:cs="Palatino Linotype"/>
          <w:i/>
          <w:sz w:val="22"/>
          <w:szCs w:val="22"/>
        </w:rPr>
      </w:pPr>
      <w:r w:rsidRPr="00882E62">
        <w:rPr>
          <w:rFonts w:ascii="Palatino Linotype" w:eastAsia="Palatino Linotype" w:hAnsi="Palatino Linotype" w:cs="Palatino Linotype"/>
          <w:i/>
          <w:sz w:val="22"/>
          <w:szCs w:val="22"/>
        </w:rPr>
        <w:t xml:space="preserve">3) Que se trate de información registrada en cualquier soporte documental, </w:t>
      </w:r>
      <w:proofErr w:type="gramStart"/>
      <w:r w:rsidRPr="00882E62">
        <w:rPr>
          <w:rFonts w:ascii="Palatino Linotype" w:eastAsia="Palatino Linotype" w:hAnsi="Palatino Linotype" w:cs="Palatino Linotype"/>
          <w:i/>
          <w:sz w:val="22"/>
          <w:szCs w:val="22"/>
        </w:rPr>
        <w:t>que</w:t>
      </w:r>
      <w:proofErr w:type="gramEnd"/>
      <w:r w:rsidRPr="00882E62">
        <w:rPr>
          <w:rFonts w:ascii="Palatino Linotype" w:eastAsia="Palatino Linotype" w:hAnsi="Palatino Linotype" w:cs="Palatino Linotype"/>
          <w:i/>
          <w:sz w:val="22"/>
          <w:szCs w:val="22"/>
        </w:rPr>
        <w:t xml:space="preserve"> en ejercicio de las atribuciones conferidas, se encuentre en posesión de los Sujetos Obligados.”</w:t>
      </w:r>
    </w:p>
    <w:p w14:paraId="43DFC7F9" w14:textId="77777777" w:rsidR="00694AA0" w:rsidRPr="00882E62" w:rsidRDefault="005B22BA">
      <w:pPr>
        <w:spacing w:before="240" w:after="240" w:line="360" w:lineRule="auto"/>
        <w:ind w:right="51"/>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B0769FB" w14:textId="69DDF8DC" w:rsidR="00694AA0" w:rsidRPr="00882E62" w:rsidRDefault="005B22BA">
      <w:pPr>
        <w:spacing w:before="240" w:after="240" w:line="360" w:lineRule="auto"/>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 xml:space="preserve">En el mismo tenor, los artículos 6, apartado A, fracción I, de la Constitución Política de los Estados Unidos Mexicanos y 5, </w:t>
      </w:r>
      <w:r w:rsidR="00504FA2" w:rsidRPr="00882E62">
        <w:rPr>
          <w:rFonts w:ascii="Palatino Linotype" w:eastAsia="Palatino Linotype" w:hAnsi="Palatino Linotype" w:cs="Palatino Linotype"/>
          <w:sz w:val="22"/>
          <w:szCs w:val="22"/>
        </w:rPr>
        <w:t xml:space="preserve">párrafo cuadragésimo sexto, </w:t>
      </w:r>
      <w:r w:rsidRPr="00882E62">
        <w:rPr>
          <w:rFonts w:ascii="Palatino Linotype" w:eastAsia="Palatino Linotype" w:hAnsi="Palatino Linotype" w:cs="Palatino Linotype"/>
          <w:sz w:val="22"/>
          <w:szCs w:val="22"/>
        </w:rPr>
        <w:t>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243A8015" w14:textId="77777777" w:rsidR="00504FA2" w:rsidRPr="00882E62" w:rsidRDefault="005B22BA" w:rsidP="00504FA2">
      <w:pPr>
        <w:spacing w:before="240" w:after="240" w:line="360" w:lineRule="auto"/>
        <w:ind w:right="51"/>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882E62">
        <w:rPr>
          <w:rFonts w:ascii="Palatino Linotype" w:eastAsia="Palatino Linotype" w:hAnsi="Palatino Linotype" w:cs="Palatino Linotype"/>
          <w:b/>
          <w:sz w:val="22"/>
          <w:szCs w:val="22"/>
        </w:rPr>
        <w:t>Recurrente</w:t>
      </w:r>
      <w:r w:rsidRPr="00882E62">
        <w:rPr>
          <w:rFonts w:ascii="Palatino Linotype" w:eastAsia="Palatino Linotype" w:hAnsi="Palatino Linotype" w:cs="Palatino Linotype"/>
          <w:sz w:val="22"/>
          <w:szCs w:val="22"/>
        </w:rPr>
        <w:t xml:space="preserve"> requirió al </w:t>
      </w:r>
      <w:r w:rsidRPr="00882E62">
        <w:rPr>
          <w:rFonts w:ascii="Palatino Linotype" w:eastAsia="Palatino Linotype" w:hAnsi="Palatino Linotype" w:cs="Palatino Linotype"/>
          <w:b/>
          <w:sz w:val="22"/>
          <w:szCs w:val="22"/>
        </w:rPr>
        <w:t xml:space="preserve">Sujeto Obligado </w:t>
      </w:r>
      <w:r w:rsidRPr="00882E62">
        <w:rPr>
          <w:rFonts w:ascii="Palatino Linotype" w:eastAsia="Palatino Linotype" w:hAnsi="Palatino Linotype" w:cs="Palatino Linotype"/>
          <w:sz w:val="22"/>
          <w:szCs w:val="22"/>
        </w:rPr>
        <w:t>le proporcione, información consistente en lo siguiente:</w:t>
      </w:r>
    </w:p>
    <w:p w14:paraId="45FAAAB6" w14:textId="7885131F" w:rsidR="009E2CE2" w:rsidRPr="00882E62" w:rsidRDefault="009E2CE2" w:rsidP="00517C48">
      <w:pPr>
        <w:spacing w:before="240" w:after="240" w:line="360" w:lineRule="auto"/>
        <w:ind w:left="284" w:right="51"/>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De los ejercicios fiscales 2021, 2022, 2023, 2024 y 2025:</w:t>
      </w:r>
    </w:p>
    <w:p w14:paraId="4A256869" w14:textId="77777777" w:rsidR="009E2CE2" w:rsidRPr="00882E62" w:rsidRDefault="009E2CE2" w:rsidP="00517C48">
      <w:pPr>
        <w:spacing w:before="240" w:after="240" w:line="360" w:lineRule="auto"/>
        <w:ind w:left="284" w:right="51"/>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1.  Tabulador de sueldos de todas las categorías, y plazas, de todos los puestos de mando (sean mandos superiores, mandos medios, operativos, sindicalizadas) y base, con todos los componentes salariales (sueldo base, prestaciones, bonos, gratificaciones, etc.)</w:t>
      </w:r>
    </w:p>
    <w:p w14:paraId="392C8E77" w14:textId="77777777" w:rsidR="009E2CE2" w:rsidRPr="00882E62" w:rsidRDefault="009E2CE2" w:rsidP="00517C48">
      <w:pPr>
        <w:spacing w:before="240" w:after="240" w:line="360" w:lineRule="auto"/>
        <w:ind w:left="284" w:right="51"/>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 xml:space="preserve">2. Tabuladores o escalafón de sueldos y compensaciones de los servidores públicos municipales. </w:t>
      </w:r>
    </w:p>
    <w:p w14:paraId="1EF0E22C" w14:textId="77777777" w:rsidR="009E2CE2" w:rsidRPr="00882E62" w:rsidRDefault="009E2CE2" w:rsidP="00517C48">
      <w:pPr>
        <w:spacing w:before="240" w:after="240" w:line="360" w:lineRule="auto"/>
        <w:ind w:left="284" w:right="51"/>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3. Contrato colectivo de trabajo.</w:t>
      </w:r>
    </w:p>
    <w:p w14:paraId="384EF3FC" w14:textId="0C83AB74" w:rsidR="009E2CE2" w:rsidRPr="00882E62" w:rsidRDefault="009E2CE2" w:rsidP="00517C48">
      <w:pPr>
        <w:spacing w:before="240" w:after="240" w:line="360" w:lineRule="auto"/>
        <w:ind w:left="284" w:right="51"/>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4. Presupuesto anual del capítulo 1000, por partida y plazas</w:t>
      </w:r>
      <w:r w:rsidR="004C68D0" w:rsidRPr="00882E62">
        <w:rPr>
          <w:rFonts w:ascii="Palatino Linotype" w:eastAsia="Palatino Linotype" w:hAnsi="Palatino Linotype" w:cs="Palatino Linotype"/>
          <w:sz w:val="22"/>
          <w:szCs w:val="22"/>
        </w:rPr>
        <w:t>.</w:t>
      </w:r>
    </w:p>
    <w:p w14:paraId="65A30BC5" w14:textId="288FB5C4" w:rsidR="009E2CE2" w:rsidRPr="00882E62" w:rsidRDefault="009E2CE2" w:rsidP="00517C48">
      <w:pPr>
        <w:spacing w:before="240" w:after="240" w:line="360" w:lineRule="auto"/>
        <w:ind w:left="284" w:right="51"/>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5. Formatos PbRM-05 Tabulador de sueldos y PbRM-04c Presupuesto de Egreso Global Calendarizado.</w:t>
      </w:r>
    </w:p>
    <w:p w14:paraId="37B04F6B" w14:textId="53877CE2" w:rsidR="0033027F" w:rsidRPr="00882E62" w:rsidRDefault="00F53D4C" w:rsidP="00212E14">
      <w:pPr>
        <w:spacing w:before="240" w:after="240" w:line="360" w:lineRule="auto"/>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 xml:space="preserve">En respuesta, </w:t>
      </w:r>
      <w:r w:rsidR="00D62902" w:rsidRPr="00882E62">
        <w:rPr>
          <w:rFonts w:ascii="Palatino Linotype" w:eastAsia="Palatino Linotype" w:hAnsi="Palatino Linotype" w:cs="Palatino Linotype"/>
          <w:sz w:val="22"/>
          <w:szCs w:val="22"/>
        </w:rPr>
        <w:t xml:space="preserve">el </w:t>
      </w:r>
      <w:r w:rsidR="00D62902" w:rsidRPr="00882E62">
        <w:rPr>
          <w:rFonts w:ascii="Palatino Linotype" w:eastAsia="Palatino Linotype" w:hAnsi="Palatino Linotype" w:cs="Palatino Linotype"/>
          <w:b/>
          <w:sz w:val="22"/>
          <w:szCs w:val="22"/>
        </w:rPr>
        <w:t xml:space="preserve">Sujeto Obligado </w:t>
      </w:r>
      <w:r w:rsidR="00212E14" w:rsidRPr="00882E62">
        <w:rPr>
          <w:rFonts w:ascii="Palatino Linotype" w:eastAsia="Palatino Linotype" w:hAnsi="Palatino Linotype" w:cs="Palatino Linotype"/>
          <w:sz w:val="22"/>
          <w:szCs w:val="22"/>
        </w:rPr>
        <w:t>manifestó que la información requerida</w:t>
      </w:r>
      <w:r w:rsidR="007C600C" w:rsidRPr="00882E62">
        <w:rPr>
          <w:rFonts w:ascii="Palatino Linotype" w:eastAsia="Palatino Linotype" w:hAnsi="Palatino Linotype" w:cs="Palatino Linotype"/>
          <w:sz w:val="22"/>
          <w:szCs w:val="22"/>
        </w:rPr>
        <w:t xml:space="preserve"> se encuentra en la página principal del municipio.</w:t>
      </w:r>
      <w:r w:rsidR="00212E14" w:rsidRPr="00882E62">
        <w:rPr>
          <w:rFonts w:ascii="Palatino Linotype" w:eastAsia="Palatino Linotype" w:hAnsi="Palatino Linotype" w:cs="Palatino Linotype"/>
          <w:sz w:val="22"/>
          <w:szCs w:val="22"/>
        </w:rPr>
        <w:t xml:space="preserve"> </w:t>
      </w:r>
    </w:p>
    <w:p w14:paraId="7516CB1B" w14:textId="220D84FE" w:rsidR="00F375F0" w:rsidRPr="00882E62" w:rsidRDefault="000F727F" w:rsidP="00D71236">
      <w:pPr>
        <w:spacing w:before="240" w:after="240" w:line="360" w:lineRule="auto"/>
        <w:ind w:right="51"/>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 xml:space="preserve">Al no estar conforme con los términos de la respuesta proporcionada, la parte </w:t>
      </w:r>
      <w:r w:rsidRPr="00882E62">
        <w:rPr>
          <w:rFonts w:ascii="Palatino Linotype" w:eastAsia="Palatino Linotype" w:hAnsi="Palatino Linotype" w:cs="Palatino Linotype"/>
          <w:b/>
          <w:sz w:val="22"/>
          <w:szCs w:val="22"/>
        </w:rPr>
        <w:t xml:space="preserve">Recurrente </w:t>
      </w:r>
      <w:r w:rsidRPr="00882E62">
        <w:rPr>
          <w:rFonts w:ascii="Palatino Linotype" w:eastAsia="Palatino Linotype" w:hAnsi="Palatino Linotype" w:cs="Palatino Linotype"/>
          <w:sz w:val="22"/>
          <w:szCs w:val="22"/>
        </w:rPr>
        <w:t>interpuso el recurso de revisión que nos ocupa</w:t>
      </w:r>
      <w:r w:rsidR="001E0161" w:rsidRPr="00882E62">
        <w:rPr>
          <w:rFonts w:ascii="Palatino Linotype" w:eastAsia="Palatino Linotype" w:hAnsi="Palatino Linotype" w:cs="Palatino Linotype"/>
          <w:sz w:val="22"/>
          <w:szCs w:val="22"/>
        </w:rPr>
        <w:t>, donde alegó que</w:t>
      </w:r>
      <w:r w:rsidR="00F375F0" w:rsidRPr="00882E62">
        <w:rPr>
          <w:rFonts w:ascii="Palatino Linotype" w:eastAsia="Palatino Linotype" w:hAnsi="Palatino Linotype" w:cs="Palatino Linotype"/>
          <w:sz w:val="22"/>
          <w:szCs w:val="22"/>
        </w:rPr>
        <w:t xml:space="preserve"> no se dio respuesta </w:t>
      </w:r>
      <w:r w:rsidR="005B683A" w:rsidRPr="00882E62">
        <w:rPr>
          <w:rFonts w:ascii="Palatino Linotype" w:eastAsia="Palatino Linotype" w:hAnsi="Palatino Linotype" w:cs="Palatino Linotype"/>
          <w:sz w:val="22"/>
          <w:szCs w:val="22"/>
        </w:rPr>
        <w:t>a ninguno de los puntos solicitados.</w:t>
      </w:r>
    </w:p>
    <w:p w14:paraId="287895EA" w14:textId="77777777" w:rsidR="00FB7882" w:rsidRPr="00882E62" w:rsidRDefault="00FB7882" w:rsidP="00FB7882">
      <w:pPr>
        <w:spacing w:before="240" w:after="240" w:line="360" w:lineRule="auto"/>
        <w:ind w:right="49"/>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 xml:space="preserve">En la etapa de manifestaciones el </w:t>
      </w:r>
      <w:r w:rsidRPr="00882E62">
        <w:rPr>
          <w:rFonts w:ascii="Palatino Linotype" w:eastAsia="Palatino Linotype" w:hAnsi="Palatino Linotype" w:cs="Palatino Linotype"/>
          <w:b/>
          <w:sz w:val="22"/>
          <w:szCs w:val="22"/>
        </w:rPr>
        <w:t xml:space="preserve">Sujeto Obligado </w:t>
      </w:r>
      <w:r w:rsidRPr="00882E62">
        <w:rPr>
          <w:rFonts w:ascii="Palatino Linotype" w:eastAsia="Palatino Linotype" w:hAnsi="Palatino Linotype" w:cs="Palatino Linotype"/>
          <w:sz w:val="22"/>
          <w:szCs w:val="22"/>
        </w:rPr>
        <w:t xml:space="preserve">fue omiso en rendir su informe justificado, y la parte </w:t>
      </w:r>
      <w:r w:rsidRPr="00882E62">
        <w:rPr>
          <w:rFonts w:ascii="Palatino Linotype" w:eastAsia="Palatino Linotype" w:hAnsi="Palatino Linotype" w:cs="Palatino Linotype"/>
          <w:b/>
          <w:sz w:val="22"/>
          <w:szCs w:val="22"/>
        </w:rPr>
        <w:t xml:space="preserve">Recurrente </w:t>
      </w:r>
      <w:r w:rsidRPr="00882E62">
        <w:rPr>
          <w:rFonts w:ascii="Palatino Linotype" w:eastAsia="Palatino Linotype" w:hAnsi="Palatino Linotype" w:cs="Palatino Linotype"/>
          <w:sz w:val="22"/>
          <w:szCs w:val="22"/>
        </w:rPr>
        <w:t xml:space="preserve">fue omisa en hacer valer manifestaciones o rendir alegatos que conforme a derecho resultaran procedentes, por lo tanto, se tiene por </w:t>
      </w:r>
      <w:proofErr w:type="spellStart"/>
      <w:r w:rsidRPr="00882E62">
        <w:rPr>
          <w:rFonts w:ascii="Palatino Linotype" w:eastAsia="Palatino Linotype" w:hAnsi="Palatino Linotype" w:cs="Palatino Linotype"/>
          <w:sz w:val="22"/>
          <w:szCs w:val="22"/>
        </w:rPr>
        <w:t>precluido</w:t>
      </w:r>
      <w:proofErr w:type="spellEnd"/>
      <w:r w:rsidRPr="00882E62">
        <w:rPr>
          <w:rFonts w:ascii="Palatino Linotype" w:eastAsia="Palatino Linotype" w:hAnsi="Palatino Linotype" w:cs="Palatino Linotype"/>
          <w:sz w:val="22"/>
          <w:szCs w:val="22"/>
        </w:rPr>
        <w:t xml:space="preserve"> su derecho.</w:t>
      </w:r>
    </w:p>
    <w:p w14:paraId="6827328C" w14:textId="77777777" w:rsidR="00B21B75" w:rsidRPr="00882E62" w:rsidRDefault="00B21B75" w:rsidP="00B21B75">
      <w:pPr>
        <w:spacing w:before="280" w:after="280" w:line="360" w:lineRule="auto"/>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 xml:space="preserve">Una vez establecidas las posturas de las partes, se procede al análisis del requerimiento de información, así como la información proporcionada por el </w:t>
      </w:r>
      <w:r w:rsidRPr="00882E62">
        <w:rPr>
          <w:rFonts w:ascii="Palatino Linotype" w:eastAsia="Palatino Linotype" w:hAnsi="Palatino Linotype" w:cs="Palatino Linotype"/>
          <w:b/>
          <w:sz w:val="22"/>
          <w:szCs w:val="22"/>
        </w:rPr>
        <w:t xml:space="preserve">Sujeto Obligado, </w:t>
      </w:r>
      <w:r w:rsidRPr="00882E62">
        <w:rPr>
          <w:rFonts w:ascii="Palatino Linotype" w:eastAsia="Palatino Linotype" w:hAnsi="Palatino Linotype" w:cs="Palatino Linotype"/>
          <w:sz w:val="22"/>
          <w:szCs w:val="22"/>
        </w:rPr>
        <w:t xml:space="preserve">en contraposición con el motivo de inconformidad alegado por la parte </w:t>
      </w:r>
      <w:r w:rsidRPr="00882E62">
        <w:rPr>
          <w:rFonts w:ascii="Palatino Linotype" w:eastAsia="Palatino Linotype" w:hAnsi="Palatino Linotype" w:cs="Palatino Linotype"/>
          <w:b/>
          <w:sz w:val="22"/>
          <w:szCs w:val="22"/>
        </w:rPr>
        <w:t xml:space="preserve">Recurrente, </w:t>
      </w:r>
      <w:r w:rsidRPr="00882E62">
        <w:rPr>
          <w:rFonts w:ascii="Palatino Linotype" w:eastAsia="Palatino Linotype" w:hAnsi="Palatino Linotype" w:cs="Palatino Linotype"/>
          <w:sz w:val="22"/>
          <w:szCs w:val="22"/>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42CB1B65" w14:textId="32554ADF" w:rsidR="00B21B75" w:rsidRPr="00882E62" w:rsidRDefault="00B21B75" w:rsidP="00B21B75">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En este tenor, en primer lugar</w:t>
      </w:r>
      <w:r w:rsidR="004C68D0" w:rsidRPr="00882E62">
        <w:rPr>
          <w:rFonts w:ascii="Palatino Linotype" w:eastAsia="Palatino Linotype" w:hAnsi="Palatino Linotype" w:cs="Palatino Linotype"/>
          <w:sz w:val="22"/>
          <w:szCs w:val="22"/>
        </w:rPr>
        <w:t>,</w:t>
      </w:r>
      <w:r w:rsidRPr="00882E62">
        <w:rPr>
          <w:rFonts w:ascii="Palatino Linotype" w:eastAsia="Palatino Linotype" w:hAnsi="Palatino Linotype" w:cs="Palatino Linotype"/>
          <w:sz w:val="22"/>
          <w:szCs w:val="22"/>
        </w:rPr>
        <w:t xml:space="preserve"> cabe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04E6D92C" w14:textId="77777777" w:rsidR="00B21B75" w:rsidRPr="00882E62" w:rsidRDefault="00B21B75" w:rsidP="00B21B75">
      <w:pPr>
        <w:spacing w:before="240" w:after="240" w:line="360" w:lineRule="auto"/>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27261A8B" w14:textId="77777777" w:rsidR="00B21B75" w:rsidRPr="00882E62" w:rsidRDefault="00B21B75" w:rsidP="00B21B75">
      <w:pPr>
        <w:spacing w:before="240" w:after="240" w:line="360" w:lineRule="auto"/>
        <w:ind w:right="51"/>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la Ley de Transparencia y Acceso a la Información Pública del Estado de México y Municipios.</w:t>
      </w:r>
    </w:p>
    <w:p w14:paraId="7BD50AC1" w14:textId="77777777" w:rsidR="00B21B75" w:rsidRPr="00882E62" w:rsidRDefault="00B21B75" w:rsidP="00B21B75">
      <w:pPr>
        <w:spacing w:before="240" w:after="240" w:line="360" w:lineRule="auto"/>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14319581" w14:textId="4D412C30" w:rsidR="005C2F01" w:rsidRPr="00882E62" w:rsidRDefault="00B21B75" w:rsidP="00B21B75">
      <w:pPr>
        <w:spacing w:before="240" w:after="240" w:line="360" w:lineRule="auto"/>
        <w:ind w:right="51"/>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En el caso particular, derivado de las constancias que obran en el expediente en el que se actúa, se advierte que la Unidad de Transparencia</w:t>
      </w:r>
      <w:r w:rsidR="005C2F01" w:rsidRPr="00882E62">
        <w:rPr>
          <w:rFonts w:ascii="Palatino Linotype" w:eastAsia="Palatino Linotype" w:hAnsi="Palatino Linotype" w:cs="Palatino Linotype"/>
          <w:sz w:val="22"/>
          <w:szCs w:val="22"/>
        </w:rPr>
        <w:t xml:space="preserve"> no garantizó el procedimiento de búsqueda, el cual se constituye como la garantía primaria del derecho humano de acceso a la información pública, y se rige por los principios de simplicidad, rapidez, gratuidad del procedimiento, auxilio y orientación a los particulares con el fin de otorgar la protección más amplia de este derecho, en virtud de que no llevó a cabo los pasos que le conmina sus funciones, de acuerdo con la Ley de la materia, ya que no solicitó la información a todas las unidades administrativas que de acuerdo con sus atribuciones puede dar atención a la misma.</w:t>
      </w:r>
    </w:p>
    <w:p w14:paraId="0A265C76" w14:textId="6183B514" w:rsidR="004C68D0" w:rsidRPr="00882E62" w:rsidRDefault="005C2F01" w:rsidP="00B21B75">
      <w:pPr>
        <w:spacing w:before="240" w:after="240" w:line="360" w:lineRule="auto"/>
        <w:ind w:right="51"/>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Lo anterior se afirma así, en virtud de que se advirtió que únicamente</w:t>
      </w:r>
      <w:r w:rsidR="004C68D0" w:rsidRPr="00882E62">
        <w:rPr>
          <w:rFonts w:ascii="Palatino Linotype" w:eastAsia="Palatino Linotype" w:hAnsi="Palatino Linotype" w:cs="Palatino Linotype"/>
          <w:sz w:val="22"/>
          <w:szCs w:val="22"/>
        </w:rPr>
        <w:t xml:space="preserve"> turnó la solicitud a la servidora pública Jaqueline Cruz Díaz, quien, de conformidad con la información publicada por el </w:t>
      </w:r>
      <w:r w:rsidR="004C68D0" w:rsidRPr="00882E62">
        <w:rPr>
          <w:rFonts w:ascii="Palatino Linotype" w:eastAsia="Palatino Linotype" w:hAnsi="Palatino Linotype" w:cs="Palatino Linotype"/>
          <w:b/>
          <w:bCs/>
          <w:sz w:val="22"/>
          <w:szCs w:val="22"/>
        </w:rPr>
        <w:t xml:space="preserve">Sujeto Obligado, </w:t>
      </w:r>
      <w:r w:rsidR="004C68D0" w:rsidRPr="00882E62">
        <w:rPr>
          <w:rFonts w:ascii="Palatino Linotype" w:eastAsia="Palatino Linotype" w:hAnsi="Palatino Linotype" w:cs="Palatino Linotype"/>
          <w:sz w:val="22"/>
          <w:szCs w:val="22"/>
        </w:rPr>
        <w:t>en cumplimiento a la obligación de transparencia prevista en la fracción VIII del artículo 92, de la Ley de Transparencia y Acceso a la Información Pública del Estado de México y Municipios, relativa a las remuneración bruta y neta de todos los servidores públicos, se ostenta como</w:t>
      </w:r>
      <w:r w:rsidR="00AC308A" w:rsidRPr="00882E62">
        <w:rPr>
          <w:rFonts w:ascii="Palatino Linotype" w:eastAsia="Palatino Linotype" w:hAnsi="Palatino Linotype" w:cs="Palatino Linotype"/>
          <w:sz w:val="22"/>
          <w:szCs w:val="22"/>
        </w:rPr>
        <w:t xml:space="preserve"> titular de la </w:t>
      </w:r>
      <w:proofErr w:type="spellStart"/>
      <w:r w:rsidR="00AC308A" w:rsidRPr="00882E62">
        <w:rPr>
          <w:rFonts w:ascii="Palatino Linotype" w:eastAsia="Palatino Linotype" w:hAnsi="Palatino Linotype" w:cs="Palatino Linotype"/>
          <w:sz w:val="22"/>
          <w:szCs w:val="22"/>
        </w:rPr>
        <w:t>Subtesorería</w:t>
      </w:r>
      <w:proofErr w:type="spellEnd"/>
      <w:r w:rsidR="00AC308A" w:rsidRPr="00882E62">
        <w:rPr>
          <w:rFonts w:ascii="Palatino Linotype" w:eastAsia="Palatino Linotype" w:hAnsi="Palatino Linotype" w:cs="Palatino Linotype"/>
          <w:sz w:val="22"/>
          <w:szCs w:val="22"/>
        </w:rPr>
        <w:t xml:space="preserve"> de Ingresos, de la Tesorería Municipal, como se ilustra a continuación:</w:t>
      </w:r>
    </w:p>
    <w:p w14:paraId="077239C6" w14:textId="6D956B1B" w:rsidR="004C68D0" w:rsidRPr="00882E62" w:rsidRDefault="00AC308A" w:rsidP="00B21B75">
      <w:pPr>
        <w:spacing w:before="240" w:after="240" w:line="360" w:lineRule="auto"/>
        <w:ind w:right="51"/>
        <w:jc w:val="both"/>
        <w:rPr>
          <w:rFonts w:ascii="Palatino Linotype" w:eastAsia="Palatino Linotype" w:hAnsi="Palatino Linotype" w:cs="Palatino Linotype"/>
          <w:sz w:val="22"/>
          <w:szCs w:val="22"/>
        </w:rPr>
      </w:pPr>
      <w:r w:rsidRPr="00882E62">
        <w:rPr>
          <w:rFonts w:ascii="Palatino Linotype" w:hAnsi="Palatino Linotype"/>
          <w:noProof/>
          <w:sz w:val="22"/>
          <w:szCs w:val="22"/>
        </w:rPr>
        <w:drawing>
          <wp:inline distT="0" distB="0" distL="0" distR="0" wp14:anchorId="39324DD9" wp14:editId="0131C669">
            <wp:extent cx="5612130" cy="754380"/>
            <wp:effectExtent l="0" t="0" r="7620" b="7620"/>
            <wp:docPr id="11992278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227867" name=""/>
                    <pic:cNvPicPr/>
                  </pic:nvPicPr>
                  <pic:blipFill>
                    <a:blip r:embed="rId9"/>
                    <a:stretch>
                      <a:fillRect/>
                    </a:stretch>
                  </pic:blipFill>
                  <pic:spPr>
                    <a:xfrm>
                      <a:off x="0" y="0"/>
                      <a:ext cx="5612130" cy="754380"/>
                    </a:xfrm>
                    <a:prstGeom prst="rect">
                      <a:avLst/>
                    </a:prstGeom>
                  </pic:spPr>
                </pic:pic>
              </a:graphicData>
            </a:graphic>
          </wp:inline>
        </w:drawing>
      </w:r>
    </w:p>
    <w:p w14:paraId="76A6B3BA" w14:textId="3CCF8E2E" w:rsidR="004C68D0" w:rsidRPr="00882E62" w:rsidRDefault="004C68D0" w:rsidP="00B21B75">
      <w:pPr>
        <w:spacing w:before="240" w:after="240" w:line="360" w:lineRule="auto"/>
        <w:ind w:right="51"/>
        <w:jc w:val="both"/>
        <w:rPr>
          <w:rFonts w:ascii="Palatino Linotype" w:eastAsia="Palatino Linotype" w:hAnsi="Palatino Linotype" w:cs="Palatino Linotype"/>
          <w:sz w:val="22"/>
          <w:szCs w:val="22"/>
        </w:rPr>
      </w:pPr>
      <w:r w:rsidRPr="00882E62">
        <w:rPr>
          <w:rFonts w:ascii="Palatino Linotype" w:hAnsi="Palatino Linotype"/>
          <w:noProof/>
          <w:sz w:val="22"/>
          <w:szCs w:val="22"/>
        </w:rPr>
        <w:drawing>
          <wp:inline distT="0" distB="0" distL="0" distR="0" wp14:anchorId="018E3CCD" wp14:editId="5F6CF924">
            <wp:extent cx="5612130" cy="1882140"/>
            <wp:effectExtent l="0" t="0" r="7620" b="3810"/>
            <wp:docPr id="11142324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32493" name=""/>
                    <pic:cNvPicPr/>
                  </pic:nvPicPr>
                  <pic:blipFill>
                    <a:blip r:embed="rId10"/>
                    <a:stretch>
                      <a:fillRect/>
                    </a:stretch>
                  </pic:blipFill>
                  <pic:spPr>
                    <a:xfrm>
                      <a:off x="0" y="0"/>
                      <a:ext cx="5612130" cy="1882140"/>
                    </a:xfrm>
                    <a:prstGeom prst="rect">
                      <a:avLst/>
                    </a:prstGeom>
                  </pic:spPr>
                </pic:pic>
              </a:graphicData>
            </a:graphic>
          </wp:inline>
        </w:drawing>
      </w:r>
    </w:p>
    <w:p w14:paraId="6369B248" w14:textId="46740C22" w:rsidR="004C68D0" w:rsidRPr="00882E62" w:rsidRDefault="00AC308A" w:rsidP="00B21B75">
      <w:pPr>
        <w:spacing w:before="240" w:after="240" w:line="360" w:lineRule="auto"/>
        <w:ind w:right="51"/>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 xml:space="preserve">No obstante, es de señalar que la servidora pública habilitada </w:t>
      </w:r>
      <w:r w:rsidR="00636B19" w:rsidRPr="00882E62">
        <w:rPr>
          <w:rFonts w:ascii="Palatino Linotype" w:eastAsia="Palatino Linotype" w:hAnsi="Palatino Linotype" w:cs="Palatino Linotype"/>
          <w:sz w:val="22"/>
          <w:szCs w:val="22"/>
        </w:rPr>
        <w:t>se limitó a señalar que la información requerida se encontraba en la página principal del municipio, como se lee en seguida:</w:t>
      </w:r>
    </w:p>
    <w:p w14:paraId="3134E6F5" w14:textId="3C9624EE" w:rsidR="00636B19" w:rsidRPr="00882E62" w:rsidRDefault="00636B19" w:rsidP="00B21B75">
      <w:pPr>
        <w:spacing w:before="240" w:after="240" w:line="360" w:lineRule="auto"/>
        <w:ind w:right="51"/>
        <w:jc w:val="both"/>
        <w:rPr>
          <w:rFonts w:ascii="Palatino Linotype" w:eastAsia="Palatino Linotype" w:hAnsi="Palatino Linotype" w:cs="Palatino Linotype"/>
          <w:sz w:val="22"/>
          <w:szCs w:val="22"/>
        </w:rPr>
      </w:pPr>
      <w:r w:rsidRPr="00882E62">
        <w:rPr>
          <w:rFonts w:ascii="Palatino Linotype" w:hAnsi="Palatino Linotype"/>
          <w:noProof/>
          <w:sz w:val="22"/>
          <w:szCs w:val="22"/>
        </w:rPr>
        <w:drawing>
          <wp:inline distT="0" distB="0" distL="0" distR="0" wp14:anchorId="20747DEB" wp14:editId="6BB774BE">
            <wp:extent cx="5612130" cy="1429385"/>
            <wp:effectExtent l="0" t="0" r="7620" b="0"/>
            <wp:docPr id="13772013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201329" name=""/>
                    <pic:cNvPicPr/>
                  </pic:nvPicPr>
                  <pic:blipFill>
                    <a:blip r:embed="rId11"/>
                    <a:stretch>
                      <a:fillRect/>
                    </a:stretch>
                  </pic:blipFill>
                  <pic:spPr>
                    <a:xfrm>
                      <a:off x="0" y="0"/>
                      <a:ext cx="5612130" cy="1429385"/>
                    </a:xfrm>
                    <a:prstGeom prst="rect">
                      <a:avLst/>
                    </a:prstGeom>
                  </pic:spPr>
                </pic:pic>
              </a:graphicData>
            </a:graphic>
          </wp:inline>
        </w:drawing>
      </w:r>
    </w:p>
    <w:p w14:paraId="172E47AD" w14:textId="19B29533" w:rsidR="00132215" w:rsidRPr="00882E62" w:rsidRDefault="00636B19" w:rsidP="00132215">
      <w:pPr>
        <w:spacing w:before="240" w:after="240" w:line="360" w:lineRule="auto"/>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 xml:space="preserve">Al respecto, </w:t>
      </w:r>
      <w:r w:rsidR="00132215" w:rsidRPr="00882E62">
        <w:rPr>
          <w:rFonts w:ascii="Palatino Linotype" w:eastAsia="Palatino Linotype" w:hAnsi="Palatino Linotype" w:cs="Palatino Linotype"/>
          <w:sz w:val="22"/>
          <w:szCs w:val="22"/>
        </w:rPr>
        <w:t>es oportuno traer a colación el artículo 161 de la Ley de Transparencia y Acceso a la Información Pública del Estado de México y Municipios</w:t>
      </w:r>
      <w:r w:rsidR="00132215" w:rsidRPr="00882E62">
        <w:rPr>
          <w:rFonts w:ascii="Palatino Linotype" w:eastAsia="Palatino Linotype" w:hAnsi="Palatino Linotype" w:cs="Palatino Linotype"/>
          <w:i/>
          <w:sz w:val="22"/>
          <w:szCs w:val="22"/>
        </w:rPr>
        <w:t xml:space="preserve">, </w:t>
      </w:r>
      <w:r w:rsidR="00132215" w:rsidRPr="00882E62">
        <w:rPr>
          <w:rFonts w:ascii="Palatino Linotype" w:eastAsia="Palatino Linotype" w:hAnsi="Palatino Linotype" w:cs="Palatino Linotype"/>
          <w:sz w:val="22"/>
          <w:szCs w:val="22"/>
        </w:rPr>
        <w:t>el cual establece las características que debe tener la información desde el momento en el que se genera, su publicación y entrega; así como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6580658D" w14:textId="77777777" w:rsidR="00132215" w:rsidRPr="00882E62" w:rsidRDefault="00132215" w:rsidP="00132215">
      <w:pPr>
        <w:spacing w:before="120" w:after="120" w:line="276" w:lineRule="auto"/>
        <w:ind w:left="284" w:right="51"/>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a) La fuente</w:t>
      </w:r>
    </w:p>
    <w:p w14:paraId="09C4CAC9" w14:textId="77777777" w:rsidR="00132215" w:rsidRPr="00882E62" w:rsidRDefault="00132215" w:rsidP="00132215">
      <w:pPr>
        <w:spacing w:before="120" w:after="120" w:line="276" w:lineRule="auto"/>
        <w:ind w:left="284" w:right="51"/>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b) El lugar y</w:t>
      </w:r>
    </w:p>
    <w:p w14:paraId="5DA43E76" w14:textId="77777777" w:rsidR="00132215" w:rsidRPr="00882E62" w:rsidRDefault="00132215" w:rsidP="00132215">
      <w:pPr>
        <w:spacing w:before="120" w:after="120" w:line="276" w:lineRule="auto"/>
        <w:ind w:left="284" w:right="51"/>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c) La forma</w:t>
      </w:r>
    </w:p>
    <w:p w14:paraId="00FD0C9D" w14:textId="77777777" w:rsidR="00132215" w:rsidRPr="00882E62" w:rsidRDefault="00132215" w:rsidP="00132215">
      <w:pPr>
        <w:spacing w:before="240" w:after="240" w:line="360" w:lineRule="auto"/>
        <w:ind w:right="49"/>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Asimismo, se establece que la fuente de la información deberá ser:</w:t>
      </w:r>
    </w:p>
    <w:p w14:paraId="06D98B0D" w14:textId="77777777" w:rsidR="00132215" w:rsidRPr="00882E62" w:rsidRDefault="00132215" w:rsidP="00132215">
      <w:pPr>
        <w:spacing w:before="120" w:after="120" w:line="276" w:lineRule="auto"/>
        <w:ind w:left="284" w:right="51"/>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a) Precisa</w:t>
      </w:r>
    </w:p>
    <w:p w14:paraId="62B8250C" w14:textId="77777777" w:rsidR="00132215" w:rsidRPr="00882E62" w:rsidRDefault="00132215" w:rsidP="00132215">
      <w:pPr>
        <w:spacing w:before="120" w:after="120" w:line="276" w:lineRule="auto"/>
        <w:ind w:left="284" w:right="51"/>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b) Concreta</w:t>
      </w:r>
    </w:p>
    <w:p w14:paraId="4D7232F5" w14:textId="77777777" w:rsidR="00132215" w:rsidRPr="00882E62" w:rsidRDefault="00132215" w:rsidP="00132215">
      <w:pPr>
        <w:spacing w:before="120" w:after="120" w:line="276" w:lineRule="auto"/>
        <w:ind w:left="284" w:right="51"/>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c) Y no debe implicar que el solicitante realice una búsqueda en toda la información que se encuentre disponible.</w:t>
      </w:r>
    </w:p>
    <w:p w14:paraId="3119D13F" w14:textId="77777777" w:rsidR="00132215" w:rsidRPr="00882E62" w:rsidRDefault="00132215" w:rsidP="00132215">
      <w:pPr>
        <w:spacing w:before="240" w:after="240" w:line="360" w:lineRule="auto"/>
        <w:ind w:right="49"/>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Imperativos legales que establecen el procedimiento que deben seguir los Sujetos Obligados para que pueda tomarse como válida su orientación sobre la forma en que puede consultar la información requerida.</w:t>
      </w:r>
    </w:p>
    <w:p w14:paraId="38310D36" w14:textId="300961EE" w:rsidR="00132215" w:rsidRPr="00882E62" w:rsidRDefault="00132215" w:rsidP="00B21B75">
      <w:pPr>
        <w:spacing w:before="240" w:after="240" w:line="360" w:lineRule="auto"/>
        <w:ind w:right="51"/>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 xml:space="preserve">En el caso particular la orientación proporcionada por la servidora pública habilitada no cumple con los parámetros necesarios para realizar la consulta de la información, toda vez que no proporcionó la dirección electrónica de la página principal del </w:t>
      </w:r>
      <w:r w:rsidR="00842C6A" w:rsidRPr="00882E62">
        <w:rPr>
          <w:rFonts w:ascii="Palatino Linotype" w:eastAsia="Palatino Linotype" w:hAnsi="Palatino Linotype" w:cs="Palatino Linotype"/>
          <w:sz w:val="22"/>
          <w:szCs w:val="22"/>
        </w:rPr>
        <w:t>municipio</w:t>
      </w:r>
      <w:r w:rsidR="00831246" w:rsidRPr="00882E62">
        <w:rPr>
          <w:rFonts w:ascii="Palatino Linotype" w:eastAsia="Palatino Linotype" w:hAnsi="Palatino Linotype" w:cs="Palatino Linotype"/>
          <w:sz w:val="22"/>
          <w:szCs w:val="22"/>
        </w:rPr>
        <w:t xml:space="preserve">, así como los pasos a seguir para realizar la consulta, por consiguiente, no puede tenerse por </w:t>
      </w:r>
      <w:proofErr w:type="spellStart"/>
      <w:r w:rsidR="00831246" w:rsidRPr="00882E62">
        <w:rPr>
          <w:rFonts w:ascii="Palatino Linotype" w:eastAsia="Palatino Linotype" w:hAnsi="Palatino Linotype" w:cs="Palatino Linotype"/>
          <w:sz w:val="22"/>
          <w:szCs w:val="22"/>
        </w:rPr>
        <w:t>valida</w:t>
      </w:r>
      <w:proofErr w:type="spellEnd"/>
      <w:r w:rsidR="00831246" w:rsidRPr="00882E62">
        <w:rPr>
          <w:rFonts w:ascii="Palatino Linotype" w:eastAsia="Palatino Linotype" w:hAnsi="Palatino Linotype" w:cs="Palatino Linotype"/>
          <w:sz w:val="22"/>
          <w:szCs w:val="22"/>
        </w:rPr>
        <w:t>.</w:t>
      </w:r>
    </w:p>
    <w:p w14:paraId="533EA0BD" w14:textId="170D1117" w:rsidR="00831246" w:rsidRPr="00882E62" w:rsidRDefault="00831246" w:rsidP="00B21B75">
      <w:pPr>
        <w:spacing w:before="240" w:after="240" w:line="360" w:lineRule="auto"/>
        <w:ind w:right="51"/>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 xml:space="preserve">En este orden de ideas, dado que el Derecho de acceso de la parte </w:t>
      </w:r>
      <w:r w:rsidRPr="00882E62">
        <w:rPr>
          <w:rFonts w:ascii="Palatino Linotype" w:eastAsia="Palatino Linotype" w:hAnsi="Palatino Linotype" w:cs="Palatino Linotype"/>
          <w:b/>
          <w:bCs/>
          <w:sz w:val="22"/>
          <w:szCs w:val="22"/>
        </w:rPr>
        <w:t xml:space="preserve">Recurrente </w:t>
      </w:r>
      <w:r w:rsidRPr="00882E62">
        <w:rPr>
          <w:rFonts w:ascii="Palatino Linotype" w:eastAsia="Palatino Linotype" w:hAnsi="Palatino Linotype" w:cs="Palatino Linotype"/>
          <w:sz w:val="22"/>
          <w:szCs w:val="22"/>
        </w:rPr>
        <w:t xml:space="preserve">no ha quedado satisfecho, </w:t>
      </w:r>
      <w:r w:rsidR="002F7F97" w:rsidRPr="00882E62">
        <w:rPr>
          <w:rFonts w:ascii="Palatino Linotype" w:eastAsia="Palatino Linotype" w:hAnsi="Palatino Linotype" w:cs="Palatino Linotype"/>
          <w:sz w:val="22"/>
          <w:szCs w:val="22"/>
        </w:rPr>
        <w:t>se estima necesario ordenar se haga entrega del o los documentos que colmen lo solicitado</w:t>
      </w:r>
      <w:r w:rsidR="00B2263D" w:rsidRPr="00882E62">
        <w:rPr>
          <w:rFonts w:ascii="Palatino Linotype" w:eastAsia="Palatino Linotype" w:hAnsi="Palatino Linotype" w:cs="Palatino Linotype"/>
          <w:sz w:val="22"/>
          <w:szCs w:val="22"/>
        </w:rPr>
        <w:t xml:space="preserve"> en versión pública de ser procedente, </w:t>
      </w:r>
      <w:r w:rsidR="005C2F01" w:rsidRPr="00882E62">
        <w:rPr>
          <w:rFonts w:ascii="Palatino Linotype" w:eastAsia="Palatino Linotype" w:hAnsi="Palatino Linotype" w:cs="Palatino Linotype"/>
          <w:sz w:val="22"/>
          <w:szCs w:val="22"/>
        </w:rPr>
        <w:t xml:space="preserve">previa búsqueda exhaustiva y razonable en las áreas competentes de la Tesorería Municipal, de manera enunciativa más no limitativa a </w:t>
      </w:r>
      <w:proofErr w:type="spellStart"/>
      <w:r w:rsidR="005C2F01" w:rsidRPr="00882E62">
        <w:rPr>
          <w:rFonts w:ascii="Palatino Linotype" w:eastAsia="Palatino Linotype" w:hAnsi="Palatino Linotype" w:cs="Palatino Linotype"/>
          <w:sz w:val="22"/>
          <w:szCs w:val="22"/>
        </w:rPr>
        <w:t>Subtesorería</w:t>
      </w:r>
      <w:proofErr w:type="spellEnd"/>
      <w:r w:rsidR="005C2F01" w:rsidRPr="00882E62">
        <w:rPr>
          <w:rFonts w:ascii="Palatino Linotype" w:eastAsia="Palatino Linotype" w:hAnsi="Palatino Linotype" w:cs="Palatino Linotype"/>
          <w:sz w:val="22"/>
          <w:szCs w:val="22"/>
        </w:rPr>
        <w:t xml:space="preserve"> de Egresos y Administración, la cual se auxilia de la Subdirección de Recursos Humanos, y la Coordinación de Caja General y Cuenta Pública, que se auxilia de la Unidad de Información, Planeación, </w:t>
      </w:r>
      <w:proofErr w:type="spellStart"/>
      <w:r w:rsidR="005C2F01" w:rsidRPr="00882E62">
        <w:rPr>
          <w:rFonts w:ascii="Palatino Linotype" w:eastAsia="Palatino Linotype" w:hAnsi="Palatino Linotype" w:cs="Palatino Linotype"/>
          <w:sz w:val="22"/>
          <w:szCs w:val="22"/>
        </w:rPr>
        <w:t>Presupuestación</w:t>
      </w:r>
      <w:proofErr w:type="spellEnd"/>
      <w:r w:rsidR="005C2F01" w:rsidRPr="00882E62">
        <w:rPr>
          <w:rFonts w:ascii="Palatino Linotype" w:eastAsia="Palatino Linotype" w:hAnsi="Palatino Linotype" w:cs="Palatino Linotype"/>
          <w:sz w:val="22"/>
          <w:szCs w:val="22"/>
        </w:rPr>
        <w:t xml:space="preserve"> Evaluación (UIPPE), de conformidad con el </w:t>
      </w:r>
      <w:proofErr w:type="spellStart"/>
      <w:r w:rsidR="005C2F01" w:rsidRPr="00882E62">
        <w:rPr>
          <w:rFonts w:ascii="Palatino Linotype" w:eastAsia="Palatino Linotype" w:hAnsi="Palatino Linotype" w:cs="Palatino Linotype"/>
          <w:sz w:val="22"/>
          <w:szCs w:val="22"/>
        </w:rPr>
        <w:t>articulo</w:t>
      </w:r>
      <w:proofErr w:type="spellEnd"/>
      <w:r w:rsidR="005C2F01" w:rsidRPr="00882E62">
        <w:rPr>
          <w:rFonts w:ascii="Palatino Linotype" w:eastAsia="Palatino Linotype" w:hAnsi="Palatino Linotype" w:cs="Palatino Linotype"/>
          <w:sz w:val="22"/>
          <w:szCs w:val="22"/>
        </w:rPr>
        <w:t xml:space="preserve"> 2.176, fracciones II y III del Código Reglamentario de </w:t>
      </w:r>
      <w:proofErr w:type="spellStart"/>
      <w:r w:rsidR="005C2F01" w:rsidRPr="00882E62">
        <w:rPr>
          <w:rFonts w:ascii="Palatino Linotype" w:eastAsia="Palatino Linotype" w:hAnsi="Palatino Linotype" w:cs="Palatino Linotype"/>
          <w:sz w:val="22"/>
          <w:szCs w:val="22"/>
        </w:rPr>
        <w:t>Tecamac</w:t>
      </w:r>
      <w:proofErr w:type="spellEnd"/>
      <w:r w:rsidR="005C2F01" w:rsidRPr="00882E62">
        <w:rPr>
          <w:rFonts w:ascii="Palatino Linotype" w:eastAsia="Palatino Linotype" w:hAnsi="Palatino Linotype" w:cs="Palatino Linotype"/>
          <w:sz w:val="22"/>
          <w:szCs w:val="22"/>
        </w:rPr>
        <w:t>.</w:t>
      </w:r>
    </w:p>
    <w:p w14:paraId="1C945FDD" w14:textId="6DFFFE54" w:rsidR="00A91400" w:rsidRPr="00882E62" w:rsidRDefault="00C06703" w:rsidP="00BB0BA6">
      <w:pPr>
        <w:spacing w:before="240" w:after="240" w:line="360" w:lineRule="auto"/>
        <w:ind w:right="51"/>
        <w:jc w:val="both"/>
        <w:rPr>
          <w:rFonts w:ascii="Palatino Linotype" w:hAnsi="Palatino Linotype"/>
          <w:sz w:val="22"/>
          <w:szCs w:val="22"/>
        </w:rPr>
      </w:pPr>
      <w:r w:rsidRPr="00882E62">
        <w:rPr>
          <w:rFonts w:ascii="Palatino Linotype" w:eastAsia="Palatino Linotype" w:hAnsi="Palatino Linotype" w:cs="Palatino Linotype"/>
          <w:sz w:val="22"/>
          <w:szCs w:val="22"/>
        </w:rPr>
        <w:t xml:space="preserve">En este tenor, </w:t>
      </w:r>
      <w:r w:rsidR="00A91400" w:rsidRPr="00882E62">
        <w:rPr>
          <w:rFonts w:ascii="Palatino Linotype" w:eastAsia="Palatino Linotype" w:hAnsi="Palatino Linotype" w:cs="Palatino Linotype"/>
          <w:sz w:val="22"/>
          <w:szCs w:val="22"/>
        </w:rPr>
        <w:t xml:space="preserve">tomando en consideración la materia de los </w:t>
      </w:r>
      <w:r w:rsidR="00A91400" w:rsidRPr="00882E62">
        <w:rPr>
          <w:rFonts w:ascii="Palatino Linotype" w:eastAsia="Palatino Linotype" w:hAnsi="Palatino Linotype" w:cs="Palatino Linotype"/>
          <w:b/>
          <w:bCs/>
          <w:sz w:val="22"/>
          <w:szCs w:val="22"/>
        </w:rPr>
        <w:t>puntos 1, 2, 4, y 5</w:t>
      </w:r>
      <w:r w:rsidR="00A91400" w:rsidRPr="00882E62">
        <w:rPr>
          <w:rFonts w:ascii="Palatino Linotype" w:eastAsia="Palatino Linotype" w:hAnsi="Palatino Linotype" w:cs="Palatino Linotype"/>
          <w:sz w:val="22"/>
          <w:szCs w:val="22"/>
        </w:rPr>
        <w:t xml:space="preserve"> de la solicitud, mediante los cuales se requirió </w:t>
      </w:r>
      <w:r w:rsidR="00BB0BA6" w:rsidRPr="00882E62">
        <w:rPr>
          <w:rFonts w:ascii="Palatino Linotype" w:eastAsia="Palatino Linotype" w:hAnsi="Palatino Linotype" w:cs="Palatino Linotype"/>
          <w:sz w:val="22"/>
          <w:szCs w:val="22"/>
        </w:rPr>
        <w:t>el t</w:t>
      </w:r>
      <w:r w:rsidR="00A91400" w:rsidRPr="00882E62">
        <w:rPr>
          <w:rFonts w:ascii="Palatino Linotype" w:eastAsia="Palatino Linotype" w:hAnsi="Palatino Linotype" w:cs="Palatino Linotype"/>
          <w:sz w:val="22"/>
          <w:szCs w:val="22"/>
        </w:rPr>
        <w:t>abulador de sueldos de todas las categorías, y plazas, de todos los puestos de mando (sean mandos superiores, mandos medios, operativos, sindicalizadas) y base, con todos los componentes salariales (sueldo base, prestaciones, bonos, gratificaciones, etc.)</w:t>
      </w:r>
      <w:r w:rsidR="00BB0BA6" w:rsidRPr="00882E62">
        <w:rPr>
          <w:rFonts w:ascii="Palatino Linotype" w:eastAsia="Palatino Linotype" w:hAnsi="Palatino Linotype" w:cs="Palatino Linotype"/>
          <w:sz w:val="22"/>
          <w:szCs w:val="22"/>
        </w:rPr>
        <w:t>; los t</w:t>
      </w:r>
      <w:r w:rsidR="00A91400" w:rsidRPr="00882E62">
        <w:rPr>
          <w:rFonts w:ascii="Palatino Linotype" w:eastAsia="Palatino Linotype" w:hAnsi="Palatino Linotype" w:cs="Palatino Linotype"/>
          <w:sz w:val="22"/>
          <w:szCs w:val="22"/>
        </w:rPr>
        <w:t>abuladores o escalafón de sueldos y compensaciones de los servidores públicos municipales</w:t>
      </w:r>
      <w:r w:rsidR="00BB0BA6" w:rsidRPr="00882E62">
        <w:rPr>
          <w:rFonts w:ascii="Palatino Linotype" w:eastAsia="Palatino Linotype" w:hAnsi="Palatino Linotype" w:cs="Palatino Linotype"/>
          <w:sz w:val="22"/>
          <w:szCs w:val="22"/>
        </w:rPr>
        <w:t>: el p</w:t>
      </w:r>
      <w:r w:rsidR="00A91400" w:rsidRPr="00882E62">
        <w:rPr>
          <w:rFonts w:ascii="Palatino Linotype" w:eastAsia="Palatino Linotype" w:hAnsi="Palatino Linotype" w:cs="Palatino Linotype"/>
          <w:sz w:val="22"/>
          <w:szCs w:val="22"/>
        </w:rPr>
        <w:t>resupuesto anual del capítulo 1000, por partida y plazas</w:t>
      </w:r>
      <w:r w:rsidR="00BB0BA6" w:rsidRPr="00882E62">
        <w:rPr>
          <w:rFonts w:ascii="Palatino Linotype" w:eastAsia="Palatino Linotype" w:hAnsi="Palatino Linotype" w:cs="Palatino Linotype"/>
          <w:sz w:val="22"/>
          <w:szCs w:val="22"/>
        </w:rPr>
        <w:t>, y los f</w:t>
      </w:r>
      <w:r w:rsidR="00A91400" w:rsidRPr="00882E62">
        <w:rPr>
          <w:rFonts w:ascii="Palatino Linotype" w:eastAsia="Palatino Linotype" w:hAnsi="Palatino Linotype" w:cs="Palatino Linotype"/>
          <w:sz w:val="22"/>
          <w:szCs w:val="22"/>
        </w:rPr>
        <w:t>ormatos PbRM-05 Tabulador de sueldos y PbRM-04c Presupuesto de Egreso Global Calendarizado</w:t>
      </w:r>
      <w:r w:rsidR="00BB0BA6" w:rsidRPr="00882E62">
        <w:rPr>
          <w:rFonts w:ascii="Palatino Linotype" w:eastAsia="Palatino Linotype" w:hAnsi="Palatino Linotype" w:cs="Palatino Linotype"/>
          <w:sz w:val="22"/>
          <w:szCs w:val="22"/>
        </w:rPr>
        <w:t>, es</w:t>
      </w:r>
      <w:r w:rsidR="00A91400" w:rsidRPr="00882E62">
        <w:rPr>
          <w:rFonts w:ascii="Palatino Linotype" w:eastAsia="Palatino Linotype" w:hAnsi="Palatino Linotype" w:cs="Palatino Linotype"/>
          <w:sz w:val="22"/>
          <w:szCs w:val="22"/>
        </w:rPr>
        <w:t xml:space="preserve"> oportuno mencionar que </w:t>
      </w:r>
      <w:r w:rsidR="00A91400" w:rsidRPr="00882E62">
        <w:rPr>
          <w:rFonts w:ascii="Palatino Linotype" w:hAnsi="Palatino Linotype"/>
          <w:sz w:val="22"/>
          <w:szCs w:val="22"/>
        </w:rPr>
        <w:t>el ayuntamiento, como cuerpo colegiado deliberante tiene conferida la atribución de a</w:t>
      </w:r>
      <w:r w:rsidR="00A91400" w:rsidRPr="00882E62">
        <w:rPr>
          <w:rFonts w:ascii="Palatino Linotype" w:hAnsi="Palatino Linotype"/>
          <w:bCs/>
          <w:sz w:val="22"/>
          <w:szCs w:val="22"/>
        </w:rPr>
        <w:t>dministrar su hacienda en términos de ley, y controlar a través del presidente y síndico la aplicación del presupuesto de egresos del municipio; así como aprobar anualmente el presupuesto de egresos</w:t>
      </w:r>
      <w:r w:rsidR="00A91400" w:rsidRPr="00882E62">
        <w:rPr>
          <w:rFonts w:ascii="Palatino Linotype" w:hAnsi="Palatino Linotype"/>
          <w:sz w:val="22"/>
          <w:szCs w:val="22"/>
        </w:rPr>
        <w:t>, tal y como se desprende del artículo 31 de la Ley Orgánica Municipal del Estado de México, que en su parte conducente dispone lo siguiente:</w:t>
      </w:r>
    </w:p>
    <w:p w14:paraId="032E7090" w14:textId="77777777" w:rsidR="00A91400" w:rsidRPr="00882E62" w:rsidRDefault="00A91400" w:rsidP="00A91400">
      <w:pPr>
        <w:spacing w:before="120" w:after="120"/>
        <w:ind w:left="851" w:right="902"/>
        <w:jc w:val="both"/>
        <w:rPr>
          <w:rFonts w:ascii="Palatino Linotype" w:hAnsi="Palatino Linotype"/>
          <w:i/>
          <w:sz w:val="22"/>
          <w:szCs w:val="22"/>
        </w:rPr>
      </w:pPr>
      <w:r w:rsidRPr="00882E62">
        <w:rPr>
          <w:rFonts w:ascii="Palatino Linotype" w:hAnsi="Palatino Linotype"/>
          <w:b/>
          <w:i/>
          <w:sz w:val="22"/>
          <w:szCs w:val="22"/>
        </w:rPr>
        <w:t>“Artículo 31</w:t>
      </w:r>
      <w:r w:rsidRPr="00882E62">
        <w:rPr>
          <w:rFonts w:ascii="Palatino Linotype" w:hAnsi="Palatino Linotype"/>
          <w:i/>
          <w:sz w:val="22"/>
          <w:szCs w:val="22"/>
        </w:rPr>
        <w:t>.- Son atribuciones de los ayuntamientos:</w:t>
      </w:r>
    </w:p>
    <w:p w14:paraId="27A0FE89" w14:textId="77777777" w:rsidR="00A91400" w:rsidRPr="00882E62" w:rsidRDefault="00A91400" w:rsidP="00A91400">
      <w:pPr>
        <w:spacing w:before="120" w:after="120"/>
        <w:ind w:left="851" w:right="902"/>
        <w:jc w:val="both"/>
        <w:rPr>
          <w:rFonts w:ascii="Palatino Linotype" w:hAnsi="Palatino Linotype"/>
          <w:i/>
          <w:sz w:val="22"/>
          <w:szCs w:val="22"/>
        </w:rPr>
      </w:pPr>
      <w:r w:rsidRPr="00882E62">
        <w:rPr>
          <w:rFonts w:ascii="Palatino Linotype" w:hAnsi="Palatino Linotype"/>
          <w:i/>
          <w:sz w:val="22"/>
          <w:szCs w:val="22"/>
        </w:rPr>
        <w:t>...</w:t>
      </w:r>
    </w:p>
    <w:p w14:paraId="6651866A" w14:textId="77777777" w:rsidR="00A91400" w:rsidRPr="00882E62" w:rsidRDefault="00A91400" w:rsidP="00A91400">
      <w:pPr>
        <w:spacing w:before="120" w:after="120"/>
        <w:ind w:left="851" w:right="902"/>
        <w:jc w:val="both"/>
        <w:rPr>
          <w:rFonts w:ascii="Palatino Linotype" w:hAnsi="Palatino Linotype"/>
          <w:bCs/>
          <w:i/>
          <w:sz w:val="22"/>
          <w:szCs w:val="22"/>
        </w:rPr>
      </w:pPr>
      <w:r w:rsidRPr="00882E62">
        <w:rPr>
          <w:rFonts w:ascii="Palatino Linotype" w:hAnsi="Palatino Linotype"/>
          <w:b/>
          <w:i/>
          <w:sz w:val="22"/>
          <w:szCs w:val="22"/>
        </w:rPr>
        <w:t xml:space="preserve">XVIII. </w:t>
      </w:r>
      <w:r w:rsidRPr="00882E62">
        <w:rPr>
          <w:rFonts w:ascii="Palatino Linotype" w:hAnsi="Palatino Linotype"/>
          <w:bCs/>
          <w:i/>
          <w:sz w:val="22"/>
          <w:szCs w:val="22"/>
        </w:rPr>
        <w:t>Administrar su hacienda en términos de ley, y controlar a través del presidente y síndico la aplicación del presupuesto de egresos del municipio...</w:t>
      </w:r>
    </w:p>
    <w:p w14:paraId="609E8DA3" w14:textId="77777777" w:rsidR="00A91400" w:rsidRPr="00882E62" w:rsidRDefault="00A91400" w:rsidP="00A91400">
      <w:pPr>
        <w:spacing w:before="120" w:after="120"/>
        <w:ind w:left="851" w:right="902"/>
        <w:jc w:val="both"/>
        <w:rPr>
          <w:rFonts w:ascii="Palatino Linotype" w:eastAsia="Palatino Linotype" w:hAnsi="Palatino Linotype" w:cs="Palatino Linotype"/>
          <w:i/>
          <w:sz w:val="22"/>
          <w:szCs w:val="22"/>
        </w:rPr>
      </w:pPr>
      <w:r w:rsidRPr="00882E62">
        <w:rPr>
          <w:rFonts w:ascii="Palatino Linotype" w:eastAsia="Palatino Linotype" w:hAnsi="Palatino Linotype" w:cs="Palatino Linotype"/>
          <w:b/>
          <w:bCs/>
          <w:i/>
          <w:sz w:val="22"/>
          <w:szCs w:val="22"/>
        </w:rPr>
        <w:t>XIX.</w:t>
      </w:r>
      <w:r w:rsidRPr="00882E62">
        <w:rPr>
          <w:rFonts w:ascii="Palatino Linotype" w:eastAsia="Palatino Linotype" w:hAnsi="Palatino Linotype" w:cs="Palatino Linotype"/>
          <w:i/>
          <w:sz w:val="22"/>
          <w:szCs w:val="22"/>
        </w:rPr>
        <w:t xml:space="preserve">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w:t>
      </w:r>
    </w:p>
    <w:p w14:paraId="3DAC8D18" w14:textId="77777777" w:rsidR="00A91400" w:rsidRPr="00882E62" w:rsidRDefault="00A91400" w:rsidP="00A91400">
      <w:pPr>
        <w:spacing w:before="120" w:after="120"/>
        <w:ind w:left="851" w:right="902"/>
        <w:jc w:val="both"/>
        <w:rPr>
          <w:rFonts w:ascii="Palatino Linotype" w:eastAsia="Palatino Linotype" w:hAnsi="Palatino Linotype" w:cs="Palatino Linotype"/>
          <w:i/>
          <w:sz w:val="22"/>
          <w:szCs w:val="22"/>
        </w:rPr>
      </w:pPr>
      <w:r w:rsidRPr="00882E62">
        <w:rPr>
          <w:rFonts w:ascii="Palatino Linotype" w:eastAsia="Palatino Linotype" w:hAnsi="Palatino Linotype" w:cs="Palatino Linotype"/>
          <w:i/>
          <w:sz w:val="22"/>
          <w:szCs w:val="22"/>
        </w:rPr>
        <w:t>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w:t>
      </w:r>
    </w:p>
    <w:p w14:paraId="1FAD9442" w14:textId="77777777" w:rsidR="00A91400" w:rsidRPr="00882E62" w:rsidRDefault="00A91400" w:rsidP="00A91400">
      <w:pPr>
        <w:spacing w:before="240" w:after="240" w:line="360" w:lineRule="auto"/>
        <w:ind w:right="49"/>
        <w:jc w:val="both"/>
        <w:rPr>
          <w:rFonts w:ascii="Palatino Linotype" w:hAnsi="Palatino Linotype"/>
          <w:sz w:val="22"/>
          <w:szCs w:val="22"/>
        </w:rPr>
      </w:pPr>
      <w:r w:rsidRPr="00882E62">
        <w:rPr>
          <w:rFonts w:ascii="Palatino Linotype" w:eastAsia="Palatino Linotype" w:hAnsi="Palatino Linotype" w:cs="Palatino Linotype"/>
          <w:sz w:val="22"/>
          <w:szCs w:val="22"/>
        </w:rPr>
        <w:t xml:space="preserve">De manera que todo gasto debe estar contemplado en el </w:t>
      </w:r>
      <w:r w:rsidRPr="00882E62">
        <w:rPr>
          <w:rFonts w:ascii="Palatino Linotype" w:hAnsi="Palatino Linotype"/>
          <w:sz w:val="22"/>
          <w:szCs w:val="22"/>
        </w:rPr>
        <w:t>Presupuesto de Egresos Municipal, cuya versión definitiva se promulga y publica en la "Gaceta Municipal”, por la Presidenta o el Presidente Municipal,  a más tardar el día veinticinco de febrero de cada año, de conformidad con los artículos 125, párrafo cuarto de la Constitución Política del Estado Libre y Soberano de México, 351, párrafo segundo del Código Financiero del Estado de México, y 47 de la Ley de Fiscalización Superior del Estado de México, a saber:</w:t>
      </w:r>
    </w:p>
    <w:p w14:paraId="611D66D7" w14:textId="77777777" w:rsidR="00A91400" w:rsidRPr="00882E62" w:rsidRDefault="00A91400" w:rsidP="00A91400">
      <w:pPr>
        <w:spacing w:before="120" w:after="120"/>
        <w:ind w:left="851" w:right="902"/>
        <w:jc w:val="both"/>
        <w:rPr>
          <w:rFonts w:ascii="Palatino Linotype" w:eastAsia="Palatino Linotype" w:hAnsi="Palatino Linotype" w:cs="Palatino Linotype"/>
          <w:i/>
          <w:sz w:val="22"/>
          <w:szCs w:val="22"/>
        </w:rPr>
      </w:pPr>
      <w:r w:rsidRPr="00882E62">
        <w:rPr>
          <w:rFonts w:ascii="Palatino Linotype" w:eastAsia="Palatino Linotype" w:hAnsi="Palatino Linotype" w:cs="Palatino Linotype"/>
          <w:i/>
          <w:sz w:val="22"/>
          <w:szCs w:val="22"/>
        </w:rPr>
        <w:t>“</w:t>
      </w:r>
      <w:r w:rsidRPr="00882E62">
        <w:rPr>
          <w:rFonts w:ascii="Palatino Linotype" w:eastAsia="Palatino Linotype" w:hAnsi="Palatino Linotype" w:cs="Palatino Linotype"/>
          <w:b/>
          <w:i/>
          <w:sz w:val="22"/>
          <w:szCs w:val="22"/>
        </w:rPr>
        <w:t>Artículo 125</w:t>
      </w:r>
      <w:r w:rsidRPr="00882E62">
        <w:rPr>
          <w:rFonts w:ascii="Palatino Linotype" w:eastAsia="Palatino Linotype" w:hAnsi="Palatino Linotype" w:cs="Palatino Linotype"/>
          <w:i/>
          <w:sz w:val="22"/>
          <w:szCs w:val="22"/>
        </w:rPr>
        <w:t>...</w:t>
      </w:r>
    </w:p>
    <w:p w14:paraId="3FFF2F28" w14:textId="77777777" w:rsidR="00A91400" w:rsidRPr="00882E62" w:rsidRDefault="00A91400" w:rsidP="00A91400">
      <w:pPr>
        <w:spacing w:before="120" w:after="120"/>
        <w:ind w:left="851" w:right="902"/>
        <w:jc w:val="both"/>
        <w:rPr>
          <w:rFonts w:ascii="Palatino Linotype" w:eastAsia="Palatino Linotype" w:hAnsi="Palatino Linotype" w:cs="Palatino Linotype"/>
          <w:b/>
          <w:i/>
          <w:sz w:val="22"/>
          <w:szCs w:val="22"/>
        </w:rPr>
      </w:pPr>
      <w:r w:rsidRPr="00882E62">
        <w:rPr>
          <w:rFonts w:ascii="Palatino Linotype" w:eastAsia="Palatino Linotype" w:hAnsi="Palatino Linotype" w:cs="Palatino Linotype"/>
          <w:i/>
          <w:sz w:val="22"/>
          <w:szCs w:val="22"/>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882E62">
        <w:rPr>
          <w:rFonts w:ascii="Palatino Linotype" w:eastAsia="Palatino Linotype" w:hAnsi="Palatino Linotype" w:cs="Palatino Linotype"/>
          <w:b/>
          <w:i/>
          <w:sz w:val="22"/>
          <w:szCs w:val="22"/>
        </w:rPr>
        <w:t>La Presidenta o el Presidente Municipal, promulgará y publicará el Presupuesto de Egresos Municipal, a más tardar el día 25 de febrero de cada año debiendo enviarlo al Órgano Superior de Fiscalización en la misma fecha.”</w:t>
      </w:r>
    </w:p>
    <w:p w14:paraId="3BC0DE55" w14:textId="77777777" w:rsidR="00A91400" w:rsidRPr="00882E62" w:rsidRDefault="00A91400" w:rsidP="00A91400">
      <w:pPr>
        <w:spacing w:before="120" w:after="120"/>
        <w:ind w:left="851" w:right="902"/>
        <w:jc w:val="both"/>
        <w:rPr>
          <w:rFonts w:ascii="Palatino Linotype" w:eastAsia="Palatino Linotype" w:hAnsi="Palatino Linotype" w:cs="Palatino Linotype"/>
          <w:i/>
          <w:sz w:val="22"/>
          <w:szCs w:val="22"/>
        </w:rPr>
      </w:pPr>
      <w:r w:rsidRPr="00882E62">
        <w:rPr>
          <w:rFonts w:ascii="Palatino Linotype" w:eastAsia="Palatino Linotype" w:hAnsi="Palatino Linotype" w:cs="Palatino Linotype"/>
          <w:b/>
          <w:i/>
          <w:sz w:val="22"/>
          <w:szCs w:val="22"/>
        </w:rPr>
        <w:t>“Artículo 351</w:t>
      </w:r>
      <w:r w:rsidRPr="00882E62">
        <w:rPr>
          <w:rFonts w:ascii="Palatino Linotype" w:eastAsia="Palatino Linotype" w:hAnsi="Palatino Linotype" w:cs="Palatino Linotype"/>
          <w:i/>
          <w:sz w:val="22"/>
          <w:szCs w:val="22"/>
        </w:rPr>
        <w:t>...</w:t>
      </w:r>
    </w:p>
    <w:p w14:paraId="711E43AF" w14:textId="77777777" w:rsidR="00A91400" w:rsidRPr="00882E62" w:rsidRDefault="00A91400" w:rsidP="00A91400">
      <w:pPr>
        <w:spacing w:before="120" w:after="120"/>
        <w:ind w:left="851" w:right="902"/>
        <w:jc w:val="both"/>
        <w:rPr>
          <w:rFonts w:ascii="Palatino Linotype" w:eastAsia="Palatino Linotype" w:hAnsi="Palatino Linotype" w:cs="Palatino Linotype"/>
          <w:b/>
          <w:i/>
          <w:sz w:val="22"/>
          <w:szCs w:val="22"/>
        </w:rPr>
      </w:pPr>
      <w:r w:rsidRPr="00882E62">
        <w:rPr>
          <w:rFonts w:ascii="Palatino Linotype" w:eastAsia="Palatino Linotype" w:hAnsi="Palatino Linotype" w:cs="Palatino Linotype"/>
          <w:b/>
          <w:i/>
          <w:sz w:val="22"/>
          <w:szCs w:val="22"/>
          <w:u w:val="single"/>
        </w:rPr>
        <w:t>Los Ayuntamientos al aprobar en forma definitiva su presupuesto de egresos</w:t>
      </w:r>
      <w:r w:rsidRPr="00882E62">
        <w:rPr>
          <w:rFonts w:ascii="Palatino Linotype" w:eastAsia="Palatino Linotype" w:hAnsi="Palatino Linotype" w:cs="Palatino Linotype"/>
          <w:b/>
          <w:i/>
          <w:sz w:val="22"/>
          <w:szCs w:val="22"/>
        </w:rPr>
        <w:t>, deberán publicar en la "Gaceta Municipal</w:t>
      </w:r>
      <w:r w:rsidRPr="00882E62">
        <w:rPr>
          <w:rFonts w:ascii="Palatino Linotype" w:eastAsia="Palatino Linotype" w:hAnsi="Palatino Linotype" w:cs="Palatino Linotype"/>
          <w:i/>
          <w:sz w:val="22"/>
          <w:szCs w:val="22"/>
        </w:rPr>
        <w:t xml:space="preserve">" de manera clara y entendible, todas y cada una de las partidas que lo integran, las remuneraciones de todo tipo aprobadas para los miembros del ayuntamiento y para los servidores públicos en general, incluyendo mandos medios y superiores de la administración municipal, </w:t>
      </w:r>
      <w:r w:rsidRPr="00882E62">
        <w:rPr>
          <w:rFonts w:ascii="Palatino Linotype" w:eastAsia="Palatino Linotype" w:hAnsi="Palatino Linotype" w:cs="Palatino Linotype"/>
          <w:b/>
          <w:i/>
          <w:sz w:val="22"/>
          <w:szCs w:val="22"/>
        </w:rPr>
        <w:t>a más tardar el 25 de febrero del año para el cual habrá de aplicar dicho presupuesto.”</w:t>
      </w:r>
    </w:p>
    <w:p w14:paraId="3117847D" w14:textId="77777777" w:rsidR="00A91400" w:rsidRPr="00882E62" w:rsidRDefault="00A91400" w:rsidP="00A91400">
      <w:pPr>
        <w:spacing w:before="120" w:after="120"/>
        <w:ind w:left="851" w:right="902"/>
        <w:jc w:val="both"/>
        <w:rPr>
          <w:rFonts w:ascii="Palatino Linotype" w:eastAsia="Palatino Linotype" w:hAnsi="Palatino Linotype" w:cs="Palatino Linotype"/>
          <w:b/>
          <w:i/>
          <w:sz w:val="22"/>
          <w:szCs w:val="22"/>
        </w:rPr>
      </w:pPr>
      <w:r w:rsidRPr="00882E62">
        <w:rPr>
          <w:rFonts w:ascii="Palatino Linotype" w:eastAsia="Palatino Linotype" w:hAnsi="Palatino Linotype" w:cs="Palatino Linotype"/>
          <w:b/>
          <w:i/>
          <w:sz w:val="22"/>
          <w:szCs w:val="22"/>
        </w:rPr>
        <w:t>“Artículo 47</w:t>
      </w:r>
      <w:r w:rsidRPr="00882E62">
        <w:rPr>
          <w:rFonts w:ascii="Palatino Linotype" w:eastAsia="Palatino Linotype" w:hAnsi="Palatino Linotype" w:cs="Palatino Linotype"/>
          <w:i/>
          <w:sz w:val="22"/>
          <w:szCs w:val="22"/>
        </w:rPr>
        <w:t xml:space="preserve">.- Los Presidentes Municipales y los Síndicos estarán obligados a </w:t>
      </w:r>
      <w:r w:rsidRPr="00882E62">
        <w:rPr>
          <w:rFonts w:ascii="Palatino Linotype" w:eastAsia="Palatino Linotype" w:hAnsi="Palatino Linotype" w:cs="Palatino Linotype"/>
          <w:b/>
          <w:i/>
          <w:sz w:val="22"/>
          <w:szCs w:val="22"/>
        </w:rPr>
        <w:t xml:space="preserve">informar al Órgano Superior, a más tardar el 25 de febrero de cada año, el Presupuesto de Egresos Municipal que haya aprobado el Ayuntamiento </w:t>
      </w:r>
      <w:r w:rsidRPr="00882E62">
        <w:rPr>
          <w:rFonts w:ascii="Palatino Linotype" w:eastAsia="Palatino Linotype" w:hAnsi="Palatino Linotype" w:cs="Palatino Linotype"/>
          <w:i/>
          <w:sz w:val="22"/>
          <w:szCs w:val="22"/>
        </w:rPr>
        <w:t>correspondiente.”</w:t>
      </w:r>
    </w:p>
    <w:p w14:paraId="6E42893F" w14:textId="77777777" w:rsidR="00A91400" w:rsidRPr="00882E62" w:rsidRDefault="00A91400" w:rsidP="00A91400">
      <w:pPr>
        <w:spacing w:before="240" w:after="240" w:line="360" w:lineRule="auto"/>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Por ello, el artículo 61, fracción II de la Ley General de Contabilidad Gubernamental establece las bases del presupuesto de egresos, conforme a lo siguiente:</w:t>
      </w:r>
    </w:p>
    <w:p w14:paraId="09982DED" w14:textId="77777777" w:rsidR="00A91400" w:rsidRPr="00882E62" w:rsidRDefault="00A91400" w:rsidP="00A91400">
      <w:pPr>
        <w:pBdr>
          <w:top w:val="nil"/>
          <w:left w:val="nil"/>
          <w:bottom w:val="nil"/>
          <w:right w:val="nil"/>
          <w:between w:val="nil"/>
        </w:pBdr>
        <w:spacing w:before="240" w:after="240"/>
        <w:ind w:left="851" w:right="902"/>
        <w:jc w:val="both"/>
        <w:rPr>
          <w:rFonts w:ascii="Palatino Linotype" w:eastAsia="Palatino Linotype" w:hAnsi="Palatino Linotype" w:cs="Palatino Linotype"/>
          <w:i/>
          <w:sz w:val="22"/>
          <w:szCs w:val="22"/>
        </w:rPr>
      </w:pPr>
      <w:r w:rsidRPr="00882E62">
        <w:rPr>
          <w:rFonts w:ascii="Palatino Linotype" w:eastAsia="Palatino Linotype" w:hAnsi="Palatino Linotype" w:cs="Palatino Linotype"/>
          <w:b/>
          <w:i/>
          <w:sz w:val="22"/>
          <w:szCs w:val="22"/>
        </w:rPr>
        <w:t>“Artículo 61.-</w:t>
      </w:r>
      <w:r w:rsidRPr="00882E62">
        <w:rPr>
          <w:rFonts w:ascii="Palatino Linotype" w:eastAsia="Palatino Linotype" w:hAnsi="Palatino Linotype" w:cs="Palatino Linotype"/>
          <w:i/>
          <w:sz w:val="22"/>
          <w:szCs w:val="22"/>
        </w:rPr>
        <w:t xml:space="preserve"> Además de la información prevista en las respectivas leyes en materia financiera, fiscal y presupuestaria y la información señalada en los artículos 46 a 48 de esta Ley, la Federación, las entidades federativas, los municipios, y en su caso, las demarcaciones territoriales del Distrito Federal, incluirán en sus respectivas leyes de ingresos y presupuestos de egresos u ordenamientos equivalentes, apartados específicos con la información siguiente:</w:t>
      </w:r>
    </w:p>
    <w:p w14:paraId="2E269046" w14:textId="77777777" w:rsidR="00A91400" w:rsidRPr="00882E62" w:rsidRDefault="00A91400" w:rsidP="00A91400">
      <w:pPr>
        <w:spacing w:before="240" w:after="240"/>
        <w:ind w:left="1134" w:right="902"/>
        <w:jc w:val="both"/>
        <w:rPr>
          <w:rFonts w:ascii="Palatino Linotype" w:eastAsia="Palatino Linotype" w:hAnsi="Palatino Linotype" w:cs="Palatino Linotype"/>
          <w:i/>
          <w:sz w:val="22"/>
          <w:szCs w:val="22"/>
        </w:rPr>
      </w:pPr>
      <w:r w:rsidRPr="00882E62">
        <w:rPr>
          <w:rFonts w:ascii="Palatino Linotype" w:eastAsia="Palatino Linotype" w:hAnsi="Palatino Linotype" w:cs="Palatino Linotype"/>
          <w:i/>
          <w:sz w:val="22"/>
          <w:szCs w:val="22"/>
        </w:rPr>
        <w:t>…</w:t>
      </w:r>
    </w:p>
    <w:p w14:paraId="1879A998" w14:textId="77777777" w:rsidR="00A91400" w:rsidRPr="00882E62" w:rsidRDefault="00A91400" w:rsidP="00A91400">
      <w:pPr>
        <w:spacing w:before="240" w:after="240"/>
        <w:ind w:left="1134" w:right="902"/>
        <w:jc w:val="both"/>
        <w:rPr>
          <w:rFonts w:ascii="Palatino Linotype" w:eastAsia="Palatino Linotype" w:hAnsi="Palatino Linotype" w:cs="Palatino Linotype"/>
          <w:b/>
          <w:i/>
          <w:sz w:val="22"/>
          <w:szCs w:val="22"/>
        </w:rPr>
      </w:pPr>
      <w:r w:rsidRPr="00882E62">
        <w:rPr>
          <w:rFonts w:ascii="Palatino Linotype" w:eastAsia="Palatino Linotype" w:hAnsi="Palatino Linotype" w:cs="Palatino Linotype"/>
          <w:b/>
          <w:i/>
          <w:sz w:val="22"/>
          <w:szCs w:val="22"/>
        </w:rPr>
        <w:t xml:space="preserve">II. Presupuestos de Egresos: </w:t>
      </w:r>
    </w:p>
    <w:p w14:paraId="0E6BEFBC" w14:textId="77777777" w:rsidR="00A91400" w:rsidRPr="00882E62" w:rsidRDefault="00A91400" w:rsidP="00A91400">
      <w:pPr>
        <w:spacing w:before="240" w:after="240"/>
        <w:ind w:left="1418" w:right="902"/>
        <w:jc w:val="both"/>
        <w:rPr>
          <w:rFonts w:ascii="Palatino Linotype" w:eastAsia="Palatino Linotype" w:hAnsi="Palatino Linotype" w:cs="Palatino Linotype"/>
          <w:i/>
          <w:sz w:val="22"/>
          <w:szCs w:val="22"/>
        </w:rPr>
      </w:pPr>
      <w:r w:rsidRPr="00882E62">
        <w:rPr>
          <w:rFonts w:ascii="Palatino Linotype" w:eastAsia="Palatino Linotype" w:hAnsi="Palatino Linotype" w:cs="Palatino Linotype"/>
          <w:b/>
          <w:i/>
          <w:sz w:val="22"/>
          <w:szCs w:val="22"/>
        </w:rPr>
        <w:t>a)</w:t>
      </w:r>
      <w:r w:rsidRPr="00882E62">
        <w:rPr>
          <w:rFonts w:ascii="Palatino Linotype" w:eastAsia="Palatino Linotype" w:hAnsi="Palatino Linotype" w:cs="Palatino Linotype"/>
          <w:i/>
          <w:sz w:val="22"/>
          <w:szCs w:val="22"/>
        </w:rPr>
        <w:t xml:space="preserve"> Las prioridades de gasto, los programas y proyectos, así como la distribución del presupuesto, detallando el gasto en servicios personales, incluyendo el analítico de plazas y desglosando todas las remuneraciones; las contrataciones de servicios por honorarios y, en su caso, previsiones para personal eventual; pensiones; gastos de operación, incluyendo gasto en comunicación social; gasto de inversión; así como gasto correspondiente a compromisos plurianuales, proyectos de asociaciones público privadas y proyectos de prestación de servicios, entre otros; </w:t>
      </w:r>
    </w:p>
    <w:p w14:paraId="5DD8A5A9" w14:textId="77777777" w:rsidR="00A91400" w:rsidRPr="00882E62" w:rsidRDefault="00A91400" w:rsidP="00A91400">
      <w:pPr>
        <w:spacing w:before="240" w:after="240"/>
        <w:ind w:left="1418" w:right="902"/>
        <w:jc w:val="both"/>
        <w:rPr>
          <w:rFonts w:ascii="Palatino Linotype" w:eastAsia="Palatino Linotype" w:hAnsi="Palatino Linotype" w:cs="Palatino Linotype"/>
          <w:i/>
          <w:sz w:val="22"/>
          <w:szCs w:val="22"/>
        </w:rPr>
      </w:pPr>
      <w:r w:rsidRPr="00882E62">
        <w:rPr>
          <w:rFonts w:ascii="Palatino Linotype" w:eastAsia="Palatino Linotype" w:hAnsi="Palatino Linotype" w:cs="Palatino Linotype"/>
          <w:b/>
          <w:i/>
          <w:sz w:val="22"/>
          <w:szCs w:val="22"/>
        </w:rPr>
        <w:t>b)</w:t>
      </w:r>
      <w:r w:rsidRPr="00882E62">
        <w:rPr>
          <w:rFonts w:ascii="Palatino Linotype" w:eastAsia="Palatino Linotype" w:hAnsi="Palatino Linotype" w:cs="Palatino Linotype"/>
          <w:i/>
          <w:sz w:val="22"/>
          <w:szCs w:val="22"/>
        </w:rPr>
        <w:t xml:space="preserve"> El listado de </w:t>
      </w:r>
      <w:proofErr w:type="gramStart"/>
      <w:r w:rsidRPr="00882E62">
        <w:rPr>
          <w:rFonts w:ascii="Palatino Linotype" w:eastAsia="Palatino Linotype" w:hAnsi="Palatino Linotype" w:cs="Palatino Linotype"/>
          <w:i/>
          <w:sz w:val="22"/>
          <w:szCs w:val="22"/>
        </w:rPr>
        <w:t>programas</w:t>
      </w:r>
      <w:proofErr w:type="gramEnd"/>
      <w:r w:rsidRPr="00882E62">
        <w:rPr>
          <w:rFonts w:ascii="Palatino Linotype" w:eastAsia="Palatino Linotype" w:hAnsi="Palatino Linotype" w:cs="Palatino Linotype"/>
          <w:i/>
          <w:sz w:val="22"/>
          <w:szCs w:val="22"/>
        </w:rPr>
        <w:t xml:space="preserve"> así como sus indicadores estratégicos y de gestión aprobados, y </w:t>
      </w:r>
    </w:p>
    <w:p w14:paraId="5B581E3B" w14:textId="77777777" w:rsidR="00A91400" w:rsidRPr="00882E62" w:rsidRDefault="00A91400" w:rsidP="00A91400">
      <w:pPr>
        <w:spacing w:before="240" w:after="240"/>
        <w:ind w:left="1418" w:right="902"/>
        <w:jc w:val="both"/>
        <w:rPr>
          <w:rFonts w:ascii="Palatino Linotype" w:eastAsia="Palatino Linotype" w:hAnsi="Palatino Linotype" w:cs="Palatino Linotype"/>
          <w:i/>
          <w:sz w:val="22"/>
          <w:szCs w:val="22"/>
        </w:rPr>
      </w:pPr>
      <w:r w:rsidRPr="00882E62">
        <w:rPr>
          <w:rFonts w:ascii="Palatino Linotype" w:eastAsia="Palatino Linotype" w:hAnsi="Palatino Linotype" w:cs="Palatino Linotype"/>
          <w:b/>
          <w:i/>
          <w:sz w:val="22"/>
          <w:szCs w:val="22"/>
        </w:rPr>
        <w:t>c)</w:t>
      </w:r>
      <w:r w:rsidRPr="00882E62">
        <w:rPr>
          <w:rFonts w:ascii="Palatino Linotype" w:eastAsia="Palatino Linotype" w:hAnsi="Palatino Linotype" w:cs="Palatino Linotype"/>
          <w:i/>
          <w:sz w:val="22"/>
          <w:szCs w:val="22"/>
        </w:rPr>
        <w:t xml:space="preserve"> La aplicación de los recursos conforme a las clasificaciones administrativa, funcional, programática, económica y, en su caso, geográfica y sus interrelaciones que faciliten el análisis para valorar la eficiencia y eficacia en el uso y destino de los recursos y sus resultados…”</w:t>
      </w:r>
    </w:p>
    <w:p w14:paraId="5E8CB578" w14:textId="77777777" w:rsidR="00A91400" w:rsidRPr="00882E62" w:rsidRDefault="00A91400" w:rsidP="00A91400">
      <w:pPr>
        <w:spacing w:before="240" w:after="240" w:line="360" w:lineRule="auto"/>
        <w:ind w:right="-91"/>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En términos del artículo en cita, los ayuntamientos y a las entidades públicas municipales, aplicaran los recursos públicos con un enfoque de resultados de conformidad con lo establecido en la Constitución Local, la Ley Orgánica Municipal del Estado de México y el Código Financiero del Estado de México y Municipios, que permita integrar u operar el presupuesto que ejercerán las Dependencias Generales, Auxiliares y los Organismos Municipales en congruencia con lo establecido en el Plan de Desarrollo Municipal, y para ello el presupuesto de egresos se integra con los recursos destinados a los Ayuntamientos y sus Organismos Municipales, conforme al gasto programable y no programable, de acuerdo con la siguiente distribución:</w:t>
      </w:r>
    </w:p>
    <w:p w14:paraId="571A95FB" w14:textId="77777777" w:rsidR="00A91400" w:rsidRPr="00882E62" w:rsidRDefault="00A91400" w:rsidP="00A91400">
      <w:pPr>
        <w:spacing w:after="120"/>
        <w:ind w:left="851" w:right="900"/>
        <w:jc w:val="both"/>
        <w:rPr>
          <w:rFonts w:ascii="Palatino Linotype" w:eastAsia="Palatino Linotype" w:hAnsi="Palatino Linotype" w:cs="Palatino Linotype"/>
          <w:b/>
          <w:i/>
          <w:sz w:val="22"/>
          <w:szCs w:val="22"/>
        </w:rPr>
      </w:pPr>
      <w:r w:rsidRPr="00882E62">
        <w:rPr>
          <w:rFonts w:ascii="Palatino Linotype" w:eastAsia="Palatino Linotype" w:hAnsi="Palatino Linotype" w:cs="Palatino Linotype"/>
          <w:b/>
          <w:i/>
          <w:sz w:val="22"/>
          <w:szCs w:val="22"/>
        </w:rPr>
        <w:t>Código Financiero del Estado de México y Municipios</w:t>
      </w:r>
    </w:p>
    <w:p w14:paraId="31F8B2C6" w14:textId="77777777" w:rsidR="00A91400" w:rsidRPr="00882E62" w:rsidRDefault="00A91400" w:rsidP="00A91400">
      <w:pPr>
        <w:spacing w:after="120"/>
        <w:ind w:left="851" w:right="900"/>
        <w:jc w:val="both"/>
        <w:rPr>
          <w:rFonts w:ascii="Palatino Linotype" w:eastAsia="Palatino Linotype" w:hAnsi="Palatino Linotype" w:cs="Palatino Linotype"/>
          <w:i/>
          <w:sz w:val="22"/>
          <w:szCs w:val="22"/>
        </w:rPr>
      </w:pPr>
      <w:r w:rsidRPr="00882E62">
        <w:rPr>
          <w:rFonts w:ascii="Palatino Linotype" w:eastAsia="Palatino Linotype" w:hAnsi="Palatino Linotype" w:cs="Palatino Linotype"/>
          <w:b/>
          <w:i/>
          <w:sz w:val="22"/>
          <w:szCs w:val="22"/>
        </w:rPr>
        <w:t>“Artículo 292</w:t>
      </w:r>
      <w:r w:rsidRPr="00882E62">
        <w:rPr>
          <w:rFonts w:ascii="Palatino Linotype" w:eastAsia="Palatino Linotype" w:hAnsi="Palatino Linotype" w:cs="Palatino Linotype"/>
          <w:i/>
          <w:sz w:val="22"/>
          <w:szCs w:val="22"/>
        </w:rPr>
        <w:t xml:space="preserve">.- El Proyecto de Presupuesto de Egresos del Gobierno del Estado de México deberá contribuir a un balance presupuestario sostenible en términos de la legislación en la materia, será elaborado atendiendo el modelo de Presupuesto Basado en Resultados y sujeto a la evaluación del desempeño de sus programas presupuestarios, y se integrará con los recursos que se destinen a los poderes Ejecutivo, Legislativo y Judicial, a los organismos autónomos y a los municipios. </w:t>
      </w:r>
    </w:p>
    <w:p w14:paraId="2CEF21AF" w14:textId="77777777" w:rsidR="00A91400" w:rsidRPr="00882E62" w:rsidRDefault="00A91400" w:rsidP="00A91400">
      <w:pPr>
        <w:spacing w:after="120"/>
        <w:ind w:left="851" w:right="900"/>
        <w:jc w:val="both"/>
        <w:rPr>
          <w:rFonts w:ascii="Palatino Linotype" w:eastAsia="Palatino Linotype" w:hAnsi="Palatino Linotype" w:cs="Palatino Linotype"/>
          <w:b/>
          <w:i/>
          <w:sz w:val="22"/>
          <w:szCs w:val="22"/>
        </w:rPr>
      </w:pPr>
      <w:r w:rsidRPr="00882E62">
        <w:rPr>
          <w:rFonts w:ascii="Palatino Linotype" w:eastAsia="Palatino Linotype" w:hAnsi="Palatino Linotype" w:cs="Palatino Linotype"/>
          <w:b/>
          <w:i/>
          <w:sz w:val="22"/>
          <w:szCs w:val="22"/>
        </w:rPr>
        <w:t xml:space="preserve">Para el caso de los Municipios, el Proyecto de Presupuesto se integrará con los recursos que se destinen al Ayuntamiento y a los organismos municipales. </w:t>
      </w:r>
    </w:p>
    <w:p w14:paraId="6CEC028D" w14:textId="77777777" w:rsidR="00A91400" w:rsidRPr="00882E62" w:rsidRDefault="00A91400" w:rsidP="00A91400">
      <w:pPr>
        <w:spacing w:after="120"/>
        <w:ind w:left="851" w:right="900"/>
        <w:jc w:val="both"/>
        <w:rPr>
          <w:rFonts w:ascii="Palatino Linotype" w:eastAsia="Palatino Linotype" w:hAnsi="Palatino Linotype" w:cs="Palatino Linotype"/>
          <w:b/>
          <w:i/>
          <w:sz w:val="22"/>
          <w:szCs w:val="22"/>
        </w:rPr>
      </w:pPr>
      <w:r w:rsidRPr="00882E62">
        <w:rPr>
          <w:rFonts w:ascii="Palatino Linotype" w:eastAsia="Palatino Linotype" w:hAnsi="Palatino Linotype" w:cs="Palatino Linotype"/>
          <w:i/>
          <w:sz w:val="22"/>
          <w:szCs w:val="22"/>
        </w:rPr>
        <w:t>La distribución será conforme a lo siguiente:</w:t>
      </w:r>
    </w:p>
    <w:p w14:paraId="352ABC1B" w14:textId="77777777" w:rsidR="00A91400" w:rsidRPr="00882E62" w:rsidRDefault="00A91400" w:rsidP="00A91400">
      <w:pPr>
        <w:spacing w:after="120"/>
        <w:ind w:left="1134" w:right="900"/>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b/>
          <w:sz w:val="22"/>
          <w:szCs w:val="22"/>
        </w:rPr>
        <w:t>I.</w:t>
      </w:r>
      <w:r w:rsidRPr="00882E62">
        <w:rPr>
          <w:rFonts w:ascii="Palatino Linotype" w:eastAsia="Palatino Linotype" w:hAnsi="Palatino Linotype" w:cs="Palatino Linotype"/>
          <w:sz w:val="22"/>
          <w:szCs w:val="22"/>
        </w:rPr>
        <w:t xml:space="preserve"> El gasto programable comprende los siguientes capítulos: </w:t>
      </w:r>
    </w:p>
    <w:p w14:paraId="437F2C67" w14:textId="77777777" w:rsidR="00A91400" w:rsidRPr="00882E62" w:rsidRDefault="00A91400" w:rsidP="00A91400">
      <w:pPr>
        <w:spacing w:after="120"/>
        <w:ind w:left="1418" w:right="900"/>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 xml:space="preserve">a). 1000 Servicios Personales. </w:t>
      </w:r>
    </w:p>
    <w:p w14:paraId="00D74809" w14:textId="77777777" w:rsidR="00A91400" w:rsidRPr="00882E62" w:rsidRDefault="00A91400" w:rsidP="00A91400">
      <w:pPr>
        <w:spacing w:after="120"/>
        <w:ind w:left="1418" w:right="900"/>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 xml:space="preserve">b). 2000 Materiales y Suministros. </w:t>
      </w:r>
    </w:p>
    <w:p w14:paraId="5DF321DD" w14:textId="77777777" w:rsidR="00A91400" w:rsidRPr="00882E62" w:rsidRDefault="00A91400" w:rsidP="00A91400">
      <w:pPr>
        <w:spacing w:after="120"/>
        <w:ind w:left="1418" w:right="900"/>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 xml:space="preserve">c). 3000 Servicios Generales. </w:t>
      </w:r>
    </w:p>
    <w:p w14:paraId="5366F5A6" w14:textId="77777777" w:rsidR="00A91400" w:rsidRPr="00882E62" w:rsidRDefault="00A91400" w:rsidP="00A91400">
      <w:pPr>
        <w:spacing w:after="120"/>
        <w:ind w:left="1418" w:right="900"/>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 xml:space="preserve">d). 4000 Transferencias, Asignaciones, Subsidios y otras ayudas. </w:t>
      </w:r>
    </w:p>
    <w:p w14:paraId="2FEAC8DB" w14:textId="77777777" w:rsidR="00A91400" w:rsidRPr="00882E62" w:rsidRDefault="00A91400" w:rsidP="00A91400">
      <w:pPr>
        <w:spacing w:after="120"/>
        <w:ind w:left="1418" w:right="900"/>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 xml:space="preserve">e). 5000 Bienes Muebles, Inmuebles e Intangibles. </w:t>
      </w:r>
    </w:p>
    <w:p w14:paraId="5D285472" w14:textId="77777777" w:rsidR="00A91400" w:rsidRPr="00882E62" w:rsidRDefault="00A91400" w:rsidP="00A91400">
      <w:pPr>
        <w:spacing w:after="120"/>
        <w:ind w:left="1418" w:right="900"/>
        <w:jc w:val="both"/>
        <w:rPr>
          <w:rFonts w:ascii="Palatino Linotype" w:eastAsia="Palatino Linotype" w:hAnsi="Palatino Linotype" w:cs="Palatino Linotype"/>
          <w:b/>
          <w:sz w:val="22"/>
          <w:szCs w:val="22"/>
        </w:rPr>
      </w:pPr>
      <w:r w:rsidRPr="00882E62">
        <w:rPr>
          <w:rFonts w:ascii="Palatino Linotype" w:eastAsia="Palatino Linotype" w:hAnsi="Palatino Linotype" w:cs="Palatino Linotype"/>
          <w:sz w:val="22"/>
          <w:szCs w:val="22"/>
        </w:rPr>
        <w:t xml:space="preserve">f). 6000 Inversión Pública. </w:t>
      </w:r>
    </w:p>
    <w:p w14:paraId="6F3C7FEA" w14:textId="77777777" w:rsidR="00A91400" w:rsidRPr="00882E62" w:rsidRDefault="00A91400" w:rsidP="00A91400">
      <w:pPr>
        <w:spacing w:after="120"/>
        <w:ind w:left="1418" w:right="900"/>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 xml:space="preserve">g). 7000 Inversiones Financieras y otras provisiones. </w:t>
      </w:r>
    </w:p>
    <w:p w14:paraId="7F04206D" w14:textId="77777777" w:rsidR="00A91400" w:rsidRPr="00882E62" w:rsidRDefault="00A91400" w:rsidP="00A91400">
      <w:pPr>
        <w:spacing w:after="120"/>
        <w:ind w:left="1134" w:right="900"/>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b/>
          <w:sz w:val="22"/>
          <w:szCs w:val="22"/>
        </w:rPr>
        <w:t>II</w:t>
      </w:r>
      <w:r w:rsidRPr="00882E62">
        <w:rPr>
          <w:rFonts w:ascii="Palatino Linotype" w:eastAsia="Palatino Linotype" w:hAnsi="Palatino Linotype" w:cs="Palatino Linotype"/>
          <w:sz w:val="22"/>
          <w:szCs w:val="22"/>
        </w:rPr>
        <w:t xml:space="preserve">. El gasto no programable comprende los siguientes capítulos: </w:t>
      </w:r>
    </w:p>
    <w:p w14:paraId="5C5CEF81" w14:textId="77777777" w:rsidR="00A91400" w:rsidRPr="00882E62" w:rsidRDefault="00A91400" w:rsidP="00A91400">
      <w:pPr>
        <w:spacing w:after="120"/>
        <w:ind w:left="1418" w:right="900"/>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 xml:space="preserve">a). 8000 Participaciones y Aportaciones. </w:t>
      </w:r>
    </w:p>
    <w:p w14:paraId="745D1614" w14:textId="77777777" w:rsidR="00A91400" w:rsidRPr="00882E62" w:rsidRDefault="00A91400" w:rsidP="00A91400">
      <w:pPr>
        <w:pBdr>
          <w:top w:val="nil"/>
          <w:left w:val="nil"/>
          <w:bottom w:val="nil"/>
          <w:right w:val="nil"/>
          <w:between w:val="nil"/>
        </w:pBdr>
        <w:spacing w:after="120"/>
        <w:ind w:left="1418" w:right="900"/>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b). 9000 Deuda Pública.</w:t>
      </w:r>
    </w:p>
    <w:p w14:paraId="322504E3" w14:textId="76AB5CFB" w:rsidR="00A91400" w:rsidRPr="00882E62" w:rsidRDefault="00A91400" w:rsidP="00A91400">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De acuerdo con el Manual para la Planeación, Programación y Presupuesto de Egresos Municipal, para el Ejercicio Fiscal 2025, la definición del Capítulo de gasto 1000 es la siguiente:</w:t>
      </w:r>
    </w:p>
    <w:p w14:paraId="5139499D" w14:textId="77777777" w:rsidR="00A91400" w:rsidRPr="00882E62" w:rsidRDefault="00A91400" w:rsidP="00A91400">
      <w:pPr>
        <w:pBdr>
          <w:top w:val="nil"/>
          <w:left w:val="nil"/>
          <w:bottom w:val="nil"/>
          <w:right w:val="nil"/>
          <w:between w:val="nil"/>
        </w:pBdr>
        <w:spacing w:before="240" w:after="240" w:line="276" w:lineRule="auto"/>
        <w:ind w:left="284" w:right="51"/>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b/>
          <w:sz w:val="22"/>
          <w:szCs w:val="22"/>
        </w:rPr>
        <w:t>1000 SERVICIOS PERSONALES</w:t>
      </w:r>
      <w:r w:rsidRPr="00882E62">
        <w:rPr>
          <w:rFonts w:ascii="Palatino Linotype" w:eastAsia="Palatino Linotype" w:hAnsi="Palatino Linotype" w:cs="Palatino Linotype"/>
          <w:sz w:val="22"/>
          <w:szCs w:val="22"/>
        </w:rPr>
        <w:t xml:space="preserve">. 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 </w:t>
      </w:r>
    </w:p>
    <w:p w14:paraId="7E59F7F0" w14:textId="77777777" w:rsidR="00A91400" w:rsidRPr="00882E62" w:rsidRDefault="00A91400" w:rsidP="00A91400">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Por su parte, el Código Financiero del Estado de México, en su artículo 285, señala que el presupuesto de egresos constituye el instrumento jurídico, de política económica y de política de gasto, que aprueba la Legislatura conforme a la iniciativa que presenta el Gobernador, en el cual se establece el ejercicio, control del gasto público y evaluación del desempeño de los Entes Públicos, de acuerdo con su naturaleza jurídica y según corresponda, con base en los objetivos, parámetros e indicadores de desempeño y programas derivados del Plan de Desarrollo del Estado de México, durante el ejercicio fiscal correspondiente y en apego a lo establecido en la legislación aplicable.</w:t>
      </w:r>
    </w:p>
    <w:p w14:paraId="5C89BF47" w14:textId="77777777" w:rsidR="00A91400" w:rsidRPr="00882E62" w:rsidRDefault="00A91400" w:rsidP="00A91400">
      <w:pPr>
        <w:spacing w:before="240" w:after="240" w:line="360" w:lineRule="auto"/>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En el mismo sentido, el Manual para la Planeación, Programación y Presupuesto de Egresos Municipal para el ejercicio fiscal 2025, en el marco conceptual, numeral 1.2, define al presupuesto de la siguiente forma:</w:t>
      </w:r>
    </w:p>
    <w:p w14:paraId="2B7BE1D5" w14:textId="77777777" w:rsidR="00A91400" w:rsidRPr="00882E62" w:rsidRDefault="00A91400" w:rsidP="00A91400">
      <w:pPr>
        <w:spacing w:before="120" w:after="120"/>
        <w:ind w:left="851" w:right="902"/>
        <w:jc w:val="both"/>
        <w:rPr>
          <w:rFonts w:ascii="Palatino Linotype" w:eastAsia="Palatino Linotype" w:hAnsi="Palatino Linotype" w:cs="Palatino Linotype"/>
          <w:b/>
          <w:i/>
          <w:sz w:val="22"/>
          <w:szCs w:val="22"/>
        </w:rPr>
      </w:pPr>
      <w:r w:rsidRPr="00882E62">
        <w:rPr>
          <w:rFonts w:ascii="Palatino Linotype" w:eastAsia="Palatino Linotype" w:hAnsi="Palatino Linotype" w:cs="Palatino Linotype"/>
          <w:i/>
          <w:sz w:val="22"/>
          <w:szCs w:val="22"/>
        </w:rPr>
        <w:t xml:space="preserve">“Con base en lo que establece el artículo 285 del Código Financiero del Estado de México y Municipios, el </w:t>
      </w:r>
      <w:r w:rsidRPr="00882E62">
        <w:rPr>
          <w:rFonts w:ascii="Palatino Linotype" w:eastAsia="Palatino Linotype" w:hAnsi="Palatino Linotype" w:cs="Palatino Linotype"/>
          <w:b/>
          <w:i/>
          <w:sz w:val="22"/>
          <w:szCs w:val="22"/>
        </w:rPr>
        <w:t>Presupuesto de Egresos Municipal</w:t>
      </w:r>
      <w:r w:rsidRPr="00882E62">
        <w:rPr>
          <w:rFonts w:ascii="Palatino Linotype" w:eastAsia="Palatino Linotype" w:hAnsi="Palatino Linotype" w:cs="Palatino Linotype"/>
          <w:i/>
          <w:sz w:val="22"/>
          <w:szCs w:val="22"/>
        </w:rPr>
        <w:t xml:space="preserve"> se conceptualiza como </w:t>
      </w:r>
      <w:r w:rsidRPr="00882E62">
        <w:rPr>
          <w:rFonts w:ascii="Palatino Linotype" w:eastAsia="Palatino Linotype" w:hAnsi="Palatino Linotype" w:cs="Palatino Linotype"/>
          <w:b/>
          <w:i/>
          <w:sz w:val="22"/>
          <w:szCs w:val="22"/>
        </w:rPr>
        <w:t>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(PDM),</w:t>
      </w:r>
      <w:r w:rsidRPr="00882E62">
        <w:rPr>
          <w:rFonts w:ascii="Palatino Linotype" w:eastAsia="Palatino Linotype" w:hAnsi="Palatino Linotype" w:cs="Palatino Linotype"/>
          <w:i/>
          <w:sz w:val="22"/>
          <w:szCs w:val="22"/>
        </w:rPr>
        <w:t xml:space="preserve"> </w:t>
      </w:r>
      <w:r w:rsidRPr="00882E62">
        <w:rPr>
          <w:rFonts w:ascii="Palatino Linotype" w:eastAsia="Palatino Linotype" w:hAnsi="Palatino Linotype" w:cs="Palatino Linotype"/>
          <w:b/>
          <w:i/>
          <w:sz w:val="22"/>
          <w:szCs w:val="22"/>
        </w:rPr>
        <w:t xml:space="preserve">durante el ejercicio fiscal correspondiente. </w:t>
      </w:r>
    </w:p>
    <w:p w14:paraId="4A937674" w14:textId="77777777" w:rsidR="00A91400" w:rsidRPr="00882E62" w:rsidRDefault="00A91400" w:rsidP="00A91400">
      <w:pPr>
        <w:spacing w:before="120" w:after="120"/>
        <w:ind w:left="851" w:right="902"/>
        <w:jc w:val="both"/>
        <w:rPr>
          <w:rFonts w:ascii="Palatino Linotype" w:eastAsia="Palatino Linotype" w:hAnsi="Palatino Linotype" w:cs="Palatino Linotype"/>
          <w:i/>
          <w:sz w:val="22"/>
          <w:szCs w:val="22"/>
        </w:rPr>
      </w:pPr>
      <w:r w:rsidRPr="00882E62">
        <w:rPr>
          <w:rFonts w:ascii="Palatino Linotype" w:eastAsia="Palatino Linotype" w:hAnsi="Palatino Linotype" w:cs="Palatino Linotype"/>
          <w:i/>
          <w:sz w:val="22"/>
          <w:szCs w:val="22"/>
        </w:rPr>
        <w:t xml:space="preserve">Para efecto de este Manual, </w:t>
      </w:r>
      <w:r w:rsidRPr="00882E62">
        <w:rPr>
          <w:rFonts w:ascii="Palatino Linotype" w:eastAsia="Palatino Linotype" w:hAnsi="Palatino Linotype" w:cs="Palatino Linotype"/>
          <w:b/>
          <w:i/>
          <w:sz w:val="22"/>
          <w:szCs w:val="22"/>
        </w:rPr>
        <w:t xml:space="preserve">el presupuesto es la estimación financiera anticipada, generalmente anual, de los ingresos y egresos del gobierno, necesarios para cumplir con los objetivos establecidos en los planes, programas y proyectos determinados. </w:t>
      </w:r>
      <w:r w:rsidRPr="00882E62">
        <w:rPr>
          <w:rFonts w:ascii="Palatino Linotype" w:eastAsia="Palatino Linotype" w:hAnsi="Palatino Linotype" w:cs="Palatino Linotype"/>
          <w:i/>
          <w:sz w:val="22"/>
          <w:szCs w:val="22"/>
        </w:rPr>
        <w:t xml:space="preserve">Asimismo, constituye el instrumento operativo básico para la ejecución de las decisiones de política económica y de planeación. </w:t>
      </w:r>
      <w:r w:rsidRPr="00882E62">
        <w:rPr>
          <w:rFonts w:ascii="Palatino Linotype" w:eastAsia="Palatino Linotype" w:hAnsi="Palatino Linotype" w:cs="Palatino Linotype"/>
          <w:b/>
          <w:i/>
          <w:sz w:val="22"/>
          <w:szCs w:val="22"/>
        </w:rPr>
        <w:t>El presupuesto público involucra los planes, políticas, programas, proyectos, estrategias y objetivos del municipio, como medio efectivo de control del gasto público y en ellos se fundamentan las diferentes alternativas de asignación de recursos para gastos e inversiones</w:t>
      </w:r>
      <w:r w:rsidRPr="00882E62">
        <w:rPr>
          <w:rFonts w:ascii="Palatino Linotype" w:eastAsia="Palatino Linotype" w:hAnsi="Palatino Linotype" w:cs="Palatino Linotype"/>
          <w:i/>
          <w:sz w:val="22"/>
          <w:szCs w:val="22"/>
        </w:rPr>
        <w:t>.”</w:t>
      </w:r>
    </w:p>
    <w:p w14:paraId="16342453" w14:textId="77777777" w:rsidR="00A91400" w:rsidRPr="00882E62" w:rsidRDefault="00A91400" w:rsidP="00A9140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 xml:space="preserve">Asimismo, resulta pertinente señalar que, de conformidad con el Manual para la Planeación, Programación y Presupuesto de Egresos Municipal, los formatos que integran el presupuesto de egresos municipal son los siguientes: </w:t>
      </w:r>
    </w:p>
    <w:p w14:paraId="69623202" w14:textId="77777777" w:rsidR="00A91400" w:rsidRPr="00882E62" w:rsidRDefault="00A91400" w:rsidP="00A91400">
      <w:pPr>
        <w:pBdr>
          <w:top w:val="nil"/>
          <w:left w:val="nil"/>
          <w:bottom w:val="nil"/>
          <w:right w:val="nil"/>
          <w:between w:val="nil"/>
        </w:pBdr>
        <w:spacing w:before="240" w:after="240" w:line="360" w:lineRule="auto"/>
        <w:jc w:val="center"/>
        <w:rPr>
          <w:rFonts w:ascii="Palatino Linotype" w:eastAsia="Palatino Linotype" w:hAnsi="Palatino Linotype" w:cs="Palatino Linotype"/>
          <w:sz w:val="22"/>
          <w:szCs w:val="22"/>
        </w:rPr>
      </w:pPr>
      <w:r w:rsidRPr="00882E62">
        <w:rPr>
          <w:rFonts w:ascii="Palatino Linotype" w:hAnsi="Palatino Linotype"/>
          <w:noProof/>
          <w:sz w:val="22"/>
          <w:szCs w:val="22"/>
        </w:rPr>
        <w:drawing>
          <wp:inline distT="0" distB="0" distL="0" distR="0" wp14:anchorId="6E82117B" wp14:editId="15ECD90E">
            <wp:extent cx="4319448" cy="1821484"/>
            <wp:effectExtent l="0" t="0" r="5080" b="7620"/>
            <wp:docPr id="20548258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825869" name=""/>
                    <pic:cNvPicPr/>
                  </pic:nvPicPr>
                  <pic:blipFill rotWithShape="1">
                    <a:blip r:embed="rId12"/>
                    <a:srcRect b="48007"/>
                    <a:stretch>
                      <a:fillRect/>
                    </a:stretch>
                  </pic:blipFill>
                  <pic:spPr bwMode="auto">
                    <a:xfrm>
                      <a:off x="0" y="0"/>
                      <a:ext cx="4320000" cy="1821717"/>
                    </a:xfrm>
                    <a:prstGeom prst="rect">
                      <a:avLst/>
                    </a:prstGeom>
                    <a:ln>
                      <a:noFill/>
                    </a:ln>
                    <a:extLst>
                      <a:ext uri="{53640926-AAD7-44D8-BBD7-CCE9431645EC}">
                        <a14:shadowObscured xmlns:a14="http://schemas.microsoft.com/office/drawing/2010/main"/>
                      </a:ext>
                    </a:extLst>
                  </pic:spPr>
                </pic:pic>
              </a:graphicData>
            </a:graphic>
          </wp:inline>
        </w:drawing>
      </w:r>
    </w:p>
    <w:p w14:paraId="2028F29E" w14:textId="5DF06A0B" w:rsidR="00BB0BA6" w:rsidRPr="00882E62" w:rsidRDefault="00BB0BA6" w:rsidP="00A91400">
      <w:pPr>
        <w:pBdr>
          <w:top w:val="nil"/>
          <w:left w:val="nil"/>
          <w:bottom w:val="nil"/>
          <w:right w:val="nil"/>
          <w:between w:val="nil"/>
        </w:pBdr>
        <w:spacing w:before="240" w:after="240" w:line="360" w:lineRule="auto"/>
        <w:jc w:val="center"/>
        <w:rPr>
          <w:rFonts w:ascii="Palatino Linotype" w:eastAsia="Palatino Linotype" w:hAnsi="Palatino Linotype" w:cs="Palatino Linotype"/>
          <w:sz w:val="22"/>
          <w:szCs w:val="22"/>
        </w:rPr>
      </w:pPr>
      <w:r w:rsidRPr="00882E62">
        <w:rPr>
          <w:rFonts w:ascii="Palatino Linotype" w:hAnsi="Palatino Linotype"/>
          <w:noProof/>
          <w:sz w:val="22"/>
          <w:szCs w:val="22"/>
        </w:rPr>
        <w:drawing>
          <wp:inline distT="0" distB="0" distL="0" distR="0" wp14:anchorId="6B210F3F" wp14:editId="31DA5973">
            <wp:extent cx="4319448" cy="1550137"/>
            <wp:effectExtent l="0" t="0" r="5080" b="0"/>
            <wp:docPr id="20294623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825869" name=""/>
                    <pic:cNvPicPr/>
                  </pic:nvPicPr>
                  <pic:blipFill rotWithShape="1">
                    <a:blip r:embed="rId12"/>
                    <a:srcRect t="55752"/>
                    <a:stretch>
                      <a:fillRect/>
                    </a:stretch>
                  </pic:blipFill>
                  <pic:spPr bwMode="auto">
                    <a:xfrm>
                      <a:off x="0" y="0"/>
                      <a:ext cx="4320000" cy="1550335"/>
                    </a:xfrm>
                    <a:prstGeom prst="rect">
                      <a:avLst/>
                    </a:prstGeom>
                    <a:ln>
                      <a:noFill/>
                    </a:ln>
                    <a:extLst>
                      <a:ext uri="{53640926-AAD7-44D8-BBD7-CCE9431645EC}">
                        <a14:shadowObscured xmlns:a14="http://schemas.microsoft.com/office/drawing/2010/main"/>
                      </a:ext>
                    </a:extLst>
                  </pic:spPr>
                </pic:pic>
              </a:graphicData>
            </a:graphic>
          </wp:inline>
        </w:drawing>
      </w:r>
    </w:p>
    <w:p w14:paraId="6E985378" w14:textId="7BDB43FC" w:rsidR="00A91400" w:rsidRPr="00882E62" w:rsidRDefault="00A91400" w:rsidP="00A91400">
      <w:pPr>
        <w:spacing w:before="240" w:after="240" w:line="360" w:lineRule="auto"/>
        <w:ind w:right="51"/>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Para iniciar con el llenado de los formatos que integran el Programa Anual se deberá</w:t>
      </w:r>
      <w:r w:rsidR="00DC771A" w:rsidRPr="00882E62">
        <w:rPr>
          <w:rFonts w:ascii="Palatino Linotype" w:eastAsia="Palatino Linotype" w:hAnsi="Palatino Linotype" w:cs="Palatino Linotype"/>
          <w:sz w:val="22"/>
          <w:szCs w:val="22"/>
        </w:rPr>
        <w:t>n</w:t>
      </w:r>
      <w:r w:rsidRPr="00882E62">
        <w:rPr>
          <w:rFonts w:ascii="Palatino Linotype" w:eastAsia="Palatino Linotype" w:hAnsi="Palatino Linotype" w:cs="Palatino Linotype"/>
          <w:sz w:val="22"/>
          <w:szCs w:val="22"/>
        </w:rPr>
        <w:t xml:space="preserve"> llenar </w:t>
      </w:r>
      <w:r w:rsidR="00DC771A" w:rsidRPr="00882E62">
        <w:rPr>
          <w:rFonts w:ascii="Palatino Linotype" w:eastAsia="Palatino Linotype" w:hAnsi="Palatino Linotype" w:cs="Palatino Linotype"/>
          <w:sz w:val="22"/>
          <w:szCs w:val="22"/>
        </w:rPr>
        <w:t xml:space="preserve">diversos </w:t>
      </w:r>
      <w:r w:rsidRPr="00882E62">
        <w:rPr>
          <w:rFonts w:ascii="Palatino Linotype" w:eastAsia="Palatino Linotype" w:hAnsi="Palatino Linotype" w:cs="Palatino Linotype"/>
          <w:sz w:val="22"/>
          <w:szCs w:val="22"/>
        </w:rPr>
        <w:t>formato</w:t>
      </w:r>
      <w:r w:rsidR="00DC771A" w:rsidRPr="00882E62">
        <w:rPr>
          <w:rFonts w:ascii="Palatino Linotype" w:eastAsia="Palatino Linotype" w:hAnsi="Palatino Linotype" w:cs="Palatino Linotype"/>
          <w:sz w:val="22"/>
          <w:szCs w:val="22"/>
        </w:rPr>
        <w:t>s, entre los que destacan los siguientes para el tema que nos interesa:</w:t>
      </w:r>
    </w:p>
    <w:p w14:paraId="25EA837E" w14:textId="00061629" w:rsidR="00DC771A" w:rsidRPr="00882E62" w:rsidRDefault="00DC771A" w:rsidP="00DC771A">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 xml:space="preserve">El formato </w:t>
      </w:r>
      <w:r w:rsidRPr="00882E62">
        <w:rPr>
          <w:rFonts w:ascii="Palatino Linotype" w:eastAsia="Palatino Linotype" w:hAnsi="Palatino Linotype" w:cs="Palatino Linotype"/>
          <w:b/>
          <w:bCs/>
          <w:sz w:val="22"/>
          <w:szCs w:val="22"/>
        </w:rPr>
        <w:t>PbRM-04c Presupuesto de Egresos Global Calendarizado</w:t>
      </w:r>
      <w:r w:rsidRPr="00882E62">
        <w:rPr>
          <w:rFonts w:ascii="Palatino Linotype" w:eastAsia="Palatino Linotype" w:hAnsi="Palatino Linotype" w:cs="Palatino Linotype"/>
          <w:sz w:val="22"/>
          <w:szCs w:val="22"/>
        </w:rPr>
        <w:t xml:space="preserve"> se identifica el gasto total según el clasificador por objeto del gasto y su programación durante todo el ejercicio presupuestal.</w:t>
      </w:r>
    </w:p>
    <w:p w14:paraId="253A2BA8" w14:textId="1DA70044" w:rsidR="00DC771A" w:rsidRPr="00882E62" w:rsidRDefault="00DC771A" w:rsidP="00DC771A">
      <w:pPr>
        <w:pBdr>
          <w:top w:val="nil"/>
          <w:left w:val="nil"/>
          <w:bottom w:val="nil"/>
          <w:right w:val="nil"/>
          <w:between w:val="nil"/>
        </w:pBdr>
        <w:spacing w:before="240" w:after="240" w:line="360" w:lineRule="auto"/>
        <w:jc w:val="center"/>
        <w:rPr>
          <w:rFonts w:ascii="Palatino Linotype" w:eastAsia="Palatino Linotype" w:hAnsi="Palatino Linotype" w:cs="Palatino Linotype"/>
          <w:sz w:val="22"/>
          <w:szCs w:val="22"/>
        </w:rPr>
      </w:pPr>
      <w:r w:rsidRPr="00882E62">
        <w:rPr>
          <w:rFonts w:ascii="Palatino Linotype" w:hAnsi="Palatino Linotype"/>
          <w:noProof/>
          <w:sz w:val="22"/>
          <w:szCs w:val="22"/>
        </w:rPr>
        <w:drawing>
          <wp:inline distT="0" distB="0" distL="0" distR="0" wp14:anchorId="2AC20047" wp14:editId="7FADD774">
            <wp:extent cx="4500000" cy="2714868"/>
            <wp:effectExtent l="0" t="0" r="0" b="9525"/>
            <wp:docPr id="7462271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227125" name=""/>
                    <pic:cNvPicPr/>
                  </pic:nvPicPr>
                  <pic:blipFill>
                    <a:blip r:embed="rId13"/>
                    <a:stretch>
                      <a:fillRect/>
                    </a:stretch>
                  </pic:blipFill>
                  <pic:spPr>
                    <a:xfrm>
                      <a:off x="0" y="0"/>
                      <a:ext cx="4500000" cy="2714868"/>
                    </a:xfrm>
                    <a:prstGeom prst="rect">
                      <a:avLst/>
                    </a:prstGeom>
                  </pic:spPr>
                </pic:pic>
              </a:graphicData>
            </a:graphic>
          </wp:inline>
        </w:drawing>
      </w:r>
    </w:p>
    <w:p w14:paraId="700BA9E4" w14:textId="28C0A98C" w:rsidR="00DC771A" w:rsidRPr="00882E62" w:rsidRDefault="00DC771A" w:rsidP="00DC771A">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 xml:space="preserve">El formato </w:t>
      </w:r>
      <w:r w:rsidRPr="00882E62">
        <w:rPr>
          <w:rFonts w:ascii="Palatino Linotype" w:eastAsia="Palatino Linotype" w:hAnsi="Palatino Linotype" w:cs="Palatino Linotype"/>
          <w:b/>
          <w:bCs/>
          <w:sz w:val="22"/>
          <w:szCs w:val="22"/>
        </w:rPr>
        <w:t>PbRM-05 “Tabulador de Sueldos</w:t>
      </w:r>
      <w:r w:rsidRPr="00882E62">
        <w:rPr>
          <w:rFonts w:ascii="Palatino Linotype" w:eastAsia="Palatino Linotype" w:hAnsi="Palatino Linotype" w:cs="Palatino Linotype"/>
          <w:sz w:val="22"/>
          <w:szCs w:val="22"/>
        </w:rPr>
        <w:t>” registrar las remuneraciones que se perciben por el empleo, cargo o comisión de cualquier naturaleza por los servidores públicos municipales.</w:t>
      </w:r>
    </w:p>
    <w:p w14:paraId="2136B491" w14:textId="0D560340" w:rsidR="00DC771A" w:rsidRPr="00882E62" w:rsidRDefault="00DC771A" w:rsidP="00DC771A">
      <w:pPr>
        <w:pBdr>
          <w:top w:val="nil"/>
          <w:left w:val="nil"/>
          <w:bottom w:val="nil"/>
          <w:right w:val="nil"/>
          <w:between w:val="nil"/>
        </w:pBdr>
        <w:spacing w:before="240" w:after="240" w:line="360" w:lineRule="auto"/>
        <w:jc w:val="center"/>
        <w:rPr>
          <w:rFonts w:ascii="Palatino Linotype" w:eastAsia="Palatino Linotype" w:hAnsi="Palatino Linotype" w:cs="Palatino Linotype"/>
          <w:sz w:val="22"/>
          <w:szCs w:val="22"/>
        </w:rPr>
      </w:pPr>
      <w:r w:rsidRPr="00882E62">
        <w:rPr>
          <w:rFonts w:ascii="Palatino Linotype" w:hAnsi="Palatino Linotype"/>
          <w:noProof/>
          <w:sz w:val="22"/>
          <w:szCs w:val="22"/>
        </w:rPr>
        <w:drawing>
          <wp:inline distT="0" distB="0" distL="0" distR="0" wp14:anchorId="37C76267" wp14:editId="571516C8">
            <wp:extent cx="4500000" cy="3191448"/>
            <wp:effectExtent l="0" t="0" r="0" b="9525"/>
            <wp:docPr id="14057085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708524" name=""/>
                    <pic:cNvPicPr/>
                  </pic:nvPicPr>
                  <pic:blipFill>
                    <a:blip r:embed="rId14"/>
                    <a:stretch>
                      <a:fillRect/>
                    </a:stretch>
                  </pic:blipFill>
                  <pic:spPr>
                    <a:xfrm>
                      <a:off x="0" y="0"/>
                      <a:ext cx="4500000" cy="3191448"/>
                    </a:xfrm>
                    <a:prstGeom prst="rect">
                      <a:avLst/>
                    </a:prstGeom>
                  </pic:spPr>
                </pic:pic>
              </a:graphicData>
            </a:graphic>
          </wp:inline>
        </w:drawing>
      </w:r>
    </w:p>
    <w:p w14:paraId="030542FF" w14:textId="402426DB" w:rsidR="00A27140" w:rsidRPr="00882E62" w:rsidRDefault="00A27140" w:rsidP="00CD0F50">
      <w:pPr>
        <w:spacing w:before="240" w:after="240" w:line="360" w:lineRule="auto"/>
        <w:ind w:right="51"/>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 xml:space="preserve">De lo anterior se colige que el PbRM-05 Tabulador de Sueldos, </w:t>
      </w:r>
      <w:r w:rsidR="001C25FA" w:rsidRPr="00882E62">
        <w:rPr>
          <w:rFonts w:ascii="Palatino Linotype" w:eastAsia="Palatino Linotype" w:hAnsi="Palatino Linotype" w:cs="Palatino Linotype"/>
          <w:sz w:val="22"/>
          <w:szCs w:val="22"/>
        </w:rPr>
        <w:t xml:space="preserve">debe incluir todas las </w:t>
      </w:r>
      <w:r w:rsidR="001C25FA" w:rsidRPr="00882E62">
        <w:rPr>
          <w:rFonts w:ascii="Palatino Linotype" w:eastAsia="Palatino Linotype" w:hAnsi="Palatino Linotype" w:cs="Palatino Linotype"/>
          <w:b/>
          <w:bCs/>
          <w:sz w:val="22"/>
          <w:szCs w:val="22"/>
        </w:rPr>
        <w:t xml:space="preserve">percepciones ordinarias y extraordinarias asignadas </w:t>
      </w:r>
      <w:r w:rsidR="001C25FA" w:rsidRPr="00882E62">
        <w:rPr>
          <w:rFonts w:ascii="Palatino Linotype" w:eastAsia="Palatino Linotype" w:hAnsi="Palatino Linotype" w:cs="Palatino Linotype"/>
          <w:b/>
          <w:bCs/>
          <w:sz w:val="22"/>
          <w:szCs w:val="22"/>
          <w:u w:val="single"/>
        </w:rPr>
        <w:t>a cada plaza</w:t>
      </w:r>
      <w:r w:rsidR="001C25FA" w:rsidRPr="00882E62">
        <w:rPr>
          <w:rFonts w:ascii="Palatino Linotype" w:eastAsia="Palatino Linotype" w:hAnsi="Palatino Linotype" w:cs="Palatino Linotype"/>
          <w:sz w:val="22"/>
          <w:szCs w:val="22"/>
        </w:rPr>
        <w:t>, esto es, dietas, en el caso de los integrantes del Cabildo; sueldo base, compensación, gratificación, otras percepciones, aguinaldo y prima vacacional, así como el monto total destinado para cubrir dichas percepciones</w:t>
      </w:r>
      <w:r w:rsidR="00F30CF6" w:rsidRPr="00882E62">
        <w:rPr>
          <w:rFonts w:ascii="Palatino Linotype" w:eastAsia="Palatino Linotype" w:hAnsi="Palatino Linotype" w:cs="Palatino Linotype"/>
          <w:sz w:val="22"/>
          <w:szCs w:val="22"/>
        </w:rPr>
        <w:t xml:space="preserve">, y el monto total del </w:t>
      </w:r>
      <w:proofErr w:type="spellStart"/>
      <w:r w:rsidR="00F30CF6" w:rsidRPr="00882E62">
        <w:rPr>
          <w:rFonts w:ascii="Palatino Linotype" w:eastAsia="Palatino Linotype" w:hAnsi="Palatino Linotype" w:cs="Palatino Linotype"/>
          <w:sz w:val="22"/>
          <w:szCs w:val="22"/>
        </w:rPr>
        <w:t>capitulo</w:t>
      </w:r>
      <w:proofErr w:type="spellEnd"/>
      <w:r w:rsidR="00F30CF6" w:rsidRPr="00882E62">
        <w:rPr>
          <w:rFonts w:ascii="Palatino Linotype" w:eastAsia="Palatino Linotype" w:hAnsi="Palatino Linotype" w:cs="Palatino Linotype"/>
          <w:sz w:val="22"/>
          <w:szCs w:val="22"/>
        </w:rPr>
        <w:t xml:space="preserve"> 1000, como a continuación se ejemplifica respecto del Tabulador de Sueldos 2023, del Sujeto Obligado:</w:t>
      </w:r>
    </w:p>
    <w:p w14:paraId="4E9AC0FA" w14:textId="3BA82E44" w:rsidR="00F30CF6" w:rsidRPr="00882E62" w:rsidRDefault="00F30CF6" w:rsidP="0054415D">
      <w:pPr>
        <w:spacing w:before="240" w:after="240" w:line="360" w:lineRule="auto"/>
        <w:ind w:right="51"/>
        <w:jc w:val="center"/>
        <w:rPr>
          <w:rFonts w:ascii="Palatino Linotype" w:eastAsia="Palatino Linotype" w:hAnsi="Palatino Linotype" w:cs="Palatino Linotype"/>
          <w:sz w:val="22"/>
          <w:szCs w:val="22"/>
        </w:rPr>
      </w:pPr>
      <w:r w:rsidRPr="00882E62">
        <w:rPr>
          <w:rFonts w:ascii="Palatino Linotype" w:hAnsi="Palatino Linotype"/>
          <w:noProof/>
          <w:sz w:val="22"/>
          <w:szCs w:val="22"/>
        </w:rPr>
        <w:drawing>
          <wp:inline distT="0" distB="0" distL="0" distR="0" wp14:anchorId="728AE00D" wp14:editId="6F784039">
            <wp:extent cx="5039825" cy="1009498"/>
            <wp:effectExtent l="0" t="0" r="0" b="635"/>
            <wp:docPr id="19637195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719500" name=""/>
                    <pic:cNvPicPr/>
                  </pic:nvPicPr>
                  <pic:blipFill rotWithShape="1">
                    <a:blip r:embed="rId15"/>
                    <a:srcRect b="7893"/>
                    <a:stretch>
                      <a:fillRect/>
                    </a:stretch>
                  </pic:blipFill>
                  <pic:spPr bwMode="auto">
                    <a:xfrm>
                      <a:off x="0" y="0"/>
                      <a:ext cx="5040000" cy="1009533"/>
                    </a:xfrm>
                    <a:prstGeom prst="rect">
                      <a:avLst/>
                    </a:prstGeom>
                    <a:ln>
                      <a:noFill/>
                    </a:ln>
                    <a:extLst>
                      <a:ext uri="{53640926-AAD7-44D8-BBD7-CCE9431645EC}">
                        <a14:shadowObscured xmlns:a14="http://schemas.microsoft.com/office/drawing/2010/main"/>
                      </a:ext>
                    </a:extLst>
                  </pic:spPr>
                </pic:pic>
              </a:graphicData>
            </a:graphic>
          </wp:inline>
        </w:drawing>
      </w:r>
      <w:r w:rsidRPr="00882E62">
        <w:rPr>
          <w:rFonts w:ascii="Palatino Linotype" w:hAnsi="Palatino Linotype"/>
          <w:noProof/>
          <w:sz w:val="22"/>
          <w:szCs w:val="22"/>
        </w:rPr>
        <w:drawing>
          <wp:inline distT="0" distB="0" distL="0" distR="0" wp14:anchorId="37893188" wp14:editId="143D92B5">
            <wp:extent cx="5038409" cy="645541"/>
            <wp:effectExtent l="0" t="0" r="0" b="2540"/>
            <wp:docPr id="5652081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08137" name=""/>
                    <pic:cNvPicPr/>
                  </pic:nvPicPr>
                  <pic:blipFill rotWithShape="1">
                    <a:blip r:embed="rId16"/>
                    <a:srcRect t="18477"/>
                    <a:stretch>
                      <a:fillRect/>
                    </a:stretch>
                  </pic:blipFill>
                  <pic:spPr bwMode="auto">
                    <a:xfrm>
                      <a:off x="0" y="0"/>
                      <a:ext cx="5040000" cy="645745"/>
                    </a:xfrm>
                    <a:prstGeom prst="rect">
                      <a:avLst/>
                    </a:prstGeom>
                    <a:ln>
                      <a:noFill/>
                    </a:ln>
                    <a:extLst>
                      <a:ext uri="{53640926-AAD7-44D8-BBD7-CCE9431645EC}">
                        <a14:shadowObscured xmlns:a14="http://schemas.microsoft.com/office/drawing/2010/main"/>
                      </a:ext>
                    </a:extLst>
                  </pic:spPr>
                </pic:pic>
              </a:graphicData>
            </a:graphic>
          </wp:inline>
        </w:drawing>
      </w:r>
    </w:p>
    <w:p w14:paraId="774435C3" w14:textId="0E0BBF7C" w:rsidR="0054415D" w:rsidRPr="00882E62" w:rsidRDefault="00F30CF6" w:rsidP="00CD0F50">
      <w:pPr>
        <w:spacing w:before="240" w:after="240" w:line="360" w:lineRule="auto"/>
        <w:ind w:right="51"/>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Asimismo, como complemento</w:t>
      </w:r>
      <w:r w:rsidR="0076507D" w:rsidRPr="00882E62">
        <w:rPr>
          <w:rFonts w:ascii="Palatino Linotype" w:eastAsia="Palatino Linotype" w:hAnsi="Palatino Linotype" w:cs="Palatino Linotype"/>
          <w:sz w:val="22"/>
          <w:szCs w:val="22"/>
        </w:rPr>
        <w:t>, a t</w:t>
      </w:r>
      <w:r w:rsidRPr="00882E62">
        <w:rPr>
          <w:rFonts w:ascii="Palatino Linotype" w:eastAsia="Palatino Linotype" w:hAnsi="Palatino Linotype" w:cs="Palatino Linotype"/>
          <w:sz w:val="22"/>
          <w:szCs w:val="22"/>
        </w:rPr>
        <w:t xml:space="preserve">ravés del formato PbRM-04c Presupuesto de Egresos Global Calendarizado, se puede advertir la partida </w:t>
      </w:r>
      <w:r w:rsidR="0054415D" w:rsidRPr="00882E62">
        <w:rPr>
          <w:rFonts w:ascii="Palatino Linotype" w:eastAsia="Palatino Linotype" w:hAnsi="Palatino Linotype" w:cs="Palatino Linotype"/>
          <w:sz w:val="22"/>
          <w:szCs w:val="22"/>
        </w:rPr>
        <w:t xml:space="preserve">de </w:t>
      </w:r>
      <w:r w:rsidRPr="00882E62">
        <w:rPr>
          <w:rFonts w:ascii="Palatino Linotype" w:eastAsia="Palatino Linotype" w:hAnsi="Palatino Linotype" w:cs="Palatino Linotype"/>
          <w:sz w:val="22"/>
          <w:szCs w:val="22"/>
        </w:rPr>
        <w:t>gasto</w:t>
      </w:r>
      <w:r w:rsidR="0054415D" w:rsidRPr="00882E62">
        <w:rPr>
          <w:rFonts w:ascii="Palatino Linotype" w:eastAsia="Palatino Linotype" w:hAnsi="Palatino Linotype" w:cs="Palatino Linotype"/>
          <w:sz w:val="22"/>
          <w:szCs w:val="22"/>
        </w:rPr>
        <w:t xml:space="preserve"> genérica</w:t>
      </w:r>
      <w:r w:rsidRPr="00882E62">
        <w:rPr>
          <w:rFonts w:ascii="Palatino Linotype" w:eastAsia="Palatino Linotype" w:hAnsi="Palatino Linotype" w:cs="Palatino Linotype"/>
          <w:sz w:val="22"/>
          <w:szCs w:val="22"/>
        </w:rPr>
        <w:t>, como se ilustra con el mismo ejemplo del Sujeto Obligado</w:t>
      </w:r>
      <w:r w:rsidR="0054415D" w:rsidRPr="00882E62">
        <w:rPr>
          <w:rFonts w:ascii="Palatino Linotype" w:eastAsia="Palatino Linotype" w:hAnsi="Palatino Linotype" w:cs="Palatino Linotype"/>
          <w:sz w:val="22"/>
          <w:szCs w:val="22"/>
        </w:rPr>
        <w:t xml:space="preserve"> respecto del ejercicio 2025</w:t>
      </w:r>
      <w:r w:rsidRPr="00882E62">
        <w:rPr>
          <w:rFonts w:ascii="Palatino Linotype" w:eastAsia="Palatino Linotype" w:hAnsi="Palatino Linotype" w:cs="Palatino Linotype"/>
          <w:sz w:val="22"/>
          <w:szCs w:val="22"/>
        </w:rPr>
        <w:t>:</w:t>
      </w:r>
    </w:p>
    <w:p w14:paraId="3A0E778E" w14:textId="2BC993B5" w:rsidR="00F30CF6" w:rsidRPr="00882E62" w:rsidRDefault="0054415D" w:rsidP="0054415D">
      <w:pPr>
        <w:spacing w:before="240" w:after="240" w:line="360" w:lineRule="auto"/>
        <w:ind w:right="51"/>
        <w:jc w:val="center"/>
        <w:rPr>
          <w:rFonts w:ascii="Palatino Linotype" w:eastAsia="Palatino Linotype" w:hAnsi="Palatino Linotype" w:cs="Palatino Linotype"/>
          <w:sz w:val="22"/>
          <w:szCs w:val="22"/>
        </w:rPr>
      </w:pPr>
      <w:r w:rsidRPr="00882E62">
        <w:rPr>
          <w:rFonts w:ascii="Palatino Linotype" w:hAnsi="Palatino Linotype"/>
          <w:noProof/>
          <w:sz w:val="22"/>
          <w:szCs w:val="22"/>
        </w:rPr>
        <w:drawing>
          <wp:inline distT="0" distB="0" distL="0" distR="0" wp14:anchorId="12A34403" wp14:editId="6D3F2DB6">
            <wp:extent cx="4860000" cy="1966440"/>
            <wp:effectExtent l="0" t="0" r="0" b="0"/>
            <wp:docPr id="8575372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537231" name=""/>
                    <pic:cNvPicPr/>
                  </pic:nvPicPr>
                  <pic:blipFill>
                    <a:blip r:embed="rId17"/>
                    <a:stretch>
                      <a:fillRect/>
                    </a:stretch>
                  </pic:blipFill>
                  <pic:spPr>
                    <a:xfrm>
                      <a:off x="0" y="0"/>
                      <a:ext cx="4860000" cy="1966440"/>
                    </a:xfrm>
                    <a:prstGeom prst="rect">
                      <a:avLst/>
                    </a:prstGeom>
                  </pic:spPr>
                </pic:pic>
              </a:graphicData>
            </a:graphic>
          </wp:inline>
        </w:drawing>
      </w:r>
    </w:p>
    <w:p w14:paraId="585901C2" w14:textId="43B0E310" w:rsidR="0076507D" w:rsidRPr="00882E62" w:rsidRDefault="0076507D" w:rsidP="0076507D">
      <w:pPr>
        <w:spacing w:before="240" w:after="240" w:line="360" w:lineRule="auto"/>
        <w:ind w:right="51"/>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Por consiguiente, con la entrega de los formatos PbRM-05 Tabulador de Sueldos y PbRM-04c Presupuesto de Egresos Global Calendarizado de los ejercicios 2021 a 2025, se atienden los pun</w:t>
      </w:r>
      <w:r w:rsidR="00D57004" w:rsidRPr="00882E62">
        <w:rPr>
          <w:rFonts w:ascii="Palatino Linotype" w:eastAsia="Palatino Linotype" w:hAnsi="Palatino Linotype" w:cs="Palatino Linotype"/>
          <w:sz w:val="22"/>
          <w:szCs w:val="22"/>
        </w:rPr>
        <w:t>tos 1, 2, 4 y 5 de la solicitud, los cuales deberán entregarse en formato Excel, PDF, o en el que se hubiera generado.</w:t>
      </w:r>
    </w:p>
    <w:p w14:paraId="4D2617C8" w14:textId="236915BC" w:rsidR="001F020A" w:rsidRPr="00882E62" w:rsidRDefault="001F020A" w:rsidP="008D3E43">
      <w:pPr>
        <w:widowControl w:val="0"/>
        <w:spacing w:before="240" w:after="240" w:line="360" w:lineRule="auto"/>
        <w:jc w:val="both"/>
        <w:rPr>
          <w:rFonts w:ascii="Palatino Linotype" w:hAnsi="Palatino Linotype"/>
          <w:sz w:val="22"/>
          <w:szCs w:val="22"/>
        </w:rPr>
      </w:pPr>
      <w:r w:rsidRPr="00882E62">
        <w:rPr>
          <w:rFonts w:ascii="Palatino Linotype" w:eastAsia="Palatino Linotype" w:hAnsi="Palatino Linotype" w:cs="Palatino Linotype"/>
          <w:sz w:val="22"/>
          <w:szCs w:val="22"/>
        </w:rPr>
        <w:t xml:space="preserve">Por otro lado, por lo que se refiere al </w:t>
      </w:r>
      <w:r w:rsidRPr="00882E62">
        <w:rPr>
          <w:rFonts w:ascii="Palatino Linotype" w:eastAsia="Palatino Linotype" w:hAnsi="Palatino Linotype" w:cs="Palatino Linotype"/>
          <w:b/>
          <w:bCs/>
          <w:sz w:val="22"/>
          <w:szCs w:val="22"/>
        </w:rPr>
        <w:t>punto 3,</w:t>
      </w:r>
      <w:r w:rsidRPr="00882E62">
        <w:rPr>
          <w:rFonts w:ascii="Palatino Linotype" w:eastAsia="Palatino Linotype" w:hAnsi="Palatino Linotype" w:cs="Palatino Linotype"/>
          <w:sz w:val="22"/>
          <w:szCs w:val="22"/>
        </w:rPr>
        <w:t xml:space="preserve"> relativo al contrato colectivo de trabajo, </w:t>
      </w:r>
      <w:r w:rsidR="008D3E43" w:rsidRPr="00882E62">
        <w:rPr>
          <w:rFonts w:ascii="Palatino Linotype" w:eastAsia="Palatino Linotype" w:hAnsi="Palatino Linotype" w:cs="Palatino Linotype"/>
          <w:sz w:val="22"/>
          <w:szCs w:val="22"/>
        </w:rPr>
        <w:t>se menciona que de conformidad con los artículos 54 y 58 de la Ley Trabajo de los Servidores Públicos c</w:t>
      </w:r>
      <w:r w:rsidR="008D3E43" w:rsidRPr="00882E62">
        <w:rPr>
          <w:rFonts w:ascii="Palatino Linotype" w:hAnsi="Palatino Linotype"/>
          <w:sz w:val="22"/>
          <w:szCs w:val="22"/>
        </w:rPr>
        <w:t xml:space="preserve">ada institución pública o, en su caso, dependencia, en razón de la naturaleza de sus funciones, contará con un Reglamento de Condiciones Generales de Trabajo aplicables a los servidores públicos sindicalizados y generales. Las instituciones o dependencias públicas que no cuenten con documento que avale las condiciones generales de trabajo aplicables, deberán estar a lo establecido por esta ley, </w:t>
      </w:r>
      <w:r w:rsidR="008D3E43" w:rsidRPr="00882E62">
        <w:rPr>
          <w:rFonts w:ascii="Palatino Linotype" w:hAnsi="Palatino Linotype"/>
          <w:bCs/>
          <w:sz w:val="22"/>
          <w:szCs w:val="22"/>
        </w:rPr>
        <w:t xml:space="preserve">en caso de que el reglamento sea para sindicalizados se hará de común acuerdo con el sindicato, </w:t>
      </w:r>
      <w:r w:rsidR="008D3E43" w:rsidRPr="00882E62">
        <w:rPr>
          <w:rFonts w:ascii="Palatino Linotype" w:hAnsi="Palatino Linotype"/>
          <w:b/>
          <w:bCs/>
          <w:sz w:val="22"/>
          <w:szCs w:val="22"/>
        </w:rPr>
        <w:t xml:space="preserve">dichos reglamentos </w:t>
      </w:r>
      <w:r w:rsidR="008D3E43" w:rsidRPr="00882E62">
        <w:rPr>
          <w:rFonts w:ascii="Palatino Linotype" w:hAnsi="Palatino Linotype"/>
          <w:b/>
          <w:bCs/>
          <w:sz w:val="22"/>
          <w:szCs w:val="22"/>
          <w:u w:val="single"/>
        </w:rPr>
        <w:t>tendrán una duración de tres años</w:t>
      </w:r>
      <w:r w:rsidR="008D3E43" w:rsidRPr="00882E62">
        <w:rPr>
          <w:rFonts w:ascii="Palatino Linotype" w:hAnsi="Palatino Linotype"/>
          <w:bCs/>
          <w:sz w:val="22"/>
          <w:szCs w:val="22"/>
        </w:rPr>
        <w:t xml:space="preserve"> y podrán ratificarse o modificarse a su término;</w:t>
      </w:r>
      <w:r w:rsidR="008D3E43" w:rsidRPr="00882E62">
        <w:rPr>
          <w:rFonts w:ascii="Palatino Linotype" w:hAnsi="Palatino Linotype"/>
          <w:b/>
          <w:sz w:val="22"/>
          <w:szCs w:val="22"/>
        </w:rPr>
        <w:t xml:space="preserve"> los Convenios de sueldos y prestaciones celebrados con el Sindicato se aplicarán sólo a los trabajadores miembros y reconocidos por la agrupación Sindical</w:t>
      </w:r>
      <w:r w:rsidR="008D3E43" w:rsidRPr="00882E62">
        <w:rPr>
          <w:rFonts w:ascii="Palatino Linotype" w:hAnsi="Palatino Linotype"/>
          <w:sz w:val="22"/>
          <w:szCs w:val="22"/>
        </w:rPr>
        <w:t xml:space="preserve"> de conformidad con la normatividad aplicable; asimismo, </w:t>
      </w:r>
      <w:r w:rsidR="008D3E43" w:rsidRPr="00882E62">
        <w:rPr>
          <w:rFonts w:ascii="Palatino Linotype" w:hAnsi="Palatino Linotype"/>
          <w:b/>
          <w:sz w:val="22"/>
          <w:szCs w:val="22"/>
        </w:rPr>
        <w:t xml:space="preserve">las condiciones generales de trabajo surten efecto </w:t>
      </w:r>
      <w:r w:rsidR="008D3E43" w:rsidRPr="00882E62">
        <w:rPr>
          <w:rFonts w:ascii="Palatino Linotype" w:hAnsi="Palatino Linotype"/>
          <w:b/>
          <w:sz w:val="22"/>
          <w:szCs w:val="22"/>
          <w:u w:val="single"/>
        </w:rPr>
        <w:t xml:space="preserve">a partir de su depósito en el Tribunal </w:t>
      </w:r>
      <w:r w:rsidR="008D3E43" w:rsidRPr="00882E62">
        <w:rPr>
          <w:rFonts w:ascii="Palatino Linotype" w:eastAsia="Palatino Linotype" w:hAnsi="Palatino Linotype" w:cs="Palatino Linotype"/>
          <w:b/>
          <w:sz w:val="22"/>
          <w:szCs w:val="22"/>
          <w:u w:val="single"/>
        </w:rPr>
        <w:t>Estatal de Conciliación y Arbitraje</w:t>
      </w:r>
      <w:r w:rsidR="008D3E43" w:rsidRPr="00882E62">
        <w:rPr>
          <w:rFonts w:ascii="Palatino Linotype" w:hAnsi="Palatino Linotype"/>
          <w:sz w:val="22"/>
          <w:szCs w:val="22"/>
        </w:rPr>
        <w:t>.</w:t>
      </w:r>
    </w:p>
    <w:p w14:paraId="6B499E2E" w14:textId="6DBAD9D5" w:rsidR="00BB0BA6" w:rsidRPr="00882E62" w:rsidRDefault="008D3E43" w:rsidP="00BB0BA6">
      <w:pPr>
        <w:spacing w:before="240" w:after="240" w:line="360" w:lineRule="auto"/>
        <w:ind w:right="51"/>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 xml:space="preserve">Asimismo, no obsta mencionar </w:t>
      </w:r>
      <w:proofErr w:type="gramStart"/>
      <w:r w:rsidRPr="00882E62">
        <w:rPr>
          <w:rFonts w:ascii="Palatino Linotype" w:eastAsia="Palatino Linotype" w:hAnsi="Palatino Linotype" w:cs="Palatino Linotype"/>
          <w:sz w:val="22"/>
          <w:szCs w:val="22"/>
        </w:rPr>
        <w:t>que</w:t>
      </w:r>
      <w:proofErr w:type="gramEnd"/>
      <w:r w:rsidRPr="00882E62">
        <w:rPr>
          <w:rFonts w:ascii="Palatino Linotype" w:eastAsia="Palatino Linotype" w:hAnsi="Palatino Linotype" w:cs="Palatino Linotype"/>
          <w:sz w:val="22"/>
          <w:szCs w:val="22"/>
        </w:rPr>
        <w:t xml:space="preserve"> derivado del análisis realizado por este Organismo Garante, se localizó, en </w:t>
      </w:r>
      <w:r w:rsidR="008B40DC" w:rsidRPr="00882E62">
        <w:rPr>
          <w:rFonts w:ascii="Palatino Linotype" w:eastAsia="Palatino Linotype" w:hAnsi="Palatino Linotype" w:cs="Palatino Linotype"/>
          <w:sz w:val="22"/>
          <w:szCs w:val="22"/>
        </w:rPr>
        <w:t xml:space="preserve">el perfil oficial de </w:t>
      </w:r>
      <w:r w:rsidR="00BF4A76" w:rsidRPr="00882E62">
        <w:rPr>
          <w:rFonts w:ascii="Palatino Linotype" w:eastAsia="Palatino Linotype" w:hAnsi="Palatino Linotype" w:cs="Palatino Linotype"/>
          <w:sz w:val="22"/>
          <w:szCs w:val="22"/>
        </w:rPr>
        <w:t>S</w:t>
      </w:r>
      <w:r w:rsidRPr="00882E62">
        <w:rPr>
          <w:rFonts w:ascii="Palatino Linotype" w:eastAsia="Palatino Linotype" w:hAnsi="Palatino Linotype" w:cs="Palatino Linotype"/>
          <w:sz w:val="22"/>
          <w:szCs w:val="22"/>
        </w:rPr>
        <w:t>indicato Único de Trabajadores de los Poderes, Municipios e Instituciones Descentralizadas del Estado de México, SUTEYM,</w:t>
      </w:r>
      <w:r w:rsidR="00BF4A76" w:rsidRPr="00882E62">
        <w:rPr>
          <w:rFonts w:ascii="Palatino Linotype" w:eastAsia="Palatino Linotype" w:hAnsi="Palatino Linotype" w:cs="Palatino Linotype"/>
          <w:sz w:val="22"/>
          <w:szCs w:val="22"/>
        </w:rPr>
        <w:t xml:space="preserve"> </w:t>
      </w:r>
      <w:r w:rsidR="008B40DC" w:rsidRPr="00882E62">
        <w:rPr>
          <w:rFonts w:ascii="Palatino Linotype" w:eastAsia="Palatino Linotype" w:hAnsi="Palatino Linotype" w:cs="Palatino Linotype"/>
          <w:sz w:val="22"/>
          <w:szCs w:val="22"/>
        </w:rPr>
        <w:t xml:space="preserve">de </w:t>
      </w:r>
      <w:r w:rsidR="00BF4A76" w:rsidRPr="00882E62">
        <w:rPr>
          <w:rFonts w:ascii="Palatino Linotype" w:eastAsia="Palatino Linotype" w:hAnsi="Palatino Linotype" w:cs="Palatino Linotype"/>
          <w:sz w:val="22"/>
          <w:szCs w:val="22"/>
        </w:rPr>
        <w:t>la red social Facebook,</w:t>
      </w:r>
      <w:r w:rsidRPr="00882E62">
        <w:rPr>
          <w:rFonts w:ascii="Palatino Linotype" w:eastAsia="Palatino Linotype" w:hAnsi="Palatino Linotype" w:cs="Palatino Linotype"/>
          <w:sz w:val="22"/>
          <w:szCs w:val="22"/>
        </w:rPr>
        <w:t xml:space="preserve"> </w:t>
      </w:r>
      <w:r w:rsidR="00BF4A76" w:rsidRPr="00882E62">
        <w:rPr>
          <w:rFonts w:ascii="Palatino Linotype" w:eastAsia="Palatino Linotype" w:hAnsi="Palatino Linotype" w:cs="Palatino Linotype"/>
          <w:sz w:val="22"/>
          <w:szCs w:val="22"/>
        </w:rPr>
        <w:t>l</w:t>
      </w:r>
      <w:r w:rsidRPr="00882E62">
        <w:rPr>
          <w:rFonts w:ascii="Palatino Linotype" w:eastAsia="Palatino Linotype" w:hAnsi="Palatino Linotype" w:cs="Palatino Linotype"/>
          <w:sz w:val="22"/>
          <w:szCs w:val="22"/>
        </w:rPr>
        <w:t>a publicación que hace referencia a firma del Convenio de Sueldo y Prestaciones</w:t>
      </w:r>
      <w:r w:rsidR="00BB0BA6" w:rsidRPr="00882E62">
        <w:rPr>
          <w:rFonts w:ascii="Palatino Linotype" w:eastAsia="Palatino Linotype" w:hAnsi="Palatino Linotype" w:cs="Palatino Linotype"/>
          <w:sz w:val="22"/>
          <w:szCs w:val="22"/>
        </w:rPr>
        <w:t xml:space="preserve"> 2022, el </w:t>
      </w:r>
      <w:r w:rsidR="008B40DC" w:rsidRPr="00882E62">
        <w:rPr>
          <w:rFonts w:ascii="Palatino Linotype" w:eastAsia="Palatino Linotype" w:hAnsi="Palatino Linotype" w:cs="Palatino Linotype"/>
          <w:sz w:val="22"/>
          <w:szCs w:val="22"/>
        </w:rPr>
        <w:t>dieci</w:t>
      </w:r>
      <w:r w:rsidR="00BB0BA6" w:rsidRPr="00882E62">
        <w:rPr>
          <w:rFonts w:ascii="Palatino Linotype" w:eastAsia="Palatino Linotype" w:hAnsi="Palatino Linotype" w:cs="Palatino Linotype"/>
          <w:sz w:val="22"/>
          <w:szCs w:val="22"/>
        </w:rPr>
        <w:t>ocho de mayo de dos mil veintidós, por parte del Sindicato y el Ayuntamiento de Tecámac, como se ilustra a continuación:</w:t>
      </w:r>
    </w:p>
    <w:p w14:paraId="02462E4B" w14:textId="77777777" w:rsidR="00BB0BA6" w:rsidRPr="00882E62" w:rsidRDefault="00BB0BA6" w:rsidP="00BB0BA6">
      <w:pPr>
        <w:spacing w:before="240" w:after="240" w:line="360" w:lineRule="auto"/>
        <w:ind w:right="51"/>
        <w:jc w:val="center"/>
        <w:rPr>
          <w:rFonts w:ascii="Palatino Linotype" w:eastAsia="Palatino Linotype" w:hAnsi="Palatino Linotype" w:cs="Palatino Linotype"/>
          <w:sz w:val="22"/>
          <w:szCs w:val="22"/>
        </w:rPr>
      </w:pPr>
      <w:r w:rsidRPr="00882E62">
        <w:rPr>
          <w:noProof/>
          <w:sz w:val="22"/>
          <w:szCs w:val="22"/>
        </w:rPr>
        <w:drawing>
          <wp:inline distT="0" distB="0" distL="0" distR="0" wp14:anchorId="6DDAFE3D" wp14:editId="3FFA0B0F">
            <wp:extent cx="3960000" cy="1597145"/>
            <wp:effectExtent l="0" t="0" r="2540" b="3175"/>
            <wp:docPr id="18195784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578499" name=""/>
                    <pic:cNvPicPr/>
                  </pic:nvPicPr>
                  <pic:blipFill rotWithShape="1">
                    <a:blip r:embed="rId18"/>
                    <a:srcRect b="63114"/>
                    <a:stretch>
                      <a:fillRect/>
                    </a:stretch>
                  </pic:blipFill>
                  <pic:spPr bwMode="auto">
                    <a:xfrm>
                      <a:off x="0" y="0"/>
                      <a:ext cx="3960000" cy="1597145"/>
                    </a:xfrm>
                    <a:prstGeom prst="rect">
                      <a:avLst/>
                    </a:prstGeom>
                    <a:ln>
                      <a:noFill/>
                    </a:ln>
                    <a:extLst>
                      <a:ext uri="{53640926-AAD7-44D8-BBD7-CCE9431645EC}">
                        <a14:shadowObscured xmlns:a14="http://schemas.microsoft.com/office/drawing/2010/main"/>
                      </a:ext>
                    </a:extLst>
                  </pic:spPr>
                </pic:pic>
              </a:graphicData>
            </a:graphic>
          </wp:inline>
        </w:drawing>
      </w:r>
    </w:p>
    <w:p w14:paraId="7C5161F5" w14:textId="336A3185" w:rsidR="008D3E43" w:rsidRPr="00882E62" w:rsidRDefault="00BB0BA6" w:rsidP="008B40DC">
      <w:pPr>
        <w:spacing w:before="240" w:after="240" w:line="360" w:lineRule="auto"/>
        <w:ind w:right="51"/>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De igual forma,</w:t>
      </w:r>
      <w:r w:rsidR="008B40DC" w:rsidRPr="00882E62">
        <w:rPr>
          <w:rFonts w:ascii="Palatino Linotype" w:eastAsia="Palatino Linotype" w:hAnsi="Palatino Linotype" w:cs="Palatino Linotype"/>
          <w:sz w:val="22"/>
          <w:szCs w:val="22"/>
        </w:rPr>
        <w:t xml:space="preserve"> fue localizada la </w:t>
      </w:r>
      <w:r w:rsidRPr="00882E62">
        <w:rPr>
          <w:rFonts w:ascii="Palatino Linotype" w:eastAsia="Palatino Linotype" w:hAnsi="Palatino Linotype" w:cs="Palatino Linotype"/>
          <w:sz w:val="22"/>
          <w:szCs w:val="22"/>
        </w:rPr>
        <w:t xml:space="preserve">celebración del Convenio de </w:t>
      </w:r>
      <w:r w:rsidR="008B40DC" w:rsidRPr="00882E62">
        <w:rPr>
          <w:rFonts w:ascii="Palatino Linotype" w:eastAsia="Palatino Linotype" w:hAnsi="Palatino Linotype" w:cs="Palatino Linotype"/>
          <w:sz w:val="22"/>
          <w:szCs w:val="22"/>
        </w:rPr>
        <w:t>S</w:t>
      </w:r>
      <w:r w:rsidRPr="00882E62">
        <w:rPr>
          <w:rFonts w:ascii="Palatino Linotype" w:eastAsia="Palatino Linotype" w:hAnsi="Palatino Linotype" w:cs="Palatino Linotype"/>
          <w:sz w:val="22"/>
          <w:szCs w:val="22"/>
        </w:rPr>
        <w:t xml:space="preserve">ueldo y </w:t>
      </w:r>
      <w:r w:rsidR="008B40DC" w:rsidRPr="00882E62">
        <w:rPr>
          <w:rFonts w:ascii="Palatino Linotype" w:eastAsia="Palatino Linotype" w:hAnsi="Palatino Linotype" w:cs="Palatino Linotype"/>
          <w:sz w:val="22"/>
          <w:szCs w:val="22"/>
        </w:rPr>
        <w:t>P</w:t>
      </w:r>
      <w:r w:rsidRPr="00882E62">
        <w:rPr>
          <w:rFonts w:ascii="Palatino Linotype" w:eastAsia="Palatino Linotype" w:hAnsi="Palatino Linotype" w:cs="Palatino Linotype"/>
          <w:sz w:val="22"/>
          <w:szCs w:val="22"/>
        </w:rPr>
        <w:t>restaciones</w:t>
      </w:r>
      <w:r w:rsidR="008D3E43" w:rsidRPr="00882E62">
        <w:rPr>
          <w:rFonts w:ascii="Palatino Linotype" w:eastAsia="Palatino Linotype" w:hAnsi="Palatino Linotype" w:cs="Palatino Linotype"/>
          <w:sz w:val="22"/>
          <w:szCs w:val="22"/>
        </w:rPr>
        <w:t xml:space="preserve"> </w:t>
      </w:r>
      <w:proofErr w:type="spellStart"/>
      <w:r w:rsidR="008D3E43" w:rsidRPr="00882E62">
        <w:rPr>
          <w:rFonts w:ascii="Palatino Linotype" w:eastAsia="Palatino Linotype" w:hAnsi="Palatino Linotype" w:cs="Palatino Linotype"/>
          <w:sz w:val="22"/>
          <w:szCs w:val="22"/>
        </w:rPr>
        <w:t>Socioeconomicas</w:t>
      </w:r>
      <w:proofErr w:type="spellEnd"/>
      <w:r w:rsidR="008D3E43" w:rsidRPr="00882E62">
        <w:rPr>
          <w:rFonts w:ascii="Palatino Linotype" w:eastAsia="Palatino Linotype" w:hAnsi="Palatino Linotype" w:cs="Palatino Linotype"/>
          <w:sz w:val="22"/>
          <w:szCs w:val="22"/>
        </w:rPr>
        <w:t>, 2025, por parte del Sindicato y el Ayuntamiento de Tecámac, el veintiocho de abril de dos mil veinticinco, como se muestra a continuación:</w:t>
      </w:r>
    </w:p>
    <w:p w14:paraId="66408C72" w14:textId="7CF97E1A" w:rsidR="008B40DC" w:rsidRPr="00882E62" w:rsidRDefault="008B40DC" w:rsidP="00BB0BA6">
      <w:pPr>
        <w:widowControl w:val="0"/>
        <w:spacing w:before="240" w:after="240" w:line="360" w:lineRule="auto"/>
        <w:jc w:val="center"/>
        <w:rPr>
          <w:rFonts w:ascii="Palatino Linotype" w:eastAsia="Palatino Linotype" w:hAnsi="Palatino Linotype" w:cs="Palatino Linotype"/>
          <w:b/>
          <w:sz w:val="22"/>
          <w:szCs w:val="22"/>
          <w:u w:val="single"/>
        </w:rPr>
      </w:pPr>
      <w:r w:rsidRPr="00882E62">
        <w:rPr>
          <w:noProof/>
          <w:sz w:val="22"/>
          <w:szCs w:val="22"/>
        </w:rPr>
        <w:drawing>
          <wp:inline distT="0" distB="0" distL="0" distR="0" wp14:anchorId="0A679F83" wp14:editId="5212F8A0">
            <wp:extent cx="3958590" cy="1594713"/>
            <wp:effectExtent l="0" t="0" r="3810" b="5715"/>
            <wp:docPr id="10942289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228953" name=""/>
                    <pic:cNvPicPr/>
                  </pic:nvPicPr>
                  <pic:blipFill rotWithShape="1">
                    <a:blip r:embed="rId19"/>
                    <a:srcRect b="-977"/>
                    <a:stretch>
                      <a:fillRect/>
                    </a:stretch>
                  </pic:blipFill>
                  <pic:spPr bwMode="auto">
                    <a:xfrm>
                      <a:off x="0" y="0"/>
                      <a:ext cx="3960000" cy="1595281"/>
                    </a:xfrm>
                    <a:prstGeom prst="rect">
                      <a:avLst/>
                    </a:prstGeom>
                    <a:ln>
                      <a:noFill/>
                    </a:ln>
                    <a:extLst>
                      <a:ext uri="{53640926-AAD7-44D8-BBD7-CCE9431645EC}">
                        <a14:shadowObscured xmlns:a14="http://schemas.microsoft.com/office/drawing/2010/main"/>
                      </a:ext>
                    </a:extLst>
                  </pic:spPr>
                </pic:pic>
              </a:graphicData>
            </a:graphic>
          </wp:inline>
        </w:drawing>
      </w:r>
    </w:p>
    <w:p w14:paraId="0F81072B" w14:textId="5401635A" w:rsidR="00BB0BA6" w:rsidRPr="00882E62" w:rsidRDefault="00BB0BA6" w:rsidP="00CD0F50">
      <w:pPr>
        <w:spacing w:before="240" w:after="240" w:line="360" w:lineRule="auto"/>
        <w:ind w:right="51"/>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Con base en las imágenes anteriores se concluye que la información que corresponde con la materia de la solicitud, si fue generada por el Sindicato y el ayuntamiento, siendo procedente, por tanto, ordenar la entrega del sopo</w:t>
      </w:r>
      <w:r w:rsidR="00D57004" w:rsidRPr="00882E62">
        <w:rPr>
          <w:rFonts w:ascii="Palatino Linotype" w:eastAsia="Palatino Linotype" w:hAnsi="Palatino Linotype" w:cs="Palatino Linotype"/>
          <w:sz w:val="22"/>
          <w:szCs w:val="22"/>
        </w:rPr>
        <w:t>rte documental correspondiente, en formato Excel, PDF, o en el que se hubiera generado.</w:t>
      </w:r>
    </w:p>
    <w:p w14:paraId="4B84DFEA" w14:textId="4A7EE37C" w:rsidR="00BB0BA6" w:rsidRPr="00882E62" w:rsidRDefault="00BB0BA6" w:rsidP="00BB0BA6">
      <w:pPr>
        <w:spacing w:before="240" w:after="240" w:line="360" w:lineRule="auto"/>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Robustece lo anterior la tesis I.7o.A.16 K (10a.)</w:t>
      </w:r>
      <w:r w:rsidRPr="00882E62">
        <w:rPr>
          <w:rFonts w:ascii="Palatino Linotype" w:eastAsia="Palatino Linotype" w:hAnsi="Palatino Linotype" w:cs="Palatino Linotype"/>
          <w:sz w:val="22"/>
          <w:szCs w:val="22"/>
          <w:vertAlign w:val="superscript"/>
        </w:rPr>
        <w:footnoteReference w:id="1"/>
      </w:r>
      <w:r w:rsidRPr="00882E62">
        <w:rPr>
          <w:rFonts w:ascii="Palatino Linotype" w:eastAsia="Palatino Linotype" w:hAnsi="Palatino Linotype" w:cs="Palatino Linotype"/>
          <w:sz w:val="22"/>
          <w:szCs w:val="22"/>
        </w:rPr>
        <w:t xml:space="preserve"> sustentada por el Séptimo Tribunal Colegiado en Materia Administrativa del Primer Circuito, cuyo rubro y texto son del tenor siguiente:</w:t>
      </w:r>
    </w:p>
    <w:p w14:paraId="438EF172" w14:textId="77777777" w:rsidR="00BB0BA6" w:rsidRPr="00882E62" w:rsidRDefault="00BB0BA6" w:rsidP="00BB0BA6">
      <w:pPr>
        <w:tabs>
          <w:tab w:val="left" w:pos="851"/>
        </w:tabs>
        <w:spacing w:before="120" w:after="120"/>
        <w:ind w:left="851" w:right="902"/>
        <w:jc w:val="both"/>
        <w:rPr>
          <w:rFonts w:ascii="Palatino Linotype" w:eastAsia="Palatino Linotype" w:hAnsi="Palatino Linotype" w:cs="Palatino Linotype"/>
          <w:i/>
          <w:sz w:val="22"/>
          <w:szCs w:val="22"/>
        </w:rPr>
      </w:pPr>
      <w:r w:rsidRPr="00882E62">
        <w:rPr>
          <w:rFonts w:ascii="Palatino Linotype" w:eastAsia="Palatino Linotype" w:hAnsi="Palatino Linotype" w:cs="Palatino Linotype"/>
          <w:b/>
          <w:i/>
          <w:sz w:val="22"/>
          <w:szCs w:val="22"/>
        </w:rPr>
        <w:t xml:space="preserve">“IMPROCEDENCIA DEL JUICIO DE AMPARO. EL JUEZ DE DISTRITO O EL TRIBUNAL COLEGIADO DE CIRCUITO, PARA RESOLVER O NO ALGUNA CAUSAL RELATIVA, CUANDO EXISTA UN INDICIO SOBRE SU EXISTENCIA, VÁLIDAMENTE PUEDE CONSULTAR LA INFORMACIÓN QUE APARECE EN LOS SITIOS O PÁGINAS ELECTRÓNICAS DE LAS DEPENDENCIAS OFICIALES, AL CONSTITUIR ÉSTA UN HECHO NOTORIO. </w:t>
      </w:r>
      <w:r w:rsidRPr="00882E62">
        <w:rPr>
          <w:rFonts w:ascii="Palatino Linotype" w:eastAsia="Palatino Linotype" w:hAnsi="Palatino Linotype" w:cs="Palatino Linotype"/>
          <w:i/>
          <w:sz w:val="22"/>
          <w:szCs w:val="22"/>
        </w:rPr>
        <w:t xml:space="preserve">La Primera Sala de la Suprema Corte de Justicia de la Nación, en la jurisprudencia 1ª./ J. 163/2005, publicada en el Semanario Judicial de la Federación y su Gaceta, Novena </w:t>
      </w:r>
      <w:proofErr w:type="gramStart"/>
      <w:r w:rsidRPr="00882E62">
        <w:rPr>
          <w:rFonts w:ascii="Palatino Linotype" w:eastAsia="Palatino Linotype" w:hAnsi="Palatino Linotype" w:cs="Palatino Linotype"/>
          <w:i/>
          <w:sz w:val="22"/>
          <w:szCs w:val="22"/>
        </w:rPr>
        <w:t>Época,  Tomo</w:t>
      </w:r>
      <w:proofErr w:type="gramEnd"/>
      <w:r w:rsidRPr="00882E62">
        <w:rPr>
          <w:rFonts w:ascii="Palatino Linotype" w:eastAsia="Palatino Linotype" w:hAnsi="Palatino Linotype" w:cs="Palatino Linotype"/>
          <w:i/>
          <w:sz w:val="22"/>
          <w:szCs w:val="22"/>
        </w:rPr>
        <w:t xml:space="preserve"> XXIII, enero de 2006, página 319, del rubro: “Improcedencia del juicio de amparo. Ante la existencia de algún indicio de una causal de esa naturaleza, el juzgador debe indagar o recabar de oficio pruebas necesarias para así estar en posibilidad de determinar fehacientemente si opera o no esa causal”, impuso la obligación al juzgador de amparo, de allegarse de oficio, las pruebas necesarias para resolver si se actualiza o no alguna causal de improcedencia cuando exista un indicio sobre su posible existencia, por traerse de una cuestión de orden público y de estudio preferente al fondo del asunto. </w:t>
      </w:r>
      <w:r w:rsidRPr="00882E62">
        <w:rPr>
          <w:rFonts w:ascii="Palatino Linotype" w:eastAsia="Palatino Linotype" w:hAnsi="Palatino Linotype" w:cs="Palatino Linotype"/>
          <w:b/>
          <w:i/>
          <w:sz w:val="22"/>
          <w:szCs w:val="22"/>
        </w:rPr>
        <w:t>Por otra parte, la información que aparece en las páginas o en sitios electrónicos de las dependencias oficiales conforme  al artículo 88 del Código Federal de Procedimientos Civiles de aplicación supletoria a la ley de la materia, constituye un hecho notorio que puede invocar el Juez de Distrito o el Tribunal Colegiado de Circuito para desarrollar su actividad jurisdiccional,</w:t>
      </w:r>
      <w:r w:rsidRPr="00882E62">
        <w:rPr>
          <w:rFonts w:ascii="Palatino Linotype" w:eastAsia="Palatino Linotype" w:hAnsi="Palatino Linotype" w:cs="Palatino Linotype"/>
          <w:i/>
          <w:sz w:val="22"/>
          <w:szCs w:val="22"/>
        </w:rPr>
        <w:t xml:space="preserve"> ya que su consulta es de fácil acceso para el público en general, pues basta con ingresar a la página oficial respectiva y proporcionar los datos que aparecen en los documentos aportados en el juicio para consultar y verificar la veracidad de la información respectiva, máxime si el propio quejoso o persona autorizada por este es quien previamente proporciono a la dependencia oficial la información necesaria para realizar el trámite correspondiente; información que se almacena en una base de datos y, posteriormente, se genera y consulta a través de medios electrónicos, en aquellos casos que así se actualiza o no una causal de improcedencia, de oficio, consulte y verifique la información generada por medios electrónicos oficiales. Lo anterior se estima congruente con el principio constitucional de acceso a la justicia, sin que pretenda deslindarse a las partes de las cargas probatorias correspondientes, porque se trata únicamente de conocer plenamente si opera o no alguna causal de improcedencia, cuando exista un indicio sobre su existencia. “</w:t>
      </w:r>
    </w:p>
    <w:p w14:paraId="4D9C6974" w14:textId="35AC8DF0" w:rsidR="00817A04" w:rsidRPr="00882E62" w:rsidRDefault="00817A04" w:rsidP="00817A0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 xml:space="preserve">De lo hasta aquí expuesto, se concluye que los motivos de inconformidad de la parte </w:t>
      </w:r>
      <w:r w:rsidRPr="00882E62">
        <w:rPr>
          <w:rFonts w:ascii="Palatino Linotype" w:eastAsia="Palatino Linotype" w:hAnsi="Palatino Linotype" w:cs="Palatino Linotype"/>
          <w:b/>
          <w:sz w:val="22"/>
          <w:szCs w:val="22"/>
        </w:rPr>
        <w:t xml:space="preserve">Recurrente </w:t>
      </w:r>
      <w:r w:rsidRPr="00882E62">
        <w:rPr>
          <w:rFonts w:ascii="Palatino Linotype" w:eastAsia="Palatino Linotype" w:hAnsi="Palatino Linotype" w:cs="Palatino Linotype"/>
          <w:sz w:val="22"/>
          <w:szCs w:val="22"/>
        </w:rPr>
        <w:t xml:space="preserve">devienen fundados, siendo procedente </w:t>
      </w:r>
      <w:r w:rsidRPr="00882E62">
        <w:rPr>
          <w:rFonts w:ascii="Palatino Linotype" w:eastAsia="Palatino Linotype" w:hAnsi="Palatino Linotype" w:cs="Palatino Linotype"/>
          <w:bCs/>
          <w:i/>
          <w:sz w:val="22"/>
          <w:szCs w:val="22"/>
        </w:rPr>
        <w:t>Revocar</w:t>
      </w:r>
      <w:r w:rsidRPr="00882E62">
        <w:rPr>
          <w:rFonts w:ascii="Palatino Linotype" w:eastAsia="Palatino Linotype" w:hAnsi="Palatino Linotype" w:cs="Palatino Linotype"/>
          <w:i/>
          <w:sz w:val="22"/>
          <w:szCs w:val="22"/>
        </w:rPr>
        <w:t xml:space="preserve"> </w:t>
      </w:r>
      <w:r w:rsidRPr="00882E62">
        <w:rPr>
          <w:rFonts w:ascii="Palatino Linotype" w:eastAsia="Palatino Linotype" w:hAnsi="Palatino Linotype" w:cs="Palatino Linotype"/>
          <w:sz w:val="22"/>
          <w:szCs w:val="22"/>
        </w:rPr>
        <w:t xml:space="preserve">la respuesta proporcionada por el </w:t>
      </w:r>
      <w:r w:rsidRPr="00882E62">
        <w:rPr>
          <w:rFonts w:ascii="Palatino Linotype" w:eastAsia="Palatino Linotype" w:hAnsi="Palatino Linotype" w:cs="Palatino Linotype"/>
          <w:b/>
          <w:sz w:val="22"/>
          <w:szCs w:val="22"/>
        </w:rPr>
        <w:t xml:space="preserve">Sujeto Obligado </w:t>
      </w:r>
      <w:r w:rsidRPr="00882E62">
        <w:rPr>
          <w:rFonts w:ascii="Palatino Linotype" w:eastAsia="Palatino Linotype" w:hAnsi="Palatino Linotype" w:cs="Palatino Linotype"/>
          <w:sz w:val="22"/>
          <w:szCs w:val="22"/>
        </w:rPr>
        <w:t>en términos del artículo 186 fracción III de la Ley de Transparencia y Acceso a la Información Pública del Estado de México y Municipios.</w:t>
      </w:r>
    </w:p>
    <w:p w14:paraId="04865DE9" w14:textId="77777777" w:rsidR="00817A04" w:rsidRPr="00882E62" w:rsidRDefault="00817A04" w:rsidP="00817A04">
      <w:pPr>
        <w:spacing w:before="240" w:after="240" w:line="360" w:lineRule="auto"/>
        <w:ind w:right="51"/>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b/>
          <w:bCs/>
          <w:sz w:val="22"/>
          <w:szCs w:val="22"/>
        </w:rPr>
        <w:t xml:space="preserve">Quinto. Versión Pública. </w:t>
      </w:r>
      <w:r w:rsidRPr="00882E62">
        <w:rPr>
          <w:rFonts w:ascii="Palatino Linotype" w:eastAsia="Palatino Linotype" w:hAnsi="Palatino Linotype" w:cs="Palatino Linotype"/>
          <w:sz w:val="22"/>
          <w:szCs w:val="22"/>
        </w:rPr>
        <w:t>Como fue debidamente apuntado, el </w:t>
      </w:r>
      <w:r w:rsidRPr="00882E62">
        <w:rPr>
          <w:rFonts w:ascii="Palatino Linotype" w:eastAsia="Palatino Linotype" w:hAnsi="Palatino Linotype" w:cs="Palatino Linotype"/>
          <w:b/>
          <w:bCs/>
          <w:sz w:val="22"/>
          <w:szCs w:val="22"/>
        </w:rPr>
        <w:t>Sujeto Obligado</w:t>
      </w:r>
      <w:r w:rsidRPr="00882E62">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31CD7429" w14:textId="77777777" w:rsidR="00817A04" w:rsidRPr="00882E62" w:rsidRDefault="00817A04" w:rsidP="00817A04">
      <w:pPr>
        <w:spacing w:before="240" w:after="240" w:line="360" w:lineRule="auto"/>
        <w:ind w:right="49"/>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31EE0B6F" w14:textId="77777777" w:rsidR="00817A04" w:rsidRPr="00882E62" w:rsidRDefault="00817A04" w:rsidP="00817A04">
      <w:pPr>
        <w:spacing w:before="240" w:after="240" w:line="360" w:lineRule="auto"/>
        <w:ind w:right="49"/>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14396031" w14:textId="77777777" w:rsidR="00817A04" w:rsidRPr="00882E62" w:rsidRDefault="00817A04" w:rsidP="00817A04">
      <w:pPr>
        <w:spacing w:before="240" w:after="240" w:line="360" w:lineRule="auto"/>
        <w:ind w:right="49"/>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vigente establecen:</w:t>
      </w:r>
    </w:p>
    <w:p w14:paraId="782BFA7C" w14:textId="77777777" w:rsidR="00817A04" w:rsidRPr="00882E62" w:rsidRDefault="00817A04" w:rsidP="00817A04">
      <w:pPr>
        <w:spacing w:before="120" w:after="120"/>
        <w:ind w:left="851" w:right="902"/>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sz w:val="22"/>
          <w:szCs w:val="22"/>
        </w:rPr>
        <w:t> </w:t>
      </w:r>
      <w:r w:rsidRPr="00882E62">
        <w:rPr>
          <w:rFonts w:ascii="Palatino Linotype" w:eastAsia="Palatino Linotype" w:hAnsi="Palatino Linotype" w:cs="Palatino Linotype"/>
          <w:i/>
          <w:iCs/>
          <w:sz w:val="22"/>
          <w:szCs w:val="22"/>
        </w:rPr>
        <w:t>“</w:t>
      </w:r>
      <w:r w:rsidRPr="00882E62">
        <w:rPr>
          <w:rFonts w:ascii="Palatino Linotype" w:eastAsia="Palatino Linotype" w:hAnsi="Palatino Linotype" w:cs="Palatino Linotype"/>
          <w:b/>
          <w:bCs/>
          <w:i/>
          <w:iCs/>
          <w:sz w:val="22"/>
          <w:szCs w:val="22"/>
        </w:rPr>
        <w:t>Artículo 3.</w:t>
      </w:r>
      <w:r w:rsidRPr="00882E62">
        <w:rPr>
          <w:rFonts w:ascii="Palatino Linotype" w:eastAsia="Palatino Linotype" w:hAnsi="Palatino Linotype" w:cs="Palatino Linotype"/>
          <w:i/>
          <w:iCs/>
          <w:sz w:val="22"/>
          <w:szCs w:val="22"/>
        </w:rPr>
        <w:t xml:space="preserve"> Para los efectos de la presente Ley se entenderá por:</w:t>
      </w:r>
    </w:p>
    <w:p w14:paraId="4A355A36" w14:textId="77777777" w:rsidR="00817A04" w:rsidRPr="00882E62" w:rsidRDefault="00817A04" w:rsidP="00817A04">
      <w:pPr>
        <w:tabs>
          <w:tab w:val="left" w:pos="1276"/>
        </w:tabs>
        <w:spacing w:before="120" w:after="120"/>
        <w:ind w:left="851" w:right="902"/>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i/>
          <w:iCs/>
          <w:sz w:val="22"/>
          <w:szCs w:val="22"/>
        </w:rPr>
        <w:t>…</w:t>
      </w:r>
    </w:p>
    <w:p w14:paraId="7BD2AA7F" w14:textId="77777777" w:rsidR="00817A04" w:rsidRPr="00882E62" w:rsidRDefault="00817A04" w:rsidP="00817A04">
      <w:pPr>
        <w:tabs>
          <w:tab w:val="left" w:pos="1276"/>
        </w:tabs>
        <w:spacing w:before="120" w:after="120"/>
        <w:ind w:left="851" w:right="902"/>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b/>
          <w:bCs/>
          <w:i/>
          <w:iCs/>
          <w:sz w:val="22"/>
          <w:szCs w:val="22"/>
        </w:rPr>
        <w:t>IX. Datos personales</w:t>
      </w:r>
      <w:r w:rsidRPr="00882E62">
        <w:rPr>
          <w:rFonts w:ascii="Palatino Linotype" w:eastAsia="Palatino Linotype" w:hAnsi="Palatino Linotype" w:cs="Palatino Linotype"/>
          <w:i/>
          <w:iCs/>
          <w:sz w:val="22"/>
          <w:szCs w:val="22"/>
        </w:rPr>
        <w:t>: La información concerniente a una persona, identificada o identificable según lo dispuesto por la Ley de Protección de Datos Personales del Estado de México;</w:t>
      </w:r>
    </w:p>
    <w:p w14:paraId="5BE3C505" w14:textId="77777777" w:rsidR="00817A04" w:rsidRPr="00882E62" w:rsidRDefault="00817A04" w:rsidP="00817A04">
      <w:pPr>
        <w:tabs>
          <w:tab w:val="left" w:pos="1276"/>
        </w:tabs>
        <w:spacing w:before="120" w:after="120"/>
        <w:ind w:left="851" w:right="902"/>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i/>
          <w:iCs/>
          <w:sz w:val="22"/>
          <w:szCs w:val="22"/>
        </w:rPr>
        <w:t>…</w:t>
      </w:r>
    </w:p>
    <w:p w14:paraId="4C0A2676" w14:textId="77777777" w:rsidR="00817A04" w:rsidRPr="00882E62" w:rsidRDefault="00817A04" w:rsidP="00817A04">
      <w:pPr>
        <w:tabs>
          <w:tab w:val="left" w:pos="1276"/>
        </w:tabs>
        <w:spacing w:before="120" w:after="120"/>
        <w:ind w:left="851" w:right="902"/>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b/>
          <w:bCs/>
          <w:i/>
          <w:iCs/>
          <w:sz w:val="22"/>
          <w:szCs w:val="22"/>
        </w:rPr>
        <w:t>XX. Información clasificada</w:t>
      </w:r>
      <w:r w:rsidRPr="00882E62">
        <w:rPr>
          <w:rFonts w:ascii="Palatino Linotype" w:eastAsia="Palatino Linotype" w:hAnsi="Palatino Linotype" w:cs="Palatino Linotype"/>
          <w:i/>
          <w:iCs/>
          <w:sz w:val="22"/>
          <w:szCs w:val="22"/>
        </w:rPr>
        <w:t>: Aquella considerada por la presente Ley como reservada o confidencial;</w:t>
      </w:r>
    </w:p>
    <w:p w14:paraId="3C7247F2" w14:textId="77777777" w:rsidR="00817A04" w:rsidRPr="00882E62" w:rsidRDefault="00817A04" w:rsidP="00817A04">
      <w:pPr>
        <w:tabs>
          <w:tab w:val="left" w:pos="1276"/>
        </w:tabs>
        <w:spacing w:before="120" w:after="120"/>
        <w:ind w:left="851" w:right="902"/>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b/>
          <w:bCs/>
          <w:i/>
          <w:iCs/>
          <w:sz w:val="22"/>
          <w:szCs w:val="22"/>
        </w:rPr>
        <w:t>XXI. Información confidencial</w:t>
      </w:r>
      <w:r w:rsidRPr="00882E62">
        <w:rPr>
          <w:rFonts w:ascii="Palatino Linotype" w:eastAsia="Palatino Linotype" w:hAnsi="Palatino Linotype" w:cs="Palatino Linotype"/>
          <w:i/>
          <w:iCs/>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73EE8E8" w14:textId="77777777" w:rsidR="00817A04" w:rsidRPr="00882E62" w:rsidRDefault="00817A04" w:rsidP="00817A04">
      <w:pPr>
        <w:tabs>
          <w:tab w:val="left" w:pos="1276"/>
        </w:tabs>
        <w:spacing w:before="120" w:after="120"/>
        <w:ind w:left="851" w:right="902"/>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i/>
          <w:iCs/>
          <w:sz w:val="22"/>
          <w:szCs w:val="22"/>
        </w:rPr>
        <w:t>…</w:t>
      </w:r>
    </w:p>
    <w:p w14:paraId="1379C588" w14:textId="77777777" w:rsidR="00817A04" w:rsidRPr="00882E62" w:rsidRDefault="00817A04" w:rsidP="00817A04">
      <w:pPr>
        <w:tabs>
          <w:tab w:val="left" w:pos="1276"/>
        </w:tabs>
        <w:spacing w:before="120" w:after="120"/>
        <w:ind w:left="851" w:right="902"/>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b/>
          <w:bCs/>
          <w:i/>
          <w:iCs/>
          <w:sz w:val="22"/>
          <w:szCs w:val="22"/>
        </w:rPr>
        <w:t>XXXII. Protección de Datos Personales</w:t>
      </w:r>
      <w:r w:rsidRPr="00882E62">
        <w:rPr>
          <w:rFonts w:ascii="Palatino Linotype" w:eastAsia="Palatino Linotype" w:hAnsi="Palatino Linotype" w:cs="Palatino Linotype"/>
          <w:i/>
          <w:iCs/>
          <w:sz w:val="22"/>
          <w:szCs w:val="22"/>
        </w:rPr>
        <w:t>: Derecho humano que tutela la privacidad de datos personales en poder de los sujetos obligados y sujetos particulares;</w:t>
      </w:r>
    </w:p>
    <w:p w14:paraId="419B9D31" w14:textId="77777777" w:rsidR="00817A04" w:rsidRPr="00882E62" w:rsidRDefault="00817A04" w:rsidP="00817A04">
      <w:pPr>
        <w:tabs>
          <w:tab w:val="left" w:pos="1276"/>
        </w:tabs>
        <w:spacing w:before="120" w:after="120"/>
        <w:ind w:left="851" w:right="902"/>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i/>
          <w:iCs/>
          <w:sz w:val="22"/>
          <w:szCs w:val="22"/>
        </w:rPr>
        <w:t>…</w:t>
      </w:r>
    </w:p>
    <w:p w14:paraId="09EA2FC7" w14:textId="77777777" w:rsidR="00817A04" w:rsidRPr="00882E62" w:rsidRDefault="00817A04" w:rsidP="00817A04">
      <w:pPr>
        <w:tabs>
          <w:tab w:val="left" w:pos="1276"/>
        </w:tabs>
        <w:spacing w:before="120" w:after="120"/>
        <w:ind w:left="851" w:right="902"/>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b/>
          <w:bCs/>
          <w:i/>
          <w:iCs/>
          <w:sz w:val="22"/>
          <w:szCs w:val="22"/>
        </w:rPr>
        <w:t>XLV. Versión pública</w:t>
      </w:r>
      <w:r w:rsidRPr="00882E62">
        <w:rPr>
          <w:rFonts w:ascii="Palatino Linotype" w:eastAsia="Palatino Linotype" w:hAnsi="Palatino Linotype" w:cs="Palatino Linotype"/>
          <w:i/>
          <w:iCs/>
          <w:sz w:val="22"/>
          <w:szCs w:val="22"/>
        </w:rPr>
        <w:t>: Documento en el que se elimine, suprime o borra la información clasificada como reservada o confidencial para permitir su acceso.</w:t>
      </w:r>
    </w:p>
    <w:p w14:paraId="7837AA00" w14:textId="77777777" w:rsidR="00817A04" w:rsidRPr="00882E62" w:rsidRDefault="00817A04" w:rsidP="00817A04">
      <w:pPr>
        <w:spacing w:before="120" w:after="120"/>
        <w:ind w:left="851" w:right="902"/>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b/>
          <w:bCs/>
          <w:i/>
          <w:iCs/>
          <w:sz w:val="22"/>
          <w:szCs w:val="22"/>
        </w:rPr>
        <w:t> Artículo 6</w:t>
      </w:r>
      <w:r w:rsidRPr="00882E62">
        <w:rPr>
          <w:rFonts w:ascii="Palatino Linotype" w:eastAsia="Palatino Linotype" w:hAnsi="Palatino Linotype" w:cs="Palatino Linotype"/>
          <w:i/>
          <w:iCs/>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0A81B17F" w14:textId="42346E8D" w:rsidR="00817A04" w:rsidRPr="00882E62" w:rsidRDefault="00817A04" w:rsidP="00817A04">
      <w:pPr>
        <w:spacing w:before="120" w:after="120"/>
        <w:ind w:left="851" w:right="902"/>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i/>
          <w:iCs/>
          <w:sz w:val="22"/>
          <w:szCs w:val="22"/>
        </w:rPr>
        <w:t>…</w:t>
      </w:r>
    </w:p>
    <w:p w14:paraId="2C831367" w14:textId="77777777" w:rsidR="00817A04" w:rsidRPr="00882E62" w:rsidRDefault="00817A04" w:rsidP="00817A04">
      <w:pPr>
        <w:spacing w:before="120" w:after="120"/>
        <w:ind w:left="851" w:right="902"/>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b/>
          <w:bCs/>
          <w:i/>
          <w:iCs/>
          <w:sz w:val="22"/>
          <w:szCs w:val="22"/>
        </w:rPr>
        <w:t>Artículo 91.</w:t>
      </w:r>
      <w:r w:rsidRPr="00882E62">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r w:rsidRPr="00882E62">
        <w:rPr>
          <w:rFonts w:ascii="Palatino Linotype" w:eastAsia="Palatino Linotype" w:hAnsi="Palatino Linotype" w:cs="Palatino Linotype"/>
          <w:i/>
          <w:iCs/>
          <w:sz w:val="22"/>
          <w:szCs w:val="22"/>
        </w:rPr>
        <w:br/>
        <w:t>…</w:t>
      </w:r>
    </w:p>
    <w:p w14:paraId="3B8C2E16" w14:textId="77777777" w:rsidR="00817A04" w:rsidRPr="00882E62" w:rsidRDefault="00817A04" w:rsidP="00817A04">
      <w:pPr>
        <w:spacing w:before="120" w:after="120"/>
        <w:ind w:left="851" w:right="902"/>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b/>
          <w:bCs/>
          <w:i/>
          <w:iCs/>
          <w:sz w:val="22"/>
          <w:szCs w:val="22"/>
        </w:rPr>
        <w:t>Artículo 132.</w:t>
      </w:r>
      <w:r w:rsidRPr="00882E62">
        <w:rPr>
          <w:rFonts w:ascii="Palatino Linotype" w:eastAsia="Palatino Linotype" w:hAnsi="Palatino Linotype" w:cs="Palatino Linotype"/>
          <w:i/>
          <w:iCs/>
          <w:sz w:val="22"/>
          <w:szCs w:val="22"/>
        </w:rPr>
        <w:t xml:space="preserve"> La clasificación de la información se llevará a cabo en el momento en que:</w:t>
      </w:r>
    </w:p>
    <w:p w14:paraId="0BD0C967" w14:textId="77777777" w:rsidR="00817A04" w:rsidRPr="00882E62" w:rsidRDefault="00817A04" w:rsidP="00817A04">
      <w:pPr>
        <w:spacing w:before="120" w:after="120"/>
        <w:ind w:left="851" w:right="902"/>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b/>
          <w:bCs/>
          <w:i/>
          <w:iCs/>
          <w:sz w:val="22"/>
          <w:szCs w:val="22"/>
        </w:rPr>
        <w:t>I</w:t>
      </w:r>
      <w:r w:rsidRPr="00882E62">
        <w:rPr>
          <w:rFonts w:ascii="Palatino Linotype" w:eastAsia="Palatino Linotype" w:hAnsi="Palatino Linotype" w:cs="Palatino Linotype"/>
          <w:i/>
          <w:iCs/>
          <w:sz w:val="22"/>
          <w:szCs w:val="22"/>
        </w:rPr>
        <w:t>. Se reciba una solicitud de acceso a la información;</w:t>
      </w:r>
    </w:p>
    <w:p w14:paraId="63CB2BDD" w14:textId="77777777" w:rsidR="00817A04" w:rsidRPr="00882E62" w:rsidRDefault="00817A04" w:rsidP="00817A04">
      <w:pPr>
        <w:spacing w:before="120" w:after="120"/>
        <w:ind w:left="851" w:right="902"/>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b/>
          <w:bCs/>
          <w:i/>
          <w:iCs/>
          <w:sz w:val="22"/>
          <w:szCs w:val="22"/>
        </w:rPr>
        <w:t>II.</w:t>
      </w:r>
      <w:r w:rsidRPr="00882E62">
        <w:rPr>
          <w:rFonts w:ascii="Palatino Linotype" w:eastAsia="Palatino Linotype" w:hAnsi="Palatino Linotype" w:cs="Palatino Linotype"/>
          <w:i/>
          <w:iCs/>
          <w:sz w:val="22"/>
          <w:szCs w:val="22"/>
        </w:rPr>
        <w:t xml:space="preserve"> Se determine mediante resolución de autoridad competente; o</w:t>
      </w:r>
    </w:p>
    <w:p w14:paraId="045EA703" w14:textId="77777777" w:rsidR="00817A04" w:rsidRPr="00882E62" w:rsidRDefault="00817A04" w:rsidP="00817A04">
      <w:pPr>
        <w:spacing w:before="120" w:after="120"/>
        <w:ind w:left="851" w:right="902"/>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b/>
          <w:bCs/>
          <w:i/>
          <w:iCs/>
          <w:sz w:val="22"/>
          <w:szCs w:val="22"/>
        </w:rPr>
        <w:t>III.</w:t>
      </w:r>
      <w:r w:rsidRPr="00882E62">
        <w:rPr>
          <w:rFonts w:ascii="Palatino Linotype" w:eastAsia="Palatino Linotype" w:hAnsi="Palatino Linotype" w:cs="Palatino Linotype"/>
          <w:i/>
          <w:iCs/>
          <w:sz w:val="22"/>
          <w:szCs w:val="22"/>
        </w:rPr>
        <w:t xml:space="preserve"> Se generen versiones públicas para dar cumplimiento a las obligaciones de transparencia previstas en esta Ley.</w:t>
      </w:r>
    </w:p>
    <w:p w14:paraId="3E39DCE1" w14:textId="77777777" w:rsidR="00817A04" w:rsidRPr="00882E62" w:rsidRDefault="00817A04" w:rsidP="00817A04">
      <w:pPr>
        <w:spacing w:before="120" w:after="120"/>
        <w:ind w:left="851" w:right="902"/>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b/>
          <w:bCs/>
          <w:i/>
          <w:iCs/>
          <w:sz w:val="22"/>
          <w:szCs w:val="22"/>
        </w:rPr>
        <w:t>…</w:t>
      </w:r>
    </w:p>
    <w:p w14:paraId="4CDB85D2" w14:textId="77777777" w:rsidR="00817A04" w:rsidRPr="00882E62" w:rsidRDefault="00817A04" w:rsidP="00817A04">
      <w:pPr>
        <w:spacing w:before="120" w:after="120"/>
        <w:ind w:left="851" w:right="902"/>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b/>
          <w:bCs/>
          <w:i/>
          <w:iCs/>
          <w:sz w:val="22"/>
          <w:szCs w:val="22"/>
        </w:rPr>
        <w:t>Artículo 137.</w:t>
      </w:r>
      <w:r w:rsidRPr="00882E62">
        <w:rPr>
          <w:rFonts w:ascii="Palatino Linotype" w:eastAsia="Palatino Linotype" w:hAnsi="Palatino Linotype" w:cs="Palatino Linotype"/>
          <w:i/>
          <w:iCs/>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CA99A37" w14:textId="77777777" w:rsidR="00817A04" w:rsidRPr="00882E62" w:rsidRDefault="00817A04" w:rsidP="00817A04">
      <w:pPr>
        <w:spacing w:before="120" w:after="120"/>
        <w:ind w:left="851" w:right="902"/>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b/>
          <w:bCs/>
          <w:i/>
          <w:iCs/>
          <w:sz w:val="22"/>
          <w:szCs w:val="22"/>
        </w:rPr>
        <w:t> Artículo 143.</w:t>
      </w:r>
      <w:r w:rsidRPr="00882E62">
        <w:rPr>
          <w:rFonts w:ascii="Palatino Linotype" w:eastAsia="Palatino Linotype" w:hAnsi="Palatino Linotype" w:cs="Palatino Linotype"/>
          <w:i/>
          <w:iCs/>
          <w:sz w:val="22"/>
          <w:szCs w:val="22"/>
        </w:rPr>
        <w:t xml:space="preserve"> Para los efectos de esta Ley se considera información confidencial, la clasificada como tal, de manera permanente, por su naturaleza, cuando:</w:t>
      </w:r>
    </w:p>
    <w:p w14:paraId="318DEA0D" w14:textId="77777777" w:rsidR="00817A04" w:rsidRPr="00882E62" w:rsidRDefault="00817A04" w:rsidP="00817A04">
      <w:pPr>
        <w:spacing w:before="120" w:after="120"/>
        <w:ind w:left="851" w:right="902"/>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b/>
          <w:bCs/>
          <w:i/>
          <w:iCs/>
          <w:sz w:val="22"/>
          <w:szCs w:val="22"/>
        </w:rPr>
        <w:t>I.</w:t>
      </w:r>
      <w:r w:rsidRPr="00882E62">
        <w:rPr>
          <w:rFonts w:ascii="Palatino Linotype" w:eastAsia="Palatino Linotype" w:hAnsi="Palatino Linotype" w:cs="Palatino Linotype"/>
          <w:i/>
          <w:iCs/>
          <w:sz w:val="22"/>
          <w:szCs w:val="22"/>
        </w:rPr>
        <w:t xml:space="preserve"> Se refiera a la información privada y los datos personales concernientes a una persona física o jurídico colectiva identificada o identificable...”</w:t>
      </w:r>
    </w:p>
    <w:p w14:paraId="2C58C5CC" w14:textId="77777777" w:rsidR="00817A04" w:rsidRPr="00882E62" w:rsidRDefault="00817A04" w:rsidP="00817A04">
      <w:pPr>
        <w:spacing w:before="240" w:after="240" w:line="360" w:lineRule="auto"/>
        <w:ind w:right="50"/>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882E62">
        <w:rPr>
          <w:rFonts w:ascii="Palatino Linotype" w:eastAsia="Palatino Linotype" w:hAnsi="Palatino Linotype" w:cs="Palatino Linotype"/>
          <w:b/>
          <w:bCs/>
          <w:sz w:val="22"/>
          <w:szCs w:val="22"/>
        </w:rPr>
        <w:t>Sujeto Obligado</w:t>
      </w:r>
      <w:r w:rsidRPr="00882E62">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64A8EB1D" w14:textId="77777777" w:rsidR="00817A04" w:rsidRPr="00882E62" w:rsidRDefault="00817A04" w:rsidP="00817A04">
      <w:pPr>
        <w:spacing w:before="240" w:after="240" w:line="360" w:lineRule="auto"/>
        <w:ind w:right="50"/>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F50A6BB" w14:textId="77777777" w:rsidR="00817A04" w:rsidRPr="00882E62" w:rsidRDefault="00817A04" w:rsidP="00817A04">
      <w:pPr>
        <w:spacing w:before="240" w:after="240" w:line="360" w:lineRule="auto"/>
        <w:ind w:right="50"/>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14191CB1" w14:textId="77777777" w:rsidR="00817A04" w:rsidRPr="00882E62" w:rsidRDefault="00817A04" w:rsidP="00817A04">
      <w:pPr>
        <w:spacing w:before="120" w:after="120"/>
        <w:ind w:left="851" w:right="900"/>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b/>
          <w:bCs/>
          <w:i/>
          <w:iCs/>
          <w:sz w:val="22"/>
          <w:szCs w:val="22"/>
        </w:rPr>
        <w:t>“Artículo 49.</w:t>
      </w:r>
      <w:r w:rsidRPr="00882E62">
        <w:rPr>
          <w:rFonts w:ascii="Palatino Linotype" w:eastAsia="Palatino Linotype" w:hAnsi="Palatino Linotype" w:cs="Palatino Linotype"/>
          <w:i/>
          <w:iCs/>
          <w:sz w:val="22"/>
          <w:szCs w:val="22"/>
        </w:rPr>
        <w:t xml:space="preserve"> </w:t>
      </w:r>
      <w:r w:rsidRPr="00882E62">
        <w:rPr>
          <w:rFonts w:ascii="Palatino Linotype" w:eastAsia="Palatino Linotype" w:hAnsi="Palatino Linotype" w:cs="Palatino Linotype"/>
          <w:b/>
          <w:bCs/>
          <w:i/>
          <w:iCs/>
          <w:sz w:val="22"/>
          <w:szCs w:val="22"/>
        </w:rPr>
        <w:t>Los Comités de Transparencia</w:t>
      </w:r>
      <w:r w:rsidRPr="00882E62">
        <w:rPr>
          <w:rFonts w:ascii="Palatino Linotype" w:eastAsia="Palatino Linotype" w:hAnsi="Palatino Linotype" w:cs="Palatino Linotype"/>
          <w:i/>
          <w:iCs/>
          <w:sz w:val="22"/>
          <w:szCs w:val="22"/>
        </w:rPr>
        <w:t xml:space="preserve"> tendrán las siguientes atribuciones:</w:t>
      </w:r>
    </w:p>
    <w:p w14:paraId="226E7417" w14:textId="77777777" w:rsidR="00817A04" w:rsidRPr="00882E62" w:rsidRDefault="00817A04" w:rsidP="00817A04">
      <w:pPr>
        <w:spacing w:before="120" w:after="120"/>
        <w:ind w:left="851" w:right="900"/>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b/>
          <w:bCs/>
          <w:i/>
          <w:iCs/>
          <w:sz w:val="22"/>
          <w:szCs w:val="22"/>
        </w:rPr>
        <w:t>VIII. Aprobar, modificar o revocar la clasificación de la información</w:t>
      </w:r>
      <w:r w:rsidRPr="00882E62">
        <w:rPr>
          <w:rFonts w:ascii="Palatino Linotype" w:eastAsia="Palatino Linotype" w:hAnsi="Palatino Linotype" w:cs="Palatino Linotype"/>
          <w:i/>
          <w:iCs/>
          <w:sz w:val="22"/>
          <w:szCs w:val="22"/>
        </w:rPr>
        <w:t>…”</w:t>
      </w:r>
    </w:p>
    <w:p w14:paraId="02685C45" w14:textId="77777777" w:rsidR="00817A04" w:rsidRPr="00882E62" w:rsidRDefault="00817A04" w:rsidP="00817A04">
      <w:pPr>
        <w:spacing w:before="120" w:after="120"/>
        <w:ind w:left="851" w:right="900"/>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i/>
          <w:iCs/>
          <w:sz w:val="22"/>
          <w:szCs w:val="22"/>
        </w:rPr>
        <w:t>“</w:t>
      </w:r>
      <w:r w:rsidRPr="00882E62">
        <w:rPr>
          <w:rFonts w:ascii="Palatino Linotype" w:eastAsia="Palatino Linotype" w:hAnsi="Palatino Linotype" w:cs="Palatino Linotype"/>
          <w:b/>
          <w:bCs/>
          <w:i/>
          <w:iCs/>
          <w:sz w:val="22"/>
          <w:szCs w:val="22"/>
        </w:rPr>
        <w:t>Artículo 53.</w:t>
      </w:r>
      <w:r w:rsidRPr="00882E62">
        <w:rPr>
          <w:rFonts w:ascii="Palatino Linotype" w:eastAsia="Palatino Linotype" w:hAnsi="Palatino Linotype" w:cs="Palatino Linotype"/>
          <w:i/>
          <w:iCs/>
          <w:sz w:val="22"/>
          <w:szCs w:val="22"/>
        </w:rPr>
        <w:t xml:space="preserve"> Las </w:t>
      </w:r>
      <w:r w:rsidRPr="00882E62">
        <w:rPr>
          <w:rFonts w:ascii="Palatino Linotype" w:eastAsia="Palatino Linotype" w:hAnsi="Palatino Linotype" w:cs="Palatino Linotype"/>
          <w:b/>
          <w:bCs/>
          <w:i/>
          <w:iCs/>
          <w:sz w:val="22"/>
          <w:szCs w:val="22"/>
        </w:rPr>
        <w:t>Unidades de Transparencia</w:t>
      </w:r>
      <w:r w:rsidRPr="00882E62">
        <w:rPr>
          <w:rFonts w:ascii="Palatino Linotype" w:eastAsia="Palatino Linotype" w:hAnsi="Palatino Linotype" w:cs="Palatino Linotype"/>
          <w:i/>
          <w:iCs/>
          <w:sz w:val="22"/>
          <w:szCs w:val="22"/>
        </w:rPr>
        <w:t xml:space="preserve"> tendrán las siguientes </w:t>
      </w:r>
      <w:r w:rsidRPr="00882E62">
        <w:rPr>
          <w:rFonts w:ascii="Palatino Linotype" w:eastAsia="Palatino Linotype" w:hAnsi="Palatino Linotype" w:cs="Palatino Linotype"/>
          <w:b/>
          <w:bCs/>
          <w:i/>
          <w:iCs/>
          <w:sz w:val="22"/>
          <w:szCs w:val="22"/>
        </w:rPr>
        <w:t>funciones</w:t>
      </w:r>
      <w:r w:rsidRPr="00882E62">
        <w:rPr>
          <w:rFonts w:ascii="Palatino Linotype" w:eastAsia="Palatino Linotype" w:hAnsi="Palatino Linotype" w:cs="Palatino Linotype"/>
          <w:i/>
          <w:iCs/>
          <w:sz w:val="22"/>
          <w:szCs w:val="22"/>
        </w:rPr>
        <w:t>:</w:t>
      </w:r>
    </w:p>
    <w:p w14:paraId="78A8623C" w14:textId="77777777" w:rsidR="00817A04" w:rsidRPr="00882E62" w:rsidRDefault="00817A04" w:rsidP="00817A04">
      <w:pPr>
        <w:spacing w:before="120" w:after="120"/>
        <w:ind w:left="851" w:right="900"/>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b/>
          <w:bCs/>
          <w:i/>
          <w:iCs/>
          <w:sz w:val="22"/>
          <w:szCs w:val="22"/>
        </w:rPr>
        <w:t>X. Presentar ante el Comité, el proyecto de clasificación de información</w:t>
      </w:r>
      <w:r w:rsidRPr="00882E62">
        <w:rPr>
          <w:rFonts w:ascii="Palatino Linotype" w:eastAsia="Palatino Linotype" w:hAnsi="Palatino Linotype" w:cs="Palatino Linotype"/>
          <w:i/>
          <w:iCs/>
          <w:sz w:val="22"/>
          <w:szCs w:val="22"/>
        </w:rPr>
        <w:t xml:space="preserve">…” </w:t>
      </w:r>
    </w:p>
    <w:p w14:paraId="6ECD8737" w14:textId="77777777" w:rsidR="00817A04" w:rsidRPr="00882E62" w:rsidRDefault="00817A04" w:rsidP="00817A04">
      <w:pPr>
        <w:spacing w:before="120" w:after="120"/>
        <w:ind w:left="851" w:right="900"/>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b/>
          <w:bCs/>
          <w:i/>
          <w:iCs/>
          <w:sz w:val="22"/>
          <w:szCs w:val="22"/>
        </w:rPr>
        <w:t>“Artículo 59.</w:t>
      </w:r>
      <w:r w:rsidRPr="00882E62">
        <w:rPr>
          <w:rFonts w:ascii="Palatino Linotype" w:eastAsia="Palatino Linotype" w:hAnsi="Palatino Linotype" w:cs="Palatino Linotype"/>
          <w:i/>
          <w:iCs/>
          <w:sz w:val="22"/>
          <w:szCs w:val="22"/>
        </w:rPr>
        <w:t xml:space="preserve"> Los </w:t>
      </w:r>
      <w:r w:rsidRPr="00882E62">
        <w:rPr>
          <w:rFonts w:ascii="Palatino Linotype" w:eastAsia="Palatino Linotype" w:hAnsi="Palatino Linotype" w:cs="Palatino Linotype"/>
          <w:b/>
          <w:bCs/>
          <w:i/>
          <w:iCs/>
          <w:sz w:val="22"/>
          <w:szCs w:val="22"/>
        </w:rPr>
        <w:t>servidores públicos habilitados</w:t>
      </w:r>
      <w:r w:rsidRPr="00882E62">
        <w:rPr>
          <w:rFonts w:ascii="Palatino Linotype" w:eastAsia="Palatino Linotype" w:hAnsi="Palatino Linotype" w:cs="Palatino Linotype"/>
          <w:i/>
          <w:iCs/>
          <w:sz w:val="22"/>
          <w:szCs w:val="22"/>
        </w:rPr>
        <w:t xml:space="preserve"> tendrán las </w:t>
      </w:r>
      <w:r w:rsidRPr="00882E62">
        <w:rPr>
          <w:rFonts w:ascii="Palatino Linotype" w:eastAsia="Palatino Linotype" w:hAnsi="Palatino Linotype" w:cs="Palatino Linotype"/>
          <w:b/>
          <w:bCs/>
          <w:i/>
          <w:iCs/>
          <w:sz w:val="22"/>
          <w:szCs w:val="22"/>
        </w:rPr>
        <w:t>funciones</w:t>
      </w:r>
      <w:r w:rsidRPr="00882E62">
        <w:rPr>
          <w:rFonts w:ascii="Palatino Linotype" w:eastAsia="Palatino Linotype" w:hAnsi="Palatino Linotype" w:cs="Palatino Linotype"/>
          <w:i/>
          <w:iCs/>
          <w:sz w:val="22"/>
          <w:szCs w:val="22"/>
        </w:rPr>
        <w:t xml:space="preserve"> siguientes:</w:t>
      </w:r>
    </w:p>
    <w:p w14:paraId="5DC93DA4" w14:textId="77777777" w:rsidR="00817A04" w:rsidRPr="00882E62" w:rsidRDefault="00817A04" w:rsidP="00817A04">
      <w:pPr>
        <w:spacing w:before="120" w:after="120"/>
        <w:ind w:left="851" w:right="900"/>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b/>
          <w:bCs/>
          <w:i/>
          <w:iCs/>
          <w:sz w:val="22"/>
          <w:szCs w:val="22"/>
        </w:rPr>
        <w:t>V. Integrar y presentar al responsable de la Unidad de Transparencia la propuesta de clasificación de información</w:t>
      </w:r>
      <w:r w:rsidRPr="00882E62">
        <w:rPr>
          <w:rFonts w:ascii="Palatino Linotype" w:eastAsia="Palatino Linotype" w:hAnsi="Palatino Linotype" w:cs="Palatino Linotype"/>
          <w:i/>
          <w:iCs/>
          <w:sz w:val="22"/>
          <w:szCs w:val="22"/>
        </w:rPr>
        <w:t>, la cual tendrá los fundamentos y argumentos en que se basa dicha propuesta…”</w:t>
      </w:r>
    </w:p>
    <w:p w14:paraId="0C4EB5BE" w14:textId="77777777" w:rsidR="00817A04" w:rsidRPr="00882E62" w:rsidRDefault="00817A04" w:rsidP="00817A04">
      <w:pPr>
        <w:spacing w:before="240" w:after="240" w:line="360" w:lineRule="auto"/>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429EE27C" w14:textId="77777777" w:rsidR="00817A04" w:rsidRPr="00882E62" w:rsidRDefault="00817A04" w:rsidP="00817A04">
      <w:pPr>
        <w:spacing w:before="240" w:after="240" w:line="360" w:lineRule="auto"/>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64638C2E" w14:textId="77777777" w:rsidR="00817A04" w:rsidRPr="00882E62" w:rsidRDefault="00817A04" w:rsidP="00817A04">
      <w:pPr>
        <w:spacing w:before="120" w:after="120"/>
        <w:ind w:left="851" w:right="902"/>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i/>
          <w:iCs/>
          <w:sz w:val="22"/>
          <w:szCs w:val="22"/>
        </w:rPr>
        <w:t>“</w:t>
      </w:r>
      <w:r w:rsidRPr="00882E62">
        <w:rPr>
          <w:rFonts w:ascii="Palatino Linotype" w:eastAsia="Palatino Linotype" w:hAnsi="Palatino Linotype" w:cs="Palatino Linotype"/>
          <w:b/>
          <w:bCs/>
          <w:i/>
          <w:iCs/>
          <w:sz w:val="22"/>
          <w:szCs w:val="22"/>
        </w:rPr>
        <w:t>Artículo 149.</w:t>
      </w:r>
      <w:r w:rsidRPr="00882E62">
        <w:rPr>
          <w:rFonts w:ascii="Palatino Linotype" w:eastAsia="Palatino Linotype" w:hAnsi="Palatino Linotype" w:cs="Palatino Linotype"/>
          <w:i/>
          <w:iCs/>
          <w:sz w:val="22"/>
          <w:szCs w:val="22"/>
        </w:rPr>
        <w:t xml:space="preserve"> El </w:t>
      </w:r>
      <w:r w:rsidRPr="00882E62">
        <w:rPr>
          <w:rFonts w:ascii="Palatino Linotype" w:eastAsia="Palatino Linotype" w:hAnsi="Palatino Linotype" w:cs="Palatino Linotype"/>
          <w:b/>
          <w:bCs/>
          <w:i/>
          <w:iCs/>
          <w:sz w:val="22"/>
          <w:szCs w:val="22"/>
        </w:rPr>
        <w:t>acuerdo que clasifique la información como confidencial</w:t>
      </w:r>
      <w:r w:rsidRPr="00882E62">
        <w:rPr>
          <w:rFonts w:ascii="Palatino Linotype" w:eastAsia="Palatino Linotype" w:hAnsi="Palatino Linotype" w:cs="Palatino Linotype"/>
          <w:i/>
          <w:iCs/>
          <w:sz w:val="22"/>
          <w:szCs w:val="22"/>
        </w:rPr>
        <w:t xml:space="preserve"> deberá contener un razonamiento lógico en el que demuestre que la información se encuentra en alguna o algunas de las hipótesis previstas en la presente Ley.” </w:t>
      </w:r>
    </w:p>
    <w:p w14:paraId="5A05B872" w14:textId="77777777" w:rsidR="00817A04" w:rsidRPr="00882E62" w:rsidRDefault="00817A04" w:rsidP="00817A04">
      <w:pPr>
        <w:spacing w:before="240" w:after="240" w:line="360" w:lineRule="auto"/>
        <w:ind w:right="51"/>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 xml:space="preserve">Es decir, el </w:t>
      </w:r>
      <w:r w:rsidRPr="00882E62">
        <w:rPr>
          <w:rFonts w:ascii="Palatino Linotype" w:eastAsia="Palatino Linotype" w:hAnsi="Palatino Linotype" w:cs="Palatino Linotype"/>
          <w:b/>
          <w:bCs/>
          <w:sz w:val="22"/>
          <w:szCs w:val="22"/>
        </w:rPr>
        <w:t>Sujeto Obligado</w:t>
      </w:r>
      <w:r w:rsidRPr="00882E62">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2881D14C" w14:textId="77777777" w:rsidR="00817A04" w:rsidRPr="00882E62" w:rsidRDefault="00817A04" w:rsidP="00817A04">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882E62">
        <w:rPr>
          <w:rFonts w:ascii="Palatino Linotype" w:eastAsia="Palatino Linotype" w:hAnsi="Palatino Linotype" w:cs="Palatino Linotype"/>
          <w:b/>
          <w:bCs/>
          <w:sz w:val="22"/>
          <w:szCs w:val="22"/>
        </w:rPr>
        <w:t>Sujeto Obligado</w:t>
      </w:r>
      <w:r w:rsidRPr="00882E62">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174708F5" w14:textId="77777777" w:rsidR="00817A04" w:rsidRPr="00882E62" w:rsidRDefault="00817A04" w:rsidP="00817A04">
      <w:pPr>
        <w:spacing w:before="120" w:after="120"/>
        <w:ind w:left="851" w:right="902"/>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b/>
          <w:bCs/>
          <w:i/>
          <w:iCs/>
          <w:sz w:val="22"/>
          <w:szCs w:val="22"/>
        </w:rPr>
        <w:t xml:space="preserve"> “Quincuagésimo. </w:t>
      </w:r>
      <w:r w:rsidRPr="00882E62">
        <w:rPr>
          <w:rFonts w:ascii="Palatino Linotype" w:eastAsia="Palatino Linotype" w:hAnsi="Palatino Linotype" w:cs="Palatino Linotype"/>
          <w:i/>
          <w:iCs/>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1B2F6943" w14:textId="77777777" w:rsidR="00817A04" w:rsidRPr="00882E62" w:rsidRDefault="00817A04" w:rsidP="00817A04">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b/>
          <w:bCs/>
          <w:i/>
          <w:iCs/>
          <w:sz w:val="22"/>
          <w:szCs w:val="22"/>
        </w:rPr>
        <w:t xml:space="preserve">Quincuagésimo primero. </w:t>
      </w:r>
      <w:r w:rsidRPr="00882E62">
        <w:rPr>
          <w:rFonts w:ascii="Palatino Linotype" w:eastAsia="Palatino Linotype" w:hAnsi="Palatino Linotype" w:cs="Palatino Linotype"/>
          <w:i/>
          <w:iCs/>
          <w:sz w:val="22"/>
          <w:szCs w:val="22"/>
        </w:rPr>
        <w:t xml:space="preserve">Toda acta del Comité de Transparencia deberá contener: </w:t>
      </w:r>
    </w:p>
    <w:p w14:paraId="04E5E30B" w14:textId="77777777" w:rsidR="00817A04" w:rsidRPr="00882E62" w:rsidRDefault="00817A04" w:rsidP="00817A04">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b/>
          <w:bCs/>
          <w:i/>
          <w:iCs/>
          <w:sz w:val="22"/>
          <w:szCs w:val="22"/>
        </w:rPr>
        <w:t>I.</w:t>
      </w:r>
      <w:r w:rsidRPr="00882E62">
        <w:rPr>
          <w:rFonts w:ascii="Palatino Linotype" w:eastAsia="Palatino Linotype" w:hAnsi="Palatino Linotype" w:cs="Palatino Linotype"/>
          <w:i/>
          <w:iCs/>
          <w:sz w:val="22"/>
          <w:szCs w:val="22"/>
        </w:rPr>
        <w:t xml:space="preserve"> El número de sesión y fecha; </w:t>
      </w:r>
    </w:p>
    <w:p w14:paraId="0243DD37" w14:textId="77777777" w:rsidR="00817A04" w:rsidRPr="00882E62" w:rsidRDefault="00817A04" w:rsidP="00817A04">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b/>
          <w:bCs/>
          <w:i/>
          <w:iCs/>
          <w:sz w:val="22"/>
          <w:szCs w:val="22"/>
        </w:rPr>
        <w:t>II</w:t>
      </w:r>
      <w:r w:rsidRPr="00882E62">
        <w:rPr>
          <w:rFonts w:ascii="Palatino Linotype" w:eastAsia="Palatino Linotype" w:hAnsi="Palatino Linotype" w:cs="Palatino Linotype"/>
          <w:i/>
          <w:iCs/>
          <w:sz w:val="22"/>
          <w:szCs w:val="22"/>
        </w:rPr>
        <w:t xml:space="preserve">. El nombre del área que solicitó la clasificación de información; </w:t>
      </w:r>
    </w:p>
    <w:p w14:paraId="008A2DA6" w14:textId="77777777" w:rsidR="00817A04" w:rsidRPr="00882E62" w:rsidRDefault="00817A04" w:rsidP="00817A04">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b/>
          <w:bCs/>
          <w:i/>
          <w:iCs/>
          <w:sz w:val="22"/>
          <w:szCs w:val="22"/>
        </w:rPr>
        <w:t>III</w:t>
      </w:r>
      <w:r w:rsidRPr="00882E62">
        <w:rPr>
          <w:rFonts w:ascii="Palatino Linotype" w:eastAsia="Palatino Linotype" w:hAnsi="Palatino Linotype" w:cs="Palatino Linotype"/>
          <w:i/>
          <w:iCs/>
          <w:sz w:val="22"/>
          <w:szCs w:val="22"/>
        </w:rPr>
        <w:t xml:space="preserve">. La fundamentación legal y motivación correspondiente; </w:t>
      </w:r>
    </w:p>
    <w:p w14:paraId="5005E24B" w14:textId="77777777" w:rsidR="00817A04" w:rsidRPr="00882E62" w:rsidRDefault="00817A04" w:rsidP="00817A04">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b/>
          <w:bCs/>
          <w:i/>
          <w:iCs/>
          <w:sz w:val="22"/>
          <w:szCs w:val="22"/>
        </w:rPr>
        <w:t>IV</w:t>
      </w:r>
      <w:r w:rsidRPr="00882E62">
        <w:rPr>
          <w:rFonts w:ascii="Palatino Linotype" w:eastAsia="Palatino Linotype" w:hAnsi="Palatino Linotype" w:cs="Palatino Linotype"/>
          <w:i/>
          <w:iCs/>
          <w:sz w:val="22"/>
          <w:szCs w:val="22"/>
        </w:rPr>
        <w:t xml:space="preserve">. La resolución o resoluciones aprobadas; y </w:t>
      </w:r>
    </w:p>
    <w:p w14:paraId="0CC72F6F" w14:textId="77777777" w:rsidR="00817A04" w:rsidRPr="00882E62" w:rsidRDefault="00817A04" w:rsidP="00817A04">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b/>
          <w:bCs/>
          <w:i/>
          <w:iCs/>
          <w:sz w:val="22"/>
          <w:szCs w:val="22"/>
        </w:rPr>
        <w:t>V</w:t>
      </w:r>
      <w:r w:rsidRPr="00882E62">
        <w:rPr>
          <w:rFonts w:ascii="Palatino Linotype" w:eastAsia="Palatino Linotype" w:hAnsi="Palatino Linotype" w:cs="Palatino Linotype"/>
          <w:i/>
          <w:iCs/>
          <w:sz w:val="22"/>
          <w:szCs w:val="22"/>
        </w:rPr>
        <w:t xml:space="preserve">. La rúbrica o firma digital de cada integrante del Comité de Transparencia. </w:t>
      </w:r>
    </w:p>
    <w:p w14:paraId="5073740A" w14:textId="77777777" w:rsidR="00817A04" w:rsidRPr="00882E62" w:rsidRDefault="00817A04" w:rsidP="00817A04">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14:paraId="78377EBE" w14:textId="77777777" w:rsidR="00817A04" w:rsidRPr="00882E62" w:rsidRDefault="00817A04" w:rsidP="00817A04">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b/>
          <w:bCs/>
          <w:i/>
          <w:iCs/>
          <w:sz w:val="22"/>
          <w:szCs w:val="22"/>
        </w:rPr>
        <w:t>I.</w:t>
      </w:r>
      <w:r w:rsidRPr="00882E62">
        <w:rPr>
          <w:rFonts w:ascii="Palatino Linotype" w:eastAsia="Palatino Linotype" w:hAnsi="Palatino Linotype" w:cs="Palatino Linotype"/>
          <w:i/>
          <w:iCs/>
          <w:sz w:val="22"/>
          <w:szCs w:val="22"/>
        </w:rPr>
        <w:t xml:space="preserve"> Los motivos y razonamientos que sustenten la confirmación o modificación de la prueba de daño;</w:t>
      </w:r>
    </w:p>
    <w:p w14:paraId="04063A6F" w14:textId="77777777" w:rsidR="00817A04" w:rsidRPr="00882E62" w:rsidRDefault="00817A04" w:rsidP="00817A04">
      <w:pPr>
        <w:pBdr>
          <w:top w:val="nil"/>
          <w:left w:val="nil"/>
          <w:bottom w:val="nil"/>
          <w:right w:val="nil"/>
          <w:between w:val="nil"/>
        </w:pBdr>
        <w:spacing w:before="120" w:after="120"/>
        <w:ind w:left="851" w:right="902"/>
        <w:jc w:val="both"/>
        <w:rPr>
          <w:rFonts w:ascii="Palatino Linotype" w:eastAsia="Palatino Linotype" w:hAnsi="Palatino Linotype" w:cs="Palatino Linotype"/>
          <w:b/>
          <w:bCs/>
          <w:i/>
          <w:iCs/>
          <w:sz w:val="22"/>
          <w:szCs w:val="22"/>
        </w:rPr>
      </w:pPr>
      <w:r w:rsidRPr="00882E62">
        <w:rPr>
          <w:rFonts w:ascii="Palatino Linotype" w:eastAsia="Palatino Linotype" w:hAnsi="Palatino Linotype" w:cs="Palatino Linotype"/>
          <w:b/>
          <w:bCs/>
          <w:i/>
          <w:iCs/>
          <w:sz w:val="22"/>
          <w:szCs w:val="22"/>
        </w:rPr>
        <w:t>II</w:t>
      </w:r>
      <w:r w:rsidRPr="00882E62">
        <w:rPr>
          <w:rFonts w:ascii="Palatino Linotype" w:eastAsia="Palatino Linotype" w:hAnsi="Palatino Linotype" w:cs="Palatino Linotype"/>
          <w:i/>
          <w:iCs/>
          <w:sz w:val="22"/>
          <w:szCs w:val="22"/>
        </w:rPr>
        <w:t>. Descripción de las partes o secciones reservadas, en caso de clasificación parcial</w:t>
      </w:r>
      <w:r w:rsidRPr="00882E62">
        <w:rPr>
          <w:rFonts w:ascii="Palatino Linotype" w:eastAsia="Palatino Linotype" w:hAnsi="Palatino Linotype" w:cs="Palatino Linotype"/>
          <w:b/>
          <w:bCs/>
          <w:i/>
          <w:iCs/>
          <w:sz w:val="22"/>
          <w:szCs w:val="22"/>
        </w:rPr>
        <w:t xml:space="preserve">; </w:t>
      </w:r>
    </w:p>
    <w:p w14:paraId="7DFC6E17" w14:textId="77777777" w:rsidR="00817A04" w:rsidRPr="00882E62" w:rsidRDefault="00817A04" w:rsidP="00817A04">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b/>
          <w:bCs/>
          <w:i/>
          <w:iCs/>
          <w:sz w:val="22"/>
          <w:szCs w:val="22"/>
        </w:rPr>
        <w:t>III.</w:t>
      </w:r>
      <w:r w:rsidRPr="00882E62">
        <w:rPr>
          <w:rFonts w:ascii="Palatino Linotype" w:eastAsia="Palatino Linotype" w:hAnsi="Palatino Linotype" w:cs="Palatino Linotype"/>
          <w:i/>
          <w:iCs/>
          <w:sz w:val="22"/>
          <w:szCs w:val="22"/>
        </w:rPr>
        <w:t xml:space="preserve"> El periodo por el que mantendrá su clasificación y fecha de expiración; y </w:t>
      </w:r>
    </w:p>
    <w:p w14:paraId="58186A48" w14:textId="77777777" w:rsidR="00817A04" w:rsidRPr="00882E62" w:rsidRDefault="00817A04" w:rsidP="00817A04">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b/>
          <w:bCs/>
          <w:i/>
          <w:iCs/>
          <w:sz w:val="22"/>
          <w:szCs w:val="22"/>
        </w:rPr>
        <w:t>IV.</w:t>
      </w:r>
      <w:r w:rsidRPr="00882E62">
        <w:rPr>
          <w:rFonts w:ascii="Palatino Linotype" w:eastAsia="Palatino Linotype" w:hAnsi="Palatino Linotype" w:cs="Palatino Linotype"/>
          <w:i/>
          <w:iCs/>
          <w:sz w:val="22"/>
          <w:szCs w:val="22"/>
        </w:rPr>
        <w:t xml:space="preserve"> El nombre del titular y área encargada de realizar la versión pública del documento, en su caso. </w:t>
      </w:r>
    </w:p>
    <w:p w14:paraId="3BB224CC" w14:textId="77777777" w:rsidR="00817A04" w:rsidRPr="00882E62" w:rsidRDefault="00817A04" w:rsidP="00817A04">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14:paraId="3C3A7B61" w14:textId="77777777" w:rsidR="00817A04" w:rsidRPr="00882E62" w:rsidRDefault="00817A04" w:rsidP="00817A04">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A9C06D7" w14:textId="77777777" w:rsidR="00817A04" w:rsidRPr="00882E62" w:rsidRDefault="00817A04" w:rsidP="00817A04">
      <w:pPr>
        <w:spacing w:before="240" w:after="240" w:line="360" w:lineRule="auto"/>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3EBF2E56" w14:textId="77777777" w:rsidR="00817A04" w:rsidRPr="00882E62" w:rsidRDefault="00817A04" w:rsidP="00817A04">
      <w:pPr>
        <w:spacing w:before="120" w:after="120"/>
        <w:ind w:left="851" w:right="900"/>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i/>
          <w:iCs/>
          <w:sz w:val="22"/>
          <w:szCs w:val="22"/>
        </w:rPr>
        <w:t>“</w:t>
      </w:r>
      <w:r w:rsidRPr="00882E62">
        <w:rPr>
          <w:rFonts w:ascii="Palatino Linotype" w:eastAsia="Palatino Linotype" w:hAnsi="Palatino Linotype" w:cs="Palatino Linotype"/>
          <w:b/>
          <w:bCs/>
          <w:i/>
          <w:iCs/>
          <w:sz w:val="22"/>
          <w:szCs w:val="22"/>
        </w:rPr>
        <w:t>Quincuagésimo segundo</w:t>
      </w:r>
      <w:r w:rsidRPr="00882E62">
        <w:rPr>
          <w:rFonts w:ascii="Palatino Linotype" w:eastAsia="Palatino Linotype" w:hAnsi="Palatino Linotype" w:cs="Palatino Linotype"/>
          <w:i/>
          <w:iCs/>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882E62">
        <w:rPr>
          <w:rFonts w:ascii="Palatino Linotype" w:eastAsia="Palatino Linotype" w:hAnsi="Palatino Linotype" w:cs="Palatino Linotype"/>
          <w:i/>
          <w:iCs/>
          <w:sz w:val="22"/>
          <w:szCs w:val="22"/>
        </w:rPr>
        <w:t>sobreposición</w:t>
      </w:r>
      <w:proofErr w:type="spellEnd"/>
      <w:r w:rsidRPr="00882E62">
        <w:rPr>
          <w:rFonts w:ascii="Palatino Linotype" w:eastAsia="Palatino Linotype" w:hAnsi="Palatino Linotype" w:cs="Palatino Linotype"/>
          <w:i/>
          <w:iCs/>
          <w:sz w:val="22"/>
          <w:szCs w:val="22"/>
        </w:rPr>
        <w:t xml:space="preserve"> de contenido distinto al autorizado por el Comité.</w:t>
      </w:r>
    </w:p>
    <w:p w14:paraId="476176FA" w14:textId="77777777" w:rsidR="00817A04" w:rsidRPr="00882E62" w:rsidRDefault="00817A04" w:rsidP="00817A04">
      <w:pPr>
        <w:spacing w:before="120" w:after="120"/>
        <w:ind w:left="851" w:right="900"/>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i/>
          <w:iCs/>
          <w:sz w:val="22"/>
          <w:szCs w:val="22"/>
        </w:rPr>
        <w:t xml:space="preserve">En el caso específico de la clasificación y elaboración de versiones públicas de documentos que contengan información confidencial, las áreas de los sujetos obligados deberán: </w:t>
      </w:r>
    </w:p>
    <w:p w14:paraId="011E3794" w14:textId="77777777" w:rsidR="00817A04" w:rsidRPr="00882E62" w:rsidRDefault="00817A04" w:rsidP="00817A04">
      <w:pPr>
        <w:spacing w:before="120" w:after="120"/>
        <w:ind w:left="851" w:right="900"/>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b/>
          <w:bCs/>
          <w:i/>
          <w:iCs/>
          <w:sz w:val="22"/>
          <w:szCs w:val="22"/>
        </w:rPr>
        <w:t>I.</w:t>
      </w:r>
      <w:r w:rsidRPr="00882E62">
        <w:rPr>
          <w:rFonts w:ascii="Palatino Linotype" w:eastAsia="Palatino Linotype" w:hAnsi="Palatino Linotype" w:cs="Palatino Linotype"/>
          <w:i/>
          <w:iCs/>
          <w:sz w:val="22"/>
          <w:szCs w:val="22"/>
        </w:rPr>
        <w:t xml:space="preserve"> Fijar la fecha en que se elaboró la versión pública y la fecha en la cual el Comité de Transparencia confirmó dicha versión;</w:t>
      </w:r>
    </w:p>
    <w:p w14:paraId="7F46EBAC" w14:textId="77777777" w:rsidR="00817A04" w:rsidRPr="00882E62" w:rsidRDefault="00817A04" w:rsidP="00817A04">
      <w:pPr>
        <w:spacing w:before="120" w:after="120"/>
        <w:ind w:left="851" w:right="900"/>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b/>
          <w:bCs/>
          <w:i/>
          <w:iCs/>
          <w:sz w:val="22"/>
          <w:szCs w:val="22"/>
        </w:rPr>
        <w:t>II.</w:t>
      </w:r>
      <w:r w:rsidRPr="00882E62">
        <w:rPr>
          <w:rFonts w:ascii="Palatino Linotype" w:eastAsia="Palatino Linotype" w:hAnsi="Palatino Linotype" w:cs="Palatino Linotype"/>
          <w:i/>
          <w:iCs/>
          <w:sz w:val="22"/>
          <w:szCs w:val="22"/>
        </w:rPr>
        <w:t xml:space="preserve"> Señalar dentro del documento el tipo de información confidencial que fue testada en cada caso específico, de conformidad con el lineamiento trigésimo octavo; y</w:t>
      </w:r>
    </w:p>
    <w:p w14:paraId="5ECC2D8E" w14:textId="77777777" w:rsidR="00817A04" w:rsidRPr="00882E62" w:rsidRDefault="00817A04" w:rsidP="00817A04">
      <w:pPr>
        <w:spacing w:before="120" w:after="120"/>
        <w:ind w:left="851" w:right="900"/>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b/>
          <w:bCs/>
          <w:i/>
          <w:iCs/>
          <w:sz w:val="22"/>
          <w:szCs w:val="22"/>
        </w:rPr>
        <w:t>III.</w:t>
      </w:r>
      <w:r w:rsidRPr="00882E62">
        <w:rPr>
          <w:rFonts w:ascii="Palatino Linotype" w:eastAsia="Palatino Linotype" w:hAnsi="Palatino Linotype" w:cs="Palatino Linotype"/>
          <w:i/>
          <w:iCs/>
          <w:sz w:val="22"/>
          <w:szCs w:val="22"/>
        </w:rPr>
        <w:t xml:space="preserve"> Señalar las personas o instancias autorizadas a acceder a la información clasificada.</w:t>
      </w:r>
    </w:p>
    <w:p w14:paraId="59FC8091" w14:textId="77777777" w:rsidR="00817A04" w:rsidRPr="00882E62" w:rsidRDefault="00817A04" w:rsidP="00817A04">
      <w:pPr>
        <w:spacing w:before="120" w:after="120"/>
        <w:ind w:left="851" w:right="900"/>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14:paraId="46DD2EAA" w14:textId="77777777" w:rsidR="00817A04" w:rsidRPr="00882E62" w:rsidRDefault="00817A04" w:rsidP="00817A04">
      <w:pPr>
        <w:pBdr>
          <w:top w:val="nil"/>
          <w:left w:val="nil"/>
          <w:bottom w:val="nil"/>
          <w:right w:val="nil"/>
          <w:between w:val="nil"/>
        </w:pBdr>
        <w:spacing w:before="120" w:after="120"/>
        <w:ind w:left="851" w:right="900"/>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i/>
          <w:iCs/>
          <w:sz w:val="22"/>
          <w:szCs w:val="22"/>
        </w:rPr>
        <w:t>…</w:t>
      </w:r>
    </w:p>
    <w:p w14:paraId="2E54107E" w14:textId="77777777" w:rsidR="00817A04" w:rsidRPr="00882E62" w:rsidRDefault="00817A04" w:rsidP="00817A04">
      <w:pPr>
        <w:pBdr>
          <w:top w:val="nil"/>
          <w:left w:val="nil"/>
          <w:bottom w:val="nil"/>
          <w:right w:val="nil"/>
          <w:between w:val="nil"/>
        </w:pBdr>
        <w:spacing w:before="120" w:after="120"/>
        <w:ind w:left="851" w:right="900"/>
        <w:jc w:val="both"/>
        <w:rPr>
          <w:rFonts w:ascii="Palatino Linotype" w:eastAsia="Palatino Linotype" w:hAnsi="Palatino Linotype" w:cs="Palatino Linotype"/>
          <w:b/>
          <w:bCs/>
          <w:i/>
          <w:iCs/>
          <w:sz w:val="22"/>
          <w:szCs w:val="22"/>
        </w:rPr>
      </w:pPr>
      <w:r w:rsidRPr="00882E62">
        <w:rPr>
          <w:rFonts w:ascii="Palatino Linotype" w:eastAsia="Palatino Linotype" w:hAnsi="Palatino Linotype" w:cs="Palatino Linotype"/>
          <w:b/>
          <w:bCs/>
          <w:i/>
          <w:iCs/>
          <w:sz w:val="22"/>
          <w:szCs w:val="22"/>
        </w:rPr>
        <w:t xml:space="preserve">Quincuagésimo cuarto. </w:t>
      </w:r>
      <w:r w:rsidRPr="00882E62">
        <w:rPr>
          <w:rFonts w:ascii="Palatino Linotype" w:eastAsia="Palatino Linotype" w:hAnsi="Palatino Linotype" w:cs="Palatino Linotype"/>
          <w:i/>
          <w:iCs/>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882E62">
        <w:rPr>
          <w:rFonts w:ascii="Palatino Linotype" w:eastAsia="Palatino Linotype" w:hAnsi="Palatino Linotype" w:cs="Palatino Linotype"/>
          <w:b/>
          <w:bCs/>
          <w:i/>
          <w:iCs/>
          <w:sz w:val="22"/>
          <w:szCs w:val="22"/>
        </w:rPr>
        <w:t xml:space="preserve"> </w:t>
      </w:r>
    </w:p>
    <w:p w14:paraId="6A09785B" w14:textId="77777777" w:rsidR="00817A04" w:rsidRPr="00882E62" w:rsidRDefault="00817A04" w:rsidP="00817A04">
      <w:pPr>
        <w:spacing w:before="120" w:after="120"/>
        <w:ind w:left="851" w:right="902"/>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b/>
          <w:bCs/>
          <w:i/>
          <w:iCs/>
          <w:sz w:val="22"/>
          <w:szCs w:val="22"/>
        </w:rPr>
        <w:t xml:space="preserve">Quincuagésimo quinto. </w:t>
      </w:r>
      <w:r w:rsidRPr="00882E62">
        <w:rPr>
          <w:rFonts w:ascii="Palatino Linotype" w:eastAsia="Palatino Linotype" w:hAnsi="Palatino Linotype" w:cs="Palatino Linotype"/>
          <w:i/>
          <w:iCs/>
          <w:sz w:val="22"/>
          <w:szCs w:val="22"/>
        </w:rPr>
        <w:t xml:space="preserve">Cada área del sujeto obligado podrá designar formalmente a una o más personas como responsables del </w:t>
      </w:r>
      <w:proofErr w:type="spellStart"/>
      <w:r w:rsidRPr="00882E62">
        <w:rPr>
          <w:rFonts w:ascii="Palatino Linotype" w:eastAsia="Palatino Linotype" w:hAnsi="Palatino Linotype" w:cs="Palatino Linotype"/>
          <w:i/>
          <w:iCs/>
          <w:sz w:val="22"/>
          <w:szCs w:val="22"/>
        </w:rPr>
        <w:t>testado</w:t>
      </w:r>
      <w:proofErr w:type="spellEnd"/>
      <w:r w:rsidRPr="00882E62">
        <w:rPr>
          <w:rFonts w:ascii="Palatino Linotype" w:eastAsia="Palatino Linotype" w:hAnsi="Palatino Linotype" w:cs="Palatino Linotype"/>
          <w:i/>
          <w:iCs/>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085B18F3" w14:textId="77777777" w:rsidR="00817A04" w:rsidRPr="00882E62" w:rsidRDefault="00817A04" w:rsidP="00817A04">
      <w:pPr>
        <w:spacing w:before="120" w:after="120"/>
        <w:ind w:left="851" w:right="902"/>
        <w:jc w:val="both"/>
        <w:rPr>
          <w:rFonts w:ascii="Palatino Linotype" w:eastAsia="Palatino Linotype" w:hAnsi="Palatino Linotype" w:cs="Palatino Linotype"/>
          <w:b/>
          <w:bCs/>
          <w:i/>
          <w:iCs/>
          <w:sz w:val="22"/>
          <w:szCs w:val="22"/>
        </w:rPr>
      </w:pPr>
      <w:r w:rsidRPr="00882E62">
        <w:rPr>
          <w:rFonts w:ascii="Palatino Linotype" w:eastAsia="Palatino Linotype" w:hAnsi="Palatino Linotype" w:cs="Palatino Linotype"/>
          <w:b/>
          <w:bCs/>
          <w:i/>
          <w:iCs/>
          <w:sz w:val="22"/>
          <w:szCs w:val="22"/>
        </w:rPr>
        <w:t>...</w:t>
      </w:r>
    </w:p>
    <w:p w14:paraId="29D8C63F" w14:textId="77777777" w:rsidR="00817A04" w:rsidRPr="00882E62" w:rsidRDefault="00817A04" w:rsidP="00817A04">
      <w:pPr>
        <w:spacing w:before="120" w:after="120"/>
        <w:ind w:left="851" w:right="902"/>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b/>
          <w:bCs/>
          <w:i/>
          <w:iCs/>
          <w:sz w:val="22"/>
          <w:szCs w:val="22"/>
        </w:rPr>
        <w:t>Quincuagésimo séptimo</w:t>
      </w:r>
      <w:r w:rsidRPr="00882E62">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14:paraId="7C3A198D" w14:textId="77777777" w:rsidR="00817A04" w:rsidRPr="00882E62" w:rsidRDefault="00817A04" w:rsidP="00817A04">
      <w:pPr>
        <w:spacing w:before="120" w:after="120"/>
        <w:ind w:left="851" w:right="902"/>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b/>
          <w:bCs/>
          <w:i/>
          <w:iCs/>
          <w:sz w:val="22"/>
          <w:szCs w:val="22"/>
        </w:rPr>
        <w:t>I</w:t>
      </w:r>
      <w:r w:rsidRPr="00882E62">
        <w:rPr>
          <w:rFonts w:ascii="Palatino Linotype" w:eastAsia="Palatino Linotype" w:hAnsi="Palatino Linotype" w:cs="Palatino Linotype"/>
          <w:i/>
          <w:iCs/>
          <w:sz w:val="22"/>
          <w:szCs w:val="22"/>
        </w:rPr>
        <w:t xml:space="preserve">. La relativa a las Obligaciones de Transparencia que contempla el Título V de la Ley General y las demás disposiciones legales aplicables; </w:t>
      </w:r>
    </w:p>
    <w:p w14:paraId="5BF33F0A" w14:textId="77777777" w:rsidR="00817A04" w:rsidRPr="00882E62" w:rsidRDefault="00817A04" w:rsidP="00817A04">
      <w:pPr>
        <w:spacing w:before="120" w:after="120"/>
        <w:ind w:left="851" w:right="902"/>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b/>
          <w:bCs/>
          <w:i/>
          <w:iCs/>
          <w:sz w:val="22"/>
          <w:szCs w:val="22"/>
        </w:rPr>
        <w:t>II.</w:t>
      </w:r>
      <w:r w:rsidRPr="00882E62">
        <w:rPr>
          <w:rFonts w:ascii="Palatino Linotype" w:eastAsia="Palatino Linotype" w:hAnsi="Palatino Linotype" w:cs="Palatino Linotype"/>
          <w:i/>
          <w:iCs/>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1DC6568D" w14:textId="77777777" w:rsidR="00817A04" w:rsidRPr="00882E62" w:rsidRDefault="00817A04" w:rsidP="00817A04">
      <w:pPr>
        <w:spacing w:before="120" w:after="120"/>
        <w:ind w:left="851" w:right="902"/>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b/>
          <w:bCs/>
          <w:i/>
          <w:iCs/>
          <w:sz w:val="22"/>
          <w:szCs w:val="22"/>
        </w:rPr>
        <w:t>III</w:t>
      </w:r>
      <w:r w:rsidRPr="00882E62">
        <w:rPr>
          <w:rFonts w:ascii="Palatino Linotype" w:eastAsia="Palatino Linotype" w:hAnsi="Palatino Linotype" w:cs="Palatino Linotype"/>
          <w:i/>
          <w:iCs/>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5CF3129F" w14:textId="77777777" w:rsidR="00817A04" w:rsidRPr="00882E62" w:rsidRDefault="00817A04" w:rsidP="00817A04">
      <w:pPr>
        <w:spacing w:before="120" w:after="120"/>
        <w:ind w:left="851" w:right="902"/>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14:paraId="741E4ED3" w14:textId="77777777" w:rsidR="00817A04" w:rsidRPr="00882E62" w:rsidRDefault="00817A04" w:rsidP="00817A04">
      <w:pPr>
        <w:spacing w:before="120" w:after="120"/>
        <w:ind w:left="851" w:right="902"/>
        <w:jc w:val="both"/>
        <w:rPr>
          <w:rFonts w:ascii="Palatino Linotype" w:eastAsia="Palatino Linotype" w:hAnsi="Palatino Linotype" w:cs="Palatino Linotype"/>
          <w:i/>
          <w:iCs/>
          <w:sz w:val="22"/>
          <w:szCs w:val="22"/>
        </w:rPr>
      </w:pPr>
      <w:r w:rsidRPr="00882E62">
        <w:rPr>
          <w:rFonts w:ascii="Palatino Linotype" w:eastAsia="Palatino Linotype" w:hAnsi="Palatino Linotype" w:cs="Palatino Linotype"/>
          <w:b/>
          <w:bCs/>
          <w:i/>
          <w:iCs/>
          <w:sz w:val="22"/>
          <w:szCs w:val="22"/>
        </w:rPr>
        <w:t>Quincuagésimo octavo</w:t>
      </w:r>
      <w:r w:rsidRPr="00882E62">
        <w:rPr>
          <w:rFonts w:ascii="Palatino Linotype" w:eastAsia="Palatino Linotype" w:hAnsi="Palatino Linotype" w:cs="Palatino Linotype"/>
          <w:i/>
          <w:iCs/>
          <w:sz w:val="22"/>
          <w:szCs w:val="22"/>
        </w:rPr>
        <w:t>. Los sujetos obligados garantizarán que los sistemas o medios empleados para eliminar la información en las versiones públicas sean irreversibles, de tal forma que no permitan su recuperación o la visualización de la misma.”</w:t>
      </w:r>
    </w:p>
    <w:p w14:paraId="4368008A" w14:textId="77777777" w:rsidR="00331A87" w:rsidRPr="00882E62" w:rsidRDefault="00331A87" w:rsidP="00331A87">
      <w:pPr>
        <w:spacing w:before="240" w:after="240" w:line="360" w:lineRule="auto"/>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Así, con fundamento en lo prescrito en los artículos 5 párrafos cuadragésimo cuarto, cuadragésimo quinto cuadragésimo sexto,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14:paraId="0B4B5E69" w14:textId="77777777" w:rsidR="00694AA0" w:rsidRPr="00882E62" w:rsidRDefault="005B22BA">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882E62">
        <w:rPr>
          <w:rFonts w:ascii="Palatino Linotype" w:eastAsia="Palatino Linotype" w:hAnsi="Palatino Linotype" w:cs="Palatino Linotype"/>
          <w:b/>
          <w:sz w:val="22"/>
          <w:szCs w:val="22"/>
        </w:rPr>
        <w:t>III. R E S U E L V E</w:t>
      </w:r>
    </w:p>
    <w:p w14:paraId="6571A61A" w14:textId="0E038335" w:rsidR="00694AA0" w:rsidRPr="00882E62" w:rsidRDefault="005B22BA">
      <w:pPr>
        <w:spacing w:before="240" w:after="240" w:line="360" w:lineRule="auto"/>
        <w:jc w:val="both"/>
        <w:rPr>
          <w:rFonts w:ascii="Palatino Linotype" w:eastAsia="Palatino Linotype" w:hAnsi="Palatino Linotype" w:cs="Palatino Linotype"/>
          <w:sz w:val="22"/>
          <w:szCs w:val="22"/>
        </w:rPr>
      </w:pPr>
      <w:bookmarkStart w:id="8" w:name="_heading=h.26in1rg" w:colFirst="0" w:colLast="0"/>
      <w:bookmarkEnd w:id="8"/>
      <w:r w:rsidRPr="00882E62">
        <w:rPr>
          <w:rFonts w:ascii="Palatino Linotype" w:eastAsia="Palatino Linotype" w:hAnsi="Palatino Linotype" w:cs="Palatino Linotype"/>
          <w:b/>
          <w:sz w:val="22"/>
          <w:szCs w:val="22"/>
        </w:rPr>
        <w:t xml:space="preserve">Primero. </w:t>
      </w:r>
      <w:r w:rsidRPr="00882E62">
        <w:rPr>
          <w:rFonts w:ascii="Palatino Linotype" w:eastAsia="Palatino Linotype" w:hAnsi="Palatino Linotype" w:cs="Palatino Linotype"/>
          <w:sz w:val="22"/>
          <w:szCs w:val="22"/>
        </w:rPr>
        <w:t>Resultan</w:t>
      </w:r>
      <w:r w:rsidRPr="00882E62">
        <w:rPr>
          <w:rFonts w:ascii="Palatino Linotype" w:eastAsia="Palatino Linotype" w:hAnsi="Palatino Linotype" w:cs="Palatino Linotype"/>
          <w:b/>
          <w:sz w:val="22"/>
          <w:szCs w:val="22"/>
        </w:rPr>
        <w:t xml:space="preserve"> fundadas</w:t>
      </w:r>
      <w:r w:rsidRPr="00882E62">
        <w:rPr>
          <w:rFonts w:ascii="Palatino Linotype" w:eastAsia="Palatino Linotype" w:hAnsi="Palatino Linotype" w:cs="Palatino Linotype"/>
          <w:sz w:val="22"/>
          <w:szCs w:val="22"/>
        </w:rPr>
        <w:t xml:space="preserve"> las razones o motivos de inconformidad hechos valer por la parte</w:t>
      </w:r>
      <w:r w:rsidRPr="00882E62">
        <w:rPr>
          <w:rFonts w:ascii="Palatino Linotype" w:eastAsia="Palatino Linotype" w:hAnsi="Palatino Linotype" w:cs="Palatino Linotype"/>
          <w:b/>
          <w:sz w:val="22"/>
          <w:szCs w:val="22"/>
        </w:rPr>
        <w:t xml:space="preserve"> Recurrente</w:t>
      </w:r>
      <w:r w:rsidRPr="00882E62">
        <w:rPr>
          <w:rFonts w:ascii="Palatino Linotype" w:eastAsia="Palatino Linotype" w:hAnsi="Palatino Linotype" w:cs="Palatino Linotype"/>
          <w:sz w:val="22"/>
          <w:szCs w:val="22"/>
        </w:rPr>
        <w:t xml:space="preserve"> en el recurso de revisión </w:t>
      </w:r>
      <w:r w:rsidR="00817A04" w:rsidRPr="00882E62">
        <w:rPr>
          <w:rFonts w:ascii="Palatino Linotype" w:eastAsia="Palatino Linotype" w:hAnsi="Palatino Linotype" w:cs="Palatino Linotype"/>
          <w:b/>
          <w:sz w:val="22"/>
          <w:szCs w:val="22"/>
        </w:rPr>
        <w:t>1</w:t>
      </w:r>
      <w:r w:rsidR="00B2263D" w:rsidRPr="00882E62">
        <w:rPr>
          <w:rFonts w:ascii="Palatino Linotype" w:eastAsia="Palatino Linotype" w:hAnsi="Palatino Linotype" w:cs="Palatino Linotype"/>
          <w:b/>
          <w:sz w:val="22"/>
          <w:szCs w:val="22"/>
        </w:rPr>
        <w:t>0754</w:t>
      </w:r>
      <w:r w:rsidR="00E60046" w:rsidRPr="00882E62">
        <w:rPr>
          <w:rFonts w:ascii="Palatino Linotype" w:eastAsia="Palatino Linotype" w:hAnsi="Palatino Linotype" w:cs="Palatino Linotype"/>
          <w:b/>
          <w:sz w:val="22"/>
          <w:szCs w:val="22"/>
        </w:rPr>
        <w:t>/INFOEM/IP/RR/202</w:t>
      </w:r>
      <w:r w:rsidR="00817A04" w:rsidRPr="00882E62">
        <w:rPr>
          <w:rFonts w:ascii="Palatino Linotype" w:eastAsia="Palatino Linotype" w:hAnsi="Palatino Linotype" w:cs="Palatino Linotype"/>
          <w:b/>
          <w:sz w:val="22"/>
          <w:szCs w:val="22"/>
        </w:rPr>
        <w:t>5</w:t>
      </w:r>
      <w:r w:rsidRPr="00882E62">
        <w:rPr>
          <w:rFonts w:ascii="Palatino Linotype" w:eastAsia="Palatino Linotype" w:hAnsi="Palatino Linotype" w:cs="Palatino Linotype"/>
          <w:sz w:val="22"/>
          <w:szCs w:val="22"/>
        </w:rPr>
        <w:t xml:space="preserve">; por lo que, en términos del </w:t>
      </w:r>
      <w:r w:rsidRPr="00882E62">
        <w:rPr>
          <w:rFonts w:ascii="Palatino Linotype" w:eastAsia="Palatino Linotype" w:hAnsi="Palatino Linotype" w:cs="Palatino Linotype"/>
          <w:b/>
          <w:sz w:val="22"/>
          <w:szCs w:val="22"/>
        </w:rPr>
        <w:t>Considerando</w:t>
      </w:r>
      <w:r w:rsidRPr="00882E62">
        <w:rPr>
          <w:rFonts w:ascii="Palatino Linotype" w:eastAsia="Palatino Linotype" w:hAnsi="Palatino Linotype" w:cs="Palatino Linotype"/>
          <w:sz w:val="22"/>
          <w:szCs w:val="22"/>
        </w:rPr>
        <w:t xml:space="preserve"> </w:t>
      </w:r>
      <w:r w:rsidRPr="00882E62">
        <w:rPr>
          <w:rFonts w:ascii="Palatino Linotype" w:eastAsia="Palatino Linotype" w:hAnsi="Palatino Linotype" w:cs="Palatino Linotype"/>
          <w:b/>
          <w:sz w:val="22"/>
          <w:szCs w:val="22"/>
        </w:rPr>
        <w:t xml:space="preserve">Cuarto </w:t>
      </w:r>
      <w:r w:rsidRPr="00882E62">
        <w:rPr>
          <w:rFonts w:ascii="Palatino Linotype" w:eastAsia="Palatino Linotype" w:hAnsi="Palatino Linotype" w:cs="Palatino Linotype"/>
          <w:sz w:val="22"/>
          <w:szCs w:val="22"/>
        </w:rPr>
        <w:t xml:space="preserve">de esta resolución, se </w:t>
      </w:r>
      <w:r w:rsidR="004D5C20" w:rsidRPr="00882E62">
        <w:rPr>
          <w:rFonts w:ascii="Palatino Linotype" w:eastAsia="Palatino Linotype" w:hAnsi="Palatino Linotype" w:cs="Palatino Linotype"/>
          <w:b/>
          <w:sz w:val="22"/>
          <w:szCs w:val="22"/>
        </w:rPr>
        <w:t>Revoca</w:t>
      </w:r>
      <w:r w:rsidRPr="00882E62">
        <w:rPr>
          <w:rFonts w:ascii="Palatino Linotype" w:eastAsia="Palatino Linotype" w:hAnsi="Palatino Linotype" w:cs="Palatino Linotype"/>
          <w:b/>
          <w:sz w:val="22"/>
          <w:szCs w:val="22"/>
        </w:rPr>
        <w:t xml:space="preserve"> </w:t>
      </w:r>
      <w:r w:rsidRPr="00882E62">
        <w:rPr>
          <w:rFonts w:ascii="Palatino Linotype" w:eastAsia="Palatino Linotype" w:hAnsi="Palatino Linotype" w:cs="Palatino Linotype"/>
          <w:sz w:val="22"/>
          <w:szCs w:val="22"/>
        </w:rPr>
        <w:t xml:space="preserve">la respuesta emitida por el </w:t>
      </w:r>
      <w:r w:rsidRPr="00882E62">
        <w:rPr>
          <w:rFonts w:ascii="Palatino Linotype" w:eastAsia="Palatino Linotype" w:hAnsi="Palatino Linotype" w:cs="Palatino Linotype"/>
          <w:b/>
          <w:sz w:val="22"/>
          <w:szCs w:val="22"/>
        </w:rPr>
        <w:t xml:space="preserve">Sujeto Obligado. </w:t>
      </w:r>
    </w:p>
    <w:p w14:paraId="005939BD" w14:textId="358B1F60" w:rsidR="00F25E2D" w:rsidRPr="00882E62" w:rsidRDefault="005B22BA" w:rsidP="00143423">
      <w:pPr>
        <w:spacing w:before="240" w:after="240" w:line="360" w:lineRule="auto"/>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b/>
          <w:sz w:val="22"/>
          <w:szCs w:val="22"/>
        </w:rPr>
        <w:t xml:space="preserve">Segundo. </w:t>
      </w:r>
      <w:r w:rsidRPr="00882E62">
        <w:rPr>
          <w:rFonts w:ascii="Palatino Linotype" w:eastAsia="Palatino Linotype" w:hAnsi="Palatino Linotype" w:cs="Palatino Linotype"/>
          <w:sz w:val="22"/>
          <w:szCs w:val="22"/>
        </w:rPr>
        <w:t xml:space="preserve">Se </w:t>
      </w:r>
      <w:r w:rsidRPr="00882E62">
        <w:rPr>
          <w:rFonts w:ascii="Palatino Linotype" w:eastAsia="Palatino Linotype" w:hAnsi="Palatino Linotype" w:cs="Palatino Linotype"/>
          <w:b/>
          <w:sz w:val="22"/>
          <w:szCs w:val="22"/>
        </w:rPr>
        <w:t>Ordena</w:t>
      </w:r>
      <w:r w:rsidRPr="00882E62">
        <w:rPr>
          <w:rFonts w:ascii="Palatino Linotype" w:eastAsia="Palatino Linotype" w:hAnsi="Palatino Linotype" w:cs="Palatino Linotype"/>
          <w:sz w:val="22"/>
          <w:szCs w:val="22"/>
        </w:rPr>
        <w:t xml:space="preserve"> al </w:t>
      </w:r>
      <w:r w:rsidRPr="00882E62">
        <w:rPr>
          <w:rFonts w:ascii="Palatino Linotype" w:eastAsia="Palatino Linotype" w:hAnsi="Palatino Linotype" w:cs="Palatino Linotype"/>
          <w:b/>
          <w:sz w:val="22"/>
          <w:szCs w:val="22"/>
        </w:rPr>
        <w:t>Sujeto Obligado</w:t>
      </w:r>
      <w:r w:rsidRPr="00882E62">
        <w:rPr>
          <w:rFonts w:ascii="Palatino Linotype" w:eastAsia="Palatino Linotype" w:hAnsi="Palatino Linotype" w:cs="Palatino Linotype"/>
          <w:sz w:val="22"/>
          <w:szCs w:val="22"/>
        </w:rPr>
        <w:t xml:space="preserve">, en términos de los Considerandos </w:t>
      </w:r>
      <w:r w:rsidRPr="00882E62">
        <w:rPr>
          <w:rFonts w:ascii="Palatino Linotype" w:eastAsia="Palatino Linotype" w:hAnsi="Palatino Linotype" w:cs="Palatino Linotype"/>
          <w:b/>
          <w:sz w:val="22"/>
          <w:szCs w:val="22"/>
        </w:rPr>
        <w:t xml:space="preserve">Cuarto </w:t>
      </w:r>
      <w:r w:rsidRPr="00882E62">
        <w:rPr>
          <w:rFonts w:ascii="Palatino Linotype" w:eastAsia="Palatino Linotype" w:hAnsi="Palatino Linotype" w:cs="Palatino Linotype"/>
          <w:sz w:val="22"/>
          <w:szCs w:val="22"/>
        </w:rPr>
        <w:t xml:space="preserve">y </w:t>
      </w:r>
      <w:r w:rsidRPr="00882E62">
        <w:rPr>
          <w:rFonts w:ascii="Palatino Linotype" w:eastAsia="Palatino Linotype" w:hAnsi="Palatino Linotype" w:cs="Palatino Linotype"/>
          <w:b/>
          <w:sz w:val="22"/>
          <w:szCs w:val="22"/>
        </w:rPr>
        <w:t xml:space="preserve">Quinto </w:t>
      </w:r>
      <w:r w:rsidRPr="00882E62">
        <w:rPr>
          <w:rFonts w:ascii="Palatino Linotype" w:eastAsia="Palatino Linotype" w:hAnsi="Palatino Linotype" w:cs="Palatino Linotype"/>
          <w:sz w:val="22"/>
          <w:szCs w:val="22"/>
        </w:rPr>
        <w:t xml:space="preserve">de esta resolución, haga entrega, </w:t>
      </w:r>
      <w:r w:rsidR="009B4ADD" w:rsidRPr="00882E62">
        <w:rPr>
          <w:rFonts w:ascii="Palatino Linotype" w:eastAsia="Palatino Linotype" w:hAnsi="Palatino Linotype" w:cs="Palatino Linotype"/>
          <w:sz w:val="22"/>
          <w:szCs w:val="22"/>
        </w:rPr>
        <w:t xml:space="preserve">vía </w:t>
      </w:r>
      <w:r w:rsidR="009B4ADD" w:rsidRPr="00882E62">
        <w:rPr>
          <w:rFonts w:ascii="Palatino Linotype" w:eastAsia="Palatino Linotype" w:hAnsi="Palatino Linotype" w:cs="Palatino Linotype"/>
          <w:b/>
          <w:sz w:val="22"/>
          <w:szCs w:val="22"/>
        </w:rPr>
        <w:t>SAIMEX</w:t>
      </w:r>
      <w:r w:rsidR="00E60046" w:rsidRPr="00882E62">
        <w:rPr>
          <w:rFonts w:ascii="Palatino Linotype" w:eastAsia="Palatino Linotype" w:hAnsi="Palatino Linotype" w:cs="Palatino Linotype"/>
          <w:sz w:val="22"/>
          <w:szCs w:val="22"/>
        </w:rPr>
        <w:t>,</w:t>
      </w:r>
      <w:r w:rsidR="00817A04" w:rsidRPr="00882E62">
        <w:rPr>
          <w:rFonts w:ascii="Palatino Linotype" w:eastAsia="Palatino Linotype" w:hAnsi="Palatino Linotype" w:cs="Palatino Linotype"/>
          <w:sz w:val="22"/>
          <w:szCs w:val="22"/>
        </w:rPr>
        <w:t xml:space="preserve"> </w:t>
      </w:r>
      <w:r w:rsidR="00B2263D" w:rsidRPr="00882E62">
        <w:rPr>
          <w:rFonts w:ascii="Palatino Linotype" w:eastAsia="Palatino Linotype" w:hAnsi="Palatino Linotype" w:cs="Palatino Linotype"/>
          <w:sz w:val="22"/>
          <w:szCs w:val="22"/>
        </w:rPr>
        <w:t>previa búsqueda exhaustiva y razonable,</w:t>
      </w:r>
      <w:r w:rsidR="00D57004" w:rsidRPr="00882E62">
        <w:rPr>
          <w:rFonts w:ascii="Palatino Linotype" w:eastAsia="Palatino Linotype" w:hAnsi="Palatino Linotype" w:cs="Palatino Linotype"/>
          <w:sz w:val="22"/>
          <w:szCs w:val="22"/>
        </w:rPr>
        <w:t xml:space="preserve"> en formato Excel, PDF, o en el que se hubiera generado, </w:t>
      </w:r>
      <w:r w:rsidR="00B2263D" w:rsidRPr="00882E62">
        <w:rPr>
          <w:rFonts w:ascii="Palatino Linotype" w:eastAsia="Palatino Linotype" w:hAnsi="Palatino Linotype" w:cs="Palatino Linotype"/>
          <w:sz w:val="22"/>
          <w:szCs w:val="22"/>
        </w:rPr>
        <w:t xml:space="preserve">en </w:t>
      </w:r>
      <w:r w:rsidR="00817A04" w:rsidRPr="00882E62">
        <w:rPr>
          <w:rFonts w:ascii="Palatino Linotype" w:eastAsia="Palatino Linotype" w:hAnsi="Palatino Linotype" w:cs="Palatino Linotype"/>
          <w:sz w:val="22"/>
          <w:szCs w:val="22"/>
        </w:rPr>
        <w:t xml:space="preserve">versión pública de ser procedente, </w:t>
      </w:r>
      <w:r w:rsidR="009B4ADD" w:rsidRPr="00882E62">
        <w:rPr>
          <w:rFonts w:ascii="Palatino Linotype" w:eastAsia="Palatino Linotype" w:hAnsi="Palatino Linotype" w:cs="Palatino Linotype"/>
          <w:sz w:val="22"/>
          <w:szCs w:val="22"/>
        </w:rPr>
        <w:t>de lo siguiente</w:t>
      </w:r>
      <w:r w:rsidR="00F25E2D" w:rsidRPr="00882E62">
        <w:rPr>
          <w:rFonts w:ascii="Palatino Linotype" w:eastAsia="Palatino Linotype" w:hAnsi="Palatino Linotype" w:cs="Palatino Linotype"/>
          <w:sz w:val="22"/>
          <w:szCs w:val="22"/>
        </w:rPr>
        <w:t xml:space="preserve">: </w:t>
      </w:r>
    </w:p>
    <w:p w14:paraId="7FDC54A0" w14:textId="111DD211" w:rsidR="00E60046" w:rsidRPr="00882E62" w:rsidRDefault="00B2263D" w:rsidP="0076507D">
      <w:pPr>
        <w:spacing w:before="240" w:after="240" w:line="360" w:lineRule="auto"/>
        <w:ind w:left="426"/>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 xml:space="preserve">1. </w:t>
      </w:r>
      <w:r w:rsidR="00511B0B" w:rsidRPr="00882E62">
        <w:rPr>
          <w:rFonts w:ascii="Palatino Linotype" w:eastAsia="Palatino Linotype" w:hAnsi="Palatino Linotype" w:cs="Palatino Linotype"/>
          <w:sz w:val="22"/>
          <w:szCs w:val="22"/>
        </w:rPr>
        <w:t xml:space="preserve">PbRM-05 </w:t>
      </w:r>
      <w:r w:rsidRPr="00882E62">
        <w:rPr>
          <w:rFonts w:ascii="Palatino Linotype" w:eastAsia="Palatino Linotype" w:hAnsi="Palatino Linotype" w:cs="Palatino Linotype"/>
          <w:sz w:val="22"/>
          <w:szCs w:val="22"/>
        </w:rPr>
        <w:t>Tabulador de sueldos</w:t>
      </w:r>
      <w:r w:rsidR="00511B0B" w:rsidRPr="00882E62">
        <w:rPr>
          <w:rFonts w:ascii="Palatino Linotype" w:eastAsia="Palatino Linotype" w:hAnsi="Palatino Linotype" w:cs="Palatino Linotype"/>
          <w:sz w:val="22"/>
          <w:szCs w:val="22"/>
        </w:rPr>
        <w:t>,</w:t>
      </w:r>
      <w:r w:rsidRPr="00882E62">
        <w:rPr>
          <w:rFonts w:ascii="Palatino Linotype" w:eastAsia="Palatino Linotype" w:hAnsi="Palatino Linotype" w:cs="Palatino Linotype"/>
          <w:sz w:val="22"/>
          <w:szCs w:val="22"/>
        </w:rPr>
        <w:t xml:space="preserve"> de los ejercicios 2021, 2022, 2023, 2024 y 2025</w:t>
      </w:r>
      <w:r w:rsidR="00E60046" w:rsidRPr="00882E62">
        <w:rPr>
          <w:rFonts w:ascii="Palatino Linotype" w:eastAsia="Palatino Linotype" w:hAnsi="Palatino Linotype" w:cs="Palatino Linotype"/>
          <w:sz w:val="22"/>
          <w:szCs w:val="22"/>
        </w:rPr>
        <w:t>.</w:t>
      </w:r>
    </w:p>
    <w:p w14:paraId="18D98EC0" w14:textId="77777777" w:rsidR="00511B0B" w:rsidRPr="00882E62" w:rsidRDefault="00511B0B" w:rsidP="0076507D">
      <w:pPr>
        <w:spacing w:before="240" w:after="240" w:line="360" w:lineRule="auto"/>
        <w:ind w:left="426"/>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2. PbRM-04c Presupuesto de Egreso Global Calendarizado, de los ejercicios 2021, 2022, 2023, 2024 y 2025.</w:t>
      </w:r>
    </w:p>
    <w:p w14:paraId="010D631B" w14:textId="537D06F1" w:rsidR="00B2263D" w:rsidRPr="00882E62" w:rsidRDefault="00511B0B" w:rsidP="0076507D">
      <w:pPr>
        <w:spacing w:before="240" w:after="240" w:line="360" w:lineRule="auto"/>
        <w:ind w:left="426"/>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 xml:space="preserve">3. Convenio </w:t>
      </w:r>
      <w:r w:rsidR="0076507D" w:rsidRPr="00882E62">
        <w:rPr>
          <w:rFonts w:ascii="Palatino Linotype" w:eastAsia="Palatino Linotype" w:hAnsi="Palatino Linotype" w:cs="Palatino Linotype"/>
          <w:sz w:val="22"/>
          <w:szCs w:val="22"/>
        </w:rPr>
        <w:t>de Sueldo y Prestaciones 2022 y 2025.</w:t>
      </w:r>
    </w:p>
    <w:p w14:paraId="59FB4108" w14:textId="77777777" w:rsidR="00817A04" w:rsidRPr="00882E62" w:rsidRDefault="00817A04" w:rsidP="0076507D">
      <w:pPr>
        <w:spacing w:before="120" w:after="120"/>
        <w:ind w:left="426" w:right="49"/>
        <w:jc w:val="both"/>
        <w:rPr>
          <w:rFonts w:ascii="Palatino Linotype" w:eastAsia="Palatino Linotype" w:hAnsi="Palatino Linotype" w:cs="Palatino Linotype"/>
          <w:i/>
          <w:sz w:val="20"/>
          <w:szCs w:val="22"/>
        </w:rPr>
      </w:pPr>
      <w:r w:rsidRPr="00882E62">
        <w:rPr>
          <w:rFonts w:ascii="Palatino Linotype" w:eastAsia="Palatino Linotype" w:hAnsi="Palatino Linotype" w:cs="Palatino Linotype"/>
          <w:i/>
          <w:sz w:val="20"/>
          <w:szCs w:val="22"/>
        </w:rPr>
        <w:t>De ser necesaria la versión pública, se deberán proporcionar junto con el Acuerdo de Clasificación donde el Comité de Transparencia, confirme la eliminación de los datos clasificados como confidenciales, de conformidad con los artículos 49, fracciones II y VIII, 132, fracción II, 143, fracción I y 149 de la Ley de Transparencia y Acceso a la Información Pública del Estado de México y Municipios.</w:t>
      </w:r>
    </w:p>
    <w:p w14:paraId="01661F9C" w14:textId="3EC6628B" w:rsidR="00694AA0" w:rsidRPr="00882E62" w:rsidRDefault="005B22BA" w:rsidP="00B221EC">
      <w:pPr>
        <w:spacing w:before="240" w:after="240" w:line="360" w:lineRule="auto"/>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b/>
          <w:sz w:val="22"/>
          <w:szCs w:val="22"/>
        </w:rPr>
        <w:t xml:space="preserve">Tercero. Notifíquese, </w:t>
      </w:r>
      <w:r w:rsidRPr="00882E62">
        <w:rPr>
          <w:rFonts w:ascii="Palatino Linotype" w:eastAsia="Palatino Linotype" w:hAnsi="Palatino Linotype" w:cs="Palatino Linotype"/>
          <w:sz w:val="22"/>
          <w:szCs w:val="22"/>
        </w:rPr>
        <w:t xml:space="preserve">vía </w:t>
      </w:r>
      <w:r w:rsidRPr="00882E62">
        <w:rPr>
          <w:rFonts w:ascii="Palatino Linotype" w:eastAsia="Palatino Linotype" w:hAnsi="Palatino Linotype" w:cs="Palatino Linotype"/>
          <w:b/>
          <w:sz w:val="22"/>
          <w:szCs w:val="22"/>
        </w:rPr>
        <w:t>SAIMEX</w:t>
      </w:r>
      <w:r w:rsidRPr="00882E62">
        <w:rPr>
          <w:rFonts w:ascii="Palatino Linotype" w:eastAsia="Palatino Linotype" w:hAnsi="Palatino Linotype" w:cs="Palatino Linotype"/>
          <w:sz w:val="22"/>
          <w:szCs w:val="22"/>
        </w:rPr>
        <w:t xml:space="preserve">, al Titular de la Unidad de Transparencia del </w:t>
      </w:r>
      <w:r w:rsidRPr="00882E62">
        <w:rPr>
          <w:rFonts w:ascii="Palatino Linotype" w:eastAsia="Palatino Linotype" w:hAnsi="Palatino Linotype" w:cs="Palatino Linotype"/>
          <w:b/>
          <w:sz w:val="22"/>
          <w:szCs w:val="22"/>
        </w:rPr>
        <w:t>Sujeto Obligado,</w:t>
      </w:r>
      <w:r w:rsidRPr="00882E62">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5D760D0" w14:textId="77777777" w:rsidR="00694AA0" w:rsidRPr="00882E62" w:rsidRDefault="005B22BA">
      <w:pPr>
        <w:spacing w:before="240" w:after="240" w:line="360" w:lineRule="auto"/>
        <w:jc w:val="both"/>
        <w:rPr>
          <w:rFonts w:ascii="Palatino Linotype" w:eastAsia="Palatino Linotype" w:hAnsi="Palatino Linotype" w:cs="Palatino Linotype"/>
          <w:sz w:val="22"/>
          <w:szCs w:val="22"/>
        </w:rPr>
      </w:pPr>
      <w:r w:rsidRPr="00882E62">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882E62">
        <w:rPr>
          <w:rFonts w:ascii="Palatino Linotype" w:eastAsia="Palatino Linotype" w:hAnsi="Palatino Linotype" w:cs="Palatino Linotype"/>
          <w:b/>
          <w:sz w:val="22"/>
          <w:szCs w:val="22"/>
        </w:rPr>
        <w:t>Sujeto Obligado</w:t>
      </w:r>
      <w:r w:rsidRPr="00882E62">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72A9EDCB" w14:textId="77777777" w:rsidR="00694AA0" w:rsidRPr="00882E62" w:rsidRDefault="005B22BA">
      <w:pPr>
        <w:spacing w:before="240" w:after="240" w:line="360" w:lineRule="auto"/>
        <w:jc w:val="both"/>
        <w:rPr>
          <w:rFonts w:ascii="Palatino Linotype" w:eastAsia="Palatino Linotype" w:hAnsi="Palatino Linotype" w:cs="Palatino Linotype"/>
          <w:sz w:val="22"/>
          <w:szCs w:val="22"/>
        </w:rPr>
      </w:pPr>
      <w:bookmarkStart w:id="9" w:name="_heading=h.17dp8vu" w:colFirst="0" w:colLast="0"/>
      <w:bookmarkEnd w:id="9"/>
      <w:r w:rsidRPr="00882E62">
        <w:rPr>
          <w:rFonts w:ascii="Palatino Linotype" w:eastAsia="Palatino Linotype" w:hAnsi="Palatino Linotype" w:cs="Palatino Linotype"/>
          <w:b/>
          <w:sz w:val="22"/>
          <w:szCs w:val="22"/>
        </w:rPr>
        <w:t xml:space="preserve">Cuarto.  Notifíquese, </w:t>
      </w:r>
      <w:r w:rsidRPr="00882E62">
        <w:rPr>
          <w:rFonts w:ascii="Palatino Linotype" w:eastAsia="Palatino Linotype" w:hAnsi="Palatino Linotype" w:cs="Palatino Linotype"/>
          <w:sz w:val="22"/>
          <w:szCs w:val="22"/>
        </w:rPr>
        <w:t xml:space="preserve">vía </w:t>
      </w:r>
      <w:r w:rsidRPr="00882E62">
        <w:rPr>
          <w:rFonts w:ascii="Palatino Linotype" w:eastAsia="Palatino Linotype" w:hAnsi="Palatino Linotype" w:cs="Palatino Linotype"/>
          <w:b/>
          <w:sz w:val="22"/>
          <w:szCs w:val="22"/>
        </w:rPr>
        <w:t>SAIMEX</w:t>
      </w:r>
      <w:r w:rsidRPr="00882E62">
        <w:rPr>
          <w:rFonts w:ascii="Palatino Linotype" w:eastAsia="Palatino Linotype" w:hAnsi="Palatino Linotype" w:cs="Palatino Linotype"/>
          <w:sz w:val="22"/>
          <w:szCs w:val="22"/>
        </w:rPr>
        <w:t xml:space="preserve">, a la parte </w:t>
      </w:r>
      <w:r w:rsidRPr="00882E62">
        <w:rPr>
          <w:rFonts w:ascii="Palatino Linotype" w:eastAsia="Palatino Linotype" w:hAnsi="Palatino Linotype" w:cs="Palatino Linotype"/>
          <w:b/>
          <w:sz w:val="22"/>
          <w:szCs w:val="22"/>
        </w:rPr>
        <w:t>Recurrente</w:t>
      </w:r>
      <w:r w:rsidRPr="00882E62">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C146F11" w14:textId="78A0CAF1" w:rsidR="00694AA0" w:rsidRPr="00F274F7" w:rsidRDefault="005B22BA">
      <w:pPr>
        <w:tabs>
          <w:tab w:val="left" w:pos="8647"/>
        </w:tabs>
        <w:spacing w:before="240" w:after="240" w:line="360" w:lineRule="auto"/>
        <w:ind w:right="51"/>
        <w:jc w:val="both"/>
        <w:rPr>
          <w:rFonts w:ascii="Palatino Linotype" w:eastAsia="Palatino Linotype" w:hAnsi="Palatino Linotype" w:cs="Palatino Linotype"/>
          <w:sz w:val="22"/>
          <w:szCs w:val="22"/>
        </w:rPr>
      </w:pPr>
      <w:bookmarkStart w:id="10" w:name="_heading=h.lnxbz9" w:colFirst="0" w:colLast="0"/>
      <w:bookmarkEnd w:id="10"/>
      <w:r w:rsidRPr="00882E62">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w:t>
      </w:r>
      <w:r w:rsidR="00FC4683" w:rsidRPr="00882E62">
        <w:rPr>
          <w:rFonts w:ascii="Palatino Linotype" w:eastAsia="Palatino Linotype" w:hAnsi="Palatino Linotype" w:cs="Palatino Linotype"/>
          <w:sz w:val="22"/>
          <w:szCs w:val="22"/>
        </w:rPr>
        <w:t xml:space="preserve">EÑA, EN LA </w:t>
      </w:r>
      <w:r w:rsidR="00D259E5" w:rsidRPr="00882E62">
        <w:rPr>
          <w:rFonts w:ascii="Palatino Linotype" w:eastAsia="Palatino Linotype" w:hAnsi="Palatino Linotype" w:cs="Palatino Linotype"/>
          <w:sz w:val="22"/>
          <w:szCs w:val="22"/>
        </w:rPr>
        <w:t>DÉCIMA</w:t>
      </w:r>
      <w:r w:rsidR="00DC5EDE" w:rsidRPr="00882E62">
        <w:rPr>
          <w:rFonts w:ascii="Palatino Linotype" w:eastAsia="Palatino Linotype" w:hAnsi="Palatino Linotype" w:cs="Palatino Linotype"/>
          <w:sz w:val="22"/>
          <w:szCs w:val="22"/>
        </w:rPr>
        <w:t xml:space="preserve"> </w:t>
      </w:r>
      <w:r w:rsidRPr="00882E62">
        <w:rPr>
          <w:rFonts w:ascii="Palatino Linotype" w:eastAsia="Palatino Linotype" w:hAnsi="Palatino Linotype" w:cs="Palatino Linotype"/>
          <w:sz w:val="22"/>
          <w:szCs w:val="22"/>
        </w:rPr>
        <w:t xml:space="preserve">SESIÓN ORDINARIA CELEBRADA EL </w:t>
      </w:r>
      <w:r w:rsidR="00D259E5" w:rsidRPr="00882E62">
        <w:rPr>
          <w:rFonts w:ascii="Palatino Linotype" w:eastAsia="Palatino Linotype" w:hAnsi="Palatino Linotype" w:cs="Palatino Linotype"/>
          <w:sz w:val="22"/>
          <w:szCs w:val="22"/>
        </w:rPr>
        <w:t>DIECINUEVE</w:t>
      </w:r>
      <w:r w:rsidR="00DC5EDE" w:rsidRPr="00882E62">
        <w:rPr>
          <w:rFonts w:ascii="Palatino Linotype" w:eastAsia="Palatino Linotype" w:hAnsi="Palatino Linotype" w:cs="Palatino Linotype"/>
          <w:sz w:val="22"/>
          <w:szCs w:val="22"/>
        </w:rPr>
        <w:t xml:space="preserve"> DE MARZO</w:t>
      </w:r>
      <w:r w:rsidR="001A3D4C" w:rsidRPr="00882E62">
        <w:rPr>
          <w:rFonts w:ascii="Palatino Linotype" w:eastAsia="Palatino Linotype" w:hAnsi="Palatino Linotype" w:cs="Palatino Linotype"/>
          <w:sz w:val="22"/>
          <w:szCs w:val="22"/>
        </w:rPr>
        <w:t xml:space="preserve"> </w:t>
      </w:r>
      <w:r w:rsidRPr="00882E62">
        <w:rPr>
          <w:rFonts w:ascii="Palatino Linotype" w:eastAsia="Palatino Linotype" w:hAnsi="Palatino Linotype" w:cs="Palatino Linotype"/>
          <w:sz w:val="22"/>
          <w:szCs w:val="22"/>
        </w:rPr>
        <w:t>DE DOS MIL VEINTI</w:t>
      </w:r>
      <w:r w:rsidR="00382740" w:rsidRPr="00882E62">
        <w:rPr>
          <w:rFonts w:ascii="Palatino Linotype" w:eastAsia="Palatino Linotype" w:hAnsi="Palatino Linotype" w:cs="Palatino Linotype"/>
          <w:sz w:val="22"/>
          <w:szCs w:val="22"/>
        </w:rPr>
        <w:t>SÉIS</w:t>
      </w:r>
      <w:r w:rsidRPr="00882E62">
        <w:rPr>
          <w:rFonts w:ascii="Palatino Linotype" w:eastAsia="Palatino Linotype" w:hAnsi="Palatino Linotype" w:cs="Palatino Linotype"/>
          <w:sz w:val="22"/>
          <w:szCs w:val="22"/>
        </w:rPr>
        <w:t>, ANTE EL SECRETARIO TÉCNICO DEL PLENO ALEXIS TAPIA RAMÍREZ.</w:t>
      </w:r>
    </w:p>
    <w:p w14:paraId="30CB9BBA" w14:textId="77777777" w:rsidR="004D5C20" w:rsidRPr="00F274F7" w:rsidRDefault="004D5C20">
      <w:pPr>
        <w:spacing w:line="360" w:lineRule="auto"/>
        <w:jc w:val="both"/>
        <w:rPr>
          <w:rFonts w:ascii="Palatino Linotype" w:eastAsia="Palatino Linotype" w:hAnsi="Palatino Linotype" w:cs="Palatino Linotype"/>
          <w:sz w:val="22"/>
          <w:szCs w:val="22"/>
        </w:rPr>
      </w:pPr>
    </w:p>
    <w:p w14:paraId="0E21EF89" w14:textId="77777777" w:rsidR="004D5C20" w:rsidRPr="00F274F7" w:rsidRDefault="004D5C20">
      <w:pPr>
        <w:spacing w:line="360" w:lineRule="auto"/>
        <w:jc w:val="both"/>
        <w:rPr>
          <w:rFonts w:ascii="Palatino Linotype" w:eastAsia="Palatino Linotype" w:hAnsi="Palatino Linotype" w:cs="Palatino Linotype"/>
          <w:sz w:val="22"/>
          <w:szCs w:val="22"/>
        </w:rPr>
      </w:pPr>
    </w:p>
    <w:p w14:paraId="46EF20C1" w14:textId="77777777" w:rsidR="004D5C20" w:rsidRPr="00F274F7" w:rsidRDefault="004D5C20">
      <w:pPr>
        <w:spacing w:line="360" w:lineRule="auto"/>
        <w:jc w:val="both"/>
        <w:rPr>
          <w:rFonts w:ascii="Palatino Linotype" w:eastAsia="Palatino Linotype" w:hAnsi="Palatino Linotype" w:cs="Palatino Linotype"/>
          <w:sz w:val="22"/>
          <w:szCs w:val="22"/>
        </w:rPr>
      </w:pPr>
    </w:p>
    <w:p w14:paraId="5EC8589D" w14:textId="77777777" w:rsidR="004D5C20" w:rsidRPr="00F274F7" w:rsidRDefault="004D5C20">
      <w:pPr>
        <w:spacing w:line="360" w:lineRule="auto"/>
        <w:jc w:val="both"/>
        <w:rPr>
          <w:rFonts w:ascii="Palatino Linotype" w:eastAsia="Palatino Linotype" w:hAnsi="Palatino Linotype" w:cs="Palatino Linotype"/>
          <w:sz w:val="22"/>
          <w:szCs w:val="22"/>
        </w:rPr>
      </w:pPr>
    </w:p>
    <w:p w14:paraId="46FC6A55" w14:textId="77777777" w:rsidR="004D5C20" w:rsidRPr="00F274F7" w:rsidRDefault="004D5C20">
      <w:pPr>
        <w:spacing w:line="360" w:lineRule="auto"/>
        <w:jc w:val="both"/>
        <w:rPr>
          <w:rFonts w:ascii="Palatino Linotype" w:eastAsia="Palatino Linotype" w:hAnsi="Palatino Linotype" w:cs="Palatino Linotype"/>
          <w:sz w:val="22"/>
          <w:szCs w:val="22"/>
        </w:rPr>
      </w:pPr>
    </w:p>
    <w:p w14:paraId="5C881CEA" w14:textId="77777777" w:rsidR="004D5C20" w:rsidRPr="00F274F7" w:rsidRDefault="004D5C20">
      <w:pPr>
        <w:spacing w:line="360" w:lineRule="auto"/>
        <w:jc w:val="both"/>
        <w:rPr>
          <w:rFonts w:ascii="Palatino Linotype" w:eastAsia="Palatino Linotype" w:hAnsi="Palatino Linotype" w:cs="Palatino Linotype"/>
          <w:sz w:val="22"/>
          <w:szCs w:val="22"/>
        </w:rPr>
      </w:pPr>
    </w:p>
    <w:p w14:paraId="6CCA1545" w14:textId="77777777" w:rsidR="004D5C20" w:rsidRPr="00F274F7" w:rsidRDefault="004D5C20">
      <w:pPr>
        <w:spacing w:line="360" w:lineRule="auto"/>
        <w:jc w:val="both"/>
        <w:rPr>
          <w:rFonts w:ascii="Palatino Linotype" w:eastAsia="Palatino Linotype" w:hAnsi="Palatino Linotype" w:cs="Palatino Linotype"/>
          <w:sz w:val="22"/>
          <w:szCs w:val="22"/>
        </w:rPr>
      </w:pPr>
    </w:p>
    <w:p w14:paraId="1F9EF739" w14:textId="77777777" w:rsidR="004D5C20" w:rsidRPr="00F274F7" w:rsidRDefault="004D5C20">
      <w:pPr>
        <w:spacing w:line="360" w:lineRule="auto"/>
        <w:jc w:val="both"/>
        <w:rPr>
          <w:rFonts w:ascii="Palatino Linotype" w:eastAsia="Palatino Linotype" w:hAnsi="Palatino Linotype" w:cs="Palatino Linotype"/>
          <w:sz w:val="22"/>
          <w:szCs w:val="22"/>
        </w:rPr>
      </w:pPr>
    </w:p>
    <w:p w14:paraId="307F02A0" w14:textId="77777777" w:rsidR="004D5C20" w:rsidRPr="00F274F7" w:rsidRDefault="004D5C20">
      <w:pPr>
        <w:spacing w:line="360" w:lineRule="auto"/>
        <w:jc w:val="both"/>
        <w:rPr>
          <w:rFonts w:ascii="Palatino Linotype" w:eastAsia="Palatino Linotype" w:hAnsi="Palatino Linotype" w:cs="Palatino Linotype"/>
          <w:sz w:val="22"/>
          <w:szCs w:val="22"/>
        </w:rPr>
      </w:pPr>
    </w:p>
    <w:p w14:paraId="5A5B7374" w14:textId="77777777" w:rsidR="00694AA0" w:rsidRPr="00F274F7" w:rsidRDefault="00694AA0">
      <w:pPr>
        <w:spacing w:line="360" w:lineRule="auto"/>
        <w:jc w:val="both"/>
        <w:rPr>
          <w:rFonts w:ascii="Palatino Linotype" w:eastAsia="Palatino Linotype" w:hAnsi="Palatino Linotype" w:cs="Palatino Linotype"/>
          <w:sz w:val="22"/>
          <w:szCs w:val="22"/>
        </w:rPr>
      </w:pPr>
    </w:p>
    <w:p w14:paraId="016906CE" w14:textId="77777777" w:rsidR="00694AA0" w:rsidRPr="00F274F7" w:rsidRDefault="00694AA0">
      <w:pPr>
        <w:spacing w:line="360" w:lineRule="auto"/>
        <w:jc w:val="both"/>
        <w:rPr>
          <w:rFonts w:ascii="Palatino Linotype" w:eastAsia="Palatino Linotype" w:hAnsi="Palatino Linotype" w:cs="Palatino Linotype"/>
          <w:sz w:val="22"/>
          <w:szCs w:val="22"/>
        </w:rPr>
      </w:pPr>
    </w:p>
    <w:p w14:paraId="3536C243" w14:textId="77777777" w:rsidR="00694AA0" w:rsidRPr="00F274F7" w:rsidRDefault="00694AA0">
      <w:pPr>
        <w:spacing w:line="360" w:lineRule="auto"/>
        <w:jc w:val="both"/>
        <w:rPr>
          <w:rFonts w:ascii="Palatino Linotype" w:eastAsia="Palatino Linotype" w:hAnsi="Palatino Linotype" w:cs="Palatino Linotype"/>
          <w:sz w:val="22"/>
          <w:szCs w:val="22"/>
        </w:rPr>
      </w:pPr>
    </w:p>
    <w:p w14:paraId="10C74B60" w14:textId="77777777" w:rsidR="00694AA0" w:rsidRPr="00F274F7" w:rsidRDefault="00694AA0">
      <w:pPr>
        <w:spacing w:line="360" w:lineRule="auto"/>
        <w:jc w:val="both"/>
        <w:rPr>
          <w:rFonts w:ascii="Palatino Linotype" w:eastAsia="Palatino Linotype" w:hAnsi="Palatino Linotype" w:cs="Palatino Linotype"/>
          <w:sz w:val="22"/>
          <w:szCs w:val="22"/>
        </w:rPr>
      </w:pPr>
    </w:p>
    <w:p w14:paraId="48A36858" w14:textId="77777777" w:rsidR="00694AA0" w:rsidRPr="00F274F7" w:rsidRDefault="00694AA0">
      <w:pPr>
        <w:spacing w:line="360" w:lineRule="auto"/>
        <w:jc w:val="both"/>
        <w:rPr>
          <w:rFonts w:ascii="Palatino Linotype" w:eastAsia="Palatino Linotype" w:hAnsi="Palatino Linotype" w:cs="Palatino Linotype"/>
          <w:sz w:val="22"/>
          <w:szCs w:val="22"/>
        </w:rPr>
      </w:pPr>
    </w:p>
    <w:p w14:paraId="3FE6DE95" w14:textId="77777777" w:rsidR="00694AA0" w:rsidRPr="00F274F7" w:rsidRDefault="00694AA0">
      <w:pPr>
        <w:spacing w:line="360" w:lineRule="auto"/>
        <w:jc w:val="both"/>
        <w:rPr>
          <w:rFonts w:ascii="Palatino Linotype" w:eastAsia="Palatino Linotype" w:hAnsi="Palatino Linotype" w:cs="Palatino Linotype"/>
          <w:sz w:val="22"/>
          <w:szCs w:val="22"/>
        </w:rPr>
      </w:pPr>
    </w:p>
    <w:p w14:paraId="16F5DDC9" w14:textId="77777777" w:rsidR="00694AA0" w:rsidRPr="00F274F7" w:rsidRDefault="00694AA0">
      <w:pPr>
        <w:spacing w:line="360" w:lineRule="auto"/>
        <w:jc w:val="both"/>
        <w:rPr>
          <w:rFonts w:ascii="Palatino Linotype" w:eastAsia="Palatino Linotype" w:hAnsi="Palatino Linotype" w:cs="Palatino Linotype"/>
          <w:sz w:val="22"/>
          <w:szCs w:val="22"/>
        </w:rPr>
      </w:pPr>
    </w:p>
    <w:p w14:paraId="714A31D2" w14:textId="77777777" w:rsidR="00694AA0" w:rsidRPr="00F274F7" w:rsidRDefault="00694AA0">
      <w:pPr>
        <w:spacing w:line="360" w:lineRule="auto"/>
        <w:jc w:val="both"/>
        <w:rPr>
          <w:rFonts w:ascii="Palatino Linotype" w:eastAsia="Palatino Linotype" w:hAnsi="Palatino Linotype" w:cs="Palatino Linotype"/>
          <w:sz w:val="22"/>
          <w:szCs w:val="22"/>
        </w:rPr>
      </w:pPr>
    </w:p>
    <w:p w14:paraId="46664245" w14:textId="77777777" w:rsidR="00694AA0" w:rsidRPr="00F274F7" w:rsidRDefault="00694AA0">
      <w:pPr>
        <w:spacing w:line="360" w:lineRule="auto"/>
        <w:jc w:val="both"/>
        <w:rPr>
          <w:rFonts w:ascii="Palatino Linotype" w:eastAsia="Palatino Linotype" w:hAnsi="Palatino Linotype" w:cs="Palatino Linotype"/>
          <w:sz w:val="22"/>
          <w:szCs w:val="22"/>
        </w:rPr>
      </w:pPr>
    </w:p>
    <w:p w14:paraId="5C092A01" w14:textId="77777777" w:rsidR="00694AA0" w:rsidRPr="00F274F7" w:rsidRDefault="00694AA0">
      <w:pPr>
        <w:spacing w:line="360" w:lineRule="auto"/>
        <w:jc w:val="both"/>
        <w:rPr>
          <w:rFonts w:ascii="Palatino Linotype" w:eastAsia="Palatino Linotype" w:hAnsi="Palatino Linotype" w:cs="Palatino Linotype"/>
          <w:sz w:val="22"/>
          <w:szCs w:val="22"/>
        </w:rPr>
      </w:pPr>
    </w:p>
    <w:p w14:paraId="669D5981" w14:textId="77777777" w:rsidR="00694AA0" w:rsidRPr="00F274F7" w:rsidRDefault="00694AA0">
      <w:pPr>
        <w:spacing w:line="360" w:lineRule="auto"/>
        <w:jc w:val="both"/>
        <w:rPr>
          <w:rFonts w:ascii="Palatino Linotype" w:eastAsia="Palatino Linotype" w:hAnsi="Palatino Linotype" w:cs="Palatino Linotype"/>
          <w:sz w:val="22"/>
          <w:szCs w:val="22"/>
        </w:rPr>
      </w:pPr>
    </w:p>
    <w:p w14:paraId="3D7F8E58" w14:textId="77777777" w:rsidR="00694AA0" w:rsidRPr="00F274F7" w:rsidRDefault="00694AA0">
      <w:pPr>
        <w:spacing w:line="360" w:lineRule="auto"/>
        <w:jc w:val="both"/>
        <w:rPr>
          <w:rFonts w:ascii="Palatino Linotype" w:eastAsia="Palatino Linotype" w:hAnsi="Palatino Linotype" w:cs="Palatino Linotype"/>
          <w:sz w:val="22"/>
          <w:szCs w:val="22"/>
        </w:rPr>
      </w:pPr>
    </w:p>
    <w:p w14:paraId="61848FB2" w14:textId="77777777" w:rsidR="00694AA0" w:rsidRPr="00F274F7" w:rsidRDefault="00694AA0">
      <w:pPr>
        <w:spacing w:line="360" w:lineRule="auto"/>
        <w:jc w:val="both"/>
        <w:rPr>
          <w:rFonts w:ascii="Palatino Linotype" w:eastAsia="Palatino Linotype" w:hAnsi="Palatino Linotype" w:cs="Palatino Linotype"/>
          <w:sz w:val="22"/>
          <w:szCs w:val="22"/>
        </w:rPr>
      </w:pPr>
    </w:p>
    <w:p w14:paraId="5684A0AB" w14:textId="51443F49" w:rsidR="006F3A18" w:rsidRPr="00F274F7" w:rsidRDefault="006F3A18">
      <w:pPr>
        <w:spacing w:line="360" w:lineRule="auto"/>
        <w:jc w:val="both"/>
        <w:rPr>
          <w:rFonts w:ascii="Palatino Linotype" w:eastAsia="Palatino Linotype" w:hAnsi="Palatino Linotype" w:cs="Palatino Linotype"/>
          <w:sz w:val="22"/>
          <w:szCs w:val="22"/>
        </w:rPr>
      </w:pPr>
    </w:p>
    <w:p w14:paraId="5B98A2B3" w14:textId="77777777" w:rsidR="00C1140A" w:rsidRPr="00F274F7" w:rsidRDefault="00C1140A">
      <w:pPr>
        <w:spacing w:line="360" w:lineRule="auto"/>
        <w:jc w:val="both"/>
        <w:rPr>
          <w:rFonts w:ascii="Palatino Linotype" w:eastAsia="Palatino Linotype" w:hAnsi="Palatino Linotype" w:cs="Palatino Linotype"/>
          <w:sz w:val="22"/>
          <w:szCs w:val="22"/>
        </w:rPr>
      </w:pPr>
    </w:p>
    <w:sectPr w:rsidR="00C1140A" w:rsidRPr="00F274F7">
      <w:headerReference w:type="default" r:id="rId20"/>
      <w:footerReference w:type="default" r:id="rId21"/>
      <w:headerReference w:type="first" r:id="rId22"/>
      <w:footerReference w:type="first" r:id="rId2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8DA86F" w14:textId="77777777" w:rsidR="007C1B97" w:rsidRDefault="007C1B97">
      <w:r>
        <w:separator/>
      </w:r>
    </w:p>
  </w:endnote>
  <w:endnote w:type="continuationSeparator" w:id="0">
    <w:p w14:paraId="291EB4AF" w14:textId="77777777" w:rsidR="007C1B97" w:rsidRDefault="007C1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DFD7A" w14:textId="7F801804" w:rsidR="002B4799" w:rsidRDefault="002B479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C420C">
      <w:rPr>
        <w:rFonts w:ascii="Palatino Linotype" w:eastAsia="Palatino Linotype" w:hAnsi="Palatino Linotype" w:cs="Palatino Linotype"/>
        <w:b/>
        <w:noProof/>
        <w:color w:val="000000"/>
        <w:sz w:val="20"/>
        <w:szCs w:val="20"/>
      </w:rPr>
      <w:t>12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C420C">
      <w:rPr>
        <w:rFonts w:ascii="Palatino Linotype" w:eastAsia="Palatino Linotype" w:hAnsi="Palatino Linotype" w:cs="Palatino Linotype"/>
        <w:b/>
        <w:noProof/>
        <w:color w:val="000000"/>
        <w:sz w:val="20"/>
        <w:szCs w:val="20"/>
      </w:rPr>
      <w:t>39</w:t>
    </w:r>
    <w:r>
      <w:rPr>
        <w:rFonts w:ascii="Palatino Linotype" w:eastAsia="Palatino Linotype" w:hAnsi="Palatino Linotype" w:cs="Palatino Linotype"/>
        <w:b/>
        <w:color w:val="000000"/>
        <w:sz w:val="20"/>
        <w:szCs w:val="20"/>
      </w:rPr>
      <w:fldChar w:fldCharType="end"/>
    </w:r>
  </w:p>
  <w:p w14:paraId="01320A57" w14:textId="77777777" w:rsidR="002B4799" w:rsidRDefault="002B479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5D5DD" w14:textId="00C9A521" w:rsidR="002B4799" w:rsidRDefault="002B479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C420C">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C420C">
      <w:rPr>
        <w:rFonts w:ascii="Palatino Linotype" w:eastAsia="Palatino Linotype" w:hAnsi="Palatino Linotype" w:cs="Palatino Linotype"/>
        <w:b/>
        <w:noProof/>
        <w:color w:val="000000"/>
        <w:sz w:val="20"/>
        <w:szCs w:val="20"/>
      </w:rPr>
      <w:t>39</w:t>
    </w:r>
    <w:r>
      <w:rPr>
        <w:rFonts w:ascii="Palatino Linotype" w:eastAsia="Palatino Linotype" w:hAnsi="Palatino Linotype" w:cs="Palatino Linotype"/>
        <w:b/>
        <w:color w:val="000000"/>
        <w:sz w:val="20"/>
        <w:szCs w:val="20"/>
      </w:rPr>
      <w:fldChar w:fldCharType="end"/>
    </w:r>
  </w:p>
  <w:p w14:paraId="71AA7E10" w14:textId="77777777" w:rsidR="002B4799" w:rsidRDefault="002B479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0569F4" w14:textId="77777777" w:rsidR="007C1B97" w:rsidRDefault="007C1B97">
      <w:r>
        <w:separator/>
      </w:r>
    </w:p>
  </w:footnote>
  <w:footnote w:type="continuationSeparator" w:id="0">
    <w:p w14:paraId="7F1798EA" w14:textId="77777777" w:rsidR="007C1B97" w:rsidRDefault="007C1B97">
      <w:r>
        <w:continuationSeparator/>
      </w:r>
    </w:p>
  </w:footnote>
  <w:footnote w:id="1">
    <w:p w14:paraId="5DD1694B" w14:textId="77777777" w:rsidR="00BB0BA6" w:rsidRPr="002F1492" w:rsidRDefault="00BB0BA6" w:rsidP="00BB0BA6">
      <w:pPr>
        <w:jc w:val="both"/>
        <w:rPr>
          <w:rFonts w:ascii="Palatino Linotype" w:eastAsia="Palatino Linotype" w:hAnsi="Palatino Linotype" w:cs="Palatino Linotype"/>
          <w:color w:val="000000"/>
          <w:sz w:val="16"/>
          <w:szCs w:val="16"/>
        </w:rPr>
      </w:pPr>
      <w:r w:rsidRPr="002F1492">
        <w:rPr>
          <w:sz w:val="16"/>
          <w:szCs w:val="16"/>
          <w:vertAlign w:val="superscript"/>
        </w:rPr>
        <w:footnoteRef/>
      </w:r>
      <w:r w:rsidRPr="002F1492">
        <w:rPr>
          <w:rFonts w:ascii="Palatino Linotype" w:eastAsia="Palatino Linotype" w:hAnsi="Palatino Linotype" w:cs="Palatino Linotype"/>
          <w:color w:val="000000"/>
          <w:sz w:val="16"/>
          <w:szCs w:val="16"/>
        </w:rPr>
        <w:t xml:space="preserve"> Página 1725, libro 7 junio del año dos mil catorce, tomo II, de la décima época, Gaceta del Semanario Judicial de la Federación, consultable con el número de registro 2006830 del “IUS” de la página de Internet de la Suprema Corte de Justicia de la Nación.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A67F7" w14:textId="77777777" w:rsidR="002B4799" w:rsidRDefault="002B4799">
    <w:pPr>
      <w:rPr>
        <w:rFonts w:ascii="Cambria" w:eastAsia="Cambria" w:hAnsi="Cambria" w:cs="Cambria"/>
        <w:color w:val="000000"/>
      </w:rPr>
    </w:pPr>
    <w:r>
      <w:rPr>
        <w:noProof/>
      </w:rPr>
      <w:drawing>
        <wp:anchor distT="0" distB="0" distL="0" distR="0" simplePos="0" relativeHeight="251658240" behindDoc="1" locked="0" layoutInCell="1" hidden="0" allowOverlap="1" wp14:anchorId="737B4D0F" wp14:editId="5C481CA0">
          <wp:simplePos x="0" y="0"/>
          <wp:positionH relativeFrom="column">
            <wp:posOffset>-1080090</wp:posOffset>
          </wp:positionH>
          <wp:positionV relativeFrom="paragraph">
            <wp:posOffset>-488261</wp:posOffset>
          </wp:positionV>
          <wp:extent cx="7809865" cy="10165715"/>
          <wp:effectExtent l="0" t="0" r="0" b="0"/>
          <wp:wrapNone/>
          <wp:docPr id="19520825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2"/>
      <w:tblW w:w="5953" w:type="dxa"/>
      <w:tblInd w:w="3261" w:type="dxa"/>
      <w:tblLayout w:type="fixed"/>
      <w:tblLook w:val="0400" w:firstRow="0" w:lastRow="0" w:firstColumn="0" w:lastColumn="0" w:noHBand="0" w:noVBand="1"/>
    </w:tblPr>
    <w:tblGrid>
      <w:gridCol w:w="2489"/>
      <w:gridCol w:w="3464"/>
    </w:tblGrid>
    <w:tr w:rsidR="002B4799" w14:paraId="0791587B" w14:textId="77777777">
      <w:tc>
        <w:tcPr>
          <w:tcW w:w="2489" w:type="dxa"/>
        </w:tcPr>
        <w:p w14:paraId="5B034C04" w14:textId="77777777" w:rsidR="002B4799" w:rsidRDefault="002B479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288814C3" w14:textId="7662A19B" w:rsidR="002B4799" w:rsidRPr="00F274F7" w:rsidRDefault="00DC5EDE" w:rsidP="00DC5EDE">
          <w:pPr>
            <w:ind w:right="175"/>
            <w:jc w:val="both"/>
            <w:rPr>
              <w:rFonts w:ascii="Palatino Linotype" w:eastAsia="Palatino Linotype" w:hAnsi="Palatino Linotype" w:cs="Palatino Linotype"/>
              <w:b/>
              <w:sz w:val="22"/>
              <w:szCs w:val="22"/>
            </w:rPr>
          </w:pPr>
          <w:r w:rsidRPr="00F274F7">
            <w:rPr>
              <w:rFonts w:ascii="Palatino Linotype" w:eastAsia="Palatino Linotype" w:hAnsi="Palatino Linotype" w:cs="Palatino Linotype"/>
              <w:b/>
              <w:sz w:val="22"/>
              <w:szCs w:val="22"/>
            </w:rPr>
            <w:t>10754</w:t>
          </w:r>
          <w:r w:rsidR="002B4799" w:rsidRPr="00F274F7">
            <w:rPr>
              <w:rFonts w:ascii="Palatino Linotype" w:eastAsia="Palatino Linotype" w:hAnsi="Palatino Linotype" w:cs="Palatino Linotype"/>
              <w:b/>
              <w:sz w:val="22"/>
              <w:szCs w:val="22"/>
            </w:rPr>
            <w:t>/INFOEM/IP/RR/202</w:t>
          </w:r>
          <w:r w:rsidRPr="00F274F7">
            <w:rPr>
              <w:rFonts w:ascii="Palatino Linotype" w:eastAsia="Palatino Linotype" w:hAnsi="Palatino Linotype" w:cs="Palatino Linotype"/>
              <w:b/>
              <w:sz w:val="22"/>
              <w:szCs w:val="22"/>
            </w:rPr>
            <w:t>5</w:t>
          </w:r>
        </w:p>
      </w:tc>
    </w:tr>
    <w:tr w:rsidR="002B4799" w14:paraId="704D61F0" w14:textId="77777777">
      <w:trPr>
        <w:trHeight w:val="228"/>
      </w:trPr>
      <w:tc>
        <w:tcPr>
          <w:tcW w:w="2489" w:type="dxa"/>
          <w:vAlign w:val="center"/>
        </w:tcPr>
        <w:p w14:paraId="6DFC1FC7" w14:textId="77777777" w:rsidR="002B4799" w:rsidRDefault="002B479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7C5BFEDD" w14:textId="115FB71B" w:rsidR="002B4799" w:rsidRPr="00F274F7" w:rsidRDefault="00D57004">
          <w:pPr>
            <w:ind w:left="-45" w:right="176"/>
            <w:jc w:val="both"/>
            <w:rPr>
              <w:rFonts w:ascii="Palatino Linotype" w:eastAsia="Palatino Linotype" w:hAnsi="Palatino Linotype" w:cs="Palatino Linotype"/>
              <w:b/>
              <w:sz w:val="22"/>
              <w:szCs w:val="22"/>
            </w:rPr>
          </w:pPr>
          <w:r w:rsidRPr="00F274F7">
            <w:rPr>
              <w:rFonts w:ascii="Palatino Linotype" w:eastAsia="Palatino Linotype" w:hAnsi="Palatino Linotype" w:cs="Palatino Linotype"/>
              <w:b/>
              <w:sz w:val="22"/>
              <w:szCs w:val="22"/>
            </w:rPr>
            <w:t>Ayuntamiento de Tecámac</w:t>
          </w:r>
        </w:p>
      </w:tc>
    </w:tr>
    <w:tr w:rsidR="002B4799" w14:paraId="2B5F7CE9" w14:textId="77777777">
      <w:tc>
        <w:tcPr>
          <w:tcW w:w="2489" w:type="dxa"/>
          <w:vAlign w:val="center"/>
        </w:tcPr>
        <w:p w14:paraId="63B3258D" w14:textId="77777777" w:rsidR="002B4799" w:rsidRDefault="002B4799">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6AB48BAE" w14:textId="77777777" w:rsidR="002B4799" w:rsidRPr="00F274F7" w:rsidRDefault="002B4799">
          <w:pPr>
            <w:ind w:right="175"/>
            <w:jc w:val="both"/>
            <w:rPr>
              <w:rFonts w:ascii="Palatino Linotype" w:eastAsia="Palatino Linotype" w:hAnsi="Palatino Linotype" w:cs="Palatino Linotype"/>
              <w:b/>
              <w:sz w:val="22"/>
              <w:szCs w:val="22"/>
            </w:rPr>
          </w:pPr>
          <w:r w:rsidRPr="00F274F7">
            <w:rPr>
              <w:rFonts w:ascii="Palatino Linotype" w:eastAsia="Palatino Linotype" w:hAnsi="Palatino Linotype" w:cs="Palatino Linotype"/>
              <w:b/>
              <w:sz w:val="22"/>
              <w:szCs w:val="22"/>
            </w:rPr>
            <w:t>Guadalupe Ramírez Peña</w:t>
          </w:r>
        </w:p>
      </w:tc>
    </w:tr>
  </w:tbl>
  <w:p w14:paraId="0947C34D" w14:textId="77777777" w:rsidR="002B4799" w:rsidRDefault="002B4799">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D0846" w14:textId="77777777" w:rsidR="002B4799" w:rsidRDefault="002B479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557F20C8" wp14:editId="7DFE190E">
          <wp:simplePos x="0" y="0"/>
          <wp:positionH relativeFrom="page">
            <wp:align>left</wp:align>
          </wp:positionH>
          <wp:positionV relativeFrom="paragraph">
            <wp:posOffset>-369891</wp:posOffset>
          </wp:positionV>
          <wp:extent cx="7809865" cy="10165715"/>
          <wp:effectExtent l="0" t="0" r="635" b="6985"/>
          <wp:wrapNone/>
          <wp:docPr id="19520825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1"/>
      <w:tblW w:w="5953" w:type="dxa"/>
      <w:tblInd w:w="3261" w:type="dxa"/>
      <w:tblLayout w:type="fixed"/>
      <w:tblLook w:val="0400" w:firstRow="0" w:lastRow="0" w:firstColumn="0" w:lastColumn="0" w:noHBand="0" w:noVBand="1"/>
    </w:tblPr>
    <w:tblGrid>
      <w:gridCol w:w="2489"/>
      <w:gridCol w:w="3464"/>
    </w:tblGrid>
    <w:tr w:rsidR="002B4799" w14:paraId="71B7394D" w14:textId="77777777">
      <w:tc>
        <w:tcPr>
          <w:tcW w:w="2489" w:type="dxa"/>
        </w:tcPr>
        <w:p w14:paraId="6F6314B5" w14:textId="77777777" w:rsidR="002B4799" w:rsidRDefault="002B479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471E5532" w14:textId="0F7474B0" w:rsidR="002B4799" w:rsidRDefault="002B4799" w:rsidP="00DC5ED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w:t>
          </w:r>
          <w:r w:rsidR="00DC5EDE">
            <w:rPr>
              <w:rFonts w:ascii="Palatino Linotype" w:eastAsia="Palatino Linotype" w:hAnsi="Palatino Linotype" w:cs="Palatino Linotype"/>
              <w:b/>
              <w:sz w:val="22"/>
              <w:szCs w:val="22"/>
            </w:rPr>
            <w:t>0754</w:t>
          </w:r>
          <w:r>
            <w:rPr>
              <w:rFonts w:ascii="Palatino Linotype" w:eastAsia="Palatino Linotype" w:hAnsi="Palatino Linotype" w:cs="Palatino Linotype"/>
              <w:b/>
              <w:sz w:val="22"/>
              <w:szCs w:val="22"/>
            </w:rPr>
            <w:t>/INFOEM/IP/RR/202</w:t>
          </w:r>
          <w:r w:rsidR="00DC5EDE">
            <w:rPr>
              <w:rFonts w:ascii="Palatino Linotype" w:eastAsia="Palatino Linotype" w:hAnsi="Palatino Linotype" w:cs="Palatino Linotype"/>
              <w:b/>
              <w:sz w:val="22"/>
              <w:szCs w:val="22"/>
            </w:rPr>
            <w:t>5</w:t>
          </w:r>
        </w:p>
      </w:tc>
    </w:tr>
    <w:tr w:rsidR="002B4799" w14:paraId="4854212C" w14:textId="77777777">
      <w:tc>
        <w:tcPr>
          <w:tcW w:w="2489" w:type="dxa"/>
        </w:tcPr>
        <w:p w14:paraId="1D1E2C85" w14:textId="77777777" w:rsidR="002B4799" w:rsidRDefault="002B479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vAlign w:val="center"/>
        </w:tcPr>
        <w:p w14:paraId="299EB360" w14:textId="4BFF71A1" w:rsidR="002B4799" w:rsidRPr="00E66354" w:rsidRDefault="00DC420C" w:rsidP="00DC420C">
          <w:pPr>
            <w:ind w:right="175"/>
            <w:jc w:val="both"/>
            <w:rPr>
              <w:rFonts w:ascii="Palatino Linotype" w:eastAsia="Palatino Linotype" w:hAnsi="Palatino Linotype" w:cs="Palatino Linotype"/>
              <w:b/>
              <w:sz w:val="22"/>
              <w:szCs w:val="22"/>
              <w:highlight w:val="yellow"/>
            </w:rPr>
          </w:pPr>
          <w:r>
            <w:rPr>
              <w:rFonts w:ascii="Palatino Linotype" w:eastAsia="Palatino Linotype" w:hAnsi="Palatino Linotype" w:cs="Palatino Linotype"/>
              <w:b/>
              <w:sz w:val="22"/>
              <w:szCs w:val="22"/>
            </w:rPr>
            <w:t>XXXXXXX</w:t>
          </w:r>
        </w:p>
      </w:tc>
    </w:tr>
    <w:tr w:rsidR="002B4799" w14:paraId="082218B4" w14:textId="77777777">
      <w:trPr>
        <w:trHeight w:val="228"/>
      </w:trPr>
      <w:tc>
        <w:tcPr>
          <w:tcW w:w="2489" w:type="dxa"/>
          <w:vAlign w:val="center"/>
        </w:tcPr>
        <w:p w14:paraId="5E8970C5" w14:textId="77777777" w:rsidR="002B4799" w:rsidRDefault="002B479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59B822F6" w14:textId="34A7251F" w:rsidR="002B4799" w:rsidRDefault="00DC5EDE">
          <w:pPr>
            <w:ind w:left="-45" w:right="176"/>
            <w:jc w:val="both"/>
            <w:rPr>
              <w:rFonts w:ascii="Palatino Linotype" w:eastAsia="Palatino Linotype" w:hAnsi="Palatino Linotype" w:cs="Palatino Linotype"/>
              <w:b/>
              <w:sz w:val="22"/>
              <w:szCs w:val="22"/>
            </w:rPr>
          </w:pPr>
          <w:r w:rsidRPr="00DC5EDE">
            <w:rPr>
              <w:rFonts w:ascii="Palatino Linotype" w:eastAsia="Palatino Linotype" w:hAnsi="Palatino Linotype" w:cs="Palatino Linotype"/>
              <w:b/>
              <w:sz w:val="22"/>
              <w:szCs w:val="22"/>
            </w:rPr>
            <w:t>Ayuntamiento de Tecámac</w:t>
          </w:r>
        </w:p>
      </w:tc>
    </w:tr>
    <w:tr w:rsidR="002B4799" w14:paraId="10C74DEA" w14:textId="77777777">
      <w:tc>
        <w:tcPr>
          <w:tcW w:w="2489" w:type="dxa"/>
          <w:vAlign w:val="center"/>
        </w:tcPr>
        <w:p w14:paraId="1F1A62FF" w14:textId="77777777" w:rsidR="002B4799" w:rsidRDefault="002B4799">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52548D8D" w14:textId="77777777" w:rsidR="002B4799" w:rsidRDefault="002B479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904CEDE" w14:textId="77777777" w:rsidR="002B4799" w:rsidRDefault="002B479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D5FA81CA"/>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BD6295C"/>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5565543"/>
    <w:multiLevelType w:val="multilevel"/>
    <w:tmpl w:val="418890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3079D8"/>
    <w:multiLevelType w:val="multilevel"/>
    <w:tmpl w:val="3196C92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195329F5"/>
    <w:multiLevelType w:val="multilevel"/>
    <w:tmpl w:val="A6488AC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202B4D73"/>
    <w:multiLevelType w:val="multilevel"/>
    <w:tmpl w:val="17600E4A"/>
    <w:lvl w:ilvl="0">
      <w:start w:val="2"/>
      <w:numFmt w:val="bullet"/>
      <w:lvlText w:val="●"/>
      <w:lvlJc w:val="left"/>
      <w:pPr>
        <w:ind w:left="360" w:hanging="360"/>
      </w:pPr>
      <w:rPr>
        <w:rFonts w:ascii="Noto Sans Symbols" w:eastAsia="Noto Sans Symbols" w:hAnsi="Noto Sans Symbols" w:cs="Noto Sans Symbols"/>
        <w:b/>
        <w:i w:val="0"/>
        <w:color w:val="0D0D0D"/>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5C81A7C"/>
    <w:multiLevelType w:val="multilevel"/>
    <w:tmpl w:val="99D404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AD620B6"/>
    <w:multiLevelType w:val="multilevel"/>
    <w:tmpl w:val="49443A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34317490"/>
    <w:multiLevelType w:val="hybridMultilevel"/>
    <w:tmpl w:val="4E50E004"/>
    <w:lvl w:ilvl="0" w:tplc="F5C4018E">
      <w:start w:val="1"/>
      <w:numFmt w:val="decimal"/>
      <w:lvlText w:val="%1."/>
      <w:lvlJc w:val="left"/>
      <w:pPr>
        <w:ind w:left="502"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1D25AD0"/>
    <w:multiLevelType w:val="hybridMultilevel"/>
    <w:tmpl w:val="9B3E43EC"/>
    <w:lvl w:ilvl="0" w:tplc="2F461F4A">
      <w:start w:val="1"/>
      <w:numFmt w:val="decimal"/>
      <w:lvlText w:val="%1."/>
      <w:lvlJc w:val="left"/>
      <w:pPr>
        <w:ind w:left="644" w:hanging="360"/>
      </w:pPr>
      <w:rPr>
        <w:rFonts w:hint="default"/>
        <w:b w:val="0"/>
        <w:bCs/>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0" w15:restartNumberingAfterBreak="0">
    <w:nsid w:val="48D6097B"/>
    <w:multiLevelType w:val="multilevel"/>
    <w:tmpl w:val="DF6CAD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4A3E71D2"/>
    <w:multiLevelType w:val="multilevel"/>
    <w:tmpl w:val="CEC050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4ECA6C08"/>
    <w:multiLevelType w:val="multilevel"/>
    <w:tmpl w:val="77045766"/>
    <w:lvl w:ilvl="0">
      <w:start w:val="1"/>
      <w:numFmt w:val="decimal"/>
      <w:pStyle w:val="Listaconvietas3"/>
      <w:lvlText w:val="%1."/>
      <w:lvlJc w:val="left"/>
      <w:pPr>
        <w:ind w:left="644" w:hanging="359"/>
      </w:pPr>
      <w:rPr>
        <w:b w:val="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3" w15:restartNumberingAfterBreak="0">
    <w:nsid w:val="53180F32"/>
    <w:multiLevelType w:val="hybridMultilevel"/>
    <w:tmpl w:val="1B446B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620930DE"/>
    <w:multiLevelType w:val="multilevel"/>
    <w:tmpl w:val="07B632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C74710B"/>
    <w:multiLevelType w:val="hybridMultilevel"/>
    <w:tmpl w:val="A11085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0CC0097"/>
    <w:multiLevelType w:val="hybridMultilevel"/>
    <w:tmpl w:val="112625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9DE0164"/>
    <w:multiLevelType w:val="hybridMultilevel"/>
    <w:tmpl w:val="C172D9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BD4592D"/>
    <w:multiLevelType w:val="multilevel"/>
    <w:tmpl w:val="BB5AF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ED3330D"/>
    <w:multiLevelType w:val="multilevel"/>
    <w:tmpl w:val="7CAE87E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2"/>
  </w:num>
  <w:num w:numId="2">
    <w:abstractNumId w:val="3"/>
  </w:num>
  <w:num w:numId="3">
    <w:abstractNumId w:val="14"/>
  </w:num>
  <w:num w:numId="4">
    <w:abstractNumId w:val="6"/>
  </w:num>
  <w:num w:numId="5">
    <w:abstractNumId w:val="9"/>
  </w:num>
  <w:num w:numId="6">
    <w:abstractNumId w:val="1"/>
  </w:num>
  <w:num w:numId="7">
    <w:abstractNumId w:val="0"/>
  </w:num>
  <w:num w:numId="8">
    <w:abstractNumId w:val="10"/>
  </w:num>
  <w:num w:numId="9">
    <w:abstractNumId w:val="5"/>
  </w:num>
  <w:num w:numId="10">
    <w:abstractNumId w:val="7"/>
  </w:num>
  <w:num w:numId="11">
    <w:abstractNumId w:val="11"/>
  </w:num>
  <w:num w:numId="12">
    <w:abstractNumId w:val="16"/>
  </w:num>
  <w:num w:numId="13">
    <w:abstractNumId w:val="4"/>
  </w:num>
  <w:num w:numId="14">
    <w:abstractNumId w:val="18"/>
  </w:num>
  <w:num w:numId="15">
    <w:abstractNumId w:val="2"/>
  </w:num>
  <w:num w:numId="16">
    <w:abstractNumId w:val="13"/>
  </w:num>
  <w:num w:numId="17">
    <w:abstractNumId w:val="15"/>
  </w:num>
  <w:num w:numId="18">
    <w:abstractNumId w:val="8"/>
  </w:num>
  <w:num w:numId="19">
    <w:abstractNumId w:val="17"/>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AA0"/>
    <w:rsid w:val="00001013"/>
    <w:rsid w:val="000024A8"/>
    <w:rsid w:val="00004D58"/>
    <w:rsid w:val="000064B5"/>
    <w:rsid w:val="00025977"/>
    <w:rsid w:val="000309D9"/>
    <w:rsid w:val="000314B8"/>
    <w:rsid w:val="00031EA6"/>
    <w:rsid w:val="0003226E"/>
    <w:rsid w:val="00046F0E"/>
    <w:rsid w:val="00052702"/>
    <w:rsid w:val="00052F49"/>
    <w:rsid w:val="00057A0F"/>
    <w:rsid w:val="000653F9"/>
    <w:rsid w:val="000661FA"/>
    <w:rsid w:val="0006748F"/>
    <w:rsid w:val="000778D1"/>
    <w:rsid w:val="00077EEC"/>
    <w:rsid w:val="00082344"/>
    <w:rsid w:val="00082BC4"/>
    <w:rsid w:val="000844C8"/>
    <w:rsid w:val="0008515D"/>
    <w:rsid w:val="000967F1"/>
    <w:rsid w:val="000A4D58"/>
    <w:rsid w:val="000A73DA"/>
    <w:rsid w:val="000B0563"/>
    <w:rsid w:val="000B0896"/>
    <w:rsid w:val="000B0B75"/>
    <w:rsid w:val="000B3091"/>
    <w:rsid w:val="000B3BB5"/>
    <w:rsid w:val="000C3127"/>
    <w:rsid w:val="000D0779"/>
    <w:rsid w:val="000D66CA"/>
    <w:rsid w:val="000D757F"/>
    <w:rsid w:val="000E290B"/>
    <w:rsid w:val="000F2854"/>
    <w:rsid w:val="000F2C48"/>
    <w:rsid w:val="000F4585"/>
    <w:rsid w:val="000F727F"/>
    <w:rsid w:val="000F7A1C"/>
    <w:rsid w:val="00100890"/>
    <w:rsid w:val="00102489"/>
    <w:rsid w:val="00114339"/>
    <w:rsid w:val="0011644B"/>
    <w:rsid w:val="00123CFF"/>
    <w:rsid w:val="001258B7"/>
    <w:rsid w:val="0012634B"/>
    <w:rsid w:val="0013082E"/>
    <w:rsid w:val="001309F0"/>
    <w:rsid w:val="00132215"/>
    <w:rsid w:val="001322B9"/>
    <w:rsid w:val="00133291"/>
    <w:rsid w:val="001332FA"/>
    <w:rsid w:val="00134ECF"/>
    <w:rsid w:val="001361C4"/>
    <w:rsid w:val="00142C8A"/>
    <w:rsid w:val="00143423"/>
    <w:rsid w:val="00143A14"/>
    <w:rsid w:val="001440AD"/>
    <w:rsid w:val="001452C0"/>
    <w:rsid w:val="00156057"/>
    <w:rsid w:val="0016401F"/>
    <w:rsid w:val="001706FD"/>
    <w:rsid w:val="001735A5"/>
    <w:rsid w:val="00176DB0"/>
    <w:rsid w:val="00181750"/>
    <w:rsid w:val="0018290D"/>
    <w:rsid w:val="001853A0"/>
    <w:rsid w:val="0018603F"/>
    <w:rsid w:val="00187914"/>
    <w:rsid w:val="00193278"/>
    <w:rsid w:val="001A0778"/>
    <w:rsid w:val="001A32EE"/>
    <w:rsid w:val="001A3D4C"/>
    <w:rsid w:val="001A72D4"/>
    <w:rsid w:val="001B415E"/>
    <w:rsid w:val="001B4AF8"/>
    <w:rsid w:val="001B5E9D"/>
    <w:rsid w:val="001B6B47"/>
    <w:rsid w:val="001C2313"/>
    <w:rsid w:val="001C25FA"/>
    <w:rsid w:val="001D1E76"/>
    <w:rsid w:val="001D2D68"/>
    <w:rsid w:val="001E0161"/>
    <w:rsid w:val="001E2666"/>
    <w:rsid w:val="001F020A"/>
    <w:rsid w:val="001F3BA6"/>
    <w:rsid w:val="001F4FD3"/>
    <w:rsid w:val="001F64E8"/>
    <w:rsid w:val="0020097E"/>
    <w:rsid w:val="002056F0"/>
    <w:rsid w:val="0021130D"/>
    <w:rsid w:val="00212E14"/>
    <w:rsid w:val="00213EC3"/>
    <w:rsid w:val="00220FE4"/>
    <w:rsid w:val="00223511"/>
    <w:rsid w:val="002249DB"/>
    <w:rsid w:val="0023072C"/>
    <w:rsid w:val="0023184C"/>
    <w:rsid w:val="00231963"/>
    <w:rsid w:val="002361D4"/>
    <w:rsid w:val="00253ED3"/>
    <w:rsid w:val="00256DD4"/>
    <w:rsid w:val="0026210D"/>
    <w:rsid w:val="00262320"/>
    <w:rsid w:val="00263FE8"/>
    <w:rsid w:val="0026479F"/>
    <w:rsid w:val="00271BB8"/>
    <w:rsid w:val="002725BF"/>
    <w:rsid w:val="00272921"/>
    <w:rsid w:val="00273787"/>
    <w:rsid w:val="002762E4"/>
    <w:rsid w:val="002820E7"/>
    <w:rsid w:val="002825BA"/>
    <w:rsid w:val="0028645D"/>
    <w:rsid w:val="002951FD"/>
    <w:rsid w:val="002A6516"/>
    <w:rsid w:val="002A6FD5"/>
    <w:rsid w:val="002A7199"/>
    <w:rsid w:val="002B045F"/>
    <w:rsid w:val="002B2F3E"/>
    <w:rsid w:val="002B4799"/>
    <w:rsid w:val="002B7A69"/>
    <w:rsid w:val="002B7ACF"/>
    <w:rsid w:val="002C5F3C"/>
    <w:rsid w:val="002D0A03"/>
    <w:rsid w:val="002E3E87"/>
    <w:rsid w:val="002E461D"/>
    <w:rsid w:val="002F5AC8"/>
    <w:rsid w:val="002F7F97"/>
    <w:rsid w:val="00301FDC"/>
    <w:rsid w:val="0030662C"/>
    <w:rsid w:val="00330224"/>
    <w:rsid w:val="0033027F"/>
    <w:rsid w:val="00331A87"/>
    <w:rsid w:val="0033200D"/>
    <w:rsid w:val="003325DF"/>
    <w:rsid w:val="00340A37"/>
    <w:rsid w:val="00340AD7"/>
    <w:rsid w:val="0034602C"/>
    <w:rsid w:val="0034618D"/>
    <w:rsid w:val="00360BCE"/>
    <w:rsid w:val="0036325A"/>
    <w:rsid w:val="00365022"/>
    <w:rsid w:val="003664C3"/>
    <w:rsid w:val="00367429"/>
    <w:rsid w:val="00370719"/>
    <w:rsid w:val="00370738"/>
    <w:rsid w:val="00372424"/>
    <w:rsid w:val="00375184"/>
    <w:rsid w:val="00376091"/>
    <w:rsid w:val="003779F8"/>
    <w:rsid w:val="00382740"/>
    <w:rsid w:val="00382B7F"/>
    <w:rsid w:val="00383985"/>
    <w:rsid w:val="0038463F"/>
    <w:rsid w:val="00386EDA"/>
    <w:rsid w:val="00397531"/>
    <w:rsid w:val="00397DDF"/>
    <w:rsid w:val="003A2BE9"/>
    <w:rsid w:val="003B3022"/>
    <w:rsid w:val="003B45E4"/>
    <w:rsid w:val="003B57A7"/>
    <w:rsid w:val="003B589D"/>
    <w:rsid w:val="003B5E1E"/>
    <w:rsid w:val="003C0FC7"/>
    <w:rsid w:val="003C488E"/>
    <w:rsid w:val="003C6617"/>
    <w:rsid w:val="003D0BB6"/>
    <w:rsid w:val="003D4C05"/>
    <w:rsid w:val="003D61F9"/>
    <w:rsid w:val="003D6643"/>
    <w:rsid w:val="003E3995"/>
    <w:rsid w:val="003F3603"/>
    <w:rsid w:val="003F50C0"/>
    <w:rsid w:val="0040045C"/>
    <w:rsid w:val="00412650"/>
    <w:rsid w:val="00420290"/>
    <w:rsid w:val="00420C30"/>
    <w:rsid w:val="00424C9B"/>
    <w:rsid w:val="00424DFD"/>
    <w:rsid w:val="00430882"/>
    <w:rsid w:val="00435111"/>
    <w:rsid w:val="004439F2"/>
    <w:rsid w:val="00455524"/>
    <w:rsid w:val="00455C2C"/>
    <w:rsid w:val="00457843"/>
    <w:rsid w:val="00460C75"/>
    <w:rsid w:val="00463F0F"/>
    <w:rsid w:val="00463FB8"/>
    <w:rsid w:val="00471407"/>
    <w:rsid w:val="004730D4"/>
    <w:rsid w:val="004802E9"/>
    <w:rsid w:val="00490112"/>
    <w:rsid w:val="00494072"/>
    <w:rsid w:val="00494CB2"/>
    <w:rsid w:val="004A081A"/>
    <w:rsid w:val="004A30AD"/>
    <w:rsid w:val="004A5926"/>
    <w:rsid w:val="004A6693"/>
    <w:rsid w:val="004B0BBC"/>
    <w:rsid w:val="004B35BD"/>
    <w:rsid w:val="004B68AF"/>
    <w:rsid w:val="004C68D0"/>
    <w:rsid w:val="004D1FF5"/>
    <w:rsid w:val="004D258E"/>
    <w:rsid w:val="004D5C20"/>
    <w:rsid w:val="004D73B7"/>
    <w:rsid w:val="004D7DF2"/>
    <w:rsid w:val="004E1DF4"/>
    <w:rsid w:val="004E542A"/>
    <w:rsid w:val="004F03DE"/>
    <w:rsid w:val="004F1364"/>
    <w:rsid w:val="004F74FF"/>
    <w:rsid w:val="00500DA9"/>
    <w:rsid w:val="00503F99"/>
    <w:rsid w:val="00504175"/>
    <w:rsid w:val="00504FA2"/>
    <w:rsid w:val="0050510A"/>
    <w:rsid w:val="00510048"/>
    <w:rsid w:val="0051150E"/>
    <w:rsid w:val="00511B0B"/>
    <w:rsid w:val="0051666B"/>
    <w:rsid w:val="00517C48"/>
    <w:rsid w:val="00526B94"/>
    <w:rsid w:val="00530D60"/>
    <w:rsid w:val="00533E33"/>
    <w:rsid w:val="00535FC8"/>
    <w:rsid w:val="00541317"/>
    <w:rsid w:val="0054415D"/>
    <w:rsid w:val="00544E94"/>
    <w:rsid w:val="00546E25"/>
    <w:rsid w:val="005475B9"/>
    <w:rsid w:val="00547E14"/>
    <w:rsid w:val="00552496"/>
    <w:rsid w:val="00554822"/>
    <w:rsid w:val="00561AA1"/>
    <w:rsid w:val="005732B7"/>
    <w:rsid w:val="00574CB0"/>
    <w:rsid w:val="00574FB2"/>
    <w:rsid w:val="005771D4"/>
    <w:rsid w:val="005810A6"/>
    <w:rsid w:val="0058459E"/>
    <w:rsid w:val="005B22BA"/>
    <w:rsid w:val="005B676A"/>
    <w:rsid w:val="005B683A"/>
    <w:rsid w:val="005C0C18"/>
    <w:rsid w:val="005C2F01"/>
    <w:rsid w:val="005C5ECD"/>
    <w:rsid w:val="005E060F"/>
    <w:rsid w:val="005E1727"/>
    <w:rsid w:val="005E3109"/>
    <w:rsid w:val="005F4F51"/>
    <w:rsid w:val="005F52A0"/>
    <w:rsid w:val="005F5AAF"/>
    <w:rsid w:val="00607730"/>
    <w:rsid w:val="00607BD2"/>
    <w:rsid w:val="00610DDC"/>
    <w:rsid w:val="006262EB"/>
    <w:rsid w:val="00627673"/>
    <w:rsid w:val="00636B19"/>
    <w:rsid w:val="00641BF3"/>
    <w:rsid w:val="00655EF3"/>
    <w:rsid w:val="0066021E"/>
    <w:rsid w:val="0066336C"/>
    <w:rsid w:val="00663D56"/>
    <w:rsid w:val="006812D0"/>
    <w:rsid w:val="00694AA0"/>
    <w:rsid w:val="006A0D3C"/>
    <w:rsid w:val="006A2500"/>
    <w:rsid w:val="006A35B9"/>
    <w:rsid w:val="006B339F"/>
    <w:rsid w:val="006B4AEC"/>
    <w:rsid w:val="006C1064"/>
    <w:rsid w:val="006C4BAE"/>
    <w:rsid w:val="006E155A"/>
    <w:rsid w:val="006E15E3"/>
    <w:rsid w:val="006E22E1"/>
    <w:rsid w:val="006F3A18"/>
    <w:rsid w:val="006F4589"/>
    <w:rsid w:val="006F76B7"/>
    <w:rsid w:val="00702E1B"/>
    <w:rsid w:val="007048DE"/>
    <w:rsid w:val="007049C9"/>
    <w:rsid w:val="0070776B"/>
    <w:rsid w:val="007161DC"/>
    <w:rsid w:val="007165D6"/>
    <w:rsid w:val="0072757A"/>
    <w:rsid w:val="007304EC"/>
    <w:rsid w:val="00731EF3"/>
    <w:rsid w:val="0073279E"/>
    <w:rsid w:val="007333D5"/>
    <w:rsid w:val="007347D2"/>
    <w:rsid w:val="0074045F"/>
    <w:rsid w:val="00743D96"/>
    <w:rsid w:val="00745294"/>
    <w:rsid w:val="00746A44"/>
    <w:rsid w:val="00751011"/>
    <w:rsid w:val="00753672"/>
    <w:rsid w:val="0075679E"/>
    <w:rsid w:val="00760B02"/>
    <w:rsid w:val="0076259D"/>
    <w:rsid w:val="0076423F"/>
    <w:rsid w:val="007643E2"/>
    <w:rsid w:val="0076507D"/>
    <w:rsid w:val="00767BB6"/>
    <w:rsid w:val="0077158A"/>
    <w:rsid w:val="00771F7F"/>
    <w:rsid w:val="007728C9"/>
    <w:rsid w:val="00782978"/>
    <w:rsid w:val="00783C75"/>
    <w:rsid w:val="00786E97"/>
    <w:rsid w:val="007A29DA"/>
    <w:rsid w:val="007A3A27"/>
    <w:rsid w:val="007A3B39"/>
    <w:rsid w:val="007A5B71"/>
    <w:rsid w:val="007C1B97"/>
    <w:rsid w:val="007C600C"/>
    <w:rsid w:val="007D00F0"/>
    <w:rsid w:val="007D0435"/>
    <w:rsid w:val="007D5593"/>
    <w:rsid w:val="007E0D90"/>
    <w:rsid w:val="007E3B6A"/>
    <w:rsid w:val="007F3CCB"/>
    <w:rsid w:val="007F66F5"/>
    <w:rsid w:val="00802635"/>
    <w:rsid w:val="0080393C"/>
    <w:rsid w:val="00804671"/>
    <w:rsid w:val="008107E2"/>
    <w:rsid w:val="0081295B"/>
    <w:rsid w:val="00815FD0"/>
    <w:rsid w:val="00817A04"/>
    <w:rsid w:val="00820E38"/>
    <w:rsid w:val="00820F48"/>
    <w:rsid w:val="008215D5"/>
    <w:rsid w:val="0082626C"/>
    <w:rsid w:val="00827F98"/>
    <w:rsid w:val="00830AED"/>
    <w:rsid w:val="00831246"/>
    <w:rsid w:val="00831C7F"/>
    <w:rsid w:val="00832336"/>
    <w:rsid w:val="00837E5E"/>
    <w:rsid w:val="00842BEC"/>
    <w:rsid w:val="00842C6A"/>
    <w:rsid w:val="00843216"/>
    <w:rsid w:val="0084377E"/>
    <w:rsid w:val="00854416"/>
    <w:rsid w:val="00857C0C"/>
    <w:rsid w:val="0086388D"/>
    <w:rsid w:val="00867295"/>
    <w:rsid w:val="008823E0"/>
    <w:rsid w:val="00882DDC"/>
    <w:rsid w:val="00882E62"/>
    <w:rsid w:val="00883836"/>
    <w:rsid w:val="0088463F"/>
    <w:rsid w:val="00890904"/>
    <w:rsid w:val="008914DE"/>
    <w:rsid w:val="0089235A"/>
    <w:rsid w:val="00897BD0"/>
    <w:rsid w:val="008A4625"/>
    <w:rsid w:val="008A4B43"/>
    <w:rsid w:val="008B0444"/>
    <w:rsid w:val="008B2980"/>
    <w:rsid w:val="008B3A1B"/>
    <w:rsid w:val="008B40DC"/>
    <w:rsid w:val="008B474D"/>
    <w:rsid w:val="008B7DA1"/>
    <w:rsid w:val="008D1B57"/>
    <w:rsid w:val="008D3E43"/>
    <w:rsid w:val="008D4B0C"/>
    <w:rsid w:val="008D4E23"/>
    <w:rsid w:val="008E0B27"/>
    <w:rsid w:val="008E1CAA"/>
    <w:rsid w:val="008E4D0F"/>
    <w:rsid w:val="008F2EDD"/>
    <w:rsid w:val="008F5E0C"/>
    <w:rsid w:val="008F735D"/>
    <w:rsid w:val="008F7C04"/>
    <w:rsid w:val="009016C5"/>
    <w:rsid w:val="00907832"/>
    <w:rsid w:val="00907CDD"/>
    <w:rsid w:val="00924016"/>
    <w:rsid w:val="0092492E"/>
    <w:rsid w:val="00927DB9"/>
    <w:rsid w:val="0093285E"/>
    <w:rsid w:val="0094425D"/>
    <w:rsid w:val="00945003"/>
    <w:rsid w:val="009452CA"/>
    <w:rsid w:val="009454C1"/>
    <w:rsid w:val="00947504"/>
    <w:rsid w:val="009502ED"/>
    <w:rsid w:val="00950E4F"/>
    <w:rsid w:val="0095178C"/>
    <w:rsid w:val="00957318"/>
    <w:rsid w:val="00967C99"/>
    <w:rsid w:val="009711CB"/>
    <w:rsid w:val="00980D6F"/>
    <w:rsid w:val="00980D84"/>
    <w:rsid w:val="009844BB"/>
    <w:rsid w:val="00984B1B"/>
    <w:rsid w:val="009952D9"/>
    <w:rsid w:val="009A3A3C"/>
    <w:rsid w:val="009A3E3A"/>
    <w:rsid w:val="009A6189"/>
    <w:rsid w:val="009B29D3"/>
    <w:rsid w:val="009B4ADD"/>
    <w:rsid w:val="009C1FBD"/>
    <w:rsid w:val="009D0D80"/>
    <w:rsid w:val="009D3E26"/>
    <w:rsid w:val="009D42B1"/>
    <w:rsid w:val="009D73E1"/>
    <w:rsid w:val="009E1382"/>
    <w:rsid w:val="009E2CE2"/>
    <w:rsid w:val="009F1E60"/>
    <w:rsid w:val="009F4157"/>
    <w:rsid w:val="009F5343"/>
    <w:rsid w:val="009F561E"/>
    <w:rsid w:val="009F7CB0"/>
    <w:rsid w:val="00A036C9"/>
    <w:rsid w:val="00A12096"/>
    <w:rsid w:val="00A135E9"/>
    <w:rsid w:val="00A16791"/>
    <w:rsid w:val="00A17271"/>
    <w:rsid w:val="00A20BCE"/>
    <w:rsid w:val="00A27140"/>
    <w:rsid w:val="00A2767F"/>
    <w:rsid w:val="00A303D7"/>
    <w:rsid w:val="00A30507"/>
    <w:rsid w:val="00A45F8C"/>
    <w:rsid w:val="00A52B1B"/>
    <w:rsid w:val="00A57A19"/>
    <w:rsid w:val="00A618B3"/>
    <w:rsid w:val="00A64F2B"/>
    <w:rsid w:val="00A67B15"/>
    <w:rsid w:val="00A755DC"/>
    <w:rsid w:val="00A84826"/>
    <w:rsid w:val="00A8727F"/>
    <w:rsid w:val="00A91400"/>
    <w:rsid w:val="00A97285"/>
    <w:rsid w:val="00AB180E"/>
    <w:rsid w:val="00AB30B2"/>
    <w:rsid w:val="00AC01DB"/>
    <w:rsid w:val="00AC308A"/>
    <w:rsid w:val="00AC581C"/>
    <w:rsid w:val="00AC70C7"/>
    <w:rsid w:val="00AD2E96"/>
    <w:rsid w:val="00AD444D"/>
    <w:rsid w:val="00AD7617"/>
    <w:rsid w:val="00AE4C25"/>
    <w:rsid w:val="00AE52C6"/>
    <w:rsid w:val="00AF1F2F"/>
    <w:rsid w:val="00B039D1"/>
    <w:rsid w:val="00B04225"/>
    <w:rsid w:val="00B04701"/>
    <w:rsid w:val="00B04E6A"/>
    <w:rsid w:val="00B05D53"/>
    <w:rsid w:val="00B06597"/>
    <w:rsid w:val="00B072FD"/>
    <w:rsid w:val="00B101BA"/>
    <w:rsid w:val="00B101D9"/>
    <w:rsid w:val="00B14870"/>
    <w:rsid w:val="00B14A23"/>
    <w:rsid w:val="00B177E5"/>
    <w:rsid w:val="00B21B75"/>
    <w:rsid w:val="00B221EC"/>
    <w:rsid w:val="00B2263D"/>
    <w:rsid w:val="00B3392A"/>
    <w:rsid w:val="00B34E8D"/>
    <w:rsid w:val="00B5122B"/>
    <w:rsid w:val="00B6549E"/>
    <w:rsid w:val="00B70D85"/>
    <w:rsid w:val="00B748A2"/>
    <w:rsid w:val="00B853F2"/>
    <w:rsid w:val="00B86CD7"/>
    <w:rsid w:val="00B90F26"/>
    <w:rsid w:val="00B919FC"/>
    <w:rsid w:val="00BB0BA6"/>
    <w:rsid w:val="00BB3325"/>
    <w:rsid w:val="00BB495C"/>
    <w:rsid w:val="00BC1A53"/>
    <w:rsid w:val="00BC7DE5"/>
    <w:rsid w:val="00BD020A"/>
    <w:rsid w:val="00BD504B"/>
    <w:rsid w:val="00BE3EF4"/>
    <w:rsid w:val="00BF4A76"/>
    <w:rsid w:val="00C00558"/>
    <w:rsid w:val="00C01C2E"/>
    <w:rsid w:val="00C01D5D"/>
    <w:rsid w:val="00C06703"/>
    <w:rsid w:val="00C074F5"/>
    <w:rsid w:val="00C10893"/>
    <w:rsid w:val="00C1117A"/>
    <w:rsid w:val="00C1140A"/>
    <w:rsid w:val="00C1289E"/>
    <w:rsid w:val="00C13C16"/>
    <w:rsid w:val="00C1479E"/>
    <w:rsid w:val="00C203BF"/>
    <w:rsid w:val="00C24F74"/>
    <w:rsid w:val="00C314BD"/>
    <w:rsid w:val="00C37F2C"/>
    <w:rsid w:val="00C438D0"/>
    <w:rsid w:val="00C505A8"/>
    <w:rsid w:val="00C531D8"/>
    <w:rsid w:val="00C5376A"/>
    <w:rsid w:val="00C62663"/>
    <w:rsid w:val="00C65024"/>
    <w:rsid w:val="00C85C03"/>
    <w:rsid w:val="00C87B6B"/>
    <w:rsid w:val="00C90819"/>
    <w:rsid w:val="00C95F85"/>
    <w:rsid w:val="00C97F6E"/>
    <w:rsid w:val="00CA0E3E"/>
    <w:rsid w:val="00CA1A20"/>
    <w:rsid w:val="00CB469A"/>
    <w:rsid w:val="00CC23F2"/>
    <w:rsid w:val="00CC3687"/>
    <w:rsid w:val="00CD0F50"/>
    <w:rsid w:val="00CD210A"/>
    <w:rsid w:val="00CD2E1D"/>
    <w:rsid w:val="00CE74C1"/>
    <w:rsid w:val="00CE7F47"/>
    <w:rsid w:val="00D067D1"/>
    <w:rsid w:val="00D1493B"/>
    <w:rsid w:val="00D17A09"/>
    <w:rsid w:val="00D259E5"/>
    <w:rsid w:val="00D25A09"/>
    <w:rsid w:val="00D46BA0"/>
    <w:rsid w:val="00D53C4C"/>
    <w:rsid w:val="00D53CC1"/>
    <w:rsid w:val="00D57004"/>
    <w:rsid w:val="00D571DC"/>
    <w:rsid w:val="00D573F2"/>
    <w:rsid w:val="00D60D79"/>
    <w:rsid w:val="00D62902"/>
    <w:rsid w:val="00D63869"/>
    <w:rsid w:val="00D71236"/>
    <w:rsid w:val="00D71F7C"/>
    <w:rsid w:val="00D74224"/>
    <w:rsid w:val="00D76018"/>
    <w:rsid w:val="00D761B4"/>
    <w:rsid w:val="00D76815"/>
    <w:rsid w:val="00D77EC0"/>
    <w:rsid w:val="00D80AEE"/>
    <w:rsid w:val="00D86C32"/>
    <w:rsid w:val="00D926EE"/>
    <w:rsid w:val="00DA3C43"/>
    <w:rsid w:val="00DB513A"/>
    <w:rsid w:val="00DC1F5B"/>
    <w:rsid w:val="00DC420C"/>
    <w:rsid w:val="00DC5EDE"/>
    <w:rsid w:val="00DC771A"/>
    <w:rsid w:val="00DD1E25"/>
    <w:rsid w:val="00DD4CBD"/>
    <w:rsid w:val="00DD601D"/>
    <w:rsid w:val="00DE0976"/>
    <w:rsid w:val="00DE5ADE"/>
    <w:rsid w:val="00DF17EB"/>
    <w:rsid w:val="00DF27AC"/>
    <w:rsid w:val="00DF478E"/>
    <w:rsid w:val="00E00E1B"/>
    <w:rsid w:val="00E04FEE"/>
    <w:rsid w:val="00E1082D"/>
    <w:rsid w:val="00E16633"/>
    <w:rsid w:val="00E24D85"/>
    <w:rsid w:val="00E311B5"/>
    <w:rsid w:val="00E40785"/>
    <w:rsid w:val="00E417D0"/>
    <w:rsid w:val="00E43918"/>
    <w:rsid w:val="00E44511"/>
    <w:rsid w:val="00E45884"/>
    <w:rsid w:val="00E47B11"/>
    <w:rsid w:val="00E516E2"/>
    <w:rsid w:val="00E53308"/>
    <w:rsid w:val="00E545C2"/>
    <w:rsid w:val="00E56B57"/>
    <w:rsid w:val="00E60046"/>
    <w:rsid w:val="00E61814"/>
    <w:rsid w:val="00E654C1"/>
    <w:rsid w:val="00E657BC"/>
    <w:rsid w:val="00E66354"/>
    <w:rsid w:val="00E80376"/>
    <w:rsid w:val="00E80A74"/>
    <w:rsid w:val="00E84CB1"/>
    <w:rsid w:val="00E91C46"/>
    <w:rsid w:val="00E92BDE"/>
    <w:rsid w:val="00E93B86"/>
    <w:rsid w:val="00E94EF9"/>
    <w:rsid w:val="00EA2309"/>
    <w:rsid w:val="00EA5CD6"/>
    <w:rsid w:val="00EB032A"/>
    <w:rsid w:val="00EB1AC8"/>
    <w:rsid w:val="00EB6F38"/>
    <w:rsid w:val="00EC099F"/>
    <w:rsid w:val="00EC3811"/>
    <w:rsid w:val="00EC6393"/>
    <w:rsid w:val="00EC6ECD"/>
    <w:rsid w:val="00ED09D2"/>
    <w:rsid w:val="00ED39E8"/>
    <w:rsid w:val="00ED4246"/>
    <w:rsid w:val="00ED519E"/>
    <w:rsid w:val="00ED661A"/>
    <w:rsid w:val="00ED7854"/>
    <w:rsid w:val="00EE042E"/>
    <w:rsid w:val="00EF3FE2"/>
    <w:rsid w:val="00F136A4"/>
    <w:rsid w:val="00F1393C"/>
    <w:rsid w:val="00F13C63"/>
    <w:rsid w:val="00F20BEB"/>
    <w:rsid w:val="00F21D6B"/>
    <w:rsid w:val="00F221D2"/>
    <w:rsid w:val="00F231B8"/>
    <w:rsid w:val="00F2377F"/>
    <w:rsid w:val="00F25CB7"/>
    <w:rsid w:val="00F25E2D"/>
    <w:rsid w:val="00F274F7"/>
    <w:rsid w:val="00F30612"/>
    <w:rsid w:val="00F30CF6"/>
    <w:rsid w:val="00F30EE8"/>
    <w:rsid w:val="00F33904"/>
    <w:rsid w:val="00F33D9D"/>
    <w:rsid w:val="00F3756A"/>
    <w:rsid w:val="00F375F0"/>
    <w:rsid w:val="00F40A78"/>
    <w:rsid w:val="00F50F75"/>
    <w:rsid w:val="00F539C1"/>
    <w:rsid w:val="00F53D4C"/>
    <w:rsid w:val="00F5701B"/>
    <w:rsid w:val="00F62348"/>
    <w:rsid w:val="00F62898"/>
    <w:rsid w:val="00F74D28"/>
    <w:rsid w:val="00F760E4"/>
    <w:rsid w:val="00F809E5"/>
    <w:rsid w:val="00F827DF"/>
    <w:rsid w:val="00F8506A"/>
    <w:rsid w:val="00F90070"/>
    <w:rsid w:val="00F95385"/>
    <w:rsid w:val="00F96B54"/>
    <w:rsid w:val="00F97716"/>
    <w:rsid w:val="00FA0237"/>
    <w:rsid w:val="00FA3C9A"/>
    <w:rsid w:val="00FB0090"/>
    <w:rsid w:val="00FB62A9"/>
    <w:rsid w:val="00FB7882"/>
    <w:rsid w:val="00FC0744"/>
    <w:rsid w:val="00FC30CF"/>
    <w:rsid w:val="00FC36ED"/>
    <w:rsid w:val="00FC3BE5"/>
    <w:rsid w:val="00FC4683"/>
    <w:rsid w:val="00FC54A4"/>
    <w:rsid w:val="00FD1D03"/>
    <w:rsid w:val="00FD24EC"/>
    <w:rsid w:val="00FE251A"/>
    <w:rsid w:val="00FE3915"/>
    <w:rsid w:val="00FE3C05"/>
    <w:rsid w:val="00FE75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C76C3C"/>
  <w15:docId w15:val="{4E3D6FF7-1FD1-4EA6-BDE9-C4C1B2598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3">
    <w:name w:val="TableNormal3"/>
    <w:tblPr>
      <w:tblCellMar>
        <w:top w:w="0" w:type="dxa"/>
        <w:left w:w="0" w:type="dxa"/>
        <w:bottom w:w="0" w:type="dxa"/>
        <w:right w:w="0" w:type="dxa"/>
      </w:tblCellMar>
    </w:tblPr>
  </w:style>
  <w:style w:type="table" w:customStyle="1" w:styleId="TableNormal2">
    <w:name w:val="TableNormal2"/>
    <w:tblPr>
      <w:tblCellMar>
        <w:top w:w="0" w:type="dxa"/>
        <w:left w:w="0" w:type="dxa"/>
        <w:bottom w:w="0" w:type="dxa"/>
        <w:right w:w="0" w:type="dxa"/>
      </w:tblCellMar>
    </w:tblPr>
  </w:style>
  <w:style w:type="table" w:customStyle="1" w:styleId="TableNormal1">
    <w:name w:val="TableNormal1"/>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6">
    <w:name w:val="Table Normal1"/>
    <w:tblPr>
      <w:tblCellMar>
        <w:top w:w="0" w:type="dxa"/>
        <w:left w:w="0" w:type="dxa"/>
        <w:bottom w:w="0" w:type="dxa"/>
        <w:right w:w="0" w:type="dxa"/>
      </w:tblCellMar>
    </w:tblPr>
  </w:style>
  <w:style w:type="table" w:customStyle="1" w:styleId="47">
    <w:name w:val="47"/>
    <w:basedOn w:val="TableNormal16"/>
    <w:tblPr>
      <w:tblStyleRowBandSize w:val="1"/>
      <w:tblStyleColBandSize w:val="1"/>
      <w:tblCellMar>
        <w:left w:w="115" w:type="dxa"/>
        <w:right w:w="115" w:type="dxa"/>
      </w:tblCellMar>
    </w:tblPr>
  </w:style>
  <w:style w:type="table" w:customStyle="1" w:styleId="46">
    <w:name w:val="46"/>
    <w:basedOn w:val="TableNormal16"/>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806B5C"/>
    <w:rPr>
      <w:vertAlign w:val="superscript"/>
    </w:rPr>
  </w:style>
  <w:style w:type="table" w:customStyle="1" w:styleId="45">
    <w:name w:val="45"/>
    <w:basedOn w:val="TableNormal16"/>
    <w:tblPr>
      <w:tblStyleRowBandSize w:val="1"/>
      <w:tblStyleColBandSize w:val="1"/>
      <w:tblCellMar>
        <w:left w:w="115" w:type="dxa"/>
        <w:right w:w="115" w:type="dxa"/>
      </w:tblCellMar>
    </w:tblPr>
  </w:style>
  <w:style w:type="table" w:customStyle="1" w:styleId="44">
    <w:name w:val="44"/>
    <w:basedOn w:val="TableNormal16"/>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43"/>
    <w:basedOn w:val="TableNormal20"/>
    <w:tblPr>
      <w:tblStyleRowBandSize w:val="1"/>
      <w:tblStyleColBandSize w:val="1"/>
      <w:tblCellMar>
        <w:left w:w="115" w:type="dxa"/>
        <w:right w:w="115" w:type="dxa"/>
      </w:tblCellMar>
    </w:tblPr>
  </w:style>
  <w:style w:type="table" w:customStyle="1" w:styleId="42">
    <w:name w:val="42"/>
    <w:basedOn w:val="TableNormal20"/>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41">
    <w:name w:val="41"/>
    <w:basedOn w:val="TableNormal30"/>
    <w:tblPr>
      <w:tblStyleRowBandSize w:val="1"/>
      <w:tblStyleColBandSize w:val="1"/>
      <w:tblCellMar>
        <w:left w:w="108" w:type="dxa"/>
        <w:right w:w="108" w:type="dxa"/>
      </w:tblCellMar>
    </w:tblPr>
  </w:style>
  <w:style w:type="table" w:customStyle="1" w:styleId="40">
    <w:name w:val="40"/>
    <w:basedOn w:val="TableNormal30"/>
    <w:tblPr>
      <w:tblStyleRowBandSize w:val="1"/>
      <w:tblStyleColBandSize w:val="1"/>
      <w:tblCellMar>
        <w:left w:w="108" w:type="dxa"/>
        <w:right w:w="108" w:type="dxa"/>
      </w:tblCellMar>
    </w:tblPr>
  </w:style>
  <w:style w:type="table" w:customStyle="1" w:styleId="39">
    <w:name w:val="39"/>
    <w:basedOn w:val="TableNormal30"/>
    <w:tblPr>
      <w:tblStyleRowBandSize w:val="1"/>
      <w:tblStyleColBandSize w:val="1"/>
      <w:tblCellMar>
        <w:left w:w="108" w:type="dxa"/>
        <w:right w:w="108" w:type="dxa"/>
      </w:tblCellMar>
    </w:tblPr>
  </w:style>
  <w:style w:type="table" w:customStyle="1" w:styleId="38">
    <w:name w:val="38"/>
    <w:basedOn w:val="TableNormal30"/>
    <w:tblPr>
      <w:tblStyleRowBandSize w:val="1"/>
      <w:tblStyleColBandSize w:val="1"/>
      <w:tblCellMar>
        <w:left w:w="108" w:type="dxa"/>
        <w:right w:w="108" w:type="dxa"/>
      </w:tblCellMar>
    </w:tblPr>
  </w:style>
  <w:style w:type="table" w:customStyle="1" w:styleId="37">
    <w:name w:val="37"/>
    <w:basedOn w:val="TableNormal30"/>
    <w:tblPr>
      <w:tblStyleRowBandSize w:val="1"/>
      <w:tblStyleColBandSize w:val="1"/>
      <w:tblCellMar>
        <w:left w:w="108" w:type="dxa"/>
        <w:right w:w="108" w:type="dxa"/>
      </w:tblCellMar>
    </w:tblPr>
  </w:style>
  <w:style w:type="table" w:customStyle="1" w:styleId="36">
    <w:name w:val="36"/>
    <w:basedOn w:val="TableNormal30"/>
    <w:tblPr>
      <w:tblStyleRowBandSize w:val="1"/>
      <w:tblStyleColBandSize w:val="1"/>
      <w:tblCellMar>
        <w:left w:w="115" w:type="dxa"/>
        <w:right w:w="115" w:type="dxa"/>
      </w:tblCellMar>
    </w:tblPr>
  </w:style>
  <w:style w:type="table" w:customStyle="1" w:styleId="35">
    <w:name w:val="35"/>
    <w:basedOn w:val="TableNormal30"/>
    <w:tblPr>
      <w:tblStyleRowBandSize w:val="1"/>
      <w:tblStyleColBandSize w:val="1"/>
      <w:tblCellMar>
        <w:left w:w="115" w:type="dxa"/>
        <w:right w:w="115" w:type="dxa"/>
      </w:tblCellMar>
    </w:tblPr>
  </w:style>
  <w:style w:type="table" w:customStyle="1" w:styleId="34">
    <w:name w:val="34"/>
    <w:basedOn w:val="TableNormal4"/>
    <w:tblPr>
      <w:tblStyleRowBandSize w:val="1"/>
      <w:tblStyleColBandSize w:val="1"/>
      <w:tblCellMar>
        <w:left w:w="108" w:type="dxa"/>
        <w:right w:w="108" w:type="dxa"/>
      </w:tblCellMar>
    </w:tblPr>
  </w:style>
  <w:style w:type="table" w:customStyle="1" w:styleId="33">
    <w:name w:val="33"/>
    <w:basedOn w:val="TableNormal4"/>
    <w:tblPr>
      <w:tblStyleRowBandSize w:val="1"/>
      <w:tblStyleColBandSize w:val="1"/>
      <w:tblCellMar>
        <w:left w:w="115" w:type="dxa"/>
        <w:right w:w="115" w:type="dxa"/>
      </w:tblCellMar>
    </w:tblPr>
  </w:style>
  <w:style w:type="table" w:customStyle="1" w:styleId="32">
    <w:name w:val="32"/>
    <w:basedOn w:val="TableNormal4"/>
    <w:tblPr>
      <w:tblStyleRowBandSize w:val="1"/>
      <w:tblStyleColBandSize w:val="1"/>
      <w:tblCellMar>
        <w:left w:w="115" w:type="dxa"/>
        <w:right w:w="115" w:type="dxa"/>
      </w:tblCellMar>
    </w:tblPr>
  </w:style>
  <w:style w:type="table" w:customStyle="1" w:styleId="31">
    <w:name w:val="31"/>
    <w:basedOn w:val="TableNormal5"/>
    <w:tblPr>
      <w:tblStyleRowBandSize w:val="1"/>
      <w:tblStyleColBandSize w:val="1"/>
      <w:tblCellMar>
        <w:left w:w="115" w:type="dxa"/>
        <w:right w:w="115" w:type="dxa"/>
      </w:tblCellMar>
    </w:tblPr>
  </w:style>
  <w:style w:type="table" w:customStyle="1" w:styleId="30">
    <w:name w:val="30"/>
    <w:basedOn w:val="TableNormal5"/>
    <w:tblPr>
      <w:tblStyleRowBandSize w:val="1"/>
      <w:tblStyleColBandSize w:val="1"/>
      <w:tblCellMar>
        <w:left w:w="115" w:type="dxa"/>
        <w:right w:w="115" w:type="dxa"/>
      </w:tblCellMar>
    </w:tblPr>
  </w:style>
  <w:style w:type="table" w:customStyle="1" w:styleId="29">
    <w:name w:val="29"/>
    <w:basedOn w:val="TableNormal5"/>
    <w:tblPr>
      <w:tblStyleRowBandSize w:val="1"/>
      <w:tblStyleColBandSize w:val="1"/>
      <w:tblCellMar>
        <w:left w:w="115" w:type="dxa"/>
        <w:right w:w="115" w:type="dxa"/>
      </w:tblCellMar>
    </w:tblPr>
  </w:style>
  <w:style w:type="table" w:customStyle="1" w:styleId="28">
    <w:name w:val="28"/>
    <w:basedOn w:val="TableNormal6"/>
    <w:tblPr>
      <w:tblStyleRowBandSize w:val="1"/>
      <w:tblStyleColBandSize w:val="1"/>
      <w:tblCellMar>
        <w:left w:w="115" w:type="dxa"/>
        <w:right w:w="115" w:type="dxa"/>
      </w:tblCellMar>
    </w:tblPr>
  </w:style>
  <w:style w:type="table" w:customStyle="1" w:styleId="27">
    <w:name w:val="27"/>
    <w:basedOn w:val="TableNormal6"/>
    <w:tblPr>
      <w:tblStyleRowBandSize w:val="1"/>
      <w:tblStyleColBandSize w:val="1"/>
      <w:tblCellMar>
        <w:left w:w="115" w:type="dxa"/>
        <w:right w:w="115" w:type="dxa"/>
      </w:tblCellMar>
    </w:tblPr>
  </w:style>
  <w:style w:type="table" w:customStyle="1" w:styleId="26">
    <w:name w:val="26"/>
    <w:basedOn w:val="TableNormal7"/>
    <w:tblPr>
      <w:tblStyleRowBandSize w:val="1"/>
      <w:tblStyleColBandSize w:val="1"/>
      <w:tblCellMar>
        <w:left w:w="115" w:type="dxa"/>
        <w:right w:w="115" w:type="dxa"/>
      </w:tblCellMar>
    </w:tblPr>
  </w:style>
  <w:style w:type="table" w:customStyle="1" w:styleId="25">
    <w:name w:val="25"/>
    <w:basedOn w:val="TableNormal7"/>
    <w:tblPr>
      <w:tblStyleRowBandSize w:val="1"/>
      <w:tblStyleColBandSize w:val="1"/>
      <w:tblCellMar>
        <w:left w:w="115" w:type="dxa"/>
        <w:right w:w="115" w:type="dxa"/>
      </w:tblCellMar>
    </w:tblPr>
  </w:style>
  <w:style w:type="table" w:customStyle="1" w:styleId="24">
    <w:name w:val="24"/>
    <w:basedOn w:val="TableNormal8"/>
    <w:tblPr>
      <w:tblStyleRowBandSize w:val="1"/>
      <w:tblStyleColBandSize w:val="1"/>
      <w:tblCellMar>
        <w:left w:w="115" w:type="dxa"/>
        <w:right w:w="115" w:type="dxa"/>
      </w:tblCellMar>
    </w:tblPr>
  </w:style>
  <w:style w:type="table" w:customStyle="1" w:styleId="23">
    <w:name w:val="23"/>
    <w:basedOn w:val="TableNormal8"/>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22">
    <w:name w:val="22"/>
    <w:basedOn w:val="TableNormal9"/>
    <w:tblPr>
      <w:tblStyleRowBandSize w:val="1"/>
      <w:tblStyleColBandSize w:val="1"/>
      <w:tblCellMar>
        <w:left w:w="115" w:type="dxa"/>
        <w:right w:w="115" w:type="dxa"/>
      </w:tblCellMar>
    </w:tblPr>
  </w:style>
  <w:style w:type="table" w:customStyle="1" w:styleId="21">
    <w:name w:val="21"/>
    <w:basedOn w:val="TableNormal9"/>
    <w:tblPr>
      <w:tblStyleRowBandSize w:val="1"/>
      <w:tblStyleColBandSize w:val="1"/>
      <w:tblCellMar>
        <w:left w:w="115" w:type="dxa"/>
        <w:right w:w="115" w:type="dxa"/>
      </w:tblCellMar>
    </w:tblPr>
  </w:style>
  <w:style w:type="table" w:customStyle="1" w:styleId="20">
    <w:name w:val="20"/>
    <w:basedOn w:val="TableNormal10"/>
    <w:tblPr>
      <w:tblStyleRowBandSize w:val="1"/>
      <w:tblStyleColBandSize w:val="1"/>
      <w:tblCellMar>
        <w:left w:w="115" w:type="dxa"/>
        <w:right w:w="115" w:type="dxa"/>
      </w:tblCellMar>
    </w:tblPr>
  </w:style>
  <w:style w:type="table" w:customStyle="1" w:styleId="19">
    <w:name w:val="19"/>
    <w:basedOn w:val="TableNormal10"/>
    <w:tblPr>
      <w:tblStyleRowBandSize w:val="1"/>
      <w:tblStyleColBandSize w:val="1"/>
      <w:tblCellMar>
        <w:left w:w="115" w:type="dxa"/>
        <w:right w:w="115" w:type="dxa"/>
      </w:tblCellMar>
    </w:tblPr>
  </w:style>
  <w:style w:type="table" w:customStyle="1" w:styleId="18">
    <w:name w:val="18"/>
    <w:basedOn w:val="TableNormal11"/>
    <w:tblPr>
      <w:tblStyleRowBandSize w:val="1"/>
      <w:tblStyleColBandSize w:val="1"/>
      <w:tblCellMar>
        <w:left w:w="115" w:type="dxa"/>
        <w:right w:w="115" w:type="dxa"/>
      </w:tblCellMar>
    </w:tblPr>
  </w:style>
  <w:style w:type="table" w:customStyle="1" w:styleId="17">
    <w:name w:val="17"/>
    <w:basedOn w:val="TableNormal11"/>
    <w:tblPr>
      <w:tblStyleRowBandSize w:val="1"/>
      <w:tblStyleColBandSize w:val="1"/>
      <w:tblCellMar>
        <w:left w:w="115" w:type="dxa"/>
        <w:right w:w="115" w:type="dxa"/>
      </w:tblCellMar>
    </w:tblPr>
  </w:style>
  <w:style w:type="table" w:customStyle="1" w:styleId="16">
    <w:name w:val="16"/>
    <w:basedOn w:val="TableNormal12"/>
    <w:tblPr>
      <w:tblStyleRowBandSize w:val="1"/>
      <w:tblStyleColBandSize w:val="1"/>
      <w:tblCellMar>
        <w:left w:w="115" w:type="dxa"/>
        <w:right w:w="115" w:type="dxa"/>
      </w:tblCellMar>
    </w:tblPr>
  </w:style>
  <w:style w:type="table" w:customStyle="1" w:styleId="15">
    <w:name w:val="15"/>
    <w:basedOn w:val="TableNormal12"/>
    <w:tblPr>
      <w:tblStyleRowBandSize w:val="1"/>
      <w:tblStyleColBandSize w:val="1"/>
      <w:tblCellMar>
        <w:left w:w="115" w:type="dxa"/>
        <w:right w:w="115" w:type="dxa"/>
      </w:tblCellMar>
    </w:tblPr>
  </w:style>
  <w:style w:type="table" w:customStyle="1" w:styleId="14">
    <w:name w:val="14"/>
    <w:basedOn w:val="TableNormal13"/>
    <w:tblPr>
      <w:tblStyleRowBandSize w:val="1"/>
      <w:tblStyleColBandSize w:val="1"/>
      <w:tblCellMar>
        <w:left w:w="115" w:type="dxa"/>
        <w:right w:w="115" w:type="dxa"/>
      </w:tblCellMar>
    </w:tblPr>
  </w:style>
  <w:style w:type="table" w:customStyle="1" w:styleId="13">
    <w:name w:val="13"/>
    <w:basedOn w:val="TableNormal13"/>
    <w:tblPr>
      <w:tblStyleRowBandSize w:val="1"/>
      <w:tblStyleColBandSize w:val="1"/>
      <w:tblCellMar>
        <w:left w:w="115" w:type="dxa"/>
        <w:right w:w="115" w:type="dxa"/>
      </w:tblCellMar>
    </w:tblPr>
  </w:style>
  <w:style w:type="table" w:customStyle="1" w:styleId="12">
    <w:name w:val="12"/>
    <w:basedOn w:val="TableNormal14"/>
    <w:tblPr>
      <w:tblStyleRowBandSize w:val="1"/>
      <w:tblStyleColBandSize w:val="1"/>
      <w:tblCellMar>
        <w:left w:w="115" w:type="dxa"/>
        <w:right w:w="115" w:type="dxa"/>
      </w:tblCellMar>
    </w:tblPr>
  </w:style>
  <w:style w:type="table" w:customStyle="1" w:styleId="11">
    <w:name w:val="11"/>
    <w:basedOn w:val="TableNormal14"/>
    <w:tblPr>
      <w:tblStyleRowBandSize w:val="1"/>
      <w:tblStyleColBandSize w:val="1"/>
      <w:tblCellMar>
        <w:left w:w="115" w:type="dxa"/>
        <w:right w:w="115" w:type="dxa"/>
      </w:tblCellMar>
    </w:tblPr>
  </w:style>
  <w:style w:type="table" w:customStyle="1" w:styleId="10">
    <w:name w:val="10"/>
    <w:basedOn w:val="TableNormal15"/>
    <w:tblPr>
      <w:tblStyleRowBandSize w:val="1"/>
      <w:tblStyleColBandSize w:val="1"/>
      <w:tblCellMar>
        <w:left w:w="115" w:type="dxa"/>
        <w:right w:w="115" w:type="dxa"/>
      </w:tblCellMar>
    </w:tblPr>
  </w:style>
  <w:style w:type="table" w:customStyle="1" w:styleId="9">
    <w:name w:val="9"/>
    <w:basedOn w:val="TableNormal15"/>
    <w:tblPr>
      <w:tblStyleRowBandSize w:val="1"/>
      <w:tblStyleColBandSize w:val="1"/>
      <w:tblCellMar>
        <w:left w:w="115" w:type="dxa"/>
        <w:right w:w="115" w:type="dxa"/>
      </w:tblCellMar>
    </w:tblPr>
  </w:style>
  <w:style w:type="table" w:customStyle="1" w:styleId="8">
    <w:name w:val="8"/>
    <w:basedOn w:val="TableNormal0"/>
    <w:tblPr>
      <w:tblStyleRowBandSize w:val="1"/>
      <w:tblStyleColBandSize w:val="1"/>
      <w:tblCellMar>
        <w:left w:w="115" w:type="dxa"/>
        <w:right w:w="115" w:type="dxa"/>
      </w:tblCellMar>
    </w:tblPr>
  </w:style>
  <w:style w:type="table" w:customStyle="1" w:styleId="7">
    <w:name w:val="7"/>
    <w:basedOn w:val="TableNormal0"/>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15" w:type="dxa"/>
        <w:right w:w="115" w:type="dxa"/>
      </w:tblCellMar>
    </w:tblPr>
  </w:style>
  <w:style w:type="table" w:customStyle="1" w:styleId="4">
    <w:name w:val="4"/>
    <w:basedOn w:val="TableNormal2"/>
    <w:tblPr>
      <w:tblStyleRowBandSize w:val="1"/>
      <w:tblStyleColBandSize w:val="1"/>
      <w:tblCellMar>
        <w:left w:w="115" w:type="dxa"/>
        <w:right w:w="115" w:type="dxa"/>
      </w:tblCellMar>
    </w:tblPr>
  </w:style>
  <w:style w:type="table" w:customStyle="1" w:styleId="3">
    <w:name w:val="3"/>
    <w:basedOn w:val="TableNormal2"/>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3"/>
    <w:tblPr>
      <w:tblStyleRowBandSize w:val="1"/>
      <w:tblStyleColBandSize w:val="1"/>
      <w:tblCellMar>
        <w:left w:w="115" w:type="dxa"/>
        <w:right w:w="115" w:type="dxa"/>
      </w:tblCellMar>
    </w:tblPr>
  </w:style>
  <w:style w:type="table" w:customStyle="1" w:styleId="1">
    <w:name w:val="1"/>
    <w:basedOn w:val="TableNormal3"/>
    <w:tblPr>
      <w:tblStyleRowBandSize w:val="1"/>
      <w:tblStyleColBandSize w:val="1"/>
      <w:tblCellMar>
        <w:left w:w="115" w:type="dxa"/>
        <w:right w:w="115" w:type="dxa"/>
      </w:tblCellMar>
    </w:tblPr>
  </w:style>
  <w:style w:type="paragraph" w:styleId="Lista">
    <w:name w:val="List"/>
    <w:basedOn w:val="Normal"/>
    <w:uiPriority w:val="99"/>
    <w:unhideWhenUsed/>
    <w:rsid w:val="0076259D"/>
    <w:pPr>
      <w:ind w:left="283" w:hanging="283"/>
      <w:contextualSpacing/>
    </w:pPr>
  </w:style>
  <w:style w:type="paragraph" w:styleId="Lista2">
    <w:name w:val="List 2"/>
    <w:basedOn w:val="Normal"/>
    <w:uiPriority w:val="99"/>
    <w:unhideWhenUsed/>
    <w:rsid w:val="0076259D"/>
    <w:pPr>
      <w:ind w:left="566" w:hanging="283"/>
      <w:contextualSpacing/>
    </w:pPr>
  </w:style>
  <w:style w:type="paragraph" w:styleId="Lista3">
    <w:name w:val="List 3"/>
    <w:basedOn w:val="Normal"/>
    <w:uiPriority w:val="99"/>
    <w:unhideWhenUsed/>
    <w:rsid w:val="0076259D"/>
    <w:pPr>
      <w:ind w:left="849" w:hanging="283"/>
      <w:contextualSpacing/>
    </w:pPr>
  </w:style>
  <w:style w:type="paragraph" w:styleId="Lista4">
    <w:name w:val="List 4"/>
    <w:basedOn w:val="Normal"/>
    <w:uiPriority w:val="99"/>
    <w:unhideWhenUsed/>
    <w:rsid w:val="0076259D"/>
    <w:pPr>
      <w:ind w:left="1132" w:hanging="283"/>
      <w:contextualSpacing/>
    </w:pPr>
  </w:style>
  <w:style w:type="paragraph" w:styleId="Lista5">
    <w:name w:val="List 5"/>
    <w:basedOn w:val="Normal"/>
    <w:uiPriority w:val="99"/>
    <w:unhideWhenUsed/>
    <w:rsid w:val="0076259D"/>
    <w:pPr>
      <w:ind w:left="1415" w:hanging="283"/>
      <w:contextualSpacing/>
    </w:pPr>
  </w:style>
  <w:style w:type="paragraph" w:styleId="Saludo">
    <w:name w:val="Salutation"/>
    <w:basedOn w:val="Normal"/>
    <w:next w:val="Normal"/>
    <w:link w:val="SaludoCar"/>
    <w:uiPriority w:val="99"/>
    <w:unhideWhenUsed/>
    <w:rsid w:val="0076259D"/>
  </w:style>
  <w:style w:type="character" w:customStyle="1" w:styleId="SaludoCar">
    <w:name w:val="Saludo Car"/>
    <w:basedOn w:val="Fuentedeprrafopredeter"/>
    <w:link w:val="Saludo"/>
    <w:uiPriority w:val="99"/>
    <w:rsid w:val="0076259D"/>
  </w:style>
  <w:style w:type="paragraph" w:styleId="Listaconvietas">
    <w:name w:val="List Bullet"/>
    <w:basedOn w:val="Normal"/>
    <w:uiPriority w:val="99"/>
    <w:unhideWhenUsed/>
    <w:rsid w:val="0076259D"/>
    <w:pPr>
      <w:numPr>
        <w:numId w:val="6"/>
      </w:numPr>
      <w:contextualSpacing/>
    </w:pPr>
  </w:style>
  <w:style w:type="paragraph" w:styleId="Listaconvietas2">
    <w:name w:val="List Bullet 2"/>
    <w:basedOn w:val="Normal"/>
    <w:uiPriority w:val="99"/>
    <w:unhideWhenUsed/>
    <w:rsid w:val="0076259D"/>
    <w:pPr>
      <w:numPr>
        <w:numId w:val="7"/>
      </w:numPr>
      <w:contextualSpacing/>
    </w:pPr>
  </w:style>
  <w:style w:type="paragraph" w:styleId="Continuarlista">
    <w:name w:val="List Continue"/>
    <w:basedOn w:val="Normal"/>
    <w:uiPriority w:val="99"/>
    <w:unhideWhenUsed/>
    <w:rsid w:val="0076259D"/>
    <w:pPr>
      <w:spacing w:after="120"/>
      <w:ind w:left="283"/>
      <w:contextualSpacing/>
    </w:pPr>
  </w:style>
  <w:style w:type="paragraph" w:styleId="Textoindependiente">
    <w:name w:val="Body Text"/>
    <w:basedOn w:val="Normal"/>
    <w:link w:val="TextoindependienteCar"/>
    <w:uiPriority w:val="99"/>
    <w:unhideWhenUsed/>
    <w:rsid w:val="0076259D"/>
    <w:pPr>
      <w:spacing w:after="120"/>
    </w:pPr>
  </w:style>
  <w:style w:type="character" w:customStyle="1" w:styleId="TextoindependienteCar">
    <w:name w:val="Texto independiente Car"/>
    <w:basedOn w:val="Fuentedeprrafopredeter"/>
    <w:link w:val="Textoindependiente"/>
    <w:uiPriority w:val="99"/>
    <w:rsid w:val="0076259D"/>
  </w:style>
  <w:style w:type="paragraph" w:styleId="Sangradetextonormal">
    <w:name w:val="Body Text Indent"/>
    <w:basedOn w:val="Normal"/>
    <w:link w:val="SangradetextonormalCar"/>
    <w:uiPriority w:val="99"/>
    <w:unhideWhenUsed/>
    <w:rsid w:val="0076259D"/>
    <w:pPr>
      <w:spacing w:after="120"/>
      <w:ind w:left="283"/>
    </w:pPr>
  </w:style>
  <w:style w:type="character" w:customStyle="1" w:styleId="SangradetextonormalCar">
    <w:name w:val="Sangría de texto normal Car"/>
    <w:basedOn w:val="Fuentedeprrafopredeter"/>
    <w:link w:val="Sangradetextonormal"/>
    <w:uiPriority w:val="99"/>
    <w:rsid w:val="0076259D"/>
  </w:style>
  <w:style w:type="paragraph" w:styleId="Textoindependienteprimerasangra2">
    <w:name w:val="Body Text First Indent 2"/>
    <w:basedOn w:val="Sangradetextonormal"/>
    <w:link w:val="Textoindependienteprimerasangra2Car"/>
    <w:uiPriority w:val="99"/>
    <w:unhideWhenUsed/>
    <w:rsid w:val="0076259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6259D"/>
  </w:style>
  <w:style w:type="character" w:customStyle="1" w:styleId="Mencinsinresolver3">
    <w:name w:val="Mención sin resolver3"/>
    <w:basedOn w:val="Fuentedeprrafopredeter"/>
    <w:uiPriority w:val="99"/>
    <w:semiHidden/>
    <w:unhideWhenUsed/>
    <w:rsid w:val="00C908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063920">
      <w:bodyDiv w:val="1"/>
      <w:marLeft w:val="0"/>
      <w:marRight w:val="0"/>
      <w:marTop w:val="0"/>
      <w:marBottom w:val="0"/>
      <w:divBdr>
        <w:top w:val="none" w:sz="0" w:space="0" w:color="auto"/>
        <w:left w:val="none" w:sz="0" w:space="0" w:color="auto"/>
        <w:bottom w:val="none" w:sz="0" w:space="0" w:color="auto"/>
        <w:right w:val="none" w:sz="0" w:space="0" w:color="auto"/>
      </w:divBdr>
    </w:div>
    <w:div w:id="1232617217">
      <w:bodyDiv w:val="1"/>
      <w:marLeft w:val="0"/>
      <w:marRight w:val="0"/>
      <w:marTop w:val="0"/>
      <w:marBottom w:val="0"/>
      <w:divBdr>
        <w:top w:val="none" w:sz="0" w:space="0" w:color="auto"/>
        <w:left w:val="none" w:sz="0" w:space="0" w:color="auto"/>
        <w:bottom w:val="none" w:sz="0" w:space="0" w:color="auto"/>
        <w:right w:val="none" w:sz="0" w:space="0" w:color="auto"/>
      </w:divBdr>
    </w:div>
    <w:div w:id="13280944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fUmA8CbdtqGPvZMvoJJm3uf21g==">CgMxLjAyCWguM3JkY3JqbjIOaC5kYWozajJ4bzZxNjYyCGguZ2pkZ3hzMgloLjNkeTZ2a20yCWguMzBqMHpsbDIJaC4yczhleW8xMghoLnR5amN3dDIJaC4yZXQ5MnAwMgloLjI2aW4xcmcyCWguMTdkcDh2dTIIaC5sbnhiejk4AHIhMUpERlNuZGw5LUV0aHkyYUNyYlJzTExMdi1WQTkzblFP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10248</Words>
  <Characters>56364</Characters>
  <Application>Microsoft Office Word</Application>
  <DocSecurity>0</DocSecurity>
  <Lines>469</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Maricela Villagómez Martínez</cp:lastModifiedBy>
  <cp:revision>2</cp:revision>
  <cp:lastPrinted>2026-03-20T18:22:00Z</cp:lastPrinted>
  <dcterms:created xsi:type="dcterms:W3CDTF">2026-04-08T20:56:00Z</dcterms:created>
  <dcterms:modified xsi:type="dcterms:W3CDTF">2026-04-08T20:56:00Z</dcterms:modified>
</cp:coreProperties>
</file>