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57F2A" w14:textId="69385345"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a </w:t>
      </w:r>
      <w:r w:rsidR="004C2FF6" w:rsidRPr="001E6322">
        <w:rPr>
          <w:rFonts w:ascii="Palatino Linotype" w:eastAsia="Palatino Linotype" w:hAnsi="Palatino Linotype" w:cs="Palatino Linotype"/>
          <w:b/>
          <w:bCs/>
          <w:sz w:val="22"/>
          <w:szCs w:val="22"/>
        </w:rPr>
        <w:t>veinti</w:t>
      </w:r>
      <w:r w:rsidR="00C55420" w:rsidRPr="001E6322">
        <w:rPr>
          <w:rFonts w:ascii="Palatino Linotype" w:eastAsia="Palatino Linotype" w:hAnsi="Palatino Linotype" w:cs="Palatino Linotype"/>
          <w:b/>
          <w:bCs/>
          <w:sz w:val="22"/>
          <w:szCs w:val="22"/>
        </w:rPr>
        <w:t>cuatro</w:t>
      </w:r>
      <w:r w:rsidR="004C2FF6" w:rsidRPr="001E6322">
        <w:rPr>
          <w:rFonts w:ascii="Palatino Linotype" w:eastAsia="Palatino Linotype" w:hAnsi="Palatino Linotype" w:cs="Palatino Linotype"/>
          <w:b/>
          <w:bCs/>
          <w:sz w:val="22"/>
          <w:szCs w:val="22"/>
        </w:rPr>
        <w:t xml:space="preserve"> </w:t>
      </w:r>
      <w:r w:rsidR="00FB2F9F" w:rsidRPr="001E6322">
        <w:rPr>
          <w:rFonts w:ascii="Palatino Linotype" w:eastAsia="Palatino Linotype" w:hAnsi="Palatino Linotype" w:cs="Palatino Linotype"/>
          <w:b/>
          <w:bCs/>
          <w:sz w:val="22"/>
          <w:szCs w:val="22"/>
        </w:rPr>
        <w:t>de septiembre</w:t>
      </w:r>
      <w:r w:rsidR="003131D9" w:rsidRPr="001E6322">
        <w:rPr>
          <w:rFonts w:ascii="Palatino Linotype" w:eastAsia="Palatino Linotype" w:hAnsi="Palatino Linotype" w:cs="Palatino Linotype"/>
          <w:b/>
          <w:bCs/>
          <w:sz w:val="22"/>
          <w:szCs w:val="22"/>
        </w:rPr>
        <w:t xml:space="preserve"> de dos mil veintiséis</w:t>
      </w:r>
      <w:r w:rsidRPr="001E6322">
        <w:rPr>
          <w:rFonts w:ascii="Palatino Linotype" w:eastAsia="Palatino Linotype" w:hAnsi="Palatino Linotype" w:cs="Palatino Linotype"/>
          <w:sz w:val="22"/>
          <w:szCs w:val="22"/>
        </w:rPr>
        <w:t xml:space="preserve">. </w:t>
      </w:r>
    </w:p>
    <w:p w14:paraId="0BEC3A2A" w14:textId="37727D99" w:rsidR="00D10152" w:rsidRPr="001E6322" w:rsidRDefault="00785AE5" w:rsidP="00001B8A">
      <w:pPr>
        <w:tabs>
          <w:tab w:val="left" w:pos="5812"/>
        </w:tabs>
        <w:spacing w:before="240" w:after="240" w:line="360" w:lineRule="auto"/>
        <w:jc w:val="both"/>
        <w:rPr>
          <w:rFonts w:ascii="Palatino Linotype" w:eastAsia="Palatino Linotype" w:hAnsi="Palatino Linotype" w:cs="Palatino Linotype"/>
          <w:sz w:val="22"/>
          <w:szCs w:val="22"/>
        </w:rPr>
      </w:pPr>
      <w:bookmarkStart w:id="0" w:name="_heading=h.daj3j2xo6q66" w:colFirst="0" w:colLast="0"/>
      <w:bookmarkEnd w:id="0"/>
      <w:r w:rsidRPr="001E6322">
        <w:rPr>
          <w:rFonts w:ascii="Palatino Linotype" w:eastAsia="Palatino Linotype" w:hAnsi="Palatino Linotype" w:cs="Palatino Linotype"/>
          <w:b/>
          <w:sz w:val="22"/>
          <w:szCs w:val="22"/>
        </w:rPr>
        <w:t>VISTO</w:t>
      </w:r>
      <w:r w:rsidRPr="001E6322">
        <w:rPr>
          <w:rFonts w:ascii="Palatino Linotype" w:eastAsia="Palatino Linotype" w:hAnsi="Palatino Linotype" w:cs="Palatino Linotype"/>
          <w:sz w:val="22"/>
          <w:szCs w:val="22"/>
        </w:rPr>
        <w:t xml:space="preserve"> el expediente formado con motivo del recurso de revisión </w:t>
      </w:r>
      <w:r w:rsidRPr="001E6322">
        <w:rPr>
          <w:rFonts w:ascii="Palatino Linotype" w:eastAsia="Palatino Linotype" w:hAnsi="Palatino Linotype" w:cs="Palatino Linotype"/>
          <w:b/>
          <w:sz w:val="22"/>
          <w:szCs w:val="22"/>
        </w:rPr>
        <w:t>0</w:t>
      </w:r>
      <w:r w:rsidR="004C2FF6" w:rsidRPr="001E6322">
        <w:rPr>
          <w:rFonts w:ascii="Palatino Linotype" w:eastAsia="Palatino Linotype" w:hAnsi="Palatino Linotype" w:cs="Palatino Linotype"/>
          <w:b/>
          <w:sz w:val="22"/>
          <w:szCs w:val="22"/>
        </w:rPr>
        <w:t>7576</w:t>
      </w:r>
      <w:r w:rsidRPr="001E6322">
        <w:rPr>
          <w:rFonts w:ascii="Palatino Linotype" w:eastAsia="Palatino Linotype" w:hAnsi="Palatino Linotype" w:cs="Palatino Linotype"/>
          <w:b/>
          <w:sz w:val="22"/>
          <w:szCs w:val="22"/>
        </w:rPr>
        <w:t>/INFOEM/IP/RR/202</w:t>
      </w:r>
      <w:r w:rsidR="003131D9" w:rsidRPr="001E6322">
        <w:rPr>
          <w:rFonts w:ascii="Palatino Linotype" w:eastAsia="Palatino Linotype" w:hAnsi="Palatino Linotype" w:cs="Palatino Linotype"/>
          <w:b/>
          <w:sz w:val="22"/>
          <w:szCs w:val="22"/>
        </w:rPr>
        <w:t>6</w:t>
      </w:r>
      <w:r w:rsidRPr="001E6322">
        <w:rPr>
          <w:rFonts w:ascii="Palatino Linotype" w:eastAsia="Palatino Linotype" w:hAnsi="Palatino Linotype" w:cs="Palatino Linotype"/>
          <w:sz w:val="22"/>
          <w:szCs w:val="22"/>
        </w:rPr>
        <w:t>, interpuesto por</w:t>
      </w:r>
      <w:r w:rsidRPr="001E6322">
        <w:rPr>
          <w:rFonts w:ascii="Palatino Linotype" w:eastAsia="Palatino Linotype" w:hAnsi="Palatino Linotype" w:cs="Palatino Linotype"/>
          <w:b/>
          <w:sz w:val="22"/>
          <w:szCs w:val="22"/>
        </w:rPr>
        <w:t xml:space="preserve"> </w:t>
      </w:r>
      <w:r w:rsidR="002D6A9C" w:rsidRPr="002D6A9C">
        <w:rPr>
          <w:rFonts w:ascii="Palatino Linotype" w:eastAsia="Palatino Linotype" w:hAnsi="Palatino Linotype" w:cs="Palatino Linotype"/>
          <w:b/>
          <w:sz w:val="22"/>
          <w:szCs w:val="22"/>
        </w:rPr>
        <w:t>XXXXX XXX XXXXXX XXXXX XXXX</w:t>
      </w:r>
      <w:bookmarkStart w:id="1" w:name="_GoBack"/>
      <w:bookmarkEnd w:id="1"/>
      <w:r w:rsidRPr="001E6322">
        <w:rPr>
          <w:rFonts w:ascii="Palatino Linotype" w:eastAsia="Palatino Linotype" w:hAnsi="Palatino Linotype" w:cs="Palatino Linotype"/>
          <w:b/>
          <w:sz w:val="22"/>
          <w:szCs w:val="22"/>
        </w:rPr>
        <w:t>,</w:t>
      </w:r>
      <w:r w:rsidRPr="001E6322">
        <w:rPr>
          <w:rFonts w:ascii="Palatino Linotype" w:eastAsia="Palatino Linotype" w:hAnsi="Palatino Linotype" w:cs="Palatino Linotype"/>
          <w:sz w:val="22"/>
          <w:szCs w:val="22"/>
        </w:rPr>
        <w:t xml:space="preserve"> en lo sucesivo</w:t>
      </w:r>
      <w:r w:rsidRPr="001E6322">
        <w:rPr>
          <w:rFonts w:ascii="Palatino Linotype" w:eastAsia="Palatino Linotype" w:hAnsi="Palatino Linotype" w:cs="Palatino Linotype"/>
          <w:b/>
          <w:sz w:val="22"/>
          <w:szCs w:val="22"/>
        </w:rPr>
        <w:t xml:space="preserve"> </w:t>
      </w:r>
      <w:r w:rsidRPr="001E6322">
        <w:rPr>
          <w:rFonts w:ascii="Palatino Linotype" w:eastAsia="Palatino Linotype" w:hAnsi="Palatino Linotype" w:cs="Palatino Linotype"/>
          <w:sz w:val="22"/>
          <w:szCs w:val="22"/>
        </w:rPr>
        <w:t xml:space="preserve">la parte </w:t>
      </w:r>
      <w:r w:rsidRPr="001E6322">
        <w:rPr>
          <w:rFonts w:ascii="Palatino Linotype" w:eastAsia="Palatino Linotype" w:hAnsi="Palatino Linotype" w:cs="Palatino Linotype"/>
          <w:b/>
          <w:sz w:val="22"/>
          <w:szCs w:val="22"/>
        </w:rPr>
        <w:t>Recurrente,</w:t>
      </w:r>
      <w:r w:rsidRPr="001E6322">
        <w:rPr>
          <w:rFonts w:ascii="Palatino Linotype" w:eastAsia="Palatino Linotype" w:hAnsi="Palatino Linotype" w:cs="Palatino Linotype"/>
          <w:sz w:val="22"/>
          <w:szCs w:val="22"/>
        </w:rPr>
        <w:t xml:space="preserve"> en contra de la respuesta a la solicitud de información con número de folio</w:t>
      </w:r>
      <w:r w:rsidRPr="001E6322">
        <w:rPr>
          <w:rFonts w:ascii="Palatino Linotype" w:eastAsia="Palatino Linotype" w:hAnsi="Palatino Linotype" w:cs="Palatino Linotype"/>
          <w:b/>
          <w:sz w:val="22"/>
          <w:szCs w:val="22"/>
        </w:rPr>
        <w:t xml:space="preserve"> </w:t>
      </w:r>
      <w:r w:rsidR="00E423DA" w:rsidRPr="001E6322">
        <w:rPr>
          <w:rFonts w:ascii="Palatino Linotype" w:eastAsia="Palatino Linotype" w:hAnsi="Palatino Linotype" w:cs="Palatino Linotype"/>
          <w:b/>
          <w:sz w:val="22"/>
          <w:szCs w:val="22"/>
        </w:rPr>
        <w:t>00</w:t>
      </w:r>
      <w:r w:rsidR="004C2FF6" w:rsidRPr="001E6322">
        <w:rPr>
          <w:rFonts w:ascii="Palatino Linotype" w:eastAsia="Palatino Linotype" w:hAnsi="Palatino Linotype" w:cs="Palatino Linotype"/>
          <w:b/>
          <w:sz w:val="22"/>
          <w:szCs w:val="22"/>
        </w:rPr>
        <w:t>59</w:t>
      </w:r>
      <w:r w:rsidR="00E423DA" w:rsidRPr="001E6322">
        <w:rPr>
          <w:rFonts w:ascii="Palatino Linotype" w:eastAsia="Palatino Linotype" w:hAnsi="Palatino Linotype" w:cs="Palatino Linotype"/>
          <w:b/>
          <w:sz w:val="22"/>
          <w:szCs w:val="22"/>
        </w:rPr>
        <w:t>0/ECATEPEC/IP/2026</w:t>
      </w:r>
      <w:r w:rsidRPr="001E6322">
        <w:rPr>
          <w:rFonts w:ascii="Palatino Linotype" w:eastAsia="Palatino Linotype" w:hAnsi="Palatino Linotype" w:cs="Palatino Linotype"/>
          <w:b/>
          <w:sz w:val="22"/>
          <w:szCs w:val="22"/>
        </w:rPr>
        <w:t xml:space="preserve">, </w:t>
      </w:r>
      <w:r w:rsidRPr="001E6322">
        <w:rPr>
          <w:rFonts w:ascii="Palatino Linotype" w:eastAsia="Palatino Linotype" w:hAnsi="Palatino Linotype" w:cs="Palatino Linotype"/>
          <w:sz w:val="22"/>
          <w:szCs w:val="22"/>
        </w:rPr>
        <w:t xml:space="preserve">por parte del </w:t>
      </w:r>
      <w:r w:rsidR="003131D9" w:rsidRPr="001E6322">
        <w:rPr>
          <w:rFonts w:ascii="Palatino Linotype" w:eastAsia="Palatino Linotype" w:hAnsi="Palatino Linotype" w:cs="Palatino Linotype"/>
          <w:b/>
          <w:sz w:val="22"/>
          <w:szCs w:val="22"/>
        </w:rPr>
        <w:t>Ayuntamiento de Ecatepec de Morelos</w:t>
      </w:r>
      <w:r w:rsidRPr="001E6322">
        <w:rPr>
          <w:rFonts w:ascii="Palatino Linotype" w:eastAsia="Palatino Linotype" w:hAnsi="Palatino Linotype" w:cs="Palatino Linotype"/>
          <w:b/>
          <w:sz w:val="22"/>
          <w:szCs w:val="22"/>
        </w:rPr>
        <w:t xml:space="preserve">, </w:t>
      </w:r>
      <w:r w:rsidRPr="001E6322">
        <w:rPr>
          <w:rFonts w:ascii="Palatino Linotype" w:eastAsia="Palatino Linotype" w:hAnsi="Palatino Linotype" w:cs="Palatino Linotype"/>
          <w:sz w:val="22"/>
          <w:szCs w:val="22"/>
        </w:rPr>
        <w:t xml:space="preserve">en lo sucesivo el </w:t>
      </w:r>
      <w:r w:rsidRPr="001E6322">
        <w:rPr>
          <w:rFonts w:ascii="Palatino Linotype" w:eastAsia="Palatino Linotype" w:hAnsi="Palatino Linotype" w:cs="Palatino Linotype"/>
          <w:b/>
          <w:sz w:val="22"/>
          <w:szCs w:val="22"/>
        </w:rPr>
        <w:t xml:space="preserve">Sujeto Obligado, </w:t>
      </w:r>
      <w:r w:rsidRPr="001E6322">
        <w:rPr>
          <w:rFonts w:ascii="Palatino Linotype" w:eastAsia="Palatino Linotype" w:hAnsi="Palatino Linotype" w:cs="Palatino Linotype"/>
          <w:sz w:val="22"/>
          <w:szCs w:val="22"/>
        </w:rPr>
        <w:t xml:space="preserve">se procede a dictar la presente resolución con base en los siguientes: </w:t>
      </w:r>
    </w:p>
    <w:p w14:paraId="008010D0" w14:textId="77777777" w:rsidR="00D10152" w:rsidRPr="001E6322" w:rsidRDefault="00785AE5" w:rsidP="00001B8A">
      <w:pPr>
        <w:spacing w:before="240" w:after="240" w:line="360" w:lineRule="auto"/>
        <w:jc w:val="center"/>
        <w:rPr>
          <w:rFonts w:ascii="Palatino Linotype" w:eastAsia="Palatino Linotype" w:hAnsi="Palatino Linotype" w:cs="Palatino Linotype"/>
          <w:b/>
          <w:sz w:val="22"/>
          <w:szCs w:val="22"/>
        </w:rPr>
      </w:pPr>
      <w:r w:rsidRPr="001E6322">
        <w:rPr>
          <w:rFonts w:ascii="Palatino Linotype" w:eastAsia="Palatino Linotype" w:hAnsi="Palatino Linotype" w:cs="Palatino Linotype"/>
          <w:b/>
          <w:sz w:val="22"/>
          <w:szCs w:val="22"/>
        </w:rPr>
        <w:t>I. A N T E C E D E N T E S</w:t>
      </w:r>
    </w:p>
    <w:p w14:paraId="4C11ADD7" w14:textId="16FE1782"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bookmarkStart w:id="2" w:name="_heading=h.gjdgxs" w:colFirst="0" w:colLast="0"/>
      <w:bookmarkEnd w:id="2"/>
      <w:r w:rsidRPr="001E6322">
        <w:rPr>
          <w:rFonts w:ascii="Palatino Linotype" w:eastAsia="Palatino Linotype" w:hAnsi="Palatino Linotype" w:cs="Palatino Linotype"/>
          <w:b/>
          <w:sz w:val="22"/>
          <w:szCs w:val="22"/>
        </w:rPr>
        <w:t>1. Solicitud de acceso a la información.</w:t>
      </w:r>
      <w:r w:rsidRPr="001E6322">
        <w:rPr>
          <w:rFonts w:ascii="Palatino Linotype" w:eastAsia="Palatino Linotype" w:hAnsi="Palatino Linotype" w:cs="Palatino Linotype"/>
          <w:sz w:val="22"/>
          <w:szCs w:val="22"/>
        </w:rPr>
        <w:t xml:space="preserve"> El </w:t>
      </w:r>
      <w:r w:rsidR="004C2FF6" w:rsidRPr="001E6322">
        <w:rPr>
          <w:rFonts w:ascii="Palatino Linotype" w:eastAsia="Palatino Linotype" w:hAnsi="Palatino Linotype" w:cs="Palatino Linotype"/>
          <w:b/>
          <w:sz w:val="22"/>
          <w:szCs w:val="22"/>
        </w:rPr>
        <w:t>seis de julio</w:t>
      </w:r>
      <w:r w:rsidR="003131D9" w:rsidRPr="001E6322">
        <w:rPr>
          <w:rFonts w:ascii="Palatino Linotype" w:eastAsia="Palatino Linotype" w:hAnsi="Palatino Linotype" w:cs="Palatino Linotype"/>
          <w:b/>
          <w:sz w:val="22"/>
          <w:szCs w:val="22"/>
        </w:rPr>
        <w:t xml:space="preserve"> de dos mil veintiséis</w:t>
      </w:r>
      <w:r w:rsidRPr="001E6322">
        <w:rPr>
          <w:rFonts w:ascii="Palatino Linotype" w:eastAsia="Palatino Linotype" w:hAnsi="Palatino Linotype" w:cs="Palatino Linotype"/>
          <w:b/>
          <w:sz w:val="22"/>
          <w:szCs w:val="22"/>
        </w:rPr>
        <w:t>,</w:t>
      </w:r>
      <w:r w:rsidRPr="001E6322">
        <w:rPr>
          <w:rFonts w:ascii="Palatino Linotype" w:eastAsia="Palatino Linotype" w:hAnsi="Palatino Linotype" w:cs="Palatino Linotype"/>
          <w:sz w:val="22"/>
          <w:szCs w:val="22"/>
        </w:rPr>
        <w:t xml:space="preserve"> la parte </w:t>
      </w:r>
      <w:r w:rsidRPr="001E6322">
        <w:rPr>
          <w:rFonts w:ascii="Palatino Linotype" w:eastAsia="Palatino Linotype" w:hAnsi="Palatino Linotype" w:cs="Palatino Linotype"/>
          <w:b/>
          <w:sz w:val="22"/>
          <w:szCs w:val="22"/>
        </w:rPr>
        <w:t xml:space="preserve">Recurrente </w:t>
      </w:r>
      <w:r w:rsidRPr="001E6322">
        <w:rPr>
          <w:rFonts w:ascii="Palatino Linotype" w:eastAsia="Palatino Linotype" w:hAnsi="Palatino Linotype" w:cs="Palatino Linotype"/>
          <w:sz w:val="22"/>
          <w:szCs w:val="22"/>
        </w:rPr>
        <w:t xml:space="preserve">presentó la solicitud de acceso a la información pública ante el </w:t>
      </w:r>
      <w:r w:rsidRPr="001E6322">
        <w:rPr>
          <w:rFonts w:ascii="Palatino Linotype" w:eastAsia="Palatino Linotype" w:hAnsi="Palatino Linotype" w:cs="Palatino Linotype"/>
          <w:b/>
          <w:sz w:val="22"/>
          <w:szCs w:val="22"/>
        </w:rPr>
        <w:t>Sujeto Obligado</w:t>
      </w:r>
      <w:r w:rsidRPr="001E6322">
        <w:rPr>
          <w:rFonts w:ascii="Palatino Linotype" w:eastAsia="Palatino Linotype" w:hAnsi="Palatino Linotype" w:cs="Palatino Linotype"/>
          <w:sz w:val="22"/>
          <w:szCs w:val="22"/>
        </w:rPr>
        <w:t xml:space="preserve">, a través del Sistema de Acceso a la Información Mexiquense, en lo subsecuente el </w:t>
      </w:r>
      <w:r w:rsidRPr="001E6322">
        <w:rPr>
          <w:rFonts w:ascii="Palatino Linotype" w:eastAsia="Palatino Linotype" w:hAnsi="Palatino Linotype" w:cs="Palatino Linotype"/>
          <w:b/>
          <w:sz w:val="22"/>
          <w:szCs w:val="22"/>
        </w:rPr>
        <w:t>SAIMEX,</w:t>
      </w:r>
      <w:r w:rsidRPr="001E6322">
        <w:rPr>
          <w:rFonts w:ascii="Palatino Linotype" w:eastAsia="Palatino Linotype" w:hAnsi="Palatino Linotype" w:cs="Palatino Linotype"/>
          <w:sz w:val="22"/>
          <w:szCs w:val="22"/>
        </w:rPr>
        <w:t xml:space="preserve"> </w:t>
      </w:r>
      <w:r w:rsidR="004C2FF6" w:rsidRPr="001E6322">
        <w:rPr>
          <w:rFonts w:ascii="Palatino Linotype" w:eastAsia="Palatino Linotype" w:hAnsi="Palatino Linotype" w:cs="Palatino Linotype"/>
          <w:sz w:val="22"/>
          <w:szCs w:val="22"/>
        </w:rPr>
        <w:t xml:space="preserve">(si bien se presentó en día inhábil, se tiene por recurrida al siguiente día hábil), </w:t>
      </w:r>
      <w:r w:rsidRPr="001E6322">
        <w:rPr>
          <w:rFonts w:ascii="Palatino Linotype" w:eastAsia="Palatino Linotype" w:hAnsi="Palatino Linotype" w:cs="Palatino Linotype"/>
          <w:sz w:val="22"/>
          <w:szCs w:val="22"/>
        </w:rPr>
        <w:t>mediante la cual requirió lo siguiente:</w:t>
      </w:r>
    </w:p>
    <w:p w14:paraId="5D46E660" w14:textId="1E6C71A0" w:rsidR="00D10152" w:rsidRPr="001E6322" w:rsidRDefault="00785AE5" w:rsidP="00001B8A">
      <w:pPr>
        <w:tabs>
          <w:tab w:val="left" w:pos="4678"/>
        </w:tabs>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w:t>
      </w:r>
      <w:r w:rsidR="004C2FF6" w:rsidRPr="001E6322">
        <w:rPr>
          <w:rFonts w:ascii="Palatino Linotype" w:eastAsia="Palatino Linotype" w:hAnsi="Palatino Linotype" w:cs="Palatino Linotype"/>
          <w:i/>
          <w:sz w:val="22"/>
          <w:szCs w:val="22"/>
        </w:rPr>
        <w:t xml:space="preserve">En el OFICIO No. DPCB/ECA/1368/2025 de fecha 03 de junio de 2025, dirigido al C. Luis Ángel Hernández Soto, Titular de la Unidad de Transparencia, suscrito por el C. Ing. Juan Jesús Clara González, Director de Protección Civil y Bomberos, se cita: "Por lo que se está en espera del oficio de seguimiento y continuidad por parte de la Dirección de Medio Ambiente y Ecología." En los archivos físicos y/o electrónicos, del Municipio de Ecatepec de Morelos, </w:t>
      </w:r>
      <w:r w:rsidR="004C2FF6" w:rsidRPr="001E6322">
        <w:rPr>
          <w:rFonts w:ascii="Palatino Linotype" w:eastAsia="Palatino Linotype" w:hAnsi="Palatino Linotype" w:cs="Palatino Linotype"/>
          <w:b/>
          <w:i/>
          <w:sz w:val="22"/>
          <w:szCs w:val="22"/>
          <w:u w:val="single"/>
        </w:rPr>
        <w:t xml:space="preserve">se cuenta con información sobre el seguimiento y continuidad de parte de la Dirección de Medio </w:t>
      </w:r>
      <w:r w:rsidR="004C2FF6" w:rsidRPr="001E6322">
        <w:rPr>
          <w:rFonts w:ascii="Palatino Linotype" w:eastAsia="Palatino Linotype" w:hAnsi="Palatino Linotype" w:cs="Palatino Linotype"/>
          <w:b/>
          <w:i/>
          <w:sz w:val="22"/>
          <w:szCs w:val="22"/>
          <w:u w:val="single"/>
        </w:rPr>
        <w:lastRenderedPageBreak/>
        <w:t>Ambiente y Ecología al 04 de julio de 2026. Agradecería acompañar evidencia fotográfica,</w:t>
      </w:r>
      <w:r w:rsidR="004C2FF6" w:rsidRPr="001E6322">
        <w:rPr>
          <w:rFonts w:ascii="Palatino Linotype" w:eastAsia="Palatino Linotype" w:hAnsi="Palatino Linotype" w:cs="Palatino Linotype"/>
          <w:i/>
          <w:sz w:val="22"/>
          <w:szCs w:val="22"/>
        </w:rPr>
        <w:t xml:space="preserve"> en caso de NO contar con ella, copia de la INEXISTENCIA DE INFORMACIÓN DEL COMITE DE TRANSPARENCIA, para evitar realizar RECURSO DE REVISIÓN, por favor analicen la INFORMACIÓN que se me proporciona. Unidad de Transparencia (OPACIDAD). Con todo respeto FELICIDADES por más de tres años de OPACIDAD del Ayuntamiento de Ecatepec de Morelos (dos gestiones municipales)...”</w:t>
      </w:r>
      <w:r w:rsidRPr="001E6322">
        <w:rPr>
          <w:rFonts w:ascii="Palatino Linotype" w:eastAsia="Palatino Linotype" w:hAnsi="Palatino Linotype" w:cs="Palatino Linotype"/>
          <w:i/>
          <w:sz w:val="22"/>
          <w:szCs w:val="22"/>
        </w:rPr>
        <w:t xml:space="preserve"> (</w:t>
      </w:r>
      <w:r w:rsidR="004C2FF6" w:rsidRPr="001E6322">
        <w:rPr>
          <w:rFonts w:ascii="Palatino Linotype" w:eastAsia="Palatino Linotype" w:hAnsi="Palatino Linotype" w:cs="Palatino Linotype"/>
          <w:i/>
          <w:sz w:val="22"/>
          <w:szCs w:val="22"/>
        </w:rPr>
        <w:t>Sic</w:t>
      </w:r>
      <w:r w:rsidRPr="001E6322">
        <w:rPr>
          <w:rFonts w:ascii="Palatino Linotype" w:eastAsia="Palatino Linotype" w:hAnsi="Palatino Linotype" w:cs="Palatino Linotype"/>
          <w:i/>
          <w:sz w:val="22"/>
          <w:szCs w:val="22"/>
        </w:rPr>
        <w:t xml:space="preserve">) </w:t>
      </w:r>
    </w:p>
    <w:p w14:paraId="57A512A2" w14:textId="77777777" w:rsidR="004C2FF6" w:rsidRPr="001E6322" w:rsidRDefault="004C2FF6" w:rsidP="004C2FF6">
      <w:pPr>
        <w:tabs>
          <w:tab w:val="left" w:pos="4678"/>
        </w:tabs>
        <w:spacing w:before="240" w:after="240" w:line="360" w:lineRule="auto"/>
        <w:ind w:right="616"/>
        <w:jc w:val="both"/>
        <w:rPr>
          <w:rFonts w:ascii="Palatino Linotype" w:eastAsia="Palatino Linotype" w:hAnsi="Palatino Linotype" w:cs="Palatino Linotype"/>
          <w:b/>
          <w:i/>
          <w:sz w:val="22"/>
          <w:szCs w:val="22"/>
        </w:rPr>
      </w:pPr>
    </w:p>
    <w:p w14:paraId="0400CAF1" w14:textId="5E6120B7"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bookmarkStart w:id="3" w:name="_heading=h.3dy6vkm" w:colFirst="0" w:colLast="0"/>
      <w:bookmarkEnd w:id="3"/>
      <w:r w:rsidRPr="001E6322">
        <w:rPr>
          <w:rFonts w:ascii="Palatino Linotype" w:eastAsia="Palatino Linotype" w:hAnsi="Palatino Linotype" w:cs="Palatino Linotype"/>
          <w:b/>
          <w:sz w:val="22"/>
          <w:szCs w:val="22"/>
        </w:rPr>
        <w:t>Modalidad de Entrega:</w:t>
      </w:r>
      <w:r w:rsidRPr="001E6322">
        <w:rPr>
          <w:rFonts w:ascii="Palatino Linotype" w:eastAsia="Palatino Linotype" w:hAnsi="Palatino Linotype" w:cs="Palatino Linotype"/>
          <w:sz w:val="22"/>
          <w:szCs w:val="22"/>
        </w:rPr>
        <w:t xml:space="preserve"> a través del</w:t>
      </w:r>
      <w:r w:rsidRPr="001E6322">
        <w:rPr>
          <w:rFonts w:ascii="Palatino Linotype" w:eastAsia="Palatino Linotype" w:hAnsi="Palatino Linotype" w:cs="Palatino Linotype"/>
          <w:b/>
          <w:sz w:val="22"/>
          <w:szCs w:val="22"/>
        </w:rPr>
        <w:t xml:space="preserve"> SAIMEX.</w:t>
      </w:r>
    </w:p>
    <w:p w14:paraId="2D763FC4" w14:textId="0E8DA502"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sz w:val="22"/>
          <w:szCs w:val="22"/>
        </w:rPr>
        <w:t xml:space="preserve">2. Respuesta. </w:t>
      </w:r>
      <w:r w:rsidRPr="001E6322">
        <w:rPr>
          <w:rFonts w:ascii="Palatino Linotype" w:eastAsia="Palatino Linotype" w:hAnsi="Palatino Linotype" w:cs="Palatino Linotype"/>
          <w:sz w:val="22"/>
          <w:szCs w:val="22"/>
        </w:rPr>
        <w:t xml:space="preserve">El </w:t>
      </w:r>
      <w:r w:rsidR="004C2FF6" w:rsidRPr="001E6322">
        <w:rPr>
          <w:rFonts w:ascii="Palatino Linotype" w:eastAsia="Palatino Linotype" w:hAnsi="Palatino Linotype" w:cs="Palatino Linotype"/>
          <w:b/>
          <w:sz w:val="22"/>
          <w:szCs w:val="22"/>
        </w:rPr>
        <w:t>cuatro de agosto</w:t>
      </w:r>
      <w:r w:rsidR="003131D9" w:rsidRPr="001E6322">
        <w:rPr>
          <w:rFonts w:ascii="Palatino Linotype" w:eastAsia="Palatino Linotype" w:hAnsi="Palatino Linotype" w:cs="Palatino Linotype"/>
          <w:b/>
          <w:sz w:val="22"/>
          <w:szCs w:val="22"/>
        </w:rPr>
        <w:t xml:space="preserve"> de dos mil veintiséis</w:t>
      </w:r>
      <w:r w:rsidRPr="001E6322">
        <w:rPr>
          <w:rFonts w:ascii="Palatino Linotype" w:eastAsia="Palatino Linotype" w:hAnsi="Palatino Linotype" w:cs="Palatino Linotype"/>
          <w:b/>
          <w:sz w:val="22"/>
          <w:szCs w:val="22"/>
        </w:rPr>
        <w:t>,</w:t>
      </w:r>
      <w:r w:rsidRPr="001E6322">
        <w:rPr>
          <w:rFonts w:ascii="Palatino Linotype" w:eastAsia="Palatino Linotype" w:hAnsi="Palatino Linotype" w:cs="Palatino Linotype"/>
          <w:sz w:val="22"/>
          <w:szCs w:val="22"/>
        </w:rPr>
        <w:t xml:space="preserve"> el </w:t>
      </w:r>
      <w:r w:rsidRPr="001E6322">
        <w:rPr>
          <w:rFonts w:ascii="Palatino Linotype" w:eastAsia="Palatino Linotype" w:hAnsi="Palatino Linotype" w:cs="Palatino Linotype"/>
          <w:b/>
          <w:sz w:val="22"/>
          <w:szCs w:val="22"/>
        </w:rPr>
        <w:t xml:space="preserve">Sujeto Obligado </w:t>
      </w:r>
      <w:r w:rsidRPr="001E6322">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14:paraId="396EEE3E" w14:textId="372F93CA" w:rsidR="00162AAF" w:rsidRPr="001E6322" w:rsidRDefault="00785AE5" w:rsidP="00162AAF">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w:t>
      </w:r>
      <w:r w:rsidR="00162AAF" w:rsidRPr="001E6322">
        <w:rPr>
          <w:rFonts w:ascii="Palatino Linotype" w:eastAsia="Palatino Linotype" w:hAnsi="Palatino Linotype" w:cs="Palatino Linotype"/>
          <w:i/>
          <w:sz w:val="22"/>
          <w:szCs w:val="22"/>
        </w:rPr>
        <w:t>Folio de la solicitud: 00</w:t>
      </w:r>
      <w:r w:rsidR="004C2FF6" w:rsidRPr="001E6322">
        <w:rPr>
          <w:rFonts w:ascii="Palatino Linotype" w:eastAsia="Palatino Linotype" w:hAnsi="Palatino Linotype" w:cs="Palatino Linotype"/>
          <w:i/>
          <w:sz w:val="22"/>
          <w:szCs w:val="22"/>
        </w:rPr>
        <w:t>59</w:t>
      </w:r>
      <w:r w:rsidR="00162AAF" w:rsidRPr="001E6322">
        <w:rPr>
          <w:rFonts w:ascii="Palatino Linotype" w:eastAsia="Palatino Linotype" w:hAnsi="Palatino Linotype" w:cs="Palatino Linotype"/>
          <w:i/>
          <w:sz w:val="22"/>
          <w:szCs w:val="22"/>
        </w:rPr>
        <w:t>0/ECATEPEC/IP/2026</w:t>
      </w:r>
    </w:p>
    <w:p w14:paraId="0A529D6F" w14:textId="77777777" w:rsidR="004C2FF6" w:rsidRPr="001E6322" w:rsidRDefault="004C2FF6" w:rsidP="004C2FF6">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En respuesta a la solicitud recibida, nos permitimos hacer de su conocimiento que con fundamento en el artículo 53, Fracciones: II, V y VI de la Ley de Transparencia y Acceso a la Información Pública del Estado de México y Municipios, le contestamos que:</w:t>
      </w:r>
    </w:p>
    <w:p w14:paraId="1E6E51FD" w14:textId="77777777" w:rsidR="004C2FF6" w:rsidRPr="001E6322" w:rsidRDefault="004C2FF6" w:rsidP="004C2FF6">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SE ANEXA RESPUESTA</w:t>
      </w:r>
    </w:p>
    <w:p w14:paraId="094C2643" w14:textId="77777777" w:rsidR="004C2FF6" w:rsidRPr="001E6322" w:rsidRDefault="004C2FF6" w:rsidP="004C2FF6">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ATENTAMENTE</w:t>
      </w:r>
    </w:p>
    <w:p w14:paraId="4BB62B31" w14:textId="735611AE" w:rsidR="00E61FDF" w:rsidRPr="001E6322" w:rsidRDefault="004C2FF6" w:rsidP="004C2FF6">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Cristina Muñoz Gallardo</w:t>
      </w:r>
      <w:r w:rsidR="00785AE5" w:rsidRPr="001E6322">
        <w:rPr>
          <w:rFonts w:ascii="Palatino Linotype" w:eastAsia="Palatino Linotype" w:hAnsi="Palatino Linotype" w:cs="Palatino Linotype"/>
          <w:i/>
          <w:sz w:val="22"/>
          <w:szCs w:val="22"/>
        </w:rPr>
        <w:t>.” (</w:t>
      </w:r>
      <w:r w:rsidRPr="001E6322">
        <w:rPr>
          <w:rFonts w:ascii="Palatino Linotype" w:eastAsia="Palatino Linotype" w:hAnsi="Palatino Linotype" w:cs="Palatino Linotype"/>
          <w:i/>
          <w:sz w:val="22"/>
          <w:szCs w:val="22"/>
        </w:rPr>
        <w:t>Sic</w:t>
      </w:r>
      <w:r w:rsidR="00785AE5" w:rsidRPr="001E6322">
        <w:rPr>
          <w:rFonts w:ascii="Palatino Linotype" w:eastAsia="Palatino Linotype" w:hAnsi="Palatino Linotype" w:cs="Palatino Linotype"/>
          <w:i/>
          <w:sz w:val="22"/>
          <w:szCs w:val="22"/>
        </w:rPr>
        <w:t>)</w:t>
      </w:r>
    </w:p>
    <w:p w14:paraId="37457FEE" w14:textId="77777777" w:rsidR="004C2FF6" w:rsidRPr="001E6322" w:rsidRDefault="004C2FF6" w:rsidP="004C2FF6">
      <w:pPr>
        <w:spacing w:before="240" w:after="240" w:line="360" w:lineRule="auto"/>
        <w:ind w:left="851" w:right="616"/>
        <w:jc w:val="both"/>
        <w:rPr>
          <w:rFonts w:ascii="Palatino Linotype" w:eastAsia="Palatino Linotype" w:hAnsi="Palatino Linotype" w:cs="Palatino Linotype"/>
          <w:i/>
          <w:sz w:val="22"/>
          <w:szCs w:val="22"/>
        </w:rPr>
      </w:pPr>
    </w:p>
    <w:p w14:paraId="0049953F" w14:textId="77777777" w:rsidR="004C2FF6" w:rsidRPr="001E6322" w:rsidRDefault="004C2FF6" w:rsidP="004C2FF6">
      <w:pPr>
        <w:spacing w:before="240" w:after="240" w:line="360" w:lineRule="auto"/>
        <w:ind w:left="851" w:right="616"/>
        <w:jc w:val="both"/>
        <w:rPr>
          <w:rFonts w:ascii="Palatino Linotype" w:eastAsia="Palatino Linotype" w:hAnsi="Palatino Linotype" w:cs="Palatino Linotype"/>
          <w:i/>
          <w:sz w:val="22"/>
          <w:szCs w:val="22"/>
        </w:rPr>
      </w:pPr>
    </w:p>
    <w:p w14:paraId="3AB1E505" w14:textId="27F199C6" w:rsidR="00162AAF" w:rsidRPr="001E6322" w:rsidRDefault="00162AAF" w:rsidP="00001B8A">
      <w:pPr>
        <w:spacing w:before="240" w:after="240" w:line="360" w:lineRule="auto"/>
        <w:ind w:right="49"/>
        <w:jc w:val="both"/>
        <w:rPr>
          <w:rFonts w:ascii="Palatino Linotype" w:eastAsia="Palatino Linotype" w:hAnsi="Palatino Linotype" w:cs="Palatino Linotype"/>
          <w:bCs/>
          <w:sz w:val="22"/>
          <w:szCs w:val="22"/>
        </w:rPr>
      </w:pPr>
      <w:r w:rsidRPr="001E6322">
        <w:rPr>
          <w:rFonts w:ascii="Palatino Linotype" w:eastAsia="Palatino Linotype" w:hAnsi="Palatino Linotype" w:cs="Palatino Linotype"/>
          <w:bCs/>
          <w:sz w:val="22"/>
          <w:szCs w:val="22"/>
        </w:rPr>
        <w:t xml:space="preserve">El Sujeto Obligado adjuntó a su repuesta el archivo </w:t>
      </w:r>
      <w:r w:rsidR="009B1F2E" w:rsidRPr="001E6322">
        <w:rPr>
          <w:rFonts w:ascii="Palatino Linotype" w:eastAsia="Palatino Linotype" w:hAnsi="Palatino Linotype" w:cs="Palatino Linotype"/>
          <w:bCs/>
          <w:sz w:val="22"/>
          <w:szCs w:val="22"/>
        </w:rPr>
        <w:t>electrónico</w:t>
      </w:r>
      <w:r w:rsidRPr="001E6322">
        <w:rPr>
          <w:rFonts w:ascii="Palatino Linotype" w:eastAsia="Palatino Linotype" w:hAnsi="Palatino Linotype" w:cs="Palatino Linotype"/>
          <w:b/>
          <w:i/>
          <w:iCs/>
          <w:sz w:val="22"/>
          <w:szCs w:val="22"/>
        </w:rPr>
        <w:t xml:space="preserve"> </w:t>
      </w:r>
      <w:r w:rsidR="004C2FF6" w:rsidRPr="001E6322">
        <w:rPr>
          <w:rFonts w:ascii="Palatino Linotype" w:eastAsia="Palatino Linotype" w:hAnsi="Palatino Linotype" w:cs="Palatino Linotype"/>
          <w:b/>
          <w:i/>
          <w:iCs/>
          <w:sz w:val="22"/>
          <w:szCs w:val="22"/>
        </w:rPr>
        <w:t>590</w:t>
      </w:r>
      <w:r w:rsidRPr="001E6322">
        <w:rPr>
          <w:rFonts w:ascii="Palatino Linotype" w:eastAsia="Palatino Linotype" w:hAnsi="Palatino Linotype" w:cs="Palatino Linotype"/>
          <w:b/>
          <w:i/>
          <w:iCs/>
          <w:sz w:val="22"/>
          <w:szCs w:val="22"/>
        </w:rPr>
        <w:t xml:space="preserve">.pdf </w:t>
      </w:r>
      <w:r w:rsidRPr="001E6322">
        <w:rPr>
          <w:rFonts w:ascii="Palatino Linotype" w:eastAsia="Palatino Linotype" w:hAnsi="Palatino Linotype" w:cs="Palatino Linotype"/>
          <w:bCs/>
          <w:sz w:val="22"/>
          <w:szCs w:val="22"/>
        </w:rPr>
        <w:t xml:space="preserve">que contiene lo siguiente: </w:t>
      </w:r>
    </w:p>
    <w:p w14:paraId="33AA12E3" w14:textId="2DE7AB71" w:rsidR="004C2FF6" w:rsidRPr="001E6322" w:rsidRDefault="00162AAF" w:rsidP="00B95A2B">
      <w:pPr>
        <w:pStyle w:val="Prrafodelista"/>
        <w:numPr>
          <w:ilvl w:val="0"/>
          <w:numId w:val="10"/>
        </w:numPr>
        <w:spacing w:before="240" w:after="240" w:line="360" w:lineRule="auto"/>
        <w:ind w:right="49"/>
        <w:jc w:val="both"/>
        <w:rPr>
          <w:rFonts w:ascii="Palatino Linotype" w:eastAsia="Palatino Linotype" w:hAnsi="Palatino Linotype" w:cs="Palatino Linotype"/>
          <w:b/>
          <w:sz w:val="22"/>
          <w:szCs w:val="22"/>
        </w:rPr>
      </w:pPr>
      <w:r w:rsidRPr="001E6322">
        <w:rPr>
          <w:rFonts w:ascii="Palatino Linotype" w:eastAsia="Palatino Linotype" w:hAnsi="Palatino Linotype" w:cs="Palatino Linotype"/>
          <w:bCs/>
          <w:sz w:val="22"/>
          <w:szCs w:val="22"/>
        </w:rPr>
        <w:t xml:space="preserve">Oficio signado por el Director de Medio Ambiente y Ecología a través del cual refiere que en atención a lo solicitado </w:t>
      </w:r>
      <w:r w:rsidR="004C2FF6" w:rsidRPr="001E6322">
        <w:rPr>
          <w:rFonts w:ascii="Palatino Linotype" w:eastAsia="Palatino Linotype" w:hAnsi="Palatino Linotype" w:cs="Palatino Linotype"/>
          <w:bCs/>
          <w:sz w:val="22"/>
          <w:szCs w:val="22"/>
        </w:rPr>
        <w:t xml:space="preserve">y derivado del seguimiento de las valoraciones de riesgo emitidas por esta dirección, </w:t>
      </w:r>
      <w:r w:rsidR="004C2FF6" w:rsidRPr="001E6322">
        <w:rPr>
          <w:rFonts w:ascii="Palatino Linotype" w:eastAsia="Palatino Linotype" w:hAnsi="Palatino Linotype" w:cs="Palatino Linotype"/>
          <w:b/>
          <w:bCs/>
          <w:sz w:val="22"/>
          <w:szCs w:val="22"/>
          <w:u w:val="single"/>
        </w:rPr>
        <w:t xml:space="preserve">después de realizar una búsqueda exhaustiva en los archivos físicos y electrónicos de esta Dirección al 4 de Julio del presente año, NO SE ENCONTRO EVIDENCIA </w:t>
      </w:r>
      <w:r w:rsidR="00833909" w:rsidRPr="001E6322">
        <w:rPr>
          <w:rFonts w:ascii="Palatino Linotype" w:eastAsia="Palatino Linotype" w:hAnsi="Palatino Linotype" w:cs="Palatino Linotype"/>
          <w:b/>
          <w:bCs/>
          <w:sz w:val="22"/>
          <w:szCs w:val="22"/>
          <w:u w:val="single"/>
        </w:rPr>
        <w:t>DOCUMENTAL CON DICHA SOLICITUD.</w:t>
      </w:r>
    </w:p>
    <w:p w14:paraId="4AECC494" w14:textId="7A897B4A" w:rsidR="00D10152" w:rsidRPr="001E6322" w:rsidRDefault="00785AE5" w:rsidP="004C2FF6">
      <w:pPr>
        <w:spacing w:before="240" w:after="240" w:line="360" w:lineRule="auto"/>
        <w:ind w:right="49"/>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sz w:val="22"/>
          <w:szCs w:val="22"/>
        </w:rPr>
        <w:t xml:space="preserve">3. Interposición del recurso de revisión. </w:t>
      </w:r>
      <w:r w:rsidRPr="001E6322">
        <w:rPr>
          <w:rFonts w:ascii="Palatino Linotype" w:eastAsia="Palatino Linotype" w:hAnsi="Palatino Linotype" w:cs="Palatino Linotype"/>
          <w:sz w:val="22"/>
          <w:szCs w:val="22"/>
        </w:rPr>
        <w:t xml:space="preserve">Inconforme con los términos de la respuesta emitida por parte del </w:t>
      </w:r>
      <w:r w:rsidRPr="001E6322">
        <w:rPr>
          <w:rFonts w:ascii="Palatino Linotype" w:eastAsia="Palatino Linotype" w:hAnsi="Palatino Linotype" w:cs="Palatino Linotype"/>
          <w:b/>
          <w:sz w:val="22"/>
          <w:szCs w:val="22"/>
        </w:rPr>
        <w:t>Sujeto Obligado</w:t>
      </w:r>
      <w:r w:rsidRPr="001E6322">
        <w:rPr>
          <w:rFonts w:ascii="Palatino Linotype" w:eastAsia="Palatino Linotype" w:hAnsi="Palatino Linotype" w:cs="Palatino Linotype"/>
          <w:sz w:val="22"/>
          <w:szCs w:val="22"/>
        </w:rPr>
        <w:t xml:space="preserve">, el </w:t>
      </w:r>
      <w:r w:rsidR="004C2FF6" w:rsidRPr="001E6322">
        <w:rPr>
          <w:rFonts w:ascii="Palatino Linotype" w:eastAsia="Palatino Linotype" w:hAnsi="Palatino Linotype" w:cs="Palatino Linotype"/>
          <w:b/>
          <w:sz w:val="22"/>
          <w:szCs w:val="22"/>
        </w:rPr>
        <w:t>cinco de agosto</w:t>
      </w:r>
      <w:r w:rsidRPr="001E6322">
        <w:rPr>
          <w:rFonts w:ascii="Palatino Linotype" w:eastAsia="Palatino Linotype" w:hAnsi="Palatino Linotype" w:cs="Palatino Linotype"/>
          <w:b/>
          <w:sz w:val="22"/>
          <w:szCs w:val="22"/>
        </w:rPr>
        <w:t xml:space="preserve"> de dos mil </w:t>
      </w:r>
      <w:r w:rsidR="003131D9" w:rsidRPr="001E6322">
        <w:rPr>
          <w:rFonts w:ascii="Palatino Linotype" w:eastAsia="Palatino Linotype" w:hAnsi="Palatino Linotype" w:cs="Palatino Linotype"/>
          <w:b/>
          <w:sz w:val="22"/>
          <w:szCs w:val="22"/>
        </w:rPr>
        <w:t>veintiséis</w:t>
      </w:r>
      <w:r w:rsidRPr="001E6322">
        <w:rPr>
          <w:rFonts w:ascii="Palatino Linotype" w:eastAsia="Palatino Linotype" w:hAnsi="Palatino Linotype" w:cs="Palatino Linotype"/>
          <w:b/>
          <w:sz w:val="22"/>
          <w:szCs w:val="22"/>
        </w:rPr>
        <w:t>,</w:t>
      </w:r>
      <w:r w:rsidRPr="001E6322">
        <w:rPr>
          <w:rFonts w:ascii="Palatino Linotype" w:eastAsia="Palatino Linotype" w:hAnsi="Palatino Linotype" w:cs="Palatino Linotype"/>
          <w:sz w:val="22"/>
          <w:szCs w:val="22"/>
        </w:rPr>
        <w:t xml:space="preserve"> la parte </w:t>
      </w:r>
      <w:r w:rsidRPr="001E6322">
        <w:rPr>
          <w:rFonts w:ascii="Palatino Linotype" w:eastAsia="Palatino Linotype" w:hAnsi="Palatino Linotype" w:cs="Palatino Linotype"/>
          <w:b/>
          <w:sz w:val="22"/>
          <w:szCs w:val="22"/>
        </w:rPr>
        <w:t>Recurrente</w:t>
      </w:r>
      <w:r w:rsidRPr="001E6322">
        <w:rPr>
          <w:rFonts w:ascii="Palatino Linotype" w:eastAsia="Palatino Linotype" w:hAnsi="Palatino Linotype" w:cs="Palatino Linotype"/>
          <w:sz w:val="22"/>
          <w:szCs w:val="22"/>
        </w:rPr>
        <w:t xml:space="preserve"> interpuso el recurso de revisión a través de </w:t>
      </w:r>
      <w:r w:rsidRPr="001E6322">
        <w:rPr>
          <w:rFonts w:ascii="Palatino Linotype" w:eastAsia="Palatino Linotype" w:hAnsi="Palatino Linotype" w:cs="Palatino Linotype"/>
          <w:b/>
          <w:sz w:val="22"/>
          <w:szCs w:val="22"/>
        </w:rPr>
        <w:t xml:space="preserve">SAIMEX, </w:t>
      </w:r>
      <w:r w:rsidRPr="001E6322">
        <w:rPr>
          <w:rFonts w:ascii="Palatino Linotype" w:eastAsia="Palatino Linotype" w:hAnsi="Palatino Linotype" w:cs="Palatino Linotype"/>
          <w:sz w:val="22"/>
          <w:szCs w:val="22"/>
        </w:rPr>
        <w:t>en donde se manifestó de la siguiente manera:</w:t>
      </w:r>
    </w:p>
    <w:p w14:paraId="783E4E2F" w14:textId="77777777" w:rsidR="00D10152" w:rsidRPr="001E6322" w:rsidRDefault="00785AE5" w:rsidP="00001B8A">
      <w:pPr>
        <w:spacing w:before="240" w:after="240" w:line="360" w:lineRule="auto"/>
        <w:ind w:right="49"/>
        <w:jc w:val="both"/>
        <w:rPr>
          <w:rFonts w:ascii="Palatino Linotype" w:eastAsia="Palatino Linotype" w:hAnsi="Palatino Linotype" w:cs="Palatino Linotype"/>
          <w:b/>
          <w:sz w:val="22"/>
          <w:szCs w:val="22"/>
        </w:rPr>
      </w:pPr>
      <w:r w:rsidRPr="001E6322">
        <w:rPr>
          <w:rFonts w:ascii="Palatino Linotype" w:eastAsia="Palatino Linotype" w:hAnsi="Palatino Linotype" w:cs="Palatino Linotype"/>
          <w:b/>
          <w:sz w:val="22"/>
          <w:szCs w:val="22"/>
        </w:rPr>
        <w:t xml:space="preserve">Acto impugnado: </w:t>
      </w:r>
    </w:p>
    <w:p w14:paraId="094A5AE9" w14:textId="42F96B5C" w:rsidR="00D10152" w:rsidRPr="001E6322" w:rsidRDefault="00785AE5" w:rsidP="00001B8A">
      <w:pPr>
        <w:tabs>
          <w:tab w:val="left" w:pos="2745"/>
        </w:tabs>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w:t>
      </w:r>
      <w:r w:rsidR="004C2FF6" w:rsidRPr="001E6322">
        <w:rPr>
          <w:rFonts w:ascii="Palatino Linotype" w:eastAsia="Palatino Linotype" w:hAnsi="Palatino Linotype" w:cs="Palatino Linotype"/>
          <w:i/>
          <w:sz w:val="22"/>
          <w:szCs w:val="22"/>
        </w:rPr>
        <w:t>En el OFICIO No. DPCB/ECA/1368/2025 de fecha 03 de junio de 2025, dirigido al C. Luis Ángel Hernández Soto, Titular de la Unidad de Transparencia, suscrito por el C. Ing. Juan Jesús Clara González, Director de Protección Civil y Bomberos, se cita: "Por lo que se está en espera del oficio de seguimiento y continuidad por parte de la Dirección de Medio Ambiente y Ecología." En los archivos físicos y/o electrónicos, del Municipio de Ecatepec de Morelos, se cuenta con información sobre el seguimiento y continuidad de parte de la Dirección de Medio Ambiente y Ecología al 04 de julio de 2026. Agradecería acompañar evidencia fotográfica, en caso de NO contar con ella, copia de la INEXISTENCIA DE INFORMACIÓN DEL COMITE DE TRANSPARENCIA, para evitar realizar RECURSO DE REVISIÓN, por favor analicen la INFORMACIÓN que se me proporciona. Unidad de Transparencia (OPACIDAD). Con todo respeto FELICIDADES por más de tres años de OPACIDAD del Ayuntamiento de Ecatepec de Morelos (dos gestiones municipales)...” (Sic</w:t>
      </w:r>
      <w:r w:rsidRPr="001E6322">
        <w:rPr>
          <w:rFonts w:ascii="Palatino Linotype" w:eastAsia="Palatino Linotype" w:hAnsi="Palatino Linotype" w:cs="Palatino Linotype"/>
          <w:i/>
          <w:sz w:val="22"/>
          <w:szCs w:val="22"/>
        </w:rPr>
        <w:t>)</w:t>
      </w:r>
      <w:r w:rsidR="004C2FF6" w:rsidRPr="001E6322">
        <w:rPr>
          <w:rFonts w:ascii="Palatino Linotype" w:eastAsia="Palatino Linotype" w:hAnsi="Palatino Linotype" w:cs="Palatino Linotype"/>
          <w:i/>
          <w:sz w:val="22"/>
          <w:szCs w:val="22"/>
        </w:rPr>
        <w:t xml:space="preserve"> </w:t>
      </w:r>
    </w:p>
    <w:p w14:paraId="048E5D9C" w14:textId="77777777"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bookmarkStart w:id="4" w:name="_heading=h.30j0zll" w:colFirst="0" w:colLast="0"/>
      <w:bookmarkEnd w:id="4"/>
      <w:r w:rsidRPr="001E6322">
        <w:rPr>
          <w:rFonts w:ascii="Palatino Linotype" w:eastAsia="Palatino Linotype" w:hAnsi="Palatino Linotype" w:cs="Palatino Linotype"/>
          <w:b/>
          <w:sz w:val="22"/>
          <w:szCs w:val="22"/>
        </w:rPr>
        <w:t>Y, Razones o motivos de inconformidad</w:t>
      </w:r>
      <w:r w:rsidRPr="001E6322">
        <w:rPr>
          <w:rFonts w:ascii="Palatino Linotype" w:eastAsia="Palatino Linotype" w:hAnsi="Palatino Linotype" w:cs="Palatino Linotype"/>
          <w:sz w:val="22"/>
          <w:szCs w:val="22"/>
        </w:rPr>
        <w:t>:</w:t>
      </w:r>
    </w:p>
    <w:p w14:paraId="64A9EFA7" w14:textId="6B794DF6" w:rsidR="00D10152" w:rsidRPr="001E6322" w:rsidRDefault="00785AE5" w:rsidP="00001B8A">
      <w:pPr>
        <w:tabs>
          <w:tab w:val="left" w:pos="2745"/>
        </w:tabs>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w:t>
      </w:r>
      <w:r w:rsidR="004C2FF6" w:rsidRPr="001E6322">
        <w:rPr>
          <w:rFonts w:ascii="Palatino Linotype" w:eastAsia="Palatino Linotype" w:hAnsi="Palatino Linotype" w:cs="Palatino Linotype"/>
          <w:i/>
          <w:sz w:val="22"/>
          <w:szCs w:val="22"/>
        </w:rPr>
        <w:t xml:space="preserve">Debido a la OPACIDAD con la que se ha tratado a la suscrita, reitero: " </w:t>
      </w:r>
      <w:r w:rsidR="004C2FF6" w:rsidRPr="001E6322">
        <w:rPr>
          <w:rFonts w:ascii="Palatino Linotype" w:eastAsia="Palatino Linotype" w:hAnsi="Palatino Linotype" w:cs="Palatino Linotype"/>
          <w:b/>
          <w:i/>
          <w:sz w:val="22"/>
          <w:szCs w:val="22"/>
          <w:u w:val="single"/>
        </w:rPr>
        <w:t>Agradecería acompañar evidencia fotográfica, en caso de NO contar con ella, copia de la INEXISTENCIA DE INFORMACIÓN DEL COMITE DE TRANSPARENCIA,</w:t>
      </w:r>
      <w:r w:rsidR="004C2FF6" w:rsidRPr="001E6322">
        <w:rPr>
          <w:rFonts w:ascii="Palatino Linotype" w:eastAsia="Palatino Linotype" w:hAnsi="Palatino Linotype" w:cs="Palatino Linotype"/>
          <w:i/>
          <w:sz w:val="22"/>
          <w:szCs w:val="22"/>
        </w:rPr>
        <w:t xml:space="preserve"> para evitar realizar RECURSO DE REVISIÓN, por favor analicen la INFORMACIÓN que se me proporciona. Unidad de Transparencia (OPACIDAD). Con todo respeto FELICIDADES por más de tres años de OPACIDAD del Ayuntamiento de Ecatepec de Morelos (dos gestiones municipales."</w:t>
      </w:r>
      <w:r w:rsidR="00611E11" w:rsidRPr="001E6322">
        <w:rPr>
          <w:rFonts w:ascii="Palatino Linotype" w:eastAsia="Palatino Linotype" w:hAnsi="Palatino Linotype" w:cs="Palatino Linotype"/>
          <w:i/>
          <w:sz w:val="22"/>
          <w:szCs w:val="22"/>
        </w:rPr>
        <w:t>.</w:t>
      </w:r>
      <w:r w:rsidRPr="001E6322">
        <w:rPr>
          <w:rFonts w:ascii="Palatino Linotype" w:eastAsia="Palatino Linotype" w:hAnsi="Palatino Linotype" w:cs="Palatino Linotype"/>
          <w:i/>
          <w:sz w:val="22"/>
          <w:szCs w:val="22"/>
        </w:rPr>
        <w:t>” (sic)</w:t>
      </w:r>
    </w:p>
    <w:p w14:paraId="42B104AE" w14:textId="77777777" w:rsidR="00833909" w:rsidRPr="001E6322" w:rsidRDefault="00833909" w:rsidP="00001B8A">
      <w:pPr>
        <w:tabs>
          <w:tab w:val="left" w:pos="2745"/>
        </w:tabs>
        <w:spacing w:before="240" w:after="240" w:line="360" w:lineRule="auto"/>
        <w:ind w:left="851" w:right="616"/>
        <w:jc w:val="both"/>
        <w:rPr>
          <w:rFonts w:ascii="Palatino Linotype" w:eastAsia="Palatino Linotype" w:hAnsi="Palatino Linotype" w:cs="Palatino Linotype"/>
          <w:i/>
          <w:sz w:val="22"/>
          <w:szCs w:val="22"/>
        </w:rPr>
      </w:pPr>
    </w:p>
    <w:p w14:paraId="665BCC88" w14:textId="6B7EF69C"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sz w:val="22"/>
          <w:szCs w:val="22"/>
        </w:rPr>
        <w:t xml:space="preserve">4. Turno. </w:t>
      </w:r>
      <w:r w:rsidRPr="001E6322">
        <w:rPr>
          <w:rFonts w:ascii="Palatino Linotype" w:eastAsia="Palatino Linotype" w:hAnsi="Palatino Linotype" w:cs="Palatino Linotype"/>
          <w:sz w:val="22"/>
          <w:szCs w:val="22"/>
        </w:rPr>
        <w:t>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w:t>
      </w:r>
      <w:r w:rsidR="004C2FF6" w:rsidRPr="001E6322">
        <w:rPr>
          <w:rFonts w:ascii="Palatino Linotype" w:eastAsia="Palatino Linotype" w:hAnsi="Palatino Linotype" w:cs="Palatino Linotype"/>
          <w:sz w:val="22"/>
          <w:szCs w:val="22"/>
        </w:rPr>
        <w:t xml:space="preserve">stado de México y Municipios, al comisionado </w:t>
      </w:r>
      <w:r w:rsidR="004C2FF6" w:rsidRPr="001E6322">
        <w:rPr>
          <w:rFonts w:ascii="Palatino Linotype" w:eastAsia="Palatino Linotype" w:hAnsi="Palatino Linotype" w:cs="Palatino Linotype"/>
          <w:b/>
          <w:sz w:val="22"/>
          <w:szCs w:val="22"/>
        </w:rPr>
        <w:t>Luis Gustavo Parra Noriega</w:t>
      </w:r>
      <w:r w:rsidRPr="001E6322">
        <w:rPr>
          <w:rFonts w:ascii="Palatino Linotype" w:eastAsia="Palatino Linotype" w:hAnsi="Palatino Linotype" w:cs="Palatino Linotype"/>
          <w:b/>
          <w:sz w:val="22"/>
          <w:szCs w:val="22"/>
        </w:rPr>
        <w:t xml:space="preserve">, </w:t>
      </w:r>
      <w:r w:rsidRPr="001E6322">
        <w:rPr>
          <w:rFonts w:ascii="Palatino Linotype" w:eastAsia="Palatino Linotype" w:hAnsi="Palatino Linotype" w:cs="Palatino Linotype"/>
          <w:sz w:val="22"/>
          <w:szCs w:val="22"/>
        </w:rPr>
        <w:t>a efecto de que analizara sobre su admisión o su desechamiento.</w:t>
      </w:r>
    </w:p>
    <w:p w14:paraId="6AC268B4" w14:textId="7DCAD168"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sz w:val="22"/>
          <w:szCs w:val="22"/>
        </w:rPr>
        <w:t>5. Admisión del Recurso de revisión.</w:t>
      </w:r>
      <w:r w:rsidRPr="001E6322">
        <w:rPr>
          <w:rFonts w:ascii="Palatino Linotype" w:eastAsia="Palatino Linotype" w:hAnsi="Palatino Linotype" w:cs="Palatino Linotype"/>
          <w:sz w:val="22"/>
          <w:szCs w:val="22"/>
        </w:rPr>
        <w:t xml:space="preserve"> El</w:t>
      </w:r>
      <w:r w:rsidRPr="001E6322">
        <w:rPr>
          <w:rFonts w:ascii="Palatino Linotype" w:eastAsia="Palatino Linotype" w:hAnsi="Palatino Linotype" w:cs="Palatino Linotype"/>
          <w:b/>
          <w:sz w:val="22"/>
          <w:szCs w:val="22"/>
        </w:rPr>
        <w:t xml:space="preserve"> </w:t>
      </w:r>
      <w:r w:rsidR="004C2FF6" w:rsidRPr="001E6322">
        <w:rPr>
          <w:rFonts w:ascii="Palatino Linotype" w:eastAsia="Palatino Linotype" w:hAnsi="Palatino Linotype" w:cs="Palatino Linotype"/>
          <w:b/>
          <w:sz w:val="22"/>
          <w:szCs w:val="22"/>
        </w:rPr>
        <w:t>once de agosto</w:t>
      </w:r>
      <w:r w:rsidR="003131D9" w:rsidRPr="001E6322">
        <w:rPr>
          <w:rFonts w:ascii="Palatino Linotype" w:eastAsia="Palatino Linotype" w:hAnsi="Palatino Linotype" w:cs="Palatino Linotype"/>
          <w:b/>
          <w:sz w:val="22"/>
          <w:szCs w:val="22"/>
        </w:rPr>
        <w:t xml:space="preserve"> de dos mil veintiséis</w:t>
      </w:r>
      <w:r w:rsidRPr="001E6322">
        <w:rPr>
          <w:rFonts w:ascii="Palatino Linotype" w:eastAsia="Palatino Linotype" w:hAnsi="Palatino Linotype" w:cs="Palatino Linotype"/>
          <w:b/>
          <w:sz w:val="22"/>
          <w:szCs w:val="22"/>
        </w:rPr>
        <w:t xml:space="preserve">, </w:t>
      </w:r>
      <w:r w:rsidRPr="001E6322">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Pr="001E6322">
        <w:rPr>
          <w:rFonts w:ascii="Palatino Linotype" w:eastAsia="Palatino Linotype" w:hAnsi="Palatino Linotype" w:cs="Palatino Linotype"/>
          <w:b/>
          <w:sz w:val="22"/>
          <w:szCs w:val="22"/>
        </w:rPr>
        <w:t xml:space="preserve">Sujeto Obligado </w:t>
      </w:r>
      <w:r w:rsidRPr="001E6322">
        <w:rPr>
          <w:rFonts w:ascii="Palatino Linotype" w:eastAsia="Palatino Linotype" w:hAnsi="Palatino Linotype" w:cs="Palatino Linotype"/>
          <w:sz w:val="22"/>
          <w:szCs w:val="22"/>
        </w:rPr>
        <w:t>presentara su informe justificado.</w:t>
      </w:r>
    </w:p>
    <w:p w14:paraId="07665421" w14:textId="1E009C99" w:rsidR="00A22E4D" w:rsidRPr="001E6322" w:rsidRDefault="00785AE5" w:rsidP="00001B8A">
      <w:pPr>
        <w:spacing w:before="240" w:after="240" w:line="360" w:lineRule="auto"/>
        <w:jc w:val="both"/>
        <w:rPr>
          <w:rFonts w:ascii="Palatino Linotype" w:eastAsia="Palatino Linotype" w:hAnsi="Palatino Linotype" w:cs="Palatino Linotype"/>
          <w:sz w:val="22"/>
          <w:szCs w:val="22"/>
        </w:rPr>
      </w:pPr>
      <w:bookmarkStart w:id="5" w:name="_heading=h.2s8eyo1" w:colFirst="0" w:colLast="0"/>
      <w:bookmarkEnd w:id="5"/>
      <w:r w:rsidRPr="001E6322">
        <w:rPr>
          <w:rFonts w:ascii="Palatino Linotype" w:eastAsia="Palatino Linotype" w:hAnsi="Palatino Linotype" w:cs="Palatino Linotype"/>
          <w:b/>
          <w:sz w:val="22"/>
          <w:szCs w:val="22"/>
        </w:rPr>
        <w:t>6. Manifestaciones</w:t>
      </w:r>
      <w:r w:rsidRPr="001E6322">
        <w:rPr>
          <w:rFonts w:ascii="Palatino Linotype" w:eastAsia="Palatino Linotype" w:hAnsi="Palatino Linotype" w:cs="Palatino Linotype"/>
          <w:sz w:val="22"/>
          <w:szCs w:val="22"/>
        </w:rPr>
        <w:t xml:space="preserve">. </w:t>
      </w:r>
      <w:r w:rsidR="009116F5" w:rsidRPr="001E6322">
        <w:rPr>
          <w:rFonts w:ascii="Palatino Linotype" w:eastAsia="Palatino Linotype" w:hAnsi="Palatino Linotype" w:cs="Palatino Linotype"/>
          <w:sz w:val="22"/>
          <w:szCs w:val="22"/>
        </w:rPr>
        <w:t xml:space="preserve">El </w:t>
      </w:r>
      <w:r w:rsidR="004C2FF6" w:rsidRPr="001E6322">
        <w:rPr>
          <w:rFonts w:ascii="Palatino Linotype" w:eastAsia="Palatino Linotype" w:hAnsi="Palatino Linotype" w:cs="Palatino Linotype"/>
          <w:b/>
          <w:sz w:val="22"/>
          <w:szCs w:val="22"/>
        </w:rPr>
        <w:t>once de agosto</w:t>
      </w:r>
      <w:r w:rsidR="003131D9" w:rsidRPr="001E6322">
        <w:rPr>
          <w:rFonts w:ascii="Palatino Linotype" w:eastAsia="Palatino Linotype" w:hAnsi="Palatino Linotype" w:cs="Palatino Linotype"/>
          <w:b/>
          <w:sz w:val="22"/>
          <w:szCs w:val="22"/>
        </w:rPr>
        <w:t xml:space="preserve"> de dos mil veintiséis</w:t>
      </w:r>
      <w:r w:rsidR="009116F5" w:rsidRPr="001E6322">
        <w:rPr>
          <w:rFonts w:ascii="Palatino Linotype" w:eastAsia="Palatino Linotype" w:hAnsi="Palatino Linotype" w:cs="Palatino Linotype"/>
          <w:sz w:val="22"/>
          <w:szCs w:val="22"/>
        </w:rPr>
        <w:t xml:space="preserve">, el </w:t>
      </w:r>
      <w:r w:rsidR="009116F5" w:rsidRPr="001E6322">
        <w:rPr>
          <w:rFonts w:ascii="Palatino Linotype" w:eastAsia="Palatino Linotype" w:hAnsi="Palatino Linotype" w:cs="Palatino Linotype"/>
          <w:b/>
          <w:sz w:val="22"/>
          <w:szCs w:val="22"/>
        </w:rPr>
        <w:t>Sujeto Obligado</w:t>
      </w:r>
      <w:r w:rsidR="009116F5" w:rsidRPr="001E6322">
        <w:rPr>
          <w:rFonts w:ascii="Palatino Linotype" w:eastAsia="Palatino Linotype" w:hAnsi="Palatino Linotype" w:cs="Palatino Linotype"/>
          <w:sz w:val="22"/>
          <w:szCs w:val="22"/>
        </w:rPr>
        <w:t xml:space="preserve"> remitió, a través del SAIMEX, </w:t>
      </w:r>
      <w:r w:rsidR="00A22E4D" w:rsidRPr="001E6322">
        <w:rPr>
          <w:rFonts w:ascii="Palatino Linotype" w:eastAsia="Palatino Linotype" w:hAnsi="Palatino Linotype" w:cs="Palatino Linotype"/>
          <w:sz w:val="22"/>
          <w:szCs w:val="22"/>
        </w:rPr>
        <w:t xml:space="preserve">su informe justificado, </w:t>
      </w:r>
      <w:r w:rsidR="00FB2F9F" w:rsidRPr="001E6322">
        <w:rPr>
          <w:rFonts w:ascii="Palatino Linotype" w:eastAsia="Palatino Linotype" w:hAnsi="Palatino Linotype" w:cs="Palatino Linotype"/>
          <w:sz w:val="22"/>
          <w:szCs w:val="22"/>
        </w:rPr>
        <w:t>a través de</w:t>
      </w:r>
      <w:r w:rsidR="00162AAF" w:rsidRPr="001E6322">
        <w:rPr>
          <w:rFonts w:ascii="Palatino Linotype" w:eastAsia="Palatino Linotype" w:hAnsi="Palatino Linotype" w:cs="Palatino Linotype"/>
          <w:sz w:val="22"/>
          <w:szCs w:val="22"/>
        </w:rPr>
        <w:t>l</w:t>
      </w:r>
      <w:r w:rsidR="00FB2F9F" w:rsidRPr="001E6322">
        <w:rPr>
          <w:rFonts w:ascii="Palatino Linotype" w:eastAsia="Palatino Linotype" w:hAnsi="Palatino Linotype" w:cs="Palatino Linotype"/>
          <w:sz w:val="22"/>
          <w:szCs w:val="22"/>
        </w:rPr>
        <w:t xml:space="preserve"> siguiente archivo electrónico: </w:t>
      </w:r>
    </w:p>
    <w:p w14:paraId="51E7DF5E" w14:textId="2418109B" w:rsidR="00FB2F9F" w:rsidRPr="001E6322" w:rsidRDefault="007A4E64" w:rsidP="00796371">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bCs/>
          <w:i/>
          <w:iCs/>
          <w:sz w:val="22"/>
          <w:szCs w:val="22"/>
        </w:rPr>
        <w:t xml:space="preserve">- </w:t>
      </w:r>
      <w:r w:rsidR="00B964D9" w:rsidRPr="001E6322">
        <w:rPr>
          <w:rFonts w:ascii="Palatino Linotype" w:eastAsia="Palatino Linotype" w:hAnsi="Palatino Linotype" w:cs="Palatino Linotype"/>
          <w:b/>
          <w:bCs/>
          <w:i/>
          <w:iCs/>
          <w:sz w:val="22"/>
          <w:szCs w:val="22"/>
        </w:rPr>
        <w:t>INFORME JUSTIFICADO 07576.pdf.</w:t>
      </w:r>
      <w:r w:rsidR="00FB2F9F" w:rsidRPr="001E6322">
        <w:rPr>
          <w:rFonts w:ascii="Palatino Linotype" w:eastAsia="Palatino Linotype" w:hAnsi="Palatino Linotype" w:cs="Palatino Linotype"/>
          <w:b/>
          <w:bCs/>
          <w:i/>
          <w:iCs/>
          <w:sz w:val="22"/>
          <w:szCs w:val="22"/>
        </w:rPr>
        <w:t xml:space="preserve"> </w:t>
      </w:r>
      <w:r w:rsidR="00FB2F9F" w:rsidRPr="001E6322">
        <w:rPr>
          <w:rFonts w:ascii="Palatino Linotype" w:eastAsia="Palatino Linotype" w:hAnsi="Palatino Linotype" w:cs="Palatino Linotype"/>
          <w:sz w:val="22"/>
          <w:szCs w:val="22"/>
        </w:rPr>
        <w:t xml:space="preserve">Oficio signado por la Titular de la Unidad de Transparencia, mediante el cual </w:t>
      </w:r>
      <w:r w:rsidR="00796371" w:rsidRPr="001E6322">
        <w:rPr>
          <w:rFonts w:ascii="Palatino Linotype" w:eastAsia="Palatino Linotype" w:hAnsi="Palatino Linotype" w:cs="Palatino Linotype"/>
          <w:sz w:val="22"/>
          <w:szCs w:val="22"/>
        </w:rPr>
        <w:t xml:space="preserve">ratifica en términos generales su respuesta y refiere que no existe obligación de generar documentos ad hoc para atender las solicitudes de información, que el sujeto obligado remitió repuesta vía SAIMEX, y anexó la información de los archivos adjuntos de los trabajos realizados. </w:t>
      </w:r>
    </w:p>
    <w:p w14:paraId="636E14C0" w14:textId="587F09A7" w:rsidR="00B964D9" w:rsidRPr="001E6322" w:rsidRDefault="007A4E64" w:rsidP="00796371">
      <w:pPr>
        <w:spacing w:before="240" w:after="240" w:line="360" w:lineRule="auto"/>
        <w:jc w:val="both"/>
        <w:rPr>
          <w:rFonts w:ascii="Palatino Linotype" w:eastAsia="Palatino Linotype" w:hAnsi="Palatino Linotype"/>
          <w:b/>
          <w:sz w:val="22"/>
          <w:szCs w:val="22"/>
          <w:u w:val="single"/>
        </w:rPr>
      </w:pPr>
      <w:r w:rsidRPr="001E6322">
        <w:rPr>
          <w:rFonts w:ascii="Palatino Linotype" w:eastAsia="Palatino Linotype" w:hAnsi="Palatino Linotype"/>
          <w:b/>
          <w:i/>
          <w:sz w:val="22"/>
          <w:szCs w:val="22"/>
        </w:rPr>
        <w:t xml:space="preserve">- </w:t>
      </w:r>
      <w:r w:rsidR="00B964D9" w:rsidRPr="001E6322">
        <w:rPr>
          <w:rFonts w:ascii="Palatino Linotype" w:eastAsia="Palatino Linotype" w:hAnsi="Palatino Linotype"/>
          <w:b/>
          <w:i/>
          <w:sz w:val="22"/>
          <w:szCs w:val="22"/>
        </w:rPr>
        <w:t xml:space="preserve">ANEXOS 07576.pdf. </w:t>
      </w:r>
      <w:r w:rsidR="00B964D9" w:rsidRPr="001E6322">
        <w:rPr>
          <w:rFonts w:ascii="Palatino Linotype" w:eastAsia="Palatino Linotype" w:hAnsi="Palatino Linotype"/>
          <w:sz w:val="22"/>
          <w:szCs w:val="22"/>
        </w:rPr>
        <w:t>Diversos Oficios signado por el Tesorero Municipal, Secretaria del Ayuntamiento</w:t>
      </w:r>
      <w:r w:rsidR="00B12218" w:rsidRPr="001E6322">
        <w:rPr>
          <w:rFonts w:ascii="Palatino Linotype" w:eastAsia="Palatino Linotype" w:hAnsi="Palatino Linotype"/>
          <w:sz w:val="22"/>
          <w:szCs w:val="22"/>
        </w:rPr>
        <w:t xml:space="preserve"> y Encargado de Archivo del Ayuntamiento de Ecatepec de Morelos, donde refieren</w:t>
      </w:r>
      <w:r w:rsidR="00B964D9" w:rsidRPr="001E6322">
        <w:rPr>
          <w:rFonts w:ascii="Palatino Linotype" w:eastAsia="Palatino Linotype" w:hAnsi="Palatino Linotype"/>
          <w:sz w:val="22"/>
          <w:szCs w:val="22"/>
        </w:rPr>
        <w:t xml:space="preserve"> que no se cuenta con dicha información, </w:t>
      </w:r>
      <w:r w:rsidR="00B964D9" w:rsidRPr="001E6322">
        <w:rPr>
          <w:rFonts w:ascii="Palatino Linotype" w:eastAsia="Palatino Linotype" w:hAnsi="Palatino Linotype"/>
          <w:b/>
          <w:sz w:val="22"/>
          <w:szCs w:val="22"/>
          <w:u w:val="single"/>
        </w:rPr>
        <w:t>ya que se dio contestación a la misma solicitud de fecha 13 de julio de 2026.</w:t>
      </w:r>
    </w:p>
    <w:p w14:paraId="39EBF407" w14:textId="5EEE3E2A" w:rsidR="007A4E64" w:rsidRPr="001E6322" w:rsidRDefault="009116F5" w:rsidP="007A4E64">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Una vez analizada la información, se hizo del conocimiento</w:t>
      </w:r>
      <w:r w:rsidR="00611E11"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de la persona solicitante</w:t>
      </w:r>
      <w:r w:rsidR="00611E11" w:rsidRPr="001E6322">
        <w:rPr>
          <w:rFonts w:ascii="Palatino Linotype" w:eastAsia="Palatino Linotype" w:hAnsi="Palatino Linotype" w:cs="Palatino Linotype"/>
          <w:sz w:val="22"/>
          <w:szCs w:val="22"/>
        </w:rPr>
        <w:t xml:space="preserve"> el </w:t>
      </w:r>
      <w:r w:rsidR="00796371" w:rsidRPr="001E6322">
        <w:rPr>
          <w:rFonts w:ascii="Palatino Linotype" w:eastAsia="Palatino Linotype" w:hAnsi="Palatino Linotype" w:cs="Palatino Linotype"/>
          <w:sz w:val="22"/>
          <w:szCs w:val="22"/>
        </w:rPr>
        <w:t xml:space="preserve">nueve de septiembre </w:t>
      </w:r>
      <w:r w:rsidR="00611E11" w:rsidRPr="001E6322">
        <w:rPr>
          <w:rFonts w:ascii="Palatino Linotype" w:eastAsia="Palatino Linotype" w:hAnsi="Palatino Linotype" w:cs="Palatino Linotype"/>
          <w:sz w:val="22"/>
          <w:szCs w:val="22"/>
        </w:rPr>
        <w:t>de dos mil veintiséis,</w:t>
      </w:r>
      <w:r w:rsidRPr="001E6322">
        <w:rPr>
          <w:rFonts w:ascii="Palatino Linotype" w:eastAsia="Palatino Linotype" w:hAnsi="Palatino Linotype" w:cs="Palatino Linotype"/>
          <w:sz w:val="22"/>
          <w:szCs w:val="22"/>
        </w:rPr>
        <w:t xml:space="preserve"> a efecto de que manifestara lo que a su derecho estimara conveniente</w:t>
      </w:r>
      <w:r w:rsidR="00796371" w:rsidRPr="001E6322">
        <w:rPr>
          <w:rFonts w:ascii="Palatino Linotype" w:eastAsia="Palatino Linotype" w:hAnsi="Palatino Linotype" w:cs="Palatino Linotype"/>
          <w:sz w:val="22"/>
          <w:szCs w:val="22"/>
        </w:rPr>
        <w:t xml:space="preserve">, sin que se haya pronunciado al respecto. </w:t>
      </w:r>
    </w:p>
    <w:p w14:paraId="175CD1AC" w14:textId="05E42578" w:rsidR="007A4E64" w:rsidRPr="001E6322" w:rsidRDefault="007A4E64" w:rsidP="007A4E64">
      <w:pPr>
        <w:pBdr>
          <w:top w:val="nil"/>
          <w:left w:val="nil"/>
          <w:bottom w:val="nil"/>
          <w:right w:val="nil"/>
          <w:between w:val="nil"/>
        </w:pBdr>
        <w:tabs>
          <w:tab w:val="left" w:pos="426"/>
        </w:tabs>
        <w:spacing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bCs/>
          <w:sz w:val="22"/>
          <w:szCs w:val="22"/>
        </w:rPr>
        <w:t>7.</w:t>
      </w:r>
      <w:r w:rsidRPr="001E6322">
        <w:rPr>
          <w:rFonts w:ascii="Palatino Linotype" w:eastAsia="Palatino Linotype" w:hAnsi="Palatino Linotype" w:cs="Palatino Linotype"/>
          <w:b/>
          <w:bCs/>
          <w:sz w:val="22"/>
          <w:szCs w:val="22"/>
        </w:rPr>
        <w:tab/>
        <w:t>Returno</w:t>
      </w:r>
      <w:r w:rsidRPr="001E6322">
        <w:rPr>
          <w:rFonts w:ascii="Palatino Linotype" w:eastAsia="Palatino Linotype" w:hAnsi="Palatino Linotype" w:cs="Palatino Linotype"/>
          <w:sz w:val="22"/>
          <w:szCs w:val="22"/>
        </w:rPr>
        <w:t xml:space="preserve">. Mediante acuerdo emitido por el Pleno de este Instituto, el diecinueve de agosto de dos mil veintiséis, se aprobó el returno del recurso de revisión, a la Ponencia de la </w:t>
      </w:r>
      <w:r w:rsidRPr="001E6322">
        <w:rPr>
          <w:rFonts w:ascii="Palatino Linotype" w:eastAsia="Palatino Linotype" w:hAnsi="Palatino Linotype" w:cs="Palatino Linotype"/>
          <w:b/>
          <w:bCs/>
          <w:sz w:val="22"/>
          <w:szCs w:val="22"/>
        </w:rPr>
        <w:t>Comisionada Guadalupe Ramírez Peña</w:t>
      </w:r>
      <w:r w:rsidRPr="001E6322">
        <w:rPr>
          <w:rFonts w:ascii="Palatino Linotype" w:eastAsia="Palatino Linotype" w:hAnsi="Palatino Linotype" w:cs="Palatino Linotype"/>
          <w:sz w:val="22"/>
          <w:szCs w:val="22"/>
        </w:rPr>
        <w:t>, para su resolución.</w:t>
      </w:r>
    </w:p>
    <w:p w14:paraId="7CBEAC7B" w14:textId="77777777" w:rsidR="007A4E64" w:rsidRPr="001E6322" w:rsidRDefault="007A4E64" w:rsidP="00001B8A">
      <w:pPr>
        <w:spacing w:before="240" w:after="240" w:line="360" w:lineRule="auto"/>
        <w:jc w:val="both"/>
        <w:rPr>
          <w:rFonts w:ascii="Palatino Linotype" w:eastAsia="Palatino Linotype" w:hAnsi="Palatino Linotype" w:cs="Palatino Linotype"/>
          <w:sz w:val="22"/>
          <w:szCs w:val="22"/>
        </w:rPr>
      </w:pPr>
    </w:p>
    <w:p w14:paraId="126B4FD4" w14:textId="0D81E941" w:rsidR="00E741E4" w:rsidRPr="001E6322" w:rsidRDefault="007A4E64"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sz w:val="22"/>
          <w:szCs w:val="22"/>
        </w:rPr>
        <w:t>8</w:t>
      </w:r>
      <w:r w:rsidR="00796371" w:rsidRPr="001E6322">
        <w:rPr>
          <w:rFonts w:ascii="Palatino Linotype" w:eastAsia="Palatino Linotype" w:hAnsi="Palatino Linotype" w:cs="Palatino Linotype"/>
          <w:b/>
          <w:sz w:val="22"/>
          <w:szCs w:val="22"/>
        </w:rPr>
        <w:t xml:space="preserve">. Cierre de instrucción. </w:t>
      </w:r>
      <w:r w:rsidR="00796371" w:rsidRPr="001E6322">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00B60C4C" w:rsidRPr="001E6322">
        <w:rPr>
          <w:rFonts w:ascii="Palatino Linotype" w:eastAsia="Palatino Linotype" w:hAnsi="Palatino Linotype" w:cs="Palatino Linotype"/>
          <w:b/>
          <w:sz w:val="22"/>
          <w:szCs w:val="22"/>
        </w:rPr>
        <w:t>veinti</w:t>
      </w:r>
      <w:r w:rsidR="00C55420" w:rsidRPr="001E6322">
        <w:rPr>
          <w:rFonts w:ascii="Palatino Linotype" w:eastAsia="Palatino Linotype" w:hAnsi="Palatino Linotype" w:cs="Palatino Linotype"/>
          <w:b/>
          <w:sz w:val="22"/>
          <w:szCs w:val="22"/>
        </w:rPr>
        <w:t>cuatro</w:t>
      </w:r>
      <w:r w:rsidR="00796371" w:rsidRPr="001E6322">
        <w:rPr>
          <w:rFonts w:ascii="Palatino Linotype" w:eastAsia="Palatino Linotype" w:hAnsi="Palatino Linotype" w:cs="Palatino Linotype"/>
          <w:b/>
          <w:sz w:val="22"/>
          <w:szCs w:val="22"/>
        </w:rPr>
        <w:t xml:space="preserve"> de septiembre de dos mil veintiséis</w:t>
      </w:r>
      <w:r w:rsidR="00796371" w:rsidRPr="001E6322">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3CC3DA7C" w14:textId="40A1A994" w:rsidR="00E741E4"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14F36723" w14:textId="77777777" w:rsidR="00E741E4" w:rsidRPr="001E6322" w:rsidRDefault="00E741E4" w:rsidP="00001B8A">
      <w:pPr>
        <w:spacing w:before="240" w:after="240" w:line="360" w:lineRule="auto"/>
        <w:jc w:val="both"/>
        <w:rPr>
          <w:rFonts w:ascii="Palatino Linotype" w:eastAsia="Palatino Linotype" w:hAnsi="Palatino Linotype" w:cs="Palatino Linotype"/>
          <w:sz w:val="22"/>
          <w:szCs w:val="22"/>
        </w:rPr>
      </w:pPr>
    </w:p>
    <w:p w14:paraId="7F5365B9" w14:textId="77777777" w:rsidR="00D10152" w:rsidRPr="001E6322" w:rsidRDefault="00785AE5" w:rsidP="00001B8A">
      <w:pPr>
        <w:widowControl w:val="0"/>
        <w:spacing w:before="240" w:after="240" w:line="360" w:lineRule="auto"/>
        <w:jc w:val="center"/>
        <w:rPr>
          <w:rFonts w:ascii="Palatino Linotype" w:eastAsia="Palatino Linotype" w:hAnsi="Palatino Linotype" w:cs="Palatino Linotype"/>
          <w:b/>
          <w:sz w:val="22"/>
          <w:szCs w:val="22"/>
        </w:rPr>
      </w:pPr>
      <w:r w:rsidRPr="001E6322">
        <w:rPr>
          <w:rFonts w:ascii="Palatino Linotype" w:eastAsia="Palatino Linotype" w:hAnsi="Palatino Linotype" w:cs="Palatino Linotype"/>
          <w:b/>
          <w:sz w:val="22"/>
          <w:szCs w:val="22"/>
        </w:rPr>
        <w:t>II. C O N S I D E R A N D O S</w:t>
      </w:r>
    </w:p>
    <w:p w14:paraId="3D727666" w14:textId="30664788"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sz w:val="22"/>
          <w:szCs w:val="22"/>
        </w:rPr>
        <w:t>Primero. Competencia.</w:t>
      </w:r>
      <w:r w:rsidRPr="001E6322">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w:t>
      </w:r>
      <w:r w:rsidR="00824A94" w:rsidRPr="001E6322">
        <w:rPr>
          <w:rFonts w:ascii="Palatino Linotype" w:eastAsia="Palatino Linotype" w:hAnsi="Palatino Linotype" w:cs="Palatino Linotype"/>
          <w:sz w:val="22"/>
          <w:szCs w:val="22"/>
        </w:rPr>
        <w:t>cuadragésimo cuarto, cuadragésimo quinto y cuadragésimo sexto, fracciones IV y V de la Constitución Política del Estado Libre y Soberano de México; transitorio Cuarto del Decreto número 198 de la “LXII” Legislatura del Estado de México</w:t>
      </w:r>
      <w:r w:rsidRPr="001E6322">
        <w:rPr>
          <w:rFonts w:ascii="Palatino Linotype" w:eastAsia="Palatino Linotype" w:hAnsi="Palatino Linotype" w:cs="Palatino Linotype"/>
          <w:sz w:val="22"/>
          <w:szCs w:val="22"/>
        </w:rPr>
        <w:t>;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6B34FB32" w14:textId="77777777"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bookmarkStart w:id="6" w:name="_heading=h.tyjcwt" w:colFirst="0" w:colLast="0"/>
      <w:bookmarkEnd w:id="6"/>
      <w:r w:rsidRPr="001E6322">
        <w:rPr>
          <w:rFonts w:ascii="Palatino Linotype" w:eastAsia="Palatino Linotype" w:hAnsi="Palatino Linotype" w:cs="Palatino Linotype"/>
          <w:b/>
          <w:sz w:val="22"/>
          <w:szCs w:val="22"/>
        </w:rPr>
        <w:t>Segundo. Oportunidad y Procedibilidad del Recurso de Revisión</w:t>
      </w:r>
      <w:r w:rsidRPr="001E6322">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4F18021C" w14:textId="45EFE013" w:rsidR="00824A94"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1E6322">
        <w:rPr>
          <w:rFonts w:ascii="Palatino Linotype" w:eastAsia="Palatino Linotype" w:hAnsi="Palatino Linotype" w:cs="Palatino Linotype"/>
          <w:b/>
          <w:sz w:val="22"/>
          <w:szCs w:val="22"/>
        </w:rPr>
        <w:t xml:space="preserve">Sujeto Obligado </w:t>
      </w:r>
      <w:r w:rsidRPr="001E6322">
        <w:rPr>
          <w:rFonts w:ascii="Palatino Linotype" w:eastAsia="Palatino Linotype" w:hAnsi="Palatino Linotype" w:cs="Palatino Linotype"/>
          <w:sz w:val="22"/>
          <w:szCs w:val="22"/>
        </w:rPr>
        <w:t xml:space="preserve">remitió la respuesta a la solicitud de información el día </w:t>
      </w:r>
      <w:r w:rsidR="00833909" w:rsidRPr="001E6322">
        <w:rPr>
          <w:rFonts w:ascii="Palatino Linotype" w:eastAsia="Palatino Linotype" w:hAnsi="Palatino Linotype" w:cs="Palatino Linotype"/>
          <w:b/>
          <w:bCs/>
          <w:sz w:val="22"/>
          <w:szCs w:val="22"/>
        </w:rPr>
        <w:t>cuatro de agosto</w:t>
      </w:r>
      <w:r w:rsidR="00824A94" w:rsidRPr="001E6322">
        <w:rPr>
          <w:rFonts w:ascii="Palatino Linotype" w:eastAsia="Palatino Linotype" w:hAnsi="Palatino Linotype" w:cs="Palatino Linotype"/>
          <w:b/>
          <w:sz w:val="22"/>
          <w:szCs w:val="22"/>
        </w:rPr>
        <w:t xml:space="preserve"> de dos mil veintiséis</w:t>
      </w:r>
      <w:r w:rsidRPr="001E6322">
        <w:rPr>
          <w:rFonts w:ascii="Palatino Linotype" w:eastAsia="Palatino Linotype" w:hAnsi="Palatino Linotype" w:cs="Palatino Linotype"/>
          <w:b/>
          <w:sz w:val="22"/>
          <w:szCs w:val="22"/>
        </w:rPr>
        <w:t xml:space="preserve">, </w:t>
      </w:r>
      <w:r w:rsidRPr="001E6322">
        <w:rPr>
          <w:rFonts w:ascii="Palatino Linotype" w:eastAsia="Palatino Linotype" w:hAnsi="Palatino Linotype" w:cs="Palatino Linotype"/>
          <w:sz w:val="22"/>
          <w:szCs w:val="22"/>
        </w:rPr>
        <w:t xml:space="preserve">mientras que el recurso de revisión interpuesto por la parte </w:t>
      </w:r>
      <w:r w:rsidRPr="001E6322">
        <w:rPr>
          <w:rFonts w:ascii="Palatino Linotype" w:eastAsia="Palatino Linotype" w:hAnsi="Palatino Linotype" w:cs="Palatino Linotype"/>
          <w:b/>
          <w:sz w:val="22"/>
          <w:szCs w:val="22"/>
        </w:rPr>
        <w:t xml:space="preserve">Recurrente, </w:t>
      </w:r>
      <w:r w:rsidRPr="001E6322">
        <w:rPr>
          <w:rFonts w:ascii="Palatino Linotype" w:eastAsia="Palatino Linotype" w:hAnsi="Palatino Linotype" w:cs="Palatino Linotype"/>
          <w:sz w:val="22"/>
          <w:szCs w:val="22"/>
        </w:rPr>
        <w:t>se tuvo por presentado el día</w:t>
      </w:r>
      <w:r w:rsidR="00EF706F" w:rsidRPr="001E6322">
        <w:rPr>
          <w:rFonts w:ascii="Palatino Linotype" w:eastAsia="Palatino Linotype" w:hAnsi="Palatino Linotype" w:cs="Palatino Linotype"/>
          <w:b/>
          <w:sz w:val="22"/>
          <w:szCs w:val="22"/>
        </w:rPr>
        <w:t xml:space="preserve"> </w:t>
      </w:r>
      <w:r w:rsidR="00833909" w:rsidRPr="001E6322">
        <w:rPr>
          <w:rFonts w:ascii="Palatino Linotype" w:eastAsia="Palatino Linotype" w:hAnsi="Palatino Linotype" w:cs="Palatino Linotype"/>
          <w:b/>
          <w:sz w:val="22"/>
          <w:szCs w:val="22"/>
        </w:rPr>
        <w:t>cinco de agosto</w:t>
      </w:r>
      <w:r w:rsidR="00824A94" w:rsidRPr="001E6322">
        <w:rPr>
          <w:rFonts w:ascii="Palatino Linotype" w:eastAsia="Palatino Linotype" w:hAnsi="Palatino Linotype" w:cs="Palatino Linotype"/>
          <w:b/>
          <w:sz w:val="22"/>
          <w:szCs w:val="22"/>
        </w:rPr>
        <w:t xml:space="preserve"> de dos mil veintiséis</w:t>
      </w:r>
      <w:r w:rsidRPr="001E6322">
        <w:rPr>
          <w:rFonts w:ascii="Palatino Linotype" w:eastAsia="Palatino Linotype" w:hAnsi="Palatino Linotype" w:cs="Palatino Linotype"/>
          <w:b/>
          <w:sz w:val="22"/>
          <w:szCs w:val="22"/>
        </w:rPr>
        <w:t xml:space="preserve">, </w:t>
      </w:r>
      <w:r w:rsidRPr="001E6322">
        <w:rPr>
          <w:rFonts w:ascii="Palatino Linotype" w:eastAsia="Palatino Linotype" w:hAnsi="Palatino Linotype" w:cs="Palatino Linotype"/>
          <w:sz w:val="22"/>
          <w:szCs w:val="22"/>
        </w:rPr>
        <w:t xml:space="preserve">esto es, </w:t>
      </w:r>
      <w:r w:rsidR="004864D3" w:rsidRPr="001E6322">
        <w:rPr>
          <w:rFonts w:ascii="Palatino Linotype" w:eastAsia="Palatino Linotype" w:hAnsi="Palatino Linotype" w:cs="Palatino Linotype"/>
          <w:sz w:val="22"/>
          <w:szCs w:val="22"/>
        </w:rPr>
        <w:t xml:space="preserve">al </w:t>
      </w:r>
      <w:r w:rsidR="00833909" w:rsidRPr="001E6322">
        <w:rPr>
          <w:rFonts w:ascii="Palatino Linotype" w:eastAsia="Palatino Linotype" w:hAnsi="Palatino Linotype" w:cs="Palatino Linotype"/>
          <w:sz w:val="22"/>
          <w:szCs w:val="22"/>
        </w:rPr>
        <w:t>primer</w:t>
      </w:r>
      <w:r w:rsidR="00824A94"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 xml:space="preserve">día hábil en el que tuvo conocimiento de la respuesta impugnada. </w:t>
      </w:r>
    </w:p>
    <w:p w14:paraId="65E31064" w14:textId="789AEA46" w:rsidR="00D10152" w:rsidRPr="001E6322" w:rsidRDefault="00785AE5" w:rsidP="00001B8A">
      <w:pPr>
        <w:spacing w:before="240" w:after="240" w:line="360" w:lineRule="auto"/>
        <w:jc w:val="both"/>
        <w:rPr>
          <w:rFonts w:ascii="Palatino Linotype" w:eastAsia="Palatino Linotype" w:hAnsi="Palatino Linotype" w:cs="Palatino Linotype"/>
          <w:b/>
          <w:sz w:val="22"/>
          <w:szCs w:val="22"/>
        </w:rPr>
      </w:pPr>
      <w:r w:rsidRPr="001E6322">
        <w:rPr>
          <w:rFonts w:ascii="Palatino Linotype" w:eastAsia="Palatino Linotype" w:hAnsi="Palatino Linotype" w:cs="Palatino Linotype"/>
          <w:sz w:val="22"/>
          <w:szCs w:val="22"/>
        </w:rPr>
        <w:t>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RPr="001E6322">
        <w:rPr>
          <w:rFonts w:ascii="Palatino Linotype" w:eastAsia="Palatino Linotype" w:hAnsi="Palatino Linotype" w:cs="Palatino Linotype"/>
          <w:b/>
          <w:sz w:val="22"/>
          <w:szCs w:val="22"/>
        </w:rPr>
        <w:t xml:space="preserve"> SAIMEX.</w:t>
      </w:r>
    </w:p>
    <w:p w14:paraId="52F8B886" w14:textId="4DB1C6F6"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Finalmente, se advierte que resulta procedente la interposición del recurso, según lo manifestado por la parte </w:t>
      </w:r>
      <w:r w:rsidRPr="001E6322">
        <w:rPr>
          <w:rFonts w:ascii="Palatino Linotype" w:eastAsia="Palatino Linotype" w:hAnsi="Palatino Linotype" w:cs="Palatino Linotype"/>
          <w:b/>
          <w:sz w:val="22"/>
          <w:szCs w:val="22"/>
        </w:rPr>
        <w:t>Recurrente</w:t>
      </w:r>
      <w:r w:rsidRPr="001E6322">
        <w:rPr>
          <w:rFonts w:ascii="Palatino Linotype" w:eastAsia="Palatino Linotype" w:hAnsi="Palatino Linotype" w:cs="Palatino Linotype"/>
          <w:sz w:val="22"/>
          <w:szCs w:val="22"/>
        </w:rPr>
        <w:t xml:space="preserve"> en sus motivos de inconformidad, de acuerdo al artículo 179, </w:t>
      </w:r>
      <w:r w:rsidR="00A167A0" w:rsidRPr="001E6322">
        <w:rPr>
          <w:rFonts w:ascii="Palatino Linotype" w:eastAsia="Palatino Linotype" w:hAnsi="Palatino Linotype" w:cs="Palatino Linotype"/>
          <w:sz w:val="22"/>
          <w:szCs w:val="22"/>
        </w:rPr>
        <w:t>fracci</w:t>
      </w:r>
      <w:r w:rsidR="00824A94" w:rsidRPr="001E6322">
        <w:rPr>
          <w:rFonts w:ascii="Palatino Linotype" w:eastAsia="Palatino Linotype" w:hAnsi="Palatino Linotype" w:cs="Palatino Linotype"/>
          <w:sz w:val="22"/>
          <w:szCs w:val="22"/>
        </w:rPr>
        <w:t xml:space="preserve">ón </w:t>
      </w:r>
      <w:r w:rsidR="00796371" w:rsidRPr="001E6322">
        <w:rPr>
          <w:rFonts w:ascii="Palatino Linotype" w:eastAsia="Palatino Linotype" w:hAnsi="Palatino Linotype" w:cs="Palatino Linotype"/>
          <w:sz w:val="22"/>
          <w:szCs w:val="22"/>
        </w:rPr>
        <w:t>V</w:t>
      </w:r>
      <w:r w:rsidR="00A167A0"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del ordenamiento legal citado, que a la letra dice: </w:t>
      </w:r>
    </w:p>
    <w:p w14:paraId="2ACBD19C" w14:textId="35A53A1B" w:rsidR="00D10152" w:rsidRPr="001E6322" w:rsidRDefault="00785AE5" w:rsidP="00001B8A">
      <w:pPr>
        <w:tabs>
          <w:tab w:val="left" w:pos="7655"/>
        </w:tabs>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w:t>
      </w:r>
      <w:r w:rsidRPr="001E6322">
        <w:rPr>
          <w:rFonts w:ascii="Palatino Linotype" w:eastAsia="Palatino Linotype" w:hAnsi="Palatino Linotype" w:cs="Palatino Linotype"/>
          <w:b/>
          <w:i/>
          <w:sz w:val="22"/>
          <w:szCs w:val="22"/>
        </w:rPr>
        <w:t>Artículo 179.</w:t>
      </w:r>
      <w:r w:rsidRPr="001E6322">
        <w:rPr>
          <w:rFonts w:ascii="Palatino Linotype" w:eastAsia="Palatino Linotype" w:hAnsi="Palatino Linotype" w:cs="Palatino Linotype"/>
          <w:i/>
          <w:sz w:val="22"/>
          <w:szCs w:val="22"/>
        </w:rPr>
        <w:t xml:space="preserve"> El recurso de revisión es un medio de protección que la Ley otorga a los particulares, para hacer valer su derecho de acceso a la información pública, y procederá en contra de las siguientes causas:</w:t>
      </w:r>
    </w:p>
    <w:p w14:paraId="07AF0321" w14:textId="3DA302BE" w:rsidR="00A167A0" w:rsidRPr="001E6322" w:rsidRDefault="00A167A0" w:rsidP="00001B8A">
      <w:pPr>
        <w:tabs>
          <w:tab w:val="left" w:pos="7655"/>
        </w:tabs>
        <w:spacing w:before="240" w:after="240" w:line="360" w:lineRule="auto"/>
        <w:ind w:left="851" w:right="616"/>
        <w:rPr>
          <w:rFonts w:ascii="Palatino Linotype" w:hAnsi="Palatino Linotype"/>
          <w:b/>
          <w:i/>
          <w:sz w:val="22"/>
          <w:szCs w:val="22"/>
        </w:rPr>
      </w:pPr>
      <w:r w:rsidRPr="001E6322">
        <w:rPr>
          <w:rFonts w:ascii="Palatino Linotype" w:eastAsia="Palatino Linotype" w:hAnsi="Palatino Linotype" w:cs="Palatino Linotype"/>
          <w:b/>
          <w:i/>
          <w:sz w:val="22"/>
          <w:szCs w:val="22"/>
        </w:rPr>
        <w:t>.</w:t>
      </w:r>
      <w:r w:rsidRPr="001E6322">
        <w:rPr>
          <w:rFonts w:ascii="Palatino Linotype" w:hAnsi="Palatino Linotype"/>
          <w:b/>
          <w:i/>
          <w:sz w:val="22"/>
          <w:szCs w:val="22"/>
        </w:rPr>
        <w:t>..</w:t>
      </w:r>
    </w:p>
    <w:p w14:paraId="547FCCF8" w14:textId="5BB51A5C" w:rsidR="00A167A0" w:rsidRPr="001E6322" w:rsidRDefault="00796371" w:rsidP="00001B8A">
      <w:pPr>
        <w:tabs>
          <w:tab w:val="left" w:pos="7655"/>
        </w:tabs>
        <w:spacing w:before="240" w:after="240" w:line="360" w:lineRule="auto"/>
        <w:ind w:left="851" w:right="616"/>
        <w:rPr>
          <w:rFonts w:ascii="Palatino Linotype" w:eastAsia="Palatino Linotype" w:hAnsi="Palatino Linotype" w:cs="Palatino Linotype"/>
          <w:b/>
          <w:i/>
          <w:sz w:val="22"/>
          <w:szCs w:val="22"/>
        </w:rPr>
      </w:pPr>
      <w:r w:rsidRPr="001E6322">
        <w:rPr>
          <w:rFonts w:ascii="Palatino Linotype" w:hAnsi="Palatino Linotype"/>
          <w:b/>
          <w:i/>
          <w:sz w:val="22"/>
          <w:szCs w:val="22"/>
        </w:rPr>
        <w:t>V</w:t>
      </w:r>
      <w:r w:rsidR="00A167A0" w:rsidRPr="001E6322">
        <w:rPr>
          <w:rFonts w:ascii="Palatino Linotype" w:hAnsi="Palatino Linotype"/>
          <w:b/>
          <w:i/>
          <w:sz w:val="22"/>
          <w:szCs w:val="22"/>
        </w:rPr>
        <w:t xml:space="preserve">. La </w:t>
      </w:r>
      <w:r w:rsidRPr="001E6322">
        <w:rPr>
          <w:rFonts w:ascii="Palatino Linotype" w:hAnsi="Palatino Linotype"/>
          <w:b/>
          <w:i/>
          <w:sz w:val="22"/>
          <w:szCs w:val="22"/>
        </w:rPr>
        <w:t>entrega de información incompleta</w:t>
      </w:r>
      <w:r w:rsidR="00A167A0" w:rsidRPr="001E6322">
        <w:rPr>
          <w:rFonts w:ascii="Palatino Linotype" w:hAnsi="Palatino Linotype"/>
          <w:b/>
          <w:i/>
          <w:sz w:val="22"/>
          <w:szCs w:val="22"/>
        </w:rPr>
        <w:t>;</w:t>
      </w:r>
      <w:r w:rsidR="00A167A0" w:rsidRPr="001E6322">
        <w:rPr>
          <w:rFonts w:ascii="Palatino Linotype" w:eastAsia="Palatino Linotype" w:hAnsi="Palatino Linotype" w:cs="Palatino Linotype"/>
          <w:b/>
          <w:i/>
          <w:sz w:val="22"/>
          <w:szCs w:val="22"/>
        </w:rPr>
        <w:t>”</w:t>
      </w:r>
    </w:p>
    <w:p w14:paraId="5853D41E" w14:textId="5406FF23"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sz w:val="22"/>
          <w:szCs w:val="22"/>
        </w:rPr>
        <w:t xml:space="preserve">Tercero. Materia de la revisión. </w:t>
      </w:r>
      <w:r w:rsidRPr="001E6322">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1E6322">
        <w:rPr>
          <w:rFonts w:ascii="Palatino Linotype" w:eastAsia="Palatino Linotype" w:hAnsi="Palatino Linotype" w:cs="Palatino Linotype"/>
          <w:b/>
          <w:sz w:val="22"/>
          <w:szCs w:val="22"/>
        </w:rPr>
        <w:t xml:space="preserve">verificar si la información proporcionada por el Sujeto Obligado es adecuada y suficiente para satisfacer el derecho de acceso a la información pública </w:t>
      </w:r>
      <w:r w:rsidRPr="001E6322">
        <w:rPr>
          <w:rFonts w:ascii="Palatino Linotype" w:eastAsia="Palatino Linotype" w:hAnsi="Palatino Linotype" w:cs="Palatino Linotype"/>
          <w:sz w:val="22"/>
          <w:szCs w:val="22"/>
        </w:rPr>
        <w:t xml:space="preserve">de la parte </w:t>
      </w:r>
      <w:r w:rsidRPr="001E6322">
        <w:rPr>
          <w:rFonts w:ascii="Palatino Linotype" w:eastAsia="Palatino Linotype" w:hAnsi="Palatino Linotype" w:cs="Palatino Linotype"/>
          <w:b/>
          <w:sz w:val="22"/>
          <w:szCs w:val="22"/>
        </w:rPr>
        <w:t>Recurrente</w:t>
      </w:r>
      <w:r w:rsidRPr="001E6322">
        <w:rPr>
          <w:rFonts w:ascii="Palatino Linotype" w:eastAsia="Palatino Linotype" w:hAnsi="Palatino Linotype" w:cs="Palatino Linotype"/>
          <w:sz w:val="22"/>
          <w:szCs w:val="22"/>
        </w:rPr>
        <w:t>, o en su defecto, en caso de ser procedente, ordenar la entrega de información.</w:t>
      </w:r>
    </w:p>
    <w:p w14:paraId="22FD6236" w14:textId="77777777"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bookmarkStart w:id="7" w:name="_heading=h.2et92p0" w:colFirst="0" w:colLast="0"/>
      <w:bookmarkEnd w:id="7"/>
      <w:r w:rsidRPr="001E6322">
        <w:rPr>
          <w:rFonts w:ascii="Palatino Linotype" w:eastAsia="Palatino Linotype" w:hAnsi="Palatino Linotype" w:cs="Palatino Linotype"/>
          <w:b/>
          <w:sz w:val="22"/>
          <w:szCs w:val="22"/>
        </w:rPr>
        <w:t xml:space="preserve">Cuarto. Estudio del asunto. </w:t>
      </w:r>
      <w:r w:rsidRPr="001E6322">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6DAD66E4" w14:textId="36B2E122"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w:t>
      </w:r>
      <w:r w:rsidRPr="001E6322">
        <w:rPr>
          <w:rFonts w:ascii="Palatino Linotype" w:eastAsia="Palatino Linotype" w:hAnsi="Palatino Linotype" w:cs="Palatino Linotype"/>
          <w:b/>
          <w:i/>
          <w:sz w:val="22"/>
          <w:szCs w:val="22"/>
        </w:rPr>
        <w:t>Artículo 4</w:t>
      </w:r>
      <w:r w:rsidRPr="001E6322">
        <w:rPr>
          <w:rFonts w:ascii="Palatino Linotype" w:eastAsia="Palatino Linotype" w:hAnsi="Palatino Linotype" w:cs="Palatino Linotype"/>
          <w:i/>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3051184A" w14:textId="77777777"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b/>
          <w:i/>
          <w:sz w:val="22"/>
          <w:szCs w:val="22"/>
        </w:rPr>
        <w:t>Toda la información generada, obtenida, adquirida, transformada, administrada o en posesión de los sujetos obligados es pública y accesible de manera permanente a cualquier persona</w:t>
      </w:r>
      <w:r w:rsidRPr="001E6322">
        <w:rPr>
          <w:rFonts w:ascii="Palatino Linotype" w:eastAsia="Palatino Linotype" w:hAnsi="Palatino Linotype" w:cs="Palatino Linotype"/>
          <w:i/>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321D923F" w14:textId="77777777"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b/>
          <w:i/>
          <w:sz w:val="22"/>
          <w:szCs w:val="22"/>
        </w:rPr>
        <w:t>Los sujetos obligados deben poner en práctica, políticas y programas de acceso a la información que se apeguen a criterios de publicidad, veracidad, oportunidad, precisión y suficiencia en beneficio de los solicitantes</w:t>
      </w:r>
      <w:r w:rsidRPr="001E6322">
        <w:rPr>
          <w:rFonts w:ascii="Palatino Linotype" w:eastAsia="Palatino Linotype" w:hAnsi="Palatino Linotype" w:cs="Palatino Linotype"/>
          <w:i/>
          <w:sz w:val="22"/>
          <w:szCs w:val="22"/>
        </w:rPr>
        <w:t>.”</w:t>
      </w:r>
    </w:p>
    <w:p w14:paraId="338039AD" w14:textId="764CDDF5"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593183ED" w14:textId="59B17E3C"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bCs/>
          <w:i/>
          <w:sz w:val="22"/>
          <w:szCs w:val="22"/>
        </w:rPr>
        <w:t>“</w:t>
      </w:r>
      <w:r w:rsidRPr="001E6322">
        <w:rPr>
          <w:rFonts w:ascii="Palatino Linotype" w:eastAsia="Palatino Linotype" w:hAnsi="Palatino Linotype" w:cs="Palatino Linotype"/>
          <w:b/>
          <w:i/>
          <w:sz w:val="22"/>
          <w:szCs w:val="22"/>
        </w:rPr>
        <w:t>Artículo 12.-</w:t>
      </w:r>
      <w:r w:rsidRPr="001E6322">
        <w:rPr>
          <w:rFonts w:ascii="Palatino Linotype" w:eastAsia="Palatino Linotype" w:hAnsi="Palatino Linotype" w:cs="Palatino Linotype"/>
          <w:i/>
          <w:sz w:val="22"/>
          <w:szCs w:val="22"/>
        </w:rPr>
        <w:t xml:space="preserve"> Quienes generen, recopilen, administren, manejen, procesen, archiven o conserven información pública serán responsables de la misma en los términos de las disposiciones jurídicas aplicables. </w:t>
      </w:r>
    </w:p>
    <w:p w14:paraId="5B9F1262" w14:textId="77777777"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b/>
          <w:i/>
          <w:sz w:val="22"/>
          <w:szCs w:val="22"/>
        </w:rPr>
        <w:t>Los sujetos obligados sólo proporcionarán la información pública que se les requiera y que obre en sus archivos y en el estado en que ésta se encuentre</w:t>
      </w:r>
      <w:r w:rsidRPr="001E6322">
        <w:rPr>
          <w:rFonts w:ascii="Palatino Linotype" w:eastAsia="Palatino Linotype" w:hAnsi="Palatino Linotype" w:cs="Palatino Linotype"/>
          <w:i/>
          <w:sz w:val="22"/>
          <w:szCs w:val="22"/>
        </w:rPr>
        <w:t xml:space="preserve">. </w:t>
      </w:r>
      <w:r w:rsidRPr="001E6322">
        <w:rPr>
          <w:rFonts w:ascii="Palatino Linotype" w:eastAsia="Palatino Linotype" w:hAnsi="Palatino Linotype" w:cs="Palatino Linotype"/>
          <w:b/>
          <w:i/>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00911A0A" w14:textId="3B6E9414" w:rsidR="00D10152" w:rsidRPr="001E6322" w:rsidRDefault="00785AE5" w:rsidP="00001B8A">
      <w:pPr>
        <w:spacing w:before="240" w:after="240" w:line="360" w:lineRule="auto"/>
        <w:ind w:right="-93"/>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59A09C57" w14:textId="77777777" w:rsidR="00D10152" w:rsidRPr="001E6322" w:rsidRDefault="00785AE5" w:rsidP="00001B8A">
      <w:pPr>
        <w:spacing w:before="240" w:after="240" w:line="360" w:lineRule="auto"/>
        <w:jc w:val="both"/>
        <w:rPr>
          <w:rFonts w:ascii="Palatino Linotype" w:eastAsia="Palatino Linotype" w:hAnsi="Palatino Linotype" w:cs="Palatino Linotype"/>
          <w:b/>
          <w:sz w:val="22"/>
          <w:szCs w:val="22"/>
        </w:rPr>
      </w:pPr>
      <w:r w:rsidRPr="001E6322">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1E6322">
        <w:rPr>
          <w:rFonts w:ascii="Palatino Linotype" w:eastAsia="Palatino Linotype" w:hAnsi="Palatino Linotype" w:cs="Palatino Linotype"/>
          <w:b/>
          <w:sz w:val="22"/>
          <w:szCs w:val="22"/>
        </w:rPr>
        <w:t xml:space="preserve"> </w:t>
      </w:r>
    </w:p>
    <w:p w14:paraId="019AA3FB" w14:textId="2224259A"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w:t>
      </w:r>
      <w:r w:rsidRPr="001E6322">
        <w:rPr>
          <w:rFonts w:ascii="Palatino Linotype" w:eastAsia="Palatino Linotype" w:hAnsi="Palatino Linotype" w:cs="Palatino Linotype"/>
          <w:b/>
          <w:i/>
          <w:sz w:val="22"/>
          <w:szCs w:val="22"/>
        </w:rPr>
        <w:t>No existe obligación de elaborar documentos ad hoc para atender las solicitudes de acceso a la información.</w:t>
      </w:r>
      <w:r w:rsidRPr="001E6322">
        <w:rPr>
          <w:rFonts w:ascii="Palatino Linotype" w:eastAsia="Palatino Linotype" w:hAnsi="Palatino Linotype" w:cs="Palatino Linotype"/>
          <w:i/>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2491821E" w14:textId="5FD3F358"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7D3979A2" w14:textId="77777777"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20FC4529" w14:textId="77777777"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w:t>
      </w:r>
      <w:r w:rsidRPr="001E6322">
        <w:rPr>
          <w:rFonts w:ascii="Palatino Linotype" w:eastAsia="Palatino Linotype" w:hAnsi="Palatino Linotype" w:cs="Palatino Linotype"/>
          <w:b/>
          <w:i/>
          <w:sz w:val="22"/>
          <w:szCs w:val="22"/>
        </w:rPr>
        <w:t xml:space="preserve">Artículo 3. </w:t>
      </w:r>
      <w:r w:rsidRPr="001E6322">
        <w:rPr>
          <w:rFonts w:ascii="Palatino Linotype" w:eastAsia="Palatino Linotype" w:hAnsi="Palatino Linotype" w:cs="Palatino Linotype"/>
          <w:i/>
          <w:sz w:val="22"/>
          <w:szCs w:val="22"/>
        </w:rPr>
        <w:t>Para los efectos de la presente Ley se entenderá por:</w:t>
      </w:r>
    </w:p>
    <w:p w14:paraId="08F5F729" w14:textId="77777777"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w:t>
      </w:r>
    </w:p>
    <w:p w14:paraId="5F179B63" w14:textId="77777777"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b/>
          <w:i/>
          <w:sz w:val="22"/>
          <w:szCs w:val="22"/>
        </w:rPr>
        <w:t>XI. Documento:</w:t>
      </w:r>
      <w:r w:rsidRPr="001E6322">
        <w:rPr>
          <w:rFonts w:ascii="Palatino Linotype" w:eastAsia="Palatino Linotype" w:hAnsi="Palatino Linotype" w:cs="Palatino Linotype"/>
          <w:i/>
          <w:sz w:val="22"/>
          <w:szCs w:val="22"/>
        </w:rPr>
        <w:t xml:space="preserve"> Los expedientes, reportes, estudios, actas</w:t>
      </w:r>
      <w:r w:rsidRPr="001E6322">
        <w:rPr>
          <w:rFonts w:ascii="Palatino Linotype" w:eastAsia="Palatino Linotype" w:hAnsi="Palatino Linotype" w:cs="Palatino Linotype"/>
          <w:b/>
          <w:i/>
          <w:sz w:val="22"/>
          <w:szCs w:val="22"/>
        </w:rPr>
        <w:t>,</w:t>
      </w:r>
      <w:r w:rsidRPr="001E6322">
        <w:rPr>
          <w:rFonts w:ascii="Palatino Linotype" w:eastAsia="Palatino Linotype" w:hAnsi="Palatino Linotype" w:cs="Palatino Linotype"/>
          <w:i/>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27B10759" w14:textId="4F7C6473"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4D73A7C4" w14:textId="457DF1C7"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bCs/>
          <w:sz w:val="22"/>
          <w:szCs w:val="22"/>
        </w:rPr>
        <w:t>“</w:t>
      </w:r>
      <w:r w:rsidRPr="001E6322">
        <w:rPr>
          <w:rFonts w:ascii="Palatino Linotype" w:eastAsia="Palatino Linotype" w:hAnsi="Palatino Linotype" w:cs="Palatino Linotype"/>
          <w:b/>
          <w:i/>
          <w:sz w:val="22"/>
          <w:szCs w:val="22"/>
        </w:rPr>
        <w:t>INFORMACIÓN PÚBLICA, CONCEPTO DE, EN MATERIA DE TRANSPARENCIA. INTERPRETACIÓN SISTEMÁTICA DE LOS ARTÍCULOS 2°, FRACCIÓN V, XV, Y XVI, 3°, 4°, 11 Y 41.</w:t>
      </w:r>
      <w:r w:rsidRPr="001E6322">
        <w:rPr>
          <w:rFonts w:ascii="Palatino Linotype" w:eastAsia="Palatino Linotype" w:hAnsi="Palatino Linotype" w:cs="Palatino Linotype"/>
          <w:i/>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68F7DA26" w14:textId="77777777" w:rsidR="00D10152" w:rsidRPr="001E6322" w:rsidRDefault="00785AE5" w:rsidP="00001B8A">
      <w:pPr>
        <w:spacing w:before="240" w:after="240" w:line="360" w:lineRule="auto"/>
        <w:ind w:left="851"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En consecuencia el acceso a la información se refiere a que se cumplan cualquiera de los siguientes tres supuestos:</w:t>
      </w:r>
    </w:p>
    <w:p w14:paraId="0778DCBE" w14:textId="77777777" w:rsidR="00D10152" w:rsidRPr="001E6322" w:rsidRDefault="00785AE5" w:rsidP="00001B8A">
      <w:pPr>
        <w:spacing w:before="240" w:after="240" w:line="360" w:lineRule="auto"/>
        <w:ind w:left="1134"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1) Que se trate de información registrada en cualquier soporte documental, que en ejercicio de las atribuciones conferidas, sea generada por los Sujetos Obligados;</w:t>
      </w:r>
    </w:p>
    <w:p w14:paraId="42B91EF1" w14:textId="77777777" w:rsidR="00D10152" w:rsidRPr="001E6322" w:rsidRDefault="00785AE5" w:rsidP="00001B8A">
      <w:pPr>
        <w:spacing w:before="240" w:after="240" w:line="360" w:lineRule="auto"/>
        <w:ind w:left="1134"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2) Que se trate de información registrada en cualquier soporte documental, que en ejercicio de las atribuciones conferidas, sea administrada por los Sujetos Obligados, y</w:t>
      </w:r>
    </w:p>
    <w:p w14:paraId="52E4ED0D" w14:textId="77777777" w:rsidR="00D10152" w:rsidRPr="001E6322" w:rsidRDefault="00785AE5" w:rsidP="00001B8A">
      <w:pPr>
        <w:spacing w:before="240" w:after="240" w:line="360" w:lineRule="auto"/>
        <w:ind w:left="1134" w:right="616"/>
        <w:jc w:val="both"/>
        <w:rPr>
          <w:rFonts w:ascii="Palatino Linotype" w:eastAsia="Palatino Linotype" w:hAnsi="Palatino Linotype" w:cs="Palatino Linotype"/>
          <w:i/>
          <w:sz w:val="22"/>
          <w:szCs w:val="22"/>
        </w:rPr>
      </w:pPr>
      <w:r w:rsidRPr="001E6322">
        <w:rPr>
          <w:rFonts w:ascii="Palatino Linotype" w:eastAsia="Palatino Linotype" w:hAnsi="Palatino Linotype" w:cs="Palatino Linotype"/>
          <w:i/>
          <w:sz w:val="22"/>
          <w:szCs w:val="22"/>
        </w:rPr>
        <w:t>3) Que se trate de información registrada en cualquier soporte documental, que en ejercicio de las atribuciones conferidas, se encuentre en posesión de los Sujetos Obligados.”</w:t>
      </w:r>
    </w:p>
    <w:p w14:paraId="3366DBF9" w14:textId="29857AB2" w:rsidR="00D10152" w:rsidRPr="001E6322" w:rsidRDefault="00785AE5" w:rsidP="00001B8A">
      <w:pPr>
        <w:spacing w:before="240" w:after="240" w:line="360" w:lineRule="auto"/>
        <w:ind w:right="51"/>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0C11A78B" w14:textId="77777777" w:rsidR="00D10152" w:rsidRPr="001E6322" w:rsidRDefault="00785AE5" w:rsidP="00001B8A">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53CDFC8D" w14:textId="016B98BF" w:rsidR="00167526" w:rsidRPr="001E6322" w:rsidRDefault="00167526" w:rsidP="00167526">
      <w:pPr>
        <w:spacing w:before="240" w:after="240" w:line="360" w:lineRule="auto"/>
        <w:ind w:right="51"/>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Expuesto lo anterior, se procede al análisis de los agravios hechos valer por la persona Recurrente, por lo que, en principio es necesario contextualizar la solicitud de información.</w:t>
      </w:r>
    </w:p>
    <w:p w14:paraId="2E79411B" w14:textId="7D3F9676" w:rsidR="00167526" w:rsidRPr="001E6322" w:rsidRDefault="00167526" w:rsidP="00167526">
      <w:pPr>
        <w:spacing w:before="240" w:after="240" w:line="360" w:lineRule="auto"/>
        <w:ind w:right="51"/>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Al respecto, el artículo 2 fracciones XLIX y L, de la Ley General de Protección Civil, definen al riesgo como aquel que causa daños o pérdidas probables sobre un agente afectable, resultado de la interacción entre su vulnerabilidad y la presencia de un agente perturbador, asimismo, un riesgo inminente se define como aquel riesgo que según la opinión de una instancia técnica especializada, debe considerar la realización de acciones inmediatas en virtud de existir condiciones o altas probabilidades de que se produzcan los efectos adversos sobre un agente afectable.</w:t>
      </w:r>
    </w:p>
    <w:p w14:paraId="155F7BF2" w14:textId="729DAD3A" w:rsidR="00167526" w:rsidRPr="001E6322" w:rsidRDefault="00167526" w:rsidP="00167526">
      <w:pPr>
        <w:spacing w:before="240" w:after="240" w:line="360" w:lineRule="auto"/>
        <w:ind w:right="51"/>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 En ese contexto, se localizó en la página oficial de Ecatepec de Morelos en “Trámites y Servicios”, en la liga electrónica </w:t>
      </w:r>
      <w:hyperlink r:id="rId8" w:history="1">
        <w:r w:rsidRPr="001E6322">
          <w:rPr>
            <w:rStyle w:val="Hipervnculo"/>
            <w:rFonts w:ascii="Palatino Linotype" w:eastAsia="Palatino Linotype" w:hAnsi="Palatino Linotype" w:cs="Palatino Linotype"/>
            <w:color w:val="auto"/>
            <w:sz w:val="22"/>
            <w:szCs w:val="22"/>
          </w:rPr>
          <w:t>https://ecatepec.gob.mx/direccion-de-proteccion-civil-y-</w:t>
        </w:r>
      </w:hyperlink>
      <w:r w:rsidRPr="001E6322">
        <w:rPr>
          <w:rFonts w:ascii="Palatino Linotype" w:eastAsia="Palatino Linotype" w:hAnsi="Palatino Linotype" w:cs="Palatino Linotype"/>
          <w:sz w:val="22"/>
          <w:szCs w:val="22"/>
        </w:rPr>
        <w:t xml:space="preserve"> bomberos/, el servicio de valoración de riesgo ejecutado por la Dirección de Protección Civil y Bomberos, que se describe como la atención oportuna de la solicitud de valoración de riesgo en edificios públicos y privados, tendientes a salvaguardar la integridad física y patrimonial de los peticionarios.</w:t>
      </w:r>
    </w:p>
    <w:p w14:paraId="4E193C2F" w14:textId="4B460A1D" w:rsidR="00167526" w:rsidRPr="001E6322" w:rsidRDefault="00167526" w:rsidP="00167526">
      <w:pPr>
        <w:spacing w:before="240" w:after="240" w:line="360" w:lineRule="auto"/>
        <w:ind w:right="51"/>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Ahora bien, el artículo 2.5, fracciones LVII y LVIII, del Código para la Biodiversidad para el Estado de México, define al riesgo como la probabilidad de que al liberar al medio ambiente o exponerse a un material o residuo se ocasionen efectos adversos a la salud humana, en los demás organismos vivos, en el agua, en el aire, en el suelo, en los ecosistemas o en los bienes y propiedades pertenecientes a los particulares, asimismo, el riesgo ambiental es el daño potencial a la población, sus bienes y al medio ambiente derivado de actividades humanas o fenómenos naturales en caso de presentarse un accidente o un evento extraordinario.</w:t>
      </w:r>
    </w:p>
    <w:p w14:paraId="32531D62" w14:textId="05BC11EF" w:rsidR="00167526" w:rsidRPr="001E6322" w:rsidRDefault="00167526" w:rsidP="00167526">
      <w:pPr>
        <w:spacing w:before="240" w:after="240" w:line="360" w:lineRule="auto"/>
        <w:ind w:right="51"/>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Asimismo, el Proyecto de Norma Técnica Estatal Ambiental NTEA-018-SEMAGEM-RS- 2017, que establece las especificaciones técnicas y criterios que deberán cumplir las Autoridades de Carácter Público, Personas Físicas, Jurídicas Colectivas, Privadas y en general todos aquellos que realicen labores de poda, derribo, trasplante y sustitución de árboles en zonas urbanas del Estado de México, tiene como objetivo regula la autorización, ejecución y supervisión de las labores de poda, derribo, trasplante y sustitución de árboles, en las zonas urbanas del territorio del Estado de México.</w:t>
      </w:r>
    </w:p>
    <w:p w14:paraId="67D92AD1" w14:textId="10BED83B" w:rsidR="00167526" w:rsidRPr="001E6322" w:rsidRDefault="00167526" w:rsidP="00001B8A">
      <w:pPr>
        <w:spacing w:before="240" w:after="240" w:line="360" w:lineRule="auto"/>
        <w:ind w:right="51"/>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En ese sentido, se localizó en la página oficial de Ecatepec de Morelos en “Trámites y Servicios”, en la liga electrónica </w:t>
      </w:r>
      <w:hyperlink r:id="rId9" w:history="1">
        <w:r w:rsidR="0045295D" w:rsidRPr="001E6322">
          <w:rPr>
            <w:rStyle w:val="Hipervnculo"/>
            <w:rFonts w:ascii="Palatino Linotype" w:eastAsia="Palatino Linotype" w:hAnsi="Palatino Linotype" w:cs="Palatino Linotype"/>
            <w:color w:val="auto"/>
            <w:sz w:val="22"/>
            <w:szCs w:val="22"/>
          </w:rPr>
          <w:t>https://ecatepec.gob.mx/direccion-de-medio-ambiente-y-ecologia/</w:t>
        </w:r>
      </w:hyperlink>
      <w:r w:rsidRPr="001E6322">
        <w:rPr>
          <w:rFonts w:ascii="Palatino Linotype" w:eastAsia="Palatino Linotype" w:hAnsi="Palatino Linotype" w:cs="Palatino Linotype"/>
          <w:sz w:val="22"/>
          <w:szCs w:val="22"/>
        </w:rPr>
        <w:t>, el trámite de poda y/o derribo de árboles que consiste en emitir los permisos correspondientes para la poda o derribo de árboles en la vía pública o al interior de cualquier predio; considerando su altura, especie y condiciones físicas, a través de la Dirección de Medio Ambiente y Ecología.</w:t>
      </w:r>
    </w:p>
    <w:p w14:paraId="3FAB00E1" w14:textId="74FEFFCE" w:rsidR="00167526" w:rsidRPr="001E6322" w:rsidRDefault="00167526" w:rsidP="00167526">
      <w:pPr>
        <w:spacing w:before="240" w:after="240" w:line="360" w:lineRule="auto"/>
        <w:ind w:right="51"/>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Así, se logra vislumbrar que la pretensión de la persona Recurrente es obtener, del oficio</w:t>
      </w:r>
      <w:r w:rsidR="0045295D"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número DPCB/ECA/1368/2025 del tres de junio de dos mil veinticinco, suscrito por el Director de Protección Civil y Bomberos, donde mencionó que</w:t>
      </w:r>
      <w:r w:rsidR="0045295D"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se está en espera del oficio de seguimiento y continuidad por parte de la Dirección de Medio Ambiente y Ecología</w:t>
      </w:r>
      <w:r w:rsidR="002F1A0C"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lo siguiente:</w:t>
      </w:r>
    </w:p>
    <w:p w14:paraId="781E946F" w14:textId="72572AE4" w:rsidR="00167526" w:rsidRPr="001E6322" w:rsidRDefault="00167526" w:rsidP="00167526">
      <w:pPr>
        <w:spacing w:before="240" w:after="240" w:line="360" w:lineRule="auto"/>
        <w:ind w:right="51"/>
        <w:jc w:val="both"/>
        <w:rPr>
          <w:rFonts w:ascii="Palatino Linotype" w:eastAsia="Palatino Linotype" w:hAnsi="Palatino Linotype" w:cs="Palatino Linotype"/>
          <w:b/>
          <w:bCs/>
          <w:sz w:val="22"/>
          <w:szCs w:val="22"/>
        </w:rPr>
      </w:pPr>
      <w:r w:rsidRPr="001E6322">
        <w:rPr>
          <w:rFonts w:ascii="Palatino Linotype" w:eastAsia="Palatino Linotype" w:hAnsi="Palatino Linotype" w:cs="Palatino Linotype"/>
          <w:b/>
          <w:bCs/>
          <w:sz w:val="22"/>
          <w:szCs w:val="22"/>
        </w:rPr>
        <w:t xml:space="preserve">1. Información sobre el seguimiento al </w:t>
      </w:r>
      <w:r w:rsidR="00A37C2B" w:rsidRPr="001E6322">
        <w:rPr>
          <w:rFonts w:ascii="Palatino Linotype" w:eastAsia="Palatino Linotype" w:hAnsi="Palatino Linotype" w:cs="Palatino Linotype"/>
          <w:b/>
          <w:bCs/>
          <w:sz w:val="22"/>
          <w:szCs w:val="22"/>
        </w:rPr>
        <w:t>cuatro de julio de dos mil veintiséis,</w:t>
      </w:r>
      <w:r w:rsidR="0045295D" w:rsidRPr="001E6322">
        <w:rPr>
          <w:rFonts w:ascii="Palatino Linotype" w:eastAsia="Palatino Linotype" w:hAnsi="Palatino Linotype" w:cs="Palatino Linotype"/>
          <w:b/>
          <w:bCs/>
          <w:sz w:val="22"/>
          <w:szCs w:val="22"/>
        </w:rPr>
        <w:t xml:space="preserve"> </w:t>
      </w:r>
      <w:r w:rsidRPr="001E6322">
        <w:rPr>
          <w:rFonts w:ascii="Palatino Linotype" w:eastAsia="Palatino Linotype" w:hAnsi="Palatino Linotype" w:cs="Palatino Linotype"/>
          <w:b/>
          <w:bCs/>
          <w:sz w:val="22"/>
          <w:szCs w:val="22"/>
        </w:rPr>
        <w:t>la continuidad de parte de la Dirección de Medio Ambiente y Ecología</w:t>
      </w:r>
      <w:r w:rsidR="0045295D" w:rsidRPr="001E6322">
        <w:rPr>
          <w:rFonts w:ascii="Palatino Linotype" w:eastAsia="Palatino Linotype" w:hAnsi="Palatino Linotype" w:cs="Palatino Linotype"/>
          <w:b/>
          <w:bCs/>
          <w:sz w:val="22"/>
          <w:szCs w:val="22"/>
        </w:rPr>
        <w:t xml:space="preserve">. </w:t>
      </w:r>
    </w:p>
    <w:p w14:paraId="627DADC4" w14:textId="73187F10" w:rsidR="0045295D" w:rsidRPr="001E6322" w:rsidRDefault="0045295D" w:rsidP="0045295D">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Establecida dicha circunstancia, de las constancias que obran en el expediente electrónico, se advierte que el Sujeto Obligado, turnó la solicitud de información a la Dirección de Medio Ambiente y Ecología; por lo que, es oportuno hacer referencia al procedimiento de búsqueda que deben de seguir los Sujetos Obligados para localizar la información, el cual se encuentra previsto en el artículo 162 de la Ley de Transparencia y Acceso a la Información Pública del Estado de México y Municipios, el cual establece que las Unidades de Transparencia garantizarán que las solicitudes de acceso a la información se turnen a todas las áreas competentes que cuenten con la información o deban tenerla -de acuerdo con las facultades, competencias y funciones- con el objeto de que dichas áreas realicen una búsqueda exhaustiva y razonable de la información requerida.</w:t>
      </w:r>
    </w:p>
    <w:p w14:paraId="411B0D90" w14:textId="0033944D" w:rsidR="00833909" w:rsidRPr="001E6322" w:rsidRDefault="00833909" w:rsidP="00833909">
      <w:pP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Con base en el artículo 45 del Reglamento Interno de la Administración Pública Municipal de Ecatepec de Morelos, </w:t>
      </w:r>
      <w:r w:rsidRPr="001E6322">
        <w:rPr>
          <w:rFonts w:ascii="Palatino Linotype" w:eastAsia="Palatino Linotype" w:hAnsi="Palatino Linotype" w:cs="Palatino Linotype"/>
          <w:b/>
          <w:sz w:val="22"/>
          <w:szCs w:val="22"/>
          <w:u w:val="single"/>
        </w:rPr>
        <w:t>la Dirección de Medio Ambiente y Ecología</w:t>
      </w:r>
      <w:r w:rsidRPr="001E6322">
        <w:rPr>
          <w:rFonts w:ascii="Palatino Linotype" w:eastAsia="Palatino Linotype" w:hAnsi="Palatino Linotype" w:cs="Palatino Linotype"/>
          <w:sz w:val="22"/>
          <w:szCs w:val="22"/>
        </w:rPr>
        <w:t xml:space="preserve"> tiene como función principal formular, ejecutar y evaluar políticas, programas y acciones para la protección, conservación y restauración del medio ambiente y los recursos naturales del municipio. Asimismo, le corresponde promover la educación ambiental, la reforestación, la protección de la biodiversidad, la prevención y control de la contaminación del aire, agua y suelo, así como participar en la gestión de residuos sólidos urbanos y en las acciones relacionadas con el cambio climático.</w:t>
      </w:r>
    </w:p>
    <w:p w14:paraId="5597CCE1" w14:textId="5E4E62DD" w:rsidR="00833909" w:rsidRPr="001E6322" w:rsidRDefault="00833909" w:rsidP="00833909">
      <w:pPr>
        <w:spacing w:before="240" w:after="240" w:line="360" w:lineRule="auto"/>
        <w:jc w:val="both"/>
        <w:rPr>
          <w:rFonts w:ascii="Palatino Linotype" w:eastAsia="Palatino Linotype" w:hAnsi="Palatino Linotype" w:cs="Palatino Linotype"/>
          <w:b/>
          <w:sz w:val="22"/>
          <w:szCs w:val="22"/>
          <w:u w:val="single"/>
        </w:rPr>
      </w:pPr>
      <w:r w:rsidRPr="001E6322">
        <w:rPr>
          <w:rFonts w:ascii="Palatino Linotype" w:eastAsia="Palatino Linotype" w:hAnsi="Palatino Linotype" w:cs="Palatino Linotype"/>
          <w:sz w:val="22"/>
          <w:szCs w:val="22"/>
        </w:rPr>
        <w:t xml:space="preserve">De igual manera, el artículo establece atribuciones para recibir, tramitar y, en su caso, expedir permisos, licencias, autorizaciones y registros ambientales de competencia municipal, además de realizar inspecciones y vigilancia para verificar el cumplimiento de la normatividad ambiental. </w:t>
      </w:r>
      <w:r w:rsidRPr="001E6322">
        <w:rPr>
          <w:rFonts w:ascii="Palatino Linotype" w:eastAsia="Palatino Linotype" w:hAnsi="Palatino Linotype" w:cs="Palatino Linotype"/>
          <w:b/>
          <w:sz w:val="22"/>
          <w:szCs w:val="22"/>
          <w:u w:val="single"/>
        </w:rPr>
        <w:t>También interviene en asuntos relacionados con el arbolado urbano, como poda, derribo y trasplante; atiende denuncias ambientales, puede imponer o promover las medidas y sanciones correspondientes y coordina acciones de protección de la fauna y de los recursos naturales dentro del territorio de Ecatepec de Morelos.</w:t>
      </w:r>
    </w:p>
    <w:p w14:paraId="36093FEF" w14:textId="467A1C2D" w:rsidR="0045295D" w:rsidRPr="001E6322" w:rsidRDefault="0045295D" w:rsidP="0045295D">
      <w:pPr>
        <w:spacing w:before="240" w:after="240" w:line="360" w:lineRule="auto"/>
        <w:ind w:right="49"/>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Ahora bien, en respuesta la Dirección de Medio Ambiente y Ecología</w:t>
      </w:r>
      <w:r w:rsidR="00833909" w:rsidRPr="001E6322">
        <w:rPr>
          <w:rFonts w:ascii="Palatino Linotype" w:eastAsia="Palatino Linotype" w:hAnsi="Palatino Linotype" w:cs="Palatino Linotype"/>
          <w:sz w:val="22"/>
          <w:szCs w:val="22"/>
        </w:rPr>
        <w:t xml:space="preserve"> refirió que</w:t>
      </w:r>
      <w:r w:rsidRPr="001E6322">
        <w:rPr>
          <w:rFonts w:ascii="Palatino Linotype" w:eastAsia="Palatino Linotype" w:hAnsi="Palatino Linotype" w:cs="Palatino Linotype"/>
          <w:sz w:val="22"/>
          <w:szCs w:val="22"/>
        </w:rPr>
        <w:t xml:space="preserve"> </w:t>
      </w:r>
      <w:r w:rsidR="00854F65" w:rsidRPr="001E6322">
        <w:rPr>
          <w:rFonts w:ascii="Palatino Linotype" w:eastAsia="Palatino Linotype" w:hAnsi="Palatino Linotype" w:cs="Palatino Linotype"/>
          <w:b/>
          <w:bCs/>
          <w:sz w:val="22"/>
          <w:szCs w:val="22"/>
          <w:u w:val="single"/>
        </w:rPr>
        <w:t xml:space="preserve">después de realizar una búsqueda exhaustiva en los archivos físicos y electrónicos de esta Dirección al 4 de Julio del presente año, NO SE ENCONTRO EVIDENCIA DOCUMENTAL CON DICHA SOLICITUD, </w:t>
      </w:r>
      <w:r w:rsidRPr="001E6322">
        <w:rPr>
          <w:rFonts w:ascii="Palatino Linotype" w:eastAsia="Palatino Linotype" w:hAnsi="Palatino Linotype" w:cs="Palatino Linotype"/>
          <w:bCs/>
          <w:sz w:val="22"/>
          <w:szCs w:val="22"/>
        </w:rPr>
        <w:t xml:space="preserve">por lo que </w:t>
      </w:r>
      <w:r w:rsidRPr="001E6322">
        <w:rPr>
          <w:rFonts w:ascii="Palatino Linotype" w:eastAsia="Palatino Linotype" w:hAnsi="Palatino Linotype" w:cs="Palatino Linotype"/>
          <w:sz w:val="22"/>
          <w:szCs w:val="22"/>
        </w:rPr>
        <w:t>cumplió con el procedimiento de búsqueda establecido en el artículo 162 de la Ley de Transparencia y Acceso a la Información Pública del Estado de México y Municipios, toda vez que turnó la solicitud de información al área competente de conocer de la información solicitada.</w:t>
      </w:r>
    </w:p>
    <w:p w14:paraId="36FFAA57" w14:textId="77777777" w:rsidR="00854F65" w:rsidRPr="001E6322" w:rsidRDefault="002F1A0C" w:rsidP="00854F65">
      <w:pPr>
        <w:spacing w:before="240" w:after="240" w:line="360" w:lineRule="auto"/>
        <w:ind w:right="49"/>
        <w:jc w:val="both"/>
        <w:rPr>
          <w:rFonts w:ascii="Palatino Linotype" w:hAnsi="Palatino Linotype"/>
          <w:b/>
          <w:bCs/>
          <w:sz w:val="22"/>
          <w:szCs w:val="22"/>
          <w:u w:val="single"/>
        </w:rPr>
      </w:pPr>
      <w:r w:rsidRPr="001E6322">
        <w:rPr>
          <w:rFonts w:ascii="Palatino Linotype" w:eastAsia="Palatino Linotype" w:hAnsi="Palatino Linotype" w:cs="Palatino Linotype"/>
          <w:sz w:val="22"/>
          <w:szCs w:val="22"/>
        </w:rPr>
        <w:t>Al respecto la</w:t>
      </w:r>
      <w:r w:rsidR="0045295D" w:rsidRPr="001E6322">
        <w:rPr>
          <w:rFonts w:ascii="Palatino Linotype" w:hAnsi="Palatino Linotype"/>
          <w:sz w:val="22"/>
          <w:szCs w:val="22"/>
        </w:rPr>
        <w:t xml:space="preserve"> parte recurrente interpuso el recurso de revisión que hoy nos ocupa señalando como motivo de inconformidad que la información se entrega de manera incompleta, ya que </w:t>
      </w:r>
      <w:r w:rsidR="00854F65" w:rsidRPr="001E6322">
        <w:rPr>
          <w:rFonts w:ascii="Palatino Linotype" w:hAnsi="Palatino Linotype"/>
          <w:b/>
          <w:bCs/>
          <w:sz w:val="22"/>
          <w:szCs w:val="22"/>
          <w:u w:val="single"/>
        </w:rPr>
        <w:t>Agradecería acompañar evidencia fotográfica, en caso de NO contar con ella, copia de la INEXISTENCIA DE INFORMACIÓN DEL COMITE DE TRANSPARENCIA.</w:t>
      </w:r>
    </w:p>
    <w:p w14:paraId="4F792D7D" w14:textId="0936926B" w:rsidR="0045295D" w:rsidRPr="001E6322" w:rsidRDefault="0045295D" w:rsidP="00854F65">
      <w:pPr>
        <w:spacing w:before="240" w:after="240" w:line="360" w:lineRule="auto"/>
        <w:ind w:right="49"/>
        <w:jc w:val="both"/>
        <w:rPr>
          <w:rFonts w:ascii="Palatino Linotype" w:hAnsi="Palatino Linotype"/>
          <w:b/>
          <w:bCs/>
          <w:sz w:val="22"/>
          <w:szCs w:val="22"/>
        </w:rPr>
      </w:pPr>
      <w:r w:rsidRPr="001E6322">
        <w:rPr>
          <w:rFonts w:ascii="Palatino Linotype" w:hAnsi="Palatino Linotype"/>
          <w:sz w:val="22"/>
          <w:szCs w:val="22"/>
        </w:rPr>
        <w:t xml:space="preserve">Ahora bien, al no existir inconformidad de los documentos remitidos por el </w:t>
      </w:r>
      <w:r w:rsidRPr="001E6322">
        <w:rPr>
          <w:rFonts w:ascii="Palatino Linotype" w:hAnsi="Palatino Linotype"/>
          <w:b/>
          <w:bCs/>
          <w:sz w:val="22"/>
          <w:szCs w:val="22"/>
        </w:rPr>
        <w:t xml:space="preserve">SUJETO OBLIGADO </w:t>
      </w:r>
      <w:r w:rsidRPr="001E6322">
        <w:rPr>
          <w:rFonts w:ascii="Palatino Linotype" w:hAnsi="Palatino Linotype"/>
          <w:sz w:val="22"/>
          <w:szCs w:val="22"/>
        </w:rPr>
        <w:t xml:space="preserve">en la información entregada, se tiene por consentida, al no ser impugnadas en el recurso de revisión, deben entenderse como </w:t>
      </w:r>
      <w:r w:rsidRPr="001E6322">
        <w:rPr>
          <w:rFonts w:ascii="Palatino Linotype" w:hAnsi="Palatino Linotype"/>
          <w:b/>
          <w:bCs/>
          <w:sz w:val="22"/>
          <w:szCs w:val="22"/>
        </w:rPr>
        <w:t>actos consentidos</w:t>
      </w:r>
      <w:r w:rsidRPr="001E6322">
        <w:rPr>
          <w:rFonts w:ascii="Palatino Linotype" w:hAnsi="Palatino Linotype"/>
          <w:sz w:val="22"/>
          <w:szCs w:val="22"/>
        </w:rPr>
        <w:t>.</w:t>
      </w:r>
    </w:p>
    <w:p w14:paraId="16A31806" w14:textId="2A128D28" w:rsidR="0045295D" w:rsidRPr="001E6322" w:rsidRDefault="0045295D" w:rsidP="0045295D">
      <w:pPr>
        <w:spacing w:line="360" w:lineRule="auto"/>
        <w:jc w:val="both"/>
        <w:rPr>
          <w:rFonts w:ascii="Palatino Linotype" w:hAnsi="Palatino Linotype"/>
          <w:sz w:val="22"/>
          <w:szCs w:val="22"/>
        </w:rPr>
      </w:pPr>
      <w:r w:rsidRPr="001E6322">
        <w:rPr>
          <w:rFonts w:ascii="Palatino Linotype" w:hAnsi="Palatino Linotype"/>
          <w:sz w:val="22"/>
          <w:szCs w:val="22"/>
        </w:rPr>
        <w:t>Esto es así, debido a que cuando el recurrente impugna la respuesta del sujeto obligado y este no expresa razón o motivo de inconformidad en contra de todos los rubros solicitados, los mismos deben declararse firmes, pues se entiende que el recurrente ésta conforme con la información entregada al no contravenir la misma. Sirve de apoyo por analogía, la Tesis Jurisprudencial Número 3ª./J.7/91, publicada en el Semanario Judicial de la Federación y su Gaceta bajo el número de registro 174,177, que establece lo siguiente:</w:t>
      </w:r>
    </w:p>
    <w:p w14:paraId="09DD65E4" w14:textId="77777777" w:rsidR="0045295D" w:rsidRPr="001E6322" w:rsidRDefault="0045295D" w:rsidP="0045295D">
      <w:pPr>
        <w:rPr>
          <w:rFonts w:ascii="Palatino Linotype" w:hAnsi="Palatino Linotype"/>
          <w:sz w:val="22"/>
          <w:szCs w:val="22"/>
        </w:rPr>
      </w:pPr>
    </w:p>
    <w:p w14:paraId="0D9A88CA" w14:textId="77777777" w:rsidR="0045295D" w:rsidRPr="001E6322" w:rsidRDefault="0045295D" w:rsidP="0045295D">
      <w:pPr>
        <w:pStyle w:val="NormalWeb"/>
        <w:spacing w:before="0" w:beforeAutospacing="0" w:after="0" w:afterAutospacing="0"/>
        <w:ind w:left="426" w:right="425"/>
        <w:jc w:val="both"/>
        <w:rPr>
          <w:rFonts w:ascii="Palatino Linotype" w:hAnsi="Palatino Linotype"/>
          <w:sz w:val="22"/>
          <w:szCs w:val="22"/>
        </w:rPr>
      </w:pPr>
      <w:r w:rsidRPr="001E6322">
        <w:rPr>
          <w:rFonts w:ascii="Palatino Linotype" w:hAnsi="Palatino Linotype"/>
          <w:b/>
          <w:bCs/>
          <w:i/>
          <w:iCs/>
          <w:sz w:val="22"/>
          <w:szCs w:val="22"/>
        </w:rPr>
        <w:t>“REVISIÓN EN AMPARO. LOS RESOLUTIVOS NO COMBATIDOS DEBEN DECLARARSE FIRMES. </w:t>
      </w:r>
      <w:r w:rsidRPr="001E6322">
        <w:rPr>
          <w:rFonts w:ascii="Palatino Linotype" w:hAnsi="Palatino Linotype"/>
          <w:i/>
          <w:iCs/>
          <w:sz w:val="22"/>
          <w:szCs w:val="22"/>
          <w:u w:val="single"/>
        </w:rPr>
        <w:t>Cuando algún resolutivo de la sentencia impugnada afecta a EL RECURRENTE, y ésta no expresa agravio en contra de las consideraciones que le sirven de base, dicho resolutivo debe declararse firme.</w:t>
      </w:r>
      <w:r w:rsidRPr="001E6322">
        <w:rPr>
          <w:rFonts w:ascii="Palatino Linotype" w:hAnsi="Palatino Linotype"/>
          <w:i/>
          <w:iCs/>
          <w:sz w:val="22"/>
          <w:szCs w:val="22"/>
        </w:rPr>
        <w:t> Esto es, en el caso referido, no obstante que la materia de la revisión comprende a todos los resolutivos que afectan a EL RECURRENTE, </w:t>
      </w:r>
      <w:r w:rsidRPr="001E6322">
        <w:rPr>
          <w:rFonts w:ascii="Palatino Linotype" w:hAnsi="Palatino Linotype"/>
          <w:i/>
          <w:iCs/>
          <w:sz w:val="22"/>
          <w:szCs w:val="22"/>
          <w:u w:val="single"/>
        </w:rPr>
        <w:t>deben declararse firmes aquéllos en contra de los cuales no se formuló agravio y dicha declaración de firmeza debe reflejarse en la parte considerativa y en los resolutivos debe confirmarse la sentencia recurrida en la parte correspondiente</w:t>
      </w:r>
      <w:r w:rsidRPr="001E6322">
        <w:rPr>
          <w:rFonts w:ascii="Palatino Linotype" w:hAnsi="Palatino Linotype"/>
          <w:i/>
          <w:iCs/>
          <w:sz w:val="22"/>
          <w:szCs w:val="22"/>
        </w:rPr>
        <w:t>.”</w:t>
      </w:r>
    </w:p>
    <w:p w14:paraId="7C7E6041" w14:textId="77777777" w:rsidR="0045295D" w:rsidRPr="001E6322" w:rsidRDefault="0045295D" w:rsidP="0045295D">
      <w:pPr>
        <w:pStyle w:val="NormalWeb"/>
        <w:spacing w:before="0" w:beforeAutospacing="0" w:after="0" w:afterAutospacing="0"/>
        <w:ind w:left="426" w:right="426"/>
        <w:jc w:val="both"/>
        <w:rPr>
          <w:rFonts w:ascii="Palatino Linotype" w:hAnsi="Palatino Linotype"/>
          <w:sz w:val="22"/>
          <w:szCs w:val="22"/>
        </w:rPr>
      </w:pPr>
      <w:r w:rsidRPr="001E6322">
        <w:rPr>
          <w:rFonts w:ascii="Palatino Linotype" w:hAnsi="Palatino Linotype"/>
          <w:sz w:val="22"/>
          <w:szCs w:val="22"/>
        </w:rPr>
        <w:t>(Énfasis añadido)</w:t>
      </w:r>
    </w:p>
    <w:p w14:paraId="173FAAA2" w14:textId="77777777" w:rsidR="0045295D" w:rsidRPr="001E6322" w:rsidRDefault="0045295D" w:rsidP="0045295D">
      <w:pPr>
        <w:rPr>
          <w:rFonts w:ascii="Palatino Linotype" w:hAnsi="Palatino Linotype"/>
          <w:sz w:val="22"/>
          <w:szCs w:val="22"/>
        </w:rPr>
      </w:pPr>
      <w:r w:rsidRPr="001E6322">
        <w:rPr>
          <w:rFonts w:ascii="Palatino Linotype" w:hAnsi="Palatino Linotype"/>
          <w:sz w:val="22"/>
          <w:szCs w:val="22"/>
        </w:rPr>
        <w:br/>
      </w:r>
    </w:p>
    <w:p w14:paraId="0081B6A3" w14:textId="77777777" w:rsidR="0045295D" w:rsidRPr="001E6322" w:rsidRDefault="0045295D" w:rsidP="0045295D">
      <w:pPr>
        <w:pStyle w:val="NormalWeb"/>
        <w:spacing w:before="0" w:beforeAutospacing="0" w:after="0" w:afterAutospacing="0" w:line="360" w:lineRule="auto"/>
        <w:jc w:val="both"/>
        <w:textAlignment w:val="baseline"/>
        <w:rPr>
          <w:rFonts w:ascii="Palatino Linotype" w:hAnsi="Palatino Linotype"/>
          <w:b/>
          <w:bCs/>
          <w:sz w:val="22"/>
          <w:szCs w:val="22"/>
        </w:rPr>
      </w:pPr>
      <w:r w:rsidRPr="001E6322">
        <w:rPr>
          <w:rFonts w:ascii="Palatino Linotype" w:hAnsi="Palatino Linotype"/>
          <w:sz w:val="22"/>
          <w:szCs w:val="22"/>
        </w:rPr>
        <w:t xml:space="preserve">Consecutivamente, </w:t>
      </w:r>
      <w:r w:rsidRPr="001E6322">
        <w:rPr>
          <w:rFonts w:ascii="Palatino Linotype" w:hAnsi="Palatino Linotype"/>
          <w:b/>
          <w:bCs/>
          <w:sz w:val="22"/>
          <w:szCs w:val="22"/>
        </w:rPr>
        <w:t xml:space="preserve">la parte de la respuesta que no fue impugnada debe </w:t>
      </w:r>
      <w:r w:rsidRPr="001E6322">
        <w:rPr>
          <w:rFonts w:ascii="Palatino Linotype" w:hAnsi="Palatino Linotype"/>
          <w:sz w:val="22"/>
          <w:szCs w:val="22"/>
        </w:rPr>
        <w:t>declararse</w:t>
      </w:r>
      <w:r w:rsidRPr="001E6322">
        <w:rPr>
          <w:rFonts w:ascii="Palatino Linotype" w:hAnsi="Palatino Linotype"/>
          <w:b/>
          <w:bCs/>
          <w:sz w:val="22"/>
          <w:szCs w:val="22"/>
        </w:rPr>
        <w:t xml:space="preserve"> </w:t>
      </w:r>
      <w:r w:rsidRPr="001E6322">
        <w:rPr>
          <w:rFonts w:ascii="Palatino Linotype" w:hAnsi="Palatino Linotype"/>
          <w:sz w:val="22"/>
          <w:szCs w:val="22"/>
        </w:rPr>
        <w:t>consentida</w:t>
      </w:r>
      <w:r w:rsidRPr="001E6322">
        <w:rPr>
          <w:rFonts w:ascii="Palatino Linotype" w:hAnsi="Palatino Linotype"/>
          <w:b/>
          <w:bCs/>
          <w:sz w:val="22"/>
          <w:szCs w:val="22"/>
        </w:rPr>
        <w:t xml:space="preserve"> por el recurrente, toda vez que no realizó </w:t>
      </w:r>
      <w:r w:rsidRPr="001E6322">
        <w:rPr>
          <w:rFonts w:ascii="Palatino Linotype" w:hAnsi="Palatino Linotype"/>
          <w:sz w:val="22"/>
          <w:szCs w:val="22"/>
        </w:rPr>
        <w:t>manifestaciones</w:t>
      </w:r>
      <w:r w:rsidRPr="001E6322">
        <w:rPr>
          <w:rFonts w:ascii="Palatino Linotype" w:hAnsi="Palatino Linotype"/>
          <w:b/>
          <w:bCs/>
          <w:sz w:val="22"/>
          <w:szCs w:val="22"/>
        </w:rPr>
        <w:t xml:space="preserve"> de inconformidad</w:t>
      </w:r>
      <w:r w:rsidRPr="001E6322">
        <w:rPr>
          <w:rFonts w:ascii="Palatino Linotype" w:hAnsi="Palatino Linotype"/>
          <w:sz w:val="22"/>
          <w:szCs w:val="22"/>
        </w:rPr>
        <w:t>; por lo que, no pueden producirse efectos jurídicos tendentes a revocar, confirmar o modificar el acto reclamado ya que se infiere su consentimiento ante la falta de impugnación eficaz. Sirve de sustento a lo anterior por analogía la tesis jurisprudencial número 176,608 del Semanario Judicial de la Federación y su Gaceta que a la letra dice:</w:t>
      </w:r>
    </w:p>
    <w:p w14:paraId="0B483E05" w14:textId="77777777" w:rsidR="0045295D" w:rsidRPr="001E6322" w:rsidRDefault="0045295D" w:rsidP="0045295D">
      <w:pPr>
        <w:rPr>
          <w:rFonts w:ascii="Palatino Linotype" w:hAnsi="Palatino Linotype"/>
          <w:sz w:val="22"/>
          <w:szCs w:val="22"/>
        </w:rPr>
      </w:pPr>
    </w:p>
    <w:p w14:paraId="6D7FFF23" w14:textId="77777777" w:rsidR="0045295D" w:rsidRPr="001E6322" w:rsidRDefault="0045295D" w:rsidP="0045295D">
      <w:pPr>
        <w:pStyle w:val="NormalWeb"/>
        <w:spacing w:before="0" w:beforeAutospacing="0" w:after="0" w:afterAutospacing="0"/>
        <w:ind w:left="426" w:right="425"/>
        <w:jc w:val="both"/>
        <w:rPr>
          <w:rFonts w:ascii="Palatino Linotype" w:hAnsi="Palatino Linotype"/>
          <w:sz w:val="22"/>
          <w:szCs w:val="22"/>
        </w:rPr>
      </w:pPr>
      <w:r w:rsidRPr="001E6322">
        <w:rPr>
          <w:rFonts w:ascii="Palatino Linotype" w:hAnsi="Palatino Linotype"/>
          <w:b/>
          <w:bCs/>
          <w:i/>
          <w:iCs/>
          <w:sz w:val="22"/>
          <w:szCs w:val="22"/>
        </w:rPr>
        <w:t>“ACTOS CONSENTIDOS. SON LOS QUE NO SE IMPUGNAN MEDIANTE EL RECURSO IDÓNEO. </w:t>
      </w:r>
      <w:r w:rsidRPr="001E6322">
        <w:rPr>
          <w:rFonts w:ascii="Palatino Linotype" w:hAnsi="Palatino Linotype"/>
          <w:i/>
          <w:iCs/>
          <w:sz w:val="22"/>
          <w:szCs w:val="22"/>
          <w:u w:val="single"/>
        </w:rPr>
        <w:t>Debe reputarse como consentido el acto que no se impugnó por el medio establecido por la ley</w:t>
      </w:r>
      <w:r w:rsidRPr="001E6322">
        <w:rPr>
          <w:rFonts w:ascii="Palatino Linotype" w:hAnsi="Palatino Linotype"/>
          <w:i/>
          <w:iCs/>
          <w:sz w:val="22"/>
          <w:szCs w:val="22"/>
        </w:rPr>
        <w:t>, ya que si se hizo uso de otro no previsto por ella o si se hace una simple manifestación de inconformidad, tales actuaciones no producen efectos jurídicos tendientes a revocar, confirmar o modificar el acto reclamado en amparo, lo que significa consentimiento del mismo por falta de impugnación eficaz.”</w:t>
      </w:r>
    </w:p>
    <w:p w14:paraId="626BC555" w14:textId="77777777" w:rsidR="0045295D" w:rsidRPr="001E6322" w:rsidRDefault="0045295D" w:rsidP="0045295D">
      <w:pPr>
        <w:pStyle w:val="NormalWeb"/>
        <w:spacing w:before="0" w:beforeAutospacing="0" w:after="0" w:afterAutospacing="0"/>
        <w:ind w:left="426" w:right="426"/>
        <w:jc w:val="both"/>
        <w:rPr>
          <w:rFonts w:ascii="Palatino Linotype" w:hAnsi="Palatino Linotype"/>
          <w:sz w:val="22"/>
          <w:szCs w:val="22"/>
        </w:rPr>
      </w:pPr>
      <w:r w:rsidRPr="001E6322">
        <w:rPr>
          <w:rFonts w:ascii="Palatino Linotype" w:hAnsi="Palatino Linotype"/>
          <w:sz w:val="22"/>
          <w:szCs w:val="22"/>
        </w:rPr>
        <w:t>(Énfasis añadido)</w:t>
      </w:r>
    </w:p>
    <w:p w14:paraId="5B7E276B" w14:textId="77777777" w:rsidR="0045295D" w:rsidRPr="001E6322" w:rsidRDefault="0045295D" w:rsidP="0045295D">
      <w:pPr>
        <w:rPr>
          <w:rFonts w:ascii="Palatino Linotype" w:hAnsi="Palatino Linotype"/>
          <w:sz w:val="22"/>
          <w:szCs w:val="22"/>
        </w:rPr>
      </w:pPr>
      <w:r w:rsidRPr="001E6322">
        <w:rPr>
          <w:rFonts w:ascii="Palatino Linotype" w:hAnsi="Palatino Linotype"/>
          <w:sz w:val="22"/>
          <w:szCs w:val="22"/>
        </w:rPr>
        <w:br/>
      </w:r>
    </w:p>
    <w:p w14:paraId="7056CBAC" w14:textId="361D7AE5" w:rsidR="002F1A0C" w:rsidRPr="001E6322" w:rsidRDefault="002F1A0C" w:rsidP="002F1A0C">
      <w:pPr>
        <w:pStyle w:val="NormalWeb"/>
        <w:spacing w:before="0" w:beforeAutospacing="0" w:after="0" w:afterAutospacing="0" w:line="360" w:lineRule="auto"/>
        <w:jc w:val="both"/>
        <w:textAlignment w:val="baseline"/>
        <w:rPr>
          <w:rFonts w:ascii="Palatino Linotype" w:hAnsi="Palatino Linotype"/>
          <w:sz w:val="22"/>
          <w:szCs w:val="22"/>
        </w:rPr>
      </w:pPr>
      <w:r w:rsidRPr="001E6322">
        <w:rPr>
          <w:rFonts w:ascii="Palatino Linotype" w:hAnsi="Palatino Linotype"/>
          <w:sz w:val="22"/>
          <w:szCs w:val="22"/>
        </w:rPr>
        <w:t xml:space="preserve">En este sentido, </w:t>
      </w:r>
      <w:r w:rsidR="0045295D" w:rsidRPr="001E6322">
        <w:rPr>
          <w:rFonts w:ascii="Palatino Linotype" w:hAnsi="Palatino Linotype"/>
          <w:sz w:val="22"/>
          <w:szCs w:val="22"/>
        </w:rPr>
        <w:t xml:space="preserve">se observa que </w:t>
      </w:r>
      <w:r w:rsidRPr="001E6322">
        <w:rPr>
          <w:rFonts w:ascii="Palatino Linotype" w:hAnsi="Palatino Linotype"/>
          <w:sz w:val="22"/>
          <w:szCs w:val="22"/>
        </w:rPr>
        <w:t xml:space="preserve">la parte </w:t>
      </w:r>
      <w:r w:rsidRPr="001E6322">
        <w:rPr>
          <w:rFonts w:ascii="Palatino Linotype" w:hAnsi="Palatino Linotype"/>
          <w:b/>
          <w:bCs/>
          <w:sz w:val="22"/>
          <w:szCs w:val="22"/>
        </w:rPr>
        <w:t xml:space="preserve">recurrente </w:t>
      </w:r>
      <w:r w:rsidRPr="001E6322">
        <w:rPr>
          <w:rFonts w:ascii="Palatino Linotype" w:hAnsi="Palatino Linotype"/>
          <w:sz w:val="22"/>
          <w:szCs w:val="22"/>
        </w:rPr>
        <w:t>sólo</w:t>
      </w:r>
      <w:r w:rsidR="0045295D" w:rsidRPr="001E6322">
        <w:rPr>
          <w:rFonts w:ascii="Palatino Linotype" w:hAnsi="Palatino Linotype"/>
          <w:sz w:val="22"/>
          <w:szCs w:val="22"/>
        </w:rPr>
        <w:t xml:space="preserve"> se inconforma </w:t>
      </w:r>
      <w:r w:rsidRPr="001E6322">
        <w:rPr>
          <w:rFonts w:ascii="Palatino Linotype" w:hAnsi="Palatino Linotype"/>
          <w:sz w:val="22"/>
          <w:szCs w:val="22"/>
        </w:rPr>
        <w:t xml:space="preserve">porque no le remitieron </w:t>
      </w:r>
      <w:r w:rsidR="00854F65" w:rsidRPr="001E6322">
        <w:rPr>
          <w:rFonts w:ascii="Palatino Linotype" w:hAnsi="Palatino Linotype"/>
          <w:sz w:val="22"/>
          <w:szCs w:val="22"/>
        </w:rPr>
        <w:t>alguna evidencia fotográfica.</w:t>
      </w:r>
    </w:p>
    <w:p w14:paraId="73AEA4D3" w14:textId="77777777" w:rsidR="002F1A0C" w:rsidRPr="001E6322" w:rsidRDefault="002F1A0C" w:rsidP="002F1A0C">
      <w:pPr>
        <w:pStyle w:val="NormalWeb"/>
        <w:spacing w:before="0" w:beforeAutospacing="0" w:after="0" w:afterAutospacing="0" w:line="360" w:lineRule="auto"/>
        <w:jc w:val="both"/>
        <w:textAlignment w:val="baseline"/>
        <w:rPr>
          <w:rFonts w:ascii="Palatino Linotype" w:hAnsi="Palatino Linotype"/>
          <w:sz w:val="22"/>
          <w:szCs w:val="22"/>
        </w:rPr>
      </w:pPr>
    </w:p>
    <w:p w14:paraId="1FB23F25" w14:textId="2EA1724F" w:rsidR="002F1A0C" w:rsidRPr="001E6322" w:rsidRDefault="002F1A0C" w:rsidP="002F1A0C">
      <w:pPr>
        <w:pStyle w:val="NormalWeb"/>
        <w:spacing w:before="0" w:beforeAutospacing="0" w:after="0" w:afterAutospacing="0" w:line="360" w:lineRule="auto"/>
        <w:jc w:val="both"/>
        <w:textAlignment w:val="baseline"/>
        <w:rPr>
          <w:rFonts w:ascii="Palatino Linotype" w:eastAsia="Palatino Linotype" w:hAnsi="Palatino Linotype" w:cs="Palatino Linotype"/>
          <w:sz w:val="22"/>
          <w:szCs w:val="22"/>
        </w:rPr>
      </w:pPr>
      <w:r w:rsidRPr="001E6322">
        <w:rPr>
          <w:rFonts w:ascii="Palatino Linotype" w:hAnsi="Palatino Linotype"/>
          <w:sz w:val="22"/>
          <w:szCs w:val="22"/>
        </w:rPr>
        <w:t>Sin emb</w:t>
      </w:r>
      <w:r w:rsidR="001D2783" w:rsidRPr="001E6322">
        <w:rPr>
          <w:rFonts w:ascii="Palatino Linotype" w:hAnsi="Palatino Linotype"/>
          <w:sz w:val="22"/>
          <w:szCs w:val="22"/>
        </w:rPr>
        <w:t>ar</w:t>
      </w:r>
      <w:r w:rsidRPr="001E6322">
        <w:rPr>
          <w:rFonts w:ascii="Palatino Linotype" w:hAnsi="Palatino Linotype"/>
          <w:sz w:val="22"/>
          <w:szCs w:val="22"/>
        </w:rPr>
        <w:t xml:space="preserve">go, tanto en </w:t>
      </w:r>
      <w:r w:rsidRPr="001E6322">
        <w:rPr>
          <w:rFonts w:ascii="Palatino Linotype" w:eastAsia="Palatino Linotype" w:hAnsi="Palatino Linotype" w:cs="Palatino Linotype"/>
          <w:sz w:val="22"/>
          <w:szCs w:val="22"/>
        </w:rPr>
        <w:t xml:space="preserve">respuesta como en Informe Justificado, el Sujeto Obligado refirió remitir la información que obra en sus archivos, tal como se aprecia a continuación: </w:t>
      </w:r>
    </w:p>
    <w:p w14:paraId="52A7D6ED" w14:textId="56BE2C86" w:rsidR="002F1A0C" w:rsidRPr="001E6322" w:rsidRDefault="002F1A0C" w:rsidP="002F1A0C">
      <w:pPr>
        <w:pStyle w:val="NormalWeb"/>
        <w:spacing w:before="0" w:beforeAutospacing="0" w:after="0" w:afterAutospacing="0" w:line="360" w:lineRule="auto"/>
        <w:jc w:val="both"/>
        <w:textAlignment w:val="baseline"/>
        <w:rPr>
          <w:rFonts w:ascii="Palatino Linotype" w:eastAsia="Palatino Linotype" w:hAnsi="Palatino Linotype" w:cs="Palatino Linotype"/>
          <w:sz w:val="22"/>
          <w:szCs w:val="22"/>
        </w:rPr>
      </w:pPr>
    </w:p>
    <w:p w14:paraId="58BEF9E1" w14:textId="0A59BC71" w:rsidR="002F1A0C" w:rsidRPr="001E6322" w:rsidRDefault="002F1A0C" w:rsidP="002F1A0C">
      <w:pPr>
        <w:pStyle w:val="NormalWeb"/>
        <w:spacing w:before="0" w:beforeAutospacing="0" w:after="0" w:afterAutospacing="0" w:line="360" w:lineRule="auto"/>
        <w:jc w:val="both"/>
        <w:textAlignment w:val="baseline"/>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Respuesta: </w:t>
      </w:r>
    </w:p>
    <w:p w14:paraId="2F9EFF29" w14:textId="2CD9A785" w:rsidR="002F1A0C" w:rsidRPr="001E6322" w:rsidRDefault="00854F65" w:rsidP="00854F65">
      <w:pPr>
        <w:pStyle w:val="NormalWeb"/>
        <w:spacing w:before="0" w:beforeAutospacing="0" w:after="0" w:afterAutospacing="0" w:line="360" w:lineRule="auto"/>
        <w:jc w:val="center"/>
        <w:textAlignment w:val="baseline"/>
        <w:rPr>
          <w:rFonts w:ascii="Palatino Linotype" w:eastAsia="Palatino Linotype" w:hAnsi="Palatino Linotype" w:cs="Palatino Linotype"/>
          <w:sz w:val="22"/>
          <w:szCs w:val="22"/>
        </w:rPr>
      </w:pPr>
      <w:r w:rsidRPr="001E6322">
        <w:rPr>
          <w:rFonts w:ascii="Palatino Linotype" w:eastAsia="Palatino Linotype" w:hAnsi="Palatino Linotype" w:cs="Palatino Linotype"/>
          <w:noProof/>
          <w:sz w:val="22"/>
          <w:szCs w:val="22"/>
        </w:rPr>
        <w:drawing>
          <wp:inline distT="0" distB="0" distL="0" distR="0" wp14:anchorId="34FC53E9" wp14:editId="013C2A3E">
            <wp:extent cx="4057650" cy="1821306"/>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85307" cy="1833720"/>
                    </a:xfrm>
                    <a:prstGeom prst="rect">
                      <a:avLst/>
                    </a:prstGeom>
                  </pic:spPr>
                </pic:pic>
              </a:graphicData>
            </a:graphic>
          </wp:inline>
        </w:drawing>
      </w:r>
    </w:p>
    <w:p w14:paraId="26E004D0" w14:textId="7B256518" w:rsidR="002F1A0C" w:rsidRPr="001E6322" w:rsidRDefault="002F1A0C" w:rsidP="002F1A0C">
      <w:pPr>
        <w:pStyle w:val="NormalWeb"/>
        <w:spacing w:before="0" w:beforeAutospacing="0" w:after="0" w:afterAutospacing="0" w:line="360" w:lineRule="auto"/>
        <w:jc w:val="both"/>
        <w:textAlignment w:val="baseline"/>
        <w:rPr>
          <w:rFonts w:ascii="Palatino Linotype" w:eastAsia="Palatino Linotype" w:hAnsi="Palatino Linotype" w:cs="Palatino Linotype"/>
          <w:sz w:val="22"/>
          <w:szCs w:val="22"/>
        </w:rPr>
      </w:pPr>
    </w:p>
    <w:p w14:paraId="64A43923" w14:textId="6B9CEDF6" w:rsidR="002F1A0C" w:rsidRPr="001E6322" w:rsidRDefault="002F1A0C" w:rsidP="002F1A0C">
      <w:pPr>
        <w:pStyle w:val="NormalWeb"/>
        <w:spacing w:before="0" w:beforeAutospacing="0" w:after="0" w:afterAutospacing="0" w:line="360" w:lineRule="auto"/>
        <w:jc w:val="both"/>
        <w:textAlignment w:val="baseline"/>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Informe Justificado: </w:t>
      </w:r>
    </w:p>
    <w:p w14:paraId="2A2AAD63" w14:textId="6572AADD" w:rsidR="00854F65" w:rsidRPr="001E6322" w:rsidRDefault="00854F65" w:rsidP="002F1A0C">
      <w:pPr>
        <w:pStyle w:val="NormalWeb"/>
        <w:spacing w:before="0" w:beforeAutospacing="0" w:after="0" w:afterAutospacing="0" w:line="360" w:lineRule="auto"/>
        <w:jc w:val="both"/>
        <w:textAlignment w:val="baseline"/>
        <w:rPr>
          <w:rFonts w:ascii="Palatino Linotype" w:eastAsia="Palatino Linotype" w:hAnsi="Palatino Linotype" w:cs="Palatino Linotype"/>
          <w:sz w:val="22"/>
          <w:szCs w:val="22"/>
        </w:rPr>
      </w:pPr>
      <w:r w:rsidRPr="001E6322">
        <w:rPr>
          <w:rFonts w:ascii="Palatino Linotype" w:eastAsia="Palatino Linotype" w:hAnsi="Palatino Linotype" w:cs="Palatino Linotype"/>
          <w:noProof/>
          <w:sz w:val="22"/>
          <w:szCs w:val="22"/>
        </w:rPr>
        <w:drawing>
          <wp:inline distT="0" distB="0" distL="0" distR="0" wp14:anchorId="78320B97" wp14:editId="34B1F5AD">
            <wp:extent cx="5612130" cy="1120775"/>
            <wp:effectExtent l="0" t="0" r="762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1120775"/>
                    </a:xfrm>
                    <a:prstGeom prst="rect">
                      <a:avLst/>
                    </a:prstGeom>
                  </pic:spPr>
                </pic:pic>
              </a:graphicData>
            </a:graphic>
          </wp:inline>
        </w:drawing>
      </w:r>
    </w:p>
    <w:p w14:paraId="416E2B0A" w14:textId="77777777" w:rsidR="009B1F2E" w:rsidRPr="001E6322" w:rsidRDefault="009B1F2E" w:rsidP="009B1F2E">
      <w:pPr>
        <w:pStyle w:val="NormalWeb"/>
        <w:spacing w:before="0" w:beforeAutospacing="0" w:after="0" w:afterAutospacing="0" w:line="360" w:lineRule="auto"/>
        <w:jc w:val="both"/>
        <w:textAlignment w:val="baseline"/>
        <w:rPr>
          <w:rFonts w:ascii="Palatino Linotype" w:eastAsia="Palatino Linotype" w:hAnsi="Palatino Linotype" w:cs="Palatino Linotype"/>
          <w:sz w:val="22"/>
          <w:szCs w:val="22"/>
        </w:rPr>
      </w:pPr>
    </w:p>
    <w:p w14:paraId="722D7C15" w14:textId="4304F946" w:rsidR="0045295D" w:rsidRPr="001E6322" w:rsidRDefault="001D2783" w:rsidP="009B1F2E">
      <w:pPr>
        <w:pStyle w:val="NormalWeb"/>
        <w:spacing w:before="0" w:beforeAutospacing="0" w:after="0" w:afterAutospacing="0" w:line="360" w:lineRule="auto"/>
        <w:jc w:val="both"/>
        <w:textAlignment w:val="baseline"/>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 xml:space="preserve">Asimismo, sobre la emisión de la declaratoria de inexistencia requerida por la particular, es de mencionar que </w:t>
      </w:r>
      <w:r w:rsidR="002F1A0C" w:rsidRPr="001E6322">
        <w:rPr>
          <w:rFonts w:ascii="Palatino Linotype" w:eastAsia="Palatino Linotype" w:hAnsi="Palatino Linotype" w:cs="Palatino Linotype"/>
          <w:sz w:val="22"/>
          <w:szCs w:val="22"/>
        </w:rPr>
        <w:t>el Criterio orientador, con clave de control SO/014/2017, emitido por el</w:t>
      </w:r>
      <w:r w:rsidR="009B1F2E" w:rsidRPr="001E6322">
        <w:rPr>
          <w:rFonts w:ascii="Palatino Linotype" w:eastAsia="Palatino Linotype" w:hAnsi="Palatino Linotype" w:cs="Palatino Linotype"/>
          <w:sz w:val="22"/>
          <w:szCs w:val="22"/>
        </w:rPr>
        <w:t xml:space="preserve"> </w:t>
      </w:r>
      <w:r w:rsidR="002F1A0C" w:rsidRPr="001E6322">
        <w:rPr>
          <w:rFonts w:ascii="Palatino Linotype" w:eastAsia="Palatino Linotype" w:hAnsi="Palatino Linotype" w:cs="Palatino Linotype"/>
          <w:sz w:val="22"/>
          <w:szCs w:val="22"/>
        </w:rPr>
        <w:t>entonces Instituto Nacional de Transparencia, Acceso a la Información Pública y</w:t>
      </w:r>
      <w:r w:rsidR="009B1F2E" w:rsidRPr="001E6322">
        <w:rPr>
          <w:rFonts w:ascii="Palatino Linotype" w:eastAsia="Palatino Linotype" w:hAnsi="Palatino Linotype" w:cs="Palatino Linotype"/>
          <w:sz w:val="22"/>
          <w:szCs w:val="22"/>
        </w:rPr>
        <w:t xml:space="preserve"> </w:t>
      </w:r>
      <w:r w:rsidR="002F1A0C" w:rsidRPr="001E6322">
        <w:rPr>
          <w:rFonts w:ascii="Palatino Linotype" w:eastAsia="Palatino Linotype" w:hAnsi="Palatino Linotype" w:cs="Palatino Linotype"/>
          <w:sz w:val="22"/>
          <w:szCs w:val="22"/>
        </w:rPr>
        <w:t xml:space="preserve">Protección de Datos Personales en el Estado de México y Municipios, </w:t>
      </w:r>
      <w:r w:rsidRPr="001E6322">
        <w:rPr>
          <w:rFonts w:ascii="Palatino Linotype" w:eastAsia="Palatino Linotype" w:hAnsi="Palatino Linotype" w:cs="Palatino Linotype"/>
          <w:sz w:val="22"/>
          <w:szCs w:val="22"/>
        </w:rPr>
        <w:t>establece</w:t>
      </w:r>
      <w:r w:rsidR="002F1A0C" w:rsidRPr="001E6322">
        <w:rPr>
          <w:rFonts w:ascii="Palatino Linotype" w:eastAsia="Palatino Linotype" w:hAnsi="Palatino Linotype" w:cs="Palatino Linotype"/>
          <w:sz w:val="22"/>
          <w:szCs w:val="22"/>
        </w:rPr>
        <w:t xml:space="preserve"> que la inexistencia de la información, es una cuestión de hecho</w:t>
      </w:r>
      <w:r w:rsidR="009B1F2E" w:rsidRPr="001E6322">
        <w:rPr>
          <w:rFonts w:ascii="Palatino Linotype" w:eastAsia="Palatino Linotype" w:hAnsi="Palatino Linotype" w:cs="Palatino Linotype"/>
          <w:sz w:val="22"/>
          <w:szCs w:val="22"/>
        </w:rPr>
        <w:t xml:space="preserve"> </w:t>
      </w:r>
      <w:r w:rsidR="002F1A0C" w:rsidRPr="001E6322">
        <w:rPr>
          <w:rFonts w:ascii="Palatino Linotype" w:eastAsia="Palatino Linotype" w:hAnsi="Palatino Linotype" w:cs="Palatino Linotype"/>
          <w:sz w:val="22"/>
          <w:szCs w:val="22"/>
        </w:rPr>
        <w:t>que se le atribuye a la misma, cuando esta no se encuentra en los archivos del sujeto</w:t>
      </w:r>
      <w:r w:rsidR="009B1F2E" w:rsidRPr="001E6322">
        <w:rPr>
          <w:rFonts w:ascii="Palatino Linotype" w:eastAsia="Palatino Linotype" w:hAnsi="Palatino Linotype" w:cs="Palatino Linotype"/>
          <w:sz w:val="22"/>
          <w:szCs w:val="22"/>
        </w:rPr>
        <w:t xml:space="preserve"> </w:t>
      </w:r>
      <w:r w:rsidR="002F1A0C" w:rsidRPr="001E6322">
        <w:rPr>
          <w:rFonts w:ascii="Palatino Linotype" w:eastAsia="Palatino Linotype" w:hAnsi="Palatino Linotype" w:cs="Palatino Linotype"/>
          <w:sz w:val="22"/>
          <w:szCs w:val="22"/>
        </w:rPr>
        <w:t>obligado.</w:t>
      </w:r>
    </w:p>
    <w:p w14:paraId="56E89527" w14:textId="13ECAC96" w:rsidR="002F1A0C" w:rsidRPr="001E6322" w:rsidRDefault="002F1A0C" w:rsidP="002F1A0C">
      <w:pPr>
        <w:spacing w:before="240" w:after="240" w:line="360" w:lineRule="auto"/>
        <w:ind w:right="49"/>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En ese orden de ideas, según Trujillo, Humberto (2019), en el “Diccionario de</w:t>
      </w:r>
      <w:r w:rsidR="009B1F2E"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Transparencia y Acceso a la Información Pública” (p. 171), la inexistencia de la</w:t>
      </w:r>
      <w:r w:rsidR="009B1F2E"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información, es cuando la información requerida no se encuentra en los archivos públicos,</w:t>
      </w:r>
      <w:r w:rsidR="009B1F2E"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reservados o clasificados, de los sujetos obligados.</w:t>
      </w:r>
    </w:p>
    <w:p w14:paraId="07809158" w14:textId="66A7A040" w:rsidR="002F1A0C" w:rsidRPr="001E6322" w:rsidRDefault="002F1A0C" w:rsidP="002F1A0C">
      <w:pPr>
        <w:spacing w:before="240" w:after="240" w:line="360" w:lineRule="auto"/>
        <w:ind w:right="49"/>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Así, es posible concluir que la inexistencia presupone la competencia del sujeto obligado</w:t>
      </w:r>
      <w:r w:rsidR="009B1F2E"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para conocer de la información, pero por alguna circunstancia, la documentación solicitada</w:t>
      </w:r>
      <w:r w:rsidR="009B1F2E"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no obra en sus archivos; para tal situación, no basta con que los sujetos obligados precisen</w:t>
      </w:r>
      <w:r w:rsidR="009B1F2E"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dicha circunstancia, sino que también debe de señalar las razones por las cuales no</w:t>
      </w:r>
      <w:r w:rsidR="009B1F2E"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cuentan con lo peticionado, es decir, las circunstancias que dan lugar a la inexistencia.</w:t>
      </w:r>
    </w:p>
    <w:p w14:paraId="69C9DD1E" w14:textId="5A6EB557" w:rsidR="002F1A0C" w:rsidRPr="001E6322" w:rsidRDefault="002F1A0C" w:rsidP="002F1A0C">
      <w:pPr>
        <w:spacing w:before="240" w:after="240" w:line="360" w:lineRule="auto"/>
        <w:ind w:right="49"/>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De tal suerte, se considera que el Sujeto Obligado realizó una búsqueda exhaustiva y</w:t>
      </w:r>
      <w:r w:rsidR="009B1F2E"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sz w:val="22"/>
          <w:szCs w:val="22"/>
        </w:rPr>
        <w:t>razonable, al tu</w:t>
      </w:r>
      <w:r w:rsidR="00BE260C" w:rsidRPr="001E6322">
        <w:rPr>
          <w:rFonts w:ascii="Palatino Linotype" w:eastAsia="Palatino Linotype" w:hAnsi="Palatino Linotype" w:cs="Palatino Linotype"/>
          <w:sz w:val="22"/>
          <w:szCs w:val="22"/>
        </w:rPr>
        <w:t>r</w:t>
      </w:r>
      <w:r w:rsidRPr="001E6322">
        <w:rPr>
          <w:rFonts w:ascii="Palatino Linotype" w:eastAsia="Palatino Linotype" w:hAnsi="Palatino Linotype" w:cs="Palatino Linotype"/>
          <w:sz w:val="22"/>
          <w:szCs w:val="22"/>
        </w:rPr>
        <w:t xml:space="preserve">nar la solicitud a la unidad administrativa competente y esta </w:t>
      </w:r>
      <w:r w:rsidR="009B1F2E" w:rsidRPr="001E6322">
        <w:rPr>
          <w:rFonts w:ascii="Palatino Linotype" w:eastAsia="Palatino Linotype" w:hAnsi="Palatino Linotype" w:cs="Palatino Linotype"/>
          <w:sz w:val="22"/>
          <w:szCs w:val="22"/>
        </w:rPr>
        <w:t>remitió la información solicitada que obra en sus archivos</w:t>
      </w:r>
      <w:r w:rsidRPr="001E6322">
        <w:rPr>
          <w:rFonts w:ascii="Palatino Linotype" w:eastAsia="Palatino Linotype" w:hAnsi="Palatino Linotype" w:cs="Palatino Linotype"/>
          <w:sz w:val="22"/>
          <w:szCs w:val="22"/>
        </w:rPr>
        <w:t xml:space="preserve">; </w:t>
      </w:r>
      <w:r w:rsidR="009B1F2E" w:rsidRPr="001E6322">
        <w:rPr>
          <w:rFonts w:ascii="Palatino Linotype" w:eastAsia="Palatino Linotype" w:hAnsi="Palatino Linotype" w:cs="Palatino Linotype"/>
          <w:b/>
          <w:bCs/>
          <w:sz w:val="22"/>
          <w:szCs w:val="22"/>
        </w:rPr>
        <w:t>sin que se advierta fuente obligacional o se localice indició de que deba generar información adicional</w:t>
      </w:r>
      <w:r w:rsidRPr="001E6322">
        <w:rPr>
          <w:rFonts w:ascii="Palatino Linotype" w:eastAsia="Palatino Linotype" w:hAnsi="Palatino Linotype" w:cs="Palatino Linotype"/>
          <w:sz w:val="22"/>
          <w:szCs w:val="22"/>
        </w:rPr>
        <w:t>,</w:t>
      </w:r>
      <w:r w:rsidR="001D2783" w:rsidRPr="001E6322">
        <w:rPr>
          <w:rFonts w:ascii="Palatino Linotype" w:eastAsia="Palatino Linotype" w:hAnsi="Palatino Linotype" w:cs="Palatino Linotype"/>
          <w:sz w:val="22"/>
          <w:szCs w:val="22"/>
        </w:rPr>
        <w:t xml:space="preserve"> por lo que no resulta procedente ordenar un acuerdo de inexistencia de la misma y en consecuencia </w:t>
      </w:r>
      <w:r w:rsidRPr="001E6322">
        <w:rPr>
          <w:rFonts w:ascii="Palatino Linotype" w:eastAsia="Palatino Linotype" w:hAnsi="Palatino Linotype" w:cs="Palatino Linotype"/>
          <w:sz w:val="22"/>
          <w:szCs w:val="22"/>
        </w:rPr>
        <w:t>da como resultado que el agravio resulte</w:t>
      </w:r>
      <w:r w:rsidR="009B1F2E" w:rsidRPr="001E6322">
        <w:rPr>
          <w:rFonts w:ascii="Palatino Linotype" w:eastAsia="Palatino Linotype" w:hAnsi="Palatino Linotype" w:cs="Palatino Linotype"/>
          <w:sz w:val="22"/>
          <w:szCs w:val="22"/>
        </w:rPr>
        <w:t xml:space="preserve"> </w:t>
      </w:r>
      <w:r w:rsidRPr="001E6322">
        <w:rPr>
          <w:rFonts w:ascii="Palatino Linotype" w:eastAsia="Palatino Linotype" w:hAnsi="Palatino Linotype" w:cs="Palatino Linotype"/>
          <w:b/>
          <w:sz w:val="22"/>
          <w:szCs w:val="22"/>
        </w:rPr>
        <w:t>INFUNDADO.</w:t>
      </w:r>
    </w:p>
    <w:p w14:paraId="6EC16070" w14:textId="0B9D9BB5" w:rsidR="00887B56" w:rsidRPr="001E6322" w:rsidRDefault="002F1A0C" w:rsidP="002F1A0C">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sz w:val="22"/>
          <w:szCs w:val="22"/>
        </w:rPr>
        <w:t>Así, con fundamento en lo prescrito en los artículos 5 párrafos cuadragésimo cuarto, cuadragésimo quinto y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de Transparencia y Acceso a la Información Pública del Estado de México y Municipios, este Pleno:</w:t>
      </w:r>
    </w:p>
    <w:p w14:paraId="3C0AF76B" w14:textId="77777777" w:rsidR="002F1A0C" w:rsidRPr="001E6322" w:rsidRDefault="002F1A0C" w:rsidP="002F1A0C">
      <w:pPr>
        <w:spacing w:line="360" w:lineRule="auto"/>
        <w:ind w:right="49"/>
        <w:jc w:val="center"/>
        <w:rPr>
          <w:rFonts w:ascii="Palatino Linotype" w:eastAsia="Palatino Linotype" w:hAnsi="Palatino Linotype" w:cs="Palatino Linotype"/>
          <w:b/>
          <w:sz w:val="22"/>
          <w:szCs w:val="22"/>
        </w:rPr>
      </w:pPr>
      <w:r w:rsidRPr="001E6322">
        <w:rPr>
          <w:rFonts w:ascii="Palatino Linotype" w:eastAsia="Palatino Linotype" w:hAnsi="Palatino Linotype" w:cs="Palatino Linotype"/>
          <w:b/>
          <w:sz w:val="22"/>
          <w:szCs w:val="22"/>
        </w:rPr>
        <w:t>R E S U E L V E:</w:t>
      </w:r>
    </w:p>
    <w:p w14:paraId="0BC285F6" w14:textId="77777777" w:rsidR="002F1A0C" w:rsidRPr="001E6322" w:rsidRDefault="002F1A0C" w:rsidP="002F1A0C">
      <w:pPr>
        <w:spacing w:line="360" w:lineRule="auto"/>
        <w:ind w:right="49"/>
        <w:jc w:val="center"/>
        <w:rPr>
          <w:rFonts w:ascii="Palatino Linotype" w:eastAsia="Palatino Linotype" w:hAnsi="Palatino Linotype" w:cs="Palatino Linotype"/>
          <w:b/>
          <w:sz w:val="22"/>
          <w:szCs w:val="22"/>
        </w:rPr>
      </w:pPr>
    </w:p>
    <w:p w14:paraId="4099E9C9" w14:textId="39D6B48C" w:rsidR="002F1A0C" w:rsidRPr="001E6322" w:rsidRDefault="002F1A0C" w:rsidP="002F1A0C">
      <w:pPr>
        <w:spacing w:line="360" w:lineRule="auto"/>
        <w:ind w:right="49"/>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sz w:val="22"/>
          <w:szCs w:val="22"/>
        </w:rPr>
        <w:t xml:space="preserve">Primero. </w:t>
      </w:r>
      <w:r w:rsidRPr="001E6322">
        <w:rPr>
          <w:rFonts w:ascii="Palatino Linotype" w:eastAsia="Palatino Linotype" w:hAnsi="Palatino Linotype" w:cs="Palatino Linotype"/>
          <w:sz w:val="22"/>
          <w:szCs w:val="22"/>
        </w:rPr>
        <w:t xml:space="preserve">Resultan </w:t>
      </w:r>
      <w:r w:rsidRPr="001E6322">
        <w:rPr>
          <w:rFonts w:ascii="Palatino Linotype" w:eastAsia="Palatino Linotype" w:hAnsi="Palatino Linotype" w:cs="Palatino Linotype"/>
          <w:b/>
          <w:sz w:val="22"/>
          <w:szCs w:val="22"/>
        </w:rPr>
        <w:t>INFUNDADOS</w:t>
      </w:r>
      <w:r w:rsidRPr="001E6322">
        <w:rPr>
          <w:rFonts w:ascii="Palatino Linotype" w:eastAsia="Palatino Linotype" w:hAnsi="Palatino Linotype" w:cs="Palatino Linotype"/>
          <w:sz w:val="22"/>
          <w:szCs w:val="22"/>
        </w:rPr>
        <w:t xml:space="preserve"> los motivos de inconformidad hechos valer por la parte </w:t>
      </w:r>
      <w:r w:rsidRPr="001E6322">
        <w:rPr>
          <w:rFonts w:ascii="Palatino Linotype" w:eastAsia="Palatino Linotype" w:hAnsi="Palatino Linotype" w:cs="Palatino Linotype"/>
          <w:b/>
          <w:sz w:val="22"/>
          <w:szCs w:val="22"/>
        </w:rPr>
        <w:t>RECURRENTE</w:t>
      </w:r>
      <w:r w:rsidRPr="001E6322">
        <w:rPr>
          <w:rFonts w:ascii="Palatino Linotype" w:eastAsia="Palatino Linotype" w:hAnsi="Palatino Linotype" w:cs="Palatino Linotype"/>
          <w:sz w:val="22"/>
          <w:szCs w:val="22"/>
        </w:rPr>
        <w:t xml:space="preserve"> en el Recurso de Revisión </w:t>
      </w:r>
      <w:r w:rsidRPr="001E6322">
        <w:rPr>
          <w:rFonts w:ascii="Palatino Linotype" w:eastAsia="Palatino Linotype" w:hAnsi="Palatino Linotype" w:cs="Palatino Linotype"/>
          <w:b/>
          <w:sz w:val="22"/>
          <w:szCs w:val="22"/>
        </w:rPr>
        <w:t>0</w:t>
      </w:r>
      <w:r w:rsidR="00A37C2B" w:rsidRPr="001E6322">
        <w:rPr>
          <w:rFonts w:ascii="Palatino Linotype" w:eastAsia="Palatino Linotype" w:hAnsi="Palatino Linotype" w:cs="Palatino Linotype"/>
          <w:b/>
          <w:sz w:val="22"/>
          <w:szCs w:val="22"/>
        </w:rPr>
        <w:t>7576</w:t>
      </w:r>
      <w:r w:rsidRPr="001E6322">
        <w:rPr>
          <w:rFonts w:ascii="Palatino Linotype" w:eastAsia="Palatino Linotype" w:hAnsi="Palatino Linotype" w:cs="Palatino Linotype"/>
          <w:b/>
          <w:sz w:val="22"/>
          <w:szCs w:val="22"/>
        </w:rPr>
        <w:t xml:space="preserve">/INFOEM/IP/RR/2026, </w:t>
      </w:r>
      <w:r w:rsidRPr="001E6322">
        <w:rPr>
          <w:rFonts w:ascii="Palatino Linotype" w:eastAsia="Palatino Linotype" w:hAnsi="Palatino Linotype" w:cs="Palatino Linotype"/>
          <w:sz w:val="22"/>
          <w:szCs w:val="22"/>
        </w:rPr>
        <w:t>por lo que, en términos del</w:t>
      </w:r>
      <w:r w:rsidRPr="001E6322">
        <w:rPr>
          <w:rFonts w:ascii="Palatino Linotype" w:eastAsia="Palatino Linotype" w:hAnsi="Palatino Linotype" w:cs="Palatino Linotype"/>
          <w:b/>
          <w:sz w:val="22"/>
          <w:szCs w:val="22"/>
        </w:rPr>
        <w:t xml:space="preserve"> Considerando Cuarto </w:t>
      </w:r>
      <w:r w:rsidRPr="001E6322">
        <w:rPr>
          <w:rFonts w:ascii="Palatino Linotype" w:eastAsia="Palatino Linotype" w:hAnsi="Palatino Linotype" w:cs="Palatino Linotype"/>
          <w:sz w:val="22"/>
          <w:szCs w:val="22"/>
        </w:rPr>
        <w:t xml:space="preserve">de esta resolución, se </w:t>
      </w:r>
      <w:r w:rsidRPr="001E6322">
        <w:rPr>
          <w:rFonts w:ascii="Palatino Linotype" w:eastAsia="Palatino Linotype" w:hAnsi="Palatino Linotype" w:cs="Palatino Linotype"/>
          <w:b/>
          <w:sz w:val="22"/>
          <w:szCs w:val="22"/>
        </w:rPr>
        <w:t xml:space="preserve">CONFIRMA </w:t>
      </w:r>
      <w:r w:rsidRPr="001E6322">
        <w:rPr>
          <w:rFonts w:ascii="Palatino Linotype" w:eastAsia="Palatino Linotype" w:hAnsi="Palatino Linotype" w:cs="Palatino Linotype"/>
          <w:sz w:val="22"/>
          <w:szCs w:val="22"/>
        </w:rPr>
        <w:t xml:space="preserve">la respuesta emitida por el </w:t>
      </w:r>
      <w:r w:rsidRPr="001E6322">
        <w:rPr>
          <w:rFonts w:ascii="Palatino Linotype" w:eastAsia="Palatino Linotype" w:hAnsi="Palatino Linotype" w:cs="Palatino Linotype"/>
          <w:b/>
          <w:sz w:val="22"/>
          <w:szCs w:val="22"/>
        </w:rPr>
        <w:t>SUJETO OBLIGADO</w:t>
      </w:r>
      <w:r w:rsidRPr="001E6322">
        <w:rPr>
          <w:rFonts w:ascii="Palatino Linotype" w:eastAsia="Palatino Linotype" w:hAnsi="Palatino Linotype" w:cs="Palatino Linotype"/>
          <w:sz w:val="22"/>
          <w:szCs w:val="22"/>
        </w:rPr>
        <w:t>.</w:t>
      </w:r>
    </w:p>
    <w:p w14:paraId="3CAC2EBA" w14:textId="77777777" w:rsidR="009B1F2E" w:rsidRPr="001E6322" w:rsidRDefault="009B1F2E" w:rsidP="002F1A0C">
      <w:pPr>
        <w:spacing w:line="360" w:lineRule="auto"/>
        <w:ind w:right="49"/>
        <w:jc w:val="both"/>
        <w:rPr>
          <w:rFonts w:ascii="Palatino Linotype" w:eastAsia="Palatino Linotype" w:hAnsi="Palatino Linotype" w:cs="Palatino Linotype"/>
          <w:sz w:val="22"/>
          <w:szCs w:val="22"/>
        </w:rPr>
      </w:pPr>
    </w:p>
    <w:p w14:paraId="6BAA9F6E" w14:textId="0623B845" w:rsidR="002F1A0C" w:rsidRPr="001E6322" w:rsidRDefault="002F1A0C" w:rsidP="002F1A0C">
      <w:pPr>
        <w:spacing w:line="360" w:lineRule="auto"/>
        <w:ind w:right="49"/>
        <w:jc w:val="both"/>
        <w:rPr>
          <w:rFonts w:ascii="Palatino Linotype" w:eastAsia="Palatino Linotype" w:hAnsi="Palatino Linotype" w:cs="Palatino Linotype"/>
          <w:sz w:val="22"/>
          <w:szCs w:val="22"/>
        </w:rPr>
      </w:pPr>
      <w:bookmarkStart w:id="8" w:name="_heading=h.zfk429az7j3j" w:colFirst="0" w:colLast="0"/>
      <w:bookmarkEnd w:id="8"/>
      <w:r w:rsidRPr="001E6322">
        <w:rPr>
          <w:rFonts w:ascii="Palatino Linotype" w:eastAsia="Palatino Linotype" w:hAnsi="Palatino Linotype" w:cs="Palatino Linotype"/>
          <w:b/>
          <w:sz w:val="22"/>
          <w:szCs w:val="22"/>
        </w:rPr>
        <w:t>Segundo. Notifíquese vía Sistema de Acceso a la Información Mexiquense (SAIMEX)</w:t>
      </w:r>
      <w:r w:rsidRPr="001E6322">
        <w:rPr>
          <w:rFonts w:ascii="Palatino Linotype" w:eastAsia="Palatino Linotype" w:hAnsi="Palatino Linotype" w:cs="Palatino Linotype"/>
          <w:sz w:val="22"/>
          <w:szCs w:val="22"/>
        </w:rPr>
        <w:t>, al Titular de la Unidad de Transparencia del Sujeto Obligado; para su conocimiento; lo anterior en términos del artículo 189 de la Ley de Transparencia y Acceso a la Información Pública del Estado de México y Municipios.</w:t>
      </w:r>
    </w:p>
    <w:p w14:paraId="2360F101" w14:textId="77777777" w:rsidR="001D2783" w:rsidRPr="001E6322" w:rsidRDefault="001D2783" w:rsidP="002F1A0C">
      <w:pPr>
        <w:spacing w:line="360" w:lineRule="auto"/>
        <w:ind w:right="49"/>
        <w:jc w:val="both"/>
        <w:rPr>
          <w:rFonts w:ascii="Palatino Linotype" w:eastAsia="Palatino Linotype" w:hAnsi="Palatino Linotype" w:cs="Palatino Linotype"/>
          <w:sz w:val="22"/>
          <w:szCs w:val="22"/>
        </w:rPr>
      </w:pPr>
    </w:p>
    <w:p w14:paraId="0BB32FE2" w14:textId="4BDE2AC5" w:rsidR="002F1A0C" w:rsidRPr="001E6322" w:rsidRDefault="002F1A0C" w:rsidP="002F1A0C">
      <w:pPr>
        <w:spacing w:line="360" w:lineRule="auto"/>
        <w:ind w:right="49"/>
        <w:jc w:val="both"/>
        <w:rPr>
          <w:rFonts w:ascii="Palatino Linotype" w:eastAsia="Palatino Linotype" w:hAnsi="Palatino Linotype" w:cs="Palatino Linotype"/>
          <w:sz w:val="22"/>
          <w:szCs w:val="22"/>
        </w:rPr>
      </w:pPr>
      <w:r w:rsidRPr="001E6322">
        <w:rPr>
          <w:rFonts w:ascii="Palatino Linotype" w:eastAsia="Palatino Linotype" w:hAnsi="Palatino Linotype" w:cs="Palatino Linotype"/>
          <w:b/>
          <w:sz w:val="22"/>
          <w:szCs w:val="22"/>
        </w:rPr>
        <w:t xml:space="preserve">Tercero. Notifíquese vía Sistema de Acceso a la Información Mexiquense (SAIMEX) </w:t>
      </w:r>
      <w:r w:rsidRPr="001E6322">
        <w:rPr>
          <w:rFonts w:ascii="Palatino Linotype" w:eastAsia="Palatino Linotype" w:hAnsi="Palatino Linotype" w:cs="Palatino Linotype"/>
          <w:sz w:val="22"/>
          <w:szCs w:val="22"/>
        </w:rPr>
        <w:t xml:space="preserve">la presente resolución a la parte </w:t>
      </w:r>
      <w:r w:rsidRPr="001E6322">
        <w:rPr>
          <w:rFonts w:ascii="Palatino Linotype" w:eastAsia="Palatino Linotype" w:hAnsi="Palatino Linotype" w:cs="Palatino Linotype"/>
          <w:b/>
          <w:sz w:val="22"/>
          <w:szCs w:val="22"/>
        </w:rPr>
        <w:t>RECURRENTE</w:t>
      </w:r>
      <w:r w:rsidRPr="001E6322">
        <w:rPr>
          <w:rFonts w:ascii="Palatino Linotype" w:eastAsia="Palatino Linotype" w:hAnsi="Palatino Linotype" w:cs="Palatino Linotype"/>
          <w:sz w:val="22"/>
          <w:szCs w:val="22"/>
        </w:rPr>
        <w:t>, así como, que de conformidad con lo establecido en el artículo 196 de la Ley de Transparencia y Acceso a la Información Pública del Estado de México y Municipios, podrá impugnarla vía Juicio de Amparo en los términos de las leyes aplicables.</w:t>
      </w:r>
    </w:p>
    <w:p w14:paraId="251B9E56" w14:textId="2F9609C2" w:rsidR="00C55420" w:rsidRPr="001E6322" w:rsidRDefault="00C55420" w:rsidP="002F1A0C">
      <w:pPr>
        <w:spacing w:line="360" w:lineRule="auto"/>
        <w:ind w:right="49"/>
        <w:jc w:val="both"/>
        <w:rPr>
          <w:rFonts w:ascii="Palatino Linotype" w:eastAsia="Palatino Linotype" w:hAnsi="Palatino Linotype" w:cs="Palatino Linotype"/>
          <w:sz w:val="22"/>
          <w:szCs w:val="22"/>
        </w:rPr>
      </w:pPr>
    </w:p>
    <w:p w14:paraId="2A011A04" w14:textId="77777777" w:rsidR="00C55420" w:rsidRPr="001E6322" w:rsidRDefault="00C55420" w:rsidP="002F1A0C">
      <w:pPr>
        <w:spacing w:line="360" w:lineRule="auto"/>
        <w:ind w:right="49"/>
        <w:jc w:val="both"/>
        <w:rPr>
          <w:rFonts w:ascii="Palatino Linotype" w:eastAsia="Palatino Linotype" w:hAnsi="Palatino Linotype" w:cs="Palatino Linotype"/>
          <w:sz w:val="22"/>
          <w:szCs w:val="22"/>
        </w:rPr>
      </w:pPr>
    </w:p>
    <w:p w14:paraId="74409A62" w14:textId="48A74726" w:rsidR="002F1A0C" w:rsidRPr="00FC12D7" w:rsidRDefault="002F1A0C" w:rsidP="002F1A0C">
      <w:pPr>
        <w:spacing w:before="240" w:after="240" w:line="360" w:lineRule="auto"/>
        <w:jc w:val="both"/>
        <w:rPr>
          <w:rFonts w:ascii="Palatino Linotype" w:eastAsia="Palatino Linotype" w:hAnsi="Palatino Linotype" w:cs="Palatino Linotype"/>
          <w:b/>
          <w:bCs/>
          <w:sz w:val="22"/>
          <w:szCs w:val="22"/>
        </w:rPr>
      </w:pPr>
      <w:r w:rsidRPr="001E6322">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EN LA TRIGÉSIMA </w:t>
      </w:r>
      <w:r w:rsidR="00A37C2B" w:rsidRPr="001E6322">
        <w:rPr>
          <w:rFonts w:ascii="Palatino Linotype" w:eastAsia="Palatino Linotype" w:hAnsi="Palatino Linotype" w:cs="Palatino Linotype"/>
          <w:sz w:val="22"/>
          <w:szCs w:val="22"/>
        </w:rPr>
        <w:t>CUARTA</w:t>
      </w:r>
      <w:r w:rsidRPr="001E6322">
        <w:rPr>
          <w:rFonts w:ascii="Palatino Linotype" w:eastAsia="Palatino Linotype" w:hAnsi="Palatino Linotype" w:cs="Palatino Linotype"/>
          <w:sz w:val="22"/>
          <w:szCs w:val="22"/>
        </w:rPr>
        <w:t xml:space="preserve"> SESIÓN ORDINARIA, CELEBRADA EL </w:t>
      </w:r>
      <w:r w:rsidR="00A37C2B" w:rsidRPr="001E6322">
        <w:rPr>
          <w:rFonts w:ascii="Palatino Linotype" w:eastAsia="Palatino Linotype" w:hAnsi="Palatino Linotype" w:cs="Palatino Linotype"/>
          <w:sz w:val="22"/>
          <w:szCs w:val="22"/>
        </w:rPr>
        <w:t>VEINTI</w:t>
      </w:r>
      <w:r w:rsidR="00C55420" w:rsidRPr="001E6322">
        <w:rPr>
          <w:rFonts w:ascii="Palatino Linotype" w:eastAsia="Palatino Linotype" w:hAnsi="Palatino Linotype" w:cs="Palatino Linotype"/>
          <w:sz w:val="22"/>
          <w:szCs w:val="22"/>
        </w:rPr>
        <w:t>CUATRO</w:t>
      </w:r>
      <w:r w:rsidRPr="001E6322">
        <w:rPr>
          <w:rFonts w:ascii="Palatino Linotype" w:eastAsia="Palatino Linotype" w:hAnsi="Palatino Linotype" w:cs="Palatino Linotype"/>
          <w:sz w:val="22"/>
          <w:szCs w:val="22"/>
        </w:rPr>
        <w:t xml:space="preserve"> DE SEPTIEMBRE DE DOS MIL VEINTISÉIS, ANTE EL SECRETARIO TÉCNICO DEL PLENO ALEXIS TAPIA RAMÍREZ.</w:t>
      </w:r>
    </w:p>
    <w:p w14:paraId="6D6FA506" w14:textId="77777777" w:rsidR="002F1A0C" w:rsidRPr="00FC12D7" w:rsidRDefault="002F1A0C" w:rsidP="002F1A0C">
      <w:pPr>
        <w:spacing w:line="360" w:lineRule="auto"/>
        <w:ind w:right="49"/>
        <w:jc w:val="both"/>
        <w:rPr>
          <w:rFonts w:ascii="Palatino Linotype" w:eastAsia="Palatino Linotype" w:hAnsi="Palatino Linotype" w:cs="Palatino Linotype"/>
          <w:sz w:val="22"/>
          <w:szCs w:val="22"/>
        </w:rPr>
      </w:pPr>
    </w:p>
    <w:p w14:paraId="6A0EFAE0" w14:textId="77777777" w:rsidR="002F1A0C" w:rsidRPr="00FC12D7" w:rsidRDefault="002F1A0C" w:rsidP="002F1A0C">
      <w:pPr>
        <w:spacing w:before="240" w:after="240" w:line="360" w:lineRule="auto"/>
        <w:ind w:right="49"/>
        <w:jc w:val="both"/>
        <w:rPr>
          <w:rFonts w:ascii="Palatino Linotype" w:eastAsia="Palatino Linotype" w:hAnsi="Palatino Linotype" w:cs="Palatino Linotype"/>
          <w:sz w:val="22"/>
          <w:szCs w:val="22"/>
        </w:rPr>
      </w:pPr>
    </w:p>
    <w:p w14:paraId="42F69FB4" w14:textId="0A599868" w:rsidR="00192000" w:rsidRPr="00FC12D7" w:rsidRDefault="00192000" w:rsidP="00001B8A">
      <w:pPr>
        <w:spacing w:before="240" w:after="240" w:line="360" w:lineRule="auto"/>
        <w:jc w:val="both"/>
        <w:rPr>
          <w:rFonts w:ascii="Palatino Linotype" w:eastAsia="Palatino Linotype" w:hAnsi="Palatino Linotype" w:cs="Palatino Linotype"/>
          <w:sz w:val="22"/>
          <w:szCs w:val="22"/>
        </w:rPr>
      </w:pPr>
    </w:p>
    <w:p w14:paraId="2A38835B" w14:textId="55140F07" w:rsidR="00192000" w:rsidRPr="00FC12D7" w:rsidRDefault="00192000" w:rsidP="00001B8A">
      <w:pPr>
        <w:spacing w:before="240" w:after="240" w:line="360" w:lineRule="auto"/>
        <w:jc w:val="both"/>
        <w:rPr>
          <w:rFonts w:ascii="Palatino Linotype" w:eastAsia="Palatino Linotype" w:hAnsi="Palatino Linotype" w:cs="Palatino Linotype"/>
          <w:sz w:val="22"/>
          <w:szCs w:val="22"/>
        </w:rPr>
      </w:pPr>
    </w:p>
    <w:p w14:paraId="69848C62" w14:textId="77777777" w:rsidR="00D10152" w:rsidRPr="00FC12D7" w:rsidRDefault="00D10152" w:rsidP="00001B8A">
      <w:pPr>
        <w:spacing w:before="240" w:after="240" w:line="360" w:lineRule="auto"/>
        <w:jc w:val="both"/>
        <w:rPr>
          <w:rFonts w:ascii="Palatino Linotype" w:eastAsia="Palatino Linotype" w:hAnsi="Palatino Linotype" w:cs="Palatino Linotype"/>
          <w:sz w:val="22"/>
          <w:szCs w:val="22"/>
        </w:rPr>
      </w:pPr>
    </w:p>
    <w:p w14:paraId="1D0A746E" w14:textId="77777777" w:rsidR="00D10152" w:rsidRPr="00FC12D7" w:rsidRDefault="00D10152" w:rsidP="00001B8A">
      <w:pPr>
        <w:spacing w:before="240" w:after="240" w:line="360" w:lineRule="auto"/>
        <w:jc w:val="center"/>
        <w:rPr>
          <w:rFonts w:ascii="Palatino Linotype" w:eastAsia="Palatino Linotype" w:hAnsi="Palatino Linotype" w:cs="Palatino Linotype"/>
          <w:sz w:val="22"/>
          <w:szCs w:val="22"/>
        </w:rPr>
      </w:pPr>
    </w:p>
    <w:p w14:paraId="1B44045F" w14:textId="77777777" w:rsidR="00D10152" w:rsidRPr="00FC12D7" w:rsidRDefault="00D10152" w:rsidP="00001B8A">
      <w:pPr>
        <w:spacing w:before="240" w:after="240" w:line="360" w:lineRule="auto"/>
        <w:jc w:val="both"/>
        <w:rPr>
          <w:rFonts w:ascii="Palatino Linotype" w:eastAsia="Palatino Linotype" w:hAnsi="Palatino Linotype" w:cs="Palatino Linotype"/>
          <w:sz w:val="22"/>
          <w:szCs w:val="22"/>
        </w:rPr>
      </w:pPr>
    </w:p>
    <w:p w14:paraId="386B1B56" w14:textId="77777777" w:rsidR="00887B56" w:rsidRPr="00FC12D7" w:rsidRDefault="00887B56" w:rsidP="00001B8A">
      <w:pPr>
        <w:spacing w:before="240" w:after="240" w:line="360" w:lineRule="auto"/>
        <w:jc w:val="both"/>
        <w:rPr>
          <w:rFonts w:ascii="Palatino Linotype" w:eastAsia="Palatino Linotype" w:hAnsi="Palatino Linotype" w:cs="Palatino Linotype"/>
          <w:sz w:val="22"/>
          <w:szCs w:val="22"/>
        </w:rPr>
      </w:pPr>
    </w:p>
    <w:p w14:paraId="00048F02" w14:textId="77777777" w:rsidR="00887B56" w:rsidRPr="00FC12D7" w:rsidRDefault="00887B56" w:rsidP="00001B8A">
      <w:pPr>
        <w:spacing w:before="240" w:after="240" w:line="360" w:lineRule="auto"/>
        <w:jc w:val="both"/>
        <w:rPr>
          <w:rFonts w:ascii="Palatino Linotype" w:eastAsia="Palatino Linotype" w:hAnsi="Palatino Linotype" w:cs="Palatino Linotype"/>
          <w:sz w:val="22"/>
          <w:szCs w:val="22"/>
        </w:rPr>
      </w:pPr>
    </w:p>
    <w:p w14:paraId="49EEEE42" w14:textId="77777777" w:rsidR="00887B56" w:rsidRPr="00FC12D7" w:rsidRDefault="00887B56" w:rsidP="00001B8A">
      <w:pPr>
        <w:spacing w:before="240" w:after="240" w:line="360" w:lineRule="auto"/>
        <w:jc w:val="both"/>
        <w:rPr>
          <w:rFonts w:ascii="Palatino Linotype" w:eastAsia="Palatino Linotype" w:hAnsi="Palatino Linotype" w:cs="Palatino Linotype"/>
          <w:sz w:val="22"/>
          <w:szCs w:val="22"/>
        </w:rPr>
      </w:pPr>
    </w:p>
    <w:p w14:paraId="6E372C19" w14:textId="710BD9CD" w:rsidR="00887B56" w:rsidRPr="00FC12D7" w:rsidRDefault="00887B56" w:rsidP="00001B8A">
      <w:pPr>
        <w:spacing w:before="240" w:after="240" w:line="360" w:lineRule="auto"/>
        <w:jc w:val="both"/>
        <w:rPr>
          <w:rFonts w:ascii="Palatino Linotype" w:eastAsia="Palatino Linotype" w:hAnsi="Palatino Linotype" w:cs="Palatino Linotype"/>
          <w:sz w:val="22"/>
          <w:szCs w:val="22"/>
        </w:rPr>
      </w:pPr>
    </w:p>
    <w:p w14:paraId="6EAF7A1E" w14:textId="5CECB96C" w:rsidR="00021C32" w:rsidRPr="00FC12D7" w:rsidRDefault="00021C32" w:rsidP="00001B8A">
      <w:pPr>
        <w:spacing w:before="240" w:after="240" w:line="360" w:lineRule="auto"/>
        <w:jc w:val="both"/>
        <w:rPr>
          <w:rFonts w:ascii="Palatino Linotype" w:eastAsia="Palatino Linotype" w:hAnsi="Palatino Linotype" w:cs="Palatino Linotype"/>
          <w:sz w:val="22"/>
          <w:szCs w:val="22"/>
        </w:rPr>
      </w:pPr>
    </w:p>
    <w:p w14:paraId="00924D10" w14:textId="07A316B6" w:rsidR="00021C32" w:rsidRPr="00FC12D7" w:rsidRDefault="00021C32" w:rsidP="00001B8A">
      <w:pPr>
        <w:spacing w:before="240" w:after="240" w:line="360" w:lineRule="auto"/>
        <w:jc w:val="both"/>
        <w:rPr>
          <w:rFonts w:ascii="Palatino Linotype" w:eastAsia="Palatino Linotype" w:hAnsi="Palatino Linotype" w:cs="Palatino Linotype"/>
          <w:sz w:val="22"/>
          <w:szCs w:val="22"/>
        </w:rPr>
      </w:pPr>
    </w:p>
    <w:p w14:paraId="16AB0AEE" w14:textId="3ACEFE07" w:rsidR="00021C32" w:rsidRPr="00FC12D7" w:rsidRDefault="00021C32" w:rsidP="00001B8A">
      <w:pPr>
        <w:spacing w:before="240" w:after="240" w:line="360" w:lineRule="auto"/>
        <w:jc w:val="both"/>
        <w:rPr>
          <w:rFonts w:ascii="Palatino Linotype" w:eastAsia="Palatino Linotype" w:hAnsi="Palatino Linotype" w:cs="Palatino Linotype"/>
          <w:sz w:val="22"/>
          <w:szCs w:val="22"/>
        </w:rPr>
      </w:pPr>
    </w:p>
    <w:p w14:paraId="31F41F29" w14:textId="77777777" w:rsidR="00021C32" w:rsidRPr="00FC12D7" w:rsidRDefault="00021C32" w:rsidP="00001B8A">
      <w:pPr>
        <w:spacing w:before="240" w:after="240" w:line="360" w:lineRule="auto"/>
        <w:jc w:val="both"/>
        <w:rPr>
          <w:rFonts w:ascii="Palatino Linotype" w:eastAsia="Palatino Linotype" w:hAnsi="Palatino Linotype" w:cs="Palatino Linotype"/>
          <w:sz w:val="22"/>
          <w:szCs w:val="22"/>
        </w:rPr>
      </w:pPr>
    </w:p>
    <w:p w14:paraId="55A3A5C7" w14:textId="77777777" w:rsidR="00887B56" w:rsidRPr="00FC12D7" w:rsidRDefault="00887B56" w:rsidP="00001B8A">
      <w:pPr>
        <w:spacing w:before="240" w:after="240" w:line="360" w:lineRule="auto"/>
        <w:jc w:val="both"/>
        <w:rPr>
          <w:rFonts w:ascii="Palatino Linotype" w:eastAsia="Palatino Linotype" w:hAnsi="Palatino Linotype" w:cs="Palatino Linotype"/>
          <w:sz w:val="22"/>
          <w:szCs w:val="22"/>
        </w:rPr>
      </w:pPr>
    </w:p>
    <w:sectPr w:rsidR="00887B56" w:rsidRPr="00FC12D7">
      <w:headerReference w:type="default" r:id="rId12"/>
      <w:footerReference w:type="default" r:id="rId13"/>
      <w:headerReference w:type="first" r:id="rId14"/>
      <w:footerReference w:type="first" r:id="rId15"/>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9A076" w14:textId="77777777" w:rsidR="00EC12ED" w:rsidRDefault="00EC12ED">
      <w:r>
        <w:separator/>
      </w:r>
    </w:p>
  </w:endnote>
  <w:endnote w:type="continuationSeparator" w:id="0">
    <w:p w14:paraId="7025BB3C" w14:textId="77777777" w:rsidR="00EC12ED" w:rsidRDefault="00EC1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63605" w14:textId="7D5AA8E9" w:rsidR="00854F65" w:rsidRDefault="00854F65">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2D6A9C">
      <w:rPr>
        <w:rFonts w:ascii="Palatino Linotype" w:eastAsia="Palatino Linotype" w:hAnsi="Palatino Linotype" w:cs="Palatino Linotype"/>
        <w:b/>
        <w:noProof/>
        <w:color w:val="000000"/>
        <w:sz w:val="20"/>
        <w:szCs w:val="20"/>
      </w:rPr>
      <w:t>20</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2D6A9C">
      <w:rPr>
        <w:rFonts w:ascii="Palatino Linotype" w:eastAsia="Palatino Linotype" w:hAnsi="Palatino Linotype" w:cs="Palatino Linotype"/>
        <w:b/>
        <w:noProof/>
        <w:color w:val="000000"/>
        <w:sz w:val="20"/>
        <w:szCs w:val="20"/>
      </w:rPr>
      <w:t>22</w:t>
    </w:r>
    <w:r>
      <w:rPr>
        <w:rFonts w:ascii="Palatino Linotype" w:eastAsia="Palatino Linotype" w:hAnsi="Palatino Linotype" w:cs="Palatino Linotype"/>
        <w:b/>
        <w:color w:val="000000"/>
        <w:sz w:val="20"/>
        <w:szCs w:val="20"/>
      </w:rPr>
      <w:fldChar w:fldCharType="end"/>
    </w:r>
  </w:p>
  <w:p w14:paraId="37B340A6" w14:textId="77777777" w:rsidR="00854F65" w:rsidRDefault="00854F65">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956B4" w14:textId="16AB8BFB" w:rsidR="00854F65" w:rsidRDefault="00854F65">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2D6A9C">
      <w:rPr>
        <w:rFonts w:ascii="Palatino Linotype" w:eastAsia="Palatino Linotype" w:hAnsi="Palatino Linotype" w:cs="Palatino Linotype"/>
        <w:b/>
        <w:noProof/>
        <w:color w:val="000000"/>
        <w:sz w:val="20"/>
        <w:szCs w:val="20"/>
      </w:rPr>
      <w:t>1</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2D6A9C">
      <w:rPr>
        <w:rFonts w:ascii="Palatino Linotype" w:eastAsia="Palatino Linotype" w:hAnsi="Palatino Linotype" w:cs="Palatino Linotype"/>
        <w:b/>
        <w:noProof/>
        <w:color w:val="000000"/>
        <w:sz w:val="20"/>
        <w:szCs w:val="20"/>
      </w:rPr>
      <w:t>22</w:t>
    </w:r>
    <w:r>
      <w:rPr>
        <w:rFonts w:ascii="Palatino Linotype" w:eastAsia="Palatino Linotype" w:hAnsi="Palatino Linotype" w:cs="Palatino Linotype"/>
        <w:b/>
        <w:color w:val="000000"/>
        <w:sz w:val="20"/>
        <w:szCs w:val="20"/>
      </w:rPr>
      <w:fldChar w:fldCharType="end"/>
    </w:r>
  </w:p>
  <w:p w14:paraId="392029CF" w14:textId="77777777" w:rsidR="00854F65" w:rsidRDefault="00854F65">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BA899" w14:textId="77777777" w:rsidR="00EC12ED" w:rsidRDefault="00EC12ED">
      <w:r>
        <w:separator/>
      </w:r>
    </w:p>
  </w:footnote>
  <w:footnote w:type="continuationSeparator" w:id="0">
    <w:p w14:paraId="75634263" w14:textId="77777777" w:rsidR="00EC12ED" w:rsidRDefault="00EC12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910D0" w14:textId="77777777" w:rsidR="00854F65" w:rsidRDefault="00854F65">
    <w:pPr>
      <w:rPr>
        <w:rFonts w:ascii="Cambria" w:eastAsia="Cambria" w:hAnsi="Cambria" w:cs="Cambria"/>
        <w:color w:val="000000"/>
      </w:rPr>
    </w:pPr>
    <w:r>
      <w:rPr>
        <w:noProof/>
      </w:rPr>
      <w:drawing>
        <wp:anchor distT="0" distB="0" distL="0" distR="0" simplePos="0" relativeHeight="251658240" behindDoc="1" locked="0" layoutInCell="1" hidden="0" allowOverlap="1" wp14:anchorId="20F1D627" wp14:editId="78B15E19">
          <wp:simplePos x="0" y="0"/>
          <wp:positionH relativeFrom="column">
            <wp:posOffset>-1080091</wp:posOffset>
          </wp:positionH>
          <wp:positionV relativeFrom="paragraph">
            <wp:posOffset>-488262</wp:posOffset>
          </wp:positionV>
          <wp:extent cx="7809865" cy="10165715"/>
          <wp:effectExtent l="0" t="0" r="0" b="0"/>
          <wp:wrapNone/>
          <wp:docPr id="30841598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a"/>
      <w:tblW w:w="5953" w:type="dxa"/>
      <w:tblInd w:w="3261" w:type="dxa"/>
      <w:tblLayout w:type="fixed"/>
      <w:tblLook w:val="0400" w:firstRow="0" w:lastRow="0" w:firstColumn="0" w:lastColumn="0" w:noHBand="0" w:noVBand="1"/>
    </w:tblPr>
    <w:tblGrid>
      <w:gridCol w:w="2489"/>
      <w:gridCol w:w="3464"/>
    </w:tblGrid>
    <w:tr w:rsidR="00854F65" w14:paraId="12ED3AA9" w14:textId="77777777">
      <w:tc>
        <w:tcPr>
          <w:tcW w:w="2489" w:type="dxa"/>
        </w:tcPr>
        <w:p w14:paraId="3466DFBE" w14:textId="77777777" w:rsidR="00854F65" w:rsidRDefault="00854F65">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69A2503E" w14:textId="7F4E550F" w:rsidR="00854F65" w:rsidRDefault="00854F65" w:rsidP="004C2FF6">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07576/INFOEM/IP/RR/2026</w:t>
          </w:r>
        </w:p>
      </w:tc>
    </w:tr>
    <w:tr w:rsidR="00854F65" w14:paraId="1F693A74" w14:textId="77777777">
      <w:trPr>
        <w:trHeight w:val="228"/>
      </w:trPr>
      <w:tc>
        <w:tcPr>
          <w:tcW w:w="2489" w:type="dxa"/>
          <w:vAlign w:val="center"/>
        </w:tcPr>
        <w:p w14:paraId="31F01A98" w14:textId="77777777" w:rsidR="00854F65" w:rsidRDefault="00854F65">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633911B5" w14:textId="7FC22805" w:rsidR="00854F65" w:rsidRDefault="00854F65">
          <w:pPr>
            <w:ind w:left="-45" w:right="176"/>
            <w:jc w:val="both"/>
            <w:rPr>
              <w:rFonts w:ascii="Palatino Linotype" w:eastAsia="Palatino Linotype" w:hAnsi="Palatino Linotype" w:cs="Palatino Linotype"/>
              <w:b/>
              <w:sz w:val="22"/>
              <w:szCs w:val="22"/>
            </w:rPr>
          </w:pPr>
          <w:r w:rsidRPr="003131D9">
            <w:rPr>
              <w:rFonts w:ascii="Palatino Linotype" w:eastAsia="Palatino Linotype" w:hAnsi="Palatino Linotype" w:cs="Palatino Linotype"/>
              <w:b/>
              <w:sz w:val="22"/>
              <w:szCs w:val="22"/>
            </w:rPr>
            <w:t>Ayuntamiento de Ecatepec de Morelos</w:t>
          </w:r>
        </w:p>
      </w:tc>
    </w:tr>
    <w:tr w:rsidR="00854F65" w14:paraId="72A8C24D" w14:textId="77777777">
      <w:tc>
        <w:tcPr>
          <w:tcW w:w="2489" w:type="dxa"/>
          <w:vAlign w:val="center"/>
        </w:tcPr>
        <w:p w14:paraId="22F4249F" w14:textId="77777777" w:rsidR="00854F65" w:rsidRDefault="00854F65">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0B2DAF3F" w14:textId="77777777" w:rsidR="00854F65" w:rsidRDefault="00854F65">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4F32E993" w14:textId="77777777" w:rsidR="00854F65" w:rsidRDefault="00854F65">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BEAA8" w14:textId="77777777" w:rsidR="00854F65" w:rsidRDefault="00854F65">
    <w:pPr>
      <w:widowControl w:val="0"/>
      <w:pBdr>
        <w:top w:val="nil"/>
        <w:left w:val="nil"/>
        <w:bottom w:val="nil"/>
        <w:right w:val="nil"/>
        <w:between w:val="nil"/>
      </w:pBdr>
      <w:spacing w:line="276" w:lineRule="auto"/>
      <w:rPr>
        <w:rFonts w:ascii="Palatino Linotype" w:eastAsia="Palatino Linotype" w:hAnsi="Palatino Linotype" w:cs="Palatino Linotype"/>
        <w:sz w:val="16"/>
        <w:szCs w:val="16"/>
      </w:rPr>
    </w:pPr>
    <w:r>
      <w:rPr>
        <w:noProof/>
      </w:rPr>
      <w:drawing>
        <wp:anchor distT="0" distB="0" distL="0" distR="0" simplePos="0" relativeHeight="251659264" behindDoc="1" locked="0" layoutInCell="1" hidden="0" allowOverlap="1" wp14:anchorId="4773CD4F" wp14:editId="40981CA7">
          <wp:simplePos x="0" y="0"/>
          <wp:positionH relativeFrom="column">
            <wp:posOffset>-1080134</wp:posOffset>
          </wp:positionH>
          <wp:positionV relativeFrom="paragraph">
            <wp:posOffset>-369892</wp:posOffset>
          </wp:positionV>
          <wp:extent cx="7809865" cy="10165715"/>
          <wp:effectExtent l="0" t="0" r="0" b="0"/>
          <wp:wrapNone/>
          <wp:docPr id="14547421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b"/>
      <w:tblW w:w="5953" w:type="dxa"/>
      <w:tblInd w:w="3261" w:type="dxa"/>
      <w:tblLayout w:type="fixed"/>
      <w:tblLook w:val="0400" w:firstRow="0" w:lastRow="0" w:firstColumn="0" w:lastColumn="0" w:noHBand="0" w:noVBand="1"/>
    </w:tblPr>
    <w:tblGrid>
      <w:gridCol w:w="2489"/>
      <w:gridCol w:w="3464"/>
    </w:tblGrid>
    <w:tr w:rsidR="00854F65" w14:paraId="658BA233" w14:textId="77777777">
      <w:tc>
        <w:tcPr>
          <w:tcW w:w="2489" w:type="dxa"/>
        </w:tcPr>
        <w:p w14:paraId="3B662A4A" w14:textId="77777777" w:rsidR="00854F65" w:rsidRDefault="00854F65">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59712B01" w14:textId="46C916FA" w:rsidR="00854F65" w:rsidRDefault="00854F65" w:rsidP="004C2FF6">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07576/INFOEM/IP/RR/2026</w:t>
          </w:r>
        </w:p>
      </w:tc>
    </w:tr>
    <w:tr w:rsidR="00854F65" w14:paraId="12107FBB" w14:textId="77777777">
      <w:tc>
        <w:tcPr>
          <w:tcW w:w="2489" w:type="dxa"/>
        </w:tcPr>
        <w:p w14:paraId="38DA5A64" w14:textId="77777777" w:rsidR="00854F65" w:rsidRDefault="00854F65">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Recurrente</w:t>
          </w:r>
        </w:p>
      </w:tc>
      <w:tc>
        <w:tcPr>
          <w:tcW w:w="3464" w:type="dxa"/>
          <w:vAlign w:val="center"/>
        </w:tcPr>
        <w:p w14:paraId="2BCA7C54" w14:textId="008FD7A1" w:rsidR="00854F65" w:rsidRDefault="002D6A9C">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XXXXX XXX XXXXXX XXXXX XXXX</w:t>
          </w:r>
        </w:p>
      </w:tc>
    </w:tr>
    <w:tr w:rsidR="00854F65" w14:paraId="6911DA80" w14:textId="77777777">
      <w:trPr>
        <w:trHeight w:val="228"/>
      </w:trPr>
      <w:tc>
        <w:tcPr>
          <w:tcW w:w="2489" w:type="dxa"/>
          <w:vAlign w:val="center"/>
        </w:tcPr>
        <w:p w14:paraId="1E00DAEA" w14:textId="77777777" w:rsidR="00854F65" w:rsidRDefault="00854F65">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21DAFC68" w14:textId="19B5EB2B" w:rsidR="00854F65" w:rsidRDefault="00854F65">
          <w:pPr>
            <w:ind w:left="-45" w:right="176"/>
            <w:jc w:val="both"/>
            <w:rPr>
              <w:rFonts w:ascii="Palatino Linotype" w:eastAsia="Palatino Linotype" w:hAnsi="Palatino Linotype" w:cs="Palatino Linotype"/>
              <w:b/>
              <w:sz w:val="22"/>
              <w:szCs w:val="22"/>
            </w:rPr>
          </w:pPr>
          <w:r w:rsidRPr="003131D9">
            <w:rPr>
              <w:rFonts w:ascii="Palatino Linotype" w:eastAsia="Palatino Linotype" w:hAnsi="Palatino Linotype" w:cs="Palatino Linotype"/>
              <w:b/>
              <w:sz w:val="22"/>
              <w:szCs w:val="22"/>
            </w:rPr>
            <w:t>Ayuntamiento de Ecatepec de Morelos</w:t>
          </w:r>
        </w:p>
      </w:tc>
    </w:tr>
    <w:tr w:rsidR="00854F65" w14:paraId="1665E429" w14:textId="77777777">
      <w:tc>
        <w:tcPr>
          <w:tcW w:w="2489" w:type="dxa"/>
          <w:vAlign w:val="center"/>
        </w:tcPr>
        <w:p w14:paraId="6CF84D98" w14:textId="77777777" w:rsidR="00854F65" w:rsidRDefault="00854F65">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0CC5AC0B" w14:textId="77777777" w:rsidR="00854F65" w:rsidRDefault="00854F65">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5DEEBB48" w14:textId="77777777" w:rsidR="00854F65" w:rsidRDefault="00854F6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99FCFE2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D801CE9"/>
    <w:multiLevelType w:val="multilevel"/>
    <w:tmpl w:val="96B62F4E"/>
    <w:lvl w:ilvl="0">
      <w:start w:val="1"/>
      <w:numFmt w:val="lowerLetter"/>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EC1274E"/>
    <w:multiLevelType w:val="multilevel"/>
    <w:tmpl w:val="1388BC6C"/>
    <w:lvl w:ilvl="0">
      <w:start w:val="1"/>
      <w:numFmt w:val="decimal"/>
      <w:lvlText w:val="%1."/>
      <w:lvlJc w:val="left"/>
      <w:pPr>
        <w:ind w:left="644" w:hanging="357"/>
      </w:pPr>
      <w:rPr>
        <w:rFonts w:ascii="Palatino Linotype" w:eastAsia="Palatino Linotype" w:hAnsi="Palatino Linotype" w:cs="Palatino Linotype"/>
        <w:b/>
        <w:i w:val="0"/>
        <w:color w:val="000000"/>
        <w:sz w:val="24"/>
        <w:szCs w:val="24"/>
      </w:rPr>
    </w:lvl>
    <w:lvl w:ilvl="1">
      <w:start w:val="1"/>
      <w:numFmt w:val="upperRoman"/>
      <w:lvlText w:val="%2."/>
      <w:lvlJc w:val="right"/>
      <w:pPr>
        <w:ind w:left="7525" w:hanging="720"/>
      </w:pPr>
    </w:lvl>
    <w:lvl w:ilvl="2">
      <w:start w:val="4"/>
      <w:numFmt w:val="lowerLetter"/>
      <w:lvlText w:val="%3)"/>
      <w:lvlJc w:val="left"/>
      <w:pPr>
        <w:ind w:left="2340" w:hanging="360"/>
      </w:pPr>
    </w:lvl>
    <w:lvl w:ilvl="3">
      <w:start w:val="1"/>
      <w:numFmt w:val="decimal"/>
      <w:lvlText w:val="%4."/>
      <w:lvlJc w:val="left"/>
      <w:pPr>
        <w:ind w:left="2880" w:hanging="360"/>
      </w:pPr>
    </w:lvl>
    <w:lvl w:ilvl="4">
      <w:start w:val="104"/>
      <w:numFmt w:val="decimal"/>
      <w:lvlText w:val="%5"/>
      <w:lvlJc w:val="left"/>
      <w:pPr>
        <w:ind w:left="3600" w:hanging="360"/>
      </w:pPr>
      <w:rPr>
        <w:b/>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5329F5"/>
    <w:multiLevelType w:val="multilevel"/>
    <w:tmpl w:val="A6488AC6"/>
    <w:lvl w:ilvl="0">
      <w:start w:val="1"/>
      <w:numFmt w:val="lowerLetter"/>
      <w:pStyle w:val="Listaconvietas3"/>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1DC670DC"/>
    <w:multiLevelType w:val="multilevel"/>
    <w:tmpl w:val="CAC2F6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023D3A"/>
    <w:multiLevelType w:val="hybridMultilevel"/>
    <w:tmpl w:val="17B8478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 w15:restartNumberingAfterBreak="0">
    <w:nsid w:val="3EFA3BB8"/>
    <w:multiLevelType w:val="multilevel"/>
    <w:tmpl w:val="901642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EC7A78"/>
    <w:multiLevelType w:val="multilevel"/>
    <w:tmpl w:val="39EEDDB8"/>
    <w:lvl w:ilvl="0">
      <w:numFmt w:val="bullet"/>
      <w:lvlText w:val="-"/>
      <w:lvlJc w:val="left"/>
      <w:pPr>
        <w:ind w:left="720" w:hanging="360"/>
      </w:pPr>
      <w:rPr>
        <w:rFonts w:ascii="Palatino Linotype" w:eastAsia="Palatino Linotype" w:hAnsi="Palatino Linotype" w:cs="Palatino Linotype"/>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949296B"/>
    <w:multiLevelType w:val="hybridMultilevel"/>
    <w:tmpl w:val="FB72CC74"/>
    <w:lvl w:ilvl="0" w:tplc="B5760174">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 w15:restartNumberingAfterBreak="0">
    <w:nsid w:val="58445E40"/>
    <w:multiLevelType w:val="hybridMultilevel"/>
    <w:tmpl w:val="7416D4EC"/>
    <w:lvl w:ilvl="0" w:tplc="0A32A474">
      <w:start w:val="2"/>
      <w:numFmt w:val="bullet"/>
      <w:lvlText w:val="-"/>
      <w:lvlJc w:val="left"/>
      <w:pPr>
        <w:ind w:left="720" w:hanging="360"/>
      </w:pPr>
      <w:rPr>
        <w:rFonts w:ascii="Palatino Linotype" w:eastAsia="Palatino Linotype" w:hAnsi="Palatino Linotype"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1D62483"/>
    <w:multiLevelType w:val="hybridMultilevel"/>
    <w:tmpl w:val="E5DCA90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5750602"/>
    <w:multiLevelType w:val="hybridMultilevel"/>
    <w:tmpl w:val="7164ADFA"/>
    <w:lvl w:ilvl="0" w:tplc="080A0011">
      <w:start w:val="1"/>
      <w:numFmt w:val="decimal"/>
      <w:lvlText w:val="%1)"/>
      <w:lvlJc w:val="left"/>
      <w:pPr>
        <w:ind w:left="786"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16D23C9"/>
    <w:multiLevelType w:val="multilevel"/>
    <w:tmpl w:val="F8EE8E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0C791F"/>
    <w:multiLevelType w:val="multilevel"/>
    <w:tmpl w:val="DCAE9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BA7C16"/>
    <w:multiLevelType w:val="multilevel"/>
    <w:tmpl w:val="48821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8"/>
  </w:num>
  <w:num w:numId="4">
    <w:abstractNumId w:val="0"/>
  </w:num>
  <w:num w:numId="5">
    <w:abstractNumId w:val="1"/>
  </w:num>
  <w:num w:numId="6">
    <w:abstractNumId w:val="2"/>
  </w:num>
  <w:num w:numId="7">
    <w:abstractNumId w:val="11"/>
  </w:num>
  <w:num w:numId="8">
    <w:abstractNumId w:val="5"/>
  </w:num>
  <w:num w:numId="9">
    <w:abstractNumId w:val="10"/>
  </w:num>
  <w:num w:numId="10">
    <w:abstractNumId w:val="9"/>
  </w:num>
  <w:num w:numId="11">
    <w:abstractNumId w:val="13"/>
  </w:num>
  <w:num w:numId="12">
    <w:abstractNumId w:val="14"/>
  </w:num>
  <w:num w:numId="13">
    <w:abstractNumId w:val="6"/>
    <w:lvlOverride w:ilvl="0">
      <w:lvl w:ilvl="0">
        <w:numFmt w:val="decimal"/>
        <w:lvlText w:val="%1."/>
        <w:lvlJc w:val="left"/>
      </w:lvl>
    </w:lvlOverride>
  </w:num>
  <w:num w:numId="14">
    <w:abstractNumId w:val="12"/>
    <w:lvlOverride w:ilvl="0">
      <w:lvl w:ilvl="0">
        <w:numFmt w:val="decimal"/>
        <w:lvlText w:val="%1."/>
        <w:lvlJc w:val="left"/>
      </w:lvl>
    </w:lvlOverride>
  </w:num>
  <w:num w:numId="15">
    <w:abstractNumId w:val="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152"/>
    <w:rsid w:val="00001B8A"/>
    <w:rsid w:val="00014224"/>
    <w:rsid w:val="000175C1"/>
    <w:rsid w:val="00021C32"/>
    <w:rsid w:val="00034A43"/>
    <w:rsid w:val="000367EE"/>
    <w:rsid w:val="0005336F"/>
    <w:rsid w:val="0006637B"/>
    <w:rsid w:val="00067B3B"/>
    <w:rsid w:val="00072F69"/>
    <w:rsid w:val="000E7BEB"/>
    <w:rsid w:val="000F3B9D"/>
    <w:rsid w:val="000F58B8"/>
    <w:rsid w:val="0012021A"/>
    <w:rsid w:val="001219D1"/>
    <w:rsid w:val="001513F2"/>
    <w:rsid w:val="0015396F"/>
    <w:rsid w:val="00162AAF"/>
    <w:rsid w:val="00167526"/>
    <w:rsid w:val="00182FD2"/>
    <w:rsid w:val="00186329"/>
    <w:rsid w:val="0018648E"/>
    <w:rsid w:val="00192000"/>
    <w:rsid w:val="00195F42"/>
    <w:rsid w:val="0019623B"/>
    <w:rsid w:val="001B32B4"/>
    <w:rsid w:val="001C1B9B"/>
    <w:rsid w:val="001D2783"/>
    <w:rsid w:val="001E32D7"/>
    <w:rsid w:val="001E6322"/>
    <w:rsid w:val="001F643D"/>
    <w:rsid w:val="00211E65"/>
    <w:rsid w:val="00243A62"/>
    <w:rsid w:val="002606C0"/>
    <w:rsid w:val="00282D2C"/>
    <w:rsid w:val="002A0B10"/>
    <w:rsid w:val="002B1D4B"/>
    <w:rsid w:val="002D6A9C"/>
    <w:rsid w:val="002E4605"/>
    <w:rsid w:val="002F1A0C"/>
    <w:rsid w:val="002F1D80"/>
    <w:rsid w:val="002F384A"/>
    <w:rsid w:val="002F604F"/>
    <w:rsid w:val="00312564"/>
    <w:rsid w:val="003131D9"/>
    <w:rsid w:val="003141AD"/>
    <w:rsid w:val="00315AA9"/>
    <w:rsid w:val="00327386"/>
    <w:rsid w:val="003402BF"/>
    <w:rsid w:val="003541DC"/>
    <w:rsid w:val="003B6859"/>
    <w:rsid w:val="003E10E0"/>
    <w:rsid w:val="003E5B2D"/>
    <w:rsid w:val="003E715C"/>
    <w:rsid w:val="00400DAE"/>
    <w:rsid w:val="00450793"/>
    <w:rsid w:val="0045295D"/>
    <w:rsid w:val="00470DF1"/>
    <w:rsid w:val="00475C66"/>
    <w:rsid w:val="0047708C"/>
    <w:rsid w:val="004864D3"/>
    <w:rsid w:val="00495886"/>
    <w:rsid w:val="004B0D62"/>
    <w:rsid w:val="004C2FF6"/>
    <w:rsid w:val="004C6426"/>
    <w:rsid w:val="004F1040"/>
    <w:rsid w:val="004F67B0"/>
    <w:rsid w:val="00510968"/>
    <w:rsid w:val="00514E61"/>
    <w:rsid w:val="00524A25"/>
    <w:rsid w:val="00544415"/>
    <w:rsid w:val="00545318"/>
    <w:rsid w:val="00545E77"/>
    <w:rsid w:val="0058476C"/>
    <w:rsid w:val="005D4100"/>
    <w:rsid w:val="00601996"/>
    <w:rsid w:val="00611E11"/>
    <w:rsid w:val="00632209"/>
    <w:rsid w:val="00647AA7"/>
    <w:rsid w:val="00653437"/>
    <w:rsid w:val="0066283B"/>
    <w:rsid w:val="00663C2C"/>
    <w:rsid w:val="006901FA"/>
    <w:rsid w:val="006B0E1F"/>
    <w:rsid w:val="006B18BD"/>
    <w:rsid w:val="006B203D"/>
    <w:rsid w:val="006E3A03"/>
    <w:rsid w:val="007212F3"/>
    <w:rsid w:val="00727B50"/>
    <w:rsid w:val="007422FC"/>
    <w:rsid w:val="007620DB"/>
    <w:rsid w:val="00785AE5"/>
    <w:rsid w:val="00796371"/>
    <w:rsid w:val="007A4E64"/>
    <w:rsid w:val="007C1F34"/>
    <w:rsid w:val="007C6008"/>
    <w:rsid w:val="007D356E"/>
    <w:rsid w:val="007E4BD2"/>
    <w:rsid w:val="00805D57"/>
    <w:rsid w:val="00812C61"/>
    <w:rsid w:val="00824A94"/>
    <w:rsid w:val="00833909"/>
    <w:rsid w:val="00854F65"/>
    <w:rsid w:val="008642E8"/>
    <w:rsid w:val="00872591"/>
    <w:rsid w:val="0088434A"/>
    <w:rsid w:val="00887B56"/>
    <w:rsid w:val="0089747F"/>
    <w:rsid w:val="008A2AA1"/>
    <w:rsid w:val="008B6CAB"/>
    <w:rsid w:val="008D5410"/>
    <w:rsid w:val="009116F5"/>
    <w:rsid w:val="0091405A"/>
    <w:rsid w:val="009237C5"/>
    <w:rsid w:val="0095720E"/>
    <w:rsid w:val="00966977"/>
    <w:rsid w:val="00980A80"/>
    <w:rsid w:val="009B1F2E"/>
    <w:rsid w:val="009C6343"/>
    <w:rsid w:val="009C63C1"/>
    <w:rsid w:val="009D4FFC"/>
    <w:rsid w:val="00A122B4"/>
    <w:rsid w:val="00A15D40"/>
    <w:rsid w:val="00A167A0"/>
    <w:rsid w:val="00A22E4D"/>
    <w:rsid w:val="00A27E41"/>
    <w:rsid w:val="00A310FB"/>
    <w:rsid w:val="00A32E65"/>
    <w:rsid w:val="00A37C2B"/>
    <w:rsid w:val="00A769A7"/>
    <w:rsid w:val="00A77817"/>
    <w:rsid w:val="00A94E32"/>
    <w:rsid w:val="00AA7FBE"/>
    <w:rsid w:val="00AB42DD"/>
    <w:rsid w:val="00AC507A"/>
    <w:rsid w:val="00AD5B6A"/>
    <w:rsid w:val="00B10B71"/>
    <w:rsid w:val="00B12218"/>
    <w:rsid w:val="00B142B7"/>
    <w:rsid w:val="00B40014"/>
    <w:rsid w:val="00B40AD5"/>
    <w:rsid w:val="00B60C4C"/>
    <w:rsid w:val="00B63DCC"/>
    <w:rsid w:val="00B66EB9"/>
    <w:rsid w:val="00B964D9"/>
    <w:rsid w:val="00B97970"/>
    <w:rsid w:val="00BC3010"/>
    <w:rsid w:val="00BE260C"/>
    <w:rsid w:val="00BE36BC"/>
    <w:rsid w:val="00BF01C0"/>
    <w:rsid w:val="00BF0906"/>
    <w:rsid w:val="00C047BA"/>
    <w:rsid w:val="00C0502F"/>
    <w:rsid w:val="00C14C8A"/>
    <w:rsid w:val="00C5454F"/>
    <w:rsid w:val="00C55420"/>
    <w:rsid w:val="00C55E6D"/>
    <w:rsid w:val="00C57736"/>
    <w:rsid w:val="00C75854"/>
    <w:rsid w:val="00C76A9F"/>
    <w:rsid w:val="00CA0651"/>
    <w:rsid w:val="00CC74D6"/>
    <w:rsid w:val="00CD0F28"/>
    <w:rsid w:val="00CD1DB4"/>
    <w:rsid w:val="00CD2073"/>
    <w:rsid w:val="00CD4179"/>
    <w:rsid w:val="00CE3039"/>
    <w:rsid w:val="00CF1C52"/>
    <w:rsid w:val="00D10152"/>
    <w:rsid w:val="00D16271"/>
    <w:rsid w:val="00D30304"/>
    <w:rsid w:val="00D45209"/>
    <w:rsid w:val="00D473E7"/>
    <w:rsid w:val="00D536F5"/>
    <w:rsid w:val="00D874BA"/>
    <w:rsid w:val="00DB4FCB"/>
    <w:rsid w:val="00DE3822"/>
    <w:rsid w:val="00E036D0"/>
    <w:rsid w:val="00E100D5"/>
    <w:rsid w:val="00E30BA3"/>
    <w:rsid w:val="00E32789"/>
    <w:rsid w:val="00E32A1E"/>
    <w:rsid w:val="00E32CB5"/>
    <w:rsid w:val="00E3616C"/>
    <w:rsid w:val="00E423DA"/>
    <w:rsid w:val="00E42E71"/>
    <w:rsid w:val="00E57E9A"/>
    <w:rsid w:val="00E61FDF"/>
    <w:rsid w:val="00E741E4"/>
    <w:rsid w:val="00E96D67"/>
    <w:rsid w:val="00EB4974"/>
    <w:rsid w:val="00EC12ED"/>
    <w:rsid w:val="00EF0A62"/>
    <w:rsid w:val="00EF706F"/>
    <w:rsid w:val="00F25CB0"/>
    <w:rsid w:val="00F36ECF"/>
    <w:rsid w:val="00F43B1D"/>
    <w:rsid w:val="00F5799B"/>
    <w:rsid w:val="00F62BE1"/>
    <w:rsid w:val="00F65B80"/>
    <w:rsid w:val="00F90E35"/>
    <w:rsid w:val="00FB2F9F"/>
    <w:rsid w:val="00FC12D7"/>
    <w:rsid w:val="00FE44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32FC06"/>
  <w15:docId w15:val="{050E7CFE-9D98-45C0-BF1E-E8417409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pPr>
      <w:keepNext/>
      <w:spacing w:before="240" w:after="60"/>
      <w:ind w:left="2160" w:hanging="720"/>
      <w:outlineLvl w:val="2"/>
    </w:pPr>
    <w:rPr>
      <w:rFonts w:ascii="Calibri" w:eastAsia="Calibri" w:hAnsi="Calibri" w:cs="Calibri"/>
      <w:b/>
      <w:sz w:val="26"/>
      <w:szCs w:val="26"/>
    </w:rPr>
  </w:style>
  <w:style w:type="paragraph" w:styleId="Ttulo4">
    <w:name w:val="heading 4"/>
    <w:basedOn w:val="Normal"/>
    <w:next w:val="Normal"/>
    <w:pPr>
      <w:keepNext/>
      <w:spacing w:before="240" w:after="60"/>
      <w:ind w:left="2880" w:hanging="720"/>
      <w:outlineLvl w:val="3"/>
    </w:pPr>
    <w:rPr>
      <w:rFonts w:ascii="Cambria" w:eastAsia="Cambria" w:hAnsi="Cambria" w:cs="Cambria"/>
      <w:b/>
      <w:sz w:val="28"/>
      <w:szCs w:val="28"/>
    </w:rPr>
  </w:style>
  <w:style w:type="paragraph" w:styleId="Ttulo5">
    <w:name w:val="heading 5"/>
    <w:basedOn w:val="Normal"/>
    <w:next w:val="Normal"/>
    <w:pPr>
      <w:spacing w:before="240" w:after="60"/>
      <w:ind w:left="3600" w:hanging="720"/>
      <w:outlineLvl w:val="4"/>
    </w:pPr>
    <w:rPr>
      <w:rFonts w:ascii="Cambria" w:eastAsia="Cambria" w:hAnsi="Cambria" w:cs="Cambria"/>
      <w:b/>
      <w:i/>
      <w:sz w:val="26"/>
      <w:szCs w:val="26"/>
    </w:rPr>
  </w:style>
  <w:style w:type="paragraph" w:styleId="Ttulo6">
    <w:name w:val="heading 6"/>
    <w:basedOn w:val="Normal"/>
    <w:next w:val="Normal"/>
    <w:pPr>
      <w:spacing w:before="240" w:after="60"/>
      <w:ind w:left="4320" w:hanging="72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a">
    <w:basedOn w:val="TableNormalf1"/>
    <w:tblPr>
      <w:tblStyleRowBandSize w:val="1"/>
      <w:tblStyleColBandSize w:val="1"/>
      <w:tblCellMar>
        <w:left w:w="115" w:type="dxa"/>
        <w:right w:w="115" w:type="dxa"/>
      </w:tblCellMar>
    </w:tblPr>
  </w:style>
  <w:style w:type="table" w:customStyle="1" w:styleId="a0">
    <w:basedOn w:val="TableNormalf1"/>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0D197B"/>
    <w:pPr>
      <w:tabs>
        <w:tab w:val="center" w:pos="4419"/>
        <w:tab w:val="right" w:pos="8838"/>
      </w:tabs>
    </w:pPr>
  </w:style>
  <w:style w:type="character" w:customStyle="1" w:styleId="EncabezadoCar">
    <w:name w:val="Encabezado Car"/>
    <w:basedOn w:val="Fuentedeprrafopredeter"/>
    <w:link w:val="Encabezado"/>
    <w:uiPriority w:val="99"/>
    <w:rsid w:val="000D197B"/>
  </w:style>
  <w:style w:type="paragraph" w:styleId="Piedepgina">
    <w:name w:val="footer"/>
    <w:basedOn w:val="Normal"/>
    <w:link w:val="PiedepginaCar"/>
    <w:uiPriority w:val="99"/>
    <w:unhideWhenUsed/>
    <w:rsid w:val="000D197B"/>
    <w:pPr>
      <w:tabs>
        <w:tab w:val="center" w:pos="4419"/>
        <w:tab w:val="right" w:pos="8838"/>
      </w:tabs>
    </w:pPr>
  </w:style>
  <w:style w:type="character" w:customStyle="1" w:styleId="PiedepginaCar">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C43334"/>
    <w:pPr>
      <w:ind w:left="720"/>
      <w:contextualSpacing/>
    </w:pPr>
  </w:style>
  <w:style w:type="paragraph" w:styleId="NormalWeb">
    <w:name w:val="Normal (Web)"/>
    <w:basedOn w:val="Normal"/>
    <w:uiPriority w:val="99"/>
    <w:unhideWhenUsed/>
    <w:rsid w:val="00476335"/>
    <w:pPr>
      <w:spacing w:before="100" w:beforeAutospacing="1" w:after="100" w:after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06B5C"/>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806B5C"/>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qFormat/>
    <w:rsid w:val="00806B5C"/>
    <w:rPr>
      <w:vertAlign w:val="superscript"/>
    </w:rPr>
  </w:style>
  <w:style w:type="table" w:customStyle="1" w:styleId="a1">
    <w:basedOn w:val="TableNormalf1"/>
    <w:tblPr>
      <w:tblStyleRowBandSize w:val="1"/>
      <w:tblStyleColBandSize w:val="1"/>
      <w:tblCellMar>
        <w:left w:w="115" w:type="dxa"/>
        <w:right w:w="115" w:type="dxa"/>
      </w:tblCellMar>
    </w:tblPr>
  </w:style>
  <w:style w:type="table" w:customStyle="1" w:styleId="a2">
    <w:basedOn w:val="TableNormalf1"/>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04D6C"/>
    <w:rPr>
      <w:color w:val="0000FF" w:themeColor="hyperlink"/>
      <w:u w:val="single"/>
    </w:rPr>
  </w:style>
  <w:style w:type="character" w:styleId="Hipervnculovisitado">
    <w:name w:val="FollowedHyperlink"/>
    <w:basedOn w:val="Fuentedeprrafopredeter"/>
    <w:uiPriority w:val="99"/>
    <w:semiHidden/>
    <w:unhideWhenUsed/>
    <w:rsid w:val="00504D6C"/>
    <w:rPr>
      <w:color w:val="800080" w:themeColor="followedHyperlink"/>
      <w:u w:val="single"/>
    </w:rPr>
  </w:style>
  <w:style w:type="table" w:styleId="Tablaconcuadrcula">
    <w:name w:val="Table Grid"/>
    <w:basedOn w:val="Tablanormal"/>
    <w:uiPriority w:val="39"/>
    <w:rsid w:val="00134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f0"/>
    <w:tblPr>
      <w:tblStyleRowBandSize w:val="1"/>
      <w:tblStyleColBandSize w:val="1"/>
      <w:tblCellMar>
        <w:left w:w="115" w:type="dxa"/>
        <w:right w:w="115" w:type="dxa"/>
      </w:tblCellMar>
    </w:tblPr>
  </w:style>
  <w:style w:type="table" w:customStyle="1" w:styleId="a4">
    <w:basedOn w:val="TableNormalf0"/>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5E017B"/>
    <w:pPr>
      <w:numPr>
        <w:numId w:val="1"/>
      </w:numPr>
      <w:contextualSpacing/>
    </w:pPr>
  </w:style>
  <w:style w:type="character" w:customStyle="1" w:styleId="yt-core-attributed-string--link-inherit-color">
    <w:name w:val="yt-core-attributed-string--link-inherit-color"/>
    <w:basedOn w:val="Fuentedeprrafopredeter"/>
    <w:rsid w:val="00EA0BE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452086"/>
  </w:style>
  <w:style w:type="character" w:customStyle="1" w:styleId="Mencinsinresolver1">
    <w:name w:val="Mención sin resolver1"/>
    <w:basedOn w:val="Fuentedeprrafopredeter"/>
    <w:uiPriority w:val="99"/>
    <w:semiHidden/>
    <w:unhideWhenUsed/>
    <w:rsid w:val="00C64B15"/>
    <w:rPr>
      <w:color w:val="605E5C"/>
      <w:shd w:val="clear" w:color="auto" w:fill="E1DFDD"/>
    </w:rPr>
  </w:style>
  <w:style w:type="paragraph" w:customStyle="1" w:styleId="Default">
    <w:name w:val="Default"/>
    <w:rsid w:val="00B92077"/>
    <w:pPr>
      <w:autoSpaceDE w:val="0"/>
      <w:autoSpaceDN w:val="0"/>
      <w:adjustRightInd w:val="0"/>
    </w:pPr>
    <w:rPr>
      <w:rFonts w:ascii="Arial" w:hAnsi="Arial" w:cs="Arial"/>
      <w:color w:val="000000"/>
    </w:rPr>
  </w:style>
  <w:style w:type="character" w:customStyle="1" w:styleId="Mencinsinresolver2">
    <w:name w:val="Mención sin resolver2"/>
    <w:basedOn w:val="Fuentedeprrafopredeter"/>
    <w:uiPriority w:val="99"/>
    <w:semiHidden/>
    <w:unhideWhenUsed/>
    <w:rsid w:val="00251B93"/>
    <w:rPr>
      <w:color w:val="605E5C"/>
      <w:shd w:val="clear" w:color="auto" w:fill="E1DFDD"/>
    </w:rPr>
  </w:style>
  <w:style w:type="paragraph" w:styleId="Textodeglobo">
    <w:name w:val="Balloon Text"/>
    <w:basedOn w:val="Normal"/>
    <w:link w:val="TextodegloboCar"/>
    <w:uiPriority w:val="99"/>
    <w:semiHidden/>
    <w:unhideWhenUsed/>
    <w:rsid w:val="00DD0D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0D64"/>
    <w:rPr>
      <w:rFonts w:ascii="Segoe UI" w:hAnsi="Segoe UI" w:cs="Segoe UI"/>
      <w:sz w:val="18"/>
      <w:szCs w:val="18"/>
    </w:rPr>
  </w:style>
  <w:style w:type="paragraph" w:styleId="Sinespaciado">
    <w:name w:val="No Spacing"/>
    <w:aliases w:val="Francesa"/>
    <w:link w:val="SinespaciadoCar"/>
    <w:uiPriority w:val="1"/>
    <w:qFormat/>
    <w:rsid w:val="000D0148"/>
    <w:rPr>
      <w:rFonts w:asciiTheme="minorHAnsi" w:eastAsiaTheme="minorHAnsi" w:hAnsiTheme="minorHAnsi" w:cstheme="minorBidi"/>
      <w:sz w:val="22"/>
      <w:szCs w:val="22"/>
      <w:lang w:eastAsia="en-US"/>
    </w:rPr>
  </w:style>
  <w:style w:type="character" w:customStyle="1" w:styleId="SinespaciadoCar">
    <w:name w:val="Sin espaciado Car"/>
    <w:aliases w:val="Francesa Car"/>
    <w:link w:val="Sinespaciado"/>
    <w:uiPriority w:val="1"/>
    <w:locked/>
    <w:rsid w:val="000D0148"/>
    <w:rPr>
      <w:rFonts w:asciiTheme="minorHAnsi" w:eastAsiaTheme="minorHAnsi" w:hAnsiTheme="minorHAnsi" w:cstheme="minorBidi"/>
      <w:sz w:val="22"/>
      <w:szCs w:val="22"/>
      <w:lang w:eastAsia="en-US"/>
    </w:rPr>
  </w:style>
  <w:style w:type="paragraph" w:customStyle="1" w:styleId="rtejustify">
    <w:name w:val="rtejustify"/>
    <w:basedOn w:val="Normal"/>
    <w:rsid w:val="00876EB7"/>
    <w:pPr>
      <w:spacing w:before="100" w:beforeAutospacing="1" w:after="100" w:afterAutospacing="1"/>
    </w:pPr>
  </w:style>
  <w:style w:type="table" w:customStyle="1" w:styleId="a5">
    <w:basedOn w:val="TableNormalf"/>
    <w:tblPr>
      <w:tblStyleRowBandSize w:val="1"/>
      <w:tblStyleColBandSize w:val="1"/>
      <w:tblCellMar>
        <w:left w:w="108" w:type="dxa"/>
        <w:right w:w="108" w:type="dxa"/>
      </w:tblCellMar>
    </w:tblPr>
  </w:style>
  <w:style w:type="table" w:customStyle="1" w:styleId="a6">
    <w:basedOn w:val="TableNormalf"/>
    <w:tblPr>
      <w:tblStyleRowBandSize w:val="1"/>
      <w:tblStyleColBandSize w:val="1"/>
      <w:tblCellMar>
        <w:left w:w="108" w:type="dxa"/>
        <w:right w:w="108" w:type="dxa"/>
      </w:tblCellMar>
    </w:tblPr>
  </w:style>
  <w:style w:type="table" w:customStyle="1" w:styleId="a7">
    <w:basedOn w:val="TableNormalf"/>
    <w:tblPr>
      <w:tblStyleRowBandSize w:val="1"/>
      <w:tblStyleColBandSize w:val="1"/>
      <w:tblCellMar>
        <w:left w:w="108" w:type="dxa"/>
        <w:right w:w="108" w:type="dxa"/>
      </w:tblCellMar>
    </w:tblPr>
  </w:style>
  <w:style w:type="table" w:customStyle="1" w:styleId="a8">
    <w:basedOn w:val="TableNormalf"/>
    <w:tblPr>
      <w:tblStyleRowBandSize w:val="1"/>
      <w:tblStyleColBandSize w:val="1"/>
      <w:tblCellMar>
        <w:left w:w="108" w:type="dxa"/>
        <w:right w:w="108" w:type="dxa"/>
      </w:tblCellMar>
    </w:tblPr>
  </w:style>
  <w:style w:type="table" w:customStyle="1" w:styleId="a9">
    <w:basedOn w:val="TableNormalf"/>
    <w:tblPr>
      <w:tblStyleRowBandSize w:val="1"/>
      <w:tblStyleColBandSize w:val="1"/>
      <w:tblCellMar>
        <w:left w:w="108" w:type="dxa"/>
        <w:right w:w="108" w:type="dxa"/>
      </w:tblCellMar>
    </w:tblPr>
  </w:style>
  <w:style w:type="table" w:customStyle="1" w:styleId="aa">
    <w:basedOn w:val="TableNormalf"/>
    <w:tblPr>
      <w:tblStyleRowBandSize w:val="1"/>
      <w:tblStyleColBandSize w:val="1"/>
      <w:tblCellMar>
        <w:left w:w="115" w:type="dxa"/>
        <w:right w:w="115" w:type="dxa"/>
      </w:tblCellMar>
    </w:tblPr>
  </w:style>
  <w:style w:type="table" w:customStyle="1" w:styleId="ab">
    <w:basedOn w:val="TableNormalf"/>
    <w:tblPr>
      <w:tblStyleRowBandSize w:val="1"/>
      <w:tblStyleColBandSize w:val="1"/>
      <w:tblCellMar>
        <w:left w:w="115" w:type="dxa"/>
        <w:right w:w="115" w:type="dxa"/>
      </w:tblCellMar>
    </w:tblPr>
  </w:style>
  <w:style w:type="table" w:customStyle="1" w:styleId="ac">
    <w:basedOn w:val="TableNormale"/>
    <w:tblPr>
      <w:tblStyleRowBandSize w:val="1"/>
      <w:tblStyleColBandSize w:val="1"/>
      <w:tblCellMar>
        <w:left w:w="108" w:type="dxa"/>
        <w:right w:w="108" w:type="dxa"/>
      </w:tblCellMar>
    </w:tblPr>
  </w:style>
  <w:style w:type="table" w:customStyle="1" w:styleId="ad">
    <w:basedOn w:val="TableNormale"/>
    <w:tblPr>
      <w:tblStyleRowBandSize w:val="1"/>
      <w:tblStyleColBandSize w:val="1"/>
      <w:tblCellMar>
        <w:left w:w="115" w:type="dxa"/>
        <w:right w:w="115" w:type="dxa"/>
      </w:tblCellMar>
    </w:tblPr>
  </w:style>
  <w:style w:type="table" w:customStyle="1" w:styleId="ae">
    <w:basedOn w:val="TableNormale"/>
    <w:tblPr>
      <w:tblStyleRowBandSize w:val="1"/>
      <w:tblStyleColBandSize w:val="1"/>
      <w:tblCellMar>
        <w:left w:w="115" w:type="dxa"/>
        <w:right w:w="115" w:type="dxa"/>
      </w:tblCellMar>
    </w:tblPr>
  </w:style>
  <w:style w:type="table" w:customStyle="1" w:styleId="af">
    <w:basedOn w:val="TableNormald"/>
    <w:tblPr>
      <w:tblStyleRowBandSize w:val="1"/>
      <w:tblStyleColBandSize w:val="1"/>
      <w:tblCellMar>
        <w:left w:w="115" w:type="dxa"/>
        <w:right w:w="115" w:type="dxa"/>
      </w:tblCellMar>
    </w:tblPr>
  </w:style>
  <w:style w:type="table" w:customStyle="1" w:styleId="af0">
    <w:basedOn w:val="TableNormald"/>
    <w:tblPr>
      <w:tblStyleRowBandSize w:val="1"/>
      <w:tblStyleColBandSize w:val="1"/>
      <w:tblCellMar>
        <w:left w:w="115" w:type="dxa"/>
        <w:right w:w="115" w:type="dxa"/>
      </w:tblCellMar>
    </w:tblPr>
  </w:style>
  <w:style w:type="table" w:customStyle="1" w:styleId="af1">
    <w:basedOn w:val="TableNormald"/>
    <w:tblPr>
      <w:tblStyleRowBandSize w:val="1"/>
      <w:tblStyleColBandSize w:val="1"/>
      <w:tblCellMar>
        <w:left w:w="115" w:type="dxa"/>
        <w:right w:w="115" w:type="dxa"/>
      </w:tblCellMar>
    </w:tblPr>
  </w:style>
  <w:style w:type="table" w:customStyle="1" w:styleId="af2">
    <w:basedOn w:val="TableNormalc"/>
    <w:tblPr>
      <w:tblStyleRowBandSize w:val="1"/>
      <w:tblStyleColBandSize w:val="1"/>
      <w:tblCellMar>
        <w:left w:w="115" w:type="dxa"/>
        <w:right w:w="115" w:type="dxa"/>
      </w:tblCellMar>
    </w:tblPr>
  </w:style>
  <w:style w:type="table" w:customStyle="1" w:styleId="af3">
    <w:basedOn w:val="TableNormalc"/>
    <w:tblPr>
      <w:tblStyleRowBandSize w:val="1"/>
      <w:tblStyleColBandSize w:val="1"/>
      <w:tblCellMar>
        <w:left w:w="115" w:type="dxa"/>
        <w:right w:w="115" w:type="dxa"/>
      </w:tblCellMar>
    </w:tblPr>
  </w:style>
  <w:style w:type="table" w:customStyle="1" w:styleId="af4">
    <w:basedOn w:val="TableNormalb"/>
    <w:tblPr>
      <w:tblStyleRowBandSize w:val="1"/>
      <w:tblStyleColBandSize w:val="1"/>
      <w:tblCellMar>
        <w:left w:w="115" w:type="dxa"/>
        <w:right w:w="115" w:type="dxa"/>
      </w:tblCellMar>
    </w:tblPr>
  </w:style>
  <w:style w:type="table" w:customStyle="1" w:styleId="af5">
    <w:basedOn w:val="TableNormalb"/>
    <w:tblPr>
      <w:tblStyleRowBandSize w:val="1"/>
      <w:tblStyleColBandSize w:val="1"/>
      <w:tblCellMar>
        <w:left w:w="115" w:type="dxa"/>
        <w:right w:w="115" w:type="dxa"/>
      </w:tblCellMar>
    </w:tblPr>
  </w:style>
  <w:style w:type="table" w:customStyle="1" w:styleId="af6">
    <w:basedOn w:val="TableNormala"/>
    <w:tblPr>
      <w:tblStyleRowBandSize w:val="1"/>
      <w:tblStyleColBandSize w:val="1"/>
      <w:tblCellMar>
        <w:left w:w="115" w:type="dxa"/>
        <w:right w:w="115" w:type="dxa"/>
      </w:tblCellMar>
    </w:tblPr>
  </w:style>
  <w:style w:type="table" w:customStyle="1" w:styleId="af7">
    <w:basedOn w:val="TableNormala"/>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2C02D7"/>
    <w:rPr>
      <w:b/>
      <w:bCs/>
    </w:rPr>
  </w:style>
  <w:style w:type="character" w:customStyle="1" w:styleId="object">
    <w:name w:val="object"/>
    <w:basedOn w:val="Fuentedeprrafopredeter"/>
    <w:rsid w:val="002C02D7"/>
  </w:style>
  <w:style w:type="table" w:customStyle="1" w:styleId="af8">
    <w:basedOn w:val="TableNormal9"/>
    <w:tblPr>
      <w:tblStyleRowBandSize w:val="1"/>
      <w:tblStyleColBandSize w:val="1"/>
      <w:tblCellMar>
        <w:left w:w="115" w:type="dxa"/>
        <w:right w:w="115" w:type="dxa"/>
      </w:tblCellMar>
    </w:tblPr>
  </w:style>
  <w:style w:type="table" w:customStyle="1" w:styleId="af9">
    <w:basedOn w:val="TableNormal9"/>
    <w:tblPr>
      <w:tblStyleRowBandSize w:val="1"/>
      <w:tblStyleColBandSize w:val="1"/>
      <w:tblCellMar>
        <w:left w:w="115" w:type="dxa"/>
        <w:right w:w="115" w:type="dxa"/>
      </w:tblCellMar>
    </w:tblPr>
  </w:style>
  <w:style w:type="table" w:customStyle="1" w:styleId="afa">
    <w:basedOn w:val="TableNormal8"/>
    <w:tblPr>
      <w:tblStyleRowBandSize w:val="1"/>
      <w:tblStyleColBandSize w:val="1"/>
      <w:tblCellMar>
        <w:left w:w="115" w:type="dxa"/>
        <w:right w:w="115" w:type="dxa"/>
      </w:tblCellMar>
    </w:tblPr>
  </w:style>
  <w:style w:type="table" w:customStyle="1" w:styleId="afb">
    <w:basedOn w:val="TableNormal8"/>
    <w:tblPr>
      <w:tblStyleRowBandSize w:val="1"/>
      <w:tblStyleColBandSize w:val="1"/>
      <w:tblCellMar>
        <w:left w:w="115" w:type="dxa"/>
        <w:right w:w="115" w:type="dxa"/>
      </w:tblCellMar>
    </w:tblPr>
  </w:style>
  <w:style w:type="table" w:customStyle="1" w:styleId="afc">
    <w:basedOn w:val="TableNormal7"/>
    <w:tblPr>
      <w:tblStyleRowBandSize w:val="1"/>
      <w:tblStyleColBandSize w:val="1"/>
      <w:tblCellMar>
        <w:left w:w="115" w:type="dxa"/>
        <w:right w:w="115" w:type="dxa"/>
      </w:tblCellMar>
    </w:tblPr>
  </w:style>
  <w:style w:type="table" w:customStyle="1" w:styleId="afd">
    <w:basedOn w:val="TableNormal7"/>
    <w:tblPr>
      <w:tblStyleRowBandSize w:val="1"/>
      <w:tblStyleColBandSize w:val="1"/>
      <w:tblCellMar>
        <w:left w:w="115" w:type="dxa"/>
        <w:right w:w="115" w:type="dxa"/>
      </w:tblCellMar>
    </w:tblPr>
  </w:style>
  <w:style w:type="table" w:customStyle="1" w:styleId="afe">
    <w:basedOn w:val="TableNormal6"/>
    <w:tblPr>
      <w:tblStyleRowBandSize w:val="1"/>
      <w:tblStyleColBandSize w:val="1"/>
      <w:tblCellMar>
        <w:left w:w="115" w:type="dxa"/>
        <w:right w:w="115" w:type="dxa"/>
      </w:tblCellMar>
    </w:tblPr>
  </w:style>
  <w:style w:type="table" w:customStyle="1" w:styleId="aff">
    <w:basedOn w:val="TableNormal6"/>
    <w:tblPr>
      <w:tblStyleRowBandSize w:val="1"/>
      <w:tblStyleColBandSize w:val="1"/>
      <w:tblCellMar>
        <w:left w:w="115" w:type="dxa"/>
        <w:right w:w="115" w:type="dxa"/>
      </w:tblCellMar>
    </w:tblPr>
  </w:style>
  <w:style w:type="table" w:customStyle="1" w:styleId="aff0">
    <w:basedOn w:val="TableNormal5"/>
    <w:tblPr>
      <w:tblStyleRowBandSize w:val="1"/>
      <w:tblStyleColBandSize w:val="1"/>
      <w:tblCellMar>
        <w:left w:w="115" w:type="dxa"/>
        <w:right w:w="115" w:type="dxa"/>
      </w:tblCellMar>
    </w:tblPr>
  </w:style>
  <w:style w:type="table" w:customStyle="1" w:styleId="aff1">
    <w:basedOn w:val="TableNormal5"/>
    <w:tblPr>
      <w:tblStyleRowBandSize w:val="1"/>
      <w:tblStyleColBandSize w:val="1"/>
      <w:tblCellMar>
        <w:left w:w="115" w:type="dxa"/>
        <w:right w:w="115" w:type="dxa"/>
      </w:tblCellMar>
    </w:tblPr>
  </w:style>
  <w:style w:type="table" w:customStyle="1" w:styleId="aff2">
    <w:basedOn w:val="TableNormal4"/>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2"/>
    <w:tblPr>
      <w:tblStyleRowBandSize w:val="1"/>
      <w:tblStyleColBandSize w:val="1"/>
      <w:tblCellMar>
        <w:left w:w="115" w:type="dxa"/>
        <w:right w:w="115" w:type="dxa"/>
      </w:tblCellMar>
    </w:tblPr>
  </w:style>
  <w:style w:type="table" w:customStyle="1" w:styleId="aff7">
    <w:basedOn w:val="TableNormal2"/>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character" w:styleId="nfasissutil">
    <w:name w:val="Subtle Emphasis"/>
    <w:basedOn w:val="Fuentedeprrafopredeter"/>
    <w:uiPriority w:val="19"/>
    <w:qFormat/>
    <w:rsid w:val="00B40AD5"/>
    <w:rPr>
      <w:i/>
      <w:iCs/>
      <w:color w:val="404040" w:themeColor="text1" w:themeTint="BF"/>
    </w:rPr>
  </w:style>
  <w:style w:type="character" w:customStyle="1" w:styleId="normaltextrun">
    <w:name w:val="normaltextrun"/>
    <w:basedOn w:val="Fuentedeprrafopredeter"/>
    <w:rsid w:val="00E32789"/>
  </w:style>
  <w:style w:type="character" w:customStyle="1" w:styleId="Mencinsinresolver3">
    <w:name w:val="Mención sin resolver3"/>
    <w:basedOn w:val="Fuentedeprrafopredeter"/>
    <w:uiPriority w:val="99"/>
    <w:semiHidden/>
    <w:unhideWhenUsed/>
    <w:rsid w:val="00167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06021">
      <w:bodyDiv w:val="1"/>
      <w:marLeft w:val="0"/>
      <w:marRight w:val="0"/>
      <w:marTop w:val="0"/>
      <w:marBottom w:val="0"/>
      <w:divBdr>
        <w:top w:val="none" w:sz="0" w:space="0" w:color="auto"/>
        <w:left w:val="none" w:sz="0" w:space="0" w:color="auto"/>
        <w:bottom w:val="none" w:sz="0" w:space="0" w:color="auto"/>
        <w:right w:val="none" w:sz="0" w:space="0" w:color="auto"/>
      </w:divBdr>
    </w:div>
    <w:div w:id="811485912">
      <w:bodyDiv w:val="1"/>
      <w:marLeft w:val="0"/>
      <w:marRight w:val="0"/>
      <w:marTop w:val="0"/>
      <w:marBottom w:val="0"/>
      <w:divBdr>
        <w:top w:val="none" w:sz="0" w:space="0" w:color="auto"/>
        <w:left w:val="none" w:sz="0" w:space="0" w:color="auto"/>
        <w:bottom w:val="none" w:sz="0" w:space="0" w:color="auto"/>
        <w:right w:val="none" w:sz="0" w:space="0" w:color="auto"/>
      </w:divBdr>
    </w:div>
    <w:div w:id="1231159305">
      <w:bodyDiv w:val="1"/>
      <w:marLeft w:val="0"/>
      <w:marRight w:val="0"/>
      <w:marTop w:val="0"/>
      <w:marBottom w:val="0"/>
      <w:divBdr>
        <w:top w:val="none" w:sz="0" w:space="0" w:color="auto"/>
        <w:left w:val="none" w:sz="0" w:space="0" w:color="auto"/>
        <w:bottom w:val="none" w:sz="0" w:space="0" w:color="auto"/>
        <w:right w:val="none" w:sz="0" w:space="0" w:color="auto"/>
      </w:divBdr>
    </w:div>
    <w:div w:id="1636059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atepec.gob.mx/direccion-de-proteccion-civil-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catepec.gob.mx/direccion-de-medio-ambiente-y-ecologia/"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V5ylGZLJ11C52PpO5eJlCgLmKA==">CgMxLjAyCWguM3JkY3JqbjIOaC5kYWozajJ4bzZxNjYyCGguZ2pkZ3hzMgloLjNkeTZ2a20yCWguMzBqMHpsbDIJaC4yczhleW8xMghoLnR5amN3dDIJaC4yZXQ5MnAwMg5oLnY0MG1yMjllZHhzcTIJaC4xdDNoNXNmMghoLmxueGJ6OTgAciExcm9KeU5QYmhCbWVDenFUSm1jQ1BnTWp2d29laXFrZG4=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5198</Words>
  <Characters>28595</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Maricela Villagómez Martínez</cp:lastModifiedBy>
  <cp:revision>2</cp:revision>
  <cp:lastPrinted>2026-09-25T18:11:00Z</cp:lastPrinted>
  <dcterms:created xsi:type="dcterms:W3CDTF">2026-09-28T16:39:00Z</dcterms:created>
  <dcterms:modified xsi:type="dcterms:W3CDTF">2026-09-28T16:39:00Z</dcterms:modified>
</cp:coreProperties>
</file>