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8623C9" w14:textId="0B238A51" w:rsidR="00A36E30" w:rsidRPr="00F71766" w:rsidRDefault="00A36E30" w:rsidP="00A36E30">
      <w:pPr>
        <w:shd w:val="clear" w:color="auto" w:fill="FFFFFF"/>
        <w:spacing w:after="0" w:line="360" w:lineRule="auto"/>
        <w:jc w:val="both"/>
        <w:rPr>
          <w:rFonts w:ascii="Palatino Linotype" w:eastAsia="Times New Roman" w:hAnsi="Palatino Linotype" w:cs="Arial"/>
          <w:color w:val="000000"/>
          <w:sz w:val="24"/>
          <w:szCs w:val="24"/>
          <w:lang w:eastAsia="es-MX"/>
        </w:rPr>
      </w:pPr>
      <w:r w:rsidRPr="00F71766">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6D3A0C" w:rsidRPr="00F71766">
        <w:rPr>
          <w:rFonts w:ascii="Palatino Linotype" w:eastAsia="Times New Roman" w:hAnsi="Palatino Linotype" w:cs="Arial"/>
          <w:b/>
          <w:color w:val="000000"/>
          <w:sz w:val="24"/>
          <w:szCs w:val="24"/>
          <w:lang w:eastAsia="es-MX"/>
        </w:rPr>
        <w:t>c</w:t>
      </w:r>
      <w:r w:rsidR="00DF093E" w:rsidRPr="00F71766">
        <w:rPr>
          <w:rFonts w:ascii="Palatino Linotype" w:eastAsia="Times New Roman" w:hAnsi="Palatino Linotype" w:cs="Arial"/>
          <w:b/>
          <w:color w:val="000000"/>
          <w:sz w:val="24"/>
          <w:szCs w:val="24"/>
          <w:lang w:eastAsia="es-MX"/>
        </w:rPr>
        <w:t>inco</w:t>
      </w:r>
      <w:r w:rsidR="006D3A0C" w:rsidRPr="00F71766">
        <w:rPr>
          <w:rFonts w:ascii="Palatino Linotype" w:eastAsia="Times New Roman" w:hAnsi="Palatino Linotype" w:cs="Arial"/>
          <w:b/>
          <w:color w:val="000000"/>
          <w:sz w:val="24"/>
          <w:szCs w:val="24"/>
          <w:lang w:eastAsia="es-MX"/>
        </w:rPr>
        <w:t xml:space="preserve"> de marzo </w:t>
      </w:r>
      <w:r w:rsidRPr="00F71766">
        <w:rPr>
          <w:rFonts w:ascii="Palatino Linotype" w:eastAsia="Times New Roman" w:hAnsi="Palatino Linotype" w:cs="Arial"/>
          <w:b/>
          <w:color w:val="000000"/>
          <w:sz w:val="24"/>
          <w:szCs w:val="24"/>
          <w:lang w:eastAsia="es-MX"/>
        </w:rPr>
        <w:t>de dos mil veintiséis</w:t>
      </w:r>
      <w:r w:rsidR="00747220" w:rsidRPr="00F71766">
        <w:rPr>
          <w:rFonts w:ascii="Palatino Linotype" w:eastAsia="Times New Roman" w:hAnsi="Palatino Linotype" w:cs="Arial"/>
          <w:b/>
          <w:color w:val="000000"/>
          <w:sz w:val="24"/>
          <w:szCs w:val="24"/>
          <w:lang w:eastAsia="es-MX"/>
        </w:rPr>
        <w:t>.</w:t>
      </w:r>
    </w:p>
    <w:p w14:paraId="05178FF1" w14:textId="77777777" w:rsidR="00A36E30" w:rsidRPr="00F71766" w:rsidRDefault="00A36E30" w:rsidP="00A36E30">
      <w:pPr>
        <w:shd w:val="clear" w:color="auto" w:fill="FFFFFF"/>
        <w:spacing w:after="0" w:line="360" w:lineRule="auto"/>
        <w:jc w:val="both"/>
        <w:rPr>
          <w:rFonts w:ascii="Palatino Linotype" w:eastAsia="Times New Roman" w:hAnsi="Palatino Linotype" w:cs="Arial"/>
          <w:color w:val="000000"/>
          <w:sz w:val="24"/>
          <w:szCs w:val="24"/>
          <w:lang w:eastAsia="es-MX"/>
        </w:rPr>
      </w:pPr>
    </w:p>
    <w:p w14:paraId="73F9D3AF" w14:textId="6DCF7585" w:rsidR="00A36E30" w:rsidRPr="00F71766" w:rsidRDefault="00A36E30" w:rsidP="00A36E30">
      <w:pPr>
        <w:tabs>
          <w:tab w:val="left" w:pos="1701"/>
        </w:tabs>
        <w:spacing w:after="0" w:line="360" w:lineRule="auto"/>
        <w:jc w:val="both"/>
        <w:rPr>
          <w:rFonts w:ascii="Palatino Linotype" w:hAnsi="Palatino Linotype" w:cs="Arial"/>
          <w:sz w:val="24"/>
          <w:szCs w:val="24"/>
        </w:rPr>
      </w:pPr>
      <w:r w:rsidRPr="00F71766">
        <w:rPr>
          <w:rFonts w:ascii="Palatino Linotype" w:hAnsi="Palatino Linotype" w:cs="Arial"/>
          <w:b/>
          <w:sz w:val="24"/>
          <w:szCs w:val="24"/>
        </w:rPr>
        <w:t>VISTO</w:t>
      </w:r>
      <w:r w:rsidRPr="00F71766">
        <w:rPr>
          <w:rFonts w:ascii="Palatino Linotype" w:hAnsi="Palatino Linotype" w:cs="Arial"/>
          <w:sz w:val="24"/>
          <w:szCs w:val="24"/>
        </w:rPr>
        <w:t xml:space="preserve"> el expediente electrónico formado con motivo del recurso de revisión número </w:t>
      </w:r>
      <w:bookmarkStart w:id="0" w:name="_GoBack"/>
      <w:r w:rsidR="006D3A0C" w:rsidRPr="00F71766">
        <w:rPr>
          <w:rFonts w:ascii="Palatino Linotype" w:hAnsi="Palatino Linotype" w:cs="Arial"/>
          <w:b/>
          <w:bCs/>
          <w:sz w:val="24"/>
          <w:lang w:eastAsia="es-MX"/>
        </w:rPr>
        <w:t>09500</w:t>
      </w:r>
      <w:r w:rsidRPr="00F71766">
        <w:rPr>
          <w:rFonts w:ascii="Palatino Linotype" w:hAnsi="Palatino Linotype" w:cs="Arial"/>
          <w:b/>
          <w:bCs/>
          <w:sz w:val="24"/>
          <w:lang w:eastAsia="es-MX"/>
        </w:rPr>
        <w:t>/INFOEM/ICR-</w:t>
      </w:r>
      <w:r w:rsidR="006D3A0C" w:rsidRPr="00F71766">
        <w:rPr>
          <w:rFonts w:ascii="Palatino Linotype" w:hAnsi="Palatino Linotype" w:cs="Arial"/>
          <w:b/>
          <w:bCs/>
          <w:sz w:val="24"/>
          <w:lang w:eastAsia="es-MX"/>
        </w:rPr>
        <w:t>6</w:t>
      </w:r>
      <w:r w:rsidRPr="00F71766">
        <w:rPr>
          <w:rFonts w:ascii="Palatino Linotype" w:hAnsi="Palatino Linotype" w:cs="Arial"/>
          <w:b/>
          <w:bCs/>
          <w:sz w:val="24"/>
          <w:lang w:eastAsia="es-MX"/>
        </w:rPr>
        <w:t>3/IP/RR/2025</w:t>
      </w:r>
      <w:bookmarkEnd w:id="0"/>
      <w:r w:rsidRPr="00F71766">
        <w:rPr>
          <w:rFonts w:ascii="Palatino Linotype" w:hAnsi="Palatino Linotype" w:cs="Arial"/>
          <w:sz w:val="24"/>
          <w:szCs w:val="24"/>
        </w:rPr>
        <w:t xml:space="preserve">, </w:t>
      </w:r>
      <w:r w:rsidRPr="00F71766">
        <w:rPr>
          <w:rFonts w:ascii="Palatino Linotype" w:eastAsia="Palatino Linotype" w:hAnsi="Palatino Linotype" w:cs="Palatino Linotype"/>
          <w:color w:val="000000"/>
          <w:sz w:val="24"/>
          <w:szCs w:val="24"/>
        </w:rPr>
        <w:t xml:space="preserve">interpuesto por </w:t>
      </w:r>
      <w:r w:rsidRPr="00F71766">
        <w:rPr>
          <w:rFonts w:ascii="Palatino Linotype" w:eastAsia="Palatino Linotype" w:hAnsi="Palatino Linotype" w:cs="Palatino Linotype"/>
          <w:b/>
          <w:color w:val="000000"/>
          <w:sz w:val="24"/>
          <w:szCs w:val="24"/>
        </w:rPr>
        <w:t>un particular que no proporciono nombre o seudónimo para ser identificado</w:t>
      </w:r>
      <w:r w:rsidRPr="00F71766">
        <w:rPr>
          <w:rFonts w:ascii="Palatino Linotype" w:hAnsi="Palatino Linotype" w:cs="Arial"/>
          <w:sz w:val="24"/>
          <w:szCs w:val="24"/>
        </w:rPr>
        <w:t xml:space="preserve">, quien en lo sucesivo y para efectos prácticos se le denominara la parte </w:t>
      </w:r>
      <w:r w:rsidRPr="00F71766">
        <w:rPr>
          <w:rFonts w:ascii="Palatino Linotype" w:hAnsi="Palatino Linotype" w:cs="Arial"/>
          <w:b/>
          <w:sz w:val="24"/>
          <w:szCs w:val="24"/>
        </w:rPr>
        <w:t>Recurrente</w:t>
      </w:r>
      <w:r w:rsidRPr="00F71766">
        <w:rPr>
          <w:rFonts w:ascii="Palatino Linotype" w:hAnsi="Palatino Linotype" w:cs="Arial"/>
          <w:sz w:val="24"/>
          <w:szCs w:val="24"/>
        </w:rPr>
        <w:t xml:space="preserve">, en contra del </w:t>
      </w:r>
      <w:r w:rsidRPr="00F71766">
        <w:rPr>
          <w:rFonts w:ascii="Palatino Linotype" w:hAnsi="Palatino Linotype" w:cs="Arial"/>
          <w:b/>
          <w:sz w:val="24"/>
          <w:szCs w:val="24"/>
        </w:rPr>
        <w:t>Sujeto Obligado</w:t>
      </w:r>
      <w:r w:rsidRPr="00F71766">
        <w:rPr>
          <w:rFonts w:ascii="Palatino Linotype" w:hAnsi="Palatino Linotype" w:cs="Arial"/>
          <w:sz w:val="24"/>
          <w:szCs w:val="24"/>
        </w:rPr>
        <w:t xml:space="preserve">, </w:t>
      </w:r>
      <w:r w:rsidRPr="00F71766">
        <w:rPr>
          <w:rFonts w:ascii="Palatino Linotype" w:hAnsi="Palatino Linotype"/>
          <w:b/>
          <w:bCs/>
          <w:color w:val="000000"/>
          <w:sz w:val="24"/>
          <w:szCs w:val="24"/>
        </w:rPr>
        <w:t>Ayuntamiento de Tepotzotlán</w:t>
      </w:r>
      <w:r w:rsidRPr="00F71766">
        <w:rPr>
          <w:rFonts w:ascii="Palatino Linotype" w:hAnsi="Palatino Linotype" w:cs="Arial"/>
          <w:b/>
          <w:sz w:val="24"/>
          <w:szCs w:val="24"/>
        </w:rPr>
        <w:t xml:space="preserve">, </w:t>
      </w:r>
      <w:r w:rsidRPr="00F71766">
        <w:rPr>
          <w:rFonts w:ascii="Palatino Linotype" w:hAnsi="Palatino Linotype" w:cs="Arial"/>
          <w:sz w:val="24"/>
          <w:szCs w:val="24"/>
        </w:rPr>
        <w:t xml:space="preserve">en cumplimiento a la determinación del diverso con número </w:t>
      </w:r>
      <w:r w:rsidR="006D3A0C" w:rsidRPr="00F71766">
        <w:rPr>
          <w:rFonts w:ascii="Palatino Linotype" w:hAnsi="Palatino Linotype" w:cs="Arial"/>
          <w:b/>
          <w:sz w:val="24"/>
          <w:szCs w:val="24"/>
        </w:rPr>
        <w:t>09500</w:t>
      </w:r>
      <w:r w:rsidRPr="00F71766">
        <w:rPr>
          <w:rFonts w:ascii="Palatino Linotype" w:hAnsi="Palatino Linotype" w:cs="Arial"/>
          <w:b/>
          <w:sz w:val="24"/>
          <w:szCs w:val="24"/>
        </w:rPr>
        <w:t xml:space="preserve">/INFOEM/IP/RR/2025, </w:t>
      </w:r>
      <w:r w:rsidRPr="00F71766">
        <w:rPr>
          <w:rFonts w:ascii="Palatino Linotype" w:hAnsi="Palatino Linotype" w:cs="Arial"/>
          <w:sz w:val="24"/>
          <w:szCs w:val="24"/>
        </w:rPr>
        <w:t>se procede a dictar la presente resolución.</w:t>
      </w:r>
    </w:p>
    <w:p w14:paraId="523AD72F" w14:textId="77777777" w:rsidR="00A36E30" w:rsidRPr="00F71766" w:rsidRDefault="00A36E30" w:rsidP="00A36E30">
      <w:pPr>
        <w:tabs>
          <w:tab w:val="left" w:pos="1701"/>
        </w:tabs>
        <w:spacing w:after="0" w:line="360" w:lineRule="auto"/>
        <w:jc w:val="both"/>
        <w:rPr>
          <w:rFonts w:ascii="Palatino Linotype" w:hAnsi="Palatino Linotype" w:cs="Arial"/>
          <w:b/>
          <w:sz w:val="24"/>
          <w:szCs w:val="24"/>
        </w:rPr>
      </w:pPr>
    </w:p>
    <w:p w14:paraId="365E1498" w14:textId="77777777" w:rsidR="00A36E30" w:rsidRPr="00F71766" w:rsidRDefault="00A36E30" w:rsidP="00A36E30">
      <w:pPr>
        <w:tabs>
          <w:tab w:val="left" w:pos="6960"/>
        </w:tabs>
        <w:spacing w:after="0" w:line="360" w:lineRule="auto"/>
        <w:jc w:val="both"/>
        <w:rPr>
          <w:rFonts w:ascii="Palatino Linotype" w:hAnsi="Palatino Linotype" w:cs="Arial"/>
          <w:sz w:val="24"/>
          <w:szCs w:val="24"/>
        </w:rPr>
      </w:pPr>
    </w:p>
    <w:p w14:paraId="5248E1FC" w14:textId="77777777" w:rsidR="00A36E30" w:rsidRPr="00F71766" w:rsidRDefault="00A36E30" w:rsidP="00A36E30">
      <w:pPr>
        <w:spacing w:after="0" w:line="360" w:lineRule="auto"/>
        <w:jc w:val="center"/>
        <w:rPr>
          <w:rFonts w:ascii="Palatino Linotype" w:hAnsi="Palatino Linotype" w:cs="Arial"/>
          <w:b/>
          <w:sz w:val="28"/>
          <w:szCs w:val="24"/>
        </w:rPr>
      </w:pPr>
      <w:r w:rsidRPr="00F71766">
        <w:rPr>
          <w:rFonts w:ascii="Palatino Linotype" w:hAnsi="Palatino Linotype" w:cs="Arial"/>
          <w:b/>
          <w:sz w:val="28"/>
          <w:szCs w:val="24"/>
        </w:rPr>
        <w:t>A N T E C E D E N T E S</w:t>
      </w:r>
    </w:p>
    <w:p w14:paraId="5112676C" w14:textId="77777777" w:rsidR="00A36E30" w:rsidRPr="00F71766" w:rsidRDefault="00A36E30" w:rsidP="00A36E30">
      <w:pPr>
        <w:spacing w:after="0" w:line="360" w:lineRule="auto"/>
        <w:jc w:val="center"/>
        <w:rPr>
          <w:rFonts w:ascii="Palatino Linotype" w:hAnsi="Palatino Linotype" w:cs="Arial"/>
          <w:b/>
          <w:sz w:val="28"/>
          <w:szCs w:val="24"/>
        </w:rPr>
      </w:pPr>
    </w:p>
    <w:p w14:paraId="4A168322" w14:textId="77777777" w:rsidR="00A36E30" w:rsidRPr="00F71766" w:rsidRDefault="00A36E30" w:rsidP="00A36E30">
      <w:pPr>
        <w:spacing w:after="0" w:line="360" w:lineRule="auto"/>
        <w:rPr>
          <w:rFonts w:ascii="Palatino Linotype" w:hAnsi="Palatino Linotype" w:cs="Arial"/>
          <w:b/>
          <w:sz w:val="24"/>
          <w:szCs w:val="24"/>
        </w:rPr>
      </w:pPr>
    </w:p>
    <w:p w14:paraId="5CB19494" w14:textId="77777777" w:rsidR="00A36E30" w:rsidRPr="00F71766" w:rsidRDefault="00A36E30" w:rsidP="00A36E30">
      <w:pPr>
        <w:spacing w:after="0" w:line="360" w:lineRule="auto"/>
        <w:jc w:val="both"/>
        <w:rPr>
          <w:rFonts w:ascii="Palatino Linotype" w:hAnsi="Palatino Linotype"/>
        </w:rPr>
      </w:pPr>
      <w:r w:rsidRPr="00F71766">
        <w:rPr>
          <w:rFonts w:ascii="Palatino Linotype" w:hAnsi="Palatino Linotype" w:cs="Arial"/>
          <w:b/>
          <w:sz w:val="28"/>
        </w:rPr>
        <w:t>PRIMERO.</w:t>
      </w:r>
      <w:r w:rsidRPr="00F71766">
        <w:rPr>
          <w:rFonts w:ascii="Palatino Linotype" w:hAnsi="Palatino Linotype" w:cs="Arial"/>
        </w:rPr>
        <w:t xml:space="preserve"> </w:t>
      </w:r>
      <w:r w:rsidRPr="00F71766">
        <w:rPr>
          <w:rFonts w:ascii="Palatino Linotype" w:hAnsi="Palatino Linotype"/>
          <w:b/>
          <w:sz w:val="28"/>
          <w:szCs w:val="28"/>
        </w:rPr>
        <w:t>De la Solicitud de Información.</w:t>
      </w:r>
    </w:p>
    <w:p w14:paraId="239DDAD1" w14:textId="2E19CEF0" w:rsidR="00A36E30" w:rsidRPr="00F71766" w:rsidRDefault="00A36E30" w:rsidP="00A36E30">
      <w:pPr>
        <w:spacing w:after="0" w:line="360" w:lineRule="auto"/>
        <w:jc w:val="both"/>
        <w:rPr>
          <w:rFonts w:ascii="Palatino Linotype" w:hAnsi="Palatino Linotype" w:cs="Arial"/>
          <w:sz w:val="24"/>
        </w:rPr>
      </w:pPr>
      <w:r w:rsidRPr="00F71766">
        <w:rPr>
          <w:rFonts w:ascii="Palatino Linotype" w:hAnsi="Palatino Linotype" w:cs="Arial"/>
          <w:sz w:val="24"/>
        </w:rPr>
        <w:t xml:space="preserve">En fecha </w:t>
      </w:r>
      <w:r w:rsidR="006D3A0C" w:rsidRPr="00F71766">
        <w:rPr>
          <w:rFonts w:ascii="Palatino Linotype" w:hAnsi="Palatino Linotype" w:cs="Arial"/>
          <w:sz w:val="24"/>
        </w:rPr>
        <w:t>dieciséis de junio</w:t>
      </w:r>
      <w:r w:rsidRPr="00F71766">
        <w:rPr>
          <w:rFonts w:ascii="Palatino Linotype" w:hAnsi="Palatino Linotype" w:cs="Arial"/>
          <w:sz w:val="24"/>
        </w:rPr>
        <w:t xml:space="preserve"> de dos mil veinticinco, el </w:t>
      </w:r>
      <w:r w:rsidRPr="00F71766">
        <w:rPr>
          <w:rFonts w:ascii="Palatino Linotype" w:hAnsi="Palatino Linotype" w:cs="Arial"/>
          <w:b/>
          <w:sz w:val="24"/>
        </w:rPr>
        <w:t>Recurrente</w:t>
      </w:r>
      <w:r w:rsidRPr="00F71766">
        <w:rPr>
          <w:rFonts w:ascii="Palatino Linotype" w:hAnsi="Palatino Linotype" w:cs="Arial"/>
          <w:sz w:val="24"/>
        </w:rPr>
        <w:t xml:space="preserve">, presentó a través del Sistema de Acceso a la Información Mexiquense, en lo subsecuente el </w:t>
      </w:r>
      <w:r w:rsidRPr="00F71766">
        <w:rPr>
          <w:rFonts w:ascii="Palatino Linotype" w:hAnsi="Palatino Linotype" w:cs="Arial"/>
          <w:b/>
          <w:sz w:val="24"/>
        </w:rPr>
        <w:t>SAIMEX</w:t>
      </w:r>
      <w:r w:rsidRPr="00F71766">
        <w:rPr>
          <w:rFonts w:ascii="Palatino Linotype" w:hAnsi="Palatino Linotype" w:cs="Arial"/>
          <w:sz w:val="24"/>
        </w:rPr>
        <w:t xml:space="preserve"> ante el </w:t>
      </w:r>
      <w:r w:rsidRPr="00F71766">
        <w:rPr>
          <w:rFonts w:ascii="Palatino Linotype" w:hAnsi="Palatino Linotype" w:cs="Arial"/>
          <w:b/>
          <w:sz w:val="24"/>
        </w:rPr>
        <w:t>Sujeto Obligado</w:t>
      </w:r>
      <w:r w:rsidRPr="00F71766">
        <w:rPr>
          <w:rFonts w:ascii="Palatino Linotype" w:hAnsi="Palatino Linotype" w:cs="Arial"/>
          <w:sz w:val="24"/>
        </w:rPr>
        <w:t xml:space="preserve">, la solicitud de acceso a la información pública, a la que se le asignó el número de expediente </w:t>
      </w:r>
      <w:r w:rsidR="006D3A0C" w:rsidRPr="00F71766">
        <w:rPr>
          <w:rFonts w:ascii="Palatino Linotype" w:hAnsi="Palatino Linotype" w:cs="Arial"/>
          <w:sz w:val="24"/>
        </w:rPr>
        <w:t>0</w:t>
      </w:r>
      <w:r w:rsidR="006D3A0C" w:rsidRPr="00F71766">
        <w:rPr>
          <w:rFonts w:ascii="Palatino Linotype" w:hAnsi="Palatino Linotype"/>
          <w:b/>
          <w:bCs/>
          <w:sz w:val="24"/>
          <w:szCs w:val="24"/>
        </w:rPr>
        <w:t>0291/TEPOTZOT/IP/2025</w:t>
      </w:r>
      <w:r w:rsidRPr="00F71766">
        <w:rPr>
          <w:rFonts w:ascii="Palatino Linotype" w:hAnsi="Palatino Linotype" w:cs="Arial"/>
          <w:sz w:val="24"/>
        </w:rPr>
        <w:t>, mediante la cual solicitó lo siguiente:</w:t>
      </w:r>
    </w:p>
    <w:p w14:paraId="79E050B9" w14:textId="77777777" w:rsidR="00A36E30" w:rsidRPr="00F71766" w:rsidRDefault="00A36E30" w:rsidP="00A36E30">
      <w:pPr>
        <w:spacing w:after="0" w:line="360" w:lineRule="auto"/>
        <w:jc w:val="both"/>
        <w:rPr>
          <w:rFonts w:ascii="Palatino Linotype" w:hAnsi="Palatino Linotype" w:cs="Arial"/>
          <w:sz w:val="24"/>
        </w:rPr>
      </w:pPr>
    </w:p>
    <w:p w14:paraId="2D85D061" w14:textId="4A0AC25D" w:rsidR="00A36E30" w:rsidRPr="00F71766" w:rsidRDefault="00A36E30" w:rsidP="00A36E30">
      <w:pPr>
        <w:spacing w:line="360" w:lineRule="auto"/>
        <w:ind w:left="567"/>
        <w:jc w:val="both"/>
        <w:rPr>
          <w:rFonts w:ascii="Palatino Linotype" w:hAnsi="Palatino Linotype" w:cs="Arial"/>
          <w:i/>
          <w:sz w:val="24"/>
        </w:rPr>
      </w:pPr>
      <w:bookmarkStart w:id="1" w:name="_Hlk82038186"/>
      <w:r w:rsidRPr="00F71766">
        <w:rPr>
          <w:rFonts w:ascii="Palatino Linotype" w:hAnsi="Palatino Linotype" w:cs="Arial"/>
          <w:sz w:val="24"/>
          <w:szCs w:val="24"/>
        </w:rPr>
        <w:lastRenderedPageBreak/>
        <w:t>“</w:t>
      </w:r>
      <w:r w:rsidR="006D3A0C" w:rsidRPr="00F71766">
        <w:rPr>
          <w:rFonts w:ascii="Palatino Linotype" w:hAnsi="Palatino Linotype"/>
          <w:i/>
          <w:color w:val="000000"/>
          <w:sz w:val="24"/>
          <w:szCs w:val="24"/>
        </w:rPr>
        <w:t>Los documentos en los que constan los precios y montos pagados para el evento del día 15 de junio de 2025 y a quien se los pagaron.</w:t>
      </w:r>
      <w:r w:rsidRPr="00F71766">
        <w:rPr>
          <w:rFonts w:ascii="Palatino Linotype" w:hAnsi="Palatino Linotype"/>
          <w:i/>
          <w:color w:val="000000"/>
          <w:sz w:val="24"/>
          <w:szCs w:val="24"/>
        </w:rPr>
        <w:t>.</w:t>
      </w:r>
      <w:r w:rsidRPr="00F71766">
        <w:rPr>
          <w:rFonts w:ascii="Palatino Linotype" w:hAnsi="Palatino Linotype" w:cs="Arial"/>
          <w:i/>
          <w:sz w:val="24"/>
          <w:szCs w:val="24"/>
        </w:rPr>
        <w:t>”</w:t>
      </w:r>
      <w:r w:rsidRPr="00F71766">
        <w:rPr>
          <w:rFonts w:ascii="Palatino Linotype" w:hAnsi="Palatino Linotype" w:cs="Arial"/>
          <w:i/>
          <w:sz w:val="24"/>
        </w:rPr>
        <w:t xml:space="preserve"> (Sic).</w:t>
      </w:r>
    </w:p>
    <w:bookmarkEnd w:id="1"/>
    <w:p w14:paraId="0197E6CB" w14:textId="77777777" w:rsidR="00A36E30" w:rsidRPr="00F71766" w:rsidRDefault="00A36E30" w:rsidP="00A36E30">
      <w:pPr>
        <w:spacing w:after="0" w:line="360" w:lineRule="auto"/>
        <w:jc w:val="both"/>
        <w:rPr>
          <w:rFonts w:ascii="Palatino Linotype" w:hAnsi="Palatino Linotype" w:cs="Arial"/>
          <w:b/>
          <w:sz w:val="24"/>
        </w:rPr>
      </w:pPr>
    </w:p>
    <w:p w14:paraId="3B7DAD26" w14:textId="77777777" w:rsidR="00A36E30" w:rsidRPr="00F71766" w:rsidRDefault="00A36E30" w:rsidP="00A36E30">
      <w:pPr>
        <w:spacing w:after="0" w:line="360" w:lineRule="auto"/>
        <w:jc w:val="both"/>
        <w:rPr>
          <w:rFonts w:ascii="Palatino Linotype" w:hAnsi="Palatino Linotype" w:cs="Arial"/>
          <w:b/>
          <w:sz w:val="24"/>
        </w:rPr>
      </w:pPr>
      <w:r w:rsidRPr="00F71766">
        <w:rPr>
          <w:rFonts w:ascii="Palatino Linotype" w:hAnsi="Palatino Linotype" w:cs="Arial"/>
          <w:b/>
          <w:sz w:val="24"/>
        </w:rPr>
        <w:t xml:space="preserve">Modalidad de entrega: </w:t>
      </w:r>
      <w:r w:rsidRPr="00F71766">
        <w:rPr>
          <w:rFonts w:ascii="Palatino Linotype" w:hAnsi="Palatino Linotype" w:cs="Arial"/>
          <w:sz w:val="24"/>
        </w:rPr>
        <w:t>A través del Sistema de Acceso a la Información Mexiquense</w:t>
      </w:r>
      <w:r w:rsidRPr="00F71766">
        <w:rPr>
          <w:rFonts w:ascii="Palatino Linotype" w:hAnsi="Palatino Linotype" w:cs="Arial"/>
          <w:b/>
          <w:sz w:val="24"/>
        </w:rPr>
        <w:t xml:space="preserve"> (SAIMEX).</w:t>
      </w:r>
    </w:p>
    <w:p w14:paraId="5F685582" w14:textId="77777777" w:rsidR="00A36E30" w:rsidRPr="00F71766" w:rsidRDefault="00A36E30" w:rsidP="00A36E30">
      <w:pPr>
        <w:pStyle w:val="Ttulo2"/>
        <w:rPr>
          <w:rFonts w:eastAsia="Palatino Linotype"/>
          <w:sz w:val="28"/>
        </w:rPr>
      </w:pPr>
    </w:p>
    <w:p w14:paraId="40A54534" w14:textId="77777777" w:rsidR="00A36E30" w:rsidRPr="00F71766" w:rsidRDefault="00A36E30" w:rsidP="00A36E30">
      <w:pPr>
        <w:pStyle w:val="Ttulo2"/>
        <w:rPr>
          <w:rFonts w:ascii="Palatino Linotype" w:hAnsi="Palatino Linotype"/>
          <w:b/>
          <w:bCs/>
          <w:color w:val="auto"/>
        </w:rPr>
      </w:pPr>
      <w:r w:rsidRPr="00F71766">
        <w:rPr>
          <w:rFonts w:ascii="Palatino Linotype" w:eastAsia="Palatino Linotype" w:hAnsi="Palatino Linotype"/>
          <w:b/>
          <w:bCs/>
          <w:color w:val="auto"/>
          <w:sz w:val="28"/>
        </w:rPr>
        <w:t>SEGUNDO</w:t>
      </w:r>
      <w:r w:rsidRPr="00F71766">
        <w:rPr>
          <w:rFonts w:ascii="Palatino Linotype" w:hAnsi="Palatino Linotype" w:cs="Arial"/>
          <w:b/>
          <w:bCs/>
          <w:color w:val="auto"/>
          <w:sz w:val="28"/>
        </w:rPr>
        <w:t xml:space="preserve">. </w:t>
      </w:r>
      <w:r w:rsidRPr="00F71766">
        <w:rPr>
          <w:rFonts w:ascii="Palatino Linotype" w:hAnsi="Palatino Linotype" w:cs="Arial"/>
          <w:b/>
          <w:bCs/>
          <w:color w:val="auto"/>
          <w:sz w:val="28"/>
          <w:szCs w:val="20"/>
        </w:rPr>
        <w:t>De la falta de respuesta del Sujeto Obligado.</w:t>
      </w:r>
    </w:p>
    <w:p w14:paraId="1F5CA1BA" w14:textId="77777777" w:rsidR="00A36E30" w:rsidRPr="00F71766" w:rsidRDefault="00A36E30" w:rsidP="00A36E30">
      <w:pPr>
        <w:spacing w:before="240" w:line="360" w:lineRule="auto"/>
        <w:jc w:val="both"/>
        <w:rPr>
          <w:rFonts w:ascii="Palatino Linotype" w:hAnsi="Palatino Linotype" w:cs="Arial"/>
          <w:sz w:val="24"/>
          <w:szCs w:val="24"/>
        </w:rPr>
      </w:pPr>
      <w:r w:rsidRPr="00F71766">
        <w:rPr>
          <w:rFonts w:ascii="Palatino Linotype" w:hAnsi="Palatino Linotype" w:cs="Arial"/>
          <w:sz w:val="24"/>
          <w:szCs w:val="24"/>
        </w:rPr>
        <w:t xml:space="preserve">En el expediente electrónico </w:t>
      </w:r>
      <w:r w:rsidRPr="00F71766">
        <w:rPr>
          <w:rFonts w:ascii="Palatino Linotype" w:hAnsi="Palatino Linotype" w:cs="Arial"/>
          <w:b/>
          <w:sz w:val="24"/>
          <w:szCs w:val="24"/>
        </w:rPr>
        <w:t>SAIMEX</w:t>
      </w:r>
      <w:r w:rsidRPr="00F71766">
        <w:rPr>
          <w:rFonts w:ascii="Palatino Linotype" w:hAnsi="Palatino Linotype" w:cs="Arial"/>
          <w:sz w:val="24"/>
          <w:szCs w:val="24"/>
        </w:rPr>
        <w:t xml:space="preserve">, se aprecia que </w:t>
      </w:r>
      <w:r w:rsidRPr="00F71766">
        <w:rPr>
          <w:rFonts w:ascii="Palatino Linotype" w:hAnsi="Palatino Linotype" w:cs="Arial"/>
          <w:b/>
          <w:sz w:val="24"/>
          <w:szCs w:val="24"/>
        </w:rPr>
        <w:t xml:space="preserve">El Sujeto Obligado </w:t>
      </w:r>
      <w:r w:rsidRPr="00F71766">
        <w:rPr>
          <w:rFonts w:ascii="Palatino Linotype" w:hAnsi="Palatino Linotype" w:cs="Arial"/>
          <w:sz w:val="24"/>
          <w:szCs w:val="24"/>
        </w:rPr>
        <w:t xml:space="preserve">fue omiso en dar respuesta a la solicitud de información presentada por </w:t>
      </w:r>
      <w:r w:rsidRPr="00F71766">
        <w:rPr>
          <w:rFonts w:ascii="Palatino Linotype" w:hAnsi="Palatino Linotype" w:cs="Arial"/>
          <w:b/>
          <w:sz w:val="24"/>
          <w:szCs w:val="24"/>
        </w:rPr>
        <w:t xml:space="preserve">el Recurrente, </w:t>
      </w:r>
      <w:r w:rsidRPr="00F71766">
        <w:rPr>
          <w:rFonts w:ascii="Palatino Linotype" w:hAnsi="Palatino Linotype" w:cs="Arial"/>
          <w:sz w:val="24"/>
          <w:szCs w:val="24"/>
        </w:rPr>
        <w:t xml:space="preserve">derivado de lo anterior, se constituye la figura de la </w:t>
      </w:r>
      <w:r w:rsidRPr="00F71766">
        <w:rPr>
          <w:rFonts w:ascii="Palatino Linotype" w:hAnsi="Palatino Linotype" w:cs="Arial"/>
          <w:b/>
          <w:sz w:val="24"/>
          <w:szCs w:val="24"/>
        </w:rPr>
        <w:t xml:space="preserve">NEGATIVA FICTA, </w:t>
      </w:r>
      <w:r w:rsidRPr="00F71766">
        <w:rPr>
          <w:rFonts w:ascii="Palatino Linotype" w:hAnsi="Palatino Linotype" w:cs="Arial"/>
          <w:sz w:val="24"/>
          <w:szCs w:val="24"/>
        </w:rPr>
        <w:t xml:space="preserve">cuya esencia consiste en atribuir un efecto negativo de la autoridad administrativa frente a las instancias y solicitudes que hagan los particulares. </w:t>
      </w:r>
    </w:p>
    <w:p w14:paraId="3FB51B23" w14:textId="77777777" w:rsidR="00A36E30" w:rsidRPr="00F71766" w:rsidRDefault="00A36E30" w:rsidP="00A36E30">
      <w:pPr>
        <w:spacing w:before="240" w:line="360" w:lineRule="auto"/>
        <w:jc w:val="both"/>
        <w:rPr>
          <w:rFonts w:ascii="Palatino Linotype" w:hAnsi="Palatino Linotype" w:cs="Arial"/>
          <w:sz w:val="24"/>
          <w:szCs w:val="24"/>
        </w:rPr>
      </w:pPr>
    </w:p>
    <w:p w14:paraId="21DEDAE5" w14:textId="77777777" w:rsidR="00A36E30" w:rsidRPr="00F71766" w:rsidRDefault="00A36E30" w:rsidP="00A36E30">
      <w:pPr>
        <w:spacing w:after="0" w:line="360" w:lineRule="auto"/>
        <w:jc w:val="both"/>
        <w:rPr>
          <w:rFonts w:ascii="Palatino Linotype" w:hAnsi="Palatino Linotype" w:cs="Arial"/>
          <w:b/>
          <w:sz w:val="28"/>
        </w:rPr>
      </w:pPr>
      <w:r w:rsidRPr="00F71766">
        <w:rPr>
          <w:rFonts w:ascii="Palatino Linotype" w:hAnsi="Palatino Linotype" w:cs="Arial"/>
          <w:b/>
          <w:sz w:val="28"/>
        </w:rPr>
        <w:t xml:space="preserve">TERCERO. </w:t>
      </w:r>
      <w:r w:rsidRPr="00F71766">
        <w:rPr>
          <w:rFonts w:ascii="Palatino Linotype" w:hAnsi="Palatino Linotype"/>
          <w:b/>
          <w:sz w:val="28"/>
        </w:rPr>
        <w:t>Del recurso de revisión.</w:t>
      </w:r>
    </w:p>
    <w:p w14:paraId="7D803A1C" w14:textId="33CA35E2" w:rsidR="00A36E30" w:rsidRPr="00F71766" w:rsidRDefault="00A36E30" w:rsidP="00A36E30">
      <w:pPr>
        <w:spacing w:after="0" w:line="360" w:lineRule="auto"/>
        <w:jc w:val="both"/>
        <w:rPr>
          <w:rFonts w:ascii="Palatino Linotype" w:hAnsi="Palatino Linotype" w:cs="Arial"/>
          <w:sz w:val="24"/>
        </w:rPr>
      </w:pPr>
      <w:r w:rsidRPr="00F71766">
        <w:rPr>
          <w:rFonts w:ascii="Palatino Linotype" w:hAnsi="Palatino Linotype" w:cs="Arial"/>
          <w:sz w:val="24"/>
          <w:szCs w:val="24"/>
        </w:rPr>
        <w:t>Inconforme con la respuesta notificada por el</w:t>
      </w:r>
      <w:r w:rsidRPr="00F71766">
        <w:rPr>
          <w:rFonts w:ascii="Palatino Linotype" w:hAnsi="Palatino Linotype" w:cs="Arial"/>
          <w:b/>
          <w:sz w:val="24"/>
          <w:szCs w:val="24"/>
        </w:rPr>
        <w:t xml:space="preserve"> Sujeto Obligado</w:t>
      </w:r>
      <w:r w:rsidRPr="00F71766">
        <w:rPr>
          <w:rFonts w:ascii="Palatino Linotype" w:hAnsi="Palatino Linotype" w:cs="Arial"/>
          <w:sz w:val="24"/>
          <w:szCs w:val="24"/>
        </w:rPr>
        <w:t>, el Recurrente</w:t>
      </w:r>
      <w:r w:rsidRPr="00F71766">
        <w:rPr>
          <w:rFonts w:ascii="Palatino Linotype" w:hAnsi="Palatino Linotype" w:cs="Arial"/>
          <w:b/>
          <w:sz w:val="24"/>
          <w:szCs w:val="24"/>
        </w:rPr>
        <w:t xml:space="preserve"> </w:t>
      </w:r>
      <w:r w:rsidRPr="00F71766">
        <w:rPr>
          <w:rFonts w:ascii="Palatino Linotype" w:hAnsi="Palatino Linotype" w:cs="Arial"/>
          <w:sz w:val="24"/>
          <w:szCs w:val="24"/>
        </w:rPr>
        <w:t xml:space="preserve">interpuso el presente recurso de revisión, en fecha </w:t>
      </w:r>
      <w:r w:rsidR="006D3A0C" w:rsidRPr="00F71766">
        <w:rPr>
          <w:rFonts w:ascii="Palatino Linotype" w:hAnsi="Palatino Linotype"/>
          <w:sz w:val="24"/>
        </w:rPr>
        <w:t>trece de agosto</w:t>
      </w:r>
      <w:r w:rsidRPr="00F71766">
        <w:rPr>
          <w:rFonts w:ascii="Palatino Linotype" w:hAnsi="Palatino Linotype"/>
          <w:sz w:val="24"/>
        </w:rPr>
        <w:t xml:space="preserve"> de dos mil veinticinco</w:t>
      </w:r>
      <w:r w:rsidRPr="00F71766">
        <w:rPr>
          <w:rFonts w:ascii="Palatino Linotype" w:hAnsi="Palatino Linotype" w:cs="Arial"/>
          <w:sz w:val="24"/>
          <w:szCs w:val="24"/>
        </w:rPr>
        <w:t>, el cual fue registrado</w:t>
      </w:r>
      <w:r w:rsidRPr="00F71766">
        <w:rPr>
          <w:rFonts w:ascii="Palatino Linotype" w:hAnsi="Palatino Linotype" w:cs="Arial"/>
          <w:b/>
          <w:sz w:val="24"/>
          <w:szCs w:val="24"/>
        </w:rPr>
        <w:t xml:space="preserve"> </w:t>
      </w:r>
      <w:r w:rsidRPr="00F71766">
        <w:rPr>
          <w:rFonts w:ascii="Palatino Linotype" w:hAnsi="Palatino Linotype" w:cs="Arial"/>
          <w:sz w:val="24"/>
          <w:szCs w:val="24"/>
        </w:rPr>
        <w:t xml:space="preserve">en el sistema electrónico con el expediente número </w:t>
      </w:r>
      <w:r w:rsidR="006D3A0C" w:rsidRPr="00F71766">
        <w:rPr>
          <w:rFonts w:ascii="Palatino Linotype" w:hAnsi="Palatino Linotype" w:cs="Arial"/>
          <w:b/>
          <w:sz w:val="24"/>
          <w:szCs w:val="24"/>
        </w:rPr>
        <w:t>09500</w:t>
      </w:r>
      <w:r w:rsidRPr="00F71766">
        <w:rPr>
          <w:rFonts w:ascii="Palatino Linotype" w:hAnsi="Palatino Linotype" w:cs="Arial"/>
          <w:b/>
          <w:bCs/>
          <w:sz w:val="24"/>
          <w:szCs w:val="24"/>
          <w:lang w:eastAsia="es-MX"/>
        </w:rPr>
        <w:t>/INFOEM/IP/RR/2025</w:t>
      </w:r>
      <w:r w:rsidRPr="00F71766">
        <w:rPr>
          <w:rFonts w:ascii="Palatino Linotype" w:hAnsi="Palatino Linotype" w:cs="Arial"/>
          <w:sz w:val="24"/>
          <w:szCs w:val="24"/>
        </w:rPr>
        <w:t xml:space="preserve">, en el cual </w:t>
      </w:r>
      <w:r w:rsidRPr="00F71766">
        <w:rPr>
          <w:rFonts w:ascii="Palatino Linotype" w:hAnsi="Palatino Linotype" w:cs="Arial"/>
          <w:sz w:val="24"/>
        </w:rPr>
        <w:t>arguye, las siguientes manifestaciones:</w:t>
      </w:r>
    </w:p>
    <w:p w14:paraId="3B4249D8" w14:textId="77777777" w:rsidR="00A36E30" w:rsidRPr="00F71766" w:rsidRDefault="00A36E30" w:rsidP="00A36E30">
      <w:pPr>
        <w:spacing w:after="0" w:line="360" w:lineRule="auto"/>
        <w:jc w:val="both"/>
        <w:rPr>
          <w:rFonts w:ascii="Palatino Linotype" w:hAnsi="Palatino Linotype" w:cs="Arial"/>
          <w:sz w:val="24"/>
        </w:rPr>
      </w:pPr>
    </w:p>
    <w:p w14:paraId="7917BF1A" w14:textId="77777777" w:rsidR="00A36E30" w:rsidRPr="00F71766" w:rsidRDefault="00A36E30" w:rsidP="00A36E30">
      <w:pPr>
        <w:pStyle w:val="Prrafodelista"/>
        <w:numPr>
          <w:ilvl w:val="0"/>
          <w:numId w:val="2"/>
        </w:numPr>
        <w:spacing w:after="0" w:line="240" w:lineRule="auto"/>
        <w:contextualSpacing w:val="0"/>
        <w:jc w:val="both"/>
        <w:rPr>
          <w:rFonts w:ascii="Palatino Linotype" w:hAnsi="Palatino Linotype" w:cs="Arial"/>
          <w:b/>
        </w:rPr>
      </w:pPr>
      <w:r w:rsidRPr="00F71766">
        <w:rPr>
          <w:rFonts w:ascii="Palatino Linotype" w:hAnsi="Palatino Linotype" w:cs="Arial"/>
          <w:b/>
        </w:rPr>
        <w:t>Acto Impugnado y Razones o Motivos de Inconformidad</w:t>
      </w:r>
    </w:p>
    <w:p w14:paraId="1F0B4E45" w14:textId="77777777" w:rsidR="00A36E30" w:rsidRPr="00F71766" w:rsidRDefault="00A36E30" w:rsidP="00A36E30">
      <w:pPr>
        <w:tabs>
          <w:tab w:val="left" w:pos="8364"/>
        </w:tabs>
        <w:spacing w:after="0" w:line="240" w:lineRule="auto"/>
        <w:ind w:left="709" w:right="851"/>
        <w:jc w:val="both"/>
        <w:rPr>
          <w:rFonts w:ascii="Palatino Linotype" w:hAnsi="Palatino Linotype" w:cs="Arial"/>
          <w:i/>
        </w:rPr>
      </w:pPr>
      <w:r w:rsidRPr="00F71766">
        <w:rPr>
          <w:rFonts w:ascii="Palatino Linotype" w:hAnsi="Palatino Linotype" w:cs="Arial"/>
          <w:i/>
        </w:rPr>
        <w:t>"</w:t>
      </w:r>
      <w:r w:rsidRPr="00F71766">
        <w:rPr>
          <w:rFonts w:ascii="Palatino Linotype" w:hAnsi="Palatino Linotype"/>
          <w:i/>
          <w:color w:val="000000"/>
          <w:sz w:val="24"/>
          <w:szCs w:val="24"/>
        </w:rPr>
        <w:t>La falta de respuesta a una solicitud de acceso a la información</w:t>
      </w:r>
      <w:r w:rsidRPr="00F71766">
        <w:rPr>
          <w:rFonts w:ascii="Palatino Linotype" w:hAnsi="Palatino Linotype" w:cs="Arial"/>
          <w:i/>
        </w:rPr>
        <w:t>” [Sic].</w:t>
      </w:r>
    </w:p>
    <w:p w14:paraId="0FC6706E" w14:textId="77777777" w:rsidR="00A36E30" w:rsidRPr="00F71766" w:rsidRDefault="00A36E30" w:rsidP="00A36E30">
      <w:pPr>
        <w:spacing w:after="0" w:line="240" w:lineRule="auto"/>
        <w:ind w:left="851" w:right="851"/>
        <w:jc w:val="both"/>
        <w:rPr>
          <w:rFonts w:ascii="Palatino Linotype" w:hAnsi="Palatino Linotype" w:cs="Arial"/>
          <w:i/>
          <w:sz w:val="24"/>
        </w:rPr>
      </w:pPr>
    </w:p>
    <w:p w14:paraId="4AD3EAC0" w14:textId="77777777" w:rsidR="00A36E30" w:rsidRPr="00F71766" w:rsidRDefault="00A36E30" w:rsidP="00A36E30">
      <w:pPr>
        <w:spacing w:after="0" w:line="360" w:lineRule="auto"/>
        <w:ind w:right="49"/>
        <w:jc w:val="both"/>
        <w:rPr>
          <w:rFonts w:ascii="Palatino Linotype" w:eastAsia="Times New Roman" w:hAnsi="Palatino Linotype" w:cs="Arial"/>
          <w:sz w:val="24"/>
          <w:lang w:eastAsia="es-ES"/>
        </w:rPr>
      </w:pPr>
    </w:p>
    <w:p w14:paraId="3EE1A9D5" w14:textId="3F835FE9" w:rsidR="00A36E30" w:rsidRPr="00F71766" w:rsidRDefault="00A36E30" w:rsidP="00A36E30">
      <w:pPr>
        <w:spacing w:after="0" w:line="360" w:lineRule="auto"/>
        <w:ind w:right="49"/>
        <w:jc w:val="both"/>
        <w:rPr>
          <w:rFonts w:ascii="Palatino Linotype" w:eastAsia="Times New Roman" w:hAnsi="Palatino Linotype" w:cs="Arial"/>
          <w:b/>
          <w:sz w:val="28"/>
          <w:lang w:eastAsia="es-ES"/>
        </w:rPr>
      </w:pPr>
      <w:r w:rsidRPr="00F71766">
        <w:rPr>
          <w:rFonts w:ascii="Palatino Linotype" w:eastAsia="Times New Roman" w:hAnsi="Palatino Linotype" w:cs="Arial"/>
          <w:b/>
          <w:sz w:val="28"/>
          <w:lang w:eastAsia="es-ES"/>
        </w:rPr>
        <w:lastRenderedPageBreak/>
        <w:t xml:space="preserve">CUARTO. </w:t>
      </w:r>
      <w:r w:rsidRPr="00F71766">
        <w:rPr>
          <w:rFonts w:ascii="Palatino Linotype" w:eastAsia="Times New Roman" w:hAnsi="Palatino Linotype" w:cs="Arial"/>
          <w:b/>
          <w:sz w:val="26"/>
          <w:szCs w:val="26"/>
          <w:lang w:eastAsia="es-ES"/>
        </w:rPr>
        <w:t xml:space="preserve">Del trámite y sustanciación del recurso de revisión </w:t>
      </w:r>
      <w:r w:rsidR="002351A4" w:rsidRPr="00F71766">
        <w:rPr>
          <w:rFonts w:ascii="Palatino Linotype" w:eastAsia="Times New Roman" w:hAnsi="Palatino Linotype" w:cs="Arial"/>
          <w:b/>
          <w:sz w:val="26"/>
          <w:szCs w:val="26"/>
          <w:lang w:eastAsia="es-ES"/>
        </w:rPr>
        <w:t>09500</w:t>
      </w:r>
      <w:r w:rsidRPr="00F71766">
        <w:rPr>
          <w:rFonts w:ascii="Palatino Linotype" w:eastAsia="Times New Roman" w:hAnsi="Palatino Linotype" w:cs="Arial"/>
          <w:b/>
          <w:sz w:val="26"/>
          <w:szCs w:val="26"/>
          <w:lang w:eastAsia="es-ES"/>
        </w:rPr>
        <w:t>/INFOEM/IP/RR/2025.</w:t>
      </w:r>
    </w:p>
    <w:p w14:paraId="723D214C" w14:textId="77777777" w:rsidR="00A36E30" w:rsidRPr="00F71766" w:rsidRDefault="00A36E30" w:rsidP="00A36E30">
      <w:pPr>
        <w:spacing w:after="0" w:line="360" w:lineRule="auto"/>
        <w:ind w:right="49"/>
        <w:jc w:val="both"/>
        <w:rPr>
          <w:rFonts w:ascii="Palatino Linotype" w:eastAsia="Times New Roman" w:hAnsi="Palatino Linotype" w:cs="Arial"/>
          <w:sz w:val="24"/>
          <w:szCs w:val="24"/>
          <w:lang w:val="es-ES" w:eastAsia="es-ES"/>
        </w:rPr>
      </w:pPr>
    </w:p>
    <w:p w14:paraId="2E336768" w14:textId="77777777" w:rsidR="00A36E30" w:rsidRPr="00F71766" w:rsidRDefault="00A36E30" w:rsidP="00A36E30">
      <w:pPr>
        <w:numPr>
          <w:ilvl w:val="0"/>
          <w:numId w:val="1"/>
        </w:numPr>
        <w:spacing w:after="0" w:line="360" w:lineRule="auto"/>
        <w:ind w:right="49"/>
        <w:contextualSpacing/>
        <w:jc w:val="both"/>
        <w:rPr>
          <w:rFonts w:ascii="Palatino Linotype" w:eastAsia="Times New Roman" w:hAnsi="Palatino Linotype" w:cs="Arial"/>
          <w:sz w:val="26"/>
          <w:szCs w:val="26"/>
          <w:lang w:val="es-ES" w:eastAsia="es-ES"/>
        </w:rPr>
      </w:pPr>
      <w:r w:rsidRPr="00F71766">
        <w:rPr>
          <w:rFonts w:ascii="Palatino Linotype" w:eastAsia="Times New Roman" w:hAnsi="Palatino Linotype" w:cs="Arial"/>
          <w:b/>
          <w:sz w:val="26"/>
          <w:szCs w:val="26"/>
          <w:lang w:val="es-ES" w:eastAsia="es-ES"/>
        </w:rPr>
        <w:t>Turno del recurso de revisión.</w:t>
      </w:r>
    </w:p>
    <w:p w14:paraId="0512D1EF" w14:textId="4B6A1CFC" w:rsidR="00A36E30" w:rsidRPr="00F71766" w:rsidRDefault="00A36E30" w:rsidP="00A36E30">
      <w:pPr>
        <w:spacing w:after="0" w:line="360" w:lineRule="auto"/>
        <w:ind w:right="49"/>
        <w:jc w:val="both"/>
        <w:rPr>
          <w:rFonts w:ascii="Palatino Linotype" w:eastAsia="Times New Roman" w:hAnsi="Palatino Linotype" w:cs="Arial"/>
          <w:sz w:val="24"/>
          <w:szCs w:val="24"/>
          <w:lang w:val="es-ES_tradnl" w:eastAsia="es-ES"/>
        </w:rPr>
      </w:pPr>
      <w:r w:rsidRPr="00F71766">
        <w:rPr>
          <w:rFonts w:ascii="Palatino Linotype" w:eastAsia="Times New Roman" w:hAnsi="Palatino Linotype" w:cs="Arial"/>
          <w:sz w:val="24"/>
          <w:szCs w:val="24"/>
          <w:lang w:val="es-ES" w:eastAsia="es-ES"/>
        </w:rPr>
        <w:t>En fecha</w:t>
      </w:r>
      <w:r w:rsidRPr="00F71766">
        <w:rPr>
          <w:rFonts w:ascii="Palatino Linotype" w:hAnsi="Palatino Linotype" w:cs="Arial"/>
          <w:sz w:val="24"/>
          <w:szCs w:val="24"/>
        </w:rPr>
        <w:t xml:space="preserve"> </w:t>
      </w:r>
      <w:r w:rsidR="002351A4" w:rsidRPr="00F71766">
        <w:rPr>
          <w:rFonts w:ascii="Palatino Linotype" w:hAnsi="Palatino Linotype" w:cs="Arial"/>
          <w:b/>
          <w:sz w:val="24"/>
          <w:szCs w:val="24"/>
        </w:rPr>
        <w:t>trece de agosto</w:t>
      </w:r>
      <w:r w:rsidRPr="00F71766">
        <w:rPr>
          <w:rFonts w:ascii="Palatino Linotype" w:hAnsi="Palatino Linotype" w:cs="Arial"/>
          <w:b/>
          <w:sz w:val="24"/>
          <w:szCs w:val="24"/>
        </w:rPr>
        <w:t xml:space="preserve"> de dos mil veinticinco</w:t>
      </w:r>
      <w:r w:rsidRPr="00F71766">
        <w:rPr>
          <w:rFonts w:ascii="Palatino Linotype" w:hAnsi="Palatino Linotype" w:cs="Arial"/>
          <w:sz w:val="24"/>
          <w:szCs w:val="24"/>
        </w:rPr>
        <w:t>,</w:t>
      </w:r>
      <w:r w:rsidRPr="00F71766">
        <w:rPr>
          <w:rFonts w:ascii="Palatino Linotype" w:eastAsia="Times New Roman" w:hAnsi="Palatino Linotype" w:cs="Arial"/>
          <w:sz w:val="24"/>
          <w:szCs w:val="24"/>
          <w:lang w:val="es-ES" w:eastAsia="es-ES"/>
        </w:rPr>
        <w:t xml:space="preserve"> el </w:t>
      </w:r>
      <w:r w:rsidRPr="00F71766">
        <w:rPr>
          <w:rFonts w:ascii="Palatino Linotype" w:eastAsia="Times New Roman" w:hAnsi="Palatino Linotype" w:cs="Arial"/>
          <w:sz w:val="24"/>
          <w:szCs w:val="24"/>
          <w:lang w:val="es-ES_tradnl" w:eastAsia="es-ES"/>
        </w:rPr>
        <w:t>recurso de que</w:t>
      </w:r>
      <w:r w:rsidRPr="00F71766">
        <w:rPr>
          <w:rFonts w:ascii="Palatino Linotype" w:eastAsia="Times New Roman" w:hAnsi="Palatino Linotype" w:cs="Arial"/>
          <w:sz w:val="24"/>
          <w:szCs w:val="24"/>
          <w:lang w:val="es-ES" w:eastAsia="es-ES"/>
        </w:rPr>
        <w:t xml:space="preserve"> se trata</w:t>
      </w:r>
      <w:r w:rsidRPr="00F71766">
        <w:rPr>
          <w:rFonts w:ascii="Palatino Linotype" w:eastAsia="Times New Roman" w:hAnsi="Palatino Linotype" w:cs="Arial"/>
          <w:sz w:val="24"/>
          <w:szCs w:val="24"/>
          <w:lang w:val="es-ES_tradnl" w:eastAsia="es-ES"/>
        </w:rPr>
        <w:t xml:space="preserve"> se envió electrónicamente al Instituto de </w:t>
      </w:r>
      <w:r w:rsidRPr="00F71766">
        <w:rPr>
          <w:rFonts w:ascii="Palatino Linotype" w:eastAsia="Arial Unicode MS" w:hAnsi="Palatino Linotype" w:cs="Arial"/>
          <w:sz w:val="24"/>
          <w:szCs w:val="24"/>
          <w:lang w:val="es-ES" w:eastAsia="es-ES"/>
        </w:rPr>
        <w:t>Transparencia</w:t>
      </w:r>
      <w:r w:rsidRPr="00F71766">
        <w:rPr>
          <w:rFonts w:ascii="Palatino Linotype" w:eastAsia="Times New Roman" w:hAnsi="Palatino Linotype" w:cs="Arial"/>
          <w:sz w:val="24"/>
          <w:szCs w:val="24"/>
          <w:lang w:val="es-ES_tradnl" w:eastAsia="es-ES"/>
        </w:rPr>
        <w:t xml:space="preserve">, Acceso a la Información Pública y Protección de Datos Personales del Estado de México y Municipios y con fundamento en el artículo 185 fracción I de la </w:t>
      </w:r>
      <w:r w:rsidRPr="00F71766">
        <w:rPr>
          <w:rFonts w:ascii="Palatino Linotype" w:eastAsia="Times New Roman" w:hAnsi="Palatino Linotype" w:cs="Times New Roman"/>
          <w:sz w:val="24"/>
          <w:szCs w:val="24"/>
          <w:lang w:val="es-ES" w:eastAsia="es-ES"/>
        </w:rPr>
        <w:t>Ley de Transparencia y Acceso a la Información Pública del Estado de México y Municipios</w:t>
      </w:r>
      <w:r w:rsidRPr="00F71766">
        <w:rPr>
          <w:rFonts w:ascii="Palatino Linotype" w:eastAsia="Times New Roman" w:hAnsi="Palatino Linotype" w:cs="Arial"/>
          <w:sz w:val="24"/>
          <w:szCs w:val="24"/>
          <w:lang w:val="es-ES_tradnl" w:eastAsia="es-ES"/>
        </w:rPr>
        <w:t>, se turnó a través del</w:t>
      </w:r>
      <w:r w:rsidRPr="00F71766">
        <w:rPr>
          <w:rFonts w:ascii="Palatino Linotype" w:eastAsia="Arial Unicode MS" w:hAnsi="Palatino Linotype" w:cs="Arial"/>
          <w:sz w:val="24"/>
          <w:szCs w:val="24"/>
          <w:lang w:val="es-ES_tradnl" w:eastAsia="es-ES"/>
        </w:rPr>
        <w:t xml:space="preserve"> </w:t>
      </w:r>
      <w:r w:rsidRPr="00F71766">
        <w:rPr>
          <w:rFonts w:ascii="Palatino Linotype" w:eastAsia="Arial Unicode MS" w:hAnsi="Palatino Linotype" w:cs="Arial"/>
          <w:b/>
          <w:sz w:val="24"/>
          <w:szCs w:val="24"/>
          <w:lang w:val="es-ES_tradnl" w:eastAsia="es-ES"/>
        </w:rPr>
        <w:t>SAIMEX</w:t>
      </w:r>
      <w:r w:rsidRPr="00F71766">
        <w:rPr>
          <w:rFonts w:ascii="Palatino Linotype" w:eastAsia="Times New Roman" w:hAnsi="Palatino Linotype" w:cs="Times New Roman"/>
          <w:sz w:val="24"/>
          <w:szCs w:val="24"/>
          <w:lang w:val="es-ES" w:eastAsia="es-ES"/>
        </w:rPr>
        <w:t xml:space="preserve"> al </w:t>
      </w:r>
      <w:r w:rsidRPr="00F71766">
        <w:rPr>
          <w:rFonts w:ascii="Palatino Linotype" w:eastAsia="Times New Roman" w:hAnsi="Palatino Linotype" w:cs="Arial"/>
          <w:sz w:val="24"/>
          <w:szCs w:val="24"/>
          <w:lang w:val="es-ES_tradnl" w:eastAsia="es-ES"/>
        </w:rPr>
        <w:t xml:space="preserve">Comisionado Presidente </w:t>
      </w:r>
      <w:r w:rsidRPr="00F71766">
        <w:rPr>
          <w:rFonts w:ascii="Palatino Linotype" w:eastAsia="Times New Roman" w:hAnsi="Palatino Linotype" w:cs="Arial"/>
          <w:b/>
          <w:sz w:val="24"/>
          <w:szCs w:val="24"/>
          <w:lang w:val="es-ES_tradnl" w:eastAsia="es-ES"/>
        </w:rPr>
        <w:t xml:space="preserve">JOSÉ MARTÍNEZ VILCHIS, </w:t>
      </w:r>
      <w:r w:rsidRPr="00F71766">
        <w:rPr>
          <w:rFonts w:ascii="Palatino Linotype" w:eastAsia="Times New Roman" w:hAnsi="Palatino Linotype" w:cs="Arial"/>
          <w:sz w:val="24"/>
          <w:szCs w:val="24"/>
          <w:lang w:val="es-ES_tradnl" w:eastAsia="es-ES"/>
        </w:rPr>
        <w:t>a efecto de que decretara su admisión o desechamiento.</w:t>
      </w:r>
    </w:p>
    <w:p w14:paraId="3E0C6670" w14:textId="77777777" w:rsidR="00A36E30" w:rsidRPr="00F71766" w:rsidRDefault="00A36E30" w:rsidP="00A36E30">
      <w:pPr>
        <w:spacing w:after="0" w:line="360" w:lineRule="auto"/>
        <w:ind w:right="49"/>
        <w:jc w:val="both"/>
        <w:rPr>
          <w:rFonts w:ascii="Palatino Linotype" w:eastAsia="Times New Roman" w:hAnsi="Palatino Linotype" w:cs="Arial"/>
          <w:sz w:val="24"/>
          <w:szCs w:val="24"/>
          <w:lang w:val="es-ES_tradnl" w:eastAsia="es-ES"/>
        </w:rPr>
      </w:pPr>
    </w:p>
    <w:p w14:paraId="7CC29B65" w14:textId="77777777" w:rsidR="00A36E30" w:rsidRPr="00F71766" w:rsidRDefault="00A36E30" w:rsidP="00A36E30">
      <w:pPr>
        <w:numPr>
          <w:ilvl w:val="0"/>
          <w:numId w:val="1"/>
        </w:numPr>
        <w:spacing w:after="0" w:line="360" w:lineRule="auto"/>
        <w:ind w:right="49"/>
        <w:contextualSpacing/>
        <w:jc w:val="both"/>
        <w:rPr>
          <w:rFonts w:ascii="Palatino Linotype" w:eastAsia="Times New Roman" w:hAnsi="Palatino Linotype" w:cs="Arial"/>
          <w:b/>
          <w:sz w:val="26"/>
          <w:szCs w:val="26"/>
          <w:lang w:val="es-ES_tradnl" w:eastAsia="es-ES"/>
        </w:rPr>
      </w:pPr>
      <w:r w:rsidRPr="00F71766">
        <w:rPr>
          <w:rFonts w:ascii="Palatino Linotype" w:eastAsia="Times New Roman" w:hAnsi="Palatino Linotype" w:cs="Arial"/>
          <w:b/>
          <w:sz w:val="26"/>
          <w:szCs w:val="26"/>
          <w:lang w:val="es-ES_tradnl" w:eastAsia="es-ES"/>
        </w:rPr>
        <w:t>De la admisión del recursos de revisión</w:t>
      </w:r>
    </w:p>
    <w:p w14:paraId="50D0612F" w14:textId="469B3F8E" w:rsidR="00A36E30" w:rsidRPr="00F71766" w:rsidRDefault="00A36E30" w:rsidP="00A36E30">
      <w:pPr>
        <w:spacing w:after="0" w:line="360" w:lineRule="auto"/>
        <w:ind w:right="49"/>
        <w:jc w:val="both"/>
        <w:rPr>
          <w:rFonts w:ascii="Palatino Linotype" w:eastAsia="Times New Roman" w:hAnsi="Palatino Linotype" w:cs="Arial"/>
          <w:sz w:val="24"/>
          <w:szCs w:val="24"/>
          <w:lang w:val="es-ES_tradnl" w:eastAsia="es-ES"/>
        </w:rPr>
      </w:pPr>
      <w:r w:rsidRPr="00F71766">
        <w:rPr>
          <w:rFonts w:ascii="Palatino Linotype" w:eastAsia="Times New Roman" w:hAnsi="Palatino Linotype" w:cs="Arial"/>
          <w:sz w:val="24"/>
          <w:szCs w:val="24"/>
          <w:lang w:val="es-ES_tradnl" w:eastAsia="es-ES"/>
        </w:rPr>
        <w:t>E</w:t>
      </w:r>
      <w:r w:rsidRPr="00F71766">
        <w:rPr>
          <w:rFonts w:ascii="Palatino Linotype" w:eastAsia="Times New Roman" w:hAnsi="Palatino Linotype" w:cs="Arial"/>
          <w:sz w:val="24"/>
          <w:szCs w:val="24"/>
          <w:lang w:val="es-ES" w:eastAsia="es-ES"/>
        </w:rPr>
        <w:t xml:space="preserve">n fecha </w:t>
      </w:r>
      <w:r w:rsidR="002351A4" w:rsidRPr="00F71766">
        <w:rPr>
          <w:rFonts w:ascii="Palatino Linotype" w:hAnsi="Palatino Linotype"/>
          <w:b/>
          <w:sz w:val="24"/>
        </w:rPr>
        <w:t>dieciocho de agosto</w:t>
      </w:r>
      <w:r w:rsidRPr="00F71766">
        <w:rPr>
          <w:rFonts w:ascii="Palatino Linotype" w:hAnsi="Palatino Linotype"/>
          <w:b/>
          <w:sz w:val="24"/>
        </w:rPr>
        <w:t xml:space="preserve"> de dos mil veinticinco</w:t>
      </w:r>
      <w:r w:rsidRPr="00F71766">
        <w:rPr>
          <w:rFonts w:ascii="Palatino Linotype" w:eastAsia="Times New Roman" w:hAnsi="Palatino Linotype" w:cs="Arial"/>
          <w:sz w:val="24"/>
          <w:szCs w:val="24"/>
          <w:lang w:val="es-ES" w:eastAsia="es-ES"/>
        </w:rPr>
        <w:t xml:space="preserve">, atento a lo dispuesto en el </w:t>
      </w:r>
      <w:r w:rsidRPr="00F71766">
        <w:rPr>
          <w:rFonts w:ascii="Palatino Linotype" w:eastAsia="Times New Roman" w:hAnsi="Palatino Linotype" w:cs="Arial"/>
          <w:sz w:val="24"/>
          <w:szCs w:val="24"/>
          <w:lang w:val="es-ES_tradnl" w:eastAsia="es-ES"/>
        </w:rPr>
        <w:t>artículo</w:t>
      </w:r>
      <w:r w:rsidRPr="00F71766">
        <w:rPr>
          <w:rFonts w:ascii="Palatino Linotype" w:eastAsia="Times New Roman" w:hAnsi="Palatino Linotype" w:cs="Arial"/>
          <w:sz w:val="24"/>
          <w:szCs w:val="24"/>
          <w:lang w:val="es-ES" w:eastAsia="es-ES"/>
        </w:rPr>
        <w:t xml:space="preserve"> 185 fracciones I, II y IV </w:t>
      </w:r>
      <w:r w:rsidRPr="00F71766">
        <w:rPr>
          <w:rFonts w:ascii="Palatino Linotype" w:eastAsia="Times New Roman" w:hAnsi="Palatino Linotype" w:cs="Arial"/>
          <w:sz w:val="24"/>
          <w:szCs w:val="24"/>
          <w:lang w:val="es-ES_tradnl" w:eastAsia="es-ES"/>
        </w:rPr>
        <w:t xml:space="preserve">de la </w:t>
      </w:r>
      <w:r w:rsidRPr="00F71766">
        <w:rPr>
          <w:rFonts w:ascii="Palatino Linotype" w:eastAsia="Times New Roman" w:hAnsi="Palatino Linotype" w:cs="Times New Roman"/>
          <w:sz w:val="24"/>
          <w:szCs w:val="24"/>
          <w:lang w:val="es-ES" w:eastAsia="es-ES"/>
        </w:rPr>
        <w:t>Ley de Transparencia y Acceso a la Información Pública del Estado de México y Municipios, se a</w:t>
      </w:r>
      <w:r w:rsidRPr="00F71766">
        <w:rPr>
          <w:rFonts w:ascii="Palatino Linotype" w:eastAsia="Times New Roman" w:hAnsi="Palatino Linotype" w:cs="Arial"/>
          <w:sz w:val="24"/>
          <w:szCs w:val="24"/>
          <w:lang w:val="es-ES" w:eastAsia="es-ES"/>
        </w:rPr>
        <w:t>cordó la admisión a trámite del referido recurso de revisión, así como la integración del expediente respectivo, que se puso a disposición de las partes, para que en un plazo máximo de siete días hábiles, realizarán manifestaciones y ofrecieran las pruebas y alegatos que a su derecho conviniera o exhibieran el informe justificado, según fuera el caso.</w:t>
      </w:r>
    </w:p>
    <w:p w14:paraId="652D2CB3" w14:textId="77777777" w:rsidR="00A36E30" w:rsidRPr="00F71766" w:rsidRDefault="00A36E30" w:rsidP="00A36E30">
      <w:pPr>
        <w:spacing w:after="0" w:line="360" w:lineRule="auto"/>
        <w:ind w:right="49"/>
        <w:jc w:val="both"/>
        <w:rPr>
          <w:rFonts w:ascii="Palatino Linotype" w:eastAsia="Times New Roman" w:hAnsi="Palatino Linotype" w:cs="Arial"/>
          <w:sz w:val="24"/>
          <w:szCs w:val="24"/>
          <w:lang w:val="es-ES" w:eastAsia="es-ES"/>
        </w:rPr>
      </w:pPr>
    </w:p>
    <w:p w14:paraId="1118CD0F" w14:textId="77777777" w:rsidR="00A36E30" w:rsidRPr="00F71766" w:rsidRDefault="00A36E30" w:rsidP="00A36E30">
      <w:pPr>
        <w:numPr>
          <w:ilvl w:val="0"/>
          <w:numId w:val="1"/>
        </w:numPr>
        <w:spacing w:after="0" w:line="360" w:lineRule="auto"/>
        <w:contextualSpacing/>
        <w:jc w:val="both"/>
        <w:rPr>
          <w:rFonts w:ascii="Palatino Linotype" w:hAnsi="Palatino Linotype" w:cs="Arial"/>
          <w:b/>
          <w:sz w:val="26"/>
          <w:szCs w:val="26"/>
        </w:rPr>
      </w:pPr>
      <w:r w:rsidRPr="00F71766">
        <w:rPr>
          <w:rFonts w:ascii="Palatino Linotype" w:hAnsi="Palatino Linotype" w:cs="Arial"/>
          <w:b/>
          <w:sz w:val="26"/>
          <w:szCs w:val="26"/>
        </w:rPr>
        <w:t>De la etapa de instrucción.</w:t>
      </w:r>
    </w:p>
    <w:p w14:paraId="7F7F7FDA" w14:textId="77777777" w:rsidR="00A36E30" w:rsidRPr="00F71766" w:rsidRDefault="00A36E30" w:rsidP="00A36E30">
      <w:pPr>
        <w:spacing w:after="0" w:line="360" w:lineRule="auto"/>
        <w:jc w:val="both"/>
        <w:rPr>
          <w:rFonts w:ascii="Palatino Linotype" w:hAnsi="Palatino Linotype" w:cs="Arial"/>
          <w:sz w:val="24"/>
          <w:szCs w:val="24"/>
        </w:rPr>
      </w:pPr>
      <w:r w:rsidRPr="00F71766">
        <w:rPr>
          <w:rFonts w:ascii="Palatino Linotype" w:hAnsi="Palatino Linotype" w:cs="Arial"/>
          <w:sz w:val="24"/>
          <w:szCs w:val="24"/>
        </w:rPr>
        <w:lastRenderedPageBreak/>
        <w:t xml:space="preserve">De las constancias que obran en el SAIMEX, se advierte que el Sujeto Obligado,  fue omiso para rendir su informe justificado. Por su parte el recurrente no rindió manifestaciones. </w:t>
      </w:r>
    </w:p>
    <w:p w14:paraId="5958D25E" w14:textId="77777777" w:rsidR="00A36E30" w:rsidRPr="00F71766" w:rsidRDefault="00A36E30" w:rsidP="00A36E30">
      <w:pPr>
        <w:spacing w:after="0" w:line="360" w:lineRule="auto"/>
        <w:jc w:val="both"/>
        <w:rPr>
          <w:rFonts w:ascii="Palatino Linotype" w:hAnsi="Palatino Linotype" w:cs="Arial"/>
          <w:sz w:val="24"/>
          <w:szCs w:val="24"/>
        </w:rPr>
      </w:pPr>
    </w:p>
    <w:p w14:paraId="3F8B49DF" w14:textId="77777777" w:rsidR="00A36E30" w:rsidRPr="00F71766" w:rsidRDefault="00A36E30" w:rsidP="00A36E30">
      <w:pPr>
        <w:spacing w:after="0" w:line="360" w:lineRule="auto"/>
        <w:jc w:val="both"/>
        <w:rPr>
          <w:rFonts w:ascii="Palatino Linotype" w:hAnsi="Palatino Linotype" w:cs="Arial"/>
          <w:sz w:val="24"/>
          <w:szCs w:val="24"/>
        </w:rPr>
      </w:pPr>
      <w:r w:rsidRPr="00F71766">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5D9DD52A" w14:textId="77777777" w:rsidR="00A36E30" w:rsidRPr="00F71766" w:rsidRDefault="00A36E30" w:rsidP="00A36E30">
      <w:pPr>
        <w:spacing w:after="0" w:line="360" w:lineRule="auto"/>
        <w:jc w:val="both"/>
        <w:rPr>
          <w:rFonts w:ascii="Palatino Linotype" w:hAnsi="Palatino Linotype" w:cs="Arial"/>
          <w:sz w:val="24"/>
          <w:szCs w:val="24"/>
          <w:lang w:val="es-ES"/>
        </w:rPr>
      </w:pPr>
    </w:p>
    <w:p w14:paraId="0B078E58" w14:textId="77777777" w:rsidR="00A36E30" w:rsidRPr="00F71766" w:rsidRDefault="00A36E30" w:rsidP="00A36E30">
      <w:pPr>
        <w:numPr>
          <w:ilvl w:val="0"/>
          <w:numId w:val="1"/>
        </w:numPr>
        <w:spacing w:after="0" w:line="360" w:lineRule="auto"/>
        <w:contextualSpacing/>
        <w:jc w:val="both"/>
        <w:rPr>
          <w:rFonts w:ascii="Palatino Linotype" w:hAnsi="Palatino Linotype" w:cs="Arial"/>
          <w:b/>
          <w:sz w:val="26"/>
          <w:szCs w:val="26"/>
        </w:rPr>
      </w:pPr>
      <w:r w:rsidRPr="00F71766">
        <w:rPr>
          <w:rFonts w:ascii="Palatino Linotype" w:hAnsi="Palatino Linotype" w:cs="Arial"/>
          <w:b/>
          <w:sz w:val="26"/>
          <w:szCs w:val="26"/>
        </w:rPr>
        <w:t>Del cierre de instrucción.</w:t>
      </w:r>
    </w:p>
    <w:p w14:paraId="3BEC7087" w14:textId="1569826A" w:rsidR="00A36E30" w:rsidRPr="00F71766" w:rsidRDefault="00A36E30" w:rsidP="00A36E30">
      <w:pPr>
        <w:spacing w:after="0" w:line="360" w:lineRule="auto"/>
        <w:jc w:val="both"/>
        <w:rPr>
          <w:rFonts w:ascii="Palatino Linotype" w:hAnsi="Palatino Linotype" w:cs="Arial"/>
          <w:sz w:val="24"/>
          <w:szCs w:val="24"/>
        </w:rPr>
      </w:pPr>
      <w:r w:rsidRPr="00F71766">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5B05F7" w:rsidRPr="00F71766">
        <w:rPr>
          <w:rFonts w:ascii="Palatino Linotype" w:hAnsi="Palatino Linotype"/>
          <w:b/>
          <w:sz w:val="24"/>
        </w:rPr>
        <w:t>veintiocho de agosto</w:t>
      </w:r>
      <w:r w:rsidRPr="00F71766">
        <w:rPr>
          <w:rFonts w:ascii="Palatino Linotype" w:hAnsi="Palatino Linotype"/>
          <w:b/>
          <w:sz w:val="24"/>
        </w:rPr>
        <w:t xml:space="preserve"> de dos mil veinticinco</w:t>
      </w:r>
      <w:r w:rsidRPr="00F71766">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78A5CB79" w14:textId="77777777" w:rsidR="00A36E30" w:rsidRPr="00F71766" w:rsidRDefault="00A36E30" w:rsidP="00A36E30">
      <w:pPr>
        <w:spacing w:after="0" w:line="360" w:lineRule="auto"/>
        <w:jc w:val="both"/>
        <w:rPr>
          <w:rFonts w:ascii="Palatino Linotype" w:hAnsi="Palatino Linotype" w:cs="Arial"/>
          <w:sz w:val="24"/>
          <w:szCs w:val="24"/>
        </w:rPr>
      </w:pPr>
    </w:p>
    <w:p w14:paraId="0B7BD865" w14:textId="1983BC9E" w:rsidR="00A36E30" w:rsidRPr="00F71766" w:rsidRDefault="00A36E30" w:rsidP="00A36E30">
      <w:pPr>
        <w:numPr>
          <w:ilvl w:val="0"/>
          <w:numId w:val="1"/>
        </w:numPr>
        <w:spacing w:after="0" w:line="360" w:lineRule="auto"/>
        <w:ind w:left="851"/>
        <w:contextualSpacing/>
        <w:jc w:val="both"/>
        <w:rPr>
          <w:rFonts w:ascii="Palatino Linotype" w:hAnsi="Palatino Linotype" w:cs="Arial"/>
          <w:b/>
          <w:sz w:val="26"/>
          <w:szCs w:val="26"/>
        </w:rPr>
      </w:pPr>
      <w:r w:rsidRPr="00F71766">
        <w:rPr>
          <w:rFonts w:ascii="Palatino Linotype" w:hAnsi="Palatino Linotype" w:cs="Arial"/>
          <w:b/>
          <w:sz w:val="26"/>
          <w:szCs w:val="26"/>
        </w:rPr>
        <w:t xml:space="preserve">Resolución del recurso de revisión </w:t>
      </w:r>
      <w:r w:rsidR="005B05F7" w:rsidRPr="00F71766">
        <w:rPr>
          <w:rFonts w:ascii="Palatino Linotype" w:hAnsi="Palatino Linotype" w:cs="Arial"/>
          <w:b/>
          <w:sz w:val="26"/>
          <w:szCs w:val="26"/>
        </w:rPr>
        <w:t>09500</w:t>
      </w:r>
      <w:r w:rsidRPr="00F71766">
        <w:rPr>
          <w:rFonts w:ascii="Palatino Linotype" w:hAnsi="Palatino Linotype" w:cs="Arial"/>
          <w:b/>
          <w:sz w:val="26"/>
          <w:szCs w:val="26"/>
        </w:rPr>
        <w:t>/INFOEM/IP/RR/2025</w:t>
      </w:r>
    </w:p>
    <w:p w14:paraId="292962D9" w14:textId="10010EED" w:rsidR="00A36E30" w:rsidRPr="00F71766" w:rsidRDefault="00A36E30" w:rsidP="00A36E30">
      <w:pPr>
        <w:spacing w:after="0" w:line="360" w:lineRule="auto"/>
        <w:jc w:val="both"/>
        <w:rPr>
          <w:rFonts w:ascii="Palatino Linotype" w:hAnsi="Palatino Linotype" w:cs="Arial"/>
          <w:sz w:val="24"/>
          <w:szCs w:val="24"/>
        </w:rPr>
      </w:pPr>
      <w:r w:rsidRPr="00F71766">
        <w:rPr>
          <w:rFonts w:ascii="Palatino Linotype" w:hAnsi="Palatino Linotype" w:cs="Arial"/>
          <w:sz w:val="24"/>
          <w:szCs w:val="24"/>
        </w:rPr>
        <w:t xml:space="preserve">En la </w:t>
      </w:r>
      <w:r w:rsidR="00536732" w:rsidRPr="00F71766">
        <w:rPr>
          <w:rFonts w:ascii="Palatino Linotype" w:hAnsi="Palatino Linotype" w:cs="Arial"/>
          <w:b/>
          <w:sz w:val="24"/>
          <w:szCs w:val="24"/>
        </w:rPr>
        <w:t>TRIGÉSIMA SEGUNDA</w:t>
      </w:r>
      <w:r w:rsidRPr="00F71766">
        <w:rPr>
          <w:rFonts w:ascii="Palatino Linotype" w:hAnsi="Palatino Linotype" w:cs="Arial"/>
          <w:b/>
          <w:sz w:val="24"/>
          <w:szCs w:val="24"/>
        </w:rPr>
        <w:t xml:space="preserve"> SESIÓN ORDINARIA de fecha </w:t>
      </w:r>
      <w:r w:rsidR="00536732" w:rsidRPr="00F71766">
        <w:rPr>
          <w:rFonts w:ascii="Palatino Linotype" w:hAnsi="Palatino Linotype" w:cs="Arial"/>
          <w:b/>
          <w:sz w:val="24"/>
          <w:szCs w:val="24"/>
        </w:rPr>
        <w:t>diez de septiembre</w:t>
      </w:r>
      <w:r w:rsidRPr="00F71766">
        <w:rPr>
          <w:rFonts w:ascii="Palatino Linotype" w:hAnsi="Palatino Linotype" w:cs="Arial"/>
          <w:b/>
          <w:sz w:val="24"/>
          <w:szCs w:val="24"/>
        </w:rPr>
        <w:t xml:space="preserve"> de dos mil veinticinco</w:t>
      </w:r>
      <w:r w:rsidRPr="00F71766">
        <w:rPr>
          <w:rFonts w:ascii="Palatino Linotype" w:hAnsi="Palatino Linotype" w:cs="Arial"/>
          <w:sz w:val="24"/>
          <w:szCs w:val="24"/>
        </w:rPr>
        <w:t>, el Pleno del Instituto de Transparencia, Accesos la Información Pública y Protección de Datos Personales del Estado de México y Municipios aprobó por unanimidad de votos, la Resolución del Recurso de Revisión, en la cual se determinó objetivamente lo siguiente:</w:t>
      </w:r>
    </w:p>
    <w:p w14:paraId="33C1F59A" w14:textId="77777777" w:rsidR="00A36E30" w:rsidRPr="00F71766" w:rsidRDefault="00A36E30" w:rsidP="00A36E30">
      <w:pPr>
        <w:tabs>
          <w:tab w:val="left" w:pos="8647"/>
        </w:tabs>
        <w:spacing w:after="0" w:line="360" w:lineRule="auto"/>
        <w:ind w:left="567" w:right="567"/>
        <w:jc w:val="both"/>
        <w:rPr>
          <w:rFonts w:ascii="Palatino Linotype" w:hAnsi="Palatino Linotype"/>
          <w:i/>
        </w:rPr>
      </w:pPr>
      <w:r w:rsidRPr="00F71766">
        <w:rPr>
          <w:rFonts w:ascii="Palatino Linotype" w:hAnsi="Palatino Linotype" w:cs="Arial"/>
          <w:b/>
          <w:i/>
        </w:rPr>
        <w:lastRenderedPageBreak/>
        <w:t>“</w:t>
      </w:r>
      <w:r w:rsidRPr="00F71766">
        <w:rPr>
          <w:rFonts w:ascii="Palatino Linotype" w:hAnsi="Palatino Linotype"/>
          <w:i/>
        </w:rPr>
        <w:t xml:space="preserve">PRIMERO. Resultan fundadas las razones o motivos de inconformidad hechos valer por el Recurrente, en términos del considerando TERCERO, de la presente resolución. </w:t>
      </w:r>
    </w:p>
    <w:p w14:paraId="32F7D576" w14:textId="77777777" w:rsidR="00A36E30" w:rsidRPr="00F71766" w:rsidRDefault="00A36E30" w:rsidP="00A36E30">
      <w:pPr>
        <w:tabs>
          <w:tab w:val="left" w:pos="8647"/>
        </w:tabs>
        <w:spacing w:after="0" w:line="360" w:lineRule="auto"/>
        <w:ind w:left="567" w:right="567"/>
        <w:jc w:val="both"/>
        <w:rPr>
          <w:rFonts w:ascii="Palatino Linotype" w:hAnsi="Palatino Linotype"/>
          <w:i/>
        </w:rPr>
      </w:pPr>
    </w:p>
    <w:p w14:paraId="68C4D267" w14:textId="7E75CDFA" w:rsidR="00A36E30" w:rsidRPr="00F71766" w:rsidRDefault="00A36E30" w:rsidP="00A36E30">
      <w:pPr>
        <w:tabs>
          <w:tab w:val="left" w:pos="8647"/>
        </w:tabs>
        <w:spacing w:after="0" w:line="360" w:lineRule="auto"/>
        <w:ind w:left="567" w:right="567"/>
        <w:jc w:val="both"/>
        <w:rPr>
          <w:rFonts w:ascii="Palatino Linotype" w:hAnsi="Palatino Linotype"/>
          <w:i/>
        </w:rPr>
      </w:pPr>
      <w:r w:rsidRPr="00F71766">
        <w:rPr>
          <w:rFonts w:ascii="Palatino Linotype" w:hAnsi="Palatino Linotype"/>
          <w:i/>
        </w:rPr>
        <w:t xml:space="preserve">SEGUNDO. Se ORDENA al SUJETO OBLIGADO atienda la solicitud de información número </w:t>
      </w:r>
      <w:r w:rsidR="000D722C" w:rsidRPr="00F71766">
        <w:rPr>
          <w:rFonts w:ascii="Palatino Linotype" w:hAnsi="Palatino Linotype"/>
          <w:b/>
          <w:i/>
        </w:rPr>
        <w:t xml:space="preserve">00291/TEPOTZOT/IP/202 </w:t>
      </w:r>
      <w:r w:rsidRPr="00F71766">
        <w:rPr>
          <w:rFonts w:ascii="Palatino Linotype" w:hAnsi="Palatino Linotype"/>
          <w:i/>
        </w:rPr>
        <w:t>en términos del Considerando TERCERO de esta resolución; vía Sistema de Acceso a la Información Mexiquense (SAIMEX)</w:t>
      </w:r>
    </w:p>
    <w:p w14:paraId="61C89EA5" w14:textId="77777777" w:rsidR="00A36E30" w:rsidRPr="00F71766" w:rsidRDefault="00A36E30" w:rsidP="00A36E30">
      <w:pPr>
        <w:tabs>
          <w:tab w:val="left" w:pos="8647"/>
        </w:tabs>
        <w:spacing w:after="0" w:line="360" w:lineRule="auto"/>
        <w:ind w:left="567" w:right="567"/>
        <w:jc w:val="both"/>
        <w:rPr>
          <w:rFonts w:ascii="Palatino Linotype" w:hAnsi="Palatino Linotype"/>
          <w:i/>
        </w:rPr>
      </w:pPr>
      <w:r w:rsidRPr="00F71766">
        <w:rPr>
          <w:rFonts w:ascii="Palatino Linotype" w:hAnsi="Palatino Linotype"/>
          <w:i/>
        </w:rPr>
        <w:t>(….)”</w:t>
      </w:r>
    </w:p>
    <w:p w14:paraId="687B08FD" w14:textId="77777777" w:rsidR="00A36E30" w:rsidRPr="00F71766" w:rsidRDefault="00A36E30" w:rsidP="00A36E30">
      <w:pPr>
        <w:tabs>
          <w:tab w:val="left" w:pos="8647"/>
        </w:tabs>
        <w:spacing w:after="0" w:line="240" w:lineRule="auto"/>
        <w:ind w:left="567" w:right="567"/>
        <w:jc w:val="both"/>
        <w:rPr>
          <w:rFonts w:ascii="Palatino Linotype" w:hAnsi="Palatino Linotype" w:cs="Arial"/>
          <w:sz w:val="24"/>
          <w:szCs w:val="24"/>
        </w:rPr>
      </w:pPr>
    </w:p>
    <w:p w14:paraId="5314C513" w14:textId="03BABA10" w:rsidR="00A36E30" w:rsidRPr="00F71766" w:rsidRDefault="00A36E30" w:rsidP="00A36E30">
      <w:pPr>
        <w:numPr>
          <w:ilvl w:val="0"/>
          <w:numId w:val="1"/>
        </w:numPr>
        <w:spacing w:after="0" w:line="360" w:lineRule="auto"/>
        <w:contextualSpacing/>
        <w:jc w:val="both"/>
        <w:rPr>
          <w:rFonts w:ascii="Palatino Linotype" w:hAnsi="Palatino Linotype" w:cs="Arial"/>
          <w:b/>
          <w:sz w:val="26"/>
          <w:szCs w:val="26"/>
        </w:rPr>
      </w:pPr>
      <w:r w:rsidRPr="00F71766">
        <w:rPr>
          <w:rFonts w:ascii="Palatino Linotype" w:hAnsi="Palatino Linotype" w:cs="Arial"/>
          <w:b/>
          <w:sz w:val="26"/>
          <w:szCs w:val="26"/>
        </w:rPr>
        <w:t xml:space="preserve">Notificación de la resolución del recurso de revisión </w:t>
      </w:r>
      <w:r w:rsidR="000D722C" w:rsidRPr="00F71766">
        <w:rPr>
          <w:rFonts w:ascii="Palatino Linotype" w:hAnsi="Palatino Linotype" w:cs="Arial"/>
          <w:b/>
          <w:sz w:val="26"/>
          <w:szCs w:val="26"/>
        </w:rPr>
        <w:t>09500</w:t>
      </w:r>
      <w:r w:rsidRPr="00F71766">
        <w:rPr>
          <w:rFonts w:ascii="Palatino Linotype" w:hAnsi="Palatino Linotype" w:cs="Arial"/>
          <w:b/>
          <w:sz w:val="26"/>
          <w:szCs w:val="26"/>
        </w:rPr>
        <w:t>/INFOEM/IP/RR/2025</w:t>
      </w:r>
    </w:p>
    <w:p w14:paraId="5ED94AB5" w14:textId="41568361" w:rsidR="00A36E30" w:rsidRPr="00F71766" w:rsidRDefault="00A36E30" w:rsidP="00A36E30">
      <w:pPr>
        <w:spacing w:after="0" w:line="360" w:lineRule="auto"/>
        <w:jc w:val="both"/>
        <w:rPr>
          <w:rFonts w:ascii="Palatino Linotype" w:hAnsi="Palatino Linotype" w:cs="Arial"/>
          <w:sz w:val="24"/>
          <w:szCs w:val="24"/>
        </w:rPr>
      </w:pPr>
      <w:r w:rsidRPr="00F71766">
        <w:rPr>
          <w:rFonts w:ascii="Palatino Linotype" w:hAnsi="Palatino Linotype" w:cs="Arial"/>
          <w:sz w:val="24"/>
          <w:szCs w:val="24"/>
        </w:rPr>
        <w:t xml:space="preserve">De conformidad con las constancias que integran el expediente virtual, se advierte que el día </w:t>
      </w:r>
      <w:r w:rsidR="00042FA9" w:rsidRPr="00F71766">
        <w:rPr>
          <w:rFonts w:ascii="Palatino Linotype" w:hAnsi="Palatino Linotype" w:cs="Arial"/>
          <w:b/>
          <w:sz w:val="24"/>
          <w:szCs w:val="24"/>
        </w:rPr>
        <w:t>doce de septiembre</w:t>
      </w:r>
      <w:r w:rsidRPr="00F71766">
        <w:rPr>
          <w:rFonts w:ascii="Palatino Linotype" w:hAnsi="Palatino Linotype" w:cs="Arial"/>
          <w:b/>
          <w:sz w:val="24"/>
          <w:szCs w:val="24"/>
        </w:rPr>
        <w:t xml:space="preserve"> de dos mil veinticinco,</w:t>
      </w:r>
      <w:r w:rsidRPr="00F71766">
        <w:rPr>
          <w:rFonts w:ascii="Palatino Linotype" w:hAnsi="Palatino Linotype" w:cs="Arial"/>
          <w:sz w:val="24"/>
          <w:szCs w:val="24"/>
        </w:rPr>
        <w:t xml:space="preserve"> se notificó a las partes, por medio del Sistema de Acceso a la Información Mexiquense (</w:t>
      </w:r>
      <w:r w:rsidRPr="00F71766">
        <w:rPr>
          <w:rFonts w:ascii="Palatino Linotype" w:hAnsi="Palatino Linotype" w:cs="Arial"/>
          <w:b/>
          <w:sz w:val="24"/>
          <w:szCs w:val="24"/>
        </w:rPr>
        <w:t>SAIMEX</w:t>
      </w:r>
      <w:r w:rsidRPr="00F71766">
        <w:rPr>
          <w:rFonts w:ascii="Palatino Linotype" w:hAnsi="Palatino Linotype" w:cs="Arial"/>
          <w:sz w:val="24"/>
          <w:szCs w:val="24"/>
        </w:rPr>
        <w:t>), la resolución de los Medios de Impugnación previamente referidos.</w:t>
      </w:r>
    </w:p>
    <w:p w14:paraId="5113F5AB" w14:textId="77777777" w:rsidR="00A36E30" w:rsidRPr="00F71766" w:rsidRDefault="00A36E30" w:rsidP="00A36E30">
      <w:pPr>
        <w:spacing w:after="0" w:line="360" w:lineRule="auto"/>
        <w:jc w:val="both"/>
        <w:rPr>
          <w:rFonts w:ascii="Palatino Linotype" w:hAnsi="Palatino Linotype" w:cs="Arial"/>
          <w:sz w:val="24"/>
          <w:szCs w:val="24"/>
        </w:rPr>
      </w:pPr>
    </w:p>
    <w:p w14:paraId="05C47AE4" w14:textId="77777777" w:rsidR="00A36E30" w:rsidRPr="00F71766" w:rsidRDefault="00A36E30" w:rsidP="00A36E30">
      <w:pPr>
        <w:pStyle w:val="Prrafodelista"/>
        <w:numPr>
          <w:ilvl w:val="0"/>
          <w:numId w:val="1"/>
        </w:numPr>
        <w:spacing w:after="0" w:line="360" w:lineRule="auto"/>
        <w:contextualSpacing w:val="0"/>
        <w:jc w:val="both"/>
        <w:rPr>
          <w:rFonts w:ascii="Palatino Linotype" w:hAnsi="Palatino Linotype" w:cs="Arial"/>
          <w:b/>
          <w:sz w:val="26"/>
          <w:szCs w:val="26"/>
        </w:rPr>
      </w:pPr>
      <w:r w:rsidRPr="00F71766">
        <w:rPr>
          <w:rFonts w:ascii="Palatino Linotype" w:hAnsi="Palatino Linotype" w:cs="Arial"/>
          <w:b/>
          <w:sz w:val="26"/>
          <w:szCs w:val="26"/>
        </w:rPr>
        <w:t>Del acuerdo de cumplimiento de la resolución.</w:t>
      </w:r>
    </w:p>
    <w:p w14:paraId="5DAB212B" w14:textId="77777777" w:rsidR="00A36E30" w:rsidRPr="00F71766" w:rsidRDefault="00A36E30" w:rsidP="00A36E30">
      <w:pPr>
        <w:spacing w:after="0" w:line="360" w:lineRule="auto"/>
        <w:jc w:val="both"/>
        <w:rPr>
          <w:rFonts w:ascii="Palatino Linotype" w:hAnsi="Palatino Linotype" w:cs="Arial"/>
          <w:sz w:val="24"/>
          <w:szCs w:val="24"/>
        </w:rPr>
      </w:pPr>
      <w:r w:rsidRPr="00F71766">
        <w:rPr>
          <w:rFonts w:ascii="Palatino Linotype" w:hAnsi="Palatino Linotype" w:cs="Arial"/>
          <w:sz w:val="24"/>
          <w:szCs w:val="24"/>
        </w:rPr>
        <w:t>Una vez concluido el término otorgado al Sujeto Obligado para que diera cumplimiento a la resolución, en el expediente electrónico, se observa que envió un archivo electrónico con el cual pretendió dar cumplimiento a dicha resolución, sin embargo, de las constancias que obran en el SAIMEX, no se observa que la Dirección de Cumplimiento haya emitido el acuerdo de incumplimiento.</w:t>
      </w:r>
    </w:p>
    <w:p w14:paraId="09244C23" w14:textId="77777777" w:rsidR="00A36E30" w:rsidRPr="00F71766" w:rsidRDefault="00A36E30" w:rsidP="00A36E30">
      <w:pPr>
        <w:spacing w:after="0" w:line="360" w:lineRule="auto"/>
        <w:jc w:val="both"/>
        <w:rPr>
          <w:rFonts w:ascii="Palatino Linotype" w:hAnsi="Palatino Linotype" w:cs="Arial"/>
          <w:sz w:val="24"/>
          <w:szCs w:val="24"/>
        </w:rPr>
      </w:pPr>
    </w:p>
    <w:p w14:paraId="50898234" w14:textId="77777777" w:rsidR="00A36E30" w:rsidRPr="00F71766" w:rsidRDefault="00A36E30" w:rsidP="00A36E30">
      <w:pPr>
        <w:spacing w:after="0" w:line="360" w:lineRule="auto"/>
        <w:jc w:val="both"/>
        <w:rPr>
          <w:rFonts w:ascii="Palatino Linotype" w:hAnsi="Palatino Linotype" w:cs="Arial"/>
          <w:sz w:val="24"/>
          <w:szCs w:val="24"/>
        </w:rPr>
      </w:pPr>
    </w:p>
    <w:p w14:paraId="4654D42A" w14:textId="45B68BE2" w:rsidR="00A36E30" w:rsidRPr="00F71766" w:rsidRDefault="00A36E30" w:rsidP="00A36E30">
      <w:pPr>
        <w:spacing w:after="0" w:line="360" w:lineRule="auto"/>
        <w:jc w:val="both"/>
        <w:rPr>
          <w:rFonts w:ascii="Palatino Linotype" w:hAnsi="Palatino Linotype" w:cs="Arial"/>
          <w:b/>
          <w:sz w:val="26"/>
          <w:szCs w:val="26"/>
        </w:rPr>
      </w:pPr>
      <w:r w:rsidRPr="00F71766">
        <w:rPr>
          <w:rFonts w:ascii="Palatino Linotype" w:hAnsi="Palatino Linotype" w:cs="Arial"/>
          <w:b/>
          <w:sz w:val="26"/>
          <w:szCs w:val="26"/>
        </w:rPr>
        <w:t xml:space="preserve">QUINTO. De la interposición del recurso de revisión </w:t>
      </w:r>
      <w:r w:rsidR="00C30655" w:rsidRPr="00F71766">
        <w:rPr>
          <w:rFonts w:ascii="Palatino Linotype" w:hAnsi="Palatino Linotype" w:cs="Arial"/>
          <w:b/>
          <w:sz w:val="26"/>
          <w:szCs w:val="26"/>
        </w:rPr>
        <w:t>09500</w:t>
      </w:r>
      <w:r w:rsidRPr="00F71766">
        <w:rPr>
          <w:rFonts w:ascii="Palatino Linotype" w:hAnsi="Palatino Linotype" w:cs="Arial"/>
          <w:b/>
          <w:sz w:val="26"/>
          <w:szCs w:val="26"/>
        </w:rPr>
        <w:t>/INFOEM/ICR-</w:t>
      </w:r>
      <w:r w:rsidR="00C30655" w:rsidRPr="00F71766">
        <w:rPr>
          <w:rFonts w:ascii="Palatino Linotype" w:hAnsi="Palatino Linotype" w:cs="Arial"/>
          <w:b/>
          <w:sz w:val="26"/>
          <w:szCs w:val="26"/>
        </w:rPr>
        <w:t>63</w:t>
      </w:r>
      <w:r w:rsidRPr="00F71766">
        <w:rPr>
          <w:rFonts w:ascii="Palatino Linotype" w:hAnsi="Palatino Linotype" w:cs="Arial"/>
          <w:b/>
          <w:sz w:val="26"/>
          <w:szCs w:val="26"/>
        </w:rPr>
        <w:t>/IP/RR/2025</w:t>
      </w:r>
    </w:p>
    <w:p w14:paraId="3F5C2FD7" w14:textId="010BC47B" w:rsidR="00A36E30" w:rsidRPr="00F71766" w:rsidRDefault="00A36E30" w:rsidP="00A36E30">
      <w:pPr>
        <w:spacing w:after="0" w:line="360" w:lineRule="auto"/>
        <w:jc w:val="both"/>
        <w:rPr>
          <w:rFonts w:ascii="Palatino Linotype" w:hAnsi="Palatino Linotype" w:cs="Arial"/>
          <w:sz w:val="24"/>
          <w:szCs w:val="24"/>
          <w:lang w:val="es-ES"/>
        </w:rPr>
      </w:pPr>
      <w:r w:rsidRPr="00F71766">
        <w:rPr>
          <w:rFonts w:ascii="Palatino Linotype" w:hAnsi="Palatino Linotype" w:cs="Arial"/>
          <w:sz w:val="24"/>
          <w:szCs w:val="24"/>
        </w:rPr>
        <w:lastRenderedPageBreak/>
        <w:t xml:space="preserve">De las constancias que integran el expediente del recurso de revisión </w:t>
      </w:r>
      <w:r w:rsidR="00C30655" w:rsidRPr="00F71766">
        <w:rPr>
          <w:rFonts w:ascii="Palatino Linotype" w:hAnsi="Palatino Linotype" w:cs="Arial"/>
          <w:b/>
          <w:sz w:val="24"/>
          <w:szCs w:val="24"/>
        </w:rPr>
        <w:t>09500</w:t>
      </w:r>
      <w:r w:rsidRPr="00F71766">
        <w:rPr>
          <w:rFonts w:ascii="Palatino Linotype" w:hAnsi="Palatino Linotype" w:cs="Arial"/>
          <w:b/>
          <w:sz w:val="24"/>
          <w:szCs w:val="24"/>
        </w:rPr>
        <w:t>/INFOEM/IP/RR/2025</w:t>
      </w:r>
      <w:r w:rsidRPr="00F71766">
        <w:rPr>
          <w:rFonts w:ascii="Palatino Linotype" w:hAnsi="Palatino Linotype" w:cs="Arial"/>
          <w:sz w:val="24"/>
          <w:szCs w:val="24"/>
        </w:rPr>
        <w:t>, se advierte que, en</w:t>
      </w:r>
      <w:r w:rsidRPr="00F71766">
        <w:rPr>
          <w:rFonts w:ascii="Palatino Linotype" w:hAnsi="Palatino Linotype" w:cs="Arial"/>
          <w:sz w:val="24"/>
          <w:szCs w:val="24"/>
          <w:lang w:val="es-ES"/>
        </w:rPr>
        <w:t xml:space="preserve"> fecha</w:t>
      </w:r>
      <w:r w:rsidRPr="00F71766">
        <w:rPr>
          <w:rFonts w:ascii="Palatino Linotype" w:hAnsi="Palatino Linotype" w:cs="Arial"/>
          <w:b/>
          <w:sz w:val="24"/>
          <w:szCs w:val="24"/>
          <w:lang w:val="es-ES"/>
        </w:rPr>
        <w:t xml:space="preserve"> veintidós de enero de dos mil veintiséis</w:t>
      </w:r>
      <w:r w:rsidRPr="00F71766">
        <w:rPr>
          <w:rFonts w:ascii="Palatino Linotype" w:hAnsi="Palatino Linotype" w:cs="Arial"/>
          <w:sz w:val="24"/>
          <w:szCs w:val="24"/>
          <w:lang w:val="es-ES"/>
        </w:rPr>
        <w:t xml:space="preserve">, la parte </w:t>
      </w:r>
      <w:r w:rsidRPr="00F71766">
        <w:rPr>
          <w:rFonts w:ascii="Palatino Linotype" w:hAnsi="Palatino Linotype" w:cs="Arial"/>
          <w:b/>
          <w:sz w:val="24"/>
          <w:szCs w:val="24"/>
          <w:lang w:val="es-ES"/>
        </w:rPr>
        <w:t>Recurrente</w:t>
      </w:r>
      <w:r w:rsidRPr="00F71766">
        <w:rPr>
          <w:rFonts w:ascii="Palatino Linotype" w:hAnsi="Palatino Linotype" w:cs="Arial"/>
          <w:sz w:val="24"/>
          <w:szCs w:val="24"/>
          <w:lang w:val="es-ES"/>
        </w:rPr>
        <w:t xml:space="preserve"> interpuso nuevo recurso de revisión en este Instituto, a través del Sistema de Acceso a la Información Mexiquense (SAIMEX), en contra de la respuesta a la resolución referida en el Antecedente </w:t>
      </w:r>
      <w:r w:rsidRPr="00F71766">
        <w:rPr>
          <w:rFonts w:ascii="Palatino Linotype" w:hAnsi="Palatino Linotype" w:cs="Arial"/>
          <w:b/>
          <w:sz w:val="24"/>
          <w:szCs w:val="24"/>
          <w:lang w:val="es-ES"/>
        </w:rPr>
        <w:t>CUARTO,</w:t>
      </w:r>
      <w:r w:rsidRPr="00F71766">
        <w:rPr>
          <w:rFonts w:ascii="Palatino Linotype" w:hAnsi="Palatino Linotype" w:cs="Arial"/>
          <w:sz w:val="24"/>
          <w:szCs w:val="24"/>
          <w:lang w:val="es-ES"/>
        </w:rPr>
        <w:t xml:space="preserve"> en el cual hizo valer como acto impugnado y razones o motivos de inconformidad los siguientes:</w:t>
      </w:r>
    </w:p>
    <w:p w14:paraId="4EA42A1D" w14:textId="77777777" w:rsidR="00A36E30" w:rsidRPr="00F71766" w:rsidRDefault="00A36E30" w:rsidP="00A36E30">
      <w:pPr>
        <w:spacing w:after="0" w:line="360" w:lineRule="auto"/>
        <w:jc w:val="both"/>
        <w:rPr>
          <w:rFonts w:ascii="Palatino Linotype" w:hAnsi="Palatino Linotype" w:cs="Arial"/>
          <w:sz w:val="24"/>
          <w:szCs w:val="24"/>
          <w:lang w:val="es-ES"/>
        </w:rPr>
      </w:pPr>
    </w:p>
    <w:p w14:paraId="0AF080AA" w14:textId="77777777" w:rsidR="00A36E30" w:rsidRPr="00F71766" w:rsidRDefault="00A36E30" w:rsidP="00A36E30">
      <w:pPr>
        <w:spacing w:after="0" w:line="360" w:lineRule="auto"/>
        <w:jc w:val="both"/>
        <w:rPr>
          <w:rFonts w:ascii="Palatino Linotype" w:hAnsi="Palatino Linotype" w:cs="Arial"/>
          <w:b/>
          <w:sz w:val="24"/>
          <w:szCs w:val="24"/>
          <w:lang w:val="es-ES"/>
        </w:rPr>
      </w:pPr>
      <w:r w:rsidRPr="00F71766">
        <w:rPr>
          <w:rFonts w:ascii="Palatino Linotype" w:hAnsi="Palatino Linotype" w:cs="Arial"/>
          <w:b/>
          <w:sz w:val="24"/>
          <w:szCs w:val="24"/>
          <w:lang w:val="es-ES"/>
        </w:rPr>
        <w:t>Acto impugnado:</w:t>
      </w:r>
    </w:p>
    <w:p w14:paraId="4784C356" w14:textId="3E124867" w:rsidR="00A36E30" w:rsidRPr="00F71766" w:rsidRDefault="00A36E30" w:rsidP="00A36E30">
      <w:pPr>
        <w:spacing w:after="0" w:line="240" w:lineRule="auto"/>
        <w:ind w:right="567"/>
        <w:jc w:val="both"/>
        <w:rPr>
          <w:rFonts w:ascii="Palatino Linotype" w:hAnsi="Palatino Linotype" w:cs="Arial"/>
          <w:i/>
          <w:sz w:val="24"/>
          <w:szCs w:val="24"/>
          <w:lang w:val="es-ES"/>
        </w:rPr>
      </w:pPr>
      <w:r w:rsidRPr="00F71766">
        <w:rPr>
          <w:rFonts w:ascii="Palatino Linotype" w:hAnsi="Palatino Linotype" w:cs="Arial"/>
          <w:sz w:val="24"/>
          <w:szCs w:val="24"/>
          <w:lang w:val="es-ES"/>
        </w:rPr>
        <w:t>“</w:t>
      </w:r>
      <w:r w:rsidR="0047755C" w:rsidRPr="00F71766">
        <w:rPr>
          <w:rFonts w:ascii="Palatino Linotype" w:hAnsi="Palatino Linotype"/>
          <w:i/>
          <w:color w:val="000000"/>
          <w:sz w:val="24"/>
          <w:szCs w:val="24"/>
        </w:rPr>
        <w:t>información incompleta</w:t>
      </w:r>
      <w:r w:rsidRPr="00F71766">
        <w:rPr>
          <w:rFonts w:ascii="Palatino Linotype" w:hAnsi="Palatino Linotype" w:cs="Arial"/>
          <w:i/>
          <w:sz w:val="24"/>
          <w:szCs w:val="24"/>
          <w:lang w:val="es-ES"/>
        </w:rPr>
        <w:t>”</w:t>
      </w:r>
    </w:p>
    <w:p w14:paraId="4B46A251" w14:textId="77777777" w:rsidR="00A36E30" w:rsidRPr="00F71766" w:rsidRDefault="00A36E30" w:rsidP="00A36E30">
      <w:pPr>
        <w:spacing w:after="0" w:line="360" w:lineRule="auto"/>
        <w:jc w:val="both"/>
        <w:rPr>
          <w:rFonts w:ascii="Palatino Linotype" w:hAnsi="Palatino Linotype" w:cs="Arial"/>
          <w:sz w:val="24"/>
          <w:szCs w:val="24"/>
          <w:lang w:val="es-ES"/>
        </w:rPr>
      </w:pPr>
    </w:p>
    <w:p w14:paraId="6FCDE2BA" w14:textId="77777777" w:rsidR="00A36E30" w:rsidRPr="00F71766" w:rsidRDefault="00A36E30" w:rsidP="00A36E30">
      <w:pPr>
        <w:spacing w:after="0" w:line="360" w:lineRule="auto"/>
        <w:jc w:val="both"/>
        <w:rPr>
          <w:rFonts w:ascii="Palatino Linotype" w:hAnsi="Palatino Linotype" w:cs="Arial"/>
          <w:b/>
          <w:sz w:val="24"/>
          <w:szCs w:val="24"/>
          <w:lang w:val="es-ES"/>
        </w:rPr>
      </w:pPr>
      <w:r w:rsidRPr="00F71766">
        <w:rPr>
          <w:rFonts w:ascii="Palatino Linotype" w:hAnsi="Palatino Linotype" w:cs="Arial"/>
          <w:b/>
          <w:sz w:val="24"/>
          <w:szCs w:val="24"/>
          <w:lang w:val="es-ES"/>
        </w:rPr>
        <w:t>Razones o motivos de inconformidad:</w:t>
      </w:r>
    </w:p>
    <w:p w14:paraId="487FE997" w14:textId="529DDD8F" w:rsidR="00A36E30" w:rsidRPr="00F71766" w:rsidRDefault="00A36E30" w:rsidP="00A36E30">
      <w:pPr>
        <w:spacing w:after="0" w:line="240" w:lineRule="auto"/>
        <w:ind w:right="567"/>
        <w:jc w:val="both"/>
        <w:rPr>
          <w:rFonts w:ascii="Palatino Linotype" w:hAnsi="Palatino Linotype" w:cs="Arial"/>
          <w:i/>
          <w:sz w:val="24"/>
          <w:szCs w:val="24"/>
          <w:lang w:val="es-ES"/>
        </w:rPr>
      </w:pPr>
      <w:r w:rsidRPr="00F71766">
        <w:rPr>
          <w:rFonts w:ascii="Palatino Linotype" w:hAnsi="Palatino Linotype" w:cs="Arial"/>
          <w:i/>
          <w:sz w:val="24"/>
          <w:szCs w:val="24"/>
          <w:lang w:val="es-ES"/>
        </w:rPr>
        <w:t>“</w:t>
      </w:r>
      <w:r w:rsidR="00CA5BC8" w:rsidRPr="00F71766">
        <w:rPr>
          <w:rFonts w:ascii="Palatino Linotype" w:hAnsi="Palatino Linotype"/>
          <w:i/>
          <w:color w:val="000000"/>
          <w:sz w:val="24"/>
          <w:szCs w:val="24"/>
        </w:rPr>
        <w:t>información incompleta en dicho evento no solo hubo un grupo musical y un grupo de musical norteña.</w:t>
      </w:r>
      <w:r w:rsidRPr="00F71766">
        <w:rPr>
          <w:rFonts w:ascii="Palatino Linotype" w:hAnsi="Palatino Linotype"/>
          <w:i/>
          <w:color w:val="000000"/>
          <w:sz w:val="24"/>
          <w:szCs w:val="24"/>
        </w:rPr>
        <w:t>.</w:t>
      </w:r>
      <w:r w:rsidRPr="00F71766">
        <w:rPr>
          <w:rFonts w:ascii="Palatino Linotype" w:hAnsi="Palatino Linotype" w:cs="Arial"/>
          <w:i/>
          <w:sz w:val="24"/>
          <w:szCs w:val="24"/>
          <w:lang w:val="es-ES"/>
        </w:rPr>
        <w:t>”</w:t>
      </w:r>
    </w:p>
    <w:p w14:paraId="6B0A5ED2" w14:textId="77777777" w:rsidR="00A36E30" w:rsidRPr="00F71766" w:rsidRDefault="00A36E30" w:rsidP="00A36E30">
      <w:pPr>
        <w:spacing w:after="0" w:line="360" w:lineRule="auto"/>
        <w:jc w:val="both"/>
        <w:rPr>
          <w:rFonts w:ascii="Palatino Linotype" w:hAnsi="Palatino Linotype" w:cs="Arial"/>
          <w:sz w:val="24"/>
          <w:szCs w:val="26"/>
          <w:lang w:val="es-ES"/>
        </w:rPr>
      </w:pPr>
    </w:p>
    <w:p w14:paraId="07E48AB7" w14:textId="2F3CF9F0" w:rsidR="00A36E30" w:rsidRPr="00F71766" w:rsidRDefault="00A36E30" w:rsidP="00A36E30">
      <w:pPr>
        <w:spacing w:after="0" w:line="360" w:lineRule="auto"/>
        <w:jc w:val="both"/>
        <w:rPr>
          <w:rFonts w:ascii="Palatino Linotype" w:hAnsi="Palatino Linotype" w:cs="Arial"/>
          <w:b/>
          <w:sz w:val="26"/>
          <w:szCs w:val="26"/>
        </w:rPr>
      </w:pPr>
      <w:r w:rsidRPr="00F71766">
        <w:rPr>
          <w:rFonts w:ascii="Palatino Linotype" w:hAnsi="Palatino Linotype" w:cs="Arial"/>
          <w:b/>
          <w:sz w:val="26"/>
          <w:szCs w:val="26"/>
          <w:lang w:val="es-ES"/>
        </w:rPr>
        <w:t>SÉPTIMO.</w:t>
      </w:r>
      <w:r w:rsidRPr="00F71766">
        <w:rPr>
          <w:rFonts w:ascii="Palatino Linotype" w:hAnsi="Palatino Linotype" w:cs="Arial"/>
          <w:sz w:val="26"/>
          <w:szCs w:val="26"/>
          <w:lang w:val="es-ES"/>
        </w:rPr>
        <w:t xml:space="preserve"> </w:t>
      </w:r>
      <w:r w:rsidRPr="00F71766">
        <w:rPr>
          <w:rFonts w:ascii="Palatino Linotype" w:hAnsi="Palatino Linotype" w:cs="Arial"/>
          <w:b/>
          <w:sz w:val="26"/>
          <w:szCs w:val="26"/>
          <w:lang w:val="es-ES"/>
        </w:rPr>
        <w:t xml:space="preserve">Del turno del recurso de revisión </w:t>
      </w:r>
      <w:r w:rsidR="004A4B24" w:rsidRPr="00F71766">
        <w:rPr>
          <w:rFonts w:ascii="Palatino Linotype" w:hAnsi="Palatino Linotype" w:cs="Arial"/>
          <w:b/>
          <w:sz w:val="26"/>
          <w:szCs w:val="26"/>
        </w:rPr>
        <w:t>09500</w:t>
      </w:r>
      <w:r w:rsidRPr="00F71766">
        <w:rPr>
          <w:rFonts w:ascii="Palatino Linotype" w:hAnsi="Palatino Linotype" w:cs="Arial"/>
          <w:b/>
          <w:sz w:val="26"/>
          <w:szCs w:val="26"/>
        </w:rPr>
        <w:t>/INFOEM/ICR-</w:t>
      </w:r>
      <w:r w:rsidR="004A4B24" w:rsidRPr="00F71766">
        <w:rPr>
          <w:rFonts w:ascii="Palatino Linotype" w:hAnsi="Palatino Linotype" w:cs="Arial"/>
          <w:b/>
          <w:sz w:val="26"/>
          <w:szCs w:val="26"/>
        </w:rPr>
        <w:t>63</w:t>
      </w:r>
      <w:r w:rsidRPr="00F71766">
        <w:rPr>
          <w:rFonts w:ascii="Palatino Linotype" w:hAnsi="Palatino Linotype" w:cs="Arial"/>
          <w:b/>
          <w:sz w:val="26"/>
          <w:szCs w:val="26"/>
        </w:rPr>
        <w:t>/IP/RR/2025</w:t>
      </w:r>
    </w:p>
    <w:p w14:paraId="65AA3BA9" w14:textId="1A4FECD3" w:rsidR="00A36E30" w:rsidRPr="00F71766" w:rsidRDefault="00A36E30" w:rsidP="00A36E30">
      <w:pPr>
        <w:spacing w:after="0" w:line="360" w:lineRule="auto"/>
        <w:jc w:val="both"/>
        <w:rPr>
          <w:rFonts w:ascii="Palatino Linotype" w:hAnsi="Palatino Linotype" w:cs="Arial"/>
          <w:b/>
          <w:sz w:val="26"/>
          <w:szCs w:val="26"/>
        </w:rPr>
      </w:pPr>
      <w:r w:rsidRPr="00F71766">
        <w:rPr>
          <w:rFonts w:ascii="Palatino Linotype" w:hAnsi="Palatino Linotype" w:cs="Arial"/>
          <w:sz w:val="24"/>
          <w:szCs w:val="24"/>
        </w:rPr>
        <w:t>El</w:t>
      </w:r>
      <w:r w:rsidRPr="00F71766">
        <w:rPr>
          <w:rFonts w:ascii="Palatino Linotype" w:hAnsi="Palatino Linotype" w:cs="Arial"/>
          <w:b/>
          <w:sz w:val="24"/>
          <w:szCs w:val="24"/>
        </w:rPr>
        <w:t xml:space="preserve"> veintidós de enero de dos mil veintiséis</w:t>
      </w:r>
      <w:r w:rsidRPr="00F71766">
        <w:rPr>
          <w:rFonts w:ascii="Palatino Linotype" w:hAnsi="Palatino Linotype" w:cs="Arial"/>
          <w:sz w:val="24"/>
          <w:szCs w:val="24"/>
        </w:rPr>
        <w:t xml:space="preserve">, el Sistema de Acceso a la Información Mexiquense (SAIMEX), asignó con número de expediente </w:t>
      </w:r>
      <w:r w:rsidR="000649AF" w:rsidRPr="00F71766">
        <w:rPr>
          <w:rFonts w:ascii="Palatino Linotype" w:hAnsi="Palatino Linotype" w:cs="Arial"/>
          <w:b/>
          <w:sz w:val="26"/>
          <w:szCs w:val="26"/>
        </w:rPr>
        <w:t>09500/</w:t>
      </w:r>
      <w:r w:rsidRPr="00F71766">
        <w:rPr>
          <w:rFonts w:ascii="Palatino Linotype" w:hAnsi="Palatino Linotype" w:cs="Arial"/>
          <w:b/>
          <w:sz w:val="26"/>
          <w:szCs w:val="26"/>
        </w:rPr>
        <w:t>INFOEM/ICR-</w:t>
      </w:r>
      <w:r w:rsidR="000649AF" w:rsidRPr="00F71766">
        <w:rPr>
          <w:rFonts w:ascii="Palatino Linotype" w:hAnsi="Palatino Linotype" w:cs="Arial"/>
          <w:b/>
          <w:sz w:val="26"/>
          <w:szCs w:val="26"/>
        </w:rPr>
        <w:t>6</w:t>
      </w:r>
      <w:r w:rsidRPr="00F71766">
        <w:rPr>
          <w:rFonts w:ascii="Palatino Linotype" w:hAnsi="Palatino Linotype" w:cs="Arial"/>
          <w:b/>
          <w:sz w:val="26"/>
          <w:szCs w:val="26"/>
        </w:rPr>
        <w:t>3/IP/RR/2025,</w:t>
      </w:r>
      <w:r w:rsidRPr="00F71766">
        <w:rPr>
          <w:rFonts w:ascii="Palatino Linotype" w:hAnsi="Palatino Linotype" w:cs="Arial"/>
          <w:sz w:val="24"/>
          <w:szCs w:val="24"/>
        </w:rPr>
        <w:t xml:space="preserve"> al medio de impugnación que nos ocupa, con base en el sistema aprobado por el Pleno de este Órgano Garante y lo turnó al Comisionado Presidente </w:t>
      </w:r>
      <w:r w:rsidRPr="00F71766">
        <w:rPr>
          <w:rFonts w:ascii="Palatino Linotype" w:hAnsi="Palatino Linotype" w:cs="Arial"/>
          <w:b/>
          <w:sz w:val="24"/>
          <w:szCs w:val="24"/>
        </w:rPr>
        <w:t>José Martínez Vilchis</w:t>
      </w:r>
      <w:r w:rsidRPr="00F71766">
        <w:rPr>
          <w:rFonts w:ascii="Palatino Linotype" w:hAnsi="Palatino Linotype" w:cs="Arial"/>
          <w:sz w:val="24"/>
          <w:szCs w:val="24"/>
        </w:rPr>
        <w:t>, para los efectos del artículo 185, fracción I de la Ley de Transparencia y Acceso a la Información Pública del Estado de México y Municipios.</w:t>
      </w:r>
    </w:p>
    <w:p w14:paraId="4EBFB08A" w14:textId="77777777" w:rsidR="00A36E30" w:rsidRPr="00F71766" w:rsidRDefault="00A36E30" w:rsidP="00A36E30">
      <w:pPr>
        <w:spacing w:after="0" w:line="360" w:lineRule="auto"/>
        <w:jc w:val="both"/>
        <w:rPr>
          <w:rFonts w:ascii="Palatino Linotype" w:hAnsi="Palatino Linotype" w:cs="Arial"/>
          <w:sz w:val="24"/>
          <w:szCs w:val="24"/>
        </w:rPr>
      </w:pPr>
    </w:p>
    <w:p w14:paraId="2AE4786C" w14:textId="31146981" w:rsidR="00A36E30" w:rsidRPr="00F71766" w:rsidRDefault="00A36E30" w:rsidP="00A36E30">
      <w:pPr>
        <w:spacing w:after="0" w:line="360" w:lineRule="auto"/>
        <w:jc w:val="both"/>
        <w:rPr>
          <w:rFonts w:ascii="Palatino Linotype" w:hAnsi="Palatino Linotype" w:cs="Arial"/>
          <w:b/>
          <w:sz w:val="26"/>
          <w:szCs w:val="26"/>
        </w:rPr>
      </w:pPr>
      <w:r w:rsidRPr="00F71766">
        <w:rPr>
          <w:rFonts w:ascii="Palatino Linotype" w:hAnsi="Palatino Linotype" w:cs="Arial"/>
          <w:b/>
          <w:sz w:val="26"/>
          <w:szCs w:val="26"/>
        </w:rPr>
        <w:t xml:space="preserve">OCTAVO. De la admisión del recurso de revisión </w:t>
      </w:r>
      <w:r w:rsidR="000649AF" w:rsidRPr="00F71766">
        <w:rPr>
          <w:rFonts w:ascii="Palatino Linotype" w:hAnsi="Palatino Linotype" w:cs="Arial"/>
          <w:b/>
          <w:sz w:val="26"/>
          <w:szCs w:val="26"/>
        </w:rPr>
        <w:t>09500</w:t>
      </w:r>
      <w:r w:rsidRPr="00F71766">
        <w:rPr>
          <w:rFonts w:ascii="Palatino Linotype" w:hAnsi="Palatino Linotype" w:cs="Arial"/>
          <w:b/>
          <w:sz w:val="26"/>
          <w:szCs w:val="26"/>
        </w:rPr>
        <w:t>/INFOEM/ICR-</w:t>
      </w:r>
      <w:r w:rsidR="000649AF" w:rsidRPr="00F71766">
        <w:rPr>
          <w:rFonts w:ascii="Palatino Linotype" w:hAnsi="Palatino Linotype" w:cs="Arial"/>
          <w:b/>
          <w:sz w:val="26"/>
          <w:szCs w:val="26"/>
        </w:rPr>
        <w:t>6</w:t>
      </w:r>
      <w:r w:rsidRPr="00F71766">
        <w:rPr>
          <w:rFonts w:ascii="Palatino Linotype" w:hAnsi="Palatino Linotype" w:cs="Arial"/>
          <w:b/>
          <w:sz w:val="26"/>
          <w:szCs w:val="26"/>
        </w:rPr>
        <w:t>3/IP/RR/2025</w:t>
      </w:r>
    </w:p>
    <w:p w14:paraId="19EC9C5B" w14:textId="50DB3728" w:rsidR="00A36E30" w:rsidRPr="00F71766" w:rsidRDefault="00A36E30" w:rsidP="00A36E30">
      <w:pPr>
        <w:spacing w:after="0" w:line="360" w:lineRule="auto"/>
        <w:jc w:val="both"/>
        <w:rPr>
          <w:rFonts w:ascii="Palatino Linotype" w:hAnsi="Palatino Linotype" w:cs="Arial"/>
          <w:sz w:val="24"/>
          <w:szCs w:val="24"/>
          <w:lang w:val="es-ES_tradnl"/>
        </w:rPr>
      </w:pPr>
      <w:r w:rsidRPr="00F71766">
        <w:rPr>
          <w:rFonts w:ascii="Palatino Linotype" w:hAnsi="Palatino Linotype" w:cs="Arial"/>
          <w:sz w:val="24"/>
          <w:szCs w:val="24"/>
          <w:lang w:val="es-ES_tradnl"/>
        </w:rPr>
        <w:lastRenderedPageBreak/>
        <w:t xml:space="preserve">El </w:t>
      </w:r>
      <w:r w:rsidRPr="00F71766">
        <w:rPr>
          <w:rFonts w:ascii="Palatino Linotype" w:hAnsi="Palatino Linotype" w:cs="Arial"/>
          <w:b/>
          <w:sz w:val="24"/>
          <w:szCs w:val="24"/>
          <w:lang w:val="es-ES_tradnl"/>
        </w:rPr>
        <w:t>veinti</w:t>
      </w:r>
      <w:r w:rsidR="000649AF" w:rsidRPr="00F71766">
        <w:rPr>
          <w:rFonts w:ascii="Palatino Linotype" w:hAnsi="Palatino Linotype" w:cs="Arial"/>
          <w:b/>
          <w:sz w:val="24"/>
          <w:szCs w:val="24"/>
          <w:lang w:val="es-ES_tradnl"/>
        </w:rPr>
        <w:t xml:space="preserve">siete </w:t>
      </w:r>
      <w:r w:rsidRPr="00F71766">
        <w:rPr>
          <w:rFonts w:ascii="Palatino Linotype" w:hAnsi="Palatino Linotype" w:cs="Arial"/>
          <w:b/>
          <w:sz w:val="24"/>
          <w:szCs w:val="24"/>
          <w:lang w:val="es-ES_tradnl"/>
        </w:rPr>
        <w:t>de enero de dos mil veintiséis,</w:t>
      </w:r>
      <w:r w:rsidRPr="00F71766">
        <w:rPr>
          <w:rFonts w:ascii="Palatino Linotype" w:hAnsi="Palatino Linotype" w:cs="Arial"/>
          <w:sz w:val="24"/>
          <w:szCs w:val="24"/>
          <w:lang w:val="es-ES_tradnl"/>
        </w:rPr>
        <w:t xml:space="preserve"> se acordó la admisión del recurso de revisión interpuesto por el </w:t>
      </w:r>
      <w:r w:rsidRPr="00F71766">
        <w:rPr>
          <w:rFonts w:ascii="Palatino Linotype" w:hAnsi="Palatino Linotype" w:cs="Arial"/>
          <w:b/>
          <w:sz w:val="24"/>
          <w:szCs w:val="24"/>
          <w:lang w:val="es-ES_tradnl"/>
        </w:rPr>
        <w:t>Recurrente</w:t>
      </w:r>
      <w:r w:rsidRPr="00F71766">
        <w:rPr>
          <w:rFonts w:ascii="Palatino Linotype" w:hAnsi="Palatino Linotype" w:cs="Arial"/>
          <w:sz w:val="24"/>
          <w:szCs w:val="24"/>
          <w:lang w:val="es-ES_tradnl"/>
        </w:rPr>
        <w:t xml:space="preserve"> en contra del </w:t>
      </w:r>
      <w:r w:rsidRPr="00F71766">
        <w:rPr>
          <w:rFonts w:ascii="Palatino Linotype" w:hAnsi="Palatino Linotype" w:cs="Arial"/>
          <w:b/>
          <w:sz w:val="24"/>
          <w:szCs w:val="24"/>
          <w:lang w:val="es-ES_tradnl"/>
        </w:rPr>
        <w:t>Sujeto</w:t>
      </w:r>
      <w:r w:rsidRPr="00F71766">
        <w:rPr>
          <w:rFonts w:ascii="Palatino Linotype" w:hAnsi="Palatino Linotype" w:cs="Arial"/>
          <w:sz w:val="24"/>
          <w:szCs w:val="24"/>
          <w:lang w:val="es-ES_tradnl"/>
        </w:rPr>
        <w:t xml:space="preserve"> </w:t>
      </w:r>
      <w:r w:rsidRPr="00F71766">
        <w:rPr>
          <w:rFonts w:ascii="Palatino Linotype" w:hAnsi="Palatino Linotype" w:cs="Arial"/>
          <w:b/>
          <w:sz w:val="24"/>
          <w:szCs w:val="24"/>
          <w:lang w:val="es-ES_tradnl"/>
        </w:rPr>
        <w:t>Obligado</w:t>
      </w:r>
      <w:r w:rsidRPr="00F71766">
        <w:rPr>
          <w:rFonts w:ascii="Palatino Linotype" w:hAnsi="Palatino Linotype" w:cs="Arial"/>
          <w:sz w:val="24"/>
          <w:szCs w:val="24"/>
          <w:lang w:val="es-ES_tradnl"/>
        </w:rPr>
        <w:t xml:space="preserve">, en términos del artículo 185, fracciones I, II y IV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 </w:t>
      </w:r>
    </w:p>
    <w:p w14:paraId="25370FB9" w14:textId="77777777" w:rsidR="00A36E30" w:rsidRPr="00F71766" w:rsidRDefault="00A36E30" w:rsidP="00A36E30">
      <w:pPr>
        <w:spacing w:after="0" w:line="360" w:lineRule="auto"/>
        <w:jc w:val="both"/>
        <w:rPr>
          <w:rFonts w:ascii="Palatino Linotype" w:hAnsi="Palatino Linotype" w:cs="Arial"/>
          <w:sz w:val="24"/>
          <w:szCs w:val="24"/>
          <w:lang w:val="es-ES_tradnl"/>
        </w:rPr>
      </w:pPr>
    </w:p>
    <w:p w14:paraId="4C62FCAE" w14:textId="77777777" w:rsidR="00A36E30" w:rsidRPr="00F71766" w:rsidRDefault="00A36E30" w:rsidP="00A36E30">
      <w:pPr>
        <w:spacing w:after="0" w:line="360" w:lineRule="auto"/>
        <w:jc w:val="both"/>
        <w:rPr>
          <w:rFonts w:ascii="Palatino Linotype" w:hAnsi="Palatino Linotype" w:cs="Arial"/>
          <w:sz w:val="24"/>
          <w:szCs w:val="24"/>
          <w:lang w:val="es-ES_tradnl"/>
        </w:rPr>
      </w:pPr>
      <w:r w:rsidRPr="00F71766">
        <w:rPr>
          <w:rFonts w:ascii="Palatino Linotype" w:hAnsi="Palatino Linotype" w:cs="Arial"/>
          <w:b/>
          <w:sz w:val="28"/>
          <w:szCs w:val="28"/>
        </w:rPr>
        <w:t>NOVENO. De la etapa de manifestaciones.</w:t>
      </w:r>
    </w:p>
    <w:p w14:paraId="0C847C33" w14:textId="5871D870" w:rsidR="00A36E30" w:rsidRPr="00F71766" w:rsidRDefault="00A36E30" w:rsidP="00A36E30">
      <w:pPr>
        <w:spacing w:after="0" w:line="360" w:lineRule="auto"/>
        <w:jc w:val="both"/>
        <w:rPr>
          <w:rFonts w:ascii="Palatino Linotype" w:hAnsi="Palatino Linotype" w:cs="Arial"/>
          <w:sz w:val="24"/>
          <w:szCs w:val="24"/>
          <w:lang w:val="es-ES_tradnl"/>
        </w:rPr>
      </w:pPr>
      <w:r w:rsidRPr="00F71766">
        <w:rPr>
          <w:rFonts w:ascii="Palatino Linotype" w:hAnsi="Palatino Linotype" w:cs="Arial"/>
          <w:sz w:val="24"/>
          <w:szCs w:val="24"/>
          <w:lang w:val="es-ES_tradnl"/>
        </w:rPr>
        <w:t xml:space="preserve">Cabe señalar, que </w:t>
      </w:r>
      <w:r w:rsidR="000C384F" w:rsidRPr="00F71766">
        <w:rPr>
          <w:rFonts w:ascii="Palatino Linotype" w:hAnsi="Palatino Linotype" w:cs="Arial"/>
          <w:b/>
          <w:sz w:val="24"/>
          <w:szCs w:val="24"/>
          <w:lang w:val="es-ES_tradnl"/>
        </w:rPr>
        <w:t>el sujeto obligado fue</w:t>
      </w:r>
      <w:r w:rsidRPr="00F71766">
        <w:rPr>
          <w:rFonts w:ascii="Palatino Linotype" w:hAnsi="Palatino Linotype" w:cs="Arial"/>
          <w:b/>
          <w:sz w:val="24"/>
          <w:szCs w:val="24"/>
          <w:lang w:val="es-ES_tradnl"/>
        </w:rPr>
        <w:t xml:space="preserve"> </w:t>
      </w:r>
      <w:r w:rsidR="008A69A7" w:rsidRPr="00F71766">
        <w:rPr>
          <w:rFonts w:ascii="Palatino Linotype" w:hAnsi="Palatino Linotype" w:cs="Arial"/>
          <w:b/>
          <w:sz w:val="24"/>
          <w:szCs w:val="24"/>
          <w:lang w:val="es-ES_tradnl"/>
        </w:rPr>
        <w:t xml:space="preserve">omiso </w:t>
      </w:r>
      <w:r w:rsidRPr="00F71766">
        <w:rPr>
          <w:rFonts w:ascii="Palatino Linotype" w:hAnsi="Palatino Linotype" w:cs="Arial"/>
          <w:b/>
          <w:sz w:val="24"/>
          <w:szCs w:val="24"/>
          <w:lang w:val="es-ES_tradnl"/>
        </w:rPr>
        <w:t>en emitir manifestaciones o alegatos</w:t>
      </w:r>
      <w:r w:rsidRPr="00F71766">
        <w:rPr>
          <w:rFonts w:ascii="Palatino Linotype" w:hAnsi="Palatino Linotype" w:cs="Arial"/>
          <w:sz w:val="24"/>
          <w:szCs w:val="24"/>
          <w:lang w:val="es-ES_tradnl"/>
        </w:rPr>
        <w:t>,</w:t>
      </w:r>
      <w:r w:rsidR="000C384F" w:rsidRPr="00F71766">
        <w:rPr>
          <w:rFonts w:ascii="Palatino Linotype" w:hAnsi="Palatino Linotype" w:cs="Arial"/>
          <w:sz w:val="24"/>
          <w:szCs w:val="24"/>
          <w:lang w:val="es-ES_tradnl"/>
        </w:rPr>
        <w:t xml:space="preserve"> por su parte la parte recurrente realizo sus manifestaciones</w:t>
      </w:r>
      <w:r w:rsidR="00DD0FEA" w:rsidRPr="00F71766">
        <w:rPr>
          <w:rFonts w:ascii="Palatino Linotype" w:hAnsi="Palatino Linotype" w:cs="Arial"/>
          <w:sz w:val="24"/>
          <w:szCs w:val="24"/>
          <w:lang w:val="es-ES_tradnl"/>
        </w:rPr>
        <w:t>.</w:t>
      </w:r>
    </w:p>
    <w:p w14:paraId="1B84D7BA" w14:textId="77777777" w:rsidR="00DD0FEA" w:rsidRPr="00F71766" w:rsidRDefault="00DD0FEA" w:rsidP="00A36E30">
      <w:pPr>
        <w:spacing w:after="0" w:line="360" w:lineRule="auto"/>
        <w:jc w:val="both"/>
        <w:rPr>
          <w:rFonts w:ascii="Palatino Linotype" w:hAnsi="Palatino Linotype" w:cs="Arial"/>
          <w:sz w:val="24"/>
          <w:szCs w:val="24"/>
          <w:lang w:val="es-ES_tradnl"/>
        </w:rPr>
      </w:pPr>
    </w:p>
    <w:p w14:paraId="519D73F6" w14:textId="77777777" w:rsidR="00A36E30" w:rsidRPr="00F71766" w:rsidRDefault="00A36E30" w:rsidP="00A36E30">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F71766">
        <w:rPr>
          <w:rFonts w:ascii="Palatino Linotype" w:eastAsia="Times New Roman" w:hAnsi="Palatino Linotype" w:cs="Times New Roman"/>
          <w:b/>
          <w:color w:val="000000" w:themeColor="text1"/>
          <w:sz w:val="28"/>
          <w:szCs w:val="28"/>
          <w:lang w:val="es-ES_tradnl" w:eastAsia="es-MX"/>
        </w:rPr>
        <w:t>DÉCIMO. Del cierre de instrucción.</w:t>
      </w:r>
    </w:p>
    <w:p w14:paraId="2076907E" w14:textId="48948FCB" w:rsidR="00A36E30" w:rsidRPr="00F71766" w:rsidRDefault="00A36E30" w:rsidP="00A36E3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F71766">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F71766">
        <w:rPr>
          <w:rFonts w:ascii="Palatino Linotype" w:eastAsia="Times New Roman" w:hAnsi="Palatino Linotype" w:cs="Palatino Linotype"/>
          <w:b/>
          <w:color w:val="000000"/>
          <w:sz w:val="24"/>
          <w:szCs w:val="24"/>
          <w:lang w:val="es-ES_tradnl" w:eastAsia="es-MX"/>
        </w:rPr>
        <w:t xml:space="preserve"> </w:t>
      </w:r>
      <w:r w:rsidR="005B2E49" w:rsidRPr="00F71766">
        <w:rPr>
          <w:rFonts w:ascii="Palatino Linotype" w:eastAsia="Times New Roman" w:hAnsi="Palatino Linotype" w:cs="Palatino Linotype"/>
          <w:b/>
          <w:color w:val="000000"/>
          <w:sz w:val="24"/>
          <w:szCs w:val="24"/>
          <w:lang w:val="es-ES_tradnl" w:eastAsia="es-MX"/>
        </w:rPr>
        <w:t xml:space="preserve">veinticinco </w:t>
      </w:r>
      <w:r w:rsidRPr="00F71766">
        <w:rPr>
          <w:rFonts w:ascii="Palatino Linotype" w:eastAsia="Times New Roman" w:hAnsi="Palatino Linotype" w:cs="Palatino Linotype"/>
          <w:b/>
          <w:color w:val="000000"/>
          <w:sz w:val="24"/>
          <w:szCs w:val="24"/>
          <w:lang w:val="es-ES_tradnl" w:eastAsia="es-MX"/>
        </w:rPr>
        <w:t>de febrero de dos mil veintiséis</w:t>
      </w:r>
      <w:r w:rsidRPr="00F71766">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7F91E95E" w14:textId="77777777" w:rsidR="00A36E30" w:rsidRPr="00F71766" w:rsidRDefault="00A36E30" w:rsidP="00A36E3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BB2B2D0" w14:textId="77777777" w:rsidR="00A36E30" w:rsidRPr="00F71766" w:rsidRDefault="00A36E30" w:rsidP="00A36E30">
      <w:pPr>
        <w:spacing w:after="0" w:line="360" w:lineRule="auto"/>
        <w:jc w:val="both"/>
        <w:rPr>
          <w:rFonts w:ascii="Palatino Linotype" w:hAnsi="Palatino Linotype" w:cs="Arial"/>
          <w:sz w:val="24"/>
          <w:szCs w:val="24"/>
          <w:lang w:val="es-ES_tradnl"/>
        </w:rPr>
      </w:pPr>
    </w:p>
    <w:p w14:paraId="31828C30" w14:textId="77777777" w:rsidR="00A36E30" w:rsidRPr="00F71766" w:rsidRDefault="00A36E30" w:rsidP="00A36E30">
      <w:pPr>
        <w:spacing w:after="0" w:line="360" w:lineRule="auto"/>
        <w:jc w:val="center"/>
        <w:rPr>
          <w:rFonts w:ascii="Palatino Linotype" w:hAnsi="Palatino Linotype" w:cs="Arial"/>
          <w:b/>
          <w:sz w:val="28"/>
          <w:szCs w:val="24"/>
        </w:rPr>
      </w:pPr>
      <w:r w:rsidRPr="00F71766">
        <w:rPr>
          <w:rFonts w:ascii="Palatino Linotype" w:hAnsi="Palatino Linotype" w:cs="Arial"/>
          <w:b/>
          <w:sz w:val="28"/>
          <w:szCs w:val="24"/>
        </w:rPr>
        <w:t xml:space="preserve">C O N S I D E R A N D O </w:t>
      </w:r>
    </w:p>
    <w:p w14:paraId="7848D0DF" w14:textId="77777777" w:rsidR="00A36E30" w:rsidRPr="00F71766" w:rsidRDefault="00A36E30" w:rsidP="00A36E30">
      <w:pPr>
        <w:spacing w:after="0" w:line="360" w:lineRule="auto"/>
        <w:jc w:val="center"/>
        <w:rPr>
          <w:rFonts w:ascii="Palatino Linotype" w:hAnsi="Palatino Linotype" w:cs="Arial"/>
          <w:b/>
          <w:sz w:val="28"/>
          <w:szCs w:val="24"/>
        </w:rPr>
      </w:pPr>
    </w:p>
    <w:p w14:paraId="1C81E723" w14:textId="77777777" w:rsidR="00A36E30" w:rsidRPr="00F71766" w:rsidRDefault="00A36E30" w:rsidP="00A36E30">
      <w:pPr>
        <w:spacing w:after="0" w:line="360" w:lineRule="auto"/>
        <w:jc w:val="center"/>
        <w:rPr>
          <w:rFonts w:ascii="Palatino Linotype" w:hAnsi="Palatino Linotype" w:cs="Arial"/>
          <w:b/>
          <w:sz w:val="24"/>
          <w:szCs w:val="24"/>
        </w:rPr>
      </w:pPr>
    </w:p>
    <w:p w14:paraId="3E8CE163" w14:textId="77777777" w:rsidR="00A36E30" w:rsidRPr="00F71766" w:rsidRDefault="00A36E30" w:rsidP="00A36E30">
      <w:pPr>
        <w:spacing w:after="0" w:line="360" w:lineRule="auto"/>
        <w:jc w:val="both"/>
        <w:rPr>
          <w:rFonts w:ascii="Palatino Linotype" w:hAnsi="Palatino Linotype" w:cs="Arial"/>
          <w:sz w:val="28"/>
          <w:szCs w:val="28"/>
        </w:rPr>
      </w:pPr>
      <w:r w:rsidRPr="00F71766">
        <w:rPr>
          <w:rFonts w:ascii="Palatino Linotype" w:hAnsi="Palatino Linotype" w:cs="Arial"/>
          <w:b/>
          <w:sz w:val="28"/>
          <w:szCs w:val="28"/>
        </w:rPr>
        <w:t>PRIMERO. De la competencia</w:t>
      </w:r>
      <w:r w:rsidRPr="00F71766">
        <w:rPr>
          <w:rFonts w:ascii="Palatino Linotype" w:hAnsi="Palatino Linotype" w:cs="Arial"/>
          <w:sz w:val="28"/>
          <w:szCs w:val="28"/>
        </w:rPr>
        <w:t>.</w:t>
      </w:r>
    </w:p>
    <w:p w14:paraId="3DAF6B3B" w14:textId="77777777" w:rsidR="00A36E30" w:rsidRPr="00F71766" w:rsidRDefault="00A36E30" w:rsidP="00A36E30">
      <w:pPr>
        <w:autoSpaceDE w:val="0"/>
        <w:autoSpaceDN w:val="0"/>
        <w:adjustRightInd w:val="0"/>
        <w:spacing w:line="360" w:lineRule="auto"/>
        <w:jc w:val="both"/>
        <w:rPr>
          <w:rFonts w:ascii="Palatino Linotype" w:hAnsi="Palatino Linotype" w:cs="Arial"/>
          <w:sz w:val="24"/>
          <w:szCs w:val="24"/>
          <w:lang w:val="es-ES" w:eastAsia="es-ES"/>
        </w:rPr>
      </w:pPr>
      <w:r w:rsidRPr="00F71766">
        <w:rPr>
          <w:rFonts w:ascii="Palatino Linotype" w:hAnsi="Palatino Linotype" w:cs="Arial"/>
          <w:sz w:val="24"/>
          <w:szCs w:val="24"/>
          <w:lang w:val="es-ES" w:eastAsia="es-ES"/>
        </w:rPr>
        <w:lastRenderedPageBreak/>
        <w:t xml:space="preserve">Este Instituto de Transparencia, Acceso a la Información Pública y Protección de Datos Personales del Estado de México y Municipios, es competente para conocer y resolver el presente recurso de revisión interpuesto por el ahora Recurrente, conforme a lo dispuesto en los artículos 6, apartado A, fracción IV de la Constitución Política de los Estados Unidos Mexicanos; 5,párrafos trigésimo segundo, trigésimo tercero y trigésimo cuarto fracciones IV y V, de la Constitución Política del Estado Libre y Soberano de México; artículos 1, 2 fracción II, 13, 29, 36 fracciones I y II, </w:t>
      </w:r>
      <w:hyperlink r:id="rId7" w:history="1">
        <w:r w:rsidRPr="00F71766">
          <w:rPr>
            <w:rFonts w:ascii="Palatino Linotype" w:hAnsi="Palatino Linotype" w:cs="Arial"/>
            <w:sz w:val="24"/>
            <w:szCs w:val="24"/>
            <w:lang w:val="es-ES" w:eastAsia="es-ES"/>
          </w:rPr>
          <w:t>176, 178, 179, 181</w:t>
        </w:r>
      </w:hyperlink>
      <w:r w:rsidRPr="00F71766">
        <w:rPr>
          <w:rFonts w:ascii="Palatino Linotype" w:hAnsi="Palatino Linotype" w:cs="Arial"/>
          <w:sz w:val="24"/>
          <w:szCs w:val="24"/>
          <w:lang w:val="es-ES" w:eastAsia="es-ES"/>
        </w:rPr>
        <w:t xml:space="preserve">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14:paraId="0DB18F3A" w14:textId="77777777" w:rsidR="00A36E30" w:rsidRPr="00F71766" w:rsidRDefault="00A36E30" w:rsidP="00A36E30">
      <w:pPr>
        <w:spacing w:after="0" w:line="360" w:lineRule="auto"/>
        <w:jc w:val="both"/>
        <w:rPr>
          <w:rFonts w:ascii="Palatino Linotype" w:hAnsi="Palatino Linotype" w:cs="Arial"/>
          <w:sz w:val="24"/>
          <w:szCs w:val="24"/>
        </w:rPr>
      </w:pPr>
    </w:p>
    <w:p w14:paraId="6FD060E9" w14:textId="77777777" w:rsidR="00A36E30" w:rsidRPr="00F71766" w:rsidRDefault="00A36E30" w:rsidP="00A36E30">
      <w:pPr>
        <w:spacing w:after="0" w:line="360" w:lineRule="auto"/>
        <w:jc w:val="both"/>
        <w:rPr>
          <w:rFonts w:ascii="Palatino Linotype" w:hAnsi="Palatino Linotype" w:cs="Arial"/>
          <w:sz w:val="24"/>
          <w:szCs w:val="24"/>
        </w:rPr>
      </w:pPr>
    </w:p>
    <w:p w14:paraId="2822B75E" w14:textId="77777777" w:rsidR="00A36E30" w:rsidRPr="00F71766" w:rsidRDefault="00A36E30" w:rsidP="00A36E30">
      <w:pPr>
        <w:autoSpaceDE w:val="0"/>
        <w:autoSpaceDN w:val="0"/>
        <w:adjustRightInd w:val="0"/>
        <w:spacing w:after="0" w:line="360" w:lineRule="auto"/>
        <w:jc w:val="both"/>
        <w:rPr>
          <w:rFonts w:ascii="Palatino Linotype" w:hAnsi="Palatino Linotype" w:cs="Arial"/>
          <w:b/>
          <w:sz w:val="28"/>
          <w:szCs w:val="28"/>
        </w:rPr>
      </w:pPr>
      <w:r w:rsidRPr="00F71766">
        <w:rPr>
          <w:rFonts w:ascii="Palatino Linotype" w:hAnsi="Palatino Linotype" w:cs="Arial"/>
          <w:b/>
          <w:sz w:val="28"/>
          <w:szCs w:val="28"/>
        </w:rPr>
        <w:t xml:space="preserve">SEGUNDO. Alcances del recurso de revisión. </w:t>
      </w:r>
    </w:p>
    <w:p w14:paraId="56E15A34" w14:textId="77777777" w:rsidR="00A36E30" w:rsidRPr="00F71766" w:rsidRDefault="00A36E30" w:rsidP="00A36E30">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F71766">
        <w:rPr>
          <w:rFonts w:ascii="Palatino Linotype" w:eastAsia="Times New Roman" w:hAnsi="Palatino Linotype" w:cs="Arial"/>
          <w:sz w:val="24"/>
          <w:szCs w:val="24"/>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E4E5A8E" w14:textId="77777777" w:rsidR="00A36E30" w:rsidRPr="00F71766" w:rsidRDefault="00A36E30" w:rsidP="00A36E30">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EF4AF03" w14:textId="77777777" w:rsidR="00A36E30" w:rsidRPr="00F71766" w:rsidRDefault="00A36E30" w:rsidP="00A36E30">
      <w:pPr>
        <w:autoSpaceDE w:val="0"/>
        <w:autoSpaceDN w:val="0"/>
        <w:adjustRightInd w:val="0"/>
        <w:spacing w:after="0" w:line="360" w:lineRule="auto"/>
        <w:jc w:val="both"/>
        <w:rPr>
          <w:rFonts w:ascii="Palatino Linotype" w:hAnsi="Palatino Linotype" w:cs="Arial"/>
          <w:sz w:val="24"/>
          <w:szCs w:val="24"/>
        </w:rPr>
      </w:pPr>
      <w:r w:rsidRPr="00F71766">
        <w:rPr>
          <w:rFonts w:ascii="Palatino Linotype" w:hAnsi="Palatino Linotype" w:cs="Arial"/>
          <w:sz w:val="24"/>
          <w:szCs w:val="24"/>
        </w:rPr>
        <w:lastRenderedPageBreak/>
        <w:t>Es de precisar que la Ley de Transparencia y Acceso a la Información Pública del Estado de México y Municipios, describe el mecanismo de procedencia de los recursos de revisión, en ese sentido en su artículo 163 se indica lo siguiente:</w:t>
      </w:r>
    </w:p>
    <w:p w14:paraId="4BEACD1F" w14:textId="77777777" w:rsidR="00A36E30" w:rsidRPr="00F71766" w:rsidRDefault="00A36E30" w:rsidP="00A36E30">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F71766">
        <w:rPr>
          <w:rFonts w:ascii="Palatino Linotype" w:eastAsia="Times New Roman" w:hAnsi="Palatino Linotype" w:cs="Arial"/>
          <w:i/>
          <w:lang w:val="es-ES" w:eastAsia="es-ES"/>
        </w:rPr>
        <w:t>“</w:t>
      </w:r>
      <w:r w:rsidRPr="00F71766">
        <w:rPr>
          <w:rFonts w:ascii="Palatino Linotype" w:eastAsia="Times New Roman" w:hAnsi="Palatino Linotype" w:cs="Arial"/>
          <w:b/>
          <w:i/>
          <w:lang w:val="es-ES" w:eastAsia="es-ES"/>
        </w:rPr>
        <w:t>Artículo 163.</w:t>
      </w:r>
      <w:r w:rsidRPr="00F71766">
        <w:rPr>
          <w:rFonts w:ascii="Palatino Linotype" w:eastAsia="Times New Roman" w:hAnsi="Palatino Linotype" w:cs="Arial"/>
          <w:i/>
          <w:lang w:val="es-ES" w:eastAsia="es-ES"/>
        </w:rPr>
        <w:t xml:space="preserve"> La Unidad de Transparencia deberá notificar la respuesta a la solicitud al interesado en el menor tiempo posible, que no podrá exceder de quince días hábiles, contados a partir del día siguiente a la presentación de aquélla.</w:t>
      </w:r>
    </w:p>
    <w:p w14:paraId="09CBFF99" w14:textId="77777777" w:rsidR="00A36E30" w:rsidRPr="00F71766" w:rsidRDefault="00A36E30" w:rsidP="00A36E30">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14:paraId="7219422F" w14:textId="77777777" w:rsidR="00A36E30" w:rsidRPr="00F71766" w:rsidRDefault="00A36E30" w:rsidP="00A36E30">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F71766">
        <w:rPr>
          <w:rFonts w:ascii="Palatino Linotype" w:eastAsia="Times New Roman" w:hAnsi="Palatino Linotype" w:cs="Arial"/>
          <w:i/>
          <w:lang w:val="es-ES" w:eastAsia="es-ES"/>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4E0CE85B" w14:textId="77777777" w:rsidR="00A36E30" w:rsidRPr="00F71766" w:rsidRDefault="00A36E30" w:rsidP="00A36E30">
      <w:pPr>
        <w:autoSpaceDE w:val="0"/>
        <w:autoSpaceDN w:val="0"/>
        <w:adjustRightInd w:val="0"/>
        <w:spacing w:after="0" w:line="360" w:lineRule="auto"/>
        <w:jc w:val="both"/>
        <w:rPr>
          <w:rFonts w:ascii="Palatino Linotype" w:hAnsi="Palatino Linotype" w:cs="Arial"/>
          <w:sz w:val="24"/>
          <w:szCs w:val="24"/>
        </w:rPr>
      </w:pPr>
    </w:p>
    <w:p w14:paraId="603AB875" w14:textId="77777777" w:rsidR="00A36E30" w:rsidRPr="00F71766" w:rsidRDefault="00A36E30" w:rsidP="00A36E30">
      <w:pPr>
        <w:autoSpaceDE w:val="0"/>
        <w:autoSpaceDN w:val="0"/>
        <w:adjustRightInd w:val="0"/>
        <w:spacing w:after="0" w:line="360" w:lineRule="auto"/>
        <w:jc w:val="both"/>
        <w:rPr>
          <w:rFonts w:ascii="Palatino Linotype" w:hAnsi="Palatino Linotype" w:cs="Arial"/>
          <w:sz w:val="24"/>
          <w:szCs w:val="24"/>
        </w:rPr>
      </w:pPr>
      <w:r w:rsidRPr="00F71766">
        <w:rPr>
          <w:rFonts w:ascii="Palatino Linotype" w:hAnsi="Palatino Linotype" w:cs="Arial"/>
          <w:sz w:val="24"/>
          <w:szCs w:val="24"/>
        </w:rPr>
        <w:t xml:space="preserve">De la interpretación al precepto legal inserto, se advierte que el plazo que les asiste a los </w:t>
      </w:r>
      <w:r w:rsidRPr="00F71766">
        <w:rPr>
          <w:rFonts w:ascii="Palatino Linotype" w:hAnsi="Palatino Linotype" w:cs="Arial"/>
          <w:b/>
          <w:sz w:val="24"/>
          <w:szCs w:val="24"/>
        </w:rPr>
        <w:t>sujetos</w:t>
      </w:r>
      <w:r w:rsidRPr="00F71766">
        <w:rPr>
          <w:rFonts w:ascii="Palatino Linotype" w:hAnsi="Palatino Linotype" w:cs="Arial"/>
          <w:sz w:val="24"/>
          <w:szCs w:val="24"/>
        </w:rPr>
        <w:t xml:space="preserve"> </w:t>
      </w:r>
      <w:r w:rsidRPr="00F71766">
        <w:rPr>
          <w:rFonts w:ascii="Palatino Linotype" w:hAnsi="Palatino Linotype" w:cs="Arial"/>
          <w:b/>
          <w:sz w:val="24"/>
          <w:szCs w:val="24"/>
        </w:rPr>
        <w:t>obligados</w:t>
      </w:r>
      <w:r w:rsidRPr="00F71766">
        <w:rPr>
          <w:rFonts w:ascii="Palatino Linotype" w:hAnsi="Palatino Linotype" w:cs="Arial"/>
          <w:sz w:val="24"/>
          <w:szCs w:val="24"/>
        </w:rPr>
        <w:t xml:space="preserve"> para notificar la respuesta a una solicitud de información pública, es de quince días hábiles posteriores a la presentación de ésta. 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w:t>
      </w:r>
    </w:p>
    <w:p w14:paraId="47C352B2" w14:textId="77777777" w:rsidR="00A36E30" w:rsidRPr="00F71766" w:rsidRDefault="00A36E30" w:rsidP="00A36E30">
      <w:pPr>
        <w:autoSpaceDE w:val="0"/>
        <w:autoSpaceDN w:val="0"/>
        <w:adjustRightInd w:val="0"/>
        <w:spacing w:after="0" w:line="360" w:lineRule="auto"/>
        <w:jc w:val="both"/>
        <w:rPr>
          <w:rFonts w:ascii="Palatino Linotype" w:hAnsi="Palatino Linotype" w:cs="Arial"/>
          <w:sz w:val="24"/>
          <w:szCs w:val="24"/>
        </w:rPr>
      </w:pPr>
    </w:p>
    <w:p w14:paraId="2B48499C" w14:textId="77777777" w:rsidR="00A36E30" w:rsidRPr="00F71766" w:rsidRDefault="00A36E30" w:rsidP="00A36E30">
      <w:pPr>
        <w:autoSpaceDE w:val="0"/>
        <w:autoSpaceDN w:val="0"/>
        <w:adjustRightInd w:val="0"/>
        <w:spacing w:after="0" w:line="360" w:lineRule="auto"/>
        <w:jc w:val="both"/>
        <w:rPr>
          <w:rFonts w:ascii="Palatino Linotype" w:hAnsi="Palatino Linotype" w:cs="Arial"/>
          <w:sz w:val="24"/>
          <w:szCs w:val="24"/>
        </w:rPr>
      </w:pPr>
      <w:r w:rsidRPr="00F71766">
        <w:rPr>
          <w:rFonts w:ascii="Palatino Linotype" w:hAnsi="Palatino Linotype" w:cs="Arial"/>
          <w:sz w:val="24"/>
          <w:szCs w:val="24"/>
        </w:rPr>
        <w:t xml:space="preserve">Se constituye la figura jurídica de la </w:t>
      </w:r>
      <w:r w:rsidRPr="00F71766">
        <w:rPr>
          <w:rFonts w:ascii="Palatino Linotype" w:hAnsi="Palatino Linotype" w:cs="Arial"/>
          <w:b/>
          <w:i/>
          <w:sz w:val="24"/>
          <w:szCs w:val="24"/>
        </w:rPr>
        <w:t>NEGATIVA FICTA</w:t>
      </w:r>
      <w:r w:rsidRPr="00F71766">
        <w:rPr>
          <w:rFonts w:ascii="Palatino Linotype" w:hAnsi="Palatino Linotype" w:cs="Arial"/>
          <w:sz w:val="24"/>
          <w:szCs w:val="24"/>
        </w:rPr>
        <w:t>, cuya esencia consiste en atribuir un efecto negativo al silencio de la autoridad administrativa frente a las instancias y solicitudes que hagan los particulares. Por su parte el artículo 178 de la Ley de Transparencia y Acceso a la Información Pública del Estado de México y Municipios, establece:</w:t>
      </w:r>
    </w:p>
    <w:p w14:paraId="0F3CC270" w14:textId="77777777" w:rsidR="00A36E30" w:rsidRPr="00F71766" w:rsidRDefault="00A36E30" w:rsidP="00A36E30">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F71766">
        <w:rPr>
          <w:rFonts w:ascii="Palatino Linotype" w:eastAsia="Times New Roman" w:hAnsi="Palatino Linotype" w:cs="Arial"/>
          <w:i/>
          <w:lang w:val="es-ES" w:eastAsia="es-ES"/>
        </w:rPr>
        <w:t>“</w:t>
      </w:r>
      <w:r w:rsidRPr="00F71766">
        <w:rPr>
          <w:rFonts w:ascii="Palatino Linotype" w:eastAsia="Times New Roman" w:hAnsi="Palatino Linotype" w:cs="Arial"/>
          <w:b/>
          <w:i/>
          <w:lang w:val="es-ES" w:eastAsia="es-ES"/>
        </w:rPr>
        <w:t>Artículo 178.</w:t>
      </w:r>
      <w:r w:rsidRPr="00F71766">
        <w:rPr>
          <w:rFonts w:ascii="Palatino Linotype" w:eastAsia="Times New Roman" w:hAnsi="Palatino Linotype" w:cs="Arial"/>
          <w:i/>
          <w:lang w:val="es-ES" w:eastAsia="es-ES"/>
        </w:rPr>
        <w:t xml:space="preserve"> El solicitante podrá interponer, por sí mismo o a través de su representante, de manera directa o por medios electrónicos, recurso de revisión ante el Instituto o ante la </w:t>
      </w:r>
      <w:r w:rsidRPr="00F71766">
        <w:rPr>
          <w:rFonts w:ascii="Palatino Linotype" w:eastAsia="Times New Roman" w:hAnsi="Palatino Linotype" w:cs="Arial"/>
          <w:i/>
          <w:lang w:val="es-ES" w:eastAsia="es-ES"/>
        </w:rPr>
        <w:lastRenderedPageBreak/>
        <w:t>Unidad de Transparencia que haya conocido de la solicitud dentro de los quince días hábiles, siguientes a la fecha de la notificación de la respuesta.</w:t>
      </w:r>
    </w:p>
    <w:p w14:paraId="28FBF138" w14:textId="77777777" w:rsidR="00A36E30" w:rsidRPr="00F71766" w:rsidRDefault="00A36E30" w:rsidP="00A36E30">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14:paraId="6461C377" w14:textId="77777777" w:rsidR="00A36E30" w:rsidRPr="00F71766" w:rsidRDefault="00A36E30" w:rsidP="00A36E30">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F71766">
        <w:rPr>
          <w:rFonts w:ascii="Palatino Linotype" w:eastAsia="Times New Roman" w:hAnsi="Palatino Linotype" w:cs="Arial"/>
          <w:b/>
          <w:i/>
          <w:lang w:val="es-ES" w:eastAsia="es-ES"/>
        </w:rPr>
        <w:t>A falta de respuesta del Sujeto Obligado, dentro de los plazos establecidos en esta Ley, a una solicitud de acceso a la información pública, el recurso podrá ser interpuesto en cualquier momento</w:t>
      </w:r>
      <w:r w:rsidRPr="00F71766">
        <w:rPr>
          <w:rFonts w:ascii="Palatino Linotype" w:eastAsia="Times New Roman" w:hAnsi="Palatino Linotype" w:cs="Arial"/>
          <w:i/>
          <w:lang w:val="es-ES" w:eastAsia="es-ES"/>
        </w:rPr>
        <w:t>, acompañado con el documento que pruebe la fecha en que presentó la solicitud.</w:t>
      </w:r>
    </w:p>
    <w:p w14:paraId="15948912" w14:textId="77777777" w:rsidR="00A36E30" w:rsidRPr="00F71766" w:rsidRDefault="00A36E30" w:rsidP="00A36E30">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14:paraId="7E5B2D09" w14:textId="77777777" w:rsidR="00A36E30" w:rsidRPr="00F71766" w:rsidRDefault="00A36E30" w:rsidP="00A36E30">
      <w:pPr>
        <w:autoSpaceDE w:val="0"/>
        <w:autoSpaceDN w:val="0"/>
        <w:adjustRightInd w:val="0"/>
        <w:spacing w:after="0" w:line="240" w:lineRule="auto"/>
        <w:ind w:left="567" w:right="567"/>
        <w:jc w:val="both"/>
        <w:rPr>
          <w:rFonts w:ascii="Palatino Linotype" w:eastAsia="Times New Roman" w:hAnsi="Palatino Linotype" w:cs="Arial"/>
          <w:lang w:val="es-ES" w:eastAsia="es-ES"/>
        </w:rPr>
      </w:pPr>
      <w:r w:rsidRPr="00F71766">
        <w:rPr>
          <w:rFonts w:ascii="Palatino Linotype" w:eastAsia="Times New Roman" w:hAnsi="Palatino Linotype" w:cs="Arial"/>
          <w:i/>
          <w:lang w:val="es-ES" w:eastAsia="es-ES"/>
        </w:rPr>
        <w:t xml:space="preserve">En el caso de que se interponga ante la Unidad de Transparencia, ésta deberá remitir el recurso de revisión al Instituto a más tardar al día siguiente de haberlo recibido.” </w:t>
      </w:r>
      <w:r w:rsidRPr="00F71766">
        <w:rPr>
          <w:rFonts w:ascii="Palatino Linotype" w:eastAsia="Times New Roman" w:hAnsi="Palatino Linotype" w:cs="Arial"/>
          <w:lang w:val="es-ES" w:eastAsia="es-ES"/>
        </w:rPr>
        <w:t>(Énfasis añadido)</w:t>
      </w:r>
    </w:p>
    <w:p w14:paraId="0ADBA6A3" w14:textId="77777777" w:rsidR="00A36E30" w:rsidRPr="00F71766" w:rsidRDefault="00A36E30" w:rsidP="00A36E30">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14:paraId="27947224" w14:textId="77777777" w:rsidR="00A36E30" w:rsidRPr="00F71766" w:rsidRDefault="00A36E30" w:rsidP="00A36E30">
      <w:pPr>
        <w:autoSpaceDE w:val="0"/>
        <w:autoSpaceDN w:val="0"/>
        <w:adjustRightInd w:val="0"/>
        <w:spacing w:after="0" w:line="240" w:lineRule="auto"/>
        <w:ind w:left="567" w:right="567"/>
        <w:jc w:val="right"/>
        <w:rPr>
          <w:rFonts w:ascii="Palatino Linotype" w:eastAsia="Times New Roman" w:hAnsi="Palatino Linotype" w:cs="Arial"/>
          <w:lang w:val="es-ES" w:eastAsia="es-ES"/>
        </w:rPr>
      </w:pPr>
    </w:p>
    <w:p w14:paraId="04EB8807" w14:textId="77777777" w:rsidR="00A36E30" w:rsidRPr="00F71766" w:rsidRDefault="00A36E30" w:rsidP="00A36E30">
      <w:pPr>
        <w:autoSpaceDE w:val="0"/>
        <w:autoSpaceDN w:val="0"/>
        <w:adjustRightInd w:val="0"/>
        <w:spacing w:after="0" w:line="360" w:lineRule="auto"/>
        <w:jc w:val="both"/>
        <w:rPr>
          <w:rFonts w:ascii="Palatino Linotype" w:hAnsi="Palatino Linotype" w:cs="Arial"/>
          <w:sz w:val="24"/>
          <w:szCs w:val="24"/>
        </w:rPr>
      </w:pPr>
      <w:r w:rsidRPr="00F71766">
        <w:rPr>
          <w:rFonts w:ascii="Palatino Linotype" w:hAnsi="Palatino Linotype" w:cs="Arial"/>
          <w:sz w:val="24"/>
          <w:szCs w:val="24"/>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al no existir respuesta a la solicitud de información por parte del </w:t>
      </w:r>
      <w:r w:rsidRPr="00F71766">
        <w:rPr>
          <w:rFonts w:ascii="Palatino Linotype" w:hAnsi="Palatino Linotype" w:cs="Arial"/>
          <w:b/>
          <w:sz w:val="24"/>
          <w:szCs w:val="24"/>
        </w:rPr>
        <w:t>Sujeto Obligado</w:t>
      </w:r>
      <w:r w:rsidRPr="00F71766">
        <w:rPr>
          <w:rFonts w:ascii="Palatino Linotype" w:hAnsi="Palatino Linotype" w:cs="Arial"/>
          <w:sz w:val="24"/>
          <w:szCs w:val="24"/>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3FDDEBDA" w14:textId="77777777" w:rsidR="005B2E49" w:rsidRPr="00F71766" w:rsidRDefault="005B2E49" w:rsidP="00A36E30">
      <w:pPr>
        <w:autoSpaceDE w:val="0"/>
        <w:autoSpaceDN w:val="0"/>
        <w:adjustRightInd w:val="0"/>
        <w:spacing w:after="0" w:line="360" w:lineRule="auto"/>
        <w:jc w:val="both"/>
        <w:rPr>
          <w:rFonts w:ascii="Palatino Linotype" w:hAnsi="Palatino Linotype" w:cs="Arial"/>
          <w:sz w:val="24"/>
          <w:szCs w:val="24"/>
        </w:rPr>
      </w:pPr>
    </w:p>
    <w:p w14:paraId="5ACE29D1" w14:textId="77777777" w:rsidR="00A36E30" w:rsidRPr="00F71766" w:rsidRDefault="00A36E30" w:rsidP="00A36E30">
      <w:pPr>
        <w:autoSpaceDE w:val="0"/>
        <w:autoSpaceDN w:val="0"/>
        <w:adjustRightInd w:val="0"/>
        <w:spacing w:after="0" w:line="360" w:lineRule="auto"/>
        <w:jc w:val="both"/>
        <w:rPr>
          <w:rFonts w:ascii="Palatino Linotype" w:hAnsi="Palatino Linotype" w:cs="Arial"/>
          <w:sz w:val="24"/>
          <w:szCs w:val="24"/>
        </w:rPr>
      </w:pPr>
      <w:r w:rsidRPr="00F71766">
        <w:rPr>
          <w:rFonts w:ascii="Palatino Linotype" w:hAnsi="Palatino Linotype" w:cs="Arial"/>
          <w:sz w:val="24"/>
          <w:szCs w:val="24"/>
        </w:rPr>
        <w:t xml:space="preserve">En consecuencia, dado lo expuesto y fundado con anterioridad, se estima que el requisito relativo al nombre del Recurrente no constituye un presupuesto indispensable de procedibilidad de los recursos de revisión, en términos de los artículos 25 de la Convención Americana de Derechos Humanos, 1 párrafos segundo y tercero, 6 apartado A, fracciones III y IV de la Constitución Política de los Estados Unidos Mexicanos y 5, párrafo vigésimo segundo de la Constitución Política del Estado Libre y Soberano de México, debido a que el acceso a la información pública es un derecho humano que no requiere legitimación en la causa, sino que únicamente </w:t>
      </w:r>
      <w:r w:rsidRPr="00F71766">
        <w:rPr>
          <w:rFonts w:ascii="Palatino Linotype" w:hAnsi="Palatino Linotype" w:cs="Arial"/>
          <w:sz w:val="24"/>
          <w:szCs w:val="24"/>
        </w:rPr>
        <w:lastRenderedPageBreak/>
        <w:t>basta con que se encuentre legitimado en el procedimiento de recurso de revisión, circunstancia que se acredita en las constancias electrónicas del expediente, de las que se desprende que el Recurrente, es la misma persona que realizó la solicitud de acceso a la información pública que ahora se impugna.</w:t>
      </w:r>
    </w:p>
    <w:p w14:paraId="32271663" w14:textId="77777777" w:rsidR="00A36E30" w:rsidRPr="00F71766" w:rsidRDefault="00A36E30" w:rsidP="00A36E30">
      <w:pPr>
        <w:autoSpaceDE w:val="0"/>
        <w:autoSpaceDN w:val="0"/>
        <w:adjustRightInd w:val="0"/>
        <w:spacing w:after="0" w:line="360" w:lineRule="auto"/>
        <w:jc w:val="both"/>
        <w:rPr>
          <w:rFonts w:ascii="Palatino Linotype" w:hAnsi="Palatino Linotype" w:cs="Arial"/>
          <w:sz w:val="24"/>
          <w:szCs w:val="24"/>
        </w:rPr>
      </w:pPr>
    </w:p>
    <w:p w14:paraId="2092972E" w14:textId="77777777" w:rsidR="00A36E30" w:rsidRPr="00F71766" w:rsidRDefault="00A36E30" w:rsidP="00A36E30">
      <w:pPr>
        <w:autoSpaceDE w:val="0"/>
        <w:autoSpaceDN w:val="0"/>
        <w:adjustRightInd w:val="0"/>
        <w:spacing w:after="0" w:line="360" w:lineRule="auto"/>
        <w:jc w:val="both"/>
        <w:rPr>
          <w:rFonts w:ascii="Palatino Linotype" w:hAnsi="Palatino Linotype" w:cs="Arial"/>
          <w:sz w:val="24"/>
          <w:szCs w:val="24"/>
        </w:rPr>
      </w:pPr>
      <w:r w:rsidRPr="00F71766">
        <w:rPr>
          <w:rFonts w:ascii="Palatino Linotype" w:hAnsi="Palatino Linotype" w:cs="Arial"/>
          <w:sz w:val="24"/>
          <w:szCs w:val="24"/>
        </w:rPr>
        <w:t>De igual manera, el propio artículo 180 de la Ley de Transparencia local, en su último párrafo establece que cuando el recurso se interponga de manera electrónica, no será indispensable que contenga determinados requisitos, entre ellos, el nombre del Recurrente, por lo que en el presente caso, al haber sido presentado el recurso de revisión vía SAIMEX, dicho requisito resulta innecesario.</w:t>
      </w:r>
    </w:p>
    <w:p w14:paraId="32BE7091" w14:textId="77777777" w:rsidR="00A36E30" w:rsidRPr="00F71766" w:rsidRDefault="00A36E30" w:rsidP="00A36E30">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4EF12EA3" w14:textId="77777777" w:rsidR="00A36E30" w:rsidRPr="00F71766" w:rsidRDefault="00A36E30" w:rsidP="00A36E30">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596F364" w14:textId="77777777" w:rsidR="00A36E30" w:rsidRPr="00F71766" w:rsidRDefault="00A36E30" w:rsidP="00A36E30">
      <w:pPr>
        <w:spacing w:after="0" w:line="360" w:lineRule="auto"/>
        <w:jc w:val="both"/>
        <w:rPr>
          <w:rFonts w:ascii="Palatino Linotype" w:eastAsiaTheme="minorEastAsia" w:hAnsi="Palatino Linotype" w:cs="Arial"/>
          <w:b/>
          <w:sz w:val="28"/>
          <w:szCs w:val="28"/>
          <w:lang w:val="es-ES_tradnl" w:eastAsia="es-ES"/>
        </w:rPr>
      </w:pPr>
      <w:r w:rsidRPr="00F71766">
        <w:rPr>
          <w:rFonts w:ascii="Palatino Linotype" w:eastAsiaTheme="minorEastAsia" w:hAnsi="Palatino Linotype" w:cs="Arial"/>
          <w:b/>
          <w:sz w:val="28"/>
          <w:szCs w:val="28"/>
          <w:lang w:val="es-ES_tradnl" w:eastAsia="es-ES"/>
        </w:rPr>
        <w:t>TERCERO.</w:t>
      </w:r>
      <w:r w:rsidRPr="00F71766">
        <w:rPr>
          <w:rFonts w:ascii="Palatino Linotype" w:hAnsi="Palatino Linotype" w:cs="Arial"/>
          <w:b/>
          <w:sz w:val="28"/>
          <w:szCs w:val="28"/>
        </w:rPr>
        <w:t>Del estudio de las causas de improcedencia y sobreseimiento</w:t>
      </w:r>
    </w:p>
    <w:p w14:paraId="5B040471" w14:textId="77777777" w:rsidR="00A36E30" w:rsidRPr="00F71766" w:rsidRDefault="00A36E30" w:rsidP="00A36E30">
      <w:pPr>
        <w:autoSpaceDE w:val="0"/>
        <w:autoSpaceDN w:val="0"/>
        <w:adjustRightInd w:val="0"/>
        <w:spacing w:after="0" w:line="360" w:lineRule="auto"/>
        <w:contextualSpacing/>
        <w:jc w:val="both"/>
        <w:rPr>
          <w:rFonts w:ascii="Palatino Linotype" w:eastAsiaTheme="minorEastAsia" w:hAnsi="Palatino Linotype" w:cs="Arial"/>
          <w:sz w:val="24"/>
          <w:szCs w:val="24"/>
          <w:lang w:val="es-ES_tradnl" w:eastAsia="es-ES"/>
        </w:rPr>
      </w:pPr>
      <w:r w:rsidRPr="00F71766">
        <w:rPr>
          <w:rFonts w:ascii="Palatino Linotype" w:eastAsiaTheme="minorEastAsia" w:hAnsi="Palatino Linotype" w:cs="Arial"/>
          <w:sz w:val="24"/>
          <w:szCs w:val="24"/>
          <w:lang w:val="es-ES_tradnl" w:eastAsia="es-ES"/>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42B36F8" w14:textId="77777777" w:rsidR="00A36E30" w:rsidRPr="00F71766" w:rsidRDefault="00A36E30" w:rsidP="00A36E30">
      <w:pPr>
        <w:autoSpaceDE w:val="0"/>
        <w:autoSpaceDN w:val="0"/>
        <w:adjustRightInd w:val="0"/>
        <w:spacing w:after="0" w:line="360" w:lineRule="auto"/>
        <w:contextualSpacing/>
        <w:jc w:val="both"/>
        <w:rPr>
          <w:rFonts w:ascii="Palatino Linotype" w:eastAsiaTheme="minorEastAsia" w:hAnsi="Palatino Linotype" w:cs="Arial"/>
          <w:sz w:val="24"/>
          <w:szCs w:val="24"/>
          <w:lang w:val="es-ES_tradnl" w:eastAsia="es-ES"/>
        </w:rPr>
      </w:pPr>
    </w:p>
    <w:p w14:paraId="48E8B2B7" w14:textId="77777777" w:rsidR="00A36E30" w:rsidRPr="00F71766" w:rsidRDefault="00A36E30" w:rsidP="00A36E30">
      <w:pPr>
        <w:autoSpaceDE w:val="0"/>
        <w:autoSpaceDN w:val="0"/>
        <w:adjustRightInd w:val="0"/>
        <w:spacing w:after="0" w:line="360" w:lineRule="auto"/>
        <w:contextualSpacing/>
        <w:jc w:val="both"/>
        <w:rPr>
          <w:rFonts w:ascii="Palatino Linotype" w:eastAsiaTheme="minorEastAsia" w:hAnsi="Palatino Linotype" w:cs="Arial"/>
          <w:sz w:val="24"/>
          <w:szCs w:val="24"/>
          <w:lang w:val="es-ES_tradnl" w:eastAsia="es-ES"/>
        </w:rPr>
      </w:pPr>
      <w:r w:rsidRPr="00F71766">
        <w:rPr>
          <w:rFonts w:ascii="Palatino Linotype" w:eastAsiaTheme="minorEastAsia" w:hAnsi="Palatino Linotype" w:cs="Arial"/>
          <w:sz w:val="24"/>
          <w:szCs w:val="24"/>
          <w:lang w:val="es-ES_tradnl" w:eastAsia="es-ES"/>
        </w:rPr>
        <w:t>Correlativo a ello, como lo establece el artículo 62 de la Ley de Amparo, Reglamentaria de los Artículos 103 y 107 de la Constitución Política de los Estados Unidos Mexicanos, las causas de improcedencia se analizarán de oficio, lo aleguen o no las partes, por ser una cuestión de orden público y estudio preferente; además, con base en la jurisprudencia por reiteración con número de registro digital 222780, de rubro y texto:</w:t>
      </w:r>
    </w:p>
    <w:p w14:paraId="221D0287" w14:textId="77777777" w:rsidR="00A36E30" w:rsidRPr="00F71766" w:rsidRDefault="00A36E30" w:rsidP="00A36E30">
      <w:pPr>
        <w:autoSpaceDE w:val="0"/>
        <w:autoSpaceDN w:val="0"/>
        <w:adjustRightInd w:val="0"/>
        <w:spacing w:after="0" w:line="360" w:lineRule="auto"/>
        <w:contextualSpacing/>
        <w:jc w:val="both"/>
        <w:rPr>
          <w:rFonts w:ascii="Palatino Linotype" w:eastAsiaTheme="minorEastAsia" w:hAnsi="Palatino Linotype" w:cs="Arial"/>
          <w:sz w:val="24"/>
          <w:szCs w:val="24"/>
          <w:lang w:val="es-ES_tradnl" w:eastAsia="es-ES"/>
        </w:rPr>
      </w:pPr>
    </w:p>
    <w:p w14:paraId="4DF6CC09" w14:textId="77777777" w:rsidR="00A36E30" w:rsidRPr="00F71766" w:rsidRDefault="00A36E30" w:rsidP="00A36E30">
      <w:pPr>
        <w:autoSpaceDE w:val="0"/>
        <w:autoSpaceDN w:val="0"/>
        <w:adjustRightInd w:val="0"/>
        <w:spacing w:after="0" w:line="240" w:lineRule="auto"/>
        <w:ind w:left="567" w:right="567"/>
        <w:contextualSpacing/>
        <w:jc w:val="both"/>
        <w:rPr>
          <w:rFonts w:ascii="Palatino Linotype" w:eastAsiaTheme="minorEastAsia" w:hAnsi="Palatino Linotype" w:cs="Arial"/>
          <w:i/>
          <w:szCs w:val="24"/>
          <w:lang w:val="es-ES_tradnl" w:eastAsia="es-ES"/>
        </w:rPr>
      </w:pPr>
      <w:r w:rsidRPr="00F71766">
        <w:rPr>
          <w:rFonts w:ascii="Palatino Linotype" w:eastAsiaTheme="minorEastAsia" w:hAnsi="Palatino Linotype" w:cs="Arial"/>
          <w:i/>
          <w:szCs w:val="24"/>
          <w:lang w:val="es-ES_tradnl" w:eastAsia="es-ES"/>
        </w:rPr>
        <w:t>“</w:t>
      </w:r>
      <w:r w:rsidRPr="00F71766">
        <w:rPr>
          <w:rFonts w:ascii="Palatino Linotype" w:eastAsiaTheme="minorEastAsia" w:hAnsi="Palatino Linotype" w:cs="Arial"/>
          <w:b/>
          <w:i/>
          <w:szCs w:val="24"/>
          <w:lang w:val="es-ES_tradnl" w:eastAsia="es-ES"/>
        </w:rPr>
        <w:t>IMPROCEDENCIA, CAUSALES DE. EN EL JUICIO DE AMPARO.</w:t>
      </w:r>
      <w:r w:rsidRPr="00F71766">
        <w:rPr>
          <w:rFonts w:ascii="Palatino Linotype" w:eastAsiaTheme="minorEastAsia" w:hAnsi="Palatino Linotype" w:cs="Arial"/>
          <w:i/>
          <w:szCs w:val="24"/>
          <w:lang w:val="es-ES_tradnl" w:eastAsia="es-ES"/>
        </w:rPr>
        <w:t xml:space="preserve"> Las causales de improcedencia del juicio de amparo, por ser de orden público deben estudiarse previamente, lo aleguen o no las partes, cualquiera que sea la instancia”.</w:t>
      </w:r>
    </w:p>
    <w:p w14:paraId="0FFE4AB1" w14:textId="77777777" w:rsidR="00A36E30" w:rsidRPr="00F71766" w:rsidRDefault="00A36E30" w:rsidP="00A36E30">
      <w:pPr>
        <w:autoSpaceDE w:val="0"/>
        <w:autoSpaceDN w:val="0"/>
        <w:adjustRightInd w:val="0"/>
        <w:spacing w:after="0" w:line="360" w:lineRule="auto"/>
        <w:contextualSpacing/>
        <w:jc w:val="both"/>
        <w:rPr>
          <w:rFonts w:ascii="Palatino Linotype" w:eastAsiaTheme="minorEastAsia" w:hAnsi="Palatino Linotype" w:cs="Arial"/>
          <w:sz w:val="24"/>
          <w:szCs w:val="24"/>
          <w:lang w:val="es-ES_tradnl" w:eastAsia="es-ES"/>
        </w:rPr>
      </w:pPr>
    </w:p>
    <w:p w14:paraId="29841E7A" w14:textId="77777777" w:rsidR="00A36E30" w:rsidRPr="00F71766" w:rsidRDefault="00A36E30" w:rsidP="00A36E30">
      <w:pPr>
        <w:autoSpaceDE w:val="0"/>
        <w:autoSpaceDN w:val="0"/>
        <w:adjustRightInd w:val="0"/>
        <w:spacing w:after="0" w:line="360" w:lineRule="auto"/>
        <w:contextualSpacing/>
        <w:jc w:val="both"/>
        <w:rPr>
          <w:rFonts w:ascii="Palatino Linotype" w:eastAsiaTheme="minorEastAsia" w:hAnsi="Palatino Linotype" w:cs="Arial"/>
          <w:sz w:val="24"/>
          <w:szCs w:val="24"/>
          <w:lang w:val="es-ES_tradnl" w:eastAsia="es-ES"/>
        </w:rPr>
      </w:pPr>
      <w:r w:rsidRPr="00F71766">
        <w:rPr>
          <w:rFonts w:ascii="Palatino Linotype" w:eastAsiaTheme="minorEastAsia" w:hAnsi="Palatino Linotype" w:cs="Arial"/>
          <w:sz w:val="24"/>
          <w:szCs w:val="24"/>
          <w:lang w:val="es-ES_tradnl" w:eastAsia="es-ES"/>
        </w:rPr>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órgano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 Estudio de causales de improcedencia que no son incompatibles con el derecho de acceso a la justicia, ya que éste no se coarta por regular causas de improcedencia y sobreseimiento con tales fines</w:t>
      </w:r>
      <w:r w:rsidRPr="00F71766">
        <w:rPr>
          <w:rFonts w:ascii="Palatino Linotype" w:eastAsiaTheme="minorEastAsia" w:hAnsi="Palatino Linotype" w:cs="Arial"/>
          <w:sz w:val="24"/>
          <w:szCs w:val="24"/>
          <w:vertAlign w:val="superscript"/>
          <w:lang w:val="es-ES_tradnl" w:eastAsia="es-ES"/>
        </w:rPr>
        <w:footnoteReference w:id="1"/>
      </w:r>
      <w:r w:rsidRPr="00F71766">
        <w:rPr>
          <w:rFonts w:ascii="Palatino Linotype" w:eastAsiaTheme="minorEastAsia" w:hAnsi="Palatino Linotype" w:cs="Arial"/>
          <w:sz w:val="24"/>
          <w:szCs w:val="24"/>
          <w:lang w:val="es-ES_tradnl" w:eastAsia="es-ES"/>
        </w:rPr>
        <w:t>.</w:t>
      </w:r>
    </w:p>
    <w:p w14:paraId="4C91EE4F" w14:textId="77777777" w:rsidR="00A36E30" w:rsidRPr="00F71766" w:rsidRDefault="00A36E30" w:rsidP="00A36E30">
      <w:pPr>
        <w:spacing w:beforeLines="20" w:before="48" w:afterLines="20" w:after="48" w:line="360" w:lineRule="auto"/>
        <w:jc w:val="both"/>
        <w:rPr>
          <w:rFonts w:ascii="Palatino Linotype" w:eastAsia="Calibri" w:hAnsi="Palatino Linotype" w:cs="Arial"/>
          <w:sz w:val="24"/>
          <w:szCs w:val="24"/>
          <w:lang w:val="es-ES_tradnl"/>
        </w:rPr>
      </w:pPr>
      <w:r w:rsidRPr="00F71766">
        <w:rPr>
          <w:rFonts w:ascii="Palatino Linotype" w:eastAsia="Calibri" w:hAnsi="Palatino Linotype" w:cs="Arial"/>
          <w:sz w:val="24"/>
          <w:szCs w:val="24"/>
          <w:lang w:val="es-ES_tradnl"/>
        </w:rPr>
        <w:lastRenderedPageBreak/>
        <w:t xml:space="preserve">Para efectos del artículo 185, fracción I, el que suscribe procede a analizar las causales de procedencia establecidas en el artículo 179 de la Ley Local en la materia, </w:t>
      </w:r>
      <w:r w:rsidRPr="00F71766">
        <w:rPr>
          <w:rFonts w:ascii="Palatino Linotype" w:eastAsia="Calibri" w:hAnsi="Palatino Linotype" w:cs="Arial"/>
          <w:sz w:val="24"/>
          <w:szCs w:val="24"/>
          <w:u w:val="single"/>
          <w:lang w:val="es-ES_tradnl"/>
        </w:rPr>
        <w:t>para la interposición del segundo recurso de revisión en comento</w:t>
      </w:r>
      <w:r w:rsidRPr="00F71766">
        <w:rPr>
          <w:rFonts w:ascii="Palatino Linotype" w:eastAsia="Calibri" w:hAnsi="Palatino Linotype" w:cs="Arial"/>
          <w:sz w:val="24"/>
          <w:szCs w:val="24"/>
          <w:lang w:val="es-ES_tradnl"/>
        </w:rPr>
        <w:t>, por tratarse de una cuestión de orden público y de estudio preferente, preceptos legales que se citan a continuación para pronta referencia:</w:t>
      </w:r>
    </w:p>
    <w:p w14:paraId="15702B30"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i/>
          <w:szCs w:val="24"/>
          <w:lang w:val="es-ES_tradnl"/>
        </w:rPr>
        <w:t>“</w:t>
      </w:r>
      <w:r w:rsidRPr="00F71766">
        <w:rPr>
          <w:rFonts w:ascii="Palatino Linotype" w:eastAsia="Calibri" w:hAnsi="Palatino Linotype" w:cs="Arial"/>
          <w:b/>
          <w:i/>
          <w:szCs w:val="24"/>
        </w:rPr>
        <w:t xml:space="preserve">Artículo 185. </w:t>
      </w:r>
      <w:r w:rsidRPr="00F71766">
        <w:rPr>
          <w:rFonts w:ascii="Palatino Linotype" w:eastAsia="Calibri" w:hAnsi="Palatino Linotype" w:cs="Arial"/>
          <w:i/>
          <w:szCs w:val="24"/>
        </w:rPr>
        <w:t xml:space="preserve">El Instituto resolverá el recurso de revisión conforme a lo siguiente: </w:t>
      </w:r>
    </w:p>
    <w:p w14:paraId="0B3585CA"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b/>
          <w:i/>
          <w:szCs w:val="24"/>
        </w:rPr>
        <w:t>I.</w:t>
      </w:r>
      <w:r w:rsidRPr="00F71766">
        <w:rPr>
          <w:rFonts w:ascii="Palatino Linotype" w:eastAsia="Calibri" w:hAnsi="Palatino Linotype" w:cs="Arial"/>
          <w:i/>
          <w:szCs w:val="24"/>
        </w:rPr>
        <w:t xml:space="preserve"> Interpuesto el recurso de revisión, el sistema electrónico y excepcionalmente, el Presidente del Pleno lo turnará en un plazo no mayor de tres días hábiles, al Comisionado ponente que corresponda, quien deberá proceder a su análisis para que decrete su admisión o su desechamiento;</w:t>
      </w:r>
    </w:p>
    <w:p w14:paraId="1F5A5673"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i/>
          <w:szCs w:val="24"/>
        </w:rPr>
        <w:t>…</w:t>
      </w:r>
    </w:p>
    <w:p w14:paraId="67B338DD"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p>
    <w:p w14:paraId="6199743D"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b/>
          <w:i/>
          <w:szCs w:val="24"/>
        </w:rPr>
        <w:t>Artículo 179</w:t>
      </w:r>
      <w:r w:rsidRPr="00F71766">
        <w:rPr>
          <w:rFonts w:ascii="Palatino Linotype" w:eastAsia="Calibri" w:hAnsi="Palatino Linotype" w:cs="Arial"/>
          <w:i/>
          <w:szCs w:val="24"/>
        </w:rPr>
        <w:t xml:space="preserve">. El recurso de revisión es un medio de protección que la Ley otorga a los particulares, para hacer valer su derecho de acceso a la información pública, y procederá en contra de las siguientes causas: </w:t>
      </w:r>
    </w:p>
    <w:p w14:paraId="570D2EF6"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i/>
          <w:szCs w:val="24"/>
        </w:rPr>
        <w:t xml:space="preserve">I. La negativa a la información solicitada; </w:t>
      </w:r>
    </w:p>
    <w:p w14:paraId="2FCF754D"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i/>
          <w:szCs w:val="24"/>
        </w:rPr>
        <w:t xml:space="preserve">II. La clasificación de la información; </w:t>
      </w:r>
    </w:p>
    <w:p w14:paraId="44D3CDF5"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i/>
          <w:szCs w:val="24"/>
        </w:rPr>
        <w:t xml:space="preserve">III. La declaración de inexistencia de la información; </w:t>
      </w:r>
    </w:p>
    <w:p w14:paraId="0C9118AF"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i/>
          <w:szCs w:val="24"/>
        </w:rPr>
        <w:t xml:space="preserve">IV. La declaración de incompetencia por el sujeto obligado; </w:t>
      </w:r>
    </w:p>
    <w:p w14:paraId="356C9B89"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i/>
          <w:szCs w:val="24"/>
        </w:rPr>
        <w:t xml:space="preserve">V. La entrega de información incompleta; </w:t>
      </w:r>
    </w:p>
    <w:p w14:paraId="2297A5D2"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i/>
          <w:szCs w:val="24"/>
        </w:rPr>
        <w:t xml:space="preserve">VI. La entrega de información que no corresponda con lo solicitado; </w:t>
      </w:r>
    </w:p>
    <w:p w14:paraId="2EC134F8"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i/>
          <w:szCs w:val="24"/>
        </w:rPr>
        <w:t xml:space="preserve">VII. La falta de respuesta a una solicitud de acceso a la información; </w:t>
      </w:r>
    </w:p>
    <w:p w14:paraId="4519D31A"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i/>
          <w:szCs w:val="24"/>
        </w:rPr>
        <w:t xml:space="preserve">VIII. La notificación, entrega o puesta a disposición de información en una modalidad o formato distinto al solicitado; </w:t>
      </w:r>
    </w:p>
    <w:p w14:paraId="0AC47174"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i/>
          <w:szCs w:val="24"/>
        </w:rPr>
        <w:t xml:space="preserve">IX. La entrega o puesta a disposición de información en un formato incomprensible y/o no accesible para el solicitante; </w:t>
      </w:r>
    </w:p>
    <w:p w14:paraId="2D411CEC"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i/>
          <w:szCs w:val="24"/>
        </w:rPr>
        <w:t xml:space="preserve">X. Los costos o tiempos de entrega de la información; </w:t>
      </w:r>
    </w:p>
    <w:p w14:paraId="35FF62E6"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i/>
          <w:szCs w:val="24"/>
        </w:rPr>
        <w:t xml:space="preserve">XI. La falta de trámite a una solicitud; </w:t>
      </w:r>
    </w:p>
    <w:p w14:paraId="2181F13E"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i/>
          <w:szCs w:val="24"/>
        </w:rPr>
        <w:t xml:space="preserve">XII. La negativa a permitir la consulta directa de la información; </w:t>
      </w:r>
    </w:p>
    <w:p w14:paraId="11108947"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i/>
          <w:szCs w:val="24"/>
        </w:rPr>
        <w:t xml:space="preserve">XIII. La falta, deficiencia o insuficiencia de la fundamentación y/o motivación en la respuesta; y </w:t>
      </w:r>
    </w:p>
    <w:p w14:paraId="426F33A6"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i/>
          <w:szCs w:val="24"/>
        </w:rPr>
        <w:t xml:space="preserve">XIV. La orientación a un trámite específico. </w:t>
      </w:r>
    </w:p>
    <w:p w14:paraId="3F1D2C64" w14:textId="77777777" w:rsidR="00A36E30" w:rsidRPr="00F71766" w:rsidRDefault="00A36E30" w:rsidP="00A36E30">
      <w:pPr>
        <w:spacing w:beforeLines="20" w:before="48" w:afterLines="20" w:after="48" w:line="240" w:lineRule="auto"/>
        <w:ind w:left="567" w:right="567"/>
        <w:jc w:val="both"/>
        <w:rPr>
          <w:rFonts w:ascii="Palatino Linotype" w:eastAsia="Calibri" w:hAnsi="Palatino Linotype" w:cs="Arial"/>
          <w:i/>
          <w:szCs w:val="24"/>
        </w:rPr>
      </w:pPr>
      <w:r w:rsidRPr="00F71766">
        <w:rPr>
          <w:rFonts w:ascii="Palatino Linotype" w:eastAsia="Calibri" w:hAnsi="Palatino Linotype" w:cs="Arial"/>
          <w:b/>
          <w:i/>
          <w:szCs w:val="24"/>
        </w:rPr>
        <w:t>La respuesta que den</w:t>
      </w:r>
      <w:r w:rsidRPr="00F71766">
        <w:rPr>
          <w:rFonts w:ascii="Palatino Linotype" w:eastAsia="Calibri" w:hAnsi="Palatino Linotype" w:cs="Arial"/>
          <w:i/>
          <w:szCs w:val="24"/>
        </w:rPr>
        <w:t xml:space="preserve"> los sujetos obligados </w:t>
      </w:r>
      <w:r w:rsidRPr="00F71766">
        <w:rPr>
          <w:rFonts w:ascii="Palatino Linotype" w:eastAsia="Calibri" w:hAnsi="Palatino Linotype" w:cs="Arial"/>
          <w:i/>
          <w:szCs w:val="24"/>
          <w:u w:val="single"/>
        </w:rPr>
        <w:t xml:space="preserve">derivada de la resolución a un recurso de revisión que proceda por las causales señaladas en las fracciones IV, VII, IX, X, XI y XII es </w:t>
      </w:r>
      <w:r w:rsidRPr="00F71766">
        <w:rPr>
          <w:rFonts w:ascii="Palatino Linotype" w:eastAsia="Calibri" w:hAnsi="Palatino Linotype" w:cs="Arial"/>
          <w:i/>
          <w:szCs w:val="24"/>
          <w:u w:val="single"/>
        </w:rPr>
        <w:lastRenderedPageBreak/>
        <w:t>susceptible de ser impugnada de nueva cuenta, mediante recurso de revisión, ante el Instituto.</w:t>
      </w:r>
    </w:p>
    <w:p w14:paraId="5D3CBDEF" w14:textId="77777777" w:rsidR="00A36E30" w:rsidRPr="00F71766" w:rsidRDefault="00A36E30" w:rsidP="00A36E30">
      <w:pPr>
        <w:spacing w:beforeLines="20" w:before="48" w:afterLines="20" w:after="48" w:line="240" w:lineRule="auto"/>
        <w:ind w:left="567" w:right="567"/>
        <w:jc w:val="right"/>
        <w:rPr>
          <w:rFonts w:ascii="Palatino Linotype" w:eastAsia="Calibri" w:hAnsi="Palatino Linotype" w:cs="Arial"/>
          <w:szCs w:val="24"/>
        </w:rPr>
      </w:pPr>
      <w:r w:rsidRPr="00F71766">
        <w:rPr>
          <w:rFonts w:ascii="Palatino Linotype" w:eastAsia="Calibri" w:hAnsi="Palatino Linotype" w:cs="Arial"/>
          <w:szCs w:val="24"/>
        </w:rPr>
        <w:t>(Énfasis añadido)</w:t>
      </w:r>
    </w:p>
    <w:p w14:paraId="7E4F7035" w14:textId="77777777" w:rsidR="00A36E30" w:rsidRPr="00F71766" w:rsidRDefault="00A36E30" w:rsidP="00A36E30">
      <w:pPr>
        <w:widowControl w:val="0"/>
        <w:spacing w:beforeLines="20" w:before="48" w:afterLines="20" w:after="48" w:line="360" w:lineRule="auto"/>
        <w:jc w:val="both"/>
        <w:rPr>
          <w:rFonts w:ascii="Palatino Linotype" w:eastAsia="Palatino Linotype" w:hAnsi="Palatino Linotype"/>
          <w:sz w:val="24"/>
          <w:szCs w:val="24"/>
        </w:rPr>
      </w:pPr>
    </w:p>
    <w:p w14:paraId="4890A128" w14:textId="77777777" w:rsidR="00A36E30" w:rsidRPr="00F71766" w:rsidRDefault="00A36E30" w:rsidP="00A36E30">
      <w:pPr>
        <w:widowControl w:val="0"/>
        <w:spacing w:beforeLines="20" w:before="48" w:afterLines="20" w:after="48" w:line="360" w:lineRule="auto"/>
        <w:jc w:val="both"/>
        <w:rPr>
          <w:rFonts w:ascii="Palatino Linotype" w:eastAsia="Palatino Linotype" w:hAnsi="Palatino Linotype"/>
          <w:sz w:val="24"/>
          <w:szCs w:val="24"/>
        </w:rPr>
      </w:pPr>
      <w:r w:rsidRPr="00F71766">
        <w:rPr>
          <w:rFonts w:ascii="Palatino Linotype" w:eastAsia="Palatino Linotype" w:hAnsi="Palatino Linotype"/>
          <w:sz w:val="24"/>
          <w:szCs w:val="24"/>
        </w:rPr>
        <w:t xml:space="preserve">Precepto legal que establece las causales de procedencia para la interposición del segundo recurso de revisión, tomando particular relevancia el último párrafo que, de manera clara y precisa establece, en el caso particular, la procedencia del segundo recurso de revisión contra </w:t>
      </w:r>
      <w:r w:rsidRPr="00F71766">
        <w:rPr>
          <w:rFonts w:ascii="Palatino Linotype" w:eastAsia="Palatino Linotype" w:hAnsi="Palatino Linotype"/>
          <w:b/>
          <w:sz w:val="24"/>
          <w:szCs w:val="24"/>
        </w:rPr>
        <w:t>la respuesta</w:t>
      </w:r>
      <w:r w:rsidRPr="00F71766">
        <w:rPr>
          <w:rFonts w:ascii="Palatino Linotype" w:eastAsia="Palatino Linotype" w:hAnsi="Palatino Linotype"/>
          <w:sz w:val="24"/>
          <w:szCs w:val="24"/>
        </w:rPr>
        <w:t xml:space="preserve"> proporcionada por el Sujeto Obligado derivada del </w:t>
      </w:r>
      <w:r w:rsidRPr="00F71766">
        <w:rPr>
          <w:rFonts w:ascii="Palatino Linotype" w:eastAsia="Palatino Linotype" w:hAnsi="Palatino Linotype"/>
          <w:b/>
          <w:sz w:val="24"/>
          <w:szCs w:val="24"/>
        </w:rPr>
        <w:t>cumplimiento a una resolución.</w:t>
      </w:r>
    </w:p>
    <w:p w14:paraId="6F8357C4" w14:textId="77777777" w:rsidR="00A36E30" w:rsidRPr="00F71766" w:rsidRDefault="00A36E30" w:rsidP="00A36E30">
      <w:pPr>
        <w:widowControl w:val="0"/>
        <w:spacing w:beforeLines="20" w:before="48" w:afterLines="20" w:after="48" w:line="360" w:lineRule="auto"/>
        <w:jc w:val="both"/>
        <w:rPr>
          <w:rFonts w:ascii="Palatino Linotype" w:eastAsia="Palatino Linotype" w:hAnsi="Palatino Linotype"/>
          <w:sz w:val="24"/>
          <w:szCs w:val="24"/>
        </w:rPr>
      </w:pPr>
    </w:p>
    <w:p w14:paraId="1CCAEB0C" w14:textId="77777777" w:rsidR="00A36E30" w:rsidRPr="00F71766" w:rsidRDefault="00A36E30" w:rsidP="00A36E30">
      <w:pPr>
        <w:pStyle w:val="Textoindependiente"/>
        <w:spacing w:beforeLines="40" w:before="96" w:afterLines="40" w:after="96" w:line="360" w:lineRule="auto"/>
        <w:ind w:left="0"/>
        <w:jc w:val="both"/>
        <w:rPr>
          <w:sz w:val="24"/>
          <w:szCs w:val="24"/>
        </w:rPr>
      </w:pPr>
      <w:r w:rsidRPr="00F71766">
        <w:rPr>
          <w:sz w:val="24"/>
          <w:szCs w:val="24"/>
        </w:rPr>
        <w:t xml:space="preserve">Ahora bien, este Instituto no pasa por desapercibido que  se acredita de forma parcial la procedencia del segundo recurso de revisión en virtud de las siguientes consideraciones; </w:t>
      </w:r>
    </w:p>
    <w:p w14:paraId="2FA7F41E" w14:textId="640E2C7B" w:rsidR="00A36E30" w:rsidRPr="00F71766" w:rsidRDefault="00A36E30" w:rsidP="00A36E30">
      <w:pPr>
        <w:pStyle w:val="Prrafodelista"/>
        <w:numPr>
          <w:ilvl w:val="0"/>
          <w:numId w:val="5"/>
        </w:numPr>
        <w:spacing w:after="0" w:line="360" w:lineRule="auto"/>
        <w:jc w:val="both"/>
        <w:rPr>
          <w:rFonts w:ascii="Palatino Linotype" w:eastAsia="Palatino Linotype" w:hAnsi="Palatino Linotype" w:cs="Palatino Linotype"/>
        </w:rPr>
      </w:pPr>
      <w:r w:rsidRPr="00F71766">
        <w:rPr>
          <w:rFonts w:ascii="Palatino Linotype" w:eastAsia="Palatino Linotype" w:hAnsi="Palatino Linotype" w:cs="Palatino Linotype"/>
        </w:rPr>
        <w:t xml:space="preserve">Conforme al citado antecedente </w:t>
      </w:r>
      <w:r w:rsidRPr="00F71766">
        <w:rPr>
          <w:rFonts w:ascii="Palatino Linotype" w:eastAsia="Palatino Linotype" w:hAnsi="Palatino Linotype" w:cs="Palatino Linotype"/>
          <w:b/>
          <w:bCs/>
        </w:rPr>
        <w:t>QUINTO</w:t>
      </w:r>
      <w:r w:rsidRPr="00F71766">
        <w:rPr>
          <w:rFonts w:ascii="Palatino Linotype" w:eastAsia="Palatino Linotype" w:hAnsi="Palatino Linotype" w:cs="Palatino Linotype"/>
        </w:rPr>
        <w:t xml:space="preserve">, se acredita la emisión de la resolución al recurso de revisión </w:t>
      </w:r>
      <w:r w:rsidR="002A09F6" w:rsidRPr="00F71766">
        <w:rPr>
          <w:rFonts w:ascii="Palatino Linotype" w:eastAsia="Palatino Linotype" w:hAnsi="Palatino Linotype" w:cs="Palatino Linotype"/>
          <w:b/>
          <w:bCs/>
        </w:rPr>
        <w:t>09500</w:t>
      </w:r>
      <w:r w:rsidRPr="00F71766">
        <w:rPr>
          <w:rFonts w:ascii="Palatino Linotype" w:eastAsia="Palatino Linotype" w:hAnsi="Palatino Linotype" w:cs="Palatino Linotype"/>
          <w:b/>
          <w:bCs/>
        </w:rPr>
        <w:t>/INFOEM/IP/RR/2025</w:t>
      </w:r>
      <w:r w:rsidRPr="00F71766">
        <w:rPr>
          <w:rFonts w:ascii="Palatino Linotype" w:eastAsia="Palatino Linotype" w:hAnsi="Palatino Linotype" w:cs="Palatino Linotype"/>
        </w:rPr>
        <w:t>, al encuadrar en la fracción VII, del multicitado artículo 179; y</w:t>
      </w:r>
    </w:p>
    <w:p w14:paraId="594CE4AF" w14:textId="77777777" w:rsidR="00A36E30" w:rsidRPr="00F71766" w:rsidRDefault="00A36E30" w:rsidP="00A36E30">
      <w:pPr>
        <w:pStyle w:val="Prrafodelista"/>
        <w:spacing w:line="360" w:lineRule="auto"/>
        <w:ind w:left="1080"/>
        <w:jc w:val="both"/>
        <w:rPr>
          <w:rFonts w:ascii="Palatino Linotype" w:eastAsia="Palatino Linotype" w:hAnsi="Palatino Linotype" w:cs="Palatino Linotype"/>
        </w:rPr>
      </w:pPr>
    </w:p>
    <w:p w14:paraId="75EDF9D8" w14:textId="0CD150D4" w:rsidR="00A36E30" w:rsidRPr="00F71766" w:rsidRDefault="00A36E30" w:rsidP="00A36E30">
      <w:pPr>
        <w:pStyle w:val="Prrafodelista"/>
        <w:numPr>
          <w:ilvl w:val="0"/>
          <w:numId w:val="5"/>
        </w:numPr>
        <w:spacing w:after="0" w:line="360" w:lineRule="auto"/>
        <w:jc w:val="both"/>
        <w:rPr>
          <w:rFonts w:ascii="Palatino Linotype" w:eastAsia="Palatino Linotype" w:hAnsi="Palatino Linotype" w:cs="Palatino Linotype"/>
        </w:rPr>
      </w:pPr>
      <w:r w:rsidRPr="00F71766">
        <w:rPr>
          <w:rFonts w:ascii="Palatino Linotype" w:eastAsia="Palatino Linotype" w:hAnsi="Palatino Linotype" w:cs="Palatino Linotype"/>
        </w:rPr>
        <w:t xml:space="preserve">En el antecedente </w:t>
      </w:r>
      <w:r w:rsidRPr="00F71766">
        <w:rPr>
          <w:rFonts w:ascii="Palatino Linotype" w:eastAsia="Palatino Linotype" w:hAnsi="Palatino Linotype" w:cs="Palatino Linotype"/>
          <w:b/>
          <w:bCs/>
        </w:rPr>
        <w:t>SÉPTIMO</w:t>
      </w:r>
      <w:r w:rsidRPr="00F71766">
        <w:rPr>
          <w:rFonts w:ascii="Palatino Linotype" w:eastAsia="Palatino Linotype" w:hAnsi="Palatino Linotype" w:cs="Palatino Linotype"/>
        </w:rPr>
        <w:t xml:space="preserve">, se observa la existencia de respuesta o pronunciamiento por parte del </w:t>
      </w:r>
      <w:r w:rsidRPr="00F71766">
        <w:rPr>
          <w:rFonts w:ascii="Palatino Linotype" w:eastAsia="Palatino Linotype" w:hAnsi="Palatino Linotype" w:cs="Palatino Linotype"/>
          <w:b/>
          <w:bCs/>
        </w:rPr>
        <w:t>Sujeto Obligado</w:t>
      </w:r>
      <w:r w:rsidRPr="00F71766">
        <w:rPr>
          <w:rFonts w:ascii="Palatino Linotype" w:eastAsia="Palatino Linotype" w:hAnsi="Palatino Linotype" w:cs="Palatino Linotype"/>
        </w:rPr>
        <w:t xml:space="preserve">, a lo ordenado en la resolución del recurso de revisión </w:t>
      </w:r>
      <w:r w:rsidR="002A09F6" w:rsidRPr="00F71766">
        <w:rPr>
          <w:rFonts w:ascii="Palatino Linotype" w:eastAsia="Palatino Linotype" w:hAnsi="Palatino Linotype" w:cs="Palatino Linotype"/>
          <w:b/>
          <w:bCs/>
        </w:rPr>
        <w:t>09500</w:t>
      </w:r>
      <w:r w:rsidRPr="00F71766">
        <w:rPr>
          <w:rFonts w:ascii="Palatino Linotype" w:eastAsia="Palatino Linotype" w:hAnsi="Palatino Linotype" w:cs="Palatino Linotype"/>
          <w:b/>
          <w:bCs/>
        </w:rPr>
        <w:t>/INFOEM/IP/RR/2025</w:t>
      </w:r>
      <w:r w:rsidRPr="00F71766">
        <w:rPr>
          <w:rFonts w:ascii="Palatino Linotype" w:eastAsia="Palatino Linotype" w:hAnsi="Palatino Linotype" w:cs="Palatino Linotype"/>
        </w:rPr>
        <w:t>.</w:t>
      </w:r>
    </w:p>
    <w:p w14:paraId="4596BF5E" w14:textId="77777777" w:rsidR="00A36E30" w:rsidRPr="00F71766" w:rsidRDefault="00A36E30" w:rsidP="00A36E30">
      <w:pPr>
        <w:pStyle w:val="Prrafodelista"/>
        <w:rPr>
          <w:rFonts w:ascii="Palatino Linotype" w:eastAsia="Palatino Linotype" w:hAnsi="Palatino Linotype" w:cs="Palatino Linotype"/>
        </w:rPr>
      </w:pPr>
    </w:p>
    <w:p w14:paraId="43384234" w14:textId="622E43E2" w:rsidR="00A36E30" w:rsidRPr="00F71766" w:rsidRDefault="00A36E30" w:rsidP="00A36E30">
      <w:pPr>
        <w:pStyle w:val="Prrafodelista"/>
        <w:numPr>
          <w:ilvl w:val="0"/>
          <w:numId w:val="5"/>
        </w:numPr>
        <w:spacing w:after="0" w:line="360" w:lineRule="auto"/>
        <w:jc w:val="both"/>
        <w:rPr>
          <w:rFonts w:ascii="Palatino Linotype" w:eastAsia="Palatino Linotype" w:hAnsi="Palatino Linotype" w:cs="Palatino Linotype"/>
        </w:rPr>
      </w:pPr>
      <w:r w:rsidRPr="00F71766">
        <w:rPr>
          <w:rFonts w:ascii="Palatino Linotype" w:eastAsia="Palatino Linotype" w:hAnsi="Palatino Linotype" w:cs="Palatino Linotype"/>
        </w:rPr>
        <w:t xml:space="preserve">Que el Segundo Recurso de Revisión </w:t>
      </w:r>
      <w:r w:rsidRPr="00F71766">
        <w:rPr>
          <w:rFonts w:ascii="Palatino Linotype" w:eastAsia="Palatino Linotype" w:hAnsi="Palatino Linotype" w:cs="Palatino Linotype"/>
          <w:b/>
        </w:rPr>
        <w:t xml:space="preserve">fue interpuesto con </w:t>
      </w:r>
      <w:r w:rsidR="006C4DF3" w:rsidRPr="00F71766">
        <w:rPr>
          <w:rFonts w:ascii="Palatino Linotype" w:eastAsia="Palatino Linotype" w:hAnsi="Palatino Linotype" w:cs="Palatino Linotype"/>
          <w:b/>
        </w:rPr>
        <w:t>más de</w:t>
      </w:r>
      <w:r w:rsidR="00627239" w:rsidRPr="00F71766">
        <w:rPr>
          <w:rFonts w:ascii="Palatino Linotype" w:eastAsia="Palatino Linotype" w:hAnsi="Palatino Linotype" w:cs="Palatino Linotype"/>
          <w:b/>
        </w:rPr>
        <w:t xml:space="preserve"> cuarenta </w:t>
      </w:r>
      <w:r w:rsidRPr="00F71766">
        <w:rPr>
          <w:rFonts w:ascii="Palatino Linotype" w:eastAsia="Palatino Linotype" w:hAnsi="Palatino Linotype" w:cs="Palatino Linotype"/>
          <w:b/>
        </w:rPr>
        <w:t>días hábiles posteriores a la entrega de la información</w:t>
      </w:r>
      <w:r w:rsidRPr="00F71766">
        <w:rPr>
          <w:rFonts w:ascii="Palatino Linotype" w:eastAsia="Palatino Linotype" w:hAnsi="Palatino Linotype" w:cs="Palatino Linotype"/>
        </w:rPr>
        <w:t xml:space="preserve"> en términos del calendario Oficial en materia de Transparencia Acceso a la Información Pública y Protección de Datos Personales de este Instituto.</w:t>
      </w:r>
    </w:p>
    <w:p w14:paraId="6050A28D" w14:textId="77777777" w:rsidR="00A36E30" w:rsidRPr="00F71766" w:rsidRDefault="00A36E30" w:rsidP="00A36E30">
      <w:pPr>
        <w:spacing w:after="0" w:line="360" w:lineRule="auto"/>
        <w:jc w:val="both"/>
        <w:rPr>
          <w:rFonts w:ascii="Palatino Linotype" w:eastAsia="Palatino Linotype" w:hAnsi="Palatino Linotype" w:cs="Palatino Linotype"/>
          <w:sz w:val="24"/>
        </w:rPr>
      </w:pPr>
    </w:p>
    <w:p w14:paraId="1078D703" w14:textId="0F496E6A" w:rsidR="00A36E30" w:rsidRPr="00F71766" w:rsidRDefault="00A36E30" w:rsidP="00A36E30">
      <w:pPr>
        <w:spacing w:after="0" w:line="360" w:lineRule="auto"/>
        <w:jc w:val="both"/>
        <w:rPr>
          <w:rFonts w:ascii="Palatino Linotype" w:eastAsia="Palatino Linotype" w:hAnsi="Palatino Linotype" w:cs="Palatino Linotype"/>
          <w:sz w:val="24"/>
        </w:rPr>
      </w:pPr>
      <w:r w:rsidRPr="00F71766">
        <w:rPr>
          <w:rFonts w:ascii="Palatino Linotype" w:eastAsia="Palatino Linotype" w:hAnsi="Palatino Linotype" w:cs="Palatino Linotype"/>
          <w:sz w:val="24"/>
        </w:rPr>
        <w:lastRenderedPageBreak/>
        <w:t xml:space="preserve">Con base en lo anterior, no se acredita la procedencia de la interposición de segundo recurso de revisión, pues </w:t>
      </w:r>
      <w:r w:rsidRPr="00F71766">
        <w:rPr>
          <w:rFonts w:ascii="Palatino Linotype" w:hAnsi="Palatino Linotype"/>
          <w:sz w:val="24"/>
          <w:szCs w:val="24"/>
        </w:rPr>
        <w:t>se</w:t>
      </w:r>
      <w:r w:rsidRPr="00F71766">
        <w:rPr>
          <w:rFonts w:ascii="Palatino Linotype" w:hAnsi="Palatino Linotype"/>
          <w:spacing w:val="37"/>
          <w:sz w:val="24"/>
          <w:szCs w:val="24"/>
        </w:rPr>
        <w:t xml:space="preserve"> </w:t>
      </w:r>
      <w:r w:rsidRPr="00F71766">
        <w:rPr>
          <w:rFonts w:ascii="Palatino Linotype" w:hAnsi="Palatino Linotype"/>
          <w:sz w:val="24"/>
          <w:szCs w:val="24"/>
        </w:rPr>
        <w:t>observa</w:t>
      </w:r>
      <w:r w:rsidRPr="00F71766">
        <w:rPr>
          <w:rFonts w:ascii="Palatino Linotype" w:hAnsi="Palatino Linotype"/>
          <w:spacing w:val="39"/>
          <w:sz w:val="24"/>
          <w:szCs w:val="24"/>
        </w:rPr>
        <w:t xml:space="preserve"> </w:t>
      </w:r>
      <w:r w:rsidRPr="00F71766">
        <w:rPr>
          <w:rFonts w:ascii="Palatino Linotype" w:hAnsi="Palatino Linotype"/>
          <w:sz w:val="24"/>
          <w:szCs w:val="24"/>
        </w:rPr>
        <w:t>que</w:t>
      </w:r>
      <w:r w:rsidRPr="00F71766">
        <w:rPr>
          <w:rFonts w:ascii="Palatino Linotype" w:hAnsi="Palatino Linotype"/>
          <w:spacing w:val="40"/>
          <w:sz w:val="24"/>
          <w:szCs w:val="24"/>
        </w:rPr>
        <w:t xml:space="preserve"> </w:t>
      </w:r>
      <w:r w:rsidRPr="00F71766">
        <w:rPr>
          <w:rFonts w:ascii="Palatino Linotype" w:hAnsi="Palatino Linotype"/>
          <w:sz w:val="24"/>
          <w:szCs w:val="24"/>
        </w:rPr>
        <w:t>el</w:t>
      </w:r>
      <w:r w:rsidRPr="00F71766">
        <w:rPr>
          <w:rFonts w:ascii="Palatino Linotype" w:hAnsi="Palatino Linotype"/>
          <w:spacing w:val="38"/>
          <w:sz w:val="24"/>
          <w:szCs w:val="24"/>
        </w:rPr>
        <w:t xml:space="preserve"> </w:t>
      </w:r>
      <w:r w:rsidRPr="00F71766">
        <w:rPr>
          <w:rFonts w:ascii="Palatino Linotype" w:hAnsi="Palatino Linotype"/>
          <w:sz w:val="24"/>
          <w:szCs w:val="24"/>
        </w:rPr>
        <w:t>recurso</w:t>
      </w:r>
      <w:r w:rsidRPr="00F71766">
        <w:rPr>
          <w:rFonts w:ascii="Palatino Linotype" w:hAnsi="Palatino Linotype"/>
          <w:spacing w:val="38"/>
          <w:sz w:val="24"/>
          <w:szCs w:val="24"/>
        </w:rPr>
        <w:t xml:space="preserve"> </w:t>
      </w:r>
      <w:r w:rsidRPr="00F71766">
        <w:rPr>
          <w:rFonts w:ascii="Palatino Linotype" w:hAnsi="Palatino Linotype"/>
          <w:sz w:val="24"/>
          <w:szCs w:val="24"/>
        </w:rPr>
        <w:t xml:space="preserve">de revisión </w:t>
      </w:r>
      <w:r w:rsidRPr="00F71766">
        <w:rPr>
          <w:rFonts w:ascii="Palatino Linotype" w:hAnsi="Palatino Linotype"/>
          <w:b/>
          <w:sz w:val="24"/>
          <w:szCs w:val="24"/>
          <w:u w:val="single"/>
        </w:rPr>
        <w:t>no se interpuso de forma oportuna</w:t>
      </w:r>
      <w:r w:rsidRPr="00F71766">
        <w:rPr>
          <w:rFonts w:ascii="Palatino Linotype" w:hAnsi="Palatino Linotype"/>
          <w:sz w:val="24"/>
          <w:szCs w:val="24"/>
        </w:rPr>
        <w:t>, ya que al momento en que se tuvo</w:t>
      </w:r>
      <w:r w:rsidRPr="00F71766">
        <w:rPr>
          <w:rFonts w:ascii="Palatino Linotype" w:hAnsi="Palatino Linotype"/>
          <w:spacing w:val="7"/>
          <w:sz w:val="24"/>
          <w:szCs w:val="24"/>
        </w:rPr>
        <w:t xml:space="preserve"> </w:t>
      </w:r>
      <w:r w:rsidRPr="00F71766">
        <w:rPr>
          <w:rFonts w:ascii="Palatino Linotype" w:hAnsi="Palatino Linotype"/>
          <w:sz w:val="24"/>
          <w:szCs w:val="24"/>
        </w:rPr>
        <w:t>por presentado,</w:t>
      </w:r>
      <w:r w:rsidRPr="00F71766">
        <w:rPr>
          <w:rFonts w:ascii="Palatino Linotype" w:hAnsi="Palatino Linotype"/>
          <w:spacing w:val="7"/>
          <w:sz w:val="24"/>
          <w:szCs w:val="24"/>
        </w:rPr>
        <w:t xml:space="preserve"> </w:t>
      </w:r>
      <w:r w:rsidRPr="00F71766">
        <w:rPr>
          <w:rFonts w:ascii="Palatino Linotype" w:hAnsi="Palatino Linotype"/>
          <w:sz w:val="24"/>
          <w:szCs w:val="24"/>
        </w:rPr>
        <w:t>el</w:t>
      </w:r>
      <w:r w:rsidRPr="00F71766">
        <w:rPr>
          <w:rFonts w:ascii="Palatino Linotype" w:hAnsi="Palatino Linotype"/>
          <w:spacing w:val="9"/>
          <w:sz w:val="24"/>
          <w:szCs w:val="24"/>
        </w:rPr>
        <w:t xml:space="preserve"> </w:t>
      </w:r>
      <w:r w:rsidRPr="00F71766">
        <w:rPr>
          <w:rFonts w:ascii="Palatino Linotype" w:hAnsi="Palatino Linotype"/>
          <w:sz w:val="24"/>
          <w:szCs w:val="24"/>
        </w:rPr>
        <w:t xml:space="preserve">plazo para interponer recurso de revisión ya había fenecido en términos de lo establecido por el artículo 178 de la Ley de Transparencia Local. </w:t>
      </w:r>
    </w:p>
    <w:p w14:paraId="06DD5520" w14:textId="77777777" w:rsidR="00A36E30" w:rsidRPr="00F71766" w:rsidRDefault="00A36E30" w:rsidP="00A36E30">
      <w:pPr>
        <w:pStyle w:val="Textoindependiente"/>
        <w:spacing w:beforeLines="40" w:before="96" w:afterLines="40" w:after="96" w:line="360" w:lineRule="auto"/>
        <w:ind w:left="0"/>
        <w:jc w:val="both"/>
        <w:rPr>
          <w:sz w:val="24"/>
          <w:szCs w:val="24"/>
        </w:rPr>
      </w:pPr>
    </w:p>
    <w:p w14:paraId="36338AE0" w14:textId="6D366125" w:rsidR="00033529" w:rsidRPr="00F71766" w:rsidRDefault="00A36E30" w:rsidP="00A36E30">
      <w:pPr>
        <w:pStyle w:val="Textoindependiente"/>
        <w:spacing w:beforeLines="40" w:before="96" w:afterLines="40" w:after="96" w:line="360" w:lineRule="auto"/>
        <w:ind w:left="0"/>
        <w:jc w:val="both"/>
        <w:rPr>
          <w:sz w:val="24"/>
          <w:szCs w:val="24"/>
        </w:rPr>
      </w:pPr>
      <w:r w:rsidRPr="00F71766">
        <w:rPr>
          <w:sz w:val="24"/>
          <w:szCs w:val="24"/>
        </w:rPr>
        <w:t xml:space="preserve">De lo anterior se trae a colación que en fecha </w:t>
      </w:r>
      <w:r w:rsidR="00D57CD1" w:rsidRPr="00F71766">
        <w:rPr>
          <w:b/>
          <w:sz w:val="24"/>
          <w:szCs w:val="24"/>
          <w:u w:val="single"/>
        </w:rPr>
        <w:t>veintinueve de septiembre</w:t>
      </w:r>
      <w:r w:rsidRPr="00F71766">
        <w:rPr>
          <w:b/>
          <w:sz w:val="24"/>
          <w:szCs w:val="24"/>
          <w:u w:val="single"/>
        </w:rPr>
        <w:t xml:space="preserve"> de dos mil veinticinco,</w:t>
      </w:r>
      <w:r w:rsidRPr="00F71766">
        <w:rPr>
          <w:rFonts w:cs="Palatino Linotype"/>
          <w:sz w:val="24"/>
        </w:rPr>
        <w:t xml:space="preserve"> se observa la existencia de respuesta o pronunciamiento por parte del </w:t>
      </w:r>
      <w:r w:rsidRPr="00F71766">
        <w:rPr>
          <w:rFonts w:cs="Palatino Linotype"/>
          <w:b/>
          <w:bCs/>
          <w:sz w:val="24"/>
        </w:rPr>
        <w:t>Sujeto Obligado</w:t>
      </w:r>
      <w:r w:rsidRPr="00F71766">
        <w:rPr>
          <w:rFonts w:cs="Palatino Linotype"/>
          <w:sz w:val="24"/>
        </w:rPr>
        <w:t xml:space="preserve">, a lo ordenado en la resolución del recurso de revisión </w:t>
      </w:r>
      <w:r w:rsidR="00033529" w:rsidRPr="00F71766">
        <w:rPr>
          <w:rFonts w:cs="Palatino Linotype"/>
          <w:b/>
          <w:bCs/>
        </w:rPr>
        <w:t>09500</w:t>
      </w:r>
      <w:r w:rsidRPr="00F71766">
        <w:rPr>
          <w:rFonts w:cs="Palatino Linotype"/>
          <w:b/>
          <w:bCs/>
          <w:sz w:val="24"/>
        </w:rPr>
        <w:t>/INFOEM/IP/RR/2025</w:t>
      </w:r>
      <w:r w:rsidRPr="00F71766">
        <w:t xml:space="preserve"> mediante el archivo electrónico </w:t>
      </w:r>
      <w:r w:rsidR="00033529" w:rsidRPr="00F71766">
        <w:rPr>
          <w:rFonts w:cs="Arial"/>
          <w:b/>
          <w:bCs/>
          <w:i/>
          <w:sz w:val="24"/>
          <w:szCs w:val="24"/>
        </w:rPr>
        <w:t xml:space="preserve">DAyF-367-2025.pdf y HAT-UTAIP-2025-868 acuerdo.pdf </w:t>
      </w:r>
      <w:r w:rsidRPr="00F71766">
        <w:rPr>
          <w:sz w:val="24"/>
          <w:szCs w:val="24"/>
        </w:rPr>
        <w:t>que consta</w:t>
      </w:r>
      <w:r w:rsidR="00E62512" w:rsidRPr="00F71766">
        <w:rPr>
          <w:sz w:val="24"/>
          <w:szCs w:val="24"/>
        </w:rPr>
        <w:t xml:space="preserve"> de las facturas generadas</w:t>
      </w:r>
      <w:r w:rsidR="00A34B80" w:rsidRPr="00F71766">
        <w:rPr>
          <w:sz w:val="24"/>
          <w:szCs w:val="24"/>
        </w:rPr>
        <w:t xml:space="preserve"> por le Sujeto Obligado por la presentación de un grupo musical. </w:t>
      </w:r>
    </w:p>
    <w:p w14:paraId="40EE0A2F" w14:textId="77777777" w:rsidR="00A36E30" w:rsidRPr="00F71766" w:rsidRDefault="00A36E30" w:rsidP="00A36E30">
      <w:pPr>
        <w:pStyle w:val="Textoindependiente"/>
        <w:spacing w:beforeLines="40" w:before="96" w:afterLines="40" w:after="96" w:line="360" w:lineRule="auto"/>
        <w:ind w:left="0"/>
        <w:jc w:val="both"/>
        <w:rPr>
          <w:sz w:val="24"/>
          <w:szCs w:val="24"/>
        </w:rPr>
      </w:pPr>
    </w:p>
    <w:p w14:paraId="07099082" w14:textId="789EFF12" w:rsidR="00A36E30" w:rsidRPr="00F71766" w:rsidRDefault="00A36E30" w:rsidP="00A36E30">
      <w:pPr>
        <w:pStyle w:val="Textoindependiente"/>
        <w:spacing w:beforeLines="40" w:before="96" w:afterLines="40" w:after="96" w:line="360" w:lineRule="auto"/>
        <w:ind w:left="0" w:hanging="1"/>
        <w:jc w:val="both"/>
        <w:rPr>
          <w:b/>
          <w:sz w:val="24"/>
          <w:szCs w:val="24"/>
          <w:u w:val="single"/>
        </w:rPr>
      </w:pPr>
      <w:r w:rsidRPr="00F71766">
        <w:rPr>
          <w:sz w:val="24"/>
          <w:szCs w:val="24"/>
        </w:rPr>
        <w:t xml:space="preserve">Por lo que el </w:t>
      </w:r>
      <w:r w:rsidRPr="00F71766">
        <w:rPr>
          <w:sz w:val="24"/>
          <w:szCs w:val="24"/>
          <w:u w:val="single"/>
        </w:rPr>
        <w:t>día límite para interponer el recurso de revisión</w:t>
      </w:r>
      <w:r w:rsidRPr="00F71766">
        <w:rPr>
          <w:sz w:val="24"/>
          <w:szCs w:val="24"/>
        </w:rPr>
        <w:t xml:space="preserve"> ocurrió en fecha </w:t>
      </w:r>
      <w:r w:rsidR="00DC2838" w:rsidRPr="00F71766">
        <w:rPr>
          <w:sz w:val="24"/>
          <w:szCs w:val="24"/>
        </w:rPr>
        <w:t xml:space="preserve">posterior a la establecida en </w:t>
      </w:r>
      <w:r w:rsidRPr="00F71766">
        <w:rPr>
          <w:sz w:val="24"/>
          <w:szCs w:val="24"/>
        </w:rPr>
        <w:t>el artículo 178 de la Ley de Transparencia y Acceso a la Información Pública del Estado de México y Municipios, establece lo siguiente:</w:t>
      </w:r>
    </w:p>
    <w:p w14:paraId="14F98021" w14:textId="77777777" w:rsidR="00A36E30" w:rsidRPr="00F71766" w:rsidRDefault="00A36E30" w:rsidP="00A36E30">
      <w:pPr>
        <w:pStyle w:val="Textoindependiente"/>
        <w:spacing w:beforeLines="40" w:before="96" w:afterLines="40" w:after="96"/>
        <w:ind w:left="567" w:right="567" w:firstLine="1"/>
        <w:jc w:val="both"/>
        <w:rPr>
          <w:sz w:val="22"/>
          <w:szCs w:val="24"/>
        </w:rPr>
      </w:pPr>
      <w:r w:rsidRPr="00F71766">
        <w:rPr>
          <w:b/>
          <w:i/>
          <w:sz w:val="22"/>
          <w:szCs w:val="24"/>
        </w:rPr>
        <w:t>Artículo 178.</w:t>
      </w:r>
      <w:r w:rsidRPr="00F71766">
        <w:rPr>
          <w:i/>
          <w:sz w:val="22"/>
          <w:szCs w:val="24"/>
        </w:rPr>
        <w:t xml:space="preserve"> El solicitante podrá interponer, por sí mismo o a través de su representante, de manera directa o por medios electrónicos, recurso de revisión ante el Instituto o ante la Unidad de Transparencia que haya conocido de la solicitud </w:t>
      </w:r>
      <w:r w:rsidRPr="00F71766">
        <w:rPr>
          <w:b/>
          <w:i/>
          <w:sz w:val="22"/>
          <w:szCs w:val="24"/>
          <w:u w:val="single"/>
        </w:rPr>
        <w:t>dentro de los quince días hábiles, siguientes a la fecha de la notificación de la respuesta</w:t>
      </w:r>
      <w:r w:rsidRPr="00F71766">
        <w:rPr>
          <w:i/>
          <w:sz w:val="22"/>
          <w:szCs w:val="24"/>
        </w:rPr>
        <w:t>.</w:t>
      </w:r>
    </w:p>
    <w:p w14:paraId="42B52E9B" w14:textId="77777777" w:rsidR="00A36E30" w:rsidRPr="00F71766" w:rsidRDefault="00A36E30" w:rsidP="00A36E30">
      <w:pPr>
        <w:pStyle w:val="Textoindependiente"/>
        <w:spacing w:beforeLines="40" w:before="96" w:afterLines="40" w:after="96" w:line="360" w:lineRule="auto"/>
        <w:ind w:left="0"/>
        <w:jc w:val="both"/>
        <w:rPr>
          <w:sz w:val="24"/>
          <w:szCs w:val="24"/>
        </w:rPr>
      </w:pPr>
    </w:p>
    <w:p w14:paraId="3BC9C820" w14:textId="77777777" w:rsidR="00A36E30" w:rsidRPr="00F71766" w:rsidRDefault="00A36E30" w:rsidP="00A36E30">
      <w:pPr>
        <w:pStyle w:val="Textoindependiente"/>
        <w:spacing w:beforeLines="40" w:before="96" w:afterLines="40" w:after="96" w:line="360" w:lineRule="auto"/>
        <w:ind w:left="0" w:hanging="1"/>
        <w:jc w:val="both"/>
        <w:rPr>
          <w:sz w:val="24"/>
          <w:szCs w:val="24"/>
        </w:rPr>
      </w:pPr>
      <w:r w:rsidRPr="00F71766">
        <w:rPr>
          <w:sz w:val="24"/>
          <w:szCs w:val="24"/>
        </w:rPr>
        <w:t xml:space="preserve">De tal forma que es necesario estarse a lo dispuesto en el Calendario Oficial en Materia de Transparencia, Acceso a la Información Pública y Protección de Datos Personales del Estado de México y Municipios, así como de labores del Instituto para el año dos mil veinticinco y dos mil veintiséis, publicado en el Periódico Oficial “Gaceta del </w:t>
      </w:r>
      <w:r w:rsidRPr="00F71766">
        <w:rPr>
          <w:sz w:val="24"/>
          <w:szCs w:val="24"/>
        </w:rPr>
        <w:lastRenderedPageBreak/>
        <w:t>Gobierno”, con el propósito de realizar el cómputo de los días a fin de verificar si el recurso de revisión fue interpuesto dentro del plazo establecido en la Ley de la materia o, por el contrario, fue interpuesto extemporáneamente.</w:t>
      </w:r>
    </w:p>
    <w:p w14:paraId="50AAF3B6" w14:textId="77777777" w:rsidR="00A36E30" w:rsidRPr="00F71766" w:rsidRDefault="00A36E30" w:rsidP="003A14E0">
      <w:pPr>
        <w:pStyle w:val="Textoindependiente"/>
        <w:spacing w:beforeLines="40" w:before="96" w:afterLines="40" w:after="96" w:line="360" w:lineRule="auto"/>
        <w:ind w:left="0"/>
        <w:jc w:val="both"/>
        <w:rPr>
          <w:sz w:val="24"/>
          <w:szCs w:val="24"/>
        </w:rPr>
      </w:pPr>
    </w:p>
    <w:p w14:paraId="495461C9" w14:textId="77777777" w:rsidR="00A36E30" w:rsidRPr="00F71766" w:rsidRDefault="00A36E30" w:rsidP="00A36E30">
      <w:pPr>
        <w:spacing w:line="360" w:lineRule="auto"/>
        <w:jc w:val="both"/>
        <w:rPr>
          <w:rFonts w:ascii="Palatino Linotype" w:hAnsi="Palatino Linotype" w:cs="Arial"/>
          <w:sz w:val="24"/>
        </w:rPr>
      </w:pPr>
      <w:r w:rsidRPr="00F71766">
        <w:rPr>
          <w:rFonts w:ascii="Palatino Linotype" w:hAnsi="Palatino Linotype" w:cs="Arial"/>
          <w:sz w:val="24"/>
        </w:rPr>
        <w:t>Por tales circunstancias, este Instituto se encuentra impedido a entrar al estudio de fondo, por lo que se actualiza la hipótesis prevista en el artículo 191, fracción I, de la Ley de Transparencia y Acceso a la Información Pública del Estado de México y Municipios en vigor, que a la letra establece lo siguiente:</w:t>
      </w:r>
    </w:p>
    <w:p w14:paraId="45383F99" w14:textId="77777777" w:rsidR="00A36E30" w:rsidRPr="00F71766" w:rsidRDefault="00A36E30" w:rsidP="00A36E30">
      <w:pPr>
        <w:pStyle w:val="Textoindependiente"/>
        <w:spacing w:beforeLines="40" w:before="96" w:afterLines="40" w:after="96"/>
        <w:ind w:left="567" w:right="567" w:firstLine="1"/>
        <w:jc w:val="both"/>
        <w:rPr>
          <w:i/>
          <w:sz w:val="22"/>
          <w:szCs w:val="24"/>
        </w:rPr>
      </w:pPr>
      <w:r w:rsidRPr="00F71766">
        <w:rPr>
          <w:b/>
          <w:i/>
          <w:sz w:val="22"/>
          <w:szCs w:val="24"/>
        </w:rPr>
        <w:t>Artículo 191</w:t>
      </w:r>
      <w:r w:rsidRPr="00F71766">
        <w:rPr>
          <w:i/>
          <w:sz w:val="22"/>
          <w:szCs w:val="24"/>
        </w:rPr>
        <w:t>. El recurso será desechado por improcedente cuando:</w:t>
      </w:r>
    </w:p>
    <w:p w14:paraId="19ECB9C9" w14:textId="77777777" w:rsidR="00A36E30" w:rsidRPr="00F71766" w:rsidRDefault="00A36E30" w:rsidP="00A36E30">
      <w:pPr>
        <w:pStyle w:val="Textoindependiente"/>
        <w:spacing w:beforeLines="40" w:before="96" w:afterLines="40" w:after="96"/>
        <w:ind w:left="567" w:right="567" w:firstLine="1"/>
        <w:jc w:val="both"/>
        <w:rPr>
          <w:i/>
          <w:sz w:val="22"/>
          <w:szCs w:val="24"/>
        </w:rPr>
      </w:pPr>
    </w:p>
    <w:p w14:paraId="29A00865" w14:textId="77777777" w:rsidR="00A36E30" w:rsidRPr="00F71766" w:rsidRDefault="00A36E30" w:rsidP="00A36E30">
      <w:pPr>
        <w:pStyle w:val="Textoindependiente"/>
        <w:numPr>
          <w:ilvl w:val="0"/>
          <w:numId w:val="4"/>
        </w:numPr>
        <w:spacing w:beforeLines="40" w:before="96" w:afterLines="40" w:after="96"/>
        <w:ind w:right="567"/>
        <w:jc w:val="both"/>
        <w:rPr>
          <w:i/>
          <w:sz w:val="22"/>
          <w:szCs w:val="24"/>
        </w:rPr>
      </w:pPr>
      <w:r w:rsidRPr="00F71766">
        <w:rPr>
          <w:b/>
          <w:i/>
          <w:sz w:val="22"/>
          <w:szCs w:val="24"/>
          <w:u w:val="single"/>
        </w:rPr>
        <w:t>Sea extemporáneo por haber transcurrido el plazo establecido en la presente Ley, a partir de la respuesta;</w:t>
      </w:r>
    </w:p>
    <w:p w14:paraId="7B6EE341" w14:textId="77777777" w:rsidR="00A36E30" w:rsidRPr="00F71766" w:rsidRDefault="00A36E30" w:rsidP="00A36E30">
      <w:pPr>
        <w:pStyle w:val="Textoindependiente"/>
        <w:spacing w:beforeLines="40" w:before="96" w:afterLines="40" w:after="96"/>
        <w:ind w:left="1572" w:right="567"/>
        <w:jc w:val="both"/>
        <w:rPr>
          <w:i/>
          <w:sz w:val="22"/>
          <w:szCs w:val="24"/>
        </w:rPr>
      </w:pPr>
      <w:r w:rsidRPr="00F71766">
        <w:rPr>
          <w:i/>
          <w:sz w:val="22"/>
          <w:szCs w:val="24"/>
        </w:rPr>
        <w:t>(…)</w:t>
      </w:r>
    </w:p>
    <w:p w14:paraId="68112946" w14:textId="77777777" w:rsidR="00A36E30" w:rsidRPr="00F71766" w:rsidRDefault="00A36E30" w:rsidP="00A36E30">
      <w:pPr>
        <w:autoSpaceDE w:val="0"/>
        <w:autoSpaceDN w:val="0"/>
        <w:adjustRightInd w:val="0"/>
        <w:spacing w:line="360" w:lineRule="auto"/>
        <w:jc w:val="both"/>
        <w:rPr>
          <w:rFonts w:ascii="Palatino Linotype" w:hAnsi="Palatino Linotype" w:cs="Arial"/>
        </w:rPr>
      </w:pPr>
    </w:p>
    <w:p w14:paraId="75695B96" w14:textId="77777777" w:rsidR="00A36E30" w:rsidRPr="00F71766" w:rsidRDefault="00A36E30" w:rsidP="00A36E30">
      <w:pPr>
        <w:autoSpaceDE w:val="0"/>
        <w:autoSpaceDN w:val="0"/>
        <w:adjustRightInd w:val="0"/>
        <w:spacing w:line="360" w:lineRule="auto"/>
        <w:jc w:val="both"/>
        <w:rPr>
          <w:rFonts w:ascii="Palatino Linotype" w:hAnsi="Palatino Linotype" w:cs="Arial"/>
          <w:sz w:val="24"/>
        </w:rPr>
      </w:pPr>
      <w:r w:rsidRPr="00F71766">
        <w:rPr>
          <w:rFonts w:ascii="Palatino Linotype" w:hAnsi="Palatino Linotype" w:cs="Arial"/>
          <w:sz w:val="24"/>
        </w:rPr>
        <w:t>Por lo tanto, el presente recurso de revisión se actualiza el supuesto previsto en la fracción IV, del artículo 192, de la Ley de Transparencia y Acceso a la Información Pública del Estado de México y Municipios en vigor:</w:t>
      </w:r>
    </w:p>
    <w:p w14:paraId="65EB7EAE" w14:textId="77777777" w:rsidR="00A36E30" w:rsidRPr="00F71766" w:rsidRDefault="00A36E30" w:rsidP="00A36E30">
      <w:pPr>
        <w:autoSpaceDE w:val="0"/>
        <w:autoSpaceDN w:val="0"/>
        <w:adjustRightInd w:val="0"/>
        <w:ind w:left="708"/>
        <w:jc w:val="both"/>
        <w:rPr>
          <w:rFonts w:ascii="Palatino Linotype" w:hAnsi="Palatino Linotype"/>
          <w:i/>
        </w:rPr>
      </w:pPr>
      <w:r w:rsidRPr="00F71766">
        <w:rPr>
          <w:rFonts w:ascii="Palatino Linotype" w:hAnsi="Palatino Linotype"/>
          <w:i/>
        </w:rPr>
        <w:t>“</w:t>
      </w:r>
      <w:r w:rsidRPr="00F71766">
        <w:rPr>
          <w:rFonts w:ascii="Palatino Linotype" w:hAnsi="Palatino Linotype"/>
          <w:b/>
          <w:i/>
        </w:rPr>
        <w:t xml:space="preserve">Artículo 192. </w:t>
      </w:r>
      <w:r w:rsidRPr="00F71766">
        <w:rPr>
          <w:rFonts w:ascii="Palatino Linotype" w:hAnsi="Palatino Linotype"/>
          <w:b/>
          <w:i/>
          <w:u w:val="single"/>
        </w:rPr>
        <w:t>El recurso será sobreseído, en todo o en parte, cuando una vez admitido, se actualicen alguno de los siguientes supuestos</w:t>
      </w:r>
      <w:r w:rsidRPr="00F71766">
        <w:rPr>
          <w:rFonts w:ascii="Palatino Linotype" w:hAnsi="Palatino Linotype"/>
          <w:i/>
        </w:rPr>
        <w:t>:</w:t>
      </w:r>
    </w:p>
    <w:p w14:paraId="1667B65A" w14:textId="77777777" w:rsidR="00A36E30" w:rsidRPr="00F71766" w:rsidRDefault="00A36E30" w:rsidP="00A36E30">
      <w:pPr>
        <w:autoSpaceDE w:val="0"/>
        <w:autoSpaceDN w:val="0"/>
        <w:adjustRightInd w:val="0"/>
        <w:ind w:left="708"/>
        <w:jc w:val="both"/>
        <w:rPr>
          <w:rFonts w:ascii="Palatino Linotype" w:hAnsi="Palatino Linotype"/>
          <w:i/>
        </w:rPr>
      </w:pPr>
    </w:p>
    <w:p w14:paraId="23CB45B5" w14:textId="77777777" w:rsidR="00A36E30" w:rsidRPr="00F71766" w:rsidRDefault="00A36E30" w:rsidP="00A36E30">
      <w:pPr>
        <w:numPr>
          <w:ilvl w:val="0"/>
          <w:numId w:val="3"/>
        </w:numPr>
        <w:autoSpaceDE w:val="0"/>
        <w:autoSpaceDN w:val="0"/>
        <w:adjustRightInd w:val="0"/>
        <w:spacing w:after="0" w:line="240" w:lineRule="auto"/>
        <w:jc w:val="both"/>
        <w:rPr>
          <w:rFonts w:ascii="Palatino Linotype" w:hAnsi="Palatino Linotype"/>
          <w:i/>
        </w:rPr>
      </w:pPr>
      <w:r w:rsidRPr="00F71766">
        <w:rPr>
          <w:rFonts w:ascii="Palatino Linotype" w:hAnsi="Palatino Linotype"/>
          <w:i/>
        </w:rPr>
        <w:t xml:space="preserve">El recurrente se desista expresamente del recurso; </w:t>
      </w:r>
    </w:p>
    <w:p w14:paraId="483DEE45" w14:textId="77777777" w:rsidR="00A36E30" w:rsidRPr="00F71766" w:rsidRDefault="00A36E30" w:rsidP="00A36E30">
      <w:pPr>
        <w:numPr>
          <w:ilvl w:val="0"/>
          <w:numId w:val="3"/>
        </w:numPr>
        <w:autoSpaceDE w:val="0"/>
        <w:autoSpaceDN w:val="0"/>
        <w:adjustRightInd w:val="0"/>
        <w:spacing w:after="0" w:line="240" w:lineRule="auto"/>
        <w:jc w:val="both"/>
        <w:rPr>
          <w:rFonts w:ascii="Palatino Linotype" w:hAnsi="Palatino Linotype" w:cs="Arial"/>
          <w:i/>
        </w:rPr>
      </w:pPr>
      <w:r w:rsidRPr="00F71766">
        <w:rPr>
          <w:rFonts w:ascii="Palatino Linotype" w:hAnsi="Palatino Linotype"/>
          <w:i/>
        </w:rPr>
        <w:t xml:space="preserve">El recurrente fallezca o, tratándose de personas jurídicas colectivas, se disuelva; </w:t>
      </w:r>
    </w:p>
    <w:p w14:paraId="0AEAABC8" w14:textId="77777777" w:rsidR="00A36E30" w:rsidRPr="00F71766" w:rsidRDefault="00A36E30" w:rsidP="00A36E30">
      <w:pPr>
        <w:numPr>
          <w:ilvl w:val="0"/>
          <w:numId w:val="3"/>
        </w:numPr>
        <w:autoSpaceDE w:val="0"/>
        <w:autoSpaceDN w:val="0"/>
        <w:adjustRightInd w:val="0"/>
        <w:spacing w:after="0" w:line="240" w:lineRule="auto"/>
        <w:jc w:val="both"/>
        <w:rPr>
          <w:rFonts w:ascii="Palatino Linotype" w:hAnsi="Palatino Linotype" w:cs="Arial"/>
          <w:i/>
        </w:rPr>
      </w:pPr>
      <w:r w:rsidRPr="00F71766">
        <w:rPr>
          <w:rFonts w:ascii="Palatino Linotype" w:hAnsi="Palatino Linotype"/>
          <w:i/>
        </w:rPr>
        <w:t xml:space="preserve">El sujeto obligado responsable del acto lo modifique o revoque de tal manera que el recurso de revisión quede sin materia; </w:t>
      </w:r>
    </w:p>
    <w:p w14:paraId="67CCBB8B" w14:textId="77777777" w:rsidR="00A36E30" w:rsidRPr="00F71766" w:rsidRDefault="00A36E30" w:rsidP="00A36E30">
      <w:pPr>
        <w:numPr>
          <w:ilvl w:val="0"/>
          <w:numId w:val="3"/>
        </w:numPr>
        <w:autoSpaceDE w:val="0"/>
        <w:autoSpaceDN w:val="0"/>
        <w:adjustRightInd w:val="0"/>
        <w:spacing w:after="0" w:line="240" w:lineRule="auto"/>
        <w:jc w:val="both"/>
        <w:rPr>
          <w:rFonts w:ascii="Palatino Linotype" w:hAnsi="Palatino Linotype" w:cs="Arial"/>
          <w:i/>
        </w:rPr>
      </w:pPr>
      <w:r w:rsidRPr="00F71766">
        <w:rPr>
          <w:rFonts w:ascii="Palatino Linotype" w:hAnsi="Palatino Linotype"/>
          <w:b/>
          <w:i/>
          <w:u w:val="single"/>
        </w:rPr>
        <w:t>Admitido el recurso de revisión, aparezca alguna causal de improcedencia en los términos de la presente Ley</w:t>
      </w:r>
      <w:r w:rsidRPr="00F71766">
        <w:rPr>
          <w:rFonts w:ascii="Palatino Linotype" w:hAnsi="Palatino Linotype"/>
          <w:i/>
        </w:rPr>
        <w:t xml:space="preserve">; y </w:t>
      </w:r>
    </w:p>
    <w:p w14:paraId="3443C3ED" w14:textId="77777777" w:rsidR="00A36E30" w:rsidRPr="00F71766" w:rsidRDefault="00A36E30" w:rsidP="00A36E30">
      <w:pPr>
        <w:numPr>
          <w:ilvl w:val="0"/>
          <w:numId w:val="3"/>
        </w:numPr>
        <w:autoSpaceDE w:val="0"/>
        <w:autoSpaceDN w:val="0"/>
        <w:adjustRightInd w:val="0"/>
        <w:spacing w:after="0" w:line="240" w:lineRule="auto"/>
        <w:jc w:val="both"/>
        <w:rPr>
          <w:rFonts w:ascii="Palatino Linotype" w:hAnsi="Palatino Linotype" w:cs="Arial"/>
          <w:i/>
        </w:rPr>
      </w:pPr>
      <w:r w:rsidRPr="00F71766">
        <w:rPr>
          <w:rFonts w:ascii="Palatino Linotype" w:hAnsi="Palatino Linotype"/>
          <w:i/>
        </w:rPr>
        <w:t>Cuando por cualquier motivo quede sin materia el recurso.”</w:t>
      </w:r>
    </w:p>
    <w:p w14:paraId="26C01B50" w14:textId="77777777" w:rsidR="00A36E30" w:rsidRPr="00F71766" w:rsidRDefault="00A36E30" w:rsidP="00A36E30">
      <w:pPr>
        <w:spacing w:line="360" w:lineRule="auto"/>
        <w:jc w:val="both"/>
        <w:rPr>
          <w:rFonts w:ascii="Palatino Linotype" w:hAnsi="Palatino Linotype" w:cs="Arial"/>
        </w:rPr>
      </w:pPr>
    </w:p>
    <w:p w14:paraId="32E49917" w14:textId="77777777" w:rsidR="00A36E30" w:rsidRPr="00F71766" w:rsidRDefault="00A36E30" w:rsidP="00A36E30">
      <w:pPr>
        <w:spacing w:before="240" w:after="240" w:line="360" w:lineRule="auto"/>
        <w:jc w:val="both"/>
        <w:rPr>
          <w:rFonts w:ascii="Palatino Linotype" w:hAnsi="Palatino Linotype"/>
          <w:sz w:val="24"/>
        </w:rPr>
      </w:pPr>
      <w:r w:rsidRPr="00F71766">
        <w:rPr>
          <w:rFonts w:ascii="Palatino Linotype" w:hAnsi="Palatino Linotype"/>
          <w:sz w:val="24"/>
        </w:rPr>
        <w:lastRenderedPageBreak/>
        <w:t xml:space="preserve">Por ello, en términos del artículo 191, fracción I de la Ley de Transparencia y Acceso a la Información Pública del Estado de México y Municipios, este Órgano Garante considera procedente </w:t>
      </w:r>
      <w:r w:rsidRPr="00F71766">
        <w:rPr>
          <w:rFonts w:ascii="Palatino Linotype" w:hAnsi="Palatino Linotype"/>
          <w:b/>
          <w:sz w:val="24"/>
        </w:rPr>
        <w:t xml:space="preserve">SOBRESEER </w:t>
      </w:r>
      <w:r w:rsidRPr="00F71766">
        <w:rPr>
          <w:rFonts w:ascii="Palatino Linotype" w:hAnsi="Palatino Linotype"/>
          <w:sz w:val="24"/>
        </w:rPr>
        <w:t>el presente recurso de revisión, toda vez que se actualiza la fracción IV del artículo 192 del citado ordenamiento legal.</w:t>
      </w:r>
    </w:p>
    <w:p w14:paraId="06D1D6B5" w14:textId="77777777" w:rsidR="00A36E30" w:rsidRPr="00F71766" w:rsidRDefault="00A36E30" w:rsidP="00A36E30">
      <w:pPr>
        <w:autoSpaceDE w:val="0"/>
        <w:autoSpaceDN w:val="0"/>
        <w:adjustRightInd w:val="0"/>
        <w:spacing w:line="360" w:lineRule="auto"/>
        <w:jc w:val="both"/>
        <w:rPr>
          <w:rFonts w:ascii="Palatino Linotype" w:hAnsi="Palatino Linotype"/>
          <w:sz w:val="24"/>
        </w:rPr>
      </w:pPr>
      <w:r w:rsidRPr="00F71766">
        <w:rPr>
          <w:rFonts w:ascii="Palatino Linotype" w:hAnsi="Palatino Linotype"/>
          <w:sz w:val="24"/>
        </w:rPr>
        <w:t>En este orden de ideas, es conducente colegir que en el presente Recurso de Revisión, se actualizó la causal de improcedencia prevista en la fracción I, del numeral 191, de la Ley de Transparencia y Acceso a la Información Pública del Estado de México y Municipios, en virtud que no se actualizó ningún supuesto de procedencia señalado en el ordenamiento en cita, en consecuencia, toda vez que las causales de improcedencia deben ser examinadas de oficio y si de dicho examen se actualiza una causal de improcedencia, por técnica jurídica, es de estudio preferente.</w:t>
      </w:r>
    </w:p>
    <w:p w14:paraId="3B269EF1" w14:textId="77777777" w:rsidR="00A36E30" w:rsidRPr="00F71766" w:rsidRDefault="00A36E30" w:rsidP="00A36E30">
      <w:pPr>
        <w:autoSpaceDE w:val="0"/>
        <w:autoSpaceDN w:val="0"/>
        <w:adjustRightInd w:val="0"/>
        <w:spacing w:line="360" w:lineRule="auto"/>
        <w:jc w:val="both"/>
        <w:rPr>
          <w:rFonts w:ascii="Palatino Linotype" w:hAnsi="Palatino Linotype"/>
        </w:rPr>
      </w:pPr>
    </w:p>
    <w:p w14:paraId="53AC5E70" w14:textId="77777777" w:rsidR="00A36E30" w:rsidRPr="00F71766" w:rsidRDefault="00A36E30" w:rsidP="00A36E30">
      <w:pPr>
        <w:spacing w:line="360" w:lineRule="auto"/>
        <w:ind w:right="49"/>
        <w:jc w:val="both"/>
        <w:rPr>
          <w:rFonts w:ascii="Palatino Linotype" w:hAnsi="Palatino Linotype" w:cs="Arial"/>
          <w:sz w:val="24"/>
        </w:rPr>
      </w:pPr>
      <w:r w:rsidRPr="00F71766">
        <w:rPr>
          <w:rFonts w:ascii="Palatino Linotype" w:hAnsi="Palatino Linotype" w:cs="Arial"/>
          <w:sz w:val="24"/>
        </w:rPr>
        <w:t xml:space="preserve">Sirve como criterio orientador, lo establecido en la Jurisprudencia 1ª./J 3/99 de la Novena Época, emitida por la Primera Sala de la Suprema Corte de Justicia de la Nación, publicada en el Semanario Judicial de la Federación y su Gaceta, que en lo conducente dispone: </w:t>
      </w:r>
    </w:p>
    <w:p w14:paraId="16AFD531" w14:textId="77777777" w:rsidR="00A36E30" w:rsidRPr="00F71766" w:rsidRDefault="00A36E30" w:rsidP="00A36E30">
      <w:pPr>
        <w:ind w:left="567" w:right="567"/>
        <w:jc w:val="both"/>
        <w:rPr>
          <w:rFonts w:ascii="Palatino Linotype" w:hAnsi="Palatino Linotype" w:cs="Arial"/>
          <w:i/>
          <w:szCs w:val="20"/>
        </w:rPr>
      </w:pPr>
      <w:r w:rsidRPr="00F71766">
        <w:rPr>
          <w:rFonts w:ascii="Palatino Linotype" w:hAnsi="Palatino Linotype" w:cs="Arial"/>
          <w:b/>
          <w:i/>
          <w:szCs w:val="20"/>
        </w:rPr>
        <w:t xml:space="preserve">“IMPROCEDENCIA. ESTUDIO PREFERENCIAL DE LAS CAUSALES PREVISTAS EN EL ARTÍCULO 73 DE LA LEY DE AMPARO. </w:t>
      </w:r>
      <w:r w:rsidRPr="00F71766">
        <w:rPr>
          <w:rFonts w:ascii="Palatino Linotype" w:hAnsi="Palatino Linotype" w:cs="Arial"/>
          <w:i/>
          <w:szCs w:val="20"/>
        </w:rPr>
        <w:t>De conformidad con lo dispuesto en el último párrafo del artículo 73 de la Ley de Amparo las causales de improcedencia deben ser examinadas de oficio y debe abordarse en cualquier instancia en que el juicio se encuentre; de tal manera que si en la revisión se advierte que existen otras causas de estudio preferente a la invocada por el Juez para sobreseer, habrán de analizarse, sin atender razonamiento alguno expresado por el recurrente…”</w:t>
      </w:r>
    </w:p>
    <w:p w14:paraId="72927EDB" w14:textId="77777777" w:rsidR="00A36E30" w:rsidRPr="00F71766" w:rsidRDefault="00A36E30" w:rsidP="00A36E30">
      <w:pPr>
        <w:autoSpaceDE w:val="0"/>
        <w:autoSpaceDN w:val="0"/>
        <w:adjustRightInd w:val="0"/>
        <w:spacing w:line="360" w:lineRule="auto"/>
        <w:jc w:val="both"/>
        <w:rPr>
          <w:rFonts w:ascii="Palatino Linotype" w:hAnsi="Palatino Linotype"/>
          <w:sz w:val="24"/>
        </w:rPr>
      </w:pPr>
    </w:p>
    <w:p w14:paraId="79199164" w14:textId="77777777" w:rsidR="00A36E30" w:rsidRPr="00F71766" w:rsidRDefault="00A36E30" w:rsidP="00A36E30">
      <w:pPr>
        <w:autoSpaceDE w:val="0"/>
        <w:autoSpaceDN w:val="0"/>
        <w:adjustRightInd w:val="0"/>
        <w:spacing w:line="360" w:lineRule="auto"/>
        <w:jc w:val="both"/>
        <w:rPr>
          <w:rFonts w:ascii="Palatino Linotype" w:hAnsi="Palatino Linotype"/>
          <w:b/>
          <w:sz w:val="24"/>
          <w:u w:val="single"/>
        </w:rPr>
      </w:pPr>
      <w:r w:rsidRPr="00F71766">
        <w:rPr>
          <w:rFonts w:ascii="Palatino Linotype" w:hAnsi="Palatino Linotype"/>
          <w:sz w:val="24"/>
        </w:rPr>
        <w:lastRenderedPageBreak/>
        <w:t xml:space="preserve">Es importante resaltar a manera de analogía que la Suprema Corte de Justicia de la Nación mediante el número 2 de la Serie </w:t>
      </w:r>
      <w:r w:rsidRPr="00F71766">
        <w:rPr>
          <w:rFonts w:ascii="Palatino Linotype" w:hAnsi="Palatino Linotype"/>
          <w:i/>
          <w:sz w:val="24"/>
        </w:rPr>
        <w:t xml:space="preserve">Estudios Introductorios sobre el Juicio de Amparo </w:t>
      </w:r>
      <w:r w:rsidRPr="00F71766">
        <w:rPr>
          <w:rFonts w:ascii="Palatino Linotype" w:hAnsi="Palatino Linotype"/>
          <w:sz w:val="24"/>
        </w:rPr>
        <w:t xml:space="preserve">relativo a </w:t>
      </w:r>
      <w:r w:rsidRPr="00F71766">
        <w:rPr>
          <w:rFonts w:ascii="Palatino Linotype" w:hAnsi="Palatino Linotype"/>
          <w:i/>
          <w:sz w:val="24"/>
        </w:rPr>
        <w:t xml:space="preserve">LA IMPROCEDENCIA DE LA ACCIÓN DE AMPARO </w:t>
      </w:r>
      <w:r w:rsidRPr="00F71766">
        <w:rPr>
          <w:rFonts w:ascii="Palatino Linotype" w:hAnsi="Palatino Linotype"/>
          <w:sz w:val="24"/>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F71766">
        <w:rPr>
          <w:rFonts w:ascii="Palatino Linotype" w:hAnsi="Palatino Linotype"/>
          <w:b/>
          <w:sz w:val="24"/>
          <w:u w:val="single"/>
        </w:rPr>
        <w:t>lo que generará que la demanda sea desechada; o bien, después de admitida la demanda, lo que tendrá como consecuencia que se sobresea en el juicio.</w:t>
      </w:r>
    </w:p>
    <w:p w14:paraId="64EB90A7" w14:textId="77777777" w:rsidR="00A36E30" w:rsidRPr="00F71766" w:rsidRDefault="00A36E30" w:rsidP="00A36E30">
      <w:pPr>
        <w:autoSpaceDE w:val="0"/>
        <w:autoSpaceDN w:val="0"/>
        <w:adjustRightInd w:val="0"/>
        <w:spacing w:line="360" w:lineRule="auto"/>
        <w:jc w:val="both"/>
        <w:rPr>
          <w:rFonts w:ascii="Palatino Linotype" w:hAnsi="Palatino Linotype"/>
          <w:b/>
          <w:sz w:val="24"/>
          <w:u w:val="single"/>
        </w:rPr>
      </w:pPr>
    </w:p>
    <w:p w14:paraId="3C194317" w14:textId="05BC099B" w:rsidR="00A36E30" w:rsidRPr="00F71766" w:rsidRDefault="00A36E30" w:rsidP="00A36E30">
      <w:pPr>
        <w:spacing w:line="360" w:lineRule="auto"/>
        <w:ind w:right="51"/>
        <w:jc w:val="both"/>
        <w:rPr>
          <w:rFonts w:ascii="Palatino Linotype" w:hAnsi="Palatino Linotype" w:cs="Arial"/>
          <w:bCs/>
          <w:sz w:val="24"/>
          <w:lang w:eastAsia="es-MX"/>
        </w:rPr>
      </w:pPr>
      <w:r w:rsidRPr="00F71766">
        <w:rPr>
          <w:rFonts w:ascii="Palatino Linotype" w:hAnsi="Palatino Linotype" w:cs="Arial"/>
          <w:sz w:val="24"/>
        </w:rPr>
        <w:t>En mérito de lo expuesto en líneas anteriores</w:t>
      </w:r>
      <w:r w:rsidRPr="00F71766">
        <w:rPr>
          <w:rFonts w:ascii="Palatino Linotype" w:hAnsi="Palatino Linotype"/>
          <w:noProof/>
          <w:sz w:val="24"/>
          <w:lang w:eastAsia="es-MX"/>
        </w:rPr>
        <w:t xml:space="preserve">, resultan improcedentes los motivos de inconformidad que arguye </w:t>
      </w:r>
      <w:r w:rsidRPr="00F71766">
        <w:rPr>
          <w:rFonts w:ascii="Palatino Linotype" w:hAnsi="Palatino Linotype"/>
          <w:b/>
          <w:noProof/>
          <w:sz w:val="24"/>
          <w:lang w:eastAsia="es-MX"/>
        </w:rPr>
        <w:t>el Recurrente</w:t>
      </w:r>
      <w:r w:rsidRPr="00F71766">
        <w:rPr>
          <w:rFonts w:ascii="Palatino Linotype" w:hAnsi="Palatino Linotype"/>
          <w:noProof/>
          <w:sz w:val="24"/>
          <w:lang w:eastAsia="es-MX"/>
        </w:rPr>
        <w:t xml:space="preserve"> en su medio de impugnación que fue materia de estudio, </w:t>
      </w:r>
      <w:r w:rsidRPr="00F71766">
        <w:rPr>
          <w:rFonts w:ascii="Palatino Linotype" w:hAnsi="Palatino Linotype" w:cs="Arial"/>
          <w:sz w:val="24"/>
        </w:rPr>
        <w:t xml:space="preserve">por ello con fundamento en el artículo 186, fracción I, en concordancia con el artículo 192, fracción IV, de la Ley de Transparencia y Acceso a la Información Pública del Estado de México y Municipios, se </w:t>
      </w:r>
      <w:r w:rsidRPr="00F71766">
        <w:rPr>
          <w:rFonts w:ascii="Palatino Linotype" w:hAnsi="Palatino Linotype" w:cs="Arial"/>
          <w:b/>
          <w:sz w:val="24"/>
        </w:rPr>
        <w:t>SOBRESEE</w:t>
      </w:r>
      <w:r w:rsidRPr="00F71766">
        <w:rPr>
          <w:rFonts w:ascii="Palatino Linotype" w:hAnsi="Palatino Linotype" w:cs="Arial"/>
          <w:sz w:val="24"/>
        </w:rPr>
        <w:t xml:space="preserve"> el recurso de revisión </w:t>
      </w:r>
      <w:r w:rsidR="003A14E0" w:rsidRPr="00F71766">
        <w:rPr>
          <w:rFonts w:ascii="Palatino Linotype" w:hAnsi="Palatino Linotype" w:cs="Arial"/>
          <w:b/>
          <w:bCs/>
          <w:sz w:val="24"/>
          <w:lang w:eastAsia="es-MX"/>
        </w:rPr>
        <w:t>09500</w:t>
      </w:r>
      <w:r w:rsidRPr="00F71766">
        <w:rPr>
          <w:rFonts w:ascii="Palatino Linotype" w:hAnsi="Palatino Linotype" w:cs="Arial"/>
          <w:b/>
          <w:bCs/>
          <w:sz w:val="24"/>
          <w:lang w:eastAsia="es-MX"/>
        </w:rPr>
        <w:t>/INFOEM/ICR-</w:t>
      </w:r>
      <w:r w:rsidR="003A14E0" w:rsidRPr="00F71766">
        <w:rPr>
          <w:rFonts w:ascii="Palatino Linotype" w:hAnsi="Palatino Linotype" w:cs="Arial"/>
          <w:b/>
          <w:bCs/>
          <w:sz w:val="24"/>
          <w:lang w:eastAsia="es-MX"/>
        </w:rPr>
        <w:t>63</w:t>
      </w:r>
      <w:r w:rsidRPr="00F71766">
        <w:rPr>
          <w:rFonts w:ascii="Palatino Linotype" w:hAnsi="Palatino Linotype" w:cs="Arial"/>
          <w:b/>
          <w:bCs/>
          <w:sz w:val="24"/>
          <w:lang w:eastAsia="es-MX"/>
        </w:rPr>
        <w:t>/IP/RR/2025</w:t>
      </w:r>
      <w:r w:rsidRPr="00F71766">
        <w:rPr>
          <w:rFonts w:ascii="Palatino Linotype" w:eastAsiaTheme="minorEastAsia" w:hAnsi="Palatino Linotype"/>
          <w:sz w:val="24"/>
          <w:lang w:val="es-ES_tradnl"/>
        </w:rPr>
        <w:t>,</w:t>
      </w:r>
      <w:r w:rsidRPr="00F71766">
        <w:rPr>
          <w:rFonts w:ascii="Palatino Linotype" w:eastAsiaTheme="minorEastAsia" w:hAnsi="Palatino Linotype"/>
          <w:b/>
          <w:sz w:val="24"/>
          <w:lang w:val="es-ES_tradnl"/>
        </w:rPr>
        <w:t xml:space="preserve"> </w:t>
      </w:r>
      <w:r w:rsidRPr="00F71766">
        <w:rPr>
          <w:rFonts w:ascii="Palatino Linotype" w:hAnsi="Palatino Linotype" w:cs="Arial"/>
          <w:bCs/>
          <w:sz w:val="24"/>
          <w:lang w:eastAsia="es-MX"/>
        </w:rPr>
        <w:t>que ha sido materia del presente fallo.</w:t>
      </w:r>
    </w:p>
    <w:p w14:paraId="302F9CD4" w14:textId="77777777" w:rsidR="00A36E30" w:rsidRPr="00F71766" w:rsidRDefault="00A36E30" w:rsidP="00A36E30">
      <w:pPr>
        <w:tabs>
          <w:tab w:val="left" w:pos="8931"/>
        </w:tabs>
        <w:spacing w:line="360" w:lineRule="auto"/>
        <w:ind w:right="51"/>
        <w:jc w:val="both"/>
        <w:rPr>
          <w:rFonts w:ascii="Palatino Linotype" w:hAnsi="Palatino Linotype"/>
          <w:sz w:val="24"/>
        </w:rPr>
      </w:pPr>
      <w:r w:rsidRPr="00F71766">
        <w:rPr>
          <w:rFonts w:ascii="Palatino Linotype" w:hAnsi="Palatino Linotype"/>
          <w:sz w:val="24"/>
        </w:rPr>
        <w:t>Por lo antes expuesto y fundado es de resolverse y,</w:t>
      </w:r>
    </w:p>
    <w:p w14:paraId="2DA031D4" w14:textId="77777777" w:rsidR="00A36E30" w:rsidRPr="00F71766" w:rsidRDefault="00A36E30" w:rsidP="00A36E30">
      <w:pPr>
        <w:tabs>
          <w:tab w:val="left" w:pos="8931"/>
        </w:tabs>
        <w:spacing w:line="360" w:lineRule="auto"/>
        <w:ind w:right="51"/>
        <w:jc w:val="both"/>
        <w:rPr>
          <w:rFonts w:ascii="Palatino Linotype" w:hAnsi="Palatino Linotype"/>
          <w:sz w:val="24"/>
        </w:rPr>
      </w:pPr>
    </w:p>
    <w:p w14:paraId="75A4706C" w14:textId="77777777" w:rsidR="00A36E30" w:rsidRPr="00F71766" w:rsidRDefault="00A36E30" w:rsidP="00A36E30">
      <w:pPr>
        <w:spacing w:line="360" w:lineRule="auto"/>
        <w:jc w:val="center"/>
        <w:rPr>
          <w:rFonts w:ascii="Palatino Linotype" w:hAnsi="Palatino Linotype"/>
          <w:b/>
          <w:bCs/>
          <w:spacing w:val="60"/>
          <w:sz w:val="28"/>
          <w:lang w:val="es-ES_tradnl"/>
        </w:rPr>
      </w:pPr>
      <w:r w:rsidRPr="00F71766">
        <w:rPr>
          <w:rFonts w:ascii="Palatino Linotype" w:hAnsi="Palatino Linotype"/>
          <w:b/>
          <w:bCs/>
          <w:spacing w:val="60"/>
          <w:sz w:val="28"/>
          <w:lang w:val="es-ES_tradnl"/>
        </w:rPr>
        <w:t>SE    RESUELVE</w:t>
      </w:r>
    </w:p>
    <w:p w14:paraId="4079DA58" w14:textId="77777777" w:rsidR="00A36E30" w:rsidRPr="00F71766" w:rsidRDefault="00A36E30" w:rsidP="00A36E30">
      <w:pPr>
        <w:spacing w:line="360" w:lineRule="auto"/>
        <w:jc w:val="center"/>
        <w:rPr>
          <w:rFonts w:ascii="Palatino Linotype" w:hAnsi="Palatino Linotype"/>
          <w:b/>
          <w:bCs/>
          <w:spacing w:val="60"/>
          <w:lang w:val="es-ES_tradnl"/>
        </w:rPr>
      </w:pPr>
    </w:p>
    <w:p w14:paraId="1DBA263B" w14:textId="5874B23B" w:rsidR="00A36E30" w:rsidRPr="00F71766" w:rsidRDefault="00A36E30" w:rsidP="00A36E30">
      <w:pPr>
        <w:spacing w:line="360" w:lineRule="auto"/>
        <w:jc w:val="both"/>
        <w:rPr>
          <w:rFonts w:ascii="Palatino Linotype" w:eastAsiaTheme="minorEastAsia" w:hAnsi="Palatino Linotype"/>
          <w:sz w:val="24"/>
          <w:lang w:val="es-ES_tradnl"/>
        </w:rPr>
      </w:pPr>
      <w:r w:rsidRPr="00F71766">
        <w:rPr>
          <w:rFonts w:ascii="Palatino Linotype" w:hAnsi="Palatino Linotype"/>
          <w:b/>
          <w:bCs/>
          <w:sz w:val="28"/>
          <w:lang w:eastAsia="es-MX"/>
        </w:rPr>
        <w:lastRenderedPageBreak/>
        <w:t>PRIMERO</w:t>
      </w:r>
      <w:r w:rsidRPr="00F71766">
        <w:rPr>
          <w:rFonts w:ascii="Palatino Linotype" w:hAnsi="Palatino Linotype"/>
          <w:sz w:val="28"/>
          <w:lang w:eastAsia="es-MX"/>
        </w:rPr>
        <w:t xml:space="preserve">. </w:t>
      </w:r>
      <w:r w:rsidRPr="00F71766">
        <w:rPr>
          <w:rFonts w:ascii="Palatino Linotype" w:hAnsi="Palatino Linotype" w:cs="Arial"/>
          <w:sz w:val="24"/>
          <w:lang w:val="es-ES_tradnl"/>
        </w:rPr>
        <w:t xml:space="preserve">Se </w:t>
      </w:r>
      <w:r w:rsidRPr="00F71766">
        <w:rPr>
          <w:rFonts w:ascii="Palatino Linotype" w:hAnsi="Palatino Linotype" w:cs="Arial"/>
          <w:b/>
          <w:sz w:val="24"/>
          <w:lang w:val="es-ES_tradnl"/>
        </w:rPr>
        <w:t>SOBRESEE</w:t>
      </w:r>
      <w:r w:rsidRPr="00F71766">
        <w:rPr>
          <w:rFonts w:ascii="Palatino Linotype" w:hAnsi="Palatino Linotype" w:cs="Arial"/>
          <w:sz w:val="24"/>
          <w:lang w:val="es-ES_tradnl"/>
        </w:rPr>
        <w:t xml:space="preserve"> el recurso de revisión número </w:t>
      </w:r>
      <w:r w:rsidR="003A14E0" w:rsidRPr="00F71766">
        <w:rPr>
          <w:rFonts w:ascii="Palatino Linotype" w:hAnsi="Palatino Linotype" w:cs="Arial"/>
          <w:b/>
          <w:bCs/>
          <w:sz w:val="24"/>
          <w:lang w:eastAsia="es-MX"/>
        </w:rPr>
        <w:t>09500</w:t>
      </w:r>
      <w:r w:rsidRPr="00F71766">
        <w:rPr>
          <w:rFonts w:ascii="Palatino Linotype" w:hAnsi="Palatino Linotype" w:cs="Arial"/>
          <w:b/>
          <w:bCs/>
          <w:sz w:val="24"/>
          <w:lang w:eastAsia="es-MX"/>
        </w:rPr>
        <w:t>/INFOEM/ICR-</w:t>
      </w:r>
      <w:r w:rsidR="003A14E0" w:rsidRPr="00F71766">
        <w:rPr>
          <w:rFonts w:ascii="Palatino Linotype" w:hAnsi="Palatino Linotype" w:cs="Arial"/>
          <w:b/>
          <w:bCs/>
          <w:sz w:val="24"/>
          <w:lang w:eastAsia="es-MX"/>
        </w:rPr>
        <w:t>6</w:t>
      </w:r>
      <w:r w:rsidRPr="00F71766">
        <w:rPr>
          <w:rFonts w:ascii="Palatino Linotype" w:hAnsi="Palatino Linotype" w:cs="Arial"/>
          <w:b/>
          <w:bCs/>
          <w:sz w:val="24"/>
          <w:lang w:eastAsia="es-MX"/>
        </w:rPr>
        <w:t>3/IP/RR/2025</w:t>
      </w:r>
      <w:r w:rsidRPr="00F71766">
        <w:rPr>
          <w:rFonts w:ascii="Palatino Linotype" w:eastAsiaTheme="minorEastAsia" w:hAnsi="Palatino Linotype"/>
          <w:sz w:val="24"/>
          <w:lang w:val="es-ES_tradnl"/>
        </w:rPr>
        <w:t xml:space="preserve">, por improcedente en términos de los artículos 191, fracción I y 192, fracción IV, de la Ley de Transparencia y Acceso a la Información Pública del Estado de México y Municipios, y en términos del Considerando </w:t>
      </w:r>
      <w:r w:rsidRPr="00F71766">
        <w:rPr>
          <w:rFonts w:ascii="Palatino Linotype" w:eastAsiaTheme="minorEastAsia" w:hAnsi="Palatino Linotype"/>
          <w:b/>
          <w:sz w:val="24"/>
          <w:lang w:val="es-ES_tradnl"/>
        </w:rPr>
        <w:t>TERCERO</w:t>
      </w:r>
      <w:r w:rsidRPr="00F71766">
        <w:rPr>
          <w:rFonts w:ascii="Palatino Linotype" w:eastAsiaTheme="minorEastAsia" w:hAnsi="Palatino Linotype"/>
          <w:sz w:val="24"/>
          <w:lang w:val="es-ES_tradnl"/>
        </w:rPr>
        <w:t xml:space="preserve"> de la presente resolución.</w:t>
      </w:r>
    </w:p>
    <w:p w14:paraId="09596B1F" w14:textId="77777777" w:rsidR="00A36E30" w:rsidRPr="00F71766" w:rsidRDefault="00A36E30" w:rsidP="00A36E30">
      <w:pPr>
        <w:spacing w:line="360" w:lineRule="auto"/>
        <w:jc w:val="both"/>
        <w:rPr>
          <w:rFonts w:ascii="Palatino Linotype" w:eastAsiaTheme="minorEastAsia" w:hAnsi="Palatino Linotype"/>
          <w:lang w:val="es-ES_tradnl"/>
        </w:rPr>
      </w:pPr>
    </w:p>
    <w:p w14:paraId="466F34E4" w14:textId="77777777" w:rsidR="00A36E30" w:rsidRPr="00F71766" w:rsidRDefault="00A36E30" w:rsidP="00A36E30">
      <w:pPr>
        <w:spacing w:line="360" w:lineRule="auto"/>
        <w:jc w:val="both"/>
        <w:rPr>
          <w:rFonts w:ascii="Palatino Linotype" w:hAnsi="Palatino Linotype"/>
          <w:sz w:val="24"/>
        </w:rPr>
      </w:pPr>
      <w:r w:rsidRPr="00F71766">
        <w:rPr>
          <w:rFonts w:ascii="Palatino Linotype" w:hAnsi="Palatino Linotype"/>
          <w:b/>
          <w:sz w:val="28"/>
        </w:rPr>
        <w:t>SEGUNDO.</w:t>
      </w:r>
      <w:r w:rsidRPr="00F71766">
        <w:rPr>
          <w:rFonts w:ascii="Palatino Linotype" w:hAnsi="Palatino Linotype" w:cs="Arial"/>
          <w:sz w:val="28"/>
        </w:rPr>
        <w:t xml:space="preserve"> </w:t>
      </w:r>
      <w:r w:rsidRPr="00F71766">
        <w:rPr>
          <w:rFonts w:ascii="Palatino Linotype" w:hAnsi="Palatino Linotype"/>
          <w:b/>
          <w:sz w:val="24"/>
        </w:rPr>
        <w:t>NOTIFÍQUESE</w:t>
      </w:r>
      <w:r w:rsidRPr="00F71766">
        <w:rPr>
          <w:rFonts w:ascii="Palatino Linotype" w:hAnsi="Palatino Linotype"/>
          <w:sz w:val="24"/>
        </w:rPr>
        <w:t xml:space="preserve"> vía Sistema de Acceso a la Información Mexiquense </w:t>
      </w:r>
      <w:r w:rsidRPr="00F71766">
        <w:rPr>
          <w:rFonts w:ascii="Palatino Linotype" w:hAnsi="Palatino Linotype"/>
          <w:b/>
          <w:sz w:val="24"/>
        </w:rPr>
        <w:t>(SAIMEX)</w:t>
      </w:r>
      <w:r w:rsidRPr="00F71766">
        <w:rPr>
          <w:rFonts w:ascii="Palatino Linotype" w:hAnsi="Palatino Linotype"/>
          <w:sz w:val="24"/>
        </w:rPr>
        <w:t xml:space="preserve">, la presente resolución al Titular de la Unidad de Transparencia del </w:t>
      </w:r>
      <w:r w:rsidRPr="00F71766">
        <w:rPr>
          <w:rFonts w:ascii="Palatino Linotype" w:hAnsi="Palatino Linotype"/>
          <w:b/>
          <w:sz w:val="24"/>
        </w:rPr>
        <w:t>Sujeto Obligado</w:t>
      </w:r>
      <w:r w:rsidRPr="00F71766">
        <w:rPr>
          <w:rFonts w:ascii="Palatino Linotype" w:hAnsi="Palatino Linotype"/>
          <w:sz w:val="24"/>
        </w:rPr>
        <w:t>.</w:t>
      </w:r>
    </w:p>
    <w:p w14:paraId="334CE43F" w14:textId="77777777" w:rsidR="00A36E30" w:rsidRPr="00F71766" w:rsidRDefault="00A36E30" w:rsidP="00A36E30">
      <w:pPr>
        <w:spacing w:line="360" w:lineRule="auto"/>
        <w:jc w:val="both"/>
        <w:rPr>
          <w:rFonts w:ascii="Palatino Linotype" w:hAnsi="Palatino Linotype"/>
        </w:rPr>
      </w:pPr>
    </w:p>
    <w:p w14:paraId="27DD216D" w14:textId="77777777" w:rsidR="00A36E30" w:rsidRPr="00F71766" w:rsidRDefault="00A36E30" w:rsidP="00A36E30">
      <w:pPr>
        <w:spacing w:line="360" w:lineRule="auto"/>
        <w:jc w:val="both"/>
        <w:rPr>
          <w:rFonts w:ascii="Palatino Linotype" w:hAnsi="Palatino Linotype"/>
        </w:rPr>
      </w:pPr>
      <w:r w:rsidRPr="00F71766">
        <w:rPr>
          <w:rFonts w:ascii="Palatino Linotype" w:hAnsi="Palatino Linotype" w:cs="Arial"/>
          <w:b/>
          <w:sz w:val="28"/>
        </w:rPr>
        <w:t xml:space="preserve">TERCERO. </w:t>
      </w:r>
      <w:r w:rsidRPr="00F71766">
        <w:rPr>
          <w:rFonts w:ascii="Palatino Linotype" w:hAnsi="Palatino Linotype"/>
          <w:b/>
          <w:sz w:val="24"/>
        </w:rPr>
        <w:t>NOTIFÍQUESE</w:t>
      </w:r>
      <w:r w:rsidRPr="00F71766">
        <w:rPr>
          <w:rFonts w:ascii="Palatino Linotype" w:hAnsi="Palatino Linotype"/>
          <w:sz w:val="24"/>
        </w:rPr>
        <w:t xml:space="preserve"> al </w:t>
      </w:r>
      <w:r w:rsidRPr="00F71766">
        <w:rPr>
          <w:rFonts w:ascii="Palatino Linotype" w:hAnsi="Palatino Linotype"/>
          <w:b/>
          <w:sz w:val="24"/>
        </w:rPr>
        <w:t xml:space="preserve">Recurrente </w:t>
      </w:r>
      <w:r w:rsidRPr="00F71766">
        <w:rPr>
          <w:rFonts w:ascii="Palatino Linotype" w:hAnsi="Palatino Linotype"/>
          <w:sz w:val="24"/>
        </w:rPr>
        <w:t xml:space="preserve">la presente resolución vía Sistema de Acceso a la Información Mexiquense </w:t>
      </w:r>
      <w:r w:rsidRPr="00F71766">
        <w:rPr>
          <w:rFonts w:ascii="Palatino Linotype" w:hAnsi="Palatino Linotype"/>
          <w:b/>
          <w:sz w:val="24"/>
        </w:rPr>
        <w:t>(SAIMEX)</w:t>
      </w:r>
      <w:r w:rsidRPr="00F71766">
        <w:rPr>
          <w:rFonts w:ascii="Palatino Linotype" w:hAnsi="Palatino Linotype"/>
          <w:sz w:val="24"/>
        </w:rPr>
        <w:t xml:space="preserve">, y </w:t>
      </w:r>
      <w:r w:rsidRPr="00F71766">
        <w:rPr>
          <w:rFonts w:ascii="Palatino Linotype" w:hAnsi="Palatino Linotype" w:cs="Arial"/>
          <w:sz w:val="24"/>
        </w:rPr>
        <w:t>hágase</w:t>
      </w:r>
      <w:r w:rsidRPr="00F71766">
        <w:rPr>
          <w:rFonts w:ascii="Palatino Linotype" w:hAnsi="Palatino Linotype"/>
          <w:sz w:val="24"/>
        </w:rPr>
        <w:t xml:space="preserve"> de su conocimiento que en caso de que considere que le cause algún perjuicio la presente resolución, podrá promover el Juicio de Amparo en los términos de las leyes aplicables, de acuerdo a lo estipulado por el artículo 196, de la Ley de Transparencia y Acceso a la Información Pública del Estado de México y Municipios.</w:t>
      </w:r>
    </w:p>
    <w:p w14:paraId="78ED617B" w14:textId="77777777" w:rsidR="009C7F77" w:rsidRPr="00F71766" w:rsidRDefault="009C7F77" w:rsidP="00A36E30">
      <w:pPr>
        <w:autoSpaceDE w:val="0"/>
        <w:autoSpaceDN w:val="0"/>
        <w:adjustRightInd w:val="0"/>
        <w:spacing w:after="0" w:line="360" w:lineRule="auto"/>
        <w:ind w:right="49"/>
        <w:jc w:val="both"/>
        <w:rPr>
          <w:rFonts w:ascii="Palatino Linotype" w:hAnsi="Palatino Linotype" w:cs="Arial"/>
          <w:sz w:val="24"/>
          <w:szCs w:val="24"/>
          <w:lang w:val="es-ES"/>
        </w:rPr>
      </w:pPr>
    </w:p>
    <w:p w14:paraId="72CDE2F9" w14:textId="142E1E20" w:rsidR="00A36E30" w:rsidRPr="00F71766" w:rsidRDefault="00A36E30" w:rsidP="00A36E30">
      <w:pPr>
        <w:spacing w:after="0" w:line="360" w:lineRule="auto"/>
        <w:jc w:val="both"/>
        <w:rPr>
          <w:rFonts w:ascii="Palatino Linotype" w:hAnsi="Palatino Linotype" w:cs="Arial"/>
          <w:sz w:val="24"/>
          <w:szCs w:val="24"/>
        </w:rPr>
      </w:pPr>
      <w:r w:rsidRPr="00F71766">
        <w:rPr>
          <w:rFonts w:ascii="Palatino Linotype" w:hAnsi="Palatino Linotype" w:cs="Arial"/>
          <w:sz w:val="24"/>
          <w:szCs w:val="24"/>
        </w:rPr>
        <w:t xml:space="preserve">ASÍ LO RESUELVE, </w:t>
      </w:r>
      <w:r w:rsidRPr="00F71766">
        <w:rPr>
          <w:rFonts w:ascii="Palatino Linotype" w:hAnsi="Palatino Linotype" w:cs="Arial"/>
          <w:b/>
          <w:bCs/>
          <w:sz w:val="24"/>
          <w:szCs w:val="24"/>
        </w:rPr>
        <w:t>POR UNANIMIDAD DE VOTOS</w:t>
      </w:r>
      <w:r w:rsidRPr="00F71766">
        <w:rPr>
          <w:rFonts w:ascii="Palatino Linotype" w:hAnsi="Palatino Linotype" w:cs="Arial"/>
          <w:sz w:val="24"/>
          <w:szCs w:val="24"/>
        </w:rPr>
        <w:t xml:space="preserve"> EL PLENO DEL</w:t>
      </w:r>
      <w:r w:rsidRPr="00F71766">
        <w:rPr>
          <w:rFonts w:ascii="Palatino Linotype" w:eastAsia="Arial Unicode MS" w:hAnsi="Palatino Linotype" w:cs="Arial"/>
          <w:sz w:val="24"/>
          <w:szCs w:val="24"/>
        </w:rPr>
        <w:t xml:space="preserve"> INSTITUTO DE TRANSPARENCIA, ACCESO A LA INFORMACIÓN PÚBLICA Y PROTECCIÓN DE DATOS PERSONALES DEL ESTADO DE MÉXICO Y MUNICIPIOS</w:t>
      </w:r>
      <w:r w:rsidRPr="00F71766">
        <w:rPr>
          <w:rFonts w:ascii="Palatino Linotype" w:hAnsi="Palatino Linotype" w:cs="Arial"/>
          <w:sz w:val="24"/>
          <w:szCs w:val="24"/>
        </w:rPr>
        <w:t>, CONFORMADO POR LOS COMISIONADOS JOSÉ MARTÍNEZ VILCHIS, MARÍA DEL ROSARIO MEJÍA AYALA, SHARON CRISTINA MORALES MARTÍNEZ, LUIS GUSTAVO PARRA NORIEGA Y GUADALUPE RAMÍREZ PEÑA</w:t>
      </w:r>
      <w:r w:rsidRPr="00F71766">
        <w:rPr>
          <w:rFonts w:ascii="Palatino Linotype" w:hAnsi="Palatino Linotype" w:cs="Arial"/>
          <w:b/>
          <w:bCs/>
          <w:sz w:val="24"/>
          <w:szCs w:val="24"/>
        </w:rPr>
        <w:t xml:space="preserve">, EN LA </w:t>
      </w:r>
      <w:r w:rsidR="00DF093E" w:rsidRPr="00F71766">
        <w:rPr>
          <w:rFonts w:ascii="Palatino Linotype" w:hAnsi="Palatino Linotype" w:cs="Arial"/>
          <w:b/>
          <w:bCs/>
          <w:sz w:val="24"/>
          <w:szCs w:val="24"/>
        </w:rPr>
        <w:t>OCTAVA</w:t>
      </w:r>
      <w:r w:rsidRPr="00F71766">
        <w:rPr>
          <w:rFonts w:ascii="Palatino Linotype" w:hAnsi="Palatino Linotype" w:cs="Arial"/>
          <w:b/>
          <w:bCs/>
          <w:sz w:val="24"/>
          <w:szCs w:val="24"/>
        </w:rPr>
        <w:t xml:space="preserve"> </w:t>
      </w:r>
      <w:r w:rsidRPr="00F71766">
        <w:rPr>
          <w:rFonts w:ascii="Palatino Linotype" w:hAnsi="Palatino Linotype" w:cs="Arial"/>
          <w:b/>
          <w:bCs/>
          <w:sz w:val="24"/>
          <w:szCs w:val="24"/>
        </w:rPr>
        <w:lastRenderedPageBreak/>
        <w:t xml:space="preserve">SESIÓN ORDINARIA CELEBRADA EL </w:t>
      </w:r>
      <w:r w:rsidR="00DF093E" w:rsidRPr="00F71766">
        <w:rPr>
          <w:rFonts w:ascii="Palatino Linotype" w:hAnsi="Palatino Linotype" w:cs="Arial"/>
          <w:b/>
          <w:bCs/>
          <w:sz w:val="24"/>
          <w:szCs w:val="24"/>
        </w:rPr>
        <w:t>CINCO DE MARZO DE DOS MIL VEINTISÉIS</w:t>
      </w:r>
      <w:r w:rsidRPr="00F71766">
        <w:rPr>
          <w:rFonts w:ascii="Palatino Linotype" w:hAnsi="Palatino Linotype" w:cs="Arial"/>
          <w:b/>
          <w:bCs/>
          <w:sz w:val="24"/>
          <w:szCs w:val="24"/>
        </w:rPr>
        <w:t>, ANTE EL SECRETARIO TÉCNICO DEL PLENO, ALEXIS TAPIA RAMÍREZ</w:t>
      </w:r>
      <w:r w:rsidRPr="00F71766">
        <w:rPr>
          <w:rFonts w:ascii="Palatino Linotype" w:hAnsi="Palatino Linotype" w:cs="Arial"/>
          <w:sz w:val="24"/>
          <w:szCs w:val="24"/>
        </w:rPr>
        <w:t>. ----------------------------------------------------------------------------</w:t>
      </w:r>
      <w:r w:rsidR="004D43F9" w:rsidRPr="00F71766">
        <w:rPr>
          <w:rFonts w:ascii="Palatino Linotype" w:hAnsi="Palatino Linotype" w:cs="Arial"/>
          <w:sz w:val="24"/>
          <w:szCs w:val="24"/>
        </w:rPr>
        <w:t>---------------------</w:t>
      </w:r>
    </w:p>
    <w:p w14:paraId="5F896C88" w14:textId="77777777" w:rsidR="00A36E30" w:rsidRPr="00F71766" w:rsidRDefault="00A36E30" w:rsidP="00A36E30">
      <w:pPr>
        <w:spacing w:after="0" w:line="360" w:lineRule="auto"/>
        <w:jc w:val="both"/>
        <w:rPr>
          <w:rFonts w:ascii="Palatino Linotype" w:hAnsi="Palatino Linotype" w:cs="Arial"/>
          <w:sz w:val="24"/>
          <w:szCs w:val="24"/>
        </w:rPr>
      </w:pPr>
      <w:r w:rsidRPr="00F71766">
        <w:rPr>
          <w:rFonts w:ascii="Palatino Linotype" w:hAnsi="Palatino Linotype" w:cs="Arial"/>
          <w:sz w:val="24"/>
          <w:szCs w:val="24"/>
        </w:rPr>
        <w:t>-----------------------------------------------------------------------------------------------------------------</w:t>
      </w:r>
    </w:p>
    <w:p w14:paraId="361583D6" w14:textId="77777777" w:rsidR="00A36E30" w:rsidRPr="00F71766" w:rsidRDefault="00A36E30" w:rsidP="00A36E30">
      <w:pPr>
        <w:spacing w:after="0" w:line="360" w:lineRule="auto"/>
        <w:jc w:val="both"/>
        <w:rPr>
          <w:rFonts w:ascii="Palatino Linotype" w:hAnsi="Palatino Linotype" w:cs="Arial"/>
          <w:sz w:val="24"/>
          <w:szCs w:val="24"/>
        </w:rPr>
      </w:pPr>
      <w:r w:rsidRPr="00F71766">
        <w:rPr>
          <w:rFonts w:ascii="Palatino Linotype" w:hAnsi="Palatino Linotype" w:cs="Arial"/>
          <w:sz w:val="24"/>
          <w:szCs w:val="24"/>
        </w:rPr>
        <w:t>-----------------------------------------------------------------------------------------------------------------</w:t>
      </w:r>
    </w:p>
    <w:p w14:paraId="726F67D4" w14:textId="77777777" w:rsidR="00A36E30" w:rsidRPr="00F71766" w:rsidRDefault="00A36E30" w:rsidP="00A36E30">
      <w:pPr>
        <w:spacing w:after="0" w:line="360" w:lineRule="auto"/>
        <w:jc w:val="both"/>
        <w:rPr>
          <w:rFonts w:ascii="Palatino Linotype" w:hAnsi="Palatino Linotype" w:cs="Arial"/>
          <w:sz w:val="24"/>
          <w:szCs w:val="24"/>
        </w:rPr>
      </w:pPr>
      <w:r w:rsidRPr="00F71766">
        <w:rPr>
          <w:rFonts w:ascii="Palatino Linotype" w:hAnsi="Palatino Linotype" w:cs="Arial"/>
          <w:sz w:val="24"/>
          <w:szCs w:val="24"/>
        </w:rPr>
        <w:t>-----------------------------------------------------------------------------------------------------------------</w:t>
      </w:r>
    </w:p>
    <w:p w14:paraId="36EF2DF9" w14:textId="77777777" w:rsidR="00A36E30" w:rsidRPr="00F71766" w:rsidRDefault="00A36E30" w:rsidP="00A36E30">
      <w:pPr>
        <w:spacing w:after="0" w:line="360" w:lineRule="auto"/>
        <w:jc w:val="both"/>
        <w:rPr>
          <w:rFonts w:ascii="Palatino Linotype" w:hAnsi="Palatino Linotype" w:cs="Arial"/>
          <w:sz w:val="24"/>
          <w:szCs w:val="24"/>
        </w:rPr>
      </w:pPr>
      <w:r w:rsidRPr="00F71766">
        <w:rPr>
          <w:rFonts w:ascii="Palatino Linotype" w:hAnsi="Palatino Linotype" w:cs="Arial"/>
          <w:sz w:val="24"/>
          <w:szCs w:val="24"/>
        </w:rPr>
        <w:t>-----------------------------------------------------------------------------------------------------------------</w:t>
      </w:r>
    </w:p>
    <w:p w14:paraId="10C369F9" w14:textId="77777777" w:rsidR="00A36E30" w:rsidRPr="00F71766" w:rsidRDefault="00A36E30" w:rsidP="00A36E30">
      <w:pPr>
        <w:spacing w:after="0" w:line="360" w:lineRule="auto"/>
        <w:jc w:val="both"/>
        <w:rPr>
          <w:rFonts w:ascii="Palatino Linotype" w:hAnsi="Palatino Linotype" w:cs="Arial"/>
          <w:sz w:val="24"/>
          <w:szCs w:val="24"/>
        </w:rPr>
      </w:pPr>
      <w:r w:rsidRPr="00F71766">
        <w:rPr>
          <w:rFonts w:ascii="Palatino Linotype" w:hAnsi="Palatino Linotype" w:cs="Arial"/>
          <w:sz w:val="24"/>
          <w:szCs w:val="24"/>
        </w:rPr>
        <w:t>-----------------------------------------------------------------------------------------------------------------</w:t>
      </w:r>
    </w:p>
    <w:p w14:paraId="33C537FF" w14:textId="77777777" w:rsidR="00A36E30" w:rsidRPr="00F71766" w:rsidRDefault="00A36E30" w:rsidP="00A36E30">
      <w:pPr>
        <w:spacing w:after="0" w:line="360" w:lineRule="auto"/>
        <w:jc w:val="both"/>
        <w:rPr>
          <w:rFonts w:ascii="Palatino Linotype" w:hAnsi="Palatino Linotype" w:cs="Arial"/>
          <w:sz w:val="24"/>
          <w:szCs w:val="24"/>
        </w:rPr>
      </w:pPr>
      <w:r w:rsidRPr="00F71766">
        <w:rPr>
          <w:rFonts w:ascii="Palatino Linotype" w:hAnsi="Palatino Linotype" w:cs="Arial"/>
          <w:sz w:val="24"/>
          <w:szCs w:val="24"/>
        </w:rPr>
        <w:t>-----------------------------------------------------------------------------------------------------------------</w:t>
      </w:r>
    </w:p>
    <w:p w14:paraId="3001F081" w14:textId="77777777" w:rsidR="00A36E30" w:rsidRPr="00F71766" w:rsidRDefault="00A36E30" w:rsidP="00A36E30">
      <w:pPr>
        <w:spacing w:after="0" w:line="360" w:lineRule="auto"/>
        <w:jc w:val="both"/>
        <w:rPr>
          <w:rFonts w:ascii="Palatino Linotype" w:hAnsi="Palatino Linotype" w:cs="Arial"/>
          <w:sz w:val="24"/>
          <w:szCs w:val="24"/>
        </w:rPr>
      </w:pPr>
      <w:r w:rsidRPr="00F71766">
        <w:rPr>
          <w:rFonts w:ascii="Palatino Linotype" w:hAnsi="Palatino Linotype" w:cs="Arial"/>
          <w:sz w:val="24"/>
          <w:szCs w:val="24"/>
        </w:rPr>
        <w:t>-----------------------------------------------------------------------------------------------------------------</w:t>
      </w:r>
    </w:p>
    <w:p w14:paraId="5574478C" w14:textId="77777777" w:rsidR="00A36E30" w:rsidRPr="005323D1" w:rsidRDefault="00A36E30" w:rsidP="00A36E30">
      <w:pPr>
        <w:spacing w:after="0" w:line="360" w:lineRule="auto"/>
        <w:jc w:val="both"/>
        <w:rPr>
          <w:rFonts w:ascii="Palatino Linotype" w:hAnsi="Palatino Linotype" w:cs="Arial"/>
          <w:sz w:val="20"/>
        </w:rPr>
      </w:pPr>
      <w:r w:rsidRPr="00F71766">
        <w:rPr>
          <w:rFonts w:ascii="Palatino Linotype" w:hAnsi="Palatino Linotype" w:cs="Arial"/>
          <w:sz w:val="20"/>
        </w:rPr>
        <w:t>CCR/NJMB</w:t>
      </w:r>
    </w:p>
    <w:p w14:paraId="68E9B906" w14:textId="77777777" w:rsidR="00A36E30" w:rsidRDefault="00A36E30" w:rsidP="00A36E30">
      <w:pPr>
        <w:spacing w:after="0" w:line="360" w:lineRule="auto"/>
        <w:jc w:val="both"/>
        <w:rPr>
          <w:rFonts w:ascii="Palatino Linotype" w:hAnsi="Palatino Linotype" w:cs="Arial"/>
          <w:sz w:val="24"/>
          <w:szCs w:val="24"/>
        </w:rPr>
      </w:pPr>
    </w:p>
    <w:p w14:paraId="696BFBFC" w14:textId="77777777" w:rsidR="00A36E30" w:rsidRDefault="00A36E30" w:rsidP="00A36E30">
      <w:pPr>
        <w:spacing w:after="0" w:line="360" w:lineRule="auto"/>
        <w:jc w:val="both"/>
        <w:rPr>
          <w:rFonts w:ascii="Palatino Linotype" w:hAnsi="Palatino Linotype" w:cs="Arial"/>
          <w:sz w:val="24"/>
          <w:szCs w:val="24"/>
        </w:rPr>
      </w:pPr>
    </w:p>
    <w:p w14:paraId="6EAEE675" w14:textId="77777777" w:rsidR="00A36E30" w:rsidRDefault="00A36E30" w:rsidP="00A36E30">
      <w:pPr>
        <w:spacing w:after="0" w:line="360" w:lineRule="auto"/>
        <w:jc w:val="both"/>
        <w:rPr>
          <w:rFonts w:ascii="Palatino Linotype" w:hAnsi="Palatino Linotype" w:cs="Arial"/>
          <w:sz w:val="24"/>
          <w:szCs w:val="24"/>
        </w:rPr>
      </w:pPr>
    </w:p>
    <w:p w14:paraId="46CC16A2" w14:textId="77777777" w:rsidR="00A36E30" w:rsidRDefault="00A36E30" w:rsidP="00A36E30">
      <w:pPr>
        <w:spacing w:after="0"/>
      </w:pPr>
    </w:p>
    <w:p w14:paraId="1E8D0FB5" w14:textId="77777777" w:rsidR="00A36E30" w:rsidRDefault="00A36E30" w:rsidP="00A36E30">
      <w:pPr>
        <w:spacing w:after="0"/>
      </w:pPr>
    </w:p>
    <w:p w14:paraId="24A057D7" w14:textId="77777777" w:rsidR="00A36E30" w:rsidRDefault="00A36E30" w:rsidP="00A36E30">
      <w:pPr>
        <w:spacing w:after="0"/>
      </w:pPr>
    </w:p>
    <w:p w14:paraId="365698B7" w14:textId="77777777" w:rsidR="00A36E30" w:rsidRDefault="00A36E30" w:rsidP="00A36E30">
      <w:pPr>
        <w:spacing w:after="0"/>
      </w:pPr>
    </w:p>
    <w:p w14:paraId="332D7481" w14:textId="77777777" w:rsidR="00A36E30" w:rsidRDefault="00A36E30" w:rsidP="00A36E30">
      <w:pPr>
        <w:spacing w:after="0"/>
      </w:pPr>
    </w:p>
    <w:p w14:paraId="71DB5266" w14:textId="77777777" w:rsidR="00A36E30" w:rsidRDefault="00A36E30" w:rsidP="00A36E30">
      <w:pPr>
        <w:spacing w:after="0"/>
      </w:pPr>
    </w:p>
    <w:p w14:paraId="05F51595" w14:textId="77777777" w:rsidR="00A36E30" w:rsidRDefault="00A36E30" w:rsidP="00A36E30">
      <w:pPr>
        <w:spacing w:after="0"/>
      </w:pPr>
    </w:p>
    <w:p w14:paraId="2649B8CB" w14:textId="77777777" w:rsidR="00A36E30" w:rsidRDefault="00A36E30" w:rsidP="00A36E30">
      <w:pPr>
        <w:spacing w:after="0"/>
      </w:pPr>
    </w:p>
    <w:p w14:paraId="7542F80B" w14:textId="77777777" w:rsidR="00A36E30" w:rsidRDefault="00A36E30" w:rsidP="00A36E30">
      <w:pPr>
        <w:spacing w:after="0"/>
      </w:pPr>
    </w:p>
    <w:p w14:paraId="2532B5F5" w14:textId="77777777" w:rsidR="00A36E30" w:rsidRDefault="00A36E30" w:rsidP="00A36E30">
      <w:pPr>
        <w:spacing w:after="0"/>
      </w:pPr>
    </w:p>
    <w:p w14:paraId="257B4A80" w14:textId="77777777" w:rsidR="00A36E30" w:rsidRDefault="00A36E30" w:rsidP="00A36E30">
      <w:pPr>
        <w:spacing w:after="0"/>
      </w:pPr>
    </w:p>
    <w:p w14:paraId="05E5E9D2" w14:textId="77777777" w:rsidR="00A36E30" w:rsidRDefault="00A36E30" w:rsidP="00A36E30">
      <w:pPr>
        <w:spacing w:after="0"/>
      </w:pPr>
    </w:p>
    <w:p w14:paraId="6047BE2E" w14:textId="77777777" w:rsidR="00A36E30" w:rsidRDefault="00A36E30" w:rsidP="00A36E30">
      <w:pPr>
        <w:spacing w:after="0"/>
      </w:pPr>
    </w:p>
    <w:p w14:paraId="3B57E0F3" w14:textId="77777777" w:rsidR="00A36E30" w:rsidRDefault="00A36E30" w:rsidP="00A36E30"/>
    <w:p w14:paraId="450446CE" w14:textId="77777777" w:rsidR="00F71766" w:rsidRDefault="00F71766" w:rsidP="00A36E30"/>
    <w:p w14:paraId="501D1631" w14:textId="77777777" w:rsidR="00F71766" w:rsidRDefault="00F71766" w:rsidP="00A36E30"/>
    <w:p w14:paraId="06E928FA" w14:textId="77777777" w:rsidR="00F71766" w:rsidRDefault="00F71766" w:rsidP="00A36E30"/>
    <w:p w14:paraId="39D5A3C3" w14:textId="77777777" w:rsidR="00F71766" w:rsidRDefault="00F71766" w:rsidP="00A36E30"/>
    <w:p w14:paraId="53F8385F" w14:textId="77777777" w:rsidR="00F71766" w:rsidRDefault="00F71766" w:rsidP="00A36E30"/>
    <w:p w14:paraId="749767C1" w14:textId="77777777" w:rsidR="00F71766" w:rsidRDefault="00F71766" w:rsidP="00A36E30"/>
    <w:p w14:paraId="6F744FBF" w14:textId="77777777" w:rsidR="00F71766" w:rsidRDefault="00F71766" w:rsidP="00A36E30"/>
    <w:p w14:paraId="5C243D4F" w14:textId="77777777" w:rsidR="00F71766" w:rsidRDefault="00F71766" w:rsidP="00A36E30"/>
    <w:p w14:paraId="355D95E2" w14:textId="77777777" w:rsidR="00A36E30" w:rsidRDefault="00A36E30" w:rsidP="00A36E30"/>
    <w:p w14:paraId="624BBD24" w14:textId="77777777" w:rsidR="00A36E30" w:rsidRDefault="00A36E30" w:rsidP="00A36E30"/>
    <w:p w14:paraId="650B4E87" w14:textId="77777777" w:rsidR="00A36E30" w:rsidRPr="00A36E30" w:rsidRDefault="00A36E30" w:rsidP="00A36E30"/>
    <w:sectPr w:rsidR="00A36E30" w:rsidRPr="00A36E30" w:rsidSect="00A36E3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6885A" w14:textId="77777777" w:rsidR="00BE6720" w:rsidRDefault="00BE6720" w:rsidP="00A36E30">
      <w:pPr>
        <w:spacing w:after="0" w:line="240" w:lineRule="auto"/>
      </w:pPr>
      <w:r>
        <w:separator/>
      </w:r>
    </w:p>
  </w:endnote>
  <w:endnote w:type="continuationSeparator" w:id="0">
    <w:p w14:paraId="4054266D" w14:textId="77777777" w:rsidR="00BE6720" w:rsidRDefault="00BE6720" w:rsidP="00A36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7EEE2727" w14:textId="77777777" w:rsidR="00A36E30" w:rsidRPr="002D6DD8" w:rsidRDefault="00A36E30" w:rsidP="00C72DF6">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4072D9">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4072D9">
              <w:rPr>
                <w:rFonts w:ascii="Palatino Linotype" w:hAnsi="Palatino Linotype"/>
                <w:bCs/>
                <w:noProof/>
                <w:sz w:val="20"/>
              </w:rPr>
              <w:t>21</w:t>
            </w:r>
            <w:r>
              <w:rPr>
                <w:rFonts w:ascii="Palatino Linotype" w:hAnsi="Palatino Linotype"/>
                <w:bCs/>
                <w:noProof/>
                <w:sz w:val="20"/>
              </w:rPr>
              <w:fldChar w:fldCharType="end"/>
            </w:r>
          </w:p>
        </w:sdtContent>
      </w:sdt>
    </w:sdtContent>
  </w:sdt>
  <w:p w14:paraId="11610D7D" w14:textId="77777777" w:rsidR="00A36E30" w:rsidRDefault="00A36E3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75E22" w14:textId="77777777" w:rsidR="00A36E30" w:rsidRPr="000B69FA" w:rsidRDefault="00A36E30" w:rsidP="00C72DF6">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4072D9">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4072D9">
      <w:rPr>
        <w:rFonts w:ascii="Palatino Linotype" w:hAnsi="Palatino Linotype"/>
        <w:bCs/>
        <w:noProof/>
        <w:sz w:val="20"/>
      </w:rPr>
      <w:t>21</w:t>
    </w:r>
    <w:r>
      <w:rPr>
        <w:rFonts w:ascii="Palatino Linotype" w:hAnsi="Palatino Linotype"/>
        <w:bCs/>
        <w:noProof/>
        <w:sz w:val="20"/>
      </w:rPr>
      <w:fldChar w:fldCharType="end"/>
    </w:r>
  </w:p>
  <w:p w14:paraId="72031351" w14:textId="77777777" w:rsidR="00A36E30" w:rsidRDefault="00A36E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DD5B6" w14:textId="77777777" w:rsidR="00BE6720" w:rsidRDefault="00BE6720" w:rsidP="00A36E30">
      <w:pPr>
        <w:spacing w:after="0" w:line="240" w:lineRule="auto"/>
      </w:pPr>
      <w:r>
        <w:separator/>
      </w:r>
    </w:p>
  </w:footnote>
  <w:footnote w:type="continuationSeparator" w:id="0">
    <w:p w14:paraId="5EAB96D9" w14:textId="77777777" w:rsidR="00BE6720" w:rsidRDefault="00BE6720" w:rsidP="00A36E30">
      <w:pPr>
        <w:spacing w:after="0" w:line="240" w:lineRule="auto"/>
      </w:pPr>
      <w:r>
        <w:continuationSeparator/>
      </w:r>
    </w:p>
  </w:footnote>
  <w:footnote w:id="1">
    <w:p w14:paraId="0EA3F735" w14:textId="77777777" w:rsidR="00A36E30" w:rsidRPr="009535FD" w:rsidRDefault="00A36E30" w:rsidP="00A36E30">
      <w:pPr>
        <w:jc w:val="both"/>
        <w:rPr>
          <w:rFonts w:ascii="Palatino Linotype" w:hAnsi="Palatino Linotype"/>
          <w:b/>
          <w:bCs/>
          <w:i/>
          <w:sz w:val="18"/>
          <w:szCs w:val="18"/>
          <w:lang w:eastAsia="es-MX"/>
        </w:rPr>
      </w:pPr>
      <w:r w:rsidRPr="009535FD">
        <w:rPr>
          <w:rStyle w:val="Refdenotaalpie"/>
          <w:sz w:val="18"/>
          <w:szCs w:val="18"/>
        </w:rPr>
        <w:footnoteRef/>
      </w:r>
      <w:r w:rsidRPr="009535FD">
        <w:rPr>
          <w:sz w:val="18"/>
          <w:szCs w:val="18"/>
        </w:rPr>
        <w:t xml:space="preserve"> </w:t>
      </w:r>
      <w:r w:rsidRPr="009535FD">
        <w:rPr>
          <w:rFonts w:ascii="Palatino Linotype" w:hAnsi="Palatino Linotype"/>
          <w:b/>
          <w:bCs/>
          <w:i/>
          <w:sz w:val="18"/>
          <w:szCs w:val="18"/>
        </w:rPr>
        <w:t>IMPROCEDENCIA Y SOBRESEIMIENTO EN EL JUICIO DE AMPARO. LAS CAUSAS PREVISTAS EN LOS ARTÍCULOS 73 Y 74 DE LA LEY DE LA MATERIA, RESPECTIVAMENTE, NO SON INCOMPATIBLES CON EL ARTÍCULO 25.1 DE LA CONVENCIÓN AMERICANA SOBRE DERECHOS HUMANOS.</w:t>
      </w:r>
    </w:p>
    <w:p w14:paraId="434F59A9" w14:textId="77777777" w:rsidR="00A36E30" w:rsidRPr="009535FD" w:rsidRDefault="00A36E30" w:rsidP="00A36E30">
      <w:pPr>
        <w:jc w:val="both"/>
        <w:rPr>
          <w:rFonts w:ascii="Palatino Linotype" w:hAnsi="Palatino Linotype"/>
          <w:i/>
          <w:sz w:val="18"/>
          <w:szCs w:val="18"/>
        </w:rPr>
      </w:pPr>
      <w:r w:rsidRPr="009535FD">
        <w:rPr>
          <w:rFonts w:ascii="Palatino Linotype" w:hAnsi="Palatino Linotype"/>
          <w:i/>
          <w:sz w:val="18"/>
          <w:szCs w:val="18"/>
        </w:rPr>
        <w:t xml:space="preserve">Del examen de compatibilidad de los artículos </w:t>
      </w:r>
      <w:hyperlink r:id="rId1" w:history="1">
        <w:r w:rsidRPr="009535FD">
          <w:rPr>
            <w:rStyle w:val="Hipervnculo"/>
            <w:rFonts w:ascii="Palatino Linotype" w:hAnsi="Palatino Linotype"/>
            <w:sz w:val="18"/>
            <w:szCs w:val="18"/>
          </w:rPr>
          <w:t>73 y 74 de la Ley de Amparo</w:t>
        </w:r>
      </w:hyperlink>
      <w:r w:rsidRPr="009535FD">
        <w:rPr>
          <w:rStyle w:val="apple-converted-space"/>
          <w:rFonts w:ascii="Palatino Linotype" w:hAnsi="Palatino Linotype"/>
          <w:i/>
          <w:sz w:val="18"/>
          <w:szCs w:val="18"/>
        </w:rPr>
        <w:t xml:space="preserve"> </w:t>
      </w:r>
      <w:r w:rsidRPr="009535FD">
        <w:rPr>
          <w:rFonts w:ascii="Palatino Linotype" w:hAnsi="Palatino Linotype"/>
          <w:i/>
          <w:sz w:val="18"/>
          <w:szCs w:val="18"/>
        </w:rPr>
        <w:t xml:space="preserve">con el artículo </w:t>
      </w:r>
      <w:hyperlink r:id="rId2" w:history="1">
        <w:r w:rsidRPr="009535FD">
          <w:rPr>
            <w:rStyle w:val="Hipervnculo"/>
            <w:rFonts w:ascii="Palatino Linotype" w:hAnsi="Palatino Linotype"/>
            <w:sz w:val="18"/>
            <w:szCs w:val="18"/>
          </w:rPr>
          <w:t>25.1 de la Convención Americana sobre Derechos Humanos</w:t>
        </w:r>
      </w:hyperlink>
      <w:r w:rsidRPr="009535FD">
        <w:rPr>
          <w:rStyle w:val="Hipervnculo"/>
          <w:rFonts w:ascii="Palatino Linotype" w:hAnsi="Palatino Linotype"/>
          <w:sz w:val="18"/>
          <w:szCs w:val="18"/>
        </w:rPr>
        <w:t xml:space="preserve"> </w:t>
      </w:r>
      <w:r w:rsidRPr="009535FD">
        <w:rPr>
          <w:rFonts w:ascii="Palatino Linotype" w:hAnsi="Palatino Linotype"/>
          <w:b/>
          <w:i/>
          <w:sz w:val="18"/>
          <w:szCs w:val="18"/>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535FD">
        <w:rPr>
          <w:rFonts w:ascii="Palatino Linotype" w:hAnsi="Palatino Linotype"/>
          <w:i/>
          <w:sz w:val="18"/>
          <w:szCs w:val="18"/>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4820"/>
      <w:gridCol w:w="5103"/>
    </w:tblGrid>
    <w:tr w:rsidR="00A36E30" w14:paraId="497FD1D4" w14:textId="77777777" w:rsidTr="00C72DF6">
      <w:trPr>
        <w:trHeight w:val="227"/>
      </w:trPr>
      <w:tc>
        <w:tcPr>
          <w:tcW w:w="4820" w:type="dxa"/>
          <w:hideMark/>
        </w:tcPr>
        <w:p w14:paraId="562F8514" w14:textId="77777777" w:rsidR="00A36E30" w:rsidRPr="00641471" w:rsidRDefault="00A36E30" w:rsidP="00C72DF6">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5103" w:type="dxa"/>
          <w:hideMark/>
        </w:tcPr>
        <w:p w14:paraId="7811448D" w14:textId="443F668F" w:rsidR="00A36E30" w:rsidRPr="00641471" w:rsidRDefault="006D3A0C" w:rsidP="0077712A">
          <w:pPr>
            <w:spacing w:after="120" w:line="256" w:lineRule="auto"/>
            <w:ind w:left="-486" w:right="214" w:firstLine="557"/>
            <w:jc w:val="right"/>
            <w:rPr>
              <w:rFonts w:ascii="Palatino Linotype" w:hAnsi="Palatino Linotype" w:cs="Arial"/>
              <w:b/>
              <w:szCs w:val="20"/>
            </w:rPr>
          </w:pPr>
          <w:r>
            <w:rPr>
              <w:rFonts w:ascii="Palatino Linotype" w:hAnsi="Palatino Linotype" w:cs="Arial"/>
              <w:b/>
              <w:bCs/>
              <w:sz w:val="24"/>
              <w:lang w:eastAsia="es-MX"/>
            </w:rPr>
            <w:t>09500</w:t>
          </w:r>
          <w:r w:rsidR="00A36E30">
            <w:rPr>
              <w:rFonts w:ascii="Palatino Linotype" w:hAnsi="Palatino Linotype" w:cs="Arial"/>
              <w:b/>
              <w:bCs/>
              <w:sz w:val="24"/>
              <w:lang w:eastAsia="es-MX"/>
            </w:rPr>
            <w:t>/INFOEM/ICR-</w:t>
          </w:r>
          <w:r>
            <w:rPr>
              <w:rFonts w:ascii="Palatino Linotype" w:hAnsi="Palatino Linotype" w:cs="Arial"/>
              <w:b/>
              <w:bCs/>
              <w:sz w:val="24"/>
              <w:lang w:eastAsia="es-MX"/>
            </w:rPr>
            <w:t>63</w:t>
          </w:r>
          <w:r w:rsidR="00A36E30">
            <w:rPr>
              <w:rFonts w:ascii="Palatino Linotype" w:hAnsi="Palatino Linotype" w:cs="Arial"/>
              <w:b/>
              <w:bCs/>
              <w:sz w:val="24"/>
              <w:lang w:eastAsia="es-MX"/>
            </w:rPr>
            <w:t>/IP/RR/2025</w:t>
          </w:r>
        </w:p>
      </w:tc>
    </w:tr>
    <w:tr w:rsidR="00A36E30" w14:paraId="7937EEE2" w14:textId="77777777" w:rsidTr="00C72DF6">
      <w:trPr>
        <w:trHeight w:val="242"/>
      </w:trPr>
      <w:tc>
        <w:tcPr>
          <w:tcW w:w="4820" w:type="dxa"/>
          <w:hideMark/>
        </w:tcPr>
        <w:p w14:paraId="47A18E8D" w14:textId="77777777" w:rsidR="00A36E30" w:rsidRPr="00641471" w:rsidRDefault="00A36E30" w:rsidP="00C72DF6">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5103" w:type="dxa"/>
          <w:hideMark/>
        </w:tcPr>
        <w:p w14:paraId="1BE69D94" w14:textId="77777777" w:rsidR="00A36E30" w:rsidRPr="00641471" w:rsidRDefault="00A36E30" w:rsidP="00C72DF6">
          <w:pPr>
            <w:spacing w:after="120" w:line="256" w:lineRule="auto"/>
            <w:ind w:left="-486" w:right="214" w:firstLine="284"/>
            <w:jc w:val="right"/>
            <w:rPr>
              <w:rFonts w:ascii="Palatino Linotype" w:hAnsi="Palatino Linotype" w:cs="Arial"/>
              <w:b/>
              <w:szCs w:val="20"/>
            </w:rPr>
          </w:pPr>
          <w:r w:rsidRPr="00C72DF6">
            <w:rPr>
              <w:rFonts w:ascii="Palatino Linotype" w:hAnsi="Palatino Linotype"/>
              <w:b/>
              <w:bCs/>
              <w:color w:val="000000"/>
              <w:sz w:val="24"/>
              <w:szCs w:val="24"/>
            </w:rPr>
            <w:t>Ayuntamiento de Tepotzotlán</w:t>
          </w:r>
        </w:p>
      </w:tc>
    </w:tr>
    <w:tr w:rsidR="00A36E30" w14:paraId="28DAAB76" w14:textId="77777777" w:rsidTr="00C72DF6">
      <w:trPr>
        <w:trHeight w:val="342"/>
      </w:trPr>
      <w:tc>
        <w:tcPr>
          <w:tcW w:w="4820" w:type="dxa"/>
          <w:hideMark/>
        </w:tcPr>
        <w:p w14:paraId="71D4562D" w14:textId="77777777" w:rsidR="00A36E30" w:rsidRPr="00641471" w:rsidRDefault="00A36E30" w:rsidP="00C72DF6">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5103" w:type="dxa"/>
          <w:hideMark/>
        </w:tcPr>
        <w:p w14:paraId="79FAE2C5" w14:textId="77777777" w:rsidR="00A36E30" w:rsidRPr="00641471" w:rsidRDefault="00A36E30" w:rsidP="00C72DF6">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67F08623" w14:textId="77777777" w:rsidR="00A36E30" w:rsidRPr="00AE046A" w:rsidRDefault="00A36E30" w:rsidP="00C72DF6">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58240" behindDoc="1" locked="0" layoutInCell="0" allowOverlap="1" wp14:anchorId="4B6A8BF8" wp14:editId="51888F4C">
          <wp:simplePos x="0" y="0"/>
          <wp:positionH relativeFrom="page">
            <wp:align>left</wp:align>
          </wp:positionH>
          <wp:positionV relativeFrom="page">
            <wp:posOffset>25400</wp:posOffset>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4679"/>
      <w:gridCol w:w="5244"/>
    </w:tblGrid>
    <w:tr w:rsidR="00A36E30" w14:paraId="61AD7B7A" w14:textId="77777777" w:rsidTr="00C72DF6">
      <w:trPr>
        <w:trHeight w:val="227"/>
      </w:trPr>
      <w:tc>
        <w:tcPr>
          <w:tcW w:w="4679" w:type="dxa"/>
          <w:hideMark/>
        </w:tcPr>
        <w:p w14:paraId="2085EC72" w14:textId="77777777" w:rsidR="00A36E30" w:rsidRPr="00641471" w:rsidRDefault="00A36E30" w:rsidP="00C72DF6">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5244" w:type="dxa"/>
          <w:hideMark/>
        </w:tcPr>
        <w:p w14:paraId="4CCCA39C" w14:textId="74FD0270" w:rsidR="00A36E30" w:rsidRPr="00641471" w:rsidRDefault="006D3A0C" w:rsidP="0077712A">
          <w:pPr>
            <w:spacing w:after="120" w:line="256" w:lineRule="auto"/>
            <w:ind w:left="-486" w:right="214" w:firstLine="558"/>
            <w:jc w:val="right"/>
            <w:rPr>
              <w:rFonts w:ascii="Palatino Linotype" w:hAnsi="Palatino Linotype" w:cs="Arial"/>
              <w:b/>
              <w:szCs w:val="20"/>
            </w:rPr>
          </w:pPr>
          <w:r>
            <w:rPr>
              <w:rFonts w:ascii="Palatino Linotype" w:hAnsi="Palatino Linotype" w:cs="Arial"/>
              <w:b/>
              <w:bCs/>
              <w:sz w:val="24"/>
              <w:lang w:eastAsia="es-MX"/>
            </w:rPr>
            <w:t>09500</w:t>
          </w:r>
          <w:r w:rsidR="00A36E30">
            <w:rPr>
              <w:rFonts w:ascii="Palatino Linotype" w:hAnsi="Palatino Linotype" w:cs="Arial"/>
              <w:b/>
              <w:bCs/>
              <w:sz w:val="24"/>
              <w:lang w:eastAsia="es-MX"/>
            </w:rPr>
            <w:t>/INFOEM/ICR-</w:t>
          </w:r>
          <w:r>
            <w:rPr>
              <w:rFonts w:ascii="Palatino Linotype" w:hAnsi="Palatino Linotype" w:cs="Arial"/>
              <w:b/>
              <w:bCs/>
              <w:sz w:val="24"/>
              <w:lang w:eastAsia="es-MX"/>
            </w:rPr>
            <w:t>63</w:t>
          </w:r>
          <w:r w:rsidR="00A36E30">
            <w:rPr>
              <w:rFonts w:ascii="Palatino Linotype" w:hAnsi="Palatino Linotype" w:cs="Arial"/>
              <w:b/>
              <w:bCs/>
              <w:sz w:val="24"/>
              <w:lang w:eastAsia="es-MX"/>
            </w:rPr>
            <w:t>/IP/RR/2025</w:t>
          </w:r>
        </w:p>
      </w:tc>
    </w:tr>
    <w:tr w:rsidR="00A36E30" w14:paraId="28DD7621" w14:textId="77777777" w:rsidTr="00C72DF6">
      <w:trPr>
        <w:trHeight w:val="242"/>
      </w:trPr>
      <w:tc>
        <w:tcPr>
          <w:tcW w:w="4679" w:type="dxa"/>
          <w:hideMark/>
        </w:tcPr>
        <w:p w14:paraId="5766CF0F" w14:textId="77777777" w:rsidR="00A36E30" w:rsidRPr="00641471" w:rsidRDefault="00A36E30" w:rsidP="00C72DF6">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5244" w:type="dxa"/>
          <w:hideMark/>
        </w:tcPr>
        <w:p w14:paraId="1E226731" w14:textId="77777777" w:rsidR="00A36E30" w:rsidRPr="00C72DF6" w:rsidRDefault="00A36E30" w:rsidP="001C6174">
          <w:pPr>
            <w:spacing w:after="120" w:line="256" w:lineRule="auto"/>
            <w:ind w:left="-486" w:right="214" w:firstLine="284"/>
            <w:jc w:val="right"/>
            <w:rPr>
              <w:rFonts w:ascii="Palatino Linotype" w:hAnsi="Palatino Linotype" w:cs="Arial"/>
              <w:b/>
              <w:sz w:val="24"/>
              <w:szCs w:val="24"/>
            </w:rPr>
          </w:pPr>
          <w:r w:rsidRPr="00C72DF6">
            <w:rPr>
              <w:rFonts w:ascii="Palatino Linotype" w:hAnsi="Palatino Linotype"/>
              <w:b/>
              <w:bCs/>
              <w:color w:val="000000"/>
              <w:sz w:val="24"/>
              <w:szCs w:val="24"/>
            </w:rPr>
            <w:t>Ayuntamiento de Tepotzotlán</w:t>
          </w:r>
        </w:p>
      </w:tc>
    </w:tr>
    <w:tr w:rsidR="00A36E30" w14:paraId="70D46294" w14:textId="77777777" w:rsidTr="00C72DF6">
      <w:trPr>
        <w:trHeight w:val="342"/>
      </w:trPr>
      <w:tc>
        <w:tcPr>
          <w:tcW w:w="4679" w:type="dxa"/>
        </w:tcPr>
        <w:p w14:paraId="530993B9" w14:textId="77777777" w:rsidR="00A36E30" w:rsidRPr="00641471" w:rsidRDefault="00A36E30" w:rsidP="00C72DF6">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5244" w:type="dxa"/>
        </w:tcPr>
        <w:p w14:paraId="317501D7" w14:textId="0F30B974" w:rsidR="00A36E30" w:rsidRPr="00641471" w:rsidRDefault="004072D9" w:rsidP="00C72DF6">
          <w:pPr>
            <w:spacing w:after="120" w:line="256" w:lineRule="auto"/>
            <w:ind w:left="-486" w:right="214" w:firstLine="567"/>
            <w:jc w:val="right"/>
            <w:rPr>
              <w:rFonts w:ascii="Palatino Linotype" w:hAnsi="Palatino Linotype" w:cs="Arial"/>
              <w:b/>
            </w:rPr>
          </w:pPr>
          <w:r>
            <w:rPr>
              <w:rFonts w:ascii="Palatino Linotype" w:hAnsi="Palatino Linotype" w:cs="Arial"/>
              <w:b/>
            </w:rPr>
            <w:t>xxxx</w:t>
          </w:r>
        </w:p>
      </w:tc>
    </w:tr>
    <w:tr w:rsidR="00A36E30" w14:paraId="2A49A4BE" w14:textId="77777777" w:rsidTr="00C72DF6">
      <w:trPr>
        <w:trHeight w:val="342"/>
      </w:trPr>
      <w:tc>
        <w:tcPr>
          <w:tcW w:w="4679" w:type="dxa"/>
        </w:tcPr>
        <w:p w14:paraId="1ED6C0ED" w14:textId="77777777" w:rsidR="00A36E30" w:rsidRPr="00641471" w:rsidRDefault="00A36E30" w:rsidP="00C72DF6">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5244" w:type="dxa"/>
        </w:tcPr>
        <w:p w14:paraId="2FB41300" w14:textId="77777777" w:rsidR="00A36E30" w:rsidRPr="00641471" w:rsidRDefault="00A36E30" w:rsidP="00C72DF6">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tbl>
  <w:p w14:paraId="6641DA46" w14:textId="77777777" w:rsidR="00A36E30" w:rsidRPr="00C222C0" w:rsidRDefault="00A36E30">
    <w:pPr>
      <w:pStyle w:val="Encabezado"/>
      <w:rPr>
        <w:sz w:val="16"/>
      </w:rPr>
    </w:pPr>
    <w:r>
      <w:rPr>
        <w:rFonts w:ascii="Palatino Linotype" w:hAnsi="Palatino Linotype" w:cs="Arial"/>
        <w:b/>
        <w:noProof/>
        <w:szCs w:val="20"/>
        <w:lang w:val="es-MX" w:eastAsia="es-MX"/>
      </w:rPr>
      <w:drawing>
        <wp:anchor distT="0" distB="0" distL="114300" distR="114300" simplePos="0" relativeHeight="251657216" behindDoc="1" locked="0" layoutInCell="0" allowOverlap="1" wp14:anchorId="78B17BC2" wp14:editId="4BE5C3DA">
          <wp:simplePos x="0" y="0"/>
          <wp:positionH relativeFrom="page">
            <wp:align>left</wp:align>
          </wp:positionH>
          <wp:positionV relativeFrom="page">
            <wp:posOffset>34925</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53F6F"/>
    <w:multiLevelType w:val="hybridMultilevel"/>
    <w:tmpl w:val="CC10191E"/>
    <w:lvl w:ilvl="0" w:tplc="68949464">
      <w:start w:val="1"/>
      <w:numFmt w:val="upperRoman"/>
      <w:lvlText w:val="%1."/>
      <w:lvlJc w:val="right"/>
      <w:pPr>
        <w:ind w:left="720" w:hanging="360"/>
      </w:pPr>
      <w:rPr>
        <w:b/>
        <w:sz w:val="26"/>
        <w:szCs w:val="2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 w15:restartNumberingAfterBreak="0">
    <w:nsid w:val="38985675"/>
    <w:multiLevelType w:val="hybridMultilevel"/>
    <w:tmpl w:val="E92E28C4"/>
    <w:lvl w:ilvl="0" w:tplc="721633D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A646A67"/>
    <w:multiLevelType w:val="hybridMultilevel"/>
    <w:tmpl w:val="55FC2AEA"/>
    <w:lvl w:ilvl="0" w:tplc="B78E6752">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F6A2C51"/>
    <w:multiLevelType w:val="hybridMultilevel"/>
    <w:tmpl w:val="5FD00EBA"/>
    <w:lvl w:ilvl="0" w:tplc="C706E8B8">
      <w:start w:val="1"/>
      <w:numFmt w:val="upperRoman"/>
      <w:lvlText w:val="%1."/>
      <w:lvlJc w:val="left"/>
      <w:pPr>
        <w:ind w:left="1572" w:hanging="720"/>
      </w:pPr>
      <w:rPr>
        <w:rFonts w:hint="default"/>
      </w:rPr>
    </w:lvl>
    <w:lvl w:ilvl="1" w:tplc="080A0019" w:tentative="1">
      <w:start w:val="1"/>
      <w:numFmt w:val="lowerLetter"/>
      <w:lvlText w:val="%2."/>
      <w:lvlJc w:val="left"/>
      <w:pPr>
        <w:ind w:left="1932" w:hanging="360"/>
      </w:pPr>
    </w:lvl>
    <w:lvl w:ilvl="2" w:tplc="080A001B" w:tentative="1">
      <w:start w:val="1"/>
      <w:numFmt w:val="lowerRoman"/>
      <w:lvlText w:val="%3."/>
      <w:lvlJc w:val="right"/>
      <w:pPr>
        <w:ind w:left="2652" w:hanging="180"/>
      </w:pPr>
    </w:lvl>
    <w:lvl w:ilvl="3" w:tplc="080A000F" w:tentative="1">
      <w:start w:val="1"/>
      <w:numFmt w:val="decimal"/>
      <w:lvlText w:val="%4."/>
      <w:lvlJc w:val="left"/>
      <w:pPr>
        <w:ind w:left="3372" w:hanging="360"/>
      </w:pPr>
    </w:lvl>
    <w:lvl w:ilvl="4" w:tplc="080A0019" w:tentative="1">
      <w:start w:val="1"/>
      <w:numFmt w:val="lowerLetter"/>
      <w:lvlText w:val="%5."/>
      <w:lvlJc w:val="left"/>
      <w:pPr>
        <w:ind w:left="4092" w:hanging="360"/>
      </w:pPr>
    </w:lvl>
    <w:lvl w:ilvl="5" w:tplc="080A001B" w:tentative="1">
      <w:start w:val="1"/>
      <w:numFmt w:val="lowerRoman"/>
      <w:lvlText w:val="%6."/>
      <w:lvlJc w:val="right"/>
      <w:pPr>
        <w:ind w:left="4812" w:hanging="180"/>
      </w:pPr>
    </w:lvl>
    <w:lvl w:ilvl="6" w:tplc="080A000F" w:tentative="1">
      <w:start w:val="1"/>
      <w:numFmt w:val="decimal"/>
      <w:lvlText w:val="%7."/>
      <w:lvlJc w:val="left"/>
      <w:pPr>
        <w:ind w:left="5532" w:hanging="360"/>
      </w:pPr>
    </w:lvl>
    <w:lvl w:ilvl="7" w:tplc="080A0019" w:tentative="1">
      <w:start w:val="1"/>
      <w:numFmt w:val="lowerLetter"/>
      <w:lvlText w:val="%8."/>
      <w:lvlJc w:val="left"/>
      <w:pPr>
        <w:ind w:left="6252" w:hanging="360"/>
      </w:pPr>
    </w:lvl>
    <w:lvl w:ilvl="8" w:tplc="080A001B" w:tentative="1">
      <w:start w:val="1"/>
      <w:numFmt w:val="lowerRoman"/>
      <w:lvlText w:val="%9."/>
      <w:lvlJc w:val="right"/>
      <w:pPr>
        <w:ind w:left="6972"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30"/>
    <w:rsid w:val="00033529"/>
    <w:rsid w:val="00042FA9"/>
    <w:rsid w:val="000649AF"/>
    <w:rsid w:val="000C384F"/>
    <w:rsid w:val="000D722C"/>
    <w:rsid w:val="002351A4"/>
    <w:rsid w:val="002A09F6"/>
    <w:rsid w:val="002D4475"/>
    <w:rsid w:val="003A14E0"/>
    <w:rsid w:val="004072D9"/>
    <w:rsid w:val="0047755C"/>
    <w:rsid w:val="004A4B24"/>
    <w:rsid w:val="004D43F9"/>
    <w:rsid w:val="00536732"/>
    <w:rsid w:val="005B05F7"/>
    <w:rsid w:val="005B2E49"/>
    <w:rsid w:val="005D66B6"/>
    <w:rsid w:val="00627239"/>
    <w:rsid w:val="006774E3"/>
    <w:rsid w:val="006C4DF3"/>
    <w:rsid w:val="006D3A0C"/>
    <w:rsid w:val="00747220"/>
    <w:rsid w:val="008251B9"/>
    <w:rsid w:val="008A69A7"/>
    <w:rsid w:val="008D22C1"/>
    <w:rsid w:val="009C7F77"/>
    <w:rsid w:val="00A34B80"/>
    <w:rsid w:val="00A36E30"/>
    <w:rsid w:val="00BE6720"/>
    <w:rsid w:val="00C30655"/>
    <w:rsid w:val="00CA5BC8"/>
    <w:rsid w:val="00D15795"/>
    <w:rsid w:val="00D450A9"/>
    <w:rsid w:val="00D57CD1"/>
    <w:rsid w:val="00DC2838"/>
    <w:rsid w:val="00DD0FEA"/>
    <w:rsid w:val="00DE12D0"/>
    <w:rsid w:val="00DF093E"/>
    <w:rsid w:val="00E62512"/>
    <w:rsid w:val="00F634F5"/>
    <w:rsid w:val="00F717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829DE"/>
  <w15:chartTrackingRefBased/>
  <w15:docId w15:val="{7EFBADFB-0432-4C69-95C5-11A76BCD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E30"/>
    <w:pPr>
      <w:spacing w:line="259" w:lineRule="auto"/>
    </w:pPr>
    <w:rPr>
      <w:kern w:val="0"/>
      <w:sz w:val="22"/>
      <w:szCs w:val="22"/>
      <w14:ligatures w14:val="none"/>
    </w:rPr>
  </w:style>
  <w:style w:type="paragraph" w:styleId="Ttulo1">
    <w:name w:val="heading 1"/>
    <w:basedOn w:val="Normal"/>
    <w:next w:val="Normal"/>
    <w:link w:val="Ttulo1Car"/>
    <w:uiPriority w:val="9"/>
    <w:qFormat/>
    <w:rsid w:val="00A36E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Subtítulos"/>
    <w:basedOn w:val="Normal"/>
    <w:next w:val="Normal"/>
    <w:link w:val="Ttulo2Car"/>
    <w:uiPriority w:val="9"/>
    <w:unhideWhenUsed/>
    <w:qFormat/>
    <w:rsid w:val="00A36E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36E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36E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36E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36E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36E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36E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36E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36E30"/>
    <w:rPr>
      <w:rFonts w:asciiTheme="majorHAnsi" w:eastAsiaTheme="majorEastAsia" w:hAnsiTheme="majorHAnsi" w:cstheme="majorBidi"/>
      <w:color w:val="0F4761" w:themeColor="accent1" w:themeShade="BF"/>
      <w:sz w:val="40"/>
      <w:szCs w:val="40"/>
    </w:rPr>
  </w:style>
  <w:style w:type="character" w:customStyle="1" w:styleId="Ttulo2Car">
    <w:name w:val="Título 2 Car"/>
    <w:aliases w:val="Subtítulos Car"/>
    <w:basedOn w:val="Fuentedeprrafopredeter"/>
    <w:link w:val="Ttulo2"/>
    <w:uiPriority w:val="9"/>
    <w:rsid w:val="00A36E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36E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36E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36E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36E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36E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36E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36E30"/>
    <w:rPr>
      <w:rFonts w:eastAsiaTheme="majorEastAsia" w:cstheme="majorBidi"/>
      <w:color w:val="272727" w:themeColor="text1" w:themeTint="D8"/>
    </w:rPr>
  </w:style>
  <w:style w:type="paragraph" w:styleId="Puesto">
    <w:name w:val="Title"/>
    <w:basedOn w:val="Normal"/>
    <w:next w:val="Normal"/>
    <w:link w:val="PuestoCar"/>
    <w:uiPriority w:val="10"/>
    <w:qFormat/>
    <w:rsid w:val="00A36E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36E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36E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36E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36E30"/>
    <w:pPr>
      <w:spacing w:before="160"/>
      <w:jc w:val="center"/>
    </w:pPr>
    <w:rPr>
      <w:i/>
      <w:iCs/>
      <w:color w:val="404040" w:themeColor="text1" w:themeTint="BF"/>
    </w:rPr>
  </w:style>
  <w:style w:type="character" w:customStyle="1" w:styleId="CitaCar">
    <w:name w:val="Cita Car"/>
    <w:basedOn w:val="Fuentedeprrafopredeter"/>
    <w:link w:val="Cita"/>
    <w:uiPriority w:val="29"/>
    <w:rsid w:val="00A36E3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36E30"/>
    <w:pPr>
      <w:ind w:left="720"/>
      <w:contextualSpacing/>
    </w:pPr>
  </w:style>
  <w:style w:type="character" w:styleId="nfasisintenso">
    <w:name w:val="Intense Emphasis"/>
    <w:basedOn w:val="Fuentedeprrafopredeter"/>
    <w:uiPriority w:val="21"/>
    <w:qFormat/>
    <w:rsid w:val="00A36E30"/>
    <w:rPr>
      <w:i/>
      <w:iCs/>
      <w:color w:val="0F4761" w:themeColor="accent1" w:themeShade="BF"/>
    </w:rPr>
  </w:style>
  <w:style w:type="paragraph" w:styleId="Citadestacada">
    <w:name w:val="Intense Quote"/>
    <w:basedOn w:val="Normal"/>
    <w:next w:val="Normal"/>
    <w:link w:val="CitadestacadaCar"/>
    <w:uiPriority w:val="30"/>
    <w:qFormat/>
    <w:rsid w:val="00A36E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36E30"/>
    <w:rPr>
      <w:i/>
      <w:iCs/>
      <w:color w:val="0F4761" w:themeColor="accent1" w:themeShade="BF"/>
    </w:rPr>
  </w:style>
  <w:style w:type="character" w:styleId="Referenciaintensa">
    <w:name w:val="Intense Reference"/>
    <w:basedOn w:val="Fuentedeprrafopredeter"/>
    <w:uiPriority w:val="32"/>
    <w:qFormat/>
    <w:rsid w:val="00A36E30"/>
    <w:rPr>
      <w:b/>
      <w:bCs/>
      <w:smallCaps/>
      <w:color w:val="0F4761" w:themeColor="accent1" w:themeShade="BF"/>
      <w:spacing w:val="5"/>
    </w:rPr>
  </w:style>
  <w:style w:type="paragraph" w:styleId="Encabezado">
    <w:name w:val="header"/>
    <w:basedOn w:val="Normal"/>
    <w:link w:val="EncabezadoCar"/>
    <w:uiPriority w:val="99"/>
    <w:unhideWhenUsed/>
    <w:rsid w:val="00A36E30"/>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A36E30"/>
    <w:rPr>
      <w:rFonts w:ascii="Times New Roman" w:eastAsia="Calibri" w:hAnsi="Times New Roman" w:cs="Times New Roman"/>
      <w:kern w:val="0"/>
      <w:lang w:val="es-ES" w:eastAsia="es-ES"/>
      <w14:ligatures w14:val="none"/>
    </w:rPr>
  </w:style>
  <w:style w:type="paragraph" w:styleId="Piedepgina">
    <w:name w:val="footer"/>
    <w:basedOn w:val="Normal"/>
    <w:link w:val="PiedepginaCar"/>
    <w:uiPriority w:val="99"/>
    <w:unhideWhenUsed/>
    <w:rsid w:val="00A36E30"/>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36E30"/>
    <w:rPr>
      <w:rFonts w:ascii="Times New Roman" w:eastAsia="Calibri"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36E30"/>
  </w:style>
  <w:style w:type="character" w:customStyle="1" w:styleId="apple-converted-space">
    <w:name w:val="apple-converted-space"/>
    <w:basedOn w:val="Fuentedeprrafopredeter"/>
    <w:rsid w:val="00A36E30"/>
  </w:style>
  <w:style w:type="character" w:styleId="Hipervnculo">
    <w:name w:val="Hyperlink"/>
    <w:aliases w:val="Hipervínculo1,Hipervínculo11,Hipervínculo12,Hipervínculo13,Hipervínculo14,Hipervínculo15"/>
    <w:basedOn w:val="Fuentedeprrafopredeter"/>
    <w:uiPriority w:val="99"/>
    <w:unhideWhenUsed/>
    <w:rsid w:val="00A36E30"/>
    <w:rPr>
      <w:color w:val="467886"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A36E30"/>
    <w:rPr>
      <w:vertAlign w:val="superscript"/>
    </w:rPr>
  </w:style>
  <w:style w:type="paragraph" w:styleId="Textoindependiente">
    <w:name w:val="Body Text"/>
    <w:basedOn w:val="Normal"/>
    <w:link w:val="TextoindependienteCar"/>
    <w:uiPriority w:val="1"/>
    <w:qFormat/>
    <w:rsid w:val="00A36E30"/>
    <w:pPr>
      <w:widowControl w:val="0"/>
      <w:spacing w:after="0" w:line="240" w:lineRule="auto"/>
      <w:ind w:left="109"/>
    </w:pPr>
    <w:rPr>
      <w:rFonts w:ascii="Palatino Linotype" w:eastAsia="Palatino Linotype" w:hAnsi="Palatino Linotype"/>
      <w:sz w:val="23"/>
      <w:szCs w:val="23"/>
    </w:rPr>
  </w:style>
  <w:style w:type="character" w:customStyle="1" w:styleId="TextoindependienteCar">
    <w:name w:val="Texto independiente Car"/>
    <w:basedOn w:val="Fuentedeprrafopredeter"/>
    <w:link w:val="Textoindependiente"/>
    <w:uiPriority w:val="1"/>
    <w:rsid w:val="00A36E30"/>
    <w:rPr>
      <w:rFonts w:ascii="Palatino Linotype" w:eastAsia="Palatino Linotype" w:hAnsi="Palatino Linotype"/>
      <w:kern w:val="0"/>
      <w:sz w:val="23"/>
      <w:szCs w:val="23"/>
      <w14:ligatures w14:val="none"/>
    </w:rPr>
  </w:style>
  <w:style w:type="character" w:customStyle="1" w:styleId="UnresolvedMention">
    <w:name w:val="Unresolved Mention"/>
    <w:basedOn w:val="Fuentedeprrafopredeter"/>
    <w:uiPriority w:val="99"/>
    <w:semiHidden/>
    <w:unhideWhenUsed/>
    <w:rsid w:val="00033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allto:176,%20178,%20179,%2018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21</Pages>
  <Words>4496</Words>
  <Characters>24729</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6</cp:revision>
  <cp:lastPrinted>2026-03-06T16:00:00Z</cp:lastPrinted>
  <dcterms:created xsi:type="dcterms:W3CDTF">2026-03-05T22:44:00Z</dcterms:created>
  <dcterms:modified xsi:type="dcterms:W3CDTF">2026-04-08T16:38:00Z</dcterms:modified>
</cp:coreProperties>
</file>