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F569B3">
        <w:rPr>
          <w:rFonts w:ascii="Palatino Linotype" w:eastAsia="Palatino Linotype" w:hAnsi="Palatino Linotype" w:cs="Palatino Linotype"/>
          <w:color w:val="000000"/>
          <w:sz w:val="24"/>
          <w:szCs w:val="24"/>
        </w:rPr>
        <w:t>ocho</w:t>
      </w:r>
      <w:r w:rsidR="00C72DE0">
        <w:rPr>
          <w:rFonts w:ascii="Palatino Linotype" w:eastAsia="Palatino Linotype" w:hAnsi="Palatino Linotype" w:cs="Palatino Linotype"/>
          <w:color w:val="000000"/>
          <w:sz w:val="24"/>
          <w:szCs w:val="24"/>
        </w:rPr>
        <w:t xml:space="preserve"> de </w:t>
      </w:r>
      <w:r w:rsidR="00F569B3">
        <w:rPr>
          <w:rFonts w:ascii="Palatino Linotype" w:eastAsia="Palatino Linotype" w:hAnsi="Palatino Linotype" w:cs="Palatino Linotype"/>
          <w:color w:val="000000"/>
          <w:sz w:val="24"/>
          <w:szCs w:val="24"/>
        </w:rPr>
        <w:t>abril</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E73741">
        <w:rPr>
          <w:rFonts w:ascii="Palatino Linotype" w:eastAsia="Palatino Linotype" w:hAnsi="Palatino Linotype" w:cs="Palatino Linotype"/>
          <w:b/>
          <w:sz w:val="24"/>
          <w:szCs w:val="24"/>
        </w:rPr>
        <w:t>3208</w:t>
      </w:r>
      <w:r w:rsidR="007F400F">
        <w:rPr>
          <w:rFonts w:ascii="Palatino Linotype" w:eastAsia="Palatino Linotype" w:hAnsi="Palatino Linotype" w:cs="Palatino Linotype"/>
          <w:b/>
          <w:sz w:val="24"/>
          <w:szCs w:val="24"/>
        </w:rPr>
        <w:t>/INFOEM/IP/RR/2026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EB347B">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04750F">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57229D">
        <w:rPr>
          <w:rFonts w:ascii="Palatino Linotype" w:hAnsi="Palatino Linotype"/>
          <w:b/>
          <w:bCs/>
          <w:color w:val="000000"/>
          <w:sz w:val="24"/>
          <w:szCs w:val="24"/>
        </w:rPr>
        <w:t xml:space="preserve">Ayuntamiento de </w:t>
      </w:r>
      <w:r w:rsidR="00773047" w:rsidRPr="00773047">
        <w:rPr>
          <w:rFonts w:ascii="Palatino Linotype" w:hAnsi="Palatino Linotype"/>
          <w:b/>
          <w:bCs/>
          <w:color w:val="000000"/>
          <w:sz w:val="24"/>
        </w:rPr>
        <w:t>Tepotzotlán</w:t>
      </w:r>
      <w:r w:rsidRPr="00463865">
        <w:rPr>
          <w:rFonts w:ascii="Palatino Linotype" w:eastAsia="Palatino Linotype" w:hAnsi="Palatino Linotype" w:cs="Palatino Linotype"/>
          <w:b/>
          <w:sz w:val="24"/>
          <w:szCs w:val="24"/>
        </w:rPr>
        <w:t xml:space="preserve">, </w:t>
      </w:r>
      <w:r w:rsidR="00D40D01" w:rsidRPr="00463865">
        <w:rPr>
          <w:rFonts w:ascii="Palatino Linotype" w:eastAsia="Palatino Linotype" w:hAnsi="Palatino Linotype" w:cs="Palatino Linotype"/>
          <w:sz w:val="24"/>
          <w:szCs w:val="24"/>
        </w:rPr>
        <w:t>a</w:t>
      </w:r>
      <w:r w:rsidR="00D40D01"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quien en lo sucesivo </w:t>
      </w:r>
      <w:r w:rsidR="00805ADF" w:rsidRPr="00463865">
        <w:rPr>
          <w:rFonts w:ascii="Palatino Linotype" w:eastAsia="Palatino Linotype" w:hAnsi="Palatino Linotype" w:cs="Palatino Linotype"/>
          <w:sz w:val="24"/>
          <w:szCs w:val="24"/>
        </w:rPr>
        <w:t xml:space="preserve">se </w:t>
      </w:r>
      <w:r w:rsidR="001B2593" w:rsidRPr="00463865">
        <w:rPr>
          <w:rFonts w:ascii="Palatino Linotype" w:eastAsia="Palatino Linotype" w:hAnsi="Palatino Linotype" w:cs="Palatino Linotype"/>
          <w:sz w:val="24"/>
          <w:szCs w:val="24"/>
        </w:rPr>
        <w:t xml:space="preserve">le denominará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04750F">
        <w:rPr>
          <w:rFonts w:ascii="Palatino Linotype" w:eastAsia="Palatino Linotype" w:hAnsi="Palatino Linotype" w:cs="Palatino Linotype"/>
          <w:b/>
          <w:color w:val="000000"/>
          <w:sz w:val="24"/>
          <w:szCs w:val="24"/>
        </w:rPr>
        <w:t>diecisiete</w:t>
      </w:r>
      <w:r w:rsidR="00450FAA">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F95E0E">
        <w:rPr>
          <w:rFonts w:ascii="Palatino Linotype" w:eastAsia="Palatino Linotype" w:hAnsi="Palatino Linotype" w:cs="Palatino Linotype"/>
          <w:b/>
          <w:color w:val="000000"/>
          <w:sz w:val="24"/>
          <w:szCs w:val="24"/>
        </w:rPr>
        <w:t>febrero</w:t>
      </w:r>
      <w:r w:rsidR="00581B22">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0004750F">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E73741">
        <w:rPr>
          <w:rFonts w:ascii="Palatino Linotype" w:eastAsia="Palatino Linotype" w:hAnsi="Palatino Linotype" w:cs="Palatino Linotype"/>
          <w:b/>
          <w:color w:val="000000"/>
          <w:sz w:val="24"/>
          <w:szCs w:val="24"/>
        </w:rPr>
        <w:t>0673</w:t>
      </w:r>
      <w:r w:rsidR="00654638">
        <w:rPr>
          <w:rFonts w:ascii="Palatino Linotype" w:eastAsia="Palatino Linotype" w:hAnsi="Palatino Linotype" w:cs="Palatino Linotype"/>
          <w:b/>
          <w:color w:val="000000"/>
          <w:sz w:val="24"/>
          <w:szCs w:val="24"/>
        </w:rPr>
        <w:t>/</w:t>
      </w:r>
      <w:r w:rsidR="00773047">
        <w:rPr>
          <w:rFonts w:ascii="Palatino Linotype" w:eastAsia="Palatino Linotype" w:hAnsi="Palatino Linotype" w:cs="Palatino Linotype"/>
          <w:b/>
          <w:color w:val="000000"/>
          <w:sz w:val="24"/>
          <w:szCs w:val="24"/>
        </w:rPr>
        <w:t>TEPOTZOT</w:t>
      </w:r>
      <w:r w:rsidR="00666601">
        <w:rPr>
          <w:rFonts w:ascii="Palatino Linotype" w:eastAsia="Palatino Linotype" w:hAnsi="Palatino Linotype" w:cs="Palatino Linotype"/>
          <w:b/>
          <w:color w:val="000000"/>
          <w:sz w:val="24"/>
          <w:szCs w:val="24"/>
        </w:rPr>
        <w:t>/IP/2026</w:t>
      </w:r>
      <w:r w:rsidR="00913BCC">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E73741"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0673/TEPOTZOT/IP/2026</w:t>
      </w:r>
      <w:r w:rsidR="00656D21" w:rsidRPr="00463865">
        <w:rPr>
          <w:rFonts w:ascii="Palatino Linotype" w:eastAsia="Palatino Linotype" w:hAnsi="Palatino Linotype" w:cs="Palatino Linotype"/>
          <w:b/>
          <w:color w:val="000000"/>
          <w:sz w:val="24"/>
          <w:szCs w:val="24"/>
        </w:rPr>
        <w:t>:</w:t>
      </w:r>
    </w:p>
    <w:p w:rsidR="009A0E57" w:rsidRPr="00E73741"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E73741">
        <w:rPr>
          <w:rFonts w:ascii="Palatino Linotype" w:eastAsia="Palatino Linotype" w:hAnsi="Palatino Linotype" w:cs="Palatino Linotype"/>
          <w:i/>
          <w:color w:val="000000"/>
          <w:sz w:val="24"/>
          <w:szCs w:val="24"/>
        </w:rPr>
        <w:t>“</w:t>
      </w:r>
      <w:r w:rsidR="00E73741" w:rsidRPr="00E73741">
        <w:rPr>
          <w:rFonts w:ascii="Palatino Linotype" w:hAnsi="Palatino Linotype"/>
          <w:i/>
          <w:color w:val="000000"/>
          <w:sz w:val="24"/>
          <w:szCs w:val="24"/>
        </w:rPr>
        <w:t>Solicito: a) Relación de contratos celebrados en 2026 por la Dirección. b) Tipo de procedimiento utilizado (licitación pública, invitación restringida, adjudicación directa). c) Justificación técnica y jurídica de cada adjudicación directa. d) Monto total contratado por proveedor y copia de contratos en versión pública. e) Informe si alguno de los proveedores tiene vínculo con servidores públicos municipales</w:t>
      </w:r>
      <w:r w:rsidR="00F95E0E" w:rsidRPr="00E73741">
        <w:rPr>
          <w:rFonts w:ascii="Palatino Linotype" w:hAnsi="Palatino Linotype"/>
          <w:i/>
          <w:color w:val="000000"/>
          <w:sz w:val="24"/>
          <w:szCs w:val="24"/>
        </w:rPr>
        <w:t>.</w:t>
      </w:r>
      <w:r w:rsidR="00FC3C5B" w:rsidRPr="00E73741">
        <w:rPr>
          <w:rFonts w:ascii="Palatino Linotype" w:hAnsi="Palatino Linotype"/>
          <w:i/>
          <w:color w:val="000000"/>
          <w:sz w:val="24"/>
          <w:szCs w:val="24"/>
        </w:rPr>
        <w:t xml:space="preserve">” </w:t>
      </w:r>
      <w:r w:rsidR="003B3AF6" w:rsidRPr="00E73741">
        <w:rPr>
          <w:rFonts w:ascii="Palatino Linotype" w:hAnsi="Palatino Linotype"/>
          <w:i/>
          <w:color w:val="000000"/>
          <w:sz w:val="24"/>
          <w:szCs w:val="24"/>
        </w:rPr>
        <w:t>(</w:t>
      </w:r>
      <w:r w:rsidRPr="00E73741">
        <w:rPr>
          <w:rFonts w:ascii="Palatino Linotype" w:eastAsia="Palatino Linotype" w:hAnsi="Palatino Linotype" w:cs="Palatino Linotype"/>
          <w:i/>
          <w:color w:val="000000"/>
          <w:sz w:val="24"/>
          <w:szCs w:val="24"/>
        </w:rPr>
        <w:t>Sic)</w:t>
      </w:r>
    </w:p>
    <w:p w:rsidR="00A66C55" w:rsidRPr="00A66C55"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913BCC" w:rsidRDefault="000E16F8" w:rsidP="00071A60">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lastRenderedPageBreak/>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071A60" w:rsidRPr="00071A60" w:rsidRDefault="00071A60" w:rsidP="00071A60">
      <w:pPr>
        <w:spacing w:line="360" w:lineRule="auto"/>
        <w:ind w:firstLine="426"/>
        <w:jc w:val="both"/>
        <w:rPr>
          <w:rFonts w:ascii="Palatino Linotype" w:eastAsia="Palatino Linotype" w:hAnsi="Palatino Linotype" w:cs="Palatino Linotype"/>
          <w:b/>
          <w:sz w:val="24"/>
        </w:rPr>
      </w:pP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CB10C1" w:rsidRDefault="00976118" w:rsidP="00CB10C1">
      <w:pPr>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04750F">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04750F">
        <w:rPr>
          <w:rFonts w:ascii="Palatino Linotype" w:eastAsia="Palatino Linotype" w:hAnsi="Palatino Linotype" w:cs="Palatino Linotype"/>
          <w:b/>
          <w:color w:val="000000"/>
          <w:sz w:val="24"/>
          <w:szCs w:val="24"/>
        </w:rPr>
        <w:t>doce</w:t>
      </w:r>
      <w:r w:rsidR="00071A60">
        <w:rPr>
          <w:rFonts w:ascii="Palatino Linotype" w:eastAsia="Palatino Linotype" w:hAnsi="Palatino Linotype" w:cs="Palatino Linotype"/>
          <w:b/>
          <w:color w:val="000000"/>
          <w:sz w:val="24"/>
          <w:szCs w:val="24"/>
        </w:rPr>
        <w:t xml:space="preserve"> </w:t>
      </w:r>
      <w:r w:rsidR="00666601">
        <w:rPr>
          <w:rFonts w:ascii="Palatino Linotype" w:eastAsia="Palatino Linotype" w:hAnsi="Palatino Linotype" w:cs="Palatino Linotype"/>
          <w:b/>
          <w:color w:val="000000"/>
          <w:sz w:val="24"/>
          <w:szCs w:val="24"/>
        </w:rPr>
        <w:t xml:space="preserve">de </w:t>
      </w:r>
      <w:r w:rsidR="0004750F">
        <w:rPr>
          <w:rFonts w:ascii="Palatino Linotype" w:eastAsia="Palatino Linotype" w:hAnsi="Palatino Linotype" w:cs="Palatino Linotype"/>
          <w:b/>
          <w:color w:val="000000"/>
          <w:sz w:val="24"/>
          <w:szCs w:val="24"/>
        </w:rPr>
        <w:t>marzo</w:t>
      </w:r>
      <w:r w:rsidR="00836DD8" w:rsidRPr="00463865">
        <w:rPr>
          <w:rFonts w:ascii="Palatino Linotype" w:eastAsia="Palatino Linotype" w:hAnsi="Palatino Linotype" w:cs="Palatino Linotype"/>
          <w:b/>
          <w:color w:val="000000"/>
          <w:sz w:val="24"/>
          <w:szCs w:val="24"/>
        </w:rPr>
        <w:t xml:space="preserve"> </w:t>
      </w:r>
      <w:r w:rsidR="0057229D">
        <w:rPr>
          <w:rFonts w:ascii="Palatino Linotype" w:eastAsia="Palatino Linotype" w:hAnsi="Palatino Linotype" w:cs="Palatino Linotype"/>
          <w:b/>
          <w:color w:val="000000"/>
          <w:sz w:val="24"/>
          <w:szCs w:val="24"/>
        </w:rPr>
        <w:t>de dos mil veintiséis</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E73741">
        <w:rPr>
          <w:rFonts w:ascii="Palatino Linotype" w:eastAsia="Palatino Linotype" w:hAnsi="Palatino Linotype" w:cs="Palatino Linotype"/>
          <w:b/>
          <w:sz w:val="24"/>
          <w:szCs w:val="24"/>
        </w:rPr>
        <w:t>3208</w:t>
      </w:r>
      <w:r w:rsidR="002A34A1" w:rsidRPr="00272E67">
        <w:rPr>
          <w:rFonts w:ascii="Palatino Linotype" w:eastAsia="Palatino Linotype" w:hAnsi="Palatino Linotype" w:cs="Palatino Linotype"/>
          <w:b/>
          <w:sz w:val="24"/>
          <w:szCs w:val="24"/>
        </w:rPr>
        <w:t>/INFOEM/IP/RR/2026</w:t>
      </w:r>
      <w:r w:rsidR="00F569B3" w:rsidRPr="00F569B3">
        <w:rPr>
          <w:rFonts w:ascii="Palatino Linotype" w:eastAsia="Palatino Linotype" w:hAnsi="Palatino Linotype" w:cs="Palatino Linotype"/>
          <w:color w:val="000000"/>
          <w:sz w:val="24"/>
          <w:szCs w:val="24"/>
        </w:rPr>
        <w:t>,</w:t>
      </w:r>
      <w:r w:rsidR="00F569B3">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E73741" w:rsidRDefault="00331433" w:rsidP="006B375B">
      <w:pPr>
        <w:ind w:left="633"/>
        <w:jc w:val="both"/>
        <w:rPr>
          <w:rFonts w:ascii="Palatino Linotype" w:eastAsia="Times New Roman" w:hAnsi="Palatino Linotype" w:cs="Times New Roman"/>
          <w:i/>
          <w:sz w:val="24"/>
          <w:szCs w:val="24"/>
          <w:lang w:val="es-MX"/>
        </w:rPr>
      </w:pPr>
      <w:r w:rsidRPr="00E73741">
        <w:rPr>
          <w:rFonts w:ascii="Palatino Linotype" w:eastAsia="Palatino Linotype" w:hAnsi="Palatino Linotype" w:cs="Palatino Linotype"/>
          <w:i/>
          <w:color w:val="000000"/>
          <w:sz w:val="24"/>
          <w:szCs w:val="24"/>
        </w:rPr>
        <w:t>“</w:t>
      </w:r>
      <w:r w:rsidR="00E73741" w:rsidRPr="00E73741">
        <w:rPr>
          <w:rFonts w:ascii="Palatino Linotype" w:hAnsi="Palatino Linotype"/>
          <w:i/>
          <w:color w:val="000000"/>
          <w:sz w:val="24"/>
          <w:szCs w:val="24"/>
        </w:rPr>
        <w:t>Solicito: a) Relación de contratos celebrados en 2026 por la Dirección. b) Tipo de procedimiento utilizado (licitación pública, invitación restringida, adjudicación directa). c) Justificación técnica y jurídica de cada adjudicación directa. d) Monto total contratado por proveedor y copia de contratos en versión pública. e) Informe si alguno de los proveedores tiene vínculo con servidores públicos municipales</w:t>
      </w:r>
      <w:r w:rsidR="00071A60" w:rsidRPr="00E73741">
        <w:rPr>
          <w:rFonts w:ascii="Palatino Linotype" w:hAnsi="Palatino Linotype"/>
          <w:i/>
          <w:color w:val="000000"/>
          <w:sz w:val="24"/>
          <w:szCs w:val="24"/>
        </w:rPr>
        <w:t>.</w:t>
      </w:r>
      <w:r w:rsidR="0004750F" w:rsidRPr="00E73741">
        <w:rPr>
          <w:rFonts w:ascii="Palatino Linotype" w:hAnsi="Palatino Linotype"/>
          <w:i/>
          <w:color w:val="000000"/>
          <w:sz w:val="24"/>
          <w:szCs w:val="24"/>
        </w:rPr>
        <w:t>”</w:t>
      </w:r>
      <w:r w:rsidR="00071A60" w:rsidRPr="00E73741">
        <w:rPr>
          <w:rFonts w:ascii="Palatino Linotype" w:hAnsi="Palatino Linotype"/>
          <w:i/>
          <w:color w:val="000000"/>
          <w:sz w:val="24"/>
          <w:szCs w:val="24"/>
        </w:rPr>
        <w:t xml:space="preserve"> </w:t>
      </w:r>
      <w:r w:rsidR="009D2402" w:rsidRPr="00E73741">
        <w:rPr>
          <w:rFonts w:ascii="Palatino Linotype" w:hAnsi="Palatino Linotype"/>
          <w:i/>
          <w:color w:val="000000"/>
          <w:sz w:val="24"/>
          <w:szCs w:val="24"/>
        </w:rPr>
        <w:t>(</w:t>
      </w:r>
      <w:r w:rsidRPr="00E73741">
        <w:rPr>
          <w:rFonts w:ascii="Palatino Linotype" w:eastAsia="Palatino Linotype" w:hAnsi="Palatino Linotype" w:cs="Palatino Linotype"/>
          <w:i/>
          <w:color w:val="000000"/>
          <w:sz w:val="24"/>
          <w:szCs w:val="24"/>
        </w:rPr>
        <w:t>Sic).</w:t>
      </w:r>
    </w:p>
    <w:p w:rsidR="00822CF0" w:rsidRPr="00FD7070" w:rsidRDefault="00822CF0" w:rsidP="00822CF0">
      <w:pPr>
        <w:spacing w:after="0"/>
        <w:jc w:val="both"/>
        <w:rPr>
          <w:rFonts w:ascii="Palatino Linotype" w:eastAsia="Palatino Linotype" w:hAnsi="Palatino Linotype" w:cs="Palatino Linotype"/>
          <w:i/>
          <w:color w:val="000000"/>
          <w:sz w:val="24"/>
          <w:szCs w:val="24"/>
        </w:rPr>
      </w:pPr>
    </w:p>
    <w:p w:rsidR="00705D12" w:rsidRPr="00110BF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8F132A" w:rsidRPr="0004750F" w:rsidRDefault="00CB10C1" w:rsidP="008F132A">
      <w:pPr>
        <w:pStyle w:val="Prrafodelista"/>
        <w:ind w:left="720"/>
        <w:jc w:val="both"/>
        <w:rPr>
          <w:rFonts w:ascii="Palatino Linotype" w:hAnsi="Palatino Linotype"/>
          <w:i/>
          <w:lang w:val="es-MX"/>
        </w:rPr>
      </w:pPr>
      <w:r w:rsidRPr="0004750F">
        <w:rPr>
          <w:rFonts w:ascii="Palatino Linotype" w:hAnsi="Palatino Linotype"/>
          <w:i/>
          <w:color w:val="000000"/>
        </w:rPr>
        <w:t>“</w:t>
      </w:r>
      <w:r w:rsidR="0004750F" w:rsidRPr="0004750F">
        <w:rPr>
          <w:rFonts w:ascii="Palatino Linotype" w:hAnsi="Palatino Linotype"/>
          <w:i/>
          <w:color w:val="000000"/>
        </w:rPr>
        <w:t xml:space="preserve">El H. Ayuntamiento de Tepotzotlán incurrió en una omisión total de respuesta dentro del plazo legal, vulnerando de manera directa, flagrante y continuada mi derecho humano de acceso a la información pública, así como los principios rectores de legalidad, certeza jurídica, máxima publicidad, exhaustividad, rendición de cuentas y transparencia gubernamental. El Sujeto Obligado desplegó una conducta administrativa ilegal consistente en: No emitir respuesta dentro del plazo legal, configurando negativa ficta. No realizar búsqueda exhaustiva ni documentada en sus archivos físicos, electrónicos, administrativos o jurídicos. No fundar ni motivar inexistencia, reserva o clasificación de la información solicitada. No proporcionar los documentos públicos requeridos, pese a tratarse de información generada </w:t>
      </w:r>
      <w:r w:rsidR="0004750F" w:rsidRPr="0004750F">
        <w:rPr>
          <w:rFonts w:ascii="Palatino Linotype" w:hAnsi="Palatino Linotype"/>
          <w:i/>
          <w:color w:val="000000"/>
        </w:rPr>
        <w:lastRenderedPageBreak/>
        <w:t xml:space="preserve">en ejercicio de funciones públicas. No orientar, turnar la solicitud ni justificar ampliación de plazo, incumpliendo el procedimiento legal. Dicha conducta constituye una obstrucción directa, dolosa y sancionable del derecho de acceso a la información, colocándome en un estado de incertidumbre jurídica al no existir resolución válida emitida por autoridad competente. La omisión reiterada de respuestas en materia de transparencia genera presunción de opacidad institucional, contraria al sistema constitucional de rendición de cuentas. El actuar del Ayuntamiento transgrede los artículos 6° y 8° de la Constitución Política de los Estados Unidos Mexicanos, que garantizan: El derecho humano de acceso a la información pública. El derecho de petición con respuesta fundada y motivada. Asimismo, contraviene los artículos 4, 11, 15, 92, 111, 112, 150, 151, 152, 160, 162, 176, 177, 178, 179 y 180 de la Ley de Transparencia y Acceso a la Información Pública del Estado de México y Municipios, que obligan al sujeto obligado a: Tramitar la solicitud de información. Realizar búsqueda exhaustiva y documentada. Emitir respuesta dentro del plazo legal. Entregar información pública generada en ejercicio de sus atribuciones. Al no hacerlo, el Ayuntamiento incurrió en una omisión absoluta expresamente sancionable por la ley, susceptible de responsabilidad administrativa para los servidores públicos involucrados. Por lo expuesto, solicito respetuosamente a ese Órgano Garante: 1. Declarar fundada la omisión del Sujeto Obligado, por no responder dentro del plazo legal. 2. Ordenar al H. Ayuntamiento de Tepotzotlán emitir respuesta inmediata, debidamente fundada y motivada, garantizando búsqueda exhaustiva en todos sus archivos. 3. Ordenar la entrega íntegra de la información solicitada, bajo el principio de máxima publicidad. 4. Apercibir formalmente a la Unidad de Transparencia, por incumplimiento a la Ley. 5. Dar vista al Órgano Interno de Control, para que inicie procedimiento de responsabilidad administrativa conforme a los artículos 194 a 224 de la Ley de Transparencia del Estado de México y Municipios, así como a la Ley de Responsabilidades Administrativas del Estado de México y Municipios. 6. Imponer las sanciones correspondientes por la obstrucción del derecho de acceso a la información. En caso de que el Sujeto Obligado alegue inexistencia: Se requiera al Comité de Transparencia realizar verificación exhaustiva, con acta circunstanciada y motivación jurídica. En caso de reserva: Se exija prueba de daño específica, temporalidad de reserva y fundamentación legal estricta. En caso de datos personales: Se ordene versión pública con testado proporcional y acta del Comité de Transparencia. La omisión de respuesta por parte del Ayuntamiento no solo vulnera un derecho humano, sino que atenta contra el sistema democrático de rendición de cuentas y transparencia que rige a toda autoridad pública. Por lo anterior, solicito la intervención inmediata del INFOEM para restituir plenamente mi derecho y sancionar la conducta omisiva del Sujeto Obligado. Se solicita se considere el historial de </w:t>
      </w:r>
      <w:r w:rsidR="0004750F" w:rsidRPr="0004750F">
        <w:rPr>
          <w:rFonts w:ascii="Palatino Linotype" w:hAnsi="Palatino Linotype"/>
          <w:i/>
          <w:color w:val="000000"/>
        </w:rPr>
        <w:lastRenderedPageBreak/>
        <w:t>incumplimientos del Sujeto Obligado, en caso de existir, como agravante para efectos de sanción</w:t>
      </w:r>
      <w:r w:rsidR="00D833EE" w:rsidRPr="0004750F">
        <w:rPr>
          <w:rFonts w:ascii="Palatino Linotype" w:hAnsi="Palatino Linotype"/>
          <w:i/>
          <w:color w:val="000000"/>
        </w:rPr>
        <w:t>.</w:t>
      </w:r>
      <w:r w:rsidR="00D833EE" w:rsidRPr="0004750F">
        <w:rPr>
          <w:rFonts w:ascii="Palatino Linotype" w:eastAsia="Palatino Linotype" w:hAnsi="Palatino Linotype" w:cs="Palatino Linotype"/>
          <w:i/>
          <w:color w:val="000000"/>
        </w:rPr>
        <w:t xml:space="preserve"> </w:t>
      </w:r>
      <w:r w:rsidR="008F132A" w:rsidRPr="0004750F">
        <w:rPr>
          <w:rFonts w:ascii="Palatino Linotype" w:eastAsia="Palatino Linotype" w:hAnsi="Palatino Linotype" w:cs="Palatino Linotype"/>
          <w:i/>
          <w:color w:val="000000"/>
        </w:rPr>
        <w:t>“(Sic).</w:t>
      </w: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F569B3" w:rsidRDefault="00331433" w:rsidP="00F569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F95E0E">
        <w:rPr>
          <w:rFonts w:ascii="Palatino Linotype" w:eastAsia="Palatino Linotype" w:hAnsi="Palatino Linotype" w:cs="Palatino Linotype"/>
          <w:b/>
          <w:color w:val="000000"/>
          <w:sz w:val="24"/>
          <w:szCs w:val="24"/>
        </w:rPr>
        <w:t>diecisiete</w:t>
      </w:r>
      <w:r w:rsidR="00BE050E" w:rsidRPr="00F569B3">
        <w:rPr>
          <w:rFonts w:ascii="Palatino Linotype" w:eastAsia="Palatino Linotype" w:hAnsi="Palatino Linotype" w:cs="Palatino Linotype"/>
          <w:b/>
          <w:color w:val="000000"/>
          <w:sz w:val="24"/>
          <w:szCs w:val="24"/>
        </w:rPr>
        <w:t xml:space="preserve"> </w:t>
      </w:r>
      <w:r w:rsidR="00A3780B" w:rsidRPr="00F569B3">
        <w:rPr>
          <w:rFonts w:ascii="Palatino Linotype" w:eastAsia="Palatino Linotype" w:hAnsi="Palatino Linotype" w:cs="Palatino Linotype"/>
          <w:b/>
          <w:color w:val="000000"/>
          <w:sz w:val="24"/>
          <w:szCs w:val="24"/>
        </w:rPr>
        <w:t xml:space="preserve">de </w:t>
      </w:r>
      <w:r w:rsidR="00780931" w:rsidRPr="00F569B3">
        <w:rPr>
          <w:rFonts w:ascii="Palatino Linotype" w:eastAsia="Palatino Linotype" w:hAnsi="Palatino Linotype" w:cs="Palatino Linotype"/>
          <w:b/>
          <w:color w:val="000000"/>
          <w:sz w:val="24"/>
          <w:szCs w:val="24"/>
        </w:rPr>
        <w:t>marzo</w:t>
      </w:r>
      <w:r w:rsidR="002A34A1" w:rsidRPr="00F569B3">
        <w:rPr>
          <w:rFonts w:ascii="Palatino Linotype" w:eastAsia="Palatino Linotype" w:hAnsi="Palatino Linotype" w:cs="Palatino Linotype"/>
          <w:b/>
          <w:color w:val="000000"/>
          <w:sz w:val="24"/>
          <w:szCs w:val="24"/>
        </w:rPr>
        <w:t xml:space="preserve"> de dos mil veintiséis</w:t>
      </w:r>
      <w:r w:rsidRPr="00F569B3">
        <w:rPr>
          <w:rFonts w:ascii="Palatino Linotype" w:eastAsia="Palatino Linotype" w:hAnsi="Palatino Linotype" w:cs="Palatino Linotype"/>
          <w:b/>
          <w:color w:val="000000"/>
          <w:sz w:val="24"/>
          <w:szCs w:val="24"/>
        </w:rPr>
        <w:t xml:space="preserve">, </w:t>
      </w:r>
      <w:r w:rsidRPr="00F569B3">
        <w:rPr>
          <w:rFonts w:ascii="Palatino Linotype" w:eastAsia="Palatino Linotype" w:hAnsi="Palatino Linotype" w:cs="Palatino Linotype"/>
          <w:sz w:val="24"/>
          <w:szCs w:val="24"/>
        </w:rPr>
        <w:t>determinando</w:t>
      </w:r>
      <w:r w:rsidRPr="00F569B3">
        <w:rPr>
          <w:rFonts w:ascii="Palatino Linotype" w:eastAsia="Palatino Linotype" w:hAnsi="Palatino Linotype" w:cs="Palatino Linotype"/>
          <w:color w:val="000000"/>
          <w:sz w:val="24"/>
          <w:szCs w:val="24"/>
        </w:rPr>
        <w:t xml:space="preserve"> un plazo de siete días para que las partes </w:t>
      </w:r>
      <w:r w:rsidRPr="00F569B3">
        <w:rPr>
          <w:rFonts w:ascii="Palatino Linotype" w:eastAsia="Palatino Linotype" w:hAnsi="Palatino Linotype" w:cs="Palatino Linotype"/>
          <w:sz w:val="24"/>
          <w:szCs w:val="24"/>
        </w:rPr>
        <w:t>manifestar</w:t>
      </w:r>
      <w:r w:rsidR="005C53AF" w:rsidRPr="00F569B3">
        <w:rPr>
          <w:rFonts w:ascii="Palatino Linotype" w:eastAsia="Palatino Linotype" w:hAnsi="Palatino Linotype" w:cs="Palatino Linotype"/>
          <w:sz w:val="24"/>
          <w:szCs w:val="24"/>
        </w:rPr>
        <w:t xml:space="preserve">an </w:t>
      </w:r>
      <w:r w:rsidRPr="00F569B3">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071A60">
        <w:rPr>
          <w:rFonts w:ascii="Palatino Linotype" w:eastAsia="Palatino Linotype" w:hAnsi="Palatino Linotype" w:cs="Palatino Linotype"/>
          <w:b/>
          <w:color w:val="000000"/>
          <w:sz w:val="24"/>
          <w:szCs w:val="24"/>
        </w:rPr>
        <w:t>EL</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F95E0E">
        <w:rPr>
          <w:rFonts w:ascii="Palatino Linotype" w:eastAsia="Palatino Linotype" w:hAnsi="Palatino Linotype" w:cs="Palatino Linotype"/>
          <w:b/>
          <w:color w:val="000000"/>
          <w:sz w:val="24"/>
          <w:szCs w:val="24"/>
        </w:rPr>
        <w:t>veintisiete</w:t>
      </w:r>
      <w:r w:rsidR="0004750F">
        <w:rPr>
          <w:rFonts w:ascii="Palatino Linotype" w:eastAsia="Palatino Linotype" w:hAnsi="Palatino Linotype" w:cs="Palatino Linotype"/>
          <w:b/>
          <w:color w:val="000000"/>
          <w:sz w:val="24"/>
          <w:szCs w:val="24"/>
        </w:rPr>
        <w:t xml:space="preserve"> </w:t>
      </w:r>
      <w:r w:rsidR="009C67D3">
        <w:rPr>
          <w:rFonts w:ascii="Palatino Linotype" w:eastAsia="Palatino Linotype" w:hAnsi="Palatino Linotype" w:cs="Palatino Linotype"/>
          <w:b/>
          <w:color w:val="000000"/>
          <w:sz w:val="24"/>
          <w:szCs w:val="24"/>
        </w:rPr>
        <w:t>de marzo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w:t>
      </w:r>
      <w:r w:rsidRPr="00463865">
        <w:rPr>
          <w:rFonts w:ascii="Palatino Linotype" w:eastAsia="Palatino Linotype" w:hAnsi="Palatino Linotype" w:cs="Palatino Linotype"/>
          <w:color w:val="000000"/>
          <w:sz w:val="24"/>
          <w:szCs w:val="24"/>
        </w:rPr>
        <w:lastRenderedPageBreak/>
        <w:t>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w:t>
      </w:r>
      <w:r w:rsidRPr="00463865">
        <w:rPr>
          <w:rFonts w:ascii="Palatino Linotype" w:eastAsia="Palatino Linotype" w:hAnsi="Palatino Linotype" w:cs="Palatino Linotype"/>
          <w:color w:val="000000"/>
          <w:sz w:val="24"/>
          <w:szCs w:val="24"/>
        </w:rPr>
        <w:lastRenderedPageBreak/>
        <w:t xml:space="preserve">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w:t>
      </w:r>
      <w:r w:rsidRPr="00463865">
        <w:rPr>
          <w:rFonts w:ascii="Palatino Linotype" w:eastAsia="Palatino Linotype" w:hAnsi="Palatino Linotype" w:cs="Palatino Linotype"/>
          <w:color w:val="000000"/>
          <w:sz w:val="24"/>
          <w:szCs w:val="24"/>
        </w:rPr>
        <w:lastRenderedPageBreak/>
        <w:t>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062A62" w:rsidRPr="00463865" w:rsidRDefault="00062A62" w:rsidP="00062A6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es necesario que el Comité de Transparencia emita un Acuerdo de Clasificación que cumpla con las formalidades previstas en los artículos 137, 143 y 149 de </w:t>
      </w:r>
      <w:r w:rsidRPr="00463865">
        <w:rPr>
          <w:rFonts w:ascii="Palatino Linotype" w:eastAsia="Palatino Linotype" w:hAnsi="Palatino Linotype" w:cs="Palatino Linotype"/>
          <w:color w:val="000000"/>
          <w:sz w:val="24"/>
          <w:szCs w:val="24"/>
        </w:rPr>
        <w:lastRenderedPageBreak/>
        <w:t>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E73741" w:rsidRPr="00463865">
        <w:rPr>
          <w:rFonts w:ascii="Palatino Linotype" w:eastAsia="Palatino Linotype" w:hAnsi="Palatino Linotype" w:cs="Palatino Linotype"/>
          <w:b/>
          <w:color w:val="000000"/>
          <w:sz w:val="24"/>
          <w:szCs w:val="24"/>
        </w:rPr>
        <w:t>0</w:t>
      </w:r>
      <w:r w:rsidR="00E73741">
        <w:rPr>
          <w:rFonts w:ascii="Palatino Linotype" w:eastAsia="Palatino Linotype" w:hAnsi="Palatino Linotype" w:cs="Palatino Linotype"/>
          <w:b/>
          <w:color w:val="000000"/>
          <w:sz w:val="24"/>
          <w:szCs w:val="24"/>
        </w:rPr>
        <w:t>0673/TEPOTZOT/IP/2026</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r w:rsidR="00062A62">
        <w:rPr>
          <w:rFonts w:ascii="Palatino Linotype" w:eastAsia="Palatino Linotype" w:hAnsi="Palatino Linotype" w:cs="Palatino Linotype"/>
          <w:sz w:val="24"/>
          <w:szCs w:val="24"/>
        </w:rPr>
        <w:t xml:space="preserve"> --------------------------------------------------</w:t>
      </w:r>
    </w:p>
    <w:p w:rsidR="00062A62" w:rsidRDefault="00062A62">
      <w:pPr>
        <w:spacing w:after="0" w:line="360" w:lineRule="auto"/>
        <w:jc w:val="both"/>
        <w:rPr>
          <w:rFonts w:ascii="Palatino Linotype" w:eastAsia="Palatino Linotype" w:hAnsi="Palatino Linotype" w:cs="Palatino Linotype"/>
          <w:sz w:val="24"/>
          <w:szCs w:val="24"/>
        </w:rPr>
      </w:pPr>
    </w:p>
    <w:p w:rsidR="00062A62" w:rsidRDefault="00062A62">
      <w:pPr>
        <w:spacing w:after="0" w:line="360" w:lineRule="auto"/>
        <w:jc w:val="both"/>
        <w:rPr>
          <w:rFonts w:ascii="Palatino Linotype" w:eastAsia="Palatino Linotype" w:hAnsi="Palatino Linotype" w:cs="Palatino Linotype"/>
          <w:sz w:val="24"/>
          <w:szCs w:val="24"/>
        </w:rPr>
      </w:pPr>
    </w:p>
    <w:p w:rsidR="00062A62" w:rsidRPr="00463865" w:rsidRDefault="00062A62">
      <w:pPr>
        <w:spacing w:after="0" w:line="360" w:lineRule="auto"/>
        <w:jc w:val="both"/>
        <w:rPr>
          <w:rFonts w:ascii="Palatino Linotype" w:eastAsia="Palatino Linotype" w:hAnsi="Palatino Linotype" w:cs="Palatino Linotype"/>
          <w:sz w:val="24"/>
          <w:szCs w:val="24"/>
        </w:rPr>
      </w:pP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9C67D3">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E73741" w:rsidRPr="00463865">
        <w:rPr>
          <w:rFonts w:ascii="Palatino Linotype" w:eastAsia="Palatino Linotype" w:hAnsi="Palatino Linotype" w:cs="Palatino Linotype"/>
          <w:b/>
          <w:color w:val="000000"/>
          <w:sz w:val="24"/>
          <w:szCs w:val="24"/>
        </w:rPr>
        <w:t>0</w:t>
      </w:r>
      <w:r w:rsidR="00E73741">
        <w:rPr>
          <w:rFonts w:ascii="Palatino Linotype" w:eastAsia="Palatino Linotype" w:hAnsi="Palatino Linotype" w:cs="Palatino Linotype"/>
          <w:b/>
          <w:color w:val="000000"/>
          <w:sz w:val="24"/>
          <w:szCs w:val="24"/>
        </w:rPr>
        <w:t>0673/TEPOTZOT/IP/2026</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D833EE">
        <w:rPr>
          <w:rFonts w:ascii="Palatino Linotype" w:eastAsia="Palatino Linotype" w:hAnsi="Palatino Linotype" w:cs="Palatino Linotype"/>
          <w:sz w:val="24"/>
          <w:szCs w:val="24"/>
        </w:rPr>
        <w:t xml:space="preserve"> la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w:t>
      </w:r>
      <w:r w:rsidRPr="00463865">
        <w:rPr>
          <w:rFonts w:ascii="Palatino Linotype" w:eastAsia="Palatino Linotype" w:hAnsi="Palatino Linotype" w:cs="Palatino Linotype"/>
          <w:sz w:val="24"/>
          <w:szCs w:val="24"/>
        </w:rPr>
        <w:lastRenderedPageBreak/>
        <w:t>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071A60">
        <w:rPr>
          <w:rFonts w:ascii="Palatino Linotype" w:eastAsia="Palatino Linotype" w:hAnsi="Palatino Linotype" w:cs="Palatino Linotype"/>
          <w:b/>
          <w:sz w:val="24"/>
          <w:szCs w:val="24"/>
        </w:rPr>
        <w:t>AL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B0A4E" w:rsidRPr="008B0A4E" w:rsidRDefault="008B0A4E" w:rsidP="008B0A4E">
      <w:pPr>
        <w:spacing w:before="240" w:after="240" w:line="360" w:lineRule="auto"/>
        <w:ind w:firstLine="1"/>
        <w:jc w:val="both"/>
        <w:rPr>
          <w:rFonts w:ascii="Palatino Linotype" w:hAnsi="Palatino Linotype"/>
          <w:sz w:val="24"/>
        </w:rPr>
      </w:pPr>
      <w:bookmarkStart w:id="1" w:name="_Hlk99014733"/>
      <w:r w:rsidRPr="008B0A4E">
        <w:rPr>
          <w:rFonts w:ascii="Palatino Linotype" w:hAnsi="Palatino Linotype" w:cs="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F569B3">
        <w:rPr>
          <w:rFonts w:ascii="Palatino Linotype" w:hAnsi="Palatino Linotype" w:cs="Palatino Linotype"/>
          <w:sz w:val="24"/>
        </w:rPr>
        <w:t>MÍREZ PEÑA; EN LA DÉCIMA SEGUNDA</w:t>
      </w:r>
      <w:r w:rsidRPr="008B0A4E">
        <w:rPr>
          <w:rFonts w:ascii="Palatino Linotype" w:hAnsi="Palatino Linotype" w:cs="Palatino Linotype"/>
          <w:sz w:val="24"/>
        </w:rPr>
        <w:t xml:space="preserve"> SESIÓN ORDINARIA, CELEBRADA EL </w:t>
      </w:r>
      <w:r w:rsidR="00F569B3">
        <w:rPr>
          <w:rFonts w:ascii="Palatino Linotype" w:hAnsi="Palatino Linotype" w:cs="Palatino Linotype"/>
          <w:sz w:val="24"/>
        </w:rPr>
        <w:t>OCHO (08) DE ABRIL</w:t>
      </w:r>
      <w:r w:rsidRPr="008B0A4E">
        <w:rPr>
          <w:rFonts w:ascii="Palatino Linotype" w:hAnsi="Palatino Linotype" w:cs="Palatino Linotype"/>
          <w:sz w:val="24"/>
        </w:rPr>
        <w:t xml:space="preserve"> DE DOS MIL VEINTISÉIS, ANTE EL SECRETARIO TÉCNICO DEL PLENO </w:t>
      </w:r>
      <w:r w:rsidRPr="008B0A4E">
        <w:rPr>
          <w:rFonts w:ascii="Palatino Linotype" w:hAnsi="Palatino Linotype" w:cs="Palatino Linotype"/>
          <w:color w:val="000000" w:themeColor="text1"/>
          <w:sz w:val="24"/>
        </w:rPr>
        <w:t>ALEXIS TAPIA RAMÍREZ.</w:t>
      </w:r>
    </w:p>
    <w:bookmarkEnd w:id="1"/>
    <w:p w:rsidR="00F8043F" w:rsidRPr="005A0A08" w:rsidRDefault="00F8043F">
      <w:pPr>
        <w:spacing w:after="0"/>
        <w:rPr>
          <w:sz w:val="28"/>
          <w:szCs w:val="24"/>
        </w:rPr>
      </w:pPr>
    </w:p>
    <w:p w:rsidR="00F8043F" w:rsidRPr="005A0A08"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062A62">
      <w:headerReference w:type="default" r:id="rId9"/>
      <w:footerReference w:type="default" r:id="rId10"/>
      <w:headerReference w:type="first" r:id="rId11"/>
      <w:footerReference w:type="first" r:id="rId12"/>
      <w:pgSz w:w="12240" w:h="15840"/>
      <w:pgMar w:top="2694"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7C7" w:rsidRDefault="000727C7">
      <w:pPr>
        <w:spacing w:after="0" w:line="240" w:lineRule="auto"/>
      </w:pPr>
      <w:r>
        <w:separator/>
      </w:r>
    </w:p>
  </w:endnote>
  <w:endnote w:type="continuationSeparator" w:id="0">
    <w:p w:rsidR="000727C7" w:rsidRDefault="00072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B347B">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B347B">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B347B">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B347B">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7C7" w:rsidRDefault="000727C7">
      <w:pPr>
        <w:spacing w:after="0" w:line="240" w:lineRule="auto"/>
      </w:pPr>
      <w:r>
        <w:separator/>
      </w:r>
    </w:p>
  </w:footnote>
  <w:footnote w:type="continuationSeparator" w:id="0">
    <w:p w:rsidR="000727C7" w:rsidRDefault="000727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461E9B">
    <w:pPr>
      <w:widowControl w:val="0"/>
      <w:pBdr>
        <w:top w:val="nil"/>
        <w:left w:val="nil"/>
        <w:bottom w:val="nil"/>
        <w:right w:val="nil"/>
        <w:between w:val="nil"/>
      </w:pBdr>
      <w:spacing w:after="0" w:line="276" w:lineRule="auto"/>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-1068705</wp:posOffset>
          </wp:positionH>
          <wp:positionV relativeFrom="page">
            <wp:posOffset>29238</wp:posOffset>
          </wp:positionV>
          <wp:extent cx="7705725" cy="9987915"/>
          <wp:effectExtent l="0" t="0" r="0" b="0"/>
          <wp:wrapNone/>
          <wp:docPr id="1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
      <w:tblW w:w="10065" w:type="dxa"/>
      <w:tblInd w:w="1418" w:type="dxa"/>
      <w:tblLayout w:type="fixed"/>
      <w:tblLook w:val="0400" w:firstRow="0" w:lastRow="0" w:firstColumn="0" w:lastColumn="0" w:noHBand="0" w:noVBand="1"/>
    </w:tblPr>
    <w:tblGrid>
      <w:gridCol w:w="5246"/>
      <w:gridCol w:w="4819"/>
    </w:tblGrid>
    <w:tr w:rsidR="003D4DD1">
      <w:trPr>
        <w:trHeight w:val="227"/>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Recurso de Revisión:</w:t>
          </w:r>
        </w:p>
      </w:tc>
      <w:tc>
        <w:tcPr>
          <w:tcW w:w="4819" w:type="dxa"/>
        </w:tcPr>
        <w:p w:rsidR="003D4DD1" w:rsidRDefault="00E73741"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3208/INFOEM/IP/RR/2026</w:t>
          </w:r>
        </w:p>
      </w:tc>
    </w:tr>
    <w:tr w:rsidR="003D4DD1">
      <w:trPr>
        <w:trHeight w:val="242"/>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Sujeto Obligado:</w:t>
          </w:r>
        </w:p>
      </w:tc>
      <w:tc>
        <w:tcPr>
          <w:tcW w:w="4819" w:type="dxa"/>
        </w:tcPr>
        <w:p w:rsidR="003D4DD1" w:rsidRPr="001F2777" w:rsidRDefault="003D4DD1" w:rsidP="003D4DD1">
          <w:pPr>
            <w:spacing w:after="120" w:line="256" w:lineRule="auto"/>
            <w:ind w:right="1207"/>
            <w:rPr>
              <w:rFonts w:ascii="Palatino Linotype" w:hAnsi="Palatino Linotype"/>
              <w:bCs/>
              <w:color w:val="000000"/>
            </w:rPr>
          </w:pPr>
          <w:r>
            <w:rPr>
              <w:rFonts w:ascii="Palatino Linotype" w:hAnsi="Palatino Linotype"/>
              <w:bCs/>
              <w:color w:val="000000"/>
            </w:rPr>
            <w:t>Ayuntamiento de Tepotzotlán</w:t>
          </w:r>
        </w:p>
      </w:tc>
    </w:tr>
    <w:tr w:rsidR="003D4DD1">
      <w:trPr>
        <w:trHeight w:val="342"/>
      </w:trPr>
      <w:tc>
        <w:tcPr>
          <w:tcW w:w="5246" w:type="dxa"/>
        </w:tcPr>
        <w:p w:rsidR="003D4DD1" w:rsidRPr="001B2593" w:rsidRDefault="003D4DD1" w:rsidP="003D4DD1">
          <w:pPr>
            <w:tabs>
              <w:tab w:val="left" w:pos="4892"/>
            </w:tabs>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Comisionado Ponente:</w:t>
          </w:r>
        </w:p>
      </w:tc>
      <w:tc>
        <w:tcPr>
          <w:tcW w:w="4819" w:type="dxa"/>
        </w:tcPr>
        <w:p w:rsidR="003D4DD1" w:rsidRDefault="003D4DD1"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1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Default="009E4B39">
          <w:pPr>
            <w:spacing w:after="120" w:line="256" w:lineRule="auto"/>
            <w:ind w:left="2164" w:right="204"/>
            <w:jc w:val="right"/>
            <w:rPr>
              <w:rFonts w:ascii="Palatino Linotype" w:eastAsia="Palatino Linotype" w:hAnsi="Palatino Linotype" w:cs="Palatino Linotype"/>
              <w:b/>
            </w:rPr>
          </w:pPr>
          <w:bookmarkStart w:id="3" w:name="_heading=h.30j0zll" w:colFirst="0" w:colLast="0"/>
          <w:bookmarkEnd w:id="3"/>
          <w:r>
            <w:rPr>
              <w:rFonts w:ascii="Palatino Linotype" w:eastAsia="Palatino Linotype" w:hAnsi="Palatino Linotype" w:cs="Palatino Linotype"/>
              <w:b/>
            </w:rPr>
            <w:t>Recurso de Revisión:</w:t>
          </w:r>
        </w:p>
      </w:tc>
      <w:tc>
        <w:tcPr>
          <w:tcW w:w="3828" w:type="dxa"/>
        </w:tcPr>
        <w:p w:rsidR="009E4B39" w:rsidRDefault="00E73741" w:rsidP="00C73E50">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3208</w:t>
          </w:r>
          <w:r w:rsidR="0082376A">
            <w:rPr>
              <w:rFonts w:ascii="Palatino Linotype" w:eastAsia="Palatino Linotype" w:hAnsi="Palatino Linotype" w:cs="Palatino Linotype"/>
            </w:rPr>
            <w:t>/INFOEM/IP/RR/2026</w:t>
          </w:r>
          <w:r w:rsidR="009E4B39">
            <w:rPr>
              <w:rFonts w:ascii="Palatino Linotype" w:eastAsia="Palatino Linotype" w:hAnsi="Palatino Linotype" w:cs="Palatino Linotype"/>
            </w:rPr>
            <w:t xml:space="preserve"> </w:t>
          </w:r>
        </w:p>
      </w:tc>
    </w:tr>
    <w:tr w:rsidR="009E4B39">
      <w:trPr>
        <w:trHeight w:val="242"/>
      </w:trPr>
      <w:tc>
        <w:tcPr>
          <w:tcW w:w="6770" w:type="dxa"/>
        </w:tcPr>
        <w:p w:rsidR="009E4B39" w:rsidRDefault="009E4B39">
          <w:pPr>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828" w:type="dxa"/>
        </w:tcPr>
        <w:p w:rsidR="009E4B39" w:rsidRPr="0082376A" w:rsidRDefault="00773047" w:rsidP="003A067C">
          <w:pPr>
            <w:spacing w:after="120" w:line="256" w:lineRule="auto"/>
            <w:ind w:left="-67" w:right="214"/>
            <w:jc w:val="both"/>
            <w:rPr>
              <w:rFonts w:ascii="Palatino Linotype" w:eastAsia="Palatino Linotype" w:hAnsi="Palatino Linotype" w:cs="Palatino Linotype"/>
            </w:rPr>
          </w:pPr>
          <w:r>
            <w:rPr>
              <w:rFonts w:ascii="Palatino Linotype" w:hAnsi="Palatino Linotype"/>
              <w:bCs/>
              <w:color w:val="000000"/>
            </w:rPr>
            <w:t>Ayuntamiento de Tepotzotlán</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828" w:type="dxa"/>
        </w:tcPr>
        <w:p w:rsidR="009E4B39" w:rsidRPr="001F2777" w:rsidRDefault="00EB347B" w:rsidP="003B6725">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XXXX</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828" w:type="dxa"/>
        </w:tcPr>
        <w:p w:rsidR="009E4B39" w:rsidRDefault="009E4B39">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7597"/>
    <w:rsid w:val="00031551"/>
    <w:rsid w:val="00031833"/>
    <w:rsid w:val="00040E91"/>
    <w:rsid w:val="00041640"/>
    <w:rsid w:val="000454A6"/>
    <w:rsid w:val="0004750F"/>
    <w:rsid w:val="00054543"/>
    <w:rsid w:val="0005773E"/>
    <w:rsid w:val="00061A9C"/>
    <w:rsid w:val="00062690"/>
    <w:rsid w:val="00062A62"/>
    <w:rsid w:val="0006596F"/>
    <w:rsid w:val="0007132E"/>
    <w:rsid w:val="00071A60"/>
    <w:rsid w:val="000727C7"/>
    <w:rsid w:val="00073B9B"/>
    <w:rsid w:val="00075175"/>
    <w:rsid w:val="00075CFC"/>
    <w:rsid w:val="00081F6B"/>
    <w:rsid w:val="000907EC"/>
    <w:rsid w:val="00090E5F"/>
    <w:rsid w:val="000951EB"/>
    <w:rsid w:val="00097A79"/>
    <w:rsid w:val="000A0BD1"/>
    <w:rsid w:val="000A7EF9"/>
    <w:rsid w:val="000B1592"/>
    <w:rsid w:val="000B32D4"/>
    <w:rsid w:val="000C031C"/>
    <w:rsid w:val="000C1B44"/>
    <w:rsid w:val="000C282E"/>
    <w:rsid w:val="000C2E96"/>
    <w:rsid w:val="000C31D1"/>
    <w:rsid w:val="000C7BD0"/>
    <w:rsid w:val="000D297B"/>
    <w:rsid w:val="000D3D22"/>
    <w:rsid w:val="000D41EC"/>
    <w:rsid w:val="000D65A2"/>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56DA"/>
    <w:rsid w:val="00130B79"/>
    <w:rsid w:val="00132775"/>
    <w:rsid w:val="001338A8"/>
    <w:rsid w:val="00133CC9"/>
    <w:rsid w:val="00140977"/>
    <w:rsid w:val="0014512C"/>
    <w:rsid w:val="00145A3B"/>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3235"/>
    <w:rsid w:val="00223990"/>
    <w:rsid w:val="00230BBF"/>
    <w:rsid w:val="00230D99"/>
    <w:rsid w:val="00235BB1"/>
    <w:rsid w:val="002369E2"/>
    <w:rsid w:val="00240BC0"/>
    <w:rsid w:val="00242B92"/>
    <w:rsid w:val="00243362"/>
    <w:rsid w:val="00244BDA"/>
    <w:rsid w:val="00244BF1"/>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1858"/>
    <w:rsid w:val="00313A16"/>
    <w:rsid w:val="00313C60"/>
    <w:rsid w:val="003143D6"/>
    <w:rsid w:val="00314BED"/>
    <w:rsid w:val="00317E8A"/>
    <w:rsid w:val="0032056B"/>
    <w:rsid w:val="003247DD"/>
    <w:rsid w:val="00325C47"/>
    <w:rsid w:val="00327F87"/>
    <w:rsid w:val="00331433"/>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34DB"/>
    <w:rsid w:val="003A6917"/>
    <w:rsid w:val="003B0CD1"/>
    <w:rsid w:val="003B112D"/>
    <w:rsid w:val="003B3AF6"/>
    <w:rsid w:val="003B6725"/>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1766"/>
    <w:rsid w:val="00441944"/>
    <w:rsid w:val="00443ED2"/>
    <w:rsid w:val="0044567B"/>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94FA7"/>
    <w:rsid w:val="004A10F1"/>
    <w:rsid w:val="004A4A78"/>
    <w:rsid w:val="004A584E"/>
    <w:rsid w:val="004B2C63"/>
    <w:rsid w:val="004B3D49"/>
    <w:rsid w:val="004B4F04"/>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11813"/>
    <w:rsid w:val="00513BAF"/>
    <w:rsid w:val="00516F18"/>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7408"/>
    <w:rsid w:val="00611CF4"/>
    <w:rsid w:val="00613116"/>
    <w:rsid w:val="00613492"/>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13E"/>
    <w:rsid w:val="00706600"/>
    <w:rsid w:val="00707830"/>
    <w:rsid w:val="007117B8"/>
    <w:rsid w:val="00717444"/>
    <w:rsid w:val="0072254F"/>
    <w:rsid w:val="00723225"/>
    <w:rsid w:val="00723AF8"/>
    <w:rsid w:val="00733F50"/>
    <w:rsid w:val="00734619"/>
    <w:rsid w:val="007428FD"/>
    <w:rsid w:val="00743421"/>
    <w:rsid w:val="00750B9A"/>
    <w:rsid w:val="00751ABF"/>
    <w:rsid w:val="00751F06"/>
    <w:rsid w:val="00752ABE"/>
    <w:rsid w:val="00756CDD"/>
    <w:rsid w:val="00760744"/>
    <w:rsid w:val="007611C3"/>
    <w:rsid w:val="00773047"/>
    <w:rsid w:val="00774537"/>
    <w:rsid w:val="00777B41"/>
    <w:rsid w:val="00780931"/>
    <w:rsid w:val="00780A30"/>
    <w:rsid w:val="00780C07"/>
    <w:rsid w:val="00780F92"/>
    <w:rsid w:val="007824D8"/>
    <w:rsid w:val="00787CCB"/>
    <w:rsid w:val="00791329"/>
    <w:rsid w:val="00792AC3"/>
    <w:rsid w:val="007A1B10"/>
    <w:rsid w:val="007A55E1"/>
    <w:rsid w:val="007B11F7"/>
    <w:rsid w:val="007B1BE9"/>
    <w:rsid w:val="007B47D5"/>
    <w:rsid w:val="007C2803"/>
    <w:rsid w:val="007C696D"/>
    <w:rsid w:val="007D07EA"/>
    <w:rsid w:val="007D7E90"/>
    <w:rsid w:val="007E038C"/>
    <w:rsid w:val="007E2D2C"/>
    <w:rsid w:val="007E4D8A"/>
    <w:rsid w:val="007F092A"/>
    <w:rsid w:val="007F13DC"/>
    <w:rsid w:val="007F1BD4"/>
    <w:rsid w:val="007F400F"/>
    <w:rsid w:val="007F566B"/>
    <w:rsid w:val="007F665B"/>
    <w:rsid w:val="007F6FD7"/>
    <w:rsid w:val="00800DF3"/>
    <w:rsid w:val="00803D98"/>
    <w:rsid w:val="008048DC"/>
    <w:rsid w:val="00805ADF"/>
    <w:rsid w:val="00813324"/>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0A4E"/>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280F"/>
    <w:rsid w:val="00904872"/>
    <w:rsid w:val="00910A3A"/>
    <w:rsid w:val="00913BCC"/>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1FE2"/>
    <w:rsid w:val="00A22B70"/>
    <w:rsid w:val="00A246E3"/>
    <w:rsid w:val="00A26DEC"/>
    <w:rsid w:val="00A32A3C"/>
    <w:rsid w:val="00A33E62"/>
    <w:rsid w:val="00A33E90"/>
    <w:rsid w:val="00A3472D"/>
    <w:rsid w:val="00A35358"/>
    <w:rsid w:val="00A3780B"/>
    <w:rsid w:val="00A37C58"/>
    <w:rsid w:val="00A40B03"/>
    <w:rsid w:val="00A4179B"/>
    <w:rsid w:val="00A43575"/>
    <w:rsid w:val="00A466F9"/>
    <w:rsid w:val="00A51F5E"/>
    <w:rsid w:val="00A5324E"/>
    <w:rsid w:val="00A53793"/>
    <w:rsid w:val="00A556D1"/>
    <w:rsid w:val="00A568EA"/>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411C"/>
    <w:rsid w:val="00AB7344"/>
    <w:rsid w:val="00AC11A9"/>
    <w:rsid w:val="00AC3228"/>
    <w:rsid w:val="00AD27F7"/>
    <w:rsid w:val="00AD59E1"/>
    <w:rsid w:val="00AD5BE8"/>
    <w:rsid w:val="00AE0796"/>
    <w:rsid w:val="00AE15FC"/>
    <w:rsid w:val="00AE4988"/>
    <w:rsid w:val="00AE7E6D"/>
    <w:rsid w:val="00AF13E8"/>
    <w:rsid w:val="00AF1A14"/>
    <w:rsid w:val="00AF37A8"/>
    <w:rsid w:val="00AF4732"/>
    <w:rsid w:val="00AF6A15"/>
    <w:rsid w:val="00AF71CA"/>
    <w:rsid w:val="00B02653"/>
    <w:rsid w:val="00B04880"/>
    <w:rsid w:val="00B07E72"/>
    <w:rsid w:val="00B1082C"/>
    <w:rsid w:val="00B139DB"/>
    <w:rsid w:val="00B14F85"/>
    <w:rsid w:val="00B203A2"/>
    <w:rsid w:val="00B2326D"/>
    <w:rsid w:val="00B27E38"/>
    <w:rsid w:val="00B30A11"/>
    <w:rsid w:val="00B3367F"/>
    <w:rsid w:val="00B34D36"/>
    <w:rsid w:val="00B4111E"/>
    <w:rsid w:val="00B4203C"/>
    <w:rsid w:val="00B435DD"/>
    <w:rsid w:val="00B45EF5"/>
    <w:rsid w:val="00B51D58"/>
    <w:rsid w:val="00B5222A"/>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A26C0"/>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226EF"/>
    <w:rsid w:val="00C23C51"/>
    <w:rsid w:val="00C25D80"/>
    <w:rsid w:val="00C307F4"/>
    <w:rsid w:val="00C31E4E"/>
    <w:rsid w:val="00C3231C"/>
    <w:rsid w:val="00C33E12"/>
    <w:rsid w:val="00C3606C"/>
    <w:rsid w:val="00C456FE"/>
    <w:rsid w:val="00C567E2"/>
    <w:rsid w:val="00C66526"/>
    <w:rsid w:val="00C72DE0"/>
    <w:rsid w:val="00C73E50"/>
    <w:rsid w:val="00C8661D"/>
    <w:rsid w:val="00C87574"/>
    <w:rsid w:val="00C877CB"/>
    <w:rsid w:val="00C9065C"/>
    <w:rsid w:val="00C9182A"/>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833EE"/>
    <w:rsid w:val="00D92728"/>
    <w:rsid w:val="00DA17D3"/>
    <w:rsid w:val="00DA7C20"/>
    <w:rsid w:val="00DB03D7"/>
    <w:rsid w:val="00DB1CA3"/>
    <w:rsid w:val="00DB4455"/>
    <w:rsid w:val="00DB4758"/>
    <w:rsid w:val="00DC607B"/>
    <w:rsid w:val="00DC63FF"/>
    <w:rsid w:val="00DC6460"/>
    <w:rsid w:val="00DF07DC"/>
    <w:rsid w:val="00DF0B9E"/>
    <w:rsid w:val="00DF37C5"/>
    <w:rsid w:val="00DF438F"/>
    <w:rsid w:val="00E041B5"/>
    <w:rsid w:val="00E0590C"/>
    <w:rsid w:val="00E065F3"/>
    <w:rsid w:val="00E1064C"/>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3741"/>
    <w:rsid w:val="00E75851"/>
    <w:rsid w:val="00E7613D"/>
    <w:rsid w:val="00E86C4E"/>
    <w:rsid w:val="00E8794C"/>
    <w:rsid w:val="00E9286D"/>
    <w:rsid w:val="00EA0FB3"/>
    <w:rsid w:val="00EA29F7"/>
    <w:rsid w:val="00EB347B"/>
    <w:rsid w:val="00EC14EF"/>
    <w:rsid w:val="00EC36AB"/>
    <w:rsid w:val="00ED0256"/>
    <w:rsid w:val="00ED579C"/>
    <w:rsid w:val="00EE163B"/>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553AC"/>
    <w:rsid w:val="00F569B3"/>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5E0E"/>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E6728A-391E-4CFE-B5B4-F749B9B0E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1949</TotalTime>
  <Pages>15</Pages>
  <Words>3675</Words>
  <Characters>20217</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590</cp:revision>
  <cp:lastPrinted>2026-04-10T16:12:00Z</cp:lastPrinted>
  <dcterms:created xsi:type="dcterms:W3CDTF">2025-04-24T19:37:00Z</dcterms:created>
  <dcterms:modified xsi:type="dcterms:W3CDTF">2026-04-16T23:55:00Z</dcterms:modified>
</cp:coreProperties>
</file>