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909C2" w:rsidRDefault="00A909C2">
      <w:pPr>
        <w:widowControl w:val="0"/>
        <w:pBdr>
          <w:top w:val="nil"/>
          <w:left w:val="nil"/>
          <w:bottom w:val="nil"/>
          <w:right w:val="nil"/>
          <w:between w:val="nil"/>
        </w:pBdr>
        <w:spacing w:line="276" w:lineRule="auto"/>
      </w:pPr>
    </w:p>
    <w:p w:rsidR="00A909C2" w:rsidRDefault="00A909C2">
      <w:pPr>
        <w:keepNext/>
        <w:keepLines/>
        <w:pBdr>
          <w:top w:val="nil"/>
          <w:left w:val="nil"/>
          <w:bottom w:val="nil"/>
          <w:right w:val="nil"/>
          <w:between w:val="nil"/>
        </w:pBdr>
        <w:spacing w:line="360" w:lineRule="auto"/>
        <w:jc w:val="both"/>
        <w:rPr>
          <w:rFonts w:ascii="Palatino Linotype" w:eastAsia="Palatino Linotype" w:hAnsi="Palatino Linotype" w:cs="Palatino Linotype"/>
          <w:color w:val="FF0000"/>
          <w:sz w:val="22"/>
          <w:szCs w:val="22"/>
        </w:rPr>
      </w:pPr>
    </w:p>
    <w:p w:rsidR="00A909C2" w:rsidRDefault="00BC259C">
      <w:pPr>
        <w:keepNext/>
        <w:keepLines/>
        <w:pBdr>
          <w:top w:val="nil"/>
          <w:left w:val="nil"/>
          <w:bottom w:val="nil"/>
          <w:right w:val="nil"/>
          <w:between w:val="nil"/>
        </w:pBdr>
        <w:spacing w:line="360" w:lineRule="auto"/>
        <w:jc w:val="center"/>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RESOLUCIÓN DEL RECURSO DE REVISIÓN 11566/INFOEM/IP/RR/2025</w:t>
      </w:r>
    </w:p>
    <w:p w:rsidR="00A909C2" w:rsidRDefault="00A909C2">
      <w:pPr>
        <w:spacing w:line="360" w:lineRule="auto"/>
        <w:rPr>
          <w:color w:val="FF0000"/>
        </w:rPr>
      </w:pPr>
    </w:p>
    <w:sdt>
      <w:sdtPr>
        <w:rPr>
          <w:lang w:val="es-ES"/>
        </w:rPr>
        <w:id w:val="-872604412"/>
        <w:docPartObj>
          <w:docPartGallery w:val="Table of Contents"/>
          <w:docPartUnique/>
        </w:docPartObj>
      </w:sdtPr>
      <w:sdtEndPr>
        <w:rPr>
          <w:b/>
          <w:bCs/>
        </w:rPr>
      </w:sdtEndPr>
      <w:sdtContent>
        <w:p w:rsidR="008F2866" w:rsidRPr="007F3B66" w:rsidRDefault="008F2866">
          <w:pPr>
            <w:pStyle w:val="TtulodeTDC"/>
            <w:rPr>
              <w:rFonts w:ascii="Palatino Linotype" w:hAnsi="Palatino Linotype"/>
              <w:sz w:val="22"/>
              <w:szCs w:val="22"/>
            </w:rPr>
          </w:pPr>
          <w:r w:rsidRPr="007F3B66">
            <w:rPr>
              <w:rFonts w:ascii="Palatino Linotype" w:hAnsi="Palatino Linotype"/>
              <w:sz w:val="22"/>
              <w:szCs w:val="22"/>
              <w:lang w:val="es-ES"/>
            </w:rPr>
            <w:t>Contenido</w:t>
          </w:r>
        </w:p>
        <w:p w:rsidR="007F3B66" w:rsidRPr="007F3B66" w:rsidRDefault="008F2866">
          <w:pPr>
            <w:pStyle w:val="TDC1"/>
            <w:rPr>
              <w:rFonts w:ascii="Palatino Linotype" w:eastAsiaTheme="minorEastAsia" w:hAnsi="Palatino Linotype" w:cstheme="minorBidi"/>
              <w:noProof/>
              <w:sz w:val="22"/>
              <w:szCs w:val="22"/>
            </w:rPr>
          </w:pPr>
          <w:r w:rsidRPr="007F3B66">
            <w:rPr>
              <w:rFonts w:ascii="Palatino Linotype" w:hAnsi="Palatino Linotype"/>
              <w:b/>
              <w:bCs/>
              <w:sz w:val="22"/>
              <w:szCs w:val="22"/>
              <w:lang w:val="es-ES"/>
            </w:rPr>
            <w:fldChar w:fldCharType="begin"/>
          </w:r>
          <w:r w:rsidRPr="007F3B66">
            <w:rPr>
              <w:rFonts w:ascii="Palatino Linotype" w:hAnsi="Palatino Linotype"/>
              <w:b/>
              <w:bCs/>
              <w:sz w:val="22"/>
              <w:szCs w:val="22"/>
              <w:lang w:val="es-ES"/>
            </w:rPr>
            <w:instrText xml:space="preserve"> TOC \o "1-3" \h \z \u </w:instrText>
          </w:r>
          <w:r w:rsidRPr="007F3B66">
            <w:rPr>
              <w:rFonts w:ascii="Palatino Linotype" w:hAnsi="Palatino Linotype"/>
              <w:b/>
              <w:bCs/>
              <w:sz w:val="22"/>
              <w:szCs w:val="22"/>
              <w:lang w:val="es-ES"/>
            </w:rPr>
            <w:fldChar w:fldCharType="separate"/>
          </w:r>
          <w:hyperlink w:anchor="_Toc221207291" w:history="1">
            <w:r w:rsidR="007F3B66" w:rsidRPr="007F3B66">
              <w:rPr>
                <w:rStyle w:val="Hipervnculo"/>
                <w:rFonts w:ascii="Palatino Linotype" w:hAnsi="Palatino Linotype"/>
                <w:noProof/>
                <w:sz w:val="22"/>
                <w:szCs w:val="22"/>
              </w:rPr>
              <w:t>A N T E C E D E N T E S</w:t>
            </w:r>
            <w:r w:rsidR="007F3B66" w:rsidRPr="007F3B66">
              <w:rPr>
                <w:rFonts w:ascii="Palatino Linotype" w:hAnsi="Palatino Linotype"/>
                <w:noProof/>
                <w:webHidden/>
                <w:sz w:val="22"/>
                <w:szCs w:val="22"/>
              </w:rPr>
              <w:tab/>
            </w:r>
            <w:r w:rsidR="007F3B66" w:rsidRPr="007F3B66">
              <w:rPr>
                <w:rFonts w:ascii="Palatino Linotype" w:hAnsi="Palatino Linotype"/>
                <w:noProof/>
                <w:webHidden/>
                <w:sz w:val="22"/>
                <w:szCs w:val="22"/>
              </w:rPr>
              <w:fldChar w:fldCharType="begin"/>
            </w:r>
            <w:r w:rsidR="007F3B66" w:rsidRPr="007F3B66">
              <w:rPr>
                <w:rFonts w:ascii="Palatino Linotype" w:hAnsi="Palatino Linotype"/>
                <w:noProof/>
                <w:webHidden/>
                <w:sz w:val="22"/>
                <w:szCs w:val="22"/>
              </w:rPr>
              <w:instrText xml:space="preserve"> PAGEREF _Toc221207291 \h </w:instrText>
            </w:r>
            <w:r w:rsidR="007F3B66" w:rsidRPr="007F3B66">
              <w:rPr>
                <w:rFonts w:ascii="Palatino Linotype" w:hAnsi="Palatino Linotype"/>
                <w:noProof/>
                <w:webHidden/>
                <w:sz w:val="22"/>
                <w:szCs w:val="22"/>
              </w:rPr>
            </w:r>
            <w:r w:rsidR="007F3B66" w:rsidRPr="007F3B66">
              <w:rPr>
                <w:rFonts w:ascii="Palatino Linotype" w:hAnsi="Palatino Linotype"/>
                <w:noProof/>
                <w:webHidden/>
                <w:sz w:val="22"/>
                <w:szCs w:val="22"/>
              </w:rPr>
              <w:fldChar w:fldCharType="separate"/>
            </w:r>
            <w:r w:rsidR="009B6F91">
              <w:rPr>
                <w:rFonts w:ascii="Palatino Linotype" w:hAnsi="Palatino Linotype"/>
                <w:noProof/>
                <w:webHidden/>
                <w:sz w:val="22"/>
                <w:szCs w:val="22"/>
              </w:rPr>
              <w:t>2</w:t>
            </w:r>
            <w:r w:rsidR="007F3B66" w:rsidRPr="007F3B66">
              <w:rPr>
                <w:rFonts w:ascii="Palatino Linotype" w:hAnsi="Palatino Linotype"/>
                <w:noProof/>
                <w:webHidden/>
                <w:sz w:val="22"/>
                <w:szCs w:val="22"/>
              </w:rPr>
              <w:fldChar w:fldCharType="end"/>
            </w:r>
          </w:hyperlink>
        </w:p>
        <w:p w:rsidR="007F3B66" w:rsidRPr="007F3B66" w:rsidRDefault="003C1C06">
          <w:pPr>
            <w:pStyle w:val="TDC2"/>
            <w:tabs>
              <w:tab w:val="right" w:leader="dot" w:pos="9034"/>
            </w:tabs>
            <w:rPr>
              <w:rFonts w:ascii="Palatino Linotype" w:eastAsiaTheme="minorEastAsia" w:hAnsi="Palatino Linotype" w:cstheme="minorBidi"/>
              <w:noProof/>
              <w:sz w:val="22"/>
              <w:szCs w:val="22"/>
            </w:rPr>
          </w:pPr>
          <w:hyperlink w:anchor="_Toc221207292" w:history="1">
            <w:r w:rsidR="007F3B66" w:rsidRPr="007F3B66">
              <w:rPr>
                <w:rStyle w:val="Hipervnculo"/>
                <w:rFonts w:ascii="Palatino Linotype" w:hAnsi="Palatino Linotype"/>
                <w:noProof/>
                <w:sz w:val="22"/>
                <w:szCs w:val="22"/>
              </w:rPr>
              <w:t>I. Presentación de la solicitud de información</w:t>
            </w:r>
            <w:r w:rsidR="007F3B66" w:rsidRPr="007F3B66">
              <w:rPr>
                <w:rFonts w:ascii="Palatino Linotype" w:hAnsi="Palatino Linotype"/>
                <w:noProof/>
                <w:webHidden/>
                <w:sz w:val="22"/>
                <w:szCs w:val="22"/>
              </w:rPr>
              <w:tab/>
            </w:r>
            <w:r w:rsidR="007F3B66" w:rsidRPr="007F3B66">
              <w:rPr>
                <w:rFonts w:ascii="Palatino Linotype" w:hAnsi="Palatino Linotype"/>
                <w:noProof/>
                <w:webHidden/>
                <w:sz w:val="22"/>
                <w:szCs w:val="22"/>
              </w:rPr>
              <w:fldChar w:fldCharType="begin"/>
            </w:r>
            <w:r w:rsidR="007F3B66" w:rsidRPr="007F3B66">
              <w:rPr>
                <w:rFonts w:ascii="Palatino Linotype" w:hAnsi="Palatino Linotype"/>
                <w:noProof/>
                <w:webHidden/>
                <w:sz w:val="22"/>
                <w:szCs w:val="22"/>
              </w:rPr>
              <w:instrText xml:space="preserve"> PAGEREF _Toc221207292 \h </w:instrText>
            </w:r>
            <w:r w:rsidR="007F3B66" w:rsidRPr="007F3B66">
              <w:rPr>
                <w:rFonts w:ascii="Palatino Linotype" w:hAnsi="Palatino Linotype"/>
                <w:noProof/>
                <w:webHidden/>
                <w:sz w:val="22"/>
                <w:szCs w:val="22"/>
              </w:rPr>
            </w:r>
            <w:r w:rsidR="007F3B66" w:rsidRPr="007F3B66">
              <w:rPr>
                <w:rFonts w:ascii="Palatino Linotype" w:hAnsi="Palatino Linotype"/>
                <w:noProof/>
                <w:webHidden/>
                <w:sz w:val="22"/>
                <w:szCs w:val="22"/>
              </w:rPr>
              <w:fldChar w:fldCharType="separate"/>
            </w:r>
            <w:r w:rsidR="009B6F91">
              <w:rPr>
                <w:rFonts w:ascii="Palatino Linotype" w:hAnsi="Palatino Linotype"/>
                <w:noProof/>
                <w:webHidden/>
                <w:sz w:val="22"/>
                <w:szCs w:val="22"/>
              </w:rPr>
              <w:t>2</w:t>
            </w:r>
            <w:r w:rsidR="007F3B66" w:rsidRPr="007F3B66">
              <w:rPr>
                <w:rFonts w:ascii="Palatino Linotype" w:hAnsi="Palatino Linotype"/>
                <w:noProof/>
                <w:webHidden/>
                <w:sz w:val="22"/>
                <w:szCs w:val="22"/>
              </w:rPr>
              <w:fldChar w:fldCharType="end"/>
            </w:r>
          </w:hyperlink>
        </w:p>
        <w:p w:rsidR="007F3B66" w:rsidRPr="007F3B66" w:rsidRDefault="003C1C06">
          <w:pPr>
            <w:pStyle w:val="TDC2"/>
            <w:tabs>
              <w:tab w:val="right" w:leader="dot" w:pos="9034"/>
            </w:tabs>
            <w:rPr>
              <w:rFonts w:ascii="Palatino Linotype" w:eastAsiaTheme="minorEastAsia" w:hAnsi="Palatino Linotype" w:cstheme="minorBidi"/>
              <w:noProof/>
              <w:sz w:val="22"/>
              <w:szCs w:val="22"/>
            </w:rPr>
          </w:pPr>
          <w:hyperlink w:anchor="_Toc221207293" w:history="1">
            <w:r w:rsidR="007F3B66" w:rsidRPr="007F3B66">
              <w:rPr>
                <w:rStyle w:val="Hipervnculo"/>
                <w:rFonts w:ascii="Palatino Linotype" w:hAnsi="Palatino Linotype"/>
                <w:noProof/>
                <w:sz w:val="22"/>
                <w:szCs w:val="22"/>
              </w:rPr>
              <w:t>II. Respuesta del Sujeto Obligado</w:t>
            </w:r>
            <w:r w:rsidR="007F3B66" w:rsidRPr="007F3B66">
              <w:rPr>
                <w:rFonts w:ascii="Palatino Linotype" w:hAnsi="Palatino Linotype"/>
                <w:noProof/>
                <w:webHidden/>
                <w:sz w:val="22"/>
                <w:szCs w:val="22"/>
              </w:rPr>
              <w:tab/>
            </w:r>
            <w:r w:rsidR="007F3B66" w:rsidRPr="007F3B66">
              <w:rPr>
                <w:rFonts w:ascii="Palatino Linotype" w:hAnsi="Palatino Linotype"/>
                <w:noProof/>
                <w:webHidden/>
                <w:sz w:val="22"/>
                <w:szCs w:val="22"/>
              </w:rPr>
              <w:fldChar w:fldCharType="begin"/>
            </w:r>
            <w:r w:rsidR="007F3B66" w:rsidRPr="007F3B66">
              <w:rPr>
                <w:rFonts w:ascii="Palatino Linotype" w:hAnsi="Palatino Linotype"/>
                <w:noProof/>
                <w:webHidden/>
                <w:sz w:val="22"/>
                <w:szCs w:val="22"/>
              </w:rPr>
              <w:instrText xml:space="preserve"> PAGEREF _Toc221207293 \h </w:instrText>
            </w:r>
            <w:r w:rsidR="007F3B66" w:rsidRPr="007F3B66">
              <w:rPr>
                <w:rFonts w:ascii="Palatino Linotype" w:hAnsi="Palatino Linotype"/>
                <w:noProof/>
                <w:webHidden/>
                <w:sz w:val="22"/>
                <w:szCs w:val="22"/>
              </w:rPr>
            </w:r>
            <w:r w:rsidR="007F3B66" w:rsidRPr="007F3B66">
              <w:rPr>
                <w:rFonts w:ascii="Palatino Linotype" w:hAnsi="Palatino Linotype"/>
                <w:noProof/>
                <w:webHidden/>
                <w:sz w:val="22"/>
                <w:szCs w:val="22"/>
              </w:rPr>
              <w:fldChar w:fldCharType="separate"/>
            </w:r>
            <w:r w:rsidR="009B6F91">
              <w:rPr>
                <w:rFonts w:ascii="Palatino Linotype" w:hAnsi="Palatino Linotype"/>
                <w:noProof/>
                <w:webHidden/>
                <w:sz w:val="22"/>
                <w:szCs w:val="22"/>
              </w:rPr>
              <w:t>3</w:t>
            </w:r>
            <w:r w:rsidR="007F3B66" w:rsidRPr="007F3B66">
              <w:rPr>
                <w:rFonts w:ascii="Palatino Linotype" w:hAnsi="Palatino Linotype"/>
                <w:noProof/>
                <w:webHidden/>
                <w:sz w:val="22"/>
                <w:szCs w:val="22"/>
              </w:rPr>
              <w:fldChar w:fldCharType="end"/>
            </w:r>
          </w:hyperlink>
        </w:p>
        <w:p w:rsidR="007F3B66" w:rsidRPr="007F3B66" w:rsidRDefault="003C1C06">
          <w:pPr>
            <w:pStyle w:val="TDC2"/>
            <w:tabs>
              <w:tab w:val="right" w:leader="dot" w:pos="9034"/>
            </w:tabs>
            <w:rPr>
              <w:rFonts w:ascii="Palatino Linotype" w:eastAsiaTheme="minorEastAsia" w:hAnsi="Palatino Linotype" w:cstheme="minorBidi"/>
              <w:noProof/>
              <w:sz w:val="22"/>
              <w:szCs w:val="22"/>
            </w:rPr>
          </w:pPr>
          <w:hyperlink w:anchor="_Toc221207294" w:history="1">
            <w:r w:rsidR="007F3B66" w:rsidRPr="007F3B66">
              <w:rPr>
                <w:rStyle w:val="Hipervnculo"/>
                <w:rFonts w:ascii="Palatino Linotype" w:hAnsi="Palatino Linotype"/>
                <w:noProof/>
                <w:sz w:val="22"/>
                <w:szCs w:val="22"/>
              </w:rPr>
              <w:t>III. Interposición del Recurso de Revisión</w:t>
            </w:r>
            <w:r w:rsidR="007F3B66" w:rsidRPr="007F3B66">
              <w:rPr>
                <w:rFonts w:ascii="Palatino Linotype" w:hAnsi="Palatino Linotype"/>
                <w:noProof/>
                <w:webHidden/>
                <w:sz w:val="22"/>
                <w:szCs w:val="22"/>
              </w:rPr>
              <w:tab/>
            </w:r>
            <w:r w:rsidR="007F3B66" w:rsidRPr="007F3B66">
              <w:rPr>
                <w:rFonts w:ascii="Palatino Linotype" w:hAnsi="Palatino Linotype"/>
                <w:noProof/>
                <w:webHidden/>
                <w:sz w:val="22"/>
                <w:szCs w:val="22"/>
              </w:rPr>
              <w:fldChar w:fldCharType="begin"/>
            </w:r>
            <w:r w:rsidR="007F3B66" w:rsidRPr="007F3B66">
              <w:rPr>
                <w:rFonts w:ascii="Palatino Linotype" w:hAnsi="Palatino Linotype"/>
                <w:noProof/>
                <w:webHidden/>
                <w:sz w:val="22"/>
                <w:szCs w:val="22"/>
              </w:rPr>
              <w:instrText xml:space="preserve"> PAGEREF _Toc221207294 \h </w:instrText>
            </w:r>
            <w:r w:rsidR="007F3B66" w:rsidRPr="007F3B66">
              <w:rPr>
                <w:rFonts w:ascii="Palatino Linotype" w:hAnsi="Palatino Linotype"/>
                <w:noProof/>
                <w:webHidden/>
                <w:sz w:val="22"/>
                <w:szCs w:val="22"/>
              </w:rPr>
            </w:r>
            <w:r w:rsidR="007F3B66" w:rsidRPr="007F3B66">
              <w:rPr>
                <w:rFonts w:ascii="Palatino Linotype" w:hAnsi="Palatino Linotype"/>
                <w:noProof/>
                <w:webHidden/>
                <w:sz w:val="22"/>
                <w:szCs w:val="22"/>
              </w:rPr>
              <w:fldChar w:fldCharType="separate"/>
            </w:r>
            <w:r w:rsidR="009B6F91">
              <w:rPr>
                <w:rFonts w:ascii="Palatino Linotype" w:hAnsi="Palatino Linotype"/>
                <w:noProof/>
                <w:webHidden/>
                <w:sz w:val="22"/>
                <w:szCs w:val="22"/>
              </w:rPr>
              <w:t>3</w:t>
            </w:r>
            <w:r w:rsidR="007F3B66" w:rsidRPr="007F3B66">
              <w:rPr>
                <w:rFonts w:ascii="Palatino Linotype" w:hAnsi="Palatino Linotype"/>
                <w:noProof/>
                <w:webHidden/>
                <w:sz w:val="22"/>
                <w:szCs w:val="22"/>
              </w:rPr>
              <w:fldChar w:fldCharType="end"/>
            </w:r>
          </w:hyperlink>
        </w:p>
        <w:p w:rsidR="007F3B66" w:rsidRPr="007F3B66" w:rsidRDefault="003C1C06">
          <w:pPr>
            <w:pStyle w:val="TDC2"/>
            <w:tabs>
              <w:tab w:val="right" w:leader="dot" w:pos="9034"/>
            </w:tabs>
            <w:rPr>
              <w:rFonts w:ascii="Palatino Linotype" w:eastAsiaTheme="minorEastAsia" w:hAnsi="Palatino Linotype" w:cstheme="minorBidi"/>
              <w:noProof/>
              <w:sz w:val="22"/>
              <w:szCs w:val="22"/>
            </w:rPr>
          </w:pPr>
          <w:hyperlink w:anchor="_Toc221207295" w:history="1">
            <w:r w:rsidR="007F3B66" w:rsidRPr="007F3B66">
              <w:rPr>
                <w:rStyle w:val="Hipervnculo"/>
                <w:rFonts w:ascii="Palatino Linotype" w:hAnsi="Palatino Linotype"/>
                <w:noProof/>
                <w:sz w:val="22"/>
                <w:szCs w:val="22"/>
              </w:rPr>
              <w:t>IV. Trámite del Recurso de Revisión ante el Instituto</w:t>
            </w:r>
            <w:r w:rsidR="007F3B66" w:rsidRPr="007F3B66">
              <w:rPr>
                <w:rFonts w:ascii="Palatino Linotype" w:hAnsi="Palatino Linotype"/>
                <w:noProof/>
                <w:webHidden/>
                <w:sz w:val="22"/>
                <w:szCs w:val="22"/>
              </w:rPr>
              <w:tab/>
            </w:r>
            <w:r w:rsidR="007F3B66" w:rsidRPr="007F3B66">
              <w:rPr>
                <w:rFonts w:ascii="Palatino Linotype" w:hAnsi="Palatino Linotype"/>
                <w:noProof/>
                <w:webHidden/>
                <w:sz w:val="22"/>
                <w:szCs w:val="22"/>
              </w:rPr>
              <w:fldChar w:fldCharType="begin"/>
            </w:r>
            <w:r w:rsidR="007F3B66" w:rsidRPr="007F3B66">
              <w:rPr>
                <w:rFonts w:ascii="Palatino Linotype" w:hAnsi="Palatino Linotype"/>
                <w:noProof/>
                <w:webHidden/>
                <w:sz w:val="22"/>
                <w:szCs w:val="22"/>
              </w:rPr>
              <w:instrText xml:space="preserve"> PAGEREF _Toc221207295 \h </w:instrText>
            </w:r>
            <w:r w:rsidR="007F3B66" w:rsidRPr="007F3B66">
              <w:rPr>
                <w:rFonts w:ascii="Palatino Linotype" w:hAnsi="Palatino Linotype"/>
                <w:noProof/>
                <w:webHidden/>
                <w:sz w:val="22"/>
                <w:szCs w:val="22"/>
              </w:rPr>
            </w:r>
            <w:r w:rsidR="007F3B66" w:rsidRPr="007F3B66">
              <w:rPr>
                <w:rFonts w:ascii="Palatino Linotype" w:hAnsi="Palatino Linotype"/>
                <w:noProof/>
                <w:webHidden/>
                <w:sz w:val="22"/>
                <w:szCs w:val="22"/>
              </w:rPr>
              <w:fldChar w:fldCharType="separate"/>
            </w:r>
            <w:r w:rsidR="009B6F91">
              <w:rPr>
                <w:rFonts w:ascii="Palatino Linotype" w:hAnsi="Palatino Linotype"/>
                <w:noProof/>
                <w:webHidden/>
                <w:sz w:val="22"/>
                <w:szCs w:val="22"/>
              </w:rPr>
              <w:t>4</w:t>
            </w:r>
            <w:r w:rsidR="007F3B66" w:rsidRPr="007F3B66">
              <w:rPr>
                <w:rFonts w:ascii="Palatino Linotype" w:hAnsi="Palatino Linotype"/>
                <w:noProof/>
                <w:webHidden/>
                <w:sz w:val="22"/>
                <w:szCs w:val="22"/>
              </w:rPr>
              <w:fldChar w:fldCharType="end"/>
            </w:r>
          </w:hyperlink>
        </w:p>
        <w:p w:rsidR="007F3B66" w:rsidRPr="007F3B66" w:rsidRDefault="003C1C06">
          <w:pPr>
            <w:pStyle w:val="TDC1"/>
            <w:rPr>
              <w:rFonts w:ascii="Palatino Linotype" w:eastAsiaTheme="minorEastAsia" w:hAnsi="Palatino Linotype" w:cstheme="minorBidi"/>
              <w:noProof/>
              <w:sz w:val="22"/>
              <w:szCs w:val="22"/>
            </w:rPr>
          </w:pPr>
          <w:hyperlink w:anchor="_Toc221207296" w:history="1">
            <w:r w:rsidR="007F3B66" w:rsidRPr="007F3B66">
              <w:rPr>
                <w:rStyle w:val="Hipervnculo"/>
                <w:rFonts w:ascii="Palatino Linotype" w:hAnsi="Palatino Linotype"/>
                <w:noProof/>
                <w:sz w:val="22"/>
                <w:szCs w:val="22"/>
              </w:rPr>
              <w:t>C O N S I D E R A N D O S</w:t>
            </w:r>
            <w:r w:rsidR="007F3B66" w:rsidRPr="007F3B66">
              <w:rPr>
                <w:rFonts w:ascii="Palatino Linotype" w:hAnsi="Palatino Linotype"/>
                <w:noProof/>
                <w:webHidden/>
                <w:sz w:val="22"/>
                <w:szCs w:val="22"/>
              </w:rPr>
              <w:tab/>
            </w:r>
            <w:r w:rsidR="007F3B66" w:rsidRPr="007F3B66">
              <w:rPr>
                <w:rFonts w:ascii="Palatino Linotype" w:hAnsi="Palatino Linotype"/>
                <w:noProof/>
                <w:webHidden/>
                <w:sz w:val="22"/>
                <w:szCs w:val="22"/>
              </w:rPr>
              <w:fldChar w:fldCharType="begin"/>
            </w:r>
            <w:r w:rsidR="007F3B66" w:rsidRPr="007F3B66">
              <w:rPr>
                <w:rFonts w:ascii="Palatino Linotype" w:hAnsi="Palatino Linotype"/>
                <w:noProof/>
                <w:webHidden/>
                <w:sz w:val="22"/>
                <w:szCs w:val="22"/>
              </w:rPr>
              <w:instrText xml:space="preserve"> PAGEREF _Toc221207296 \h </w:instrText>
            </w:r>
            <w:r w:rsidR="007F3B66" w:rsidRPr="007F3B66">
              <w:rPr>
                <w:rFonts w:ascii="Palatino Linotype" w:hAnsi="Palatino Linotype"/>
                <w:noProof/>
                <w:webHidden/>
                <w:sz w:val="22"/>
                <w:szCs w:val="22"/>
              </w:rPr>
            </w:r>
            <w:r w:rsidR="007F3B66" w:rsidRPr="007F3B66">
              <w:rPr>
                <w:rFonts w:ascii="Palatino Linotype" w:hAnsi="Palatino Linotype"/>
                <w:noProof/>
                <w:webHidden/>
                <w:sz w:val="22"/>
                <w:szCs w:val="22"/>
              </w:rPr>
              <w:fldChar w:fldCharType="separate"/>
            </w:r>
            <w:r w:rsidR="009B6F91">
              <w:rPr>
                <w:rFonts w:ascii="Palatino Linotype" w:hAnsi="Palatino Linotype"/>
                <w:noProof/>
                <w:webHidden/>
                <w:sz w:val="22"/>
                <w:szCs w:val="22"/>
              </w:rPr>
              <w:t>5</w:t>
            </w:r>
            <w:r w:rsidR="007F3B66" w:rsidRPr="007F3B66">
              <w:rPr>
                <w:rFonts w:ascii="Palatino Linotype" w:hAnsi="Palatino Linotype"/>
                <w:noProof/>
                <w:webHidden/>
                <w:sz w:val="22"/>
                <w:szCs w:val="22"/>
              </w:rPr>
              <w:fldChar w:fldCharType="end"/>
            </w:r>
          </w:hyperlink>
        </w:p>
        <w:p w:rsidR="007F3B66" w:rsidRPr="007F3B66" w:rsidRDefault="003C1C06">
          <w:pPr>
            <w:pStyle w:val="TDC2"/>
            <w:tabs>
              <w:tab w:val="right" w:leader="dot" w:pos="9034"/>
            </w:tabs>
            <w:rPr>
              <w:rFonts w:ascii="Palatino Linotype" w:eastAsiaTheme="minorEastAsia" w:hAnsi="Palatino Linotype" w:cstheme="minorBidi"/>
              <w:noProof/>
              <w:sz w:val="22"/>
              <w:szCs w:val="22"/>
            </w:rPr>
          </w:pPr>
          <w:hyperlink w:anchor="_Toc221207297" w:history="1">
            <w:r w:rsidR="007F3B66" w:rsidRPr="007F3B66">
              <w:rPr>
                <w:rStyle w:val="Hipervnculo"/>
                <w:rFonts w:ascii="Palatino Linotype" w:hAnsi="Palatino Linotype"/>
                <w:noProof/>
                <w:sz w:val="22"/>
                <w:szCs w:val="22"/>
              </w:rPr>
              <w:t>PRIMERO. Competencia</w:t>
            </w:r>
            <w:r w:rsidR="007F3B66" w:rsidRPr="007F3B66">
              <w:rPr>
                <w:rFonts w:ascii="Palatino Linotype" w:hAnsi="Palatino Linotype"/>
                <w:noProof/>
                <w:webHidden/>
                <w:sz w:val="22"/>
                <w:szCs w:val="22"/>
              </w:rPr>
              <w:tab/>
            </w:r>
            <w:r w:rsidR="007F3B66" w:rsidRPr="007F3B66">
              <w:rPr>
                <w:rFonts w:ascii="Palatino Linotype" w:hAnsi="Palatino Linotype"/>
                <w:noProof/>
                <w:webHidden/>
                <w:sz w:val="22"/>
                <w:szCs w:val="22"/>
              </w:rPr>
              <w:fldChar w:fldCharType="begin"/>
            </w:r>
            <w:r w:rsidR="007F3B66" w:rsidRPr="007F3B66">
              <w:rPr>
                <w:rFonts w:ascii="Palatino Linotype" w:hAnsi="Palatino Linotype"/>
                <w:noProof/>
                <w:webHidden/>
                <w:sz w:val="22"/>
                <w:szCs w:val="22"/>
              </w:rPr>
              <w:instrText xml:space="preserve"> PAGEREF _Toc221207297 \h </w:instrText>
            </w:r>
            <w:r w:rsidR="007F3B66" w:rsidRPr="007F3B66">
              <w:rPr>
                <w:rFonts w:ascii="Palatino Linotype" w:hAnsi="Palatino Linotype"/>
                <w:noProof/>
                <w:webHidden/>
                <w:sz w:val="22"/>
                <w:szCs w:val="22"/>
              </w:rPr>
            </w:r>
            <w:r w:rsidR="007F3B66" w:rsidRPr="007F3B66">
              <w:rPr>
                <w:rFonts w:ascii="Palatino Linotype" w:hAnsi="Palatino Linotype"/>
                <w:noProof/>
                <w:webHidden/>
                <w:sz w:val="22"/>
                <w:szCs w:val="22"/>
              </w:rPr>
              <w:fldChar w:fldCharType="separate"/>
            </w:r>
            <w:r w:rsidR="009B6F91">
              <w:rPr>
                <w:rFonts w:ascii="Palatino Linotype" w:hAnsi="Palatino Linotype"/>
                <w:noProof/>
                <w:webHidden/>
                <w:sz w:val="22"/>
                <w:szCs w:val="22"/>
              </w:rPr>
              <w:t>5</w:t>
            </w:r>
            <w:r w:rsidR="007F3B66" w:rsidRPr="007F3B66">
              <w:rPr>
                <w:rFonts w:ascii="Palatino Linotype" w:hAnsi="Palatino Linotype"/>
                <w:noProof/>
                <w:webHidden/>
                <w:sz w:val="22"/>
                <w:szCs w:val="22"/>
              </w:rPr>
              <w:fldChar w:fldCharType="end"/>
            </w:r>
          </w:hyperlink>
        </w:p>
        <w:p w:rsidR="007F3B66" w:rsidRPr="007F3B66" w:rsidRDefault="003C1C06">
          <w:pPr>
            <w:pStyle w:val="TDC2"/>
            <w:tabs>
              <w:tab w:val="right" w:leader="dot" w:pos="9034"/>
            </w:tabs>
            <w:rPr>
              <w:rFonts w:ascii="Palatino Linotype" w:eastAsiaTheme="minorEastAsia" w:hAnsi="Palatino Linotype" w:cstheme="minorBidi"/>
              <w:noProof/>
              <w:sz w:val="22"/>
              <w:szCs w:val="22"/>
            </w:rPr>
          </w:pPr>
          <w:hyperlink w:anchor="_Toc221207298" w:history="1">
            <w:r w:rsidR="007F3B66" w:rsidRPr="007F3B66">
              <w:rPr>
                <w:rStyle w:val="Hipervnculo"/>
                <w:rFonts w:ascii="Palatino Linotype" w:hAnsi="Palatino Linotype"/>
                <w:noProof/>
                <w:sz w:val="22"/>
                <w:szCs w:val="22"/>
              </w:rPr>
              <w:t>SEGUNDO. Causales de improcedencia y Sobreseimiento</w:t>
            </w:r>
            <w:r w:rsidR="007F3B66" w:rsidRPr="007F3B66">
              <w:rPr>
                <w:rFonts w:ascii="Palatino Linotype" w:hAnsi="Palatino Linotype"/>
                <w:noProof/>
                <w:webHidden/>
                <w:sz w:val="22"/>
                <w:szCs w:val="22"/>
              </w:rPr>
              <w:tab/>
            </w:r>
            <w:r w:rsidR="007F3B66" w:rsidRPr="007F3B66">
              <w:rPr>
                <w:rFonts w:ascii="Palatino Linotype" w:hAnsi="Palatino Linotype"/>
                <w:noProof/>
                <w:webHidden/>
                <w:sz w:val="22"/>
                <w:szCs w:val="22"/>
              </w:rPr>
              <w:fldChar w:fldCharType="begin"/>
            </w:r>
            <w:r w:rsidR="007F3B66" w:rsidRPr="007F3B66">
              <w:rPr>
                <w:rFonts w:ascii="Palatino Linotype" w:hAnsi="Palatino Linotype"/>
                <w:noProof/>
                <w:webHidden/>
                <w:sz w:val="22"/>
                <w:szCs w:val="22"/>
              </w:rPr>
              <w:instrText xml:space="preserve"> PAGEREF _Toc221207298 \h </w:instrText>
            </w:r>
            <w:r w:rsidR="007F3B66" w:rsidRPr="007F3B66">
              <w:rPr>
                <w:rFonts w:ascii="Palatino Linotype" w:hAnsi="Palatino Linotype"/>
                <w:noProof/>
                <w:webHidden/>
                <w:sz w:val="22"/>
                <w:szCs w:val="22"/>
              </w:rPr>
            </w:r>
            <w:r w:rsidR="007F3B66" w:rsidRPr="007F3B66">
              <w:rPr>
                <w:rFonts w:ascii="Palatino Linotype" w:hAnsi="Palatino Linotype"/>
                <w:noProof/>
                <w:webHidden/>
                <w:sz w:val="22"/>
                <w:szCs w:val="22"/>
              </w:rPr>
              <w:fldChar w:fldCharType="separate"/>
            </w:r>
            <w:r w:rsidR="009B6F91">
              <w:rPr>
                <w:rFonts w:ascii="Palatino Linotype" w:hAnsi="Palatino Linotype"/>
                <w:noProof/>
                <w:webHidden/>
                <w:sz w:val="22"/>
                <w:szCs w:val="22"/>
              </w:rPr>
              <w:t>6</w:t>
            </w:r>
            <w:r w:rsidR="007F3B66" w:rsidRPr="007F3B66">
              <w:rPr>
                <w:rFonts w:ascii="Palatino Linotype" w:hAnsi="Palatino Linotype"/>
                <w:noProof/>
                <w:webHidden/>
                <w:sz w:val="22"/>
                <w:szCs w:val="22"/>
              </w:rPr>
              <w:fldChar w:fldCharType="end"/>
            </w:r>
          </w:hyperlink>
        </w:p>
        <w:p w:rsidR="007F3B66" w:rsidRPr="007F3B66" w:rsidRDefault="003C1C06">
          <w:pPr>
            <w:pStyle w:val="TDC2"/>
            <w:tabs>
              <w:tab w:val="right" w:leader="dot" w:pos="9034"/>
            </w:tabs>
            <w:rPr>
              <w:rFonts w:ascii="Palatino Linotype" w:eastAsiaTheme="minorEastAsia" w:hAnsi="Palatino Linotype" w:cstheme="minorBidi"/>
              <w:noProof/>
              <w:sz w:val="22"/>
              <w:szCs w:val="22"/>
            </w:rPr>
          </w:pPr>
          <w:hyperlink w:anchor="_Toc221207299" w:history="1">
            <w:r w:rsidR="007F3B66" w:rsidRPr="007F3B66">
              <w:rPr>
                <w:rStyle w:val="Hipervnculo"/>
                <w:rFonts w:ascii="Palatino Linotype" w:hAnsi="Palatino Linotype"/>
                <w:noProof/>
                <w:sz w:val="22"/>
                <w:szCs w:val="22"/>
              </w:rPr>
              <w:t>TERCERO. Determinación de la Controversia</w:t>
            </w:r>
            <w:r w:rsidR="007F3B66" w:rsidRPr="007F3B66">
              <w:rPr>
                <w:rFonts w:ascii="Palatino Linotype" w:hAnsi="Palatino Linotype"/>
                <w:noProof/>
                <w:webHidden/>
                <w:sz w:val="22"/>
                <w:szCs w:val="22"/>
              </w:rPr>
              <w:tab/>
            </w:r>
            <w:r w:rsidR="007F3B66" w:rsidRPr="007F3B66">
              <w:rPr>
                <w:rFonts w:ascii="Palatino Linotype" w:hAnsi="Palatino Linotype"/>
                <w:noProof/>
                <w:webHidden/>
                <w:sz w:val="22"/>
                <w:szCs w:val="22"/>
              </w:rPr>
              <w:fldChar w:fldCharType="begin"/>
            </w:r>
            <w:r w:rsidR="007F3B66" w:rsidRPr="007F3B66">
              <w:rPr>
                <w:rFonts w:ascii="Palatino Linotype" w:hAnsi="Palatino Linotype"/>
                <w:noProof/>
                <w:webHidden/>
                <w:sz w:val="22"/>
                <w:szCs w:val="22"/>
              </w:rPr>
              <w:instrText xml:space="preserve"> PAGEREF _Toc221207299 \h </w:instrText>
            </w:r>
            <w:r w:rsidR="007F3B66" w:rsidRPr="007F3B66">
              <w:rPr>
                <w:rFonts w:ascii="Palatino Linotype" w:hAnsi="Palatino Linotype"/>
                <w:noProof/>
                <w:webHidden/>
                <w:sz w:val="22"/>
                <w:szCs w:val="22"/>
              </w:rPr>
            </w:r>
            <w:r w:rsidR="007F3B66" w:rsidRPr="007F3B66">
              <w:rPr>
                <w:rFonts w:ascii="Palatino Linotype" w:hAnsi="Palatino Linotype"/>
                <w:noProof/>
                <w:webHidden/>
                <w:sz w:val="22"/>
                <w:szCs w:val="22"/>
              </w:rPr>
              <w:fldChar w:fldCharType="separate"/>
            </w:r>
            <w:r w:rsidR="009B6F91">
              <w:rPr>
                <w:rFonts w:ascii="Palatino Linotype" w:hAnsi="Palatino Linotype"/>
                <w:noProof/>
                <w:webHidden/>
                <w:sz w:val="22"/>
                <w:szCs w:val="22"/>
              </w:rPr>
              <w:t>8</w:t>
            </w:r>
            <w:r w:rsidR="007F3B66" w:rsidRPr="007F3B66">
              <w:rPr>
                <w:rFonts w:ascii="Palatino Linotype" w:hAnsi="Palatino Linotype"/>
                <w:noProof/>
                <w:webHidden/>
                <w:sz w:val="22"/>
                <w:szCs w:val="22"/>
              </w:rPr>
              <w:fldChar w:fldCharType="end"/>
            </w:r>
          </w:hyperlink>
        </w:p>
        <w:p w:rsidR="007F3B66" w:rsidRPr="007F3B66" w:rsidRDefault="003C1C06">
          <w:pPr>
            <w:pStyle w:val="TDC2"/>
            <w:tabs>
              <w:tab w:val="right" w:leader="dot" w:pos="9034"/>
            </w:tabs>
            <w:rPr>
              <w:rFonts w:ascii="Palatino Linotype" w:eastAsiaTheme="minorEastAsia" w:hAnsi="Palatino Linotype" w:cstheme="minorBidi"/>
              <w:noProof/>
              <w:sz w:val="22"/>
              <w:szCs w:val="22"/>
            </w:rPr>
          </w:pPr>
          <w:hyperlink w:anchor="_Toc221207300" w:history="1">
            <w:r w:rsidR="007F3B66" w:rsidRPr="007F3B66">
              <w:rPr>
                <w:rStyle w:val="Hipervnculo"/>
                <w:rFonts w:ascii="Palatino Linotype" w:hAnsi="Palatino Linotype"/>
                <w:noProof/>
                <w:sz w:val="22"/>
                <w:szCs w:val="22"/>
              </w:rPr>
              <w:t>CUARTO. Marco normativo aplicable en materia de transparencia y acceso a la información pública</w:t>
            </w:r>
            <w:r w:rsidR="007F3B66" w:rsidRPr="007F3B66">
              <w:rPr>
                <w:rFonts w:ascii="Palatino Linotype" w:hAnsi="Palatino Linotype"/>
                <w:noProof/>
                <w:webHidden/>
                <w:sz w:val="22"/>
                <w:szCs w:val="22"/>
              </w:rPr>
              <w:tab/>
            </w:r>
            <w:r w:rsidR="007F3B66" w:rsidRPr="007F3B66">
              <w:rPr>
                <w:rFonts w:ascii="Palatino Linotype" w:hAnsi="Palatino Linotype"/>
                <w:noProof/>
                <w:webHidden/>
                <w:sz w:val="22"/>
                <w:szCs w:val="22"/>
              </w:rPr>
              <w:fldChar w:fldCharType="begin"/>
            </w:r>
            <w:r w:rsidR="007F3B66" w:rsidRPr="007F3B66">
              <w:rPr>
                <w:rFonts w:ascii="Palatino Linotype" w:hAnsi="Palatino Linotype"/>
                <w:noProof/>
                <w:webHidden/>
                <w:sz w:val="22"/>
                <w:szCs w:val="22"/>
              </w:rPr>
              <w:instrText xml:space="preserve"> PAGEREF _Toc221207300 \h </w:instrText>
            </w:r>
            <w:r w:rsidR="007F3B66" w:rsidRPr="007F3B66">
              <w:rPr>
                <w:rFonts w:ascii="Palatino Linotype" w:hAnsi="Palatino Linotype"/>
                <w:noProof/>
                <w:webHidden/>
                <w:sz w:val="22"/>
                <w:szCs w:val="22"/>
              </w:rPr>
            </w:r>
            <w:r w:rsidR="007F3B66" w:rsidRPr="007F3B66">
              <w:rPr>
                <w:rFonts w:ascii="Palatino Linotype" w:hAnsi="Palatino Linotype"/>
                <w:noProof/>
                <w:webHidden/>
                <w:sz w:val="22"/>
                <w:szCs w:val="22"/>
              </w:rPr>
              <w:fldChar w:fldCharType="separate"/>
            </w:r>
            <w:r w:rsidR="009B6F91">
              <w:rPr>
                <w:rFonts w:ascii="Palatino Linotype" w:hAnsi="Palatino Linotype"/>
                <w:noProof/>
                <w:webHidden/>
                <w:sz w:val="22"/>
                <w:szCs w:val="22"/>
              </w:rPr>
              <w:t>9</w:t>
            </w:r>
            <w:r w:rsidR="007F3B66" w:rsidRPr="007F3B66">
              <w:rPr>
                <w:rFonts w:ascii="Palatino Linotype" w:hAnsi="Palatino Linotype"/>
                <w:noProof/>
                <w:webHidden/>
                <w:sz w:val="22"/>
                <w:szCs w:val="22"/>
              </w:rPr>
              <w:fldChar w:fldCharType="end"/>
            </w:r>
          </w:hyperlink>
        </w:p>
        <w:p w:rsidR="007F3B66" w:rsidRPr="007F3B66" w:rsidRDefault="003C1C06">
          <w:pPr>
            <w:pStyle w:val="TDC2"/>
            <w:tabs>
              <w:tab w:val="right" w:leader="dot" w:pos="9034"/>
            </w:tabs>
            <w:rPr>
              <w:rFonts w:ascii="Palatino Linotype" w:eastAsiaTheme="minorEastAsia" w:hAnsi="Palatino Linotype" w:cstheme="minorBidi"/>
              <w:noProof/>
              <w:sz w:val="22"/>
              <w:szCs w:val="22"/>
            </w:rPr>
          </w:pPr>
          <w:hyperlink w:anchor="_Toc221207301" w:history="1">
            <w:r w:rsidR="007F3B66" w:rsidRPr="007F3B66">
              <w:rPr>
                <w:rStyle w:val="Hipervnculo"/>
                <w:rFonts w:ascii="Palatino Linotype" w:hAnsi="Palatino Linotype"/>
                <w:noProof/>
                <w:sz w:val="22"/>
                <w:szCs w:val="22"/>
              </w:rPr>
              <w:t>QUINTO. Estudio de Fondo</w:t>
            </w:r>
            <w:r w:rsidR="007F3B66" w:rsidRPr="007F3B66">
              <w:rPr>
                <w:rFonts w:ascii="Palatino Linotype" w:hAnsi="Palatino Linotype"/>
                <w:noProof/>
                <w:webHidden/>
                <w:sz w:val="22"/>
                <w:szCs w:val="22"/>
              </w:rPr>
              <w:tab/>
            </w:r>
            <w:r w:rsidR="007F3B66" w:rsidRPr="007F3B66">
              <w:rPr>
                <w:rFonts w:ascii="Palatino Linotype" w:hAnsi="Palatino Linotype"/>
                <w:noProof/>
                <w:webHidden/>
                <w:sz w:val="22"/>
                <w:szCs w:val="22"/>
              </w:rPr>
              <w:fldChar w:fldCharType="begin"/>
            </w:r>
            <w:r w:rsidR="007F3B66" w:rsidRPr="007F3B66">
              <w:rPr>
                <w:rFonts w:ascii="Palatino Linotype" w:hAnsi="Palatino Linotype"/>
                <w:noProof/>
                <w:webHidden/>
                <w:sz w:val="22"/>
                <w:szCs w:val="22"/>
              </w:rPr>
              <w:instrText xml:space="preserve"> PAGEREF _Toc221207301 \h </w:instrText>
            </w:r>
            <w:r w:rsidR="007F3B66" w:rsidRPr="007F3B66">
              <w:rPr>
                <w:rFonts w:ascii="Palatino Linotype" w:hAnsi="Palatino Linotype"/>
                <w:noProof/>
                <w:webHidden/>
                <w:sz w:val="22"/>
                <w:szCs w:val="22"/>
              </w:rPr>
            </w:r>
            <w:r w:rsidR="007F3B66" w:rsidRPr="007F3B66">
              <w:rPr>
                <w:rFonts w:ascii="Palatino Linotype" w:hAnsi="Palatino Linotype"/>
                <w:noProof/>
                <w:webHidden/>
                <w:sz w:val="22"/>
                <w:szCs w:val="22"/>
              </w:rPr>
              <w:fldChar w:fldCharType="separate"/>
            </w:r>
            <w:r w:rsidR="009B6F91">
              <w:rPr>
                <w:rFonts w:ascii="Palatino Linotype" w:hAnsi="Palatino Linotype"/>
                <w:noProof/>
                <w:webHidden/>
                <w:sz w:val="22"/>
                <w:szCs w:val="22"/>
              </w:rPr>
              <w:t>10</w:t>
            </w:r>
            <w:r w:rsidR="007F3B66" w:rsidRPr="007F3B66">
              <w:rPr>
                <w:rFonts w:ascii="Palatino Linotype" w:hAnsi="Palatino Linotype"/>
                <w:noProof/>
                <w:webHidden/>
                <w:sz w:val="22"/>
                <w:szCs w:val="22"/>
              </w:rPr>
              <w:fldChar w:fldCharType="end"/>
            </w:r>
          </w:hyperlink>
        </w:p>
        <w:p w:rsidR="007F3B66" w:rsidRPr="007F3B66" w:rsidRDefault="003C1C06">
          <w:pPr>
            <w:pStyle w:val="TDC2"/>
            <w:tabs>
              <w:tab w:val="right" w:leader="dot" w:pos="9034"/>
            </w:tabs>
            <w:rPr>
              <w:rFonts w:ascii="Palatino Linotype" w:eastAsiaTheme="minorEastAsia" w:hAnsi="Palatino Linotype" w:cstheme="minorBidi"/>
              <w:noProof/>
              <w:sz w:val="22"/>
              <w:szCs w:val="22"/>
            </w:rPr>
          </w:pPr>
          <w:hyperlink w:anchor="_Toc221207302" w:history="1">
            <w:r w:rsidR="007F3B66" w:rsidRPr="007F3B66">
              <w:rPr>
                <w:rStyle w:val="Hipervnculo"/>
                <w:rFonts w:ascii="Palatino Linotype" w:hAnsi="Palatino Linotype"/>
                <w:noProof/>
                <w:sz w:val="22"/>
                <w:szCs w:val="22"/>
              </w:rPr>
              <w:t>SEXTO. Decisión</w:t>
            </w:r>
            <w:r w:rsidR="007F3B66" w:rsidRPr="007F3B66">
              <w:rPr>
                <w:rFonts w:ascii="Palatino Linotype" w:hAnsi="Palatino Linotype"/>
                <w:noProof/>
                <w:webHidden/>
                <w:sz w:val="22"/>
                <w:szCs w:val="22"/>
              </w:rPr>
              <w:tab/>
            </w:r>
            <w:r w:rsidR="007F3B66" w:rsidRPr="007F3B66">
              <w:rPr>
                <w:rFonts w:ascii="Palatino Linotype" w:hAnsi="Palatino Linotype"/>
                <w:noProof/>
                <w:webHidden/>
                <w:sz w:val="22"/>
                <w:szCs w:val="22"/>
              </w:rPr>
              <w:fldChar w:fldCharType="begin"/>
            </w:r>
            <w:r w:rsidR="007F3B66" w:rsidRPr="007F3B66">
              <w:rPr>
                <w:rFonts w:ascii="Palatino Linotype" w:hAnsi="Palatino Linotype"/>
                <w:noProof/>
                <w:webHidden/>
                <w:sz w:val="22"/>
                <w:szCs w:val="22"/>
              </w:rPr>
              <w:instrText xml:space="preserve"> PAGEREF _Toc221207302 \h </w:instrText>
            </w:r>
            <w:r w:rsidR="007F3B66" w:rsidRPr="007F3B66">
              <w:rPr>
                <w:rFonts w:ascii="Palatino Linotype" w:hAnsi="Palatino Linotype"/>
                <w:noProof/>
                <w:webHidden/>
                <w:sz w:val="22"/>
                <w:szCs w:val="22"/>
              </w:rPr>
            </w:r>
            <w:r w:rsidR="007F3B66" w:rsidRPr="007F3B66">
              <w:rPr>
                <w:rFonts w:ascii="Palatino Linotype" w:hAnsi="Palatino Linotype"/>
                <w:noProof/>
                <w:webHidden/>
                <w:sz w:val="22"/>
                <w:szCs w:val="22"/>
              </w:rPr>
              <w:fldChar w:fldCharType="separate"/>
            </w:r>
            <w:r w:rsidR="009B6F91">
              <w:rPr>
                <w:rFonts w:ascii="Palatino Linotype" w:hAnsi="Palatino Linotype"/>
                <w:noProof/>
                <w:webHidden/>
                <w:sz w:val="22"/>
                <w:szCs w:val="22"/>
              </w:rPr>
              <w:t>16</w:t>
            </w:r>
            <w:r w:rsidR="007F3B66" w:rsidRPr="007F3B66">
              <w:rPr>
                <w:rFonts w:ascii="Palatino Linotype" w:hAnsi="Palatino Linotype"/>
                <w:noProof/>
                <w:webHidden/>
                <w:sz w:val="22"/>
                <w:szCs w:val="22"/>
              </w:rPr>
              <w:fldChar w:fldCharType="end"/>
            </w:r>
          </w:hyperlink>
        </w:p>
        <w:p w:rsidR="007F3B66" w:rsidRPr="007F3B66" w:rsidRDefault="003C1C06">
          <w:pPr>
            <w:pStyle w:val="TDC2"/>
            <w:tabs>
              <w:tab w:val="right" w:leader="dot" w:pos="9034"/>
            </w:tabs>
            <w:rPr>
              <w:rFonts w:ascii="Palatino Linotype" w:eastAsiaTheme="minorEastAsia" w:hAnsi="Palatino Linotype" w:cstheme="minorBidi"/>
              <w:noProof/>
              <w:sz w:val="22"/>
              <w:szCs w:val="22"/>
            </w:rPr>
          </w:pPr>
          <w:hyperlink w:anchor="_Toc221207303" w:history="1">
            <w:r w:rsidR="007F3B66" w:rsidRPr="007F3B66">
              <w:rPr>
                <w:rStyle w:val="Hipervnculo"/>
                <w:rFonts w:ascii="Palatino Linotype" w:hAnsi="Palatino Linotype"/>
                <w:noProof/>
                <w:sz w:val="22"/>
                <w:szCs w:val="22"/>
              </w:rPr>
              <w:t>SÉPTIMO. Vista a la Secretaría Técnica del Pleno</w:t>
            </w:r>
            <w:r w:rsidR="007F3B66" w:rsidRPr="007F3B66">
              <w:rPr>
                <w:rFonts w:ascii="Palatino Linotype" w:hAnsi="Palatino Linotype"/>
                <w:noProof/>
                <w:webHidden/>
                <w:sz w:val="22"/>
                <w:szCs w:val="22"/>
              </w:rPr>
              <w:tab/>
            </w:r>
            <w:r w:rsidR="007F3B66" w:rsidRPr="007F3B66">
              <w:rPr>
                <w:rFonts w:ascii="Palatino Linotype" w:hAnsi="Palatino Linotype"/>
                <w:noProof/>
                <w:webHidden/>
                <w:sz w:val="22"/>
                <w:szCs w:val="22"/>
              </w:rPr>
              <w:fldChar w:fldCharType="begin"/>
            </w:r>
            <w:r w:rsidR="007F3B66" w:rsidRPr="007F3B66">
              <w:rPr>
                <w:rFonts w:ascii="Palatino Linotype" w:hAnsi="Palatino Linotype"/>
                <w:noProof/>
                <w:webHidden/>
                <w:sz w:val="22"/>
                <w:szCs w:val="22"/>
              </w:rPr>
              <w:instrText xml:space="preserve"> PAGEREF _Toc221207303 \h </w:instrText>
            </w:r>
            <w:r w:rsidR="007F3B66" w:rsidRPr="007F3B66">
              <w:rPr>
                <w:rFonts w:ascii="Palatino Linotype" w:hAnsi="Palatino Linotype"/>
                <w:noProof/>
                <w:webHidden/>
                <w:sz w:val="22"/>
                <w:szCs w:val="22"/>
              </w:rPr>
            </w:r>
            <w:r w:rsidR="007F3B66" w:rsidRPr="007F3B66">
              <w:rPr>
                <w:rFonts w:ascii="Palatino Linotype" w:hAnsi="Palatino Linotype"/>
                <w:noProof/>
                <w:webHidden/>
                <w:sz w:val="22"/>
                <w:szCs w:val="22"/>
              </w:rPr>
              <w:fldChar w:fldCharType="separate"/>
            </w:r>
            <w:r w:rsidR="009B6F91">
              <w:rPr>
                <w:rFonts w:ascii="Palatino Linotype" w:hAnsi="Palatino Linotype"/>
                <w:noProof/>
                <w:webHidden/>
                <w:sz w:val="22"/>
                <w:szCs w:val="22"/>
              </w:rPr>
              <w:t>16</w:t>
            </w:r>
            <w:r w:rsidR="007F3B66" w:rsidRPr="007F3B66">
              <w:rPr>
                <w:rFonts w:ascii="Palatino Linotype" w:hAnsi="Palatino Linotype"/>
                <w:noProof/>
                <w:webHidden/>
                <w:sz w:val="22"/>
                <w:szCs w:val="22"/>
              </w:rPr>
              <w:fldChar w:fldCharType="end"/>
            </w:r>
          </w:hyperlink>
        </w:p>
        <w:p w:rsidR="007F3B66" w:rsidRPr="007F3B66" w:rsidRDefault="003C1C06">
          <w:pPr>
            <w:pStyle w:val="TDC1"/>
            <w:rPr>
              <w:rFonts w:ascii="Palatino Linotype" w:eastAsiaTheme="minorEastAsia" w:hAnsi="Palatino Linotype" w:cstheme="minorBidi"/>
              <w:noProof/>
              <w:sz w:val="22"/>
              <w:szCs w:val="22"/>
            </w:rPr>
          </w:pPr>
          <w:hyperlink w:anchor="_Toc221207304" w:history="1">
            <w:r w:rsidR="007F3B66" w:rsidRPr="007F3B66">
              <w:rPr>
                <w:rStyle w:val="Hipervnculo"/>
                <w:rFonts w:ascii="Palatino Linotype" w:hAnsi="Palatino Linotype"/>
                <w:noProof/>
                <w:sz w:val="22"/>
                <w:szCs w:val="22"/>
              </w:rPr>
              <w:t>R E S U E L V E</w:t>
            </w:r>
            <w:r w:rsidR="007F3B66" w:rsidRPr="007F3B66">
              <w:rPr>
                <w:rFonts w:ascii="Palatino Linotype" w:hAnsi="Palatino Linotype"/>
                <w:noProof/>
                <w:webHidden/>
                <w:sz w:val="22"/>
                <w:szCs w:val="22"/>
              </w:rPr>
              <w:tab/>
            </w:r>
            <w:r w:rsidR="007F3B66" w:rsidRPr="007F3B66">
              <w:rPr>
                <w:rFonts w:ascii="Palatino Linotype" w:hAnsi="Palatino Linotype"/>
                <w:noProof/>
                <w:webHidden/>
                <w:sz w:val="22"/>
                <w:szCs w:val="22"/>
              </w:rPr>
              <w:fldChar w:fldCharType="begin"/>
            </w:r>
            <w:r w:rsidR="007F3B66" w:rsidRPr="007F3B66">
              <w:rPr>
                <w:rFonts w:ascii="Palatino Linotype" w:hAnsi="Palatino Linotype"/>
                <w:noProof/>
                <w:webHidden/>
                <w:sz w:val="22"/>
                <w:szCs w:val="22"/>
              </w:rPr>
              <w:instrText xml:space="preserve"> PAGEREF _Toc221207304 \h </w:instrText>
            </w:r>
            <w:r w:rsidR="007F3B66" w:rsidRPr="007F3B66">
              <w:rPr>
                <w:rFonts w:ascii="Palatino Linotype" w:hAnsi="Palatino Linotype"/>
                <w:noProof/>
                <w:webHidden/>
                <w:sz w:val="22"/>
                <w:szCs w:val="22"/>
              </w:rPr>
            </w:r>
            <w:r w:rsidR="007F3B66" w:rsidRPr="007F3B66">
              <w:rPr>
                <w:rFonts w:ascii="Palatino Linotype" w:hAnsi="Palatino Linotype"/>
                <w:noProof/>
                <w:webHidden/>
                <w:sz w:val="22"/>
                <w:szCs w:val="22"/>
              </w:rPr>
              <w:fldChar w:fldCharType="separate"/>
            </w:r>
            <w:r w:rsidR="009B6F91">
              <w:rPr>
                <w:rFonts w:ascii="Palatino Linotype" w:hAnsi="Palatino Linotype"/>
                <w:noProof/>
                <w:webHidden/>
                <w:sz w:val="22"/>
                <w:szCs w:val="22"/>
              </w:rPr>
              <w:t>18</w:t>
            </w:r>
            <w:r w:rsidR="007F3B66" w:rsidRPr="007F3B66">
              <w:rPr>
                <w:rFonts w:ascii="Palatino Linotype" w:hAnsi="Palatino Linotype"/>
                <w:noProof/>
                <w:webHidden/>
                <w:sz w:val="22"/>
                <w:szCs w:val="22"/>
              </w:rPr>
              <w:fldChar w:fldCharType="end"/>
            </w:r>
          </w:hyperlink>
        </w:p>
        <w:p w:rsidR="008F2866" w:rsidRDefault="008F2866">
          <w:r w:rsidRPr="007F3B66">
            <w:rPr>
              <w:rFonts w:ascii="Palatino Linotype" w:hAnsi="Palatino Linotype"/>
              <w:b/>
              <w:bCs/>
              <w:sz w:val="22"/>
              <w:szCs w:val="22"/>
              <w:lang w:val="es-ES"/>
            </w:rPr>
            <w:fldChar w:fldCharType="end"/>
          </w:r>
        </w:p>
      </w:sdtContent>
    </w:sdt>
    <w:p w:rsidR="008F2866" w:rsidRDefault="008F2866">
      <w:pPr>
        <w:spacing w:line="360" w:lineRule="auto"/>
        <w:jc w:val="both"/>
      </w:pPr>
    </w:p>
    <w:p w:rsidR="00A909C2" w:rsidRDefault="00BC259C">
      <w:pPr>
        <w:spacing w:line="360" w:lineRule="auto"/>
        <w:jc w:val="both"/>
        <w:rPr>
          <w:rFonts w:ascii="Palatino Linotype" w:eastAsia="Palatino Linotype" w:hAnsi="Palatino Linotype" w:cs="Palatino Linotype"/>
          <w:sz w:val="22"/>
          <w:szCs w:val="22"/>
        </w:rPr>
      </w:pPr>
      <w:r>
        <w:br w:type="column"/>
      </w:r>
    </w:p>
    <w:p w:rsidR="00A909C2" w:rsidRDefault="00BC259C">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Resolución del Pleno del Instituto de Transparencia, Acceso a la Información Pública y Protección de Datos Personales del Estado de México y Municipios, con domicilio en Metepec, Estado de México, de fecha cinco de febrero de dos mil veintiséis.</w:t>
      </w:r>
    </w:p>
    <w:p w:rsidR="00A909C2" w:rsidRDefault="00A909C2">
      <w:pPr>
        <w:spacing w:line="360" w:lineRule="auto"/>
        <w:jc w:val="both"/>
        <w:rPr>
          <w:rFonts w:ascii="Palatino Linotype" w:eastAsia="Palatino Linotype" w:hAnsi="Palatino Linotype" w:cs="Palatino Linotype"/>
          <w:color w:val="FF0000"/>
          <w:sz w:val="22"/>
          <w:szCs w:val="22"/>
        </w:rPr>
      </w:pPr>
    </w:p>
    <w:p w:rsidR="00A909C2" w:rsidRDefault="00BC259C">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b/>
          <w:bCs/>
          <w:sz w:val="22"/>
          <w:szCs w:val="22"/>
        </w:rPr>
        <w:t xml:space="preserve">VISTO </w:t>
      </w:r>
      <w:r>
        <w:rPr>
          <w:rFonts w:ascii="Palatino Linotype" w:eastAsia="Palatino Linotype" w:hAnsi="Palatino Linotype" w:cs="Palatino Linotype"/>
          <w:sz w:val="22"/>
          <w:szCs w:val="22"/>
        </w:rPr>
        <w:t xml:space="preserve">el expediente conformado con motivo del Recurso de Revisión </w:t>
      </w:r>
      <w:r w:rsidRPr="004D18B6">
        <w:rPr>
          <w:rFonts w:ascii="Palatino Linotype" w:eastAsia="Palatino Linotype" w:hAnsi="Palatino Linotype" w:cs="Palatino Linotype"/>
          <w:b/>
          <w:sz w:val="22"/>
          <w:szCs w:val="22"/>
        </w:rPr>
        <w:t>11566/INFOEM/IP/RR/2025</w:t>
      </w:r>
      <w:r>
        <w:rPr>
          <w:rFonts w:ascii="Palatino Linotype" w:eastAsia="Palatino Linotype" w:hAnsi="Palatino Linotype" w:cs="Palatino Linotype"/>
          <w:sz w:val="22"/>
          <w:szCs w:val="22"/>
        </w:rPr>
        <w:t xml:space="preserve">, interpuesto por la persona Recurrente o Particular, en contra de la falta de respuesta del Sujeto Obligado, </w:t>
      </w:r>
      <w:r w:rsidRPr="004D18B6">
        <w:rPr>
          <w:rFonts w:ascii="Palatino Linotype" w:eastAsia="Palatino Linotype" w:hAnsi="Palatino Linotype" w:cs="Palatino Linotype"/>
          <w:b/>
          <w:sz w:val="22"/>
          <w:szCs w:val="22"/>
        </w:rPr>
        <w:t xml:space="preserve">Sistema Municipal para el Desarrollo Integral de la Familia Municipio de Atenco </w:t>
      </w:r>
      <w:r>
        <w:rPr>
          <w:rFonts w:ascii="Palatino Linotype" w:eastAsia="Palatino Linotype" w:hAnsi="Palatino Linotype" w:cs="Palatino Linotype"/>
          <w:sz w:val="22"/>
          <w:szCs w:val="22"/>
        </w:rPr>
        <w:t>la solicitud de acceso a la información pública 00038/DIFATENCO/IP/2025, se emite la presente Resolución, con base en los Antecedentes y Considerandos que a continuación se exponen:</w:t>
      </w:r>
    </w:p>
    <w:p w:rsidR="00A909C2" w:rsidRDefault="00A909C2">
      <w:pPr>
        <w:pStyle w:val="Subttulo"/>
        <w:spacing w:after="0" w:line="360" w:lineRule="auto"/>
        <w:rPr>
          <w:color w:val="FF0000"/>
        </w:rPr>
      </w:pPr>
    </w:p>
    <w:p w:rsidR="00A909C2" w:rsidRDefault="00BC259C">
      <w:pPr>
        <w:pStyle w:val="Ttulo1"/>
      </w:pPr>
      <w:bookmarkStart w:id="0" w:name="_heading=h.91zclqm606al" w:colFirst="0" w:colLast="0"/>
      <w:bookmarkStart w:id="1" w:name="_Toc221207291"/>
      <w:bookmarkEnd w:id="0"/>
      <w:r>
        <w:t>A N T E C E D E N T E S</w:t>
      </w:r>
      <w:bookmarkEnd w:id="1"/>
    </w:p>
    <w:p w:rsidR="00A909C2" w:rsidRDefault="00A909C2">
      <w:pPr>
        <w:pBdr>
          <w:top w:val="nil"/>
          <w:left w:val="nil"/>
          <w:bottom w:val="nil"/>
          <w:right w:val="nil"/>
          <w:between w:val="nil"/>
        </w:pBdr>
        <w:spacing w:line="360" w:lineRule="auto"/>
        <w:rPr>
          <w:rFonts w:ascii="Palatino Linotype" w:eastAsia="Palatino Linotype" w:hAnsi="Palatino Linotype" w:cs="Palatino Linotype"/>
          <w:b/>
          <w:bCs/>
          <w:color w:val="FF0000"/>
          <w:sz w:val="22"/>
          <w:szCs w:val="22"/>
        </w:rPr>
      </w:pPr>
    </w:p>
    <w:p w:rsidR="00A909C2" w:rsidRDefault="00BC259C">
      <w:pPr>
        <w:pStyle w:val="Ttulo2"/>
      </w:pPr>
      <w:bookmarkStart w:id="2" w:name="_heading=h.cbtauz8x7lsh" w:colFirst="0" w:colLast="0"/>
      <w:bookmarkStart w:id="3" w:name="_Toc221207292"/>
      <w:bookmarkEnd w:id="2"/>
      <w:r>
        <w:t>I. Presentación de la solicitud de información</w:t>
      </w:r>
      <w:bookmarkEnd w:id="3"/>
    </w:p>
    <w:p w:rsidR="00A909C2" w:rsidRDefault="00A909C2">
      <w:pPr>
        <w:tabs>
          <w:tab w:val="left" w:pos="567"/>
        </w:tabs>
        <w:spacing w:line="360" w:lineRule="auto"/>
        <w:jc w:val="both"/>
        <w:rPr>
          <w:rFonts w:ascii="Palatino Linotype" w:eastAsia="Palatino Linotype" w:hAnsi="Palatino Linotype" w:cs="Palatino Linotype"/>
          <w:color w:val="FF0000"/>
          <w:sz w:val="22"/>
          <w:szCs w:val="22"/>
        </w:rPr>
      </w:pPr>
    </w:p>
    <w:p w:rsidR="00A909C2" w:rsidRDefault="00BC259C">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El once de septiembre de dos mil veinticinco, el Particular presentó una solicitud de acceso a la información pública, a través del Sistema de Acceso a la Información Mexiquense (SAIMEX), ante el Sistema Municipal para el Desarrollo Integral de la Familia Municipio de Atenco, en los siguientes términos:</w:t>
      </w:r>
    </w:p>
    <w:p w:rsidR="00A909C2" w:rsidRDefault="00A909C2">
      <w:pPr>
        <w:spacing w:line="360" w:lineRule="auto"/>
        <w:jc w:val="both"/>
        <w:rPr>
          <w:rFonts w:ascii="Palatino Linotype" w:eastAsia="Palatino Linotype" w:hAnsi="Palatino Linotype" w:cs="Palatino Linotype"/>
          <w:color w:val="FF0000"/>
          <w:sz w:val="22"/>
          <w:szCs w:val="22"/>
        </w:rPr>
      </w:pPr>
    </w:p>
    <w:p w:rsidR="00A909C2" w:rsidRDefault="00BC259C">
      <w:pPr>
        <w:tabs>
          <w:tab w:val="left" w:pos="4667"/>
        </w:tabs>
        <w:spacing w:line="360" w:lineRule="auto"/>
        <w:ind w:left="567" w:right="567"/>
        <w:jc w:val="both"/>
        <w:rPr>
          <w:rFonts w:ascii="Palatino Linotype" w:eastAsia="Palatino Linotype" w:hAnsi="Palatino Linotype" w:cs="Palatino Linotype"/>
          <w:b/>
          <w:bCs/>
          <w:i/>
          <w:iCs/>
        </w:rPr>
      </w:pPr>
      <w:r>
        <w:rPr>
          <w:rFonts w:ascii="Palatino Linotype" w:eastAsia="Palatino Linotype" w:hAnsi="Palatino Linotype" w:cs="Palatino Linotype"/>
          <w:b/>
          <w:bCs/>
          <w:i/>
          <w:iCs/>
        </w:rPr>
        <w:t>“DESCRIPCIÓN CLARA Y PRECISA DE LA INFORMACIÓN SOLICITADA</w:t>
      </w:r>
    </w:p>
    <w:p w:rsidR="00A909C2" w:rsidRDefault="00BC259C">
      <w:pPr>
        <w:spacing w:line="360" w:lineRule="auto"/>
        <w:ind w:left="567" w:right="567"/>
        <w:jc w:val="both"/>
        <w:rPr>
          <w:rFonts w:ascii="Palatino Linotype" w:eastAsia="Palatino Linotype" w:hAnsi="Palatino Linotype" w:cs="Palatino Linotype"/>
          <w:i/>
          <w:iCs/>
        </w:rPr>
      </w:pPr>
      <w:r>
        <w:rPr>
          <w:rFonts w:ascii="Palatino Linotype" w:eastAsia="Palatino Linotype" w:hAnsi="Palatino Linotype" w:cs="Palatino Linotype"/>
          <w:i/>
          <w:iCs/>
        </w:rPr>
        <w:t>Solicito todas las actas de la junta de gobierno de enero a septiembre del 2025 y los años 2022,2023, 2024” (Sic.)</w:t>
      </w:r>
    </w:p>
    <w:p w:rsidR="00A909C2" w:rsidRDefault="00A909C2">
      <w:pPr>
        <w:tabs>
          <w:tab w:val="left" w:pos="4667"/>
        </w:tabs>
        <w:spacing w:line="360" w:lineRule="auto"/>
        <w:ind w:left="567" w:right="567"/>
        <w:jc w:val="both"/>
        <w:rPr>
          <w:rFonts w:ascii="Palatino Linotype" w:eastAsia="Palatino Linotype" w:hAnsi="Palatino Linotype" w:cs="Palatino Linotype"/>
          <w:i/>
          <w:iCs/>
          <w:color w:val="FF0000"/>
        </w:rPr>
      </w:pPr>
    </w:p>
    <w:p w:rsidR="00A909C2" w:rsidRDefault="00A909C2">
      <w:pPr>
        <w:tabs>
          <w:tab w:val="left" w:pos="4667"/>
        </w:tabs>
        <w:spacing w:line="360" w:lineRule="auto"/>
        <w:ind w:left="567" w:right="567"/>
        <w:jc w:val="both"/>
        <w:rPr>
          <w:rFonts w:ascii="Palatino Linotype" w:eastAsia="Palatino Linotype" w:hAnsi="Palatino Linotype" w:cs="Palatino Linotype"/>
          <w:i/>
          <w:iCs/>
          <w:color w:val="FF0000"/>
        </w:rPr>
      </w:pPr>
    </w:p>
    <w:p w:rsidR="00A909C2" w:rsidRDefault="00A909C2">
      <w:pPr>
        <w:tabs>
          <w:tab w:val="left" w:pos="4667"/>
        </w:tabs>
        <w:spacing w:line="360" w:lineRule="auto"/>
        <w:ind w:left="567" w:right="567"/>
        <w:jc w:val="both"/>
        <w:rPr>
          <w:rFonts w:ascii="Palatino Linotype" w:eastAsia="Palatino Linotype" w:hAnsi="Palatino Linotype" w:cs="Palatino Linotype"/>
          <w:i/>
          <w:iCs/>
          <w:color w:val="FF0000"/>
        </w:rPr>
      </w:pPr>
    </w:p>
    <w:p w:rsidR="00A909C2" w:rsidRDefault="00BC259C">
      <w:pPr>
        <w:tabs>
          <w:tab w:val="left" w:pos="4667"/>
        </w:tabs>
        <w:spacing w:line="360" w:lineRule="auto"/>
        <w:ind w:left="567" w:right="567"/>
        <w:jc w:val="both"/>
        <w:rPr>
          <w:rFonts w:ascii="Palatino Linotype" w:eastAsia="Palatino Linotype" w:hAnsi="Palatino Linotype" w:cs="Palatino Linotype"/>
          <w:b/>
          <w:bCs/>
          <w:i/>
          <w:iCs/>
        </w:rPr>
      </w:pPr>
      <w:r>
        <w:rPr>
          <w:rFonts w:ascii="Palatino Linotype" w:eastAsia="Palatino Linotype" w:hAnsi="Palatino Linotype" w:cs="Palatino Linotype"/>
          <w:b/>
          <w:bCs/>
          <w:i/>
          <w:iCs/>
        </w:rPr>
        <w:t>“MODALIDAD DE ENTREGA</w:t>
      </w:r>
    </w:p>
    <w:p w:rsidR="00A909C2" w:rsidRDefault="00BC259C">
      <w:pPr>
        <w:spacing w:line="360" w:lineRule="auto"/>
        <w:ind w:left="567" w:right="567"/>
        <w:jc w:val="both"/>
        <w:rPr>
          <w:rFonts w:ascii="Palatino Linotype" w:eastAsia="Palatino Linotype" w:hAnsi="Palatino Linotype" w:cs="Palatino Linotype"/>
          <w:i/>
          <w:iCs/>
        </w:rPr>
      </w:pPr>
      <w:r>
        <w:rPr>
          <w:rFonts w:ascii="Palatino Linotype" w:eastAsia="Palatino Linotype" w:hAnsi="Palatino Linotype" w:cs="Palatino Linotype"/>
          <w:i/>
          <w:iCs/>
        </w:rPr>
        <w:t xml:space="preserve">A través del SAIMEX” </w:t>
      </w:r>
    </w:p>
    <w:p w:rsidR="00A909C2" w:rsidRDefault="00A909C2">
      <w:pPr>
        <w:spacing w:line="360" w:lineRule="auto"/>
        <w:ind w:left="567" w:right="567"/>
        <w:jc w:val="both"/>
        <w:rPr>
          <w:rFonts w:ascii="Palatino Linotype" w:eastAsia="Palatino Linotype" w:hAnsi="Palatino Linotype" w:cs="Palatino Linotype"/>
          <w:i/>
          <w:iCs/>
        </w:rPr>
      </w:pPr>
    </w:p>
    <w:p w:rsidR="00A909C2" w:rsidRDefault="00A909C2">
      <w:pPr>
        <w:spacing w:line="360" w:lineRule="auto"/>
        <w:ind w:left="567" w:right="567"/>
        <w:jc w:val="both"/>
        <w:rPr>
          <w:rFonts w:ascii="Palatino Linotype" w:eastAsia="Palatino Linotype" w:hAnsi="Palatino Linotype" w:cs="Palatino Linotype"/>
          <w:i/>
          <w:iCs/>
        </w:rPr>
      </w:pPr>
    </w:p>
    <w:p w:rsidR="00A909C2" w:rsidRDefault="00BC259C">
      <w:pPr>
        <w:pStyle w:val="Ttulo2"/>
      </w:pPr>
      <w:bookmarkStart w:id="4" w:name="_heading=h.3dx031kpwdpp" w:colFirst="0" w:colLast="0"/>
      <w:bookmarkStart w:id="5" w:name="_Toc221207293"/>
      <w:bookmarkEnd w:id="4"/>
      <w:r>
        <w:t>II. Respuesta del Sujeto Obligado</w:t>
      </w:r>
      <w:bookmarkEnd w:id="5"/>
    </w:p>
    <w:p w:rsidR="00A909C2" w:rsidRDefault="00A909C2">
      <w:pPr>
        <w:spacing w:line="360" w:lineRule="auto"/>
        <w:jc w:val="both"/>
        <w:rPr>
          <w:rFonts w:ascii="Palatino Linotype" w:eastAsia="Palatino Linotype" w:hAnsi="Palatino Linotype" w:cs="Palatino Linotype"/>
          <w:sz w:val="22"/>
          <w:szCs w:val="22"/>
        </w:rPr>
      </w:pPr>
    </w:p>
    <w:p w:rsidR="00A909C2" w:rsidRDefault="00BC259C">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De conformidad con el artículo 163, párrafo primero de la Ley de Transparencia y Acceso a</w:t>
      </w:r>
    </w:p>
    <w:p w:rsidR="00A909C2" w:rsidRDefault="00BC259C">
      <w:pPr>
        <w:spacing w:line="360" w:lineRule="auto"/>
        <w:jc w:val="both"/>
        <w:rPr>
          <w:rFonts w:ascii="Palatino Linotype" w:eastAsia="Palatino Linotype" w:hAnsi="Palatino Linotype" w:cs="Palatino Linotype"/>
          <w:b/>
          <w:bCs/>
          <w:sz w:val="22"/>
          <w:szCs w:val="22"/>
        </w:rPr>
      </w:pPr>
      <w:r>
        <w:rPr>
          <w:rFonts w:ascii="Palatino Linotype" w:eastAsia="Palatino Linotype" w:hAnsi="Palatino Linotype" w:cs="Palatino Linotype"/>
          <w:sz w:val="22"/>
          <w:szCs w:val="22"/>
        </w:rPr>
        <w:t>la Información Pública del Estado de México y Municipios, el Sujeto Obligado debió dar contestación a la solicitud de acceso a la información; sin embargo, de las constancias que obran en el expediente electrónico del Sistema de Acceso a la Información Mexiquense (SAIMEX), se advierte que el</w:t>
      </w:r>
      <w:r>
        <w:rPr>
          <w:rFonts w:ascii="Palatino Linotype" w:eastAsia="Palatino Linotype" w:hAnsi="Palatino Linotype" w:cs="Palatino Linotype"/>
          <w:b/>
          <w:bCs/>
          <w:sz w:val="22"/>
          <w:szCs w:val="22"/>
        </w:rPr>
        <w:t xml:space="preserve"> </w:t>
      </w:r>
      <w:r>
        <w:rPr>
          <w:rFonts w:ascii="Palatino Linotype" w:eastAsia="Palatino Linotype" w:hAnsi="Palatino Linotype" w:cs="Palatino Linotype"/>
          <w:sz w:val="22"/>
          <w:szCs w:val="22"/>
        </w:rPr>
        <w:t xml:space="preserve">, </w:t>
      </w:r>
      <w:r>
        <w:rPr>
          <w:rFonts w:ascii="Palatino Linotype" w:eastAsia="Palatino Linotype" w:hAnsi="Palatino Linotype" w:cs="Palatino Linotype"/>
          <w:b/>
          <w:bCs/>
          <w:sz w:val="22"/>
          <w:szCs w:val="22"/>
        </w:rPr>
        <w:t>Sistema Municipal para el Desarrollo Integral de la Familia Municipio de Atenco</w:t>
      </w:r>
      <w:r>
        <w:rPr>
          <w:rFonts w:ascii="Palatino Linotype" w:eastAsia="Palatino Linotype" w:hAnsi="Palatino Linotype" w:cs="Palatino Linotype"/>
          <w:sz w:val="22"/>
          <w:szCs w:val="22"/>
        </w:rPr>
        <w:t xml:space="preserve">, omitió dar respuesta a la solicitud de información, por lo que se </w:t>
      </w:r>
      <w:r>
        <w:rPr>
          <w:rFonts w:ascii="Palatino Linotype" w:eastAsia="Palatino Linotype" w:hAnsi="Palatino Linotype" w:cs="Palatino Linotype"/>
          <w:b/>
          <w:bCs/>
          <w:sz w:val="22"/>
          <w:szCs w:val="22"/>
        </w:rPr>
        <w:t>configura la negativa ficta</w:t>
      </w:r>
      <w:r>
        <w:rPr>
          <w:rFonts w:ascii="Palatino Linotype" w:eastAsia="Palatino Linotype" w:hAnsi="Palatino Linotype" w:cs="Palatino Linotype"/>
          <w:sz w:val="22"/>
          <w:szCs w:val="22"/>
        </w:rPr>
        <w:t xml:space="preserve"> a entregar información, prevista, en los artículos 166, párrafo cuarto y 178, párrafo segundo de la Ley de Transparencia y Acceso a la Información Pública del Estado de México y Municipios.</w:t>
      </w:r>
    </w:p>
    <w:p w:rsidR="00A909C2" w:rsidRDefault="00A909C2">
      <w:pPr>
        <w:spacing w:line="360" w:lineRule="auto"/>
        <w:jc w:val="both"/>
        <w:rPr>
          <w:rFonts w:ascii="Palatino Linotype" w:eastAsia="Palatino Linotype" w:hAnsi="Palatino Linotype" w:cs="Palatino Linotype"/>
          <w:color w:val="FF0000"/>
          <w:sz w:val="22"/>
          <w:szCs w:val="22"/>
        </w:rPr>
      </w:pPr>
    </w:p>
    <w:p w:rsidR="00A909C2" w:rsidRDefault="00BC259C">
      <w:pPr>
        <w:pStyle w:val="Ttulo2"/>
      </w:pPr>
      <w:bookmarkStart w:id="6" w:name="_heading=h.6vx7vja5be51" w:colFirst="0" w:colLast="0"/>
      <w:bookmarkStart w:id="7" w:name="_Toc221207294"/>
      <w:bookmarkEnd w:id="6"/>
      <w:r>
        <w:t>III. Interposición del Recurso de Revisión</w:t>
      </w:r>
      <w:bookmarkEnd w:id="7"/>
    </w:p>
    <w:p w:rsidR="00A909C2" w:rsidRDefault="00A909C2">
      <w:pPr>
        <w:spacing w:line="360" w:lineRule="auto"/>
        <w:jc w:val="both"/>
        <w:rPr>
          <w:rFonts w:ascii="Palatino Linotype" w:eastAsia="Palatino Linotype" w:hAnsi="Palatino Linotype" w:cs="Palatino Linotype"/>
          <w:b/>
          <w:bCs/>
          <w:color w:val="FF0000"/>
          <w:sz w:val="22"/>
          <w:szCs w:val="22"/>
        </w:rPr>
      </w:pPr>
    </w:p>
    <w:p w:rsidR="00A909C2" w:rsidRDefault="00BC259C">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El seis de octubre de dos mil veinticinco, el Particular interpuso un Recurso de Revisión ante este Instituto, a través del Sistema de Acceso a la Información Mexiquense (SAIMEX), en contra de la falta de respuesta por el Sujeto Obligado, a la solicitud de información, en los siguientes términos: </w:t>
      </w:r>
    </w:p>
    <w:p w:rsidR="00A909C2" w:rsidRDefault="00A909C2">
      <w:pPr>
        <w:spacing w:line="360" w:lineRule="auto"/>
        <w:jc w:val="both"/>
        <w:rPr>
          <w:rFonts w:ascii="Palatino Linotype" w:eastAsia="Palatino Linotype" w:hAnsi="Palatino Linotype" w:cs="Palatino Linotype"/>
          <w:color w:val="FF0000"/>
          <w:sz w:val="22"/>
          <w:szCs w:val="22"/>
        </w:rPr>
      </w:pPr>
    </w:p>
    <w:p w:rsidR="00A909C2" w:rsidRDefault="00BC259C">
      <w:pPr>
        <w:spacing w:line="360" w:lineRule="auto"/>
        <w:ind w:left="567" w:right="567"/>
        <w:jc w:val="both"/>
        <w:rPr>
          <w:rFonts w:ascii="Palatino Linotype" w:eastAsia="Palatino Linotype" w:hAnsi="Palatino Linotype" w:cs="Palatino Linotype"/>
          <w:i/>
          <w:iCs/>
        </w:rPr>
      </w:pPr>
      <w:r>
        <w:rPr>
          <w:rFonts w:ascii="Palatino Linotype" w:eastAsia="Palatino Linotype" w:hAnsi="Palatino Linotype" w:cs="Palatino Linotype"/>
          <w:b/>
          <w:bCs/>
          <w:i/>
          <w:iCs/>
        </w:rPr>
        <w:lastRenderedPageBreak/>
        <w:t>“ACTO IMPUGNADO</w:t>
      </w:r>
    </w:p>
    <w:p w:rsidR="00A909C2" w:rsidRDefault="00BC259C">
      <w:pPr>
        <w:spacing w:line="360" w:lineRule="auto"/>
        <w:ind w:left="567" w:right="567"/>
        <w:jc w:val="both"/>
        <w:rPr>
          <w:rFonts w:ascii="Palatino Linotype" w:eastAsia="Palatino Linotype" w:hAnsi="Palatino Linotype" w:cs="Palatino Linotype"/>
          <w:i/>
          <w:iCs/>
        </w:rPr>
      </w:pPr>
      <w:proofErr w:type="gramStart"/>
      <w:r>
        <w:rPr>
          <w:rFonts w:ascii="Palatino Linotype" w:eastAsia="Palatino Linotype" w:hAnsi="Palatino Linotype" w:cs="Palatino Linotype"/>
          <w:i/>
          <w:iCs/>
        </w:rPr>
        <w:t>no</w:t>
      </w:r>
      <w:proofErr w:type="gramEnd"/>
      <w:r>
        <w:rPr>
          <w:rFonts w:ascii="Palatino Linotype" w:eastAsia="Palatino Linotype" w:hAnsi="Palatino Linotype" w:cs="Palatino Linotype"/>
          <w:i/>
          <w:iCs/>
        </w:rPr>
        <w:t xml:space="preserve"> dan respuesta a lo solicitado, trasgrediendo el derecho al acceso a la </w:t>
      </w:r>
      <w:proofErr w:type="spellStart"/>
      <w:r>
        <w:rPr>
          <w:rFonts w:ascii="Palatino Linotype" w:eastAsia="Palatino Linotype" w:hAnsi="Palatino Linotype" w:cs="Palatino Linotype"/>
          <w:i/>
          <w:iCs/>
        </w:rPr>
        <w:t>informacion</w:t>
      </w:r>
      <w:proofErr w:type="spellEnd"/>
      <w:r>
        <w:rPr>
          <w:rFonts w:ascii="Palatino Linotype" w:eastAsia="Palatino Linotype" w:hAnsi="Palatino Linotype" w:cs="Palatino Linotype"/>
          <w:i/>
          <w:iCs/>
        </w:rPr>
        <w:t xml:space="preserve">, </w:t>
      </w:r>
      <w:proofErr w:type="spellStart"/>
      <w:r>
        <w:rPr>
          <w:rFonts w:ascii="Palatino Linotype" w:eastAsia="Palatino Linotype" w:hAnsi="Palatino Linotype" w:cs="Palatino Linotype"/>
          <w:i/>
          <w:iCs/>
        </w:rPr>
        <w:t>solicirando</w:t>
      </w:r>
      <w:proofErr w:type="spellEnd"/>
      <w:r>
        <w:rPr>
          <w:rFonts w:ascii="Palatino Linotype" w:eastAsia="Palatino Linotype" w:hAnsi="Palatino Linotype" w:cs="Palatino Linotype"/>
          <w:i/>
          <w:iCs/>
        </w:rPr>
        <w:t xml:space="preserve"> la </w:t>
      </w:r>
      <w:proofErr w:type="spellStart"/>
      <w:r>
        <w:rPr>
          <w:rFonts w:ascii="Palatino Linotype" w:eastAsia="Palatino Linotype" w:hAnsi="Palatino Linotype" w:cs="Palatino Linotype"/>
          <w:i/>
          <w:iCs/>
        </w:rPr>
        <w:t>sancion</w:t>
      </w:r>
      <w:proofErr w:type="spellEnd"/>
      <w:r>
        <w:rPr>
          <w:rFonts w:ascii="Palatino Linotype" w:eastAsia="Palatino Linotype" w:hAnsi="Palatino Linotype" w:cs="Palatino Linotype"/>
          <w:i/>
          <w:iCs/>
        </w:rPr>
        <w:t xml:space="preserve"> correspondiente por ser omiso a sus obligaciones como sujetos obligados como lo estipula la ley en la materia.”  (Sic)</w:t>
      </w:r>
    </w:p>
    <w:p w:rsidR="00A909C2" w:rsidRDefault="00A909C2">
      <w:pPr>
        <w:spacing w:line="360" w:lineRule="auto"/>
        <w:ind w:left="567" w:right="567"/>
        <w:jc w:val="both"/>
        <w:rPr>
          <w:rFonts w:ascii="Palatino Linotype" w:eastAsia="Palatino Linotype" w:hAnsi="Palatino Linotype" w:cs="Palatino Linotype"/>
          <w:i/>
          <w:iCs/>
          <w:color w:val="FF0000"/>
        </w:rPr>
      </w:pPr>
    </w:p>
    <w:p w:rsidR="00A909C2" w:rsidRDefault="00BC259C">
      <w:pPr>
        <w:spacing w:line="360" w:lineRule="auto"/>
        <w:ind w:left="567" w:right="567"/>
        <w:rPr>
          <w:rFonts w:ascii="Palatino Linotype" w:eastAsia="Palatino Linotype" w:hAnsi="Palatino Linotype" w:cs="Palatino Linotype"/>
          <w:b/>
          <w:bCs/>
          <w:i/>
          <w:iCs/>
        </w:rPr>
      </w:pPr>
      <w:r>
        <w:rPr>
          <w:rFonts w:ascii="Palatino Linotype" w:eastAsia="Palatino Linotype" w:hAnsi="Palatino Linotype" w:cs="Palatino Linotype"/>
          <w:b/>
          <w:bCs/>
          <w:i/>
          <w:iCs/>
        </w:rPr>
        <w:t>“RAZONES O MOTIVOS DE LA INCONFORMIDAD</w:t>
      </w:r>
    </w:p>
    <w:p w:rsidR="00A909C2" w:rsidRDefault="00BC259C">
      <w:pPr>
        <w:spacing w:line="360" w:lineRule="auto"/>
        <w:ind w:left="567" w:right="567"/>
        <w:jc w:val="both"/>
        <w:rPr>
          <w:rFonts w:ascii="Palatino Linotype" w:eastAsia="Palatino Linotype" w:hAnsi="Palatino Linotype" w:cs="Palatino Linotype"/>
          <w:i/>
          <w:iCs/>
        </w:rPr>
      </w:pPr>
      <w:proofErr w:type="gramStart"/>
      <w:r>
        <w:rPr>
          <w:rFonts w:ascii="Palatino Linotype" w:eastAsia="Palatino Linotype" w:hAnsi="Palatino Linotype" w:cs="Palatino Linotype"/>
          <w:i/>
          <w:iCs/>
        </w:rPr>
        <w:t>no</w:t>
      </w:r>
      <w:proofErr w:type="gramEnd"/>
      <w:r>
        <w:rPr>
          <w:rFonts w:ascii="Palatino Linotype" w:eastAsia="Palatino Linotype" w:hAnsi="Palatino Linotype" w:cs="Palatino Linotype"/>
          <w:i/>
          <w:iCs/>
        </w:rPr>
        <w:t xml:space="preserve"> dan respuesta a lo solicitado, trasgrediendo el derecho al acceso a la </w:t>
      </w:r>
      <w:proofErr w:type="spellStart"/>
      <w:r>
        <w:rPr>
          <w:rFonts w:ascii="Palatino Linotype" w:eastAsia="Palatino Linotype" w:hAnsi="Palatino Linotype" w:cs="Palatino Linotype"/>
          <w:i/>
          <w:iCs/>
        </w:rPr>
        <w:t>informacion</w:t>
      </w:r>
      <w:proofErr w:type="spellEnd"/>
      <w:r>
        <w:rPr>
          <w:rFonts w:ascii="Palatino Linotype" w:eastAsia="Palatino Linotype" w:hAnsi="Palatino Linotype" w:cs="Palatino Linotype"/>
          <w:i/>
          <w:iCs/>
        </w:rPr>
        <w:t xml:space="preserve">, </w:t>
      </w:r>
      <w:proofErr w:type="spellStart"/>
      <w:r>
        <w:rPr>
          <w:rFonts w:ascii="Palatino Linotype" w:eastAsia="Palatino Linotype" w:hAnsi="Palatino Linotype" w:cs="Palatino Linotype"/>
          <w:i/>
          <w:iCs/>
        </w:rPr>
        <w:t>solicirando</w:t>
      </w:r>
      <w:proofErr w:type="spellEnd"/>
      <w:r>
        <w:rPr>
          <w:rFonts w:ascii="Palatino Linotype" w:eastAsia="Palatino Linotype" w:hAnsi="Palatino Linotype" w:cs="Palatino Linotype"/>
          <w:i/>
          <w:iCs/>
        </w:rPr>
        <w:t xml:space="preserve"> la </w:t>
      </w:r>
      <w:proofErr w:type="spellStart"/>
      <w:r>
        <w:rPr>
          <w:rFonts w:ascii="Palatino Linotype" w:eastAsia="Palatino Linotype" w:hAnsi="Palatino Linotype" w:cs="Palatino Linotype"/>
          <w:i/>
          <w:iCs/>
        </w:rPr>
        <w:t>sancion</w:t>
      </w:r>
      <w:proofErr w:type="spellEnd"/>
      <w:r>
        <w:rPr>
          <w:rFonts w:ascii="Palatino Linotype" w:eastAsia="Palatino Linotype" w:hAnsi="Palatino Linotype" w:cs="Palatino Linotype"/>
          <w:i/>
          <w:iCs/>
        </w:rPr>
        <w:t xml:space="preserve"> correspondiente por ser omiso a sus obligaciones como sujetos obligados como lo estipula la ley en la materia.” (Sic)</w:t>
      </w:r>
    </w:p>
    <w:p w:rsidR="00A909C2" w:rsidRDefault="00A909C2">
      <w:pPr>
        <w:spacing w:line="360" w:lineRule="auto"/>
        <w:ind w:left="567" w:right="567"/>
        <w:jc w:val="both"/>
        <w:rPr>
          <w:rFonts w:ascii="Palatino Linotype" w:eastAsia="Palatino Linotype" w:hAnsi="Palatino Linotype" w:cs="Palatino Linotype"/>
          <w:i/>
          <w:iCs/>
        </w:rPr>
      </w:pPr>
    </w:p>
    <w:p w:rsidR="00A909C2" w:rsidRDefault="00A909C2">
      <w:pPr>
        <w:spacing w:line="360" w:lineRule="auto"/>
        <w:ind w:left="567" w:right="567"/>
        <w:jc w:val="both"/>
        <w:rPr>
          <w:rFonts w:ascii="Palatino Linotype" w:eastAsia="Palatino Linotype" w:hAnsi="Palatino Linotype" w:cs="Palatino Linotype"/>
          <w:i/>
          <w:iCs/>
        </w:rPr>
      </w:pPr>
    </w:p>
    <w:p w:rsidR="00A909C2" w:rsidRDefault="00BC259C">
      <w:pPr>
        <w:pStyle w:val="Ttulo2"/>
      </w:pPr>
      <w:bookmarkStart w:id="8" w:name="_heading=h.6cwog4jb83va" w:colFirst="0" w:colLast="0"/>
      <w:bookmarkStart w:id="9" w:name="_Toc221207295"/>
      <w:bookmarkEnd w:id="8"/>
      <w:r>
        <w:t>IV. Trámite del Recurso de Revisión ante el Instituto</w:t>
      </w:r>
      <w:bookmarkEnd w:id="9"/>
    </w:p>
    <w:p w:rsidR="00A909C2" w:rsidRDefault="00A909C2">
      <w:pPr>
        <w:spacing w:line="360" w:lineRule="auto"/>
        <w:jc w:val="both"/>
        <w:rPr>
          <w:rFonts w:ascii="Palatino Linotype" w:eastAsia="Palatino Linotype" w:hAnsi="Palatino Linotype" w:cs="Palatino Linotype"/>
          <w:b/>
          <w:bCs/>
          <w:sz w:val="22"/>
          <w:szCs w:val="22"/>
        </w:rPr>
      </w:pPr>
    </w:p>
    <w:p w:rsidR="00A909C2" w:rsidRDefault="00BC259C">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b/>
          <w:bCs/>
          <w:sz w:val="22"/>
          <w:szCs w:val="22"/>
        </w:rPr>
        <w:t xml:space="preserve">a) Turno del Recurso de Revisión. </w:t>
      </w:r>
      <w:r>
        <w:rPr>
          <w:rFonts w:ascii="Palatino Linotype" w:eastAsia="Palatino Linotype" w:hAnsi="Palatino Linotype" w:cs="Palatino Linotype"/>
          <w:sz w:val="22"/>
          <w:szCs w:val="22"/>
        </w:rPr>
        <w:t xml:space="preserve">El seis de octubre de dos mil veinticinco, el Sistema de Acceso a la Información Mexiquense (SAIMEX), asignó el número de expediente </w:t>
      </w:r>
      <w:r>
        <w:rPr>
          <w:rFonts w:ascii="Palatino Linotype" w:eastAsia="Palatino Linotype" w:hAnsi="Palatino Linotype" w:cs="Palatino Linotype"/>
          <w:b/>
          <w:bCs/>
          <w:sz w:val="22"/>
          <w:szCs w:val="22"/>
        </w:rPr>
        <w:t>11566/INFOEM/IP/RR/2025</w:t>
      </w:r>
      <w:r>
        <w:rPr>
          <w:rFonts w:ascii="Palatino Linotype" w:eastAsia="Palatino Linotype" w:hAnsi="Palatino Linotype" w:cs="Palatino Linotype"/>
          <w:sz w:val="22"/>
          <w:szCs w:val="22"/>
        </w:rPr>
        <w:t>, al medio de impugnación que nos ocupa, con base en el sistema aprobado por el Pleno de este Organismo Garante y lo turnó al Comisionado Ponente Luis Gustavo Parra Noriega, para los efectos del artículo 185, fracción I de la Ley de Transparencia y Acceso a la Información Pública del Estado de México y Municipios.</w:t>
      </w:r>
    </w:p>
    <w:p w:rsidR="00A909C2" w:rsidRDefault="00A909C2">
      <w:pPr>
        <w:spacing w:line="360" w:lineRule="auto"/>
        <w:jc w:val="both"/>
        <w:rPr>
          <w:rFonts w:ascii="Palatino Linotype" w:eastAsia="Palatino Linotype" w:hAnsi="Palatino Linotype" w:cs="Palatino Linotype"/>
          <w:b/>
          <w:bCs/>
          <w:color w:val="FF0000"/>
          <w:sz w:val="22"/>
          <w:szCs w:val="22"/>
        </w:rPr>
      </w:pPr>
    </w:p>
    <w:p w:rsidR="00A909C2" w:rsidRDefault="00BC259C">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b/>
          <w:bCs/>
          <w:sz w:val="22"/>
          <w:szCs w:val="22"/>
        </w:rPr>
        <w:t xml:space="preserve">b) Admisión del Recurso de Revisión. </w:t>
      </w:r>
      <w:r>
        <w:rPr>
          <w:rFonts w:ascii="Palatino Linotype" w:eastAsia="Palatino Linotype" w:hAnsi="Palatino Linotype" w:cs="Palatino Linotype"/>
          <w:sz w:val="22"/>
          <w:szCs w:val="22"/>
        </w:rPr>
        <w:t xml:space="preserve">El nueve de octubre de dos mil veinticinco, se acordó la admisión del Recurso de Revisión interpuesto por la persona Recurrente en contra del Sujeto Obligado, en términos del artículo 185, fracciones I y II de la Ley de Transparencia y Acceso a la Información Pública del Estado de México y Municipios, el cual fue notificado a las partes el mismo día, a través del Sistema de Acceso a la Información Mexiquense </w:t>
      </w:r>
      <w:r>
        <w:rPr>
          <w:rFonts w:ascii="Palatino Linotype" w:eastAsia="Palatino Linotype" w:hAnsi="Palatino Linotype" w:cs="Palatino Linotype"/>
          <w:sz w:val="22"/>
          <w:szCs w:val="22"/>
        </w:rPr>
        <w:lastRenderedPageBreak/>
        <w:t>(SAIMEX), en el que se les otorgó un plazo de siete días hábiles posteriores a la misma, para que manifestaran lo que a su derecho conviniera y formularan alegatos.</w:t>
      </w:r>
    </w:p>
    <w:p w:rsidR="00A909C2" w:rsidRDefault="00A909C2">
      <w:pPr>
        <w:spacing w:line="360" w:lineRule="auto"/>
        <w:jc w:val="both"/>
        <w:rPr>
          <w:rFonts w:ascii="Palatino Linotype" w:eastAsia="Palatino Linotype" w:hAnsi="Palatino Linotype" w:cs="Palatino Linotype"/>
          <w:color w:val="FF0000"/>
          <w:sz w:val="22"/>
          <w:szCs w:val="22"/>
        </w:rPr>
      </w:pPr>
    </w:p>
    <w:p w:rsidR="00A909C2" w:rsidRDefault="00BC259C">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b/>
          <w:bCs/>
          <w:sz w:val="22"/>
          <w:szCs w:val="22"/>
        </w:rPr>
        <w:t>c)</w:t>
      </w:r>
      <w:r>
        <w:rPr>
          <w:rFonts w:ascii="Palatino Linotype" w:eastAsia="Palatino Linotype" w:hAnsi="Palatino Linotype" w:cs="Palatino Linotype"/>
          <w:sz w:val="22"/>
          <w:szCs w:val="22"/>
        </w:rPr>
        <w:t xml:space="preserve"> </w:t>
      </w:r>
      <w:r>
        <w:rPr>
          <w:rFonts w:ascii="Palatino Linotype" w:eastAsia="Palatino Linotype" w:hAnsi="Palatino Linotype" w:cs="Palatino Linotype"/>
          <w:b/>
          <w:bCs/>
          <w:sz w:val="22"/>
          <w:szCs w:val="22"/>
        </w:rPr>
        <w:t xml:space="preserve"> Informe Justificado y Manifestaciones. </w:t>
      </w:r>
      <w:r>
        <w:rPr>
          <w:rFonts w:ascii="Palatino Linotype" w:eastAsia="Palatino Linotype" w:hAnsi="Palatino Linotype" w:cs="Palatino Linotype"/>
          <w:sz w:val="22"/>
          <w:szCs w:val="22"/>
        </w:rPr>
        <w:t>Las partes fueron omisas en emitir manifestaciones o alegatos.</w:t>
      </w:r>
    </w:p>
    <w:p w:rsidR="00A909C2" w:rsidRDefault="00A909C2">
      <w:pPr>
        <w:spacing w:line="360" w:lineRule="auto"/>
        <w:jc w:val="both"/>
        <w:rPr>
          <w:rFonts w:ascii="Palatino Linotype" w:eastAsia="Palatino Linotype" w:hAnsi="Palatino Linotype" w:cs="Palatino Linotype"/>
          <w:b/>
          <w:bCs/>
          <w:color w:val="FF0000"/>
          <w:sz w:val="18"/>
          <w:szCs w:val="18"/>
        </w:rPr>
      </w:pPr>
    </w:p>
    <w:p w:rsidR="00A909C2" w:rsidRDefault="00BC259C">
      <w:pPr>
        <w:spacing w:line="360" w:lineRule="auto"/>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 xml:space="preserve">d) Cierre de instrucción. </w:t>
      </w:r>
      <w:r>
        <w:rPr>
          <w:rFonts w:ascii="Palatino Linotype" w:eastAsia="Palatino Linotype" w:hAnsi="Palatino Linotype" w:cs="Palatino Linotype"/>
          <w:sz w:val="22"/>
          <w:szCs w:val="22"/>
        </w:rPr>
        <w:t xml:space="preserve">El veintinueve de enero de dos mil veintiséis, al no existir diligencias pendientes por desahogar, se emitió el acuerdo por medio del cual se declaró cerrada la instrucción y, se pasó el expediente a resolución, en términos de lo dispuesto en los artículos 185, fracciones VI y VIII, de la Ley de Transparencia y Acceso a la Información Pública del Estado de México y Municipios; acto que fue notificado a las partes el veinticinco de dicho mes y año, a través del Sistema de Acceso a la Información Mexiquense (SAIMEX). </w:t>
      </w:r>
    </w:p>
    <w:p w:rsidR="00A909C2" w:rsidRDefault="00A909C2">
      <w:pPr>
        <w:spacing w:line="360" w:lineRule="auto"/>
        <w:jc w:val="both"/>
        <w:rPr>
          <w:rFonts w:ascii="Palatino Linotype" w:eastAsia="Palatino Linotype" w:hAnsi="Palatino Linotype" w:cs="Palatino Linotype"/>
          <w:b/>
          <w:bCs/>
          <w:color w:val="FF0000"/>
          <w:sz w:val="18"/>
          <w:szCs w:val="18"/>
        </w:rPr>
      </w:pPr>
    </w:p>
    <w:p w:rsidR="00A909C2" w:rsidRDefault="00BC259C">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En razón de que fue debidamente sustanciado el expediente electrónico y no existe diligencia pendiente de desahogo, se emite la Resolución que conforme a Derecho proceda, de acuerdo con los siguientes: </w:t>
      </w:r>
    </w:p>
    <w:p w:rsidR="00A909C2" w:rsidRDefault="00A909C2">
      <w:pPr>
        <w:spacing w:line="360" w:lineRule="auto"/>
        <w:jc w:val="both"/>
        <w:rPr>
          <w:rFonts w:ascii="Palatino Linotype" w:eastAsia="Palatino Linotype" w:hAnsi="Palatino Linotype" w:cs="Palatino Linotype"/>
          <w:sz w:val="22"/>
          <w:szCs w:val="22"/>
        </w:rPr>
      </w:pPr>
    </w:p>
    <w:p w:rsidR="00A909C2" w:rsidRDefault="00BC259C">
      <w:pPr>
        <w:pStyle w:val="Ttulo1"/>
      </w:pPr>
      <w:bookmarkStart w:id="10" w:name="_heading=h.v0d4lo4q29c5" w:colFirst="0" w:colLast="0"/>
      <w:bookmarkStart w:id="11" w:name="_Toc221207296"/>
      <w:bookmarkEnd w:id="10"/>
      <w:r>
        <w:t>C O N S I D E R A N D O S</w:t>
      </w:r>
      <w:bookmarkEnd w:id="11"/>
    </w:p>
    <w:p w:rsidR="00A909C2" w:rsidRDefault="00A909C2">
      <w:pPr>
        <w:spacing w:line="360" w:lineRule="auto"/>
        <w:jc w:val="both"/>
        <w:rPr>
          <w:rFonts w:ascii="Palatino Linotype" w:eastAsia="Palatino Linotype" w:hAnsi="Palatino Linotype" w:cs="Palatino Linotype"/>
          <w:b/>
          <w:bCs/>
          <w:sz w:val="22"/>
          <w:szCs w:val="22"/>
        </w:rPr>
      </w:pPr>
    </w:p>
    <w:p w:rsidR="00A909C2" w:rsidRDefault="00BC259C">
      <w:pPr>
        <w:pStyle w:val="Ttulo2"/>
      </w:pPr>
      <w:bookmarkStart w:id="12" w:name="_heading=h.rlxlssnj0aho" w:colFirst="0" w:colLast="0"/>
      <w:bookmarkStart w:id="13" w:name="_Toc221207297"/>
      <w:bookmarkEnd w:id="12"/>
      <w:r>
        <w:t>PRIMERO. Competencia</w:t>
      </w:r>
      <w:bookmarkEnd w:id="13"/>
    </w:p>
    <w:p w:rsidR="00A909C2" w:rsidRDefault="00A909C2">
      <w:pPr>
        <w:spacing w:line="360" w:lineRule="auto"/>
        <w:jc w:val="both"/>
        <w:rPr>
          <w:rFonts w:ascii="Palatino Linotype" w:eastAsia="Palatino Linotype" w:hAnsi="Palatino Linotype" w:cs="Palatino Linotype"/>
          <w:b/>
          <w:bCs/>
          <w:sz w:val="22"/>
          <w:szCs w:val="22"/>
        </w:rPr>
      </w:pPr>
    </w:p>
    <w:p w:rsidR="00A909C2" w:rsidRDefault="00BC259C">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El Instituto de Transparencia, Acceso a la Información Pública y Protección de Datos Personales del Estado de México y Municipios, es competente para conocer y resolver el presente recurso de revisión interpuesto por la persona Recurrente, conforme a lo dispuesto en los artículos 5°, párrafos cuadragésimo primero, cuadragésimo segundo y cuadragésimo </w:t>
      </w:r>
      <w:r>
        <w:rPr>
          <w:rFonts w:ascii="Palatino Linotype" w:eastAsia="Palatino Linotype" w:hAnsi="Palatino Linotype" w:cs="Palatino Linotype"/>
          <w:sz w:val="22"/>
          <w:szCs w:val="22"/>
        </w:rPr>
        <w:lastRenderedPageBreak/>
        <w:t>tercero, fracciones IV y V de la Constitución Política del Estado Libre y Soberano de México; Cuarto Transitorio, párrafo segundo del Decreto número 198 de la “LXII” Legislatura del Estado de México; 1°, 2°, fracciones II y IV; 13, 29, 36, fracciones I y II; 176, 178, 179, 181 párrafo tercero, 185, 188 y 189 de la Ley Transparencia y Acceso a la Información Pública del Estado de México y Municipios; 7°, 9°, fracciones I y XXIII y 11 del Reglamento Interior del Instituto de Transparencia, Acceso a la Información Pública y Protección de Datos Personales del Estado de México y Municipios.</w:t>
      </w:r>
    </w:p>
    <w:p w:rsidR="00A909C2" w:rsidRDefault="00A909C2">
      <w:pPr>
        <w:spacing w:line="360" w:lineRule="auto"/>
        <w:jc w:val="both"/>
        <w:rPr>
          <w:rFonts w:ascii="Palatino Linotype" w:eastAsia="Palatino Linotype" w:hAnsi="Palatino Linotype" w:cs="Palatino Linotype"/>
          <w:sz w:val="22"/>
          <w:szCs w:val="22"/>
        </w:rPr>
      </w:pPr>
    </w:p>
    <w:p w:rsidR="00A909C2" w:rsidRDefault="00BC259C">
      <w:pPr>
        <w:pStyle w:val="Ttulo2"/>
      </w:pPr>
      <w:bookmarkStart w:id="14" w:name="_heading=h.d9qg6y24uetv" w:colFirst="0" w:colLast="0"/>
      <w:bookmarkStart w:id="15" w:name="_Toc221207298"/>
      <w:bookmarkEnd w:id="14"/>
      <w:r>
        <w:t>SEGUNDO. Causales de improcedencia y Sobreseimiento</w:t>
      </w:r>
      <w:bookmarkEnd w:id="15"/>
    </w:p>
    <w:p w:rsidR="00A909C2" w:rsidRDefault="00A909C2">
      <w:pPr>
        <w:spacing w:line="360" w:lineRule="auto"/>
        <w:jc w:val="both"/>
        <w:rPr>
          <w:rFonts w:ascii="Palatino Linotype" w:eastAsia="Palatino Linotype" w:hAnsi="Palatino Linotype" w:cs="Palatino Linotype"/>
          <w:sz w:val="22"/>
          <w:szCs w:val="22"/>
        </w:rPr>
      </w:pPr>
    </w:p>
    <w:p w:rsidR="00A909C2" w:rsidRDefault="00BC259C">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De las constancias que forma parte del Recurso de Revisión que se analiza, se advierte que previo al estudio del fondo de la </w:t>
      </w:r>
      <w:proofErr w:type="spellStart"/>
      <w:r>
        <w:rPr>
          <w:rFonts w:ascii="Palatino Linotype" w:eastAsia="Palatino Linotype" w:hAnsi="Palatino Linotype" w:cs="Palatino Linotype"/>
          <w:i/>
          <w:iCs/>
          <w:sz w:val="22"/>
          <w:szCs w:val="22"/>
        </w:rPr>
        <w:t>litis</w:t>
      </w:r>
      <w:proofErr w:type="spellEnd"/>
      <w:r>
        <w:rPr>
          <w:rFonts w:ascii="Palatino Linotype" w:eastAsia="Palatino Linotype" w:hAnsi="Palatino Linotype" w:cs="Palatino Linotype"/>
          <w:sz w:val="22"/>
          <w:szCs w:val="22"/>
        </w:rPr>
        <w:t>, es necesario estudiar las causales de improcedencia y sobreseimiento que se adviertan, para determinar lo que en Derecho proceda.</w:t>
      </w:r>
    </w:p>
    <w:p w:rsidR="00A909C2" w:rsidRDefault="00A909C2">
      <w:pPr>
        <w:spacing w:line="360" w:lineRule="auto"/>
        <w:jc w:val="both"/>
        <w:rPr>
          <w:rFonts w:ascii="Palatino Linotype" w:eastAsia="Palatino Linotype" w:hAnsi="Palatino Linotype" w:cs="Palatino Linotype"/>
          <w:sz w:val="22"/>
          <w:szCs w:val="22"/>
        </w:rPr>
      </w:pPr>
    </w:p>
    <w:p w:rsidR="00A909C2" w:rsidRDefault="00BC259C">
      <w:pPr>
        <w:spacing w:line="360" w:lineRule="auto"/>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Causales de improcedencia</w:t>
      </w:r>
    </w:p>
    <w:p w:rsidR="00A909C2" w:rsidRDefault="00A909C2">
      <w:pPr>
        <w:spacing w:line="360" w:lineRule="auto"/>
        <w:jc w:val="both"/>
        <w:rPr>
          <w:rFonts w:ascii="Palatino Linotype" w:eastAsia="Palatino Linotype" w:hAnsi="Palatino Linotype" w:cs="Palatino Linotype"/>
          <w:sz w:val="22"/>
          <w:szCs w:val="22"/>
        </w:rPr>
      </w:pPr>
    </w:p>
    <w:p w:rsidR="00A909C2" w:rsidRDefault="00BC259C">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Este Instituto realiza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rsidR="00A909C2" w:rsidRDefault="00A909C2">
      <w:pPr>
        <w:spacing w:line="360" w:lineRule="auto"/>
        <w:jc w:val="both"/>
        <w:rPr>
          <w:rFonts w:ascii="Palatino Linotype" w:eastAsia="Palatino Linotype" w:hAnsi="Palatino Linotype" w:cs="Palatino Linotype"/>
          <w:sz w:val="22"/>
          <w:szCs w:val="22"/>
        </w:rPr>
      </w:pPr>
    </w:p>
    <w:p w:rsidR="00A909C2" w:rsidRDefault="00BC259C">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En el presente caso, </w:t>
      </w:r>
      <w:r>
        <w:rPr>
          <w:rFonts w:ascii="Palatino Linotype" w:eastAsia="Palatino Linotype" w:hAnsi="Palatino Linotype" w:cs="Palatino Linotype"/>
          <w:b/>
          <w:bCs/>
          <w:sz w:val="22"/>
          <w:szCs w:val="22"/>
        </w:rPr>
        <w:t>no se actualiza ninguna de las causales de improcedencia</w:t>
      </w:r>
      <w:r>
        <w:rPr>
          <w:rFonts w:ascii="Palatino Linotype" w:eastAsia="Palatino Linotype" w:hAnsi="Palatino Linotype" w:cs="Palatino Linotype"/>
          <w:sz w:val="22"/>
          <w:szCs w:val="22"/>
        </w:rPr>
        <w:t> establecidas en el ordenamiento jurídico previamente señalado, toda vez que: este Instituto no tiene conocimiento de que se encuentre en trámite algún medio de defensa presentado por la persona Recurrente ante otra instancia; no existió prevención alguna; la veracidad de la respuesta no formó parte del agravio; ni se realizó una consulta o ampliación a los alcances del requerimiento informativo.</w:t>
      </w:r>
    </w:p>
    <w:p w:rsidR="00A909C2" w:rsidRDefault="00A909C2">
      <w:pPr>
        <w:spacing w:line="360" w:lineRule="auto"/>
        <w:jc w:val="both"/>
        <w:rPr>
          <w:rFonts w:ascii="Palatino Linotype" w:eastAsia="Palatino Linotype" w:hAnsi="Palatino Linotype" w:cs="Palatino Linotype"/>
          <w:sz w:val="22"/>
          <w:szCs w:val="22"/>
        </w:rPr>
      </w:pPr>
    </w:p>
    <w:p w:rsidR="00A909C2" w:rsidRDefault="00BC259C">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Además, de que el Medios de Impugnación fue presentado en tiempo, toda vez que ante la ausencia de la respuesta del Ente Recurrido, se constituyó la </w:t>
      </w:r>
      <w:r>
        <w:rPr>
          <w:rFonts w:ascii="Palatino Linotype" w:eastAsia="Palatino Linotype" w:hAnsi="Palatino Linotype" w:cs="Palatino Linotype"/>
          <w:b/>
          <w:bCs/>
          <w:sz w:val="22"/>
          <w:szCs w:val="22"/>
        </w:rPr>
        <w:t>negativa ficta</w:t>
      </w:r>
      <w:r>
        <w:rPr>
          <w:rFonts w:ascii="Palatino Linotype" w:eastAsia="Palatino Linotype" w:hAnsi="Palatino Linotype" w:cs="Palatino Linotype"/>
          <w:sz w:val="22"/>
          <w:szCs w:val="22"/>
        </w:rPr>
        <w:t xml:space="preserve">, que genera la posibilidad de los particulares de interponer un recurso de revisión ante tal omisión, </w:t>
      </w:r>
      <w:r>
        <w:rPr>
          <w:rFonts w:ascii="Palatino Linotype" w:eastAsia="Palatino Linotype" w:hAnsi="Palatino Linotype" w:cs="Palatino Linotype"/>
          <w:sz w:val="22"/>
          <w:szCs w:val="22"/>
          <w:u w:val="single"/>
        </w:rPr>
        <w:t>en cualquier momento</w:t>
      </w:r>
      <w:r>
        <w:rPr>
          <w:rFonts w:ascii="Palatino Linotype" w:eastAsia="Palatino Linotype" w:hAnsi="Palatino Linotype" w:cs="Palatino Linotype"/>
          <w:sz w:val="22"/>
          <w:szCs w:val="22"/>
        </w:rPr>
        <w:t>; por lo que, no es necesario determinar una temporalidad respecto del momento de presentación, conforme a lo establecido en los artículos 166 y 178, párrafo segundo de la Ley de Transparencia y Acceso a la Información Pública del Estado de México y los Municipios.</w:t>
      </w:r>
    </w:p>
    <w:p w:rsidR="00A909C2" w:rsidRDefault="00A909C2">
      <w:pPr>
        <w:spacing w:line="360" w:lineRule="auto"/>
        <w:jc w:val="both"/>
        <w:rPr>
          <w:rFonts w:ascii="Palatino Linotype" w:eastAsia="Palatino Linotype" w:hAnsi="Palatino Linotype" w:cs="Palatino Linotype"/>
          <w:sz w:val="22"/>
          <w:szCs w:val="22"/>
        </w:rPr>
      </w:pPr>
    </w:p>
    <w:p w:rsidR="00A909C2" w:rsidRDefault="00BC259C">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Conforme a lo anterior, se actualiza la causal de procedencia señalada en el artículo 179, fracción VII, de la Ley de la materia, toda vez que el Solicitante se inconformó con la falta de respuesta a su solicitud de acceso a información pública.</w:t>
      </w:r>
    </w:p>
    <w:p w:rsidR="00A909C2" w:rsidRDefault="00A909C2">
      <w:pPr>
        <w:spacing w:line="360" w:lineRule="auto"/>
        <w:jc w:val="both"/>
        <w:rPr>
          <w:rFonts w:ascii="Palatino Linotype" w:eastAsia="Palatino Linotype" w:hAnsi="Palatino Linotype" w:cs="Palatino Linotype"/>
          <w:sz w:val="22"/>
          <w:szCs w:val="22"/>
        </w:rPr>
      </w:pPr>
    </w:p>
    <w:p w:rsidR="00A909C2" w:rsidRDefault="00BC259C">
      <w:pPr>
        <w:spacing w:line="360" w:lineRule="auto"/>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Causales de sobreseimiento</w:t>
      </w:r>
    </w:p>
    <w:p w:rsidR="00A909C2" w:rsidRDefault="00A909C2">
      <w:pPr>
        <w:spacing w:line="360" w:lineRule="auto"/>
        <w:jc w:val="both"/>
        <w:rPr>
          <w:rFonts w:ascii="Palatino Linotype" w:eastAsia="Palatino Linotype" w:hAnsi="Palatino Linotype" w:cs="Palatino Linotype"/>
          <w:sz w:val="22"/>
          <w:szCs w:val="22"/>
        </w:rPr>
      </w:pPr>
    </w:p>
    <w:p w:rsidR="00A909C2" w:rsidRDefault="00BC259C">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Por ser de previo y especial pronunciamiento, este Instituto analiza si se actualiza alguna causal de sobreseimiento.</w:t>
      </w:r>
    </w:p>
    <w:p w:rsidR="00A909C2" w:rsidRDefault="00A909C2">
      <w:pPr>
        <w:spacing w:line="360" w:lineRule="auto"/>
        <w:jc w:val="both"/>
        <w:rPr>
          <w:rFonts w:ascii="Palatino Linotype" w:eastAsia="Palatino Linotype" w:hAnsi="Palatino Linotype" w:cs="Palatino Linotype"/>
          <w:sz w:val="22"/>
          <w:szCs w:val="22"/>
        </w:rPr>
      </w:pPr>
    </w:p>
    <w:p w:rsidR="00A909C2" w:rsidRDefault="00BC259C">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El artículo 192 de la Ley Transparencia y Acceso a la Información Pública del Estado de México y Municipios, señala las causales por las cuales se puede sobreseer en todo o en parte, el Recurso de Revisión; así, del análisis realizado por este Instituto, se advierte que no se actualiza algún supuesto de sobreseimiento; lo anterior, en virtud de que no hay constancias en el expediente en que se actúa, de que la persona Recurrente se haya desistido del recurso, haya fallecido, sobreviniera alguna causal de improcedencia, que el Sujeto Obligado hubiese modificado o revocado el acto impugnado o bien, haya quedado sin materia.</w:t>
      </w:r>
    </w:p>
    <w:p w:rsidR="00A909C2" w:rsidRDefault="00A909C2">
      <w:pPr>
        <w:spacing w:line="360" w:lineRule="auto"/>
        <w:jc w:val="both"/>
        <w:rPr>
          <w:rFonts w:ascii="Palatino Linotype" w:eastAsia="Palatino Linotype" w:hAnsi="Palatino Linotype" w:cs="Palatino Linotype"/>
          <w:sz w:val="22"/>
          <w:szCs w:val="22"/>
        </w:rPr>
      </w:pPr>
    </w:p>
    <w:p w:rsidR="00A909C2" w:rsidRDefault="00BC259C">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Por tales motivos, se considera procedente entrar al fondo del presente asunto. </w:t>
      </w:r>
    </w:p>
    <w:p w:rsidR="00A909C2" w:rsidRDefault="00A909C2">
      <w:pPr>
        <w:spacing w:line="360" w:lineRule="auto"/>
        <w:jc w:val="both"/>
        <w:rPr>
          <w:rFonts w:ascii="Palatino Linotype" w:eastAsia="Palatino Linotype" w:hAnsi="Palatino Linotype" w:cs="Palatino Linotype"/>
          <w:sz w:val="22"/>
          <w:szCs w:val="22"/>
        </w:rPr>
      </w:pPr>
    </w:p>
    <w:p w:rsidR="00A909C2" w:rsidRDefault="00BC259C">
      <w:pPr>
        <w:pStyle w:val="Ttulo2"/>
      </w:pPr>
      <w:bookmarkStart w:id="16" w:name="_heading=h.4wxrbfri4ju4" w:colFirst="0" w:colLast="0"/>
      <w:bookmarkStart w:id="17" w:name="_Toc221207299"/>
      <w:bookmarkEnd w:id="16"/>
      <w:r>
        <w:t>TERCERO. Determinación de la Controversia</w:t>
      </w:r>
      <w:bookmarkEnd w:id="17"/>
    </w:p>
    <w:p w:rsidR="00A909C2" w:rsidRDefault="00A909C2">
      <w:pPr>
        <w:spacing w:line="360" w:lineRule="auto"/>
        <w:jc w:val="both"/>
        <w:rPr>
          <w:rFonts w:ascii="Palatino Linotype" w:eastAsia="Palatino Linotype" w:hAnsi="Palatino Linotype" w:cs="Palatino Linotype"/>
          <w:sz w:val="22"/>
          <w:szCs w:val="22"/>
        </w:rPr>
      </w:pPr>
    </w:p>
    <w:p w:rsidR="00A909C2" w:rsidRDefault="00BC259C">
      <w:pPr>
        <w:tabs>
          <w:tab w:val="left" w:pos="4962"/>
        </w:tabs>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Con el objeto de ilustrar la controversia planteada, resulta conveniente precisar, que una vez realizado el estudio de las constancias que integran el expediente en que se actúa, se desprende que el Particular requirió todas las actas de la junta de gobierno de enero a septiembre del 2022 al 2025.</w:t>
      </w:r>
    </w:p>
    <w:p w:rsidR="00A909C2" w:rsidRDefault="00A909C2">
      <w:pPr>
        <w:pBdr>
          <w:top w:val="nil"/>
          <w:left w:val="nil"/>
          <w:bottom w:val="nil"/>
          <w:right w:val="nil"/>
          <w:between w:val="nil"/>
        </w:pBdr>
        <w:spacing w:line="360" w:lineRule="auto"/>
        <w:ind w:right="-28"/>
        <w:jc w:val="both"/>
        <w:rPr>
          <w:rFonts w:ascii="Palatino Linotype" w:eastAsia="Palatino Linotype" w:hAnsi="Palatino Linotype" w:cs="Palatino Linotype"/>
          <w:color w:val="FF0000"/>
          <w:sz w:val="22"/>
          <w:szCs w:val="22"/>
        </w:rPr>
      </w:pPr>
    </w:p>
    <w:p w:rsidR="00A909C2" w:rsidRDefault="00BC259C">
      <w:pPr>
        <w:pBdr>
          <w:top w:val="nil"/>
          <w:left w:val="nil"/>
          <w:bottom w:val="nil"/>
          <w:right w:val="nil"/>
          <w:between w:val="nil"/>
        </w:pBdr>
        <w:spacing w:line="360" w:lineRule="auto"/>
        <w:ind w:right="-28"/>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Ante la falta de respuesta del Ente Recurrido, el Particular, justamente se inconformó por la falta de entrega de la información, lo cual se actualiza el supuesto previsto en el artículo 179, fracción VII, de la Ley de Transparencia y Acceso a la Información Pública del Estado de México y Municipios</w:t>
      </w:r>
      <w:r>
        <w:rPr>
          <w:rFonts w:ascii="Palatino Linotype" w:eastAsia="Palatino Linotype" w:hAnsi="Palatino Linotype" w:cs="Palatino Linotype"/>
          <w:color w:val="000000"/>
          <w:sz w:val="22"/>
          <w:szCs w:val="22"/>
          <w:highlight w:val="white"/>
        </w:rPr>
        <w:t xml:space="preserve">. </w:t>
      </w:r>
      <w:r>
        <w:rPr>
          <w:rFonts w:ascii="Palatino Linotype" w:eastAsia="Palatino Linotype" w:hAnsi="Palatino Linotype" w:cs="Palatino Linotype"/>
          <w:color w:val="000000"/>
          <w:sz w:val="22"/>
          <w:szCs w:val="22"/>
        </w:rPr>
        <w:t>Así las cosas, una vez admitido y notificado el Recurso de Revisión a las partes, estas fueron omisas en realizar manifestaciones o alegatos.</w:t>
      </w:r>
    </w:p>
    <w:p w:rsidR="00A909C2" w:rsidRDefault="00A909C2">
      <w:pPr>
        <w:pBdr>
          <w:top w:val="nil"/>
          <w:left w:val="nil"/>
          <w:bottom w:val="nil"/>
          <w:right w:val="nil"/>
          <w:between w:val="nil"/>
        </w:pBdr>
        <w:spacing w:line="360" w:lineRule="auto"/>
        <w:ind w:right="-28"/>
        <w:jc w:val="both"/>
        <w:rPr>
          <w:rFonts w:ascii="Palatino Linotype" w:eastAsia="Palatino Linotype" w:hAnsi="Palatino Linotype" w:cs="Palatino Linotype"/>
          <w:color w:val="000000"/>
          <w:sz w:val="22"/>
          <w:szCs w:val="22"/>
        </w:rPr>
      </w:pPr>
    </w:p>
    <w:p w:rsidR="00A909C2" w:rsidRDefault="00BC259C">
      <w:pPr>
        <w:tabs>
          <w:tab w:val="left" w:pos="4962"/>
        </w:tabs>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lastRenderedPageBreak/>
        <w:t xml:space="preserve">Lo anterior, se desprende de las documentales que obran en el expediente de referencia, materia de la presente resolución, consistente en: la solicitud de acceso a la información y el escrito </w:t>
      </w:r>
      <w:proofErr w:type="spellStart"/>
      <w:r>
        <w:rPr>
          <w:rFonts w:ascii="Palatino Linotype" w:eastAsia="Palatino Linotype" w:hAnsi="Palatino Linotype" w:cs="Palatino Linotype"/>
          <w:sz w:val="22"/>
          <w:szCs w:val="22"/>
        </w:rPr>
        <w:t>recursal</w:t>
      </w:r>
      <w:proofErr w:type="spellEnd"/>
      <w:r>
        <w:rPr>
          <w:rFonts w:ascii="Palatino Linotype" w:eastAsia="Palatino Linotype" w:hAnsi="Palatino Linotype" w:cs="Palatino Linotype"/>
          <w:sz w:val="22"/>
          <w:szCs w:val="22"/>
        </w:rPr>
        <w:t>; instrumentales que se toman en cuenta a efecto de resolver el presente medio de impugnación, conforme a lo dispuesto por el artículo 185, fracción IV, de la Ley de Transparencia y Acceso a la Información Pública del Estado de México y Municipios.</w:t>
      </w:r>
    </w:p>
    <w:p w:rsidR="00A909C2" w:rsidRDefault="00A909C2">
      <w:pPr>
        <w:tabs>
          <w:tab w:val="left" w:pos="4962"/>
        </w:tabs>
        <w:spacing w:line="360" w:lineRule="auto"/>
        <w:jc w:val="both"/>
        <w:rPr>
          <w:rFonts w:ascii="Palatino Linotype" w:eastAsia="Palatino Linotype" w:hAnsi="Palatino Linotype" w:cs="Palatino Linotype"/>
          <w:sz w:val="22"/>
          <w:szCs w:val="22"/>
        </w:rPr>
      </w:pPr>
    </w:p>
    <w:p w:rsidR="00A909C2" w:rsidRDefault="00A909C2">
      <w:pPr>
        <w:tabs>
          <w:tab w:val="left" w:pos="4962"/>
        </w:tabs>
        <w:spacing w:line="360" w:lineRule="auto"/>
        <w:jc w:val="both"/>
        <w:rPr>
          <w:rFonts w:ascii="Palatino Linotype" w:eastAsia="Palatino Linotype" w:hAnsi="Palatino Linotype" w:cs="Palatino Linotype"/>
          <w:sz w:val="22"/>
          <w:szCs w:val="22"/>
        </w:rPr>
      </w:pPr>
    </w:p>
    <w:p w:rsidR="00A909C2" w:rsidRDefault="00BC259C">
      <w:pPr>
        <w:pStyle w:val="Ttulo2"/>
        <w:jc w:val="both"/>
      </w:pPr>
      <w:bookmarkStart w:id="18" w:name="_heading=h.wm8ht8vsnjip" w:colFirst="0" w:colLast="0"/>
      <w:bookmarkStart w:id="19" w:name="_Toc221207300"/>
      <w:bookmarkEnd w:id="18"/>
      <w:r>
        <w:t>CUARTO. Marco normativo aplicable en materia de transparencia y acceso a la información pública</w:t>
      </w:r>
      <w:bookmarkEnd w:id="19"/>
    </w:p>
    <w:p w:rsidR="00A909C2" w:rsidRDefault="00A909C2">
      <w:pPr>
        <w:spacing w:line="360" w:lineRule="auto"/>
        <w:jc w:val="both"/>
        <w:rPr>
          <w:rFonts w:ascii="Palatino Linotype" w:eastAsia="Palatino Linotype" w:hAnsi="Palatino Linotype" w:cs="Palatino Linotype"/>
          <w:sz w:val="22"/>
          <w:szCs w:val="22"/>
        </w:rPr>
      </w:pPr>
    </w:p>
    <w:p w:rsidR="00A909C2" w:rsidRDefault="00BC259C">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El artículo 6°, Apartado A), fracción I de la Constitución Política de los Estados Unidos Mexicanos, establece que toda la información en posesión de cualquier autoridad, es pública y sólo podrá ser reservada temporalmente por razones de interés público.</w:t>
      </w:r>
    </w:p>
    <w:p w:rsidR="00A909C2" w:rsidRDefault="00A909C2">
      <w:pPr>
        <w:spacing w:line="360" w:lineRule="auto"/>
        <w:jc w:val="both"/>
        <w:rPr>
          <w:rFonts w:ascii="Palatino Linotype" w:eastAsia="Palatino Linotype" w:hAnsi="Palatino Linotype" w:cs="Palatino Linotype"/>
          <w:sz w:val="22"/>
          <w:szCs w:val="22"/>
        </w:rPr>
      </w:pPr>
    </w:p>
    <w:p w:rsidR="00A909C2" w:rsidRDefault="00BC259C">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rsidR="00A909C2" w:rsidRDefault="00A909C2">
      <w:pPr>
        <w:spacing w:line="360" w:lineRule="auto"/>
        <w:jc w:val="both"/>
        <w:rPr>
          <w:rFonts w:ascii="Palatino Linotype" w:eastAsia="Palatino Linotype" w:hAnsi="Palatino Linotype" w:cs="Palatino Linotype"/>
          <w:sz w:val="22"/>
          <w:szCs w:val="22"/>
        </w:rPr>
      </w:pPr>
    </w:p>
    <w:p w:rsidR="00A909C2" w:rsidRDefault="00BC259C">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En ese sentido, la Ley de Transparencia y Acceso a la Información Pública del Estado de México y Municipios (Reglamentaria del artículo 5° de la Constitución Local), establece lo siguiente:</w:t>
      </w:r>
    </w:p>
    <w:p w:rsidR="00A909C2" w:rsidRDefault="00A909C2">
      <w:pPr>
        <w:spacing w:line="360" w:lineRule="auto"/>
        <w:jc w:val="both"/>
        <w:rPr>
          <w:rFonts w:ascii="Palatino Linotype" w:eastAsia="Palatino Linotype" w:hAnsi="Palatino Linotype" w:cs="Palatino Linotype"/>
          <w:sz w:val="22"/>
          <w:szCs w:val="22"/>
        </w:rPr>
      </w:pPr>
    </w:p>
    <w:p w:rsidR="00A909C2" w:rsidRDefault="00BC259C">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lastRenderedPageBreak/>
        <w:t>El artículo 12, que, quienes generen, recopilen, administren, manejen, procesen, archiven o conserven información pública serán responsables de la misma.</w:t>
      </w:r>
    </w:p>
    <w:p w:rsidR="00A909C2" w:rsidRDefault="00A909C2">
      <w:pPr>
        <w:spacing w:line="360" w:lineRule="auto"/>
        <w:jc w:val="both"/>
        <w:rPr>
          <w:rFonts w:ascii="Palatino Linotype" w:eastAsia="Palatino Linotype" w:hAnsi="Palatino Linotype" w:cs="Palatino Linotype"/>
          <w:sz w:val="22"/>
          <w:szCs w:val="22"/>
        </w:rPr>
      </w:pPr>
    </w:p>
    <w:p w:rsidR="00A909C2" w:rsidRDefault="00BC259C">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El artículo 18, que, los Sujetos Obligados deberán documentar todo acto que derive del ejercicio de sus facultades, competencias o funciones, considerando desde su origen la eventual publicidad y reutilización de la información que generen.</w:t>
      </w:r>
    </w:p>
    <w:p w:rsidR="00A909C2" w:rsidRDefault="00A909C2">
      <w:pPr>
        <w:spacing w:line="360" w:lineRule="auto"/>
        <w:jc w:val="both"/>
        <w:rPr>
          <w:rFonts w:ascii="Palatino Linotype" w:eastAsia="Palatino Linotype" w:hAnsi="Palatino Linotype" w:cs="Palatino Linotype"/>
          <w:sz w:val="22"/>
          <w:szCs w:val="22"/>
        </w:rPr>
      </w:pPr>
    </w:p>
    <w:p w:rsidR="00A909C2" w:rsidRDefault="00BC259C">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rsidR="00A909C2" w:rsidRDefault="00A909C2">
      <w:pPr>
        <w:spacing w:line="360" w:lineRule="auto"/>
        <w:jc w:val="both"/>
        <w:rPr>
          <w:rFonts w:ascii="Palatino Linotype" w:eastAsia="Palatino Linotype" w:hAnsi="Palatino Linotype" w:cs="Palatino Linotype"/>
          <w:sz w:val="22"/>
          <w:szCs w:val="22"/>
        </w:rPr>
      </w:pPr>
    </w:p>
    <w:p w:rsidR="00A909C2" w:rsidRDefault="00BC259C">
      <w:pPr>
        <w:pStyle w:val="Ttulo2"/>
      </w:pPr>
      <w:bookmarkStart w:id="20" w:name="_heading=h.6uwhbzw9ri8o" w:colFirst="0" w:colLast="0"/>
      <w:bookmarkStart w:id="21" w:name="_Toc221207301"/>
      <w:bookmarkEnd w:id="20"/>
      <w:r>
        <w:t>QUINTO. Estudio de Fondo</w:t>
      </w:r>
      <w:bookmarkEnd w:id="21"/>
    </w:p>
    <w:p w:rsidR="00A909C2" w:rsidRDefault="00A909C2">
      <w:pPr>
        <w:spacing w:line="360" w:lineRule="auto"/>
        <w:jc w:val="both"/>
        <w:rPr>
          <w:rFonts w:ascii="Palatino Linotype" w:eastAsia="Palatino Linotype" w:hAnsi="Palatino Linotype" w:cs="Palatino Linotype"/>
          <w:sz w:val="22"/>
          <w:szCs w:val="22"/>
        </w:rPr>
      </w:pPr>
    </w:p>
    <w:p w:rsidR="00A909C2" w:rsidRDefault="00BC259C">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Expuestas las posturas de las partes, se procede al análisis del agravio hecho valer por la persona Recurrente, concerniente a la falta de respuesta del Sistema Municipal para el Desarrollo Integral de la Familia Municipio de Atenco a la solicitud de información.</w:t>
      </w:r>
    </w:p>
    <w:p w:rsidR="00A909C2" w:rsidRDefault="00A909C2">
      <w:pPr>
        <w:spacing w:line="360" w:lineRule="auto"/>
        <w:jc w:val="both"/>
        <w:rPr>
          <w:rFonts w:ascii="Palatino Linotype" w:eastAsia="Palatino Linotype" w:hAnsi="Palatino Linotype" w:cs="Palatino Linotype"/>
          <w:color w:val="FF0000"/>
          <w:sz w:val="22"/>
          <w:szCs w:val="22"/>
        </w:rPr>
      </w:pPr>
    </w:p>
    <w:p w:rsidR="00A909C2" w:rsidRDefault="00BC259C">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En principio, es de suma importancia señalar los objetivos de la Ley de Transparencia y Acceso a la Información Pública del Estado de México y Municipios, en relación con la obligación de acceso por parte de los Sujetos Obligados, los cuales se encuentran establecidos en el artículo 2° de dicho ordenamiento jurídico y son los siguientes:</w:t>
      </w:r>
    </w:p>
    <w:p w:rsidR="00A909C2" w:rsidRDefault="00A909C2">
      <w:pPr>
        <w:spacing w:line="360" w:lineRule="auto"/>
        <w:jc w:val="both"/>
        <w:rPr>
          <w:rFonts w:ascii="Palatino Linotype" w:eastAsia="Palatino Linotype" w:hAnsi="Palatino Linotype" w:cs="Palatino Linotype"/>
          <w:sz w:val="22"/>
          <w:szCs w:val="22"/>
        </w:rPr>
      </w:pPr>
    </w:p>
    <w:p w:rsidR="00A909C2" w:rsidRDefault="00BC259C">
      <w:pPr>
        <w:numPr>
          <w:ilvl w:val="0"/>
          <w:numId w:val="1"/>
        </w:num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lastRenderedPageBreak/>
        <w:t>Proveer lo necesario para garantizar a toda persona el derecho de acceso a la información pública, a través de procedimientos sencillos, expeditos, oportunos y gratuitos;</w:t>
      </w:r>
    </w:p>
    <w:p w:rsidR="00A909C2" w:rsidRDefault="00A909C2">
      <w:pPr>
        <w:spacing w:line="360" w:lineRule="auto"/>
        <w:ind w:left="720"/>
        <w:jc w:val="both"/>
        <w:rPr>
          <w:rFonts w:ascii="Palatino Linotype" w:eastAsia="Palatino Linotype" w:hAnsi="Palatino Linotype" w:cs="Palatino Linotype"/>
          <w:sz w:val="22"/>
          <w:szCs w:val="22"/>
        </w:rPr>
      </w:pPr>
    </w:p>
    <w:p w:rsidR="00A909C2" w:rsidRDefault="00BC259C">
      <w:pPr>
        <w:numPr>
          <w:ilvl w:val="0"/>
          <w:numId w:val="1"/>
        </w:num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Transparentar la gestión pública, mediante la difusión de la información generada por los Sujetos Obligados, y</w:t>
      </w:r>
    </w:p>
    <w:p w:rsidR="00A909C2" w:rsidRDefault="00A909C2">
      <w:pPr>
        <w:pBdr>
          <w:top w:val="nil"/>
          <w:left w:val="nil"/>
          <w:bottom w:val="nil"/>
          <w:right w:val="nil"/>
          <w:between w:val="nil"/>
        </w:pBdr>
        <w:spacing w:line="360" w:lineRule="auto"/>
        <w:ind w:left="720"/>
        <w:rPr>
          <w:rFonts w:ascii="Palatino Linotype" w:eastAsia="Palatino Linotype" w:hAnsi="Palatino Linotype" w:cs="Palatino Linotype"/>
          <w:color w:val="000000"/>
          <w:sz w:val="22"/>
          <w:szCs w:val="22"/>
        </w:rPr>
      </w:pPr>
    </w:p>
    <w:p w:rsidR="00A909C2" w:rsidRDefault="00BC259C">
      <w:pPr>
        <w:numPr>
          <w:ilvl w:val="0"/>
          <w:numId w:val="1"/>
        </w:num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Promover, fomentar y difundir la cultura de la transparencia en el ejercicio de la función pública, el acceso a la información y la participación ciudadana, así como, la rendición de cuentas.</w:t>
      </w:r>
    </w:p>
    <w:p w:rsidR="00A909C2" w:rsidRDefault="00A909C2">
      <w:pPr>
        <w:spacing w:line="360" w:lineRule="auto"/>
        <w:jc w:val="both"/>
        <w:rPr>
          <w:rFonts w:ascii="Palatino Linotype" w:eastAsia="Palatino Linotype" w:hAnsi="Palatino Linotype" w:cs="Palatino Linotype"/>
          <w:sz w:val="22"/>
          <w:szCs w:val="22"/>
        </w:rPr>
      </w:pPr>
    </w:p>
    <w:p w:rsidR="00A909C2" w:rsidRDefault="00BC259C">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Conforme a lo anterior, se deprende que los objetivos de la Ley de la materia, son establecer las bases que regirán las formas para garantizar el derecho de acceso a la información, mediante procesos sencillos y expeditos, la promoción, fomentación y difusión de la cultura de transparencia y la rendición de cuentas, a través de establecimiento de políticas públicas y mecanismos que garanticen la publicidad de información oportuna, verificable, comprensible, actualizada y completa.</w:t>
      </w:r>
    </w:p>
    <w:p w:rsidR="00A909C2" w:rsidRDefault="00A909C2">
      <w:pPr>
        <w:spacing w:line="360" w:lineRule="auto"/>
        <w:jc w:val="both"/>
        <w:rPr>
          <w:rFonts w:ascii="Palatino Linotype" w:eastAsia="Palatino Linotype" w:hAnsi="Palatino Linotype" w:cs="Palatino Linotype"/>
          <w:sz w:val="22"/>
          <w:szCs w:val="22"/>
        </w:rPr>
      </w:pPr>
    </w:p>
    <w:p w:rsidR="00A909C2" w:rsidRDefault="00BC259C">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En ese orden de ideas, para la atención de las solicitudes de acceso a la información, debe privilegiarse el principio de máxima publicidad el cual dispone que toda la información en posesión de los sujetos obligados será pública, completa, oportuna y accesible, sujeta a un claro régimen de excepciones que deberán estar definidas y ser legítimas y estrictamente necesarias en una sociedad democrática.</w:t>
      </w:r>
    </w:p>
    <w:p w:rsidR="00A909C2" w:rsidRDefault="00A909C2">
      <w:pPr>
        <w:spacing w:line="360" w:lineRule="auto"/>
        <w:jc w:val="both"/>
        <w:rPr>
          <w:rFonts w:ascii="Palatino Linotype" w:eastAsia="Palatino Linotype" w:hAnsi="Palatino Linotype" w:cs="Palatino Linotype"/>
          <w:sz w:val="22"/>
          <w:szCs w:val="22"/>
        </w:rPr>
      </w:pPr>
    </w:p>
    <w:p w:rsidR="00A909C2" w:rsidRDefault="00BC259C">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lastRenderedPageBreak/>
        <w:t>Para lograr lo anterior, los Sujetos Obligados deben seguir el procedimiento para la atención a las solicitudes de acceso a la información, establecido en los artículos 151, 159, 160, 162, 163, 164, 165 y 166, de la Ley de Transparencia y Acceso a la Información Pública del Estado de México y Municipios, el cual es el siguiente:</w:t>
      </w:r>
    </w:p>
    <w:p w:rsidR="00A909C2" w:rsidRDefault="00A909C2">
      <w:pPr>
        <w:spacing w:line="360" w:lineRule="auto"/>
        <w:jc w:val="both"/>
        <w:rPr>
          <w:rFonts w:ascii="Palatino Linotype" w:eastAsia="Palatino Linotype" w:hAnsi="Palatino Linotype" w:cs="Palatino Linotype"/>
          <w:sz w:val="22"/>
          <w:szCs w:val="22"/>
        </w:rPr>
      </w:pPr>
    </w:p>
    <w:p w:rsidR="00A909C2" w:rsidRDefault="00BC259C">
      <w:pPr>
        <w:numPr>
          <w:ilvl w:val="0"/>
          <w:numId w:val="2"/>
        </w:num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Las Unidades de Transparencia de los Sujetos Obligados deben garantizar las medidas y condiciones de accesibilidad para que toda persona puede ejercer el derecho de acceso a la información; por lo que, son las responsables de hacer las notificaciones correspondientes, además de llevar a cabo de todas las gestiones necesarias para facilitar el acceso de la información;</w:t>
      </w:r>
    </w:p>
    <w:p w:rsidR="00A909C2" w:rsidRDefault="00A909C2">
      <w:pPr>
        <w:spacing w:line="360" w:lineRule="auto"/>
        <w:ind w:left="720"/>
        <w:jc w:val="both"/>
        <w:rPr>
          <w:rFonts w:ascii="Palatino Linotype" w:eastAsia="Palatino Linotype" w:hAnsi="Palatino Linotype" w:cs="Palatino Linotype"/>
          <w:sz w:val="22"/>
          <w:szCs w:val="22"/>
        </w:rPr>
      </w:pPr>
    </w:p>
    <w:p w:rsidR="00A909C2" w:rsidRDefault="00BC259C">
      <w:pPr>
        <w:numPr>
          <w:ilvl w:val="0"/>
          <w:numId w:val="2"/>
        </w:num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Los Sujetos Obligados podrán requerirle a los Solicitantes, que complementen, corrijan o amplíen su solicitud de información, cuando resulten los datos proporcionados insuficientes, incorrectos, incompletos o erróneos; solicitar dicha aclaración, interrumpirá el plazo para dar respuesta y comenzará a computarse el día siguiente al desahogo de esta;</w:t>
      </w:r>
    </w:p>
    <w:p w:rsidR="00A909C2" w:rsidRDefault="00A909C2">
      <w:pPr>
        <w:pBdr>
          <w:top w:val="nil"/>
          <w:left w:val="nil"/>
          <w:bottom w:val="nil"/>
          <w:right w:val="nil"/>
          <w:between w:val="nil"/>
        </w:pBdr>
        <w:spacing w:line="360" w:lineRule="auto"/>
        <w:ind w:left="720"/>
        <w:rPr>
          <w:rFonts w:ascii="Palatino Linotype" w:eastAsia="Palatino Linotype" w:hAnsi="Palatino Linotype" w:cs="Palatino Linotype"/>
          <w:color w:val="000000"/>
          <w:sz w:val="22"/>
          <w:szCs w:val="22"/>
        </w:rPr>
      </w:pPr>
    </w:p>
    <w:p w:rsidR="00A909C2" w:rsidRDefault="00BC259C">
      <w:pPr>
        <w:numPr>
          <w:ilvl w:val="0"/>
          <w:numId w:val="2"/>
        </w:num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 Las respuestas a los requerimientos informativos deberán notificarse al interesado en el menor tiempo posible, </w:t>
      </w:r>
      <w:r>
        <w:rPr>
          <w:rFonts w:ascii="Palatino Linotype" w:eastAsia="Palatino Linotype" w:hAnsi="Palatino Linotype" w:cs="Palatino Linotype"/>
          <w:sz w:val="22"/>
          <w:szCs w:val="22"/>
          <w:u w:val="single"/>
        </w:rPr>
        <w:t>que no podrá exceder quince días,</w:t>
      </w:r>
      <w:r>
        <w:rPr>
          <w:rFonts w:ascii="Palatino Linotype" w:eastAsia="Palatino Linotype" w:hAnsi="Palatino Linotype" w:cs="Palatino Linotype"/>
          <w:sz w:val="22"/>
          <w:szCs w:val="22"/>
        </w:rPr>
        <w:t xml:space="preserve"> contados a partir del día siguiente a la presentación de ésta. Excepcionalmente, el plazo referido podrá ampliarse por siete días hábiles más, cuando existan razones fundadas y motivadas, a través del Comité de Transparencia;</w:t>
      </w:r>
    </w:p>
    <w:p w:rsidR="00A909C2" w:rsidRDefault="00A909C2">
      <w:pPr>
        <w:pBdr>
          <w:top w:val="nil"/>
          <w:left w:val="nil"/>
          <w:bottom w:val="nil"/>
          <w:right w:val="nil"/>
          <w:between w:val="nil"/>
        </w:pBdr>
        <w:spacing w:line="360" w:lineRule="auto"/>
        <w:ind w:left="720"/>
        <w:rPr>
          <w:rFonts w:ascii="Palatino Linotype" w:eastAsia="Palatino Linotype" w:hAnsi="Palatino Linotype" w:cs="Palatino Linotype"/>
          <w:color w:val="000000"/>
          <w:sz w:val="22"/>
          <w:szCs w:val="22"/>
        </w:rPr>
      </w:pPr>
    </w:p>
    <w:p w:rsidR="00A909C2" w:rsidRDefault="00BC259C">
      <w:pPr>
        <w:numPr>
          <w:ilvl w:val="0"/>
          <w:numId w:val="2"/>
        </w:num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lastRenderedPageBreak/>
        <w:t>Las Unidades de Transparencia garantizarán que las solicitudes se turnen a todas las áreas competentes que cuenten con la información o deban tenerla de acuerdo a sus facultades, funciones y atribuciones, para que realicen una búsqueda exhaustiva y razonable de la documentación solicitada, con el fin de que proporcionen las expresiones documentales que se encuentren en sus archivos o que estén constreñidos a elaborar;</w:t>
      </w:r>
    </w:p>
    <w:p w:rsidR="00A909C2" w:rsidRDefault="00A909C2">
      <w:pPr>
        <w:spacing w:line="360" w:lineRule="auto"/>
        <w:rPr>
          <w:rFonts w:ascii="Palatino Linotype" w:eastAsia="Palatino Linotype" w:hAnsi="Palatino Linotype" w:cs="Palatino Linotype"/>
        </w:rPr>
      </w:pPr>
    </w:p>
    <w:p w:rsidR="00A909C2" w:rsidRDefault="00BC259C">
      <w:pPr>
        <w:numPr>
          <w:ilvl w:val="0"/>
          <w:numId w:val="2"/>
        </w:num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El acceso se dará en la modalidad de entrega y en su caso, de envío elegido por el solicitante, cuando no pueda entregarse en dicha modalidad, el Sujeto Obligado deberá ofrecer otras; por lo cual, deberá fundamentar y motivar la necesidad de modificar el medio de entrega, y</w:t>
      </w:r>
    </w:p>
    <w:p w:rsidR="00A909C2" w:rsidRDefault="00A909C2">
      <w:pPr>
        <w:pBdr>
          <w:top w:val="nil"/>
          <w:left w:val="nil"/>
          <w:bottom w:val="nil"/>
          <w:right w:val="nil"/>
          <w:between w:val="nil"/>
        </w:pBdr>
        <w:spacing w:line="360" w:lineRule="auto"/>
        <w:ind w:left="720"/>
        <w:rPr>
          <w:rFonts w:ascii="Palatino Linotype" w:eastAsia="Palatino Linotype" w:hAnsi="Palatino Linotype" w:cs="Palatino Linotype"/>
          <w:color w:val="000000"/>
          <w:sz w:val="22"/>
          <w:szCs w:val="22"/>
        </w:rPr>
      </w:pPr>
    </w:p>
    <w:p w:rsidR="00A909C2" w:rsidRDefault="00BC259C">
      <w:pPr>
        <w:numPr>
          <w:ilvl w:val="0"/>
          <w:numId w:val="2"/>
        </w:num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Las Unidades de Transparencia, tendrán disponible la información requerida durante un plazo mínimo de sesenta días hábiles, contados a partir de que el solicitante hubiere realizado, en su caso, el pago respectivo, el cual deberá efectuarse en un plazo no mayor a treinta días hábiles; por lo que, una vez trascurrida dicha temporalidad, los Sujetos Obligados darán por concluida la solicitud y procederán de ser el caso, a la destrucción del material.</w:t>
      </w:r>
    </w:p>
    <w:p w:rsidR="00A909C2" w:rsidRDefault="00A909C2">
      <w:pPr>
        <w:spacing w:line="360" w:lineRule="auto"/>
        <w:jc w:val="both"/>
        <w:rPr>
          <w:rFonts w:ascii="Palatino Linotype" w:eastAsia="Palatino Linotype" w:hAnsi="Palatino Linotype" w:cs="Palatino Linotype"/>
          <w:sz w:val="22"/>
          <w:szCs w:val="22"/>
        </w:rPr>
      </w:pPr>
    </w:p>
    <w:p w:rsidR="00A909C2" w:rsidRDefault="00BC259C">
      <w:pPr>
        <w:spacing w:line="360" w:lineRule="auto"/>
        <w:jc w:val="both"/>
        <w:rPr>
          <w:rFonts w:ascii="Palatino Linotype" w:eastAsia="Palatino Linotype" w:hAnsi="Palatino Linotype" w:cs="Palatino Linotype"/>
          <w:color w:val="FF0000"/>
          <w:sz w:val="22"/>
          <w:szCs w:val="22"/>
        </w:rPr>
      </w:pPr>
      <w:r>
        <w:rPr>
          <w:rFonts w:ascii="Palatino Linotype" w:eastAsia="Palatino Linotype" w:hAnsi="Palatino Linotype" w:cs="Palatino Linotype"/>
          <w:sz w:val="22"/>
          <w:szCs w:val="22"/>
        </w:rPr>
        <w:t>Una vez establecido lo anterior, es de indicar que el agravio del Particular consistió en que, a la fecha de interposición del Recurso de Revisión, el Sistema Municipal para el Desarrollo Integral de la Familia Municipio de Atenco, no había registrado respuesta al requerimiento de acceso a la información, el cual se tuvo por presentado, el día once de septiembre de dos mil veinticinco.</w:t>
      </w:r>
    </w:p>
    <w:p w:rsidR="00A909C2" w:rsidRDefault="00A909C2">
      <w:pPr>
        <w:spacing w:line="360" w:lineRule="auto"/>
        <w:jc w:val="both"/>
        <w:rPr>
          <w:rFonts w:ascii="Palatino Linotype" w:eastAsia="Palatino Linotype" w:hAnsi="Palatino Linotype" w:cs="Palatino Linotype"/>
          <w:color w:val="FF0000"/>
          <w:sz w:val="22"/>
          <w:szCs w:val="22"/>
        </w:rPr>
      </w:pPr>
    </w:p>
    <w:p w:rsidR="00A909C2" w:rsidRDefault="00BC259C">
      <w:pPr>
        <w:spacing w:line="360" w:lineRule="auto"/>
        <w:jc w:val="both"/>
        <w:rPr>
          <w:rFonts w:ascii="Palatino Linotype" w:eastAsia="Palatino Linotype" w:hAnsi="Palatino Linotype" w:cs="Palatino Linotype"/>
          <w:color w:val="FF0000"/>
          <w:sz w:val="22"/>
          <w:szCs w:val="22"/>
        </w:rPr>
      </w:pPr>
      <w:bookmarkStart w:id="22" w:name="_heading=h.qjg6d6uh1twn" w:colFirst="0" w:colLast="0"/>
      <w:bookmarkEnd w:id="22"/>
      <w:r>
        <w:rPr>
          <w:rFonts w:ascii="Palatino Linotype" w:eastAsia="Palatino Linotype" w:hAnsi="Palatino Linotype" w:cs="Palatino Linotype"/>
          <w:sz w:val="22"/>
          <w:szCs w:val="22"/>
        </w:rPr>
        <w:t>En ese orden de ideas, el plazo con el que contaba el Sujeto Obligado para emitir contestación al requerimiento informativo comenzó a correr el doce de septiembre y feneció el tres de octubre de dos mil veinticinco; lo anterior, sin contar los días inhábiles, de conformidad con el artículo, 3°, fracción X, de la Ley de Transparencia y Acceso a la Información Pública del Estado de México y Municipios y el Calendario Oficial en Materia de Transparencia, Acceso a la Información Pública y Protección de Datos Personales del Estado de México y Municipios, así como de laborales de este Instituto, para el año dos mil veinticinco.</w:t>
      </w:r>
    </w:p>
    <w:p w:rsidR="00A909C2" w:rsidRDefault="00A909C2">
      <w:pPr>
        <w:spacing w:line="360" w:lineRule="auto"/>
        <w:jc w:val="both"/>
        <w:rPr>
          <w:rFonts w:ascii="Palatino Linotype" w:eastAsia="Palatino Linotype" w:hAnsi="Palatino Linotype" w:cs="Palatino Linotype"/>
          <w:color w:val="FF0000"/>
          <w:sz w:val="22"/>
          <w:szCs w:val="22"/>
        </w:rPr>
      </w:pPr>
    </w:p>
    <w:p w:rsidR="00A909C2" w:rsidRDefault="00BC259C">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Así, este Instituto verificó que, en efecto, no se registró respuesta a la solicitud de información de la persona Recurrente, en el Sistema de Acceso a la Información Mexiquense (SAIMEX), tal como se observa a continuación:</w:t>
      </w:r>
    </w:p>
    <w:p w:rsidR="00A909C2" w:rsidRDefault="00A909C2">
      <w:pPr>
        <w:spacing w:line="360" w:lineRule="auto"/>
        <w:jc w:val="both"/>
        <w:rPr>
          <w:rFonts w:ascii="Palatino Linotype" w:eastAsia="Palatino Linotype" w:hAnsi="Palatino Linotype" w:cs="Palatino Linotype"/>
          <w:sz w:val="22"/>
          <w:szCs w:val="22"/>
        </w:rPr>
      </w:pPr>
    </w:p>
    <w:p w:rsidR="00A909C2" w:rsidRDefault="00BC259C">
      <w:pPr>
        <w:spacing w:line="360" w:lineRule="auto"/>
        <w:jc w:val="center"/>
        <w:rPr>
          <w:rFonts w:ascii="Palatino Linotype" w:eastAsia="Palatino Linotype" w:hAnsi="Palatino Linotype" w:cs="Palatino Linotype"/>
          <w:sz w:val="22"/>
          <w:szCs w:val="22"/>
        </w:rPr>
      </w:pPr>
      <w:r>
        <w:rPr>
          <w:rFonts w:ascii="Palatino Linotype" w:eastAsia="Palatino Linotype" w:hAnsi="Palatino Linotype" w:cs="Palatino Linotype"/>
          <w:noProof/>
          <w:sz w:val="22"/>
          <w:szCs w:val="22"/>
        </w:rPr>
        <w:drawing>
          <wp:inline distT="0" distB="0" distL="0" distR="0">
            <wp:extent cx="2753109" cy="1524213"/>
            <wp:effectExtent l="0" t="0" r="0" b="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2753109" cy="1524213"/>
                    </a:xfrm>
                    <a:prstGeom prst="rect">
                      <a:avLst/>
                    </a:prstGeom>
                    <a:ln/>
                  </pic:spPr>
                </pic:pic>
              </a:graphicData>
            </a:graphic>
          </wp:inline>
        </w:drawing>
      </w:r>
    </w:p>
    <w:p w:rsidR="00A909C2" w:rsidRDefault="00A909C2">
      <w:pPr>
        <w:spacing w:line="360" w:lineRule="auto"/>
        <w:jc w:val="both"/>
        <w:rPr>
          <w:rFonts w:ascii="Palatino Linotype" w:eastAsia="Palatino Linotype" w:hAnsi="Palatino Linotype" w:cs="Palatino Linotype"/>
          <w:color w:val="FF0000"/>
          <w:sz w:val="22"/>
          <w:szCs w:val="22"/>
        </w:rPr>
      </w:pPr>
    </w:p>
    <w:p w:rsidR="00A909C2" w:rsidRDefault="00BC259C">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Conforme a lo anterior, se colige que, tal como lo precisó la persona Recurrente, el Sistema Municipal para el Desarrollo Integral de la Familia Municipio de Atenco, no emitió respuesta para dar contestación a la solicitud de acceso a la información pública, dentro de los plazos establecidos en el artículo 163, de la Ley de Transparencia y Acceso a la Información Pública </w:t>
      </w:r>
      <w:r>
        <w:rPr>
          <w:rFonts w:ascii="Palatino Linotype" w:eastAsia="Palatino Linotype" w:hAnsi="Palatino Linotype" w:cs="Palatino Linotype"/>
          <w:sz w:val="22"/>
          <w:szCs w:val="22"/>
        </w:rPr>
        <w:lastRenderedPageBreak/>
        <w:t xml:space="preserve">del Estado de México y Municipios, pues tenía hasta el tres de octubre de dos mil veinticinco, para realizar dicha situación, por lo que es evidente que el agravio es </w:t>
      </w:r>
      <w:r>
        <w:rPr>
          <w:rFonts w:ascii="Palatino Linotype" w:eastAsia="Palatino Linotype" w:hAnsi="Palatino Linotype" w:cs="Palatino Linotype"/>
          <w:b/>
          <w:bCs/>
          <w:sz w:val="22"/>
          <w:szCs w:val="22"/>
        </w:rPr>
        <w:t>FUNDADO</w:t>
      </w:r>
      <w:r>
        <w:rPr>
          <w:rFonts w:ascii="Palatino Linotype" w:eastAsia="Palatino Linotype" w:hAnsi="Palatino Linotype" w:cs="Palatino Linotype"/>
          <w:sz w:val="22"/>
          <w:szCs w:val="22"/>
        </w:rPr>
        <w:t xml:space="preserve">. </w:t>
      </w:r>
    </w:p>
    <w:p w:rsidR="00A909C2" w:rsidRDefault="00A909C2">
      <w:pPr>
        <w:spacing w:line="360" w:lineRule="auto"/>
        <w:jc w:val="both"/>
        <w:rPr>
          <w:rFonts w:ascii="Palatino Linotype" w:eastAsia="Palatino Linotype" w:hAnsi="Palatino Linotype" w:cs="Palatino Linotype"/>
          <w:sz w:val="22"/>
          <w:szCs w:val="22"/>
        </w:rPr>
      </w:pPr>
    </w:p>
    <w:p w:rsidR="00A909C2" w:rsidRDefault="00BC259C">
      <w:pPr>
        <w:tabs>
          <w:tab w:val="left" w:pos="4962"/>
        </w:tabs>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Con base en lo expuesto, es procedente </w:t>
      </w:r>
      <w:r>
        <w:rPr>
          <w:rFonts w:ascii="Palatino Linotype" w:eastAsia="Palatino Linotype" w:hAnsi="Palatino Linotype" w:cs="Palatino Linotype"/>
          <w:b/>
          <w:bCs/>
          <w:sz w:val="22"/>
          <w:szCs w:val="22"/>
        </w:rPr>
        <w:t>ORDENAR</w:t>
      </w:r>
      <w:r>
        <w:rPr>
          <w:rFonts w:ascii="Palatino Linotype" w:eastAsia="Palatino Linotype" w:hAnsi="Palatino Linotype" w:cs="Palatino Linotype"/>
          <w:sz w:val="22"/>
          <w:szCs w:val="22"/>
        </w:rPr>
        <w:t xml:space="preserve"> al Sujeto Obligado, que emita respuesta que a derecho corresponda, a los requerimientos de información; no obstante, para tal circunstancia es necesario contextualizar la solicitud de información.</w:t>
      </w:r>
    </w:p>
    <w:p w:rsidR="00A909C2" w:rsidRDefault="00A909C2">
      <w:pPr>
        <w:tabs>
          <w:tab w:val="left" w:pos="4962"/>
        </w:tabs>
        <w:spacing w:line="360" w:lineRule="auto"/>
        <w:jc w:val="both"/>
        <w:rPr>
          <w:rFonts w:ascii="Palatino Linotype" w:eastAsia="Palatino Linotype" w:hAnsi="Palatino Linotype" w:cs="Palatino Linotype"/>
          <w:sz w:val="22"/>
          <w:szCs w:val="22"/>
        </w:rPr>
      </w:pPr>
    </w:p>
    <w:p w:rsidR="00A909C2" w:rsidRDefault="00BC259C">
      <w:pPr>
        <w:tabs>
          <w:tab w:val="left" w:pos="4962"/>
        </w:tabs>
        <w:spacing w:line="360" w:lineRule="auto"/>
        <w:jc w:val="both"/>
        <w:rPr>
          <w:rFonts w:ascii="Palatino Linotype" w:eastAsia="Palatino Linotype" w:hAnsi="Palatino Linotype" w:cs="Palatino Linotype"/>
          <w:sz w:val="22"/>
          <w:szCs w:val="22"/>
        </w:rPr>
      </w:pPr>
      <w:bookmarkStart w:id="23" w:name="_heading=h.thm76v93k45b" w:colFirst="0" w:colLast="0"/>
      <w:bookmarkEnd w:id="23"/>
      <w:r>
        <w:rPr>
          <w:rFonts w:ascii="Palatino Linotype" w:eastAsia="Palatino Linotype" w:hAnsi="Palatino Linotype" w:cs="Palatino Linotype"/>
          <w:sz w:val="22"/>
          <w:szCs w:val="22"/>
        </w:rPr>
        <w:t xml:space="preserve">En ese contexto, la Ley que crea los Organismos Públicos Descentralizados de Asistencia Social, de carácter Municipal denominados Sistemas Municipales para el Desarrollo Integral de la Familia, en su artículo 14  refiere que la Dirección rendirá los informes parciales que la Junta de Gobierno o la presidencia les solicite, además de certificar la documentación oficial emanada de la Junta de Gobierno o de cualquiera de sus miembros y cuando se trate de documentación presentada ante el Órgano Superior de Fiscalización del Estado de México. </w:t>
      </w:r>
    </w:p>
    <w:p w:rsidR="00A909C2" w:rsidRDefault="00A909C2">
      <w:pPr>
        <w:tabs>
          <w:tab w:val="left" w:pos="4962"/>
        </w:tabs>
        <w:spacing w:line="360" w:lineRule="auto"/>
        <w:jc w:val="center"/>
        <w:rPr>
          <w:rFonts w:ascii="Palatino Linotype" w:eastAsia="Palatino Linotype" w:hAnsi="Palatino Linotype" w:cs="Palatino Linotype"/>
          <w:sz w:val="22"/>
          <w:szCs w:val="22"/>
        </w:rPr>
      </w:pPr>
    </w:p>
    <w:p w:rsidR="00A909C2" w:rsidRDefault="00BC259C">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Conforme a lo anterior, el Sujeto Obligado cuenta con competencia para conocer de lo solicitado, por lo que, deberá realizar una búsqueda exhaustiva y razonable en todas las unidades administrativas competentes, a efecto de que dé la respuesta que a derecho corresponda y, en su caso, proporcione los documentos que den cuenta de la información solicitada.</w:t>
      </w:r>
    </w:p>
    <w:p w:rsidR="00A909C2" w:rsidRDefault="00A909C2">
      <w:pPr>
        <w:tabs>
          <w:tab w:val="left" w:pos="4962"/>
        </w:tabs>
        <w:spacing w:line="360" w:lineRule="auto"/>
        <w:jc w:val="both"/>
        <w:rPr>
          <w:rFonts w:ascii="Palatino Linotype" w:eastAsia="Palatino Linotype" w:hAnsi="Palatino Linotype" w:cs="Palatino Linotype"/>
          <w:sz w:val="22"/>
          <w:szCs w:val="22"/>
        </w:rPr>
      </w:pPr>
    </w:p>
    <w:p w:rsidR="00A909C2" w:rsidRDefault="00BC259C">
      <w:pPr>
        <w:spacing w:line="360" w:lineRule="auto"/>
        <w:jc w:val="both"/>
        <w:rPr>
          <w:rFonts w:ascii="Palatino Linotype" w:eastAsia="Palatino Linotype" w:hAnsi="Palatino Linotype" w:cs="Palatino Linotype"/>
          <w:sz w:val="22"/>
          <w:szCs w:val="22"/>
        </w:rPr>
      </w:pPr>
      <w:bookmarkStart w:id="24" w:name="_heading=h.z11veub2kok5" w:colFirst="0" w:colLast="0"/>
      <w:bookmarkEnd w:id="24"/>
      <w:r>
        <w:rPr>
          <w:rFonts w:ascii="Palatino Linotype" w:eastAsia="Palatino Linotype" w:hAnsi="Palatino Linotype" w:cs="Palatino Linotype"/>
          <w:sz w:val="22"/>
          <w:szCs w:val="22"/>
        </w:rPr>
        <w:t xml:space="preserve">No pasa desapercibido para este Instituto que los documentos que den cuenta de lo solicitado, pudieran contener datos confidenciales; al respecto, conforme al artículo 3°, fracción XLV, relacionado con el 137, ambos de la Ley de Transparencia y Acceso a la Información Pública del Estado de México y Municipios, cuando un documento contenga información pública y </w:t>
      </w:r>
      <w:r>
        <w:rPr>
          <w:rFonts w:ascii="Palatino Linotype" w:eastAsia="Palatino Linotype" w:hAnsi="Palatino Linotype" w:cs="Palatino Linotype"/>
          <w:sz w:val="22"/>
          <w:szCs w:val="22"/>
        </w:rPr>
        <w:lastRenderedPageBreak/>
        <w:t xml:space="preserve">reservada o confidencial, la Unidad de Transparencia para efectos de atender al requerimiento informativo, deberá elaborar una versión Pública en la que se testen las partes o secciones clasificadas, indicando su contenido de manera genérica y fundando y motivando su clasificación. </w:t>
      </w:r>
    </w:p>
    <w:p w:rsidR="00A909C2" w:rsidRDefault="00A909C2">
      <w:pPr>
        <w:spacing w:line="360" w:lineRule="auto"/>
        <w:jc w:val="both"/>
        <w:rPr>
          <w:rFonts w:ascii="Palatino Linotype" w:eastAsia="Palatino Linotype" w:hAnsi="Palatino Linotype" w:cs="Palatino Linotype"/>
          <w:sz w:val="22"/>
          <w:szCs w:val="22"/>
        </w:rPr>
      </w:pPr>
    </w:p>
    <w:p w:rsidR="00A909C2" w:rsidRDefault="00BC259C">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Para tal situación, el Sujeto Obligado deberá seguir el procedimiento establecido en el artículo 168 de dicho ordenamiento jurídico; esto es, que el área competente deberá elaborar la versión pública, así como emitir el Acuerdo, por parte del Comité de Transparencia, donde confirme la clasificación de los datos o documentos, fundando y motivando la clasificación.</w:t>
      </w:r>
    </w:p>
    <w:p w:rsidR="00A909C2" w:rsidRDefault="00A909C2">
      <w:pPr>
        <w:spacing w:line="360" w:lineRule="auto"/>
        <w:jc w:val="both"/>
        <w:rPr>
          <w:rFonts w:ascii="Palatino Linotype" w:eastAsia="Palatino Linotype" w:hAnsi="Palatino Linotype" w:cs="Palatino Linotype"/>
          <w:sz w:val="22"/>
          <w:szCs w:val="22"/>
        </w:rPr>
      </w:pPr>
    </w:p>
    <w:p w:rsidR="00A909C2" w:rsidRDefault="00BC259C">
      <w:pPr>
        <w:pStyle w:val="Ttulo2"/>
      </w:pPr>
      <w:bookmarkStart w:id="25" w:name="_heading=h.8giku26y1no1" w:colFirst="0" w:colLast="0"/>
      <w:bookmarkStart w:id="26" w:name="_Toc221207302"/>
      <w:bookmarkEnd w:id="25"/>
      <w:r>
        <w:t>SEXTO. Decisión</w:t>
      </w:r>
      <w:bookmarkEnd w:id="26"/>
    </w:p>
    <w:p w:rsidR="00A909C2" w:rsidRDefault="00A909C2">
      <w:pPr>
        <w:spacing w:line="360" w:lineRule="auto"/>
        <w:jc w:val="both"/>
        <w:rPr>
          <w:rFonts w:ascii="Palatino Linotype" w:eastAsia="Palatino Linotype" w:hAnsi="Palatino Linotype" w:cs="Palatino Linotype"/>
          <w:sz w:val="22"/>
          <w:szCs w:val="22"/>
        </w:rPr>
      </w:pPr>
    </w:p>
    <w:p w:rsidR="00A909C2" w:rsidRDefault="00BC259C">
      <w:pPr>
        <w:spacing w:line="360" w:lineRule="auto"/>
        <w:jc w:val="both"/>
        <w:rPr>
          <w:rFonts w:ascii="Palatino Linotype" w:eastAsia="Palatino Linotype" w:hAnsi="Palatino Linotype" w:cs="Palatino Linotype"/>
          <w:color w:val="FF0000"/>
          <w:sz w:val="22"/>
          <w:szCs w:val="22"/>
        </w:rPr>
      </w:pPr>
      <w:r>
        <w:rPr>
          <w:rFonts w:ascii="Palatino Linotype" w:eastAsia="Palatino Linotype" w:hAnsi="Palatino Linotype" w:cs="Palatino Linotype"/>
          <w:sz w:val="22"/>
          <w:szCs w:val="22"/>
        </w:rPr>
        <w:t xml:space="preserve">Con fundamento en el artículo 186, fracción IV, de la Ley de Transparencia y Acceso a la Información Pública del Estado de México y Municipios, este Instituto considera procedente </w:t>
      </w:r>
      <w:r>
        <w:rPr>
          <w:rFonts w:ascii="Palatino Linotype" w:eastAsia="Palatino Linotype" w:hAnsi="Palatino Linotype" w:cs="Palatino Linotype"/>
          <w:b/>
          <w:bCs/>
          <w:sz w:val="22"/>
          <w:szCs w:val="22"/>
        </w:rPr>
        <w:t>ORDENAR</w:t>
      </w:r>
      <w:r>
        <w:rPr>
          <w:rFonts w:ascii="Palatino Linotype" w:eastAsia="Palatino Linotype" w:hAnsi="Palatino Linotype" w:cs="Palatino Linotype"/>
          <w:sz w:val="22"/>
          <w:szCs w:val="22"/>
        </w:rPr>
        <w:t xml:space="preserve"> al Sujeto Obligado, a que dé trámite y respuesta a la solicitud de información pública con número 00038/DIFATENCO/IP/2025.</w:t>
      </w:r>
    </w:p>
    <w:p w:rsidR="00A909C2" w:rsidRDefault="00A909C2">
      <w:pPr>
        <w:spacing w:line="360" w:lineRule="auto"/>
        <w:jc w:val="both"/>
        <w:rPr>
          <w:rFonts w:ascii="Palatino Linotype" w:eastAsia="Palatino Linotype" w:hAnsi="Palatino Linotype" w:cs="Palatino Linotype"/>
          <w:color w:val="FF0000"/>
          <w:sz w:val="22"/>
          <w:szCs w:val="22"/>
        </w:rPr>
      </w:pPr>
    </w:p>
    <w:p w:rsidR="00A909C2" w:rsidRDefault="00BC259C">
      <w:pPr>
        <w:pStyle w:val="Ttulo2"/>
      </w:pPr>
      <w:bookmarkStart w:id="27" w:name="_heading=h.3uxosw68q6us" w:colFirst="0" w:colLast="0"/>
      <w:bookmarkStart w:id="28" w:name="_Toc221207303"/>
      <w:bookmarkEnd w:id="27"/>
      <w:r>
        <w:t>SÉPTIMO. Vista a la Secretaría Técnica del Pleno</w:t>
      </w:r>
      <w:bookmarkEnd w:id="28"/>
    </w:p>
    <w:p w:rsidR="00A909C2" w:rsidRDefault="00A909C2">
      <w:pPr>
        <w:spacing w:line="360" w:lineRule="auto"/>
        <w:jc w:val="both"/>
        <w:rPr>
          <w:rFonts w:ascii="Palatino Linotype" w:eastAsia="Palatino Linotype" w:hAnsi="Palatino Linotype" w:cs="Palatino Linotype"/>
          <w:sz w:val="22"/>
          <w:szCs w:val="22"/>
        </w:rPr>
      </w:pPr>
    </w:p>
    <w:p w:rsidR="00A909C2" w:rsidRDefault="00BC259C">
      <w:pPr>
        <w:spacing w:line="360" w:lineRule="auto"/>
        <w:ind w:right="-93"/>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En el caso en estudio, como ha quedado señalado que el </w:t>
      </w:r>
      <w:r>
        <w:rPr>
          <w:rFonts w:ascii="Palatino Linotype" w:eastAsia="Palatino Linotype" w:hAnsi="Palatino Linotype" w:cs="Palatino Linotype"/>
          <w:b/>
          <w:bCs/>
          <w:sz w:val="22"/>
          <w:szCs w:val="22"/>
        </w:rPr>
        <w:t>Sistema Municipal para el Desarrollo Integral de la Familia Municipio de Atenco</w:t>
      </w:r>
      <w:r>
        <w:rPr>
          <w:rFonts w:ascii="Palatino Linotype" w:eastAsia="Palatino Linotype" w:hAnsi="Palatino Linotype" w:cs="Palatino Linotype"/>
          <w:sz w:val="22"/>
          <w:szCs w:val="22"/>
        </w:rPr>
        <w:t xml:space="preserve"> omitió dar respuesta en el plazo señalado en el artículo 163 de la Ley de Transparencia y Acceso a la Información Pública del Estado de México y Municipios. Al respecto, el artículo 36, fracción X, del ordenamiento jurídico en cita, establece </w:t>
      </w:r>
      <w:r>
        <w:rPr>
          <w:rFonts w:ascii="Palatino Linotype" w:eastAsia="Palatino Linotype" w:hAnsi="Palatino Linotype" w:cs="Palatino Linotype"/>
          <w:sz w:val="22"/>
          <w:szCs w:val="22"/>
        </w:rPr>
        <w:lastRenderedPageBreak/>
        <w:t xml:space="preserve">que es atribución de este Instituto hacer del conocimiento del Órgano Interno de Control o equivalente de cada Sujeto Obligado las infracciones a esta Ley. </w:t>
      </w:r>
    </w:p>
    <w:p w:rsidR="00A909C2" w:rsidRDefault="00A909C2">
      <w:pPr>
        <w:spacing w:line="360" w:lineRule="auto"/>
        <w:ind w:right="-93"/>
        <w:jc w:val="both"/>
        <w:rPr>
          <w:rFonts w:ascii="Palatino Linotype" w:eastAsia="Palatino Linotype" w:hAnsi="Palatino Linotype" w:cs="Palatino Linotype"/>
          <w:color w:val="FF0000"/>
          <w:sz w:val="22"/>
          <w:szCs w:val="22"/>
        </w:rPr>
      </w:pPr>
    </w:p>
    <w:p w:rsidR="00A909C2" w:rsidRDefault="00BC259C">
      <w:pPr>
        <w:spacing w:line="360" w:lineRule="auto"/>
        <w:ind w:right="-93"/>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En ese sentido, de conformidad con lo previsto en el artículo 222, fracción II, de dicho ordenamiento, son causas de responsabilidad administrativa los incumplimientos de las obligaciones establecida en la Ley de la materia, entre otras conductas, la falta de respuesta a las solicitudes de información en los plazos señalados, a saber, dentro de los quince días siguientes a la presentación del requerimiento. </w:t>
      </w:r>
    </w:p>
    <w:p w:rsidR="00A909C2" w:rsidRDefault="00A909C2">
      <w:pPr>
        <w:spacing w:line="360" w:lineRule="auto"/>
        <w:ind w:right="-93"/>
        <w:jc w:val="both"/>
        <w:rPr>
          <w:rFonts w:ascii="Palatino Linotype" w:eastAsia="Palatino Linotype" w:hAnsi="Palatino Linotype" w:cs="Palatino Linotype"/>
          <w:sz w:val="22"/>
          <w:szCs w:val="22"/>
        </w:rPr>
      </w:pPr>
    </w:p>
    <w:p w:rsidR="00A909C2" w:rsidRDefault="00BC259C">
      <w:pPr>
        <w:spacing w:line="360" w:lineRule="auto"/>
        <w:ind w:right="-93"/>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Por su parte, el artículo 223 de la Ley de Transparencia y Acceso a la Información Pública del Estado de México y Municipios, prevé que este Instituto deberá dar vista al Área Competente, con el fin de que determine el grado de responsabilidad de los servidores públicos que incumplan con las obligaciones establecidas en la Ley. </w:t>
      </w:r>
    </w:p>
    <w:p w:rsidR="00A909C2" w:rsidRDefault="00A909C2">
      <w:pPr>
        <w:spacing w:line="360" w:lineRule="auto"/>
        <w:ind w:right="-93"/>
        <w:jc w:val="both"/>
        <w:rPr>
          <w:rFonts w:ascii="Palatino Linotype" w:eastAsia="Palatino Linotype" w:hAnsi="Palatino Linotype" w:cs="Palatino Linotype"/>
          <w:sz w:val="22"/>
          <w:szCs w:val="22"/>
        </w:rPr>
      </w:pPr>
    </w:p>
    <w:p w:rsidR="00A909C2" w:rsidRDefault="00BC259C">
      <w:pPr>
        <w:spacing w:line="360" w:lineRule="auto"/>
        <w:ind w:right="-93"/>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En ese contexto, la fracción XXVII, del artículo 19, del Reglamento Interior del Instituto de Transparencia, Acceso a la Información Pública y Protección de Datos Personales del Estado de México y Municipios, establece que es función de la Secretaría Técnica del Pleno, remitir al Órgano Interno de Control de los Sujetos Obligados, las presuntas infracciones cometidas en el marco de la Ley de la materia, para la promoción de responsabilidades y sanciones. </w:t>
      </w:r>
    </w:p>
    <w:p w:rsidR="00A909C2" w:rsidRDefault="00A909C2">
      <w:pPr>
        <w:spacing w:line="360" w:lineRule="auto"/>
        <w:ind w:right="-93"/>
        <w:jc w:val="both"/>
        <w:rPr>
          <w:rFonts w:ascii="Palatino Linotype" w:eastAsia="Palatino Linotype" w:hAnsi="Palatino Linotype" w:cs="Palatino Linotype"/>
          <w:sz w:val="22"/>
          <w:szCs w:val="22"/>
        </w:rPr>
      </w:pPr>
    </w:p>
    <w:p w:rsidR="00A909C2" w:rsidRDefault="00BC259C">
      <w:pPr>
        <w:spacing w:line="360" w:lineRule="auto"/>
        <w:ind w:right="-93"/>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Sobre el particular, si bien, la presente resolución no tiene por objetivo investigar y determinar posibles violaciones al derecho de acceso a la información, toda vez que este Organismo Autónomo, advirtió la falta de respuesta del Sujeto Obligado, se considera procedente dar vista a la Secretaría Técnica de este Instituto, para que realice lo conducente.</w:t>
      </w:r>
    </w:p>
    <w:p w:rsidR="00A909C2" w:rsidRDefault="00A909C2">
      <w:pPr>
        <w:spacing w:line="360" w:lineRule="auto"/>
        <w:jc w:val="both"/>
        <w:rPr>
          <w:rFonts w:ascii="Palatino Linotype" w:eastAsia="Palatino Linotype" w:hAnsi="Palatino Linotype" w:cs="Palatino Linotype"/>
          <w:sz w:val="22"/>
          <w:szCs w:val="22"/>
        </w:rPr>
      </w:pPr>
    </w:p>
    <w:p w:rsidR="00A909C2" w:rsidRDefault="00BC259C">
      <w:pPr>
        <w:spacing w:line="360" w:lineRule="auto"/>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Términos de la Resolución para conocimiento del Particular</w:t>
      </w:r>
    </w:p>
    <w:p w:rsidR="00A909C2" w:rsidRDefault="00A909C2">
      <w:pPr>
        <w:spacing w:line="360" w:lineRule="auto"/>
        <w:jc w:val="both"/>
        <w:rPr>
          <w:rFonts w:ascii="Palatino Linotype" w:eastAsia="Palatino Linotype" w:hAnsi="Palatino Linotype" w:cs="Palatino Linotype"/>
          <w:b/>
          <w:bCs/>
          <w:sz w:val="22"/>
          <w:szCs w:val="22"/>
        </w:rPr>
      </w:pPr>
    </w:p>
    <w:p w:rsidR="00A909C2" w:rsidRDefault="00BC259C">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Se le hace del conocimiento al Particular, que, en el presente caso, se le da la razón, pues el Sujeto Obligado no emitió contestación alguna, por lo que, deberá dar atención al requerimiento de información, realizar unas búsqueda exhaustiva y razonable en sus archivos, y en su caso, entregarle la documentación que corresponda.  </w:t>
      </w:r>
    </w:p>
    <w:p w:rsidR="00A909C2" w:rsidRDefault="00A909C2">
      <w:pPr>
        <w:spacing w:line="360" w:lineRule="auto"/>
        <w:jc w:val="both"/>
        <w:rPr>
          <w:rFonts w:ascii="Palatino Linotype" w:eastAsia="Palatino Linotype" w:hAnsi="Palatino Linotype" w:cs="Palatino Linotype"/>
          <w:sz w:val="22"/>
          <w:szCs w:val="22"/>
        </w:rPr>
      </w:pPr>
    </w:p>
    <w:p w:rsidR="00A909C2" w:rsidRDefault="00BC259C">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Además, se le informa que, de conformidad con lo establecido en el artículo 179, párrafo segundo, de la Ley de Transparencia y Acceso a la Información Pública del Estado de México y Municipios, tiene derecho a interponer nuevamente Recurso de Revisión ante este Instituto, por la respuesta que dé el Sujeto Obligado, en cumplimiento a esta Resolución. </w:t>
      </w:r>
    </w:p>
    <w:p w:rsidR="00A909C2" w:rsidRDefault="00A909C2">
      <w:pPr>
        <w:spacing w:line="360" w:lineRule="auto"/>
        <w:jc w:val="both"/>
        <w:rPr>
          <w:rFonts w:ascii="Palatino Linotype" w:eastAsia="Palatino Linotype" w:hAnsi="Palatino Linotype" w:cs="Palatino Linotype"/>
          <w:sz w:val="22"/>
          <w:szCs w:val="22"/>
        </w:rPr>
      </w:pPr>
    </w:p>
    <w:p w:rsidR="00A909C2" w:rsidRDefault="00BC259C">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Finalmente, se le informa que la labor de este Instituto de Transparencia, Acceso a la Información Pública y Protección de Datos Personales del Estado de México y Municipios, es apoyar a la población a acceder a la información pública y garantizar la protección de los datos personales.</w:t>
      </w:r>
    </w:p>
    <w:p w:rsidR="00A909C2" w:rsidRDefault="00A909C2">
      <w:pPr>
        <w:spacing w:line="360" w:lineRule="auto"/>
        <w:jc w:val="both"/>
        <w:rPr>
          <w:rFonts w:ascii="Palatino Linotype" w:eastAsia="Palatino Linotype" w:hAnsi="Palatino Linotype" w:cs="Palatino Linotype"/>
          <w:sz w:val="22"/>
          <w:szCs w:val="22"/>
        </w:rPr>
      </w:pPr>
    </w:p>
    <w:p w:rsidR="00A909C2" w:rsidRDefault="00BC259C">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Por lo expuesto y fundado, este Pleno:</w:t>
      </w:r>
    </w:p>
    <w:p w:rsidR="00A909C2" w:rsidRDefault="00A909C2">
      <w:pPr>
        <w:spacing w:line="360" w:lineRule="auto"/>
        <w:jc w:val="both"/>
        <w:rPr>
          <w:rFonts w:ascii="Palatino Linotype" w:eastAsia="Palatino Linotype" w:hAnsi="Palatino Linotype" w:cs="Palatino Linotype"/>
          <w:sz w:val="22"/>
          <w:szCs w:val="22"/>
        </w:rPr>
      </w:pPr>
    </w:p>
    <w:p w:rsidR="00A909C2" w:rsidRDefault="00BC259C">
      <w:pPr>
        <w:pStyle w:val="Ttulo1"/>
      </w:pPr>
      <w:bookmarkStart w:id="29" w:name="_heading=h.aoxgti3khmez" w:colFirst="0" w:colLast="0"/>
      <w:bookmarkStart w:id="30" w:name="_Toc221207304"/>
      <w:bookmarkEnd w:id="29"/>
      <w:r>
        <w:t>R E S U E L V E</w:t>
      </w:r>
      <w:bookmarkEnd w:id="30"/>
    </w:p>
    <w:p w:rsidR="00A909C2" w:rsidRDefault="00A909C2">
      <w:pPr>
        <w:spacing w:line="360" w:lineRule="auto"/>
        <w:jc w:val="both"/>
        <w:rPr>
          <w:rFonts w:ascii="Palatino Linotype" w:eastAsia="Palatino Linotype" w:hAnsi="Palatino Linotype" w:cs="Palatino Linotype"/>
          <w:b/>
          <w:bCs/>
          <w:sz w:val="22"/>
          <w:szCs w:val="22"/>
        </w:rPr>
      </w:pPr>
    </w:p>
    <w:p w:rsidR="00A909C2" w:rsidRDefault="00BC259C">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b/>
          <w:bCs/>
          <w:sz w:val="22"/>
          <w:szCs w:val="22"/>
        </w:rPr>
        <w:lastRenderedPageBreak/>
        <w:t xml:space="preserve">PRIMERO. </w:t>
      </w:r>
      <w:r>
        <w:rPr>
          <w:rFonts w:ascii="Palatino Linotype" w:eastAsia="Palatino Linotype" w:hAnsi="Palatino Linotype" w:cs="Palatino Linotype"/>
          <w:sz w:val="22"/>
          <w:szCs w:val="22"/>
        </w:rPr>
        <w:t xml:space="preserve">Resultan </w:t>
      </w:r>
      <w:r>
        <w:rPr>
          <w:rFonts w:ascii="Palatino Linotype" w:eastAsia="Palatino Linotype" w:hAnsi="Palatino Linotype" w:cs="Palatino Linotype"/>
          <w:b/>
          <w:bCs/>
          <w:sz w:val="22"/>
          <w:szCs w:val="22"/>
        </w:rPr>
        <w:t>FUNDADAS</w:t>
      </w:r>
      <w:r>
        <w:rPr>
          <w:rFonts w:ascii="Palatino Linotype" w:eastAsia="Palatino Linotype" w:hAnsi="Palatino Linotype" w:cs="Palatino Linotype"/>
          <w:sz w:val="22"/>
          <w:szCs w:val="22"/>
        </w:rPr>
        <w:t xml:space="preserve"> las razones o motivos de inconformidad hechos valer por el Particular en el Recurso de Revisión 11566/INFOEM/IP/RR/2025,</w:t>
      </w:r>
      <w:r>
        <w:rPr>
          <w:rFonts w:ascii="Palatino Linotype" w:eastAsia="Palatino Linotype" w:hAnsi="Palatino Linotype" w:cs="Palatino Linotype"/>
          <w:b/>
          <w:bCs/>
          <w:sz w:val="22"/>
          <w:szCs w:val="22"/>
        </w:rPr>
        <w:t xml:space="preserve"> </w:t>
      </w:r>
      <w:r>
        <w:rPr>
          <w:rFonts w:ascii="Palatino Linotype" w:eastAsia="Palatino Linotype" w:hAnsi="Palatino Linotype" w:cs="Palatino Linotype"/>
          <w:sz w:val="22"/>
          <w:szCs w:val="22"/>
        </w:rPr>
        <w:t>en términos de los considerandos QUINTO y SEXTO de la presente Resolución.</w:t>
      </w:r>
    </w:p>
    <w:p w:rsidR="00A909C2" w:rsidRDefault="00A909C2">
      <w:pPr>
        <w:spacing w:line="360" w:lineRule="auto"/>
        <w:jc w:val="both"/>
        <w:rPr>
          <w:rFonts w:ascii="Palatino Linotype" w:eastAsia="Palatino Linotype" w:hAnsi="Palatino Linotype" w:cs="Palatino Linotype"/>
          <w:color w:val="FF0000"/>
          <w:sz w:val="22"/>
          <w:szCs w:val="22"/>
        </w:rPr>
      </w:pPr>
    </w:p>
    <w:p w:rsidR="00A909C2" w:rsidRDefault="00BC259C">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b/>
          <w:bCs/>
          <w:sz w:val="22"/>
          <w:szCs w:val="22"/>
        </w:rPr>
        <w:t xml:space="preserve">SEGUNDO. </w:t>
      </w:r>
      <w:r>
        <w:rPr>
          <w:rFonts w:ascii="Palatino Linotype" w:eastAsia="Palatino Linotype" w:hAnsi="Palatino Linotype" w:cs="Palatino Linotype"/>
          <w:sz w:val="22"/>
          <w:szCs w:val="22"/>
        </w:rPr>
        <w:t>Se</w:t>
      </w:r>
      <w:r>
        <w:rPr>
          <w:rFonts w:ascii="Palatino Linotype" w:eastAsia="Palatino Linotype" w:hAnsi="Palatino Linotype" w:cs="Palatino Linotype"/>
          <w:b/>
          <w:bCs/>
          <w:sz w:val="22"/>
          <w:szCs w:val="22"/>
        </w:rPr>
        <w:t xml:space="preserve"> ORDENA </w:t>
      </w:r>
      <w:r>
        <w:rPr>
          <w:rFonts w:ascii="Palatino Linotype" w:eastAsia="Palatino Linotype" w:hAnsi="Palatino Linotype" w:cs="Palatino Linotype"/>
          <w:sz w:val="22"/>
          <w:szCs w:val="22"/>
        </w:rPr>
        <w:t>al Sujeto Obligado, a efecto de que dé atención a la solicitud de acceso a la información 00038/DIFATENCO/IP/2025 y, a través del Sistema de Acceso a la Información Mexiquense (SAIMEX), dé la respuesta que conforme a derecho corresponda</w:t>
      </w:r>
      <w:r>
        <w:rPr>
          <w:b/>
          <w:bCs/>
        </w:rPr>
        <w:t xml:space="preserve">. </w:t>
      </w:r>
    </w:p>
    <w:p w:rsidR="00A909C2" w:rsidRDefault="00A909C2">
      <w:pPr>
        <w:spacing w:line="360" w:lineRule="auto"/>
        <w:jc w:val="both"/>
        <w:rPr>
          <w:rFonts w:ascii="Palatino Linotype" w:eastAsia="Palatino Linotype" w:hAnsi="Palatino Linotype" w:cs="Palatino Linotype"/>
          <w:sz w:val="22"/>
          <w:szCs w:val="22"/>
        </w:rPr>
      </w:pPr>
    </w:p>
    <w:p w:rsidR="00A909C2" w:rsidRDefault="00BC259C">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b/>
          <w:bCs/>
          <w:sz w:val="22"/>
          <w:szCs w:val="22"/>
        </w:rPr>
        <w:t xml:space="preserve">TERCERO. </w:t>
      </w:r>
      <w:r>
        <w:rPr>
          <w:rFonts w:ascii="Palatino Linotype" w:eastAsia="Palatino Linotype" w:hAnsi="Palatino Linotype" w:cs="Palatino Linotype"/>
          <w:sz w:val="22"/>
          <w:szCs w:val="22"/>
        </w:rPr>
        <w:t xml:space="preserve">Con fundamento en el artículo 179, párrafo segundo, de la Ley de Transparencia y Acceso a la Información Pública del Estado de México y Municipios, se hace del conocimiento de la persona Recurrente que tiene derecho a interponer nuevamente Recurso de Revisión ante este Instituto, por la respuesta que dé el Sujeto Obligado, en cumplimiento a esta Resolución.  </w:t>
      </w:r>
    </w:p>
    <w:p w:rsidR="00A909C2" w:rsidRDefault="00A909C2">
      <w:pPr>
        <w:spacing w:line="360" w:lineRule="auto"/>
        <w:jc w:val="both"/>
        <w:rPr>
          <w:rFonts w:ascii="Palatino Linotype" w:eastAsia="Palatino Linotype" w:hAnsi="Palatino Linotype" w:cs="Palatino Linotype"/>
          <w:color w:val="FF0000"/>
          <w:sz w:val="22"/>
          <w:szCs w:val="22"/>
        </w:rPr>
      </w:pPr>
    </w:p>
    <w:p w:rsidR="00A909C2" w:rsidRDefault="00BC259C">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b/>
          <w:bCs/>
          <w:sz w:val="22"/>
          <w:szCs w:val="22"/>
        </w:rPr>
        <w:t>CUARTO.</w:t>
      </w:r>
      <w:r>
        <w:rPr>
          <w:rFonts w:ascii="Palatino Linotype" w:eastAsia="Palatino Linotype" w:hAnsi="Palatino Linotype" w:cs="Palatino Linotype"/>
          <w:sz w:val="22"/>
          <w:szCs w:val="22"/>
        </w:rPr>
        <w:t xml:space="preserve"> </w:t>
      </w:r>
      <w:r>
        <w:rPr>
          <w:rFonts w:ascii="Palatino Linotype" w:eastAsia="Palatino Linotype" w:hAnsi="Palatino Linotype" w:cs="Palatino Linotype"/>
          <w:b/>
          <w:bCs/>
          <w:sz w:val="22"/>
          <w:szCs w:val="22"/>
        </w:rPr>
        <w:t xml:space="preserve">NOTIFÍQUESE POR SAIMEX </w:t>
      </w:r>
      <w:r>
        <w:rPr>
          <w:rFonts w:ascii="Palatino Linotype" w:eastAsia="Palatino Linotype" w:hAnsi="Palatino Linotype" w:cs="Palatino Linotype"/>
          <w:sz w:val="22"/>
          <w:szCs w:val="22"/>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se le apercibe que en caso de negarse a cumplir la presente resolución o hacerlo de manera parcial, se le impondrá una medida de apremio de conformidad con lo previsto en los artículos 198, 200, fracción III, 214, 215 y 216 de la Ley referida.</w:t>
      </w:r>
    </w:p>
    <w:p w:rsidR="00A909C2" w:rsidRDefault="00A909C2">
      <w:pPr>
        <w:spacing w:line="360" w:lineRule="auto"/>
        <w:jc w:val="both"/>
        <w:rPr>
          <w:rFonts w:ascii="Palatino Linotype" w:eastAsia="Palatino Linotype" w:hAnsi="Palatino Linotype" w:cs="Palatino Linotype"/>
          <w:sz w:val="22"/>
          <w:szCs w:val="22"/>
        </w:rPr>
      </w:pPr>
    </w:p>
    <w:p w:rsidR="00A909C2" w:rsidRDefault="00BC259C">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b/>
          <w:bCs/>
          <w:sz w:val="22"/>
          <w:szCs w:val="22"/>
        </w:rPr>
        <w:lastRenderedPageBreak/>
        <w:t>QUINTO. NOTIFÍQUESE</w:t>
      </w:r>
      <w:r>
        <w:rPr>
          <w:rFonts w:ascii="Palatino Linotype" w:eastAsia="Palatino Linotype" w:hAnsi="Palatino Linotype" w:cs="Palatino Linotype"/>
          <w:sz w:val="22"/>
          <w:szCs w:val="22"/>
        </w:rPr>
        <w:t xml:space="preserve"> </w:t>
      </w:r>
      <w:r>
        <w:rPr>
          <w:rFonts w:ascii="Palatino Linotype" w:eastAsia="Palatino Linotype" w:hAnsi="Palatino Linotype" w:cs="Palatino Linotype"/>
          <w:b/>
          <w:bCs/>
          <w:sz w:val="22"/>
          <w:szCs w:val="22"/>
        </w:rPr>
        <w:t xml:space="preserve">POR SAIMEX, </w:t>
      </w:r>
      <w:r>
        <w:rPr>
          <w:rFonts w:ascii="Palatino Linotype" w:eastAsia="Palatino Linotype" w:hAnsi="Palatino Linotype" w:cs="Palatino Linotype"/>
          <w:sz w:val="22"/>
          <w:szCs w:val="22"/>
        </w:rPr>
        <w:t>a la persona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rsidR="00A909C2" w:rsidRDefault="00A909C2">
      <w:pPr>
        <w:spacing w:line="360" w:lineRule="auto"/>
        <w:jc w:val="both"/>
        <w:rPr>
          <w:rFonts w:ascii="Palatino Linotype" w:eastAsia="Palatino Linotype" w:hAnsi="Palatino Linotype" w:cs="Palatino Linotype"/>
          <w:sz w:val="22"/>
          <w:szCs w:val="22"/>
        </w:rPr>
      </w:pPr>
    </w:p>
    <w:p w:rsidR="00A909C2" w:rsidRDefault="00BC259C">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b/>
          <w:bCs/>
          <w:sz w:val="22"/>
          <w:szCs w:val="22"/>
        </w:rPr>
        <w:t>SEXTO.</w:t>
      </w:r>
      <w:r>
        <w:rPr>
          <w:rFonts w:ascii="Palatino Linotype" w:eastAsia="Palatino Linotype" w:hAnsi="Palatino Linotype" w:cs="Palatino Linotype"/>
          <w:sz w:val="22"/>
          <w:szCs w:val="22"/>
        </w:rPr>
        <w:t xml:space="preserve"> Gírese oficio a la Secretaría Técnica del Pleno de este Instituto para hacer del conocimiento del Órgano Interno de Control competente la presente resolución, a fin de que de conformidad con el artículo 190, de la Ley de Transparencia y Acceso a la Información Pública del Estado de México y Municipios, determine lo conducente, en términos de lo señalado en el Considerando SÉPTIMO de la presente Resolución.</w:t>
      </w:r>
    </w:p>
    <w:p w:rsidR="00A909C2" w:rsidRDefault="00A909C2">
      <w:pPr>
        <w:spacing w:line="360" w:lineRule="auto"/>
        <w:jc w:val="both"/>
        <w:rPr>
          <w:rFonts w:ascii="Palatino Linotype" w:eastAsia="Palatino Linotype" w:hAnsi="Palatino Linotype" w:cs="Palatino Linotype"/>
          <w:b/>
          <w:bCs/>
          <w:sz w:val="22"/>
          <w:szCs w:val="22"/>
        </w:rPr>
      </w:pPr>
    </w:p>
    <w:p w:rsidR="00A909C2" w:rsidRDefault="00BC259C">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ASÍ LO RESUELVE, POR </w:t>
      </w:r>
      <w:r>
        <w:rPr>
          <w:rFonts w:ascii="Palatino Linotype" w:eastAsia="Palatino Linotype" w:hAnsi="Palatino Linotype" w:cs="Palatino Linotype"/>
          <w:b/>
          <w:bCs/>
          <w:sz w:val="22"/>
          <w:szCs w:val="22"/>
        </w:rPr>
        <w:t>UNANIMIDAD</w:t>
      </w:r>
      <w:r>
        <w:rPr>
          <w:rFonts w:ascii="Palatino Linotype" w:eastAsia="Palatino Linotype" w:hAnsi="Palatino Linotype" w:cs="Palatino Linotype"/>
          <w:sz w:val="22"/>
          <w:szCs w:val="22"/>
        </w:rPr>
        <w:t>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CUARTA SESIÓN ORDINARIA, CELEBRADA EL CINCO DE FEBRERO DE DOS MIL VEINTISÉIS, ANTE EL SECRETARIO TÉCNICO DEL PLENO, ALEXIS TAPIA RAMÍREZ.</w:t>
      </w:r>
    </w:p>
    <w:p w:rsidR="00A909C2" w:rsidRDefault="00A909C2">
      <w:pPr>
        <w:spacing w:line="360" w:lineRule="auto"/>
        <w:jc w:val="both"/>
        <w:rPr>
          <w:rFonts w:ascii="Palatino Linotype" w:eastAsia="Palatino Linotype" w:hAnsi="Palatino Linotype" w:cs="Palatino Linotype"/>
          <w:sz w:val="22"/>
          <w:szCs w:val="22"/>
        </w:rPr>
      </w:pPr>
    </w:p>
    <w:p w:rsidR="00A909C2" w:rsidRDefault="00A909C2">
      <w:pPr>
        <w:spacing w:line="360" w:lineRule="auto"/>
        <w:jc w:val="both"/>
        <w:rPr>
          <w:rFonts w:ascii="Palatino Linotype" w:eastAsia="Palatino Linotype" w:hAnsi="Palatino Linotype" w:cs="Palatino Linotype"/>
          <w:color w:val="FF0000"/>
          <w:sz w:val="22"/>
          <w:szCs w:val="22"/>
        </w:rPr>
      </w:pPr>
    </w:p>
    <w:p w:rsidR="00A909C2" w:rsidRDefault="00A909C2">
      <w:pPr>
        <w:spacing w:line="360" w:lineRule="auto"/>
        <w:jc w:val="both"/>
        <w:rPr>
          <w:rFonts w:ascii="Palatino Linotype" w:eastAsia="Palatino Linotype" w:hAnsi="Palatino Linotype" w:cs="Palatino Linotype"/>
          <w:color w:val="FF0000"/>
          <w:sz w:val="22"/>
          <w:szCs w:val="22"/>
        </w:rPr>
      </w:pPr>
    </w:p>
    <w:p w:rsidR="00A909C2" w:rsidRDefault="00A909C2">
      <w:pPr>
        <w:spacing w:line="360" w:lineRule="auto"/>
        <w:jc w:val="both"/>
        <w:rPr>
          <w:rFonts w:ascii="Palatino Linotype" w:eastAsia="Palatino Linotype" w:hAnsi="Palatino Linotype" w:cs="Palatino Linotype"/>
          <w:color w:val="FF0000"/>
          <w:sz w:val="22"/>
          <w:szCs w:val="22"/>
        </w:rPr>
      </w:pPr>
    </w:p>
    <w:p w:rsidR="00A909C2" w:rsidRDefault="00A909C2">
      <w:pPr>
        <w:spacing w:line="360" w:lineRule="auto"/>
        <w:jc w:val="both"/>
        <w:rPr>
          <w:rFonts w:ascii="Palatino Linotype" w:eastAsia="Palatino Linotype" w:hAnsi="Palatino Linotype" w:cs="Palatino Linotype"/>
          <w:color w:val="FF0000"/>
          <w:sz w:val="22"/>
          <w:szCs w:val="22"/>
        </w:rPr>
      </w:pPr>
    </w:p>
    <w:p w:rsidR="00A909C2" w:rsidRDefault="00A909C2">
      <w:pPr>
        <w:spacing w:line="360" w:lineRule="auto"/>
        <w:jc w:val="both"/>
        <w:rPr>
          <w:rFonts w:ascii="Palatino Linotype" w:eastAsia="Palatino Linotype" w:hAnsi="Palatino Linotype" w:cs="Palatino Linotype"/>
          <w:color w:val="FF0000"/>
          <w:sz w:val="22"/>
          <w:szCs w:val="22"/>
        </w:rPr>
      </w:pPr>
    </w:p>
    <w:p w:rsidR="00A909C2" w:rsidRDefault="00A909C2">
      <w:pPr>
        <w:spacing w:line="360" w:lineRule="auto"/>
        <w:jc w:val="both"/>
        <w:rPr>
          <w:rFonts w:ascii="Palatino Linotype" w:eastAsia="Palatino Linotype" w:hAnsi="Palatino Linotype" w:cs="Palatino Linotype"/>
          <w:color w:val="FF0000"/>
          <w:sz w:val="22"/>
          <w:szCs w:val="22"/>
        </w:rPr>
      </w:pPr>
    </w:p>
    <w:p w:rsidR="00A909C2" w:rsidRDefault="00A909C2">
      <w:pPr>
        <w:spacing w:line="360" w:lineRule="auto"/>
        <w:jc w:val="both"/>
        <w:rPr>
          <w:rFonts w:ascii="Palatino Linotype" w:eastAsia="Palatino Linotype" w:hAnsi="Palatino Linotype" w:cs="Palatino Linotype"/>
          <w:color w:val="FF0000"/>
          <w:sz w:val="22"/>
          <w:szCs w:val="22"/>
        </w:rPr>
      </w:pPr>
    </w:p>
    <w:p w:rsidR="00A909C2" w:rsidRDefault="00A909C2">
      <w:pPr>
        <w:spacing w:line="360" w:lineRule="auto"/>
        <w:jc w:val="both"/>
        <w:rPr>
          <w:rFonts w:ascii="Palatino Linotype" w:eastAsia="Palatino Linotype" w:hAnsi="Palatino Linotype" w:cs="Palatino Linotype"/>
          <w:color w:val="FF0000"/>
          <w:sz w:val="22"/>
          <w:szCs w:val="22"/>
        </w:rPr>
      </w:pPr>
    </w:p>
    <w:p w:rsidR="00A909C2" w:rsidRDefault="00A909C2">
      <w:pPr>
        <w:spacing w:line="360" w:lineRule="auto"/>
        <w:jc w:val="both"/>
        <w:rPr>
          <w:rFonts w:ascii="Palatino Linotype" w:eastAsia="Palatino Linotype" w:hAnsi="Palatino Linotype" w:cs="Palatino Linotype"/>
          <w:color w:val="FF0000"/>
          <w:sz w:val="22"/>
          <w:szCs w:val="22"/>
        </w:rPr>
      </w:pPr>
    </w:p>
    <w:p w:rsidR="00A909C2" w:rsidRDefault="00A909C2">
      <w:pPr>
        <w:spacing w:line="360" w:lineRule="auto"/>
        <w:jc w:val="both"/>
        <w:rPr>
          <w:rFonts w:ascii="Palatino Linotype" w:eastAsia="Palatino Linotype" w:hAnsi="Palatino Linotype" w:cs="Palatino Linotype"/>
          <w:color w:val="FF0000"/>
          <w:sz w:val="22"/>
          <w:szCs w:val="22"/>
        </w:rPr>
      </w:pPr>
    </w:p>
    <w:p w:rsidR="00A909C2" w:rsidRDefault="00A909C2">
      <w:pPr>
        <w:spacing w:line="360" w:lineRule="auto"/>
        <w:jc w:val="both"/>
        <w:rPr>
          <w:rFonts w:ascii="Palatino Linotype" w:eastAsia="Palatino Linotype" w:hAnsi="Palatino Linotype" w:cs="Palatino Linotype"/>
          <w:color w:val="FF0000"/>
          <w:sz w:val="22"/>
          <w:szCs w:val="22"/>
        </w:rPr>
      </w:pPr>
    </w:p>
    <w:p w:rsidR="00A909C2" w:rsidRDefault="00A909C2">
      <w:pPr>
        <w:spacing w:line="360" w:lineRule="auto"/>
        <w:jc w:val="both"/>
        <w:rPr>
          <w:rFonts w:ascii="Palatino Linotype" w:eastAsia="Palatino Linotype" w:hAnsi="Palatino Linotype" w:cs="Palatino Linotype"/>
          <w:color w:val="FF0000"/>
          <w:sz w:val="22"/>
          <w:szCs w:val="22"/>
        </w:rPr>
      </w:pPr>
    </w:p>
    <w:p w:rsidR="00A909C2" w:rsidRDefault="00A909C2">
      <w:pPr>
        <w:spacing w:line="360" w:lineRule="auto"/>
        <w:jc w:val="both"/>
        <w:rPr>
          <w:rFonts w:ascii="Palatino Linotype" w:eastAsia="Palatino Linotype" w:hAnsi="Palatino Linotype" w:cs="Palatino Linotype"/>
          <w:color w:val="FF0000"/>
          <w:sz w:val="22"/>
          <w:szCs w:val="22"/>
        </w:rPr>
      </w:pPr>
    </w:p>
    <w:p w:rsidR="00A909C2" w:rsidRDefault="00A909C2">
      <w:pPr>
        <w:spacing w:line="360" w:lineRule="auto"/>
        <w:jc w:val="both"/>
        <w:rPr>
          <w:rFonts w:ascii="Palatino Linotype" w:eastAsia="Palatino Linotype" w:hAnsi="Palatino Linotype" w:cs="Palatino Linotype"/>
          <w:color w:val="FF0000"/>
          <w:sz w:val="22"/>
          <w:szCs w:val="22"/>
        </w:rPr>
      </w:pPr>
    </w:p>
    <w:p w:rsidR="00A909C2" w:rsidRDefault="00A909C2">
      <w:pPr>
        <w:spacing w:line="360" w:lineRule="auto"/>
        <w:jc w:val="both"/>
        <w:rPr>
          <w:rFonts w:ascii="Palatino Linotype" w:eastAsia="Palatino Linotype" w:hAnsi="Palatino Linotype" w:cs="Palatino Linotype"/>
          <w:color w:val="FF0000"/>
          <w:sz w:val="22"/>
          <w:szCs w:val="22"/>
        </w:rPr>
      </w:pPr>
    </w:p>
    <w:p w:rsidR="00A909C2" w:rsidRDefault="00A909C2">
      <w:pPr>
        <w:spacing w:line="360" w:lineRule="auto"/>
        <w:jc w:val="both"/>
        <w:rPr>
          <w:rFonts w:ascii="Palatino Linotype" w:eastAsia="Palatino Linotype" w:hAnsi="Palatino Linotype" w:cs="Palatino Linotype"/>
          <w:color w:val="FF0000"/>
          <w:sz w:val="22"/>
          <w:szCs w:val="22"/>
        </w:rPr>
      </w:pPr>
    </w:p>
    <w:p w:rsidR="00A909C2" w:rsidRDefault="00A909C2">
      <w:pPr>
        <w:spacing w:line="360" w:lineRule="auto"/>
        <w:jc w:val="both"/>
        <w:rPr>
          <w:rFonts w:ascii="Palatino Linotype" w:eastAsia="Palatino Linotype" w:hAnsi="Palatino Linotype" w:cs="Palatino Linotype"/>
          <w:color w:val="FF0000"/>
          <w:sz w:val="22"/>
          <w:szCs w:val="22"/>
        </w:rPr>
      </w:pPr>
    </w:p>
    <w:p w:rsidR="00A909C2" w:rsidRDefault="00A909C2">
      <w:pPr>
        <w:spacing w:line="360" w:lineRule="auto"/>
        <w:jc w:val="both"/>
        <w:rPr>
          <w:rFonts w:ascii="Palatino Linotype" w:eastAsia="Palatino Linotype" w:hAnsi="Palatino Linotype" w:cs="Palatino Linotype"/>
          <w:color w:val="FF0000"/>
          <w:sz w:val="22"/>
          <w:szCs w:val="22"/>
        </w:rPr>
      </w:pPr>
    </w:p>
    <w:p w:rsidR="00A909C2" w:rsidRDefault="00A909C2">
      <w:pPr>
        <w:spacing w:line="360" w:lineRule="auto"/>
        <w:jc w:val="both"/>
        <w:rPr>
          <w:rFonts w:ascii="Palatino Linotype" w:eastAsia="Palatino Linotype" w:hAnsi="Palatino Linotype" w:cs="Palatino Linotype"/>
          <w:color w:val="FF0000"/>
          <w:sz w:val="22"/>
          <w:szCs w:val="22"/>
        </w:rPr>
      </w:pPr>
    </w:p>
    <w:p w:rsidR="00A909C2" w:rsidRDefault="00A909C2">
      <w:pPr>
        <w:spacing w:line="360" w:lineRule="auto"/>
        <w:jc w:val="both"/>
        <w:rPr>
          <w:rFonts w:ascii="Palatino Linotype" w:eastAsia="Palatino Linotype" w:hAnsi="Palatino Linotype" w:cs="Palatino Linotype"/>
          <w:color w:val="FF0000"/>
          <w:sz w:val="22"/>
          <w:szCs w:val="22"/>
        </w:rPr>
      </w:pPr>
    </w:p>
    <w:p w:rsidR="00A909C2" w:rsidRDefault="00A909C2">
      <w:pPr>
        <w:spacing w:line="360" w:lineRule="auto"/>
        <w:jc w:val="both"/>
        <w:rPr>
          <w:rFonts w:ascii="Palatino Linotype" w:eastAsia="Palatino Linotype" w:hAnsi="Palatino Linotype" w:cs="Palatino Linotype"/>
          <w:color w:val="FF0000"/>
          <w:sz w:val="22"/>
          <w:szCs w:val="22"/>
        </w:rPr>
      </w:pPr>
    </w:p>
    <w:p w:rsidR="00A909C2" w:rsidRDefault="00A909C2">
      <w:pPr>
        <w:spacing w:line="360" w:lineRule="auto"/>
        <w:jc w:val="both"/>
        <w:rPr>
          <w:rFonts w:ascii="Palatino Linotype" w:eastAsia="Palatino Linotype" w:hAnsi="Palatino Linotype" w:cs="Palatino Linotype"/>
          <w:color w:val="FF0000"/>
          <w:sz w:val="22"/>
          <w:szCs w:val="22"/>
        </w:rPr>
      </w:pPr>
    </w:p>
    <w:p w:rsidR="00A909C2" w:rsidRDefault="00A909C2">
      <w:pPr>
        <w:spacing w:line="360" w:lineRule="auto"/>
        <w:jc w:val="both"/>
        <w:rPr>
          <w:rFonts w:ascii="Palatino Linotype" w:eastAsia="Palatino Linotype" w:hAnsi="Palatino Linotype" w:cs="Palatino Linotype"/>
          <w:color w:val="FF0000"/>
          <w:sz w:val="22"/>
          <w:szCs w:val="22"/>
        </w:rPr>
      </w:pPr>
    </w:p>
    <w:p w:rsidR="00A909C2" w:rsidRDefault="00A909C2">
      <w:pPr>
        <w:spacing w:line="360" w:lineRule="auto"/>
        <w:jc w:val="both"/>
        <w:rPr>
          <w:rFonts w:ascii="Palatino Linotype" w:eastAsia="Palatino Linotype" w:hAnsi="Palatino Linotype" w:cs="Palatino Linotype"/>
          <w:color w:val="FF0000"/>
          <w:sz w:val="22"/>
          <w:szCs w:val="22"/>
        </w:rPr>
      </w:pPr>
    </w:p>
    <w:p w:rsidR="00A909C2" w:rsidRDefault="00A909C2">
      <w:pPr>
        <w:spacing w:line="360" w:lineRule="auto"/>
        <w:jc w:val="both"/>
        <w:rPr>
          <w:rFonts w:ascii="Palatino Linotype" w:eastAsia="Palatino Linotype" w:hAnsi="Palatino Linotype" w:cs="Palatino Linotype"/>
          <w:color w:val="FF0000"/>
          <w:sz w:val="22"/>
          <w:szCs w:val="22"/>
        </w:rPr>
      </w:pPr>
    </w:p>
    <w:p w:rsidR="00A909C2" w:rsidRDefault="00A909C2">
      <w:pPr>
        <w:spacing w:line="360" w:lineRule="auto"/>
        <w:jc w:val="both"/>
        <w:rPr>
          <w:rFonts w:ascii="Palatino Linotype" w:eastAsia="Palatino Linotype" w:hAnsi="Palatino Linotype" w:cs="Palatino Linotype"/>
          <w:b/>
          <w:bCs/>
          <w:color w:val="FF0000"/>
          <w:sz w:val="22"/>
          <w:szCs w:val="22"/>
        </w:rPr>
      </w:pPr>
    </w:p>
    <w:p w:rsidR="00A909C2" w:rsidRDefault="00A909C2">
      <w:pPr>
        <w:spacing w:line="360" w:lineRule="auto"/>
        <w:jc w:val="both"/>
        <w:rPr>
          <w:rFonts w:ascii="Palatino Linotype" w:eastAsia="Palatino Linotype" w:hAnsi="Palatino Linotype" w:cs="Palatino Linotype"/>
          <w:color w:val="FF0000"/>
          <w:sz w:val="22"/>
          <w:szCs w:val="22"/>
        </w:rPr>
      </w:pPr>
    </w:p>
    <w:p w:rsidR="00A909C2" w:rsidRDefault="00A909C2">
      <w:pPr>
        <w:spacing w:line="360" w:lineRule="auto"/>
        <w:jc w:val="both"/>
        <w:rPr>
          <w:rFonts w:ascii="Palatino Linotype" w:eastAsia="Palatino Linotype" w:hAnsi="Palatino Linotype" w:cs="Palatino Linotype"/>
          <w:color w:val="FF0000"/>
          <w:sz w:val="22"/>
          <w:szCs w:val="22"/>
        </w:rPr>
      </w:pPr>
      <w:bookmarkStart w:id="31" w:name="_GoBack"/>
      <w:bookmarkEnd w:id="31"/>
    </w:p>
    <w:sectPr w:rsidR="00A909C2">
      <w:headerReference w:type="default" r:id="rId10"/>
      <w:footerReference w:type="default" r:id="rId11"/>
      <w:headerReference w:type="first" r:id="rId12"/>
      <w:footerReference w:type="first" r:id="rId13"/>
      <w:pgSz w:w="12240" w:h="15840"/>
      <w:pgMar w:top="80" w:right="1608" w:bottom="1418" w:left="1588" w:header="709" w:footer="91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C1C06" w:rsidRDefault="003C1C06">
      <w:r>
        <w:separator/>
      </w:r>
    </w:p>
  </w:endnote>
  <w:endnote w:type="continuationSeparator" w:id="0">
    <w:p w:rsidR="003C1C06" w:rsidRDefault="003C1C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embedRegular r:id="rId1" w:fontKey="{89796B67-1ABC-43C6-97F5-604FD0DB7392}"/>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embedRegular r:id="rId2" w:fontKey="{15A83958-4E8E-4C20-BB2B-A155972612D9}"/>
    <w:embedBold r:id="rId3" w:fontKey="{4E80BC6E-B8D2-4CAF-B08B-81730AEF0DCD}"/>
    <w:embedItalic r:id="rId4" w:fontKey="{1939E47B-E6FC-4FDC-9AA2-2D8170CB29A3}"/>
    <w:embedBoldItalic r:id="rId5" w:fontKey="{A40C6750-D6DE-4BB1-81B1-ED2E6A035CA1}"/>
  </w:font>
  <w:font w:name="Calibri">
    <w:panose1 w:val="020F0502020204030204"/>
    <w:charset w:val="00"/>
    <w:family w:val="swiss"/>
    <w:pitch w:val="variable"/>
    <w:sig w:usb0="E4002EFF" w:usb1="C200247B" w:usb2="00000009" w:usb3="00000000" w:csb0="000001FF" w:csb1="00000000"/>
    <w:embedRegular r:id="rId6" w:fontKey="{EE9A9611-97E3-4188-9C46-B34541157BB8}"/>
    <w:embedBold r:id="rId7" w:fontKey="{CE184721-C49F-4FE2-9C14-2FECAD10521D}"/>
  </w:font>
  <w:font w:name="Century Gothic">
    <w:panose1 w:val="020B0502020202020204"/>
    <w:charset w:val="00"/>
    <w:family w:val="swiss"/>
    <w:pitch w:val="variable"/>
    <w:sig w:usb0="00000287" w:usb1="00000000" w:usb2="00000000" w:usb3="00000000" w:csb0="0000009F" w:csb1="00000000"/>
    <w:embedRegular r:id="rId8" w:fontKey="{49C10D20-1B5A-433D-B6BE-07C34D6471EA}"/>
  </w:font>
  <w:font w:name="Segoe UI">
    <w:panose1 w:val="020B0502040204020203"/>
    <w:charset w:val="00"/>
    <w:family w:val="swiss"/>
    <w:pitch w:val="variable"/>
    <w:sig w:usb0="E4002EFF" w:usb1="C000E47F" w:usb2="00000009" w:usb3="00000000" w:csb0="000001FF" w:csb1="00000000"/>
    <w:embedRegular r:id="rId9" w:fontKey="{801FB221-B844-45E3-8D48-E152E88F697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Calibri Light">
    <w:panose1 w:val="020F0302020204030204"/>
    <w:charset w:val="00"/>
    <w:family w:val="swiss"/>
    <w:pitch w:val="variable"/>
    <w:sig w:usb0="E4002EFF" w:usb1="C200247B" w:usb2="00000009" w:usb3="00000000" w:csb0="000001FF" w:csb1="00000000"/>
    <w:embedRegular r:id="rId10" w:fontKey="{622827C9-D4F9-4E61-B9A1-5230941A3C97}"/>
  </w:font>
  <w:font w:name="Tahoma">
    <w:panose1 w:val="020B0604030504040204"/>
    <w:charset w:val="00"/>
    <w:family w:val="swiss"/>
    <w:pitch w:val="variable"/>
    <w:sig w:usb0="E1002EFF" w:usb1="C000605B" w:usb2="00000029" w:usb3="00000000" w:csb0="000101FF" w:csb1="00000000"/>
    <w:embedBold r:id="rId11" w:fontKey="{1B5D3BAE-CD4B-4C15-A036-77BA772CC0E6}"/>
  </w:font>
  <w:font w:name="Garamond">
    <w:panose1 w:val="02020404030301010803"/>
    <w:charset w:val="00"/>
    <w:family w:val="roman"/>
    <w:pitch w:val="variable"/>
    <w:sig w:usb0="00000287" w:usb1="00000000" w:usb2="00000000" w:usb3="00000000" w:csb0="0000009F" w:csb1="00000000"/>
    <w:embedRegular r:id="rId12" w:fontKey="{3CBF4897-FC12-4005-8C4A-FE9847B38FA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09C2" w:rsidRDefault="00A909C2">
    <w:pPr>
      <w:pBdr>
        <w:top w:val="nil"/>
        <w:left w:val="nil"/>
        <w:bottom w:val="nil"/>
        <w:right w:val="nil"/>
        <w:between w:val="nil"/>
      </w:pBdr>
      <w:tabs>
        <w:tab w:val="center" w:pos="4419"/>
        <w:tab w:val="right" w:pos="8838"/>
      </w:tabs>
      <w:jc w:val="right"/>
      <w:rPr>
        <w:color w:val="000000"/>
        <w:sz w:val="26"/>
        <w:szCs w:val="26"/>
      </w:rPr>
    </w:pPr>
  </w:p>
  <w:p w:rsidR="00A909C2" w:rsidRDefault="00BC259C">
    <w:pPr>
      <w:pBdr>
        <w:top w:val="nil"/>
        <w:left w:val="nil"/>
        <w:bottom w:val="nil"/>
        <w:right w:val="nil"/>
        <w:between w:val="nil"/>
      </w:pBdr>
      <w:tabs>
        <w:tab w:val="center" w:pos="4419"/>
        <w:tab w:val="right" w:pos="8838"/>
      </w:tabs>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separate"/>
    </w:r>
    <w:r w:rsidR="009B6F91">
      <w:rPr>
        <w:b/>
        <w:bCs/>
        <w:noProof/>
        <w:color w:val="000000"/>
        <w:sz w:val="24"/>
        <w:szCs w:val="24"/>
      </w:rPr>
      <w:t>21</w: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9B6F91">
      <w:rPr>
        <w:b/>
        <w:bCs/>
        <w:noProof/>
        <w:color w:val="000000"/>
        <w:sz w:val="24"/>
        <w:szCs w:val="24"/>
      </w:rPr>
      <w:t>21</w:t>
    </w:r>
    <w:r>
      <w:rPr>
        <w:b/>
        <w:bCs/>
        <w:color w:val="000000"/>
        <w:sz w:val="24"/>
        <w:szCs w:val="24"/>
      </w:rPr>
      <w:fldChar w:fldCharType="end"/>
    </w:r>
  </w:p>
  <w:p w:rsidR="00A909C2" w:rsidRDefault="00A909C2">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09C2" w:rsidRDefault="00A909C2">
    <w:pPr>
      <w:pBdr>
        <w:top w:val="nil"/>
        <w:left w:val="nil"/>
        <w:bottom w:val="nil"/>
        <w:right w:val="nil"/>
        <w:between w:val="nil"/>
      </w:pBdr>
      <w:tabs>
        <w:tab w:val="center" w:pos="4419"/>
        <w:tab w:val="right" w:pos="8838"/>
      </w:tabs>
      <w:jc w:val="right"/>
      <w:rPr>
        <w:color w:val="000000"/>
      </w:rPr>
    </w:pPr>
  </w:p>
  <w:p w:rsidR="00A909C2" w:rsidRDefault="00BC259C">
    <w:pPr>
      <w:pBdr>
        <w:top w:val="nil"/>
        <w:left w:val="nil"/>
        <w:bottom w:val="nil"/>
        <w:right w:val="nil"/>
        <w:between w:val="nil"/>
      </w:pBdr>
      <w:tabs>
        <w:tab w:val="center" w:pos="4419"/>
        <w:tab w:val="right" w:pos="8838"/>
      </w:tabs>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separate"/>
    </w:r>
    <w:r w:rsidR="009B6F91">
      <w:rPr>
        <w:b/>
        <w:bCs/>
        <w:noProof/>
        <w:color w:val="000000"/>
        <w:sz w:val="24"/>
        <w:szCs w:val="24"/>
      </w:rPr>
      <w:t>1</w: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9B6F91">
      <w:rPr>
        <w:b/>
        <w:bCs/>
        <w:noProof/>
        <w:color w:val="000000"/>
        <w:sz w:val="24"/>
        <w:szCs w:val="24"/>
      </w:rPr>
      <w:t>21</w:t>
    </w:r>
    <w:r>
      <w:rPr>
        <w:b/>
        <w:bCs/>
        <w:color w:val="000000"/>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C1C06" w:rsidRDefault="003C1C06">
      <w:r>
        <w:separator/>
      </w:r>
    </w:p>
  </w:footnote>
  <w:footnote w:type="continuationSeparator" w:id="0">
    <w:p w:rsidR="003C1C06" w:rsidRDefault="003C1C0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09C2" w:rsidRDefault="00A909C2">
    <w:pPr>
      <w:widowControl w:val="0"/>
      <w:pBdr>
        <w:top w:val="nil"/>
        <w:left w:val="nil"/>
        <w:bottom w:val="nil"/>
        <w:right w:val="nil"/>
        <w:between w:val="nil"/>
      </w:pBdr>
      <w:spacing w:line="276" w:lineRule="auto"/>
      <w:rPr>
        <w:rFonts w:ascii="Palatino Linotype" w:eastAsia="Palatino Linotype" w:hAnsi="Palatino Linotype" w:cs="Palatino Linotype"/>
        <w:color w:val="FF0000"/>
        <w:sz w:val="22"/>
        <w:szCs w:val="22"/>
      </w:rPr>
    </w:pPr>
  </w:p>
  <w:tbl>
    <w:tblPr>
      <w:tblStyle w:val="a"/>
      <w:tblW w:w="8222" w:type="dxa"/>
      <w:tblInd w:w="2552" w:type="dxa"/>
      <w:tblLayout w:type="fixed"/>
      <w:tblLook w:val="0400" w:firstRow="0" w:lastRow="0" w:firstColumn="0" w:lastColumn="0" w:noHBand="0" w:noVBand="1"/>
    </w:tblPr>
    <w:tblGrid>
      <w:gridCol w:w="8222"/>
    </w:tblGrid>
    <w:tr w:rsidR="00A909C2">
      <w:trPr>
        <w:trHeight w:val="1412"/>
      </w:trPr>
      <w:tc>
        <w:tcPr>
          <w:tcW w:w="8222" w:type="dxa"/>
          <w:shd w:val="clear" w:color="auto" w:fill="auto"/>
        </w:tcPr>
        <w:p w:rsidR="00A909C2" w:rsidRDefault="00A909C2"/>
        <w:tbl>
          <w:tblPr>
            <w:tblStyle w:val="a0"/>
            <w:tblW w:w="7230" w:type="dxa"/>
            <w:tblInd w:w="175" w:type="dxa"/>
            <w:tblBorders>
              <w:top w:val="nil"/>
              <w:left w:val="nil"/>
              <w:bottom w:val="nil"/>
              <w:right w:val="nil"/>
              <w:insideH w:val="nil"/>
              <w:insideV w:val="nil"/>
            </w:tblBorders>
            <w:tblLayout w:type="fixed"/>
            <w:tblLook w:val="0400" w:firstRow="0" w:lastRow="0" w:firstColumn="0" w:lastColumn="0" w:noHBand="0" w:noVBand="1"/>
          </w:tblPr>
          <w:tblGrid>
            <w:gridCol w:w="2552"/>
            <w:gridCol w:w="4678"/>
          </w:tblGrid>
          <w:tr w:rsidR="00A909C2">
            <w:trPr>
              <w:trHeight w:val="144"/>
            </w:trPr>
            <w:tc>
              <w:tcPr>
                <w:tcW w:w="2552" w:type="dxa"/>
              </w:tcPr>
              <w:p w:rsidR="00A909C2" w:rsidRDefault="00BC259C">
                <w:pPr>
                  <w:tabs>
                    <w:tab w:val="left" w:pos="1735"/>
                    <w:tab w:val="right" w:pos="8838"/>
                  </w:tabs>
                  <w:spacing w:line="276" w:lineRule="auto"/>
                  <w:ind w:left="-28"/>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Recurso de Revisión:</w:t>
                </w:r>
              </w:p>
            </w:tc>
            <w:tc>
              <w:tcPr>
                <w:tcW w:w="4678" w:type="dxa"/>
              </w:tcPr>
              <w:p w:rsidR="00A909C2" w:rsidRDefault="00BC259C">
                <w:pPr>
                  <w:tabs>
                    <w:tab w:val="left" w:pos="1735"/>
                    <w:tab w:val="right" w:pos="8838"/>
                  </w:tabs>
                  <w:spacing w:line="276" w:lineRule="auto"/>
                  <w:ind w:left="-28"/>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11566/INFOEM/IP/RR/2025</w:t>
                </w:r>
              </w:p>
            </w:tc>
          </w:tr>
          <w:tr w:rsidR="00A909C2">
            <w:trPr>
              <w:trHeight w:val="144"/>
            </w:trPr>
            <w:tc>
              <w:tcPr>
                <w:tcW w:w="2552" w:type="dxa"/>
              </w:tcPr>
              <w:p w:rsidR="00A909C2" w:rsidRDefault="00BC259C">
                <w:pPr>
                  <w:tabs>
                    <w:tab w:val="left" w:pos="1735"/>
                    <w:tab w:val="right" w:pos="8838"/>
                  </w:tabs>
                  <w:spacing w:line="276" w:lineRule="auto"/>
                  <w:ind w:left="-28"/>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Sujeto Obligado:</w:t>
                </w:r>
              </w:p>
            </w:tc>
            <w:tc>
              <w:tcPr>
                <w:tcW w:w="4678" w:type="dxa"/>
              </w:tcPr>
              <w:p w:rsidR="00A909C2" w:rsidRDefault="00BC259C">
                <w:pPr>
                  <w:tabs>
                    <w:tab w:val="left" w:pos="1735"/>
                    <w:tab w:val="left" w:pos="3385"/>
                    <w:tab w:val="right" w:pos="8838"/>
                  </w:tabs>
                  <w:spacing w:line="276" w:lineRule="auto"/>
                  <w:ind w:left="-28" w:right="923"/>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Sistema Municipal para el Desarrollo Integral de la Familia Municipio de Atenco</w:t>
                </w:r>
              </w:p>
            </w:tc>
          </w:tr>
          <w:tr w:rsidR="00A909C2">
            <w:trPr>
              <w:trHeight w:val="138"/>
            </w:trPr>
            <w:tc>
              <w:tcPr>
                <w:tcW w:w="2552" w:type="dxa"/>
              </w:tcPr>
              <w:p w:rsidR="00A909C2" w:rsidRDefault="00BC259C">
                <w:pPr>
                  <w:tabs>
                    <w:tab w:val="left" w:pos="1735"/>
                    <w:tab w:val="right" w:pos="8838"/>
                  </w:tabs>
                  <w:spacing w:line="276" w:lineRule="auto"/>
                  <w:ind w:left="-28"/>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Comisionado Ponente:</w:t>
                </w:r>
              </w:p>
            </w:tc>
            <w:tc>
              <w:tcPr>
                <w:tcW w:w="4678" w:type="dxa"/>
              </w:tcPr>
              <w:p w:rsidR="00A909C2" w:rsidRDefault="00BC259C">
                <w:pPr>
                  <w:tabs>
                    <w:tab w:val="left" w:pos="1735"/>
                    <w:tab w:val="right" w:pos="8838"/>
                  </w:tabs>
                  <w:spacing w:line="276" w:lineRule="auto"/>
                  <w:ind w:left="-28"/>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Luis Gustavo Parra Noriega</w:t>
                </w:r>
              </w:p>
            </w:tc>
          </w:tr>
        </w:tbl>
        <w:p w:rsidR="00A909C2" w:rsidRDefault="00A909C2">
          <w:pPr>
            <w:tabs>
              <w:tab w:val="right" w:pos="8838"/>
            </w:tabs>
            <w:ind w:left="-28"/>
            <w:jc w:val="both"/>
            <w:rPr>
              <w:rFonts w:ascii="Arial" w:eastAsia="Arial" w:hAnsi="Arial" w:cs="Arial"/>
              <w:b/>
              <w:bCs/>
              <w:sz w:val="22"/>
              <w:szCs w:val="22"/>
            </w:rPr>
          </w:pPr>
        </w:p>
      </w:tc>
    </w:tr>
  </w:tbl>
  <w:p w:rsidR="00A909C2" w:rsidRDefault="003C1C06">
    <w:pPr>
      <w:pBdr>
        <w:top w:val="nil"/>
        <w:left w:val="nil"/>
        <w:bottom w:val="nil"/>
        <w:right w:val="nil"/>
        <w:between w:val="nil"/>
      </w:pBdr>
      <w:tabs>
        <w:tab w:val="center" w:pos="4419"/>
        <w:tab w:val="right" w:pos="8838"/>
      </w:tabs>
      <w:rPr>
        <w:color w:val="000000"/>
        <w:sz w:val="14"/>
        <w:szCs w:val="14"/>
      </w:rPr>
    </w:pPr>
    <w:r>
      <w:rPr>
        <w:rFonts w:ascii="Garamond" w:eastAsia="Garamond" w:hAnsi="Garamond" w:cs="Garamond"/>
        <w:color w:val="000000"/>
        <w:sz w:val="16"/>
        <w:szCs w:val="1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alt="MARCA DE AGUA - HOJA RESOLUCIÓN" style="position:absolute;margin-left:-78.65pt;margin-top:-119.85pt;width:663.5pt;height:12in;z-index:-251658240;mso-wrap-edited:f;mso-width-percent:0;mso-height-percent:0;mso-position-horizontal:absolute;mso-position-horizontal-relative:margin;mso-position-vertical:absolute;mso-position-vertical-relative:margin;mso-width-percent:0;mso-height-percent:0" o:allowincell="f">
          <v:imagedata r:id="rId1" o:title="MARCA DE AGUA - HOJA 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09C2" w:rsidRDefault="003C1C06">
    <w:r>
      <w:rPr>
        <w:rFonts w:ascii="Palatino Linotype" w:eastAsia="Palatino Linotype" w:hAnsi="Palatino Linotype" w:cs="Palatino Linotype"/>
        <w:b/>
        <w:bCs/>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2" type="#_x0000_t75" alt="MARCA DE AGUA - HOJA RESOLUCIÓN" style="position:absolute;margin-left:-79.7pt;margin-top:-124.7pt;width:663.5pt;height:12in;z-index:-251659264;mso-position-horizontal:absolute;mso-position-horizontal-relative:margin;mso-position-vertical:absolute;mso-position-vertical-relative:margin">
          <v:imagedata r:id="rId1" o:title="image2"/>
          <w10:wrap anchorx="margin" anchory="margin"/>
        </v:shape>
      </w:pict>
    </w:r>
  </w:p>
  <w:tbl>
    <w:tblPr>
      <w:tblStyle w:val="a1"/>
      <w:tblpPr w:leftFromText="141" w:rightFromText="141" w:vertAnchor="page" w:horzAnchor="margin" w:tblpY="556"/>
      <w:tblW w:w="9781"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2977"/>
      <w:gridCol w:w="2405"/>
      <w:gridCol w:w="4399"/>
    </w:tblGrid>
    <w:tr w:rsidR="00A909C2">
      <w:trPr>
        <w:trHeight w:val="466"/>
      </w:trPr>
      <w:tc>
        <w:tcPr>
          <w:tcW w:w="2977" w:type="dxa"/>
          <w:vAlign w:val="bottom"/>
        </w:tcPr>
        <w:p w:rsidR="00A909C2" w:rsidRDefault="00A909C2">
          <w:pPr>
            <w:tabs>
              <w:tab w:val="right" w:pos="8838"/>
            </w:tabs>
            <w:ind w:right="-105"/>
            <w:rPr>
              <w:rFonts w:ascii="Palatino Linotype" w:eastAsia="Palatino Linotype" w:hAnsi="Palatino Linotype" w:cs="Palatino Linotype"/>
              <w:b/>
              <w:bCs/>
              <w:sz w:val="22"/>
              <w:szCs w:val="22"/>
            </w:rPr>
          </w:pPr>
        </w:p>
      </w:tc>
      <w:tc>
        <w:tcPr>
          <w:tcW w:w="2405" w:type="dxa"/>
          <w:vAlign w:val="bottom"/>
        </w:tcPr>
        <w:p w:rsidR="00A909C2" w:rsidRDefault="00BC259C">
          <w:pPr>
            <w:tabs>
              <w:tab w:val="left" w:pos="1735"/>
              <w:tab w:val="right" w:pos="8838"/>
            </w:tabs>
            <w:spacing w:line="276" w:lineRule="auto"/>
            <w:ind w:left="-28"/>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Recurso de Revisión:</w:t>
          </w:r>
        </w:p>
      </w:tc>
      <w:tc>
        <w:tcPr>
          <w:tcW w:w="4399" w:type="dxa"/>
          <w:vAlign w:val="bottom"/>
        </w:tcPr>
        <w:p w:rsidR="00A909C2" w:rsidRDefault="00BC259C">
          <w:pPr>
            <w:tabs>
              <w:tab w:val="right" w:pos="8838"/>
            </w:tabs>
            <w:spacing w:line="276" w:lineRule="auto"/>
            <w:ind w:right="317"/>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11566/INFOEM/IP/RR/2025</w:t>
          </w:r>
        </w:p>
      </w:tc>
    </w:tr>
    <w:tr w:rsidR="00A909C2">
      <w:trPr>
        <w:trHeight w:val="119"/>
      </w:trPr>
      <w:tc>
        <w:tcPr>
          <w:tcW w:w="2977" w:type="dxa"/>
        </w:tcPr>
        <w:p w:rsidR="00A909C2" w:rsidRDefault="00A909C2">
          <w:pPr>
            <w:tabs>
              <w:tab w:val="right" w:pos="8838"/>
            </w:tabs>
            <w:ind w:right="-105"/>
            <w:rPr>
              <w:rFonts w:ascii="Palatino Linotype" w:eastAsia="Palatino Linotype" w:hAnsi="Palatino Linotype" w:cs="Palatino Linotype"/>
              <w:b/>
              <w:bCs/>
              <w:sz w:val="22"/>
              <w:szCs w:val="22"/>
            </w:rPr>
          </w:pPr>
        </w:p>
      </w:tc>
      <w:tc>
        <w:tcPr>
          <w:tcW w:w="2405" w:type="dxa"/>
        </w:tcPr>
        <w:p w:rsidR="00A909C2" w:rsidRDefault="00BC259C">
          <w:pPr>
            <w:tabs>
              <w:tab w:val="right" w:pos="8838"/>
            </w:tabs>
            <w:spacing w:line="276" w:lineRule="auto"/>
            <w:ind w:right="171"/>
            <w:jc w:val="both"/>
            <w:rPr>
              <w:rFonts w:ascii="Palatino Linotype" w:eastAsia="Palatino Linotype" w:hAnsi="Palatino Linotype" w:cs="Palatino Linotype"/>
              <w:sz w:val="22"/>
              <w:szCs w:val="22"/>
            </w:rPr>
          </w:pPr>
          <w:r>
            <w:rPr>
              <w:rFonts w:ascii="Palatino Linotype" w:eastAsia="Palatino Linotype" w:hAnsi="Palatino Linotype" w:cs="Palatino Linotype"/>
              <w:b/>
              <w:bCs/>
              <w:sz w:val="22"/>
              <w:szCs w:val="22"/>
            </w:rPr>
            <w:t>Recurrente:</w:t>
          </w:r>
        </w:p>
      </w:tc>
      <w:tc>
        <w:tcPr>
          <w:tcW w:w="4399" w:type="dxa"/>
        </w:tcPr>
        <w:p w:rsidR="00A909C2" w:rsidRDefault="00A909C2">
          <w:pPr>
            <w:tabs>
              <w:tab w:val="right" w:pos="8838"/>
            </w:tabs>
            <w:spacing w:line="276" w:lineRule="auto"/>
            <w:ind w:right="317"/>
            <w:jc w:val="both"/>
            <w:rPr>
              <w:rFonts w:ascii="Palatino Linotype" w:eastAsia="Palatino Linotype" w:hAnsi="Palatino Linotype" w:cs="Palatino Linotype"/>
              <w:sz w:val="22"/>
              <w:szCs w:val="22"/>
            </w:rPr>
          </w:pPr>
        </w:p>
      </w:tc>
    </w:tr>
    <w:tr w:rsidR="00A909C2">
      <w:trPr>
        <w:trHeight w:val="234"/>
      </w:trPr>
      <w:tc>
        <w:tcPr>
          <w:tcW w:w="2977" w:type="dxa"/>
        </w:tcPr>
        <w:p w:rsidR="00A909C2" w:rsidRDefault="00A909C2">
          <w:pPr>
            <w:tabs>
              <w:tab w:val="right" w:pos="8838"/>
            </w:tabs>
            <w:ind w:right="-105"/>
            <w:rPr>
              <w:rFonts w:ascii="Palatino Linotype" w:eastAsia="Palatino Linotype" w:hAnsi="Palatino Linotype" w:cs="Palatino Linotype"/>
              <w:b/>
              <w:bCs/>
              <w:sz w:val="22"/>
              <w:szCs w:val="22"/>
            </w:rPr>
          </w:pPr>
        </w:p>
      </w:tc>
      <w:tc>
        <w:tcPr>
          <w:tcW w:w="2405" w:type="dxa"/>
        </w:tcPr>
        <w:p w:rsidR="00A909C2" w:rsidRDefault="00BC259C">
          <w:pPr>
            <w:tabs>
              <w:tab w:val="right" w:pos="8838"/>
            </w:tabs>
            <w:spacing w:line="276" w:lineRule="auto"/>
            <w:ind w:right="171"/>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Sujeto Obligado:</w:t>
          </w:r>
        </w:p>
      </w:tc>
      <w:tc>
        <w:tcPr>
          <w:tcW w:w="4399" w:type="dxa"/>
        </w:tcPr>
        <w:p w:rsidR="00A909C2" w:rsidRDefault="00BC259C">
          <w:pPr>
            <w:tabs>
              <w:tab w:val="right" w:pos="8838"/>
            </w:tabs>
            <w:spacing w:line="276" w:lineRule="auto"/>
            <w:ind w:right="317"/>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Sistema Municipal para el Desarrollo Integral de la Familia Municipio de Atenco</w:t>
          </w:r>
        </w:p>
      </w:tc>
    </w:tr>
    <w:tr w:rsidR="00A909C2">
      <w:trPr>
        <w:trHeight w:val="234"/>
      </w:trPr>
      <w:tc>
        <w:tcPr>
          <w:tcW w:w="2977" w:type="dxa"/>
        </w:tcPr>
        <w:p w:rsidR="00A909C2" w:rsidRDefault="00A909C2">
          <w:pPr>
            <w:tabs>
              <w:tab w:val="right" w:pos="8838"/>
            </w:tabs>
            <w:ind w:right="-105"/>
            <w:rPr>
              <w:rFonts w:ascii="Palatino Linotype" w:eastAsia="Palatino Linotype" w:hAnsi="Palatino Linotype" w:cs="Palatino Linotype"/>
              <w:b/>
              <w:bCs/>
              <w:sz w:val="22"/>
              <w:szCs w:val="22"/>
            </w:rPr>
          </w:pPr>
        </w:p>
      </w:tc>
      <w:tc>
        <w:tcPr>
          <w:tcW w:w="2405" w:type="dxa"/>
        </w:tcPr>
        <w:p w:rsidR="00A909C2" w:rsidRDefault="00BC259C">
          <w:pPr>
            <w:tabs>
              <w:tab w:val="right" w:pos="8838"/>
            </w:tabs>
            <w:spacing w:line="276" w:lineRule="auto"/>
            <w:ind w:right="-108"/>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Comisionado Ponente:</w:t>
          </w:r>
        </w:p>
      </w:tc>
      <w:tc>
        <w:tcPr>
          <w:tcW w:w="4399" w:type="dxa"/>
        </w:tcPr>
        <w:p w:rsidR="00A909C2" w:rsidRDefault="00BC259C">
          <w:pPr>
            <w:tabs>
              <w:tab w:val="right" w:pos="8838"/>
            </w:tabs>
            <w:spacing w:line="276" w:lineRule="auto"/>
            <w:ind w:right="171"/>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Luis Gustavo Parra Noriega</w:t>
          </w:r>
        </w:p>
      </w:tc>
    </w:tr>
  </w:tbl>
  <w:p w:rsidR="00A909C2" w:rsidRDefault="00A909C2">
    <w:pPr>
      <w:rPr>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87D6E72"/>
    <w:multiLevelType w:val="multilevel"/>
    <w:tmpl w:val="DB1EAE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358704B"/>
    <w:multiLevelType w:val="multilevel"/>
    <w:tmpl w:val="73146A58"/>
    <w:lvl w:ilvl="0">
      <w:start w:val="1"/>
      <w:numFmt w:val="bullet"/>
      <w:pStyle w:val="Listaconvietas2"/>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hyphenationZone w:val="425"/>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09C2"/>
    <w:rsid w:val="001A7327"/>
    <w:rsid w:val="003C1C06"/>
    <w:rsid w:val="004D18B6"/>
    <w:rsid w:val="007F3B66"/>
    <w:rsid w:val="008F2866"/>
    <w:rsid w:val="009B6F91"/>
    <w:rsid w:val="00A909C2"/>
    <w:rsid w:val="00BC259C"/>
    <w:rsid w:val="00E753F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5:docId w15:val="{564C8512-9E57-4D31-AF82-167A11D236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line="360" w:lineRule="auto"/>
      <w:jc w:val="center"/>
      <w:outlineLvl w:val="0"/>
    </w:pPr>
    <w:rPr>
      <w:rFonts w:ascii="Palatino Linotype" w:eastAsia="Palatino Linotype" w:hAnsi="Palatino Linotype" w:cs="Palatino Linotype"/>
      <w:b/>
      <w:bCs/>
      <w:color w:val="000000"/>
      <w:sz w:val="22"/>
      <w:szCs w:val="22"/>
    </w:rPr>
  </w:style>
  <w:style w:type="paragraph" w:styleId="Ttulo2">
    <w:name w:val="heading 2"/>
    <w:basedOn w:val="Normal"/>
    <w:next w:val="Normal"/>
    <w:pPr>
      <w:keepNext/>
      <w:keepLines/>
      <w:spacing w:line="360" w:lineRule="auto"/>
      <w:outlineLvl w:val="1"/>
    </w:pPr>
    <w:rPr>
      <w:rFonts w:ascii="Palatino Linotype" w:eastAsia="Palatino Linotype" w:hAnsi="Palatino Linotype" w:cs="Palatino Linotype"/>
      <w:b/>
      <w:bCs/>
      <w:color w:val="000000"/>
      <w:sz w:val="22"/>
      <w:szCs w:val="22"/>
    </w:rPr>
  </w:style>
  <w:style w:type="paragraph" w:styleId="Ttulo3">
    <w:name w:val="heading 3"/>
    <w:basedOn w:val="Normal"/>
    <w:next w:val="Normal"/>
    <w:pPr>
      <w:keepNext/>
      <w:keepLines/>
      <w:spacing w:before="280" w:after="80"/>
      <w:outlineLvl w:val="2"/>
    </w:pPr>
    <w:rPr>
      <w:b/>
      <w:bCs/>
      <w:sz w:val="28"/>
      <w:szCs w:val="28"/>
    </w:rPr>
  </w:style>
  <w:style w:type="paragraph" w:styleId="Ttulo4">
    <w:name w:val="heading 4"/>
    <w:basedOn w:val="Normal"/>
    <w:next w:val="Normal"/>
    <w:pPr>
      <w:keepNext/>
      <w:keepLines/>
      <w:spacing w:before="240" w:after="40"/>
      <w:outlineLvl w:val="3"/>
    </w:pPr>
    <w:rPr>
      <w:b/>
      <w:bCs/>
      <w:sz w:val="24"/>
      <w:szCs w:val="24"/>
    </w:rPr>
  </w:style>
  <w:style w:type="paragraph" w:styleId="Ttulo5">
    <w:name w:val="heading 5"/>
    <w:basedOn w:val="Normal"/>
    <w:next w:val="Normal"/>
    <w:pPr>
      <w:keepNext/>
      <w:keepLines/>
      <w:spacing w:before="220" w:after="40"/>
      <w:outlineLvl w:val="4"/>
    </w:pPr>
    <w:rPr>
      <w:b/>
      <w:bCs/>
      <w:sz w:val="22"/>
      <w:szCs w:val="22"/>
    </w:rPr>
  </w:style>
  <w:style w:type="paragraph" w:styleId="Ttulo6">
    <w:name w:val="heading 6"/>
    <w:basedOn w:val="Normal"/>
    <w:next w:val="Normal"/>
    <w:pPr>
      <w:keepNext/>
      <w:keepLines/>
      <w:spacing w:before="200" w:after="40"/>
      <w:outlineLvl w:val="5"/>
    </w:pPr>
    <w:rPr>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uesto">
    <w:name w:val="Title"/>
    <w:basedOn w:val="Normal"/>
    <w:next w:val="Normal"/>
    <w:rPr>
      <w:rFonts w:ascii="Calibri" w:eastAsia="Calibri" w:hAnsi="Calibri" w:cs="Calibri"/>
      <w:sz w:val="56"/>
      <w:szCs w:val="56"/>
    </w:rPr>
  </w:style>
  <w:style w:type="character" w:customStyle="1" w:styleId="Ttulo1Car">
    <w:name w:val="Título 1 Car"/>
    <w:basedOn w:val="Fuentedeprrafopredeter"/>
    <w:uiPriority w:val="9"/>
    <w:rsid w:val="002B57E5"/>
    <w:rPr>
      <w:rFonts w:ascii="Palatino Linotype" w:eastAsiaTheme="majorEastAsia" w:hAnsi="Palatino Linotype" w:cstheme="majorBidi"/>
      <w:b/>
      <w:color w:val="000000" w:themeColor="text1"/>
      <w:szCs w:val="32"/>
      <w:lang w:eastAsia="es-ES"/>
    </w:rPr>
  </w:style>
  <w:style w:type="paragraph" w:styleId="Encabezado">
    <w:name w:val="header"/>
    <w:basedOn w:val="Normal"/>
    <w:link w:val="EncabezadoCar"/>
    <w:uiPriority w:val="99"/>
    <w:unhideWhenUsed/>
    <w:rsid w:val="00B31222"/>
    <w:pPr>
      <w:tabs>
        <w:tab w:val="center" w:pos="4419"/>
        <w:tab w:val="right" w:pos="8838"/>
      </w:tabs>
    </w:pPr>
  </w:style>
  <w:style w:type="character" w:customStyle="1" w:styleId="EncabezadoCar">
    <w:name w:val="Encabezado Car"/>
    <w:basedOn w:val="Fuentedeprrafopredeter"/>
    <w:link w:val="Encabezado"/>
    <w:uiPriority w:val="99"/>
    <w:rsid w:val="00B31222"/>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unhideWhenUsed/>
    <w:rsid w:val="00B31222"/>
    <w:pPr>
      <w:tabs>
        <w:tab w:val="center" w:pos="4419"/>
        <w:tab w:val="right" w:pos="8838"/>
      </w:tabs>
    </w:pPr>
  </w:style>
  <w:style w:type="character" w:customStyle="1" w:styleId="PiedepginaCar">
    <w:name w:val="Pie de página Car"/>
    <w:basedOn w:val="Fuentedeprrafopredeter"/>
    <w:link w:val="Piedepgina"/>
    <w:uiPriority w:val="99"/>
    <w:rsid w:val="00B31222"/>
    <w:rPr>
      <w:rFonts w:ascii="Times New Roman" w:eastAsia="Times New Roman" w:hAnsi="Times New Roman" w:cs="Times New Roman"/>
      <w:sz w:val="20"/>
      <w:szCs w:val="20"/>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31222"/>
    <w:pPr>
      <w:ind w:left="720"/>
      <w:contextualSpacing/>
    </w:pPr>
    <w:rPr>
      <w:rFonts w:ascii="Century Gothic" w:hAnsi="Century Gothic"/>
      <w:sz w:val="22"/>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B31222"/>
    <w:rPr>
      <w:rFonts w:ascii="Century Gothic" w:eastAsia="Times New Roman" w:hAnsi="Century Gothic" w:cs="Times New Roman"/>
      <w:szCs w:val="24"/>
      <w:lang w:eastAsia="es-ES"/>
    </w:rPr>
  </w:style>
  <w:style w:type="character" w:styleId="Hipervnculo">
    <w:name w:val="Hyperlink"/>
    <w:aliases w:val="Hipervínculo1,Hipervínculo11,Hipervínculo12,Hipervínculo13,Hipervínculo14,Hipervínculo15"/>
    <w:basedOn w:val="Fuentedeprrafopredeter"/>
    <w:uiPriority w:val="99"/>
    <w:unhideWhenUsed/>
    <w:rsid w:val="00B31222"/>
    <w:rPr>
      <w:color w:val="0563C1" w:themeColor="hyperlink"/>
      <w:u w:val="single"/>
    </w:rPr>
  </w:style>
  <w:style w:type="character" w:styleId="Refdenotaalpie">
    <w:name w:val="footnote reference"/>
    <w:aliases w:val="Ref,de nota al pie,ftref, BVI fnr,16 Point,Superscript 6 Point,(Diplomarbeit FZ),BVI fnr,Footnote Reference,Texto de nota al pie,Footnotes refss,Appel note de bas de page,Footnote number,referencia nota al pie,f,4_G,Texto nota al pie"/>
    <w:basedOn w:val="Fuentedeprrafopredeter"/>
    <w:uiPriority w:val="99"/>
    <w:unhideWhenUsed/>
    <w:qFormat/>
    <w:rsid w:val="00B31222"/>
    <w:rPr>
      <w:vertAlign w:val="superscript"/>
    </w:rPr>
  </w:style>
  <w:style w:type="paragraph" w:styleId="Textonotapie">
    <w:name w:val="footnote text"/>
    <w:aliases w:val="Footnote reference,FA Fu,Footnote Text Char Char Char Char Char,Footnote Text Char Char Char Char,Footnote Text Char Char Char,ADB,single space,footnote text,fn,ft,Footnote Text Char1,Footnote Text Char Char,FOOTNOTES,Schriftart: 9 pt,Ca"/>
    <w:basedOn w:val="Normal"/>
    <w:link w:val="TextonotapieCar"/>
    <w:uiPriority w:val="99"/>
    <w:unhideWhenUsed/>
    <w:qFormat/>
    <w:rsid w:val="00B31222"/>
    <w:rPr>
      <w:rFonts w:ascii="Calibri" w:eastAsia="Calibri" w:hAnsi="Calibri"/>
      <w:lang w:eastAsia="en-US"/>
    </w:rPr>
  </w:style>
  <w:style w:type="character" w:customStyle="1" w:styleId="TextonotapieCar">
    <w:name w:val="Texto nota pie Car"/>
    <w:aliases w:val="Footnote reference Car,FA Fu Car,Footnote Text Char Char Char Char Char Car,Footnote Text Char Char Char Char Car,Footnote Text Char Char Char Car,ADB Car,single space Car,footnote text Car,fn Car,ft Car,Footnote Text Char1 Car,Ca Car"/>
    <w:basedOn w:val="Fuentedeprrafopredeter"/>
    <w:link w:val="Textonotapie"/>
    <w:uiPriority w:val="99"/>
    <w:rsid w:val="00B31222"/>
    <w:rPr>
      <w:rFonts w:ascii="Calibri" w:eastAsia="Calibri" w:hAnsi="Calibri" w:cs="Times New Roman"/>
      <w:sz w:val="20"/>
      <w:szCs w:val="20"/>
    </w:rPr>
  </w:style>
  <w:style w:type="character" w:styleId="Hipervnculovisitado">
    <w:name w:val="FollowedHyperlink"/>
    <w:basedOn w:val="Fuentedeprrafopredeter"/>
    <w:uiPriority w:val="99"/>
    <w:semiHidden/>
    <w:unhideWhenUsed/>
    <w:rsid w:val="00B31222"/>
    <w:rPr>
      <w:color w:val="954F72" w:themeColor="followedHyperlink"/>
      <w:u w:val="single"/>
    </w:rPr>
  </w:style>
  <w:style w:type="table" w:styleId="Tablaconcuadrcula">
    <w:name w:val="Table Grid"/>
    <w:basedOn w:val="Tablanormal"/>
    <w:uiPriority w:val="59"/>
    <w:rsid w:val="00B31222"/>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B3122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31222"/>
    <w:rPr>
      <w:rFonts w:ascii="Segoe UI" w:eastAsia="Times New Roman" w:hAnsi="Segoe UI" w:cs="Segoe UI"/>
      <w:sz w:val="18"/>
      <w:szCs w:val="18"/>
      <w:lang w:val="es-ES" w:eastAsia="es-ES"/>
    </w:rPr>
  </w:style>
  <w:style w:type="character" w:styleId="Refdecomentario">
    <w:name w:val="annotation reference"/>
    <w:basedOn w:val="Fuentedeprrafopredeter"/>
    <w:uiPriority w:val="99"/>
    <w:semiHidden/>
    <w:unhideWhenUsed/>
    <w:rsid w:val="00B31222"/>
    <w:rPr>
      <w:sz w:val="16"/>
      <w:szCs w:val="16"/>
    </w:rPr>
  </w:style>
  <w:style w:type="paragraph" w:styleId="Textocomentario">
    <w:name w:val="annotation text"/>
    <w:basedOn w:val="Normal"/>
    <w:link w:val="TextocomentarioCar"/>
    <w:uiPriority w:val="99"/>
    <w:semiHidden/>
    <w:unhideWhenUsed/>
    <w:rsid w:val="00B31222"/>
  </w:style>
  <w:style w:type="character" w:customStyle="1" w:styleId="TextocomentarioCar">
    <w:name w:val="Texto comentario Car"/>
    <w:basedOn w:val="Fuentedeprrafopredeter"/>
    <w:link w:val="Textocomentario"/>
    <w:uiPriority w:val="99"/>
    <w:semiHidden/>
    <w:rsid w:val="00B3122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B31222"/>
    <w:rPr>
      <w:b/>
      <w:bCs/>
    </w:rPr>
  </w:style>
  <w:style w:type="character" w:customStyle="1" w:styleId="AsuntodelcomentarioCar">
    <w:name w:val="Asunto del comentario Car"/>
    <w:basedOn w:val="TextocomentarioCar"/>
    <w:link w:val="Asuntodelcomentario"/>
    <w:uiPriority w:val="99"/>
    <w:semiHidden/>
    <w:rsid w:val="00B31222"/>
    <w:rPr>
      <w:rFonts w:ascii="Times New Roman" w:eastAsia="Times New Roman" w:hAnsi="Times New Roman" w:cs="Times New Roman"/>
      <w:b/>
      <w:bCs/>
      <w:sz w:val="20"/>
      <w:szCs w:val="20"/>
      <w:lang w:val="es-ES" w:eastAsia="es-ES"/>
    </w:rPr>
  </w:style>
  <w:style w:type="character" w:customStyle="1" w:styleId="Mencionar1">
    <w:name w:val="Mencionar1"/>
    <w:basedOn w:val="Fuentedeprrafopredeter"/>
    <w:uiPriority w:val="99"/>
    <w:semiHidden/>
    <w:unhideWhenUsed/>
    <w:rsid w:val="00B31222"/>
    <w:rPr>
      <w:color w:val="2B579A"/>
      <w:shd w:val="clear" w:color="auto" w:fill="E6E6E6"/>
    </w:rPr>
  </w:style>
  <w:style w:type="character" w:customStyle="1" w:styleId="Mencionar2">
    <w:name w:val="Mencionar2"/>
    <w:basedOn w:val="Fuentedeprrafopredeter"/>
    <w:uiPriority w:val="99"/>
    <w:semiHidden/>
    <w:unhideWhenUsed/>
    <w:rsid w:val="00B31222"/>
    <w:rPr>
      <w:color w:val="2B579A"/>
      <w:shd w:val="clear" w:color="auto" w:fill="E6E6E6"/>
    </w:rPr>
  </w:style>
  <w:style w:type="character" w:customStyle="1" w:styleId="maestrofonttexto">
    <w:name w:val="maestro_fonttexto"/>
    <w:basedOn w:val="Fuentedeprrafopredeter"/>
    <w:rsid w:val="00B31222"/>
  </w:style>
  <w:style w:type="character" w:styleId="Textoennegrita">
    <w:name w:val="Strong"/>
    <w:rsid w:val="00B31222"/>
    <w:rPr>
      <w:b/>
      <w:bCs/>
    </w:rPr>
  </w:style>
  <w:style w:type="paragraph" w:styleId="HTMLconformatoprevio">
    <w:name w:val="HTML Preformatted"/>
    <w:basedOn w:val="Normal"/>
    <w:link w:val="HTMLconformatoprevioCar"/>
    <w:uiPriority w:val="99"/>
    <w:semiHidden/>
    <w:unhideWhenUsed/>
    <w:rsid w:val="00B312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conformatoprevioCar">
    <w:name w:val="HTML con formato previo Car"/>
    <w:basedOn w:val="Fuentedeprrafopredeter"/>
    <w:link w:val="HTMLconformatoprevio"/>
    <w:uiPriority w:val="99"/>
    <w:semiHidden/>
    <w:rsid w:val="00B31222"/>
    <w:rPr>
      <w:rFonts w:ascii="Courier New" w:eastAsia="Times New Roman" w:hAnsi="Courier New" w:cs="Courier New"/>
      <w:sz w:val="20"/>
      <w:szCs w:val="20"/>
      <w:lang w:eastAsia="es-MX"/>
    </w:rPr>
  </w:style>
  <w:style w:type="paragraph" w:customStyle="1" w:styleId="Default">
    <w:name w:val="Default"/>
    <w:rsid w:val="00B31222"/>
    <w:pPr>
      <w:autoSpaceDE w:val="0"/>
      <w:autoSpaceDN w:val="0"/>
      <w:adjustRightInd w:val="0"/>
    </w:pPr>
    <w:rPr>
      <w:rFonts w:ascii="Arial" w:hAnsi="Arial" w:cs="Arial"/>
      <w:color w:val="000000"/>
      <w:sz w:val="24"/>
      <w:szCs w:val="24"/>
    </w:rPr>
  </w:style>
  <w:style w:type="character" w:customStyle="1" w:styleId="CharacterStyle1">
    <w:name w:val="Character Style 1"/>
    <w:uiPriority w:val="99"/>
    <w:rsid w:val="00B31222"/>
    <w:rPr>
      <w:sz w:val="20"/>
      <w:szCs w:val="20"/>
    </w:rPr>
  </w:style>
  <w:style w:type="paragraph" w:customStyle="1" w:styleId="Estilo1">
    <w:name w:val="Estilo1"/>
    <w:basedOn w:val="Textoindependiente"/>
    <w:rsid w:val="00B31222"/>
  </w:style>
  <w:style w:type="paragraph" w:styleId="Textoindependiente">
    <w:name w:val="Body Text"/>
    <w:basedOn w:val="Normal"/>
    <w:link w:val="TextoindependienteCar"/>
    <w:uiPriority w:val="99"/>
    <w:unhideWhenUsed/>
    <w:rsid w:val="00B31222"/>
    <w:pPr>
      <w:spacing w:after="120"/>
    </w:pPr>
  </w:style>
  <w:style w:type="character" w:customStyle="1" w:styleId="TextoindependienteCar">
    <w:name w:val="Texto independiente Car"/>
    <w:basedOn w:val="Fuentedeprrafopredeter"/>
    <w:link w:val="Textoindependiente"/>
    <w:uiPriority w:val="99"/>
    <w:rsid w:val="00B31222"/>
    <w:rPr>
      <w:rFonts w:ascii="Times New Roman" w:eastAsia="Times New Roman" w:hAnsi="Times New Roman" w:cs="Times New Roman"/>
      <w:sz w:val="20"/>
      <w:szCs w:val="20"/>
      <w:lang w:val="es-ES" w:eastAsia="es-ES"/>
    </w:rPr>
  </w:style>
  <w:style w:type="paragraph" w:styleId="Sinespaciado">
    <w:name w:val="No Spacing"/>
    <w:aliases w:val="INAI"/>
    <w:link w:val="SinespaciadoCar"/>
    <w:uiPriority w:val="1"/>
    <w:rsid w:val="00B31222"/>
    <w:pPr>
      <w:ind w:left="567" w:right="567"/>
      <w:jc w:val="both"/>
    </w:pPr>
    <w:rPr>
      <w:rFonts w:ascii="Arial" w:eastAsia="Batang" w:hAnsi="Arial"/>
      <w:szCs w:val="24"/>
      <w:lang w:eastAsia="es-ES"/>
    </w:rPr>
  </w:style>
  <w:style w:type="character" w:customStyle="1" w:styleId="SinespaciadoCar">
    <w:name w:val="Sin espaciado Car"/>
    <w:aliases w:val="INAI Car"/>
    <w:basedOn w:val="Fuentedeprrafopredeter"/>
    <w:link w:val="Sinespaciado"/>
    <w:uiPriority w:val="1"/>
    <w:rsid w:val="00B31222"/>
    <w:rPr>
      <w:rFonts w:ascii="Arial" w:eastAsia="Batang" w:hAnsi="Arial" w:cs="Times New Roman"/>
      <w:sz w:val="20"/>
      <w:szCs w:val="24"/>
      <w:lang w:eastAsia="es-ES"/>
    </w:rPr>
  </w:style>
  <w:style w:type="paragraph" w:styleId="Lista">
    <w:name w:val="List"/>
    <w:basedOn w:val="Normal"/>
    <w:uiPriority w:val="99"/>
    <w:unhideWhenUsed/>
    <w:rsid w:val="00B31222"/>
    <w:pPr>
      <w:ind w:left="283" w:hanging="283"/>
      <w:contextualSpacing/>
    </w:pPr>
  </w:style>
  <w:style w:type="paragraph" w:styleId="Lista2">
    <w:name w:val="List 2"/>
    <w:basedOn w:val="Normal"/>
    <w:uiPriority w:val="99"/>
    <w:unhideWhenUsed/>
    <w:rsid w:val="00B31222"/>
    <w:pPr>
      <w:ind w:left="566" w:hanging="283"/>
      <w:contextualSpacing/>
    </w:pPr>
  </w:style>
  <w:style w:type="paragraph" w:styleId="Lista3">
    <w:name w:val="List 3"/>
    <w:basedOn w:val="Normal"/>
    <w:uiPriority w:val="99"/>
    <w:unhideWhenUsed/>
    <w:rsid w:val="00B31222"/>
    <w:pPr>
      <w:ind w:left="849" w:hanging="283"/>
      <w:contextualSpacing/>
    </w:pPr>
  </w:style>
  <w:style w:type="paragraph" w:styleId="Lista4">
    <w:name w:val="List 4"/>
    <w:basedOn w:val="Normal"/>
    <w:uiPriority w:val="99"/>
    <w:unhideWhenUsed/>
    <w:rsid w:val="00B31222"/>
    <w:pPr>
      <w:ind w:left="1132" w:hanging="283"/>
      <w:contextualSpacing/>
    </w:pPr>
  </w:style>
  <w:style w:type="paragraph" w:styleId="Saludo">
    <w:name w:val="Salutation"/>
    <w:basedOn w:val="Normal"/>
    <w:next w:val="Normal"/>
    <w:link w:val="SaludoCar"/>
    <w:uiPriority w:val="99"/>
    <w:unhideWhenUsed/>
    <w:rsid w:val="00B31222"/>
  </w:style>
  <w:style w:type="character" w:customStyle="1" w:styleId="SaludoCar">
    <w:name w:val="Saludo Car"/>
    <w:basedOn w:val="Fuentedeprrafopredeter"/>
    <w:link w:val="Saludo"/>
    <w:uiPriority w:val="99"/>
    <w:rsid w:val="00B31222"/>
    <w:rPr>
      <w:rFonts w:ascii="Times New Roman" w:eastAsia="Times New Roman" w:hAnsi="Times New Roman" w:cs="Times New Roman"/>
      <w:sz w:val="20"/>
      <w:szCs w:val="20"/>
      <w:lang w:val="es-ES" w:eastAsia="es-ES"/>
    </w:rPr>
  </w:style>
  <w:style w:type="paragraph" w:styleId="Listaconvietas2">
    <w:name w:val="List Bullet 2"/>
    <w:basedOn w:val="Normal"/>
    <w:uiPriority w:val="99"/>
    <w:unhideWhenUsed/>
    <w:rsid w:val="00B31222"/>
    <w:pPr>
      <w:numPr>
        <w:numId w:val="1"/>
      </w:numPr>
      <w:contextualSpacing/>
    </w:pPr>
  </w:style>
  <w:style w:type="character" w:customStyle="1" w:styleId="PuestoCar">
    <w:name w:val="Puesto Car"/>
    <w:basedOn w:val="Fuentedeprrafopredeter"/>
    <w:uiPriority w:val="10"/>
    <w:rsid w:val="00B31222"/>
    <w:rPr>
      <w:rFonts w:asciiTheme="majorHAnsi" w:eastAsiaTheme="majorEastAsia" w:hAnsiTheme="majorHAnsi" w:cstheme="majorBidi"/>
      <w:spacing w:val="-10"/>
      <w:kern w:val="28"/>
      <w:sz w:val="56"/>
      <w:szCs w:val="56"/>
      <w:lang w:val="es-ES" w:eastAsia="es-ES"/>
    </w:rPr>
  </w:style>
  <w:style w:type="paragraph" w:styleId="Sangradetextonormal">
    <w:name w:val="Body Text Indent"/>
    <w:basedOn w:val="Normal"/>
    <w:link w:val="SangradetextonormalCar"/>
    <w:uiPriority w:val="99"/>
    <w:unhideWhenUsed/>
    <w:rsid w:val="00B31222"/>
    <w:pPr>
      <w:spacing w:after="120"/>
      <w:ind w:left="283"/>
    </w:pPr>
  </w:style>
  <w:style w:type="character" w:customStyle="1" w:styleId="SangradetextonormalCar">
    <w:name w:val="Sangría de texto normal Car"/>
    <w:basedOn w:val="Fuentedeprrafopredeter"/>
    <w:link w:val="Sangradetextonormal"/>
    <w:uiPriority w:val="99"/>
    <w:rsid w:val="00B31222"/>
    <w:rPr>
      <w:rFonts w:ascii="Times New Roman" w:eastAsia="Times New Roman" w:hAnsi="Times New Roman" w:cs="Times New Roman"/>
      <w:sz w:val="20"/>
      <w:szCs w:val="20"/>
      <w:lang w:val="es-ES" w:eastAsia="es-ES"/>
    </w:rPr>
  </w:style>
  <w:style w:type="paragraph" w:styleId="Textoindependienteprimerasangra2">
    <w:name w:val="Body Text First Indent 2"/>
    <w:basedOn w:val="Sangradetextonormal"/>
    <w:link w:val="Textoindependienteprimerasangra2Car"/>
    <w:uiPriority w:val="99"/>
    <w:unhideWhenUsed/>
    <w:rsid w:val="00B3122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B31222"/>
    <w:rPr>
      <w:rFonts w:ascii="Times New Roman" w:eastAsia="Times New Roman" w:hAnsi="Times New Roman" w:cs="Times New Roman"/>
      <w:sz w:val="20"/>
      <w:szCs w:val="20"/>
      <w:lang w:val="es-ES" w:eastAsia="es-ES"/>
    </w:rPr>
  </w:style>
  <w:style w:type="character" w:customStyle="1" w:styleId="Mencionar3">
    <w:name w:val="Mencionar3"/>
    <w:basedOn w:val="Fuentedeprrafopredeter"/>
    <w:uiPriority w:val="99"/>
    <w:semiHidden/>
    <w:unhideWhenUsed/>
    <w:rsid w:val="00A47916"/>
    <w:rPr>
      <w:color w:val="2B579A"/>
      <w:shd w:val="clear" w:color="auto" w:fill="E6E6E6"/>
    </w:rPr>
  </w:style>
  <w:style w:type="character" w:customStyle="1" w:styleId="Mencionar4">
    <w:name w:val="Mencionar4"/>
    <w:basedOn w:val="Fuentedeprrafopredeter"/>
    <w:uiPriority w:val="99"/>
    <w:semiHidden/>
    <w:unhideWhenUsed/>
    <w:rsid w:val="00802515"/>
    <w:rPr>
      <w:color w:val="2B579A"/>
      <w:shd w:val="clear" w:color="auto" w:fill="E6E6E6"/>
    </w:rPr>
  </w:style>
  <w:style w:type="character" w:customStyle="1" w:styleId="maestrofonttexto1">
    <w:name w:val="maestro_fonttexto1"/>
    <w:basedOn w:val="Fuentedeprrafopredeter"/>
    <w:rsid w:val="00C25238"/>
    <w:rPr>
      <w:rFonts w:ascii="Arial" w:hAnsi="Arial" w:cs="Arial" w:hint="default"/>
      <w:sz w:val="15"/>
      <w:szCs w:val="15"/>
    </w:rPr>
  </w:style>
  <w:style w:type="character" w:customStyle="1" w:styleId="apple-converted-space">
    <w:name w:val="apple-converted-space"/>
    <w:basedOn w:val="Fuentedeprrafopredeter"/>
    <w:rsid w:val="00436FD3"/>
  </w:style>
  <w:style w:type="paragraph" w:styleId="NormalWeb">
    <w:name w:val="Normal (Web)"/>
    <w:basedOn w:val="Normal"/>
    <w:uiPriority w:val="99"/>
    <w:unhideWhenUsed/>
    <w:rsid w:val="004F3A02"/>
    <w:pPr>
      <w:spacing w:after="160" w:line="259" w:lineRule="auto"/>
      <w:jc w:val="both"/>
    </w:pPr>
    <w:rPr>
      <w:rFonts w:eastAsiaTheme="minorHAnsi"/>
      <w:color w:val="000000" w:themeColor="text1"/>
      <w:sz w:val="24"/>
      <w:szCs w:val="24"/>
      <w:lang w:eastAsia="en-US"/>
    </w:rPr>
  </w:style>
  <w:style w:type="paragraph" w:customStyle="1" w:styleId="Resoluciones1">
    <w:name w:val="Resoluciones 1"/>
    <w:basedOn w:val="Normal"/>
    <w:next w:val="Normal"/>
    <w:link w:val="Resoluciones1Car"/>
    <w:autoRedefine/>
    <w:rsid w:val="002B57E5"/>
    <w:pPr>
      <w:tabs>
        <w:tab w:val="left" w:pos="2835"/>
      </w:tabs>
      <w:spacing w:line="360" w:lineRule="auto"/>
      <w:contextualSpacing/>
      <w:jc w:val="center"/>
    </w:pPr>
    <w:rPr>
      <w:rFonts w:ascii="Palatino Linotype" w:eastAsia="Calibri" w:hAnsi="Palatino Linotype" w:cs="Tahoma"/>
      <w:b/>
      <w:bCs/>
      <w:color w:val="000000" w:themeColor="text1"/>
      <w:sz w:val="22"/>
      <w:szCs w:val="22"/>
      <w:lang w:val="es-ES" w:eastAsia="en-US"/>
    </w:rPr>
  </w:style>
  <w:style w:type="character" w:customStyle="1" w:styleId="Resoluciones1Car">
    <w:name w:val="Resoluciones 1 Car"/>
    <w:basedOn w:val="Fuentedeprrafopredeter"/>
    <w:link w:val="Resoluciones1"/>
    <w:rsid w:val="002B57E5"/>
    <w:rPr>
      <w:rFonts w:ascii="Palatino Linotype" w:eastAsia="Calibri" w:hAnsi="Palatino Linotype" w:cs="Tahoma"/>
      <w:b/>
      <w:bCs/>
      <w:color w:val="000000" w:themeColor="text1"/>
      <w:lang w:val="es-ES"/>
    </w:rPr>
  </w:style>
  <w:style w:type="character" w:customStyle="1" w:styleId="SubttuloCar">
    <w:name w:val="Subtítulo Car"/>
    <w:basedOn w:val="Fuentedeprrafopredeter"/>
    <w:uiPriority w:val="11"/>
    <w:rsid w:val="002B57E5"/>
    <w:rPr>
      <w:rFonts w:eastAsiaTheme="minorEastAsia"/>
      <w:color w:val="5A5A5A" w:themeColor="text1" w:themeTint="A5"/>
      <w:spacing w:val="15"/>
      <w:lang w:eastAsia="es-ES"/>
    </w:rPr>
  </w:style>
  <w:style w:type="paragraph" w:customStyle="1" w:styleId="ResolucinV">
    <w:name w:val="Resolución V"/>
    <w:basedOn w:val="Normal"/>
    <w:next w:val="Normal"/>
    <w:link w:val="ResolucinVCar"/>
    <w:rsid w:val="002B57E5"/>
    <w:pPr>
      <w:spacing w:line="360" w:lineRule="auto"/>
      <w:contextualSpacing/>
    </w:pPr>
    <w:rPr>
      <w:rFonts w:ascii="Palatino Linotype" w:eastAsia="Calibri" w:hAnsi="Palatino Linotype" w:cs="Tahoma"/>
      <w:b/>
      <w:bCs/>
      <w:color w:val="000000" w:themeColor="text1"/>
      <w:sz w:val="22"/>
      <w:szCs w:val="22"/>
      <w:lang w:eastAsia="en-US"/>
    </w:rPr>
  </w:style>
  <w:style w:type="character" w:customStyle="1" w:styleId="ResolucinVCar">
    <w:name w:val="Resolución V Car"/>
    <w:basedOn w:val="Fuentedeprrafopredeter"/>
    <w:link w:val="ResolucinV"/>
    <w:rsid w:val="002B57E5"/>
    <w:rPr>
      <w:rFonts w:ascii="Palatino Linotype" w:eastAsia="Calibri" w:hAnsi="Palatino Linotype" w:cs="Tahoma"/>
      <w:b/>
      <w:bCs/>
      <w:color w:val="000000" w:themeColor="text1"/>
    </w:rPr>
  </w:style>
  <w:style w:type="paragraph" w:styleId="TtulodeTDC">
    <w:name w:val="TOC Heading"/>
    <w:next w:val="Normal"/>
    <w:uiPriority w:val="39"/>
    <w:unhideWhenUsed/>
    <w:qFormat/>
    <w:rsid w:val="002B57E5"/>
    <w:pPr>
      <w:spacing w:line="259" w:lineRule="auto"/>
    </w:pPr>
  </w:style>
  <w:style w:type="character" w:customStyle="1" w:styleId="Ttulo2Car">
    <w:name w:val="Título 2 Car"/>
    <w:basedOn w:val="Fuentedeprrafopredeter"/>
    <w:uiPriority w:val="9"/>
    <w:rsid w:val="002B57E5"/>
    <w:rPr>
      <w:rFonts w:ascii="Palatino Linotype" w:eastAsiaTheme="majorEastAsia" w:hAnsi="Palatino Linotype" w:cstheme="majorBidi"/>
      <w:b/>
      <w:color w:val="000000" w:themeColor="text1"/>
      <w:szCs w:val="26"/>
      <w:lang w:eastAsia="es-ES"/>
    </w:rPr>
  </w:style>
  <w:style w:type="paragraph" w:styleId="TDC1">
    <w:name w:val="toc 1"/>
    <w:basedOn w:val="Normal"/>
    <w:next w:val="Normal"/>
    <w:autoRedefine/>
    <w:uiPriority w:val="39"/>
    <w:unhideWhenUsed/>
    <w:rsid w:val="00DF1186"/>
    <w:pPr>
      <w:tabs>
        <w:tab w:val="right" w:leader="dot" w:pos="9034"/>
      </w:tabs>
      <w:spacing w:after="100" w:line="360" w:lineRule="auto"/>
      <w:jc w:val="both"/>
    </w:pPr>
  </w:style>
  <w:style w:type="paragraph" w:styleId="TDC2">
    <w:name w:val="toc 2"/>
    <w:basedOn w:val="Normal"/>
    <w:next w:val="Normal"/>
    <w:autoRedefine/>
    <w:uiPriority w:val="39"/>
    <w:unhideWhenUsed/>
    <w:rsid w:val="007935E5"/>
    <w:pPr>
      <w:spacing w:after="100"/>
      <w:ind w:left="200"/>
    </w:pPr>
  </w:style>
  <w:style w:type="character" w:customStyle="1" w:styleId="Mencinsinresolver1">
    <w:name w:val="Mención sin resolver1"/>
    <w:basedOn w:val="Fuentedeprrafopredeter"/>
    <w:uiPriority w:val="99"/>
    <w:semiHidden/>
    <w:unhideWhenUsed/>
    <w:rsid w:val="00EB1E79"/>
    <w:rPr>
      <w:color w:val="605E5C"/>
      <w:shd w:val="clear" w:color="auto" w:fill="E1DFDD"/>
    </w:rPr>
  </w:style>
  <w:style w:type="paragraph" w:styleId="Subttulo">
    <w:name w:val="Subtitle"/>
    <w:basedOn w:val="Normal"/>
    <w:next w:val="Normal"/>
    <w:pPr>
      <w:spacing w:after="160"/>
    </w:pPr>
    <w:rPr>
      <w:rFonts w:ascii="Calibri" w:eastAsia="Calibri" w:hAnsi="Calibri" w:cs="Calibri"/>
      <w:color w:val="5A5A5A"/>
      <w:sz w:val="22"/>
      <w:szCs w:val="22"/>
    </w:rPr>
  </w:style>
  <w:style w:type="table" w:customStyle="1" w:styleId="a">
    <w:basedOn w:val="TableNormal"/>
    <w:tblPr>
      <w:tblStyleRowBandSize w:val="1"/>
      <w:tblStyleColBandSize w:val="1"/>
      <w:tblCellMar>
        <w:top w:w="0" w:type="dxa"/>
        <w:left w:w="115" w:type="dxa"/>
        <w:bottom w:w="0" w:type="dxa"/>
        <w:right w:w="115" w:type="dxa"/>
      </w:tblCellMar>
    </w:tblPr>
  </w:style>
  <w:style w:type="table" w:customStyle="1" w:styleId="a0">
    <w:basedOn w:val="TableNormal"/>
    <w:tblPr>
      <w:tblStyleRowBandSize w:val="1"/>
      <w:tblStyleColBandSize w:val="1"/>
      <w:tblCellMar>
        <w:top w:w="0" w:type="dxa"/>
        <w:left w:w="108" w:type="dxa"/>
        <w:bottom w:w="0" w:type="dxa"/>
        <w:right w:w="108" w:type="dxa"/>
      </w:tblCellMar>
    </w:tblPr>
  </w:style>
  <w:style w:type="table" w:customStyle="1" w:styleId="a1">
    <w:basedOn w:val="TableNormal"/>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49CnAeqYwBNr07vlpqOUbyXfOsA==">CgMxLjAyDmguOTF6Y2xxbTYwNmFsMg5oLmNidGF1ejh4N2xzaDIOaC4zZHgwMzFrcHdkcHAyDmguNnZ4N3ZqYTViZTUxMg5oLjZjd29nNGpiODN2YTIOaC52MGQ0bG80cTI5YzUyDmgucmx4bHNzbmowYWhvMg5oLmQ5cWc2eTI0dWV0djIOaC40d3hyYmZyaTRqdTQyDmgud204aHQ4dnNuamlwMg5oLjZ1d2hienc5cmk4bzIOaC5xamc2ZDZ1aDF0d24yDmgudGhtNzZ2OTNrNDViMg5oLnoxMXZldWIya29rNTIOaC44Z2lrdTI2eTFubzEyDmguM3V4b3N3NjhxNnVzMg5oLmFveGd0aTNraG1lejgAciExSk1ZeWZfcWdKQmhzN1FHUURjYXc0Yk5MQ0R3UXUtV1E=</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96085D13-12F1-4791-A7EA-AE41EAA838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4412</Words>
  <Characters>24268</Characters>
  <Application>Microsoft Office Word</Application>
  <DocSecurity>0</DocSecurity>
  <Lines>202</Lines>
  <Paragraphs>57</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28623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 INFOEM</dc:creator>
  <cp:lastModifiedBy>USUARIO</cp:lastModifiedBy>
  <cp:revision>3</cp:revision>
  <cp:lastPrinted>2026-02-09T15:36:00Z</cp:lastPrinted>
  <dcterms:created xsi:type="dcterms:W3CDTF">2026-02-09T15:36:00Z</dcterms:created>
  <dcterms:modified xsi:type="dcterms:W3CDTF">2026-02-09T15:36:00Z</dcterms:modified>
</cp:coreProperties>
</file>