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68B48" w14:textId="77777777" w:rsidR="00AC74D3" w:rsidRDefault="00AC74D3" w:rsidP="00A54B20">
      <w:pPr>
        <w:tabs>
          <w:tab w:val="left" w:pos="8931"/>
        </w:tabs>
        <w:spacing w:line="360" w:lineRule="auto"/>
        <w:ind w:left="8931" w:hanging="8931"/>
        <w:contextualSpacing/>
      </w:pPr>
      <w:bookmarkStart w:id="0" w:name="_Hlk215665293"/>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rFonts w:ascii="Times New Roman" w:eastAsia="Times New Roman" w:hAnsi="Times New Roman" w:cs="Times New Roman"/>
          <w:b/>
          <w:bCs/>
          <w:color w:val="auto"/>
          <w:sz w:val="20"/>
          <w:szCs w:val="20"/>
        </w:rPr>
      </w:sdtEndPr>
      <w:sdtContent>
        <w:p w14:paraId="54AA1FB3" w14:textId="77777777" w:rsidR="00AC74D3" w:rsidRDefault="00AC74D3" w:rsidP="00A54B20">
          <w:pPr>
            <w:pStyle w:val="TtulodeTDC"/>
            <w:spacing w:before="0" w:line="360" w:lineRule="auto"/>
            <w:contextualSpacing/>
            <w:jc w:val="center"/>
            <w:rPr>
              <w:rFonts w:ascii="Palatino Linotype" w:eastAsia="Palatino Linotype" w:hAnsi="Palatino Linotype" w:cs="Palatino Linotype"/>
              <w:color w:val="000000" w:themeColor="text1"/>
              <w:sz w:val="22"/>
              <w:szCs w:val="22"/>
              <w:lang w:val="es-ES"/>
            </w:rPr>
          </w:pPr>
        </w:p>
        <w:p w14:paraId="1D8EE800" w14:textId="508C7880" w:rsidR="00AC74D3" w:rsidRPr="00B37307" w:rsidRDefault="00AC74D3" w:rsidP="00B37307">
          <w:pPr>
            <w:pStyle w:val="TtulodeTDC"/>
            <w:spacing w:before="0" w:line="360" w:lineRule="auto"/>
            <w:contextualSpacing/>
            <w:jc w:val="center"/>
            <w:rPr>
              <w:rFonts w:ascii="Palatino Linotype" w:hAnsi="Palatino Linotype"/>
              <w:color w:val="auto"/>
              <w:sz w:val="22"/>
              <w:szCs w:val="22"/>
            </w:rPr>
          </w:pPr>
          <w:r w:rsidRPr="00B37307">
            <w:rPr>
              <w:rFonts w:ascii="Palatino Linotype" w:hAnsi="Palatino Linotype"/>
              <w:color w:val="auto"/>
              <w:sz w:val="22"/>
              <w:szCs w:val="22"/>
              <w:lang w:val="es-ES"/>
            </w:rPr>
            <w:t xml:space="preserve">RESOLUCIÓN DEL RECURSO DE REVISIÓN </w:t>
          </w:r>
          <w:r w:rsidRPr="00B37307">
            <w:rPr>
              <w:rFonts w:ascii="Palatino Linotype" w:hAnsi="Palatino Linotype"/>
              <w:color w:val="auto"/>
              <w:sz w:val="22"/>
              <w:szCs w:val="22"/>
            </w:rPr>
            <w:t>13816/INFOEM/IP/RR/2025</w:t>
          </w:r>
        </w:p>
        <w:p w14:paraId="0E6716E7" w14:textId="77777777" w:rsidR="00AC74D3" w:rsidRPr="00B37307" w:rsidRDefault="00AC74D3" w:rsidP="00B37307">
          <w:pPr>
            <w:spacing w:line="360" w:lineRule="auto"/>
            <w:contextualSpacing/>
          </w:pPr>
        </w:p>
        <w:p w14:paraId="474BFB94" w14:textId="0953F7F6" w:rsidR="00B37307" w:rsidRPr="00B37307" w:rsidRDefault="00AC74D3" w:rsidP="00B37307">
          <w:pPr>
            <w:pStyle w:val="TDC1"/>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r w:rsidRPr="00B37307">
            <w:fldChar w:fldCharType="begin"/>
          </w:r>
          <w:r w:rsidRPr="00B37307">
            <w:instrText xml:space="preserve"> TOC \o "1-3" \h \z \u </w:instrText>
          </w:r>
          <w:r w:rsidRPr="00B37307">
            <w:fldChar w:fldCharType="separate"/>
          </w:r>
          <w:hyperlink w:anchor="_Toc223445517" w:history="1">
            <w:r w:rsidR="00B37307" w:rsidRPr="00B37307">
              <w:rPr>
                <w:rStyle w:val="Hipervnculo"/>
                <w:noProof/>
              </w:rPr>
              <w:t>A N T E C E D E N T E S</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_Toc223445517 \h </w:instrText>
            </w:r>
            <w:r w:rsidR="00B37307" w:rsidRPr="00B37307">
              <w:rPr>
                <w:noProof/>
                <w:webHidden/>
              </w:rPr>
            </w:r>
            <w:r w:rsidR="00B37307" w:rsidRPr="00B37307">
              <w:rPr>
                <w:noProof/>
                <w:webHidden/>
              </w:rPr>
              <w:fldChar w:fldCharType="separate"/>
            </w:r>
            <w:r w:rsidR="00025368">
              <w:rPr>
                <w:noProof/>
                <w:webHidden/>
              </w:rPr>
              <w:t>2</w:t>
            </w:r>
            <w:r w:rsidR="00B37307" w:rsidRPr="00B37307">
              <w:rPr>
                <w:noProof/>
                <w:webHidden/>
              </w:rPr>
              <w:fldChar w:fldCharType="end"/>
            </w:r>
          </w:hyperlink>
        </w:p>
        <w:p w14:paraId="48FF26F2" w14:textId="6EC2A710"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18" w:history="1">
            <w:r w:rsidR="00B37307" w:rsidRPr="00B37307">
              <w:rPr>
                <w:rStyle w:val="Hipervnculo"/>
                <w:noProof/>
              </w:rPr>
              <w:t>I. Presentación de la solicitud de información</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_Toc223445518 \h </w:instrText>
            </w:r>
            <w:r w:rsidR="00B37307" w:rsidRPr="00B37307">
              <w:rPr>
                <w:noProof/>
                <w:webHidden/>
              </w:rPr>
            </w:r>
            <w:r w:rsidR="00B37307" w:rsidRPr="00B37307">
              <w:rPr>
                <w:noProof/>
                <w:webHidden/>
              </w:rPr>
              <w:fldChar w:fldCharType="separate"/>
            </w:r>
            <w:r w:rsidR="00025368">
              <w:rPr>
                <w:noProof/>
                <w:webHidden/>
              </w:rPr>
              <w:t>2</w:t>
            </w:r>
            <w:r w:rsidR="00B37307" w:rsidRPr="00B37307">
              <w:rPr>
                <w:noProof/>
                <w:webHidden/>
              </w:rPr>
              <w:fldChar w:fldCharType="end"/>
            </w:r>
          </w:hyperlink>
        </w:p>
        <w:p w14:paraId="7F85E502" w14:textId="7D206140"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19" w:history="1">
            <w:r w:rsidR="00B37307" w:rsidRPr="00B37307">
              <w:rPr>
                <w:rStyle w:val="Hipervnculo"/>
                <w:noProof/>
              </w:rPr>
              <w:t>II. Respuesta del Sujeto Obligado</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_Toc223445519 \h </w:instrText>
            </w:r>
            <w:r w:rsidR="00B37307" w:rsidRPr="00B37307">
              <w:rPr>
                <w:noProof/>
                <w:webHidden/>
              </w:rPr>
            </w:r>
            <w:r w:rsidR="00B37307" w:rsidRPr="00B37307">
              <w:rPr>
                <w:noProof/>
                <w:webHidden/>
              </w:rPr>
              <w:fldChar w:fldCharType="separate"/>
            </w:r>
            <w:r w:rsidR="00025368">
              <w:rPr>
                <w:noProof/>
                <w:webHidden/>
              </w:rPr>
              <w:t>3</w:t>
            </w:r>
            <w:r w:rsidR="00B37307" w:rsidRPr="00B37307">
              <w:rPr>
                <w:noProof/>
                <w:webHidden/>
              </w:rPr>
              <w:fldChar w:fldCharType="end"/>
            </w:r>
          </w:hyperlink>
        </w:p>
        <w:p w14:paraId="4EAF686D" w14:textId="4FFD2C60"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0" w:history="1">
            <w:r w:rsidR="00B37307" w:rsidRPr="00B37307">
              <w:rPr>
                <w:rStyle w:val="Hipervnculo"/>
                <w:noProof/>
              </w:rPr>
              <w:t>III. Interposición del Recurso de Revisión</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_Toc223445520 \h </w:instrText>
            </w:r>
            <w:r w:rsidR="00B37307" w:rsidRPr="00B37307">
              <w:rPr>
                <w:noProof/>
                <w:webHidden/>
              </w:rPr>
            </w:r>
            <w:r w:rsidR="00B37307" w:rsidRPr="00B37307">
              <w:rPr>
                <w:noProof/>
                <w:webHidden/>
              </w:rPr>
              <w:fldChar w:fldCharType="separate"/>
            </w:r>
            <w:r w:rsidR="00025368">
              <w:rPr>
                <w:noProof/>
                <w:webHidden/>
              </w:rPr>
              <w:t>3</w:t>
            </w:r>
            <w:r w:rsidR="00B37307" w:rsidRPr="00B37307">
              <w:rPr>
                <w:noProof/>
                <w:webHidden/>
              </w:rPr>
              <w:fldChar w:fldCharType="end"/>
            </w:r>
          </w:hyperlink>
        </w:p>
        <w:p w14:paraId="3A45EA40" w14:textId="0A9D31A1"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1" w:history="1">
            <w:r w:rsidR="00B37307" w:rsidRPr="00B37307">
              <w:rPr>
                <w:rStyle w:val="Hipervnculo"/>
                <w:noProof/>
              </w:rPr>
              <w:t>IV. Trámite del Recurso de Revisión ante este Instituto</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_Toc223445521 \h </w:instrText>
            </w:r>
            <w:r w:rsidR="00B37307" w:rsidRPr="00B37307">
              <w:rPr>
                <w:noProof/>
                <w:webHidden/>
              </w:rPr>
            </w:r>
            <w:r w:rsidR="00B37307" w:rsidRPr="00B37307">
              <w:rPr>
                <w:noProof/>
                <w:webHidden/>
              </w:rPr>
              <w:fldChar w:fldCharType="separate"/>
            </w:r>
            <w:r w:rsidR="00025368">
              <w:rPr>
                <w:noProof/>
                <w:webHidden/>
              </w:rPr>
              <w:t>3</w:t>
            </w:r>
            <w:r w:rsidR="00B37307" w:rsidRPr="00B37307">
              <w:rPr>
                <w:noProof/>
                <w:webHidden/>
              </w:rPr>
              <w:fldChar w:fldCharType="end"/>
            </w:r>
          </w:hyperlink>
        </w:p>
        <w:p w14:paraId="27386C1F" w14:textId="61CD4645" w:rsidR="00B37307" w:rsidRPr="00B37307" w:rsidRDefault="005123DE" w:rsidP="00B37307">
          <w:pPr>
            <w:pStyle w:val="TDC1"/>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2" w:history="1">
            <w:r w:rsidR="00B37307" w:rsidRPr="00B37307">
              <w:rPr>
                <w:rStyle w:val="Hipervnculo"/>
                <w:noProof/>
              </w:rPr>
              <w:t>C O N S I D E R A N D O S</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_Toc223445522 \h </w:instrText>
            </w:r>
            <w:r w:rsidR="00B37307" w:rsidRPr="00B37307">
              <w:rPr>
                <w:noProof/>
                <w:webHidden/>
              </w:rPr>
            </w:r>
            <w:r w:rsidR="00B37307" w:rsidRPr="00B37307">
              <w:rPr>
                <w:noProof/>
                <w:webHidden/>
              </w:rPr>
              <w:fldChar w:fldCharType="separate"/>
            </w:r>
            <w:r w:rsidR="00025368">
              <w:rPr>
                <w:noProof/>
                <w:webHidden/>
              </w:rPr>
              <w:t>5</w:t>
            </w:r>
            <w:r w:rsidR="00B37307" w:rsidRPr="00B37307">
              <w:rPr>
                <w:noProof/>
                <w:webHidden/>
              </w:rPr>
              <w:fldChar w:fldCharType="end"/>
            </w:r>
          </w:hyperlink>
        </w:p>
        <w:p w14:paraId="3A98B70E" w14:textId="77000025"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3" w:history="1">
            <w:r w:rsidR="00B37307" w:rsidRPr="00B37307">
              <w:rPr>
                <w:rStyle w:val="Hipervnculo"/>
                <w:noProof/>
              </w:rPr>
              <w:t>PRIMERO. Competencia</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_Toc223445523 \h </w:instrText>
            </w:r>
            <w:r w:rsidR="00B37307" w:rsidRPr="00B37307">
              <w:rPr>
                <w:noProof/>
                <w:webHidden/>
              </w:rPr>
            </w:r>
            <w:r w:rsidR="00B37307" w:rsidRPr="00B37307">
              <w:rPr>
                <w:noProof/>
                <w:webHidden/>
              </w:rPr>
              <w:fldChar w:fldCharType="separate"/>
            </w:r>
            <w:r w:rsidR="00025368">
              <w:rPr>
                <w:noProof/>
                <w:webHidden/>
              </w:rPr>
              <w:t>5</w:t>
            </w:r>
            <w:r w:rsidR="00B37307" w:rsidRPr="00B37307">
              <w:rPr>
                <w:noProof/>
                <w:webHidden/>
              </w:rPr>
              <w:fldChar w:fldCharType="end"/>
            </w:r>
          </w:hyperlink>
        </w:p>
        <w:p w14:paraId="0FB36D1B" w14:textId="1FE5F1BA"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4" w:history="1">
            <w:r w:rsidR="00B37307" w:rsidRPr="00B37307">
              <w:rPr>
                <w:rStyle w:val="Hipervnculo"/>
                <w:noProof/>
              </w:rPr>
              <w:t>SEGUNDO. Causales de improcedencia y sobreseimiento</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_Toc223445524 \h </w:instrText>
            </w:r>
            <w:r w:rsidR="00B37307" w:rsidRPr="00B37307">
              <w:rPr>
                <w:noProof/>
                <w:webHidden/>
              </w:rPr>
            </w:r>
            <w:r w:rsidR="00B37307" w:rsidRPr="00B37307">
              <w:rPr>
                <w:noProof/>
                <w:webHidden/>
              </w:rPr>
              <w:fldChar w:fldCharType="separate"/>
            </w:r>
            <w:r w:rsidR="00025368">
              <w:rPr>
                <w:noProof/>
                <w:webHidden/>
              </w:rPr>
              <w:t>6</w:t>
            </w:r>
            <w:r w:rsidR="00B37307" w:rsidRPr="00B37307">
              <w:rPr>
                <w:noProof/>
                <w:webHidden/>
              </w:rPr>
              <w:fldChar w:fldCharType="end"/>
            </w:r>
          </w:hyperlink>
        </w:p>
        <w:p w14:paraId="716D5030" w14:textId="213CA2AC"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5" w:history="1">
            <w:r w:rsidR="00B37307" w:rsidRPr="00B37307">
              <w:rPr>
                <w:rStyle w:val="Hipervnculo"/>
                <w:noProof/>
              </w:rPr>
              <w:t>TERCERO. Determinación de la Controversia</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_Toc223445525 \h </w:instrText>
            </w:r>
            <w:r w:rsidR="00B37307" w:rsidRPr="00B37307">
              <w:rPr>
                <w:noProof/>
                <w:webHidden/>
              </w:rPr>
            </w:r>
            <w:r w:rsidR="00B37307" w:rsidRPr="00B37307">
              <w:rPr>
                <w:noProof/>
                <w:webHidden/>
              </w:rPr>
              <w:fldChar w:fldCharType="separate"/>
            </w:r>
            <w:r w:rsidR="00025368">
              <w:rPr>
                <w:noProof/>
                <w:webHidden/>
              </w:rPr>
              <w:t>8</w:t>
            </w:r>
            <w:r w:rsidR="00B37307" w:rsidRPr="00B37307">
              <w:rPr>
                <w:noProof/>
                <w:webHidden/>
              </w:rPr>
              <w:fldChar w:fldCharType="end"/>
            </w:r>
          </w:hyperlink>
        </w:p>
        <w:p w14:paraId="09AA482A" w14:textId="6C4208E7"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6" w:history="1">
            <w:r w:rsidR="00B37307" w:rsidRPr="00B37307">
              <w:rPr>
                <w:rStyle w:val="Hipervnculo"/>
                <w:noProof/>
              </w:rPr>
              <w:t>CUARTO. Marco normativo aplicable en materia de transparencia y acceso a la información pública</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_Toc223445526 \h </w:instrText>
            </w:r>
            <w:r w:rsidR="00B37307" w:rsidRPr="00B37307">
              <w:rPr>
                <w:noProof/>
                <w:webHidden/>
              </w:rPr>
            </w:r>
            <w:r w:rsidR="00B37307" w:rsidRPr="00B37307">
              <w:rPr>
                <w:noProof/>
                <w:webHidden/>
              </w:rPr>
              <w:fldChar w:fldCharType="separate"/>
            </w:r>
            <w:r w:rsidR="00025368">
              <w:rPr>
                <w:noProof/>
                <w:webHidden/>
              </w:rPr>
              <w:t>9</w:t>
            </w:r>
            <w:r w:rsidR="00B37307" w:rsidRPr="00B37307">
              <w:rPr>
                <w:noProof/>
                <w:webHidden/>
              </w:rPr>
              <w:fldChar w:fldCharType="end"/>
            </w:r>
          </w:hyperlink>
        </w:p>
        <w:p w14:paraId="649F1726" w14:textId="41AF6652"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7" w:history="1">
            <w:r w:rsidR="00B37307" w:rsidRPr="00B37307">
              <w:rPr>
                <w:rStyle w:val="Hipervnculo"/>
                <w:noProof/>
              </w:rPr>
              <w:t>QUINTO. Estudio de Fondo</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_Toc223445527 \h </w:instrText>
            </w:r>
            <w:r w:rsidR="00B37307" w:rsidRPr="00B37307">
              <w:rPr>
                <w:noProof/>
                <w:webHidden/>
              </w:rPr>
            </w:r>
            <w:r w:rsidR="00B37307" w:rsidRPr="00B37307">
              <w:rPr>
                <w:noProof/>
                <w:webHidden/>
              </w:rPr>
              <w:fldChar w:fldCharType="separate"/>
            </w:r>
            <w:r w:rsidR="00025368">
              <w:rPr>
                <w:noProof/>
                <w:webHidden/>
              </w:rPr>
              <w:t>10</w:t>
            </w:r>
            <w:r w:rsidR="00B37307" w:rsidRPr="00B37307">
              <w:rPr>
                <w:noProof/>
                <w:webHidden/>
              </w:rPr>
              <w:fldChar w:fldCharType="end"/>
            </w:r>
          </w:hyperlink>
        </w:p>
        <w:p w14:paraId="4647E6DE" w14:textId="594161E0"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8" w:history="1">
            <w:r w:rsidR="00B37307" w:rsidRPr="00B37307">
              <w:rPr>
                <w:rStyle w:val="Hipervnculo"/>
                <w:noProof/>
              </w:rPr>
              <w:t>SEXTO. Decisión</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_Toc223445528 \h </w:instrText>
            </w:r>
            <w:r w:rsidR="00B37307" w:rsidRPr="00B37307">
              <w:rPr>
                <w:noProof/>
                <w:webHidden/>
              </w:rPr>
            </w:r>
            <w:r w:rsidR="00B37307" w:rsidRPr="00B37307">
              <w:rPr>
                <w:noProof/>
                <w:webHidden/>
              </w:rPr>
              <w:fldChar w:fldCharType="separate"/>
            </w:r>
            <w:r w:rsidR="00025368">
              <w:rPr>
                <w:noProof/>
                <w:webHidden/>
              </w:rPr>
              <w:t>31</w:t>
            </w:r>
            <w:r w:rsidR="00B37307" w:rsidRPr="00B37307">
              <w:rPr>
                <w:noProof/>
                <w:webHidden/>
              </w:rPr>
              <w:fldChar w:fldCharType="end"/>
            </w:r>
          </w:hyperlink>
        </w:p>
        <w:p w14:paraId="4F70B93A" w14:textId="182D72F4" w:rsidR="00B37307" w:rsidRPr="00B37307" w:rsidRDefault="005123DE" w:rsidP="00B37307">
          <w:pPr>
            <w:pStyle w:val="TDC2"/>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29" w:history="1">
            <w:r w:rsidR="00B37307" w:rsidRPr="005257BF">
              <w:rPr>
                <w:rStyle w:val="Hipervnculo"/>
                <w:rFonts w:eastAsia="Calibri"/>
                <w:noProof/>
                <w:lang w:val="es-ES_tradnl"/>
              </w:rPr>
              <w:t>SÉPTIMO. Vista la Dirección General de Protección de Datos Personales.</w:t>
            </w:r>
            <w:r w:rsidR="00B37307" w:rsidRPr="005257BF">
              <w:rPr>
                <w:noProof/>
                <w:webHidden/>
              </w:rPr>
              <w:tab/>
            </w:r>
            <w:r w:rsidR="00B37307" w:rsidRPr="005257BF">
              <w:rPr>
                <w:noProof/>
                <w:webHidden/>
              </w:rPr>
              <w:fldChar w:fldCharType="begin"/>
            </w:r>
            <w:r w:rsidR="00B37307" w:rsidRPr="005257BF">
              <w:rPr>
                <w:noProof/>
                <w:webHidden/>
              </w:rPr>
              <w:instrText xml:space="preserve"> PAGEREF _Toc223445529 \h </w:instrText>
            </w:r>
            <w:r w:rsidR="00B37307" w:rsidRPr="005257BF">
              <w:rPr>
                <w:noProof/>
                <w:webHidden/>
              </w:rPr>
            </w:r>
            <w:r w:rsidR="00B37307" w:rsidRPr="005257BF">
              <w:rPr>
                <w:noProof/>
                <w:webHidden/>
              </w:rPr>
              <w:fldChar w:fldCharType="separate"/>
            </w:r>
            <w:r w:rsidR="00025368">
              <w:rPr>
                <w:noProof/>
                <w:webHidden/>
              </w:rPr>
              <w:t>31</w:t>
            </w:r>
            <w:r w:rsidR="00B37307" w:rsidRPr="005257BF">
              <w:rPr>
                <w:noProof/>
                <w:webHidden/>
              </w:rPr>
              <w:fldChar w:fldCharType="end"/>
            </w:r>
          </w:hyperlink>
        </w:p>
        <w:p w14:paraId="327EB319" w14:textId="64ECEF4A" w:rsidR="00B37307" w:rsidRPr="00B37307" w:rsidRDefault="005123DE" w:rsidP="00B37307">
          <w:pPr>
            <w:pStyle w:val="TDC1"/>
            <w:tabs>
              <w:tab w:val="right" w:leader="dot" w:pos="8828"/>
            </w:tabs>
            <w:spacing w:line="360" w:lineRule="auto"/>
            <w:contextualSpacing/>
            <w:rPr>
              <w:rFonts w:asciiTheme="minorHAnsi" w:eastAsiaTheme="minorEastAsia" w:hAnsiTheme="minorHAnsi" w:cstheme="minorBidi"/>
              <w:noProof/>
              <w:color w:val="auto"/>
              <w:kern w:val="2"/>
              <w:sz w:val="24"/>
              <w:szCs w:val="24"/>
              <w14:ligatures w14:val="standardContextual"/>
            </w:rPr>
          </w:pPr>
          <w:hyperlink w:anchor="_Toc223445530" w:history="1">
            <w:r w:rsidR="00B37307" w:rsidRPr="00B37307">
              <w:rPr>
                <w:rStyle w:val="Hipervnculo"/>
                <w:rFonts w:eastAsia="Calibri"/>
                <w:noProof/>
              </w:rPr>
              <w:t>R E S U E L V E</w:t>
            </w:r>
            <w:r w:rsidR="00B37307" w:rsidRPr="00B37307">
              <w:rPr>
                <w:noProof/>
                <w:webHidden/>
              </w:rPr>
              <w:tab/>
            </w:r>
            <w:r w:rsidR="00B37307" w:rsidRPr="00B37307">
              <w:rPr>
                <w:noProof/>
                <w:webHidden/>
              </w:rPr>
              <w:fldChar w:fldCharType="begin"/>
            </w:r>
            <w:r w:rsidR="00B37307" w:rsidRPr="00B37307">
              <w:rPr>
                <w:noProof/>
                <w:webHidden/>
              </w:rPr>
              <w:instrText xml:space="preserve"> PAGEREF _Toc223445530 \h </w:instrText>
            </w:r>
            <w:r w:rsidR="00B37307" w:rsidRPr="00B37307">
              <w:rPr>
                <w:noProof/>
                <w:webHidden/>
              </w:rPr>
            </w:r>
            <w:r w:rsidR="00B37307" w:rsidRPr="00B37307">
              <w:rPr>
                <w:noProof/>
                <w:webHidden/>
              </w:rPr>
              <w:fldChar w:fldCharType="separate"/>
            </w:r>
            <w:r w:rsidR="00025368">
              <w:rPr>
                <w:noProof/>
                <w:webHidden/>
              </w:rPr>
              <w:t>33</w:t>
            </w:r>
            <w:r w:rsidR="00B37307" w:rsidRPr="00B37307">
              <w:rPr>
                <w:noProof/>
                <w:webHidden/>
              </w:rPr>
              <w:fldChar w:fldCharType="end"/>
            </w:r>
          </w:hyperlink>
        </w:p>
        <w:p w14:paraId="4DAA135B" w14:textId="41A9956E" w:rsidR="00AC74D3" w:rsidRDefault="00AC74D3" w:rsidP="00B37307">
          <w:pPr>
            <w:widowControl w:val="0"/>
            <w:pBdr>
              <w:top w:val="nil"/>
              <w:left w:val="nil"/>
              <w:bottom w:val="nil"/>
              <w:right w:val="nil"/>
              <w:between w:val="nil"/>
            </w:pBdr>
            <w:spacing w:line="360" w:lineRule="auto"/>
            <w:ind w:left="720" w:hanging="720"/>
            <w:contextualSpacing/>
          </w:pPr>
          <w:r w:rsidRPr="00B37307">
            <w:rPr>
              <w:lang w:val="es-ES"/>
            </w:rPr>
            <w:fldChar w:fldCharType="end"/>
          </w:r>
        </w:p>
      </w:sdtContent>
    </w:sdt>
    <w:p w14:paraId="10B57536" w14:textId="77777777" w:rsidR="00AC74D3" w:rsidRDefault="00AC74D3" w:rsidP="00A54B20">
      <w:pPr>
        <w:keepNext/>
        <w:keepLines/>
        <w:pBdr>
          <w:top w:val="nil"/>
          <w:left w:val="nil"/>
          <w:bottom w:val="nil"/>
          <w:right w:val="nil"/>
          <w:between w:val="nil"/>
        </w:pBdr>
        <w:spacing w:line="360" w:lineRule="auto"/>
        <w:contextualSpacing/>
        <w:rPr>
          <w:rFonts w:ascii="Palatino Linotype" w:eastAsia="Palatino Linotype" w:hAnsi="Palatino Linotype" w:cs="Palatino Linotype"/>
          <w:color w:val="000000"/>
          <w:sz w:val="22"/>
          <w:szCs w:val="22"/>
        </w:rPr>
      </w:pPr>
      <w:bookmarkStart w:id="1" w:name="_heading=h.t77kwk8e2ch7" w:colFirst="0" w:colLast="0"/>
      <w:bookmarkEnd w:id="1"/>
    </w:p>
    <w:p w14:paraId="1C5E425B" w14:textId="77777777" w:rsidR="00AC74D3" w:rsidRDefault="00AC74D3" w:rsidP="00A54B20">
      <w:pPr>
        <w:spacing w:line="360" w:lineRule="auto"/>
        <w:ind w:right="-28"/>
        <w:contextualSpacing/>
        <w:jc w:val="both"/>
        <w:rPr>
          <w:rFonts w:ascii="Palatino Linotype" w:eastAsia="Palatino Linotype" w:hAnsi="Palatino Linotype" w:cs="Palatino Linotype"/>
          <w:color w:val="000000"/>
          <w:sz w:val="22"/>
          <w:szCs w:val="22"/>
        </w:rPr>
      </w:pPr>
    </w:p>
    <w:p w14:paraId="67245733" w14:textId="77777777" w:rsidR="00AC74D3" w:rsidRDefault="00AC74D3" w:rsidP="005257BF">
      <w:pPr>
        <w:spacing w:line="360" w:lineRule="auto"/>
        <w:ind w:right="-28"/>
        <w:contextualSpacing/>
        <w:jc w:val="center"/>
        <w:rPr>
          <w:rFonts w:ascii="Palatino Linotype" w:eastAsia="Palatino Linotype" w:hAnsi="Palatino Linotype" w:cs="Palatino Linotype"/>
          <w:color w:val="000000"/>
          <w:sz w:val="22"/>
          <w:szCs w:val="22"/>
        </w:rPr>
      </w:pPr>
    </w:p>
    <w:p w14:paraId="78323DEE" w14:textId="77777777" w:rsidR="00AC74D3" w:rsidRDefault="00AC74D3" w:rsidP="00A54B20">
      <w:pPr>
        <w:spacing w:line="360" w:lineRule="auto"/>
        <w:ind w:right="-28"/>
        <w:contextualSpacing/>
        <w:jc w:val="both"/>
        <w:rPr>
          <w:rFonts w:ascii="Palatino Linotype" w:eastAsia="Palatino Linotype" w:hAnsi="Palatino Linotype" w:cs="Palatino Linotype"/>
          <w:color w:val="000000"/>
          <w:sz w:val="22"/>
          <w:szCs w:val="22"/>
        </w:rPr>
      </w:pPr>
    </w:p>
    <w:p w14:paraId="3A7EBDB6" w14:textId="77777777" w:rsidR="00AC74D3" w:rsidRDefault="00AC74D3" w:rsidP="00A54B20">
      <w:pPr>
        <w:spacing w:line="360" w:lineRule="auto"/>
        <w:ind w:right="-28"/>
        <w:contextualSpacing/>
        <w:jc w:val="both"/>
        <w:rPr>
          <w:rFonts w:ascii="Palatino Linotype" w:eastAsia="Palatino Linotype" w:hAnsi="Palatino Linotype" w:cs="Palatino Linotype"/>
          <w:color w:val="000000"/>
          <w:sz w:val="22"/>
          <w:szCs w:val="22"/>
        </w:rPr>
      </w:pPr>
    </w:p>
    <w:p w14:paraId="2B40B879" w14:textId="77777777" w:rsidR="00AC74D3" w:rsidRDefault="00AC74D3" w:rsidP="00A54B20">
      <w:pPr>
        <w:spacing w:line="360" w:lineRule="auto"/>
        <w:ind w:right="-28"/>
        <w:contextualSpacing/>
        <w:jc w:val="both"/>
        <w:rPr>
          <w:rFonts w:ascii="Palatino Linotype" w:eastAsia="Palatino Linotype" w:hAnsi="Palatino Linotype" w:cs="Palatino Linotype"/>
          <w:color w:val="000000"/>
          <w:sz w:val="22"/>
          <w:szCs w:val="22"/>
        </w:rPr>
      </w:pPr>
    </w:p>
    <w:p w14:paraId="13274918" w14:textId="77777777" w:rsidR="00AD6853" w:rsidRDefault="00AD6853" w:rsidP="00A54B20">
      <w:pPr>
        <w:spacing w:line="360" w:lineRule="auto"/>
        <w:contextualSpacing/>
        <w:jc w:val="both"/>
        <w:rPr>
          <w:rFonts w:ascii="Palatino Linotype" w:hAnsi="Palatino Linotype" w:cs="Tahoma"/>
          <w:sz w:val="22"/>
          <w:szCs w:val="22"/>
        </w:rPr>
      </w:pPr>
    </w:p>
    <w:p w14:paraId="13CAA3DB" w14:textId="289910D3"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en Metepec, Estado de México, del cinco de marzo de dos mil veintiséis.</w:t>
      </w:r>
    </w:p>
    <w:p w14:paraId="5FFCBC68" w14:textId="77777777" w:rsidR="00AC74D3" w:rsidRDefault="00AC74D3" w:rsidP="00A54B20">
      <w:pPr>
        <w:spacing w:line="360" w:lineRule="auto"/>
        <w:contextualSpacing/>
        <w:rPr>
          <w:rFonts w:ascii="Palatino Linotype" w:eastAsia="Palatino Linotype" w:hAnsi="Palatino Linotype" w:cs="Palatino Linotype"/>
          <w:sz w:val="22"/>
          <w:szCs w:val="22"/>
        </w:rPr>
      </w:pPr>
    </w:p>
    <w:p w14:paraId="7DD4D64B" w14:textId="3D752DE1"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color w:val="0D0D0D"/>
          <w:sz w:val="22"/>
          <w:szCs w:val="22"/>
        </w:rPr>
        <w:t xml:space="preserve">VISTO </w:t>
      </w:r>
      <w:r>
        <w:rPr>
          <w:rFonts w:ascii="Palatino Linotype" w:eastAsia="Palatino Linotype" w:hAnsi="Palatino Linotype" w:cs="Palatino Linotype"/>
          <w:color w:val="0D0D0D"/>
          <w:sz w:val="22"/>
          <w:szCs w:val="22"/>
        </w:rPr>
        <w:t xml:space="preserve">el expediente conformado con motivo del Recurso de Revisión </w:t>
      </w:r>
      <w:r w:rsidRPr="000411BB">
        <w:rPr>
          <w:rFonts w:ascii="Palatino Linotype" w:eastAsia="Palatino Linotype" w:hAnsi="Palatino Linotype" w:cs="Palatino Linotype"/>
          <w:b/>
          <w:bCs/>
          <w:sz w:val="22"/>
          <w:szCs w:val="22"/>
        </w:rPr>
        <w:t>013816/INFOEM/IP/RR/2025,</w:t>
      </w:r>
      <w:r w:rsidRPr="007B5C5D">
        <w:rPr>
          <w:rFonts w:ascii="Palatino Linotype" w:eastAsia="Palatino Linotype" w:hAnsi="Palatino Linotype" w:cs="Palatino Linotype"/>
          <w:bCs/>
          <w:sz w:val="22"/>
          <w:szCs w:val="22"/>
        </w:rPr>
        <w:t xml:space="preserve"> </w:t>
      </w:r>
      <w:r w:rsidRPr="007B5C5D">
        <w:rPr>
          <w:rFonts w:ascii="Palatino Linotype" w:eastAsia="Palatino Linotype" w:hAnsi="Palatino Linotype" w:cs="Palatino Linotype"/>
          <w:bCs/>
          <w:color w:val="0D0D0D"/>
          <w:sz w:val="22"/>
          <w:szCs w:val="22"/>
        </w:rPr>
        <w:t xml:space="preserve">interpuesto por </w:t>
      </w:r>
      <w:r w:rsidRPr="007B5C5D">
        <w:rPr>
          <w:rFonts w:ascii="Palatino Linotype" w:eastAsia="Palatino Linotype" w:hAnsi="Palatino Linotype" w:cs="Palatino Linotype"/>
          <w:bCs/>
          <w:sz w:val="22"/>
          <w:szCs w:val="22"/>
        </w:rPr>
        <w:t xml:space="preserve">el </w:t>
      </w:r>
      <w:r w:rsidRPr="007B5C5D">
        <w:rPr>
          <w:rFonts w:ascii="Palatino Linotype" w:eastAsia="Palatino Linotype" w:hAnsi="Palatino Linotype" w:cs="Palatino Linotype"/>
          <w:bCs/>
          <w:color w:val="0D0D0D"/>
          <w:sz w:val="22"/>
          <w:szCs w:val="22"/>
        </w:rPr>
        <w:t xml:space="preserve">Recurrente o Particular, en contra de la respuesta del Sujeto Obligado, </w:t>
      </w:r>
      <w:bookmarkStart w:id="2" w:name="_GoBack"/>
      <w:r w:rsidRPr="000411BB">
        <w:rPr>
          <w:rFonts w:ascii="Palatino Linotype" w:eastAsia="Palatino Linotype" w:hAnsi="Palatino Linotype" w:cs="Palatino Linotype"/>
          <w:b/>
          <w:bCs/>
          <w:color w:val="0D0D0D"/>
          <w:sz w:val="22"/>
          <w:szCs w:val="22"/>
        </w:rPr>
        <w:t>Ayuntamiento de Toluca</w:t>
      </w:r>
      <w:bookmarkEnd w:id="2"/>
      <w:r w:rsidRPr="007B5C5D">
        <w:rPr>
          <w:rFonts w:ascii="Palatino Linotype" w:eastAsia="Palatino Linotype" w:hAnsi="Palatino Linotype" w:cs="Palatino Linotype"/>
          <w:bCs/>
          <w:color w:val="0D0D0D"/>
          <w:sz w:val="22"/>
          <w:szCs w:val="22"/>
        </w:rPr>
        <w:t>, a</w:t>
      </w:r>
      <w:r>
        <w:rPr>
          <w:rFonts w:ascii="Palatino Linotype" w:eastAsia="Palatino Linotype" w:hAnsi="Palatino Linotype" w:cs="Palatino Linotype"/>
          <w:color w:val="0D0D0D"/>
          <w:sz w:val="22"/>
          <w:szCs w:val="22"/>
        </w:rPr>
        <w:t xml:space="preserve"> la solicitud de acceso a la información pública </w:t>
      </w:r>
      <w:r>
        <w:rPr>
          <w:rFonts w:ascii="Palatino Linotype" w:eastAsia="Palatino Linotype" w:hAnsi="Palatino Linotype" w:cs="Palatino Linotype"/>
          <w:sz w:val="22"/>
          <w:szCs w:val="22"/>
        </w:rPr>
        <w:t>06192/TOLUCA/IP/2025</w:t>
      </w:r>
      <w:r>
        <w:rPr>
          <w:rFonts w:ascii="Palatino Linotype" w:eastAsia="Palatino Linotype" w:hAnsi="Palatino Linotype" w:cs="Palatino Linotype"/>
          <w:color w:val="0D0D0D"/>
          <w:sz w:val="22"/>
          <w:szCs w:val="22"/>
        </w:rPr>
        <w:t>, se emite la presente Resolución, con base en los Antecedentes y C</w:t>
      </w:r>
      <w:r>
        <w:rPr>
          <w:rFonts w:ascii="Palatino Linotype" w:eastAsia="Palatino Linotype" w:hAnsi="Palatino Linotype" w:cs="Palatino Linotype"/>
          <w:sz w:val="22"/>
          <w:szCs w:val="22"/>
        </w:rPr>
        <w:t>onsiderandos que a continuación se exponen:</w:t>
      </w:r>
    </w:p>
    <w:p w14:paraId="692DE664"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20EC80F1" w14:textId="77777777" w:rsidR="00AC74D3" w:rsidRPr="00633419" w:rsidRDefault="00AC74D3" w:rsidP="00A54B20">
      <w:pPr>
        <w:pStyle w:val="Ttulo1"/>
        <w:spacing w:before="0" w:after="0" w:line="360" w:lineRule="auto"/>
        <w:contextualSpacing/>
        <w:jc w:val="center"/>
        <w:rPr>
          <w:rFonts w:ascii="Palatino Linotype" w:hAnsi="Palatino Linotype"/>
          <w:b/>
          <w:bCs/>
          <w:color w:val="auto"/>
          <w:sz w:val="22"/>
          <w:szCs w:val="22"/>
        </w:rPr>
      </w:pPr>
      <w:bookmarkStart w:id="3" w:name="_Toc223445517"/>
      <w:r w:rsidRPr="00633419">
        <w:rPr>
          <w:rFonts w:ascii="Palatino Linotype" w:hAnsi="Palatino Linotype"/>
          <w:b/>
          <w:bCs/>
          <w:color w:val="auto"/>
          <w:sz w:val="22"/>
          <w:szCs w:val="22"/>
        </w:rPr>
        <w:t>A N T E C E D E N T E S</w:t>
      </w:r>
      <w:bookmarkEnd w:id="3"/>
    </w:p>
    <w:p w14:paraId="2C1B65A2" w14:textId="77777777" w:rsidR="00AC74D3" w:rsidRPr="007B5C5D" w:rsidRDefault="00AC74D3" w:rsidP="00A54B20">
      <w:pPr>
        <w:spacing w:line="360" w:lineRule="auto"/>
        <w:contextualSpacing/>
        <w:rPr>
          <w:sz w:val="22"/>
          <w:szCs w:val="22"/>
        </w:rPr>
      </w:pPr>
    </w:p>
    <w:p w14:paraId="3216C7A7" w14:textId="77777777" w:rsidR="00AC74D3" w:rsidRPr="00633419" w:rsidRDefault="00AC74D3" w:rsidP="00A54B20">
      <w:pPr>
        <w:pStyle w:val="Ttulo2"/>
        <w:spacing w:before="0" w:after="0" w:line="360" w:lineRule="auto"/>
        <w:contextualSpacing/>
        <w:rPr>
          <w:rFonts w:ascii="Palatino Linotype" w:hAnsi="Palatino Linotype"/>
          <w:b/>
          <w:bCs/>
          <w:color w:val="auto"/>
          <w:sz w:val="22"/>
          <w:szCs w:val="22"/>
        </w:rPr>
      </w:pPr>
      <w:bookmarkStart w:id="4" w:name="_Toc223445518"/>
      <w:r w:rsidRPr="00633419">
        <w:rPr>
          <w:rFonts w:ascii="Palatino Linotype" w:hAnsi="Palatino Linotype"/>
          <w:b/>
          <w:bCs/>
          <w:color w:val="auto"/>
          <w:sz w:val="22"/>
          <w:szCs w:val="22"/>
        </w:rPr>
        <w:t>I. Presentación de la solicitud de información</w:t>
      </w:r>
      <w:bookmarkEnd w:id="4"/>
    </w:p>
    <w:p w14:paraId="2EF6164E" w14:textId="77777777" w:rsidR="00AC74D3" w:rsidRDefault="00AC74D3" w:rsidP="00A54B20">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rPr>
      </w:pPr>
    </w:p>
    <w:p w14:paraId="31C27080" w14:textId="2596E479" w:rsidR="00AC74D3" w:rsidRDefault="00AC74D3" w:rsidP="00A54B20">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Con fecha diez de noviembre de dos mil veinticinco, el Particular presentó una solicitud de acceso a la información pública, a través del Sistema de Acceso a la Información Mexiquense, en lo sucesivo el SAIMEX, ante el Ayuntamiento de Toluca, mediante la cual requirió lo siguiente:</w:t>
      </w:r>
    </w:p>
    <w:p w14:paraId="0B62A0E4" w14:textId="77777777" w:rsidR="00AC74D3" w:rsidRDefault="00AC74D3" w:rsidP="00A54B20">
      <w:pPr>
        <w:pBdr>
          <w:top w:val="nil"/>
          <w:left w:val="nil"/>
          <w:bottom w:val="nil"/>
          <w:right w:val="nil"/>
          <w:between w:val="nil"/>
        </w:pBdr>
        <w:tabs>
          <w:tab w:val="left" w:pos="567"/>
        </w:tabs>
        <w:spacing w:line="360" w:lineRule="auto"/>
        <w:contextualSpacing/>
        <w:jc w:val="both"/>
        <w:rPr>
          <w:rFonts w:ascii="Palatino Linotype" w:eastAsia="Palatino Linotype" w:hAnsi="Palatino Linotype" w:cs="Palatino Linotype"/>
          <w:b/>
          <w:color w:val="000000"/>
        </w:rPr>
      </w:pPr>
    </w:p>
    <w:p w14:paraId="61C2FBC1" w14:textId="77777777" w:rsidR="00AC74D3" w:rsidRDefault="00AC74D3" w:rsidP="00A54B20">
      <w:pPr>
        <w:tabs>
          <w:tab w:val="left" w:pos="4667"/>
        </w:tabs>
        <w:spacing w:line="360" w:lineRule="auto"/>
        <w:ind w:left="567" w:right="567"/>
        <w:contextualSpacing/>
        <w:jc w:val="both"/>
        <w:rPr>
          <w:rFonts w:ascii="Palatino Linotype" w:eastAsia="Palatino Linotype" w:hAnsi="Palatino Linotype" w:cs="Palatino Linotype"/>
          <w:b/>
          <w:i/>
        </w:rPr>
      </w:pPr>
      <w:r>
        <w:rPr>
          <w:rFonts w:ascii="Palatino Linotype" w:eastAsia="Palatino Linotype" w:hAnsi="Palatino Linotype" w:cs="Palatino Linotype"/>
          <w:b/>
          <w:i/>
        </w:rPr>
        <w:t>“DESCRIPCIÓN CLARA Y PRECISA DE LA INFORMACIÓN SOLICITADA</w:t>
      </w:r>
    </w:p>
    <w:p w14:paraId="10410C68" w14:textId="7DB01640" w:rsidR="00AC74D3" w:rsidRPr="00CA747C" w:rsidRDefault="00AC74D3" w:rsidP="00A54B20">
      <w:pPr>
        <w:spacing w:line="360" w:lineRule="auto"/>
        <w:ind w:left="567" w:right="567"/>
        <w:contextualSpacing/>
        <w:jc w:val="both"/>
        <w:rPr>
          <w:rFonts w:ascii="Palatino Linotype" w:eastAsia="Palatino Linotype" w:hAnsi="Palatino Linotype" w:cs="Palatino Linotype"/>
          <w:i/>
        </w:rPr>
      </w:pPr>
      <w:r w:rsidRPr="00AC74D3">
        <w:rPr>
          <w:rFonts w:ascii="Palatino Linotype" w:eastAsia="Palatino Linotype" w:hAnsi="Palatino Linotype" w:cs="Palatino Linotype"/>
          <w:i/>
        </w:rPr>
        <w:t>De conformidad con la transparencia se solicita toda la petición ciudadana recibidas en su ayuntamiento que estén dirigidas al sexto regidor municipal y la respuesta de cada petición o solicitud con sus anexos todo del primero de enero a la fecha</w:t>
      </w:r>
      <w:r>
        <w:rPr>
          <w:rFonts w:ascii="Palatino Linotype" w:eastAsia="Palatino Linotype" w:hAnsi="Palatino Linotype" w:cs="Palatino Linotype"/>
          <w:i/>
        </w:rPr>
        <w:t>.” (Sic).</w:t>
      </w:r>
    </w:p>
    <w:p w14:paraId="2A85BDD6" w14:textId="77777777" w:rsidR="00AC74D3" w:rsidRDefault="00AC74D3" w:rsidP="00A54B20">
      <w:pPr>
        <w:pBdr>
          <w:top w:val="nil"/>
          <w:left w:val="nil"/>
          <w:bottom w:val="nil"/>
          <w:right w:val="nil"/>
          <w:between w:val="nil"/>
        </w:pBdr>
        <w:tabs>
          <w:tab w:val="left" w:pos="567"/>
        </w:tabs>
        <w:spacing w:line="360" w:lineRule="auto"/>
        <w:ind w:right="567"/>
        <w:contextualSpacing/>
        <w:jc w:val="both"/>
        <w:rPr>
          <w:rFonts w:ascii="Palatino Linotype" w:eastAsia="Palatino Linotype" w:hAnsi="Palatino Linotype" w:cs="Palatino Linotype"/>
          <w:b/>
          <w:i/>
          <w:color w:val="000000"/>
        </w:rPr>
      </w:pPr>
    </w:p>
    <w:p w14:paraId="67D07C3A" w14:textId="77777777" w:rsidR="00AC74D3" w:rsidRDefault="00AC74D3" w:rsidP="00A54B20">
      <w:pPr>
        <w:tabs>
          <w:tab w:val="left" w:pos="4667"/>
        </w:tabs>
        <w:spacing w:line="360" w:lineRule="auto"/>
        <w:ind w:left="567" w:right="567"/>
        <w:contextualSpacing/>
        <w:jc w:val="both"/>
        <w:rPr>
          <w:rFonts w:ascii="Palatino Linotype" w:eastAsia="Palatino Linotype" w:hAnsi="Palatino Linotype" w:cs="Palatino Linotype"/>
          <w:i/>
        </w:rPr>
      </w:pPr>
      <w:r>
        <w:rPr>
          <w:rFonts w:ascii="Palatino Linotype" w:eastAsia="Palatino Linotype" w:hAnsi="Palatino Linotype" w:cs="Palatino Linotype"/>
          <w:b/>
          <w:i/>
        </w:rPr>
        <w:t xml:space="preserve">Modalidad de Entrega: </w:t>
      </w:r>
      <w:r>
        <w:rPr>
          <w:rFonts w:ascii="Palatino Linotype" w:eastAsia="Palatino Linotype" w:hAnsi="Palatino Linotype" w:cs="Palatino Linotype"/>
          <w:i/>
        </w:rPr>
        <w:t>A través de SAIMEX.</w:t>
      </w:r>
    </w:p>
    <w:p w14:paraId="443AB3D5" w14:textId="77777777" w:rsidR="00AC74D3" w:rsidRDefault="00AC74D3" w:rsidP="00A54B20">
      <w:pPr>
        <w:spacing w:line="360" w:lineRule="auto"/>
        <w:contextualSpacing/>
      </w:pPr>
      <w:bookmarkStart w:id="5" w:name="_Hlk216887448"/>
    </w:p>
    <w:p w14:paraId="1B11C866" w14:textId="77777777" w:rsidR="00AC74D3" w:rsidRPr="00633419" w:rsidRDefault="00AC74D3" w:rsidP="00A54B20">
      <w:pPr>
        <w:pStyle w:val="Ttulo2"/>
        <w:spacing w:before="0" w:after="0" w:line="360" w:lineRule="auto"/>
        <w:contextualSpacing/>
        <w:rPr>
          <w:rFonts w:ascii="Palatino Linotype" w:eastAsia="Palatino Linotype" w:hAnsi="Palatino Linotype"/>
          <w:b/>
          <w:bCs/>
          <w:color w:val="auto"/>
          <w:sz w:val="22"/>
          <w:szCs w:val="22"/>
        </w:rPr>
      </w:pPr>
      <w:bookmarkStart w:id="6" w:name="_heading=h.270ugglvhyo" w:colFirst="0" w:colLast="0"/>
      <w:bookmarkStart w:id="7" w:name="_Toc223445519"/>
      <w:bookmarkEnd w:id="6"/>
      <w:r w:rsidRPr="00633419">
        <w:rPr>
          <w:rFonts w:ascii="Palatino Linotype" w:eastAsia="Palatino Linotype" w:hAnsi="Palatino Linotype"/>
          <w:b/>
          <w:bCs/>
          <w:color w:val="auto"/>
          <w:sz w:val="22"/>
          <w:szCs w:val="22"/>
        </w:rPr>
        <w:lastRenderedPageBreak/>
        <w:t>II. Respuesta del Sujeto Obligado</w:t>
      </w:r>
      <w:bookmarkEnd w:id="7"/>
    </w:p>
    <w:p w14:paraId="1441B89D" w14:textId="77777777" w:rsidR="00AC74D3" w:rsidRDefault="00AC74D3" w:rsidP="00A54B20">
      <w:pPr>
        <w:tabs>
          <w:tab w:val="left" w:pos="4667"/>
        </w:tabs>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w:t>
      </w:r>
    </w:p>
    <w:p w14:paraId="53C815FE" w14:textId="7C41DD53" w:rsidR="00AC74D3" w:rsidRPr="004C5EC4" w:rsidRDefault="00AC74D3" w:rsidP="00A54B20">
      <w:pPr>
        <w:tabs>
          <w:tab w:val="left" w:pos="4667"/>
        </w:tabs>
        <w:spacing w:line="360" w:lineRule="auto"/>
        <w:contextualSpacing/>
        <w:jc w:val="both"/>
        <w:rPr>
          <w:rFonts w:ascii="Palatino Linotype" w:eastAsia="Palatino Linotype" w:hAnsi="Palatino Linotype" w:cs="Palatino Linotype"/>
          <w:i/>
          <w:iCs/>
        </w:rPr>
      </w:pPr>
      <w:r w:rsidRPr="00CA747C">
        <w:rPr>
          <w:rFonts w:ascii="Palatino Linotype" w:eastAsia="Palatino Linotype" w:hAnsi="Palatino Linotype" w:cs="Palatino Linotype"/>
          <w:sz w:val="22"/>
          <w:szCs w:val="22"/>
        </w:rPr>
        <w:t xml:space="preserve">Con fecha </w:t>
      </w:r>
      <w:r>
        <w:rPr>
          <w:rFonts w:ascii="Palatino Linotype" w:eastAsia="Palatino Linotype" w:hAnsi="Palatino Linotype" w:cs="Palatino Linotype"/>
          <w:sz w:val="22"/>
          <w:szCs w:val="22"/>
        </w:rPr>
        <w:t xml:space="preserve">dos de diciembre </w:t>
      </w:r>
      <w:r w:rsidRPr="00CA747C">
        <w:rPr>
          <w:rFonts w:ascii="Palatino Linotype" w:eastAsia="Palatino Linotype" w:hAnsi="Palatino Linotype" w:cs="Palatino Linotype"/>
          <w:sz w:val="22"/>
          <w:szCs w:val="22"/>
        </w:rPr>
        <w:t>de dos mil veinticinco, el Sujeto Obligado dio respuesta a la solicitud de acceso a la información a través del Sistema de Acceso a la Información Mexiquense (SAIMEX),</w:t>
      </w:r>
      <w:r>
        <w:rPr>
          <w:rFonts w:ascii="Palatino Linotype" w:eastAsia="Palatino Linotype" w:hAnsi="Palatino Linotype" w:cs="Palatino Linotype"/>
          <w:sz w:val="22"/>
          <w:szCs w:val="22"/>
        </w:rPr>
        <w:t xml:space="preserve"> </w:t>
      </w:r>
      <w:r w:rsidRPr="00CA747C">
        <w:rPr>
          <w:rFonts w:ascii="Palatino Linotype" w:eastAsia="Palatino Linotype" w:hAnsi="Palatino Linotype" w:cs="Palatino Linotype"/>
          <w:sz w:val="22"/>
          <w:szCs w:val="22"/>
        </w:rPr>
        <w:t>mediante</w:t>
      </w:r>
      <w:r>
        <w:rPr>
          <w:rFonts w:ascii="Palatino Linotype" w:eastAsia="Palatino Linotype" w:hAnsi="Palatino Linotype" w:cs="Palatino Linotype"/>
          <w:sz w:val="22"/>
          <w:szCs w:val="22"/>
        </w:rPr>
        <w:t xml:space="preserve"> la digitalización de </w:t>
      </w:r>
      <w:bookmarkEnd w:id="5"/>
      <w:r>
        <w:rPr>
          <w:rFonts w:ascii="Palatino Linotype" w:eastAsia="Palatino Linotype" w:hAnsi="Palatino Linotype" w:cs="Palatino Linotype"/>
          <w:sz w:val="22"/>
          <w:szCs w:val="22"/>
        </w:rPr>
        <w:t xml:space="preserve">diversos oficios de petición y respuestas generadas por la </w:t>
      </w:r>
      <w:r w:rsidR="0099496E">
        <w:rPr>
          <w:rFonts w:ascii="Palatino Linotype" w:eastAsia="Palatino Linotype" w:hAnsi="Palatino Linotype" w:cs="Palatino Linotype"/>
          <w:sz w:val="22"/>
          <w:szCs w:val="22"/>
        </w:rPr>
        <w:t>S</w:t>
      </w:r>
      <w:r>
        <w:rPr>
          <w:rFonts w:ascii="Palatino Linotype" w:eastAsia="Palatino Linotype" w:hAnsi="Palatino Linotype" w:cs="Palatino Linotype"/>
          <w:sz w:val="22"/>
          <w:szCs w:val="22"/>
        </w:rPr>
        <w:t xml:space="preserve">exta </w:t>
      </w:r>
      <w:r w:rsidR="0099496E">
        <w:rPr>
          <w:rFonts w:ascii="Palatino Linotype" w:eastAsia="Palatino Linotype" w:hAnsi="Palatino Linotype" w:cs="Palatino Linotype"/>
          <w:sz w:val="22"/>
          <w:szCs w:val="22"/>
        </w:rPr>
        <w:t>R</w:t>
      </w:r>
      <w:r>
        <w:rPr>
          <w:rFonts w:ascii="Palatino Linotype" w:eastAsia="Palatino Linotype" w:hAnsi="Palatino Linotype" w:cs="Palatino Linotype"/>
          <w:sz w:val="22"/>
          <w:szCs w:val="22"/>
        </w:rPr>
        <w:t>egiduría municipal.</w:t>
      </w:r>
    </w:p>
    <w:p w14:paraId="3E009FB8" w14:textId="77777777" w:rsidR="00AC74D3" w:rsidRPr="00AB032E" w:rsidRDefault="00AC74D3" w:rsidP="00A54B20">
      <w:pPr>
        <w:tabs>
          <w:tab w:val="left" w:pos="4667"/>
        </w:tabs>
        <w:spacing w:line="360" w:lineRule="auto"/>
        <w:contextualSpacing/>
        <w:jc w:val="both"/>
        <w:rPr>
          <w:rFonts w:ascii="Palatino Linotype" w:eastAsia="Palatino Linotype" w:hAnsi="Palatino Linotype" w:cs="Palatino Linotype"/>
          <w:sz w:val="22"/>
          <w:szCs w:val="22"/>
        </w:rPr>
      </w:pPr>
    </w:p>
    <w:p w14:paraId="38FC25A5" w14:textId="77777777" w:rsidR="00AC74D3" w:rsidRPr="00633419" w:rsidRDefault="00AC74D3" w:rsidP="00A54B20">
      <w:pPr>
        <w:pStyle w:val="Ttulo2"/>
        <w:spacing w:before="0" w:after="0" w:line="360" w:lineRule="auto"/>
        <w:contextualSpacing/>
        <w:rPr>
          <w:rFonts w:ascii="Palatino Linotype" w:hAnsi="Palatino Linotype"/>
          <w:b/>
          <w:bCs/>
          <w:color w:val="auto"/>
          <w:sz w:val="22"/>
          <w:szCs w:val="22"/>
        </w:rPr>
      </w:pPr>
      <w:bookmarkStart w:id="8" w:name="_Toc223445520"/>
      <w:r w:rsidRPr="00633419">
        <w:rPr>
          <w:rFonts w:ascii="Palatino Linotype" w:hAnsi="Palatino Linotype"/>
          <w:b/>
          <w:bCs/>
          <w:color w:val="auto"/>
          <w:sz w:val="22"/>
          <w:szCs w:val="22"/>
        </w:rPr>
        <w:t>III. Interposición del Recurso de Revisión</w:t>
      </w:r>
      <w:bookmarkEnd w:id="8"/>
    </w:p>
    <w:p w14:paraId="3C3CEF94"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08BFC2EE" w14:textId="350C123C"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Con fecha cinco de diciembre de dos mil veinticinco, se recibió en este Instituto, a través del SAIMEX, el Recurso de Revisión interpuesto por la parte Recurrente, en contra de la respuesta del Ayuntamiento de Toluca,</w:t>
      </w:r>
      <w:r>
        <w:rPr>
          <w:rFonts w:ascii="Palatino Linotype" w:eastAsia="Palatino Linotype" w:hAnsi="Palatino Linotype" w:cs="Palatino Linotype"/>
          <w:b/>
          <w:bCs/>
          <w:sz w:val="22"/>
          <w:szCs w:val="22"/>
        </w:rPr>
        <w:t xml:space="preserve"> </w:t>
      </w:r>
      <w:r>
        <w:rPr>
          <w:rFonts w:ascii="Palatino Linotype" w:eastAsia="Palatino Linotype" w:hAnsi="Palatino Linotype" w:cs="Palatino Linotype"/>
          <w:sz w:val="22"/>
          <w:szCs w:val="22"/>
        </w:rPr>
        <w:t>en los siguientes términos:</w:t>
      </w:r>
    </w:p>
    <w:p w14:paraId="3FA5E6D9"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5A95EA1F" w14:textId="77777777" w:rsidR="00AC74D3" w:rsidRPr="004C5EC4" w:rsidRDefault="00AC74D3" w:rsidP="00A54B20">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b/>
          <w:i/>
        </w:rPr>
        <w:t>ACTO IMPUGNADO</w:t>
      </w:r>
    </w:p>
    <w:p w14:paraId="4443988E" w14:textId="729FCCA4" w:rsidR="00AC74D3" w:rsidRPr="00237141" w:rsidRDefault="00AC74D3" w:rsidP="00A54B20">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rPr>
        <w:t>“</w:t>
      </w:r>
      <w:r w:rsidRPr="00AC74D3">
        <w:rPr>
          <w:rFonts w:ascii="Palatino Linotype" w:hAnsi="Palatino Linotype"/>
          <w:i/>
        </w:rPr>
        <w:t>No entrego la información solicitada son opacos</w:t>
      </w:r>
      <w:r w:rsidRPr="004C5EC4">
        <w:rPr>
          <w:rFonts w:ascii="Palatino Linotype" w:eastAsia="Palatino Linotype" w:hAnsi="Palatino Linotype" w:cs="Palatino Linotype"/>
          <w:i/>
          <w:color w:val="000000"/>
        </w:rPr>
        <w:t>.</w:t>
      </w:r>
      <w:r w:rsidRPr="004C5EC4">
        <w:rPr>
          <w:rFonts w:ascii="Palatino Linotype" w:eastAsia="Palatino Linotype" w:hAnsi="Palatino Linotype" w:cs="Palatino Linotype"/>
          <w:i/>
        </w:rPr>
        <w:t>” (Sic)</w:t>
      </w:r>
    </w:p>
    <w:p w14:paraId="70404BA3" w14:textId="77777777" w:rsidR="00AC74D3" w:rsidRPr="004C5EC4" w:rsidRDefault="00AC74D3" w:rsidP="00A54B20">
      <w:pPr>
        <w:spacing w:line="360" w:lineRule="auto"/>
        <w:ind w:left="567" w:right="567"/>
        <w:contextualSpacing/>
        <w:jc w:val="both"/>
        <w:rPr>
          <w:rFonts w:ascii="Palatino Linotype" w:eastAsia="Palatino Linotype" w:hAnsi="Palatino Linotype" w:cs="Palatino Linotype"/>
          <w:i/>
        </w:rPr>
      </w:pPr>
    </w:p>
    <w:p w14:paraId="6DA29410" w14:textId="77777777" w:rsidR="00AC74D3" w:rsidRPr="004C5EC4" w:rsidRDefault="00AC74D3" w:rsidP="00A54B20">
      <w:pPr>
        <w:spacing w:line="360" w:lineRule="auto"/>
        <w:ind w:left="567" w:right="567"/>
        <w:contextualSpacing/>
        <w:jc w:val="both"/>
        <w:rPr>
          <w:rFonts w:ascii="Palatino Linotype" w:eastAsia="Palatino Linotype" w:hAnsi="Palatino Linotype" w:cs="Palatino Linotype"/>
          <w:b/>
          <w:i/>
        </w:rPr>
      </w:pPr>
      <w:r w:rsidRPr="004C5EC4">
        <w:rPr>
          <w:rFonts w:ascii="Palatino Linotype" w:eastAsia="Palatino Linotype" w:hAnsi="Palatino Linotype" w:cs="Palatino Linotype"/>
          <w:b/>
          <w:i/>
        </w:rPr>
        <w:t>RAZONES O MOTIVOS DE LA INCONFORMIDAD</w:t>
      </w:r>
    </w:p>
    <w:p w14:paraId="111720BA" w14:textId="777A9627" w:rsidR="00AC74D3" w:rsidRDefault="00AC74D3" w:rsidP="00A54B20">
      <w:pPr>
        <w:spacing w:line="360" w:lineRule="auto"/>
        <w:ind w:left="567" w:right="567"/>
        <w:contextualSpacing/>
        <w:jc w:val="both"/>
        <w:rPr>
          <w:rFonts w:ascii="Palatino Linotype" w:eastAsia="Palatino Linotype" w:hAnsi="Palatino Linotype" w:cs="Palatino Linotype"/>
          <w:i/>
        </w:rPr>
      </w:pPr>
      <w:r w:rsidRPr="004C5EC4">
        <w:rPr>
          <w:rFonts w:ascii="Palatino Linotype" w:eastAsia="Palatino Linotype" w:hAnsi="Palatino Linotype" w:cs="Palatino Linotype"/>
          <w:i/>
          <w:color w:val="000000"/>
        </w:rPr>
        <w:t>“</w:t>
      </w:r>
      <w:r w:rsidRPr="00AC74D3">
        <w:rPr>
          <w:rFonts w:ascii="Palatino Linotype" w:eastAsia="Palatino Linotype" w:hAnsi="Palatino Linotype" w:cs="Palatino Linotype"/>
          <w:i/>
          <w:color w:val="000000"/>
        </w:rPr>
        <w:t>No entrego la información solicitada son opacos</w:t>
      </w:r>
      <w:r w:rsidRPr="004C5EC4">
        <w:rPr>
          <w:rFonts w:ascii="Palatino Linotype" w:eastAsia="Palatino Linotype" w:hAnsi="Palatino Linotype" w:cs="Palatino Linotype"/>
          <w:i/>
          <w:color w:val="000000"/>
        </w:rPr>
        <w:t>.</w:t>
      </w:r>
      <w:r>
        <w:rPr>
          <w:rFonts w:ascii="Palatino Linotype" w:eastAsia="Palatino Linotype" w:hAnsi="Palatino Linotype" w:cs="Palatino Linotype"/>
          <w:i/>
        </w:rPr>
        <w:t>” (Sic)</w:t>
      </w:r>
    </w:p>
    <w:p w14:paraId="3F4F3D3D" w14:textId="77777777" w:rsidR="00AC74D3" w:rsidRDefault="00AC74D3" w:rsidP="00A54B20">
      <w:pPr>
        <w:spacing w:line="360" w:lineRule="auto"/>
        <w:ind w:left="567" w:right="567"/>
        <w:contextualSpacing/>
        <w:jc w:val="both"/>
        <w:rPr>
          <w:rFonts w:ascii="Palatino Linotype" w:eastAsia="Palatino Linotype" w:hAnsi="Palatino Linotype" w:cs="Palatino Linotype"/>
          <w:i/>
        </w:rPr>
      </w:pPr>
    </w:p>
    <w:p w14:paraId="5DED1371" w14:textId="77777777" w:rsidR="00AC74D3" w:rsidRPr="00633419" w:rsidRDefault="00AC74D3" w:rsidP="00A54B20">
      <w:pPr>
        <w:pStyle w:val="Ttulo2"/>
        <w:spacing w:before="0" w:after="0" w:line="360" w:lineRule="auto"/>
        <w:contextualSpacing/>
        <w:rPr>
          <w:rFonts w:ascii="Palatino Linotype" w:hAnsi="Palatino Linotype"/>
          <w:b/>
          <w:bCs/>
          <w:color w:val="auto"/>
          <w:sz w:val="22"/>
          <w:szCs w:val="22"/>
        </w:rPr>
      </w:pPr>
      <w:bookmarkStart w:id="9" w:name="_Toc223445521"/>
      <w:r w:rsidRPr="00633419">
        <w:rPr>
          <w:rFonts w:ascii="Palatino Linotype" w:hAnsi="Palatino Linotype"/>
          <w:b/>
          <w:bCs/>
          <w:color w:val="auto"/>
          <w:sz w:val="22"/>
          <w:szCs w:val="22"/>
        </w:rPr>
        <w:t>IV. Trámite del Recurso de Revisión ante este Instituto</w:t>
      </w:r>
      <w:bookmarkEnd w:id="9"/>
    </w:p>
    <w:p w14:paraId="6B0FBE6C"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56093669" w14:textId="48684BC3"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a) Turno del Recurso de Revisión. </w:t>
      </w:r>
      <w:r>
        <w:rPr>
          <w:rFonts w:ascii="Palatino Linotype" w:eastAsia="Palatino Linotype" w:hAnsi="Palatino Linotype" w:cs="Palatino Linotype"/>
          <w:sz w:val="22"/>
          <w:szCs w:val="22"/>
        </w:rPr>
        <w:t xml:space="preserve">El cinco de diciembre de dos mil veinticinco, el SAIMEX, asignó el número de expediente </w:t>
      </w:r>
      <w:r>
        <w:rPr>
          <w:rFonts w:ascii="Palatino Linotype" w:eastAsia="Palatino Linotype" w:hAnsi="Palatino Linotype" w:cs="Palatino Linotype"/>
          <w:b/>
          <w:sz w:val="22"/>
          <w:szCs w:val="22"/>
        </w:rPr>
        <w:t>013816/INFOEM/IP/RR/2025</w:t>
      </w:r>
      <w:r>
        <w:rPr>
          <w:rFonts w:ascii="Palatino Linotype" w:eastAsia="Palatino Linotype" w:hAnsi="Palatino Linotype" w:cs="Palatino Linotype"/>
          <w:sz w:val="22"/>
          <w:szCs w:val="22"/>
        </w:rPr>
        <w:t xml:space="preserve"> al medio de impugnación que nos ocupa, con base en el sistema aprobado por el Pleno de este Organismo Garante y lo turnó al Comisionado </w:t>
      </w:r>
      <w:r>
        <w:rPr>
          <w:rFonts w:ascii="Palatino Linotype" w:eastAsia="Palatino Linotype" w:hAnsi="Palatino Linotype" w:cs="Palatino Linotype"/>
          <w:b/>
          <w:sz w:val="22"/>
          <w:szCs w:val="22"/>
        </w:rPr>
        <w:t>Luis Gustavo Parra Noriega</w:t>
      </w:r>
      <w:r>
        <w:rPr>
          <w:rFonts w:ascii="Palatino Linotype" w:eastAsia="Palatino Linotype" w:hAnsi="Palatino Linotype" w:cs="Palatino Linotype"/>
          <w:sz w:val="22"/>
          <w:szCs w:val="22"/>
        </w:rPr>
        <w:t>, para los efectos del artículo 185, fracción I, de la Ley de Transparencia y Acceso a la Información Pública del Estado de México y Municipios.</w:t>
      </w:r>
    </w:p>
    <w:p w14:paraId="3A7939AE"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57A69264" w14:textId="1AEB7F91"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b) Admisión del Recurso de Revisión. </w:t>
      </w:r>
      <w:r>
        <w:rPr>
          <w:rFonts w:ascii="Palatino Linotype" w:eastAsia="Palatino Linotype" w:hAnsi="Palatino Linotype" w:cs="Palatino Linotype"/>
          <w:sz w:val="22"/>
          <w:szCs w:val="22"/>
        </w:rPr>
        <w:t>El diez de diciembre de dos mil veinticinco,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0418AC03"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2C4AD96D" w14:textId="0BFA2749"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 xml:space="preserve">c) Informe Justificado. </w:t>
      </w:r>
      <w:r>
        <w:rPr>
          <w:rFonts w:ascii="Palatino Linotype" w:eastAsia="Palatino Linotype" w:hAnsi="Palatino Linotype" w:cs="Palatino Linotype"/>
          <w:sz w:val="22"/>
          <w:szCs w:val="22"/>
        </w:rPr>
        <w:t xml:space="preserve">El </w:t>
      </w:r>
      <w:r w:rsidR="0069657D">
        <w:rPr>
          <w:rFonts w:ascii="Palatino Linotype" w:eastAsia="Palatino Linotype" w:hAnsi="Palatino Linotype" w:cs="Palatino Linotype"/>
          <w:sz w:val="22"/>
          <w:szCs w:val="22"/>
        </w:rPr>
        <w:t xml:space="preserve">quince y diecinueve de diciembre </w:t>
      </w:r>
      <w:r>
        <w:rPr>
          <w:rFonts w:ascii="Palatino Linotype" w:eastAsia="Palatino Linotype" w:hAnsi="Palatino Linotype" w:cs="Palatino Linotype"/>
          <w:sz w:val="22"/>
          <w:szCs w:val="22"/>
        </w:rPr>
        <w:t>de dos mil veinti</w:t>
      </w:r>
      <w:r w:rsidR="0069657D">
        <w:rPr>
          <w:rFonts w:ascii="Palatino Linotype" w:eastAsia="Palatino Linotype" w:hAnsi="Palatino Linotype" w:cs="Palatino Linotype"/>
          <w:sz w:val="22"/>
          <w:szCs w:val="22"/>
        </w:rPr>
        <w:t>cinco</w:t>
      </w:r>
      <w:r>
        <w:rPr>
          <w:rFonts w:ascii="Palatino Linotype" w:eastAsia="Palatino Linotype" w:hAnsi="Palatino Linotype" w:cs="Palatino Linotype"/>
          <w:sz w:val="22"/>
          <w:szCs w:val="22"/>
        </w:rPr>
        <w:t>, se recibió, a través del SAIMEX, el informe justificado</w:t>
      </w:r>
      <w:r>
        <w:rPr>
          <w:rFonts w:ascii="Palatino Linotype" w:eastAsia="Palatino Linotype" w:hAnsi="Palatino Linotype" w:cs="Palatino Linotype"/>
          <w:color w:val="0D0D0D"/>
          <w:sz w:val="22"/>
          <w:szCs w:val="22"/>
        </w:rPr>
        <w:t xml:space="preserve"> </w:t>
      </w:r>
      <w:r>
        <w:rPr>
          <w:rFonts w:ascii="Palatino Linotype" w:eastAsia="Palatino Linotype" w:hAnsi="Palatino Linotype" w:cs="Palatino Linotype"/>
          <w:sz w:val="22"/>
          <w:szCs w:val="22"/>
        </w:rPr>
        <w:t>por medio de la digitalización de los documentos siguientes:</w:t>
      </w:r>
    </w:p>
    <w:p w14:paraId="4E83EEEF"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3672137A" w14:textId="3EDF0AF9" w:rsidR="00AC74D3" w:rsidRPr="00A81850" w:rsidRDefault="00AC74D3" w:rsidP="00A54B20">
      <w:pPr>
        <w:spacing w:line="360" w:lineRule="auto"/>
        <w:contextualSpacing/>
        <w:jc w:val="both"/>
        <w:rPr>
          <w:rFonts w:ascii="Palatino Linotype" w:eastAsia="Palatino Linotype" w:hAnsi="Palatino Linotype" w:cs="Palatino Linotype"/>
          <w:b/>
          <w:bCs/>
          <w:sz w:val="22"/>
          <w:szCs w:val="22"/>
        </w:rPr>
      </w:pPr>
      <w:r w:rsidRPr="00F3590C">
        <w:rPr>
          <w:rFonts w:ascii="Palatino Linotype" w:eastAsia="Palatino Linotype" w:hAnsi="Palatino Linotype" w:cs="Palatino Linotype"/>
          <w:sz w:val="22"/>
          <w:szCs w:val="22"/>
        </w:rPr>
        <w:t>i)</w:t>
      </w:r>
      <w:r>
        <w:rPr>
          <w:rFonts w:ascii="Palatino Linotype" w:eastAsia="Palatino Linotype" w:hAnsi="Palatino Linotype" w:cs="Palatino Linotype"/>
          <w:sz w:val="22"/>
          <w:szCs w:val="22"/>
        </w:rPr>
        <w:t xml:space="preserve"> </w:t>
      </w:r>
      <w:r w:rsidR="0069657D">
        <w:rPr>
          <w:rFonts w:ascii="Palatino Linotype" w:eastAsia="Palatino Linotype" w:hAnsi="Palatino Linotype" w:cs="Palatino Linotype"/>
          <w:sz w:val="22"/>
          <w:szCs w:val="22"/>
        </w:rPr>
        <w:t xml:space="preserve">Se proporcionaron los oficios de petición y respuestas generadas por la </w:t>
      </w:r>
      <w:r w:rsidR="0099496E">
        <w:rPr>
          <w:rFonts w:ascii="Palatino Linotype" w:eastAsia="Palatino Linotype" w:hAnsi="Palatino Linotype" w:cs="Palatino Linotype"/>
          <w:sz w:val="22"/>
          <w:szCs w:val="22"/>
        </w:rPr>
        <w:t>S</w:t>
      </w:r>
      <w:r w:rsidR="0069657D">
        <w:rPr>
          <w:rFonts w:ascii="Palatino Linotype" w:eastAsia="Palatino Linotype" w:hAnsi="Palatino Linotype" w:cs="Palatino Linotype"/>
          <w:sz w:val="22"/>
          <w:szCs w:val="22"/>
        </w:rPr>
        <w:t xml:space="preserve">exta </w:t>
      </w:r>
      <w:r w:rsidR="0099496E">
        <w:rPr>
          <w:rFonts w:ascii="Palatino Linotype" w:eastAsia="Palatino Linotype" w:hAnsi="Palatino Linotype" w:cs="Palatino Linotype"/>
          <w:sz w:val="22"/>
          <w:szCs w:val="22"/>
        </w:rPr>
        <w:t>R</w:t>
      </w:r>
      <w:r w:rsidR="0069657D">
        <w:rPr>
          <w:rFonts w:ascii="Palatino Linotype" w:eastAsia="Palatino Linotype" w:hAnsi="Palatino Linotype" w:cs="Palatino Linotype"/>
          <w:sz w:val="22"/>
          <w:szCs w:val="22"/>
        </w:rPr>
        <w:t>egiduría remitidos en respuesta y adicionaron diversos documentos relacionados</w:t>
      </w:r>
      <w:r w:rsidRPr="00F3590C">
        <w:rPr>
          <w:rFonts w:ascii="Palatino Linotype" w:eastAsia="Palatino Linotype" w:hAnsi="Palatino Linotype" w:cs="Palatino Linotype"/>
          <w:sz w:val="22"/>
          <w:szCs w:val="22"/>
        </w:rPr>
        <w:t>.</w:t>
      </w:r>
      <w:r w:rsidR="00A81850">
        <w:rPr>
          <w:rFonts w:ascii="Palatino Linotype" w:eastAsia="Palatino Linotype" w:hAnsi="Palatino Linotype" w:cs="Palatino Linotype"/>
          <w:sz w:val="22"/>
          <w:szCs w:val="22"/>
        </w:rPr>
        <w:t xml:space="preserve"> </w:t>
      </w:r>
      <w:r w:rsidR="00A81850">
        <w:rPr>
          <w:rFonts w:ascii="Palatino Linotype" w:eastAsia="Palatino Linotype" w:hAnsi="Palatino Linotype" w:cs="Palatino Linotype"/>
          <w:b/>
          <w:bCs/>
          <w:sz w:val="22"/>
          <w:szCs w:val="22"/>
        </w:rPr>
        <w:t>Cabe señalar que no fue puesto a la vista del Particular, al contener un correo electrónico particular.</w:t>
      </w:r>
    </w:p>
    <w:p w14:paraId="51620231" w14:textId="77777777" w:rsidR="00AC74D3" w:rsidRDefault="00AC74D3" w:rsidP="00A54B20">
      <w:pPr>
        <w:tabs>
          <w:tab w:val="left" w:pos="4667"/>
        </w:tabs>
        <w:spacing w:line="360" w:lineRule="auto"/>
        <w:contextualSpacing/>
        <w:jc w:val="both"/>
        <w:rPr>
          <w:rFonts w:ascii="Palatino Linotype" w:eastAsia="Palatino Linotype" w:hAnsi="Palatino Linotype" w:cs="Palatino Linotype"/>
          <w:sz w:val="22"/>
          <w:szCs w:val="22"/>
        </w:rPr>
      </w:pPr>
    </w:p>
    <w:p w14:paraId="37FAE798" w14:textId="57F0BB4B" w:rsidR="00AC74D3" w:rsidRDefault="00AC74D3" w:rsidP="00A54B20">
      <w:pPr>
        <w:tabs>
          <w:tab w:val="left" w:pos="4667"/>
        </w:tabs>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ii) </w:t>
      </w:r>
      <w:r w:rsidRPr="00F3590C">
        <w:rPr>
          <w:rFonts w:ascii="Palatino Linotype" w:eastAsia="Palatino Linotype" w:hAnsi="Palatino Linotype" w:cs="Palatino Linotype"/>
          <w:sz w:val="22"/>
          <w:szCs w:val="22"/>
        </w:rPr>
        <w:t xml:space="preserve">Oficio número </w:t>
      </w:r>
      <w:r w:rsidR="0069657D" w:rsidRPr="0069657D">
        <w:rPr>
          <w:rFonts w:ascii="Palatino Linotype" w:eastAsia="Palatino Linotype" w:hAnsi="Palatino Linotype" w:cs="Palatino Linotype"/>
          <w:sz w:val="22"/>
          <w:szCs w:val="22"/>
        </w:rPr>
        <w:t>106/0513/2025</w:t>
      </w:r>
      <w:r w:rsidRPr="00F3590C">
        <w:rPr>
          <w:rFonts w:ascii="Palatino Linotype" w:eastAsia="Palatino Linotype" w:hAnsi="Palatino Linotype" w:cs="Palatino Linotype"/>
          <w:sz w:val="22"/>
          <w:szCs w:val="22"/>
        </w:rPr>
        <w:t xml:space="preserve">, del </w:t>
      </w:r>
      <w:r w:rsidR="0069657D">
        <w:rPr>
          <w:rFonts w:ascii="Palatino Linotype" w:eastAsia="Palatino Linotype" w:hAnsi="Palatino Linotype" w:cs="Palatino Linotype"/>
          <w:sz w:val="22"/>
          <w:szCs w:val="22"/>
        </w:rPr>
        <w:t xml:space="preserve">quince de diciembre </w:t>
      </w:r>
      <w:r w:rsidRPr="00F3590C">
        <w:rPr>
          <w:rFonts w:ascii="Palatino Linotype" w:eastAsia="Palatino Linotype" w:hAnsi="Palatino Linotype" w:cs="Palatino Linotype"/>
          <w:sz w:val="22"/>
          <w:szCs w:val="22"/>
        </w:rPr>
        <w:t>de dos mil veinti</w:t>
      </w:r>
      <w:r w:rsidR="0069657D">
        <w:rPr>
          <w:rFonts w:ascii="Palatino Linotype" w:eastAsia="Palatino Linotype" w:hAnsi="Palatino Linotype" w:cs="Palatino Linotype"/>
          <w:sz w:val="22"/>
          <w:szCs w:val="22"/>
        </w:rPr>
        <w:t>cinco</w:t>
      </w:r>
      <w:r w:rsidRPr="00F3590C">
        <w:rPr>
          <w:rFonts w:ascii="Palatino Linotype" w:eastAsia="Palatino Linotype" w:hAnsi="Palatino Linotype" w:cs="Palatino Linotype"/>
          <w:sz w:val="22"/>
          <w:szCs w:val="22"/>
        </w:rPr>
        <w:t xml:space="preserve">, suscrito por la </w:t>
      </w:r>
      <w:r w:rsidR="0069657D">
        <w:rPr>
          <w:rFonts w:ascii="Palatino Linotype" w:eastAsia="Palatino Linotype" w:hAnsi="Palatino Linotype" w:cs="Palatino Linotype"/>
          <w:sz w:val="22"/>
          <w:szCs w:val="22"/>
        </w:rPr>
        <w:t>Sexta Regidora</w:t>
      </w:r>
      <w:r w:rsidRPr="00F3590C">
        <w:rPr>
          <w:rFonts w:ascii="Palatino Linotype" w:eastAsia="Palatino Linotype" w:hAnsi="Palatino Linotype" w:cs="Palatino Linotype"/>
          <w:sz w:val="22"/>
          <w:szCs w:val="22"/>
        </w:rPr>
        <w:t>, dirigido al Titular de la Unidad de Transparencia, a través del cual precisa que la Dirección de Recursos Humanos</w:t>
      </w:r>
      <w:r>
        <w:rPr>
          <w:rFonts w:ascii="Palatino Linotype" w:eastAsia="Palatino Linotype" w:hAnsi="Palatino Linotype" w:cs="Palatino Linotype"/>
          <w:sz w:val="22"/>
          <w:szCs w:val="22"/>
        </w:rPr>
        <w:t xml:space="preserve"> ratifica su respuesta inicial</w:t>
      </w:r>
      <w:r w:rsidRPr="00F3590C">
        <w:rPr>
          <w:rFonts w:ascii="Palatino Linotype" w:eastAsia="Palatino Linotype" w:hAnsi="Palatino Linotype" w:cs="Palatino Linotype"/>
          <w:sz w:val="22"/>
          <w:szCs w:val="22"/>
        </w:rPr>
        <w:t>.</w:t>
      </w:r>
    </w:p>
    <w:p w14:paraId="5573DBD0" w14:textId="77777777" w:rsidR="0069657D" w:rsidRDefault="0069657D" w:rsidP="00A54B20">
      <w:pPr>
        <w:tabs>
          <w:tab w:val="left" w:pos="4667"/>
        </w:tabs>
        <w:spacing w:line="360" w:lineRule="auto"/>
        <w:contextualSpacing/>
        <w:jc w:val="both"/>
        <w:rPr>
          <w:rFonts w:ascii="Palatino Linotype" w:eastAsia="Palatino Linotype" w:hAnsi="Palatino Linotype" w:cs="Palatino Linotype"/>
          <w:sz w:val="22"/>
          <w:szCs w:val="22"/>
        </w:rPr>
      </w:pPr>
    </w:p>
    <w:p w14:paraId="09E2750F" w14:textId="045199CA" w:rsidR="0069657D" w:rsidRPr="00F3590C" w:rsidRDefault="0069657D" w:rsidP="00A54B20">
      <w:pPr>
        <w:tabs>
          <w:tab w:val="left" w:pos="4667"/>
        </w:tabs>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iii) Oficio sin número, del diecinueve de diciembre de dos mil veinticinco, suscrito por el Titular de la Unidad de Transparencia, dirigido al Comisionado Ponente, a través del cual señala que la Sexta Regiduría esencialmente ratifica su respuesta. </w:t>
      </w:r>
    </w:p>
    <w:p w14:paraId="2F938B3C"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4A514E8B" w14:textId="2B918A23" w:rsidR="00AC74D3" w:rsidRDefault="00AC74D3" w:rsidP="00A54B20">
      <w:pPr>
        <w:spacing w:line="360" w:lineRule="auto"/>
        <w:contextualSpacing/>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sz w:val="22"/>
          <w:szCs w:val="22"/>
        </w:rPr>
        <w:lastRenderedPageBreak/>
        <w:t xml:space="preserve">d) Vista del informe justificado. </w:t>
      </w:r>
      <w:r>
        <w:rPr>
          <w:rFonts w:ascii="Palatino Linotype" w:eastAsia="Palatino Linotype" w:hAnsi="Palatino Linotype" w:cs="Palatino Linotype"/>
          <w:sz w:val="22"/>
          <w:szCs w:val="22"/>
        </w:rPr>
        <w:t xml:space="preserve">El </w:t>
      </w:r>
      <w:r w:rsidR="0069657D">
        <w:rPr>
          <w:rFonts w:ascii="Palatino Linotype" w:eastAsia="Palatino Linotype" w:hAnsi="Palatino Linotype" w:cs="Palatino Linotype"/>
          <w:sz w:val="22"/>
          <w:szCs w:val="22"/>
        </w:rPr>
        <w:t>veinti</w:t>
      </w:r>
      <w:r w:rsidR="005257BF">
        <w:rPr>
          <w:rFonts w:ascii="Palatino Linotype" w:eastAsia="Palatino Linotype" w:hAnsi="Palatino Linotype" w:cs="Palatino Linotype"/>
          <w:sz w:val="22"/>
          <w:szCs w:val="22"/>
        </w:rPr>
        <w:t>cinco</w:t>
      </w:r>
      <w:r>
        <w:rPr>
          <w:rFonts w:ascii="Palatino Linotype" w:eastAsia="Palatino Linotype" w:hAnsi="Palatino Linotype" w:cs="Palatino Linotype"/>
          <w:sz w:val="22"/>
          <w:szCs w:val="22"/>
        </w:rPr>
        <w:t xml:space="preserve"> de febrero de dos mil veintiséis, se dictó acuerdo mediante el cual se puso a la vista del Particular, el Informe Justificado entregado por el Sujeto Obligado, el cual fue notificado, a través del SAIMEX, el mismo día. </w:t>
      </w:r>
    </w:p>
    <w:p w14:paraId="2C3F0ADB"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09903DAB" w14:textId="37825AB7" w:rsidR="00AC74D3" w:rsidRDefault="00AC74D3" w:rsidP="00A54B20">
      <w:pPr>
        <w:spacing w:line="360" w:lineRule="auto"/>
        <w:contextualSpacing/>
        <w:jc w:val="both"/>
        <w:rPr>
          <w:rFonts w:ascii="Palatino Linotype" w:eastAsia="Palatino Linotype" w:hAnsi="Palatino Linotype" w:cs="Palatino Linotype"/>
          <w:b/>
          <w:sz w:val="22"/>
          <w:szCs w:val="22"/>
        </w:rPr>
      </w:pPr>
      <w:bookmarkStart w:id="10" w:name="_heading=h.9qpj1ejz85lp" w:colFirst="0" w:colLast="0"/>
      <w:bookmarkEnd w:id="10"/>
      <w:r>
        <w:rPr>
          <w:rFonts w:ascii="Palatino Linotype" w:eastAsia="Palatino Linotype" w:hAnsi="Palatino Linotype" w:cs="Palatino Linotype"/>
          <w:b/>
          <w:sz w:val="22"/>
          <w:szCs w:val="22"/>
        </w:rPr>
        <w:t xml:space="preserve">e) Ampliación de plazo para resolver. </w:t>
      </w:r>
      <w:r>
        <w:rPr>
          <w:rFonts w:ascii="Palatino Linotype" w:eastAsia="Palatino Linotype" w:hAnsi="Palatino Linotype" w:cs="Palatino Linotype"/>
          <w:sz w:val="22"/>
          <w:szCs w:val="22"/>
        </w:rPr>
        <w:t xml:space="preserve">El </w:t>
      </w:r>
      <w:r w:rsidR="0069657D">
        <w:rPr>
          <w:rFonts w:ascii="Palatino Linotype" w:eastAsia="Palatino Linotype" w:hAnsi="Palatino Linotype" w:cs="Palatino Linotype"/>
          <w:sz w:val="22"/>
          <w:szCs w:val="22"/>
        </w:rPr>
        <w:t>veintic</w:t>
      </w:r>
      <w:r w:rsidR="005257BF">
        <w:rPr>
          <w:rFonts w:ascii="Palatino Linotype" w:eastAsia="Palatino Linotype" w:hAnsi="Palatino Linotype" w:cs="Palatino Linotype"/>
          <w:sz w:val="22"/>
          <w:szCs w:val="22"/>
        </w:rPr>
        <w:t>inco</w:t>
      </w:r>
      <w:r>
        <w:rPr>
          <w:rFonts w:ascii="Palatino Linotype" w:eastAsia="Palatino Linotype" w:hAnsi="Palatino Linotype" w:cs="Palatino Linotype"/>
          <w:sz w:val="22"/>
          <w:szCs w:val="22"/>
        </w:rPr>
        <w:t xml:space="preserve"> de febrero de dos mil veintiséis, el Comisionado Ponente, con fundamento en lo dispuesto por el artículo 181, párrafo tercero, de la Ley de Transparencia y Acceso a la Información Pública del Estado de México y Municipios, acordó ampliar por un periodo de quince días hábiles, el plazo para resolver el Recurso de Revisión que nos ocupa; acto que fue notificado a las partes, mediante el Sistema de Acceso a la Información Mexiquense (SAIMEX), el mismo día.</w:t>
      </w:r>
    </w:p>
    <w:p w14:paraId="7D9A6EE2"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289CC2EC" w14:textId="7FE97A4D" w:rsidR="00AC74D3" w:rsidRDefault="00AC74D3" w:rsidP="00A54B20">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f) Cierre de instrucción.</w:t>
      </w:r>
      <w:r>
        <w:rPr>
          <w:rFonts w:ascii="Palatino Linotype" w:eastAsia="Palatino Linotype" w:hAnsi="Palatino Linotype" w:cs="Palatino Linotype"/>
          <w:sz w:val="22"/>
          <w:szCs w:val="22"/>
        </w:rPr>
        <w:t xml:space="preserve"> El </w:t>
      </w:r>
      <w:r w:rsidR="0069657D">
        <w:rPr>
          <w:rFonts w:ascii="Palatino Linotype" w:eastAsia="Palatino Linotype" w:hAnsi="Palatino Linotype" w:cs="Palatino Linotype"/>
          <w:sz w:val="22"/>
          <w:szCs w:val="22"/>
        </w:rPr>
        <w:t>cuatro de marzo</w:t>
      </w:r>
      <w:r>
        <w:rPr>
          <w:rFonts w:ascii="Palatino Linotype" w:eastAsia="Palatino Linotype" w:hAnsi="Palatino Linotype" w:cs="Palatino Linotype"/>
          <w:sz w:val="22"/>
          <w:szCs w:val="22"/>
        </w:rPr>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 el mismo día.</w:t>
      </w:r>
    </w:p>
    <w:p w14:paraId="20EEA417"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7E19BD59" w14:textId="77777777" w:rsidR="00AC74D3" w:rsidRDefault="00AC74D3" w:rsidP="00A54B20">
      <w:pPr>
        <w:spacing w:line="360" w:lineRule="auto"/>
        <w:contextualSpacing/>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En razón de que fue debidamente sustanciado el expediente electrónico y no existe diligencia pendiente de desahogo, se emite la resolución que conforme a Derecho proceda, de acuerdo a los siguientes: </w:t>
      </w:r>
    </w:p>
    <w:p w14:paraId="3C820BF9" w14:textId="77777777" w:rsidR="00AC74D3" w:rsidRDefault="00AC74D3" w:rsidP="00A54B20">
      <w:pPr>
        <w:spacing w:line="360" w:lineRule="auto"/>
        <w:contextualSpacing/>
        <w:jc w:val="both"/>
        <w:rPr>
          <w:rFonts w:ascii="Palatino Linotype" w:eastAsia="Palatino Linotype" w:hAnsi="Palatino Linotype" w:cs="Palatino Linotype"/>
          <w:color w:val="000000"/>
          <w:sz w:val="22"/>
          <w:szCs w:val="22"/>
        </w:rPr>
      </w:pPr>
    </w:p>
    <w:p w14:paraId="6412270C" w14:textId="77777777" w:rsidR="00AC74D3" w:rsidRDefault="00AC74D3" w:rsidP="00A54B20">
      <w:pPr>
        <w:pStyle w:val="Ttulo1"/>
        <w:spacing w:before="0" w:after="0" w:line="360" w:lineRule="auto"/>
        <w:contextualSpacing/>
        <w:jc w:val="center"/>
        <w:rPr>
          <w:rFonts w:ascii="Palatino Linotype" w:eastAsia="Palatino Linotype" w:hAnsi="Palatino Linotype" w:cs="Palatino Linotype"/>
          <w:b/>
          <w:color w:val="000000"/>
          <w:sz w:val="22"/>
          <w:szCs w:val="22"/>
        </w:rPr>
      </w:pPr>
      <w:bookmarkStart w:id="11" w:name="_Toc223445522"/>
      <w:r>
        <w:rPr>
          <w:rFonts w:ascii="Palatino Linotype" w:eastAsia="Palatino Linotype" w:hAnsi="Palatino Linotype" w:cs="Palatino Linotype"/>
          <w:b/>
          <w:color w:val="000000"/>
          <w:sz w:val="22"/>
          <w:szCs w:val="22"/>
        </w:rPr>
        <w:t>C O N S I D E R A N D O S</w:t>
      </w:r>
      <w:bookmarkEnd w:id="11"/>
    </w:p>
    <w:p w14:paraId="2770DE2A" w14:textId="77777777" w:rsidR="00AC74D3" w:rsidRDefault="00AC74D3" w:rsidP="00A54B20">
      <w:pPr>
        <w:spacing w:line="360" w:lineRule="auto"/>
        <w:contextualSpacing/>
      </w:pPr>
    </w:p>
    <w:p w14:paraId="3007ACD4" w14:textId="77777777" w:rsidR="00AC74D3" w:rsidRDefault="00AC74D3" w:rsidP="00A54B20">
      <w:pPr>
        <w:pStyle w:val="Ttulo2"/>
        <w:spacing w:before="0" w:after="0" w:line="360" w:lineRule="auto"/>
        <w:contextualSpacing/>
        <w:rPr>
          <w:rFonts w:ascii="Palatino Linotype" w:eastAsia="Palatino Linotype" w:hAnsi="Palatino Linotype" w:cs="Palatino Linotype"/>
          <w:b/>
          <w:color w:val="000000"/>
          <w:sz w:val="22"/>
          <w:szCs w:val="22"/>
        </w:rPr>
      </w:pPr>
      <w:bookmarkStart w:id="12" w:name="_Toc223445523"/>
      <w:r>
        <w:rPr>
          <w:rFonts w:ascii="Palatino Linotype" w:eastAsia="Palatino Linotype" w:hAnsi="Palatino Linotype" w:cs="Palatino Linotype"/>
          <w:b/>
          <w:color w:val="000000"/>
          <w:sz w:val="22"/>
          <w:szCs w:val="22"/>
        </w:rPr>
        <w:t>PRIMERO. Competencia</w:t>
      </w:r>
      <w:bookmarkEnd w:id="12"/>
    </w:p>
    <w:p w14:paraId="317E0401" w14:textId="77777777" w:rsidR="00AC74D3" w:rsidRDefault="00AC74D3" w:rsidP="00A54B20">
      <w:pPr>
        <w:spacing w:line="360" w:lineRule="auto"/>
        <w:contextualSpacing/>
      </w:pPr>
    </w:p>
    <w:p w14:paraId="4A6C5CAD"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r w:rsidRPr="0069652E">
        <w:rPr>
          <w:rFonts w:ascii="Palatino Linotype" w:eastAsia="Palatino Linotype" w:hAnsi="Palatino Linotype" w:cs="Palatino Linotype"/>
          <w:sz w:val="22"/>
          <w:szCs w:val="22"/>
        </w:rPr>
        <w:lastRenderedPageBreak/>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13" w:name="_Hlk214613917"/>
      <w:r w:rsidRPr="0069652E">
        <w:rPr>
          <w:rFonts w:ascii="Palatino Linotype" w:eastAsia="Palatino Linotype" w:hAnsi="Palatino Linotype" w:cs="Palatino Linotype"/>
          <w:sz w:val="22"/>
          <w:szCs w:val="22"/>
        </w:rPr>
        <w:t xml:space="preserve">párrafos cuadragésimo </w:t>
      </w:r>
      <w:r>
        <w:rPr>
          <w:rFonts w:ascii="Palatino Linotype" w:eastAsia="Palatino Linotype" w:hAnsi="Palatino Linotype" w:cs="Palatino Linotype"/>
          <w:sz w:val="22"/>
          <w:szCs w:val="22"/>
        </w:rPr>
        <w:t>cuarto</w:t>
      </w:r>
      <w:r w:rsidRPr="0069652E">
        <w:rPr>
          <w:rFonts w:ascii="Palatino Linotype" w:eastAsia="Palatino Linotype" w:hAnsi="Palatino Linotype" w:cs="Palatino Linotype"/>
          <w:sz w:val="22"/>
          <w:szCs w:val="22"/>
        </w:rPr>
        <w:t xml:space="preserve">, cuadragésimo </w:t>
      </w:r>
      <w:r>
        <w:rPr>
          <w:rFonts w:ascii="Palatino Linotype" w:eastAsia="Palatino Linotype" w:hAnsi="Palatino Linotype" w:cs="Palatino Linotype"/>
          <w:sz w:val="22"/>
          <w:szCs w:val="22"/>
        </w:rPr>
        <w:t xml:space="preserve">quinto </w:t>
      </w:r>
      <w:r w:rsidRPr="0069652E">
        <w:rPr>
          <w:rFonts w:ascii="Palatino Linotype" w:eastAsia="Palatino Linotype" w:hAnsi="Palatino Linotype" w:cs="Palatino Linotype"/>
          <w:sz w:val="22"/>
          <w:szCs w:val="22"/>
        </w:rPr>
        <w:t xml:space="preserve">y cuadragésimo </w:t>
      </w:r>
      <w:r>
        <w:rPr>
          <w:rFonts w:ascii="Palatino Linotype" w:eastAsia="Palatino Linotype" w:hAnsi="Palatino Linotype" w:cs="Palatino Linotype"/>
          <w:sz w:val="22"/>
          <w:szCs w:val="22"/>
        </w:rPr>
        <w:t>sexto</w:t>
      </w:r>
      <w:bookmarkEnd w:id="13"/>
      <w:r w:rsidRPr="0069652E">
        <w:rPr>
          <w:rFonts w:ascii="Palatino Linotype" w:eastAsia="Palatino Linotype" w:hAnsi="Palatino Linotype" w:cs="Palatino Linotype"/>
          <w:sz w:val="22"/>
          <w:szCs w:val="22"/>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A2C292C" w14:textId="77777777" w:rsidR="00AC74D3" w:rsidRDefault="00AC74D3" w:rsidP="00A54B20">
      <w:pPr>
        <w:spacing w:line="360" w:lineRule="auto"/>
        <w:contextualSpacing/>
        <w:jc w:val="both"/>
        <w:rPr>
          <w:rFonts w:ascii="Palatino Linotype" w:eastAsia="Palatino Linotype" w:hAnsi="Palatino Linotype" w:cs="Palatino Linotype"/>
          <w:color w:val="000000"/>
          <w:sz w:val="22"/>
          <w:szCs w:val="22"/>
        </w:rPr>
      </w:pPr>
    </w:p>
    <w:p w14:paraId="4B344C09" w14:textId="77777777" w:rsidR="00AC74D3" w:rsidRDefault="00AC74D3" w:rsidP="00A54B20">
      <w:pPr>
        <w:pStyle w:val="Ttulo2"/>
        <w:spacing w:before="0" w:after="0" w:line="360" w:lineRule="auto"/>
        <w:contextualSpacing/>
        <w:rPr>
          <w:rFonts w:ascii="Palatino Linotype" w:eastAsia="Palatino Linotype" w:hAnsi="Palatino Linotype" w:cs="Palatino Linotype"/>
          <w:b/>
          <w:color w:val="000000"/>
          <w:sz w:val="22"/>
          <w:szCs w:val="22"/>
        </w:rPr>
      </w:pPr>
      <w:bookmarkStart w:id="14" w:name="_Toc223445524"/>
      <w:r>
        <w:rPr>
          <w:rFonts w:ascii="Palatino Linotype" w:eastAsia="Palatino Linotype" w:hAnsi="Palatino Linotype" w:cs="Palatino Linotype"/>
          <w:b/>
          <w:color w:val="000000"/>
          <w:sz w:val="22"/>
          <w:szCs w:val="22"/>
        </w:rPr>
        <w:t>SEGUNDO. Causales de improcedencia y sobreseimiento</w:t>
      </w:r>
      <w:bookmarkEnd w:id="14"/>
    </w:p>
    <w:p w14:paraId="3055C0F3"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64D7EF49"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De las constancias que forma parte del Recurso de Revisión que se analiza, se advierte que previo al estudio del fondo de la </w:t>
      </w:r>
      <w:proofErr w:type="spellStart"/>
      <w:r>
        <w:rPr>
          <w:rFonts w:ascii="Palatino Linotype" w:eastAsia="Palatino Linotype" w:hAnsi="Palatino Linotype" w:cs="Palatino Linotype"/>
          <w:i/>
          <w:sz w:val="22"/>
          <w:szCs w:val="22"/>
        </w:rPr>
        <w:t>litis</w:t>
      </w:r>
      <w:proofErr w:type="spellEnd"/>
      <w:r>
        <w:rPr>
          <w:rFonts w:ascii="Palatino Linotype" w:eastAsia="Palatino Linotype" w:hAnsi="Palatino Linotype" w:cs="Palatino Linotype"/>
          <w:sz w:val="22"/>
          <w:szCs w:val="22"/>
        </w:rPr>
        <w:t>, es necesario estudiar las causales de improcedencia y sobreseimiento que se adviertan, para determinar lo que en Derecho proceda.</w:t>
      </w:r>
    </w:p>
    <w:p w14:paraId="4B03A886" w14:textId="77777777" w:rsidR="00AC74D3" w:rsidRDefault="00AC74D3" w:rsidP="00A54B20">
      <w:pPr>
        <w:spacing w:line="360" w:lineRule="auto"/>
        <w:contextualSpacing/>
        <w:jc w:val="both"/>
        <w:rPr>
          <w:rFonts w:ascii="Palatino Linotype" w:eastAsia="Palatino Linotype" w:hAnsi="Palatino Linotype" w:cs="Palatino Linotype"/>
          <w:b/>
          <w:color w:val="000000"/>
          <w:sz w:val="22"/>
          <w:szCs w:val="22"/>
        </w:rPr>
      </w:pPr>
    </w:p>
    <w:p w14:paraId="6664F0D2"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Causales de improcedencia</w:t>
      </w:r>
    </w:p>
    <w:p w14:paraId="4977A7D1"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0E6DDC9D"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w:t>
      </w:r>
      <w:r>
        <w:rPr>
          <w:rFonts w:ascii="Palatino Linotype" w:eastAsia="Palatino Linotype" w:hAnsi="Palatino Linotype" w:cs="Palatino Linotype"/>
          <w:sz w:val="22"/>
          <w:szCs w:val="22"/>
        </w:rPr>
        <w:lastRenderedPageBreak/>
        <w:t>actualice alguno de los supuestos establecidos en el artículo 191 de la Ley de Transparencia y Acceso a la Información Pública del Estado de México y Municipios, por ser improcedente.</w:t>
      </w:r>
    </w:p>
    <w:p w14:paraId="27B524CA"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6B51243C"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22E7FD3F"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38EB1FA5" w14:textId="4082D02D"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Asimismo, se actualiza la causal de procedencia del Recurso de Revisión establecida en el artículo 179, fracción </w:t>
      </w:r>
      <w:r w:rsidR="00C877E2">
        <w:rPr>
          <w:rFonts w:ascii="Palatino Linotype" w:eastAsia="Palatino Linotype" w:hAnsi="Palatino Linotype" w:cs="Palatino Linotype"/>
          <w:sz w:val="22"/>
          <w:szCs w:val="22"/>
        </w:rPr>
        <w:t>V</w:t>
      </w:r>
      <w:r>
        <w:rPr>
          <w:rFonts w:ascii="Palatino Linotype" w:eastAsia="Palatino Linotype" w:hAnsi="Palatino Linotype" w:cs="Palatino Linotype"/>
          <w:sz w:val="22"/>
          <w:szCs w:val="22"/>
        </w:rPr>
        <w:t xml:space="preserve">, de la Ley de Transparencia y Acceso a la Información Pública del Estado de México y Municipios, referente a la </w:t>
      </w:r>
      <w:r w:rsidR="0069657D">
        <w:rPr>
          <w:rFonts w:ascii="Palatino Linotype" w:eastAsia="Palatino Linotype" w:hAnsi="Palatino Linotype" w:cs="Palatino Linotype"/>
          <w:sz w:val="22"/>
          <w:szCs w:val="22"/>
        </w:rPr>
        <w:t xml:space="preserve">negativa </w:t>
      </w:r>
      <w:r>
        <w:rPr>
          <w:rFonts w:ascii="Palatino Linotype" w:eastAsia="Palatino Linotype" w:hAnsi="Palatino Linotype" w:cs="Palatino Linotype"/>
          <w:sz w:val="22"/>
          <w:szCs w:val="22"/>
        </w:rPr>
        <w:t>de</w:t>
      </w:r>
      <w:r w:rsidR="0069657D">
        <w:rPr>
          <w:rFonts w:ascii="Palatino Linotype" w:eastAsia="Palatino Linotype" w:hAnsi="Palatino Linotype" w:cs="Palatino Linotype"/>
          <w:sz w:val="22"/>
          <w:szCs w:val="22"/>
        </w:rPr>
        <w:t xml:space="preserve"> la</w:t>
      </w:r>
      <w:r>
        <w:rPr>
          <w:rFonts w:ascii="Palatino Linotype" w:eastAsia="Palatino Linotype" w:hAnsi="Palatino Linotype" w:cs="Palatino Linotype"/>
          <w:sz w:val="22"/>
          <w:szCs w:val="22"/>
        </w:rPr>
        <w:t xml:space="preserve"> información </w:t>
      </w:r>
      <w:r w:rsidR="0069657D">
        <w:rPr>
          <w:rFonts w:ascii="Palatino Linotype" w:eastAsia="Palatino Linotype" w:hAnsi="Palatino Linotype" w:cs="Palatino Linotype"/>
          <w:sz w:val="22"/>
          <w:szCs w:val="22"/>
        </w:rPr>
        <w:t>solicitada</w:t>
      </w:r>
      <w:r>
        <w:rPr>
          <w:rFonts w:ascii="Palatino Linotype" w:eastAsia="Palatino Linotype" w:hAnsi="Palatino Linotype" w:cs="Palatino Linotype"/>
          <w:sz w:val="22"/>
          <w:szCs w:val="22"/>
        </w:rPr>
        <w:t>.</w:t>
      </w:r>
    </w:p>
    <w:p w14:paraId="2F29DAE7"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73BFA136"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b/>
          <w:sz w:val="22"/>
          <w:szCs w:val="22"/>
        </w:rPr>
        <w:t>Causales de sobreseimiento</w:t>
      </w:r>
    </w:p>
    <w:p w14:paraId="199897E5"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0E07E8A9"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ser de previo y especial pronunciamiento, este Instituto analiza si se actualiza alguna causal de sobreseimiento.</w:t>
      </w:r>
    </w:p>
    <w:p w14:paraId="60756546"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12BB0C05"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recurso, haya fallecido, sobreviniera alguna causal de improcedencia, que el Sujeto </w:t>
      </w:r>
      <w:r>
        <w:rPr>
          <w:rFonts w:ascii="Palatino Linotype" w:eastAsia="Palatino Linotype" w:hAnsi="Palatino Linotype" w:cs="Palatino Linotype"/>
          <w:sz w:val="22"/>
          <w:szCs w:val="22"/>
        </w:rPr>
        <w:lastRenderedPageBreak/>
        <w:t>Obligado hubiese modificado o revocado el acto impugnado o bien, haya quedado sin materia.</w:t>
      </w:r>
    </w:p>
    <w:p w14:paraId="2CC8CA46"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2E04AA96" w14:textId="77777777" w:rsidR="00AC74D3" w:rsidRDefault="00AC74D3" w:rsidP="00A54B20">
      <w:pPr>
        <w:tabs>
          <w:tab w:val="left" w:pos="4962"/>
        </w:tabs>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Por tales motivos, se considera procedente entrar al fondo del presente asunto. </w:t>
      </w:r>
    </w:p>
    <w:p w14:paraId="0410F717" w14:textId="77777777" w:rsidR="00AC74D3" w:rsidRDefault="00AC74D3" w:rsidP="00A54B20">
      <w:pPr>
        <w:tabs>
          <w:tab w:val="left" w:pos="4962"/>
        </w:tabs>
        <w:spacing w:line="360" w:lineRule="auto"/>
        <w:contextualSpacing/>
        <w:jc w:val="both"/>
        <w:rPr>
          <w:rFonts w:ascii="Palatino Linotype" w:eastAsia="Palatino Linotype" w:hAnsi="Palatino Linotype" w:cs="Palatino Linotype"/>
          <w:sz w:val="22"/>
          <w:szCs w:val="22"/>
        </w:rPr>
      </w:pPr>
      <w:bookmarkStart w:id="15" w:name="_Hlk216880022"/>
    </w:p>
    <w:p w14:paraId="19E3E27B" w14:textId="77777777" w:rsidR="00AC74D3" w:rsidRDefault="00AC74D3" w:rsidP="00A54B20">
      <w:pPr>
        <w:pStyle w:val="Ttulo2"/>
        <w:spacing w:before="0" w:after="0" w:line="360" w:lineRule="auto"/>
        <w:contextualSpacing/>
        <w:rPr>
          <w:rFonts w:ascii="Palatino Linotype" w:eastAsia="Palatino Linotype" w:hAnsi="Palatino Linotype" w:cs="Palatino Linotype"/>
          <w:b/>
          <w:color w:val="000000"/>
          <w:sz w:val="22"/>
          <w:szCs w:val="22"/>
        </w:rPr>
      </w:pPr>
      <w:bookmarkStart w:id="16" w:name="_Toc223445525"/>
      <w:r>
        <w:rPr>
          <w:rFonts w:ascii="Palatino Linotype" w:eastAsia="Palatino Linotype" w:hAnsi="Palatino Linotype" w:cs="Palatino Linotype"/>
          <w:b/>
          <w:color w:val="000000"/>
          <w:sz w:val="22"/>
          <w:szCs w:val="22"/>
        </w:rPr>
        <w:t>TERCERO. Determinación de la Controversia</w:t>
      </w:r>
      <w:bookmarkEnd w:id="16"/>
    </w:p>
    <w:p w14:paraId="56745A34"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78357050" w14:textId="7AF03504" w:rsidR="00AC74D3" w:rsidRDefault="00AC74D3" w:rsidP="00A54B20">
      <w:pPr>
        <w:spacing w:line="360" w:lineRule="auto"/>
        <w:contextualSpacing/>
        <w:jc w:val="both"/>
        <w:rPr>
          <w:rFonts w:ascii="Palatino Linotype" w:hAnsi="Palatino Linotype" w:cs="Tahoma"/>
          <w:sz w:val="22"/>
          <w:szCs w:val="22"/>
        </w:rPr>
      </w:pPr>
      <w:r w:rsidRPr="0017161F">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w:t>
      </w:r>
      <w:r w:rsidRPr="0017161F">
        <w:rPr>
          <w:rFonts w:ascii="Palatino Linotype" w:hAnsi="Palatino Linotype" w:cs="Tahoma"/>
          <w:sz w:val="22"/>
          <w:szCs w:val="22"/>
        </w:rPr>
        <w:t xml:space="preserve">que el </w:t>
      </w:r>
      <w:r w:rsidR="00C877E2">
        <w:rPr>
          <w:rFonts w:ascii="Palatino Linotype" w:hAnsi="Palatino Linotype" w:cs="Tahoma"/>
          <w:sz w:val="22"/>
          <w:szCs w:val="22"/>
        </w:rPr>
        <w:t>p</w:t>
      </w:r>
      <w:r w:rsidRPr="0017161F">
        <w:rPr>
          <w:rFonts w:ascii="Palatino Linotype" w:hAnsi="Palatino Linotype" w:cs="Tahoma"/>
          <w:sz w:val="22"/>
          <w:szCs w:val="22"/>
        </w:rPr>
        <w:t>articular requirió</w:t>
      </w:r>
      <w:r>
        <w:rPr>
          <w:rFonts w:ascii="Palatino Linotype" w:hAnsi="Palatino Linotype" w:cs="Tahoma"/>
          <w:sz w:val="22"/>
          <w:szCs w:val="22"/>
        </w:rPr>
        <w:t xml:space="preserve"> </w:t>
      </w:r>
      <w:r w:rsidR="00C877E2" w:rsidRPr="00C877E2">
        <w:rPr>
          <w:rFonts w:ascii="Palatino Linotype" w:hAnsi="Palatino Linotype" w:cs="Tahoma"/>
          <w:sz w:val="22"/>
          <w:szCs w:val="22"/>
        </w:rPr>
        <w:t>las peticiones recibidas y</w:t>
      </w:r>
      <w:r w:rsidR="00C877E2">
        <w:rPr>
          <w:rFonts w:ascii="Palatino Linotype" w:hAnsi="Palatino Linotype" w:cs="Tahoma"/>
          <w:sz w:val="22"/>
          <w:szCs w:val="22"/>
        </w:rPr>
        <w:t xml:space="preserve"> l</w:t>
      </w:r>
      <w:r w:rsidR="00C877E2" w:rsidRPr="00C877E2">
        <w:rPr>
          <w:rFonts w:ascii="Palatino Linotype" w:hAnsi="Palatino Linotype" w:cs="Tahoma"/>
          <w:sz w:val="22"/>
          <w:szCs w:val="22"/>
        </w:rPr>
        <w:t>as respuestas entregadas</w:t>
      </w:r>
      <w:r w:rsidR="00C877E2">
        <w:rPr>
          <w:rFonts w:ascii="Palatino Linotype" w:hAnsi="Palatino Linotype" w:cs="Tahoma"/>
          <w:sz w:val="22"/>
          <w:szCs w:val="22"/>
        </w:rPr>
        <w:t xml:space="preserve"> por </w:t>
      </w:r>
      <w:r w:rsidR="00C845EC">
        <w:rPr>
          <w:rFonts w:ascii="Palatino Linotype" w:hAnsi="Palatino Linotype" w:cs="Tahoma"/>
          <w:sz w:val="22"/>
          <w:szCs w:val="22"/>
        </w:rPr>
        <w:t xml:space="preserve">la sexta regiduría municipal, del primero de enero al diez de noviembre </w:t>
      </w:r>
      <w:r>
        <w:rPr>
          <w:rFonts w:ascii="Palatino Linotype" w:hAnsi="Palatino Linotype" w:cs="Tahoma"/>
          <w:sz w:val="22"/>
          <w:szCs w:val="22"/>
        </w:rPr>
        <w:t>de dos mil veinticinco</w:t>
      </w:r>
      <w:r w:rsidR="00C877E2">
        <w:rPr>
          <w:rFonts w:ascii="Palatino Linotype" w:hAnsi="Palatino Linotype" w:cs="Tahoma"/>
          <w:sz w:val="22"/>
          <w:szCs w:val="22"/>
        </w:rPr>
        <w:t>.</w:t>
      </w:r>
    </w:p>
    <w:p w14:paraId="56AABB39" w14:textId="77777777" w:rsidR="00C877E2" w:rsidRPr="00C877E2" w:rsidRDefault="00C877E2" w:rsidP="00A54B20">
      <w:pPr>
        <w:spacing w:line="360" w:lineRule="auto"/>
        <w:contextualSpacing/>
        <w:jc w:val="both"/>
        <w:rPr>
          <w:rFonts w:ascii="Palatino Linotype" w:hAnsi="Palatino Linotype" w:cs="Tahoma"/>
          <w:sz w:val="22"/>
          <w:szCs w:val="22"/>
        </w:rPr>
      </w:pPr>
    </w:p>
    <w:p w14:paraId="3522B715" w14:textId="19656CB7" w:rsidR="00AC74D3" w:rsidRDefault="00AC74D3" w:rsidP="00A54B20">
      <w:pPr>
        <w:autoSpaceDE w:val="0"/>
        <w:autoSpaceDN w:val="0"/>
        <w:adjustRightInd w:val="0"/>
        <w:spacing w:line="360" w:lineRule="auto"/>
        <w:contextualSpacing/>
        <w:jc w:val="both"/>
        <w:rPr>
          <w:rFonts w:ascii="Palatino Linotype" w:eastAsia="Calibri" w:hAnsi="Palatino Linotype" w:cs="Tahoma"/>
          <w:sz w:val="22"/>
          <w:szCs w:val="22"/>
        </w:rPr>
      </w:pPr>
      <w:r w:rsidRPr="0017161F">
        <w:rPr>
          <w:rFonts w:ascii="Palatino Linotype" w:hAnsi="Palatino Linotype" w:cs="Tahoma"/>
          <w:sz w:val="22"/>
          <w:szCs w:val="22"/>
          <w:lang w:val="es-ES"/>
        </w:rPr>
        <w:t xml:space="preserve">En respuesta, el Sujeto Obligado </w:t>
      </w:r>
      <w:r>
        <w:rPr>
          <w:rFonts w:ascii="Palatino Linotype" w:hAnsi="Palatino Linotype" w:cs="Tahoma"/>
          <w:sz w:val="22"/>
          <w:szCs w:val="22"/>
          <w:lang w:val="es-ES"/>
        </w:rPr>
        <w:t xml:space="preserve">a través de la </w:t>
      </w:r>
      <w:r w:rsidR="00C877E2">
        <w:rPr>
          <w:rFonts w:ascii="Palatino Linotype" w:hAnsi="Palatino Linotype" w:cs="Tahoma"/>
          <w:sz w:val="22"/>
          <w:szCs w:val="22"/>
          <w:lang w:val="es-ES"/>
        </w:rPr>
        <w:t>sexta regidora</w:t>
      </w:r>
      <w:r>
        <w:rPr>
          <w:rFonts w:ascii="Palatino Linotype" w:hAnsi="Palatino Linotype" w:cs="Tahoma"/>
          <w:sz w:val="22"/>
          <w:szCs w:val="22"/>
          <w:lang w:val="es-ES"/>
        </w:rPr>
        <w:t xml:space="preserve"> proporcionó </w:t>
      </w:r>
      <w:r w:rsidR="00C877E2">
        <w:rPr>
          <w:rFonts w:ascii="Palatino Linotype" w:hAnsi="Palatino Linotype" w:cs="Tahoma"/>
          <w:sz w:val="22"/>
          <w:szCs w:val="22"/>
          <w:lang w:val="es-ES"/>
        </w:rPr>
        <w:t>diversos oficios de petición y las respuestas entregadas en versión pública</w:t>
      </w:r>
      <w:r w:rsidRPr="0017161F">
        <w:rPr>
          <w:rFonts w:ascii="Palatino Linotype" w:eastAsia="Calibri" w:hAnsi="Palatino Linotype" w:cs="Tahoma"/>
          <w:color w:val="000000"/>
          <w:sz w:val="22"/>
          <w:szCs w:val="22"/>
          <w:lang w:val="es-ES"/>
        </w:rPr>
        <w:t>;</w:t>
      </w:r>
      <w:r w:rsidRPr="0017161F">
        <w:rPr>
          <w:rFonts w:ascii="Palatino Linotype" w:hAnsi="Palatino Linotype" w:cs="Tahoma"/>
          <w:sz w:val="22"/>
          <w:szCs w:val="22"/>
          <w:lang w:val="es-ES"/>
        </w:rPr>
        <w:t xml:space="preserve"> </w:t>
      </w:r>
      <w:r>
        <w:rPr>
          <w:rFonts w:ascii="Palatino Linotype" w:hAnsi="Palatino Linotype" w:cs="Tahoma"/>
          <w:sz w:val="22"/>
          <w:szCs w:val="22"/>
          <w:lang w:val="es-ES"/>
        </w:rPr>
        <w:t>A</w:t>
      </w:r>
      <w:r w:rsidRPr="0017161F">
        <w:rPr>
          <w:rFonts w:ascii="Palatino Linotype" w:hAnsi="Palatino Linotype" w:cs="Tahoma"/>
          <w:sz w:val="22"/>
          <w:szCs w:val="22"/>
          <w:lang w:val="es-ES"/>
        </w:rPr>
        <w:t xml:space="preserve">nte dicha circunstancia, </w:t>
      </w:r>
      <w:r>
        <w:rPr>
          <w:rFonts w:ascii="Palatino Linotype" w:hAnsi="Palatino Linotype" w:cs="Tahoma"/>
          <w:sz w:val="22"/>
          <w:szCs w:val="22"/>
          <w:lang w:val="es-ES"/>
        </w:rPr>
        <w:t>e</w:t>
      </w:r>
      <w:r w:rsidRPr="0017161F">
        <w:rPr>
          <w:rFonts w:ascii="Palatino Linotype" w:hAnsi="Palatino Linotype" w:cs="Tahoma"/>
          <w:sz w:val="22"/>
          <w:szCs w:val="22"/>
          <w:lang w:val="es-ES"/>
        </w:rPr>
        <w:t>l Particular</w:t>
      </w:r>
      <w:r>
        <w:rPr>
          <w:rFonts w:ascii="Palatino Linotype" w:hAnsi="Palatino Linotype" w:cs="Tahoma"/>
          <w:sz w:val="22"/>
          <w:szCs w:val="22"/>
          <w:lang w:val="es-ES"/>
        </w:rPr>
        <w:t xml:space="preserve"> </w:t>
      </w:r>
      <w:r w:rsidRPr="0017161F">
        <w:rPr>
          <w:rFonts w:ascii="Palatino Linotype" w:hAnsi="Palatino Linotype" w:cs="Tahoma"/>
          <w:sz w:val="22"/>
          <w:szCs w:val="22"/>
          <w:lang w:val="es-ES"/>
        </w:rPr>
        <w:t xml:space="preserve">se agravió con la </w:t>
      </w:r>
      <w:r w:rsidR="00C877E2">
        <w:rPr>
          <w:rFonts w:ascii="Palatino Linotype" w:hAnsi="Palatino Linotype" w:cs="Tahoma"/>
          <w:sz w:val="22"/>
          <w:szCs w:val="22"/>
          <w:lang w:val="es-ES"/>
        </w:rPr>
        <w:t xml:space="preserve">entrega de </w:t>
      </w:r>
      <w:r>
        <w:rPr>
          <w:rFonts w:ascii="Palatino Linotype" w:hAnsi="Palatino Linotype" w:cs="Tahoma"/>
          <w:sz w:val="22"/>
          <w:szCs w:val="22"/>
        </w:rPr>
        <w:t>información</w:t>
      </w:r>
      <w:r w:rsidR="00C877E2">
        <w:rPr>
          <w:rFonts w:ascii="Palatino Linotype" w:hAnsi="Palatino Linotype" w:cs="Tahoma"/>
          <w:sz w:val="22"/>
          <w:szCs w:val="22"/>
        </w:rPr>
        <w:t xml:space="preserve"> incompleta</w:t>
      </w:r>
      <w:r>
        <w:rPr>
          <w:rFonts w:ascii="Palatino Linotype" w:hAnsi="Palatino Linotype" w:cs="Tahoma"/>
          <w:sz w:val="22"/>
          <w:szCs w:val="22"/>
        </w:rPr>
        <w:t xml:space="preserve">; </w:t>
      </w:r>
      <w:r>
        <w:rPr>
          <w:rFonts w:ascii="Palatino Linotype" w:hAnsi="Palatino Linotype" w:cs="Tahoma"/>
          <w:sz w:val="22"/>
          <w:szCs w:val="22"/>
          <w:lang w:val="es-ES"/>
        </w:rPr>
        <w:t xml:space="preserve">circunstancia que </w:t>
      </w:r>
      <w:r w:rsidRPr="0017161F">
        <w:rPr>
          <w:rFonts w:ascii="Palatino Linotype" w:eastAsia="Calibri" w:hAnsi="Palatino Linotype" w:cs="Tahoma"/>
          <w:sz w:val="22"/>
          <w:szCs w:val="22"/>
        </w:rPr>
        <w:t>actualiza la causal de procedencia prevista en la fracci</w:t>
      </w:r>
      <w:r>
        <w:rPr>
          <w:rFonts w:ascii="Palatino Linotype" w:eastAsia="Calibri" w:hAnsi="Palatino Linotype" w:cs="Tahoma"/>
          <w:sz w:val="22"/>
          <w:szCs w:val="22"/>
        </w:rPr>
        <w:t>ón</w:t>
      </w:r>
      <w:r w:rsidRPr="0017161F">
        <w:rPr>
          <w:rFonts w:ascii="Palatino Linotype" w:eastAsia="Calibri" w:hAnsi="Palatino Linotype" w:cs="Tahoma"/>
          <w:sz w:val="22"/>
          <w:szCs w:val="22"/>
        </w:rPr>
        <w:t xml:space="preserve"> </w:t>
      </w:r>
      <w:r>
        <w:rPr>
          <w:rFonts w:ascii="Palatino Linotype" w:eastAsia="Calibri" w:hAnsi="Palatino Linotype" w:cs="Tahoma"/>
          <w:sz w:val="22"/>
          <w:szCs w:val="22"/>
        </w:rPr>
        <w:t>V</w:t>
      </w:r>
      <w:r w:rsidRPr="0017161F">
        <w:rPr>
          <w:rFonts w:ascii="Palatino Linotype" w:eastAsia="Calibri" w:hAnsi="Palatino Linotype" w:cs="Tahoma"/>
          <w:sz w:val="22"/>
          <w:szCs w:val="22"/>
        </w:rPr>
        <w:t xml:space="preserve">, del artículo 179 de la Ley de Transparencia y Acceso a la Información Pública del Estado de México y Municipios. </w:t>
      </w:r>
      <w:r w:rsidR="00C877E2">
        <w:rPr>
          <w:rFonts w:ascii="Palatino Linotype" w:eastAsia="Calibri" w:hAnsi="Palatino Linotype" w:cs="Tahoma"/>
          <w:sz w:val="22"/>
          <w:szCs w:val="22"/>
        </w:rPr>
        <w:t>Así las cosas admitido y notificado el recurso de revisión a las partes el Sujeto Obligado remitió los oficios de petición y sus respuestas remitidas en respuesta, además de adicionar diversos documentos relacionados con lo solicitado.</w:t>
      </w:r>
    </w:p>
    <w:p w14:paraId="0FD66A96"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2FC3BAAF"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 xml:space="preserve">Lo anterior, se desprende de las documentales que obran en el expediente de referencia, materia de la presente resolución, consistentes en la solicitud de acceso a la información, la respuesta, el escrito </w:t>
      </w:r>
      <w:proofErr w:type="spellStart"/>
      <w:r>
        <w:rPr>
          <w:rFonts w:ascii="Palatino Linotype" w:eastAsia="Palatino Linotype" w:hAnsi="Palatino Linotype" w:cs="Palatino Linotype"/>
          <w:sz w:val="22"/>
          <w:szCs w:val="22"/>
        </w:rPr>
        <w:t>recursal</w:t>
      </w:r>
      <w:proofErr w:type="spellEnd"/>
      <w:r>
        <w:rPr>
          <w:rFonts w:ascii="Palatino Linotype" w:eastAsia="Palatino Linotype" w:hAnsi="Palatino Linotype" w:cs="Palatino Linotype"/>
          <w:sz w:val="22"/>
          <w:szCs w:val="22"/>
        </w:rPr>
        <w:t xml:space="preserve">, y el informe justificado instrumentales que se toman en cuenta a efecto de resolver el presente medio de impugnación, conforme a lo dispuesto por el artículo 185, fracción IV, de la Ley de Transparencia y Acceso a la Información Pública del </w:t>
      </w:r>
      <w:r>
        <w:rPr>
          <w:rFonts w:ascii="Palatino Linotype" w:eastAsia="Palatino Linotype" w:hAnsi="Palatino Linotype" w:cs="Palatino Linotype"/>
          <w:sz w:val="22"/>
          <w:szCs w:val="22"/>
        </w:rPr>
        <w:lastRenderedPageBreak/>
        <w:t xml:space="preserve">Estado de México y Municipios. </w:t>
      </w:r>
      <w:r>
        <w:rPr>
          <w:rFonts w:ascii="Palatino Linotype" w:eastAsia="Palatino Linotype" w:hAnsi="Palatino Linotype" w:cs="Palatino Linotype"/>
          <w:b/>
          <w:sz w:val="22"/>
          <w:szCs w:val="22"/>
        </w:rPr>
        <w:t>Cabe señalar que el Particular fue omiso en realizar manifestaciones o alegatos.</w:t>
      </w:r>
    </w:p>
    <w:p w14:paraId="02DD9C47" w14:textId="77777777" w:rsidR="00AC74D3" w:rsidRDefault="00AC74D3" w:rsidP="00A54B20">
      <w:pPr>
        <w:spacing w:line="360" w:lineRule="auto"/>
        <w:contextualSpacing/>
        <w:jc w:val="both"/>
        <w:rPr>
          <w:rFonts w:ascii="Palatino Linotype" w:eastAsia="Palatino Linotype" w:hAnsi="Palatino Linotype" w:cs="Palatino Linotype"/>
          <w:color w:val="000000"/>
          <w:sz w:val="22"/>
          <w:szCs w:val="22"/>
        </w:rPr>
      </w:pPr>
    </w:p>
    <w:p w14:paraId="0AC0F4F6" w14:textId="77777777" w:rsidR="00AC74D3" w:rsidRDefault="00AC74D3" w:rsidP="00A54B20">
      <w:pPr>
        <w:pStyle w:val="Ttulo2"/>
        <w:spacing w:before="0" w:after="0" w:line="360" w:lineRule="auto"/>
        <w:contextualSpacing/>
        <w:jc w:val="both"/>
        <w:rPr>
          <w:rFonts w:ascii="Palatino Linotype" w:eastAsia="Palatino Linotype" w:hAnsi="Palatino Linotype" w:cs="Palatino Linotype"/>
          <w:b/>
          <w:color w:val="000000"/>
          <w:sz w:val="22"/>
          <w:szCs w:val="22"/>
        </w:rPr>
      </w:pPr>
      <w:bookmarkStart w:id="17" w:name="_Toc223445526"/>
      <w:r>
        <w:rPr>
          <w:rFonts w:ascii="Palatino Linotype" w:eastAsia="Palatino Linotype" w:hAnsi="Palatino Linotype" w:cs="Palatino Linotype"/>
          <w:b/>
          <w:color w:val="000000"/>
          <w:sz w:val="22"/>
          <w:szCs w:val="22"/>
        </w:rPr>
        <w:t>CUARTO. Marco normativo aplicable en materia de transparencia y acceso a la información pública</w:t>
      </w:r>
      <w:bookmarkEnd w:id="17"/>
    </w:p>
    <w:p w14:paraId="27823872"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p>
    <w:p w14:paraId="49BC24ED"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51E1798B"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p>
    <w:p w14:paraId="520098C5"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en materia local, el artículo 5°, fracción I de la Constitución Política del Estado Libre y Soberano de México, es coincidente con la Constitución Política de los Estados Unidos Mexicanos,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BF19E25"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p>
    <w:p w14:paraId="7F4CF6CF"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Por su parte, la Ley de Transparencia y Acceso a la Información Pública del Estado de México y Municipios (Reglamentaria del artículo 5° de la Constitución Local), establece lo siguiente:</w:t>
      </w:r>
    </w:p>
    <w:p w14:paraId="46A56FB1"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p>
    <w:p w14:paraId="53BAA2F4"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El artículo 12, que, quienes generen, recopilen, administren, manejen, procesen, archiven o conserven información pública serán responsables de la misma.</w:t>
      </w:r>
    </w:p>
    <w:p w14:paraId="3A0A59AF"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p>
    <w:p w14:paraId="3A1F6FC2"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El artículo 18, que, los Sujetos Obligados deberán documentar todo acto que derive del ejercicio de sus facultades, competencias o funciones, considerando desde su origen la </w:t>
      </w:r>
      <w:r>
        <w:rPr>
          <w:rFonts w:ascii="Palatino Linotype" w:eastAsia="Palatino Linotype" w:hAnsi="Palatino Linotype" w:cs="Palatino Linotype"/>
          <w:sz w:val="22"/>
          <w:szCs w:val="22"/>
        </w:rPr>
        <w:lastRenderedPageBreak/>
        <w:t>eventual publicidad y reutilización de la información que generen.</w:t>
      </w:r>
    </w:p>
    <w:p w14:paraId="630F2F81"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p>
    <w:p w14:paraId="589E5362" w14:textId="77777777" w:rsidR="00AC74D3" w:rsidRPr="000D22D0" w:rsidRDefault="00AC74D3" w:rsidP="00A54B20">
      <w:pPr>
        <w:widowControl w:val="0"/>
        <w:spacing w:line="360" w:lineRule="auto"/>
        <w:contextualSpacing/>
        <w:jc w:val="both"/>
        <w:rPr>
          <w:rFonts w:ascii="Palatino Linotype" w:eastAsia="Palatino Linotype" w:hAnsi="Palatino Linotype" w:cs="Palatino Linotype"/>
          <w:b/>
          <w:bCs/>
          <w:sz w:val="22"/>
          <w:szCs w:val="22"/>
        </w:rPr>
      </w:pPr>
      <w:r>
        <w:rPr>
          <w:rFonts w:ascii="Palatino Linotype" w:eastAsia="Palatino Linotype" w:hAnsi="Palatino Linotype" w:cs="Palatino Linotype"/>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CF1C98B"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p>
    <w:p w14:paraId="72CDA565" w14:textId="77777777" w:rsidR="00AC74D3" w:rsidRDefault="00AC74D3" w:rsidP="00A54B20">
      <w:pPr>
        <w:pStyle w:val="Ttulo2"/>
        <w:spacing w:before="0" w:after="0" w:line="360" w:lineRule="auto"/>
        <w:contextualSpacing/>
        <w:rPr>
          <w:rFonts w:ascii="Palatino Linotype" w:eastAsia="Palatino Linotype" w:hAnsi="Palatino Linotype" w:cs="Palatino Linotype"/>
          <w:b/>
          <w:color w:val="000000"/>
          <w:sz w:val="22"/>
          <w:szCs w:val="22"/>
        </w:rPr>
      </w:pPr>
      <w:bookmarkStart w:id="18" w:name="_Toc223445527"/>
      <w:r>
        <w:rPr>
          <w:rFonts w:ascii="Palatino Linotype" w:eastAsia="Palatino Linotype" w:hAnsi="Palatino Linotype" w:cs="Palatino Linotype"/>
          <w:b/>
          <w:color w:val="000000"/>
          <w:sz w:val="22"/>
          <w:szCs w:val="22"/>
        </w:rPr>
        <w:t>QUINTO. Estudio de Fondo</w:t>
      </w:r>
      <w:bookmarkEnd w:id="18"/>
    </w:p>
    <w:p w14:paraId="564F13F8" w14:textId="77777777" w:rsidR="00AC74D3" w:rsidRDefault="00AC74D3" w:rsidP="00A54B20">
      <w:pPr>
        <w:spacing w:line="360" w:lineRule="auto"/>
        <w:contextualSpacing/>
        <w:jc w:val="both"/>
        <w:rPr>
          <w:rFonts w:ascii="Palatino Linotype" w:eastAsia="Palatino Linotype" w:hAnsi="Palatino Linotype" w:cs="Palatino Linotype"/>
          <w:b/>
          <w:sz w:val="22"/>
          <w:szCs w:val="22"/>
        </w:rPr>
      </w:pPr>
    </w:p>
    <w:p w14:paraId="32BDE9BC"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Expuestas las posturas de las partes, se procede a realizar el análisis del agravio hecho valer por el ahora Recurrente, concerniente a la entrega de información incompleta por parte del Sujeto Obligado, por lo que en principio resulta necesario contextualizar la solicitud de información.</w:t>
      </w:r>
    </w:p>
    <w:p w14:paraId="3ABCA691" w14:textId="77777777" w:rsidR="00AC74D3" w:rsidRDefault="00AC74D3" w:rsidP="00A54B20">
      <w:pPr>
        <w:widowControl w:val="0"/>
        <w:spacing w:line="360" w:lineRule="auto"/>
        <w:contextualSpacing/>
        <w:jc w:val="both"/>
        <w:rPr>
          <w:rFonts w:ascii="Palatino Linotype" w:eastAsia="Palatino Linotype" w:hAnsi="Palatino Linotype" w:cs="Palatino Linotype"/>
          <w:sz w:val="22"/>
          <w:szCs w:val="22"/>
        </w:rPr>
      </w:pPr>
    </w:p>
    <w:p w14:paraId="07825972" w14:textId="77777777" w:rsidR="00622728" w:rsidRPr="003B4DAF" w:rsidRDefault="00622728" w:rsidP="00A54B20">
      <w:pPr>
        <w:widowControl w:val="0"/>
        <w:spacing w:line="360" w:lineRule="auto"/>
        <w:contextualSpacing/>
        <w:jc w:val="both"/>
        <w:rPr>
          <w:rFonts w:ascii="Palatino Linotype" w:hAnsi="Palatino Linotype" w:cs="Tahoma"/>
          <w:b/>
          <w:bCs/>
          <w:iCs/>
          <w:sz w:val="22"/>
          <w:szCs w:val="22"/>
        </w:rPr>
      </w:pPr>
      <w:r w:rsidRPr="003B4DAF">
        <w:rPr>
          <w:rFonts w:ascii="Palatino Linotype" w:hAnsi="Palatino Linotype" w:cs="Tahoma"/>
          <w:bCs/>
          <w:iCs/>
          <w:sz w:val="22"/>
          <w:szCs w:val="22"/>
        </w:rPr>
        <w:t xml:space="preserve">En principio,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w:t>
      </w:r>
      <w:r w:rsidRPr="003B4DAF">
        <w:rPr>
          <w:rFonts w:ascii="Palatino Linotype" w:hAnsi="Palatino Linotype" w:cs="Tahoma"/>
          <w:b/>
          <w:bCs/>
          <w:iCs/>
          <w:sz w:val="22"/>
          <w:szCs w:val="22"/>
        </w:rPr>
        <w:t>toda la información generada, obtenida, adquirida, transformada o en posesión de los sujetos obligados es pública y accesible a cualquier persona.</w:t>
      </w:r>
    </w:p>
    <w:p w14:paraId="2EAE1D5E"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 </w:t>
      </w:r>
    </w:p>
    <w:p w14:paraId="68A96667"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45CA73A8" w14:textId="77777777" w:rsidR="00622728" w:rsidRDefault="00622728" w:rsidP="00A54B20">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 </w:t>
      </w:r>
    </w:p>
    <w:p w14:paraId="22804145" w14:textId="77777777" w:rsidR="0099496E" w:rsidRPr="003B4DAF" w:rsidRDefault="0099496E" w:rsidP="00A54B20">
      <w:pPr>
        <w:widowControl w:val="0"/>
        <w:spacing w:line="360" w:lineRule="auto"/>
        <w:contextualSpacing/>
        <w:jc w:val="both"/>
        <w:rPr>
          <w:rFonts w:ascii="Palatino Linotype" w:hAnsi="Palatino Linotype" w:cs="Tahoma"/>
          <w:bCs/>
          <w:iCs/>
          <w:sz w:val="22"/>
          <w:szCs w:val="22"/>
        </w:rPr>
      </w:pPr>
    </w:p>
    <w:p w14:paraId="02C3BFA3"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lastRenderedPageBreak/>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2A9B8E42"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 </w:t>
      </w:r>
    </w:p>
    <w:p w14:paraId="2CAD3CBE"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0D000970"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 xml:space="preserve"> </w:t>
      </w:r>
    </w:p>
    <w:p w14:paraId="5576BAF1"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t>En ese contexto, los diversos 12 y 24 de dicho ordenamiento jurídico,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46EEA4AA"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p>
    <w:p w14:paraId="4C2FE3ED" w14:textId="77777777" w:rsidR="00622728" w:rsidRPr="003B4DAF" w:rsidRDefault="00622728" w:rsidP="00A54B20">
      <w:pPr>
        <w:spacing w:line="360" w:lineRule="auto"/>
        <w:contextualSpacing/>
        <w:jc w:val="both"/>
        <w:rPr>
          <w:rFonts w:ascii="Palatino Linotype" w:hAnsi="Palatino Linotype" w:cs="Tahoma"/>
          <w:bCs/>
          <w:sz w:val="22"/>
          <w:szCs w:val="22"/>
        </w:rPr>
      </w:pPr>
      <w:r w:rsidRPr="003B4DAF">
        <w:rPr>
          <w:rFonts w:ascii="Palatino Linotype" w:hAnsi="Palatino Linotype" w:cs="Tahoma"/>
          <w:bCs/>
          <w:iCs/>
          <w:sz w:val="22"/>
          <w:szCs w:val="22"/>
        </w:rPr>
        <w:t xml:space="preserve">Ahora bien, </w:t>
      </w:r>
      <w:r w:rsidRPr="003B4DAF">
        <w:rPr>
          <w:rFonts w:ascii="Palatino Linotype" w:hAnsi="Palatino Linotype"/>
          <w:sz w:val="22"/>
        </w:rPr>
        <w:t xml:space="preserve">según Trujillo, Humberto (2019), en el “Diccionario de Transparencia y Acceso a la Información Pública” (p. 122), el derecho de petición, es una prerrogativa </w:t>
      </w:r>
      <w:proofErr w:type="spellStart"/>
      <w:r w:rsidRPr="003B4DAF">
        <w:rPr>
          <w:rFonts w:ascii="Palatino Linotype" w:hAnsi="Palatino Linotype"/>
          <w:sz w:val="22"/>
        </w:rPr>
        <w:t>onstitucional</w:t>
      </w:r>
      <w:proofErr w:type="spellEnd"/>
      <w:r w:rsidRPr="003B4DAF">
        <w:rPr>
          <w:rFonts w:ascii="Palatino Linotype" w:hAnsi="Palatino Linotype"/>
          <w:sz w:val="22"/>
        </w:rPr>
        <w:t xml:space="preserve"> que tienen las personas para solicitar o reclamar a las autoridades públicas; por lo que, las instancias deben recibirlas y realizar una respuesta. </w:t>
      </w:r>
      <w:r w:rsidRPr="003B4DAF">
        <w:rPr>
          <w:rFonts w:ascii="Palatino Linotype" w:hAnsi="Palatino Linotype" w:cs="Tahoma"/>
          <w:bCs/>
          <w:sz w:val="22"/>
          <w:szCs w:val="22"/>
          <w:lang w:val="es-ES"/>
        </w:rPr>
        <w:t xml:space="preserve">Además, </w:t>
      </w:r>
      <w:r w:rsidRPr="003B4DAF">
        <w:rPr>
          <w:rFonts w:ascii="Palatino Linotype" w:hAnsi="Palatino Linotype" w:cs="Tahoma"/>
          <w:bCs/>
          <w:sz w:val="22"/>
          <w:szCs w:val="22"/>
        </w:rPr>
        <w:t xml:space="preserve">la Jurisprudencia XXI.1o.P.A. J/27, de los Tribunales Colegiados de Circuito, localizada en la página 1406, del Semanario Judicial de la Federación y su Gaceta, Tomo </w:t>
      </w:r>
      <w:r w:rsidRPr="003B4DAF">
        <w:rPr>
          <w:rFonts w:ascii="Palatino Linotype" w:hAnsi="Palatino Linotype" w:cs="Tahoma"/>
          <w:bCs/>
          <w:sz w:val="22"/>
          <w:szCs w:val="22"/>
          <w:lang w:val="es-ES"/>
        </w:rPr>
        <w:t>XXXIII</w:t>
      </w:r>
      <w:r w:rsidRPr="003B4DAF">
        <w:rPr>
          <w:rFonts w:ascii="Palatino Linotype" w:hAnsi="Palatino Linotype" w:cs="Tahoma"/>
          <w:bCs/>
          <w:sz w:val="22"/>
          <w:szCs w:val="22"/>
        </w:rPr>
        <w:t>, marzo 2011, Novena Época, que establece lo siguiente:</w:t>
      </w:r>
    </w:p>
    <w:p w14:paraId="321A145D" w14:textId="77777777" w:rsidR="00622728" w:rsidRPr="003B4DAF" w:rsidRDefault="00622728" w:rsidP="00A54B20">
      <w:pPr>
        <w:spacing w:line="360" w:lineRule="auto"/>
        <w:ind w:left="567" w:right="567"/>
        <w:contextualSpacing/>
        <w:jc w:val="both"/>
        <w:rPr>
          <w:rFonts w:ascii="Palatino Linotype" w:hAnsi="Palatino Linotype" w:cs="Tahoma"/>
          <w:bCs/>
          <w:i/>
          <w:lang w:val="es-ES"/>
        </w:rPr>
      </w:pPr>
      <w:r w:rsidRPr="003B4DAF">
        <w:rPr>
          <w:rFonts w:ascii="Palatino Linotype" w:hAnsi="Palatino Linotype" w:cs="Tahoma"/>
          <w:b/>
          <w:bCs/>
          <w:i/>
          <w:lang w:val="es-ES"/>
        </w:rPr>
        <w:lastRenderedPageBreak/>
        <w:t xml:space="preserve">“DERECHO DE PETICIÓN. SUS ELEMENTOS. </w:t>
      </w:r>
      <w:r w:rsidRPr="003B4DAF">
        <w:rPr>
          <w:rFonts w:ascii="Palatino Linotype" w:hAnsi="Palatino Linotype" w:cs="Tahoma"/>
          <w:bCs/>
          <w:i/>
          <w:lang w:val="es-ES"/>
        </w:rPr>
        <w:t xml:space="preserve">El denominado "derecho de petición", acorde con los criterios de los tribunales del Poder Judicial de la Federación, es la garantía individual consagrada en el artículo 8o. de la Constitución Política de los Estados Unidos Mexicanos, en función de la cual cualquier gobernado que presente una petición ante una autoridad, tiene derecho a recibir una respuesta. Así, su ejercicio por el particular y la correlativa obligación de la autoridad de producir una respuesta, se caracterizan por los elementos siguientes: A. La petición: debe formularse de manera pacífica y respetuosa, dirigirse a una autoridad y recabarse la constancia de que fue entregada; además de que el peticionario ha de proporcionar el domicilio para recibir la respuesta. B. La respuesta: la autoridad debe emitir un acuerdo en breve término, entendiéndose por éste el que racionalmente se requiera para estudiar la petición y acordarla, que tendrá que ser congruente con la petición y la autoridad debe notificar el acuerdo recaído a la petición en forma personal al gobernado en el domicilio que señaló para tales efectos, sin que exista obligación de resolver en determinado sentido, esto es, el ejercicio del derecho de petición no constriñe a la autoridad ante quien se formuló, a que provea de conformidad lo solicitado por el </w:t>
      </w:r>
      <w:proofErr w:type="spellStart"/>
      <w:r w:rsidRPr="003B4DAF">
        <w:rPr>
          <w:rFonts w:ascii="Palatino Linotype" w:hAnsi="Palatino Linotype" w:cs="Tahoma"/>
          <w:bCs/>
          <w:i/>
          <w:lang w:val="es-ES"/>
        </w:rPr>
        <w:t>promovente</w:t>
      </w:r>
      <w:proofErr w:type="spellEnd"/>
      <w:r w:rsidRPr="003B4DAF">
        <w:rPr>
          <w:rFonts w:ascii="Palatino Linotype" w:hAnsi="Palatino Linotype" w:cs="Tahoma"/>
          <w:bCs/>
          <w:i/>
          <w:lang w:val="es-ES"/>
        </w:rPr>
        <w:t>, sino que está en libertad de resolver de conformidad con los ordenamientos que resulten aplicables al caso, y la respuesta o trámite que se dé a la petición debe ser comunicada precisamente por la autoridad ante quien se ejercitó el derecho, y no por otra diversa.”</w:t>
      </w:r>
    </w:p>
    <w:p w14:paraId="2D8BEFA8" w14:textId="77777777" w:rsidR="00622728" w:rsidRPr="003B4DAF" w:rsidRDefault="00622728" w:rsidP="00A54B20">
      <w:pPr>
        <w:spacing w:line="360" w:lineRule="auto"/>
        <w:contextualSpacing/>
        <w:jc w:val="both"/>
        <w:rPr>
          <w:rFonts w:ascii="Palatino Linotype" w:hAnsi="Palatino Linotype" w:cs="Tahoma"/>
          <w:bCs/>
          <w:sz w:val="22"/>
          <w:szCs w:val="22"/>
          <w:lang w:val="es-ES"/>
        </w:rPr>
      </w:pPr>
    </w:p>
    <w:p w14:paraId="6C75B886" w14:textId="77777777" w:rsidR="00622728" w:rsidRPr="003B4DAF" w:rsidRDefault="00622728" w:rsidP="00A54B20">
      <w:pPr>
        <w:spacing w:line="360" w:lineRule="auto"/>
        <w:contextualSpacing/>
        <w:jc w:val="both"/>
        <w:rPr>
          <w:rFonts w:ascii="Palatino Linotype" w:hAnsi="Palatino Linotype" w:cs="Tahoma"/>
          <w:bCs/>
          <w:sz w:val="22"/>
          <w:szCs w:val="22"/>
          <w:lang w:val="es-ES"/>
        </w:rPr>
      </w:pPr>
      <w:r w:rsidRPr="003B4DAF">
        <w:rPr>
          <w:rFonts w:ascii="Palatino Linotype" w:hAnsi="Palatino Linotype" w:cs="Tahoma"/>
          <w:bCs/>
          <w:sz w:val="22"/>
          <w:szCs w:val="22"/>
          <w:lang w:val="es-ES"/>
        </w:rPr>
        <w:t>De la Jurisprudencia citada, se advierte que el derecho de petición es una prerrogativa individual consagrada en el artículo 8° de la Constitución Política de los Estados Unidos Mexicanos, con el fin de que cualquier ciudadano o persona, presente una petición de manera pacífica y respetuosa (pregunta, consulta, duda, acción, entre otros), ante una autoridad, por lo que, tiene derecho de recibir una respuesta.</w:t>
      </w:r>
    </w:p>
    <w:p w14:paraId="7B34EB3B" w14:textId="77777777" w:rsidR="00622728" w:rsidRPr="003B4DAF" w:rsidRDefault="00622728" w:rsidP="00A54B20">
      <w:pPr>
        <w:widowControl w:val="0"/>
        <w:spacing w:line="360" w:lineRule="auto"/>
        <w:contextualSpacing/>
        <w:jc w:val="both"/>
        <w:rPr>
          <w:rFonts w:ascii="Palatino Linotype" w:hAnsi="Palatino Linotype" w:cs="Tahoma"/>
          <w:bCs/>
          <w:iCs/>
          <w:sz w:val="22"/>
          <w:szCs w:val="22"/>
        </w:rPr>
      </w:pPr>
    </w:p>
    <w:p w14:paraId="1DECF5D7" w14:textId="77777777" w:rsidR="00622728" w:rsidRPr="00622728" w:rsidRDefault="00622728" w:rsidP="00A54B20">
      <w:pPr>
        <w:spacing w:line="360" w:lineRule="auto"/>
        <w:contextualSpacing/>
        <w:jc w:val="both"/>
        <w:rPr>
          <w:rFonts w:ascii="Palatino Linotype" w:hAnsi="Palatino Linotype" w:cs="Tahoma"/>
          <w:bCs/>
          <w:iCs/>
          <w:sz w:val="22"/>
          <w:szCs w:val="22"/>
        </w:rPr>
      </w:pPr>
      <w:r w:rsidRPr="00622728">
        <w:rPr>
          <w:rFonts w:ascii="Palatino Linotype" w:hAnsi="Palatino Linotype" w:cs="Tahoma"/>
          <w:bCs/>
          <w:iCs/>
          <w:sz w:val="22"/>
          <w:szCs w:val="22"/>
        </w:rPr>
        <w:t xml:space="preserve">En principio, resulta necesario traer a estudio los artículos 89 y 90 del Bando Municipal de Toluca, dos mil veinticinco, en relación con los artículos 2.1, 2.2, 2.3, y 2.4 Bis del Código Reglamentario Municipal de Toluca, en los cuales se establece que el Ayuntamiento contará </w:t>
      </w:r>
      <w:r w:rsidRPr="00622728">
        <w:rPr>
          <w:rFonts w:ascii="Palatino Linotype" w:hAnsi="Palatino Linotype" w:cs="Tahoma"/>
          <w:bCs/>
          <w:iCs/>
          <w:sz w:val="22"/>
          <w:szCs w:val="22"/>
        </w:rPr>
        <w:lastRenderedPageBreak/>
        <w:t>con un cuerpo colegiado denominado Ayuntamiento que se integrará por el presidente municipal, dos síndicos, y doce regidores.</w:t>
      </w:r>
    </w:p>
    <w:p w14:paraId="12068879" w14:textId="77777777" w:rsidR="00622728" w:rsidRDefault="00622728" w:rsidP="00A54B20">
      <w:pPr>
        <w:spacing w:line="360" w:lineRule="auto"/>
        <w:contextualSpacing/>
        <w:jc w:val="both"/>
        <w:rPr>
          <w:rFonts w:ascii="Palatino Linotype" w:eastAsia="Palatino Linotype" w:hAnsi="Palatino Linotype" w:cs="Palatino Linotype"/>
          <w:sz w:val="22"/>
          <w:szCs w:val="22"/>
        </w:rPr>
      </w:pPr>
    </w:p>
    <w:p w14:paraId="79398360" w14:textId="77777777" w:rsidR="00622728" w:rsidRPr="00622728" w:rsidRDefault="00622728" w:rsidP="00A54B20">
      <w:p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sz w:val="22"/>
          <w:szCs w:val="22"/>
        </w:rPr>
        <w:t>En este contexto, resulta oportuno traer al estudio el Bando Municipal de Toluca, dos mil veinticinco, en el cual se logró localizar que el Ayuntamiento de Toluca Administración 2025-2027 se encuentra integrado conforme a lo siguiente:</w:t>
      </w:r>
    </w:p>
    <w:p w14:paraId="2E720219" w14:textId="77777777" w:rsidR="00622728" w:rsidRPr="00622728" w:rsidRDefault="00622728" w:rsidP="00A54B20">
      <w:p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sz w:val="22"/>
          <w:szCs w:val="22"/>
        </w:rPr>
        <w:t xml:space="preserve"> </w:t>
      </w:r>
    </w:p>
    <w:p w14:paraId="66C7353F"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Presidente Municipal Constitucional</w:t>
      </w:r>
      <w:r w:rsidRPr="00622728">
        <w:rPr>
          <w:rFonts w:ascii="Palatino Linotype" w:eastAsia="Palatino Linotype" w:hAnsi="Palatino Linotype" w:cs="Palatino Linotype"/>
          <w:sz w:val="22"/>
          <w:szCs w:val="22"/>
        </w:rPr>
        <w:t xml:space="preserve"> (Ricardo Moreno Bastida);</w:t>
      </w:r>
    </w:p>
    <w:p w14:paraId="0352ACA0"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Primera Síndica</w:t>
      </w:r>
      <w:r w:rsidRPr="00622728">
        <w:rPr>
          <w:rFonts w:ascii="Palatino Linotype" w:eastAsia="Palatino Linotype" w:hAnsi="Palatino Linotype" w:cs="Palatino Linotype"/>
          <w:sz w:val="22"/>
          <w:szCs w:val="22"/>
        </w:rPr>
        <w:t xml:space="preserve"> (</w:t>
      </w:r>
      <w:proofErr w:type="spellStart"/>
      <w:r w:rsidRPr="00622728">
        <w:rPr>
          <w:rFonts w:ascii="Palatino Linotype" w:eastAsia="Palatino Linotype" w:hAnsi="Palatino Linotype" w:cs="Palatino Linotype"/>
          <w:sz w:val="22"/>
          <w:szCs w:val="22"/>
        </w:rPr>
        <w:t>Yazmín</w:t>
      </w:r>
      <w:proofErr w:type="spellEnd"/>
      <w:r w:rsidRPr="00622728">
        <w:rPr>
          <w:rFonts w:ascii="Palatino Linotype" w:eastAsia="Palatino Linotype" w:hAnsi="Palatino Linotype" w:cs="Palatino Linotype"/>
          <w:sz w:val="22"/>
          <w:szCs w:val="22"/>
        </w:rPr>
        <w:t xml:space="preserve"> Nájera Romero);</w:t>
      </w:r>
    </w:p>
    <w:p w14:paraId="15B51779"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Segundo Síndico</w:t>
      </w:r>
      <w:r w:rsidRPr="00622728">
        <w:rPr>
          <w:rFonts w:ascii="Palatino Linotype" w:eastAsia="Palatino Linotype" w:hAnsi="Palatino Linotype" w:cs="Palatino Linotype"/>
          <w:sz w:val="22"/>
          <w:szCs w:val="22"/>
        </w:rPr>
        <w:t xml:space="preserve"> (Jaime Amado López Gómez);</w:t>
      </w:r>
    </w:p>
    <w:p w14:paraId="5F5229EA"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Primer Regidor</w:t>
      </w:r>
      <w:r w:rsidRPr="00622728">
        <w:rPr>
          <w:rFonts w:ascii="Palatino Linotype" w:eastAsia="Palatino Linotype" w:hAnsi="Palatino Linotype" w:cs="Palatino Linotype"/>
          <w:sz w:val="22"/>
          <w:szCs w:val="22"/>
        </w:rPr>
        <w:t xml:space="preserve"> (Mario Magno Díaz);</w:t>
      </w:r>
    </w:p>
    <w:p w14:paraId="6E1EE63F"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Segunda Regidora</w:t>
      </w:r>
      <w:r w:rsidRPr="00622728">
        <w:rPr>
          <w:rFonts w:ascii="Palatino Linotype" w:eastAsia="Palatino Linotype" w:hAnsi="Palatino Linotype" w:cs="Palatino Linotype"/>
          <w:sz w:val="22"/>
          <w:szCs w:val="22"/>
        </w:rPr>
        <w:t xml:space="preserve"> (Ana Victoria Pliego Tapia); </w:t>
      </w:r>
    </w:p>
    <w:p w14:paraId="327402D6"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Tercer Regidor</w:t>
      </w:r>
      <w:r w:rsidRPr="00622728">
        <w:rPr>
          <w:rFonts w:ascii="Palatino Linotype" w:eastAsia="Palatino Linotype" w:hAnsi="Palatino Linotype" w:cs="Palatino Linotype"/>
          <w:sz w:val="22"/>
          <w:szCs w:val="22"/>
        </w:rPr>
        <w:t xml:space="preserve"> (Edgardo Rebollar Pérez);</w:t>
      </w:r>
    </w:p>
    <w:p w14:paraId="279DA0A3"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Cuarta Regidora</w:t>
      </w:r>
      <w:r w:rsidRPr="00622728">
        <w:rPr>
          <w:rFonts w:ascii="Palatino Linotype" w:eastAsia="Palatino Linotype" w:hAnsi="Palatino Linotype" w:cs="Palatino Linotype"/>
          <w:sz w:val="22"/>
          <w:szCs w:val="22"/>
        </w:rPr>
        <w:t xml:space="preserve"> (Belém Garay Garduño);</w:t>
      </w:r>
    </w:p>
    <w:p w14:paraId="65285F56"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Quinto Regidor</w:t>
      </w:r>
      <w:r w:rsidRPr="00622728">
        <w:rPr>
          <w:rFonts w:ascii="Palatino Linotype" w:eastAsia="Palatino Linotype" w:hAnsi="Palatino Linotype" w:cs="Palatino Linotype"/>
          <w:sz w:val="22"/>
          <w:szCs w:val="22"/>
        </w:rPr>
        <w:t xml:space="preserve"> (Víctor Armando Díaz Rodríguez);</w:t>
      </w:r>
    </w:p>
    <w:p w14:paraId="58DE4314"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Sexta Regidora</w:t>
      </w:r>
      <w:r w:rsidRPr="00622728">
        <w:rPr>
          <w:rFonts w:ascii="Palatino Linotype" w:eastAsia="Palatino Linotype" w:hAnsi="Palatino Linotype" w:cs="Palatino Linotype"/>
          <w:sz w:val="22"/>
          <w:szCs w:val="22"/>
        </w:rPr>
        <w:t xml:space="preserve"> (Edna Viridiana Flores Santa Olalla);</w:t>
      </w:r>
    </w:p>
    <w:p w14:paraId="61C03220"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Séptima Regidora</w:t>
      </w:r>
      <w:r w:rsidRPr="00622728">
        <w:rPr>
          <w:rFonts w:ascii="Palatino Linotype" w:eastAsia="Palatino Linotype" w:hAnsi="Palatino Linotype" w:cs="Palatino Linotype"/>
          <w:sz w:val="22"/>
          <w:szCs w:val="22"/>
        </w:rPr>
        <w:t xml:space="preserve"> (Clara Patricia Medel Díaz);</w:t>
      </w:r>
    </w:p>
    <w:p w14:paraId="254FE9FE"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Octava Regidora</w:t>
      </w:r>
      <w:r w:rsidRPr="00622728">
        <w:rPr>
          <w:rFonts w:ascii="Palatino Linotype" w:eastAsia="Palatino Linotype" w:hAnsi="Palatino Linotype" w:cs="Palatino Linotype"/>
          <w:sz w:val="22"/>
          <w:szCs w:val="22"/>
        </w:rPr>
        <w:t xml:space="preserve"> (</w:t>
      </w:r>
      <w:proofErr w:type="spellStart"/>
      <w:r w:rsidRPr="00622728">
        <w:rPr>
          <w:rFonts w:ascii="Palatino Linotype" w:eastAsia="Palatino Linotype" w:hAnsi="Palatino Linotype" w:cs="Palatino Linotype"/>
          <w:sz w:val="22"/>
          <w:szCs w:val="22"/>
        </w:rPr>
        <w:t>Shantall</w:t>
      </w:r>
      <w:proofErr w:type="spellEnd"/>
      <w:r w:rsidRPr="00622728">
        <w:rPr>
          <w:rFonts w:ascii="Palatino Linotype" w:eastAsia="Palatino Linotype" w:hAnsi="Palatino Linotype" w:cs="Palatino Linotype"/>
          <w:sz w:val="22"/>
          <w:szCs w:val="22"/>
        </w:rPr>
        <w:t xml:space="preserve"> Zepeda Escobar);</w:t>
      </w:r>
    </w:p>
    <w:p w14:paraId="05D06C20"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Novena Regidora</w:t>
      </w:r>
      <w:r w:rsidRPr="00622728">
        <w:rPr>
          <w:rFonts w:ascii="Palatino Linotype" w:eastAsia="Palatino Linotype" w:hAnsi="Palatino Linotype" w:cs="Palatino Linotype"/>
          <w:sz w:val="22"/>
          <w:szCs w:val="22"/>
        </w:rPr>
        <w:t xml:space="preserve"> (Araceli Mendoza Flores);</w:t>
      </w:r>
    </w:p>
    <w:p w14:paraId="27D0B99B"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Décima Regidora</w:t>
      </w:r>
      <w:r w:rsidRPr="00622728">
        <w:rPr>
          <w:rFonts w:ascii="Palatino Linotype" w:eastAsia="Palatino Linotype" w:hAnsi="Palatino Linotype" w:cs="Palatino Linotype"/>
          <w:sz w:val="22"/>
          <w:szCs w:val="22"/>
        </w:rPr>
        <w:t xml:space="preserve"> (Irma Carolina Álvarez Mendoza);</w:t>
      </w:r>
    </w:p>
    <w:p w14:paraId="0D6D28B5"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Décimo Primer Regidor</w:t>
      </w:r>
      <w:r w:rsidRPr="00622728">
        <w:rPr>
          <w:rFonts w:ascii="Palatino Linotype" w:eastAsia="Palatino Linotype" w:hAnsi="Palatino Linotype" w:cs="Palatino Linotype"/>
          <w:sz w:val="22"/>
          <w:szCs w:val="22"/>
        </w:rPr>
        <w:t xml:space="preserve"> (Luis Felipe García Chávez); y</w:t>
      </w:r>
    </w:p>
    <w:p w14:paraId="2FBF607A" w14:textId="77777777" w:rsidR="00622728" w:rsidRPr="00622728" w:rsidRDefault="00622728" w:rsidP="00A54B20">
      <w:pPr>
        <w:numPr>
          <w:ilvl w:val="0"/>
          <w:numId w:val="11"/>
        </w:numPr>
        <w:spacing w:line="360" w:lineRule="auto"/>
        <w:contextualSpacing/>
        <w:jc w:val="both"/>
        <w:rPr>
          <w:rFonts w:ascii="Palatino Linotype" w:eastAsia="Palatino Linotype" w:hAnsi="Palatino Linotype" w:cs="Palatino Linotype"/>
          <w:sz w:val="22"/>
          <w:szCs w:val="22"/>
        </w:rPr>
      </w:pPr>
      <w:r w:rsidRPr="00622728">
        <w:rPr>
          <w:rFonts w:ascii="Palatino Linotype" w:eastAsia="Palatino Linotype" w:hAnsi="Palatino Linotype" w:cs="Palatino Linotype"/>
          <w:b/>
          <w:sz w:val="22"/>
          <w:szCs w:val="22"/>
        </w:rPr>
        <w:t>Décima Segunda Regidora</w:t>
      </w:r>
      <w:r w:rsidRPr="00622728">
        <w:rPr>
          <w:rFonts w:ascii="Palatino Linotype" w:eastAsia="Palatino Linotype" w:hAnsi="Palatino Linotype" w:cs="Palatino Linotype"/>
          <w:sz w:val="22"/>
          <w:szCs w:val="22"/>
        </w:rPr>
        <w:t xml:space="preserve"> (Cristina Sierra Castillo).</w:t>
      </w:r>
    </w:p>
    <w:p w14:paraId="6AA6B3FC" w14:textId="77777777" w:rsidR="00622728" w:rsidRDefault="00622728" w:rsidP="00A54B20">
      <w:pPr>
        <w:spacing w:line="360" w:lineRule="auto"/>
        <w:contextualSpacing/>
        <w:jc w:val="both"/>
        <w:rPr>
          <w:rFonts w:ascii="Palatino Linotype" w:eastAsia="Palatino Linotype" w:hAnsi="Palatino Linotype" w:cs="Palatino Linotype"/>
          <w:sz w:val="22"/>
          <w:szCs w:val="22"/>
        </w:rPr>
      </w:pPr>
    </w:p>
    <w:p w14:paraId="673FD3B9" w14:textId="2776EF54" w:rsidR="0099496E" w:rsidRPr="00237141" w:rsidRDefault="00237141" w:rsidP="00A54B20">
      <w:pPr>
        <w:spacing w:line="360" w:lineRule="auto"/>
        <w:contextualSpacing/>
        <w:jc w:val="both"/>
        <w:rPr>
          <w:rFonts w:ascii="Palatino Linotype" w:hAnsi="Palatino Linotype" w:cs="Tahoma"/>
          <w:bCs/>
          <w:iCs/>
          <w:sz w:val="22"/>
          <w:szCs w:val="22"/>
          <w:lang w:val="es-ES"/>
        </w:rPr>
      </w:pPr>
      <w:r w:rsidRPr="003B4DAF">
        <w:rPr>
          <w:rFonts w:ascii="Palatino Linotype" w:hAnsi="Palatino Linotype" w:cs="Tahoma"/>
          <w:bCs/>
          <w:iCs/>
          <w:sz w:val="22"/>
          <w:szCs w:val="22"/>
          <w:lang w:val="es-ES"/>
        </w:rPr>
        <w:t xml:space="preserve">Conforme a lo anterior, se logra vislumbrar que la pretensión del Particular es obtener los documentos que den cuenta de </w:t>
      </w:r>
      <w:r w:rsidR="00622728" w:rsidRPr="00C877E2">
        <w:rPr>
          <w:rFonts w:ascii="Palatino Linotype" w:hAnsi="Palatino Linotype" w:cs="Tahoma"/>
          <w:sz w:val="22"/>
          <w:szCs w:val="22"/>
        </w:rPr>
        <w:t xml:space="preserve">las peticiones </w:t>
      </w:r>
      <w:r w:rsidR="0099496E">
        <w:rPr>
          <w:rFonts w:ascii="Palatino Linotype" w:hAnsi="Palatino Linotype" w:cs="Tahoma"/>
          <w:sz w:val="22"/>
          <w:szCs w:val="22"/>
        </w:rPr>
        <w:t xml:space="preserve">presentadas por la </w:t>
      </w:r>
      <w:proofErr w:type="spellStart"/>
      <w:r w:rsidR="0099496E">
        <w:rPr>
          <w:rFonts w:ascii="Palatino Linotype" w:hAnsi="Palatino Linotype" w:cs="Tahoma"/>
          <w:sz w:val="22"/>
          <w:szCs w:val="22"/>
        </w:rPr>
        <w:t>ciuadanaía</w:t>
      </w:r>
      <w:proofErr w:type="spellEnd"/>
      <w:r w:rsidR="0099496E">
        <w:rPr>
          <w:rFonts w:ascii="Palatino Linotype" w:hAnsi="Palatino Linotype" w:cs="Tahoma"/>
          <w:sz w:val="22"/>
          <w:szCs w:val="22"/>
        </w:rPr>
        <w:t xml:space="preserve"> a la Sexta </w:t>
      </w:r>
      <w:r w:rsidR="0099496E">
        <w:rPr>
          <w:rFonts w:ascii="Palatino Linotype" w:hAnsi="Palatino Linotype" w:cs="Tahoma"/>
          <w:sz w:val="22"/>
          <w:szCs w:val="22"/>
        </w:rPr>
        <w:lastRenderedPageBreak/>
        <w:t xml:space="preserve">Regidora </w:t>
      </w:r>
      <w:r w:rsidR="0099496E" w:rsidRPr="00622728">
        <w:rPr>
          <w:rFonts w:ascii="Palatino Linotype" w:eastAsia="Palatino Linotype" w:hAnsi="Palatino Linotype" w:cs="Palatino Linotype"/>
          <w:sz w:val="22"/>
          <w:szCs w:val="22"/>
        </w:rPr>
        <w:t>(Edna Viridiana Flores Santa Olalla)</w:t>
      </w:r>
      <w:r w:rsidR="0099496E">
        <w:rPr>
          <w:rFonts w:ascii="Palatino Linotype" w:eastAsia="Palatino Linotype" w:hAnsi="Palatino Linotype" w:cs="Palatino Linotype"/>
          <w:sz w:val="22"/>
          <w:szCs w:val="22"/>
        </w:rPr>
        <w:t>,</w:t>
      </w:r>
      <w:r w:rsidR="0099496E" w:rsidRPr="0099496E">
        <w:rPr>
          <w:rFonts w:ascii="Palatino Linotype" w:hAnsi="Palatino Linotype" w:cs="Tahoma"/>
          <w:sz w:val="22"/>
          <w:szCs w:val="22"/>
        </w:rPr>
        <w:t xml:space="preserve"> </w:t>
      </w:r>
      <w:r w:rsidR="0099496E">
        <w:rPr>
          <w:rFonts w:ascii="Palatino Linotype" w:hAnsi="Palatino Linotype" w:cs="Tahoma"/>
          <w:sz w:val="22"/>
          <w:szCs w:val="22"/>
        </w:rPr>
        <w:t>del primero de enero al diez de noviembre de dos mil veinticinco, con sus respectivas respuestas.</w:t>
      </w:r>
    </w:p>
    <w:p w14:paraId="7B328FD4" w14:textId="16AA5DF1" w:rsidR="0099496E" w:rsidRDefault="0099496E" w:rsidP="00A54B20">
      <w:pPr>
        <w:widowControl w:val="0"/>
        <w:spacing w:line="360" w:lineRule="auto"/>
        <w:contextualSpacing/>
        <w:jc w:val="both"/>
        <w:rPr>
          <w:rFonts w:ascii="Palatino Linotype" w:hAnsi="Palatino Linotype" w:cs="Tahoma"/>
          <w:sz w:val="22"/>
          <w:szCs w:val="22"/>
        </w:rPr>
      </w:pPr>
    </w:p>
    <w:p w14:paraId="3B3ED64D" w14:textId="43E20D91" w:rsidR="00AC74D3" w:rsidRDefault="00AC74D3"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Así, de las constancias que obran en el expediente, se logra vislumbrar que el Sujeto Obligado turnó la solicitud de información a la </w:t>
      </w:r>
      <w:r w:rsidR="00237141">
        <w:rPr>
          <w:rFonts w:ascii="Palatino Linotype" w:eastAsia="Palatino Linotype" w:hAnsi="Palatino Linotype" w:cs="Palatino Linotype"/>
          <w:sz w:val="22"/>
          <w:szCs w:val="22"/>
        </w:rPr>
        <w:t>Sexta Regidora</w:t>
      </w:r>
      <w:r>
        <w:rPr>
          <w:rFonts w:ascii="Palatino Linotype" w:eastAsia="Palatino Linotype" w:hAnsi="Palatino Linotype" w:cs="Palatino Linotype"/>
          <w:sz w:val="22"/>
          <w:szCs w:val="22"/>
        </w:rPr>
        <w:t>, competente para conocer sobre lo peticionado, por lo que se considera que cumplió con el procedimiento de búsqueda previamente establecido en el artículo 162 de la Ley de la materia.</w:t>
      </w:r>
    </w:p>
    <w:p w14:paraId="68CADC86" w14:textId="77777777" w:rsidR="00C71821" w:rsidRDefault="00C71821" w:rsidP="00A54B20">
      <w:pPr>
        <w:spacing w:line="360" w:lineRule="auto"/>
        <w:contextualSpacing/>
        <w:jc w:val="both"/>
        <w:rPr>
          <w:rFonts w:ascii="Palatino Linotype" w:eastAsia="Palatino Linotype" w:hAnsi="Palatino Linotype" w:cs="Palatino Linotype"/>
          <w:sz w:val="22"/>
          <w:szCs w:val="22"/>
        </w:rPr>
      </w:pPr>
    </w:p>
    <w:p w14:paraId="0E1FF850" w14:textId="0BF92E61" w:rsidR="00C71821" w:rsidRDefault="00F02F50" w:rsidP="00A54B20">
      <w:pPr>
        <w:spacing w:line="360" w:lineRule="auto"/>
        <w:contextualSpacing/>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Ahora bien, en respuesta</w:t>
      </w:r>
      <w:r w:rsidR="0099496E">
        <w:rPr>
          <w:rFonts w:ascii="Palatino Linotype" w:eastAsia="Palatino Linotype" w:hAnsi="Palatino Linotype" w:cs="Palatino Linotype"/>
          <w:sz w:val="22"/>
          <w:szCs w:val="22"/>
        </w:rPr>
        <w:t xml:space="preserve"> y en</w:t>
      </w:r>
      <w:r>
        <w:rPr>
          <w:rFonts w:ascii="Palatino Linotype" w:eastAsia="Palatino Linotype" w:hAnsi="Palatino Linotype" w:cs="Palatino Linotype"/>
          <w:sz w:val="22"/>
          <w:szCs w:val="22"/>
        </w:rPr>
        <w:t xml:space="preserve"> informe justificado </w:t>
      </w:r>
      <w:r w:rsidR="0099496E">
        <w:rPr>
          <w:rFonts w:ascii="Palatino Linotype" w:eastAsia="Palatino Linotype" w:hAnsi="Palatino Linotype" w:cs="Palatino Linotype"/>
          <w:sz w:val="22"/>
          <w:szCs w:val="22"/>
        </w:rPr>
        <w:t>el área competente</w:t>
      </w:r>
      <w:r>
        <w:rPr>
          <w:rFonts w:ascii="Palatino Linotype" w:eastAsia="Palatino Linotype" w:hAnsi="Palatino Linotype" w:cs="Palatino Linotype"/>
          <w:sz w:val="22"/>
          <w:szCs w:val="22"/>
        </w:rPr>
        <w:t xml:space="preserve"> proporcionó diversos oficios de </w:t>
      </w:r>
      <w:r w:rsidR="002C28F2">
        <w:rPr>
          <w:rFonts w:ascii="Palatino Linotype" w:eastAsia="Palatino Linotype" w:hAnsi="Palatino Linotype" w:cs="Palatino Linotype"/>
          <w:sz w:val="22"/>
          <w:szCs w:val="22"/>
        </w:rPr>
        <w:t>peticiones de personas físicas, organizaciones de la sociedad civil, así como de autoridades auxiliares</w:t>
      </w:r>
      <w:r>
        <w:rPr>
          <w:rFonts w:ascii="Palatino Linotype" w:eastAsia="Palatino Linotype" w:hAnsi="Palatino Linotype" w:cs="Palatino Linotype"/>
          <w:sz w:val="22"/>
          <w:szCs w:val="22"/>
        </w:rPr>
        <w:t>, así como las respuestas proporcionadas</w:t>
      </w:r>
      <w:r w:rsidR="002C28F2">
        <w:rPr>
          <w:rFonts w:ascii="Palatino Linotype" w:eastAsia="Palatino Linotype" w:hAnsi="Palatino Linotype" w:cs="Palatino Linotype"/>
          <w:sz w:val="22"/>
          <w:szCs w:val="22"/>
        </w:rPr>
        <w:t xml:space="preserve"> y anexos respectivos</w:t>
      </w:r>
      <w:r>
        <w:rPr>
          <w:rFonts w:ascii="Palatino Linotype" w:eastAsia="Palatino Linotype" w:hAnsi="Palatino Linotype" w:cs="Palatino Linotype"/>
          <w:sz w:val="22"/>
          <w:szCs w:val="22"/>
        </w:rPr>
        <w:t xml:space="preserve"> en versión pública</w:t>
      </w:r>
      <w:r w:rsidR="002C28F2">
        <w:rPr>
          <w:rFonts w:ascii="Palatino Linotype" w:eastAsia="Palatino Linotype" w:hAnsi="Palatino Linotype" w:cs="Palatino Linotype"/>
          <w:sz w:val="22"/>
          <w:szCs w:val="22"/>
        </w:rPr>
        <w:t>, sin embargo, de la revisión de los documentos referidos, los mismos no pueden ser validados en su totalidad con base en las siguientes consideraciones:</w:t>
      </w:r>
    </w:p>
    <w:p w14:paraId="5598E967" w14:textId="77777777" w:rsidR="002C28F2" w:rsidRDefault="002C28F2" w:rsidP="00A54B20">
      <w:pPr>
        <w:spacing w:line="360" w:lineRule="auto"/>
        <w:contextualSpacing/>
        <w:jc w:val="both"/>
        <w:rPr>
          <w:rFonts w:ascii="Palatino Linotype" w:eastAsia="Palatino Linotype" w:hAnsi="Palatino Linotype" w:cs="Palatino Linotype"/>
          <w:sz w:val="22"/>
          <w:szCs w:val="22"/>
        </w:rPr>
      </w:pPr>
      <w:bookmarkStart w:id="19" w:name="_Hlk222922521"/>
    </w:p>
    <w:p w14:paraId="17610A7D" w14:textId="7594334B" w:rsidR="002C28F2" w:rsidRDefault="002C28F2" w:rsidP="00A54B20">
      <w:pPr>
        <w:pStyle w:val="Prrafodelista"/>
        <w:numPr>
          <w:ilvl w:val="0"/>
          <w:numId w:val="20"/>
        </w:num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Los oficios de petición</w:t>
      </w:r>
      <w:r w:rsidR="00A0257C">
        <w:rPr>
          <w:rFonts w:ascii="Palatino Linotype" w:eastAsia="Palatino Linotype" w:hAnsi="Palatino Linotype" w:cs="Palatino Linotype"/>
          <w:sz w:val="22"/>
          <w:szCs w:val="22"/>
        </w:rPr>
        <w:t xml:space="preserve"> </w:t>
      </w:r>
      <w:r>
        <w:rPr>
          <w:rFonts w:ascii="Palatino Linotype" w:eastAsia="Palatino Linotype" w:hAnsi="Palatino Linotype" w:cs="Palatino Linotype"/>
          <w:sz w:val="22"/>
          <w:szCs w:val="22"/>
        </w:rPr>
        <w:t>y sus respuestas se encuentran incompletos ya que no se proporcionaron en toda la temporalidad requerida, es decir, del primero de enero al diez de noviembre de dos mil veinticinco;</w:t>
      </w:r>
    </w:p>
    <w:p w14:paraId="4D6755D8" w14:textId="37BF7A73" w:rsidR="002C28F2" w:rsidRDefault="0012563D" w:rsidP="00A54B20">
      <w:pPr>
        <w:pStyle w:val="Prrafodelista"/>
        <w:numPr>
          <w:ilvl w:val="0"/>
          <w:numId w:val="20"/>
        </w:num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los oficios</w:t>
      </w:r>
      <w:r w:rsidR="001B7D39">
        <w:rPr>
          <w:rFonts w:ascii="Palatino Linotype" w:eastAsia="Palatino Linotype" w:hAnsi="Palatino Linotype" w:cs="Palatino Linotype"/>
          <w:sz w:val="22"/>
          <w:szCs w:val="22"/>
        </w:rPr>
        <w:t xml:space="preserve"> de </w:t>
      </w:r>
      <w:r>
        <w:rPr>
          <w:rFonts w:ascii="Palatino Linotype" w:eastAsia="Palatino Linotype" w:hAnsi="Palatino Linotype" w:cs="Palatino Linotype"/>
          <w:sz w:val="22"/>
          <w:szCs w:val="22"/>
        </w:rPr>
        <w:t xml:space="preserve">respuesta </w:t>
      </w:r>
      <w:r w:rsidR="001B7D39">
        <w:rPr>
          <w:rFonts w:ascii="Palatino Linotype" w:eastAsia="Palatino Linotype" w:hAnsi="Palatino Linotype" w:cs="Palatino Linotype"/>
          <w:sz w:val="22"/>
          <w:szCs w:val="22"/>
        </w:rPr>
        <w:t xml:space="preserve">entregadas </w:t>
      </w:r>
      <w:r>
        <w:rPr>
          <w:rFonts w:ascii="Palatino Linotype" w:eastAsia="Palatino Linotype" w:hAnsi="Palatino Linotype" w:cs="Palatino Linotype"/>
          <w:sz w:val="22"/>
          <w:szCs w:val="22"/>
        </w:rPr>
        <w:t xml:space="preserve">con números de oficio </w:t>
      </w:r>
      <w:r w:rsidRPr="0012563D">
        <w:rPr>
          <w:rFonts w:ascii="Palatino Linotype" w:eastAsia="Palatino Linotype" w:hAnsi="Palatino Linotype" w:cs="Palatino Linotype"/>
          <w:sz w:val="22"/>
          <w:szCs w:val="22"/>
        </w:rPr>
        <w:t>106/031/2025</w:t>
      </w:r>
      <w:r>
        <w:rPr>
          <w:rFonts w:ascii="Palatino Linotype" w:eastAsia="Palatino Linotype" w:hAnsi="Palatino Linotype" w:cs="Palatino Linotype"/>
          <w:sz w:val="22"/>
          <w:szCs w:val="22"/>
        </w:rPr>
        <w:t xml:space="preserve">, </w:t>
      </w:r>
      <w:r w:rsidRPr="0012563D">
        <w:rPr>
          <w:rFonts w:ascii="Palatino Linotype" w:eastAsia="Palatino Linotype" w:hAnsi="Palatino Linotype" w:cs="Palatino Linotype"/>
          <w:sz w:val="22"/>
          <w:szCs w:val="22"/>
        </w:rPr>
        <w:t>106/083/2025</w:t>
      </w:r>
      <w:r>
        <w:rPr>
          <w:rFonts w:ascii="Palatino Linotype" w:eastAsia="Palatino Linotype" w:hAnsi="Palatino Linotype" w:cs="Palatino Linotype"/>
          <w:sz w:val="22"/>
          <w:szCs w:val="22"/>
        </w:rPr>
        <w:t>,</w:t>
      </w:r>
      <w:r w:rsidR="004C548E">
        <w:rPr>
          <w:rFonts w:ascii="Palatino Linotype" w:eastAsia="Palatino Linotype" w:hAnsi="Palatino Linotype" w:cs="Palatino Linotype"/>
          <w:sz w:val="22"/>
          <w:szCs w:val="22"/>
        </w:rPr>
        <w:t xml:space="preserve"> </w:t>
      </w:r>
      <w:r w:rsidR="004C548E" w:rsidRPr="0012563D">
        <w:rPr>
          <w:rFonts w:ascii="Palatino Linotype" w:eastAsia="Palatino Linotype" w:hAnsi="Palatino Linotype" w:cs="Palatino Linotype"/>
          <w:sz w:val="22"/>
          <w:szCs w:val="22"/>
        </w:rPr>
        <w:t>106/087/2025</w:t>
      </w:r>
      <w:r w:rsidR="004C548E">
        <w:rPr>
          <w:rFonts w:ascii="Palatino Linotype" w:eastAsia="Palatino Linotype" w:hAnsi="Palatino Linotype" w:cs="Palatino Linotype"/>
          <w:sz w:val="22"/>
          <w:szCs w:val="22"/>
        </w:rPr>
        <w:t xml:space="preserve">, </w:t>
      </w:r>
      <w:r w:rsidR="004C548E" w:rsidRPr="004C548E">
        <w:rPr>
          <w:rFonts w:ascii="Palatino Linotype" w:eastAsia="Palatino Linotype" w:hAnsi="Palatino Linotype" w:cs="Palatino Linotype"/>
          <w:sz w:val="22"/>
          <w:szCs w:val="22"/>
        </w:rPr>
        <w:t>106/093/2025</w:t>
      </w:r>
      <w:r w:rsidR="004C548E">
        <w:rPr>
          <w:rFonts w:ascii="Palatino Linotype" w:eastAsia="Palatino Linotype" w:hAnsi="Palatino Linotype" w:cs="Palatino Linotype"/>
          <w:sz w:val="22"/>
          <w:szCs w:val="22"/>
        </w:rPr>
        <w:t>,</w:t>
      </w:r>
      <w:r w:rsidR="001B7D39">
        <w:rPr>
          <w:rFonts w:ascii="Palatino Linotype" w:eastAsia="Palatino Linotype" w:hAnsi="Palatino Linotype" w:cs="Palatino Linotype"/>
          <w:sz w:val="22"/>
          <w:szCs w:val="22"/>
        </w:rPr>
        <w:t xml:space="preserve"> </w:t>
      </w:r>
      <w:r w:rsidR="001B7D39" w:rsidRPr="001B7D39">
        <w:rPr>
          <w:rFonts w:ascii="Palatino Linotype" w:eastAsia="Palatino Linotype" w:hAnsi="Palatino Linotype" w:cs="Palatino Linotype"/>
          <w:sz w:val="22"/>
          <w:szCs w:val="22"/>
        </w:rPr>
        <w:t>106/094/2025</w:t>
      </w:r>
      <w:r w:rsidR="001B7D39">
        <w:rPr>
          <w:rFonts w:ascii="Palatino Linotype" w:eastAsia="Palatino Linotype" w:hAnsi="Palatino Linotype" w:cs="Palatino Linotype"/>
          <w:sz w:val="22"/>
          <w:szCs w:val="22"/>
        </w:rPr>
        <w:t xml:space="preserve">, </w:t>
      </w:r>
      <w:r w:rsidR="001B7D39" w:rsidRPr="001B7D39">
        <w:rPr>
          <w:rFonts w:ascii="Palatino Linotype" w:eastAsia="Palatino Linotype" w:hAnsi="Palatino Linotype" w:cs="Palatino Linotype"/>
          <w:sz w:val="22"/>
          <w:szCs w:val="22"/>
        </w:rPr>
        <w:t>106/309/2025</w:t>
      </w:r>
      <w:r w:rsidR="001B7D39">
        <w:rPr>
          <w:rFonts w:ascii="Palatino Linotype" w:eastAsia="Palatino Linotype" w:hAnsi="Palatino Linotype" w:cs="Palatino Linotype"/>
          <w:sz w:val="22"/>
          <w:szCs w:val="22"/>
        </w:rPr>
        <w:t xml:space="preserve">, </w:t>
      </w:r>
      <w:r w:rsidR="001B7D39" w:rsidRPr="001B7D39">
        <w:rPr>
          <w:rFonts w:ascii="Palatino Linotype" w:eastAsia="Palatino Linotype" w:hAnsi="Palatino Linotype" w:cs="Palatino Linotype"/>
          <w:sz w:val="22"/>
          <w:szCs w:val="22"/>
        </w:rPr>
        <w:t>106/355/2025</w:t>
      </w:r>
      <w:r w:rsidR="001B7D39">
        <w:rPr>
          <w:rFonts w:ascii="Palatino Linotype" w:eastAsia="Palatino Linotype" w:hAnsi="Palatino Linotype" w:cs="Palatino Linotype"/>
          <w:sz w:val="22"/>
          <w:szCs w:val="22"/>
        </w:rPr>
        <w:t xml:space="preserve">, </w:t>
      </w:r>
      <w:r w:rsidR="001B7D39" w:rsidRPr="001B7D39">
        <w:rPr>
          <w:rFonts w:ascii="Palatino Linotype" w:eastAsia="Palatino Linotype" w:hAnsi="Palatino Linotype" w:cs="Palatino Linotype"/>
          <w:sz w:val="22"/>
          <w:szCs w:val="22"/>
        </w:rPr>
        <w:t>106/342/2025</w:t>
      </w:r>
      <w:r w:rsidR="001B7D39">
        <w:rPr>
          <w:rFonts w:ascii="Palatino Linotype" w:eastAsia="Palatino Linotype" w:hAnsi="Palatino Linotype" w:cs="Palatino Linotype"/>
          <w:sz w:val="22"/>
          <w:szCs w:val="22"/>
        </w:rPr>
        <w:t xml:space="preserve">, </w:t>
      </w:r>
      <w:r w:rsidR="001B7D39" w:rsidRPr="001B7D39">
        <w:rPr>
          <w:rFonts w:ascii="Palatino Linotype" w:eastAsia="Palatino Linotype" w:hAnsi="Palatino Linotype" w:cs="Palatino Linotype"/>
          <w:sz w:val="22"/>
          <w:szCs w:val="22"/>
        </w:rPr>
        <w:t>106/365/2025</w:t>
      </w:r>
      <w:r w:rsidR="001B7D39">
        <w:rPr>
          <w:rFonts w:ascii="Palatino Linotype" w:eastAsia="Palatino Linotype" w:hAnsi="Palatino Linotype" w:cs="Palatino Linotype"/>
          <w:sz w:val="22"/>
          <w:szCs w:val="22"/>
        </w:rPr>
        <w:t xml:space="preserve">, </w:t>
      </w:r>
      <w:r w:rsidR="001B7D39" w:rsidRPr="001B7D39">
        <w:rPr>
          <w:rFonts w:ascii="Palatino Linotype" w:eastAsia="Palatino Linotype" w:hAnsi="Palatino Linotype" w:cs="Palatino Linotype"/>
          <w:sz w:val="22"/>
          <w:szCs w:val="22"/>
        </w:rPr>
        <w:t>106/301/2025</w:t>
      </w:r>
      <w:r w:rsidR="001B7D39">
        <w:rPr>
          <w:rFonts w:ascii="Palatino Linotype" w:eastAsia="Palatino Linotype" w:hAnsi="Palatino Linotype" w:cs="Palatino Linotype"/>
          <w:sz w:val="22"/>
          <w:szCs w:val="22"/>
        </w:rPr>
        <w:t>,</w:t>
      </w:r>
      <w:r>
        <w:rPr>
          <w:rFonts w:ascii="Palatino Linotype" w:eastAsia="Palatino Linotype" w:hAnsi="Palatino Linotype" w:cs="Palatino Linotype"/>
          <w:sz w:val="22"/>
          <w:szCs w:val="22"/>
        </w:rPr>
        <w:t xml:space="preserve"> c</w:t>
      </w:r>
      <w:r w:rsidR="002C28F2">
        <w:rPr>
          <w:rFonts w:ascii="Palatino Linotype" w:eastAsia="Palatino Linotype" w:hAnsi="Palatino Linotype" w:cs="Palatino Linotype"/>
          <w:sz w:val="22"/>
          <w:szCs w:val="22"/>
        </w:rPr>
        <w:t>lasificó el nombre servidores públicos</w:t>
      </w:r>
      <w:r w:rsidR="001B7D39">
        <w:rPr>
          <w:rFonts w:ascii="Palatino Linotype" w:eastAsia="Palatino Linotype" w:hAnsi="Palatino Linotype" w:cs="Palatino Linotype"/>
          <w:sz w:val="22"/>
          <w:szCs w:val="22"/>
        </w:rPr>
        <w:t>, delegados, subdelegados y representantes de Organizaciones civiles,</w:t>
      </w:r>
      <w:r w:rsidR="002C28F2">
        <w:rPr>
          <w:rFonts w:ascii="Palatino Linotype" w:eastAsia="Palatino Linotype" w:hAnsi="Palatino Linotype" w:cs="Palatino Linotype"/>
          <w:sz w:val="22"/>
          <w:szCs w:val="22"/>
        </w:rPr>
        <w:t xml:space="preserve"> números telefónicos, firmas</w:t>
      </w:r>
      <w:r w:rsidR="004C548E">
        <w:rPr>
          <w:rFonts w:ascii="Palatino Linotype" w:eastAsia="Palatino Linotype" w:hAnsi="Palatino Linotype" w:cs="Palatino Linotype"/>
          <w:sz w:val="22"/>
          <w:szCs w:val="22"/>
        </w:rPr>
        <w:t>,</w:t>
      </w:r>
      <w:r w:rsidR="002C28F2">
        <w:rPr>
          <w:rFonts w:ascii="Palatino Linotype" w:eastAsia="Palatino Linotype" w:hAnsi="Palatino Linotype" w:cs="Palatino Linotype"/>
          <w:sz w:val="22"/>
          <w:szCs w:val="22"/>
        </w:rPr>
        <w:t xml:space="preserve"> nombre de localidades</w:t>
      </w:r>
      <w:r w:rsidR="00A0257C">
        <w:rPr>
          <w:rFonts w:ascii="Palatino Linotype" w:eastAsia="Palatino Linotype" w:hAnsi="Palatino Linotype" w:cs="Palatino Linotype"/>
          <w:sz w:val="22"/>
          <w:szCs w:val="22"/>
        </w:rPr>
        <w:t xml:space="preserve"> de autoridades auxiliares</w:t>
      </w:r>
      <w:r w:rsidR="002C28F2">
        <w:rPr>
          <w:rFonts w:ascii="Palatino Linotype" w:eastAsia="Palatino Linotype" w:hAnsi="Palatino Linotype" w:cs="Palatino Linotype"/>
          <w:sz w:val="22"/>
          <w:szCs w:val="22"/>
        </w:rPr>
        <w:t>,</w:t>
      </w:r>
      <w:r w:rsidR="004C548E">
        <w:rPr>
          <w:rFonts w:ascii="Palatino Linotype" w:eastAsia="Palatino Linotype" w:hAnsi="Palatino Linotype" w:cs="Palatino Linotype"/>
          <w:sz w:val="22"/>
          <w:szCs w:val="22"/>
        </w:rPr>
        <w:t xml:space="preserve"> domicilio de instituciones públicas</w:t>
      </w:r>
      <w:r w:rsidR="002C28F2">
        <w:rPr>
          <w:rFonts w:ascii="Palatino Linotype" w:eastAsia="Palatino Linotype" w:hAnsi="Palatino Linotype" w:cs="Palatino Linotype"/>
          <w:sz w:val="22"/>
          <w:szCs w:val="22"/>
        </w:rPr>
        <w:t xml:space="preserve"> </w:t>
      </w:r>
      <w:r w:rsidR="00A0257C">
        <w:rPr>
          <w:rFonts w:ascii="Palatino Linotype" w:eastAsia="Palatino Linotype" w:hAnsi="Palatino Linotype" w:cs="Palatino Linotype"/>
          <w:sz w:val="22"/>
          <w:szCs w:val="22"/>
        </w:rPr>
        <w:t xml:space="preserve">que </w:t>
      </w:r>
      <w:r w:rsidR="002C28F2">
        <w:rPr>
          <w:rFonts w:ascii="Palatino Linotype" w:eastAsia="Palatino Linotype" w:hAnsi="Palatino Linotype" w:cs="Palatino Linotype"/>
          <w:sz w:val="22"/>
          <w:szCs w:val="22"/>
        </w:rPr>
        <w:t>no son susceptibles de clasificación</w:t>
      </w:r>
      <w:r w:rsidR="00DD221B">
        <w:rPr>
          <w:rFonts w:ascii="Palatino Linotype" w:eastAsia="Palatino Linotype" w:hAnsi="Palatino Linotype" w:cs="Palatino Linotype"/>
          <w:sz w:val="22"/>
          <w:szCs w:val="22"/>
        </w:rPr>
        <w:t>; y</w:t>
      </w:r>
    </w:p>
    <w:p w14:paraId="1528A39B" w14:textId="6700B6E6" w:rsidR="001B7D39" w:rsidRDefault="001B7D39" w:rsidP="00A54B20">
      <w:pPr>
        <w:pStyle w:val="Prrafodelista"/>
        <w:numPr>
          <w:ilvl w:val="0"/>
          <w:numId w:val="20"/>
        </w:num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En diversos oficios de petición clasificó información que no es susceptible de clasificación señalado en el punto anterior;</w:t>
      </w:r>
    </w:p>
    <w:p w14:paraId="14DB4941" w14:textId="7C0C9811" w:rsidR="00DD221B" w:rsidRPr="00DD221B" w:rsidRDefault="00DD221B" w:rsidP="00A54B20">
      <w:pPr>
        <w:pStyle w:val="Prrafodelista"/>
        <w:numPr>
          <w:ilvl w:val="0"/>
          <w:numId w:val="20"/>
        </w:numPr>
        <w:spacing w:line="360" w:lineRule="auto"/>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lastRenderedPageBreak/>
        <w:t xml:space="preserve">Omitió la entrega del acuerdo de clasificación emitido por el </w:t>
      </w:r>
      <w:r w:rsidR="0099496E">
        <w:rPr>
          <w:rFonts w:ascii="Palatino Linotype" w:eastAsia="Palatino Linotype" w:hAnsi="Palatino Linotype" w:cs="Palatino Linotype"/>
          <w:sz w:val="22"/>
          <w:szCs w:val="22"/>
        </w:rPr>
        <w:t>C</w:t>
      </w:r>
      <w:r>
        <w:rPr>
          <w:rFonts w:ascii="Palatino Linotype" w:eastAsia="Palatino Linotype" w:hAnsi="Palatino Linotype" w:cs="Palatino Linotype"/>
          <w:sz w:val="22"/>
          <w:szCs w:val="22"/>
        </w:rPr>
        <w:t xml:space="preserve">omité de </w:t>
      </w:r>
      <w:r w:rsidR="0099496E">
        <w:rPr>
          <w:rFonts w:ascii="Palatino Linotype" w:eastAsia="Palatino Linotype" w:hAnsi="Palatino Linotype" w:cs="Palatino Linotype"/>
          <w:sz w:val="22"/>
          <w:szCs w:val="22"/>
        </w:rPr>
        <w:t>T</w:t>
      </w:r>
      <w:r>
        <w:rPr>
          <w:rFonts w:ascii="Palatino Linotype" w:eastAsia="Palatino Linotype" w:hAnsi="Palatino Linotype" w:cs="Palatino Linotype"/>
          <w:sz w:val="22"/>
          <w:szCs w:val="22"/>
        </w:rPr>
        <w:t xml:space="preserve">ransparencia que sustentara las versiones públicas de </w:t>
      </w:r>
      <w:r w:rsidR="0012563D">
        <w:rPr>
          <w:rFonts w:ascii="Palatino Linotype" w:eastAsia="Palatino Linotype" w:hAnsi="Palatino Linotype" w:cs="Palatino Linotype"/>
          <w:sz w:val="22"/>
          <w:szCs w:val="22"/>
        </w:rPr>
        <w:t xml:space="preserve">las </w:t>
      </w:r>
      <w:r w:rsidR="00A0257C">
        <w:rPr>
          <w:rFonts w:ascii="Palatino Linotype" w:eastAsia="Palatino Linotype" w:hAnsi="Palatino Linotype" w:cs="Palatino Linotype"/>
          <w:sz w:val="22"/>
          <w:szCs w:val="22"/>
        </w:rPr>
        <w:t>de petici</w:t>
      </w:r>
      <w:r w:rsidR="0012563D">
        <w:rPr>
          <w:rFonts w:ascii="Palatino Linotype" w:eastAsia="Palatino Linotype" w:hAnsi="Palatino Linotype" w:cs="Palatino Linotype"/>
          <w:sz w:val="22"/>
          <w:szCs w:val="22"/>
        </w:rPr>
        <w:t>ones</w:t>
      </w:r>
      <w:r w:rsidR="00A0257C">
        <w:rPr>
          <w:rFonts w:ascii="Palatino Linotype" w:eastAsia="Palatino Linotype" w:hAnsi="Palatino Linotype" w:cs="Palatino Linotype"/>
          <w:sz w:val="22"/>
          <w:szCs w:val="22"/>
        </w:rPr>
        <w:t xml:space="preserve"> y las respuestas </w:t>
      </w:r>
      <w:r>
        <w:rPr>
          <w:rFonts w:ascii="Palatino Linotype" w:eastAsia="Palatino Linotype" w:hAnsi="Palatino Linotype" w:cs="Palatino Linotype"/>
          <w:sz w:val="22"/>
          <w:szCs w:val="22"/>
        </w:rPr>
        <w:t>proporcionad</w:t>
      </w:r>
      <w:r w:rsidR="00A0257C">
        <w:rPr>
          <w:rFonts w:ascii="Palatino Linotype" w:eastAsia="Palatino Linotype" w:hAnsi="Palatino Linotype" w:cs="Palatino Linotype"/>
          <w:sz w:val="22"/>
          <w:szCs w:val="22"/>
        </w:rPr>
        <w:t>a</w:t>
      </w:r>
      <w:r>
        <w:rPr>
          <w:rFonts w:ascii="Palatino Linotype" w:eastAsia="Palatino Linotype" w:hAnsi="Palatino Linotype" w:cs="Palatino Linotype"/>
          <w:sz w:val="22"/>
          <w:szCs w:val="22"/>
        </w:rPr>
        <w:t>s.</w:t>
      </w:r>
    </w:p>
    <w:bookmarkEnd w:id="19"/>
    <w:p w14:paraId="74B02CD3" w14:textId="77777777" w:rsidR="00AC74D3" w:rsidRDefault="00AC74D3" w:rsidP="00A54B20">
      <w:pPr>
        <w:spacing w:line="360" w:lineRule="auto"/>
        <w:contextualSpacing/>
        <w:jc w:val="both"/>
        <w:rPr>
          <w:rFonts w:ascii="Palatino Linotype" w:eastAsia="Palatino Linotype" w:hAnsi="Palatino Linotype" w:cs="Palatino Linotype"/>
          <w:bCs/>
          <w:iCs/>
          <w:color w:val="000000"/>
          <w:sz w:val="22"/>
          <w:szCs w:val="22"/>
        </w:rPr>
      </w:pPr>
    </w:p>
    <w:p w14:paraId="1B6C2857" w14:textId="457A0671" w:rsidR="00DD221B" w:rsidRPr="00DD221B" w:rsidRDefault="00DD221B" w:rsidP="00A54B20">
      <w:pPr>
        <w:autoSpaceDE w:val="0"/>
        <w:autoSpaceDN w:val="0"/>
        <w:spacing w:line="360" w:lineRule="auto"/>
        <w:contextualSpacing/>
        <w:jc w:val="both"/>
        <w:rPr>
          <w:rFonts w:ascii="Palatino Linotype" w:hAnsi="Palatino Linotype" w:cs="Tahoma"/>
          <w:sz w:val="22"/>
          <w:szCs w:val="22"/>
          <w:lang w:val="es-ES"/>
        </w:rPr>
      </w:pPr>
      <w:r w:rsidRPr="00DD221B">
        <w:rPr>
          <w:rFonts w:ascii="Palatino Linotype" w:eastAsia="Palatino Linotype" w:hAnsi="Palatino Linotype" w:cs="Palatino Linotype"/>
          <w:bCs/>
          <w:iCs/>
          <w:color w:val="000000"/>
          <w:sz w:val="22"/>
          <w:szCs w:val="22"/>
        </w:rPr>
        <w:t xml:space="preserve">Respecto al acuerdo de clasificación, </w:t>
      </w:r>
      <w:r w:rsidRPr="00DD221B">
        <w:rPr>
          <w:rFonts w:ascii="Palatino Linotype" w:hAnsi="Palatino Linotype" w:cs="Tahoma"/>
          <w:sz w:val="22"/>
          <w:szCs w:val="22"/>
        </w:rPr>
        <w:t xml:space="preserve">los artículos 122, 128 y 130 de la Ley Transparencia y Acceso a la Información Pública del Estado de México y Municipios, se prevé que </w:t>
      </w:r>
      <w:r w:rsidRPr="00DD221B">
        <w:rPr>
          <w:rFonts w:ascii="Palatino Linotype" w:hAnsi="Palatino Linotype" w:cs="Tahoma"/>
          <w:b/>
          <w:sz w:val="22"/>
          <w:szCs w:val="22"/>
        </w:rPr>
        <w:t xml:space="preserve">la clasificación </w:t>
      </w:r>
      <w:r w:rsidRPr="00DD221B">
        <w:rPr>
          <w:rFonts w:ascii="Palatino Linotype" w:hAnsi="Palatino Linotype" w:cs="Tahoma"/>
          <w:sz w:val="22"/>
          <w:szCs w:val="22"/>
        </w:rPr>
        <w:t xml:space="preserve">es el proceso mediante el cual los sujetos obligados determinan que la información en su poder, actualiza alguno de los supuestos de reserva o confidencialidad. </w:t>
      </w:r>
      <w:r w:rsidRPr="00DD221B">
        <w:rPr>
          <w:rFonts w:ascii="Palatino Linotype" w:hAnsi="Palatino Linotype" w:cs="Tahoma"/>
          <w:sz w:val="22"/>
          <w:szCs w:val="22"/>
          <w:lang w:val="es-ES"/>
        </w:rPr>
        <w:t>Además, que dichos entes deberán aplicar de manera restrictiva y limitada, las excepciones al derecho de acceso a la información, por lo que, tendrán que acreditar la procedencia.</w:t>
      </w:r>
    </w:p>
    <w:p w14:paraId="1F546142" w14:textId="77777777" w:rsidR="00DD221B" w:rsidRPr="00DD221B" w:rsidRDefault="00DD221B" w:rsidP="00A54B20">
      <w:pPr>
        <w:autoSpaceDE w:val="0"/>
        <w:autoSpaceDN w:val="0"/>
        <w:spacing w:line="360" w:lineRule="auto"/>
        <w:contextualSpacing/>
        <w:jc w:val="both"/>
        <w:rPr>
          <w:rFonts w:ascii="Palatino Linotype" w:hAnsi="Palatino Linotype" w:cs="Tahoma"/>
          <w:sz w:val="22"/>
          <w:szCs w:val="22"/>
          <w:lang w:val="es-ES"/>
        </w:rPr>
      </w:pPr>
    </w:p>
    <w:p w14:paraId="0323D7AE" w14:textId="77777777" w:rsidR="00DD221B" w:rsidRPr="00DD221B" w:rsidRDefault="00DD221B" w:rsidP="00A54B20">
      <w:pPr>
        <w:autoSpaceDE w:val="0"/>
        <w:autoSpaceDN w:val="0"/>
        <w:spacing w:line="360" w:lineRule="auto"/>
        <w:contextualSpacing/>
        <w:jc w:val="both"/>
        <w:rPr>
          <w:rFonts w:ascii="Palatino Linotype" w:hAnsi="Palatino Linotype" w:cs="Tahoma"/>
          <w:sz w:val="22"/>
          <w:szCs w:val="22"/>
          <w:lang w:val="es-ES"/>
        </w:rPr>
      </w:pPr>
      <w:r w:rsidRPr="00DD221B">
        <w:rPr>
          <w:rFonts w:ascii="Palatino Linotype" w:hAnsi="Palatino Linotype" w:cs="Tahoma"/>
          <w:sz w:val="22"/>
          <w:szCs w:val="22"/>
          <w:lang w:val="es-ES"/>
        </w:rPr>
        <w:t xml:space="preserve">Por lo cual, en los casos en que la información, actualice alguno de los supuestos de clasificación, </w:t>
      </w:r>
      <w:r w:rsidRPr="00DD221B">
        <w:rPr>
          <w:rFonts w:ascii="Palatino Linotype" w:hAnsi="Palatino Linotype" w:cs="Tahoma"/>
          <w:b/>
          <w:sz w:val="22"/>
          <w:szCs w:val="22"/>
          <w:lang w:val="es-ES"/>
        </w:rPr>
        <w:t xml:space="preserve">el Comité de Transparencia deberá confirmar, modificar o revocar la decisión; </w:t>
      </w:r>
      <w:r w:rsidRPr="00DD221B">
        <w:rPr>
          <w:rFonts w:ascii="Palatino Linotype" w:hAnsi="Palatino Linotype" w:cs="Tahoma"/>
          <w:sz w:val="22"/>
          <w:szCs w:val="22"/>
          <w:lang w:val="es-ES"/>
        </w:rPr>
        <w:t>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1115D241" w14:textId="77777777" w:rsidR="00DD221B" w:rsidRPr="00DD221B" w:rsidRDefault="00DD221B" w:rsidP="00A54B20">
      <w:pPr>
        <w:autoSpaceDE w:val="0"/>
        <w:autoSpaceDN w:val="0"/>
        <w:spacing w:line="360" w:lineRule="auto"/>
        <w:contextualSpacing/>
        <w:jc w:val="both"/>
        <w:rPr>
          <w:rFonts w:ascii="Palatino Linotype" w:hAnsi="Palatino Linotype" w:cs="Tahoma"/>
          <w:sz w:val="22"/>
          <w:szCs w:val="22"/>
          <w:lang w:val="es-ES"/>
        </w:rPr>
      </w:pPr>
    </w:p>
    <w:p w14:paraId="0D2FC942" w14:textId="7556075F" w:rsidR="00DD221B" w:rsidRPr="00DD221B" w:rsidRDefault="00DD221B" w:rsidP="00A54B20">
      <w:pPr>
        <w:autoSpaceDE w:val="0"/>
        <w:autoSpaceDN w:val="0"/>
        <w:spacing w:line="360" w:lineRule="auto"/>
        <w:contextualSpacing/>
        <w:jc w:val="both"/>
        <w:rPr>
          <w:rFonts w:ascii="Palatino Linotype" w:hAnsi="Palatino Linotype" w:cs="Tahoma"/>
          <w:sz w:val="22"/>
          <w:szCs w:val="22"/>
        </w:rPr>
      </w:pPr>
      <w:r w:rsidRPr="00DD221B">
        <w:rPr>
          <w:rFonts w:ascii="Palatino Linotype" w:hAnsi="Palatino Linotype" w:cs="Tahoma"/>
          <w:sz w:val="22"/>
          <w:szCs w:val="22"/>
          <w:lang w:val="es-ES"/>
        </w:rPr>
        <w:t xml:space="preserve">En ese contexto, </w:t>
      </w:r>
      <w:r w:rsidRPr="00DD221B">
        <w:rPr>
          <w:rFonts w:ascii="Palatino Linotype" w:hAnsi="Palatino Linotype" w:cs="Tahoma"/>
          <w:sz w:val="22"/>
          <w:szCs w:val="22"/>
        </w:rPr>
        <w:t>de la interpretación del artículo 134 de la Ley de Transparencia y Acceso a la Información Pública del Estado de México y Municipios, se logra observar que la clasificación depende del contenido de los documentos, pues de su análisis se establece si corresponde a una clasificación total o parcial.</w:t>
      </w:r>
    </w:p>
    <w:p w14:paraId="7D489196" w14:textId="77777777" w:rsidR="00DD221B" w:rsidRPr="00DD221B" w:rsidRDefault="00DD221B" w:rsidP="00A54B20">
      <w:pPr>
        <w:autoSpaceDE w:val="0"/>
        <w:autoSpaceDN w:val="0"/>
        <w:spacing w:line="360" w:lineRule="auto"/>
        <w:contextualSpacing/>
        <w:jc w:val="both"/>
        <w:rPr>
          <w:rFonts w:ascii="Palatino Linotype" w:hAnsi="Palatino Linotype" w:cs="Tahoma"/>
          <w:sz w:val="22"/>
          <w:szCs w:val="22"/>
        </w:rPr>
      </w:pPr>
    </w:p>
    <w:p w14:paraId="64061290" w14:textId="77777777" w:rsidR="00DD221B" w:rsidRPr="00DD221B" w:rsidRDefault="00DD221B" w:rsidP="00A54B20">
      <w:pPr>
        <w:spacing w:line="360" w:lineRule="auto"/>
        <w:contextualSpacing/>
        <w:jc w:val="both"/>
        <w:rPr>
          <w:rFonts w:ascii="Palatino Linotype" w:hAnsi="Palatino Linotype" w:cs="Tahoma"/>
          <w:sz w:val="22"/>
          <w:szCs w:val="22"/>
        </w:rPr>
      </w:pPr>
      <w:r w:rsidRPr="00DD221B">
        <w:rPr>
          <w:rFonts w:ascii="Palatino Linotype" w:hAnsi="Palatino Linotype" w:cs="Tahoma"/>
          <w:sz w:val="22"/>
          <w:szCs w:val="22"/>
        </w:rPr>
        <w:t>En otro orden de ideas, la clasificación como reservada o confidencial, en materia de transparencia y acceso a la información, va tendiente al contenido de los documentos, sin tomar en cuenta otras situaciones como la localización o ubicación de los archivos, pues su fin es proteger la información contenida en estos.</w:t>
      </w:r>
    </w:p>
    <w:p w14:paraId="08385C57" w14:textId="77777777" w:rsidR="00DD221B" w:rsidRPr="00DD221B" w:rsidRDefault="00DD221B" w:rsidP="00A54B20">
      <w:pPr>
        <w:spacing w:line="360" w:lineRule="auto"/>
        <w:contextualSpacing/>
        <w:jc w:val="both"/>
        <w:rPr>
          <w:rFonts w:ascii="Palatino Linotype" w:hAnsi="Palatino Linotype" w:cs="Arial"/>
          <w:b/>
          <w:bCs/>
          <w:sz w:val="22"/>
          <w:szCs w:val="22"/>
        </w:rPr>
      </w:pPr>
      <w:r w:rsidRPr="00DD221B">
        <w:rPr>
          <w:rFonts w:ascii="Palatino Linotype" w:hAnsi="Palatino Linotype" w:cs="Tahoma"/>
          <w:sz w:val="22"/>
          <w:szCs w:val="22"/>
          <w:lang w:val="es-ES"/>
        </w:rPr>
        <w:lastRenderedPageBreak/>
        <w:t xml:space="preserve">En ese contexto, </w:t>
      </w:r>
      <w:r w:rsidRPr="00DD221B">
        <w:rPr>
          <w:rFonts w:ascii="Palatino Linotype" w:hAnsi="Palatino Linotype" w:cs="Arial"/>
          <w:bCs/>
          <w:sz w:val="22"/>
          <w:szCs w:val="22"/>
        </w:rPr>
        <w:t xml:space="preserve">según </w:t>
      </w:r>
      <w:proofErr w:type="spellStart"/>
      <w:r w:rsidRPr="00DD221B">
        <w:rPr>
          <w:rFonts w:ascii="Palatino Linotype" w:hAnsi="Palatino Linotype" w:cs="Arial"/>
          <w:bCs/>
          <w:sz w:val="22"/>
          <w:szCs w:val="22"/>
        </w:rPr>
        <w:t>Bonifaz</w:t>
      </w:r>
      <w:proofErr w:type="spellEnd"/>
      <w:r w:rsidRPr="00DD221B">
        <w:rPr>
          <w:rFonts w:ascii="Palatino Linotype" w:hAnsi="Palatino Linotype" w:cs="Arial"/>
          <w:bCs/>
          <w:sz w:val="22"/>
          <w:szCs w:val="22"/>
        </w:rPr>
        <w:t xml:space="preserve">, Leticia (2016), en la “Ley General de Transparencia y Acceso a la Información Pública Comentada” (p. 342), la </w:t>
      </w:r>
      <w:r w:rsidRPr="00DD221B">
        <w:rPr>
          <w:rFonts w:ascii="Palatino Linotype" w:hAnsi="Palatino Linotype" w:cs="Arial"/>
          <w:b/>
          <w:bCs/>
          <w:sz w:val="22"/>
          <w:szCs w:val="22"/>
        </w:rPr>
        <w:t>clasificación de la información</w:t>
      </w:r>
      <w:r w:rsidRPr="00DD221B">
        <w:rPr>
          <w:rFonts w:ascii="Palatino Linotype" w:hAnsi="Palatino Linotype" w:cs="Arial"/>
          <w:bCs/>
          <w:sz w:val="22"/>
          <w:szCs w:val="22"/>
        </w:rPr>
        <w:t xml:space="preserve">, ocurre cuando la autoridad niega el acceso a esta, por ser confidencial o reservada, para lo cual, los sujetos obligados, deberán realizar el proceso de clasificación, a la luz de los principios y disposiciones establecidas en las Leyes de Transparencia, fundando y motivando, </w:t>
      </w:r>
      <w:r w:rsidRPr="00DD221B">
        <w:rPr>
          <w:rFonts w:ascii="Palatino Linotype" w:hAnsi="Palatino Linotype" w:cs="Arial"/>
          <w:b/>
          <w:bCs/>
          <w:sz w:val="22"/>
          <w:szCs w:val="22"/>
        </w:rPr>
        <w:t>de manera adecuada la negativa de información.</w:t>
      </w:r>
    </w:p>
    <w:p w14:paraId="753B22C9" w14:textId="77777777" w:rsidR="00DD221B" w:rsidRPr="00DD221B" w:rsidRDefault="00DD221B" w:rsidP="00A54B20">
      <w:pPr>
        <w:spacing w:line="360" w:lineRule="auto"/>
        <w:contextualSpacing/>
        <w:jc w:val="both"/>
        <w:rPr>
          <w:rFonts w:ascii="Palatino Linotype" w:hAnsi="Palatino Linotype" w:cs="Arial"/>
          <w:b/>
          <w:bCs/>
          <w:sz w:val="22"/>
          <w:szCs w:val="22"/>
        </w:rPr>
      </w:pPr>
    </w:p>
    <w:p w14:paraId="78B26729" w14:textId="77777777" w:rsidR="00DD221B" w:rsidRPr="00DD221B" w:rsidRDefault="00DD221B" w:rsidP="00A54B20">
      <w:pPr>
        <w:spacing w:line="360" w:lineRule="auto"/>
        <w:contextualSpacing/>
        <w:jc w:val="both"/>
        <w:rPr>
          <w:rFonts w:ascii="Palatino Linotype" w:hAnsi="Palatino Linotype" w:cs="Tahoma"/>
          <w:b/>
          <w:sz w:val="22"/>
          <w:szCs w:val="22"/>
        </w:rPr>
      </w:pPr>
      <w:r w:rsidRPr="00DD221B">
        <w:rPr>
          <w:rFonts w:ascii="Palatino Linotype" w:eastAsia="Calibri" w:hAnsi="Palatino Linotype" w:cs="Tahoma"/>
          <w:bCs/>
          <w:sz w:val="22"/>
          <w:szCs w:val="22"/>
        </w:rPr>
        <w:t>Además</w:t>
      </w:r>
      <w:r w:rsidRPr="00DD221B">
        <w:rPr>
          <w:rFonts w:ascii="Palatino Linotype" w:hAnsi="Palatino Linotype" w:cs="Tahoma"/>
          <w:sz w:val="22"/>
          <w:szCs w:val="22"/>
        </w:rPr>
        <w:t xml:space="preserve">, conforme al artículo 108, de la Ley General de Transparencia y Acceso a la Información Pública, el 134 de la Ley de Transparencia y Acceso a la Información Pública del Estado de México y Municipios y el Sexto de los Lineamientos Generales en Materia de Clasificación y Desclasificación de la Información, así como para la Elaboración de Versiones Públicas –Lineamientos Generales-, los sujetos obligados no podrán emitir acuerdos de carácter general que clasifiquen documentos o expedientes; por lo que, la clasificación de información se llevará a cabo mediante un </w:t>
      </w:r>
      <w:r w:rsidRPr="00DD221B">
        <w:rPr>
          <w:rFonts w:ascii="Palatino Linotype" w:hAnsi="Palatino Linotype" w:cs="Tahoma"/>
          <w:b/>
          <w:sz w:val="22"/>
          <w:szCs w:val="22"/>
        </w:rPr>
        <w:t>análisis caso por caso.</w:t>
      </w:r>
    </w:p>
    <w:p w14:paraId="6F2C90B2" w14:textId="77777777" w:rsidR="00DD221B" w:rsidRPr="00DD221B" w:rsidRDefault="00DD221B" w:rsidP="00A54B20">
      <w:pPr>
        <w:spacing w:line="360" w:lineRule="auto"/>
        <w:contextualSpacing/>
        <w:jc w:val="both"/>
        <w:rPr>
          <w:rFonts w:ascii="Palatino Linotype" w:hAnsi="Palatino Linotype" w:cs="Tahoma"/>
          <w:b/>
          <w:sz w:val="22"/>
          <w:szCs w:val="22"/>
        </w:rPr>
      </w:pPr>
    </w:p>
    <w:p w14:paraId="1BB7DFCC" w14:textId="77777777" w:rsidR="00DD221B" w:rsidRPr="00DD221B" w:rsidRDefault="00DD221B" w:rsidP="00A54B20">
      <w:pPr>
        <w:spacing w:line="360" w:lineRule="auto"/>
        <w:contextualSpacing/>
        <w:jc w:val="both"/>
        <w:rPr>
          <w:rFonts w:ascii="Palatino Linotype" w:hAnsi="Palatino Linotype" w:cs="Tahoma"/>
          <w:sz w:val="22"/>
          <w:szCs w:val="22"/>
        </w:rPr>
      </w:pPr>
      <w:r w:rsidRPr="00DD221B">
        <w:rPr>
          <w:rFonts w:ascii="Palatino Linotype" w:hAnsi="Palatino Linotype" w:cs="Tahoma"/>
          <w:sz w:val="22"/>
          <w:szCs w:val="22"/>
        </w:rPr>
        <w:t xml:space="preserve">Sobre lo anterior, el artículo 131 de la Ley referida, así como el Quinto de los Lineamientos Generales, establecen que los sujetos obligados </w:t>
      </w:r>
      <w:r w:rsidRPr="00DD221B">
        <w:rPr>
          <w:rFonts w:ascii="Palatino Linotype" w:hAnsi="Palatino Linotype" w:cs="Tahoma"/>
          <w:b/>
          <w:sz w:val="22"/>
          <w:szCs w:val="22"/>
        </w:rPr>
        <w:t>deberán fundar y motivar</w:t>
      </w:r>
      <w:r w:rsidRPr="00DD221B">
        <w:rPr>
          <w:rFonts w:ascii="Palatino Linotype" w:hAnsi="Palatino Linotype" w:cs="Tahoma"/>
          <w:sz w:val="22"/>
          <w:szCs w:val="22"/>
        </w:rPr>
        <w:t xml:space="preserve"> debidamente la clasificación de la información.</w:t>
      </w:r>
    </w:p>
    <w:p w14:paraId="78115492" w14:textId="77777777" w:rsidR="00DD221B" w:rsidRPr="00DD221B" w:rsidRDefault="00DD221B" w:rsidP="00A54B20">
      <w:pPr>
        <w:spacing w:line="360" w:lineRule="auto"/>
        <w:contextualSpacing/>
        <w:jc w:val="both"/>
        <w:rPr>
          <w:rFonts w:ascii="Palatino Linotype" w:hAnsi="Palatino Linotype" w:cs="Tahoma"/>
          <w:b/>
          <w:sz w:val="22"/>
          <w:szCs w:val="22"/>
        </w:rPr>
      </w:pPr>
    </w:p>
    <w:p w14:paraId="4BE65F79" w14:textId="77777777" w:rsidR="00DD221B" w:rsidRPr="00DD221B" w:rsidRDefault="00DD221B" w:rsidP="00A54B20">
      <w:pPr>
        <w:spacing w:line="360" w:lineRule="auto"/>
        <w:contextualSpacing/>
        <w:jc w:val="both"/>
        <w:rPr>
          <w:rFonts w:ascii="Palatino Linotype" w:hAnsi="Palatino Linotype" w:cs="Tahoma"/>
          <w:bCs/>
          <w:iCs/>
          <w:sz w:val="22"/>
          <w:szCs w:val="22"/>
        </w:rPr>
      </w:pPr>
      <w:r w:rsidRPr="00DD221B">
        <w:rPr>
          <w:rFonts w:ascii="Palatino Linotype" w:hAnsi="Palatino Linotype" w:cs="Tahoma"/>
          <w:sz w:val="22"/>
          <w:szCs w:val="22"/>
        </w:rPr>
        <w:t>Al respecto, e</w:t>
      </w:r>
      <w:r w:rsidRPr="00DD221B">
        <w:rPr>
          <w:rFonts w:ascii="Palatino Linotype" w:hAnsi="Palatino Linotype" w:cs="Tahoma"/>
          <w:bCs/>
          <w:iCs/>
          <w:sz w:val="22"/>
          <w:szCs w:val="22"/>
        </w:rPr>
        <w:t>l Octavo de los Lineamientos Generales, precisa lo siguiente:</w:t>
      </w:r>
    </w:p>
    <w:p w14:paraId="5FE9774D" w14:textId="77777777" w:rsidR="00DD221B" w:rsidRPr="00DD221B" w:rsidRDefault="00DD221B" w:rsidP="00A54B20">
      <w:pPr>
        <w:spacing w:line="360" w:lineRule="auto"/>
        <w:contextualSpacing/>
        <w:jc w:val="both"/>
        <w:rPr>
          <w:rFonts w:ascii="Palatino Linotype" w:hAnsi="Palatino Linotype" w:cs="Tahoma"/>
          <w:bCs/>
          <w:iCs/>
          <w:sz w:val="22"/>
          <w:szCs w:val="22"/>
        </w:rPr>
      </w:pPr>
    </w:p>
    <w:p w14:paraId="1A92B6B7" w14:textId="77777777" w:rsidR="00DD221B" w:rsidRPr="00DD221B" w:rsidRDefault="00DD221B" w:rsidP="00A54B20">
      <w:pPr>
        <w:numPr>
          <w:ilvl w:val="0"/>
          <w:numId w:val="21"/>
        </w:numPr>
        <w:spacing w:line="360" w:lineRule="auto"/>
        <w:contextualSpacing/>
        <w:jc w:val="both"/>
        <w:rPr>
          <w:rFonts w:ascii="Palatino Linotype" w:hAnsi="Palatino Linotype" w:cs="Tahoma"/>
          <w:bCs/>
          <w:sz w:val="22"/>
          <w:szCs w:val="22"/>
          <w:u w:val="single"/>
        </w:rPr>
      </w:pPr>
      <w:r w:rsidRPr="00DD221B">
        <w:rPr>
          <w:rFonts w:ascii="Palatino Linotype" w:hAnsi="Palatino Linotype" w:cs="Tahoma"/>
          <w:b/>
          <w:bCs/>
          <w:sz w:val="22"/>
          <w:szCs w:val="22"/>
        </w:rPr>
        <w:t>Para fundar la clasificación</w:t>
      </w:r>
      <w:r w:rsidRPr="00DD221B">
        <w:rPr>
          <w:rFonts w:ascii="Palatino Linotype" w:hAnsi="Palatino Linotype" w:cs="Tahoma"/>
          <w:bCs/>
          <w:sz w:val="22"/>
          <w:szCs w:val="22"/>
        </w:rPr>
        <w:t xml:space="preserve"> de la información se deberán </w:t>
      </w:r>
      <w:r w:rsidRPr="00DD221B">
        <w:rPr>
          <w:rFonts w:ascii="Palatino Linotype" w:hAnsi="Palatino Linotype" w:cs="Tahoma"/>
          <w:bCs/>
          <w:sz w:val="22"/>
          <w:szCs w:val="22"/>
          <w:u w:val="single"/>
        </w:rPr>
        <w:t>señalar el artículo, fracción, inciso, párrafo o numeral de la Ley aplicable;</w:t>
      </w:r>
    </w:p>
    <w:p w14:paraId="097859FC" w14:textId="77777777" w:rsidR="00DD221B" w:rsidRPr="00DD221B" w:rsidRDefault="00DD221B" w:rsidP="00A54B20">
      <w:pPr>
        <w:spacing w:line="360" w:lineRule="auto"/>
        <w:contextualSpacing/>
        <w:jc w:val="both"/>
        <w:rPr>
          <w:rFonts w:ascii="Palatino Linotype" w:hAnsi="Palatino Linotype" w:cs="Tahoma"/>
          <w:bCs/>
          <w:sz w:val="22"/>
          <w:szCs w:val="22"/>
        </w:rPr>
      </w:pPr>
    </w:p>
    <w:p w14:paraId="6920C14E" w14:textId="77777777" w:rsidR="00DD221B" w:rsidRPr="00DD221B" w:rsidRDefault="00DD221B" w:rsidP="00A54B20">
      <w:pPr>
        <w:numPr>
          <w:ilvl w:val="0"/>
          <w:numId w:val="21"/>
        </w:numPr>
        <w:spacing w:line="360" w:lineRule="auto"/>
        <w:contextualSpacing/>
        <w:jc w:val="both"/>
        <w:rPr>
          <w:rFonts w:ascii="Palatino Linotype" w:hAnsi="Palatino Linotype" w:cs="Tahoma"/>
          <w:bCs/>
          <w:sz w:val="22"/>
          <w:szCs w:val="22"/>
        </w:rPr>
      </w:pPr>
      <w:r w:rsidRPr="00DD221B">
        <w:rPr>
          <w:rFonts w:ascii="Palatino Linotype" w:hAnsi="Palatino Linotype" w:cs="Tahoma"/>
          <w:b/>
          <w:bCs/>
          <w:sz w:val="22"/>
          <w:szCs w:val="22"/>
        </w:rPr>
        <w:lastRenderedPageBreak/>
        <w:t>Para motivar la clasificación</w:t>
      </w:r>
      <w:r w:rsidRPr="00DD221B">
        <w:rPr>
          <w:rFonts w:ascii="Palatino Linotype" w:hAnsi="Palatino Linotype" w:cs="Tahoma"/>
          <w:bCs/>
          <w:sz w:val="22"/>
          <w:szCs w:val="22"/>
        </w:rPr>
        <w:t xml:space="preserve"> se deberán </w:t>
      </w:r>
      <w:r w:rsidRPr="00DD221B">
        <w:rPr>
          <w:rFonts w:ascii="Palatino Linotype" w:hAnsi="Palatino Linotype" w:cs="Tahoma"/>
          <w:bCs/>
          <w:sz w:val="22"/>
          <w:szCs w:val="22"/>
          <w:u w:val="single"/>
        </w:rPr>
        <w:t>indicar las razones y circunstancias</w:t>
      </w:r>
      <w:r w:rsidRPr="00DD221B">
        <w:rPr>
          <w:rFonts w:ascii="Palatino Linotype" w:hAnsi="Palatino Linotype" w:cs="Tahoma"/>
          <w:bCs/>
          <w:sz w:val="22"/>
          <w:szCs w:val="22"/>
        </w:rPr>
        <w:t xml:space="preserve"> especiales que lo llevaron a concluir que el caso particular se ajusta al supuesto previsto por la norma legal invocada.</w:t>
      </w:r>
    </w:p>
    <w:p w14:paraId="28A4C659" w14:textId="77777777" w:rsidR="00DD221B" w:rsidRPr="00DD221B" w:rsidRDefault="00DD221B" w:rsidP="00A54B20">
      <w:pPr>
        <w:spacing w:line="360" w:lineRule="auto"/>
        <w:ind w:left="720"/>
        <w:contextualSpacing/>
        <w:rPr>
          <w:rFonts w:ascii="Palatino Linotype" w:hAnsi="Palatino Linotype" w:cs="Tahoma"/>
          <w:bCs/>
          <w:sz w:val="22"/>
          <w:szCs w:val="22"/>
        </w:rPr>
      </w:pPr>
    </w:p>
    <w:p w14:paraId="545A0538" w14:textId="77777777" w:rsidR="00DD221B" w:rsidRPr="00DD221B" w:rsidRDefault="00DD221B" w:rsidP="00A54B20">
      <w:pPr>
        <w:spacing w:line="360" w:lineRule="auto"/>
        <w:contextualSpacing/>
        <w:jc w:val="both"/>
        <w:rPr>
          <w:rFonts w:ascii="Palatino Linotype" w:hAnsi="Palatino Linotype" w:cs="Tahoma"/>
          <w:sz w:val="22"/>
          <w:szCs w:val="22"/>
        </w:rPr>
      </w:pPr>
      <w:r w:rsidRPr="00DD221B">
        <w:rPr>
          <w:rFonts w:ascii="Palatino Linotype" w:hAnsi="Palatino Linotype" w:cs="Tahoma"/>
          <w:sz w:val="22"/>
          <w:szCs w:val="22"/>
        </w:rPr>
        <w:t>Lo anterior, toma sustento en la fracción VII, del artículo 1.8, del Código Administrativo del Estado de México, que establece que todo acto administrativo, debe estar fundado y motivado, esto es, que contenga con precisión, los preceptos legales aplicables, las circunstancias generales o especiales, razones particulares y causas que se hayan tomado en cuenta para la emisión del mismo; asimismo, se trae cita por analogía la Tesis aislada número I. 4o. P. 56 P, Octava Época, publicada en el Semanario Judicial de la Federación, Tomo XIV, noviembre de mil novecientos noventa y cuatro, (p. 450), que establece lo siguiente:</w:t>
      </w:r>
    </w:p>
    <w:p w14:paraId="1C871AB9" w14:textId="77777777" w:rsidR="00DD221B" w:rsidRPr="00DD221B" w:rsidRDefault="00DD221B" w:rsidP="00A54B20">
      <w:pPr>
        <w:spacing w:line="360" w:lineRule="auto"/>
        <w:contextualSpacing/>
        <w:jc w:val="both"/>
        <w:rPr>
          <w:rFonts w:ascii="Palatino Linotype" w:hAnsi="Palatino Linotype" w:cs="Tahoma"/>
          <w:sz w:val="22"/>
          <w:szCs w:val="22"/>
        </w:rPr>
      </w:pPr>
    </w:p>
    <w:p w14:paraId="0618FBD5" w14:textId="77777777" w:rsidR="00DD221B" w:rsidRPr="00DD221B" w:rsidRDefault="00DD221B" w:rsidP="00A54B20">
      <w:pPr>
        <w:spacing w:line="360" w:lineRule="auto"/>
        <w:ind w:left="567" w:right="567"/>
        <w:contextualSpacing/>
        <w:jc w:val="both"/>
        <w:rPr>
          <w:rFonts w:ascii="Palatino Linotype" w:hAnsi="Palatino Linotype" w:cs="Tahoma"/>
          <w:i/>
        </w:rPr>
      </w:pPr>
      <w:r w:rsidRPr="00DD221B">
        <w:rPr>
          <w:rFonts w:ascii="Palatino Linotype" w:hAnsi="Palatino Linotype" w:cs="Tahoma"/>
          <w:b/>
          <w:i/>
        </w:rPr>
        <w:t xml:space="preserve">“FUNDAMENTACION Y MOTIVACION, CONCEPTO DE. </w:t>
      </w:r>
      <w:r w:rsidRPr="00DD221B">
        <w:rPr>
          <w:rFonts w:ascii="Palatino Linotype" w:hAnsi="Palatino Linotype" w:cs="Tahoma"/>
          <w:i/>
        </w:rPr>
        <w:t>La garantía de legalidad consagrada en el artículo 16 de nuestra Carta Magna, establece que todo acto de autoridad precisa encontrarse debidamente fundado y motivado, entendiéndose por lo primero la obligación de la autoridad que lo emite, para citar los preceptos legales, sustantivos y adjetivos, en que se apoye la determinación adoptada; y por lo segundo, que exprese una serie de razonamientos lógico-jurídicos sobre el por qué consideró que el caso concreto se ajusta a la hipótesis normativa.”</w:t>
      </w:r>
    </w:p>
    <w:p w14:paraId="0781DEF1" w14:textId="77777777" w:rsidR="00DD221B" w:rsidRPr="00DD221B" w:rsidRDefault="00DD221B" w:rsidP="00A54B20">
      <w:pPr>
        <w:spacing w:line="360" w:lineRule="auto"/>
        <w:contextualSpacing/>
        <w:jc w:val="both"/>
        <w:rPr>
          <w:rFonts w:ascii="Palatino Linotype" w:hAnsi="Palatino Linotype" w:cs="Tahoma"/>
          <w:sz w:val="22"/>
          <w:szCs w:val="22"/>
        </w:rPr>
      </w:pPr>
    </w:p>
    <w:p w14:paraId="1C527EBF" w14:textId="77777777" w:rsidR="00DD221B" w:rsidRPr="00DD221B" w:rsidRDefault="00DD221B" w:rsidP="00A54B20">
      <w:pPr>
        <w:spacing w:line="360" w:lineRule="auto"/>
        <w:contextualSpacing/>
        <w:jc w:val="both"/>
        <w:rPr>
          <w:rFonts w:ascii="Palatino Linotype" w:hAnsi="Palatino Linotype" w:cs="Tahoma"/>
          <w:sz w:val="22"/>
          <w:szCs w:val="22"/>
        </w:rPr>
      </w:pPr>
      <w:r w:rsidRPr="00DD221B">
        <w:rPr>
          <w:rFonts w:ascii="Palatino Linotype" w:hAnsi="Palatino Linotype" w:cs="Tahoma"/>
          <w:sz w:val="22"/>
          <w:szCs w:val="22"/>
        </w:rPr>
        <w:t>Conforme a lo anterior, se advierte lo siguiente:</w:t>
      </w:r>
    </w:p>
    <w:p w14:paraId="23D52BE5" w14:textId="77777777" w:rsidR="00DD221B" w:rsidRPr="00DD221B" w:rsidRDefault="00DD221B" w:rsidP="00A54B20">
      <w:pPr>
        <w:spacing w:line="360" w:lineRule="auto"/>
        <w:contextualSpacing/>
        <w:jc w:val="both"/>
        <w:rPr>
          <w:rFonts w:ascii="Palatino Linotype" w:hAnsi="Palatino Linotype" w:cs="Tahoma"/>
          <w:sz w:val="22"/>
          <w:szCs w:val="22"/>
        </w:rPr>
      </w:pPr>
    </w:p>
    <w:p w14:paraId="4401C71C" w14:textId="77777777" w:rsidR="00DD221B" w:rsidRPr="00DD221B" w:rsidRDefault="00DD221B" w:rsidP="00A54B20">
      <w:pPr>
        <w:numPr>
          <w:ilvl w:val="0"/>
          <w:numId w:val="22"/>
        </w:numPr>
        <w:spacing w:line="360" w:lineRule="auto"/>
        <w:contextualSpacing/>
        <w:jc w:val="both"/>
        <w:rPr>
          <w:rFonts w:ascii="Palatino Linotype" w:hAnsi="Palatino Linotype" w:cs="Tahoma"/>
          <w:b/>
          <w:sz w:val="22"/>
          <w:szCs w:val="22"/>
        </w:rPr>
      </w:pPr>
      <w:r w:rsidRPr="00DD221B">
        <w:rPr>
          <w:rFonts w:ascii="Palatino Linotype" w:hAnsi="Palatino Linotype" w:cs="Tahoma"/>
          <w:b/>
          <w:sz w:val="22"/>
          <w:szCs w:val="22"/>
        </w:rPr>
        <w:t xml:space="preserve">Fundamentación: </w:t>
      </w:r>
      <w:r w:rsidRPr="00DD221B">
        <w:rPr>
          <w:rFonts w:ascii="Palatino Linotype" w:hAnsi="Palatino Linotype" w:cs="Tahoma"/>
          <w:sz w:val="22"/>
          <w:szCs w:val="22"/>
        </w:rPr>
        <w:t>Obligación de la autoridad que emite un acto, para citar los preceptos legales, sustantivos y adjetivos, en que se apoye para la determinación tomada.</w:t>
      </w:r>
    </w:p>
    <w:p w14:paraId="13404BA0" w14:textId="77777777" w:rsidR="00DD221B" w:rsidRPr="00DD221B" w:rsidRDefault="00DD221B" w:rsidP="00A54B20">
      <w:pPr>
        <w:spacing w:line="360" w:lineRule="auto"/>
        <w:ind w:left="720"/>
        <w:contextualSpacing/>
        <w:jc w:val="both"/>
        <w:rPr>
          <w:rFonts w:ascii="Palatino Linotype" w:hAnsi="Palatino Linotype" w:cs="Tahoma"/>
          <w:b/>
          <w:sz w:val="22"/>
          <w:szCs w:val="22"/>
        </w:rPr>
      </w:pPr>
    </w:p>
    <w:p w14:paraId="24A1F36C" w14:textId="77777777" w:rsidR="00DD221B" w:rsidRPr="00DD221B" w:rsidRDefault="00DD221B" w:rsidP="00A54B20">
      <w:pPr>
        <w:numPr>
          <w:ilvl w:val="0"/>
          <w:numId w:val="22"/>
        </w:numPr>
        <w:spacing w:line="360" w:lineRule="auto"/>
        <w:contextualSpacing/>
        <w:jc w:val="both"/>
        <w:rPr>
          <w:rFonts w:ascii="Palatino Linotype" w:hAnsi="Palatino Linotype" w:cs="Tahoma"/>
          <w:b/>
          <w:sz w:val="22"/>
          <w:szCs w:val="22"/>
        </w:rPr>
      </w:pPr>
      <w:r w:rsidRPr="00DD221B">
        <w:rPr>
          <w:rFonts w:ascii="Palatino Linotype" w:hAnsi="Palatino Linotype" w:cs="Tahoma"/>
          <w:b/>
          <w:sz w:val="22"/>
          <w:szCs w:val="22"/>
        </w:rPr>
        <w:lastRenderedPageBreak/>
        <w:t xml:space="preserve">Motivación: </w:t>
      </w:r>
      <w:r w:rsidRPr="00DD221B">
        <w:rPr>
          <w:rFonts w:ascii="Palatino Linotype" w:hAnsi="Palatino Linotype" w:cs="Tahoma"/>
          <w:sz w:val="22"/>
          <w:szCs w:val="22"/>
        </w:rPr>
        <w:t>Razonamientos lógico-jurídicos sobre porque se consideró en el caso en concreto, que se ajusta a la hipótesis normativa.</w:t>
      </w:r>
    </w:p>
    <w:p w14:paraId="740435D8" w14:textId="77777777" w:rsidR="00DD221B" w:rsidRPr="00DD221B" w:rsidRDefault="00DD221B" w:rsidP="00A54B20">
      <w:pPr>
        <w:spacing w:line="360" w:lineRule="auto"/>
        <w:contextualSpacing/>
        <w:jc w:val="both"/>
        <w:rPr>
          <w:rFonts w:ascii="Palatino Linotype" w:eastAsia="Calibri" w:hAnsi="Palatino Linotype" w:cs="Tahoma"/>
          <w:sz w:val="22"/>
          <w:szCs w:val="22"/>
          <w:lang w:val="es-ES"/>
        </w:rPr>
      </w:pPr>
    </w:p>
    <w:p w14:paraId="6092A7D6" w14:textId="77777777" w:rsidR="00DD221B" w:rsidRPr="00DD221B" w:rsidRDefault="00DD221B" w:rsidP="00A54B20">
      <w:pPr>
        <w:spacing w:line="360" w:lineRule="auto"/>
        <w:contextualSpacing/>
        <w:jc w:val="both"/>
        <w:rPr>
          <w:rFonts w:ascii="Palatino Linotype" w:eastAsia="Calibri" w:hAnsi="Palatino Linotype" w:cs="Tahoma"/>
          <w:sz w:val="22"/>
          <w:szCs w:val="22"/>
          <w:lang w:val="es-ES"/>
        </w:rPr>
      </w:pPr>
      <w:r w:rsidRPr="00DD221B">
        <w:rPr>
          <w:rFonts w:ascii="Palatino Linotype" w:eastAsia="Calibri" w:hAnsi="Palatino Linotype" w:cs="Tahoma"/>
          <w:sz w:val="22"/>
          <w:szCs w:val="22"/>
          <w:lang w:val="es-ES"/>
        </w:rPr>
        <w:t>Situación que toma relevancia, pues conforme al artículo 149 de la Ley de Transparencia y Acceso a la Información Pública del Estado de México y Municipios, todo acuerdo que clasifique la información como confidencial, deberá contener un razonamiento lógico en el que se demuestre que la información actualiza alguna de las hipótesis previstas en el artículo 143 del ordenamiento jurídico establecido.</w:t>
      </w:r>
    </w:p>
    <w:p w14:paraId="753DAD0F" w14:textId="77777777" w:rsidR="00DD221B" w:rsidRPr="00DD221B" w:rsidRDefault="00DD221B" w:rsidP="00A54B20">
      <w:pPr>
        <w:autoSpaceDE w:val="0"/>
        <w:autoSpaceDN w:val="0"/>
        <w:adjustRightInd w:val="0"/>
        <w:spacing w:line="360" w:lineRule="auto"/>
        <w:contextualSpacing/>
        <w:jc w:val="both"/>
        <w:rPr>
          <w:rFonts w:ascii="Palatino Linotype" w:eastAsia="Palatino Linotype" w:hAnsi="Palatino Linotype" w:cs="Palatino Linotype"/>
          <w:sz w:val="22"/>
          <w:szCs w:val="22"/>
          <w:lang w:val="es-ES"/>
        </w:rPr>
      </w:pPr>
    </w:p>
    <w:p w14:paraId="5A24FD00" w14:textId="77777777" w:rsidR="00DD221B" w:rsidRPr="00DD221B" w:rsidRDefault="00DD221B" w:rsidP="00A54B20">
      <w:pPr>
        <w:spacing w:line="360" w:lineRule="auto"/>
        <w:contextualSpacing/>
        <w:jc w:val="both"/>
        <w:rPr>
          <w:rFonts w:ascii="Palatino Linotype" w:eastAsia="Calibri" w:hAnsi="Palatino Linotype"/>
          <w:bCs/>
          <w:color w:val="000000"/>
          <w:sz w:val="22"/>
          <w:szCs w:val="22"/>
        </w:rPr>
      </w:pPr>
      <w:r w:rsidRPr="00DD221B">
        <w:rPr>
          <w:rFonts w:ascii="Palatino Linotype" w:eastAsia="Palatino Linotype" w:hAnsi="Palatino Linotype" w:cs="Palatino Linotype"/>
          <w:sz w:val="22"/>
          <w:szCs w:val="22"/>
        </w:rPr>
        <w:t xml:space="preserve">En ese orden de ideas, el artículo </w:t>
      </w:r>
      <w:r w:rsidRPr="00DD221B">
        <w:rPr>
          <w:rFonts w:ascii="Palatino Linotype" w:eastAsia="Calibri" w:hAnsi="Palatino Linotype"/>
          <w:bCs/>
          <w:color w:val="000000"/>
          <w:sz w:val="22"/>
          <w:szCs w:val="22"/>
        </w:rPr>
        <w:t>el artículo 143, fracción I, de la Ley previamente citada, establece que la información privada y los datos personales, concernientes a una persona física o jurídica colectiva identificada o identificable son confidenciales.</w:t>
      </w:r>
    </w:p>
    <w:p w14:paraId="13B3B1A2" w14:textId="580AE036" w:rsidR="00DD221B" w:rsidRDefault="00DD221B" w:rsidP="00A54B20">
      <w:pPr>
        <w:spacing w:line="360" w:lineRule="auto"/>
        <w:contextualSpacing/>
        <w:jc w:val="both"/>
        <w:rPr>
          <w:rFonts w:ascii="Palatino Linotype" w:eastAsia="Palatino Linotype" w:hAnsi="Palatino Linotype" w:cs="Palatino Linotype"/>
          <w:bCs/>
          <w:iCs/>
          <w:color w:val="000000"/>
          <w:sz w:val="22"/>
          <w:szCs w:val="22"/>
        </w:rPr>
      </w:pPr>
    </w:p>
    <w:p w14:paraId="29628A4F" w14:textId="73E0D762" w:rsidR="002C28F2" w:rsidRDefault="002C28F2" w:rsidP="00A54B20">
      <w:pPr>
        <w:spacing w:line="360" w:lineRule="auto"/>
        <w:contextualSpacing/>
        <w:jc w:val="both"/>
        <w:rPr>
          <w:rFonts w:ascii="Palatino Linotype" w:eastAsia="Palatino Linotype" w:hAnsi="Palatino Linotype" w:cs="Palatino Linotype"/>
          <w:bCs/>
          <w:iCs/>
          <w:color w:val="000000"/>
          <w:sz w:val="22"/>
          <w:szCs w:val="22"/>
        </w:rPr>
      </w:pPr>
      <w:r>
        <w:rPr>
          <w:rFonts w:ascii="Palatino Linotype" w:eastAsia="Palatino Linotype" w:hAnsi="Palatino Linotype" w:cs="Palatino Linotype"/>
          <w:bCs/>
          <w:iCs/>
          <w:color w:val="000000"/>
          <w:sz w:val="22"/>
          <w:szCs w:val="22"/>
        </w:rPr>
        <w:t xml:space="preserve">De esta forma, se logra vislumbrar que si bien, </w:t>
      </w:r>
      <w:r w:rsidR="00BF4359">
        <w:rPr>
          <w:rFonts w:ascii="Palatino Linotype" w:eastAsia="Palatino Linotype" w:hAnsi="Palatino Linotype" w:cs="Palatino Linotype"/>
          <w:bCs/>
          <w:iCs/>
          <w:color w:val="000000"/>
          <w:sz w:val="22"/>
          <w:szCs w:val="22"/>
        </w:rPr>
        <w:t xml:space="preserve">el Sujeto Obligado a través de la sexta regiduría proporcionaron diversos documentos que daban cuenta de lo solicitado, lo cierto es que no se pueden validar en su totalidad en virtud de que omitió la entrega de la información de forma completa, además de que clasificó información que no es susceptible de clasificación, sumado a que omitió la entrega del acuerdo que sustentara las versiones públicas de los documentos proporcionados, </w:t>
      </w:r>
      <w:r w:rsidR="00BF4359" w:rsidRPr="003B4DAF">
        <w:rPr>
          <w:rFonts w:ascii="Palatino Linotype" w:eastAsia="Palatino Linotype" w:hAnsi="Palatino Linotype" w:cs="Palatino Linotype"/>
          <w:sz w:val="22"/>
          <w:szCs w:val="22"/>
        </w:rPr>
        <w:t xml:space="preserve">lo cual da como resultado que el agravio sea </w:t>
      </w:r>
      <w:r w:rsidR="00BF4359" w:rsidRPr="003B4DAF">
        <w:rPr>
          <w:rFonts w:ascii="Palatino Linotype" w:eastAsia="Palatino Linotype" w:hAnsi="Palatino Linotype" w:cs="Palatino Linotype"/>
          <w:b/>
          <w:bCs/>
          <w:sz w:val="22"/>
          <w:szCs w:val="22"/>
        </w:rPr>
        <w:t>FUNDADO</w:t>
      </w:r>
      <w:r w:rsidR="00BF4359">
        <w:rPr>
          <w:rFonts w:ascii="Palatino Linotype" w:eastAsia="Palatino Linotype" w:hAnsi="Palatino Linotype" w:cs="Palatino Linotype"/>
          <w:bCs/>
          <w:iCs/>
          <w:color w:val="000000"/>
          <w:sz w:val="22"/>
          <w:szCs w:val="22"/>
        </w:rPr>
        <w:t>.</w:t>
      </w:r>
    </w:p>
    <w:p w14:paraId="0694820E" w14:textId="77777777" w:rsidR="00CC0A33" w:rsidRDefault="00CC0A33" w:rsidP="00A54B20">
      <w:pPr>
        <w:spacing w:line="360" w:lineRule="auto"/>
        <w:contextualSpacing/>
        <w:jc w:val="both"/>
        <w:rPr>
          <w:rFonts w:ascii="Palatino Linotype" w:eastAsia="Palatino Linotype" w:hAnsi="Palatino Linotype" w:cs="Palatino Linotype"/>
          <w:bCs/>
          <w:iCs/>
          <w:color w:val="000000"/>
          <w:sz w:val="22"/>
          <w:szCs w:val="22"/>
        </w:rPr>
      </w:pPr>
    </w:p>
    <w:p w14:paraId="2E1797E4" w14:textId="77777777" w:rsidR="00CC0A33" w:rsidRDefault="00CC0A33" w:rsidP="00A54B20">
      <w:pPr>
        <w:spacing w:line="360" w:lineRule="auto"/>
        <w:contextualSpacing/>
        <w:jc w:val="both"/>
        <w:rPr>
          <w:rFonts w:ascii="Palatino Linotype" w:eastAsia="Palatino Linotype" w:hAnsi="Palatino Linotype" w:cs="Palatino Linotype"/>
          <w:bCs/>
          <w:iCs/>
          <w:color w:val="000000"/>
          <w:sz w:val="22"/>
          <w:szCs w:val="22"/>
        </w:rPr>
      </w:pPr>
      <w:r w:rsidRPr="005257BF">
        <w:rPr>
          <w:rFonts w:ascii="Palatino Linotype" w:eastAsia="Palatino Linotype" w:hAnsi="Palatino Linotype" w:cs="Palatino Linotype"/>
          <w:bCs/>
          <w:iCs/>
          <w:color w:val="000000"/>
          <w:sz w:val="22"/>
          <w:szCs w:val="22"/>
        </w:rPr>
        <w:t>Cabe precisar que si bien, a través del informe justificado proporcionó información adicional, lo cierto es que no fue posible ponerla a la vista del ahora Recurrente, toda vez que de los documentos se logró advertir el correo electrónico de un particular.</w:t>
      </w:r>
    </w:p>
    <w:p w14:paraId="6C08AEE2" w14:textId="2D6C481F" w:rsidR="00CC0A33" w:rsidRDefault="00CC0A33" w:rsidP="00A54B20">
      <w:pPr>
        <w:spacing w:line="360" w:lineRule="auto"/>
        <w:contextualSpacing/>
        <w:jc w:val="both"/>
        <w:rPr>
          <w:rFonts w:ascii="Palatino Linotype" w:eastAsia="Palatino Linotype" w:hAnsi="Palatino Linotype" w:cs="Palatino Linotype"/>
          <w:bCs/>
          <w:iCs/>
          <w:color w:val="000000"/>
          <w:sz w:val="22"/>
          <w:szCs w:val="22"/>
        </w:rPr>
      </w:pPr>
      <w:r>
        <w:rPr>
          <w:rFonts w:ascii="Palatino Linotype" w:eastAsia="Palatino Linotype" w:hAnsi="Palatino Linotype" w:cs="Palatino Linotype"/>
          <w:bCs/>
          <w:iCs/>
          <w:color w:val="000000"/>
          <w:sz w:val="22"/>
          <w:szCs w:val="22"/>
        </w:rPr>
        <w:t xml:space="preserve"> </w:t>
      </w:r>
    </w:p>
    <w:p w14:paraId="29BD1B4C" w14:textId="45486D43" w:rsidR="002772FA" w:rsidRPr="003B4DAF" w:rsidRDefault="002772FA" w:rsidP="00A54B20">
      <w:pPr>
        <w:spacing w:line="360" w:lineRule="auto"/>
        <w:contextualSpacing/>
        <w:jc w:val="both"/>
        <w:rPr>
          <w:rFonts w:ascii="Palatino Linotype" w:hAnsi="Palatino Linotype" w:cs="Tahoma"/>
          <w:bCs/>
          <w:iCs/>
          <w:sz w:val="22"/>
          <w:szCs w:val="22"/>
        </w:rPr>
      </w:pPr>
      <w:r w:rsidRPr="003B4DAF">
        <w:rPr>
          <w:rFonts w:ascii="Palatino Linotype" w:hAnsi="Palatino Linotype" w:cs="Tahoma"/>
          <w:bCs/>
          <w:iCs/>
          <w:sz w:val="22"/>
          <w:szCs w:val="22"/>
        </w:rPr>
        <w:lastRenderedPageBreak/>
        <w:t>Conforme a lo anterior, se considera que el Sujeto Obligado deberá realizar una</w:t>
      </w:r>
      <w:r>
        <w:rPr>
          <w:rFonts w:ascii="Palatino Linotype" w:hAnsi="Palatino Linotype" w:cs="Tahoma"/>
          <w:bCs/>
          <w:iCs/>
          <w:sz w:val="22"/>
          <w:szCs w:val="22"/>
        </w:rPr>
        <w:t xml:space="preserve"> nueva</w:t>
      </w:r>
      <w:r w:rsidRPr="003B4DAF">
        <w:rPr>
          <w:rFonts w:ascii="Palatino Linotype" w:hAnsi="Palatino Linotype" w:cs="Tahoma"/>
          <w:bCs/>
          <w:iCs/>
          <w:sz w:val="22"/>
          <w:szCs w:val="22"/>
        </w:rPr>
        <w:t xml:space="preserve"> búsqueda exhaustiva y razonable en todas las unidades administrativas competentes</w:t>
      </w:r>
      <w:r>
        <w:rPr>
          <w:rFonts w:ascii="Palatino Linotype" w:hAnsi="Palatino Linotype" w:cs="Tahoma"/>
          <w:bCs/>
          <w:iCs/>
          <w:sz w:val="22"/>
          <w:szCs w:val="22"/>
        </w:rPr>
        <w:t xml:space="preserve">, </w:t>
      </w:r>
      <w:r w:rsidRPr="003B4DAF">
        <w:rPr>
          <w:rFonts w:ascii="Palatino Linotype" w:hAnsi="Palatino Linotype" w:cs="Tahoma"/>
          <w:bCs/>
          <w:iCs/>
          <w:sz w:val="22"/>
          <w:szCs w:val="22"/>
        </w:rPr>
        <w:t>a efecto de que proporcione</w:t>
      </w:r>
      <w:r>
        <w:rPr>
          <w:rFonts w:ascii="Palatino Linotype" w:hAnsi="Palatino Linotype" w:cs="Tahoma"/>
          <w:bCs/>
          <w:iCs/>
          <w:sz w:val="22"/>
          <w:szCs w:val="22"/>
        </w:rPr>
        <w:t>n</w:t>
      </w:r>
      <w:r w:rsidRPr="003B4DAF">
        <w:rPr>
          <w:rFonts w:ascii="Palatino Linotype" w:hAnsi="Palatino Linotype" w:cs="Tahoma"/>
          <w:bCs/>
          <w:iCs/>
          <w:sz w:val="22"/>
          <w:szCs w:val="22"/>
        </w:rPr>
        <w:t xml:space="preserve"> los documentos</w:t>
      </w:r>
      <w:r>
        <w:rPr>
          <w:rFonts w:ascii="Palatino Linotype" w:hAnsi="Palatino Linotype" w:cs="Tahoma"/>
          <w:bCs/>
          <w:iCs/>
          <w:sz w:val="22"/>
          <w:szCs w:val="22"/>
        </w:rPr>
        <w:t xml:space="preserve"> que den cuenta de </w:t>
      </w:r>
      <w:r w:rsidRPr="003B4DAF">
        <w:rPr>
          <w:rFonts w:ascii="Palatino Linotype" w:hAnsi="Palatino Linotype" w:cs="Tahoma"/>
          <w:bCs/>
          <w:iCs/>
          <w:sz w:val="22"/>
          <w:szCs w:val="22"/>
        </w:rPr>
        <w:t xml:space="preserve">las peticiones realizadas por la ciudadanía dirigidas a la </w:t>
      </w:r>
      <w:r>
        <w:rPr>
          <w:rFonts w:ascii="Palatino Linotype" w:hAnsi="Palatino Linotype" w:cs="Tahoma"/>
          <w:bCs/>
          <w:iCs/>
          <w:sz w:val="22"/>
          <w:szCs w:val="22"/>
        </w:rPr>
        <w:t xml:space="preserve">Sexta Regiduría Municipal, </w:t>
      </w:r>
      <w:r w:rsidRPr="003B4DAF">
        <w:rPr>
          <w:rFonts w:ascii="Palatino Linotype" w:hAnsi="Palatino Linotype" w:cs="Tahoma"/>
          <w:bCs/>
          <w:iCs/>
          <w:sz w:val="22"/>
          <w:szCs w:val="22"/>
        </w:rPr>
        <w:t xml:space="preserve">así como las respuestas </w:t>
      </w:r>
      <w:r>
        <w:rPr>
          <w:rFonts w:ascii="Palatino Linotype" w:hAnsi="Palatino Linotype" w:cs="Tahoma"/>
          <w:bCs/>
          <w:iCs/>
          <w:sz w:val="22"/>
          <w:szCs w:val="22"/>
        </w:rPr>
        <w:t xml:space="preserve"> faltantes del primero de enero al diez de noviembre de dos mil veinticinco, además de los documentos remitidos en respuesta y en informe justificado en su caso en versión pública correcta</w:t>
      </w:r>
      <w:r w:rsidRPr="003B4DAF">
        <w:rPr>
          <w:rFonts w:ascii="Palatino Linotype" w:hAnsi="Palatino Linotype" w:cs="Tahoma"/>
          <w:bCs/>
          <w:iCs/>
          <w:sz w:val="22"/>
          <w:szCs w:val="22"/>
        </w:rPr>
        <w:t>.</w:t>
      </w:r>
    </w:p>
    <w:p w14:paraId="56CD0AF3" w14:textId="77777777" w:rsidR="002772FA" w:rsidRPr="003B4DAF" w:rsidRDefault="002772FA" w:rsidP="00A54B20">
      <w:pPr>
        <w:spacing w:line="360" w:lineRule="auto"/>
        <w:contextualSpacing/>
        <w:jc w:val="both"/>
        <w:rPr>
          <w:rFonts w:ascii="Palatino Linotype" w:hAnsi="Palatino Linotype" w:cs="Tahoma"/>
          <w:sz w:val="22"/>
          <w:szCs w:val="22"/>
        </w:rPr>
      </w:pPr>
    </w:p>
    <w:p w14:paraId="1329EC0A" w14:textId="77777777" w:rsidR="002772FA" w:rsidRPr="003B4DAF" w:rsidRDefault="002772FA" w:rsidP="00A54B20">
      <w:pPr>
        <w:spacing w:line="360" w:lineRule="auto"/>
        <w:contextualSpacing/>
        <w:jc w:val="both"/>
        <w:rPr>
          <w:rFonts w:ascii="Palatino Linotype" w:hAnsi="Palatino Linotype"/>
          <w:bCs/>
          <w:iCs/>
          <w:sz w:val="22"/>
          <w:szCs w:val="22"/>
        </w:rPr>
      </w:pPr>
      <w:r w:rsidRPr="003B4DAF">
        <w:rPr>
          <w:rFonts w:ascii="Palatino Linotype" w:hAnsi="Palatino Linotype" w:cs="Tahoma"/>
          <w:sz w:val="22"/>
          <w:szCs w:val="22"/>
        </w:rPr>
        <w:t>Dicha</w:t>
      </w:r>
      <w:r w:rsidRPr="003B4DAF">
        <w:rPr>
          <w:rFonts w:ascii="Palatino Linotype" w:hAnsi="Palatino Linotype"/>
          <w:bCs/>
          <w:iCs/>
          <w:sz w:val="22"/>
          <w:szCs w:val="22"/>
        </w:rPr>
        <w:t xml:space="preserve"> situación toma sustento en el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4A50F45A" w14:textId="77777777" w:rsidR="002772FA" w:rsidRPr="003B4DAF" w:rsidRDefault="002772FA" w:rsidP="00A54B20">
      <w:pPr>
        <w:spacing w:line="360" w:lineRule="auto"/>
        <w:contextualSpacing/>
        <w:jc w:val="both"/>
        <w:rPr>
          <w:rFonts w:ascii="Palatino Linotype" w:hAnsi="Palatino Linotype"/>
          <w:bCs/>
          <w:iCs/>
          <w:sz w:val="22"/>
          <w:szCs w:val="22"/>
        </w:rPr>
      </w:pPr>
      <w:r w:rsidRPr="003B4DAF">
        <w:rPr>
          <w:rFonts w:ascii="Palatino Linotype" w:hAnsi="Palatino Linotype"/>
          <w:bCs/>
          <w:iCs/>
          <w:sz w:val="22"/>
          <w:szCs w:val="22"/>
        </w:rPr>
        <w:t xml:space="preserve"> </w:t>
      </w:r>
    </w:p>
    <w:p w14:paraId="1EBB0DCB" w14:textId="77777777" w:rsidR="002772FA" w:rsidRPr="003B4DAF" w:rsidRDefault="002772FA" w:rsidP="00A54B20">
      <w:pPr>
        <w:spacing w:line="360" w:lineRule="auto"/>
        <w:contextualSpacing/>
        <w:jc w:val="both"/>
        <w:rPr>
          <w:rFonts w:ascii="Palatino Linotype" w:hAnsi="Palatino Linotype"/>
          <w:bCs/>
          <w:iCs/>
          <w:sz w:val="22"/>
          <w:szCs w:val="22"/>
        </w:rPr>
      </w:pPr>
      <w:r w:rsidRPr="003B4DAF">
        <w:rPr>
          <w:rFonts w:ascii="Palatino Linotype" w:hAnsi="Palatino Linotype"/>
          <w:bCs/>
          <w:iCs/>
          <w:sz w:val="22"/>
          <w:szCs w:val="22"/>
        </w:rPr>
        <w:t xml:space="preserve">De esta manera, el derecho de acceso a la información pública se satisface en aquellos casos en que se entregue el soporte documental en el que conste la información solicitada, sin necesidad de elaborar documentos </w:t>
      </w:r>
      <w:r w:rsidRPr="003B4DAF">
        <w:rPr>
          <w:rFonts w:ascii="Palatino Linotype" w:hAnsi="Palatino Linotype"/>
          <w:bCs/>
          <w:i/>
          <w:iCs/>
          <w:sz w:val="22"/>
          <w:szCs w:val="22"/>
        </w:rPr>
        <w:t>ad hoc</w:t>
      </w:r>
      <w:r w:rsidRPr="003B4DAF">
        <w:rPr>
          <w:rFonts w:ascii="Palatino Linotype" w:hAnsi="Palatino Linotype"/>
          <w:bCs/>
          <w:iCs/>
          <w:sz w:val="22"/>
          <w:szCs w:val="22"/>
        </w:rPr>
        <w:t xml:space="preserve">; lo cual, de conformidad con en el artículo 160 de la Ley de Transparencia y Acceso a la Información Pública del Estado de México y Municipios, el cual refiere que los sujetos obligados deberán entregar la información que obre en sus archivos. </w:t>
      </w:r>
    </w:p>
    <w:p w14:paraId="090CEA35" w14:textId="77777777" w:rsidR="002772FA" w:rsidRPr="003B4DAF" w:rsidRDefault="002772FA" w:rsidP="00A54B20">
      <w:pPr>
        <w:spacing w:line="360" w:lineRule="auto"/>
        <w:contextualSpacing/>
        <w:jc w:val="both"/>
        <w:rPr>
          <w:rFonts w:ascii="Palatino Linotype" w:hAnsi="Palatino Linotype"/>
          <w:bCs/>
          <w:iCs/>
          <w:sz w:val="22"/>
          <w:szCs w:val="22"/>
        </w:rPr>
      </w:pPr>
      <w:r w:rsidRPr="003B4DAF">
        <w:rPr>
          <w:rFonts w:ascii="Palatino Linotype" w:hAnsi="Palatino Linotype"/>
          <w:bCs/>
          <w:iCs/>
          <w:sz w:val="22"/>
          <w:szCs w:val="22"/>
        </w:rPr>
        <w:t xml:space="preserve"> </w:t>
      </w:r>
    </w:p>
    <w:p w14:paraId="4F81B557" w14:textId="77777777" w:rsidR="002772FA" w:rsidRPr="003B4DAF" w:rsidRDefault="002772FA" w:rsidP="00A54B20">
      <w:pPr>
        <w:spacing w:line="360" w:lineRule="auto"/>
        <w:contextualSpacing/>
        <w:jc w:val="both"/>
        <w:rPr>
          <w:rFonts w:ascii="Palatino Linotype" w:hAnsi="Palatino Linotype"/>
          <w:bCs/>
          <w:iCs/>
          <w:sz w:val="22"/>
          <w:szCs w:val="22"/>
        </w:rPr>
      </w:pPr>
      <w:r w:rsidRPr="003B4DAF">
        <w:rPr>
          <w:rFonts w:ascii="Palatino Linotype" w:hAnsi="Palatino Linotype"/>
          <w:bCs/>
          <w:iCs/>
          <w:sz w:val="22"/>
          <w:szCs w:val="22"/>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proporcionar los documentos donde conste la información solicitada. </w:t>
      </w:r>
    </w:p>
    <w:p w14:paraId="3E16AC63" w14:textId="77777777" w:rsidR="002772FA" w:rsidRPr="003B4DAF" w:rsidRDefault="002772FA" w:rsidP="00A54B20">
      <w:pPr>
        <w:spacing w:line="360" w:lineRule="auto"/>
        <w:contextualSpacing/>
        <w:jc w:val="both"/>
        <w:rPr>
          <w:rFonts w:ascii="Palatino Linotype" w:hAnsi="Palatino Linotype"/>
          <w:bCs/>
          <w:iCs/>
          <w:sz w:val="22"/>
          <w:szCs w:val="22"/>
        </w:rPr>
      </w:pPr>
    </w:p>
    <w:p w14:paraId="06E02D62" w14:textId="4DA9EFC1" w:rsidR="002772FA" w:rsidRDefault="002772FA" w:rsidP="00A54B20">
      <w:pPr>
        <w:spacing w:line="360" w:lineRule="auto"/>
        <w:contextualSpacing/>
        <w:jc w:val="both"/>
        <w:rPr>
          <w:rFonts w:ascii="Palatino Linotype" w:eastAsia="Palatino Linotype" w:hAnsi="Palatino Linotype" w:cs="Tahoma"/>
          <w:color w:val="000000"/>
          <w:sz w:val="22"/>
          <w:szCs w:val="24"/>
        </w:rPr>
      </w:pPr>
      <w:r w:rsidRPr="003B4DAF">
        <w:rPr>
          <w:rFonts w:ascii="Palatino Linotype" w:eastAsia="Palatino Linotype" w:hAnsi="Palatino Linotype" w:cs="Tahoma"/>
          <w:color w:val="000000"/>
          <w:sz w:val="22"/>
          <w:szCs w:val="24"/>
        </w:rPr>
        <w:lastRenderedPageBreak/>
        <w:t xml:space="preserve">Conforme a lo expuesto se logra observar, que </w:t>
      </w:r>
      <w:r>
        <w:rPr>
          <w:rFonts w:ascii="Palatino Linotype" w:eastAsia="Palatino Linotype" w:hAnsi="Palatino Linotype" w:cs="Tahoma"/>
          <w:color w:val="000000"/>
          <w:sz w:val="22"/>
          <w:szCs w:val="24"/>
        </w:rPr>
        <w:t xml:space="preserve">de la revisión de </w:t>
      </w:r>
      <w:r w:rsidRPr="003B4DAF">
        <w:rPr>
          <w:rFonts w:ascii="Palatino Linotype" w:eastAsia="Palatino Linotype" w:hAnsi="Palatino Linotype" w:cs="Tahoma"/>
          <w:color w:val="000000"/>
          <w:sz w:val="22"/>
          <w:szCs w:val="24"/>
        </w:rPr>
        <w:t>la</w:t>
      </w:r>
      <w:r>
        <w:rPr>
          <w:rFonts w:ascii="Palatino Linotype" w:eastAsia="Palatino Linotype" w:hAnsi="Palatino Linotype" w:cs="Tahoma"/>
          <w:color w:val="000000"/>
          <w:sz w:val="22"/>
          <w:szCs w:val="24"/>
        </w:rPr>
        <w:t>s</w:t>
      </w:r>
      <w:r w:rsidRPr="003B4DAF">
        <w:rPr>
          <w:rFonts w:ascii="Palatino Linotype" w:eastAsia="Palatino Linotype" w:hAnsi="Palatino Linotype" w:cs="Tahoma"/>
          <w:color w:val="000000"/>
          <w:sz w:val="22"/>
          <w:szCs w:val="24"/>
        </w:rPr>
        <w:t xml:space="preserve"> peticiones</w:t>
      </w:r>
      <w:r>
        <w:rPr>
          <w:rFonts w:ascii="Palatino Linotype" w:eastAsia="Palatino Linotype" w:hAnsi="Palatino Linotype" w:cs="Tahoma"/>
          <w:color w:val="000000"/>
          <w:sz w:val="22"/>
          <w:szCs w:val="24"/>
        </w:rPr>
        <w:t xml:space="preserve"> ciudadanas y las respuestas proporcionadas</w:t>
      </w:r>
      <w:r w:rsidRPr="003B4DAF">
        <w:rPr>
          <w:rFonts w:ascii="Palatino Linotype" w:eastAsia="Palatino Linotype" w:hAnsi="Palatino Linotype" w:cs="Tahoma"/>
          <w:color w:val="000000"/>
          <w:sz w:val="22"/>
          <w:szCs w:val="24"/>
        </w:rPr>
        <w:t xml:space="preserve"> con</w:t>
      </w:r>
      <w:r>
        <w:rPr>
          <w:rFonts w:ascii="Palatino Linotype" w:eastAsia="Palatino Linotype" w:hAnsi="Palatino Linotype" w:cs="Tahoma"/>
          <w:color w:val="000000"/>
          <w:sz w:val="22"/>
          <w:szCs w:val="24"/>
        </w:rPr>
        <w:t>tienen</w:t>
      </w:r>
      <w:r w:rsidRPr="003B4DAF">
        <w:rPr>
          <w:rFonts w:ascii="Palatino Linotype" w:eastAsia="Palatino Linotype" w:hAnsi="Palatino Linotype" w:cs="Tahoma"/>
          <w:color w:val="000000"/>
          <w:sz w:val="22"/>
          <w:szCs w:val="24"/>
        </w:rPr>
        <w:t xml:space="preserve"> diversos datos</w:t>
      </w:r>
      <w:r>
        <w:rPr>
          <w:rFonts w:ascii="Palatino Linotype" w:eastAsia="Palatino Linotype" w:hAnsi="Palatino Linotype" w:cs="Tahoma"/>
          <w:color w:val="000000"/>
          <w:sz w:val="22"/>
          <w:szCs w:val="24"/>
        </w:rPr>
        <w:t xml:space="preserve"> por lo que resulta oportuno analizar si son</w:t>
      </w:r>
      <w:r w:rsidRPr="003B4DAF">
        <w:rPr>
          <w:rFonts w:ascii="Palatino Linotype" w:eastAsia="Palatino Linotype" w:hAnsi="Palatino Linotype" w:cs="Tahoma"/>
          <w:color w:val="000000"/>
          <w:sz w:val="22"/>
          <w:szCs w:val="24"/>
        </w:rPr>
        <w:t xml:space="preserve"> susceptibles de clasificación, por lo que el Sujeto Obligado deberá analizar dicha circunstancia conforme a lo siguiente:</w:t>
      </w:r>
    </w:p>
    <w:p w14:paraId="3954FA7C" w14:textId="77777777" w:rsidR="00CC0A33" w:rsidRPr="003B4DAF" w:rsidRDefault="00CC0A33" w:rsidP="00A54B20">
      <w:pPr>
        <w:spacing w:line="360" w:lineRule="auto"/>
        <w:contextualSpacing/>
        <w:jc w:val="both"/>
        <w:rPr>
          <w:rFonts w:ascii="Palatino Linotype" w:eastAsia="Palatino Linotype" w:hAnsi="Palatino Linotype" w:cs="Tahoma"/>
          <w:color w:val="000000"/>
          <w:sz w:val="22"/>
          <w:szCs w:val="24"/>
        </w:rPr>
      </w:pPr>
    </w:p>
    <w:bookmarkEnd w:id="15"/>
    <w:p w14:paraId="5C14A409" w14:textId="551FA9EF" w:rsidR="002172BA" w:rsidRPr="002172BA" w:rsidRDefault="002172BA" w:rsidP="00A54B20">
      <w:pPr>
        <w:pStyle w:val="Prrafodelista"/>
        <w:numPr>
          <w:ilvl w:val="0"/>
          <w:numId w:val="17"/>
        </w:numPr>
        <w:autoSpaceDE w:val="0"/>
        <w:autoSpaceDN w:val="0"/>
        <w:adjustRightInd w:val="0"/>
        <w:spacing w:line="360" w:lineRule="auto"/>
        <w:jc w:val="both"/>
        <w:rPr>
          <w:rFonts w:ascii="Palatino Linotype" w:eastAsia="Calibri" w:hAnsi="Palatino Linotype" w:cs="Tahoma"/>
          <w:bCs/>
          <w:color w:val="000000" w:themeColor="text1"/>
          <w:sz w:val="22"/>
          <w:szCs w:val="22"/>
          <w:lang w:val="es-ES" w:eastAsia="en-US"/>
        </w:rPr>
      </w:pPr>
      <w:r w:rsidRPr="002172BA">
        <w:rPr>
          <w:rFonts w:ascii="Palatino Linotype" w:eastAsia="Calibri" w:hAnsi="Palatino Linotype" w:cs="Tahoma"/>
          <w:bCs/>
          <w:color w:val="000000" w:themeColor="text1"/>
          <w:sz w:val="22"/>
          <w:szCs w:val="22"/>
          <w:lang w:val="es-ES" w:eastAsia="en-US"/>
        </w:rPr>
        <w:t>Nombre</w:t>
      </w:r>
      <w:r w:rsidR="00FB4273">
        <w:rPr>
          <w:rFonts w:ascii="Palatino Linotype" w:eastAsia="Calibri" w:hAnsi="Palatino Linotype" w:cs="Tahoma"/>
          <w:bCs/>
          <w:color w:val="000000" w:themeColor="text1"/>
          <w:sz w:val="22"/>
          <w:szCs w:val="22"/>
          <w:lang w:val="es-ES" w:eastAsia="en-US"/>
        </w:rPr>
        <w:t xml:space="preserve"> y firma </w:t>
      </w:r>
      <w:r w:rsidRPr="002172BA">
        <w:rPr>
          <w:rFonts w:ascii="Palatino Linotype" w:eastAsia="Calibri" w:hAnsi="Palatino Linotype" w:cs="Tahoma"/>
          <w:bCs/>
          <w:color w:val="000000" w:themeColor="text1"/>
          <w:sz w:val="22"/>
          <w:szCs w:val="22"/>
          <w:lang w:val="es-ES" w:eastAsia="en-US"/>
        </w:rPr>
        <w:t>de Servidores Públicos</w:t>
      </w:r>
      <w:r w:rsidR="00FB4273">
        <w:rPr>
          <w:rFonts w:ascii="Palatino Linotype" w:eastAsia="Calibri" w:hAnsi="Palatino Linotype" w:cs="Tahoma"/>
          <w:bCs/>
          <w:color w:val="000000" w:themeColor="text1"/>
          <w:sz w:val="22"/>
          <w:szCs w:val="22"/>
          <w:lang w:val="es-ES" w:eastAsia="en-US"/>
        </w:rPr>
        <w:t xml:space="preserve"> </w:t>
      </w:r>
      <w:r w:rsidR="00FB4273" w:rsidRPr="002172BA">
        <w:rPr>
          <w:rFonts w:ascii="Palatino Linotype" w:eastAsia="Calibri" w:hAnsi="Palatino Linotype" w:cs="Tahoma"/>
          <w:bCs/>
          <w:color w:val="000000" w:themeColor="text1"/>
          <w:sz w:val="22"/>
          <w:szCs w:val="22"/>
          <w:lang w:val="es-ES" w:eastAsia="en-US"/>
        </w:rPr>
        <w:t>(representante legal</w:t>
      </w:r>
      <w:r w:rsidR="00A81850">
        <w:rPr>
          <w:rFonts w:ascii="Palatino Linotype" w:eastAsia="Calibri" w:hAnsi="Palatino Linotype" w:cs="Tahoma"/>
          <w:bCs/>
          <w:color w:val="000000" w:themeColor="text1"/>
          <w:sz w:val="22"/>
          <w:szCs w:val="22"/>
          <w:lang w:val="es-ES" w:eastAsia="en-US"/>
        </w:rPr>
        <w:t>,</w:t>
      </w:r>
      <w:r w:rsidR="00FB4273" w:rsidRPr="002172BA">
        <w:rPr>
          <w:rFonts w:ascii="Palatino Linotype" w:eastAsia="Calibri" w:hAnsi="Palatino Linotype" w:cs="Tahoma"/>
          <w:bCs/>
          <w:color w:val="000000" w:themeColor="text1"/>
          <w:sz w:val="22"/>
          <w:szCs w:val="22"/>
          <w:lang w:val="es-ES" w:eastAsia="en-US"/>
        </w:rPr>
        <w:t xml:space="preserve"> delegados</w:t>
      </w:r>
      <w:r w:rsidR="00A81850">
        <w:rPr>
          <w:rFonts w:ascii="Palatino Linotype" w:eastAsia="Calibri" w:hAnsi="Palatino Linotype" w:cs="Tahoma"/>
          <w:bCs/>
          <w:color w:val="000000" w:themeColor="text1"/>
          <w:sz w:val="22"/>
          <w:szCs w:val="22"/>
          <w:lang w:val="es-ES" w:eastAsia="en-US"/>
        </w:rPr>
        <w:t xml:space="preserve"> y miembros del Consejo de Participación Ciudadana</w:t>
      </w:r>
      <w:r w:rsidR="00FB4273" w:rsidRPr="002172BA">
        <w:rPr>
          <w:rFonts w:ascii="Palatino Linotype" w:eastAsia="Calibri" w:hAnsi="Palatino Linotype" w:cs="Tahoma"/>
          <w:bCs/>
          <w:color w:val="000000" w:themeColor="text1"/>
          <w:sz w:val="22"/>
          <w:szCs w:val="22"/>
          <w:lang w:val="es-ES" w:eastAsia="en-US"/>
        </w:rPr>
        <w:t>)</w:t>
      </w:r>
      <w:r w:rsidRPr="002172BA">
        <w:rPr>
          <w:rFonts w:ascii="Palatino Linotype" w:eastAsia="Calibri" w:hAnsi="Palatino Linotype" w:cs="Tahoma"/>
          <w:bCs/>
          <w:color w:val="000000" w:themeColor="text1"/>
          <w:sz w:val="22"/>
          <w:szCs w:val="22"/>
          <w:lang w:val="es-ES" w:eastAsia="en-US"/>
        </w:rPr>
        <w:t>;</w:t>
      </w:r>
    </w:p>
    <w:p w14:paraId="1EE5C862" w14:textId="040A824F" w:rsidR="002172BA" w:rsidRPr="002172BA" w:rsidRDefault="002172BA" w:rsidP="00A54B20">
      <w:pPr>
        <w:pStyle w:val="Prrafodelista"/>
        <w:numPr>
          <w:ilvl w:val="0"/>
          <w:numId w:val="17"/>
        </w:numPr>
        <w:autoSpaceDE w:val="0"/>
        <w:autoSpaceDN w:val="0"/>
        <w:adjustRightInd w:val="0"/>
        <w:spacing w:line="360" w:lineRule="auto"/>
        <w:jc w:val="both"/>
        <w:rPr>
          <w:rFonts w:ascii="Palatino Linotype" w:eastAsia="Calibri" w:hAnsi="Palatino Linotype" w:cs="Tahoma"/>
          <w:bCs/>
          <w:color w:val="000000" w:themeColor="text1"/>
          <w:sz w:val="22"/>
          <w:szCs w:val="22"/>
          <w:lang w:val="es-ES" w:eastAsia="en-US"/>
        </w:rPr>
      </w:pPr>
      <w:r w:rsidRPr="002172BA">
        <w:rPr>
          <w:rFonts w:ascii="Palatino Linotype" w:eastAsia="Calibri" w:hAnsi="Palatino Linotype" w:cs="Tahoma"/>
          <w:bCs/>
          <w:color w:val="000000" w:themeColor="text1"/>
          <w:sz w:val="22"/>
          <w:szCs w:val="22"/>
          <w:lang w:val="es-ES" w:eastAsia="en-US"/>
        </w:rPr>
        <w:t>Nombre</w:t>
      </w:r>
      <w:r w:rsidR="00FB4273">
        <w:rPr>
          <w:rFonts w:ascii="Palatino Linotype" w:eastAsia="Calibri" w:hAnsi="Palatino Linotype" w:cs="Tahoma"/>
          <w:bCs/>
          <w:color w:val="000000" w:themeColor="text1"/>
          <w:sz w:val="22"/>
          <w:szCs w:val="22"/>
          <w:lang w:val="es-ES" w:eastAsia="en-US"/>
        </w:rPr>
        <w:t xml:space="preserve"> y firma </w:t>
      </w:r>
      <w:r w:rsidRPr="002172BA">
        <w:rPr>
          <w:rFonts w:ascii="Palatino Linotype" w:eastAsia="Calibri" w:hAnsi="Palatino Linotype" w:cs="Tahoma"/>
          <w:bCs/>
          <w:color w:val="000000" w:themeColor="text1"/>
          <w:sz w:val="22"/>
          <w:szCs w:val="22"/>
          <w:lang w:val="es-ES" w:eastAsia="en-US"/>
        </w:rPr>
        <w:t xml:space="preserve">de </w:t>
      </w:r>
      <w:r w:rsidR="00FB4273">
        <w:rPr>
          <w:rFonts w:ascii="Palatino Linotype" w:eastAsia="Calibri" w:hAnsi="Palatino Linotype" w:cs="Tahoma"/>
          <w:bCs/>
          <w:color w:val="000000" w:themeColor="text1"/>
          <w:sz w:val="22"/>
          <w:szCs w:val="22"/>
          <w:lang w:val="es-ES" w:eastAsia="en-US"/>
        </w:rPr>
        <w:t>particulares;</w:t>
      </w:r>
      <w:r w:rsidRPr="002172BA">
        <w:rPr>
          <w:rFonts w:ascii="Palatino Linotype" w:eastAsia="Calibri" w:hAnsi="Palatino Linotype" w:cs="Tahoma"/>
          <w:bCs/>
          <w:color w:val="000000" w:themeColor="text1"/>
          <w:sz w:val="22"/>
          <w:szCs w:val="22"/>
          <w:lang w:val="es-ES" w:eastAsia="en-US"/>
        </w:rPr>
        <w:t xml:space="preserve"> </w:t>
      </w:r>
    </w:p>
    <w:p w14:paraId="7E0E23ED" w14:textId="2235C753" w:rsidR="002172BA" w:rsidRPr="002172BA" w:rsidRDefault="002172BA" w:rsidP="00A54B20">
      <w:pPr>
        <w:pStyle w:val="Prrafodelista"/>
        <w:numPr>
          <w:ilvl w:val="0"/>
          <w:numId w:val="17"/>
        </w:numPr>
        <w:autoSpaceDE w:val="0"/>
        <w:autoSpaceDN w:val="0"/>
        <w:adjustRightInd w:val="0"/>
        <w:spacing w:line="360" w:lineRule="auto"/>
        <w:jc w:val="both"/>
        <w:rPr>
          <w:rFonts w:ascii="Palatino Linotype" w:eastAsia="Calibri" w:hAnsi="Palatino Linotype" w:cs="Tahoma"/>
          <w:bCs/>
          <w:color w:val="000000" w:themeColor="text1"/>
          <w:sz w:val="22"/>
          <w:szCs w:val="22"/>
          <w:lang w:val="es-ES" w:eastAsia="en-US"/>
        </w:rPr>
      </w:pPr>
      <w:r w:rsidRPr="002172BA">
        <w:rPr>
          <w:rFonts w:ascii="Palatino Linotype" w:eastAsia="Calibri" w:hAnsi="Palatino Linotype" w:cs="Tahoma"/>
          <w:bCs/>
          <w:color w:val="000000" w:themeColor="text1"/>
          <w:sz w:val="22"/>
          <w:szCs w:val="22"/>
          <w:lang w:val="es-ES" w:eastAsia="en-US"/>
        </w:rPr>
        <w:t xml:space="preserve">Número de teléfono de particulares y servidores públicos; </w:t>
      </w:r>
      <w:r w:rsidR="00FB4273">
        <w:rPr>
          <w:rFonts w:ascii="Palatino Linotype" w:eastAsia="Calibri" w:hAnsi="Palatino Linotype" w:cs="Tahoma"/>
          <w:bCs/>
          <w:color w:val="000000" w:themeColor="text1"/>
          <w:sz w:val="22"/>
          <w:szCs w:val="22"/>
          <w:lang w:val="es-ES" w:eastAsia="en-US"/>
        </w:rPr>
        <w:t>y</w:t>
      </w:r>
    </w:p>
    <w:p w14:paraId="28CE9600" w14:textId="77777777" w:rsidR="002172BA" w:rsidRPr="002172BA" w:rsidRDefault="002172BA" w:rsidP="00A54B20">
      <w:pPr>
        <w:pStyle w:val="Prrafodelista1"/>
        <w:numPr>
          <w:ilvl w:val="0"/>
          <w:numId w:val="17"/>
        </w:numPr>
        <w:autoSpaceDE w:val="0"/>
        <w:autoSpaceDN w:val="0"/>
        <w:adjustRightInd w:val="0"/>
        <w:spacing w:before="0" w:beforeAutospacing="0" w:after="0" w:line="360" w:lineRule="auto"/>
        <w:rPr>
          <w:rFonts w:cs="Tahoma"/>
          <w:bCs/>
        </w:rPr>
      </w:pPr>
      <w:r w:rsidRPr="002172BA">
        <w:rPr>
          <w:rFonts w:cs="Tahoma"/>
          <w:bCs/>
        </w:rPr>
        <w:t>Domicilio de personas físicas o jurídico colectivas.</w:t>
      </w:r>
    </w:p>
    <w:p w14:paraId="3098417A" w14:textId="77777777" w:rsidR="002172BA"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p>
    <w:p w14:paraId="05954EE8" w14:textId="656A8309"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Al respecto, resulta procedente analizar si dichos datos son públicos o privados; </w:t>
      </w:r>
      <w:r w:rsidR="0099496E">
        <w:rPr>
          <w:rFonts w:ascii="Palatino Linotype" w:eastAsia="Calibri" w:hAnsi="Palatino Linotype" w:cs="Tahoma"/>
          <w:bCs/>
          <w:iCs/>
          <w:color w:val="000000" w:themeColor="text1"/>
          <w:sz w:val="22"/>
          <w:szCs w:val="22"/>
          <w:lang w:eastAsia="en-US"/>
        </w:rPr>
        <w:t xml:space="preserve">para lo cual, </w:t>
      </w:r>
      <w:r w:rsidRPr="00B71E3E">
        <w:rPr>
          <w:rFonts w:ascii="Palatino Linotype" w:eastAsia="Calibri" w:hAnsi="Palatino Linotype" w:cs="Tahoma"/>
          <w:bCs/>
          <w:iCs/>
          <w:color w:val="000000" w:themeColor="text1"/>
          <w:sz w:val="22"/>
          <w:szCs w:val="22"/>
          <w:lang w:eastAsia="en-US"/>
        </w:rPr>
        <w:t xml:space="preserve">el artículo 143, fracción I, de la Ley </w:t>
      </w:r>
      <w:r w:rsidR="0099496E">
        <w:rPr>
          <w:rFonts w:ascii="Palatino Linotype" w:eastAsia="Calibri" w:hAnsi="Palatino Linotype" w:cs="Tahoma"/>
          <w:bCs/>
          <w:iCs/>
          <w:color w:val="000000" w:themeColor="text1"/>
          <w:sz w:val="22"/>
          <w:szCs w:val="22"/>
          <w:lang w:eastAsia="en-US"/>
        </w:rPr>
        <w:t>de Transparencia y Acceso a la Información Pública del Estado de México y Municipios</w:t>
      </w:r>
      <w:r w:rsidRPr="00B71E3E">
        <w:rPr>
          <w:rFonts w:ascii="Palatino Linotype" w:eastAsia="Calibri" w:hAnsi="Palatino Linotype" w:cs="Tahoma"/>
          <w:bCs/>
          <w:iCs/>
          <w:color w:val="000000" w:themeColor="text1"/>
          <w:sz w:val="22"/>
          <w:szCs w:val="22"/>
          <w:lang w:eastAsia="en-US"/>
        </w:rPr>
        <w:t>, establece que la información privada y los datos personales, concernientes a una persona física o jurídica colectiva identificada o identificable son confidenciales.</w:t>
      </w:r>
    </w:p>
    <w:p w14:paraId="4C00CC42"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55A8DFBC"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4A9C0E61"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5FE08C55"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lastRenderedPageBreak/>
        <w:t>En términos de lo expuesto, la documentación y aquellos datos que se consideren confidenciales, serán una limitante del derecho de acceso a la información, siempre y cuando:</w:t>
      </w:r>
    </w:p>
    <w:p w14:paraId="447484B3"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4513AF7A" w14:textId="77777777" w:rsidR="002172BA" w:rsidRPr="00B71E3E" w:rsidRDefault="002172BA" w:rsidP="00A54B20">
      <w:pPr>
        <w:numPr>
          <w:ilvl w:val="0"/>
          <w:numId w:val="15"/>
        </w:num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Se trate de datos personales o información privada; esto es, información concerniente a una persona física o jurídico colectiva y que esta sea identificada o identificable. </w:t>
      </w:r>
    </w:p>
    <w:p w14:paraId="1F3FBD1B"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6B4669DB" w14:textId="77777777" w:rsidR="002172BA" w:rsidRPr="00B71E3E" w:rsidRDefault="002172BA" w:rsidP="00A54B20">
      <w:pPr>
        <w:numPr>
          <w:ilvl w:val="0"/>
          <w:numId w:val="15"/>
        </w:num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Para la difusión de los datos, se requiera el consentimiento del titular. </w:t>
      </w:r>
    </w:p>
    <w:p w14:paraId="0757E77B"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525802F8"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1576C128"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07DCE5F0"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Además, en el artículo 5° de dicho ordenamiento jurídico, establece que es la Ley aplicable para todo tratamiento de datos personales.</w:t>
      </w:r>
    </w:p>
    <w:p w14:paraId="406DE9D3"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53B021FC"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w:t>
      </w:r>
      <w:r w:rsidRPr="00B71E3E">
        <w:rPr>
          <w:rFonts w:ascii="Palatino Linotype" w:eastAsia="Calibri" w:hAnsi="Palatino Linotype" w:cs="Tahoma"/>
          <w:bCs/>
          <w:iCs/>
          <w:color w:val="000000" w:themeColor="text1"/>
          <w:sz w:val="22"/>
          <w:szCs w:val="22"/>
          <w:lang w:eastAsia="en-US"/>
        </w:rPr>
        <w:lastRenderedPageBreak/>
        <w:t>responsabilidad; además, que dicho tratamiento deberá obedecer exclusivamente a sus atribuciones legales y con el consentimiento de su titular, además de que debe estar justificado en ley (principio de finalidad).</w:t>
      </w:r>
    </w:p>
    <w:p w14:paraId="2714B4B0"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60429C08" w14:textId="77BA6DD0"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En este sentido, un dato personal es cualquier información que pueda hacer a una persona física o jurídica colectiva identificada e identificable. Bajo ese contexto, se analizarán si los datos mencionados de manera enunciativa, son confidenciales o públicos.</w:t>
      </w:r>
    </w:p>
    <w:p w14:paraId="7668B944"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p>
    <w:p w14:paraId="2A986828" w14:textId="67A7C4B2" w:rsidR="002172BA" w:rsidRPr="00B71E3E" w:rsidRDefault="002172BA" w:rsidP="00A54B20">
      <w:pPr>
        <w:numPr>
          <w:ilvl w:val="0"/>
          <w:numId w:val="16"/>
        </w:numPr>
        <w:tabs>
          <w:tab w:val="left" w:pos="4962"/>
        </w:tabs>
        <w:spacing w:line="360" w:lineRule="auto"/>
        <w:contextualSpacing/>
        <w:jc w:val="both"/>
        <w:rPr>
          <w:rFonts w:ascii="Palatino Linotype" w:eastAsia="Calibri" w:hAnsi="Palatino Linotype" w:cs="Tahoma"/>
          <w:b/>
          <w:bCs/>
          <w:iCs/>
          <w:color w:val="000000" w:themeColor="text1"/>
          <w:sz w:val="22"/>
          <w:szCs w:val="22"/>
          <w:lang w:eastAsia="en-US"/>
        </w:rPr>
      </w:pPr>
      <w:r w:rsidRPr="00B71E3E">
        <w:rPr>
          <w:rFonts w:ascii="Palatino Linotype" w:eastAsia="Calibri" w:hAnsi="Palatino Linotype" w:cs="Tahoma"/>
          <w:b/>
          <w:bCs/>
          <w:iCs/>
          <w:color w:val="000000" w:themeColor="text1"/>
          <w:sz w:val="22"/>
          <w:szCs w:val="22"/>
          <w:lang w:eastAsia="en-US"/>
        </w:rPr>
        <w:t>Nombre</w:t>
      </w:r>
      <w:r>
        <w:rPr>
          <w:rFonts w:ascii="Palatino Linotype" w:eastAsia="Calibri" w:hAnsi="Palatino Linotype" w:cs="Tahoma"/>
          <w:b/>
          <w:bCs/>
          <w:iCs/>
          <w:color w:val="000000" w:themeColor="text1"/>
          <w:sz w:val="22"/>
          <w:szCs w:val="22"/>
          <w:lang w:eastAsia="en-US"/>
        </w:rPr>
        <w:t xml:space="preserve"> </w:t>
      </w:r>
      <w:r w:rsidR="0099496E">
        <w:rPr>
          <w:rFonts w:ascii="Palatino Linotype" w:eastAsia="Calibri" w:hAnsi="Palatino Linotype" w:cs="Tahoma"/>
          <w:b/>
          <w:bCs/>
          <w:iCs/>
          <w:color w:val="000000" w:themeColor="text1"/>
          <w:sz w:val="22"/>
          <w:szCs w:val="22"/>
          <w:lang w:eastAsia="en-US"/>
        </w:rPr>
        <w:t>de servidores públicos</w:t>
      </w:r>
    </w:p>
    <w:p w14:paraId="33E08326"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
          <w:bCs/>
          <w:iCs/>
          <w:color w:val="000000" w:themeColor="text1"/>
          <w:sz w:val="22"/>
          <w:szCs w:val="22"/>
          <w:lang w:eastAsia="en-US"/>
        </w:rPr>
      </w:pPr>
      <w:r w:rsidRPr="00B71E3E">
        <w:rPr>
          <w:rFonts w:ascii="Palatino Linotype" w:eastAsia="Calibri" w:hAnsi="Palatino Linotype" w:cs="Tahoma"/>
          <w:b/>
          <w:bCs/>
          <w:iCs/>
          <w:color w:val="000000" w:themeColor="text1"/>
          <w:sz w:val="22"/>
          <w:szCs w:val="22"/>
          <w:lang w:eastAsia="en-US"/>
        </w:rPr>
        <w:t xml:space="preserve"> </w:t>
      </w:r>
    </w:p>
    <w:p w14:paraId="4714209F"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Respecto al nombre, cabe precisar que este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w:t>
      </w:r>
    </w:p>
    <w:p w14:paraId="6A34491A"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72E56660"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Además, la Ley de Transparencia y Acceso a la Información Pública del Estado de México y Municipios ha establecido que el</w:t>
      </w:r>
      <w:r w:rsidRPr="00B71E3E">
        <w:rPr>
          <w:rFonts w:ascii="Palatino Linotype" w:eastAsia="Calibri" w:hAnsi="Palatino Linotype" w:cs="Tahoma"/>
          <w:b/>
          <w:bCs/>
          <w:iCs/>
          <w:color w:val="000000" w:themeColor="text1"/>
          <w:sz w:val="22"/>
          <w:szCs w:val="22"/>
          <w:lang w:eastAsia="en-US"/>
        </w:rPr>
        <w:t xml:space="preserve"> nombre completo de servidores públicos, </w:t>
      </w:r>
      <w:r w:rsidRPr="00B71E3E">
        <w:rPr>
          <w:rFonts w:ascii="Palatino Linotype" w:eastAsia="Calibri" w:hAnsi="Palatino Linotype" w:cs="Tahoma"/>
          <w:bCs/>
          <w:iCs/>
          <w:color w:val="000000" w:themeColor="text1"/>
          <w:sz w:val="22"/>
          <w:szCs w:val="22"/>
          <w:lang w:eastAsia="en-US"/>
        </w:rPr>
        <w:t>constituye una obligación de transparencia por parte de los sujetos obligados.</w:t>
      </w:r>
    </w:p>
    <w:p w14:paraId="65955B59"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2DDE4385"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Toma sustento con el artículo 92, fracción VII y VIII, de la Ley de la materia, el cual establece que los sujetos obligados tienen la obligación de poner a disposición del público y mantener actualizada de acuerdo con sus facultades, atribuciones, funciones u objeto social, según corresponda el directorio, que deberá incluir al menos, entre otros datos, </w:t>
      </w:r>
      <w:r w:rsidRPr="00B71E3E">
        <w:rPr>
          <w:rFonts w:ascii="Palatino Linotype" w:eastAsia="Calibri" w:hAnsi="Palatino Linotype" w:cs="Tahoma"/>
          <w:b/>
          <w:bCs/>
          <w:iCs/>
          <w:color w:val="000000" w:themeColor="text1"/>
          <w:sz w:val="22"/>
          <w:szCs w:val="22"/>
          <w:lang w:eastAsia="en-US"/>
        </w:rPr>
        <w:t>el nombre del servidor público.</w:t>
      </w:r>
    </w:p>
    <w:p w14:paraId="42D10528"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
          <w:bCs/>
          <w:iCs/>
          <w:color w:val="000000" w:themeColor="text1"/>
          <w:sz w:val="22"/>
          <w:szCs w:val="22"/>
          <w:lang w:eastAsia="en-US"/>
        </w:rPr>
      </w:pPr>
      <w:r w:rsidRPr="00B71E3E">
        <w:rPr>
          <w:rFonts w:ascii="Palatino Linotype" w:eastAsia="Calibri" w:hAnsi="Palatino Linotype" w:cs="Tahoma"/>
          <w:b/>
          <w:bCs/>
          <w:iCs/>
          <w:color w:val="000000" w:themeColor="text1"/>
          <w:sz w:val="22"/>
          <w:szCs w:val="22"/>
          <w:lang w:eastAsia="en-US"/>
        </w:rPr>
        <w:t xml:space="preserve"> </w:t>
      </w:r>
    </w:p>
    <w:p w14:paraId="67BFA014"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lastRenderedPageBreak/>
        <w:t>Además, se robustece con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tal como se muestran a continuación:</w:t>
      </w:r>
    </w:p>
    <w:p w14:paraId="3D6D0338"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1A216106" w14:textId="77777777" w:rsidR="002172BA" w:rsidRPr="00B71E3E" w:rsidRDefault="002172BA" w:rsidP="00A54B20">
      <w:pPr>
        <w:tabs>
          <w:tab w:val="left" w:pos="4962"/>
        </w:tabs>
        <w:spacing w:line="360" w:lineRule="auto"/>
        <w:contextualSpacing/>
        <w:jc w:val="center"/>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noProof/>
          <w:color w:val="000000" w:themeColor="text1"/>
          <w:sz w:val="22"/>
          <w:szCs w:val="22"/>
        </w:rPr>
        <w:drawing>
          <wp:inline distT="0" distB="0" distL="0" distR="0" wp14:anchorId="36BEBF68" wp14:editId="4EC1DB16">
            <wp:extent cx="5307546" cy="1117600"/>
            <wp:effectExtent l="0" t="0" r="7620" b="6350"/>
            <wp:docPr id="162678704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10528" cy="1118228"/>
                    </a:xfrm>
                    <a:prstGeom prst="rect">
                      <a:avLst/>
                    </a:prstGeom>
                    <a:noFill/>
                    <a:ln>
                      <a:noFill/>
                    </a:ln>
                  </pic:spPr>
                </pic:pic>
              </a:graphicData>
            </a:graphic>
          </wp:inline>
        </w:drawing>
      </w:r>
    </w:p>
    <w:p w14:paraId="0D93E951"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 </w:t>
      </w:r>
    </w:p>
    <w:p w14:paraId="7E6A7C7F" w14:textId="77777777" w:rsidR="002172BA" w:rsidRDefault="002172BA" w:rsidP="00A54B20">
      <w:pPr>
        <w:tabs>
          <w:tab w:val="left" w:pos="4962"/>
        </w:tabs>
        <w:spacing w:line="360" w:lineRule="auto"/>
        <w:contextualSpacing/>
        <w:jc w:val="both"/>
        <w:rPr>
          <w:rFonts w:ascii="Palatino Linotype" w:eastAsia="Calibri" w:hAnsi="Palatino Linotype" w:cs="Tahoma"/>
          <w:b/>
          <w:bCs/>
          <w:iCs/>
          <w:color w:val="000000" w:themeColor="text1"/>
          <w:sz w:val="22"/>
          <w:szCs w:val="22"/>
          <w:lang w:eastAsia="en-US"/>
        </w:rPr>
      </w:pPr>
      <w:r w:rsidRPr="00B71E3E">
        <w:rPr>
          <w:rFonts w:ascii="Palatino Linotype" w:eastAsia="Calibri" w:hAnsi="Palatino Linotype" w:cs="Tahoma"/>
          <w:bCs/>
          <w:iCs/>
          <w:color w:val="000000" w:themeColor="text1"/>
          <w:sz w:val="22"/>
          <w:szCs w:val="22"/>
          <w:lang w:eastAsia="en-US"/>
        </w:rPr>
        <w:t xml:space="preserve">Conforme a lo anterior, el Sujeto Obligado tiene la obligación de publicar y hacer del conocimiento de la ciudadanía, el nombre completo de todos sus servidores públicos, por lo que, se logra vislumbrar que el dato es público; así, se considera que Ente Recurrido </w:t>
      </w:r>
      <w:r w:rsidRPr="00B71E3E">
        <w:rPr>
          <w:rFonts w:ascii="Palatino Linotype" w:eastAsia="Calibri" w:hAnsi="Palatino Linotype" w:cs="Tahoma"/>
          <w:b/>
          <w:bCs/>
          <w:iCs/>
          <w:color w:val="000000" w:themeColor="text1"/>
          <w:sz w:val="22"/>
          <w:szCs w:val="22"/>
          <w:lang w:eastAsia="en-US"/>
        </w:rPr>
        <w:t xml:space="preserve">deberá proporcionar dicho dato. </w:t>
      </w:r>
    </w:p>
    <w:p w14:paraId="44113ACC" w14:textId="77777777" w:rsidR="002172BA" w:rsidRDefault="002172BA" w:rsidP="00A54B20">
      <w:pPr>
        <w:tabs>
          <w:tab w:val="left" w:pos="4962"/>
        </w:tabs>
        <w:spacing w:line="360" w:lineRule="auto"/>
        <w:contextualSpacing/>
        <w:jc w:val="both"/>
        <w:rPr>
          <w:rFonts w:ascii="Palatino Linotype" w:eastAsia="Calibri" w:hAnsi="Palatino Linotype" w:cs="Tahoma"/>
          <w:b/>
          <w:bCs/>
          <w:iCs/>
          <w:color w:val="000000" w:themeColor="text1"/>
          <w:sz w:val="22"/>
          <w:szCs w:val="22"/>
          <w:lang w:eastAsia="en-US"/>
        </w:rPr>
      </w:pPr>
    </w:p>
    <w:p w14:paraId="1EE95F7D" w14:textId="77777777" w:rsidR="002172BA" w:rsidRPr="002172BA" w:rsidRDefault="002172BA" w:rsidP="00A54B20">
      <w:pPr>
        <w:numPr>
          <w:ilvl w:val="0"/>
          <w:numId w:val="18"/>
        </w:numPr>
        <w:tabs>
          <w:tab w:val="left" w:pos="4962"/>
        </w:tabs>
        <w:spacing w:line="360" w:lineRule="auto"/>
        <w:contextualSpacing/>
        <w:jc w:val="both"/>
        <w:rPr>
          <w:rFonts w:ascii="Palatino Linotype" w:eastAsia="Calibri" w:hAnsi="Palatino Linotype" w:cs="Tahoma"/>
          <w:b/>
          <w:iCs/>
          <w:color w:val="000000" w:themeColor="text1"/>
          <w:sz w:val="22"/>
          <w:szCs w:val="22"/>
          <w:lang w:eastAsia="en-US"/>
        </w:rPr>
      </w:pPr>
      <w:r w:rsidRPr="002172BA">
        <w:rPr>
          <w:rFonts w:ascii="Palatino Linotype" w:eastAsia="Calibri" w:hAnsi="Palatino Linotype" w:cs="Tahoma"/>
          <w:b/>
          <w:iCs/>
          <w:color w:val="000000" w:themeColor="text1"/>
          <w:sz w:val="22"/>
          <w:szCs w:val="22"/>
          <w:lang w:eastAsia="en-US"/>
        </w:rPr>
        <w:t xml:space="preserve">Firma de servidores públicos </w:t>
      </w:r>
    </w:p>
    <w:p w14:paraId="7A00F195" w14:textId="77777777" w:rsidR="002172BA" w:rsidRPr="002172BA" w:rsidRDefault="002172BA" w:rsidP="00A54B20">
      <w:pPr>
        <w:tabs>
          <w:tab w:val="left" w:pos="4962"/>
        </w:tabs>
        <w:spacing w:line="360" w:lineRule="auto"/>
        <w:contextualSpacing/>
        <w:jc w:val="both"/>
        <w:rPr>
          <w:rFonts w:ascii="Palatino Linotype" w:eastAsia="Calibri" w:hAnsi="Palatino Linotype" w:cs="Tahoma"/>
          <w:b/>
          <w:iCs/>
          <w:color w:val="000000" w:themeColor="text1"/>
          <w:sz w:val="22"/>
          <w:szCs w:val="22"/>
          <w:lang w:eastAsia="en-US"/>
        </w:rPr>
      </w:pPr>
    </w:p>
    <w:p w14:paraId="1140E3A8" w14:textId="77777777" w:rsidR="002172BA" w:rsidRPr="002172BA" w:rsidRDefault="002172BA"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r w:rsidRPr="002172BA">
        <w:rPr>
          <w:rFonts w:ascii="Palatino Linotype" w:eastAsia="Calibri" w:hAnsi="Palatino Linotype" w:cs="Tahoma"/>
          <w:iCs/>
          <w:color w:val="000000" w:themeColor="text1"/>
          <w:sz w:val="22"/>
          <w:szCs w:val="22"/>
          <w:lang w:eastAsia="en-US"/>
        </w:rPr>
        <w:t>Ahora bien, respecto a las firmas contenidas en los recibos de nómina, cabe precisar que, en el presente caso, se trata de los servidores públicos en su calidad de autoridad, por lo que, es de señalar que la firma es un dato personal confidencial cuando se actúe en su carácter de particular y únicamente será público dicho dato cuando sirva para la emisión de un acto de autoridad, en ejercicio de sus funciones.</w:t>
      </w:r>
    </w:p>
    <w:p w14:paraId="016A67B2" w14:textId="77777777" w:rsidR="002172BA" w:rsidRPr="002172BA" w:rsidRDefault="002172BA"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p>
    <w:p w14:paraId="6A18CBF6" w14:textId="77777777" w:rsidR="002172BA" w:rsidRPr="002172BA" w:rsidRDefault="002172BA"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r w:rsidRPr="002172BA">
        <w:rPr>
          <w:rFonts w:ascii="Palatino Linotype" w:eastAsia="Calibri" w:hAnsi="Palatino Linotype" w:cs="Tahoma"/>
          <w:iCs/>
          <w:color w:val="000000" w:themeColor="text1"/>
          <w:sz w:val="22"/>
          <w:szCs w:val="22"/>
          <w:lang w:eastAsia="en-US"/>
        </w:rPr>
        <w:lastRenderedPageBreak/>
        <w:t xml:space="preserve">Lo anterior, es así, toda vez que la firma de servidores públicos, vinculada al ejercicio de la función pública es información de naturaleza pública, pues documenta y rinde cuentas sobre el debido ejercicio de sus atribuciones, lo cual acontece en el presente caso, pues garantiza que los trabajadores recibieron sus remuneraciones quincenales. </w:t>
      </w:r>
    </w:p>
    <w:p w14:paraId="54559454" w14:textId="77777777" w:rsidR="002172BA" w:rsidRPr="002172BA" w:rsidRDefault="002172BA"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p>
    <w:p w14:paraId="72283866" w14:textId="5FEFD6C2" w:rsidR="002172BA" w:rsidRPr="002172BA" w:rsidRDefault="002172BA"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r w:rsidRPr="002172BA">
        <w:rPr>
          <w:rFonts w:ascii="Palatino Linotype" w:eastAsia="Calibri" w:hAnsi="Palatino Linotype" w:cs="Tahoma"/>
          <w:iCs/>
          <w:color w:val="000000" w:themeColor="text1"/>
          <w:sz w:val="22"/>
          <w:szCs w:val="22"/>
          <w:lang w:eastAsia="en-US"/>
        </w:rPr>
        <w:t>La publicidad de dichos datos, se robustece, con el criterio de interpretación, con clave de control SO/002/2019, de la Segunda Época, emitido por el Instituto Nacional de Transparencia, Acceso a la Información y Protección de Datos Personales, vigente a la fecha de la solicitud, que establece lo siguiente:</w:t>
      </w:r>
    </w:p>
    <w:p w14:paraId="0C0891C0" w14:textId="77777777" w:rsidR="002172BA" w:rsidRPr="002172BA" w:rsidRDefault="002172BA"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p>
    <w:p w14:paraId="3FCC2D6B" w14:textId="77777777" w:rsidR="002172BA" w:rsidRPr="002172BA" w:rsidRDefault="002172BA" w:rsidP="00A54B20">
      <w:pPr>
        <w:tabs>
          <w:tab w:val="left" w:pos="4962"/>
        </w:tabs>
        <w:spacing w:line="360" w:lineRule="auto"/>
        <w:ind w:left="567" w:right="567"/>
        <w:contextualSpacing/>
        <w:jc w:val="both"/>
        <w:rPr>
          <w:rFonts w:ascii="Palatino Linotype" w:eastAsia="Calibri" w:hAnsi="Palatino Linotype" w:cs="Tahoma"/>
          <w:i/>
          <w:iCs/>
          <w:color w:val="000000" w:themeColor="text1"/>
          <w:lang w:eastAsia="en-US"/>
        </w:rPr>
      </w:pPr>
      <w:r w:rsidRPr="002172BA">
        <w:rPr>
          <w:rFonts w:ascii="Palatino Linotype" w:eastAsia="Calibri" w:hAnsi="Palatino Linotype" w:cs="Tahoma"/>
          <w:b/>
          <w:i/>
          <w:iCs/>
          <w:color w:val="000000" w:themeColor="text1"/>
          <w:lang w:eastAsia="en-US"/>
        </w:rPr>
        <w:t>“Firma y rúbrica de servidores públicos.</w:t>
      </w:r>
      <w:r w:rsidRPr="002172BA">
        <w:rPr>
          <w:rFonts w:ascii="Palatino Linotype" w:eastAsia="Calibri" w:hAnsi="Palatino Linotype" w:cs="Tahoma"/>
          <w:i/>
          <w:iCs/>
          <w:color w:val="000000" w:themeColor="text1"/>
          <w:lang w:eastAsia="en-U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16F74454" w14:textId="77777777" w:rsidR="002172BA" w:rsidRPr="002172BA" w:rsidRDefault="002172BA"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p>
    <w:p w14:paraId="270517EB" w14:textId="25FF86D7" w:rsidR="002172BA" w:rsidRPr="002172BA" w:rsidRDefault="002172BA"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r w:rsidRPr="002172BA">
        <w:rPr>
          <w:rFonts w:ascii="Palatino Linotype" w:eastAsia="Calibri" w:hAnsi="Palatino Linotype" w:cs="Tahoma"/>
          <w:iCs/>
          <w:color w:val="000000" w:themeColor="text1"/>
          <w:sz w:val="22"/>
          <w:szCs w:val="22"/>
          <w:lang w:eastAsia="en-US"/>
        </w:rPr>
        <w:t xml:space="preserve">Conforme a lo expuesto, en el presente caso, no procede la clasificación, en términos del artículo 143, fracción I de la Ley de Transparencia y Acceso a la Información Pública del Estado de México y Municipios, de la firma localizada en los </w:t>
      </w:r>
      <w:r>
        <w:rPr>
          <w:rFonts w:ascii="Palatino Linotype" w:eastAsia="Calibri" w:hAnsi="Palatino Linotype" w:cs="Tahoma"/>
          <w:iCs/>
          <w:color w:val="000000" w:themeColor="text1"/>
          <w:sz w:val="22"/>
          <w:szCs w:val="22"/>
          <w:lang w:eastAsia="en-US"/>
        </w:rPr>
        <w:t xml:space="preserve">oficios de peticiones </w:t>
      </w:r>
      <w:r w:rsidR="00FB4273">
        <w:rPr>
          <w:rFonts w:ascii="Palatino Linotype" w:eastAsia="Calibri" w:hAnsi="Palatino Linotype" w:cs="Tahoma"/>
          <w:iCs/>
          <w:color w:val="000000" w:themeColor="text1"/>
          <w:sz w:val="22"/>
          <w:szCs w:val="22"/>
          <w:lang w:eastAsia="en-US"/>
        </w:rPr>
        <w:t xml:space="preserve">ciudadanas </w:t>
      </w:r>
      <w:r>
        <w:rPr>
          <w:rFonts w:ascii="Palatino Linotype" w:eastAsia="Calibri" w:hAnsi="Palatino Linotype" w:cs="Tahoma"/>
          <w:iCs/>
          <w:color w:val="000000" w:themeColor="text1"/>
          <w:sz w:val="22"/>
          <w:szCs w:val="22"/>
          <w:lang w:eastAsia="en-US"/>
        </w:rPr>
        <w:t>remitidos</w:t>
      </w:r>
      <w:r w:rsidRPr="002172BA">
        <w:rPr>
          <w:rFonts w:ascii="Palatino Linotype" w:eastAsia="Calibri" w:hAnsi="Palatino Linotype" w:cs="Tahoma"/>
          <w:iCs/>
          <w:color w:val="000000" w:themeColor="text1"/>
          <w:sz w:val="22"/>
          <w:szCs w:val="22"/>
          <w:lang w:eastAsia="en-US"/>
        </w:rPr>
        <w:t xml:space="preserve">. </w:t>
      </w:r>
    </w:p>
    <w:p w14:paraId="56371D8E"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
          <w:bCs/>
          <w:iCs/>
          <w:color w:val="000000" w:themeColor="text1"/>
          <w:sz w:val="22"/>
          <w:szCs w:val="22"/>
          <w:lang w:eastAsia="en-US"/>
        </w:rPr>
      </w:pPr>
    </w:p>
    <w:p w14:paraId="1B75AF86" w14:textId="4C23B030" w:rsidR="002172BA" w:rsidRPr="00B71E3E" w:rsidRDefault="002172BA" w:rsidP="00A54B20">
      <w:pPr>
        <w:tabs>
          <w:tab w:val="left" w:pos="4962"/>
        </w:tabs>
        <w:spacing w:line="360" w:lineRule="auto"/>
        <w:contextualSpacing/>
        <w:jc w:val="both"/>
        <w:rPr>
          <w:rFonts w:ascii="Palatino Linotype" w:eastAsia="Calibri" w:hAnsi="Palatino Linotype" w:cs="Tahoma"/>
          <w:bCs/>
          <w:iCs/>
          <w:color w:val="000000" w:themeColor="text1"/>
          <w:sz w:val="22"/>
          <w:szCs w:val="22"/>
          <w:lang w:eastAsia="en-US"/>
        </w:rPr>
      </w:pPr>
      <w:r w:rsidRPr="00B71E3E">
        <w:rPr>
          <w:rFonts w:ascii="Palatino Linotype" w:eastAsia="Calibri" w:hAnsi="Palatino Linotype" w:cs="Tahoma"/>
          <w:b/>
          <w:bCs/>
          <w:iCs/>
          <w:color w:val="000000" w:themeColor="text1"/>
          <w:sz w:val="22"/>
          <w:szCs w:val="22"/>
          <w:lang w:eastAsia="en-US"/>
        </w:rPr>
        <w:t>Lo mismo sucede para el caso del nombre</w:t>
      </w:r>
      <w:r w:rsidR="0099496E">
        <w:rPr>
          <w:rFonts w:ascii="Palatino Linotype" w:eastAsia="Calibri" w:hAnsi="Palatino Linotype" w:cs="Tahoma"/>
          <w:b/>
          <w:bCs/>
          <w:iCs/>
          <w:color w:val="000000" w:themeColor="text1"/>
          <w:sz w:val="22"/>
          <w:szCs w:val="22"/>
          <w:lang w:eastAsia="en-US"/>
        </w:rPr>
        <w:t xml:space="preserve"> y firma</w:t>
      </w:r>
      <w:r w:rsidRPr="00B71E3E">
        <w:rPr>
          <w:rFonts w:ascii="Palatino Linotype" w:eastAsia="Calibri" w:hAnsi="Palatino Linotype" w:cs="Tahoma"/>
          <w:b/>
          <w:bCs/>
          <w:iCs/>
          <w:color w:val="000000" w:themeColor="text1"/>
          <w:sz w:val="22"/>
          <w:szCs w:val="22"/>
          <w:lang w:eastAsia="en-US"/>
        </w:rPr>
        <w:t xml:space="preserve"> de delegados</w:t>
      </w:r>
      <w:r w:rsidR="00A81850">
        <w:rPr>
          <w:rFonts w:ascii="Palatino Linotype" w:eastAsia="Calibri" w:hAnsi="Palatino Linotype" w:cs="Tahoma"/>
          <w:b/>
          <w:bCs/>
          <w:iCs/>
          <w:color w:val="000000" w:themeColor="text1"/>
          <w:sz w:val="22"/>
          <w:szCs w:val="22"/>
          <w:lang w:eastAsia="en-US"/>
        </w:rPr>
        <w:t xml:space="preserve"> y consejos de participación ciudadana</w:t>
      </w:r>
      <w:r w:rsidRPr="00B71E3E">
        <w:rPr>
          <w:rFonts w:ascii="Palatino Linotype" w:eastAsia="Calibri" w:hAnsi="Palatino Linotype" w:cs="Tahoma"/>
          <w:b/>
          <w:bCs/>
          <w:iCs/>
          <w:color w:val="000000" w:themeColor="text1"/>
          <w:sz w:val="22"/>
          <w:szCs w:val="22"/>
          <w:lang w:eastAsia="en-US"/>
        </w:rPr>
        <w:t>, ya que si bien, estos no son servidores públicos, al realizar funciones de autoridad y representantes de las comunidades estos no actualizan alguna causal de clasificación por lo que procede su entrega.</w:t>
      </w:r>
    </w:p>
    <w:p w14:paraId="0CDB607B" w14:textId="77777777" w:rsidR="002172BA" w:rsidRPr="00B71E3E" w:rsidRDefault="002172BA" w:rsidP="00A54B20">
      <w:pPr>
        <w:tabs>
          <w:tab w:val="left" w:pos="4962"/>
        </w:tabs>
        <w:spacing w:line="360" w:lineRule="auto"/>
        <w:contextualSpacing/>
        <w:jc w:val="both"/>
        <w:rPr>
          <w:rFonts w:ascii="Palatino Linotype" w:eastAsia="Calibri" w:hAnsi="Palatino Linotype" w:cs="Tahoma"/>
          <w:b/>
          <w:bCs/>
          <w:iCs/>
          <w:color w:val="000000" w:themeColor="text1"/>
          <w:sz w:val="22"/>
          <w:szCs w:val="22"/>
          <w:lang w:eastAsia="en-US"/>
        </w:rPr>
      </w:pPr>
    </w:p>
    <w:p w14:paraId="5710F605" w14:textId="77777777" w:rsidR="002172BA" w:rsidRPr="00B71E3E" w:rsidRDefault="002172BA" w:rsidP="00A54B20">
      <w:pPr>
        <w:numPr>
          <w:ilvl w:val="0"/>
          <w:numId w:val="5"/>
        </w:numPr>
        <w:spacing w:line="360" w:lineRule="auto"/>
        <w:contextualSpacing/>
        <w:jc w:val="both"/>
        <w:rPr>
          <w:rFonts w:ascii="Palatino Linotype" w:eastAsiaTheme="minorHAnsi" w:hAnsi="Palatino Linotype" w:cstheme="minorBidi"/>
          <w:b/>
          <w:bCs/>
          <w:iCs/>
          <w:color w:val="000000" w:themeColor="text1"/>
          <w:sz w:val="22"/>
          <w:szCs w:val="22"/>
          <w:lang w:val="es-ES_tradnl" w:eastAsia="en-US"/>
        </w:rPr>
      </w:pPr>
      <w:r w:rsidRPr="00B71E3E">
        <w:rPr>
          <w:rFonts w:ascii="Palatino Linotype" w:eastAsiaTheme="minorHAnsi" w:hAnsi="Palatino Linotype" w:cstheme="minorBidi"/>
          <w:b/>
          <w:bCs/>
          <w:iCs/>
          <w:color w:val="000000" w:themeColor="text1"/>
          <w:sz w:val="22"/>
          <w:szCs w:val="22"/>
          <w:lang w:val="es-ES_tradnl" w:eastAsia="en-US"/>
        </w:rPr>
        <w:t>Nombre de particulares.</w:t>
      </w:r>
    </w:p>
    <w:p w14:paraId="40BB0584" w14:textId="77777777" w:rsidR="002172BA" w:rsidRPr="00B71E3E" w:rsidRDefault="002172BA" w:rsidP="00A54B20">
      <w:pPr>
        <w:spacing w:line="360" w:lineRule="auto"/>
        <w:ind w:left="720"/>
        <w:contextualSpacing/>
        <w:jc w:val="both"/>
        <w:rPr>
          <w:rFonts w:ascii="Palatino Linotype" w:eastAsiaTheme="minorHAnsi" w:hAnsi="Palatino Linotype" w:cstheme="minorBidi"/>
          <w:b/>
          <w:bCs/>
          <w:iCs/>
          <w:color w:val="000000" w:themeColor="text1"/>
          <w:sz w:val="22"/>
          <w:szCs w:val="22"/>
          <w:lang w:val="es-ES_tradnl" w:eastAsia="en-US"/>
        </w:rPr>
      </w:pPr>
    </w:p>
    <w:p w14:paraId="61CF81C7" w14:textId="77777777" w:rsidR="002172BA" w:rsidRPr="00B71E3E" w:rsidRDefault="002172BA" w:rsidP="00A54B20">
      <w:pPr>
        <w:spacing w:line="360" w:lineRule="auto"/>
        <w:contextualSpacing/>
        <w:jc w:val="both"/>
        <w:rPr>
          <w:rFonts w:ascii="Palatino Linotype" w:eastAsia="Calibri" w:hAnsi="Palatino Linotype" w:cs="Tahoma"/>
          <w:b/>
          <w:bCs/>
          <w:sz w:val="22"/>
          <w:szCs w:val="22"/>
          <w:lang w:val="es-ES_tradnl" w:eastAsia="en-US"/>
        </w:rPr>
      </w:pPr>
      <w:r w:rsidRPr="00B71E3E">
        <w:rPr>
          <w:rFonts w:ascii="Palatino Linotype" w:eastAsia="Calibri" w:hAnsi="Palatino Linotype" w:cs="Tahoma"/>
          <w:bCs/>
          <w:sz w:val="22"/>
          <w:szCs w:val="22"/>
          <w:lang w:eastAsia="en-US"/>
        </w:rPr>
        <w:lastRenderedPageBreak/>
        <w:t xml:space="preserve">Al respecto, se considera que el nombre se integra </w:t>
      </w:r>
      <w:r w:rsidRPr="00B71E3E">
        <w:rPr>
          <w:rFonts w:ascii="Palatino Linotype" w:eastAsia="Calibri" w:hAnsi="Palatino Linotype" w:cs="Tahoma"/>
          <w:bCs/>
          <w:sz w:val="22"/>
          <w:szCs w:val="22"/>
          <w:lang w:val="es-ES_tradnl" w:eastAsia="en-US"/>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71E3E">
        <w:rPr>
          <w:rFonts w:ascii="Palatino Linotype" w:eastAsia="Calibri" w:hAnsi="Palatino Linotype" w:cs="Tahoma"/>
          <w:bCs/>
          <w:i/>
          <w:sz w:val="22"/>
          <w:szCs w:val="22"/>
          <w:lang w:val="es-ES_tradnl" w:eastAsia="en-US"/>
        </w:rPr>
        <w:t>per se</w:t>
      </w:r>
      <w:r w:rsidRPr="00B71E3E">
        <w:rPr>
          <w:rFonts w:ascii="Palatino Linotype" w:eastAsia="Calibri" w:hAnsi="Palatino Linotype" w:cs="Tahoma"/>
          <w:bCs/>
          <w:sz w:val="22"/>
          <w:szCs w:val="22"/>
          <w:lang w:val="es-ES_tradnl" w:eastAsia="en-US"/>
        </w:rPr>
        <w:t xml:space="preserve"> es un elemento que hace a una persona física identificada o identificable, por lo que, </w:t>
      </w:r>
      <w:r w:rsidRPr="00B71E3E">
        <w:rPr>
          <w:rFonts w:ascii="Palatino Linotype" w:eastAsia="Calibri" w:hAnsi="Palatino Linotype" w:cs="Tahoma"/>
          <w:b/>
          <w:bCs/>
          <w:sz w:val="22"/>
          <w:szCs w:val="22"/>
          <w:lang w:val="es-ES_tradnl" w:eastAsia="en-US"/>
        </w:rPr>
        <w:t>se considera un dato personal.</w:t>
      </w:r>
    </w:p>
    <w:p w14:paraId="70B28D8D" w14:textId="77777777" w:rsidR="002172BA" w:rsidRPr="00B71E3E" w:rsidRDefault="002172BA" w:rsidP="00A54B20">
      <w:pPr>
        <w:spacing w:line="360" w:lineRule="auto"/>
        <w:contextualSpacing/>
        <w:jc w:val="both"/>
        <w:rPr>
          <w:rFonts w:ascii="Palatino Linotype" w:eastAsia="Calibri" w:hAnsi="Palatino Linotype" w:cs="Tahoma"/>
          <w:b/>
          <w:bCs/>
          <w:sz w:val="22"/>
          <w:szCs w:val="22"/>
          <w:lang w:eastAsia="en-US"/>
        </w:rPr>
      </w:pPr>
    </w:p>
    <w:p w14:paraId="0CED4766" w14:textId="77777777" w:rsidR="002172BA" w:rsidRPr="00B71E3E" w:rsidRDefault="002172BA" w:rsidP="00A54B20">
      <w:pPr>
        <w:spacing w:line="360" w:lineRule="auto"/>
        <w:ind w:right="-93"/>
        <w:contextualSpacing/>
        <w:jc w:val="both"/>
        <w:rPr>
          <w:rFonts w:ascii="Palatino Linotype" w:eastAsia="Calibri" w:hAnsi="Palatino Linotype" w:cs="Tahoma"/>
          <w:bCs/>
          <w:sz w:val="22"/>
          <w:szCs w:val="22"/>
          <w:lang w:val="es-ES" w:eastAsia="en-US"/>
        </w:rPr>
      </w:pPr>
      <w:r w:rsidRPr="00B71E3E">
        <w:rPr>
          <w:rFonts w:ascii="Palatino Linotype" w:eastAsia="Calibri" w:hAnsi="Palatino Linotype" w:cs="Tahoma"/>
          <w:bCs/>
          <w:sz w:val="22"/>
          <w:szCs w:val="22"/>
          <w:lang w:eastAsia="en-US"/>
        </w:rPr>
        <w:t xml:space="preserve">Al respecto </w:t>
      </w:r>
      <w:r w:rsidRPr="00B71E3E">
        <w:rPr>
          <w:rFonts w:ascii="Palatino Linotype" w:eastAsia="Calibri" w:hAnsi="Palatino Linotype" w:cs="Tahoma"/>
          <w:bCs/>
          <w:sz w:val="22"/>
          <w:szCs w:val="22"/>
          <w:lang w:val="es-ES" w:eastAsia="en-US"/>
        </w:rPr>
        <w:t xml:space="preserve">cabe señalar lo previsto en la tesis aislada número 1a. CCXIV/2009, emitida por la Primera Sala de la Suprema Corte de Justicia de la Nación, publicada </w:t>
      </w:r>
      <w:r w:rsidRPr="00B71E3E">
        <w:rPr>
          <w:rFonts w:ascii="Palatino Linotype" w:eastAsia="Calibri" w:hAnsi="Palatino Linotype" w:cs="Tahoma"/>
          <w:bCs/>
          <w:iCs/>
          <w:sz w:val="22"/>
          <w:szCs w:val="22"/>
          <w:lang w:val="es-ES" w:eastAsia="en-US"/>
        </w:rPr>
        <w:t>en la Gaceta del Semanario Judicial de la Federación, Tomo XXX, de diciembre de 2009, página 277, de la Novena Época, materia constitucional,</w:t>
      </w:r>
      <w:r w:rsidRPr="00B71E3E">
        <w:rPr>
          <w:rFonts w:ascii="Palatino Linotype" w:eastAsia="Calibri" w:hAnsi="Palatino Linotype" w:cs="Tahoma"/>
          <w:bCs/>
          <w:sz w:val="22"/>
          <w:szCs w:val="22"/>
          <w:lang w:val="es-ES" w:eastAsia="en-US"/>
        </w:rPr>
        <w:t xml:space="preserve"> que establece lo siguiente:</w:t>
      </w:r>
    </w:p>
    <w:p w14:paraId="05D8BA32" w14:textId="77777777" w:rsidR="002172BA" w:rsidRPr="00B71E3E" w:rsidRDefault="002172BA" w:rsidP="00A54B20">
      <w:pPr>
        <w:spacing w:line="360" w:lineRule="auto"/>
        <w:ind w:right="-93"/>
        <w:contextualSpacing/>
        <w:jc w:val="both"/>
        <w:rPr>
          <w:rFonts w:ascii="Palatino Linotype" w:eastAsia="Calibri" w:hAnsi="Palatino Linotype" w:cs="Tahoma"/>
          <w:bCs/>
          <w:sz w:val="22"/>
          <w:szCs w:val="22"/>
          <w:lang w:val="es-ES" w:eastAsia="en-US"/>
        </w:rPr>
      </w:pPr>
    </w:p>
    <w:p w14:paraId="666BD519" w14:textId="77777777" w:rsidR="002172BA" w:rsidRPr="00B71E3E" w:rsidRDefault="002172BA" w:rsidP="00A54B20">
      <w:pPr>
        <w:spacing w:line="360" w:lineRule="auto"/>
        <w:ind w:left="567" w:right="567"/>
        <w:contextualSpacing/>
        <w:jc w:val="both"/>
        <w:rPr>
          <w:rFonts w:ascii="Palatino Linotype" w:eastAsia="Calibri" w:hAnsi="Palatino Linotype" w:cs="Tahoma"/>
          <w:bCs/>
          <w:i/>
          <w:lang w:val="es-ES" w:eastAsia="en-US"/>
        </w:rPr>
      </w:pPr>
      <w:r w:rsidRPr="00B71E3E">
        <w:rPr>
          <w:rFonts w:ascii="Palatino Linotype" w:eastAsia="Calibri" w:hAnsi="Palatino Linotype" w:cs="Tahoma"/>
          <w:bCs/>
          <w:i/>
          <w:lang w:val="es-ES" w:eastAsia="en-US"/>
        </w:rPr>
        <w:t>“</w:t>
      </w:r>
      <w:r w:rsidRPr="00B71E3E">
        <w:rPr>
          <w:rFonts w:ascii="Palatino Linotype" w:eastAsia="Calibri" w:hAnsi="Palatino Linotype" w:cs="Tahoma"/>
          <w:b/>
          <w:bCs/>
          <w:i/>
          <w:lang w:val="es-ES" w:eastAsia="en-US"/>
        </w:rPr>
        <w:t xml:space="preserve">DERECHO A LA VIDA PRIVADA. SU CONTENIDO GENERAL Y LA IMPORTANCIA DE NO DESCONTEXTUALIZAR LAS REFERENCIAS A LA MISMA. </w:t>
      </w:r>
      <w:r w:rsidRPr="00B71E3E">
        <w:rPr>
          <w:rFonts w:ascii="Palatino Linotype" w:eastAsia="Calibri" w:hAnsi="Palatino Linotype" w:cs="Tahoma"/>
          <w:bCs/>
          <w:i/>
          <w:lang w:val="es-ES" w:eastAsia="en-US"/>
        </w:rPr>
        <w:t xml:space="preserve">La Suprema Corte de Justicia de la Nación se ha referido en varias tesis a los rasgos característicos de la noción de lo ‘privado’. Así, lo ha relacionado con: lo que no constituye vida pública; el ámbito reservado frente a la acción y el conocimiento de los demás; lo que se desea compartir únicamente con aquellos que uno elige; las actividades de las personas en la esfera particular, relacionadas con el hogar y la familia; o aquello que las personas no desempeñan con el carácter de servidores públicos. Por otro lado, el derecho a la vida privada (o intimidad) está reconocido y protegido en declaraciones y tratados de derechos humanos que forman parte del orden jurídico mexicano, como la Declaración Universal de los Derechos Humanos (artículo 12), el Pacto Internacional de Derechos Civiles y Políticos (artículo 17), la Convención Americana sobre Derechos Humanos (artículo 11) y la Convención sobre los Derechos del Niño (artículo 16). Al interpretar estas disposiciones, los organismos internacionales han destacado que la noción de vida privada atañe a la esfera de la vida en la que las personas pueden expresar libremente su identidad, ya sea en sus relaciones con los demás o en lo individual, y han destacado su vinculación con un amplio abanico de otros derechos, como la inviolabilidad de la correspondencia y de las comunicaciones </w:t>
      </w:r>
      <w:r w:rsidRPr="00B71E3E">
        <w:rPr>
          <w:rFonts w:ascii="Palatino Linotype" w:eastAsia="Calibri" w:hAnsi="Palatino Linotype" w:cs="Tahoma"/>
          <w:bCs/>
          <w:i/>
          <w:lang w:val="es-ES" w:eastAsia="en-US"/>
        </w:rPr>
        <w:lastRenderedPageBreak/>
        <w:t xml:space="preserve">en general, la inviolabilidad del domicilio, las garantías respecto de los registros personales y corporales, las relacionadas con la recopilación y registro de información personal en bancos de datos y otros dispositivos; el derecho a una vivienda adecuada, a la salud y a la igualdad; los derechos reproductivos, o la protección en caso de desalojos forzados. Las afirmaciones contenidas en las resoluciones nacionales e internacionales son útiles en la medida en que no se tomen de manera descontextualizada, emerjan de un análisis cuidadoso de los diferentes escenarios jurídicos en los que la idea de privacidad entra en juego y no se pretenda derivar de ellas un concepto mecánico de vida privada, de referentes fijos e inmutables. Lo único que estas resoluciones permiten reconstruir, en términos abstractos, es la imagen general que evoca la idea de privacidad en nuestro contexto cultural. </w:t>
      </w:r>
      <w:r w:rsidRPr="00B71E3E">
        <w:rPr>
          <w:rFonts w:ascii="Palatino Linotype" w:eastAsia="Calibri" w:hAnsi="Palatino Linotype" w:cs="Tahoma"/>
          <w:b/>
          <w:bCs/>
          <w:i/>
          <w:lang w:val="es-ES" w:eastAsia="en-US"/>
        </w:rPr>
        <w:t>Según esta noción, las personas tienen derecho a gozar de un ámbito de proyección de su existencia que quede reservado de la invasión y la mirada de los demás, que les concierna sólo a ellos y les provea de condiciones adecuadas para el despliegue de su individualidad -para el desarrollo de su autonomía y su libertad-.</w:t>
      </w:r>
      <w:r w:rsidRPr="00B71E3E">
        <w:rPr>
          <w:rFonts w:ascii="Palatino Linotype" w:eastAsia="Calibri" w:hAnsi="Palatino Linotype" w:cs="Tahoma"/>
          <w:bCs/>
          <w:i/>
          <w:lang w:val="es-ES" w:eastAsia="en-US"/>
        </w:rPr>
        <w:t xml:space="preserve"> A un nivel más concreto, la misma idea puede describirse apelando al derecho de las personas a mantener fuera del conocimiento de los demás (o, a veces, dentro del círculo de sus personas más próximas) ciertas manifestaciones o dimensiones de su existencia (conducta, datos, información, objetos) y al correspondiente derecho a que los demás no las invadan sin su consentimiento. </w:t>
      </w:r>
      <w:r w:rsidRPr="00B71E3E">
        <w:rPr>
          <w:rFonts w:ascii="Palatino Linotype" w:eastAsia="Calibri" w:hAnsi="Palatino Linotype" w:cs="Tahoma"/>
          <w:b/>
          <w:bCs/>
          <w:i/>
          <w:lang w:val="es-ES" w:eastAsia="en-US"/>
        </w:rPr>
        <w:t>En un sentido amplio, entonces, la protección constitucional de la vida privada implica poder conducir parte de la vida de uno protegido de la mirada y las injerencias de los demás</w:t>
      </w:r>
      <w:r w:rsidRPr="00B71E3E">
        <w:rPr>
          <w:rFonts w:ascii="Palatino Linotype" w:eastAsia="Calibri" w:hAnsi="Palatino Linotype" w:cs="Tahoma"/>
          <w:bCs/>
          <w:i/>
          <w:lang w:val="es-ES" w:eastAsia="en-US"/>
        </w:rPr>
        <w:t>, y guarda conexiones de variado tipo con pretensiones más concretas que los textos constitucionales actuales reconocen a veces como derechos conexos: el derecho de poder tomar libremente ciertas decisiones atinentes al propio plan de vida, el derecho a ver protegidas ciertas manifestaciones de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51DAFE1E" w14:textId="77777777" w:rsidR="002172BA" w:rsidRPr="00B71E3E" w:rsidRDefault="002172BA" w:rsidP="00A54B20">
      <w:pPr>
        <w:spacing w:line="360" w:lineRule="auto"/>
        <w:ind w:right="-93"/>
        <w:contextualSpacing/>
        <w:jc w:val="both"/>
        <w:rPr>
          <w:rFonts w:ascii="Palatino Linotype" w:eastAsia="Calibri" w:hAnsi="Palatino Linotype" w:cs="Tahoma"/>
          <w:bCs/>
          <w:sz w:val="22"/>
          <w:szCs w:val="22"/>
          <w:lang w:val="es-ES" w:eastAsia="en-US"/>
        </w:rPr>
      </w:pPr>
    </w:p>
    <w:p w14:paraId="59539D2A" w14:textId="77777777" w:rsidR="002172BA" w:rsidRPr="00B71E3E" w:rsidRDefault="002172BA" w:rsidP="00A54B20">
      <w:pPr>
        <w:spacing w:line="360" w:lineRule="auto"/>
        <w:ind w:right="-93"/>
        <w:contextualSpacing/>
        <w:jc w:val="both"/>
        <w:rPr>
          <w:rFonts w:ascii="Palatino Linotype" w:eastAsia="Calibri" w:hAnsi="Palatino Linotype" w:cs="Tahoma"/>
          <w:b/>
          <w:bCs/>
          <w:sz w:val="22"/>
          <w:szCs w:val="22"/>
          <w:lang w:val="es-ES" w:eastAsia="en-US"/>
        </w:rPr>
      </w:pPr>
      <w:r w:rsidRPr="00B71E3E">
        <w:rPr>
          <w:rFonts w:ascii="Palatino Linotype" w:eastAsia="Calibri" w:hAnsi="Palatino Linotype" w:cs="Tahoma"/>
          <w:bCs/>
          <w:sz w:val="22"/>
          <w:szCs w:val="22"/>
          <w:lang w:val="es-ES" w:eastAsia="en-US"/>
        </w:rPr>
        <w:lastRenderedPageBreak/>
        <w:t xml:space="preserve">De conformidad con lo señalado, se colige que </w:t>
      </w:r>
      <w:r w:rsidRPr="00B71E3E">
        <w:rPr>
          <w:rFonts w:ascii="Palatino Linotype" w:eastAsia="Calibri" w:hAnsi="Palatino Linotype" w:cs="Tahoma"/>
          <w:b/>
          <w:bCs/>
          <w:sz w:val="22"/>
          <w:szCs w:val="22"/>
          <w:lang w:val="es-ES" w:eastAsia="en-US"/>
        </w:rPr>
        <w:t>las actividades que realicen los particulares, dentro del ámbito privado, o dentro de la esfera particular, es información que debe protegerse.</w:t>
      </w:r>
    </w:p>
    <w:p w14:paraId="77C12D0B" w14:textId="77777777" w:rsidR="002172BA" w:rsidRPr="00B71E3E" w:rsidRDefault="002172BA" w:rsidP="00A54B20">
      <w:pPr>
        <w:spacing w:line="360" w:lineRule="auto"/>
        <w:ind w:right="-93"/>
        <w:contextualSpacing/>
        <w:jc w:val="both"/>
        <w:rPr>
          <w:rFonts w:ascii="Palatino Linotype" w:eastAsia="Calibri" w:hAnsi="Palatino Linotype" w:cs="Tahoma"/>
          <w:bCs/>
          <w:sz w:val="22"/>
          <w:szCs w:val="22"/>
          <w:lang w:eastAsia="en-US"/>
        </w:rPr>
      </w:pPr>
    </w:p>
    <w:p w14:paraId="48EA0890" w14:textId="22FA962C" w:rsidR="002172BA" w:rsidRPr="00B71E3E" w:rsidRDefault="002172BA" w:rsidP="00A54B20">
      <w:pPr>
        <w:spacing w:line="360" w:lineRule="auto"/>
        <w:ind w:right="-93"/>
        <w:contextualSpacing/>
        <w:jc w:val="both"/>
        <w:rPr>
          <w:rFonts w:ascii="Palatino Linotype" w:eastAsiaTheme="minorHAnsi" w:hAnsi="Palatino Linotype" w:cstheme="minorBidi"/>
          <w:b/>
          <w:bCs/>
          <w:iCs/>
          <w:color w:val="000000" w:themeColor="text1"/>
          <w:sz w:val="22"/>
          <w:szCs w:val="22"/>
          <w:lang w:val="es-ES_tradnl" w:eastAsia="en-US"/>
        </w:rPr>
      </w:pPr>
      <w:r w:rsidRPr="00B71E3E">
        <w:rPr>
          <w:rFonts w:ascii="Palatino Linotype" w:eastAsia="Calibri" w:hAnsi="Palatino Linotype" w:cs="Tahoma"/>
          <w:bCs/>
          <w:sz w:val="22"/>
          <w:szCs w:val="22"/>
          <w:lang w:eastAsia="en-US"/>
        </w:rPr>
        <w:t>En consecuencia, se estima que resulta procedente la clasificación del nombre de particulares en actuación dentro de su ámbito privado, en términos del artículo 143, fracción I, de la Ley de Transparencia y Acceso a la Información Pública del Estado de México y Municipios. Por lo que, los oficios en los que se hayan testados nombres de particulares e</w:t>
      </w:r>
      <w:r>
        <w:rPr>
          <w:rFonts w:ascii="Palatino Linotype" w:eastAsia="Calibri" w:hAnsi="Palatino Linotype" w:cs="Tahoma"/>
          <w:bCs/>
          <w:sz w:val="22"/>
          <w:szCs w:val="22"/>
          <w:lang w:eastAsia="en-US"/>
        </w:rPr>
        <w:t>n</w:t>
      </w:r>
      <w:r w:rsidRPr="00B71E3E">
        <w:rPr>
          <w:rFonts w:ascii="Palatino Linotype" w:eastAsia="Calibri" w:hAnsi="Palatino Linotype" w:cs="Tahoma"/>
          <w:bCs/>
          <w:sz w:val="22"/>
          <w:szCs w:val="22"/>
          <w:lang w:eastAsia="en-US"/>
        </w:rPr>
        <w:t xml:space="preserve"> correcta la versión pública.</w:t>
      </w:r>
    </w:p>
    <w:p w14:paraId="55576908" w14:textId="77777777" w:rsidR="002172BA" w:rsidRPr="00B71E3E" w:rsidRDefault="002172BA" w:rsidP="00A54B20">
      <w:pPr>
        <w:spacing w:line="360" w:lineRule="auto"/>
        <w:contextualSpacing/>
        <w:jc w:val="both"/>
        <w:rPr>
          <w:rFonts w:ascii="Palatino Linotype" w:eastAsiaTheme="minorHAnsi" w:hAnsi="Palatino Linotype" w:cstheme="minorBidi"/>
          <w:b/>
          <w:bCs/>
          <w:iCs/>
          <w:color w:val="000000" w:themeColor="text1"/>
          <w:sz w:val="22"/>
          <w:szCs w:val="22"/>
          <w:lang w:val="es-ES_tradnl" w:eastAsia="en-US"/>
        </w:rPr>
      </w:pPr>
    </w:p>
    <w:p w14:paraId="15654741" w14:textId="77777777" w:rsidR="002172BA" w:rsidRPr="00B71E3E" w:rsidRDefault="002172BA" w:rsidP="00A54B20">
      <w:pPr>
        <w:numPr>
          <w:ilvl w:val="0"/>
          <w:numId w:val="5"/>
        </w:numPr>
        <w:spacing w:line="360" w:lineRule="auto"/>
        <w:contextualSpacing/>
        <w:jc w:val="both"/>
        <w:rPr>
          <w:rFonts w:ascii="Palatino Linotype" w:hAnsi="Palatino Linotype" w:cs="Tahoma"/>
          <w:b/>
          <w:bCs/>
          <w:iCs/>
          <w:sz w:val="22"/>
          <w:szCs w:val="22"/>
        </w:rPr>
      </w:pPr>
      <w:r w:rsidRPr="00B71E3E">
        <w:rPr>
          <w:rFonts w:ascii="Palatino Linotype" w:hAnsi="Palatino Linotype" w:cs="Tahoma"/>
          <w:b/>
          <w:bCs/>
          <w:iCs/>
          <w:sz w:val="22"/>
          <w:szCs w:val="22"/>
        </w:rPr>
        <w:t>Nombre de Representante Legal</w:t>
      </w:r>
    </w:p>
    <w:p w14:paraId="696B38F1" w14:textId="77777777" w:rsidR="002172BA" w:rsidRPr="00B71E3E" w:rsidRDefault="002172BA" w:rsidP="00A54B20">
      <w:pPr>
        <w:spacing w:line="360" w:lineRule="auto"/>
        <w:contextualSpacing/>
        <w:jc w:val="both"/>
        <w:rPr>
          <w:rFonts w:ascii="Palatino Linotype" w:hAnsi="Palatino Linotype" w:cs="Tahoma"/>
          <w:b/>
          <w:bCs/>
          <w:iCs/>
          <w:sz w:val="22"/>
          <w:szCs w:val="22"/>
        </w:rPr>
      </w:pPr>
    </w:p>
    <w:p w14:paraId="51745575" w14:textId="77777777" w:rsidR="002172BA" w:rsidRPr="00B71E3E" w:rsidRDefault="002172BA" w:rsidP="00A54B20">
      <w:pPr>
        <w:spacing w:line="360" w:lineRule="auto"/>
        <w:contextualSpacing/>
        <w:jc w:val="both"/>
        <w:rPr>
          <w:rFonts w:ascii="Palatino Linotype" w:hAnsi="Palatino Linotype" w:cs="Tahoma"/>
          <w:sz w:val="22"/>
          <w:szCs w:val="22"/>
          <w:lang w:val="es-ES"/>
        </w:rPr>
      </w:pPr>
      <w:r w:rsidRPr="00B71E3E">
        <w:rPr>
          <w:rFonts w:ascii="Palatino Linotype" w:hAnsi="Palatino Linotype" w:cs="Tahoma"/>
          <w:sz w:val="22"/>
          <w:szCs w:val="22"/>
          <w:lang w:val="es-ES"/>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sobre un contrato de adquisición de bienes.</w:t>
      </w:r>
    </w:p>
    <w:p w14:paraId="76FF5686" w14:textId="77777777" w:rsidR="002172BA" w:rsidRPr="00B71E3E" w:rsidRDefault="002172BA" w:rsidP="00A54B20">
      <w:pPr>
        <w:spacing w:line="360" w:lineRule="auto"/>
        <w:contextualSpacing/>
        <w:jc w:val="both"/>
        <w:rPr>
          <w:rFonts w:ascii="Palatino Linotype" w:hAnsi="Palatino Linotype" w:cs="Tahoma"/>
          <w:sz w:val="22"/>
          <w:szCs w:val="22"/>
          <w:lang w:val="es-ES"/>
        </w:rPr>
      </w:pPr>
    </w:p>
    <w:p w14:paraId="3CA73789" w14:textId="77777777" w:rsidR="002172BA" w:rsidRPr="00B71E3E" w:rsidRDefault="002172BA" w:rsidP="00A54B20">
      <w:pPr>
        <w:spacing w:line="360" w:lineRule="auto"/>
        <w:contextualSpacing/>
        <w:jc w:val="both"/>
        <w:rPr>
          <w:rFonts w:ascii="Palatino Linotype" w:hAnsi="Palatino Linotype" w:cs="Tahoma"/>
          <w:sz w:val="22"/>
          <w:szCs w:val="22"/>
          <w:lang w:val="es-ES"/>
        </w:rPr>
      </w:pPr>
      <w:r w:rsidRPr="00B71E3E">
        <w:rPr>
          <w:rFonts w:ascii="Palatino Linotype" w:hAnsi="Palatino Linotype" w:cs="Tahoma"/>
          <w:sz w:val="22"/>
          <w:szCs w:val="22"/>
          <w:lang w:val="es-ES"/>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760A4920" w14:textId="77777777" w:rsidR="002172BA" w:rsidRPr="00B71E3E" w:rsidRDefault="002172BA" w:rsidP="00A54B20">
      <w:pPr>
        <w:spacing w:line="360" w:lineRule="auto"/>
        <w:contextualSpacing/>
        <w:jc w:val="both"/>
        <w:rPr>
          <w:rFonts w:ascii="Palatino Linotype" w:hAnsi="Palatino Linotype" w:cs="Tahoma"/>
          <w:sz w:val="22"/>
          <w:szCs w:val="22"/>
          <w:lang w:val="es-ES"/>
        </w:rPr>
      </w:pPr>
    </w:p>
    <w:p w14:paraId="03A43FF9" w14:textId="77777777" w:rsidR="002172BA" w:rsidRPr="00B71E3E" w:rsidRDefault="002172BA" w:rsidP="00A54B20">
      <w:pPr>
        <w:spacing w:line="360" w:lineRule="auto"/>
        <w:contextualSpacing/>
        <w:jc w:val="both"/>
        <w:rPr>
          <w:rFonts w:ascii="Palatino Linotype" w:hAnsi="Palatino Linotype" w:cs="Tahoma"/>
          <w:color w:val="000000" w:themeColor="text1"/>
          <w:sz w:val="22"/>
          <w:szCs w:val="22"/>
          <w:lang w:val="es-ES"/>
        </w:rPr>
      </w:pPr>
      <w:r w:rsidRPr="00B71E3E">
        <w:rPr>
          <w:rFonts w:ascii="Palatino Linotype" w:hAnsi="Palatino Linotype" w:cs="Tahoma"/>
          <w:color w:val="000000" w:themeColor="text1"/>
          <w:sz w:val="22"/>
          <w:szCs w:val="22"/>
          <w:lang w:val="es-ES"/>
        </w:rPr>
        <w:t xml:space="preserve">Lo anterior, se robustece con el </w:t>
      </w:r>
      <w:r w:rsidRPr="00B71E3E">
        <w:rPr>
          <w:rFonts w:ascii="Palatino Linotype" w:eastAsia="Calibri" w:hAnsi="Palatino Linotype" w:cs="Tahoma"/>
          <w:bCs/>
          <w:iCs/>
          <w:color w:val="000000" w:themeColor="text1"/>
          <w:sz w:val="22"/>
          <w:szCs w:val="22"/>
          <w:lang w:val="es-ES" w:eastAsia="en-US"/>
        </w:rPr>
        <w:t xml:space="preserve">Criterio de Interpretación, de la Segunda Época, con clave de control </w:t>
      </w:r>
      <w:r w:rsidRPr="00B71E3E">
        <w:rPr>
          <w:rFonts w:ascii="Palatino Linotype" w:eastAsia="Calibri" w:hAnsi="Palatino Linotype" w:cs="Tahoma"/>
          <w:bCs/>
          <w:iCs/>
          <w:color w:val="000000" w:themeColor="text1"/>
          <w:sz w:val="22"/>
          <w:szCs w:val="22"/>
          <w:lang w:eastAsia="en-US"/>
        </w:rPr>
        <w:t xml:space="preserve">SO/001/2019, </w:t>
      </w:r>
      <w:r w:rsidRPr="00B71E3E">
        <w:rPr>
          <w:rFonts w:ascii="Palatino Linotype" w:eastAsia="Calibri" w:hAnsi="Palatino Linotype" w:cs="Tahoma"/>
          <w:bCs/>
          <w:iCs/>
          <w:color w:val="000000" w:themeColor="text1"/>
          <w:sz w:val="22"/>
          <w:szCs w:val="22"/>
          <w:lang w:val="es-ES" w:eastAsia="en-US"/>
        </w:rPr>
        <w:t>emitido por el Instituto Nacional de Transparencia, Acceso a la Información y Protección de Datos Personales</w:t>
      </w:r>
      <w:r w:rsidRPr="00B71E3E">
        <w:rPr>
          <w:rFonts w:ascii="Palatino Linotype" w:hAnsi="Palatino Linotype" w:cs="Tahoma"/>
          <w:color w:val="000000" w:themeColor="text1"/>
          <w:sz w:val="22"/>
          <w:szCs w:val="22"/>
          <w:lang w:val="es-ES"/>
        </w:rPr>
        <w:t>, que establece lo siguiente:</w:t>
      </w:r>
    </w:p>
    <w:p w14:paraId="4F36E3EF" w14:textId="77777777" w:rsidR="002172BA" w:rsidRPr="00B71E3E" w:rsidRDefault="002172BA" w:rsidP="00A54B20">
      <w:pPr>
        <w:spacing w:line="360" w:lineRule="auto"/>
        <w:contextualSpacing/>
        <w:jc w:val="both"/>
        <w:rPr>
          <w:rFonts w:ascii="Palatino Linotype" w:hAnsi="Palatino Linotype" w:cs="Tahoma"/>
          <w:color w:val="000000" w:themeColor="text1"/>
          <w:sz w:val="22"/>
          <w:szCs w:val="22"/>
          <w:lang w:val="es-ES"/>
        </w:rPr>
      </w:pPr>
    </w:p>
    <w:p w14:paraId="07D335AC" w14:textId="77777777" w:rsidR="002172BA" w:rsidRPr="00B71E3E" w:rsidRDefault="002172BA" w:rsidP="00A54B20">
      <w:pPr>
        <w:spacing w:line="360" w:lineRule="auto"/>
        <w:ind w:left="567" w:right="567"/>
        <w:contextualSpacing/>
        <w:jc w:val="both"/>
        <w:rPr>
          <w:rFonts w:ascii="Palatino Linotype" w:hAnsi="Palatino Linotype" w:cs="Tahoma"/>
          <w:i/>
          <w:color w:val="000000" w:themeColor="text1"/>
          <w:lang w:val="es-ES"/>
        </w:rPr>
      </w:pPr>
      <w:r w:rsidRPr="00B71E3E">
        <w:rPr>
          <w:rFonts w:ascii="Palatino Linotype" w:hAnsi="Palatino Linotype" w:cs="Tahoma"/>
          <w:b/>
          <w:i/>
          <w:color w:val="000000" w:themeColor="text1"/>
        </w:rPr>
        <w:t>“Datos de identificación del representante o apoderado legal.</w:t>
      </w:r>
      <w:r w:rsidRPr="00B71E3E">
        <w:rPr>
          <w:rFonts w:ascii="Palatino Linotype" w:hAnsi="Palatino Linotype" w:cs="Tahoma"/>
          <w:i/>
          <w:color w:val="000000" w:themeColor="text1"/>
        </w:rPr>
        <w:t xml:space="preserve"> </w:t>
      </w:r>
      <w:r w:rsidRPr="00B71E3E">
        <w:rPr>
          <w:rFonts w:ascii="Palatino Linotype" w:hAnsi="Palatino Linotype" w:cs="Tahoma"/>
          <w:b/>
          <w:i/>
          <w:color w:val="000000" w:themeColor="text1"/>
        </w:rPr>
        <w:t xml:space="preserve">Naturaleza jurídica. </w:t>
      </w:r>
      <w:r w:rsidRPr="00B71E3E">
        <w:rPr>
          <w:rFonts w:ascii="Palatino Linotype" w:hAnsi="Palatino Linotype" w:cs="Tahoma"/>
          <w:i/>
          <w:color w:val="000000" w:themeColor="text1"/>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4CBEC5E6" w14:textId="77777777" w:rsidR="002172BA" w:rsidRPr="00B71E3E" w:rsidRDefault="002172BA" w:rsidP="00A54B20">
      <w:pPr>
        <w:spacing w:line="360" w:lineRule="auto"/>
        <w:contextualSpacing/>
        <w:jc w:val="both"/>
        <w:rPr>
          <w:rFonts w:ascii="Palatino Linotype" w:hAnsi="Palatino Linotype" w:cs="Tahoma"/>
          <w:sz w:val="22"/>
          <w:szCs w:val="22"/>
          <w:lang w:val="es-ES"/>
        </w:rPr>
      </w:pPr>
    </w:p>
    <w:p w14:paraId="4DBAEE28" w14:textId="77777777" w:rsidR="002172BA" w:rsidRPr="00B71E3E" w:rsidRDefault="002172BA" w:rsidP="00A54B20">
      <w:pPr>
        <w:spacing w:line="360" w:lineRule="auto"/>
        <w:contextualSpacing/>
        <w:jc w:val="both"/>
        <w:rPr>
          <w:rFonts w:ascii="Palatino Linotype" w:hAnsi="Palatino Linotype" w:cs="Tahoma"/>
          <w:sz w:val="22"/>
          <w:szCs w:val="22"/>
          <w:lang w:val="es-ES"/>
        </w:rPr>
      </w:pPr>
      <w:r w:rsidRPr="00B71E3E">
        <w:rPr>
          <w:rFonts w:ascii="Palatino Linotype" w:hAnsi="Palatino Linotype" w:cs="Tahoma"/>
          <w:sz w:val="22"/>
          <w:szCs w:val="22"/>
          <w:lang w:val="es-ES"/>
        </w:rPr>
        <w:t>Ante tales situaciones, el nombre del representante legal, de una persona jurídica colectiva, en primera instancia, no es susceptible de ser clasificado como confidencial, en términos del artículo 143, fracción I de la Ley Federal de Transparencia y Acceso a la Información Pública.</w:t>
      </w:r>
    </w:p>
    <w:p w14:paraId="174F5A10" w14:textId="77777777" w:rsidR="002172BA" w:rsidRPr="00B71E3E" w:rsidRDefault="002172BA" w:rsidP="00A54B20">
      <w:pPr>
        <w:spacing w:line="360" w:lineRule="auto"/>
        <w:contextualSpacing/>
        <w:jc w:val="both"/>
        <w:rPr>
          <w:rFonts w:ascii="Palatino Linotype" w:eastAsiaTheme="minorHAnsi" w:hAnsi="Palatino Linotype" w:cstheme="minorBidi"/>
          <w:b/>
          <w:bCs/>
          <w:iCs/>
          <w:color w:val="000000" w:themeColor="text1"/>
          <w:sz w:val="22"/>
          <w:szCs w:val="22"/>
          <w:lang w:val="es-ES_tradnl" w:eastAsia="en-US"/>
        </w:rPr>
      </w:pPr>
    </w:p>
    <w:p w14:paraId="5A3ED002" w14:textId="77777777" w:rsidR="002172BA" w:rsidRDefault="002172BA" w:rsidP="00A54B20">
      <w:pPr>
        <w:spacing w:line="360" w:lineRule="auto"/>
        <w:contextualSpacing/>
        <w:jc w:val="both"/>
        <w:rPr>
          <w:rFonts w:ascii="Palatino Linotype" w:eastAsiaTheme="minorHAnsi" w:hAnsi="Palatino Linotype" w:cstheme="minorBidi"/>
          <w:bCs/>
          <w:iCs/>
          <w:color w:val="000000" w:themeColor="text1"/>
          <w:sz w:val="22"/>
          <w:szCs w:val="22"/>
          <w:lang w:val="es-ES_tradnl" w:eastAsia="en-US"/>
        </w:rPr>
      </w:pPr>
      <w:r w:rsidRPr="00B71E3E">
        <w:rPr>
          <w:rFonts w:ascii="Palatino Linotype" w:eastAsiaTheme="minorHAnsi" w:hAnsi="Palatino Linotype" w:cstheme="minorBidi"/>
          <w:bCs/>
          <w:iCs/>
          <w:color w:val="000000" w:themeColor="text1"/>
          <w:sz w:val="22"/>
          <w:szCs w:val="22"/>
          <w:lang w:val="es-ES_tradnl" w:eastAsia="en-US"/>
        </w:rPr>
        <w:t xml:space="preserve">No obstante, en el caso de las personas físicas o jurídico-colectivas que ejercen el derecho de petición consagrado en el artículo 8° de la Constitución Política de los Estados Unidos Mexicanos, al tratarse de un asunto personal o privado, este dato reviste la característica de confidencial, en términos del artículo </w:t>
      </w:r>
      <w:r w:rsidRPr="00B71E3E">
        <w:rPr>
          <w:rFonts w:ascii="Palatino Linotype" w:hAnsi="Palatino Linotype" w:cs="Tahoma"/>
          <w:sz w:val="22"/>
          <w:szCs w:val="22"/>
          <w:lang w:val="es-ES"/>
        </w:rPr>
        <w:t xml:space="preserve">143, fracción I de la Ley de Transparencia y Acceso a la Información Pública del Estado de México y Municipios, pues daría a conocer </w:t>
      </w:r>
      <w:r w:rsidRPr="00B71E3E">
        <w:rPr>
          <w:rFonts w:ascii="Palatino Linotype" w:eastAsiaTheme="minorHAnsi" w:hAnsi="Palatino Linotype" w:cstheme="minorBidi"/>
          <w:bCs/>
          <w:iCs/>
          <w:color w:val="000000" w:themeColor="text1"/>
          <w:sz w:val="22"/>
          <w:szCs w:val="22"/>
          <w:lang w:val="es-ES_tradnl" w:eastAsia="en-US"/>
        </w:rPr>
        <w:t>información privada o datos personales confidenciales, según quien presente el escrito.</w:t>
      </w:r>
    </w:p>
    <w:p w14:paraId="7B0154DE" w14:textId="77777777" w:rsidR="002172BA" w:rsidRPr="003B4DAF" w:rsidRDefault="002172BA" w:rsidP="00A54B20">
      <w:pPr>
        <w:spacing w:line="360" w:lineRule="auto"/>
        <w:contextualSpacing/>
        <w:jc w:val="both"/>
        <w:rPr>
          <w:rFonts w:ascii="Palatino Linotype" w:hAnsi="Palatino Linotype"/>
          <w:bCs/>
          <w:iCs/>
          <w:sz w:val="22"/>
          <w:szCs w:val="22"/>
          <w:lang w:val="es-ES"/>
        </w:rPr>
      </w:pPr>
    </w:p>
    <w:p w14:paraId="7D21BD29" w14:textId="77777777" w:rsidR="002172BA" w:rsidRPr="003B4DAF" w:rsidRDefault="002172BA" w:rsidP="00A54B20">
      <w:pPr>
        <w:numPr>
          <w:ilvl w:val="0"/>
          <w:numId w:val="5"/>
        </w:numPr>
        <w:tabs>
          <w:tab w:val="left" w:pos="4962"/>
        </w:tabs>
        <w:spacing w:line="360" w:lineRule="auto"/>
        <w:contextualSpacing/>
        <w:jc w:val="both"/>
        <w:rPr>
          <w:rFonts w:ascii="Palatino Linotype" w:eastAsia="Palatino Linotype" w:hAnsi="Palatino Linotype" w:cs="Tahoma"/>
          <w:b/>
          <w:bCs/>
          <w:color w:val="000000"/>
          <w:sz w:val="22"/>
          <w:szCs w:val="22"/>
        </w:rPr>
      </w:pPr>
      <w:r w:rsidRPr="003B4DAF">
        <w:rPr>
          <w:rFonts w:ascii="Palatino Linotype" w:eastAsia="Palatino Linotype" w:hAnsi="Palatino Linotype" w:cs="Tahoma"/>
          <w:b/>
          <w:bCs/>
          <w:color w:val="000000"/>
          <w:sz w:val="22"/>
          <w:szCs w:val="22"/>
        </w:rPr>
        <w:t>Domicilio particular</w:t>
      </w:r>
    </w:p>
    <w:p w14:paraId="1262B91F"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b/>
          <w:bCs/>
          <w:color w:val="000000"/>
          <w:sz w:val="22"/>
          <w:szCs w:val="22"/>
        </w:rPr>
      </w:pPr>
    </w:p>
    <w:p w14:paraId="70648B0A"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lang w:val="es-ES"/>
        </w:rPr>
      </w:pPr>
      <w:r w:rsidRPr="003B4DAF">
        <w:rPr>
          <w:rFonts w:ascii="Palatino Linotype" w:eastAsia="Palatino Linotype" w:hAnsi="Palatino Linotype" w:cs="Tahoma"/>
          <w:color w:val="000000"/>
          <w:sz w:val="22"/>
          <w:szCs w:val="22"/>
          <w:lang w:val="es-ES"/>
        </w:rPr>
        <w:t xml:space="preserve">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5C36E1FD"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lang w:val="es-ES"/>
        </w:rPr>
      </w:pPr>
    </w:p>
    <w:p w14:paraId="40887B5B"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b/>
          <w:color w:val="000000"/>
          <w:sz w:val="22"/>
          <w:szCs w:val="22"/>
          <w:lang w:val="es-ES"/>
        </w:rPr>
      </w:pPr>
      <w:r w:rsidRPr="003B4DAF">
        <w:rPr>
          <w:rFonts w:ascii="Palatino Linotype" w:eastAsia="Palatino Linotype" w:hAnsi="Palatino Linotype" w:cs="Tahoma"/>
          <w:color w:val="000000"/>
          <w:sz w:val="22"/>
          <w:szCs w:val="22"/>
          <w:lang w:val="es-ES"/>
        </w:rPr>
        <w:lastRenderedPageBreak/>
        <w:t>De la misma manera, lo establece el artículo 29 del Código Civil Federal, al precisar que el domicilio de personas físicas</w:t>
      </w:r>
      <w:r w:rsidRPr="003B4DAF">
        <w:rPr>
          <w:rFonts w:ascii="Palatino Linotype" w:eastAsia="Palatino Linotype" w:hAnsi="Palatino Linotype" w:cs="Tahoma"/>
          <w:b/>
          <w:color w:val="000000"/>
          <w:sz w:val="22"/>
          <w:szCs w:val="22"/>
          <w:lang w:val="es-ES"/>
        </w:rPr>
        <w:t>, es el lugar donde residen habitualmente, el lugar del centro principal de sus negocios, donde residan o el lugar donde se encuentren.</w:t>
      </w:r>
    </w:p>
    <w:p w14:paraId="4EF120BC"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b/>
          <w:bCs/>
          <w:color w:val="000000"/>
          <w:sz w:val="22"/>
          <w:szCs w:val="22"/>
        </w:rPr>
      </w:pPr>
    </w:p>
    <w:p w14:paraId="13819B80"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lang w:val="es-ES"/>
        </w:rPr>
      </w:pPr>
      <w:r w:rsidRPr="003B4DAF">
        <w:rPr>
          <w:rFonts w:ascii="Palatino Linotype" w:eastAsia="Palatino Linotype" w:hAnsi="Palatino Linotype" w:cs="Tahoma"/>
          <w:color w:val="000000"/>
          <w:sz w:val="22"/>
          <w:szCs w:val="22"/>
          <w:lang w:val="es-ES"/>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6E3730C0"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lang w:val="es-ES"/>
        </w:rPr>
      </w:pPr>
    </w:p>
    <w:p w14:paraId="565618E1"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lang w:val="es-ES"/>
        </w:rPr>
      </w:pPr>
      <w:r w:rsidRPr="003B4DAF">
        <w:rPr>
          <w:rFonts w:ascii="Palatino Linotype" w:eastAsia="Palatino Linotype" w:hAnsi="Palatino Linotype" w:cs="Tahoma"/>
          <w:color w:val="000000"/>
          <w:sz w:val="22"/>
          <w:szCs w:val="22"/>
          <w:lang w:val="es-ES"/>
        </w:rPr>
        <w:t>La misma suerte corre el comprobante de domicilio, pues mediante este se acredita que la servidora pública vive donde señala en los documentos que entrega; sin embargo, es de señalar que este documento guarda la naturaleza de privado, pues no abona en nada a la transparencia, ni rinde cuentas de la forma de actuar de la trabajadora, al contrario, la hace ubicable en su carácter de particular, por lo que, se concluye que el comprobante guarda la naturaleza de privado.</w:t>
      </w:r>
    </w:p>
    <w:p w14:paraId="40055591"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lang w:val="es-ES"/>
        </w:rPr>
      </w:pPr>
    </w:p>
    <w:p w14:paraId="2FA19B58" w14:textId="4ACD3CBE" w:rsidR="00DC077C"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lang w:val="es-ES"/>
        </w:rPr>
      </w:pPr>
      <w:r w:rsidRPr="003B4DAF">
        <w:rPr>
          <w:rFonts w:ascii="Palatino Linotype" w:eastAsia="Palatino Linotype" w:hAnsi="Palatino Linotype" w:cs="Tahoma"/>
          <w:color w:val="000000"/>
          <w:sz w:val="22"/>
          <w:szCs w:val="22"/>
          <w:lang w:val="es-ES"/>
        </w:rPr>
        <w:t>Por lo tanto, se actualiza la clasificación del domicilio y su comprobante, de conformidad con la fracción I, del artículo 143 de la Ley de Transparencia y Acceso a la Información Pública del Estado de México y Municipios.</w:t>
      </w:r>
    </w:p>
    <w:p w14:paraId="36BBC495" w14:textId="77777777" w:rsidR="002172BA" w:rsidRPr="003B4DAF" w:rsidRDefault="002172BA" w:rsidP="00A54B20">
      <w:pPr>
        <w:spacing w:line="360" w:lineRule="auto"/>
        <w:contextualSpacing/>
        <w:jc w:val="both"/>
        <w:rPr>
          <w:rFonts w:ascii="Palatino Linotype" w:hAnsi="Palatino Linotype"/>
          <w:bCs/>
          <w:iCs/>
          <w:sz w:val="22"/>
          <w:szCs w:val="22"/>
          <w:lang w:val="es-ES"/>
        </w:rPr>
      </w:pPr>
    </w:p>
    <w:p w14:paraId="5C716BEF" w14:textId="77777777" w:rsidR="002172BA" w:rsidRPr="003B4DAF" w:rsidRDefault="002172BA" w:rsidP="00A54B20">
      <w:pPr>
        <w:numPr>
          <w:ilvl w:val="0"/>
          <w:numId w:val="5"/>
        </w:numPr>
        <w:tabs>
          <w:tab w:val="left" w:pos="4962"/>
        </w:tabs>
        <w:spacing w:line="360" w:lineRule="auto"/>
        <w:contextualSpacing/>
        <w:jc w:val="both"/>
        <w:rPr>
          <w:rFonts w:ascii="Palatino Linotype" w:eastAsia="Palatino Linotype" w:hAnsi="Palatino Linotype" w:cs="Tahoma"/>
          <w:color w:val="000000"/>
          <w:sz w:val="22"/>
          <w:szCs w:val="22"/>
        </w:rPr>
      </w:pPr>
      <w:r w:rsidRPr="003B4DAF">
        <w:rPr>
          <w:rFonts w:ascii="Palatino Linotype" w:eastAsia="Palatino Linotype" w:hAnsi="Palatino Linotype" w:cs="Tahoma"/>
          <w:b/>
          <w:color w:val="000000"/>
          <w:sz w:val="22"/>
          <w:szCs w:val="22"/>
        </w:rPr>
        <w:t>Teléfono y celular particular</w:t>
      </w:r>
    </w:p>
    <w:p w14:paraId="06468792"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rPr>
      </w:pPr>
    </w:p>
    <w:p w14:paraId="5ACB940D"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rPr>
      </w:pPr>
      <w:r w:rsidRPr="003B4DAF">
        <w:rPr>
          <w:rFonts w:ascii="Palatino Linotype" w:eastAsia="Palatino Linotype" w:hAnsi="Palatino Linotype" w:cs="Tahoma"/>
          <w:color w:val="000000"/>
          <w:sz w:val="22"/>
          <w:szCs w:val="22"/>
        </w:rPr>
        <w:t xml:space="preserve">Dicho dato corresponde al número asignado a un teléfono particular o celular, el cual permite localizar a una persona física identificada o identificable, ya sea a través de un </w:t>
      </w:r>
      <w:r w:rsidRPr="003B4DAF">
        <w:rPr>
          <w:rFonts w:ascii="Palatino Linotype" w:eastAsia="Palatino Linotype" w:hAnsi="Palatino Linotype" w:cs="Tahoma"/>
          <w:color w:val="000000"/>
          <w:sz w:val="22"/>
          <w:szCs w:val="22"/>
        </w:rPr>
        <w:lastRenderedPageBreak/>
        <w:t>dispositivo móvil o bien, en un lugar como el domicilio; por lo que, la titularidad del mismo, corresponde a la persona física servidor público (entrante o saliente), en su calidad de particular.</w:t>
      </w:r>
    </w:p>
    <w:p w14:paraId="4EFB9069" w14:textId="77777777" w:rsidR="002172BA" w:rsidRPr="003B4DAF"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rPr>
      </w:pPr>
    </w:p>
    <w:p w14:paraId="23DFF63F" w14:textId="77777777" w:rsidR="002172BA" w:rsidRDefault="002172BA" w:rsidP="00A54B20">
      <w:pPr>
        <w:tabs>
          <w:tab w:val="left" w:pos="4962"/>
        </w:tabs>
        <w:spacing w:line="360" w:lineRule="auto"/>
        <w:contextualSpacing/>
        <w:jc w:val="both"/>
        <w:rPr>
          <w:rFonts w:ascii="Palatino Linotype" w:eastAsia="Palatino Linotype" w:hAnsi="Palatino Linotype" w:cs="Tahoma"/>
          <w:color w:val="000000"/>
          <w:sz w:val="22"/>
          <w:szCs w:val="22"/>
        </w:rPr>
      </w:pPr>
      <w:r w:rsidRPr="003B4DAF">
        <w:rPr>
          <w:rFonts w:ascii="Palatino Linotype" w:eastAsia="Palatino Linotype" w:hAnsi="Palatino Linotype" w:cs="Tahoma"/>
          <w:color w:val="000000"/>
          <w:sz w:val="22"/>
          <w:szCs w:val="22"/>
        </w:rPr>
        <w:t>En tales consideraciones, dicho dato personal es susceptible de ser clasificado como confidencial, con fundamento en el artículo 143, fracción I de la Ley de Transparencia y Acceso a la Información Pública.</w:t>
      </w:r>
    </w:p>
    <w:p w14:paraId="204E3024" w14:textId="77777777" w:rsidR="00DC077C" w:rsidRDefault="00DC077C" w:rsidP="00A54B20">
      <w:pPr>
        <w:tabs>
          <w:tab w:val="left" w:pos="4962"/>
        </w:tabs>
        <w:spacing w:line="360" w:lineRule="auto"/>
        <w:contextualSpacing/>
        <w:jc w:val="both"/>
        <w:rPr>
          <w:rFonts w:ascii="Palatino Linotype" w:eastAsia="Palatino Linotype" w:hAnsi="Palatino Linotype" w:cs="Tahoma"/>
          <w:color w:val="000000"/>
          <w:sz w:val="22"/>
          <w:szCs w:val="22"/>
        </w:rPr>
      </w:pPr>
    </w:p>
    <w:p w14:paraId="543B725B" w14:textId="0345896E" w:rsidR="00DC077C" w:rsidRPr="00DC077C" w:rsidRDefault="00DC077C" w:rsidP="00A54B20">
      <w:pPr>
        <w:pStyle w:val="Prrafodelista"/>
        <w:numPr>
          <w:ilvl w:val="0"/>
          <w:numId w:val="5"/>
        </w:numPr>
        <w:tabs>
          <w:tab w:val="left" w:pos="4962"/>
        </w:tabs>
        <w:spacing w:line="360" w:lineRule="auto"/>
        <w:jc w:val="both"/>
        <w:rPr>
          <w:rFonts w:ascii="Palatino Linotype" w:eastAsia="Palatino Linotype" w:hAnsi="Palatino Linotype" w:cs="Tahoma"/>
          <w:b/>
          <w:color w:val="000000"/>
          <w:sz w:val="22"/>
          <w:szCs w:val="22"/>
        </w:rPr>
      </w:pPr>
      <w:r w:rsidRPr="00DC077C">
        <w:rPr>
          <w:rFonts w:ascii="Palatino Linotype" w:eastAsia="Palatino Linotype" w:hAnsi="Palatino Linotype" w:cs="Tahoma"/>
          <w:b/>
          <w:color w:val="000000"/>
          <w:sz w:val="22"/>
          <w:szCs w:val="22"/>
        </w:rPr>
        <w:t>Número de teléfono de servidores públicos</w:t>
      </w:r>
    </w:p>
    <w:p w14:paraId="1B71DAC2" w14:textId="77777777" w:rsidR="00DC077C" w:rsidRDefault="00DC077C" w:rsidP="00A54B20">
      <w:pPr>
        <w:tabs>
          <w:tab w:val="left" w:pos="4962"/>
        </w:tabs>
        <w:spacing w:line="360" w:lineRule="auto"/>
        <w:contextualSpacing/>
        <w:jc w:val="both"/>
        <w:rPr>
          <w:rFonts w:ascii="Palatino Linotype" w:eastAsia="Palatino Linotype" w:hAnsi="Palatino Linotype" w:cs="Tahoma"/>
          <w:bCs/>
          <w:color w:val="000000"/>
          <w:sz w:val="22"/>
          <w:szCs w:val="22"/>
        </w:rPr>
      </w:pPr>
    </w:p>
    <w:p w14:paraId="7DDA9668" w14:textId="1E99BDFD" w:rsidR="00DC077C" w:rsidRPr="00DC077C" w:rsidRDefault="00DC077C" w:rsidP="00A54B20">
      <w:pPr>
        <w:tabs>
          <w:tab w:val="left" w:pos="4962"/>
        </w:tabs>
        <w:spacing w:line="360" w:lineRule="auto"/>
        <w:contextualSpacing/>
        <w:jc w:val="both"/>
        <w:rPr>
          <w:rFonts w:ascii="Palatino Linotype" w:eastAsia="Palatino Linotype" w:hAnsi="Palatino Linotype" w:cs="Tahoma"/>
          <w:bCs/>
          <w:color w:val="000000"/>
          <w:sz w:val="22"/>
          <w:szCs w:val="22"/>
        </w:rPr>
      </w:pPr>
      <w:r w:rsidRPr="00DC077C">
        <w:rPr>
          <w:rFonts w:ascii="Palatino Linotype" w:eastAsia="Palatino Linotype" w:hAnsi="Palatino Linotype" w:cs="Tahoma"/>
          <w:bCs/>
          <w:color w:val="000000"/>
          <w:sz w:val="22"/>
          <w:szCs w:val="22"/>
        </w:rPr>
        <w:t>El teléfono, se considera como un dato personal, toda vez que es un medio para comunicarse con la persona titular del mismo, la hace localizable e incluso identificable, al poder estar conformado por parte de su nombre o bien, fecha de nacimiento.</w:t>
      </w:r>
    </w:p>
    <w:p w14:paraId="45C8FF14" w14:textId="77777777" w:rsidR="00DC077C" w:rsidRPr="00DC077C" w:rsidRDefault="00DC077C" w:rsidP="00A54B20">
      <w:pPr>
        <w:tabs>
          <w:tab w:val="left" w:pos="4962"/>
        </w:tabs>
        <w:spacing w:line="360" w:lineRule="auto"/>
        <w:contextualSpacing/>
        <w:jc w:val="both"/>
        <w:rPr>
          <w:rFonts w:ascii="Palatino Linotype" w:eastAsia="Palatino Linotype" w:hAnsi="Palatino Linotype" w:cs="Tahoma"/>
          <w:bCs/>
          <w:color w:val="000000"/>
          <w:sz w:val="22"/>
          <w:szCs w:val="22"/>
        </w:rPr>
      </w:pPr>
      <w:r w:rsidRPr="00DC077C">
        <w:rPr>
          <w:rFonts w:ascii="Palatino Linotype" w:eastAsia="Palatino Linotype" w:hAnsi="Palatino Linotype" w:cs="Tahoma"/>
          <w:bCs/>
          <w:color w:val="000000"/>
          <w:sz w:val="22"/>
          <w:szCs w:val="22"/>
        </w:rPr>
        <w:t xml:space="preserve"> </w:t>
      </w:r>
    </w:p>
    <w:p w14:paraId="61F68A27" w14:textId="0A60E012" w:rsidR="002172BA" w:rsidRPr="00DD221B" w:rsidRDefault="00DC077C" w:rsidP="00A54B20">
      <w:pPr>
        <w:tabs>
          <w:tab w:val="left" w:pos="4962"/>
        </w:tabs>
        <w:spacing w:line="360" w:lineRule="auto"/>
        <w:contextualSpacing/>
        <w:jc w:val="both"/>
        <w:rPr>
          <w:rFonts w:ascii="Palatino Linotype" w:eastAsia="Calibri" w:hAnsi="Palatino Linotype" w:cs="Tahoma"/>
          <w:iCs/>
          <w:color w:val="000000" w:themeColor="text1"/>
          <w:sz w:val="22"/>
          <w:szCs w:val="22"/>
          <w:lang w:eastAsia="en-US"/>
        </w:rPr>
      </w:pPr>
      <w:r w:rsidRPr="002172BA">
        <w:rPr>
          <w:rFonts w:ascii="Palatino Linotype" w:eastAsia="Calibri" w:hAnsi="Palatino Linotype" w:cs="Tahoma"/>
          <w:iCs/>
          <w:color w:val="000000" w:themeColor="text1"/>
          <w:sz w:val="22"/>
          <w:szCs w:val="22"/>
          <w:lang w:eastAsia="en-US"/>
        </w:rPr>
        <w:t xml:space="preserve">Conforme a lo expuesto, en el presente caso, no procede la clasificación, en términos del artículo 143, fracción I de la Ley de Transparencia y Acceso a la Información Pública del Estado de México y Municipios, del </w:t>
      </w:r>
      <w:r>
        <w:rPr>
          <w:rFonts w:ascii="Palatino Linotype" w:eastAsia="Calibri" w:hAnsi="Palatino Linotype" w:cs="Tahoma"/>
          <w:iCs/>
          <w:color w:val="000000" w:themeColor="text1"/>
          <w:sz w:val="22"/>
          <w:szCs w:val="22"/>
          <w:lang w:eastAsia="en-US"/>
        </w:rPr>
        <w:t xml:space="preserve">número de teléfono </w:t>
      </w:r>
      <w:r w:rsidRPr="002172BA">
        <w:rPr>
          <w:rFonts w:ascii="Palatino Linotype" w:eastAsia="Calibri" w:hAnsi="Palatino Linotype" w:cs="Tahoma"/>
          <w:iCs/>
          <w:color w:val="000000" w:themeColor="text1"/>
          <w:sz w:val="22"/>
          <w:szCs w:val="22"/>
          <w:lang w:eastAsia="en-US"/>
        </w:rPr>
        <w:t>localizad</w:t>
      </w:r>
      <w:r>
        <w:rPr>
          <w:rFonts w:ascii="Palatino Linotype" w:eastAsia="Calibri" w:hAnsi="Palatino Linotype" w:cs="Tahoma"/>
          <w:iCs/>
          <w:color w:val="000000" w:themeColor="text1"/>
          <w:sz w:val="22"/>
          <w:szCs w:val="22"/>
          <w:lang w:eastAsia="en-US"/>
        </w:rPr>
        <w:t>o</w:t>
      </w:r>
      <w:r w:rsidRPr="002172BA">
        <w:rPr>
          <w:rFonts w:ascii="Palatino Linotype" w:eastAsia="Calibri" w:hAnsi="Palatino Linotype" w:cs="Tahoma"/>
          <w:iCs/>
          <w:color w:val="000000" w:themeColor="text1"/>
          <w:sz w:val="22"/>
          <w:szCs w:val="22"/>
          <w:lang w:eastAsia="en-US"/>
        </w:rPr>
        <w:t xml:space="preserve"> en los </w:t>
      </w:r>
      <w:r>
        <w:rPr>
          <w:rFonts w:ascii="Palatino Linotype" w:eastAsia="Calibri" w:hAnsi="Palatino Linotype" w:cs="Tahoma"/>
          <w:iCs/>
          <w:color w:val="000000" w:themeColor="text1"/>
          <w:sz w:val="22"/>
          <w:szCs w:val="22"/>
          <w:lang w:eastAsia="en-US"/>
        </w:rPr>
        <w:t>oficios de peticiones ciudadanas remitidos</w:t>
      </w:r>
      <w:r w:rsidR="00DD221B">
        <w:rPr>
          <w:rFonts w:ascii="Palatino Linotype" w:eastAsia="Calibri" w:hAnsi="Palatino Linotype" w:cs="Tahoma"/>
          <w:iCs/>
          <w:color w:val="000000" w:themeColor="text1"/>
          <w:sz w:val="22"/>
          <w:szCs w:val="22"/>
          <w:lang w:eastAsia="en-US"/>
        </w:rPr>
        <w:t>, por corresponder</w:t>
      </w:r>
      <w:r w:rsidRPr="00B71E3E">
        <w:rPr>
          <w:rFonts w:ascii="Palatino Linotype" w:eastAsia="Calibri" w:hAnsi="Palatino Linotype" w:cs="Tahoma"/>
          <w:b/>
          <w:bCs/>
          <w:iCs/>
          <w:color w:val="000000" w:themeColor="text1"/>
          <w:sz w:val="22"/>
          <w:szCs w:val="22"/>
          <w:lang w:eastAsia="en-US"/>
        </w:rPr>
        <w:t xml:space="preserve"> </w:t>
      </w:r>
      <w:r w:rsidR="00DD221B">
        <w:rPr>
          <w:rFonts w:ascii="Palatino Linotype" w:eastAsia="Calibri" w:hAnsi="Palatino Linotype" w:cs="Tahoma"/>
          <w:b/>
          <w:bCs/>
          <w:iCs/>
          <w:color w:val="000000" w:themeColor="text1"/>
          <w:sz w:val="22"/>
          <w:szCs w:val="22"/>
          <w:lang w:eastAsia="en-US"/>
        </w:rPr>
        <w:t xml:space="preserve">a </w:t>
      </w:r>
      <w:r w:rsidRPr="00B71E3E">
        <w:rPr>
          <w:rFonts w:ascii="Palatino Linotype" w:eastAsia="Calibri" w:hAnsi="Palatino Linotype" w:cs="Tahoma"/>
          <w:b/>
          <w:bCs/>
          <w:iCs/>
          <w:color w:val="000000" w:themeColor="text1"/>
          <w:sz w:val="22"/>
          <w:szCs w:val="22"/>
          <w:lang w:eastAsia="en-US"/>
        </w:rPr>
        <w:t>delegados, ya que si bien, estos no son servidores públicos, al realizar funciones de autoridad y representantes de las comunidades estos no actualizan alguna causal de clasificación por lo que procede su entrega.</w:t>
      </w:r>
    </w:p>
    <w:p w14:paraId="066FE418" w14:textId="77777777" w:rsidR="002172BA" w:rsidRPr="003B4DAF" w:rsidRDefault="002172BA" w:rsidP="00A54B20">
      <w:pPr>
        <w:spacing w:line="360" w:lineRule="auto"/>
        <w:contextualSpacing/>
        <w:jc w:val="both"/>
        <w:rPr>
          <w:rFonts w:ascii="Palatino Linotype" w:hAnsi="Palatino Linotype"/>
          <w:bCs/>
          <w:iCs/>
          <w:sz w:val="22"/>
          <w:szCs w:val="22"/>
        </w:rPr>
      </w:pPr>
    </w:p>
    <w:p w14:paraId="0D8E1CE7" w14:textId="670F7B82" w:rsidR="002172BA" w:rsidRPr="003B4DAF" w:rsidRDefault="002172BA" w:rsidP="00A54B20">
      <w:pPr>
        <w:spacing w:line="360" w:lineRule="auto"/>
        <w:contextualSpacing/>
        <w:jc w:val="both"/>
        <w:rPr>
          <w:rFonts w:ascii="Palatino Linotype" w:hAnsi="Palatino Linotype"/>
          <w:bCs/>
          <w:iCs/>
          <w:sz w:val="22"/>
          <w:szCs w:val="22"/>
        </w:rPr>
      </w:pPr>
      <w:r w:rsidRPr="003B4DAF">
        <w:rPr>
          <w:rFonts w:ascii="Palatino Linotype" w:hAnsi="Palatino Linotype"/>
          <w:bCs/>
          <w:iCs/>
          <w:sz w:val="22"/>
          <w:szCs w:val="22"/>
        </w:rPr>
        <w:t>Así, este Instituto considera que el Sujeto Obligado deberá proporcionar lo solicitado, en su caso, en versión pública</w:t>
      </w:r>
      <w:r w:rsidR="00DD221B">
        <w:rPr>
          <w:rFonts w:ascii="Palatino Linotype" w:hAnsi="Palatino Linotype"/>
          <w:bCs/>
          <w:iCs/>
          <w:sz w:val="22"/>
          <w:szCs w:val="22"/>
        </w:rPr>
        <w:t xml:space="preserve"> sin embargo no procederá la clasificación del nombre de delegados, su número telefónico</w:t>
      </w:r>
      <w:r w:rsidR="00A0257C">
        <w:rPr>
          <w:rFonts w:ascii="Palatino Linotype" w:hAnsi="Palatino Linotype"/>
          <w:bCs/>
          <w:iCs/>
          <w:sz w:val="22"/>
          <w:szCs w:val="22"/>
        </w:rPr>
        <w:t>, su firma</w:t>
      </w:r>
      <w:r w:rsidR="00DD221B">
        <w:rPr>
          <w:rFonts w:ascii="Palatino Linotype" w:hAnsi="Palatino Linotype"/>
          <w:bCs/>
          <w:iCs/>
          <w:sz w:val="22"/>
          <w:szCs w:val="22"/>
        </w:rPr>
        <w:t xml:space="preserve"> y la localidad que representan</w:t>
      </w:r>
      <w:r w:rsidR="00A0257C">
        <w:rPr>
          <w:rFonts w:ascii="Palatino Linotype" w:hAnsi="Palatino Linotype"/>
          <w:bCs/>
          <w:iCs/>
          <w:sz w:val="22"/>
          <w:szCs w:val="22"/>
        </w:rPr>
        <w:t>, además del nombre de servidores públicos</w:t>
      </w:r>
      <w:r w:rsidRPr="003B4DAF">
        <w:rPr>
          <w:rFonts w:ascii="Palatino Linotype" w:hAnsi="Palatino Linotype"/>
          <w:bCs/>
          <w:iCs/>
          <w:sz w:val="22"/>
          <w:szCs w:val="22"/>
        </w:rPr>
        <w:t xml:space="preserve">; sobre dicha circunstancia, el artículo 3°, fracción XLV, relacionado con </w:t>
      </w:r>
      <w:r w:rsidRPr="003B4DAF">
        <w:rPr>
          <w:rFonts w:ascii="Palatino Linotype" w:hAnsi="Palatino Linotype"/>
          <w:bCs/>
          <w:iCs/>
          <w:sz w:val="22"/>
          <w:szCs w:val="22"/>
        </w:rPr>
        <w:lastRenderedPageBreak/>
        <w:t xml:space="preserve">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1FF77587" w14:textId="77777777" w:rsidR="002172BA" w:rsidRPr="003B4DAF" w:rsidRDefault="002172BA" w:rsidP="00A54B20">
      <w:pPr>
        <w:spacing w:line="360" w:lineRule="auto"/>
        <w:contextualSpacing/>
        <w:jc w:val="both"/>
        <w:rPr>
          <w:rFonts w:ascii="Palatino Linotype" w:hAnsi="Palatino Linotype"/>
          <w:bCs/>
          <w:iCs/>
          <w:sz w:val="22"/>
          <w:szCs w:val="22"/>
        </w:rPr>
      </w:pPr>
    </w:p>
    <w:p w14:paraId="73648AF1" w14:textId="77777777" w:rsidR="002172BA" w:rsidRPr="003B4DAF" w:rsidRDefault="002172BA" w:rsidP="00A54B20">
      <w:pPr>
        <w:spacing w:line="360" w:lineRule="auto"/>
        <w:contextualSpacing/>
        <w:jc w:val="both"/>
        <w:rPr>
          <w:rFonts w:ascii="Palatino Linotype" w:hAnsi="Palatino Linotype"/>
          <w:bCs/>
          <w:iCs/>
          <w:sz w:val="22"/>
          <w:szCs w:val="22"/>
        </w:rPr>
      </w:pPr>
      <w:r w:rsidRPr="003B4DAF">
        <w:rPr>
          <w:rFonts w:ascii="Palatino Linotype" w:hAnsi="Palatino Linotype"/>
          <w:bCs/>
          <w:iCs/>
          <w:sz w:val="22"/>
          <w:szCs w:val="22"/>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24C6273B" w14:textId="77777777" w:rsidR="00AC74D3" w:rsidRPr="00B03C12" w:rsidRDefault="00AC74D3" w:rsidP="00A54B20">
      <w:pPr>
        <w:spacing w:line="360" w:lineRule="auto"/>
        <w:contextualSpacing/>
        <w:jc w:val="both"/>
        <w:rPr>
          <w:rFonts w:ascii="Palatino Linotype" w:eastAsia="Calibri" w:hAnsi="Palatino Linotype" w:cs="Adelle Sans Devanagari"/>
          <w:bCs/>
          <w:iCs/>
          <w:color w:val="000000" w:themeColor="text1"/>
          <w:sz w:val="22"/>
          <w:szCs w:val="22"/>
          <w:lang w:val="es-ES" w:eastAsia="en-US"/>
        </w:rPr>
      </w:pPr>
    </w:p>
    <w:p w14:paraId="60DBC98A" w14:textId="77777777" w:rsidR="00AC74D3" w:rsidRPr="001F4BBD" w:rsidRDefault="00AC74D3" w:rsidP="00A54B20">
      <w:pPr>
        <w:pStyle w:val="Ttulo2"/>
        <w:spacing w:before="0" w:after="0" w:line="360" w:lineRule="auto"/>
        <w:contextualSpacing/>
        <w:rPr>
          <w:rFonts w:ascii="Palatino Linotype" w:hAnsi="Palatino Linotype"/>
          <w:b/>
          <w:bCs/>
          <w:color w:val="auto"/>
          <w:sz w:val="22"/>
          <w:szCs w:val="22"/>
        </w:rPr>
      </w:pPr>
      <w:bookmarkStart w:id="20" w:name="_Toc201094206"/>
      <w:bookmarkStart w:id="21" w:name="_Toc202357457"/>
      <w:bookmarkStart w:id="22" w:name="_Toc223445528"/>
      <w:r w:rsidRPr="001F4BBD">
        <w:rPr>
          <w:rFonts w:ascii="Palatino Linotype" w:hAnsi="Palatino Linotype"/>
          <w:b/>
          <w:bCs/>
          <w:color w:val="auto"/>
          <w:sz w:val="22"/>
          <w:szCs w:val="22"/>
        </w:rPr>
        <w:t>SEXTO. Decisión</w:t>
      </w:r>
      <w:bookmarkEnd w:id="20"/>
      <w:bookmarkEnd w:id="21"/>
      <w:bookmarkEnd w:id="22"/>
    </w:p>
    <w:p w14:paraId="6ACF9B6E" w14:textId="77777777" w:rsidR="00AC74D3" w:rsidRPr="004E3B5A" w:rsidRDefault="00AC74D3" w:rsidP="00A54B20">
      <w:pPr>
        <w:spacing w:line="360" w:lineRule="auto"/>
        <w:contextualSpacing/>
        <w:jc w:val="both"/>
        <w:rPr>
          <w:rFonts w:ascii="Palatino Linotype" w:eastAsia="Palatino Linotype" w:hAnsi="Palatino Linotype" w:cs="Palatino Linotype"/>
          <w:sz w:val="22"/>
          <w:szCs w:val="22"/>
        </w:rPr>
      </w:pPr>
    </w:p>
    <w:p w14:paraId="398AC52B" w14:textId="673AA7AA" w:rsidR="00AC74D3" w:rsidRDefault="00AC74D3" w:rsidP="00A54B20">
      <w:pPr>
        <w:tabs>
          <w:tab w:val="left" w:pos="4962"/>
        </w:tabs>
        <w:spacing w:line="360" w:lineRule="auto"/>
        <w:contextualSpacing/>
        <w:jc w:val="both"/>
        <w:rPr>
          <w:rFonts w:ascii="Palatino Linotype" w:hAnsi="Palatino Linotype" w:cs="Tahoma"/>
          <w:sz w:val="22"/>
          <w:szCs w:val="22"/>
        </w:rPr>
      </w:pPr>
      <w:r w:rsidRPr="00B71E3E">
        <w:rPr>
          <w:rFonts w:ascii="Palatino Linotype" w:hAnsi="Palatino Linotype" w:cs="Arial"/>
          <w:sz w:val="22"/>
          <w:szCs w:val="22"/>
        </w:rPr>
        <w:t>C</w:t>
      </w:r>
      <w:r w:rsidRPr="00B71E3E">
        <w:rPr>
          <w:rFonts w:ascii="Palatino Linotype" w:hAnsi="Palatino Linotype" w:cs="Tahoma"/>
          <w:sz w:val="22"/>
          <w:szCs w:val="22"/>
        </w:rPr>
        <w:t xml:space="preserve">on fundamento en el artículo 186, fracción III, de la Ley de Transparencia y Acceso a la Información Pública del Estado de México y Municipios, este Instituto considera procedente </w:t>
      </w:r>
      <w:r w:rsidR="00DD221B">
        <w:rPr>
          <w:rFonts w:ascii="Palatino Linotype" w:hAnsi="Palatino Linotype" w:cs="Tahoma"/>
          <w:b/>
          <w:sz w:val="22"/>
          <w:szCs w:val="22"/>
        </w:rPr>
        <w:t>MODIFI</w:t>
      </w:r>
      <w:r w:rsidRPr="00B71E3E">
        <w:rPr>
          <w:rFonts w:ascii="Palatino Linotype" w:hAnsi="Palatino Linotype" w:cs="Tahoma"/>
          <w:b/>
          <w:sz w:val="22"/>
          <w:szCs w:val="22"/>
        </w:rPr>
        <w:t>CAR</w:t>
      </w:r>
      <w:r w:rsidRPr="00B71E3E">
        <w:rPr>
          <w:rFonts w:ascii="Palatino Linotype" w:hAnsi="Palatino Linotype" w:cs="Tahoma"/>
          <w:sz w:val="22"/>
          <w:szCs w:val="22"/>
        </w:rPr>
        <w:t xml:space="preserve"> la respuesta otorgada a la solicitud</w:t>
      </w:r>
      <w:r>
        <w:rPr>
          <w:rFonts w:ascii="Palatino Linotype" w:hAnsi="Palatino Linotype" w:cs="Tahoma"/>
          <w:sz w:val="22"/>
          <w:szCs w:val="22"/>
        </w:rPr>
        <w:t xml:space="preserve"> </w:t>
      </w:r>
      <w:r w:rsidRPr="00B71E3E">
        <w:rPr>
          <w:rFonts w:ascii="Palatino Linotype" w:hAnsi="Palatino Linotype" w:cs="Tahoma"/>
          <w:sz w:val="22"/>
          <w:szCs w:val="22"/>
        </w:rPr>
        <w:t xml:space="preserve">de información </w:t>
      </w:r>
      <w:r w:rsidRPr="005C0F18">
        <w:rPr>
          <w:rFonts w:ascii="Palatino Linotype" w:hAnsi="Palatino Linotype"/>
          <w:sz w:val="22"/>
          <w:szCs w:val="22"/>
        </w:rPr>
        <w:t>0</w:t>
      </w:r>
      <w:r>
        <w:rPr>
          <w:rFonts w:ascii="Palatino Linotype" w:hAnsi="Palatino Linotype"/>
          <w:sz w:val="22"/>
          <w:szCs w:val="22"/>
        </w:rPr>
        <w:t>6</w:t>
      </w:r>
      <w:r w:rsidR="00A0257C">
        <w:rPr>
          <w:rFonts w:ascii="Palatino Linotype" w:hAnsi="Palatino Linotype"/>
          <w:sz w:val="22"/>
          <w:szCs w:val="22"/>
        </w:rPr>
        <w:t>192</w:t>
      </w:r>
      <w:r w:rsidRPr="005C0F18">
        <w:rPr>
          <w:rFonts w:ascii="Palatino Linotype" w:hAnsi="Palatino Linotype"/>
          <w:sz w:val="22"/>
          <w:szCs w:val="22"/>
        </w:rPr>
        <w:t>/TOLUCA/IP/2025</w:t>
      </w:r>
      <w:r w:rsidRPr="00B71E3E">
        <w:rPr>
          <w:rFonts w:ascii="Palatino Linotype" w:hAnsi="Palatino Linotype" w:cs="Tahoma"/>
          <w:bCs/>
          <w:sz w:val="22"/>
          <w:szCs w:val="22"/>
        </w:rPr>
        <w:t>, a efecto de que,</w:t>
      </w:r>
      <w:r w:rsidRPr="00B71E3E">
        <w:rPr>
          <w:rFonts w:ascii="Palatino Linotype" w:hAnsi="Palatino Linotype" w:cs="Tahoma"/>
          <w:sz w:val="22"/>
          <w:szCs w:val="22"/>
        </w:rPr>
        <w:t xml:space="preserve"> proporcione </w:t>
      </w:r>
      <w:r>
        <w:rPr>
          <w:rFonts w:ascii="Palatino Linotype" w:hAnsi="Palatino Linotype" w:cs="Tahoma"/>
          <w:sz w:val="22"/>
          <w:szCs w:val="22"/>
        </w:rPr>
        <w:t xml:space="preserve">en su caso en </w:t>
      </w:r>
      <w:r w:rsidRPr="00B71E3E">
        <w:rPr>
          <w:rFonts w:ascii="Palatino Linotype" w:hAnsi="Palatino Linotype" w:cs="Tahoma"/>
          <w:sz w:val="22"/>
          <w:szCs w:val="22"/>
        </w:rPr>
        <w:t>versión</w:t>
      </w:r>
      <w:r>
        <w:rPr>
          <w:rFonts w:ascii="Palatino Linotype" w:hAnsi="Palatino Linotype" w:cs="Tahoma"/>
          <w:sz w:val="22"/>
          <w:szCs w:val="22"/>
        </w:rPr>
        <w:t xml:space="preserve"> pública </w:t>
      </w:r>
      <w:r w:rsidR="00A0257C">
        <w:rPr>
          <w:rFonts w:ascii="Palatino Linotype" w:hAnsi="Palatino Linotype" w:cs="Tahoma"/>
          <w:sz w:val="22"/>
          <w:szCs w:val="22"/>
        </w:rPr>
        <w:t xml:space="preserve">correcta </w:t>
      </w:r>
      <w:r>
        <w:rPr>
          <w:rFonts w:ascii="Palatino Linotype" w:hAnsi="Palatino Linotype" w:cs="Tahoma"/>
          <w:sz w:val="22"/>
          <w:szCs w:val="22"/>
        </w:rPr>
        <w:t xml:space="preserve">la información </w:t>
      </w:r>
      <w:r w:rsidR="00A0257C">
        <w:rPr>
          <w:rFonts w:ascii="Palatino Linotype" w:hAnsi="Palatino Linotype" w:cs="Tahoma"/>
          <w:sz w:val="22"/>
          <w:szCs w:val="22"/>
        </w:rPr>
        <w:t>remitida, así como la información faltante</w:t>
      </w:r>
      <w:r w:rsidRPr="00B71E3E">
        <w:rPr>
          <w:rFonts w:ascii="Palatino Linotype" w:hAnsi="Palatino Linotype" w:cs="Tahoma"/>
          <w:sz w:val="22"/>
          <w:szCs w:val="22"/>
        </w:rPr>
        <w:t>.</w:t>
      </w:r>
    </w:p>
    <w:p w14:paraId="6C0CD6D1" w14:textId="77777777" w:rsidR="00CC0A33" w:rsidRDefault="00CC0A33" w:rsidP="00A54B20">
      <w:pPr>
        <w:tabs>
          <w:tab w:val="left" w:pos="4962"/>
        </w:tabs>
        <w:spacing w:line="360" w:lineRule="auto"/>
        <w:contextualSpacing/>
        <w:jc w:val="both"/>
        <w:rPr>
          <w:rFonts w:ascii="Palatino Linotype" w:hAnsi="Palatino Linotype" w:cs="Tahoma"/>
          <w:sz w:val="22"/>
          <w:szCs w:val="22"/>
        </w:rPr>
      </w:pPr>
    </w:p>
    <w:p w14:paraId="098ED560" w14:textId="7D0EECBE" w:rsidR="00CC0A33" w:rsidRPr="005257BF" w:rsidRDefault="00CC0A33" w:rsidP="00CC0A33">
      <w:pPr>
        <w:pStyle w:val="Ttulo2"/>
        <w:spacing w:line="360" w:lineRule="auto"/>
        <w:contextualSpacing/>
        <w:rPr>
          <w:rFonts w:ascii="Palatino Linotype" w:eastAsia="Calibri" w:hAnsi="Palatino Linotype"/>
          <w:b/>
          <w:bCs/>
          <w:color w:val="auto"/>
          <w:sz w:val="22"/>
          <w:szCs w:val="22"/>
          <w:lang w:val="es-ES_tradnl"/>
        </w:rPr>
      </w:pPr>
      <w:bookmarkStart w:id="23" w:name="_Toc219931135"/>
      <w:bookmarkStart w:id="24" w:name="_Toc223445529"/>
      <w:r w:rsidRPr="005257BF">
        <w:rPr>
          <w:rFonts w:ascii="Palatino Linotype" w:eastAsia="Calibri" w:hAnsi="Palatino Linotype"/>
          <w:b/>
          <w:bCs/>
          <w:color w:val="auto"/>
          <w:sz w:val="22"/>
          <w:szCs w:val="22"/>
          <w:lang w:val="es-ES_tradnl"/>
        </w:rPr>
        <w:t>SÉPTIMO. Vista la Dirección General de Protección de Datos Personales</w:t>
      </w:r>
      <w:bookmarkEnd w:id="23"/>
      <w:bookmarkEnd w:id="24"/>
    </w:p>
    <w:p w14:paraId="479C8CA1" w14:textId="77777777" w:rsidR="00CC0A33" w:rsidRPr="005257BF" w:rsidRDefault="00CC0A33" w:rsidP="00CC0A33">
      <w:pPr>
        <w:autoSpaceDE w:val="0"/>
        <w:autoSpaceDN w:val="0"/>
        <w:adjustRightInd w:val="0"/>
        <w:spacing w:line="360" w:lineRule="auto"/>
        <w:contextualSpacing/>
        <w:jc w:val="both"/>
        <w:rPr>
          <w:rFonts w:ascii="Palatino Linotype" w:eastAsia="Calibri" w:hAnsi="Palatino Linotype" w:cs="Tahoma"/>
          <w:b/>
          <w:bCs/>
          <w:iCs/>
          <w:color w:val="000000" w:themeColor="text1"/>
          <w:sz w:val="22"/>
          <w:szCs w:val="22"/>
          <w:lang w:val="es-ES_tradnl"/>
        </w:rPr>
      </w:pPr>
    </w:p>
    <w:p w14:paraId="5BCBE4A3" w14:textId="3974D440" w:rsidR="00CC0A33" w:rsidRPr="005257BF" w:rsidRDefault="00CC0A33" w:rsidP="00CC0A33">
      <w:pPr>
        <w:tabs>
          <w:tab w:val="left" w:pos="4962"/>
        </w:tabs>
        <w:spacing w:line="360" w:lineRule="auto"/>
        <w:contextualSpacing/>
        <w:jc w:val="both"/>
        <w:rPr>
          <w:rFonts w:ascii="Palatino Linotype" w:eastAsia="Calibri" w:hAnsi="Palatino Linotype" w:cs="Tahoma"/>
          <w:bCs/>
          <w:iCs/>
          <w:sz w:val="22"/>
          <w:szCs w:val="22"/>
          <w:lang w:val="es-ES_tradnl"/>
        </w:rPr>
      </w:pPr>
      <w:r w:rsidRPr="005257BF">
        <w:rPr>
          <w:rFonts w:ascii="Palatino Linotype" w:eastAsia="Calibri" w:hAnsi="Palatino Linotype" w:cs="Tahoma"/>
          <w:bCs/>
          <w:iCs/>
          <w:sz w:val="22"/>
          <w:szCs w:val="22"/>
          <w:lang w:val="es-ES_tradnl"/>
        </w:rPr>
        <w:t>Ahora bien, de la revisión de los documentos remitidos en respuesta se logró advertir el correo electrónico particular el cual es susceptible de clasificarse como información confidencial</w:t>
      </w:r>
      <w:r w:rsidRPr="005257BF">
        <w:rPr>
          <w:rFonts w:ascii="Palatino Linotype" w:hAnsi="Palatino Linotype" w:cs="Tahoma"/>
          <w:sz w:val="22"/>
          <w:szCs w:val="22"/>
        </w:rPr>
        <w:t xml:space="preserve">, </w:t>
      </w:r>
      <w:r w:rsidRPr="005257BF">
        <w:rPr>
          <w:rFonts w:ascii="Palatino Linotype" w:eastAsia="Calibri" w:hAnsi="Palatino Linotype" w:cs="Tahoma"/>
          <w:bCs/>
          <w:iCs/>
          <w:sz w:val="22"/>
          <w:szCs w:val="22"/>
          <w:lang w:val="es-ES_tradnl"/>
        </w:rPr>
        <w:t xml:space="preserve">circunstancia que vulnera lo previsto en el artículo 143, fracción I, de la Ley de Transparencia y Acceso a la Información Pública del Estado de México y Municipios. Por lo tanto, el Ente Recurrido, inobservó la Ley de Transparencia y Acceso a la Información </w:t>
      </w:r>
      <w:r w:rsidRPr="005257BF">
        <w:rPr>
          <w:rFonts w:ascii="Palatino Linotype" w:eastAsia="Calibri" w:hAnsi="Palatino Linotype" w:cs="Tahoma"/>
          <w:bCs/>
          <w:iCs/>
          <w:sz w:val="22"/>
          <w:szCs w:val="22"/>
          <w:lang w:val="es-ES_tradnl"/>
        </w:rPr>
        <w:lastRenderedPageBreak/>
        <w:t>Pública del Estado de México y Municipios y la Ley de Protección de Datos Personales en Posesión de Sujetos Obligados del Estado de México y Municipios.</w:t>
      </w:r>
    </w:p>
    <w:p w14:paraId="380F2D7D" w14:textId="77777777" w:rsidR="00CC0A33" w:rsidRPr="005257BF" w:rsidRDefault="00CC0A33" w:rsidP="00CC0A33">
      <w:pPr>
        <w:tabs>
          <w:tab w:val="left" w:pos="4962"/>
        </w:tabs>
        <w:spacing w:line="360" w:lineRule="auto"/>
        <w:contextualSpacing/>
        <w:jc w:val="both"/>
        <w:rPr>
          <w:rFonts w:ascii="Palatino Linotype" w:eastAsia="Calibri" w:hAnsi="Palatino Linotype" w:cs="Tahoma"/>
          <w:bCs/>
          <w:iCs/>
          <w:sz w:val="22"/>
          <w:szCs w:val="22"/>
          <w:lang w:val="es-ES_tradnl"/>
        </w:rPr>
      </w:pPr>
    </w:p>
    <w:p w14:paraId="1E750007" w14:textId="1B9FD6BB" w:rsidR="00CC0A33" w:rsidRPr="00CC0A33" w:rsidRDefault="00CC0A33" w:rsidP="00CC0A33">
      <w:pPr>
        <w:autoSpaceDE w:val="0"/>
        <w:autoSpaceDN w:val="0"/>
        <w:adjustRightInd w:val="0"/>
        <w:spacing w:line="360" w:lineRule="auto"/>
        <w:contextualSpacing/>
        <w:jc w:val="both"/>
        <w:rPr>
          <w:rFonts w:ascii="Palatino Linotype" w:eastAsia="Calibri" w:hAnsi="Palatino Linotype" w:cs="Tahoma"/>
          <w:bCs/>
          <w:iCs/>
          <w:sz w:val="22"/>
          <w:szCs w:val="22"/>
          <w:lang w:val="es-ES_tradnl"/>
        </w:rPr>
      </w:pPr>
      <w:r w:rsidRPr="005257BF">
        <w:rPr>
          <w:rFonts w:ascii="Palatino Linotype" w:eastAsia="Calibri" w:hAnsi="Palatino Linotype" w:cs="Tahoma"/>
          <w:bCs/>
          <w:iCs/>
          <w:sz w:val="22"/>
          <w:szCs w:val="22"/>
          <w:lang w:val="es-ES_tradnl"/>
        </w:rPr>
        <w:t>Sobre el particular, si bien, la presente resolución no tiene por objetivo investigar y determinar posibles violaciones al derecho de acceso a la información; toda vez que este Organismo Autónomo, advirtió la posible publicación de información de datos personales, se considera procedente dar vista a la Dirección General de Protección de Datos Personales de este Instituto con fundamento en el artículo 24, fracciones XI, XII y XIII del Reglamento Interior del Instituto de Transparencia, Acceso a la Información Pública y Protección de Datos Personales del Estado de México y Municipios, a fin de llevar a cabo el procedimiento que conforme a Derecho corresponda.</w:t>
      </w:r>
    </w:p>
    <w:p w14:paraId="1BBAE65A" w14:textId="77777777" w:rsidR="00AC74D3" w:rsidRPr="008A27E9" w:rsidRDefault="00AC74D3" w:rsidP="00A54B20">
      <w:pPr>
        <w:tabs>
          <w:tab w:val="left" w:pos="4962"/>
        </w:tabs>
        <w:spacing w:line="360" w:lineRule="auto"/>
        <w:contextualSpacing/>
        <w:jc w:val="both"/>
        <w:rPr>
          <w:rFonts w:ascii="Palatino Linotype" w:hAnsi="Palatino Linotype" w:cs="Tahoma"/>
          <w:sz w:val="22"/>
          <w:szCs w:val="22"/>
        </w:rPr>
      </w:pPr>
    </w:p>
    <w:p w14:paraId="6C23DB77" w14:textId="77777777" w:rsidR="00AC74D3" w:rsidRPr="00D86ECA" w:rsidRDefault="00AC74D3" w:rsidP="00A54B20">
      <w:pPr>
        <w:spacing w:line="360" w:lineRule="auto"/>
        <w:contextualSpacing/>
        <w:jc w:val="both"/>
        <w:rPr>
          <w:rFonts w:ascii="Palatino Linotype" w:hAnsi="Palatino Linotype"/>
          <w:b/>
          <w:color w:val="000000"/>
          <w:sz w:val="22"/>
          <w:szCs w:val="22"/>
        </w:rPr>
      </w:pPr>
      <w:bookmarkStart w:id="25" w:name="_Toc199369393"/>
      <w:r w:rsidRPr="00D86ECA">
        <w:rPr>
          <w:rFonts w:ascii="Palatino Linotype" w:hAnsi="Palatino Linotype"/>
          <w:b/>
          <w:color w:val="000000"/>
          <w:sz w:val="22"/>
          <w:szCs w:val="22"/>
        </w:rPr>
        <w:t>Términos de la Resolución para el Recurrente</w:t>
      </w:r>
    </w:p>
    <w:p w14:paraId="36A75D17" w14:textId="77777777" w:rsidR="00AC74D3" w:rsidRPr="00D86ECA" w:rsidRDefault="00AC74D3" w:rsidP="00A54B20">
      <w:pPr>
        <w:spacing w:line="360" w:lineRule="auto"/>
        <w:contextualSpacing/>
        <w:jc w:val="both"/>
        <w:rPr>
          <w:rFonts w:ascii="Palatino Linotype" w:hAnsi="Palatino Linotype"/>
          <w:b/>
          <w:color w:val="FF0000"/>
          <w:sz w:val="22"/>
          <w:szCs w:val="22"/>
        </w:rPr>
      </w:pPr>
    </w:p>
    <w:p w14:paraId="50BD1F35" w14:textId="77777777" w:rsidR="00CC0A33" w:rsidRDefault="00AC74D3" w:rsidP="00A54B20">
      <w:pPr>
        <w:spacing w:line="360" w:lineRule="auto"/>
        <w:contextualSpacing/>
        <w:jc w:val="both"/>
        <w:rPr>
          <w:rFonts w:ascii="Palatino Linotype" w:hAnsi="Palatino Linotype"/>
          <w:color w:val="000000"/>
          <w:sz w:val="22"/>
          <w:szCs w:val="22"/>
        </w:rPr>
      </w:pPr>
      <w:r w:rsidRPr="00D86ECA">
        <w:rPr>
          <w:rFonts w:ascii="Palatino Linotype" w:hAnsi="Palatino Linotype"/>
          <w:color w:val="000000"/>
          <w:sz w:val="22"/>
          <w:szCs w:val="22"/>
        </w:rPr>
        <w:t xml:space="preserve">Se le hace del conocimiento al Particular, que, en el presente caso, se le concede </w:t>
      </w:r>
      <w:r>
        <w:rPr>
          <w:rFonts w:ascii="Palatino Linotype" w:hAnsi="Palatino Linotype"/>
          <w:color w:val="000000"/>
          <w:sz w:val="22"/>
          <w:szCs w:val="22"/>
        </w:rPr>
        <w:t xml:space="preserve">la </w:t>
      </w:r>
      <w:r w:rsidRPr="00D86ECA">
        <w:rPr>
          <w:rFonts w:ascii="Palatino Linotype" w:hAnsi="Palatino Linotype"/>
          <w:color w:val="000000"/>
          <w:sz w:val="22"/>
          <w:szCs w:val="22"/>
        </w:rPr>
        <w:t xml:space="preserve">razón, pues el </w:t>
      </w:r>
      <w:r>
        <w:rPr>
          <w:rFonts w:ascii="Palatino Linotype" w:hAnsi="Palatino Linotype" w:cs="Tahoma"/>
          <w:color w:val="0D0D0D" w:themeColor="text1" w:themeTint="F2"/>
          <w:sz w:val="22"/>
          <w:szCs w:val="22"/>
        </w:rPr>
        <w:t>Ayuntamiento de Toluca</w:t>
      </w:r>
      <w:r w:rsidRPr="00D86ECA">
        <w:rPr>
          <w:rFonts w:ascii="Palatino Linotype" w:hAnsi="Palatino Linotype"/>
          <w:color w:val="000000"/>
          <w:sz w:val="22"/>
          <w:szCs w:val="22"/>
        </w:rPr>
        <w:t>,</w:t>
      </w:r>
      <w:r>
        <w:rPr>
          <w:rFonts w:ascii="Palatino Linotype" w:hAnsi="Palatino Linotype"/>
          <w:color w:val="000000"/>
          <w:sz w:val="22"/>
          <w:szCs w:val="22"/>
        </w:rPr>
        <w:t xml:space="preserve"> </w:t>
      </w:r>
      <w:r w:rsidR="00427416">
        <w:rPr>
          <w:rFonts w:ascii="Palatino Linotype" w:hAnsi="Palatino Linotype"/>
          <w:color w:val="000000"/>
          <w:sz w:val="22"/>
          <w:szCs w:val="22"/>
        </w:rPr>
        <w:t>si bien proporcionó los documentos que daban cuenta en parte de la información</w:t>
      </w:r>
      <w:r>
        <w:rPr>
          <w:rFonts w:ascii="Palatino Linotype" w:hAnsi="Palatino Linotype"/>
          <w:color w:val="000000"/>
          <w:sz w:val="22"/>
          <w:szCs w:val="22"/>
        </w:rPr>
        <w:t>,</w:t>
      </w:r>
      <w:r w:rsidR="00427416">
        <w:rPr>
          <w:rFonts w:ascii="Palatino Linotype" w:hAnsi="Palatino Linotype"/>
          <w:color w:val="000000"/>
          <w:sz w:val="22"/>
          <w:szCs w:val="22"/>
        </w:rPr>
        <w:t xml:space="preserve"> lo cierto es que la proporcionó de manera incompleta,</w:t>
      </w:r>
      <w:r>
        <w:rPr>
          <w:rFonts w:ascii="Palatino Linotype" w:hAnsi="Palatino Linotype"/>
          <w:color w:val="000000"/>
          <w:sz w:val="22"/>
          <w:szCs w:val="22"/>
        </w:rPr>
        <w:t xml:space="preserve"> </w:t>
      </w:r>
      <w:r w:rsidR="00427416">
        <w:rPr>
          <w:rFonts w:ascii="Palatino Linotype" w:hAnsi="Palatino Linotype"/>
          <w:color w:val="000000"/>
          <w:sz w:val="22"/>
          <w:szCs w:val="22"/>
        </w:rPr>
        <w:t>clasificó información que no actualiza dicha causal, sumado a que omitió la entrega del acuerdo que sustentara las versiones públicas</w:t>
      </w:r>
      <w:r w:rsidRPr="00D86ECA">
        <w:rPr>
          <w:rFonts w:ascii="Palatino Linotype" w:hAnsi="Palatino Linotype"/>
          <w:color w:val="000000"/>
          <w:sz w:val="22"/>
          <w:szCs w:val="22"/>
        </w:rPr>
        <w:t xml:space="preserve">. </w:t>
      </w:r>
    </w:p>
    <w:p w14:paraId="07741918" w14:textId="77777777" w:rsidR="00CC0A33" w:rsidRDefault="00CC0A33" w:rsidP="00A54B20">
      <w:pPr>
        <w:spacing w:line="360" w:lineRule="auto"/>
        <w:contextualSpacing/>
        <w:jc w:val="both"/>
        <w:rPr>
          <w:rFonts w:ascii="Palatino Linotype" w:hAnsi="Palatino Linotype"/>
          <w:color w:val="000000"/>
          <w:sz w:val="22"/>
          <w:szCs w:val="22"/>
        </w:rPr>
      </w:pPr>
    </w:p>
    <w:p w14:paraId="4DAB14BF" w14:textId="5AA50315" w:rsidR="00AC74D3" w:rsidRPr="00D86ECA" w:rsidRDefault="00AC74D3" w:rsidP="00A54B20">
      <w:pPr>
        <w:spacing w:line="360" w:lineRule="auto"/>
        <w:contextualSpacing/>
        <w:jc w:val="both"/>
        <w:rPr>
          <w:rFonts w:ascii="Palatino Linotype" w:hAnsi="Palatino Linotype"/>
          <w:color w:val="000000"/>
          <w:sz w:val="22"/>
          <w:szCs w:val="22"/>
        </w:rPr>
      </w:pPr>
      <w:r w:rsidRPr="00D86ECA">
        <w:rPr>
          <w:rFonts w:ascii="Palatino Linotype" w:hAnsi="Palatino Linotype"/>
          <w:color w:val="000000"/>
          <w:sz w:val="22"/>
          <w:szCs w:val="22"/>
        </w:rPr>
        <w:t>La labor del Instituto, es apoyar a la población para acceder a la información pública y garantizar la protección de los datos personales.</w:t>
      </w:r>
    </w:p>
    <w:p w14:paraId="1F351D2A" w14:textId="77777777" w:rsidR="00A0257C" w:rsidRDefault="00A0257C" w:rsidP="00A54B20">
      <w:pPr>
        <w:spacing w:line="360" w:lineRule="auto"/>
        <w:ind w:right="-93"/>
        <w:contextualSpacing/>
        <w:jc w:val="both"/>
        <w:rPr>
          <w:rFonts w:ascii="Palatino Linotype" w:hAnsi="Palatino Linotype"/>
          <w:color w:val="000000"/>
          <w:sz w:val="22"/>
          <w:szCs w:val="22"/>
        </w:rPr>
      </w:pPr>
    </w:p>
    <w:p w14:paraId="3747B19D" w14:textId="503F15D3" w:rsidR="00AC74D3" w:rsidRDefault="00AC74D3" w:rsidP="00A54B20">
      <w:pPr>
        <w:spacing w:line="360" w:lineRule="auto"/>
        <w:ind w:right="-93"/>
        <w:contextualSpacing/>
        <w:jc w:val="both"/>
        <w:rPr>
          <w:rFonts w:ascii="Palatino Linotype" w:hAnsi="Palatino Linotype"/>
          <w:color w:val="000000"/>
          <w:sz w:val="22"/>
          <w:szCs w:val="22"/>
        </w:rPr>
      </w:pPr>
      <w:r w:rsidRPr="00D86ECA">
        <w:rPr>
          <w:rFonts w:ascii="Palatino Linotype" w:hAnsi="Palatino Linotype"/>
          <w:color w:val="000000"/>
          <w:sz w:val="22"/>
          <w:szCs w:val="22"/>
        </w:rPr>
        <w:t>Por lo expuesto y fundado, este Pleno:</w:t>
      </w:r>
    </w:p>
    <w:p w14:paraId="13B94345" w14:textId="77777777" w:rsidR="00CC0A33" w:rsidRDefault="00CC0A33" w:rsidP="00A54B20">
      <w:pPr>
        <w:spacing w:line="360" w:lineRule="auto"/>
        <w:ind w:right="-93"/>
        <w:contextualSpacing/>
        <w:jc w:val="both"/>
        <w:rPr>
          <w:rFonts w:ascii="Palatino Linotype" w:hAnsi="Palatino Linotype"/>
          <w:color w:val="000000"/>
          <w:sz w:val="22"/>
          <w:szCs w:val="22"/>
        </w:rPr>
      </w:pPr>
    </w:p>
    <w:p w14:paraId="3F7FD45C" w14:textId="77777777" w:rsidR="00AC74D3" w:rsidRPr="00903CC5" w:rsidRDefault="00AC74D3" w:rsidP="00A54B20">
      <w:pPr>
        <w:pStyle w:val="Ttulo1"/>
        <w:spacing w:before="0" w:after="0" w:line="360" w:lineRule="auto"/>
        <w:contextualSpacing/>
        <w:jc w:val="center"/>
        <w:rPr>
          <w:rFonts w:ascii="Palatino Linotype" w:eastAsia="Calibri" w:hAnsi="Palatino Linotype"/>
          <w:b/>
          <w:bCs/>
          <w:color w:val="auto"/>
          <w:sz w:val="22"/>
          <w:szCs w:val="22"/>
        </w:rPr>
      </w:pPr>
      <w:bookmarkStart w:id="26" w:name="_Toc201094207"/>
      <w:bookmarkStart w:id="27" w:name="_Toc202357458"/>
      <w:bookmarkStart w:id="28" w:name="_Toc223445530"/>
      <w:r w:rsidRPr="00903CC5">
        <w:rPr>
          <w:rFonts w:ascii="Palatino Linotype" w:eastAsia="Calibri" w:hAnsi="Palatino Linotype"/>
          <w:b/>
          <w:bCs/>
          <w:color w:val="auto"/>
          <w:sz w:val="22"/>
          <w:szCs w:val="22"/>
        </w:rPr>
        <w:lastRenderedPageBreak/>
        <w:t>R E S U E L V E</w:t>
      </w:r>
      <w:bookmarkEnd w:id="25"/>
      <w:bookmarkEnd w:id="26"/>
      <w:bookmarkEnd w:id="27"/>
      <w:bookmarkEnd w:id="28"/>
    </w:p>
    <w:p w14:paraId="2602AE4E" w14:textId="77777777" w:rsidR="00AC74D3" w:rsidRPr="00B71E3E" w:rsidRDefault="00AC74D3" w:rsidP="00A54B20">
      <w:pPr>
        <w:spacing w:line="360" w:lineRule="auto"/>
        <w:ind w:right="-28"/>
        <w:contextualSpacing/>
        <w:jc w:val="both"/>
        <w:rPr>
          <w:rFonts w:ascii="Palatino Linotype" w:hAnsi="Palatino Linotype" w:cs="Tahoma"/>
          <w:b/>
          <w:bCs/>
          <w:sz w:val="22"/>
          <w:szCs w:val="22"/>
        </w:rPr>
      </w:pPr>
    </w:p>
    <w:p w14:paraId="4FE5BADB" w14:textId="16A9CE42" w:rsidR="00AC74D3" w:rsidRPr="00B71E3E" w:rsidRDefault="00AC74D3" w:rsidP="00A54B20">
      <w:pPr>
        <w:widowControl w:val="0"/>
        <w:spacing w:line="360" w:lineRule="auto"/>
        <w:contextualSpacing/>
        <w:jc w:val="both"/>
        <w:rPr>
          <w:rFonts w:ascii="Palatino Linotype" w:eastAsia="Calibri" w:hAnsi="Palatino Linotype"/>
          <w:b/>
          <w:bCs/>
          <w:sz w:val="22"/>
          <w:szCs w:val="22"/>
        </w:rPr>
      </w:pPr>
      <w:r w:rsidRPr="00B71E3E">
        <w:rPr>
          <w:rFonts w:ascii="Palatino Linotype" w:eastAsia="Calibri" w:hAnsi="Palatino Linotype"/>
          <w:b/>
          <w:bCs/>
          <w:sz w:val="22"/>
          <w:szCs w:val="22"/>
        </w:rPr>
        <w:t xml:space="preserve">PRIMERO. </w:t>
      </w:r>
      <w:r w:rsidRPr="00B71E3E">
        <w:rPr>
          <w:rFonts w:ascii="Palatino Linotype" w:eastAsia="Calibri" w:hAnsi="Palatino Linotype"/>
          <w:sz w:val="22"/>
          <w:szCs w:val="22"/>
        </w:rPr>
        <w:t xml:space="preserve">Se </w:t>
      </w:r>
      <w:r w:rsidR="00DD221B">
        <w:rPr>
          <w:rFonts w:ascii="Palatino Linotype" w:eastAsia="Calibri" w:hAnsi="Palatino Linotype"/>
          <w:b/>
          <w:bCs/>
          <w:sz w:val="22"/>
          <w:szCs w:val="22"/>
        </w:rPr>
        <w:t>MODIFI</w:t>
      </w:r>
      <w:r>
        <w:rPr>
          <w:rFonts w:ascii="Palatino Linotype" w:eastAsia="Calibri" w:hAnsi="Palatino Linotype"/>
          <w:b/>
          <w:bCs/>
          <w:sz w:val="22"/>
          <w:szCs w:val="22"/>
        </w:rPr>
        <w:t>CA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la</w:t>
      </w:r>
      <w:r w:rsidRPr="00B71E3E">
        <w:rPr>
          <w:rFonts w:ascii="Palatino Linotype" w:eastAsia="Calibri" w:hAnsi="Palatino Linotype"/>
          <w:b/>
          <w:bCs/>
          <w:sz w:val="22"/>
          <w:szCs w:val="22"/>
        </w:rPr>
        <w:t xml:space="preserve"> </w:t>
      </w:r>
      <w:r w:rsidRPr="00B71E3E">
        <w:rPr>
          <w:rFonts w:ascii="Palatino Linotype" w:eastAsia="Calibri" w:hAnsi="Palatino Linotype"/>
          <w:sz w:val="22"/>
          <w:szCs w:val="22"/>
        </w:rPr>
        <w:t xml:space="preserve">respuesta entregada por el </w:t>
      </w:r>
      <w:r>
        <w:rPr>
          <w:rFonts w:ascii="Palatino Linotype" w:hAnsi="Palatino Linotype" w:cs="Tahoma"/>
          <w:color w:val="0D0D0D" w:themeColor="text1" w:themeTint="F2"/>
          <w:sz w:val="22"/>
          <w:szCs w:val="22"/>
        </w:rPr>
        <w:t>Ayuntamiento de Toluca,</w:t>
      </w:r>
      <w:r w:rsidRPr="00B71E3E">
        <w:rPr>
          <w:rFonts w:ascii="Palatino Linotype" w:eastAsia="Calibri" w:hAnsi="Palatino Linotype"/>
          <w:sz w:val="22"/>
          <w:szCs w:val="22"/>
        </w:rPr>
        <w:t xml:space="preserve"> a la solicitud de información</w:t>
      </w:r>
      <w:r>
        <w:rPr>
          <w:rFonts w:ascii="Palatino Linotype" w:eastAsia="Calibri" w:hAnsi="Palatino Linotype"/>
          <w:sz w:val="22"/>
          <w:szCs w:val="22"/>
        </w:rPr>
        <w:t xml:space="preserve"> </w:t>
      </w:r>
      <w:r>
        <w:rPr>
          <w:rFonts w:ascii="Palatino Linotype" w:eastAsia="Palatino Linotype" w:hAnsi="Palatino Linotype" w:cs="Palatino Linotype"/>
          <w:sz w:val="22"/>
          <w:szCs w:val="22"/>
        </w:rPr>
        <w:t>06</w:t>
      </w:r>
      <w:r w:rsidR="00DD221B">
        <w:rPr>
          <w:rFonts w:ascii="Palatino Linotype" w:eastAsia="Palatino Linotype" w:hAnsi="Palatino Linotype" w:cs="Palatino Linotype"/>
          <w:sz w:val="22"/>
          <w:szCs w:val="22"/>
        </w:rPr>
        <w:t>192</w:t>
      </w:r>
      <w:r>
        <w:rPr>
          <w:rFonts w:ascii="Palatino Linotype" w:eastAsia="Palatino Linotype" w:hAnsi="Palatino Linotype" w:cs="Palatino Linotype"/>
          <w:sz w:val="22"/>
          <w:szCs w:val="22"/>
        </w:rPr>
        <w:t xml:space="preserve">/TOLUCA/IP/2025 </w:t>
      </w:r>
      <w:r w:rsidRPr="00B71E3E">
        <w:rPr>
          <w:rFonts w:ascii="Palatino Linotype" w:eastAsia="Calibri" w:hAnsi="Palatino Linotype"/>
          <w:sz w:val="22"/>
          <w:szCs w:val="22"/>
        </w:rPr>
        <w:t>por resultar</w:t>
      </w:r>
      <w:r>
        <w:rPr>
          <w:rFonts w:ascii="Palatino Linotype" w:eastAsia="Calibri" w:hAnsi="Palatino Linotype"/>
          <w:sz w:val="22"/>
          <w:szCs w:val="22"/>
        </w:rPr>
        <w:t xml:space="preserve"> </w:t>
      </w:r>
      <w:r w:rsidRPr="00B71E3E">
        <w:rPr>
          <w:rFonts w:ascii="Palatino Linotype" w:eastAsia="Calibri" w:hAnsi="Palatino Linotype"/>
          <w:b/>
          <w:bCs/>
          <w:caps/>
          <w:sz w:val="22"/>
          <w:szCs w:val="22"/>
        </w:rPr>
        <w:t>fundadas</w:t>
      </w:r>
      <w:r w:rsidRPr="00B71E3E">
        <w:rPr>
          <w:rFonts w:ascii="Palatino Linotype" w:eastAsia="Calibri" w:hAnsi="Palatino Linotype"/>
          <w:sz w:val="22"/>
          <w:szCs w:val="22"/>
        </w:rPr>
        <w:t xml:space="preserve"> las razones o motivos de inconformidad hechos valer por el Recurrente, en términos de los considerandos QUINTO y SEXTO de la presente Resolución.</w:t>
      </w:r>
    </w:p>
    <w:p w14:paraId="3B3E3934" w14:textId="77777777" w:rsidR="00AC74D3" w:rsidRPr="00B71E3E" w:rsidRDefault="00AC74D3" w:rsidP="00A54B20">
      <w:pPr>
        <w:widowControl w:val="0"/>
        <w:spacing w:line="360" w:lineRule="auto"/>
        <w:contextualSpacing/>
        <w:jc w:val="both"/>
        <w:rPr>
          <w:rFonts w:ascii="Palatino Linotype" w:eastAsia="Calibri" w:hAnsi="Palatino Linotype"/>
          <w:sz w:val="22"/>
          <w:szCs w:val="22"/>
        </w:rPr>
      </w:pPr>
    </w:p>
    <w:p w14:paraId="5D254AF8" w14:textId="0555EE80" w:rsidR="00AC74D3" w:rsidRDefault="00AC74D3" w:rsidP="00A54B20">
      <w:pPr>
        <w:spacing w:line="360" w:lineRule="auto"/>
        <w:contextualSpacing/>
        <w:jc w:val="both"/>
        <w:rPr>
          <w:rFonts w:ascii="Palatino Linotype" w:eastAsia="Calibri" w:hAnsi="Palatino Linotype" w:cs="Tahoma"/>
          <w:sz w:val="22"/>
          <w:szCs w:val="22"/>
        </w:rPr>
      </w:pPr>
      <w:r w:rsidRPr="00B71E3E">
        <w:rPr>
          <w:rFonts w:ascii="Palatino Linotype" w:hAnsi="Palatino Linotype"/>
          <w:b/>
          <w:sz w:val="22"/>
          <w:szCs w:val="22"/>
        </w:rPr>
        <w:t xml:space="preserve">SEGUNDO. </w:t>
      </w:r>
      <w:r w:rsidRPr="00B71E3E">
        <w:rPr>
          <w:rFonts w:ascii="Palatino Linotype" w:hAnsi="Palatino Linotype"/>
          <w:sz w:val="22"/>
          <w:szCs w:val="22"/>
        </w:rPr>
        <w:t xml:space="preserve">Se </w:t>
      </w:r>
      <w:r w:rsidRPr="00B71E3E">
        <w:rPr>
          <w:rFonts w:ascii="Palatino Linotype" w:hAnsi="Palatino Linotype"/>
          <w:b/>
          <w:sz w:val="22"/>
          <w:szCs w:val="22"/>
        </w:rPr>
        <w:t>ORDENA</w:t>
      </w:r>
      <w:r w:rsidRPr="00B71E3E">
        <w:rPr>
          <w:rFonts w:ascii="Palatino Linotype" w:hAnsi="Palatino Linotype"/>
          <w:sz w:val="22"/>
          <w:szCs w:val="22"/>
        </w:rPr>
        <w:t xml:space="preserve"> al Ente Recurrido</w:t>
      </w:r>
      <w:r w:rsidRPr="00B71E3E">
        <w:rPr>
          <w:rFonts w:ascii="Palatino Linotype" w:hAnsi="Palatino Linotype"/>
          <w:b/>
          <w:sz w:val="22"/>
          <w:szCs w:val="22"/>
        </w:rPr>
        <w:t xml:space="preserve">, </w:t>
      </w:r>
      <w:r w:rsidRPr="00B71E3E">
        <w:rPr>
          <w:rFonts w:ascii="Palatino Linotype" w:hAnsi="Palatino Linotype" w:cs="Tahoma"/>
          <w:sz w:val="22"/>
          <w:szCs w:val="22"/>
        </w:rPr>
        <w:t xml:space="preserve">a efecto de que </w:t>
      </w:r>
      <w:r w:rsidRPr="00B71E3E">
        <w:rPr>
          <w:rFonts w:ascii="Palatino Linotype" w:eastAsia="Calibri" w:hAnsi="Palatino Linotype" w:cs="Tahoma"/>
          <w:sz w:val="22"/>
          <w:szCs w:val="22"/>
        </w:rPr>
        <w:t>entregue, a través del SAIMEX, previa búsqueda exhaustiva y razonable</w:t>
      </w:r>
      <w:r>
        <w:rPr>
          <w:rFonts w:ascii="Palatino Linotype" w:eastAsia="Calibri" w:hAnsi="Palatino Linotype" w:cs="Tahoma"/>
          <w:sz w:val="22"/>
          <w:szCs w:val="22"/>
        </w:rPr>
        <w:t xml:space="preserve"> en sus unidades administrativas competentes, en su caso en versión pública,</w:t>
      </w:r>
      <w:r w:rsidR="009B38D3">
        <w:rPr>
          <w:rFonts w:ascii="Palatino Linotype" w:eastAsia="Calibri" w:hAnsi="Palatino Linotype" w:cs="Tahoma"/>
          <w:sz w:val="22"/>
          <w:szCs w:val="22"/>
        </w:rPr>
        <w:t xml:space="preserve"> respecto de la titular de la sexta regiduría al diez de noviembre de dos mil veinticinco, </w:t>
      </w:r>
      <w:r w:rsidR="00A0257C">
        <w:rPr>
          <w:rFonts w:ascii="Palatino Linotype" w:eastAsia="Calibri" w:hAnsi="Palatino Linotype" w:cs="Tahoma"/>
          <w:sz w:val="22"/>
          <w:szCs w:val="22"/>
        </w:rPr>
        <w:t>los documentos en los que se advierta</w:t>
      </w:r>
      <w:r>
        <w:rPr>
          <w:rFonts w:ascii="Palatino Linotype" w:eastAsia="Calibri" w:hAnsi="Palatino Linotype" w:cs="Tahoma"/>
          <w:sz w:val="22"/>
          <w:szCs w:val="22"/>
        </w:rPr>
        <w:t xml:space="preserve"> lo siguiente:</w:t>
      </w:r>
    </w:p>
    <w:p w14:paraId="640204EE" w14:textId="77777777" w:rsidR="0012563D" w:rsidRDefault="0012563D" w:rsidP="00A54B20">
      <w:pPr>
        <w:spacing w:line="360" w:lineRule="auto"/>
        <w:contextualSpacing/>
        <w:jc w:val="both"/>
        <w:rPr>
          <w:rFonts w:ascii="Palatino Linotype" w:eastAsia="Calibri" w:hAnsi="Palatino Linotype" w:cs="Tahoma"/>
          <w:sz w:val="22"/>
          <w:szCs w:val="22"/>
        </w:rPr>
      </w:pPr>
    </w:p>
    <w:p w14:paraId="76C04030" w14:textId="08610253" w:rsidR="009210CC" w:rsidRPr="009210CC" w:rsidRDefault="009210CC" w:rsidP="00A54B20">
      <w:pPr>
        <w:pStyle w:val="Prrafodelista"/>
        <w:numPr>
          <w:ilvl w:val="0"/>
          <w:numId w:val="23"/>
        </w:numPr>
        <w:spacing w:line="360" w:lineRule="auto"/>
        <w:jc w:val="both"/>
        <w:rPr>
          <w:rFonts w:ascii="Palatino Linotype" w:eastAsia="Calibri" w:hAnsi="Palatino Linotype" w:cs="Tahoma"/>
          <w:sz w:val="22"/>
          <w:szCs w:val="22"/>
        </w:rPr>
      </w:pPr>
      <w:r>
        <w:rPr>
          <w:rFonts w:ascii="Palatino Linotype" w:eastAsia="Calibri" w:hAnsi="Palatino Linotype" w:cs="Tahoma"/>
          <w:sz w:val="22"/>
          <w:szCs w:val="22"/>
        </w:rPr>
        <w:t>Las peticiones y oficios de respuesta en donde se hayan testado datos de naturaleza pública, en términos del Considerando QUINTO.</w:t>
      </w:r>
    </w:p>
    <w:p w14:paraId="4BD49CC0" w14:textId="22A34379" w:rsidR="0099496E" w:rsidRPr="0012563D" w:rsidRDefault="0099496E" w:rsidP="00A54B20">
      <w:pPr>
        <w:pStyle w:val="Prrafodelista"/>
        <w:numPr>
          <w:ilvl w:val="0"/>
          <w:numId w:val="23"/>
        </w:numPr>
        <w:spacing w:line="360" w:lineRule="auto"/>
        <w:jc w:val="both"/>
        <w:rPr>
          <w:rFonts w:ascii="Palatino Linotype" w:eastAsia="Calibri" w:hAnsi="Palatino Linotype" w:cs="Tahoma"/>
          <w:sz w:val="22"/>
          <w:szCs w:val="22"/>
        </w:rPr>
      </w:pPr>
      <w:r>
        <w:rPr>
          <w:rFonts w:ascii="Palatino Linotype" w:hAnsi="Palatino Linotype" w:cs="Tahoma"/>
          <w:sz w:val="22"/>
          <w:szCs w:val="22"/>
        </w:rPr>
        <w:t>Lo</w:t>
      </w:r>
      <w:r w:rsidRPr="00C877E2">
        <w:rPr>
          <w:rFonts w:ascii="Palatino Linotype" w:hAnsi="Palatino Linotype" w:cs="Tahoma"/>
          <w:sz w:val="22"/>
          <w:szCs w:val="22"/>
        </w:rPr>
        <w:t xml:space="preserve">s </w:t>
      </w:r>
      <w:r>
        <w:rPr>
          <w:rFonts w:ascii="Palatino Linotype" w:hAnsi="Palatino Linotype" w:cs="Tahoma"/>
          <w:sz w:val="22"/>
          <w:szCs w:val="22"/>
        </w:rPr>
        <w:t xml:space="preserve">oficios de </w:t>
      </w:r>
      <w:r w:rsidRPr="00C877E2">
        <w:rPr>
          <w:rFonts w:ascii="Palatino Linotype" w:hAnsi="Palatino Linotype" w:cs="Tahoma"/>
          <w:sz w:val="22"/>
          <w:szCs w:val="22"/>
        </w:rPr>
        <w:t>petici</w:t>
      </w:r>
      <w:r>
        <w:rPr>
          <w:rFonts w:ascii="Palatino Linotype" w:hAnsi="Palatino Linotype" w:cs="Tahoma"/>
          <w:sz w:val="22"/>
          <w:szCs w:val="22"/>
        </w:rPr>
        <w:t>ón</w:t>
      </w:r>
      <w:r w:rsidRPr="00C877E2">
        <w:rPr>
          <w:rFonts w:ascii="Palatino Linotype" w:hAnsi="Palatino Linotype" w:cs="Tahoma"/>
          <w:sz w:val="22"/>
          <w:szCs w:val="22"/>
        </w:rPr>
        <w:t xml:space="preserve"> y</w:t>
      </w:r>
      <w:r>
        <w:rPr>
          <w:rFonts w:ascii="Palatino Linotype" w:hAnsi="Palatino Linotype" w:cs="Tahoma"/>
          <w:sz w:val="22"/>
          <w:szCs w:val="22"/>
        </w:rPr>
        <w:t xml:space="preserve"> l</w:t>
      </w:r>
      <w:r w:rsidRPr="00C877E2">
        <w:rPr>
          <w:rFonts w:ascii="Palatino Linotype" w:hAnsi="Palatino Linotype" w:cs="Tahoma"/>
          <w:sz w:val="22"/>
          <w:szCs w:val="22"/>
        </w:rPr>
        <w:t xml:space="preserve">as respuestas </w:t>
      </w:r>
      <w:r>
        <w:rPr>
          <w:rFonts w:ascii="Palatino Linotype" w:hAnsi="Palatino Linotype" w:cs="Tahoma"/>
          <w:sz w:val="22"/>
          <w:szCs w:val="22"/>
        </w:rPr>
        <w:t>faltantes, del primero de enero al diez de noviembre de dos mil veinticinco</w:t>
      </w:r>
      <w:r w:rsidR="00A54B20">
        <w:rPr>
          <w:rFonts w:ascii="Palatino Linotype" w:hAnsi="Palatino Linotype" w:cs="Tahoma"/>
          <w:sz w:val="22"/>
          <w:szCs w:val="22"/>
        </w:rPr>
        <w:t>, incluidos los proporcionados en Informe Justificado</w:t>
      </w:r>
      <w:r w:rsidR="009210CC">
        <w:rPr>
          <w:rFonts w:ascii="Palatino Linotype" w:hAnsi="Palatino Linotype" w:cs="Tahoma"/>
          <w:sz w:val="22"/>
          <w:szCs w:val="22"/>
        </w:rPr>
        <w:t xml:space="preserve"> (distintos a los señalados en el numeral 1 y 3a)</w:t>
      </w:r>
      <w:r w:rsidR="00A54B20">
        <w:rPr>
          <w:rFonts w:ascii="Palatino Linotype" w:hAnsi="Palatino Linotype" w:cs="Tahoma"/>
          <w:sz w:val="22"/>
          <w:szCs w:val="22"/>
        </w:rPr>
        <w:t>.</w:t>
      </w:r>
    </w:p>
    <w:p w14:paraId="3783AE51" w14:textId="424EC501" w:rsidR="009B38D3" w:rsidRDefault="009B38D3" w:rsidP="00A54B20">
      <w:pPr>
        <w:pStyle w:val="Prrafodelista"/>
        <w:numPr>
          <w:ilvl w:val="0"/>
          <w:numId w:val="23"/>
        </w:numPr>
        <w:spacing w:line="360" w:lineRule="auto"/>
        <w:jc w:val="both"/>
        <w:rPr>
          <w:rFonts w:ascii="Palatino Linotype" w:hAnsi="Palatino Linotype" w:cs="Tahoma"/>
          <w:bCs/>
          <w:iCs/>
          <w:sz w:val="22"/>
          <w:szCs w:val="22"/>
        </w:rPr>
      </w:pPr>
      <w:r>
        <w:rPr>
          <w:rFonts w:ascii="Palatino Linotype" w:hAnsi="Palatino Linotype" w:cs="Tahoma"/>
          <w:bCs/>
          <w:iCs/>
          <w:sz w:val="22"/>
          <w:szCs w:val="22"/>
        </w:rPr>
        <w:t>E</w:t>
      </w:r>
      <w:r w:rsidRPr="009B38D3">
        <w:rPr>
          <w:rFonts w:ascii="Palatino Linotype" w:hAnsi="Palatino Linotype" w:cs="Tahoma"/>
          <w:bCs/>
          <w:iCs/>
          <w:sz w:val="22"/>
          <w:szCs w:val="22"/>
        </w:rPr>
        <w:t xml:space="preserve">l Acuerdo de Clasificación donde el Comité de Transparencia, </w:t>
      </w:r>
      <w:proofErr w:type="spellStart"/>
      <w:r w:rsidR="00A54B20">
        <w:rPr>
          <w:rFonts w:ascii="Palatino Linotype" w:hAnsi="Palatino Linotype" w:cs="Tahoma"/>
          <w:bCs/>
          <w:iCs/>
          <w:sz w:val="22"/>
          <w:szCs w:val="22"/>
        </w:rPr>
        <w:t>de</w:t>
      </w:r>
      <w:r w:rsidRPr="009B38D3">
        <w:rPr>
          <w:rFonts w:ascii="Palatino Linotype" w:hAnsi="Palatino Linotype" w:cs="Tahoma"/>
          <w:bCs/>
          <w:iCs/>
          <w:sz w:val="22"/>
          <w:szCs w:val="22"/>
        </w:rPr>
        <w:t>conformidad</w:t>
      </w:r>
      <w:proofErr w:type="spellEnd"/>
      <w:r w:rsidRPr="009B38D3">
        <w:rPr>
          <w:rFonts w:ascii="Palatino Linotype" w:hAnsi="Palatino Linotype" w:cs="Tahoma"/>
          <w:bCs/>
          <w:iCs/>
          <w:sz w:val="22"/>
          <w:szCs w:val="22"/>
        </w:rPr>
        <w:t xml:space="preserve"> con los artículos 49, fracciones II y VIII, 132, fracción II, 143, fracción I, y 149 de la Ley de Transparencia y Acceso a la Información Pública del Estado de México y Municipios</w:t>
      </w:r>
      <w:r w:rsidR="00A54B20">
        <w:rPr>
          <w:rFonts w:ascii="Palatino Linotype" w:hAnsi="Palatino Linotype" w:cs="Tahoma"/>
          <w:bCs/>
          <w:iCs/>
          <w:sz w:val="22"/>
          <w:szCs w:val="22"/>
        </w:rPr>
        <w:t xml:space="preserve">, </w:t>
      </w:r>
      <w:r w:rsidR="00A54B20" w:rsidRPr="009B38D3">
        <w:rPr>
          <w:rFonts w:ascii="Palatino Linotype" w:hAnsi="Palatino Linotype" w:cs="Tahoma"/>
          <w:bCs/>
          <w:iCs/>
          <w:sz w:val="22"/>
          <w:szCs w:val="22"/>
        </w:rPr>
        <w:t>confirme la eliminación de los datos confidenciale</w:t>
      </w:r>
      <w:r w:rsidR="00A54B20">
        <w:rPr>
          <w:rFonts w:ascii="Palatino Linotype" w:hAnsi="Palatino Linotype" w:cs="Tahoma"/>
          <w:bCs/>
          <w:iCs/>
          <w:sz w:val="22"/>
          <w:szCs w:val="22"/>
        </w:rPr>
        <w:t>s, de lo siguiente:</w:t>
      </w:r>
    </w:p>
    <w:p w14:paraId="11870D80" w14:textId="36E403EA" w:rsidR="00A54B20" w:rsidRDefault="00A54B20" w:rsidP="00A54B20">
      <w:pPr>
        <w:pStyle w:val="Prrafodelista"/>
        <w:numPr>
          <w:ilvl w:val="0"/>
          <w:numId w:val="24"/>
        </w:numPr>
        <w:spacing w:line="360" w:lineRule="auto"/>
        <w:jc w:val="both"/>
        <w:rPr>
          <w:rFonts w:ascii="Palatino Linotype" w:hAnsi="Palatino Linotype" w:cs="Tahoma"/>
          <w:bCs/>
          <w:iCs/>
          <w:sz w:val="22"/>
          <w:szCs w:val="22"/>
        </w:rPr>
      </w:pPr>
      <w:r>
        <w:rPr>
          <w:rFonts w:ascii="Palatino Linotype" w:hAnsi="Palatino Linotype" w:cs="Tahoma"/>
          <w:bCs/>
          <w:iCs/>
          <w:sz w:val="22"/>
          <w:szCs w:val="22"/>
        </w:rPr>
        <w:t>Los documentos entregados en respuesta, distintos a los señalados en el numeral 1.</w:t>
      </w:r>
    </w:p>
    <w:p w14:paraId="404DDEA7" w14:textId="15AB8C44" w:rsidR="00A54B20" w:rsidRPr="009B38D3" w:rsidRDefault="00A54B20" w:rsidP="00A54B20">
      <w:pPr>
        <w:pStyle w:val="Prrafodelista"/>
        <w:numPr>
          <w:ilvl w:val="0"/>
          <w:numId w:val="24"/>
        </w:numPr>
        <w:spacing w:line="360" w:lineRule="auto"/>
        <w:jc w:val="both"/>
        <w:rPr>
          <w:rFonts w:ascii="Palatino Linotype" w:hAnsi="Palatino Linotype" w:cs="Tahoma"/>
          <w:bCs/>
          <w:iCs/>
          <w:sz w:val="22"/>
          <w:szCs w:val="22"/>
        </w:rPr>
      </w:pPr>
      <w:r>
        <w:rPr>
          <w:rFonts w:ascii="Palatino Linotype" w:hAnsi="Palatino Linotype" w:cs="Tahoma"/>
          <w:bCs/>
          <w:iCs/>
          <w:sz w:val="22"/>
          <w:szCs w:val="22"/>
        </w:rPr>
        <w:t>Los documentos que den cuenta del numeral 2.</w:t>
      </w:r>
    </w:p>
    <w:p w14:paraId="360711AD" w14:textId="77777777" w:rsidR="00AC74D3" w:rsidRPr="00FC40F3" w:rsidRDefault="00AC74D3" w:rsidP="00A54B20">
      <w:pPr>
        <w:pStyle w:val="Prrafodelista"/>
        <w:tabs>
          <w:tab w:val="left" w:pos="4962"/>
        </w:tabs>
        <w:spacing w:line="360" w:lineRule="auto"/>
        <w:jc w:val="both"/>
        <w:rPr>
          <w:rFonts w:ascii="Palatino Linotype" w:eastAsia="Calibri" w:hAnsi="Palatino Linotype" w:cs="Tahoma"/>
          <w:color w:val="000000"/>
          <w:sz w:val="22"/>
          <w:szCs w:val="22"/>
        </w:rPr>
      </w:pPr>
    </w:p>
    <w:p w14:paraId="17C7CF0C" w14:textId="3D2E4B6F" w:rsidR="009B38D3" w:rsidRDefault="009B38D3" w:rsidP="00A54B20">
      <w:pPr>
        <w:spacing w:line="360" w:lineRule="auto"/>
        <w:contextualSpacing/>
        <w:jc w:val="both"/>
        <w:rPr>
          <w:rFonts w:ascii="Palatino Linotype" w:hAnsi="Palatino Linotype" w:cs="Tahoma"/>
          <w:bCs/>
          <w:iCs/>
          <w:sz w:val="22"/>
          <w:szCs w:val="22"/>
        </w:rPr>
      </w:pPr>
      <w:r>
        <w:rPr>
          <w:rFonts w:ascii="Palatino Linotype" w:hAnsi="Palatino Linotype" w:cs="Tahoma"/>
          <w:bCs/>
          <w:iCs/>
          <w:sz w:val="22"/>
          <w:szCs w:val="22"/>
        </w:rPr>
        <w:lastRenderedPageBreak/>
        <w:t>Para el caso de que no cuente con más oficios de petición y sus respuestas deberá hacerlo del conocimiento del Particular de forma precisa y clara.</w:t>
      </w:r>
    </w:p>
    <w:p w14:paraId="088FDD15" w14:textId="77777777" w:rsidR="00AC74D3" w:rsidRDefault="00AC74D3" w:rsidP="00A54B20">
      <w:pPr>
        <w:spacing w:line="360" w:lineRule="auto"/>
        <w:contextualSpacing/>
        <w:jc w:val="both"/>
        <w:rPr>
          <w:rFonts w:ascii="Palatino Linotype" w:hAnsi="Palatino Linotype" w:cs="Tahoma"/>
          <w:bCs/>
          <w:iCs/>
          <w:sz w:val="22"/>
          <w:szCs w:val="22"/>
        </w:rPr>
      </w:pPr>
    </w:p>
    <w:p w14:paraId="12212CE6" w14:textId="77777777" w:rsidR="00AC74D3" w:rsidRPr="00B71E3E" w:rsidRDefault="00AC74D3" w:rsidP="00A54B20">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TERCERO. NOTIFÍQUESE POR SAIMEX</w:t>
      </w:r>
      <w:r w:rsidRPr="00B71E3E">
        <w:rPr>
          <w:rFonts w:ascii="Palatino Linotype" w:eastAsia="Calibri" w:hAnsi="Palatino Linotype" w:cs="Tahoma"/>
          <w:iCs/>
          <w:sz w:val="22"/>
          <w:szCs w:val="22"/>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w:t>
      </w:r>
    </w:p>
    <w:p w14:paraId="1DC424DC" w14:textId="77777777" w:rsidR="00AC74D3" w:rsidRPr="00B71E3E" w:rsidRDefault="00AC74D3" w:rsidP="00A54B20">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08C6D355" w14:textId="77777777" w:rsidR="00AC74D3" w:rsidRPr="00B71E3E" w:rsidRDefault="00AC74D3" w:rsidP="00A54B20">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4EA61B53" w14:textId="77777777" w:rsidR="00AC74D3" w:rsidRPr="00B71E3E" w:rsidRDefault="00AC74D3" w:rsidP="00A54B20">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iCs/>
          <w:sz w:val="22"/>
          <w:szCs w:val="22"/>
        </w:rPr>
        <w:t xml:space="preserve"> </w:t>
      </w:r>
    </w:p>
    <w:p w14:paraId="557328E0" w14:textId="77777777" w:rsidR="00AC74D3" w:rsidRDefault="00AC74D3" w:rsidP="00A54B20">
      <w:pPr>
        <w:spacing w:line="360" w:lineRule="auto"/>
        <w:contextualSpacing/>
        <w:jc w:val="both"/>
        <w:rPr>
          <w:rFonts w:ascii="Palatino Linotype" w:eastAsia="Calibri" w:hAnsi="Palatino Linotype" w:cs="Tahoma"/>
          <w:iCs/>
          <w:sz w:val="22"/>
          <w:szCs w:val="22"/>
        </w:rPr>
      </w:pPr>
      <w:r w:rsidRPr="00B71E3E">
        <w:rPr>
          <w:rFonts w:ascii="Palatino Linotype" w:eastAsia="Calibri" w:hAnsi="Palatino Linotype" w:cs="Tahoma"/>
          <w:b/>
          <w:bCs/>
          <w:iCs/>
          <w:sz w:val="22"/>
          <w:szCs w:val="22"/>
        </w:rPr>
        <w:t>CUARTO. NOTIFÍQUESE POR SAIMEX</w:t>
      </w:r>
      <w:r w:rsidRPr="00B71E3E">
        <w:rPr>
          <w:rFonts w:ascii="Palatino Linotype" w:eastAsia="Calibri" w:hAnsi="Palatino Linotype" w:cs="Tahoma"/>
          <w:iCs/>
          <w:sz w:val="22"/>
          <w:szCs w:val="22"/>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7D9A0BD" w14:textId="77777777" w:rsidR="00CC0A33" w:rsidRDefault="00CC0A33" w:rsidP="00A54B20">
      <w:pPr>
        <w:spacing w:line="360" w:lineRule="auto"/>
        <w:contextualSpacing/>
        <w:jc w:val="both"/>
        <w:rPr>
          <w:rFonts w:ascii="Palatino Linotype" w:eastAsia="Calibri" w:hAnsi="Palatino Linotype" w:cs="Tahoma"/>
          <w:iCs/>
          <w:sz w:val="22"/>
          <w:szCs w:val="22"/>
        </w:rPr>
      </w:pPr>
    </w:p>
    <w:p w14:paraId="42A4F96E" w14:textId="77777777" w:rsidR="00CC0A33" w:rsidRDefault="00CC0A33" w:rsidP="00A54B20">
      <w:pPr>
        <w:spacing w:line="360" w:lineRule="auto"/>
        <w:contextualSpacing/>
        <w:jc w:val="both"/>
        <w:rPr>
          <w:rFonts w:ascii="Palatino Linotype" w:eastAsia="Calibri" w:hAnsi="Palatino Linotype" w:cs="Tahoma"/>
          <w:iCs/>
          <w:sz w:val="22"/>
          <w:szCs w:val="22"/>
        </w:rPr>
      </w:pPr>
    </w:p>
    <w:p w14:paraId="3DF3FE87" w14:textId="77777777" w:rsidR="00AC74D3" w:rsidRDefault="00AC74D3" w:rsidP="00A54B20">
      <w:pPr>
        <w:spacing w:line="360" w:lineRule="auto"/>
        <w:contextualSpacing/>
        <w:jc w:val="both"/>
        <w:rPr>
          <w:rFonts w:ascii="Palatino Linotype" w:eastAsia="Calibri" w:hAnsi="Palatino Linotype" w:cs="Tahoma"/>
          <w:iCs/>
          <w:sz w:val="22"/>
          <w:szCs w:val="22"/>
        </w:rPr>
      </w:pPr>
    </w:p>
    <w:p w14:paraId="0E63F11A" w14:textId="45EA6D78" w:rsidR="00CC0A33" w:rsidRDefault="00CC0A33" w:rsidP="00A54B20">
      <w:pPr>
        <w:spacing w:line="360" w:lineRule="auto"/>
        <w:contextualSpacing/>
        <w:jc w:val="both"/>
        <w:rPr>
          <w:rFonts w:ascii="Palatino Linotype" w:hAnsi="Palatino Linotype" w:cs="Tahoma"/>
          <w:bCs/>
          <w:sz w:val="22"/>
          <w:szCs w:val="22"/>
        </w:rPr>
      </w:pPr>
      <w:r w:rsidRPr="005257BF">
        <w:rPr>
          <w:rFonts w:ascii="Palatino Linotype" w:hAnsi="Palatino Linotype" w:cs="Tahoma"/>
          <w:b/>
          <w:bCs/>
          <w:sz w:val="22"/>
          <w:szCs w:val="22"/>
        </w:rPr>
        <w:lastRenderedPageBreak/>
        <w:t xml:space="preserve">QUINTO. </w:t>
      </w:r>
      <w:r w:rsidRPr="005257BF">
        <w:rPr>
          <w:rFonts w:ascii="Palatino Linotype" w:hAnsi="Palatino Linotype" w:cs="Tahoma"/>
          <w:bCs/>
          <w:sz w:val="22"/>
          <w:szCs w:val="22"/>
        </w:rPr>
        <w:t>Con fundamento en lo dispuesto en el artículo 24, fracciones XI, XII y XIII del Reglamento Interior del Instituto de Transparencia, Acceso a la Información Pública y Protección de Datos Personales del Estado de México y Municipios, gírese oficio a la Dirección General de Protección de Datos Personales de este Instituto, en términos de lo dispuesto en el Considerando QUINTO de la presente Resolución.</w:t>
      </w:r>
    </w:p>
    <w:p w14:paraId="5255170F" w14:textId="77777777" w:rsidR="00CC0A33" w:rsidRPr="00CC0A33" w:rsidRDefault="00CC0A33" w:rsidP="00A54B20">
      <w:pPr>
        <w:spacing w:line="360" w:lineRule="auto"/>
        <w:contextualSpacing/>
        <w:jc w:val="both"/>
        <w:rPr>
          <w:rFonts w:ascii="Palatino Linotype" w:hAnsi="Palatino Linotype" w:cs="Tahoma"/>
          <w:bCs/>
          <w:sz w:val="22"/>
          <w:szCs w:val="22"/>
        </w:rPr>
      </w:pPr>
    </w:p>
    <w:p w14:paraId="54786320" w14:textId="6C7674F8" w:rsidR="00AC74D3" w:rsidRDefault="00AC74D3" w:rsidP="00A54B20">
      <w:pPr>
        <w:spacing w:line="360" w:lineRule="auto"/>
        <w:contextualSpacing/>
        <w:jc w:val="both"/>
        <w:rPr>
          <w:rFonts w:ascii="Palatino Linotype" w:hAnsi="Palatino Linotype" w:cs="Tahoma"/>
          <w:bCs/>
          <w:iCs/>
          <w:sz w:val="22"/>
          <w:szCs w:val="22"/>
        </w:rPr>
      </w:pPr>
      <w:r w:rsidRPr="00B71E3E">
        <w:rPr>
          <w:rFonts w:ascii="Palatino Linotype" w:eastAsia="Calibri" w:hAnsi="Palatino Linotype" w:cs="Tahoma"/>
          <w:iCs/>
          <w:sz w:val="22"/>
          <w:szCs w:val="22"/>
        </w:rPr>
        <w:t xml:space="preserve">ASÍ LO RESUELVE, POR </w:t>
      </w:r>
      <w:r w:rsidRPr="00B71E3E">
        <w:rPr>
          <w:rFonts w:ascii="Palatino Linotype" w:eastAsia="Calibri" w:hAnsi="Palatino Linotype" w:cs="Tahoma"/>
          <w:b/>
          <w:bCs/>
          <w:iCs/>
          <w:sz w:val="22"/>
          <w:szCs w:val="22"/>
        </w:rPr>
        <w:t>UNANIMIDAD</w:t>
      </w:r>
      <w:r w:rsidRPr="00B71E3E">
        <w:rPr>
          <w:rFonts w:ascii="Palatino Linotype" w:eastAsia="Calibri" w:hAnsi="Palatino Linotype" w:cs="Tahoma"/>
          <w:iCs/>
          <w:sz w:val="22"/>
          <w:szCs w:val="22"/>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9B38D3">
        <w:rPr>
          <w:rFonts w:ascii="Palatino Linotype" w:eastAsia="Calibri" w:hAnsi="Palatino Linotype" w:cs="Tahoma"/>
          <w:iCs/>
          <w:sz w:val="22"/>
          <w:szCs w:val="22"/>
        </w:rPr>
        <w:t>OCTAV</w:t>
      </w:r>
      <w:r>
        <w:rPr>
          <w:rFonts w:ascii="Palatino Linotype" w:eastAsia="Calibri" w:hAnsi="Palatino Linotype" w:cs="Tahoma"/>
          <w:iCs/>
          <w:sz w:val="22"/>
          <w:szCs w:val="22"/>
        </w:rPr>
        <w:t xml:space="preserve">A </w:t>
      </w:r>
      <w:r w:rsidRPr="00B71E3E">
        <w:rPr>
          <w:rFonts w:ascii="Palatino Linotype" w:eastAsia="Calibri" w:hAnsi="Palatino Linotype" w:cs="Tahoma"/>
          <w:iCs/>
          <w:sz w:val="22"/>
          <w:szCs w:val="22"/>
        </w:rPr>
        <w:t xml:space="preserve">SESIÓN ORDINARIA, CELEBRADA EL </w:t>
      </w:r>
      <w:r>
        <w:rPr>
          <w:rFonts w:ascii="Palatino Linotype" w:eastAsia="Calibri" w:hAnsi="Palatino Linotype" w:cs="Tahoma"/>
          <w:iCs/>
          <w:sz w:val="22"/>
          <w:szCs w:val="22"/>
        </w:rPr>
        <w:t xml:space="preserve">CINCO DE </w:t>
      </w:r>
      <w:r w:rsidR="009B38D3">
        <w:rPr>
          <w:rFonts w:ascii="Palatino Linotype" w:eastAsia="Calibri" w:hAnsi="Palatino Linotype" w:cs="Tahoma"/>
          <w:iCs/>
          <w:sz w:val="22"/>
          <w:szCs w:val="22"/>
        </w:rPr>
        <w:t xml:space="preserve">MARZO </w:t>
      </w:r>
      <w:r w:rsidRPr="00B71E3E">
        <w:rPr>
          <w:rFonts w:ascii="Palatino Linotype" w:eastAsia="Calibri" w:hAnsi="Palatino Linotype" w:cs="Tahoma"/>
          <w:iCs/>
          <w:sz w:val="22"/>
          <w:szCs w:val="22"/>
        </w:rPr>
        <w:t>DE DOS MIL VEINTI</w:t>
      </w:r>
      <w:r>
        <w:rPr>
          <w:rFonts w:ascii="Palatino Linotype" w:eastAsia="Calibri" w:hAnsi="Palatino Linotype" w:cs="Tahoma"/>
          <w:iCs/>
          <w:sz w:val="22"/>
          <w:szCs w:val="22"/>
        </w:rPr>
        <w:t>SÉIS</w:t>
      </w:r>
      <w:r w:rsidRPr="00B71E3E">
        <w:rPr>
          <w:rFonts w:ascii="Palatino Linotype" w:eastAsia="Calibri" w:hAnsi="Palatino Linotype" w:cs="Tahoma"/>
          <w:iCs/>
          <w:sz w:val="22"/>
          <w:szCs w:val="22"/>
        </w:rPr>
        <w:t>, ANTE EL SECRETARIO TÉCNICO DEL PLENO, ALEXIS TAPIA RAMÍREZ.</w:t>
      </w:r>
    </w:p>
    <w:p w14:paraId="297F938D" w14:textId="77777777" w:rsidR="00AC74D3" w:rsidRDefault="00AC74D3" w:rsidP="00A54B20">
      <w:pPr>
        <w:spacing w:line="360" w:lineRule="auto"/>
        <w:contextualSpacing/>
        <w:jc w:val="both"/>
        <w:rPr>
          <w:rFonts w:ascii="Palatino Linotype" w:eastAsia="Palatino Linotype" w:hAnsi="Palatino Linotype" w:cs="Palatino Linotype"/>
          <w:sz w:val="22"/>
          <w:szCs w:val="22"/>
        </w:rPr>
      </w:pPr>
    </w:p>
    <w:p w14:paraId="1E4C424B" w14:textId="77777777" w:rsidR="00AC74D3" w:rsidRDefault="00AC74D3" w:rsidP="00A54B20">
      <w:pPr>
        <w:spacing w:line="360" w:lineRule="auto"/>
        <w:contextualSpacing/>
        <w:rPr>
          <w:rFonts w:ascii="Palatino Linotype" w:eastAsia="Palatino Linotype" w:hAnsi="Palatino Linotype" w:cs="Palatino Linotype"/>
        </w:rPr>
      </w:pPr>
    </w:p>
    <w:p w14:paraId="6E980851" w14:textId="77777777" w:rsidR="00AC74D3" w:rsidRDefault="00AC74D3" w:rsidP="00A54B20">
      <w:pPr>
        <w:spacing w:line="360" w:lineRule="auto"/>
        <w:contextualSpacing/>
        <w:rPr>
          <w:rFonts w:ascii="Palatino Linotype" w:eastAsia="Palatino Linotype" w:hAnsi="Palatino Linotype" w:cs="Palatino Linotype"/>
        </w:rPr>
      </w:pPr>
    </w:p>
    <w:p w14:paraId="5983F9CB" w14:textId="77777777" w:rsidR="00AC74D3" w:rsidRDefault="00AC74D3" w:rsidP="00A54B20">
      <w:pPr>
        <w:spacing w:line="360" w:lineRule="auto"/>
        <w:contextualSpacing/>
        <w:rPr>
          <w:rFonts w:ascii="Palatino Linotype" w:eastAsia="Palatino Linotype" w:hAnsi="Palatino Linotype" w:cs="Palatino Linotype"/>
        </w:rPr>
      </w:pPr>
    </w:p>
    <w:p w14:paraId="3712D004" w14:textId="77777777" w:rsidR="00AC74D3" w:rsidRDefault="00AC74D3" w:rsidP="00A54B20">
      <w:pPr>
        <w:spacing w:line="360" w:lineRule="auto"/>
        <w:contextualSpacing/>
        <w:rPr>
          <w:rFonts w:ascii="Palatino Linotype" w:eastAsia="Palatino Linotype" w:hAnsi="Palatino Linotype" w:cs="Palatino Linotype"/>
        </w:rPr>
      </w:pPr>
    </w:p>
    <w:p w14:paraId="67C2F92D" w14:textId="77777777" w:rsidR="00AC74D3" w:rsidRDefault="00AC74D3" w:rsidP="00A54B20">
      <w:pPr>
        <w:spacing w:line="360" w:lineRule="auto"/>
        <w:contextualSpacing/>
        <w:rPr>
          <w:rFonts w:ascii="Palatino Linotype" w:eastAsia="Palatino Linotype" w:hAnsi="Palatino Linotype" w:cs="Palatino Linotype"/>
        </w:rPr>
      </w:pPr>
    </w:p>
    <w:p w14:paraId="3DDE1761" w14:textId="77777777" w:rsidR="00AC74D3" w:rsidRDefault="00AC74D3" w:rsidP="00A54B20">
      <w:pPr>
        <w:spacing w:line="360" w:lineRule="auto"/>
        <w:contextualSpacing/>
        <w:rPr>
          <w:rFonts w:ascii="Palatino Linotype" w:eastAsia="Palatino Linotype" w:hAnsi="Palatino Linotype" w:cs="Palatino Linotype"/>
        </w:rPr>
      </w:pPr>
    </w:p>
    <w:p w14:paraId="0C33AA86" w14:textId="77777777" w:rsidR="00AC74D3" w:rsidRDefault="00AC74D3" w:rsidP="00A54B20">
      <w:pPr>
        <w:spacing w:line="360" w:lineRule="auto"/>
        <w:contextualSpacing/>
        <w:rPr>
          <w:rFonts w:ascii="Palatino Linotype" w:eastAsia="Palatino Linotype" w:hAnsi="Palatino Linotype" w:cs="Palatino Linotype"/>
        </w:rPr>
      </w:pPr>
    </w:p>
    <w:p w14:paraId="352198B1" w14:textId="77777777" w:rsidR="00AC74D3" w:rsidRDefault="00AC74D3" w:rsidP="00A54B20">
      <w:pPr>
        <w:spacing w:line="360" w:lineRule="auto"/>
        <w:contextualSpacing/>
        <w:rPr>
          <w:rFonts w:ascii="Palatino Linotype" w:eastAsia="Palatino Linotype" w:hAnsi="Palatino Linotype" w:cs="Palatino Linotype"/>
        </w:rPr>
      </w:pPr>
    </w:p>
    <w:p w14:paraId="64EB991D" w14:textId="77777777" w:rsidR="00AC74D3" w:rsidRDefault="00AC74D3" w:rsidP="00A54B20">
      <w:pPr>
        <w:spacing w:line="360" w:lineRule="auto"/>
        <w:contextualSpacing/>
        <w:rPr>
          <w:rFonts w:ascii="Palatino Linotype" w:eastAsia="Palatino Linotype" w:hAnsi="Palatino Linotype" w:cs="Palatino Linotype"/>
        </w:rPr>
      </w:pPr>
    </w:p>
    <w:p w14:paraId="3D5DCD12" w14:textId="77777777" w:rsidR="00AC74D3" w:rsidRDefault="00AC74D3" w:rsidP="00A54B20">
      <w:pPr>
        <w:spacing w:line="360" w:lineRule="auto"/>
        <w:contextualSpacing/>
        <w:rPr>
          <w:rFonts w:ascii="Palatino Linotype" w:eastAsia="Palatino Linotype" w:hAnsi="Palatino Linotype" w:cs="Palatino Linotype"/>
        </w:rPr>
      </w:pPr>
    </w:p>
    <w:p w14:paraId="5290F5B8" w14:textId="77777777" w:rsidR="00AC74D3" w:rsidRDefault="00AC74D3" w:rsidP="00A54B20">
      <w:pPr>
        <w:spacing w:line="360" w:lineRule="auto"/>
        <w:contextualSpacing/>
        <w:rPr>
          <w:rFonts w:ascii="Palatino Linotype" w:eastAsia="Palatino Linotype" w:hAnsi="Palatino Linotype" w:cs="Palatino Linotype"/>
        </w:rPr>
      </w:pPr>
    </w:p>
    <w:p w14:paraId="1E2F66F1" w14:textId="77777777" w:rsidR="00AC74D3" w:rsidRDefault="00AC74D3" w:rsidP="00A54B20">
      <w:pPr>
        <w:spacing w:line="360" w:lineRule="auto"/>
        <w:contextualSpacing/>
        <w:rPr>
          <w:rFonts w:ascii="Palatino Linotype" w:eastAsia="Palatino Linotype" w:hAnsi="Palatino Linotype" w:cs="Palatino Linotype"/>
        </w:rPr>
      </w:pPr>
    </w:p>
    <w:p w14:paraId="1B8CEFE3" w14:textId="77777777" w:rsidR="00AC74D3" w:rsidRDefault="00AC74D3" w:rsidP="00A54B20">
      <w:pPr>
        <w:spacing w:line="360" w:lineRule="auto"/>
        <w:contextualSpacing/>
        <w:rPr>
          <w:rFonts w:ascii="Palatino Linotype" w:eastAsia="Palatino Linotype" w:hAnsi="Palatino Linotype" w:cs="Palatino Linotype"/>
        </w:rPr>
      </w:pPr>
    </w:p>
    <w:p w14:paraId="08DBA41F" w14:textId="77777777" w:rsidR="00AC74D3" w:rsidRDefault="00AC74D3" w:rsidP="00A54B20">
      <w:pPr>
        <w:spacing w:line="360" w:lineRule="auto"/>
        <w:contextualSpacing/>
        <w:rPr>
          <w:rFonts w:ascii="Palatino Linotype" w:eastAsia="Palatino Linotype" w:hAnsi="Palatino Linotype" w:cs="Palatino Linotype"/>
        </w:rPr>
      </w:pPr>
    </w:p>
    <w:p w14:paraId="6D33E5C4" w14:textId="77777777" w:rsidR="00AC74D3" w:rsidRDefault="00AC74D3" w:rsidP="00A54B20">
      <w:pPr>
        <w:spacing w:line="360" w:lineRule="auto"/>
        <w:contextualSpacing/>
      </w:pPr>
    </w:p>
    <w:p w14:paraId="7B028C5B" w14:textId="77777777" w:rsidR="00AC74D3" w:rsidRDefault="00AC74D3" w:rsidP="00A54B20">
      <w:pPr>
        <w:spacing w:line="360" w:lineRule="auto"/>
        <w:contextualSpacing/>
      </w:pPr>
    </w:p>
    <w:p w14:paraId="2BCF7E83" w14:textId="77777777" w:rsidR="00AC74D3" w:rsidRDefault="00AC74D3" w:rsidP="00A54B20">
      <w:pPr>
        <w:spacing w:line="360" w:lineRule="auto"/>
        <w:contextualSpacing/>
      </w:pPr>
    </w:p>
    <w:p w14:paraId="52354061" w14:textId="77777777" w:rsidR="00AC74D3" w:rsidRDefault="00AC74D3" w:rsidP="00A54B20">
      <w:pPr>
        <w:spacing w:line="360" w:lineRule="auto"/>
        <w:contextualSpacing/>
      </w:pPr>
    </w:p>
    <w:p w14:paraId="5FF3AC71" w14:textId="77777777" w:rsidR="00AC74D3" w:rsidRDefault="00AC74D3" w:rsidP="00A54B20">
      <w:pPr>
        <w:spacing w:line="360" w:lineRule="auto"/>
        <w:contextualSpacing/>
      </w:pPr>
    </w:p>
    <w:p w14:paraId="222B57C6" w14:textId="77777777" w:rsidR="00AC74D3" w:rsidRDefault="00AC74D3" w:rsidP="00A54B20">
      <w:pPr>
        <w:spacing w:line="360" w:lineRule="auto"/>
        <w:contextualSpacing/>
      </w:pPr>
    </w:p>
    <w:p w14:paraId="73D30FE8" w14:textId="77777777" w:rsidR="00AC74D3" w:rsidRDefault="00AC74D3" w:rsidP="00A54B20">
      <w:pPr>
        <w:spacing w:line="360" w:lineRule="auto"/>
        <w:contextualSpacing/>
      </w:pPr>
    </w:p>
    <w:p w14:paraId="03163457" w14:textId="77777777" w:rsidR="00AC74D3" w:rsidRDefault="00AC74D3" w:rsidP="00A54B20">
      <w:pPr>
        <w:spacing w:line="360" w:lineRule="auto"/>
        <w:contextualSpacing/>
      </w:pPr>
    </w:p>
    <w:p w14:paraId="05E2A73B" w14:textId="77777777" w:rsidR="00AC74D3" w:rsidRDefault="00AC74D3" w:rsidP="00A54B20">
      <w:pPr>
        <w:spacing w:line="360" w:lineRule="auto"/>
        <w:contextualSpacing/>
      </w:pPr>
    </w:p>
    <w:p w14:paraId="633629B2" w14:textId="77777777" w:rsidR="00AC74D3" w:rsidRDefault="00AC74D3" w:rsidP="00A54B20">
      <w:pPr>
        <w:spacing w:line="360" w:lineRule="auto"/>
        <w:contextualSpacing/>
      </w:pPr>
    </w:p>
    <w:bookmarkEnd w:id="0"/>
    <w:p w14:paraId="2FEA8964" w14:textId="77777777" w:rsidR="00AC74D3" w:rsidRDefault="00AC74D3" w:rsidP="00A54B20">
      <w:pPr>
        <w:spacing w:line="360" w:lineRule="auto"/>
        <w:contextualSpacing/>
      </w:pPr>
    </w:p>
    <w:p w14:paraId="53A595EC" w14:textId="77777777" w:rsidR="00AC74D3" w:rsidRDefault="00AC74D3" w:rsidP="00A54B20">
      <w:pPr>
        <w:spacing w:line="360" w:lineRule="auto"/>
        <w:contextualSpacing/>
      </w:pPr>
    </w:p>
    <w:p w14:paraId="12755B59" w14:textId="77777777" w:rsidR="00AC74D3" w:rsidRDefault="00AC74D3" w:rsidP="00A54B20">
      <w:pPr>
        <w:spacing w:line="360" w:lineRule="auto"/>
        <w:contextualSpacing/>
      </w:pPr>
    </w:p>
    <w:p w14:paraId="5DC43C46" w14:textId="77777777" w:rsidR="00B01980" w:rsidRDefault="00B01980" w:rsidP="00A54B20">
      <w:pPr>
        <w:spacing w:line="360" w:lineRule="auto"/>
        <w:contextualSpacing/>
      </w:pPr>
    </w:p>
    <w:sectPr w:rsidR="00B01980" w:rsidSect="00AC74D3">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A6BE2" w14:textId="77777777" w:rsidR="005123DE" w:rsidRDefault="005123DE" w:rsidP="00AC74D3">
      <w:r>
        <w:separator/>
      </w:r>
    </w:p>
  </w:endnote>
  <w:endnote w:type="continuationSeparator" w:id="0">
    <w:p w14:paraId="7544B1AC" w14:textId="77777777" w:rsidR="005123DE" w:rsidRDefault="005123DE" w:rsidP="00AC7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elle Sans Devanagari">
    <w:charset w:val="B2"/>
    <w:family w:val="auto"/>
    <w:pitch w:val="variable"/>
    <w:sig w:usb0="0300A007" w:usb1="00000001" w:usb2="00000008" w:usb3="00000000" w:csb0="000100D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CD2F46" w14:textId="77777777" w:rsidR="00AC74D3" w:rsidRDefault="00AC74D3">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025368">
      <w:rPr>
        <w:rFonts w:ascii="Palatino Linotype" w:eastAsia="Palatino Linotype" w:hAnsi="Palatino Linotype" w:cs="Palatino Linotype"/>
        <w:b/>
        <w:noProof/>
        <w:color w:val="000000"/>
        <w:sz w:val="22"/>
        <w:szCs w:val="22"/>
      </w:rPr>
      <w:t>36</w:t>
    </w:r>
    <w:r>
      <w:rPr>
        <w:rFonts w:ascii="Palatino Linotype" w:eastAsia="Palatino Linotype" w:hAnsi="Palatino Linotype" w:cs="Palatino Linotype"/>
        <w:b/>
        <w:color w:val="000000"/>
        <w:sz w:val="22"/>
        <w:szCs w:val="22"/>
      </w:rPr>
      <w:fldChar w:fldCharType="end"/>
    </w:r>
  </w:p>
  <w:p w14:paraId="0E9B7656" w14:textId="77777777" w:rsidR="00AC74D3" w:rsidRDefault="00AC74D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38673" w14:textId="77777777" w:rsidR="00AC74D3" w:rsidRDefault="00AC74D3">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025368">
      <w:rPr>
        <w:rFonts w:ascii="Palatino Linotype" w:eastAsia="Palatino Linotype" w:hAnsi="Palatino Linotype" w:cs="Palatino Linotype"/>
        <w:b/>
        <w:noProof/>
        <w:color w:val="000000"/>
        <w:sz w:val="22"/>
        <w:szCs w:val="22"/>
      </w:rPr>
      <w:t>35</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025368">
      <w:rPr>
        <w:rFonts w:ascii="Palatino Linotype" w:eastAsia="Palatino Linotype" w:hAnsi="Palatino Linotype" w:cs="Palatino Linotype"/>
        <w:b/>
        <w:noProof/>
        <w:color w:val="000000"/>
        <w:sz w:val="22"/>
        <w:szCs w:val="22"/>
      </w:rPr>
      <w:t>36</w:t>
    </w:r>
    <w:r>
      <w:rPr>
        <w:rFonts w:ascii="Palatino Linotype" w:eastAsia="Palatino Linotype" w:hAnsi="Palatino Linotype" w:cs="Palatino Linotype"/>
        <w:b/>
        <w:color w:val="000000"/>
        <w:sz w:val="22"/>
        <w:szCs w:val="22"/>
      </w:rPr>
      <w:fldChar w:fldCharType="end"/>
    </w:r>
  </w:p>
  <w:p w14:paraId="7019A7BE" w14:textId="77777777" w:rsidR="00AC74D3" w:rsidRDefault="00AC74D3">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1D734" w14:textId="77777777" w:rsidR="00AC74D3" w:rsidRDefault="00AC74D3">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PAGE</w:instrText>
    </w:r>
    <w:r>
      <w:rPr>
        <w:rFonts w:ascii="Palatino Linotype" w:eastAsia="Palatino Linotype" w:hAnsi="Palatino Linotype" w:cs="Palatino Linotype"/>
        <w:b/>
        <w:color w:val="000000"/>
        <w:sz w:val="22"/>
        <w:szCs w:val="22"/>
      </w:rPr>
      <w:fldChar w:fldCharType="separate"/>
    </w:r>
    <w:r w:rsidR="00025368">
      <w:rPr>
        <w:rFonts w:ascii="Palatino Linotype" w:eastAsia="Palatino Linotype" w:hAnsi="Palatino Linotype" w:cs="Palatino Linotype"/>
        <w:b/>
        <w:noProof/>
        <w:color w:val="000000"/>
        <w:sz w:val="22"/>
        <w:szCs w:val="22"/>
      </w:rPr>
      <w:t>1</w:t>
    </w:r>
    <w:r>
      <w:rPr>
        <w:rFonts w:ascii="Palatino Linotype" w:eastAsia="Palatino Linotype" w:hAnsi="Palatino Linotype" w:cs="Palatino Linotype"/>
        <w:b/>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color w:val="000000"/>
        <w:sz w:val="22"/>
        <w:szCs w:val="22"/>
      </w:rPr>
      <w:fldChar w:fldCharType="begin"/>
    </w:r>
    <w:r>
      <w:rPr>
        <w:rFonts w:ascii="Palatino Linotype" w:eastAsia="Palatino Linotype" w:hAnsi="Palatino Linotype" w:cs="Palatino Linotype"/>
        <w:b/>
        <w:color w:val="000000"/>
        <w:sz w:val="22"/>
        <w:szCs w:val="22"/>
      </w:rPr>
      <w:instrText>NUMPAGES</w:instrText>
    </w:r>
    <w:r>
      <w:rPr>
        <w:rFonts w:ascii="Palatino Linotype" w:eastAsia="Palatino Linotype" w:hAnsi="Palatino Linotype" w:cs="Palatino Linotype"/>
        <w:b/>
        <w:color w:val="000000"/>
        <w:sz w:val="22"/>
        <w:szCs w:val="22"/>
      </w:rPr>
      <w:fldChar w:fldCharType="separate"/>
    </w:r>
    <w:r w:rsidR="00025368">
      <w:rPr>
        <w:rFonts w:ascii="Palatino Linotype" w:eastAsia="Palatino Linotype" w:hAnsi="Palatino Linotype" w:cs="Palatino Linotype"/>
        <w:b/>
        <w:noProof/>
        <w:color w:val="000000"/>
        <w:sz w:val="22"/>
        <w:szCs w:val="22"/>
      </w:rPr>
      <w:t>36</w:t>
    </w:r>
    <w:r>
      <w:rPr>
        <w:rFonts w:ascii="Palatino Linotype" w:eastAsia="Palatino Linotype" w:hAnsi="Palatino Linotype" w:cs="Palatino Linotype"/>
        <w:b/>
        <w:color w:val="000000"/>
        <w:sz w:val="22"/>
        <w:szCs w:val="22"/>
      </w:rPr>
      <w:fldChar w:fldCharType="end"/>
    </w:r>
  </w:p>
  <w:p w14:paraId="1C69DA1B" w14:textId="77777777" w:rsidR="00AC74D3" w:rsidRDefault="00AC74D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CE091C" w14:textId="77777777" w:rsidR="005123DE" w:rsidRDefault="005123DE" w:rsidP="00AC74D3">
      <w:r>
        <w:separator/>
      </w:r>
    </w:p>
  </w:footnote>
  <w:footnote w:type="continuationSeparator" w:id="0">
    <w:p w14:paraId="2CBB99E9" w14:textId="77777777" w:rsidR="005123DE" w:rsidRDefault="005123DE" w:rsidP="00AC7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B65F9" w14:textId="77777777" w:rsidR="00AC74D3" w:rsidRDefault="00AC74D3">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AC74D3" w14:paraId="5D71E5B2" w14:textId="77777777">
      <w:trPr>
        <w:trHeight w:val="1435"/>
      </w:trPr>
      <w:tc>
        <w:tcPr>
          <w:tcW w:w="2972" w:type="dxa"/>
        </w:tcPr>
        <w:p w14:paraId="01E3E45E" w14:textId="77777777" w:rsidR="00AC74D3" w:rsidRDefault="00AC74D3">
          <w:pPr>
            <w:tabs>
              <w:tab w:val="right" w:pos="4273"/>
            </w:tabs>
            <w:spacing w:line="256" w:lineRule="auto"/>
            <w:rPr>
              <w:rFonts w:ascii="Garamond" w:eastAsia="Garamond" w:hAnsi="Garamond" w:cs="Garamond"/>
              <w:sz w:val="22"/>
              <w:szCs w:val="22"/>
            </w:rPr>
          </w:pPr>
        </w:p>
      </w:tc>
      <w:tc>
        <w:tcPr>
          <w:tcW w:w="6733" w:type="dxa"/>
        </w:tcPr>
        <w:p w14:paraId="1EBC94A3" w14:textId="77777777" w:rsidR="00AC74D3" w:rsidRDefault="00AC74D3">
          <w:pPr>
            <w:widowControl w:val="0"/>
            <w:pBdr>
              <w:top w:val="nil"/>
              <w:left w:val="nil"/>
              <w:bottom w:val="nil"/>
              <w:right w:val="nil"/>
              <w:between w:val="nil"/>
            </w:pBdr>
            <w:spacing w:line="276" w:lineRule="auto"/>
            <w:rPr>
              <w:rFonts w:ascii="Garamond" w:eastAsia="Garamond" w:hAnsi="Garamond" w:cs="Garamond"/>
              <w:sz w:val="22"/>
              <w:szCs w:val="22"/>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AC74D3" w14:paraId="2D8E2FB1" w14:textId="77777777">
            <w:trPr>
              <w:trHeight w:val="144"/>
            </w:trPr>
            <w:tc>
              <w:tcPr>
                <w:tcW w:w="2447" w:type="dxa"/>
              </w:tcPr>
              <w:p w14:paraId="439EE452" w14:textId="77777777" w:rsidR="00AC74D3" w:rsidRDefault="00AC74D3">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088" w:type="dxa"/>
              </w:tcPr>
              <w:p w14:paraId="41A9E39F" w14:textId="77777777" w:rsidR="00AC74D3" w:rsidRDefault="00AC74D3">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02946/INFOEM/IP/RR/2021</w:t>
                </w:r>
              </w:p>
            </w:tc>
          </w:tr>
          <w:tr w:rsidR="00AC74D3" w14:paraId="1198A09F" w14:textId="77777777">
            <w:trPr>
              <w:trHeight w:val="283"/>
            </w:trPr>
            <w:tc>
              <w:tcPr>
                <w:tcW w:w="2447" w:type="dxa"/>
              </w:tcPr>
              <w:p w14:paraId="42C8667A" w14:textId="77777777" w:rsidR="00AC74D3" w:rsidRDefault="00AC74D3">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088" w:type="dxa"/>
              </w:tcPr>
              <w:p w14:paraId="1D10339C" w14:textId="77777777" w:rsidR="00AC74D3" w:rsidRDefault="00AC74D3">
                <w:pPr>
                  <w:tabs>
                    <w:tab w:val="left" w:pos="2834"/>
                    <w:tab w:val="right" w:pos="8838"/>
                  </w:tabs>
                  <w:ind w:left="-74" w:right="-105"/>
                  <w:jc w:val="both"/>
                  <w:rPr>
                    <w:rFonts w:ascii="Palatino Linotype" w:eastAsia="Palatino Linotype" w:hAnsi="Palatino Linotype" w:cs="Palatino Linotype"/>
                    <w:b/>
                    <w:sz w:val="22"/>
                    <w:szCs w:val="22"/>
                  </w:rPr>
                </w:pPr>
                <w:r>
                  <w:rPr>
                    <w:rFonts w:ascii="Palatino Linotype" w:eastAsia="Palatino Linotype" w:hAnsi="Palatino Linotype" w:cs="Palatino Linotype"/>
                    <w:sz w:val="22"/>
                    <w:szCs w:val="22"/>
                  </w:rPr>
                  <w:t>Ayuntamiento de San Antonio la Isla</w:t>
                </w:r>
              </w:p>
            </w:tc>
          </w:tr>
          <w:tr w:rsidR="00AC74D3" w14:paraId="4FF4ACA8" w14:textId="77777777">
            <w:trPr>
              <w:trHeight w:val="283"/>
            </w:trPr>
            <w:tc>
              <w:tcPr>
                <w:tcW w:w="2447" w:type="dxa"/>
              </w:tcPr>
              <w:p w14:paraId="2756A90A" w14:textId="77777777" w:rsidR="00AC74D3" w:rsidRDefault="00AC74D3">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088" w:type="dxa"/>
              </w:tcPr>
              <w:p w14:paraId="429F9DBA" w14:textId="77777777" w:rsidR="00AC74D3" w:rsidRDefault="00AC74D3">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p w14:paraId="0072D226" w14:textId="77777777" w:rsidR="00AC74D3" w:rsidRDefault="00AC74D3">
                <w:pPr>
                  <w:tabs>
                    <w:tab w:val="right" w:pos="8838"/>
                  </w:tabs>
                  <w:ind w:left="-74" w:right="-105"/>
                  <w:jc w:val="both"/>
                  <w:rPr>
                    <w:rFonts w:ascii="Palatino Linotype" w:eastAsia="Palatino Linotype" w:hAnsi="Palatino Linotype" w:cs="Palatino Linotype"/>
                    <w:b/>
                    <w:sz w:val="22"/>
                    <w:szCs w:val="22"/>
                  </w:rPr>
                </w:pPr>
              </w:p>
            </w:tc>
          </w:tr>
        </w:tbl>
        <w:p w14:paraId="7890935A" w14:textId="77777777" w:rsidR="00AC74D3" w:rsidRDefault="00AC74D3">
          <w:pPr>
            <w:tabs>
              <w:tab w:val="right" w:pos="8838"/>
            </w:tabs>
            <w:spacing w:line="256" w:lineRule="auto"/>
            <w:ind w:left="-28"/>
            <w:jc w:val="both"/>
            <w:rPr>
              <w:rFonts w:ascii="Arial" w:eastAsia="Arial" w:hAnsi="Arial" w:cs="Arial"/>
              <w:b/>
              <w:sz w:val="22"/>
              <w:szCs w:val="22"/>
            </w:rPr>
          </w:pPr>
        </w:p>
      </w:tc>
    </w:tr>
  </w:tbl>
  <w:p w14:paraId="7585BD32" w14:textId="77777777" w:rsidR="00AC74D3" w:rsidRDefault="00AC74D3">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7728" behindDoc="1" locked="0" layoutInCell="1" hidden="0" allowOverlap="1" wp14:anchorId="7F724DFF" wp14:editId="5F272845">
          <wp:simplePos x="0" y="0"/>
          <wp:positionH relativeFrom="margin">
            <wp:posOffset>-1381124</wp:posOffset>
          </wp:positionH>
          <wp:positionV relativeFrom="margin">
            <wp:posOffset>-1611629</wp:posOffset>
          </wp:positionV>
          <wp:extent cx="5612130" cy="7308215"/>
          <wp:effectExtent l="0" t="0" r="0" b="0"/>
          <wp:wrapNone/>
          <wp:docPr id="20503282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0C9FC" w14:textId="77777777" w:rsidR="00AC74D3" w:rsidRDefault="00AC74D3">
    <w:pPr>
      <w:widowControl w:val="0"/>
      <w:pBdr>
        <w:top w:val="nil"/>
        <w:left w:val="nil"/>
        <w:bottom w:val="nil"/>
        <w:right w:val="nil"/>
        <w:between w:val="nil"/>
      </w:pBdr>
      <w:spacing w:line="276" w:lineRule="auto"/>
      <w:rPr>
        <w:color w:val="000000"/>
      </w:rPr>
    </w:pPr>
  </w:p>
  <w:tbl>
    <w:tblPr>
      <w:tblW w:w="9356" w:type="dxa"/>
      <w:tblLayout w:type="fixed"/>
      <w:tblLook w:val="0400" w:firstRow="0" w:lastRow="0" w:firstColumn="0" w:lastColumn="0" w:noHBand="0" w:noVBand="1"/>
    </w:tblPr>
    <w:tblGrid>
      <w:gridCol w:w="1985"/>
      <w:gridCol w:w="7371"/>
    </w:tblGrid>
    <w:tr w:rsidR="00AC74D3" w14:paraId="18F7B1E1" w14:textId="77777777">
      <w:trPr>
        <w:trHeight w:val="1435"/>
      </w:trPr>
      <w:tc>
        <w:tcPr>
          <w:tcW w:w="1985" w:type="dxa"/>
        </w:tcPr>
        <w:p w14:paraId="5C91D077" w14:textId="77777777" w:rsidR="00AC74D3" w:rsidRDefault="00AC74D3">
          <w:pPr>
            <w:tabs>
              <w:tab w:val="right" w:pos="4273"/>
            </w:tabs>
            <w:spacing w:line="256" w:lineRule="auto"/>
            <w:rPr>
              <w:rFonts w:ascii="Garamond" w:eastAsia="Garamond" w:hAnsi="Garamond" w:cs="Garamond"/>
              <w:sz w:val="22"/>
              <w:szCs w:val="22"/>
            </w:rPr>
          </w:pPr>
        </w:p>
      </w:tc>
      <w:tc>
        <w:tcPr>
          <w:tcW w:w="7371" w:type="dxa"/>
        </w:tcPr>
        <w:p w14:paraId="60F75240" w14:textId="77777777" w:rsidR="00AC74D3" w:rsidRDefault="00AC74D3">
          <w:pPr>
            <w:rPr>
              <w:sz w:val="28"/>
              <w:szCs w:val="28"/>
            </w:rPr>
          </w:pPr>
        </w:p>
        <w:tbl>
          <w:tblPr>
            <w:tblW w:w="8072" w:type="dxa"/>
            <w:tblInd w:w="1161" w:type="dxa"/>
            <w:tblBorders>
              <w:top w:val="nil"/>
              <w:left w:val="nil"/>
              <w:bottom w:val="nil"/>
              <w:right w:val="nil"/>
              <w:insideH w:val="nil"/>
              <w:insideV w:val="nil"/>
            </w:tblBorders>
            <w:tblLayout w:type="fixed"/>
            <w:tblLook w:val="0400" w:firstRow="0" w:lastRow="0" w:firstColumn="0" w:lastColumn="0" w:noHBand="0" w:noVBand="1"/>
          </w:tblPr>
          <w:tblGrid>
            <w:gridCol w:w="2841"/>
            <w:gridCol w:w="2835"/>
            <w:gridCol w:w="2396"/>
          </w:tblGrid>
          <w:tr w:rsidR="00AC74D3" w14:paraId="00A668DC" w14:textId="77777777">
            <w:trPr>
              <w:trHeight w:val="194"/>
            </w:trPr>
            <w:tc>
              <w:tcPr>
                <w:tcW w:w="2841" w:type="dxa"/>
              </w:tcPr>
              <w:p w14:paraId="0B1B461B" w14:textId="77777777" w:rsidR="00AC74D3" w:rsidRDefault="00AC74D3">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835" w:type="dxa"/>
              </w:tcPr>
              <w:p w14:paraId="305D4005" w14:textId="592E84BD" w:rsidR="00AC74D3" w:rsidRDefault="00AC74D3">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013816/INFOEM/IP/RR/2025</w:t>
                </w:r>
              </w:p>
            </w:tc>
            <w:tc>
              <w:tcPr>
                <w:tcW w:w="2396" w:type="dxa"/>
              </w:tcPr>
              <w:p w14:paraId="046DBADD" w14:textId="77777777" w:rsidR="00AC74D3" w:rsidRDefault="00AC74D3">
                <w:pPr>
                  <w:tabs>
                    <w:tab w:val="right" w:pos="8838"/>
                  </w:tabs>
                  <w:ind w:left="-114" w:right="-105"/>
                  <w:jc w:val="both"/>
                  <w:rPr>
                    <w:rFonts w:ascii="Palatino Linotype" w:eastAsia="Palatino Linotype" w:hAnsi="Palatino Linotype" w:cs="Palatino Linotype"/>
                    <w:sz w:val="22"/>
                    <w:szCs w:val="22"/>
                  </w:rPr>
                </w:pPr>
              </w:p>
            </w:tc>
          </w:tr>
          <w:tr w:rsidR="00AC74D3" w14:paraId="00A1A71B" w14:textId="77777777">
            <w:trPr>
              <w:trHeight w:val="88"/>
            </w:trPr>
            <w:tc>
              <w:tcPr>
                <w:tcW w:w="2841" w:type="dxa"/>
              </w:tcPr>
              <w:p w14:paraId="0B1178B9" w14:textId="77777777" w:rsidR="00AC74D3" w:rsidRDefault="00AC74D3">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835" w:type="dxa"/>
              </w:tcPr>
              <w:p w14:paraId="3850F88C" w14:textId="77777777" w:rsidR="00AC74D3" w:rsidRDefault="00AC74D3">
                <w:pPr>
                  <w:tabs>
                    <w:tab w:val="left" w:pos="2834"/>
                    <w:tab w:val="right" w:pos="8838"/>
                  </w:tabs>
                  <w:ind w:left="-114"/>
                  <w:jc w:val="both"/>
                  <w:rPr>
                    <w:rFonts w:ascii="Palatino Linotype" w:eastAsia="Palatino Linotype" w:hAnsi="Palatino Linotype" w:cs="Palatino Linotype"/>
                    <w:b/>
                    <w:sz w:val="32"/>
                    <w:szCs w:val="32"/>
                  </w:rPr>
                </w:pPr>
                <w:r>
                  <w:rPr>
                    <w:rFonts w:ascii="Palatino Linotype" w:eastAsia="Palatino Linotype" w:hAnsi="Palatino Linotype" w:cs="Palatino Linotype"/>
                    <w:sz w:val="22"/>
                    <w:szCs w:val="22"/>
                  </w:rPr>
                  <w:t>Ayuntamiento de Toluca</w:t>
                </w:r>
              </w:p>
            </w:tc>
            <w:tc>
              <w:tcPr>
                <w:tcW w:w="2396" w:type="dxa"/>
              </w:tcPr>
              <w:p w14:paraId="155BDFB4" w14:textId="77777777" w:rsidR="00AC74D3" w:rsidRDefault="00AC74D3">
                <w:pPr>
                  <w:tabs>
                    <w:tab w:val="left" w:pos="2834"/>
                    <w:tab w:val="right" w:pos="8838"/>
                  </w:tabs>
                  <w:ind w:left="-114"/>
                  <w:jc w:val="both"/>
                  <w:rPr>
                    <w:rFonts w:ascii="Palatino Linotype" w:eastAsia="Palatino Linotype" w:hAnsi="Palatino Linotype" w:cs="Palatino Linotype"/>
                    <w:sz w:val="22"/>
                    <w:szCs w:val="22"/>
                  </w:rPr>
                </w:pPr>
              </w:p>
            </w:tc>
          </w:tr>
          <w:tr w:rsidR="00AC74D3" w14:paraId="670C92FB" w14:textId="77777777">
            <w:trPr>
              <w:trHeight w:val="383"/>
            </w:trPr>
            <w:tc>
              <w:tcPr>
                <w:tcW w:w="2841" w:type="dxa"/>
              </w:tcPr>
              <w:p w14:paraId="54945873" w14:textId="77777777" w:rsidR="00AC74D3" w:rsidRDefault="00AC74D3">
                <w:pPr>
                  <w:tabs>
                    <w:tab w:val="right" w:pos="8838"/>
                  </w:tabs>
                  <w:ind w:left="-11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2835" w:type="dxa"/>
              </w:tcPr>
              <w:p w14:paraId="5A1222F9" w14:textId="77777777" w:rsidR="00AC74D3" w:rsidRDefault="00AC74D3">
                <w:pPr>
                  <w:tabs>
                    <w:tab w:val="right" w:pos="8838"/>
                  </w:tabs>
                  <w:ind w:left="-11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c>
              <w:tcPr>
                <w:tcW w:w="2396" w:type="dxa"/>
              </w:tcPr>
              <w:p w14:paraId="04D47EAE" w14:textId="77777777" w:rsidR="00AC74D3" w:rsidRDefault="00AC74D3">
                <w:pPr>
                  <w:tabs>
                    <w:tab w:val="right" w:pos="8838"/>
                  </w:tabs>
                  <w:ind w:left="-114" w:right="-105"/>
                  <w:jc w:val="both"/>
                  <w:rPr>
                    <w:rFonts w:ascii="Palatino Linotype" w:eastAsia="Palatino Linotype" w:hAnsi="Palatino Linotype" w:cs="Palatino Linotype"/>
                    <w:sz w:val="22"/>
                    <w:szCs w:val="22"/>
                  </w:rPr>
                </w:pPr>
              </w:p>
            </w:tc>
          </w:tr>
        </w:tbl>
        <w:p w14:paraId="686F82BE" w14:textId="77777777" w:rsidR="00AC74D3" w:rsidRDefault="00AC74D3">
          <w:pPr>
            <w:tabs>
              <w:tab w:val="right" w:pos="8838"/>
            </w:tabs>
            <w:spacing w:line="256" w:lineRule="auto"/>
            <w:ind w:left="-28"/>
            <w:jc w:val="both"/>
            <w:rPr>
              <w:rFonts w:ascii="Arial" w:eastAsia="Arial" w:hAnsi="Arial" w:cs="Arial"/>
              <w:b/>
              <w:sz w:val="22"/>
              <w:szCs w:val="22"/>
            </w:rPr>
          </w:pPr>
        </w:p>
      </w:tc>
    </w:tr>
  </w:tbl>
  <w:p w14:paraId="716FCC11" w14:textId="77777777" w:rsidR="00AC74D3" w:rsidRDefault="00AC74D3">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sz w:val="22"/>
        <w:szCs w:val="22"/>
      </w:rPr>
      <w:drawing>
        <wp:anchor distT="0" distB="0" distL="0" distR="0" simplePos="0" relativeHeight="251656704" behindDoc="1" locked="0" layoutInCell="1" hidden="0" allowOverlap="1" wp14:anchorId="0C796829" wp14:editId="289DB248">
          <wp:simplePos x="0" y="0"/>
          <wp:positionH relativeFrom="margin">
            <wp:posOffset>-1152525</wp:posOffset>
          </wp:positionH>
          <wp:positionV relativeFrom="margin">
            <wp:posOffset>-1538605</wp:posOffset>
          </wp:positionV>
          <wp:extent cx="7835900" cy="10206000"/>
          <wp:effectExtent l="0" t="0" r="0" b="5080"/>
          <wp:wrapNone/>
          <wp:docPr id="20503282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60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CB1FF" w14:textId="77777777" w:rsidR="00AC74D3" w:rsidRDefault="00AC74D3">
    <w:pPr>
      <w:widowControl w:val="0"/>
      <w:pBdr>
        <w:top w:val="nil"/>
        <w:left w:val="nil"/>
        <w:bottom w:val="nil"/>
        <w:right w:val="nil"/>
        <w:between w:val="nil"/>
      </w:pBdr>
      <w:spacing w:line="276" w:lineRule="auto"/>
      <w:rPr>
        <w:color w:val="000000"/>
      </w:rPr>
    </w:pPr>
  </w:p>
  <w:tbl>
    <w:tblPr>
      <w:tblW w:w="9214" w:type="dxa"/>
      <w:tblLayout w:type="fixed"/>
      <w:tblLook w:val="0400" w:firstRow="0" w:lastRow="0" w:firstColumn="0" w:lastColumn="0" w:noHBand="0" w:noVBand="1"/>
    </w:tblPr>
    <w:tblGrid>
      <w:gridCol w:w="1560"/>
      <w:gridCol w:w="7654"/>
    </w:tblGrid>
    <w:tr w:rsidR="00AC74D3" w14:paraId="02273B18" w14:textId="77777777">
      <w:trPr>
        <w:trHeight w:val="1435"/>
      </w:trPr>
      <w:tc>
        <w:tcPr>
          <w:tcW w:w="1560" w:type="dxa"/>
        </w:tcPr>
        <w:p w14:paraId="50A57334" w14:textId="77777777" w:rsidR="00AC74D3" w:rsidRDefault="00AC74D3">
          <w:pPr>
            <w:tabs>
              <w:tab w:val="right" w:pos="4273"/>
            </w:tabs>
            <w:spacing w:line="256" w:lineRule="auto"/>
            <w:rPr>
              <w:rFonts w:ascii="Garamond" w:eastAsia="Garamond" w:hAnsi="Garamond" w:cs="Garamond"/>
              <w:sz w:val="22"/>
              <w:szCs w:val="22"/>
            </w:rPr>
          </w:pPr>
        </w:p>
      </w:tc>
      <w:tc>
        <w:tcPr>
          <w:tcW w:w="7654" w:type="dxa"/>
        </w:tcPr>
        <w:tbl>
          <w:tblPr>
            <w:tblW w:w="7111" w:type="dxa"/>
            <w:tblInd w:w="607" w:type="dxa"/>
            <w:tblBorders>
              <w:top w:val="nil"/>
              <w:left w:val="nil"/>
              <w:bottom w:val="nil"/>
              <w:right w:val="nil"/>
              <w:insideH w:val="nil"/>
              <w:insideV w:val="nil"/>
            </w:tblBorders>
            <w:tblLayout w:type="fixed"/>
            <w:tblLook w:val="0400" w:firstRow="0" w:lastRow="0" w:firstColumn="0" w:lastColumn="0" w:noHBand="0" w:noVBand="1"/>
          </w:tblPr>
          <w:tblGrid>
            <w:gridCol w:w="3817"/>
            <w:gridCol w:w="2835"/>
            <w:gridCol w:w="459"/>
          </w:tblGrid>
          <w:tr w:rsidR="00AC74D3" w14:paraId="08B6A3AE" w14:textId="77777777" w:rsidTr="007D3AE6">
            <w:trPr>
              <w:gridAfter w:val="1"/>
              <w:wAfter w:w="459" w:type="dxa"/>
              <w:trHeight w:val="132"/>
            </w:trPr>
            <w:tc>
              <w:tcPr>
                <w:tcW w:w="3817" w:type="dxa"/>
              </w:tcPr>
              <w:p w14:paraId="76417D8F" w14:textId="77777777" w:rsidR="00AC74D3" w:rsidRDefault="00AC74D3">
                <w:pPr>
                  <w:tabs>
                    <w:tab w:val="right" w:pos="8838"/>
                  </w:tabs>
                  <w:ind w:left="-69"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Recurso de Revisión:</w:t>
                </w:r>
              </w:p>
            </w:tc>
            <w:tc>
              <w:tcPr>
                <w:tcW w:w="2835" w:type="dxa"/>
              </w:tcPr>
              <w:p w14:paraId="497AD7D3" w14:textId="08624209" w:rsidR="00AC74D3" w:rsidRDefault="00AC74D3">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13816/INFOEM/IP/RR/2025 </w:t>
                </w:r>
              </w:p>
            </w:tc>
          </w:tr>
          <w:tr w:rsidR="00AC74D3" w14:paraId="663638DB" w14:textId="77777777" w:rsidTr="007D3AE6">
            <w:trPr>
              <w:gridAfter w:val="1"/>
              <w:wAfter w:w="459" w:type="dxa"/>
              <w:trHeight w:val="132"/>
            </w:trPr>
            <w:tc>
              <w:tcPr>
                <w:tcW w:w="3817" w:type="dxa"/>
              </w:tcPr>
              <w:p w14:paraId="61B1FE82" w14:textId="77777777" w:rsidR="00AC74D3" w:rsidRDefault="00AC74D3">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Recurrente:</w:t>
                </w:r>
              </w:p>
            </w:tc>
            <w:tc>
              <w:tcPr>
                <w:tcW w:w="2835" w:type="dxa"/>
              </w:tcPr>
              <w:p w14:paraId="047DB931" w14:textId="77777777" w:rsidR="00AC74D3" w:rsidRDefault="00AC74D3">
                <w:pPr>
                  <w:tabs>
                    <w:tab w:val="left" w:pos="3122"/>
                    <w:tab w:val="right" w:pos="8838"/>
                  </w:tabs>
                  <w:ind w:left="-74" w:right="-105"/>
                  <w:jc w:val="both"/>
                  <w:rPr>
                    <w:rFonts w:ascii="Palatino Linotype" w:eastAsia="Palatino Linotype" w:hAnsi="Palatino Linotype" w:cs="Palatino Linotype"/>
                    <w:sz w:val="22"/>
                    <w:szCs w:val="22"/>
                  </w:rPr>
                </w:pPr>
              </w:p>
            </w:tc>
          </w:tr>
          <w:tr w:rsidR="00AC74D3" w14:paraId="3F75F0EA" w14:textId="77777777" w:rsidTr="007D3AE6">
            <w:trPr>
              <w:gridAfter w:val="1"/>
              <w:wAfter w:w="459" w:type="dxa"/>
              <w:trHeight w:val="261"/>
            </w:trPr>
            <w:tc>
              <w:tcPr>
                <w:tcW w:w="3817" w:type="dxa"/>
              </w:tcPr>
              <w:p w14:paraId="49302245" w14:textId="77777777" w:rsidR="00AC74D3" w:rsidRDefault="00AC74D3">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Sujeto Obligado:</w:t>
                </w:r>
              </w:p>
            </w:tc>
            <w:tc>
              <w:tcPr>
                <w:tcW w:w="2835" w:type="dxa"/>
              </w:tcPr>
              <w:p w14:paraId="569F7C71" w14:textId="77777777" w:rsidR="00AC74D3" w:rsidRDefault="00AC74D3">
                <w:pPr>
                  <w:tabs>
                    <w:tab w:val="left" w:pos="2834"/>
                    <w:tab w:val="right" w:pos="8838"/>
                  </w:tabs>
                  <w:ind w:left="-74"/>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Ayuntamiento de Toluca </w:t>
                </w:r>
              </w:p>
            </w:tc>
          </w:tr>
          <w:tr w:rsidR="00AC74D3" w14:paraId="1B35AFE4" w14:textId="77777777" w:rsidTr="007D3AE6">
            <w:trPr>
              <w:trHeight w:val="261"/>
            </w:trPr>
            <w:tc>
              <w:tcPr>
                <w:tcW w:w="3817" w:type="dxa"/>
              </w:tcPr>
              <w:p w14:paraId="2AA81022" w14:textId="77777777" w:rsidR="00AC74D3" w:rsidRDefault="00AC74D3">
                <w:pPr>
                  <w:tabs>
                    <w:tab w:val="right" w:pos="8838"/>
                  </w:tabs>
                  <w:ind w:left="-74" w:right="-10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                          Comisionado Ponente:</w:t>
                </w:r>
              </w:p>
            </w:tc>
            <w:tc>
              <w:tcPr>
                <w:tcW w:w="3294" w:type="dxa"/>
                <w:gridSpan w:val="2"/>
              </w:tcPr>
              <w:p w14:paraId="0C7FBB00" w14:textId="77777777" w:rsidR="00AC74D3" w:rsidRDefault="00AC74D3">
                <w:pPr>
                  <w:tabs>
                    <w:tab w:val="right" w:pos="8838"/>
                  </w:tabs>
                  <w:ind w:left="-74"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Luis Gustavo Parra Noriega</w:t>
                </w:r>
              </w:p>
            </w:tc>
          </w:tr>
        </w:tbl>
        <w:p w14:paraId="75A97CD7" w14:textId="77777777" w:rsidR="00AC74D3" w:rsidRDefault="00AC74D3">
          <w:pPr>
            <w:tabs>
              <w:tab w:val="right" w:pos="8838"/>
            </w:tabs>
            <w:spacing w:line="256" w:lineRule="auto"/>
            <w:ind w:left="-28"/>
            <w:jc w:val="both"/>
            <w:rPr>
              <w:rFonts w:ascii="Arial" w:eastAsia="Arial" w:hAnsi="Arial" w:cs="Arial"/>
              <w:b/>
              <w:sz w:val="22"/>
              <w:szCs w:val="22"/>
            </w:rPr>
          </w:pPr>
        </w:p>
      </w:tc>
    </w:tr>
  </w:tbl>
  <w:p w14:paraId="3612CC47" w14:textId="77777777" w:rsidR="00AC74D3" w:rsidRDefault="005123DE">
    <w:pPr>
      <w:pBdr>
        <w:top w:val="nil"/>
        <w:left w:val="nil"/>
        <w:bottom w:val="nil"/>
        <w:right w:val="nil"/>
        <w:between w:val="nil"/>
      </w:pBdr>
      <w:tabs>
        <w:tab w:val="center" w:pos="4419"/>
        <w:tab w:val="right" w:pos="8838"/>
      </w:tabs>
      <w:rPr>
        <w:color w:val="000000"/>
      </w:rPr>
    </w:pPr>
    <w:r>
      <w:rPr>
        <w:rFonts w:ascii="Garamond" w:eastAsia="Garamond" w:hAnsi="Garamond" w:cs="Garamond"/>
        <w:color w:val="000000"/>
        <w:sz w:val="22"/>
        <w:szCs w:val="22"/>
      </w:rPr>
      <w:pict w14:anchorId="2A0AEA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85.8pt;margin-top:-134.85pt;width:663.5pt;height:12in;z-index:-251657728;mso-wrap-edited:f;mso-width-percent:0;mso-height-percent:0;mso-position-horizontal-relative:margin;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A591D"/>
    <w:multiLevelType w:val="multilevel"/>
    <w:tmpl w:val="04965C9C"/>
    <w:lvl w:ilvl="0">
      <w:numFmt w:val="bullet"/>
      <w:lvlText w:val="-"/>
      <w:lvlJc w:val="left"/>
      <w:pPr>
        <w:ind w:left="720" w:hanging="360"/>
      </w:pPr>
      <w:rPr>
        <w:rFonts w:ascii="Palatino Linotype" w:eastAsia="Times New Roman" w:hAnsi="Palatino Linotype"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C317C7"/>
    <w:multiLevelType w:val="multilevel"/>
    <w:tmpl w:val="C7B0536E"/>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1DA203DB"/>
    <w:multiLevelType w:val="hybridMultilevel"/>
    <w:tmpl w:val="FD52FF8A"/>
    <w:lvl w:ilvl="0" w:tplc="2500E424">
      <w:start w:val="5"/>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20497D"/>
    <w:multiLevelType w:val="hybridMultilevel"/>
    <w:tmpl w:val="E0D6F06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BA60E1"/>
    <w:multiLevelType w:val="hybridMultilevel"/>
    <w:tmpl w:val="2A62481A"/>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5A156BF"/>
    <w:multiLevelType w:val="hybridMultilevel"/>
    <w:tmpl w:val="2A44F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2D0CBB"/>
    <w:multiLevelType w:val="hybridMultilevel"/>
    <w:tmpl w:val="1C7E7F2C"/>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43E6188A"/>
    <w:multiLevelType w:val="hybridMultilevel"/>
    <w:tmpl w:val="5C50D92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4B7C2679"/>
    <w:multiLevelType w:val="hybridMultilevel"/>
    <w:tmpl w:val="C8C48654"/>
    <w:lvl w:ilvl="0" w:tplc="6F6ABC3C">
      <w:start w:val="1"/>
      <w:numFmt w:val="upperRoman"/>
      <w:lvlText w:val="%1."/>
      <w:lvlJc w:val="left"/>
      <w:pPr>
        <w:ind w:left="1080" w:hanging="72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15:restartNumberingAfterBreak="0">
    <w:nsid w:val="4FD277D5"/>
    <w:multiLevelType w:val="multilevel"/>
    <w:tmpl w:val="CD5E2AFA"/>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3B6D56"/>
    <w:multiLevelType w:val="hybridMultilevel"/>
    <w:tmpl w:val="53C87220"/>
    <w:lvl w:ilvl="0" w:tplc="080A0015">
      <w:start w:val="1"/>
      <w:numFmt w:val="upp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2" w15:restartNumberingAfterBreak="0">
    <w:nsid w:val="55E91ED2"/>
    <w:multiLevelType w:val="hybridMultilevel"/>
    <w:tmpl w:val="3556B0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5FC5A7F"/>
    <w:multiLevelType w:val="hybridMultilevel"/>
    <w:tmpl w:val="20F6C5FC"/>
    <w:lvl w:ilvl="0" w:tplc="080A0001">
      <w:start w:val="1"/>
      <w:numFmt w:val="bullet"/>
      <w:lvlText w:val=""/>
      <w:lvlJc w:val="left"/>
      <w:pPr>
        <w:ind w:left="780" w:hanging="360"/>
      </w:pPr>
      <w:rPr>
        <w:rFonts w:ascii="Symbol" w:hAnsi="Symbol" w:hint="default"/>
      </w:rPr>
    </w:lvl>
    <w:lvl w:ilvl="1" w:tplc="080A0003">
      <w:start w:val="1"/>
      <w:numFmt w:val="bullet"/>
      <w:lvlText w:val="o"/>
      <w:lvlJc w:val="left"/>
      <w:pPr>
        <w:ind w:left="1500" w:hanging="360"/>
      </w:pPr>
      <w:rPr>
        <w:rFonts w:ascii="Courier New" w:hAnsi="Courier New" w:cs="Times New Roman" w:hint="default"/>
      </w:rPr>
    </w:lvl>
    <w:lvl w:ilvl="2" w:tplc="080A0005">
      <w:start w:val="1"/>
      <w:numFmt w:val="bullet"/>
      <w:lvlText w:val=""/>
      <w:lvlJc w:val="left"/>
      <w:pPr>
        <w:ind w:left="2220" w:hanging="360"/>
      </w:pPr>
      <w:rPr>
        <w:rFonts w:ascii="Wingdings" w:hAnsi="Wingdings" w:hint="default"/>
      </w:rPr>
    </w:lvl>
    <w:lvl w:ilvl="3" w:tplc="080A0001">
      <w:start w:val="1"/>
      <w:numFmt w:val="bullet"/>
      <w:lvlText w:val=""/>
      <w:lvlJc w:val="left"/>
      <w:pPr>
        <w:ind w:left="2940" w:hanging="360"/>
      </w:pPr>
      <w:rPr>
        <w:rFonts w:ascii="Symbol" w:hAnsi="Symbol" w:hint="default"/>
      </w:rPr>
    </w:lvl>
    <w:lvl w:ilvl="4" w:tplc="080A0003">
      <w:start w:val="1"/>
      <w:numFmt w:val="bullet"/>
      <w:lvlText w:val="o"/>
      <w:lvlJc w:val="left"/>
      <w:pPr>
        <w:ind w:left="3660" w:hanging="360"/>
      </w:pPr>
      <w:rPr>
        <w:rFonts w:ascii="Courier New" w:hAnsi="Courier New" w:cs="Times New Roman" w:hint="default"/>
      </w:rPr>
    </w:lvl>
    <w:lvl w:ilvl="5" w:tplc="080A0005">
      <w:start w:val="1"/>
      <w:numFmt w:val="bullet"/>
      <w:lvlText w:val=""/>
      <w:lvlJc w:val="left"/>
      <w:pPr>
        <w:ind w:left="4380" w:hanging="360"/>
      </w:pPr>
      <w:rPr>
        <w:rFonts w:ascii="Wingdings" w:hAnsi="Wingdings" w:hint="default"/>
      </w:rPr>
    </w:lvl>
    <w:lvl w:ilvl="6" w:tplc="080A0001">
      <w:start w:val="1"/>
      <w:numFmt w:val="bullet"/>
      <w:lvlText w:val=""/>
      <w:lvlJc w:val="left"/>
      <w:pPr>
        <w:ind w:left="5100" w:hanging="360"/>
      </w:pPr>
      <w:rPr>
        <w:rFonts w:ascii="Symbol" w:hAnsi="Symbol" w:hint="default"/>
      </w:rPr>
    </w:lvl>
    <w:lvl w:ilvl="7" w:tplc="080A0003">
      <w:start w:val="1"/>
      <w:numFmt w:val="bullet"/>
      <w:lvlText w:val="o"/>
      <w:lvlJc w:val="left"/>
      <w:pPr>
        <w:ind w:left="5820" w:hanging="360"/>
      </w:pPr>
      <w:rPr>
        <w:rFonts w:ascii="Courier New" w:hAnsi="Courier New" w:cs="Times New Roman" w:hint="default"/>
      </w:rPr>
    </w:lvl>
    <w:lvl w:ilvl="8" w:tplc="080A0005">
      <w:start w:val="1"/>
      <w:numFmt w:val="bullet"/>
      <w:lvlText w:val=""/>
      <w:lvlJc w:val="left"/>
      <w:pPr>
        <w:ind w:left="6540" w:hanging="360"/>
      </w:pPr>
      <w:rPr>
        <w:rFonts w:ascii="Wingdings" w:hAnsi="Wingdings" w:hint="default"/>
      </w:rPr>
    </w:lvl>
  </w:abstractNum>
  <w:abstractNum w:abstractNumId="14" w15:restartNumberingAfterBreak="0">
    <w:nsid w:val="57DB25A5"/>
    <w:multiLevelType w:val="hybridMultilevel"/>
    <w:tmpl w:val="B6A8DF1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5AF53019"/>
    <w:multiLevelType w:val="hybridMultilevel"/>
    <w:tmpl w:val="6A78F948"/>
    <w:lvl w:ilvl="0" w:tplc="7262760C">
      <w:start w:val="1"/>
      <w:numFmt w:val="bullet"/>
      <w:lvlText w:val="-"/>
      <w:lvlJc w:val="left"/>
      <w:pPr>
        <w:ind w:left="720" w:hanging="360"/>
      </w:pPr>
      <w:rPr>
        <w:rFonts w:ascii="Palatino Linotype" w:eastAsia="Times New Roman" w:hAnsi="Palatino Linotype"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5EA3591B"/>
    <w:multiLevelType w:val="hybridMultilevel"/>
    <w:tmpl w:val="3E14F700"/>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B452B9"/>
    <w:multiLevelType w:val="multilevel"/>
    <w:tmpl w:val="8A823880"/>
    <w:lvl w:ilvl="0">
      <w:start w:val="6"/>
      <w:numFmt w:val="bullet"/>
      <w:lvlText w:val="-"/>
      <w:lvlJc w:val="left"/>
      <w:pPr>
        <w:ind w:left="720" w:hanging="360"/>
      </w:pPr>
      <w:rPr>
        <w:rFonts w:ascii="Palatino Linotype" w:hAnsi="Palatino Linotype"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hint="default"/>
      </w:rPr>
    </w:lvl>
  </w:abstractNum>
  <w:abstractNum w:abstractNumId="18" w15:restartNumberingAfterBreak="0">
    <w:nsid w:val="79E94507"/>
    <w:multiLevelType w:val="hybridMultilevel"/>
    <w:tmpl w:val="9C5C1E80"/>
    <w:lvl w:ilvl="0" w:tplc="080A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7F024FAA"/>
    <w:multiLevelType w:val="hybridMultilevel"/>
    <w:tmpl w:val="BA746914"/>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FEA7BCC"/>
    <w:multiLevelType w:val="hybridMultilevel"/>
    <w:tmpl w:val="4EC097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8"/>
  </w:num>
  <w:num w:numId="10">
    <w:abstractNumId w:val="22"/>
  </w:num>
  <w:num w:numId="11">
    <w:abstractNumId w:val="17"/>
  </w:num>
  <w:num w:numId="12">
    <w:abstractNumId w:val="12"/>
  </w:num>
  <w:num w:numId="13">
    <w:abstractNumId w:val="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10"/>
  </w:num>
  <w:num w:numId="19">
    <w:abstractNumId w:val="7"/>
  </w:num>
  <w:num w:numId="20">
    <w:abstractNumId w:val="21"/>
  </w:num>
  <w:num w:numId="21">
    <w:abstractNumId w:val="20"/>
  </w:num>
  <w:num w:numId="22">
    <w:abstractNumId w:val="2"/>
  </w:num>
  <w:num w:numId="23">
    <w:abstractNumId w:val="1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4D3"/>
    <w:rsid w:val="00025368"/>
    <w:rsid w:val="000411BB"/>
    <w:rsid w:val="0012563D"/>
    <w:rsid w:val="00183EE3"/>
    <w:rsid w:val="001B7D39"/>
    <w:rsid w:val="002172BA"/>
    <w:rsid w:val="00237141"/>
    <w:rsid w:val="00266A3D"/>
    <w:rsid w:val="002772FA"/>
    <w:rsid w:val="002C28F2"/>
    <w:rsid w:val="00427416"/>
    <w:rsid w:val="004C548E"/>
    <w:rsid w:val="004F6DDF"/>
    <w:rsid w:val="005123DE"/>
    <w:rsid w:val="005257BF"/>
    <w:rsid w:val="00543563"/>
    <w:rsid w:val="00561B82"/>
    <w:rsid w:val="00622728"/>
    <w:rsid w:val="0069657D"/>
    <w:rsid w:val="007148DC"/>
    <w:rsid w:val="00732E0F"/>
    <w:rsid w:val="00910250"/>
    <w:rsid w:val="00911A7F"/>
    <w:rsid w:val="00911FD3"/>
    <w:rsid w:val="009210CC"/>
    <w:rsid w:val="0099496E"/>
    <w:rsid w:val="009B38D3"/>
    <w:rsid w:val="00A0257C"/>
    <w:rsid w:val="00A54B20"/>
    <w:rsid w:val="00A81850"/>
    <w:rsid w:val="00AC74D3"/>
    <w:rsid w:val="00AD6853"/>
    <w:rsid w:val="00B01980"/>
    <w:rsid w:val="00B37307"/>
    <w:rsid w:val="00BF4359"/>
    <w:rsid w:val="00C71821"/>
    <w:rsid w:val="00C845EC"/>
    <w:rsid w:val="00C877E2"/>
    <w:rsid w:val="00CA02A8"/>
    <w:rsid w:val="00CC0A33"/>
    <w:rsid w:val="00DC077C"/>
    <w:rsid w:val="00DD221B"/>
    <w:rsid w:val="00E04A4B"/>
    <w:rsid w:val="00E061C7"/>
    <w:rsid w:val="00EB6407"/>
    <w:rsid w:val="00F02F50"/>
    <w:rsid w:val="00FB42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1F2F8C"/>
  <w15:chartTrackingRefBased/>
  <w15:docId w15:val="{56C67F52-2E05-4316-B133-5A724F74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C74D3"/>
    <w:pPr>
      <w:spacing w:after="0" w:line="240" w:lineRule="auto"/>
    </w:pPr>
    <w:rPr>
      <w:rFonts w:ascii="Times New Roman" w:eastAsia="Times New Roman" w:hAnsi="Times New Roman" w:cs="Times New Roman"/>
      <w:kern w:val="0"/>
      <w:sz w:val="20"/>
      <w:szCs w:val="20"/>
      <w:lang w:eastAsia="es-MX"/>
      <w14:ligatures w14:val="none"/>
    </w:rPr>
  </w:style>
  <w:style w:type="paragraph" w:styleId="Ttulo1">
    <w:name w:val="heading 1"/>
    <w:basedOn w:val="Normal"/>
    <w:next w:val="Normal"/>
    <w:link w:val="Ttulo1Car"/>
    <w:uiPriority w:val="9"/>
    <w:qFormat/>
    <w:rsid w:val="00AC74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AC74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C74D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C74D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C74D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C74D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74D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74D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74D3"/>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74D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AC74D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C74D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C74D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C74D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C74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74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74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74D3"/>
    <w:rPr>
      <w:rFonts w:eastAsiaTheme="majorEastAsia" w:cstheme="majorBidi"/>
      <w:color w:val="272727" w:themeColor="text1" w:themeTint="D8"/>
    </w:rPr>
  </w:style>
  <w:style w:type="paragraph" w:styleId="Puesto">
    <w:name w:val="Title"/>
    <w:basedOn w:val="Normal"/>
    <w:next w:val="Normal"/>
    <w:link w:val="PuestoCar"/>
    <w:uiPriority w:val="10"/>
    <w:qFormat/>
    <w:rsid w:val="00AC74D3"/>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C74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74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74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74D3"/>
    <w:pPr>
      <w:spacing w:before="160"/>
      <w:jc w:val="center"/>
    </w:pPr>
    <w:rPr>
      <w:i/>
      <w:iCs/>
      <w:color w:val="404040" w:themeColor="text1" w:themeTint="BF"/>
    </w:rPr>
  </w:style>
  <w:style w:type="character" w:customStyle="1" w:styleId="CitaCar">
    <w:name w:val="Cita Car"/>
    <w:basedOn w:val="Fuentedeprrafopredeter"/>
    <w:link w:val="Cita"/>
    <w:uiPriority w:val="29"/>
    <w:rsid w:val="00AC74D3"/>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C74D3"/>
    <w:pPr>
      <w:ind w:left="720"/>
      <w:contextualSpacing/>
    </w:pPr>
  </w:style>
  <w:style w:type="character" w:styleId="nfasisintenso">
    <w:name w:val="Intense Emphasis"/>
    <w:basedOn w:val="Fuentedeprrafopredeter"/>
    <w:uiPriority w:val="21"/>
    <w:qFormat/>
    <w:rsid w:val="00AC74D3"/>
    <w:rPr>
      <w:i/>
      <w:iCs/>
      <w:color w:val="2F5496" w:themeColor="accent1" w:themeShade="BF"/>
    </w:rPr>
  </w:style>
  <w:style w:type="paragraph" w:styleId="Citadestacada">
    <w:name w:val="Intense Quote"/>
    <w:basedOn w:val="Normal"/>
    <w:next w:val="Normal"/>
    <w:link w:val="CitadestacadaCar"/>
    <w:uiPriority w:val="30"/>
    <w:qFormat/>
    <w:rsid w:val="00AC74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C74D3"/>
    <w:rPr>
      <w:i/>
      <w:iCs/>
      <w:color w:val="2F5496" w:themeColor="accent1" w:themeShade="BF"/>
    </w:rPr>
  </w:style>
  <w:style w:type="character" w:styleId="Referenciaintensa">
    <w:name w:val="Intense Reference"/>
    <w:basedOn w:val="Fuentedeprrafopredeter"/>
    <w:uiPriority w:val="32"/>
    <w:qFormat/>
    <w:rsid w:val="00AC74D3"/>
    <w:rPr>
      <w:b/>
      <w:bCs/>
      <w:smallCaps/>
      <w:color w:val="2F5496" w:themeColor="accent1" w:themeShade="BF"/>
      <w:spacing w:val="5"/>
    </w:rPr>
  </w:style>
  <w:style w:type="character" w:styleId="Hipervnculo">
    <w:name w:val="Hyperlink"/>
    <w:aliases w:val="Hipervínculo1,Hipervínculo11,Hipervínculo12,Hipervínculo13,Hipervínculo14,Hipervínculo15"/>
    <w:basedOn w:val="Fuentedeprrafopredeter"/>
    <w:uiPriority w:val="99"/>
    <w:unhideWhenUsed/>
    <w:qFormat/>
    <w:rsid w:val="00AC74D3"/>
    <w:rPr>
      <w:color w:val="0563C1" w:themeColor="hyperlink"/>
      <w:u w:val="single"/>
    </w:rPr>
  </w:style>
  <w:style w:type="paragraph" w:styleId="TtulodeTDC">
    <w:name w:val="TOC Heading"/>
    <w:basedOn w:val="Ttulo1"/>
    <w:next w:val="Normal"/>
    <w:uiPriority w:val="39"/>
    <w:unhideWhenUsed/>
    <w:qFormat/>
    <w:rsid w:val="00AC74D3"/>
    <w:pPr>
      <w:spacing w:before="240" w:after="0"/>
      <w:outlineLvl w:val="9"/>
    </w:pPr>
    <w:rPr>
      <w:sz w:val="32"/>
      <w:szCs w:val="32"/>
    </w:rPr>
  </w:style>
  <w:style w:type="paragraph" w:styleId="TDC1">
    <w:name w:val="toc 1"/>
    <w:basedOn w:val="Normal"/>
    <w:next w:val="Normal"/>
    <w:autoRedefine/>
    <w:uiPriority w:val="39"/>
    <w:unhideWhenUsed/>
    <w:rsid w:val="00AC74D3"/>
    <w:pPr>
      <w:spacing w:after="100" w:line="254" w:lineRule="auto"/>
      <w:jc w:val="both"/>
    </w:pPr>
    <w:rPr>
      <w:rFonts w:ascii="Palatino Linotype" w:eastAsia="Palatino Linotype" w:hAnsi="Palatino Linotype" w:cs="Palatino Linotype"/>
      <w:color w:val="000000" w:themeColor="text1"/>
      <w:sz w:val="22"/>
      <w:szCs w:val="22"/>
    </w:rPr>
  </w:style>
  <w:style w:type="paragraph" w:styleId="TDC2">
    <w:name w:val="toc 2"/>
    <w:basedOn w:val="Normal"/>
    <w:next w:val="Normal"/>
    <w:autoRedefine/>
    <w:uiPriority w:val="39"/>
    <w:unhideWhenUsed/>
    <w:rsid w:val="00AC74D3"/>
    <w:pPr>
      <w:spacing w:after="100" w:line="254" w:lineRule="auto"/>
      <w:ind w:left="220"/>
      <w:jc w:val="both"/>
    </w:pPr>
    <w:rPr>
      <w:rFonts w:ascii="Palatino Linotype" w:eastAsia="Palatino Linotype" w:hAnsi="Palatino Linotype" w:cs="Palatino Linotype"/>
      <w:color w:val="000000" w:themeColor="text1"/>
      <w:sz w:val="22"/>
      <w:szCs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AC74D3"/>
  </w:style>
  <w:style w:type="paragraph" w:customStyle="1" w:styleId="Prrafodelista1">
    <w:name w:val="Párrafo de lista1"/>
    <w:basedOn w:val="Normal"/>
    <w:rsid w:val="002172BA"/>
    <w:pPr>
      <w:spacing w:before="100" w:beforeAutospacing="1" w:after="160" w:line="256" w:lineRule="auto"/>
      <w:ind w:left="720"/>
      <w:contextualSpacing/>
      <w:jc w:val="both"/>
    </w:pPr>
    <w:rPr>
      <w:rFonts w:ascii="Palatino Linotype" w:eastAsia="Calibri" w:hAnsi="Palatino Linotype"/>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8736</Words>
  <Characters>48053</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USUARIO</cp:lastModifiedBy>
  <cp:revision>3</cp:revision>
  <cp:lastPrinted>2026-03-06T19:16:00Z</cp:lastPrinted>
  <dcterms:created xsi:type="dcterms:W3CDTF">2026-03-06T19:16:00Z</dcterms:created>
  <dcterms:modified xsi:type="dcterms:W3CDTF">2026-03-06T19:16:00Z</dcterms:modified>
</cp:coreProperties>
</file>