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5AFD" w:rsidRPr="00E4092B" w:rsidRDefault="003554BF">
      <w:pPr>
        <w:spacing w:line="360" w:lineRule="auto"/>
        <w:jc w:val="both"/>
        <w:rPr>
          <w:rFonts w:ascii="Palatino Linotype" w:eastAsia="Palatino Linotype" w:hAnsi="Palatino Linotype" w:cs="Palatino Linotype"/>
          <w:b/>
        </w:rPr>
      </w:pPr>
      <w:bookmarkStart w:id="0" w:name="_GoBack"/>
      <w:bookmarkEnd w:id="0"/>
      <w:r w:rsidRPr="00E4092B">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w:t>
      </w:r>
      <w:r w:rsidR="00EB3BA3" w:rsidRPr="00E4092B">
        <w:rPr>
          <w:rFonts w:ascii="Palatino Linotype" w:eastAsia="Palatino Linotype" w:hAnsi="Palatino Linotype" w:cs="Palatino Linotype"/>
        </w:rPr>
        <w:t xml:space="preserve">pec, </w:t>
      </w:r>
      <w:r w:rsidR="00E4092B">
        <w:rPr>
          <w:rFonts w:ascii="Palatino Linotype" w:eastAsia="Palatino Linotype" w:hAnsi="Palatino Linotype" w:cs="Palatino Linotype"/>
        </w:rPr>
        <w:t xml:space="preserve">Estado de México; </w:t>
      </w:r>
      <w:r w:rsidR="00E4092B" w:rsidRPr="00E4092B">
        <w:rPr>
          <w:rFonts w:ascii="Palatino Linotype" w:eastAsia="Palatino Linotype" w:hAnsi="Palatino Linotype" w:cs="Palatino Linotype"/>
          <w:b/>
        </w:rPr>
        <w:t>de fecha</w:t>
      </w:r>
      <w:r w:rsidR="00EB3BA3" w:rsidRPr="00E4092B">
        <w:rPr>
          <w:rFonts w:ascii="Palatino Linotype" w:eastAsia="Palatino Linotype" w:hAnsi="Palatino Linotype" w:cs="Palatino Linotype"/>
          <w:b/>
        </w:rPr>
        <w:t xml:space="preserve"> once </w:t>
      </w:r>
      <w:r w:rsidR="00E4092B" w:rsidRPr="00E4092B">
        <w:rPr>
          <w:rFonts w:ascii="Palatino Linotype" w:eastAsia="Palatino Linotype" w:hAnsi="Palatino Linotype" w:cs="Palatino Linotype"/>
          <w:b/>
        </w:rPr>
        <w:t xml:space="preserve">(11) </w:t>
      </w:r>
      <w:r w:rsidR="00EB3BA3" w:rsidRPr="00E4092B">
        <w:rPr>
          <w:rFonts w:ascii="Palatino Linotype" w:eastAsia="Palatino Linotype" w:hAnsi="Palatino Linotype" w:cs="Palatino Linotype"/>
          <w:b/>
        </w:rPr>
        <w:t>de febrero de dos mil veintiséis</w:t>
      </w:r>
      <w:r w:rsidRPr="00E4092B">
        <w:rPr>
          <w:rFonts w:ascii="Palatino Linotype" w:eastAsia="Palatino Linotype" w:hAnsi="Palatino Linotype" w:cs="Palatino Linotype"/>
          <w:b/>
        </w:rPr>
        <w:t>.</w:t>
      </w:r>
    </w:p>
    <w:p w:rsidR="00855AFD" w:rsidRPr="00E4092B" w:rsidRDefault="00855AFD">
      <w:pPr>
        <w:jc w:val="both"/>
        <w:rPr>
          <w:rFonts w:ascii="Palatino Linotype" w:eastAsia="Palatino Linotype" w:hAnsi="Palatino Linotype" w:cs="Palatino Linotype"/>
        </w:rPr>
      </w:pPr>
    </w:p>
    <w:p w:rsidR="00855AFD" w:rsidRPr="00E4092B" w:rsidRDefault="003554BF">
      <w:pPr>
        <w:spacing w:line="360" w:lineRule="auto"/>
        <w:jc w:val="both"/>
        <w:rPr>
          <w:rFonts w:ascii="Palatino Linotype" w:eastAsia="Palatino Linotype" w:hAnsi="Palatino Linotype" w:cs="Palatino Linotype"/>
        </w:rPr>
      </w:pPr>
      <w:r w:rsidRPr="00E4092B">
        <w:rPr>
          <w:rFonts w:ascii="Palatino Linotype" w:eastAsia="Palatino Linotype" w:hAnsi="Palatino Linotype" w:cs="Palatino Linotype"/>
          <w:b/>
          <w:bCs/>
        </w:rPr>
        <w:t>VISTO</w:t>
      </w:r>
      <w:r w:rsidRPr="00E4092B">
        <w:rPr>
          <w:rFonts w:ascii="Palatino Linotype" w:eastAsia="Palatino Linotype" w:hAnsi="Palatino Linotype" w:cs="Palatino Linotype"/>
        </w:rPr>
        <w:t xml:space="preserve"> el expediente electrónico formado con motivo del recurso de revisión </w:t>
      </w:r>
      <w:r w:rsidRPr="00E4092B">
        <w:rPr>
          <w:rFonts w:ascii="Palatino Linotype" w:eastAsia="Palatino Linotype" w:hAnsi="Palatino Linotype" w:cs="Palatino Linotype"/>
          <w:b/>
          <w:bCs/>
        </w:rPr>
        <w:t xml:space="preserve">06628/INFOEM/IP/RR/2025, </w:t>
      </w:r>
      <w:r w:rsidR="00EB3BA3" w:rsidRPr="00E4092B">
        <w:rPr>
          <w:rFonts w:ascii="Palatino Linotype" w:eastAsia="Palatino Linotype" w:hAnsi="Palatino Linotype" w:cs="Palatino Linotype"/>
        </w:rPr>
        <w:t>promovido por</w:t>
      </w:r>
      <w:r w:rsidRPr="00E4092B">
        <w:rPr>
          <w:rFonts w:ascii="Palatino Linotype" w:eastAsia="Palatino Linotype" w:hAnsi="Palatino Linotype" w:cs="Palatino Linotype"/>
        </w:rPr>
        <w:t xml:space="preserve"> </w:t>
      </w:r>
      <w:r w:rsidR="009667FD">
        <w:rPr>
          <w:rFonts w:ascii="Palatino Linotype" w:eastAsia="Palatino Linotype" w:hAnsi="Palatino Linotype" w:cs="Palatino Linotype"/>
          <w:b/>
          <w:bCs/>
        </w:rPr>
        <w:t>XXXX</w:t>
      </w:r>
      <w:r w:rsidRPr="00E4092B">
        <w:rPr>
          <w:rFonts w:ascii="Palatino Linotype" w:eastAsia="Palatino Linotype" w:hAnsi="Palatino Linotype" w:cs="Palatino Linotype"/>
          <w:b/>
          <w:bCs/>
        </w:rPr>
        <w:t>,</w:t>
      </w:r>
      <w:r w:rsidRPr="00E4092B">
        <w:rPr>
          <w:rFonts w:ascii="Palatino Linotype" w:eastAsia="Palatino Linotype" w:hAnsi="Palatino Linotype" w:cs="Palatino Linotype"/>
        </w:rPr>
        <w:t xml:space="preserve"> </w:t>
      </w:r>
      <w:r w:rsidR="00EB3BA3" w:rsidRPr="00E4092B">
        <w:rPr>
          <w:rFonts w:ascii="Palatino Linotype" w:eastAsia="Palatino Linotype" w:hAnsi="Palatino Linotype" w:cs="Palatino Linotype"/>
        </w:rPr>
        <w:t xml:space="preserve">en adelante </w:t>
      </w:r>
      <w:r w:rsidR="00EB3BA3" w:rsidRPr="00E4092B">
        <w:rPr>
          <w:rFonts w:ascii="Palatino Linotype" w:eastAsia="Palatino Linotype" w:hAnsi="Palatino Linotype" w:cs="Palatino Linotype"/>
          <w:b/>
        </w:rPr>
        <w:t>LA RECURRENTE</w:t>
      </w:r>
      <w:r w:rsidR="00EB3BA3" w:rsidRPr="00E4092B">
        <w:rPr>
          <w:rFonts w:ascii="Palatino Linotype" w:eastAsia="Palatino Linotype" w:hAnsi="Palatino Linotype" w:cs="Palatino Linotype"/>
        </w:rPr>
        <w:t xml:space="preserve">, </w:t>
      </w:r>
      <w:r w:rsidRPr="00E4092B">
        <w:rPr>
          <w:rFonts w:ascii="Palatino Linotype" w:eastAsia="Palatino Linotype" w:hAnsi="Palatino Linotype" w:cs="Palatino Linotype"/>
        </w:rPr>
        <w:t xml:space="preserve">en contra de la respuesta de la </w:t>
      </w:r>
      <w:r w:rsidRPr="00E4092B">
        <w:rPr>
          <w:rFonts w:ascii="Palatino Linotype" w:eastAsia="Palatino Linotype" w:hAnsi="Palatino Linotype" w:cs="Palatino Linotype"/>
          <w:b/>
          <w:bCs/>
        </w:rPr>
        <w:t xml:space="preserve">Secretaría de Educación, Ciencia, Tecnología e Innovación, </w:t>
      </w:r>
      <w:r w:rsidRPr="00E4092B">
        <w:rPr>
          <w:rFonts w:ascii="Palatino Linotype" w:eastAsia="Palatino Linotype" w:hAnsi="Palatino Linotype" w:cs="Palatino Linotype"/>
        </w:rPr>
        <w:t xml:space="preserve">en </w:t>
      </w:r>
      <w:r w:rsidR="00E4092B">
        <w:rPr>
          <w:rFonts w:ascii="Palatino Linotype" w:eastAsia="Palatino Linotype" w:hAnsi="Palatino Linotype" w:cs="Palatino Linotype"/>
        </w:rPr>
        <w:t xml:space="preserve">lo sucesivo </w:t>
      </w:r>
      <w:r w:rsidRPr="00E4092B">
        <w:rPr>
          <w:rFonts w:ascii="Palatino Linotype" w:eastAsia="Palatino Linotype" w:hAnsi="Palatino Linotype" w:cs="Palatino Linotype"/>
        </w:rPr>
        <w:t>el</w:t>
      </w:r>
      <w:r w:rsidRPr="00E4092B">
        <w:rPr>
          <w:rFonts w:ascii="Palatino Linotype" w:eastAsia="Palatino Linotype" w:hAnsi="Palatino Linotype" w:cs="Palatino Linotype"/>
          <w:b/>
          <w:bCs/>
        </w:rPr>
        <w:t xml:space="preserve"> SUJETO OBLIGADO</w:t>
      </w:r>
      <w:r w:rsidRPr="00E4092B">
        <w:rPr>
          <w:rFonts w:ascii="Palatino Linotype" w:eastAsia="Palatino Linotype" w:hAnsi="Palatino Linotype" w:cs="Palatino Linotype"/>
        </w:rPr>
        <w:t>, por lo que se procede a dictar la presente resolución, con base en los siguientes:</w:t>
      </w:r>
    </w:p>
    <w:p w:rsidR="00855AFD" w:rsidRPr="00E4092B" w:rsidRDefault="00855AFD">
      <w:pPr>
        <w:jc w:val="both"/>
        <w:rPr>
          <w:rFonts w:ascii="Palatino Linotype" w:eastAsia="Palatino Linotype" w:hAnsi="Palatino Linotype" w:cs="Palatino Linotype"/>
        </w:rPr>
      </w:pPr>
    </w:p>
    <w:p w:rsidR="00855AFD" w:rsidRPr="00E4092B" w:rsidRDefault="003554BF">
      <w:pPr>
        <w:keepNext/>
        <w:keepLines/>
        <w:spacing w:line="360" w:lineRule="auto"/>
        <w:jc w:val="center"/>
        <w:rPr>
          <w:rFonts w:ascii="Palatino Linotype" w:eastAsia="Palatino Linotype" w:hAnsi="Palatino Linotype" w:cs="Palatino Linotype"/>
          <w:b/>
          <w:bCs/>
        </w:rPr>
      </w:pPr>
      <w:r w:rsidRPr="00E4092B">
        <w:rPr>
          <w:rFonts w:ascii="Palatino Linotype" w:eastAsia="Palatino Linotype" w:hAnsi="Palatino Linotype" w:cs="Palatino Linotype"/>
          <w:b/>
          <w:bCs/>
        </w:rPr>
        <w:t>A N T E C E D E N T E S</w:t>
      </w:r>
    </w:p>
    <w:p w:rsidR="00855AFD" w:rsidRPr="00E4092B" w:rsidRDefault="00855AFD">
      <w:pPr>
        <w:rPr>
          <w:rFonts w:ascii="Palatino Linotype" w:eastAsia="Palatino Linotype" w:hAnsi="Palatino Linotype" w:cs="Palatino Linotype"/>
        </w:rPr>
      </w:pPr>
    </w:p>
    <w:p w:rsidR="00855AFD" w:rsidRPr="00E4092B" w:rsidRDefault="003554BF">
      <w:pPr>
        <w:numPr>
          <w:ilvl w:val="0"/>
          <w:numId w:val="5"/>
        </w:numPr>
        <w:spacing w:line="360" w:lineRule="auto"/>
        <w:ind w:left="0" w:firstLine="0"/>
        <w:jc w:val="both"/>
        <w:rPr>
          <w:rFonts w:ascii="Palatino Linotype" w:eastAsia="Palatino Linotype" w:hAnsi="Palatino Linotype" w:cs="Palatino Linotype"/>
        </w:rPr>
      </w:pPr>
      <w:r w:rsidRPr="00E4092B">
        <w:rPr>
          <w:rFonts w:ascii="Palatino Linotype" w:eastAsia="Palatino Linotype" w:hAnsi="Palatino Linotype" w:cs="Palatino Linotype"/>
        </w:rPr>
        <w:t>El quince de mayo de dos mil veinticinco, la</w:t>
      </w:r>
      <w:r w:rsidRPr="00E4092B">
        <w:rPr>
          <w:rFonts w:ascii="Palatino Linotype" w:eastAsia="Palatino Linotype" w:hAnsi="Palatino Linotype" w:cs="Palatino Linotype"/>
          <w:b/>
          <w:bCs/>
        </w:rPr>
        <w:t xml:space="preserve"> </w:t>
      </w:r>
      <w:r w:rsidRPr="00E4092B">
        <w:rPr>
          <w:rFonts w:ascii="Palatino Linotype" w:eastAsia="Palatino Linotype" w:hAnsi="Palatino Linotype" w:cs="Palatino Linotype"/>
        </w:rPr>
        <w:t>parte</w:t>
      </w:r>
      <w:r w:rsidRPr="00E4092B">
        <w:rPr>
          <w:rFonts w:ascii="Palatino Linotype" w:eastAsia="Palatino Linotype" w:hAnsi="Palatino Linotype" w:cs="Palatino Linotype"/>
          <w:b/>
          <w:bCs/>
        </w:rPr>
        <w:t xml:space="preserve"> RECURRENTE </w:t>
      </w:r>
      <w:r w:rsidRPr="00E4092B">
        <w:rPr>
          <w:rFonts w:ascii="Palatino Linotype" w:eastAsia="Palatino Linotype" w:hAnsi="Palatino Linotype" w:cs="Palatino Linotype"/>
        </w:rPr>
        <w:t xml:space="preserve">presentó ante el </w:t>
      </w:r>
      <w:r w:rsidRPr="00E4092B">
        <w:rPr>
          <w:rFonts w:ascii="Palatino Linotype" w:eastAsia="Palatino Linotype" w:hAnsi="Palatino Linotype" w:cs="Palatino Linotype"/>
          <w:b/>
          <w:bCs/>
        </w:rPr>
        <w:t>SUJETO OBLIGADO,</w:t>
      </w:r>
      <w:r w:rsidRPr="00E4092B">
        <w:rPr>
          <w:rFonts w:ascii="Palatino Linotype" w:eastAsia="Palatino Linotype" w:hAnsi="Palatino Linotype" w:cs="Palatino Linotype"/>
        </w:rPr>
        <w:t xml:space="preserve"> a través del el Sistema de Acceso a la Información Mexiquense </w:t>
      </w:r>
      <w:r w:rsidRPr="00E4092B">
        <w:rPr>
          <w:rFonts w:ascii="Palatino Linotype" w:eastAsia="Palatino Linotype" w:hAnsi="Palatino Linotype" w:cs="Palatino Linotype"/>
          <w:b/>
          <w:bCs/>
        </w:rPr>
        <w:t>(SAIMEX),</w:t>
      </w:r>
      <w:r w:rsidRPr="00E4092B">
        <w:rPr>
          <w:rFonts w:ascii="Palatino Linotype" w:eastAsia="Palatino Linotype" w:hAnsi="Palatino Linotype" w:cs="Palatino Linotype"/>
        </w:rPr>
        <w:t xml:space="preserve"> la solicitud de información pública </w:t>
      </w:r>
      <w:r w:rsidRPr="00E4092B">
        <w:rPr>
          <w:rFonts w:ascii="Palatino Linotype" w:eastAsia="Palatino Linotype" w:hAnsi="Palatino Linotype" w:cs="Palatino Linotype"/>
          <w:b/>
          <w:bCs/>
        </w:rPr>
        <w:t>00457/SECTI/IP/2025</w:t>
      </w:r>
      <w:r w:rsidRPr="00E4092B">
        <w:rPr>
          <w:rFonts w:ascii="Palatino Linotype" w:eastAsia="Palatino Linotype" w:hAnsi="Palatino Linotype" w:cs="Palatino Linotype"/>
        </w:rPr>
        <w:t>, en la que solicitó:</w:t>
      </w:r>
    </w:p>
    <w:p w:rsidR="00855AFD" w:rsidRPr="00E4092B" w:rsidRDefault="00855AFD">
      <w:pPr>
        <w:jc w:val="both"/>
        <w:rPr>
          <w:rFonts w:ascii="Palatino Linotype" w:eastAsia="Palatino Linotype" w:hAnsi="Palatino Linotype" w:cs="Palatino Linotype"/>
          <w:i/>
          <w:iCs/>
        </w:rPr>
      </w:pPr>
    </w:p>
    <w:p w:rsidR="00855AFD" w:rsidRPr="00E4092B" w:rsidRDefault="003554BF">
      <w:pPr>
        <w:ind w:left="567" w:right="567"/>
        <w:jc w:val="both"/>
        <w:rPr>
          <w:rFonts w:ascii="Palatino Linotype" w:eastAsia="Palatino Linotype" w:hAnsi="Palatino Linotype" w:cs="Palatino Linotype"/>
          <w:i/>
          <w:iCs/>
          <w:color w:val="000000"/>
        </w:rPr>
      </w:pPr>
      <w:r w:rsidRPr="00E4092B">
        <w:rPr>
          <w:rFonts w:ascii="Palatino Linotype" w:eastAsia="Palatino Linotype" w:hAnsi="Palatino Linotype" w:cs="Palatino Linotype"/>
          <w:i/>
          <w:iCs/>
          <w:color w:val="000000"/>
        </w:rPr>
        <w:t xml:space="preserve">“Solicito atentamente Informacion referente al estatus como deportista de mi hija </w:t>
      </w:r>
      <w:r w:rsidR="009667FD">
        <w:rPr>
          <w:rFonts w:ascii="Palatino Linotype" w:eastAsia="Palatino Linotype" w:hAnsi="Palatino Linotype" w:cs="Palatino Linotype"/>
          <w:i/>
          <w:iCs/>
          <w:color w:val="000000"/>
        </w:rPr>
        <w:t>XXXX</w:t>
      </w:r>
      <w:r w:rsidRPr="00E4092B">
        <w:rPr>
          <w:rFonts w:ascii="Palatino Linotype" w:eastAsia="Palatino Linotype" w:hAnsi="Palatino Linotype" w:cs="Palatino Linotype"/>
          <w:i/>
          <w:iCs/>
          <w:color w:val="000000"/>
        </w:rPr>
        <w:t xml:space="preserve"> del deporte de Patines en Ruedas- Inline Hockey en el Estado de Mexico y en la CONADE. Si se encuentra activa o no, en caso de no estar registrada o activa los años que no ha estado activa. Agradezco de antemano el apoyo (Sic)</w:t>
      </w:r>
    </w:p>
    <w:p w:rsidR="00855AFD" w:rsidRDefault="003554BF">
      <w:pPr>
        <w:ind w:left="567" w:right="567"/>
        <w:jc w:val="both"/>
        <w:rPr>
          <w:rFonts w:ascii="Palatino Linotype" w:eastAsia="Palatino Linotype" w:hAnsi="Palatino Linotype" w:cs="Palatino Linotype"/>
          <w:i/>
          <w:iCs/>
          <w:color w:val="000000"/>
        </w:rPr>
      </w:pPr>
      <w:r w:rsidRPr="00E4092B">
        <w:rPr>
          <w:rFonts w:ascii="Palatino Linotype" w:eastAsia="Palatino Linotype" w:hAnsi="Palatino Linotype" w:cs="Palatino Linotype"/>
          <w:i/>
          <w:iCs/>
          <w:color w:val="000000"/>
        </w:rPr>
        <w:t xml:space="preserve"> </w:t>
      </w:r>
    </w:p>
    <w:p w:rsidR="00E4092B" w:rsidRPr="00E4092B" w:rsidRDefault="00E4092B">
      <w:pPr>
        <w:ind w:left="567" w:right="567"/>
        <w:jc w:val="both"/>
        <w:rPr>
          <w:rFonts w:ascii="Palatino Linotype" w:eastAsia="Palatino Linotype" w:hAnsi="Palatino Linotype" w:cs="Palatino Linotype"/>
          <w:i/>
          <w:iCs/>
          <w:color w:val="000000"/>
        </w:rPr>
      </w:pPr>
    </w:p>
    <w:p w:rsidR="00855AFD" w:rsidRPr="00E4092B" w:rsidRDefault="003554BF">
      <w:pPr>
        <w:numPr>
          <w:ilvl w:val="0"/>
          <w:numId w:val="5"/>
        </w:numPr>
        <w:spacing w:line="360" w:lineRule="auto"/>
        <w:ind w:left="0" w:firstLine="0"/>
        <w:jc w:val="both"/>
        <w:rPr>
          <w:rFonts w:ascii="Palatino Linotype" w:eastAsia="Palatino Linotype" w:hAnsi="Palatino Linotype" w:cs="Palatino Linotype"/>
        </w:rPr>
      </w:pPr>
      <w:r w:rsidRPr="00E4092B">
        <w:rPr>
          <w:rFonts w:ascii="Palatino Linotype" w:eastAsia="Palatino Linotype" w:hAnsi="Palatino Linotype" w:cs="Palatino Linotype"/>
        </w:rPr>
        <w:t xml:space="preserve">Se hace constar que se señaló como modalidad de entrega de la información a través del </w:t>
      </w:r>
      <w:r w:rsidRPr="00E4092B">
        <w:rPr>
          <w:rFonts w:ascii="Palatino Linotype" w:eastAsia="Palatino Linotype" w:hAnsi="Palatino Linotype" w:cs="Palatino Linotype"/>
          <w:b/>
          <w:bCs/>
        </w:rPr>
        <w:t>SAIMEX.</w:t>
      </w:r>
    </w:p>
    <w:p w:rsidR="00855AFD" w:rsidRPr="00E4092B" w:rsidRDefault="00855AFD">
      <w:pPr>
        <w:rPr>
          <w:rFonts w:ascii="Palatino Linotype" w:eastAsia="Palatino Linotype" w:hAnsi="Palatino Linotype" w:cs="Palatino Linotype"/>
        </w:rPr>
      </w:pPr>
    </w:p>
    <w:p w:rsidR="00855AFD" w:rsidRPr="00E4092B" w:rsidRDefault="003554BF">
      <w:pPr>
        <w:numPr>
          <w:ilvl w:val="0"/>
          <w:numId w:val="5"/>
        </w:numPr>
        <w:spacing w:line="360" w:lineRule="auto"/>
        <w:ind w:left="0" w:firstLine="0"/>
        <w:jc w:val="both"/>
        <w:rPr>
          <w:rFonts w:ascii="Palatino Linotype" w:eastAsia="Palatino Linotype" w:hAnsi="Palatino Linotype" w:cs="Palatino Linotype"/>
        </w:rPr>
      </w:pPr>
      <w:r w:rsidRPr="00E4092B">
        <w:rPr>
          <w:rFonts w:ascii="Palatino Linotype" w:eastAsia="Palatino Linotype" w:hAnsi="Palatino Linotype" w:cs="Palatino Linotype"/>
        </w:rPr>
        <w:t xml:space="preserve">El tres de junio de dos mil veinticinco, el </w:t>
      </w:r>
      <w:r w:rsidRPr="00E4092B">
        <w:rPr>
          <w:rFonts w:ascii="Palatino Linotype" w:eastAsia="Palatino Linotype" w:hAnsi="Palatino Linotype" w:cs="Palatino Linotype"/>
          <w:b/>
          <w:bCs/>
        </w:rPr>
        <w:t>SUJETO OBLIGADO</w:t>
      </w:r>
      <w:r w:rsidRPr="00E4092B">
        <w:rPr>
          <w:rFonts w:ascii="Palatino Linotype" w:eastAsia="Palatino Linotype" w:hAnsi="Palatino Linotype" w:cs="Palatino Linotype"/>
          <w:b/>
          <w:bCs/>
          <w:i/>
          <w:iCs/>
        </w:rPr>
        <w:t xml:space="preserve"> </w:t>
      </w:r>
      <w:r w:rsidRPr="00E4092B">
        <w:rPr>
          <w:rFonts w:ascii="Palatino Linotype" w:eastAsia="Palatino Linotype" w:hAnsi="Palatino Linotype" w:cs="Palatino Linotype"/>
        </w:rPr>
        <w:t>dio respuesta a la solicitud de información, en los siguientes términos:</w:t>
      </w:r>
    </w:p>
    <w:p w:rsidR="00855AFD" w:rsidRPr="00E4092B" w:rsidRDefault="00855AFD">
      <w:pPr>
        <w:ind w:right="-592"/>
        <w:jc w:val="both"/>
        <w:rPr>
          <w:rFonts w:ascii="Palatino Linotype" w:eastAsia="Palatino Linotype" w:hAnsi="Palatino Linotype" w:cs="Palatino Linotype"/>
          <w:i/>
          <w:iCs/>
        </w:rPr>
      </w:pPr>
    </w:p>
    <w:p w:rsidR="00855AFD" w:rsidRPr="00E4092B" w:rsidRDefault="003554BF">
      <w:pPr>
        <w:ind w:left="567" w:right="567"/>
        <w:jc w:val="both"/>
        <w:rPr>
          <w:rFonts w:ascii="Palatino Linotype" w:eastAsia="Palatino Linotype" w:hAnsi="Palatino Linotype" w:cs="Palatino Linotype"/>
          <w:i/>
          <w:iCs/>
        </w:rPr>
      </w:pPr>
      <w:r w:rsidRPr="00E4092B">
        <w:rPr>
          <w:rFonts w:ascii="Palatino Linotype" w:eastAsia="Palatino Linotype" w:hAnsi="Palatino Linotype" w:cs="Palatino Linotype"/>
          <w:i/>
          <w:iCs/>
          <w:color w:val="000000"/>
        </w:rPr>
        <w:lastRenderedPageBreak/>
        <w:t xml:space="preserve">“Con fundamento en los artículos 53 fracciones II, V y VI y 163 de la Ley de Transparencia y Acceso a la Información Pública del Estado de México y Municipios, en respuesta a su solicitud de información se adjunta el Acuerdo de respuesta de fecha dos de junio de dos mil veinticinco, asimismo, se anexa el archivo que contiene la información remitida por el Servidor Público Habilitado responsable de generar la información.” (Sic) </w:t>
      </w:r>
    </w:p>
    <w:p w:rsidR="00855AFD" w:rsidRPr="00E4092B" w:rsidRDefault="00855AFD">
      <w:pPr>
        <w:ind w:right="710"/>
        <w:jc w:val="both"/>
        <w:rPr>
          <w:rFonts w:ascii="Palatino Linotype" w:eastAsia="Palatino Linotype" w:hAnsi="Palatino Linotype" w:cs="Palatino Linotype"/>
          <w:i/>
          <w:iCs/>
          <w:color w:val="000000"/>
        </w:rPr>
      </w:pPr>
    </w:p>
    <w:p w:rsidR="00855AFD" w:rsidRPr="00E4092B" w:rsidRDefault="003554BF">
      <w:pPr>
        <w:ind w:right="567"/>
        <w:jc w:val="both"/>
        <w:rPr>
          <w:rFonts w:ascii="Palatino Linotype" w:eastAsia="Palatino Linotype" w:hAnsi="Palatino Linotype" w:cs="Palatino Linotype"/>
          <w:b/>
          <w:bCs/>
        </w:rPr>
      </w:pPr>
      <w:r w:rsidRPr="00E4092B">
        <w:rPr>
          <w:rFonts w:ascii="Palatino Linotype" w:eastAsia="Palatino Linotype" w:hAnsi="Palatino Linotype" w:cs="Palatino Linotype"/>
          <w:b/>
          <w:bCs/>
        </w:rPr>
        <w:t>Archivos electrónicos adjuntos:</w:t>
      </w:r>
    </w:p>
    <w:p w:rsidR="00855AFD" w:rsidRPr="00E4092B" w:rsidRDefault="00855AFD">
      <w:pPr>
        <w:ind w:left="567" w:right="567"/>
        <w:jc w:val="both"/>
        <w:rPr>
          <w:rFonts w:ascii="Palatino Linotype" w:eastAsia="Palatino Linotype" w:hAnsi="Palatino Linotype" w:cs="Palatino Linotype"/>
          <w:b/>
          <w:bCs/>
        </w:rPr>
      </w:pPr>
    </w:p>
    <w:p w:rsidR="00855AFD" w:rsidRPr="00E4092B" w:rsidRDefault="00297D7C">
      <w:pPr>
        <w:ind w:left="567" w:right="567"/>
        <w:jc w:val="both"/>
        <w:rPr>
          <w:rFonts w:ascii="Palatino Linotype" w:eastAsia="Palatino Linotype" w:hAnsi="Palatino Linotype" w:cs="Palatino Linotype"/>
          <w:b/>
          <w:bCs/>
        </w:rPr>
      </w:pPr>
      <w:hyperlink r:id="rId8">
        <w:r w:rsidR="003554BF" w:rsidRPr="00E4092B">
          <w:rPr>
            <w:rFonts w:ascii="Palatino Linotype" w:eastAsia="Palatino Linotype" w:hAnsi="Palatino Linotype" w:cs="Palatino Linotype"/>
            <w:b/>
            <w:bCs/>
            <w:color w:val="000000"/>
          </w:rPr>
          <w:t>RESPUESTA_UT_00457.pdf</w:t>
        </w:r>
      </w:hyperlink>
      <w:r w:rsidR="003554BF" w:rsidRPr="00E4092B">
        <w:rPr>
          <w:rFonts w:ascii="Palatino Linotype" w:eastAsia="Palatino Linotype" w:hAnsi="Palatino Linotype" w:cs="Palatino Linotype"/>
          <w:b/>
          <w:bCs/>
        </w:rPr>
        <w:t xml:space="preserve">: </w:t>
      </w:r>
      <w:r w:rsidR="003554BF" w:rsidRPr="00E4092B">
        <w:rPr>
          <w:rFonts w:ascii="Palatino Linotype" w:eastAsia="Palatino Linotype" w:hAnsi="Palatino Linotype" w:cs="Palatino Linotype"/>
        </w:rPr>
        <w:t>Oficio suscrito por el Titular de la Unidad de Transparencia, por medio del cual, informó que el Servidor Público Habilitado de la Dirección General de Cultura Física y Deporte, remitió la información que obra en sus archivos.</w:t>
      </w:r>
    </w:p>
    <w:p w:rsidR="00855AFD" w:rsidRPr="00E4092B" w:rsidRDefault="00855AFD">
      <w:pPr>
        <w:ind w:left="567" w:right="567"/>
        <w:jc w:val="both"/>
        <w:rPr>
          <w:rFonts w:ascii="Palatino Linotype" w:eastAsia="Palatino Linotype" w:hAnsi="Palatino Linotype" w:cs="Palatino Linotype"/>
          <w:b/>
          <w:bCs/>
        </w:rPr>
      </w:pPr>
    </w:p>
    <w:p w:rsidR="00855AFD" w:rsidRPr="00E4092B" w:rsidRDefault="00297D7C">
      <w:pPr>
        <w:ind w:left="567" w:right="567"/>
        <w:jc w:val="both"/>
        <w:rPr>
          <w:rFonts w:ascii="Palatino Linotype" w:eastAsia="Palatino Linotype" w:hAnsi="Palatino Linotype" w:cs="Palatino Linotype"/>
        </w:rPr>
      </w:pPr>
      <w:hyperlink r:id="rId9">
        <w:r w:rsidR="003554BF" w:rsidRPr="00E4092B">
          <w:rPr>
            <w:rFonts w:ascii="Palatino Linotype" w:eastAsia="Palatino Linotype" w:hAnsi="Palatino Linotype" w:cs="Palatino Linotype"/>
            <w:b/>
            <w:bCs/>
            <w:color w:val="000000"/>
          </w:rPr>
          <w:t>SPH_00457.pdf</w:t>
        </w:r>
      </w:hyperlink>
      <w:r w:rsidR="003554BF" w:rsidRPr="00E4092B">
        <w:rPr>
          <w:rFonts w:ascii="Palatino Linotype" w:eastAsia="Palatino Linotype" w:hAnsi="Palatino Linotype" w:cs="Palatino Linotype"/>
        </w:rPr>
        <w:t>: Oficio suscrito por el Director General de Cultura Física y Deporte, por medio del cual, la Subdirección de Fomento del Deporte, señaló que la persona referida en la solicitud de información participó activamente como deportista registrada durante el año 2024, sin embargo verificó que para el ejercicio fiscal 2025 ya no se encuentra activa ni registrada en el padrón estatal correspondiente a dicha disciplina.</w:t>
      </w:r>
    </w:p>
    <w:p w:rsidR="00855AFD" w:rsidRPr="00E4092B" w:rsidRDefault="00855AFD">
      <w:pPr>
        <w:ind w:right="-592"/>
        <w:jc w:val="both"/>
        <w:rPr>
          <w:rFonts w:ascii="Palatino Linotype" w:eastAsia="Palatino Linotype" w:hAnsi="Palatino Linotype" w:cs="Palatino Linotype"/>
          <w:b/>
          <w:bCs/>
        </w:rPr>
      </w:pPr>
    </w:p>
    <w:p w:rsidR="00855AFD" w:rsidRPr="00E4092B" w:rsidRDefault="003554BF">
      <w:pPr>
        <w:numPr>
          <w:ilvl w:val="0"/>
          <w:numId w:val="5"/>
        </w:numPr>
        <w:spacing w:line="360" w:lineRule="auto"/>
        <w:ind w:left="0" w:right="1" w:firstLine="0"/>
        <w:jc w:val="both"/>
        <w:rPr>
          <w:rFonts w:ascii="Palatino Linotype" w:eastAsia="Palatino Linotype" w:hAnsi="Palatino Linotype" w:cs="Palatino Linotype"/>
        </w:rPr>
      </w:pPr>
      <w:r w:rsidRPr="00E4092B">
        <w:rPr>
          <w:rFonts w:ascii="Palatino Linotype" w:eastAsia="Palatino Linotype" w:hAnsi="Palatino Linotype" w:cs="Palatino Linotype"/>
        </w:rPr>
        <w:t>El cinco de junio de dos mil veinticinco,</w:t>
      </w:r>
      <w:r w:rsidRPr="00E4092B">
        <w:rPr>
          <w:rFonts w:ascii="Palatino Linotype" w:eastAsia="Palatino Linotype" w:hAnsi="Palatino Linotype" w:cs="Palatino Linotype"/>
          <w:b/>
          <w:bCs/>
        </w:rPr>
        <w:t xml:space="preserve"> </w:t>
      </w:r>
      <w:r w:rsidRPr="00E4092B">
        <w:rPr>
          <w:rFonts w:ascii="Palatino Linotype" w:eastAsia="Palatino Linotype" w:hAnsi="Palatino Linotype" w:cs="Palatino Linotype"/>
        </w:rPr>
        <w:t xml:space="preserve">el </w:t>
      </w:r>
      <w:r w:rsidRPr="00E4092B">
        <w:rPr>
          <w:rFonts w:ascii="Palatino Linotype" w:eastAsia="Palatino Linotype" w:hAnsi="Palatino Linotype" w:cs="Palatino Linotype"/>
          <w:b/>
          <w:bCs/>
        </w:rPr>
        <w:t>RECURRENTE</w:t>
      </w:r>
      <w:r w:rsidRPr="00E4092B">
        <w:rPr>
          <w:rFonts w:ascii="Palatino Linotype" w:eastAsia="Palatino Linotype" w:hAnsi="Palatino Linotype" w:cs="Palatino Linotype"/>
        </w:rPr>
        <w:t xml:space="preserve"> interpuso el recurso de revisión en contra de la respuesta, señalando como:</w:t>
      </w:r>
    </w:p>
    <w:p w:rsidR="00855AFD" w:rsidRPr="00E4092B" w:rsidRDefault="00855AFD">
      <w:pPr>
        <w:ind w:right="1"/>
        <w:jc w:val="both"/>
        <w:rPr>
          <w:rFonts w:ascii="Palatino Linotype" w:eastAsia="Palatino Linotype" w:hAnsi="Palatino Linotype" w:cs="Palatino Linotype"/>
        </w:rPr>
      </w:pPr>
    </w:p>
    <w:p w:rsidR="00855AFD" w:rsidRPr="00E4092B" w:rsidRDefault="00E4092B" w:rsidP="00E4092B">
      <w:pPr>
        <w:pStyle w:val="Prrafodelista"/>
        <w:numPr>
          <w:ilvl w:val="0"/>
          <w:numId w:val="7"/>
        </w:numPr>
        <w:ind w:right="567"/>
        <w:jc w:val="both"/>
        <w:rPr>
          <w:rFonts w:ascii="Palatino Linotype" w:eastAsia="Palatino Linotype" w:hAnsi="Palatino Linotype" w:cs="Palatino Linotype"/>
          <w:i/>
          <w:iCs/>
          <w:sz w:val="24"/>
        </w:rPr>
      </w:pPr>
      <w:r w:rsidRPr="00E4092B">
        <w:rPr>
          <w:rFonts w:ascii="Palatino Linotype" w:eastAsia="Palatino Linotype" w:hAnsi="Palatino Linotype" w:cs="Palatino Linotype"/>
          <w:b/>
          <w:bCs/>
          <w:sz w:val="24"/>
        </w:rPr>
        <w:t>ACTO IMPUGNADO</w:t>
      </w:r>
      <w:r w:rsidR="003554BF" w:rsidRPr="00E4092B">
        <w:rPr>
          <w:rFonts w:ascii="Palatino Linotype" w:eastAsia="Palatino Linotype" w:hAnsi="Palatino Linotype" w:cs="Palatino Linotype"/>
          <w:b/>
          <w:bCs/>
          <w:i/>
          <w:iCs/>
          <w:sz w:val="24"/>
        </w:rPr>
        <w:t>:</w:t>
      </w:r>
      <w:r w:rsidR="003554BF" w:rsidRPr="00E4092B">
        <w:rPr>
          <w:rFonts w:ascii="Palatino Linotype" w:eastAsia="Palatino Linotype" w:hAnsi="Palatino Linotype" w:cs="Palatino Linotype"/>
          <w:i/>
          <w:iCs/>
          <w:color w:val="000000"/>
          <w:sz w:val="24"/>
        </w:rPr>
        <w:t xml:space="preserve"> “Falto informacion en la solicitud 00457/SECTI/IP/2025” (Sic)</w:t>
      </w:r>
    </w:p>
    <w:p w:rsidR="00855AFD" w:rsidRPr="00E4092B" w:rsidRDefault="00855AFD" w:rsidP="00E4092B">
      <w:pPr>
        <w:ind w:right="567"/>
        <w:jc w:val="both"/>
        <w:rPr>
          <w:rFonts w:ascii="Palatino Linotype" w:eastAsia="Palatino Linotype" w:hAnsi="Palatino Linotype" w:cs="Palatino Linotype"/>
          <w:sz w:val="28"/>
        </w:rPr>
      </w:pPr>
    </w:p>
    <w:p w:rsidR="00855AFD" w:rsidRPr="00E4092B" w:rsidRDefault="00E4092B" w:rsidP="00E4092B">
      <w:pPr>
        <w:pStyle w:val="Prrafodelista"/>
        <w:numPr>
          <w:ilvl w:val="0"/>
          <w:numId w:val="7"/>
        </w:numPr>
        <w:ind w:right="567"/>
        <w:jc w:val="both"/>
        <w:rPr>
          <w:rFonts w:ascii="Palatino Linotype" w:eastAsia="Palatino Linotype" w:hAnsi="Palatino Linotype" w:cs="Palatino Linotype"/>
          <w:i/>
          <w:iCs/>
          <w:color w:val="000000"/>
          <w:sz w:val="24"/>
        </w:rPr>
      </w:pPr>
      <w:bookmarkStart w:id="1" w:name="_heading=h.wbn3b7ivtwos" w:colFirst="0" w:colLast="0"/>
      <w:bookmarkEnd w:id="1"/>
      <w:r w:rsidRPr="00E4092B">
        <w:rPr>
          <w:rFonts w:ascii="Palatino Linotype" w:eastAsia="Palatino Linotype" w:hAnsi="Palatino Linotype" w:cs="Palatino Linotype"/>
          <w:b/>
          <w:bCs/>
          <w:sz w:val="24"/>
        </w:rPr>
        <w:t>RAZONES O MOTIVOS DE INCONFORMIDAD</w:t>
      </w:r>
      <w:r w:rsidR="003554BF" w:rsidRPr="00E4092B">
        <w:rPr>
          <w:rFonts w:ascii="Palatino Linotype" w:eastAsia="Palatino Linotype" w:hAnsi="Palatino Linotype" w:cs="Palatino Linotype"/>
          <w:b/>
          <w:bCs/>
          <w:sz w:val="24"/>
        </w:rPr>
        <w:t xml:space="preserve">: </w:t>
      </w:r>
      <w:r w:rsidR="003554BF" w:rsidRPr="00E4092B">
        <w:rPr>
          <w:rFonts w:ascii="Palatino Linotype" w:eastAsia="Palatino Linotype" w:hAnsi="Palatino Linotype" w:cs="Palatino Linotype"/>
          <w:i/>
          <w:iCs/>
          <w:color w:val="000000"/>
          <w:sz w:val="24"/>
        </w:rPr>
        <w:t xml:space="preserve">“Agradezco la informacion referente al estatus de mi Hija </w:t>
      </w:r>
      <w:r w:rsidR="009667FD">
        <w:rPr>
          <w:rFonts w:ascii="Palatino Linotype" w:eastAsia="Palatino Linotype" w:hAnsi="Palatino Linotype" w:cs="Palatino Linotype"/>
          <w:i/>
          <w:iCs/>
          <w:color w:val="000000"/>
          <w:sz w:val="24"/>
        </w:rPr>
        <w:t>XXXX</w:t>
      </w:r>
      <w:r w:rsidR="003554BF" w:rsidRPr="00E4092B">
        <w:rPr>
          <w:rFonts w:ascii="Palatino Linotype" w:eastAsia="Palatino Linotype" w:hAnsi="Palatino Linotype" w:cs="Palatino Linotype"/>
          <w:i/>
          <w:iCs/>
          <w:color w:val="000000"/>
          <w:sz w:val="24"/>
        </w:rPr>
        <w:t xml:space="preserve"> en el Estado de Mexico en la disciplina de inLine Hockey , falto el estatus que tiene en la CONADE. Por lo cual solicito tambien el estatus de deportista de mi hija ante la CONADE. Agradezco de antemano.” (Sic)</w:t>
      </w:r>
    </w:p>
    <w:p w:rsidR="00855AFD" w:rsidRPr="00E4092B" w:rsidRDefault="00855AFD">
      <w:pPr>
        <w:ind w:right="568"/>
        <w:jc w:val="both"/>
        <w:rPr>
          <w:rFonts w:ascii="Palatino Linotype" w:eastAsia="Palatino Linotype" w:hAnsi="Palatino Linotype" w:cs="Palatino Linotype"/>
          <w:b/>
          <w:bCs/>
        </w:rPr>
      </w:pPr>
    </w:p>
    <w:p w:rsidR="00855AFD" w:rsidRPr="00E4092B" w:rsidRDefault="003554BF">
      <w:pPr>
        <w:numPr>
          <w:ilvl w:val="0"/>
          <w:numId w:val="5"/>
        </w:numPr>
        <w:spacing w:line="360" w:lineRule="auto"/>
        <w:ind w:left="0" w:right="1" w:firstLine="0"/>
        <w:jc w:val="both"/>
        <w:rPr>
          <w:rFonts w:ascii="Palatino Linotype" w:eastAsia="Palatino Linotype" w:hAnsi="Palatino Linotype" w:cs="Palatino Linotype"/>
        </w:rPr>
      </w:pPr>
      <w:r w:rsidRPr="00E4092B">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w:t>
      </w:r>
      <w:r w:rsidRPr="00E4092B">
        <w:rPr>
          <w:rFonts w:ascii="Palatino Linotype" w:eastAsia="Palatino Linotype" w:hAnsi="Palatino Linotype" w:cs="Palatino Linotype"/>
          <w:b/>
          <w:bCs/>
        </w:rPr>
        <w:t xml:space="preserve">Ley de </w:t>
      </w:r>
      <w:r w:rsidRPr="00E4092B">
        <w:rPr>
          <w:rFonts w:ascii="Palatino Linotype" w:eastAsia="Palatino Linotype" w:hAnsi="Palatino Linotype" w:cs="Palatino Linotype"/>
          <w:b/>
          <w:bCs/>
        </w:rPr>
        <w:lastRenderedPageBreak/>
        <w:t xml:space="preserve">Transparencia y Acceso a la Información Pública del Estado de México y Municipios </w:t>
      </w:r>
      <w:r w:rsidRPr="00E4092B">
        <w:rPr>
          <w:rFonts w:ascii="Palatino Linotype" w:eastAsia="Palatino Linotype" w:hAnsi="Palatino Linotype" w:cs="Palatino Linotype"/>
        </w:rPr>
        <w:t xml:space="preserve">se turna a la </w:t>
      </w:r>
      <w:r w:rsidRPr="00E4092B">
        <w:rPr>
          <w:rFonts w:ascii="Palatino Linotype" w:eastAsia="Palatino Linotype" w:hAnsi="Palatino Linotype" w:cs="Palatino Linotype"/>
          <w:b/>
          <w:bCs/>
        </w:rPr>
        <w:t xml:space="preserve">Comisionada María del Rosario Mejía Ayala, </w:t>
      </w:r>
      <w:r w:rsidRPr="00E4092B">
        <w:rPr>
          <w:rFonts w:ascii="Palatino Linotype" w:eastAsia="Palatino Linotype" w:hAnsi="Palatino Linotype" w:cs="Palatino Linotype"/>
        </w:rPr>
        <w:t xml:space="preserve">para su análisis. </w:t>
      </w:r>
    </w:p>
    <w:p w:rsidR="00855AFD" w:rsidRPr="00E4092B" w:rsidRDefault="00855AFD">
      <w:pPr>
        <w:ind w:right="-592"/>
        <w:jc w:val="both"/>
        <w:rPr>
          <w:rFonts w:ascii="Palatino Linotype" w:eastAsia="Palatino Linotype" w:hAnsi="Palatino Linotype" w:cs="Palatino Linotype"/>
        </w:rPr>
      </w:pPr>
    </w:p>
    <w:p w:rsidR="00855AFD" w:rsidRPr="00E4092B" w:rsidRDefault="00E4092B">
      <w:pPr>
        <w:numPr>
          <w:ilvl w:val="0"/>
          <w:numId w:val="5"/>
        </w:numPr>
        <w:spacing w:line="360" w:lineRule="auto"/>
        <w:ind w:left="0" w:right="1"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La Comisionada p</w:t>
      </w:r>
      <w:r w:rsidR="003554BF" w:rsidRPr="00E4092B">
        <w:rPr>
          <w:rFonts w:ascii="Palatino Linotype" w:eastAsia="Palatino Linotype" w:hAnsi="Palatino Linotype" w:cs="Palatino Linotype"/>
        </w:rPr>
        <w:t xml:space="preserve">onente con fundamento en lo dispuesto por el artículo 185 fracción II de la ley de la materia, a través del acuerdo de admisión del diez de junio de dos mil veinticinco, puso a disposición de las partes el expediente electrónico vía </w:t>
      </w:r>
      <w:r w:rsidR="003554BF" w:rsidRPr="00E4092B">
        <w:rPr>
          <w:rFonts w:ascii="Palatino Linotype" w:eastAsia="Palatino Linotype" w:hAnsi="Palatino Linotype" w:cs="Palatino Linotype"/>
          <w:b/>
          <w:bCs/>
        </w:rPr>
        <w:t xml:space="preserve">SAIMEX </w:t>
      </w:r>
      <w:r w:rsidR="003554BF" w:rsidRPr="00E4092B">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sidR="003554BF" w:rsidRPr="00E4092B">
        <w:rPr>
          <w:rFonts w:ascii="Palatino Linotype" w:eastAsia="Palatino Linotype" w:hAnsi="Palatino Linotype" w:cs="Palatino Linotype"/>
          <w:b/>
          <w:bCs/>
        </w:rPr>
        <w:t>SUJETO OBLIGADO</w:t>
      </w:r>
      <w:r w:rsidR="003554BF" w:rsidRPr="00E4092B">
        <w:rPr>
          <w:rFonts w:ascii="Palatino Linotype" w:eastAsia="Palatino Linotype" w:hAnsi="Palatino Linotype" w:cs="Palatino Linotype"/>
        </w:rPr>
        <w:t xml:space="preserve"> presentará el informe justificado procedente. </w:t>
      </w:r>
    </w:p>
    <w:p w:rsidR="00855AFD" w:rsidRPr="00E4092B" w:rsidRDefault="00855AFD">
      <w:pPr>
        <w:ind w:right="-592"/>
        <w:rPr>
          <w:rFonts w:ascii="Palatino Linotype" w:eastAsia="Palatino Linotype" w:hAnsi="Palatino Linotype" w:cs="Palatino Linotype"/>
        </w:rPr>
      </w:pPr>
    </w:p>
    <w:p w:rsidR="00855AFD" w:rsidRPr="00E4092B" w:rsidRDefault="003554BF">
      <w:pPr>
        <w:numPr>
          <w:ilvl w:val="0"/>
          <w:numId w:val="5"/>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b/>
          <w:bCs/>
        </w:rPr>
      </w:pPr>
      <w:r w:rsidRPr="00E4092B">
        <w:rPr>
          <w:rFonts w:ascii="Palatino Linotype" w:eastAsia="Palatino Linotype" w:hAnsi="Palatino Linotype" w:cs="Palatino Linotype"/>
        </w:rPr>
        <w:t xml:space="preserve">El diecinueve de junio de dos mil veinticinco, el </w:t>
      </w:r>
      <w:r w:rsidRPr="00E4092B">
        <w:rPr>
          <w:rFonts w:ascii="Palatino Linotype" w:eastAsia="Palatino Linotype" w:hAnsi="Palatino Linotype" w:cs="Palatino Linotype"/>
          <w:b/>
          <w:bCs/>
        </w:rPr>
        <w:t>SUJETO OBLIGADO</w:t>
      </w:r>
      <w:r w:rsidRPr="00E4092B">
        <w:rPr>
          <w:rFonts w:ascii="Palatino Linotype" w:eastAsia="Palatino Linotype" w:hAnsi="Palatino Linotype" w:cs="Palatino Linotype"/>
        </w:rPr>
        <w:t xml:space="preserve"> rindió el informe justificado correspondiente, mediante el archivo electrónico denominado </w:t>
      </w:r>
      <w:r w:rsidRPr="00E4092B">
        <w:rPr>
          <w:rFonts w:ascii="Palatino Linotype" w:eastAsia="Palatino Linotype" w:hAnsi="Palatino Linotype" w:cs="Palatino Linotype"/>
          <w:b/>
          <w:bCs/>
        </w:rPr>
        <w:t>Informe Justificado_RR 06628INFOEMIPRR2025.pdf,</w:t>
      </w:r>
      <w:r w:rsidRPr="00E4092B">
        <w:rPr>
          <w:rFonts w:ascii="Palatino Linotype" w:eastAsia="Palatino Linotype" w:hAnsi="Palatino Linotype" w:cs="Palatino Linotype"/>
        </w:rPr>
        <w:t xml:space="preserve"> consistente en un oficio suscrito por el Titular de la Unidad de Transparencia, mediante el cual, precisó la incompetencia </w:t>
      </w:r>
      <w:r w:rsidRPr="00E4092B">
        <w:rPr>
          <w:rFonts w:ascii="Palatino Linotype" w:eastAsia="Palatino Linotype" w:hAnsi="Palatino Linotype" w:cs="Palatino Linotype"/>
          <w:b/>
          <w:bCs/>
        </w:rPr>
        <w:t>e</w:t>
      </w:r>
      <w:r w:rsidRPr="00E4092B">
        <w:rPr>
          <w:rFonts w:ascii="Palatino Linotype" w:eastAsia="Palatino Linotype" w:hAnsi="Palatino Linotype" w:cs="Palatino Linotype"/>
        </w:rPr>
        <w:t xml:space="preserve">n cuanto a la información relativa a la Comisión Nacional de Cultura Física y Deporte (CONADE), y toda vez que esta, es un organismo público descentralizado de la Administración Pública Federal, la cual, es la conductora de la política nacional en materia de cultura física y deporte, con personalidad jurídica y patrimonio propio diverso a esta Secretaría de Educación, Ciencia, Tecnología e Innovación; sin embargo, </w:t>
      </w:r>
      <w:r w:rsidRPr="00E4092B">
        <w:rPr>
          <w:rFonts w:ascii="Palatino Linotype" w:eastAsia="Palatino Linotype" w:hAnsi="Palatino Linotype" w:cs="Palatino Linotype"/>
          <w:b/>
          <w:bCs/>
        </w:rPr>
        <w:t>c</w:t>
      </w:r>
      <w:r w:rsidRPr="00E4092B">
        <w:rPr>
          <w:rFonts w:ascii="Palatino Linotype" w:eastAsia="Palatino Linotype" w:hAnsi="Palatino Linotype" w:cs="Palatino Linotype"/>
        </w:rPr>
        <w:t xml:space="preserve">on la finalidad de garantizar el cumplimiento del principio rector de máxima publicidad y actuación con transparencia bajo un marco de legalidad y en estricto apego a las obligaciones que le derivan en materia de transparencia y acceso a la información pública, le sugirió a la parte </w:t>
      </w:r>
      <w:r w:rsidRPr="00E4092B">
        <w:rPr>
          <w:rFonts w:ascii="Palatino Linotype" w:eastAsia="Palatino Linotype" w:hAnsi="Palatino Linotype" w:cs="Palatino Linotype"/>
          <w:b/>
          <w:bCs/>
        </w:rPr>
        <w:t>RECURRENTE</w:t>
      </w:r>
      <w:r w:rsidRPr="00E4092B">
        <w:rPr>
          <w:rFonts w:ascii="Palatino Linotype" w:eastAsia="Palatino Linotype" w:hAnsi="Palatino Linotype" w:cs="Palatino Linotype"/>
        </w:rPr>
        <w:t xml:space="preserve"> presentar su solicitud de información ante la Unidad de Transparencia del Sujeto Obligado competente para proporcionar la información.</w:t>
      </w:r>
    </w:p>
    <w:p w:rsidR="00855AFD" w:rsidRPr="00E4092B" w:rsidRDefault="00855AFD">
      <w:pPr>
        <w:pBdr>
          <w:top w:val="nil"/>
          <w:left w:val="nil"/>
          <w:bottom w:val="nil"/>
          <w:right w:val="nil"/>
          <w:between w:val="nil"/>
        </w:pBdr>
        <w:spacing w:line="360" w:lineRule="auto"/>
        <w:ind w:right="1"/>
        <w:jc w:val="both"/>
        <w:rPr>
          <w:rFonts w:ascii="Palatino Linotype" w:eastAsia="Palatino Linotype" w:hAnsi="Palatino Linotype" w:cs="Palatino Linotype"/>
        </w:rPr>
      </w:pPr>
    </w:p>
    <w:p w:rsidR="00855AFD" w:rsidRPr="00E4092B" w:rsidRDefault="003554BF">
      <w:pPr>
        <w:numPr>
          <w:ilvl w:val="0"/>
          <w:numId w:val="5"/>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color w:val="000000"/>
        </w:rPr>
      </w:pPr>
      <w:r w:rsidRPr="00E4092B">
        <w:rPr>
          <w:rFonts w:ascii="Palatino Linotype" w:eastAsia="Palatino Linotype" w:hAnsi="Palatino Linotype" w:cs="Palatino Linotype"/>
        </w:rPr>
        <w:lastRenderedPageBreak/>
        <w:t>Por su parte,</w:t>
      </w:r>
      <w:r w:rsidRPr="00E4092B">
        <w:rPr>
          <w:rFonts w:ascii="Palatino Linotype" w:eastAsia="Palatino Linotype" w:hAnsi="Palatino Linotype" w:cs="Palatino Linotype"/>
          <w:color w:val="000000"/>
        </w:rPr>
        <w:t xml:space="preserve"> la parte </w:t>
      </w:r>
      <w:r w:rsidRPr="00E4092B">
        <w:rPr>
          <w:rFonts w:ascii="Palatino Linotype" w:eastAsia="Palatino Linotype" w:hAnsi="Palatino Linotype" w:cs="Palatino Linotype"/>
          <w:b/>
          <w:bCs/>
          <w:color w:val="000000"/>
        </w:rPr>
        <w:t>RECURRENTE</w:t>
      </w:r>
      <w:r w:rsidRPr="00E4092B">
        <w:rPr>
          <w:rFonts w:ascii="Palatino Linotype" w:eastAsia="Palatino Linotype" w:hAnsi="Palatino Linotype" w:cs="Palatino Linotype"/>
          <w:color w:val="000000"/>
        </w:rPr>
        <w:t xml:space="preserve"> dejó de realizar manifestaciones que a su derecho conviniera y asistiera.</w:t>
      </w:r>
    </w:p>
    <w:p w:rsidR="00855AFD" w:rsidRPr="00E4092B" w:rsidRDefault="00855AFD">
      <w:pPr>
        <w:rPr>
          <w:rFonts w:ascii="Palatino Linotype" w:eastAsia="Palatino Linotype" w:hAnsi="Palatino Linotype" w:cs="Palatino Linotype"/>
          <w:b/>
          <w:bCs/>
        </w:rPr>
      </w:pPr>
    </w:p>
    <w:p w:rsidR="00855AFD" w:rsidRPr="00E4092B" w:rsidRDefault="003554BF">
      <w:pPr>
        <w:numPr>
          <w:ilvl w:val="0"/>
          <w:numId w:val="5"/>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color w:val="000000"/>
        </w:rPr>
      </w:pPr>
      <w:r w:rsidRPr="00E4092B">
        <w:rPr>
          <w:rFonts w:ascii="Palatino Linotype" w:eastAsia="Palatino Linotype" w:hAnsi="Palatino Linotype" w:cs="Palatino Linotype"/>
        </w:rPr>
        <w:t>El veintisiete de enero de dos mil veintiséis, se notificó el</w:t>
      </w:r>
      <w:r w:rsidRPr="00E4092B">
        <w:rPr>
          <w:rFonts w:ascii="Palatino Linotype" w:eastAsia="Palatino Linotype" w:hAnsi="Palatino Linotype" w:cs="Palatino Linotype"/>
          <w:color w:val="000000"/>
        </w:rPr>
        <w:t xml:space="preserve"> </w:t>
      </w:r>
      <w:r w:rsidRPr="00E4092B">
        <w:rPr>
          <w:rFonts w:ascii="Palatino Linotype" w:eastAsia="Palatino Linotype" w:hAnsi="Palatino Linotype" w:cs="Palatino Linotype"/>
        </w:rPr>
        <w:t>acuerdo mediante el cual se aprobó la ampliación de plazo para emitir resolución.</w:t>
      </w:r>
    </w:p>
    <w:p w:rsidR="00855AFD" w:rsidRPr="00E4092B" w:rsidRDefault="00855AFD">
      <w:pPr>
        <w:rPr>
          <w:rFonts w:ascii="Palatino Linotype" w:eastAsia="Palatino Linotype" w:hAnsi="Palatino Linotype" w:cs="Palatino Linotype"/>
        </w:rPr>
      </w:pPr>
    </w:p>
    <w:p w:rsidR="00855AFD" w:rsidRPr="00E4092B" w:rsidRDefault="00E4092B">
      <w:pPr>
        <w:numPr>
          <w:ilvl w:val="0"/>
          <w:numId w:val="5"/>
        </w:numPr>
        <w:spacing w:line="360" w:lineRule="auto"/>
        <w:ind w:left="0" w:right="1" w:firstLine="0"/>
        <w:jc w:val="both"/>
        <w:rPr>
          <w:rFonts w:ascii="Palatino Linotype" w:eastAsia="Palatino Linotype" w:hAnsi="Palatino Linotype" w:cs="Palatino Linotype"/>
          <w:b/>
          <w:bCs/>
        </w:rPr>
      </w:pPr>
      <w:r>
        <w:rPr>
          <w:rFonts w:ascii="Palatino Linotype" w:eastAsia="Palatino Linotype" w:hAnsi="Palatino Linotype" w:cs="Palatino Linotype"/>
        </w:rPr>
        <w:t>La Comisionada p</w:t>
      </w:r>
      <w:r w:rsidR="003554BF" w:rsidRPr="00E4092B">
        <w:rPr>
          <w:rFonts w:ascii="Palatino Linotype" w:eastAsia="Palatino Linotype" w:hAnsi="Palatino Linotype" w:cs="Palatino Linotype"/>
        </w:rPr>
        <w:t>onente decretó el cierre de instrucción mediante el acuerdo del once de febrero de dos mil veintiséis.</w:t>
      </w:r>
    </w:p>
    <w:p w:rsidR="00855AFD" w:rsidRPr="00E4092B" w:rsidRDefault="00855AFD">
      <w:pPr>
        <w:rPr>
          <w:rFonts w:ascii="Palatino Linotype" w:eastAsia="Palatino Linotype" w:hAnsi="Palatino Linotype" w:cs="Palatino Linotype"/>
          <w:b/>
          <w:bCs/>
        </w:rPr>
      </w:pPr>
    </w:p>
    <w:p w:rsidR="00855AFD" w:rsidRPr="00E4092B" w:rsidRDefault="003554BF">
      <w:pPr>
        <w:keepNext/>
        <w:keepLines/>
        <w:spacing w:line="360" w:lineRule="auto"/>
        <w:ind w:right="-592"/>
        <w:jc w:val="center"/>
        <w:rPr>
          <w:rFonts w:ascii="Palatino Linotype" w:eastAsia="Palatino Linotype" w:hAnsi="Palatino Linotype" w:cs="Palatino Linotype"/>
          <w:b/>
          <w:bCs/>
        </w:rPr>
      </w:pPr>
      <w:r w:rsidRPr="00E4092B">
        <w:rPr>
          <w:rFonts w:ascii="Palatino Linotype" w:eastAsia="Palatino Linotype" w:hAnsi="Palatino Linotype" w:cs="Palatino Linotype"/>
          <w:b/>
          <w:bCs/>
        </w:rPr>
        <w:t xml:space="preserve">C O N S I D E R A N D O </w:t>
      </w:r>
    </w:p>
    <w:p w:rsidR="00855AFD" w:rsidRPr="00E4092B" w:rsidRDefault="00855AFD">
      <w:pPr>
        <w:keepNext/>
        <w:keepLines/>
        <w:ind w:right="-592"/>
        <w:rPr>
          <w:rFonts w:ascii="Palatino Linotype" w:eastAsia="Palatino Linotype" w:hAnsi="Palatino Linotype" w:cs="Palatino Linotype"/>
        </w:rPr>
      </w:pPr>
    </w:p>
    <w:p w:rsidR="00855AFD" w:rsidRPr="00E4092B" w:rsidRDefault="003554BF">
      <w:pPr>
        <w:keepNext/>
        <w:keepLines/>
        <w:spacing w:line="360" w:lineRule="auto"/>
        <w:ind w:right="-592"/>
        <w:rPr>
          <w:rFonts w:ascii="Palatino Linotype" w:eastAsia="Palatino Linotype" w:hAnsi="Palatino Linotype" w:cs="Palatino Linotype"/>
          <w:b/>
          <w:bCs/>
        </w:rPr>
      </w:pPr>
      <w:r w:rsidRPr="00E4092B">
        <w:rPr>
          <w:rFonts w:ascii="Palatino Linotype" w:eastAsia="Palatino Linotype" w:hAnsi="Palatino Linotype" w:cs="Palatino Linotype"/>
          <w:b/>
          <w:bCs/>
        </w:rPr>
        <w:t>PRIMERO. De la competencia.</w:t>
      </w:r>
    </w:p>
    <w:p w:rsidR="00855AFD" w:rsidRPr="00E4092B" w:rsidRDefault="003554BF">
      <w:pPr>
        <w:numPr>
          <w:ilvl w:val="0"/>
          <w:numId w:val="5"/>
        </w:numPr>
        <w:spacing w:line="360" w:lineRule="auto"/>
        <w:ind w:left="0" w:right="1" w:firstLine="0"/>
        <w:jc w:val="both"/>
        <w:rPr>
          <w:rFonts w:ascii="Palatino Linotype" w:eastAsia="Palatino Linotype" w:hAnsi="Palatino Linotype" w:cs="Palatino Linotype"/>
          <w:b/>
          <w:bCs/>
        </w:rPr>
      </w:pPr>
      <w:bookmarkStart w:id="2" w:name="_heading=h.3znysh7" w:colFirst="0" w:colLast="0"/>
      <w:bookmarkEnd w:id="2"/>
      <w:r w:rsidRPr="00E4092B">
        <w:rPr>
          <w:rFonts w:ascii="Palatino Linotype" w:eastAsia="Palatino Linotype" w:hAnsi="Palatino Linotype" w:cs="Palatino Linotype"/>
        </w:rPr>
        <w:t>Este Instituto de Transparencia, Acceso a la Información Pública y Protección de Datos Personales del Estado de México y Municipios, es competente para conocer y resolver del presente recurso de conformidad con el artículo: 6, apartado A, de la Constitución Política de los Estados Unidos Mexicanos; 5, párrafos trigésimo, trigésimo primero y trigésimo segundo, fracciones I, II, III, IV y V de la Constitución Política del Estado Libre y Soberano de México; 1, 3 fracción I, 82, 97, 98, 119, 123, 124, 127, 128 y 133 Ley de Protección de Datos Personales en Posesión de Sujetos Obligados del Estado de México y Municipios; y 10, 7, 9 fracciones I y XXIV, y 11 del Reglamento Interior del Instituto de Transparencia, Acceso a la Información Pública y Protección de Datos Personales del Estado de México y Municipios.</w:t>
      </w:r>
    </w:p>
    <w:p w:rsidR="00855AFD" w:rsidRPr="00E4092B" w:rsidRDefault="00855AFD">
      <w:pPr>
        <w:spacing w:line="360" w:lineRule="auto"/>
        <w:ind w:left="644" w:right="1"/>
        <w:jc w:val="both"/>
        <w:rPr>
          <w:rFonts w:ascii="Palatino Linotype" w:eastAsia="Palatino Linotype" w:hAnsi="Palatino Linotype" w:cs="Palatino Linotype"/>
        </w:rPr>
      </w:pPr>
      <w:bookmarkStart w:id="3" w:name="_heading=h.2v230knidey2" w:colFirst="0" w:colLast="0"/>
      <w:bookmarkEnd w:id="3"/>
    </w:p>
    <w:p w:rsidR="00855AFD" w:rsidRPr="00E4092B" w:rsidRDefault="003554BF">
      <w:pPr>
        <w:keepNext/>
        <w:keepLines/>
        <w:spacing w:line="360" w:lineRule="auto"/>
        <w:ind w:right="1"/>
        <w:rPr>
          <w:rFonts w:ascii="Palatino Linotype" w:eastAsia="Palatino Linotype" w:hAnsi="Palatino Linotype" w:cs="Palatino Linotype"/>
          <w:b/>
          <w:bCs/>
        </w:rPr>
      </w:pPr>
      <w:r w:rsidRPr="00E4092B">
        <w:rPr>
          <w:rFonts w:ascii="Palatino Linotype" w:eastAsia="Palatino Linotype" w:hAnsi="Palatino Linotype" w:cs="Palatino Linotype"/>
          <w:b/>
          <w:bCs/>
        </w:rPr>
        <w:t>SEGUNDO. De la oportunidad y procedencia.</w:t>
      </w:r>
    </w:p>
    <w:p w:rsidR="00855AFD" w:rsidRPr="00E4092B" w:rsidRDefault="003554BF">
      <w:pPr>
        <w:numPr>
          <w:ilvl w:val="0"/>
          <w:numId w:val="5"/>
        </w:numPr>
        <w:spacing w:line="360" w:lineRule="auto"/>
        <w:ind w:left="0" w:right="1" w:firstLine="0"/>
        <w:jc w:val="both"/>
        <w:rPr>
          <w:rFonts w:ascii="Palatino Linotype" w:eastAsia="Palatino Linotype" w:hAnsi="Palatino Linotype" w:cs="Palatino Linotype"/>
          <w:b/>
          <w:bCs/>
        </w:rPr>
      </w:pPr>
      <w:bookmarkStart w:id="4" w:name="_heading=h.3dy6vkm" w:colFirst="0" w:colLast="0"/>
      <w:bookmarkEnd w:id="4"/>
      <w:r w:rsidRPr="00E4092B">
        <w:rPr>
          <w:rFonts w:ascii="Palatino Linotype" w:eastAsia="Palatino Linotype" w:hAnsi="Palatino Linotype" w:cs="Palatino Linotype"/>
        </w:rPr>
        <w:t xml:space="preserve">El medio de impugnación fue presentado a través del </w:t>
      </w:r>
      <w:r w:rsidRPr="00E4092B">
        <w:rPr>
          <w:rFonts w:ascii="Palatino Linotype" w:eastAsia="Palatino Linotype" w:hAnsi="Palatino Linotype" w:cs="Palatino Linotype"/>
          <w:b/>
          <w:bCs/>
        </w:rPr>
        <w:t>SAIMEX,</w:t>
      </w:r>
      <w:r w:rsidRPr="00E4092B">
        <w:rPr>
          <w:rFonts w:ascii="Palatino Linotype" w:eastAsia="Palatino Linotype" w:hAnsi="Palatino Linotype" w:cs="Palatino Linotype"/>
        </w:rPr>
        <w:t xml:space="preserve"> en el formato previamente aprobado para tal efecto y dentro del plazo legal de quince días hábiles otorgados; siendo así que el </w:t>
      </w:r>
      <w:r w:rsidRPr="00E4092B">
        <w:rPr>
          <w:rFonts w:ascii="Palatino Linotype" w:eastAsia="Palatino Linotype" w:hAnsi="Palatino Linotype" w:cs="Palatino Linotype"/>
          <w:b/>
          <w:bCs/>
        </w:rPr>
        <w:t>SUJETO OBLIGADO</w:t>
      </w:r>
      <w:r w:rsidRPr="00E4092B">
        <w:rPr>
          <w:rFonts w:ascii="Palatino Linotype" w:eastAsia="Palatino Linotype" w:hAnsi="Palatino Linotype" w:cs="Palatino Linotype"/>
        </w:rPr>
        <w:t xml:space="preserve"> entregó respuesta el tres de junio de dos mil veinticinco, </w:t>
      </w:r>
      <w:r w:rsidRPr="00E4092B">
        <w:rPr>
          <w:rFonts w:ascii="Palatino Linotype" w:eastAsia="Palatino Linotype" w:hAnsi="Palatino Linotype" w:cs="Palatino Linotype"/>
        </w:rPr>
        <w:lastRenderedPageBreak/>
        <w:t xml:space="preserve">de tal forma que el plazo para interponer el recurso de revisión transcurrió del cuatro al veintitrés de junio de dos mil veinticinco; en consecuencia, presentó su inconformidad el cuatro de junio de dos mil veinticinco, por lo que se encuentra dentro de los márgenes temporales previstos en el artículo 178 de la </w:t>
      </w:r>
      <w:r w:rsidRPr="00E4092B">
        <w:rPr>
          <w:rFonts w:ascii="Palatino Linotype" w:eastAsia="Palatino Linotype" w:hAnsi="Palatino Linotype" w:cs="Palatino Linotype"/>
          <w:b/>
          <w:bCs/>
        </w:rPr>
        <w:t xml:space="preserve">Ley de Transparencia y Acceso a la Información Pública del Estado de México y Municipios </w:t>
      </w:r>
      <w:r w:rsidRPr="00E4092B">
        <w:rPr>
          <w:rFonts w:ascii="Palatino Linotype" w:eastAsia="Palatino Linotype" w:hAnsi="Palatino Linotype" w:cs="Palatino Linotype"/>
        </w:rPr>
        <w:t>vigente.</w:t>
      </w:r>
    </w:p>
    <w:p w:rsidR="00855AFD" w:rsidRPr="00E4092B" w:rsidRDefault="00855AFD">
      <w:pPr>
        <w:ind w:right="1"/>
        <w:jc w:val="both"/>
        <w:rPr>
          <w:rFonts w:ascii="Palatino Linotype" w:eastAsia="Palatino Linotype" w:hAnsi="Palatino Linotype" w:cs="Palatino Linotype"/>
          <w:b/>
          <w:bCs/>
        </w:rPr>
      </w:pPr>
    </w:p>
    <w:p w:rsidR="00855AFD" w:rsidRPr="00E4092B" w:rsidRDefault="003554BF">
      <w:pPr>
        <w:numPr>
          <w:ilvl w:val="0"/>
          <w:numId w:val="5"/>
        </w:numPr>
        <w:spacing w:line="360" w:lineRule="auto"/>
        <w:ind w:left="0" w:right="1" w:firstLine="0"/>
        <w:jc w:val="both"/>
        <w:rPr>
          <w:rFonts w:ascii="Palatino Linotype" w:eastAsia="Palatino Linotype" w:hAnsi="Palatino Linotype" w:cs="Palatino Linotype"/>
          <w:b/>
          <w:bCs/>
        </w:rPr>
      </w:pPr>
      <w:r w:rsidRPr="00E4092B">
        <w:rPr>
          <w:rFonts w:ascii="Palatino Linotype" w:eastAsia="Palatino Linotype" w:hAnsi="Palatino Linotype" w:cs="Palatino Linotype"/>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855AFD" w:rsidRPr="00E4092B" w:rsidRDefault="003554BF">
      <w:pPr>
        <w:pStyle w:val="Ttulo1"/>
        <w:spacing w:line="360" w:lineRule="auto"/>
        <w:rPr>
          <w:rFonts w:ascii="Palatino Linotype" w:eastAsia="Palatino Linotype" w:hAnsi="Palatino Linotype" w:cs="Palatino Linotype"/>
          <w:sz w:val="24"/>
          <w:szCs w:val="24"/>
        </w:rPr>
      </w:pPr>
      <w:r w:rsidRPr="00E4092B">
        <w:rPr>
          <w:rFonts w:ascii="Palatino Linotype" w:eastAsia="Palatino Linotype" w:hAnsi="Palatino Linotype" w:cs="Palatino Linotype"/>
          <w:sz w:val="24"/>
          <w:szCs w:val="24"/>
        </w:rPr>
        <w:t>TERCERO. De las causales de sobreseimiento.</w:t>
      </w:r>
    </w:p>
    <w:p w:rsidR="00855AFD" w:rsidRPr="00E4092B" w:rsidRDefault="003554BF">
      <w:pPr>
        <w:numPr>
          <w:ilvl w:val="0"/>
          <w:numId w:val="5"/>
        </w:numPr>
        <w:spacing w:line="360" w:lineRule="auto"/>
        <w:ind w:left="0" w:right="1" w:firstLine="0"/>
        <w:jc w:val="both"/>
        <w:rPr>
          <w:rFonts w:ascii="Palatino Linotype" w:eastAsia="Palatino Linotype" w:hAnsi="Palatino Linotype" w:cs="Palatino Linotype"/>
          <w:b/>
          <w:bCs/>
          <w:i/>
          <w:iCs/>
        </w:rPr>
      </w:pPr>
      <w:bookmarkStart w:id="5" w:name="_heading=h.2pqa4mglkgv2" w:colFirst="0" w:colLast="0"/>
      <w:bookmarkEnd w:id="5"/>
      <w:r w:rsidRPr="00E4092B">
        <w:rPr>
          <w:rFonts w:ascii="Palatino Linotype" w:eastAsia="Palatino Linotype" w:hAnsi="Palatino Linotype" w:cs="Palatino Linotype"/>
        </w:rPr>
        <w:t xml:space="preserve">El recurso de revisión tiene como finalidad reparar cualquier posible afectación al derecho de acceso a la información pública en términos del Título Octavo de la Ley de Transparencia, Acceso a la Información Pública del Estado de México y Municipios, y determinar la confirmación; revocación o modificación; desechamiento o </w:t>
      </w:r>
      <w:r w:rsidRPr="00E4092B">
        <w:rPr>
          <w:rFonts w:ascii="Palatino Linotype" w:eastAsia="Palatino Linotype" w:hAnsi="Palatino Linotype" w:cs="Palatino Linotype"/>
          <w:b/>
          <w:bCs/>
          <w:u w:val="single"/>
        </w:rPr>
        <w:t>sobreseimiento</w:t>
      </w:r>
      <w:r w:rsidRPr="00E4092B">
        <w:rPr>
          <w:rFonts w:ascii="Palatino Linotype" w:eastAsia="Palatino Linotype" w:hAnsi="Palatino Linotype" w:cs="Palatino Linotype"/>
        </w:rPr>
        <w:t xml:space="preserve">; y en su caso ordenar la entrega de la información con respecto a la respuesta emitida por el </w:t>
      </w:r>
      <w:r w:rsidRPr="00E4092B">
        <w:rPr>
          <w:rFonts w:ascii="Palatino Linotype" w:eastAsia="Palatino Linotype" w:hAnsi="Palatino Linotype" w:cs="Palatino Linotype"/>
          <w:b/>
          <w:bCs/>
        </w:rPr>
        <w:t>SUJETO</w:t>
      </w:r>
      <w:r w:rsidRPr="00E4092B">
        <w:rPr>
          <w:rFonts w:ascii="Palatino Linotype" w:eastAsia="Palatino Linotype" w:hAnsi="Palatino Linotype" w:cs="Palatino Linotype"/>
        </w:rPr>
        <w:t xml:space="preserve"> </w:t>
      </w:r>
      <w:r w:rsidRPr="00E4092B">
        <w:rPr>
          <w:rFonts w:ascii="Palatino Linotype" w:eastAsia="Palatino Linotype" w:hAnsi="Palatino Linotype" w:cs="Palatino Linotype"/>
          <w:b/>
          <w:bCs/>
        </w:rPr>
        <w:t>OBLIGADO</w:t>
      </w:r>
      <w:r w:rsidRPr="00E4092B">
        <w:rPr>
          <w:rFonts w:ascii="Palatino Linotype" w:eastAsia="Palatino Linotype" w:hAnsi="Palatino Linotype" w:cs="Palatino Linotype"/>
        </w:rPr>
        <w:t>.</w:t>
      </w:r>
    </w:p>
    <w:p w:rsidR="00855AFD" w:rsidRPr="00E4092B" w:rsidRDefault="00855AFD">
      <w:pPr>
        <w:pBdr>
          <w:top w:val="nil"/>
          <w:left w:val="nil"/>
          <w:bottom w:val="nil"/>
          <w:right w:val="nil"/>
          <w:between w:val="nil"/>
        </w:pBdr>
        <w:spacing w:line="360" w:lineRule="auto"/>
        <w:ind w:right="1"/>
        <w:jc w:val="both"/>
        <w:rPr>
          <w:rFonts w:ascii="Palatino Linotype" w:eastAsia="Palatino Linotype" w:hAnsi="Palatino Linotype" w:cs="Palatino Linotype"/>
        </w:rPr>
      </w:pPr>
      <w:bookmarkStart w:id="6" w:name="_heading=h.sg69pjfuscz6" w:colFirst="0" w:colLast="0"/>
      <w:bookmarkEnd w:id="6"/>
    </w:p>
    <w:p w:rsidR="00855AFD" w:rsidRPr="00E4092B" w:rsidRDefault="003554BF">
      <w:pPr>
        <w:numPr>
          <w:ilvl w:val="0"/>
          <w:numId w:val="5"/>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color w:val="000000"/>
        </w:rPr>
      </w:pPr>
      <w:r w:rsidRPr="00E4092B">
        <w:rPr>
          <w:rFonts w:ascii="Palatino Linotype" w:eastAsia="Palatino Linotype" w:hAnsi="Palatino Linotype" w:cs="Palatino Linotype"/>
          <w:color w:val="000000"/>
        </w:rPr>
        <w:t xml:space="preserve">De acuerdo al precepto legal contenido en la fracción III del artículo 192 de la </w:t>
      </w:r>
      <w:r w:rsidRPr="00E4092B">
        <w:rPr>
          <w:rFonts w:ascii="Palatino Linotype" w:eastAsia="Palatino Linotype" w:hAnsi="Palatino Linotype" w:cs="Palatino Linotype"/>
          <w:b/>
          <w:bCs/>
          <w:color w:val="000000"/>
        </w:rPr>
        <w:t>Ley de Transparencia y Acceso a la Información Pública del Estado de México y Municipios</w:t>
      </w:r>
      <w:r w:rsidRPr="00E4092B">
        <w:rPr>
          <w:rFonts w:ascii="Palatino Linotype" w:eastAsia="Palatino Linotype" w:hAnsi="Palatino Linotype" w:cs="Palatino Linotype"/>
          <w:color w:val="000000"/>
        </w:rPr>
        <w:t xml:space="preserve">, el recurso será sobreseído, en todo o en parte, cuando una vez admitido, el sujeto obligado responsable del acto lo modifique o revoque de tal manera que el recurso de revisión quede sin </w:t>
      </w:r>
      <w:r w:rsidRPr="00E4092B">
        <w:rPr>
          <w:rFonts w:ascii="Palatino Linotype" w:eastAsia="Palatino Linotype" w:hAnsi="Palatino Linotype" w:cs="Palatino Linotype"/>
          <w:color w:val="000000"/>
        </w:rPr>
        <w:lastRenderedPageBreak/>
        <w:t>materia; de ahí que la actualización de alguno de éste trae como consecuencia que el medio de impugnación se concluya sin que se analice el objeto de estudio planteado, es decir se sobresea.</w:t>
      </w:r>
    </w:p>
    <w:p w:rsidR="00855AFD" w:rsidRPr="00E4092B" w:rsidRDefault="00855AFD">
      <w:pPr>
        <w:pBdr>
          <w:top w:val="nil"/>
          <w:left w:val="nil"/>
          <w:bottom w:val="nil"/>
          <w:right w:val="nil"/>
          <w:between w:val="nil"/>
        </w:pBdr>
        <w:spacing w:line="360" w:lineRule="auto"/>
        <w:ind w:right="1"/>
        <w:jc w:val="both"/>
        <w:rPr>
          <w:rFonts w:ascii="Palatino Linotype" w:eastAsia="Palatino Linotype" w:hAnsi="Palatino Linotype" w:cs="Palatino Linotype"/>
        </w:rPr>
      </w:pPr>
      <w:bookmarkStart w:id="7" w:name="_heading=h.1s8w4nri8zt8" w:colFirst="0" w:colLast="0"/>
      <w:bookmarkEnd w:id="7"/>
    </w:p>
    <w:p w:rsidR="00855AFD" w:rsidRPr="00E4092B" w:rsidRDefault="003554BF">
      <w:pPr>
        <w:numPr>
          <w:ilvl w:val="0"/>
          <w:numId w:val="5"/>
        </w:numPr>
        <w:spacing w:line="360" w:lineRule="auto"/>
        <w:ind w:left="0" w:right="1" w:firstLine="0"/>
        <w:jc w:val="both"/>
        <w:rPr>
          <w:rFonts w:ascii="Palatino Linotype" w:eastAsia="Palatino Linotype" w:hAnsi="Palatino Linotype" w:cs="Palatino Linotype"/>
        </w:rPr>
      </w:pPr>
      <w:r w:rsidRPr="00E4092B">
        <w:rPr>
          <w:rFonts w:ascii="Palatino Linotype" w:eastAsia="Palatino Linotype" w:hAnsi="Palatino Linotype" w:cs="Palatino Linotype"/>
        </w:rPr>
        <w:t xml:space="preserve">Para los efectos de esta resolución, es oportuno precisar los alcances jurídicos de la fracción III de la disposición legal transcrita. Así, procede el sobreseimiento del recurso de revisión cuando el </w:t>
      </w:r>
      <w:r w:rsidRPr="00E4092B">
        <w:rPr>
          <w:rFonts w:ascii="Palatino Linotype" w:eastAsia="Palatino Linotype" w:hAnsi="Palatino Linotype" w:cs="Palatino Linotype"/>
          <w:b/>
          <w:bCs/>
        </w:rPr>
        <w:t>SUJETO OBLIGADO</w:t>
      </w:r>
      <w:r w:rsidRPr="00E4092B">
        <w:rPr>
          <w:rFonts w:ascii="Palatino Linotype" w:eastAsia="Palatino Linotype" w:hAnsi="Palatino Linotype" w:cs="Palatino Linotype"/>
        </w:rPr>
        <w:t>:</w:t>
      </w:r>
    </w:p>
    <w:p w:rsidR="00855AFD" w:rsidRPr="00E4092B" w:rsidRDefault="003554BF">
      <w:pPr>
        <w:numPr>
          <w:ilvl w:val="0"/>
          <w:numId w:val="1"/>
        </w:numPr>
        <w:ind w:left="567" w:right="565" w:firstLine="0"/>
        <w:jc w:val="both"/>
        <w:rPr>
          <w:rFonts w:ascii="Palatino Linotype" w:eastAsia="Palatino Linotype" w:hAnsi="Palatino Linotype" w:cs="Palatino Linotype"/>
        </w:rPr>
      </w:pPr>
      <w:bookmarkStart w:id="8" w:name="_heading=h.fupgdu5fe99i" w:colFirst="0" w:colLast="0"/>
      <w:bookmarkEnd w:id="8"/>
      <w:r w:rsidRPr="00E4092B">
        <w:rPr>
          <w:rFonts w:ascii="Palatino Linotype" w:eastAsia="Palatino Linotype" w:hAnsi="Palatino Linotype" w:cs="Palatino Linotype"/>
          <w:b/>
          <w:bCs/>
        </w:rPr>
        <w:t>Modifique el acto impugnado:</w:t>
      </w:r>
      <w:r w:rsidRPr="00E4092B">
        <w:rPr>
          <w:rFonts w:ascii="Palatino Linotype" w:eastAsia="Palatino Linotype" w:hAnsi="Palatino Linotype" w:cs="Palatino Linotype"/>
        </w:rPr>
        <w:t xml:space="preserve"> Se actualiza cuando el </w:t>
      </w:r>
      <w:r w:rsidRPr="00E4092B">
        <w:rPr>
          <w:rFonts w:ascii="Palatino Linotype" w:eastAsia="Palatino Linotype" w:hAnsi="Palatino Linotype" w:cs="Palatino Linotype"/>
          <w:b/>
          <w:bCs/>
        </w:rPr>
        <w:t>SUJETO OBLIGADO</w:t>
      </w:r>
      <w:r w:rsidRPr="00E4092B">
        <w:rPr>
          <w:rFonts w:ascii="Palatino Linotype" w:eastAsia="Palatino Linotype" w:hAnsi="Palatino Linotype" w:cs="Palatino Linotype"/>
        </w:rPr>
        <w:t xml:space="preserve"> después de haber otorgado una respuesta y hasta antes de dictada la resolución del recurso de revisión, emite una diversa en la que subsane las deficiencias que hubiera tenido.</w:t>
      </w:r>
    </w:p>
    <w:p w:rsidR="00855AFD" w:rsidRPr="00E4092B" w:rsidRDefault="00855AFD">
      <w:pPr>
        <w:ind w:left="567" w:right="565"/>
        <w:jc w:val="both"/>
        <w:rPr>
          <w:rFonts w:ascii="Palatino Linotype" w:eastAsia="Palatino Linotype" w:hAnsi="Palatino Linotype" w:cs="Palatino Linotype"/>
        </w:rPr>
      </w:pPr>
    </w:p>
    <w:p w:rsidR="00855AFD" w:rsidRPr="00E4092B" w:rsidRDefault="003554BF">
      <w:pPr>
        <w:numPr>
          <w:ilvl w:val="0"/>
          <w:numId w:val="1"/>
        </w:numPr>
        <w:ind w:left="567" w:right="565" w:firstLine="0"/>
        <w:jc w:val="both"/>
        <w:rPr>
          <w:rFonts w:ascii="Palatino Linotype" w:eastAsia="Palatino Linotype" w:hAnsi="Palatino Linotype" w:cs="Palatino Linotype"/>
        </w:rPr>
      </w:pPr>
      <w:r w:rsidRPr="00E4092B">
        <w:rPr>
          <w:rFonts w:ascii="Palatino Linotype" w:eastAsia="Palatino Linotype" w:hAnsi="Palatino Linotype" w:cs="Palatino Linotype"/>
          <w:b/>
          <w:bCs/>
        </w:rPr>
        <w:t>Revoque el acto impugnado:</w:t>
      </w:r>
      <w:r w:rsidRPr="00E4092B">
        <w:rPr>
          <w:rFonts w:ascii="Palatino Linotype" w:eastAsia="Palatino Linotype" w:hAnsi="Palatino Linotype" w:cs="Palatino Linotype"/>
        </w:rPr>
        <w:t xml:space="preserve"> En este supuesto, el </w:t>
      </w:r>
      <w:r w:rsidRPr="00E4092B">
        <w:rPr>
          <w:rFonts w:ascii="Palatino Linotype" w:eastAsia="Palatino Linotype" w:hAnsi="Palatino Linotype" w:cs="Palatino Linotype"/>
          <w:b/>
          <w:bCs/>
        </w:rPr>
        <w:t>SUJETO OBLIGADO</w:t>
      </w:r>
      <w:r w:rsidRPr="00E4092B">
        <w:rPr>
          <w:rFonts w:ascii="Palatino Linotype" w:eastAsia="Palatino Linotype" w:hAnsi="Palatino Linotype" w:cs="Palatino Linotype"/>
        </w:rPr>
        <w:t xml:space="preserve"> deja sin efectos la primera respuesta y en su lugar emite otra que satisfaga lo solicitado por el Particular en un primer momento.</w:t>
      </w:r>
    </w:p>
    <w:p w:rsidR="00855AFD" w:rsidRPr="00E4092B" w:rsidRDefault="00855AFD">
      <w:pPr>
        <w:pBdr>
          <w:top w:val="nil"/>
          <w:left w:val="nil"/>
          <w:bottom w:val="nil"/>
          <w:right w:val="nil"/>
          <w:between w:val="nil"/>
        </w:pBdr>
        <w:spacing w:line="360" w:lineRule="auto"/>
        <w:ind w:right="1"/>
        <w:jc w:val="both"/>
        <w:rPr>
          <w:rFonts w:ascii="Palatino Linotype" w:eastAsia="Palatino Linotype" w:hAnsi="Palatino Linotype" w:cs="Palatino Linotype"/>
        </w:rPr>
      </w:pPr>
      <w:bookmarkStart w:id="9" w:name="_heading=h.omj532vijpit" w:colFirst="0" w:colLast="0"/>
      <w:bookmarkEnd w:id="9"/>
    </w:p>
    <w:p w:rsidR="00855AFD" w:rsidRPr="00E4092B" w:rsidRDefault="003554BF">
      <w:pPr>
        <w:numPr>
          <w:ilvl w:val="0"/>
          <w:numId w:val="5"/>
        </w:numPr>
        <w:spacing w:line="360" w:lineRule="auto"/>
        <w:ind w:left="0" w:right="1" w:firstLine="0"/>
        <w:jc w:val="both"/>
        <w:rPr>
          <w:rFonts w:ascii="Palatino Linotype" w:eastAsia="Palatino Linotype" w:hAnsi="Palatino Linotype" w:cs="Palatino Linotype"/>
        </w:rPr>
      </w:pPr>
      <w:bookmarkStart w:id="10" w:name="_heading=h.jvxafcoza8s" w:colFirst="0" w:colLast="0"/>
      <w:bookmarkEnd w:id="10"/>
      <w:r w:rsidRPr="00E4092B">
        <w:rPr>
          <w:rFonts w:ascii="Palatino Linotype" w:eastAsia="Palatino Linotype" w:hAnsi="Palatino Linotype" w:cs="Palatino Linotype"/>
        </w:rPr>
        <w:t>Las consecuencias jurídicas de esta modificación o revocación es que el recurso de revisión interpuesto quede sin efectos o sin materia. Un acto impugnado queda sin efectos, cuando aun existiendo jurídicamente, no genera consecuencia legal alguna; queda sin materia, cuando ha sido satisfecha la pretensión del Particular, ya sea porque se hizo la entrega de la información solicitada o porque se completó la misma.</w:t>
      </w:r>
    </w:p>
    <w:p w:rsidR="00855AFD" w:rsidRPr="00E4092B" w:rsidRDefault="00855AFD">
      <w:pPr>
        <w:spacing w:line="360" w:lineRule="auto"/>
        <w:ind w:right="1"/>
        <w:jc w:val="both"/>
        <w:rPr>
          <w:rFonts w:ascii="Palatino Linotype" w:eastAsia="Palatino Linotype" w:hAnsi="Palatino Linotype" w:cs="Palatino Linotype"/>
        </w:rPr>
      </w:pPr>
    </w:p>
    <w:p w:rsidR="00855AFD" w:rsidRPr="00E4092B" w:rsidRDefault="003554BF">
      <w:pPr>
        <w:numPr>
          <w:ilvl w:val="0"/>
          <w:numId w:val="5"/>
        </w:numPr>
        <w:spacing w:line="360" w:lineRule="auto"/>
        <w:ind w:left="0" w:right="1" w:firstLine="0"/>
        <w:jc w:val="both"/>
        <w:rPr>
          <w:rFonts w:ascii="Palatino Linotype" w:eastAsia="Palatino Linotype" w:hAnsi="Palatino Linotype" w:cs="Palatino Linotype"/>
        </w:rPr>
      </w:pPr>
      <w:r w:rsidRPr="00E4092B">
        <w:rPr>
          <w:rFonts w:ascii="Palatino Linotype" w:eastAsia="Palatino Linotype" w:hAnsi="Palatino Linotype" w:cs="Palatino Linotype"/>
        </w:rPr>
        <w:t xml:space="preserve">En el presente caso, el </w:t>
      </w:r>
      <w:r w:rsidRPr="00E4092B">
        <w:rPr>
          <w:rFonts w:ascii="Palatino Linotype" w:eastAsia="Palatino Linotype" w:hAnsi="Palatino Linotype" w:cs="Palatino Linotype"/>
          <w:b/>
          <w:bCs/>
        </w:rPr>
        <w:t>RECURRENTE</w:t>
      </w:r>
      <w:r w:rsidRPr="00E4092B">
        <w:rPr>
          <w:rFonts w:ascii="Palatino Linotype" w:eastAsia="Palatino Linotype" w:hAnsi="Palatino Linotype" w:cs="Palatino Linotype"/>
        </w:rPr>
        <w:t xml:space="preserve"> solicitó conocer el </w:t>
      </w:r>
      <w:r w:rsidRPr="00E4092B">
        <w:rPr>
          <w:rFonts w:ascii="Palatino Linotype" w:eastAsia="Palatino Linotype" w:hAnsi="Palatino Linotype" w:cs="Palatino Linotype"/>
          <w:color w:val="000000"/>
        </w:rPr>
        <w:t>estatus como deportista de la persona referida en la solicitud de información, en el deporte de Patines en Ruedas- Inline Hockey en el Estado de México y en la CONADE, si se encuentra activa o no y en caso de no estar registrada o activa, los años que no ha estado activa.</w:t>
      </w:r>
    </w:p>
    <w:p w:rsidR="00855AFD" w:rsidRPr="00E4092B" w:rsidRDefault="00855AFD">
      <w:pPr>
        <w:spacing w:line="360" w:lineRule="auto"/>
        <w:ind w:right="1"/>
        <w:jc w:val="both"/>
        <w:rPr>
          <w:rFonts w:ascii="Palatino Linotype" w:eastAsia="Palatino Linotype" w:hAnsi="Palatino Linotype" w:cs="Palatino Linotype"/>
          <w:b/>
          <w:bCs/>
        </w:rPr>
      </w:pPr>
    </w:p>
    <w:p w:rsidR="00855AFD" w:rsidRPr="00E4092B" w:rsidRDefault="003554BF">
      <w:pPr>
        <w:numPr>
          <w:ilvl w:val="0"/>
          <w:numId w:val="5"/>
        </w:numPr>
        <w:spacing w:line="360" w:lineRule="auto"/>
        <w:ind w:left="0" w:right="1" w:firstLine="0"/>
        <w:jc w:val="both"/>
        <w:rPr>
          <w:rFonts w:ascii="Palatino Linotype" w:eastAsia="Palatino Linotype" w:hAnsi="Palatino Linotype" w:cs="Palatino Linotype"/>
          <w:b/>
          <w:bCs/>
        </w:rPr>
      </w:pPr>
      <w:r w:rsidRPr="00E4092B">
        <w:rPr>
          <w:rFonts w:ascii="Palatino Linotype" w:eastAsia="Palatino Linotype" w:hAnsi="Palatino Linotype" w:cs="Palatino Linotype"/>
        </w:rPr>
        <w:lastRenderedPageBreak/>
        <w:t>En respuesta, el</w:t>
      </w:r>
      <w:r w:rsidRPr="00E4092B">
        <w:rPr>
          <w:rFonts w:ascii="Palatino Linotype" w:eastAsia="Palatino Linotype" w:hAnsi="Palatino Linotype" w:cs="Palatino Linotype"/>
          <w:b/>
          <w:bCs/>
        </w:rPr>
        <w:t xml:space="preserve"> SUJETO OBLIGADO </w:t>
      </w:r>
      <w:r w:rsidRPr="00E4092B">
        <w:rPr>
          <w:rFonts w:ascii="Palatino Linotype" w:eastAsia="Palatino Linotype" w:hAnsi="Palatino Linotype" w:cs="Palatino Linotype"/>
        </w:rPr>
        <w:t>por medio del Director General de Cultura Física y Deporte, por medio de la Subdirección de Fomento del Deporte, informó que la persona referida en la solicitud de información participó activamente como deportista registrada durante el año 2024, sin embargo, verificó que para el ejercicio fiscal 2025 ya no se encontraba activa ni registrada en el padrón estatal correspondiente a dicha disciplina.</w:t>
      </w:r>
    </w:p>
    <w:p w:rsidR="00855AFD" w:rsidRPr="00E4092B" w:rsidRDefault="00855AFD">
      <w:pPr>
        <w:spacing w:line="360" w:lineRule="auto"/>
        <w:ind w:right="1"/>
        <w:jc w:val="both"/>
        <w:rPr>
          <w:rFonts w:ascii="Palatino Linotype" w:eastAsia="Palatino Linotype" w:hAnsi="Palatino Linotype" w:cs="Palatino Linotype"/>
          <w:b/>
          <w:bCs/>
        </w:rPr>
      </w:pPr>
    </w:p>
    <w:p w:rsidR="00855AFD" w:rsidRPr="00E4092B" w:rsidRDefault="003554BF">
      <w:pPr>
        <w:numPr>
          <w:ilvl w:val="0"/>
          <w:numId w:val="5"/>
        </w:numPr>
        <w:spacing w:line="360" w:lineRule="auto"/>
        <w:ind w:left="0" w:right="1" w:firstLine="0"/>
        <w:jc w:val="both"/>
        <w:rPr>
          <w:rFonts w:ascii="Palatino Linotype" w:eastAsia="Palatino Linotype" w:hAnsi="Palatino Linotype" w:cs="Palatino Linotype"/>
        </w:rPr>
      </w:pPr>
      <w:r w:rsidRPr="00E4092B">
        <w:rPr>
          <w:rFonts w:ascii="Palatino Linotype" w:eastAsia="Palatino Linotype" w:hAnsi="Palatino Linotype" w:cs="Palatino Linotype"/>
        </w:rPr>
        <w:t>Inconforme con la respuesta, la parte</w:t>
      </w:r>
      <w:r w:rsidRPr="00E4092B">
        <w:rPr>
          <w:rFonts w:ascii="Palatino Linotype" w:eastAsia="Palatino Linotype" w:hAnsi="Palatino Linotype" w:cs="Palatino Linotype"/>
          <w:b/>
          <w:bCs/>
        </w:rPr>
        <w:t xml:space="preserve"> RECURRENTE</w:t>
      </w:r>
      <w:r w:rsidRPr="00E4092B">
        <w:rPr>
          <w:rFonts w:ascii="Palatino Linotype" w:eastAsia="Palatino Linotype" w:hAnsi="Palatino Linotype" w:cs="Palatino Linotype"/>
        </w:rPr>
        <w:t xml:space="preserve"> interpuso el recurso de revisión en el que manifestó que faltó el estatus que tiene la persona referida en la solicitud de información en la Comisión Nacional de Cultura Física y Deporte (CONADE).</w:t>
      </w:r>
    </w:p>
    <w:p w:rsidR="00855AFD" w:rsidRPr="00E4092B" w:rsidRDefault="00855AFD">
      <w:pPr>
        <w:pBdr>
          <w:top w:val="nil"/>
          <w:left w:val="nil"/>
          <w:bottom w:val="nil"/>
          <w:right w:val="nil"/>
          <w:between w:val="nil"/>
        </w:pBdr>
        <w:ind w:left="720"/>
        <w:rPr>
          <w:rFonts w:ascii="Palatino Linotype" w:eastAsia="Palatino Linotype" w:hAnsi="Palatino Linotype" w:cs="Palatino Linotype"/>
          <w:color w:val="000000"/>
        </w:rPr>
      </w:pPr>
    </w:p>
    <w:p w:rsidR="00855AFD" w:rsidRPr="00E4092B" w:rsidRDefault="003554BF">
      <w:pPr>
        <w:numPr>
          <w:ilvl w:val="0"/>
          <w:numId w:val="5"/>
        </w:numPr>
        <w:spacing w:line="360" w:lineRule="auto"/>
        <w:ind w:left="0" w:right="1" w:firstLine="0"/>
        <w:jc w:val="both"/>
        <w:rPr>
          <w:rFonts w:ascii="Palatino Linotype" w:eastAsia="Palatino Linotype" w:hAnsi="Palatino Linotype" w:cs="Palatino Linotype"/>
          <w:b/>
          <w:bCs/>
        </w:rPr>
      </w:pPr>
      <w:r w:rsidRPr="00E4092B">
        <w:rPr>
          <w:rFonts w:ascii="Palatino Linotype" w:eastAsia="Palatino Linotype" w:hAnsi="Palatino Linotype" w:cs="Palatino Linotype"/>
        </w:rPr>
        <w:t>Así, mediante un acto jurídico posterior como lo es el informe justificado, el</w:t>
      </w:r>
      <w:r w:rsidRPr="00E4092B">
        <w:rPr>
          <w:rFonts w:ascii="Palatino Linotype" w:eastAsia="Palatino Linotype" w:hAnsi="Palatino Linotype" w:cs="Palatino Linotype"/>
          <w:b/>
          <w:bCs/>
        </w:rPr>
        <w:t xml:space="preserve"> SUJETO OBLIGADO </w:t>
      </w:r>
      <w:r w:rsidRPr="00E4092B">
        <w:rPr>
          <w:rFonts w:ascii="Palatino Linotype" w:eastAsia="Palatino Linotype" w:hAnsi="Palatino Linotype" w:cs="Palatino Linotype"/>
        </w:rPr>
        <w:t xml:space="preserve">por medio del Titular de la Unidad de Transparencia, </w:t>
      </w:r>
      <w:r w:rsidRPr="00E4092B">
        <w:rPr>
          <w:rFonts w:ascii="Palatino Linotype" w:eastAsia="Palatino Linotype" w:hAnsi="Palatino Linotype" w:cs="Palatino Linotype"/>
          <w:b/>
          <w:bCs/>
        </w:rPr>
        <w:t>informó su incompetencia en cuanto a la información relativa a la Comisión Nacional de Cultura Física y Deporte (CONADE), toda vez que es un organismo público descentralizado de la Administración Pública Federal, la cual, es la conductora de la política nacional en materia de cultura física y deporte, con personalidad jurídica y patrimonio propio diverso a esta Secretaría de Educación, Ciencia, Tecnología e Innovación; sin embargo, con la finalidad de garantizar el cumplimiento le sugirió a la parte RECURRENTE presentar su solicitud de información ante la Unidad de Transparencia del Sujeto Obligado competente para proporcionar la información.</w:t>
      </w:r>
    </w:p>
    <w:p w:rsidR="00855AFD" w:rsidRPr="00E4092B" w:rsidRDefault="00855AFD">
      <w:pPr>
        <w:rPr>
          <w:rFonts w:ascii="Palatino Linotype" w:eastAsia="Palatino Linotype" w:hAnsi="Palatino Linotype" w:cs="Palatino Linotype"/>
        </w:rPr>
      </w:pPr>
    </w:p>
    <w:p w:rsidR="00855AFD" w:rsidRPr="00E4092B" w:rsidRDefault="003554BF">
      <w:pPr>
        <w:numPr>
          <w:ilvl w:val="0"/>
          <w:numId w:val="5"/>
        </w:numPr>
        <w:spacing w:line="360" w:lineRule="auto"/>
        <w:ind w:left="0" w:right="1" w:firstLine="0"/>
        <w:jc w:val="both"/>
        <w:rPr>
          <w:rFonts w:ascii="Palatino Linotype" w:eastAsia="Palatino Linotype" w:hAnsi="Palatino Linotype" w:cs="Palatino Linotype"/>
          <w:b/>
          <w:bCs/>
        </w:rPr>
      </w:pPr>
      <w:r w:rsidRPr="00E4092B">
        <w:rPr>
          <w:rFonts w:ascii="Palatino Linotype" w:eastAsia="Palatino Linotype" w:hAnsi="Palatino Linotype" w:cs="Palatino Linotype"/>
        </w:rPr>
        <w:t xml:space="preserve">Al respecto, cabe </w:t>
      </w:r>
      <w:r w:rsidRPr="00E4092B">
        <w:rPr>
          <w:rFonts w:ascii="Palatino Linotype" w:eastAsia="Palatino Linotype" w:hAnsi="Palatino Linotype" w:cs="Palatino Linotype"/>
          <w:color w:val="000000"/>
        </w:rPr>
        <w:t xml:space="preserve">resaltar que, la Ley de Transparencia y Acceso a la Información Pública del Estado de México y Municipios, en su artículo 150, establece que el procedimiento de acceso a la información es la garantía primaria del derecho en cuestión y se rige por los principios de simplicidad, rapidez gratuidad del procedimiento, auxilio y orientación a los particulares, así </w:t>
      </w:r>
      <w:r w:rsidRPr="00E4092B">
        <w:rPr>
          <w:rFonts w:ascii="Palatino Linotype" w:eastAsia="Palatino Linotype" w:hAnsi="Palatino Linotype" w:cs="Palatino Linotype"/>
          <w:color w:val="000000"/>
        </w:rPr>
        <w:lastRenderedPageBreak/>
        <w:t>como, atención adecuada a las personas con discapacidad y a los hablantes de lengua indígena con el objeto de otorgar la protección más amplia del derecho de las personas.</w:t>
      </w:r>
    </w:p>
    <w:p w:rsidR="00855AFD" w:rsidRPr="00E4092B" w:rsidRDefault="00855AFD">
      <w:pPr>
        <w:spacing w:line="360" w:lineRule="auto"/>
        <w:ind w:right="1"/>
        <w:jc w:val="both"/>
        <w:rPr>
          <w:rFonts w:ascii="Palatino Linotype" w:eastAsia="Palatino Linotype" w:hAnsi="Palatino Linotype" w:cs="Palatino Linotype"/>
          <w:b/>
          <w:bCs/>
        </w:rPr>
      </w:pPr>
    </w:p>
    <w:p w:rsidR="00855AFD" w:rsidRPr="00E4092B" w:rsidRDefault="003554BF">
      <w:pPr>
        <w:numPr>
          <w:ilvl w:val="0"/>
          <w:numId w:val="5"/>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color w:val="000000"/>
        </w:rPr>
      </w:pPr>
      <w:r w:rsidRPr="00E4092B">
        <w:rPr>
          <w:rFonts w:ascii="Palatino Linotype" w:eastAsia="Palatino Linotype" w:hAnsi="Palatino Linotype" w:cs="Palatino Linotype"/>
          <w:color w:val="000000"/>
        </w:rPr>
        <w:t>En este sentido, para atender las solicitudes de información, los Sujetos Obligados contarán con un área denominada Unidad de Transparencia</w:t>
      </w:r>
      <w:r w:rsidRPr="00E4092B">
        <w:rPr>
          <w:rFonts w:ascii="Palatino Linotype" w:eastAsia="Palatino Linotype" w:hAnsi="Palatino Linotype" w:cs="Palatino Linotype"/>
          <w:color w:val="000000"/>
          <w:vertAlign w:val="superscript"/>
        </w:rPr>
        <w:footnoteReference w:id="1"/>
      </w:r>
      <w:r w:rsidRPr="00E4092B">
        <w:rPr>
          <w:rFonts w:ascii="Palatino Linotype" w:eastAsia="Palatino Linotype" w:hAnsi="Palatino Linotype" w:cs="Palatino Linotype"/>
          <w:color w:val="000000"/>
        </w:rPr>
        <w:t>, la cual será presidida por un Titular, quien fungirá como enlace entre éstos y los solicitantes. Dicha Unidad será la encargada de tramitar internamente la solicitud de información y tendrá la responsabilidad de verificar en cada caso que la misma no sea confidencial o reservada. Asimismo, contará con las facultades internas necesarias para gestionar la atención a las solicitudes de información</w:t>
      </w:r>
      <w:r w:rsidRPr="00E4092B">
        <w:rPr>
          <w:rFonts w:ascii="Palatino Linotype" w:eastAsia="Palatino Linotype" w:hAnsi="Palatino Linotype" w:cs="Palatino Linotype"/>
          <w:b/>
          <w:bCs/>
          <w:color w:val="000000"/>
        </w:rPr>
        <w:t xml:space="preserve"> </w:t>
      </w:r>
      <w:r w:rsidRPr="00E4092B">
        <w:rPr>
          <w:rFonts w:ascii="Palatino Linotype" w:eastAsia="Palatino Linotype" w:hAnsi="Palatino Linotype" w:cs="Palatino Linotype"/>
          <w:color w:val="000000"/>
        </w:rPr>
        <w:t>en los términos de la Ley General y la Ley de Transparencia y Acceso a la Información Pública del Estado de México y Municipios</w:t>
      </w:r>
      <w:r w:rsidRPr="00E4092B">
        <w:rPr>
          <w:rFonts w:ascii="Palatino Linotype" w:eastAsia="Palatino Linotype" w:hAnsi="Palatino Linotype" w:cs="Palatino Linotype"/>
          <w:color w:val="000000"/>
          <w:vertAlign w:val="superscript"/>
        </w:rPr>
        <w:footnoteReference w:id="2"/>
      </w:r>
      <w:r w:rsidRPr="00E4092B">
        <w:rPr>
          <w:rFonts w:ascii="Palatino Linotype" w:eastAsia="Palatino Linotype" w:hAnsi="Palatino Linotype" w:cs="Palatino Linotype"/>
          <w:color w:val="000000"/>
        </w:rPr>
        <w:t>.</w:t>
      </w:r>
    </w:p>
    <w:p w:rsidR="00855AFD" w:rsidRPr="00E4092B" w:rsidRDefault="00855AFD">
      <w:pPr>
        <w:spacing w:line="360" w:lineRule="auto"/>
        <w:ind w:right="1"/>
        <w:jc w:val="both"/>
        <w:rPr>
          <w:rFonts w:ascii="Palatino Linotype" w:eastAsia="Palatino Linotype" w:hAnsi="Palatino Linotype" w:cs="Palatino Linotype"/>
        </w:rPr>
      </w:pPr>
    </w:p>
    <w:p w:rsidR="00855AFD" w:rsidRPr="00E4092B" w:rsidRDefault="003554BF">
      <w:pPr>
        <w:numPr>
          <w:ilvl w:val="0"/>
          <w:numId w:val="5"/>
        </w:numPr>
        <w:spacing w:line="360" w:lineRule="auto"/>
        <w:ind w:left="0" w:right="1" w:firstLine="0"/>
        <w:jc w:val="both"/>
        <w:rPr>
          <w:rFonts w:ascii="Palatino Linotype" w:eastAsia="Palatino Linotype" w:hAnsi="Palatino Linotype" w:cs="Palatino Linotype"/>
        </w:rPr>
      </w:pPr>
      <w:r w:rsidRPr="00E4092B">
        <w:rPr>
          <w:rFonts w:ascii="Palatino Linotype" w:eastAsia="Palatino Linotype" w:hAnsi="Palatino Linotype" w:cs="Palatino Linotype"/>
          <w:color w:val="000000"/>
        </w:rPr>
        <w:t>De conformidad con lo dispuesto en la Ley de Transparencia y Acceso a la Información Pública del Estado de México y Municipios, las Unidades de Transparencia tendrán, entre sus atribuciones, las siguientes:</w:t>
      </w:r>
    </w:p>
    <w:p w:rsidR="00855AFD" w:rsidRPr="00E4092B" w:rsidRDefault="003554BF">
      <w:pPr>
        <w:numPr>
          <w:ilvl w:val="1"/>
          <w:numId w:val="2"/>
        </w:numPr>
        <w:pBdr>
          <w:top w:val="nil"/>
          <w:left w:val="nil"/>
          <w:bottom w:val="nil"/>
          <w:right w:val="nil"/>
          <w:between w:val="nil"/>
        </w:pBdr>
        <w:spacing w:before="240"/>
        <w:ind w:left="709" w:right="616" w:hanging="142"/>
        <w:jc w:val="both"/>
        <w:rPr>
          <w:rFonts w:ascii="Palatino Linotype" w:eastAsia="Palatino Linotype" w:hAnsi="Palatino Linotype" w:cs="Palatino Linotype"/>
          <w:color w:val="000000"/>
        </w:rPr>
      </w:pPr>
      <w:r w:rsidRPr="00E4092B">
        <w:rPr>
          <w:rFonts w:ascii="Palatino Linotype" w:eastAsia="Palatino Linotype" w:hAnsi="Palatino Linotype" w:cs="Palatino Linotype"/>
          <w:color w:val="000000"/>
        </w:rPr>
        <w:t>Recibir, tramitar y dar respuesta a las solicitudes de acceso a la información;</w:t>
      </w:r>
    </w:p>
    <w:p w:rsidR="00855AFD" w:rsidRPr="00E4092B" w:rsidRDefault="003554BF">
      <w:pPr>
        <w:numPr>
          <w:ilvl w:val="1"/>
          <w:numId w:val="2"/>
        </w:numPr>
        <w:pBdr>
          <w:top w:val="nil"/>
          <w:left w:val="nil"/>
          <w:bottom w:val="nil"/>
          <w:right w:val="nil"/>
          <w:between w:val="nil"/>
        </w:pBdr>
        <w:ind w:left="709" w:right="616" w:hanging="142"/>
        <w:jc w:val="both"/>
        <w:rPr>
          <w:rFonts w:ascii="Palatino Linotype" w:eastAsia="Palatino Linotype" w:hAnsi="Palatino Linotype" w:cs="Palatino Linotype"/>
          <w:color w:val="000000"/>
        </w:rPr>
      </w:pPr>
      <w:r w:rsidRPr="00E4092B">
        <w:rPr>
          <w:rFonts w:ascii="Palatino Linotype" w:eastAsia="Palatino Linotype" w:hAnsi="Palatino Linotype" w:cs="Palatino Linotype"/>
          <w:color w:val="000000"/>
        </w:rPr>
        <w:t xml:space="preserve">Realizar, con efectividad, los trámites internos necesarios para la atención de las solicitudes de acceso a la información; </w:t>
      </w:r>
    </w:p>
    <w:p w:rsidR="00855AFD" w:rsidRPr="00E4092B" w:rsidRDefault="003554BF">
      <w:pPr>
        <w:numPr>
          <w:ilvl w:val="1"/>
          <w:numId w:val="2"/>
        </w:numPr>
        <w:pBdr>
          <w:top w:val="nil"/>
          <w:left w:val="nil"/>
          <w:bottom w:val="nil"/>
          <w:right w:val="nil"/>
          <w:between w:val="nil"/>
        </w:pBdr>
        <w:ind w:left="709" w:right="616" w:hanging="142"/>
        <w:jc w:val="both"/>
        <w:rPr>
          <w:rFonts w:ascii="Palatino Linotype" w:eastAsia="Palatino Linotype" w:hAnsi="Palatino Linotype" w:cs="Palatino Linotype"/>
          <w:color w:val="000000"/>
        </w:rPr>
      </w:pPr>
      <w:r w:rsidRPr="00E4092B">
        <w:rPr>
          <w:rFonts w:ascii="Palatino Linotype" w:eastAsia="Palatino Linotype" w:hAnsi="Palatino Linotype" w:cs="Palatino Linotype"/>
          <w:color w:val="000000"/>
        </w:rPr>
        <w:t xml:space="preserve">Entregar, en su caso, a los particulares la información solicitada; y </w:t>
      </w:r>
    </w:p>
    <w:p w:rsidR="00855AFD" w:rsidRPr="00E4092B" w:rsidRDefault="003554BF">
      <w:pPr>
        <w:numPr>
          <w:ilvl w:val="1"/>
          <w:numId w:val="2"/>
        </w:numPr>
        <w:pBdr>
          <w:top w:val="nil"/>
          <w:left w:val="nil"/>
          <w:bottom w:val="nil"/>
          <w:right w:val="nil"/>
          <w:between w:val="nil"/>
        </w:pBdr>
        <w:spacing w:after="240"/>
        <w:ind w:left="709" w:right="616" w:hanging="142"/>
        <w:jc w:val="both"/>
        <w:rPr>
          <w:rFonts w:ascii="Palatino Linotype" w:eastAsia="Palatino Linotype" w:hAnsi="Palatino Linotype" w:cs="Palatino Linotype"/>
          <w:color w:val="000000"/>
        </w:rPr>
      </w:pPr>
      <w:r w:rsidRPr="00E4092B">
        <w:rPr>
          <w:rFonts w:ascii="Palatino Linotype" w:eastAsia="Palatino Linotype" w:hAnsi="Palatino Linotype" w:cs="Palatino Linotype"/>
          <w:color w:val="000000"/>
        </w:rPr>
        <w:t>Efectuar las notificaciones a los solicitantes.</w:t>
      </w:r>
    </w:p>
    <w:p w:rsidR="00855AFD" w:rsidRPr="00E4092B" w:rsidRDefault="00855AFD">
      <w:pPr>
        <w:spacing w:line="360" w:lineRule="auto"/>
        <w:ind w:right="1"/>
        <w:jc w:val="both"/>
        <w:rPr>
          <w:rFonts w:ascii="Palatino Linotype" w:eastAsia="Palatino Linotype" w:hAnsi="Palatino Linotype" w:cs="Palatino Linotype"/>
        </w:rPr>
      </w:pPr>
    </w:p>
    <w:p w:rsidR="00855AFD" w:rsidRPr="00E4092B" w:rsidRDefault="003554BF">
      <w:pPr>
        <w:numPr>
          <w:ilvl w:val="0"/>
          <w:numId w:val="5"/>
        </w:numPr>
        <w:spacing w:line="360" w:lineRule="auto"/>
        <w:ind w:left="0" w:right="1" w:firstLine="0"/>
        <w:jc w:val="both"/>
        <w:rPr>
          <w:rFonts w:ascii="Palatino Linotype" w:eastAsia="Palatino Linotype" w:hAnsi="Palatino Linotype" w:cs="Palatino Linotype"/>
        </w:rPr>
      </w:pPr>
      <w:r w:rsidRPr="00E4092B">
        <w:rPr>
          <w:rFonts w:ascii="Palatino Linotype" w:eastAsia="Palatino Linotype" w:hAnsi="Palatino Linotype" w:cs="Palatino Linotype"/>
          <w:color w:val="000000"/>
        </w:rPr>
        <w:lastRenderedPageBreak/>
        <w:t xml:space="preserve">Otros sujetos del proceso de atención a las solicitudes de información son los servidores públicos habilitados, quienes serán designados por el titular del </w:t>
      </w:r>
      <w:r w:rsidRPr="00E4092B">
        <w:rPr>
          <w:rFonts w:ascii="Palatino Linotype" w:eastAsia="Palatino Linotype" w:hAnsi="Palatino Linotype" w:cs="Palatino Linotype"/>
          <w:b/>
          <w:bCs/>
          <w:color w:val="000000"/>
        </w:rPr>
        <w:t xml:space="preserve">SUJETO OBLIGADO </w:t>
      </w:r>
      <w:r w:rsidRPr="00E4092B">
        <w:rPr>
          <w:rFonts w:ascii="Palatino Linotype" w:eastAsia="Palatino Linotype" w:hAnsi="Palatino Linotype" w:cs="Palatino Linotype"/>
          <w:color w:val="000000"/>
        </w:rPr>
        <w:t>a propuesta del responsable de la Unidad de Transparencia</w:t>
      </w:r>
      <w:r w:rsidRPr="00E4092B">
        <w:rPr>
          <w:rFonts w:ascii="Palatino Linotype" w:eastAsia="Palatino Linotype" w:hAnsi="Palatino Linotype" w:cs="Palatino Linotype"/>
          <w:color w:val="000000"/>
          <w:vertAlign w:val="superscript"/>
        </w:rPr>
        <w:footnoteReference w:id="3"/>
      </w:r>
      <w:r w:rsidRPr="00E4092B">
        <w:rPr>
          <w:rFonts w:ascii="Palatino Linotype" w:eastAsia="Palatino Linotype" w:hAnsi="Palatino Linotype" w:cs="Palatino Linotype"/>
          <w:color w:val="000000"/>
        </w:rPr>
        <w:t xml:space="preserve"> y tendrán, entre sus atribuciones, las siguientes</w:t>
      </w:r>
      <w:r w:rsidRPr="00E4092B">
        <w:rPr>
          <w:rFonts w:ascii="Palatino Linotype" w:eastAsia="Palatino Linotype" w:hAnsi="Palatino Linotype" w:cs="Palatino Linotype"/>
          <w:color w:val="000000"/>
          <w:vertAlign w:val="superscript"/>
        </w:rPr>
        <w:footnoteReference w:id="4"/>
      </w:r>
      <w:r w:rsidRPr="00E4092B">
        <w:rPr>
          <w:rFonts w:ascii="Palatino Linotype" w:eastAsia="Palatino Linotype" w:hAnsi="Palatino Linotype" w:cs="Palatino Linotype"/>
          <w:color w:val="000000"/>
        </w:rPr>
        <w:t>:</w:t>
      </w:r>
    </w:p>
    <w:p w:rsidR="00855AFD" w:rsidRPr="00E4092B" w:rsidRDefault="003554BF">
      <w:pPr>
        <w:numPr>
          <w:ilvl w:val="1"/>
          <w:numId w:val="3"/>
        </w:numPr>
        <w:pBdr>
          <w:top w:val="nil"/>
          <w:left w:val="nil"/>
          <w:bottom w:val="nil"/>
          <w:right w:val="nil"/>
          <w:between w:val="nil"/>
        </w:pBdr>
        <w:spacing w:before="240"/>
        <w:ind w:left="709" w:right="565" w:hanging="142"/>
        <w:jc w:val="both"/>
        <w:rPr>
          <w:rFonts w:ascii="Palatino Linotype" w:eastAsia="Palatino Linotype" w:hAnsi="Palatino Linotype" w:cs="Palatino Linotype"/>
          <w:color w:val="000000"/>
        </w:rPr>
      </w:pPr>
      <w:r w:rsidRPr="00E4092B">
        <w:rPr>
          <w:rFonts w:ascii="Palatino Linotype" w:eastAsia="Palatino Linotype" w:hAnsi="Palatino Linotype" w:cs="Palatino Linotype"/>
          <w:color w:val="000000"/>
        </w:rPr>
        <w:t>Localizar la información que le solicite la Unidad de Transparencia; y</w:t>
      </w:r>
    </w:p>
    <w:p w:rsidR="00855AFD" w:rsidRPr="00E4092B" w:rsidRDefault="003554BF">
      <w:pPr>
        <w:numPr>
          <w:ilvl w:val="1"/>
          <w:numId w:val="3"/>
        </w:numPr>
        <w:pBdr>
          <w:top w:val="nil"/>
          <w:left w:val="nil"/>
          <w:bottom w:val="nil"/>
          <w:right w:val="nil"/>
          <w:between w:val="nil"/>
        </w:pBdr>
        <w:spacing w:after="240"/>
        <w:ind w:left="709" w:right="565" w:hanging="142"/>
        <w:jc w:val="both"/>
        <w:rPr>
          <w:rFonts w:ascii="Palatino Linotype" w:eastAsia="Palatino Linotype" w:hAnsi="Palatino Linotype" w:cs="Palatino Linotype"/>
          <w:color w:val="000000"/>
        </w:rPr>
      </w:pPr>
      <w:r w:rsidRPr="00E4092B">
        <w:rPr>
          <w:rFonts w:ascii="Palatino Linotype" w:eastAsia="Palatino Linotype" w:hAnsi="Palatino Linotype" w:cs="Palatino Linotype"/>
          <w:color w:val="000000"/>
        </w:rPr>
        <w:t>Proporcionar la información que obre en los archivos y que le sea solicitada por la Unidad de Transparencia.</w:t>
      </w:r>
    </w:p>
    <w:p w:rsidR="00855AFD" w:rsidRPr="00E4092B" w:rsidRDefault="00855AFD">
      <w:pPr>
        <w:spacing w:line="360" w:lineRule="auto"/>
        <w:ind w:right="1"/>
        <w:jc w:val="both"/>
        <w:rPr>
          <w:rFonts w:ascii="Palatino Linotype" w:eastAsia="Palatino Linotype" w:hAnsi="Palatino Linotype" w:cs="Palatino Linotype"/>
        </w:rPr>
      </w:pPr>
    </w:p>
    <w:p w:rsidR="00855AFD" w:rsidRPr="00E4092B" w:rsidRDefault="003554BF">
      <w:pPr>
        <w:numPr>
          <w:ilvl w:val="0"/>
          <w:numId w:val="5"/>
        </w:numPr>
        <w:spacing w:line="360" w:lineRule="auto"/>
        <w:ind w:left="0" w:right="1" w:firstLine="0"/>
        <w:jc w:val="both"/>
        <w:rPr>
          <w:rFonts w:ascii="Palatino Linotype" w:eastAsia="Palatino Linotype" w:hAnsi="Palatino Linotype" w:cs="Palatino Linotype"/>
        </w:rPr>
      </w:pPr>
      <w:r w:rsidRPr="00E4092B">
        <w:rPr>
          <w:rFonts w:ascii="Palatino Linotype" w:eastAsia="Palatino Linotype" w:hAnsi="Palatino Linotype" w:cs="Palatino Linotype"/>
          <w:color w:val="000000"/>
        </w:rPr>
        <w:t xml:space="preserve">De tal manera que cada una de las áreas administrativas del </w:t>
      </w:r>
      <w:r w:rsidRPr="00E4092B">
        <w:rPr>
          <w:rFonts w:ascii="Palatino Linotype" w:eastAsia="Palatino Linotype" w:hAnsi="Palatino Linotype" w:cs="Palatino Linotype"/>
          <w:b/>
          <w:bCs/>
          <w:color w:val="000000"/>
        </w:rPr>
        <w:t>SUJETO OBLIGADO</w:t>
      </w:r>
      <w:r w:rsidRPr="00E4092B">
        <w:rPr>
          <w:rFonts w:ascii="Palatino Linotype" w:eastAsia="Palatino Linotype" w:hAnsi="Palatino Linotype" w:cs="Palatino Linotype"/>
          <w:color w:val="000000"/>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p>
    <w:p w:rsidR="00855AFD" w:rsidRPr="00E4092B" w:rsidRDefault="00855AFD">
      <w:pPr>
        <w:spacing w:line="360" w:lineRule="auto"/>
        <w:ind w:right="1"/>
        <w:jc w:val="both"/>
        <w:rPr>
          <w:rFonts w:ascii="Palatino Linotype" w:eastAsia="Palatino Linotype" w:hAnsi="Palatino Linotype" w:cs="Palatino Linotype"/>
        </w:rPr>
      </w:pPr>
    </w:p>
    <w:p w:rsidR="00855AFD" w:rsidRPr="00E4092B" w:rsidRDefault="003554BF">
      <w:pPr>
        <w:numPr>
          <w:ilvl w:val="0"/>
          <w:numId w:val="5"/>
        </w:numPr>
        <w:spacing w:line="360" w:lineRule="auto"/>
        <w:ind w:left="0" w:right="1" w:firstLine="0"/>
        <w:jc w:val="both"/>
        <w:rPr>
          <w:rFonts w:ascii="Palatino Linotype" w:eastAsia="Palatino Linotype" w:hAnsi="Palatino Linotype" w:cs="Palatino Linotype"/>
        </w:rPr>
      </w:pPr>
      <w:r w:rsidRPr="00E4092B">
        <w:rPr>
          <w:rFonts w:ascii="Palatino Linotype" w:eastAsia="Palatino Linotype" w:hAnsi="Palatino Linotype" w:cs="Palatino Linotype"/>
          <w:color w:val="000000"/>
        </w:rPr>
        <w:t>Aunado a lo anterior, la Ley de Transparencia y Acceso a la Información Pública del Estado de México y Municipios, en su artículo 53, establece las funciones correspondientes a esta Unidad; mismas que se inserta a continuación:</w:t>
      </w:r>
    </w:p>
    <w:p w:rsidR="00855AFD" w:rsidRPr="00E4092B" w:rsidRDefault="003554BF">
      <w:pPr>
        <w:pBdr>
          <w:top w:val="nil"/>
          <w:left w:val="nil"/>
          <w:bottom w:val="nil"/>
          <w:right w:val="nil"/>
          <w:between w:val="nil"/>
        </w:pBdr>
        <w:tabs>
          <w:tab w:val="left" w:pos="426"/>
        </w:tabs>
        <w:spacing w:before="240"/>
        <w:ind w:left="567" w:right="616"/>
        <w:jc w:val="both"/>
        <w:rPr>
          <w:rFonts w:ascii="Palatino Linotype" w:eastAsia="Palatino Linotype" w:hAnsi="Palatino Linotype" w:cs="Palatino Linotype"/>
          <w:i/>
          <w:iCs/>
          <w:color w:val="000000"/>
        </w:rPr>
      </w:pPr>
      <w:r w:rsidRPr="00E4092B">
        <w:rPr>
          <w:rFonts w:ascii="Palatino Linotype" w:eastAsia="Palatino Linotype" w:hAnsi="Palatino Linotype" w:cs="Palatino Linotype"/>
          <w:b/>
          <w:bCs/>
          <w:i/>
          <w:iCs/>
          <w:color w:val="000000"/>
        </w:rPr>
        <w:t>“Artículo 53</w:t>
      </w:r>
      <w:r w:rsidRPr="00E4092B">
        <w:rPr>
          <w:rFonts w:ascii="Palatino Linotype" w:eastAsia="Palatino Linotype" w:hAnsi="Palatino Linotype" w:cs="Palatino Linotype"/>
          <w:i/>
          <w:iCs/>
          <w:color w:val="000000"/>
        </w:rPr>
        <w:t xml:space="preserve">. Las Unidades de Transparencia tendrán las siguientes funciones: </w:t>
      </w:r>
    </w:p>
    <w:p w:rsidR="00855AFD" w:rsidRPr="00E4092B" w:rsidRDefault="00855AFD">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p>
    <w:p w:rsidR="00855AFD" w:rsidRPr="00E4092B" w:rsidRDefault="003554BF">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E4092B">
        <w:rPr>
          <w:rFonts w:ascii="Palatino Linotype" w:eastAsia="Palatino Linotype" w:hAnsi="Palatino Linotype" w:cs="Palatino Linotype"/>
          <w:i/>
          <w:iCs/>
          <w:color w:val="000000"/>
        </w:rPr>
        <w:t xml:space="preserve">I. 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 </w:t>
      </w:r>
    </w:p>
    <w:p w:rsidR="00855AFD" w:rsidRPr="00E4092B" w:rsidRDefault="003554BF">
      <w:pPr>
        <w:pBdr>
          <w:top w:val="nil"/>
          <w:left w:val="nil"/>
          <w:bottom w:val="nil"/>
          <w:right w:val="nil"/>
          <w:between w:val="nil"/>
        </w:pBdr>
        <w:tabs>
          <w:tab w:val="left" w:pos="426"/>
        </w:tabs>
        <w:ind w:left="567" w:right="616"/>
        <w:jc w:val="both"/>
        <w:rPr>
          <w:rFonts w:ascii="Palatino Linotype" w:eastAsia="Palatino Linotype" w:hAnsi="Palatino Linotype" w:cs="Palatino Linotype"/>
          <w:b/>
          <w:bCs/>
          <w:i/>
          <w:iCs/>
          <w:color w:val="000000"/>
        </w:rPr>
      </w:pPr>
      <w:r w:rsidRPr="00E4092B">
        <w:rPr>
          <w:rFonts w:ascii="Palatino Linotype" w:eastAsia="Palatino Linotype" w:hAnsi="Palatino Linotype" w:cs="Palatino Linotype"/>
          <w:b/>
          <w:bCs/>
          <w:i/>
          <w:iCs/>
          <w:color w:val="000000"/>
        </w:rPr>
        <w:t xml:space="preserve">II. Recibir, tramitar y dar respuesta a las solicitudes de acceso a la información; </w:t>
      </w:r>
    </w:p>
    <w:p w:rsidR="00855AFD" w:rsidRPr="00E4092B" w:rsidRDefault="003554BF">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E4092B">
        <w:rPr>
          <w:rFonts w:ascii="Palatino Linotype" w:eastAsia="Palatino Linotype" w:hAnsi="Palatino Linotype" w:cs="Palatino Linotype"/>
          <w:i/>
          <w:iCs/>
          <w:color w:val="000000"/>
        </w:rPr>
        <w:lastRenderedPageBreak/>
        <w:t xml:space="preserve">III. Auxiliar a los particulares en la elaboración de solicitudes de acceso a la información y, en su caso, orientarlos sobre los sujetos obligados competentes conforme a la normatividad aplicable; </w:t>
      </w:r>
    </w:p>
    <w:p w:rsidR="00855AFD" w:rsidRPr="00E4092B" w:rsidRDefault="003554BF">
      <w:pPr>
        <w:pBdr>
          <w:top w:val="nil"/>
          <w:left w:val="nil"/>
          <w:bottom w:val="nil"/>
          <w:right w:val="nil"/>
          <w:between w:val="nil"/>
        </w:pBdr>
        <w:tabs>
          <w:tab w:val="left" w:pos="426"/>
        </w:tabs>
        <w:ind w:left="567" w:right="616"/>
        <w:jc w:val="both"/>
        <w:rPr>
          <w:rFonts w:ascii="Palatino Linotype" w:eastAsia="Palatino Linotype" w:hAnsi="Palatino Linotype" w:cs="Palatino Linotype"/>
          <w:b/>
          <w:bCs/>
          <w:i/>
          <w:iCs/>
          <w:color w:val="000000"/>
        </w:rPr>
      </w:pPr>
      <w:r w:rsidRPr="00E4092B">
        <w:rPr>
          <w:rFonts w:ascii="Palatino Linotype" w:eastAsia="Palatino Linotype" w:hAnsi="Palatino Linotype" w:cs="Palatino Linotype"/>
          <w:b/>
          <w:bCs/>
          <w:i/>
          <w:iCs/>
          <w:color w:val="000000"/>
        </w:rPr>
        <w:t xml:space="preserve">IV. Realizar, con efectividad, los trámites internos necesarios para la atención de las solicitudes de acceso a la información; </w:t>
      </w:r>
    </w:p>
    <w:p w:rsidR="00855AFD" w:rsidRPr="00E4092B" w:rsidRDefault="003554BF">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E4092B">
        <w:rPr>
          <w:rFonts w:ascii="Palatino Linotype" w:eastAsia="Palatino Linotype" w:hAnsi="Palatino Linotype" w:cs="Palatino Linotype"/>
          <w:i/>
          <w:iCs/>
          <w:color w:val="000000"/>
        </w:rPr>
        <w:t xml:space="preserve">V. Entregar, en su caso, a los particulares la información solicitada; </w:t>
      </w:r>
    </w:p>
    <w:p w:rsidR="00855AFD" w:rsidRPr="00E4092B" w:rsidRDefault="003554BF">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E4092B">
        <w:rPr>
          <w:rFonts w:ascii="Palatino Linotype" w:eastAsia="Palatino Linotype" w:hAnsi="Palatino Linotype" w:cs="Palatino Linotype"/>
          <w:i/>
          <w:iCs/>
          <w:color w:val="000000"/>
        </w:rPr>
        <w:t xml:space="preserve">VI. Efectuar las notificaciones a los solicitantes; </w:t>
      </w:r>
    </w:p>
    <w:p w:rsidR="00855AFD" w:rsidRPr="00E4092B" w:rsidRDefault="003554BF">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E4092B">
        <w:rPr>
          <w:rFonts w:ascii="Palatino Linotype" w:eastAsia="Palatino Linotype" w:hAnsi="Palatino Linotype" w:cs="Palatino Linotype"/>
          <w:i/>
          <w:iCs/>
          <w:color w:val="000000"/>
        </w:rPr>
        <w:t xml:space="preserve">VII. Proponer al Comité de Transparencia, los procedimientos internos que aseguren la mayor eficiencia en la gestión de las solicitudes de acceso a la información, conforme a la normatividad aplicable; </w:t>
      </w:r>
    </w:p>
    <w:p w:rsidR="00855AFD" w:rsidRPr="00E4092B" w:rsidRDefault="003554BF">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E4092B">
        <w:rPr>
          <w:rFonts w:ascii="Palatino Linotype" w:eastAsia="Palatino Linotype" w:hAnsi="Palatino Linotype" w:cs="Palatino Linotype"/>
          <w:i/>
          <w:iCs/>
          <w:color w:val="000000"/>
        </w:rPr>
        <w:t xml:space="preserve">VIII. Proponer a quien preside el Comité de Transparencia, personal habilitado que sea necesario para recibir y dar trámite a las solicitudes de acceso a la información; </w:t>
      </w:r>
    </w:p>
    <w:p w:rsidR="00855AFD" w:rsidRPr="00E4092B" w:rsidRDefault="003554BF">
      <w:pPr>
        <w:pBdr>
          <w:top w:val="nil"/>
          <w:left w:val="nil"/>
          <w:bottom w:val="nil"/>
          <w:right w:val="nil"/>
          <w:between w:val="nil"/>
        </w:pBdr>
        <w:tabs>
          <w:tab w:val="left" w:pos="426"/>
        </w:tabs>
        <w:ind w:left="567" w:right="616"/>
        <w:jc w:val="both"/>
        <w:rPr>
          <w:rFonts w:ascii="Palatino Linotype" w:eastAsia="Palatino Linotype" w:hAnsi="Palatino Linotype" w:cs="Palatino Linotype"/>
          <w:b/>
          <w:bCs/>
          <w:i/>
          <w:iCs/>
          <w:color w:val="000000"/>
        </w:rPr>
      </w:pPr>
      <w:r w:rsidRPr="00E4092B">
        <w:rPr>
          <w:rFonts w:ascii="Palatino Linotype" w:eastAsia="Palatino Linotype" w:hAnsi="Palatino Linotype" w:cs="Palatino Linotype"/>
          <w:b/>
          <w:bCs/>
          <w:i/>
          <w:iCs/>
          <w:color w:val="000000"/>
        </w:rPr>
        <w:t xml:space="preserve">IX. Llevar un registro de las solicitudes de acceso a la información, sus respuestas, resultados, costos de reproducción y envío, resolución a los recursos de revisión que se hayan emitido en contra de sus respuestas y del cumplimiento de las mismas; </w:t>
      </w:r>
    </w:p>
    <w:p w:rsidR="00855AFD" w:rsidRPr="00E4092B" w:rsidRDefault="003554BF">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E4092B">
        <w:rPr>
          <w:rFonts w:ascii="Palatino Linotype" w:eastAsia="Palatino Linotype" w:hAnsi="Palatino Linotype" w:cs="Palatino Linotype"/>
          <w:i/>
          <w:iCs/>
          <w:color w:val="000000"/>
        </w:rPr>
        <w:t xml:space="preserve">X. Presentar ante el Comité, el proyecto de clasificación de información; </w:t>
      </w:r>
    </w:p>
    <w:p w:rsidR="00855AFD" w:rsidRPr="00E4092B" w:rsidRDefault="003554BF">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E4092B">
        <w:rPr>
          <w:rFonts w:ascii="Palatino Linotype" w:eastAsia="Palatino Linotype" w:hAnsi="Palatino Linotype" w:cs="Palatino Linotype"/>
          <w:i/>
          <w:iCs/>
          <w:color w:val="000000"/>
        </w:rPr>
        <w:t xml:space="preserve">XI. Promover e implementar políticas de transparencia proactiva procurando su accesibilidad; </w:t>
      </w:r>
    </w:p>
    <w:p w:rsidR="00855AFD" w:rsidRPr="00E4092B" w:rsidRDefault="003554BF">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E4092B">
        <w:rPr>
          <w:rFonts w:ascii="Palatino Linotype" w:eastAsia="Palatino Linotype" w:hAnsi="Palatino Linotype" w:cs="Palatino Linotype"/>
          <w:i/>
          <w:iCs/>
          <w:color w:val="000000"/>
        </w:rPr>
        <w:t xml:space="preserve">XII. Fomentar la transparencia y accesibilidad al interior del sujeto obligado; </w:t>
      </w:r>
    </w:p>
    <w:p w:rsidR="00855AFD" w:rsidRPr="00E4092B" w:rsidRDefault="003554BF">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E4092B">
        <w:rPr>
          <w:rFonts w:ascii="Palatino Linotype" w:eastAsia="Palatino Linotype" w:hAnsi="Palatino Linotype" w:cs="Palatino Linotype"/>
          <w:i/>
          <w:iCs/>
          <w:color w:val="000000"/>
        </w:rPr>
        <w:t>XIII. Hacer del conocimiento de la instancia competente la probable responsabilidad por el incumplimiento de las obligaciones previstas en la presente Ley; y</w:t>
      </w:r>
    </w:p>
    <w:p w:rsidR="00855AFD" w:rsidRPr="00E4092B" w:rsidRDefault="003554BF">
      <w:pPr>
        <w:pBdr>
          <w:top w:val="nil"/>
          <w:left w:val="nil"/>
          <w:bottom w:val="nil"/>
          <w:right w:val="nil"/>
          <w:between w:val="nil"/>
        </w:pBdr>
        <w:tabs>
          <w:tab w:val="left" w:pos="426"/>
        </w:tabs>
        <w:ind w:left="567" w:right="616"/>
        <w:jc w:val="both"/>
        <w:rPr>
          <w:rFonts w:ascii="Palatino Linotype" w:eastAsia="Palatino Linotype" w:hAnsi="Palatino Linotype" w:cs="Palatino Linotype"/>
          <w:i/>
          <w:iCs/>
          <w:color w:val="000000"/>
        </w:rPr>
      </w:pPr>
      <w:r w:rsidRPr="00E4092B">
        <w:rPr>
          <w:rFonts w:ascii="Palatino Linotype" w:eastAsia="Palatino Linotype" w:hAnsi="Palatino Linotype" w:cs="Palatino Linotype"/>
          <w:i/>
          <w:iCs/>
          <w:color w:val="000000"/>
        </w:rPr>
        <w:t>XIV. Las demás que resulten necesarias para facilitar el acceso a la información y aquellas que se desprenden de la presente Ley y demás disposiciones jurídicas aplicables. (…)</w:t>
      </w:r>
    </w:p>
    <w:p w:rsidR="00855AFD" w:rsidRPr="00E4092B" w:rsidRDefault="003554BF">
      <w:pPr>
        <w:pBdr>
          <w:top w:val="nil"/>
          <w:left w:val="nil"/>
          <w:bottom w:val="nil"/>
          <w:right w:val="nil"/>
          <w:between w:val="nil"/>
        </w:pBdr>
        <w:tabs>
          <w:tab w:val="left" w:pos="426"/>
        </w:tabs>
        <w:spacing w:after="240"/>
        <w:ind w:left="567" w:right="616"/>
        <w:jc w:val="both"/>
        <w:rPr>
          <w:rFonts w:ascii="Palatino Linotype" w:eastAsia="Palatino Linotype" w:hAnsi="Palatino Linotype" w:cs="Palatino Linotype"/>
          <w:i/>
          <w:iCs/>
          <w:color w:val="000000"/>
        </w:rPr>
      </w:pPr>
      <w:r w:rsidRPr="00E4092B">
        <w:rPr>
          <w:rFonts w:ascii="Palatino Linotype" w:eastAsia="Palatino Linotype" w:hAnsi="Palatino Linotype" w:cs="Palatino Linotype"/>
          <w:i/>
          <w:iCs/>
          <w:color w:val="000000"/>
        </w:rPr>
        <w:t xml:space="preserve">Los sujetos obligados deberán implementar a través de las unidades de transparencia, progresivamente y conforme a sus previsiones, las medidas pertinentes para asegurar que el entorno físico de las instalaciones cuente con los ajustes razonables, con el objeto de proporcionar adecuada accesibilidad que otorgue las facilidades necesarias, así como establecer procedimientos para brindar asesoría y atención a las personas con discapacidad, a fin de que puedan consultar los sistemas que integran la Plataforma Nacional de Transparencia, presentar solicitudes de acceso a la información y facilitar su gestión e interponer los recursos que las leyes establezcan.” </w:t>
      </w:r>
    </w:p>
    <w:p w:rsidR="00855AFD" w:rsidRPr="00E4092B" w:rsidRDefault="00855AFD">
      <w:pPr>
        <w:spacing w:line="360" w:lineRule="auto"/>
        <w:ind w:right="1"/>
        <w:jc w:val="both"/>
        <w:rPr>
          <w:rFonts w:ascii="Palatino Linotype" w:eastAsia="Palatino Linotype" w:hAnsi="Palatino Linotype" w:cs="Palatino Linotype"/>
        </w:rPr>
      </w:pPr>
    </w:p>
    <w:p w:rsidR="00855AFD" w:rsidRPr="00E4092B" w:rsidRDefault="003554BF">
      <w:pPr>
        <w:numPr>
          <w:ilvl w:val="0"/>
          <w:numId w:val="5"/>
        </w:numPr>
        <w:spacing w:line="360" w:lineRule="auto"/>
        <w:ind w:left="0" w:right="1" w:firstLine="0"/>
        <w:jc w:val="both"/>
        <w:rPr>
          <w:rFonts w:ascii="Palatino Linotype" w:eastAsia="Palatino Linotype" w:hAnsi="Palatino Linotype" w:cs="Palatino Linotype"/>
        </w:rPr>
      </w:pPr>
      <w:r w:rsidRPr="00E4092B">
        <w:rPr>
          <w:rFonts w:ascii="Palatino Linotype" w:eastAsia="Palatino Linotype" w:hAnsi="Palatino Linotype" w:cs="Palatino Linotype"/>
          <w:color w:val="000000"/>
        </w:rPr>
        <w:t xml:space="preserve">De lo expuesto y con relación a lo solicitado, se tiene que, la Unidad de Transparencia es la encargada de </w:t>
      </w:r>
      <w:r w:rsidRPr="00E4092B">
        <w:rPr>
          <w:rFonts w:ascii="Palatino Linotype" w:eastAsia="Palatino Linotype" w:hAnsi="Palatino Linotype" w:cs="Palatino Linotype"/>
        </w:rPr>
        <w:t>recibir, tramitar y dar respuesta a las solicitudes de acceso a la información</w:t>
      </w:r>
      <w:r w:rsidRPr="00E4092B">
        <w:rPr>
          <w:rFonts w:ascii="Palatino Linotype" w:eastAsia="Palatino Linotype" w:hAnsi="Palatino Linotype" w:cs="Palatino Linotype"/>
          <w:color w:val="000000"/>
        </w:rPr>
        <w:t>.</w:t>
      </w:r>
    </w:p>
    <w:p w:rsidR="00855AFD" w:rsidRPr="00E4092B" w:rsidRDefault="003554BF">
      <w:pPr>
        <w:spacing w:line="360" w:lineRule="auto"/>
        <w:ind w:right="1"/>
        <w:jc w:val="both"/>
        <w:rPr>
          <w:rFonts w:ascii="Palatino Linotype" w:eastAsia="Palatino Linotype" w:hAnsi="Palatino Linotype" w:cs="Palatino Linotype"/>
        </w:rPr>
      </w:pPr>
      <w:r w:rsidRPr="00E4092B">
        <w:rPr>
          <w:rFonts w:ascii="Palatino Linotype" w:eastAsia="Palatino Linotype" w:hAnsi="Palatino Linotype" w:cs="Palatino Linotype"/>
        </w:rPr>
        <w:lastRenderedPageBreak/>
        <w:t xml:space="preserve">En este sentido, se reitera que existió un pronunciamiento por parte del </w:t>
      </w:r>
      <w:r w:rsidRPr="00E4092B">
        <w:rPr>
          <w:rFonts w:ascii="Palatino Linotype" w:eastAsia="Palatino Linotype" w:hAnsi="Palatino Linotype" w:cs="Palatino Linotype"/>
          <w:b/>
          <w:bCs/>
        </w:rPr>
        <w:t>SUJETO OBLIGADO</w:t>
      </w:r>
      <w:r w:rsidRPr="00E4092B">
        <w:rPr>
          <w:rFonts w:ascii="Palatino Linotype" w:eastAsia="Palatino Linotype" w:hAnsi="Palatino Linotype" w:cs="Palatino Linotype"/>
        </w:rPr>
        <w:t>, a través del</w:t>
      </w:r>
      <w:r w:rsidRPr="00E4092B">
        <w:rPr>
          <w:rFonts w:ascii="Palatino Linotype" w:eastAsia="Palatino Linotype" w:hAnsi="Palatino Linotype" w:cs="Palatino Linotype"/>
          <w:b/>
          <w:bCs/>
        </w:rPr>
        <w:t xml:space="preserve"> Director General de Cultura Física y Deporte, por medio del cual, la Subdirección de Fomento del Deporte.</w:t>
      </w:r>
    </w:p>
    <w:p w:rsidR="00855AFD" w:rsidRPr="00E4092B" w:rsidRDefault="00855AFD">
      <w:pPr>
        <w:spacing w:line="360" w:lineRule="auto"/>
        <w:ind w:right="1"/>
        <w:jc w:val="both"/>
        <w:rPr>
          <w:rFonts w:ascii="Palatino Linotype" w:eastAsia="Palatino Linotype" w:hAnsi="Palatino Linotype" w:cs="Palatino Linotype"/>
          <w:b/>
          <w:bCs/>
        </w:rPr>
      </w:pPr>
    </w:p>
    <w:p w:rsidR="00855AFD" w:rsidRPr="00E4092B" w:rsidRDefault="003554BF">
      <w:pPr>
        <w:numPr>
          <w:ilvl w:val="0"/>
          <w:numId w:val="5"/>
        </w:numPr>
        <w:spacing w:line="360" w:lineRule="auto"/>
        <w:ind w:left="0" w:right="1" w:firstLine="0"/>
        <w:jc w:val="both"/>
        <w:rPr>
          <w:rFonts w:ascii="Palatino Linotype" w:eastAsia="Palatino Linotype" w:hAnsi="Palatino Linotype" w:cs="Palatino Linotype"/>
        </w:rPr>
      </w:pPr>
      <w:r w:rsidRPr="00E4092B">
        <w:rPr>
          <w:rFonts w:ascii="Palatino Linotype" w:eastAsia="Palatino Linotype" w:hAnsi="Palatino Linotype" w:cs="Palatino Linotype"/>
        </w:rPr>
        <w:t>En consecuencia,</w:t>
      </w:r>
      <w:r w:rsidRPr="00E4092B">
        <w:rPr>
          <w:rFonts w:ascii="Palatino Linotype" w:eastAsia="Palatino Linotype" w:hAnsi="Palatino Linotype" w:cs="Palatino Linotype"/>
          <w:b/>
          <w:bCs/>
        </w:rPr>
        <w:t xml:space="preserve"> </w:t>
      </w:r>
      <w:r w:rsidRPr="00E4092B">
        <w:rPr>
          <w:rFonts w:ascii="Palatino Linotype" w:eastAsia="Palatino Linotype" w:hAnsi="Palatino Linotype" w:cs="Palatino Linotype"/>
          <w:color w:val="000000"/>
        </w:rPr>
        <w:t xml:space="preserve">se presume que, </w:t>
      </w:r>
      <w:r w:rsidRPr="00E4092B">
        <w:rPr>
          <w:rFonts w:ascii="Palatino Linotype" w:eastAsia="Palatino Linotype" w:hAnsi="Palatino Linotype" w:cs="Palatino Linotype"/>
          <w:b/>
          <w:bCs/>
        </w:rPr>
        <w:t>al haber existido un pronunciamiento por parte del SUJETO OBLIGADO y modificar la respuesta a través del informe justificado,</w:t>
      </w:r>
      <w:r w:rsidRPr="00E4092B">
        <w:rPr>
          <w:rFonts w:ascii="Palatino Linotype" w:eastAsia="Palatino Linotype" w:hAnsi="Palatino Linotype" w:cs="Palatino Linotype"/>
        </w:rPr>
        <w:t xml:space="preserve"> </w:t>
      </w:r>
      <w:r w:rsidRPr="00E4092B">
        <w:rPr>
          <w:rFonts w:ascii="Palatino Linotype" w:eastAsia="Palatino Linotype" w:hAnsi="Palatino Linotype" w:cs="Palatino Linotype"/>
          <w:b/>
          <w:bCs/>
        </w:rPr>
        <w:t>asimismo,</w:t>
      </w:r>
      <w:r w:rsidRPr="00E4092B">
        <w:rPr>
          <w:rFonts w:ascii="Palatino Linotype" w:eastAsia="Palatino Linotype" w:hAnsi="Palatino Linotype" w:cs="Palatino Linotype"/>
        </w:rPr>
        <w:t xml:space="preserve"> </w:t>
      </w:r>
      <w:r w:rsidRPr="00E4092B">
        <w:rPr>
          <w:rFonts w:ascii="Palatino Linotype" w:eastAsia="Palatino Linotype" w:hAnsi="Palatino Linotype" w:cs="Palatino Linotype"/>
          <w:b/>
          <w:bCs/>
        </w:rPr>
        <w:t>atender el requerimiento del Particular,</w:t>
      </w:r>
      <w:r w:rsidRPr="00E4092B">
        <w:rPr>
          <w:rFonts w:ascii="Palatino Linotype" w:eastAsia="Palatino Linotype" w:hAnsi="Palatino Linotype" w:cs="Palatino Linotype"/>
        </w:rPr>
        <w:t xml:space="preserve"> este Instituto no está facultado para manifestarse sobre la veracidad, pues no existe precepto legal alguno en la Ley de la materia que lo faculte para que, vía recurso de revisión, pueda pronunciarse al respecto.</w:t>
      </w:r>
    </w:p>
    <w:p w:rsidR="00855AFD" w:rsidRPr="00E4092B" w:rsidRDefault="00855AFD">
      <w:pPr>
        <w:ind w:right="1"/>
        <w:rPr>
          <w:rFonts w:ascii="Palatino Linotype" w:eastAsia="Palatino Linotype" w:hAnsi="Palatino Linotype" w:cs="Palatino Linotype"/>
          <w:color w:val="000000"/>
        </w:rPr>
      </w:pPr>
    </w:p>
    <w:p w:rsidR="00855AFD" w:rsidRPr="00E4092B" w:rsidRDefault="003554BF">
      <w:pPr>
        <w:numPr>
          <w:ilvl w:val="0"/>
          <w:numId w:val="5"/>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b/>
          <w:bCs/>
          <w:color w:val="000000"/>
        </w:rPr>
      </w:pPr>
      <w:r w:rsidRPr="00E4092B">
        <w:rPr>
          <w:rFonts w:ascii="Palatino Linotype" w:eastAsia="Palatino Linotype" w:hAnsi="Palatino Linotype" w:cs="Palatino Linotype"/>
          <w:color w:val="000000"/>
        </w:rPr>
        <w:t xml:space="preserve">Así, este Pleno advierte que el </w:t>
      </w:r>
      <w:r w:rsidRPr="00E4092B">
        <w:rPr>
          <w:rFonts w:ascii="Palatino Linotype" w:eastAsia="Palatino Linotype" w:hAnsi="Palatino Linotype" w:cs="Palatino Linotype"/>
          <w:b/>
          <w:bCs/>
          <w:color w:val="000000"/>
        </w:rPr>
        <w:t>SUJETO OBLIGADO</w:t>
      </w:r>
      <w:r w:rsidRPr="00E4092B">
        <w:rPr>
          <w:rFonts w:ascii="Palatino Linotype" w:eastAsia="Palatino Linotype" w:hAnsi="Palatino Linotype" w:cs="Palatino Linotype"/>
          <w:color w:val="000000"/>
        </w:rPr>
        <w:t xml:space="preserve"> </w:t>
      </w:r>
      <w:r w:rsidRPr="00E4092B">
        <w:rPr>
          <w:rFonts w:ascii="Palatino Linotype" w:eastAsia="Palatino Linotype" w:hAnsi="Palatino Linotype" w:cs="Palatino Linotype"/>
          <w:b/>
          <w:bCs/>
          <w:color w:val="000000"/>
        </w:rPr>
        <w:t xml:space="preserve">modificó </w:t>
      </w:r>
      <w:r w:rsidRPr="00E4092B">
        <w:rPr>
          <w:rFonts w:ascii="Palatino Linotype" w:eastAsia="Palatino Linotype" w:hAnsi="Palatino Linotype" w:cs="Palatino Linotype"/>
          <w:color w:val="000000"/>
        </w:rPr>
        <w:t>el acto que le dio origen al recurso de revisión, lo que trae como consecuencia que el mismo quede sin materia, actualizándose de este modo, la hipótesis jurídica contenida en la fracción III del artículo 192 de la Ley de Transparencia Local.</w:t>
      </w:r>
    </w:p>
    <w:p w:rsidR="00855AFD" w:rsidRPr="00E4092B" w:rsidRDefault="00855AFD">
      <w:pPr>
        <w:pBdr>
          <w:top w:val="nil"/>
          <w:left w:val="nil"/>
          <w:bottom w:val="nil"/>
          <w:right w:val="nil"/>
          <w:between w:val="nil"/>
        </w:pBdr>
        <w:ind w:right="1"/>
        <w:rPr>
          <w:rFonts w:ascii="Palatino Linotype" w:eastAsia="Palatino Linotype" w:hAnsi="Palatino Linotype" w:cs="Palatino Linotype"/>
          <w:color w:val="000000"/>
        </w:rPr>
      </w:pPr>
    </w:p>
    <w:p w:rsidR="00855AFD" w:rsidRPr="00E4092B" w:rsidRDefault="003554BF">
      <w:pPr>
        <w:numPr>
          <w:ilvl w:val="0"/>
          <w:numId w:val="5"/>
        </w:numPr>
        <w:spacing w:line="360" w:lineRule="auto"/>
        <w:ind w:left="0" w:right="1" w:firstLine="0"/>
        <w:jc w:val="both"/>
        <w:rPr>
          <w:rFonts w:ascii="Palatino Linotype" w:eastAsia="Palatino Linotype" w:hAnsi="Palatino Linotype" w:cs="Palatino Linotype"/>
          <w:b/>
          <w:bCs/>
        </w:rPr>
      </w:pPr>
      <w:r w:rsidRPr="00E4092B">
        <w:rPr>
          <w:rFonts w:ascii="Palatino Linotype" w:eastAsia="Palatino Linotype" w:hAnsi="Palatino Linotype" w:cs="Palatino Linotype"/>
        </w:rPr>
        <w:t xml:space="preserve">Por lo tanto, bajo los principios de certeza, eficacia y objetividad, establecidos en el artículo 9 de la Ley de Transparencia y Acceso a la Información Pública del Estado de México y Municipios, y derivado de que la información requerida corresponde con atribuciones de un Sujeto Obligado distinto al que le fue presentada la solicitud, como ya fue establecido, se dejan a salvo los derechos de la parte </w:t>
      </w:r>
      <w:r w:rsidRPr="00E4092B">
        <w:rPr>
          <w:rFonts w:ascii="Palatino Linotype" w:eastAsia="Palatino Linotype" w:hAnsi="Palatino Linotype" w:cs="Palatino Linotype"/>
          <w:b/>
          <w:bCs/>
        </w:rPr>
        <w:t>RECURRENTE</w:t>
      </w:r>
      <w:r w:rsidRPr="00E4092B">
        <w:rPr>
          <w:rFonts w:ascii="Palatino Linotype" w:eastAsia="Palatino Linotype" w:hAnsi="Palatino Linotype" w:cs="Palatino Linotype"/>
        </w:rPr>
        <w:t xml:space="preserve"> para que pueda realizar la solicitud de información ante el Sujeto Obligado correspondiente.</w:t>
      </w:r>
    </w:p>
    <w:p w:rsidR="00855AFD" w:rsidRPr="00E4092B" w:rsidRDefault="00855AFD">
      <w:pPr>
        <w:spacing w:line="360" w:lineRule="auto"/>
        <w:ind w:right="1"/>
        <w:jc w:val="both"/>
        <w:rPr>
          <w:rFonts w:ascii="Palatino Linotype" w:eastAsia="Palatino Linotype" w:hAnsi="Palatino Linotype" w:cs="Palatino Linotype"/>
          <w:b/>
          <w:bCs/>
        </w:rPr>
      </w:pPr>
    </w:p>
    <w:p w:rsidR="00855AFD" w:rsidRPr="00E4092B" w:rsidRDefault="003554BF">
      <w:pPr>
        <w:numPr>
          <w:ilvl w:val="0"/>
          <w:numId w:val="5"/>
        </w:numPr>
        <w:spacing w:line="360" w:lineRule="auto"/>
        <w:ind w:left="0" w:right="1" w:firstLine="0"/>
        <w:jc w:val="both"/>
        <w:rPr>
          <w:rFonts w:ascii="Palatino Linotype" w:eastAsia="Palatino Linotype" w:hAnsi="Palatino Linotype" w:cs="Palatino Linotype"/>
          <w:b/>
          <w:bCs/>
        </w:rPr>
      </w:pPr>
      <w:r w:rsidRPr="00E4092B">
        <w:rPr>
          <w:rFonts w:ascii="Palatino Linotype" w:eastAsia="Palatino Linotype" w:hAnsi="Palatino Linotype" w:cs="Palatino Linotype"/>
          <w:color w:val="000000"/>
        </w:rPr>
        <w:t xml:space="preserve">Ahora bien, </w:t>
      </w:r>
      <w:r w:rsidRPr="00E4092B">
        <w:rPr>
          <w:rFonts w:ascii="Palatino Linotype" w:eastAsia="Palatino Linotype" w:hAnsi="Palatino Linotype" w:cs="Palatino Linotype"/>
        </w:rPr>
        <w:t xml:space="preserve">el sistema de medios de impugnación en esta materia se centra en el análisis de los agravios o motivos de inconformidad, los que deben tener relación directa con el acto de autoridad que lo motiva. En consecuencia, los motivos de la inconformidad deben versar sobre </w:t>
      </w:r>
      <w:r w:rsidRPr="00E4092B">
        <w:rPr>
          <w:rFonts w:ascii="Palatino Linotype" w:eastAsia="Palatino Linotype" w:hAnsi="Palatino Linotype" w:cs="Palatino Linotype"/>
        </w:rPr>
        <w:lastRenderedPageBreak/>
        <w:t>la respuesta de información proporcionada por los Sujetos Obligados o la negativa de entrega de esta, derivada de la solicitud de información pública.</w:t>
      </w:r>
    </w:p>
    <w:p w:rsidR="00855AFD" w:rsidRPr="00E4092B" w:rsidRDefault="00855AFD">
      <w:pPr>
        <w:spacing w:line="360" w:lineRule="auto"/>
        <w:ind w:right="1"/>
        <w:jc w:val="both"/>
        <w:rPr>
          <w:rFonts w:ascii="Palatino Linotype" w:eastAsia="Palatino Linotype" w:hAnsi="Palatino Linotype" w:cs="Palatino Linotype"/>
          <w:b/>
          <w:bCs/>
        </w:rPr>
      </w:pPr>
    </w:p>
    <w:p w:rsidR="00855AFD" w:rsidRPr="00E4092B" w:rsidRDefault="003554BF">
      <w:pPr>
        <w:numPr>
          <w:ilvl w:val="0"/>
          <w:numId w:val="5"/>
        </w:numPr>
        <w:spacing w:line="360" w:lineRule="auto"/>
        <w:ind w:left="0" w:right="1" w:firstLine="0"/>
        <w:jc w:val="both"/>
        <w:rPr>
          <w:rFonts w:ascii="Palatino Linotype" w:eastAsia="Palatino Linotype" w:hAnsi="Palatino Linotype" w:cs="Palatino Linotype"/>
          <w:b/>
          <w:bCs/>
        </w:rPr>
      </w:pPr>
      <w:r w:rsidRPr="00E4092B">
        <w:rPr>
          <w:rFonts w:ascii="Palatino Linotype" w:eastAsia="Palatino Linotype" w:hAnsi="Palatino Linotype" w:cs="Palatino Linotype"/>
          <w:color w:val="000000"/>
        </w:rPr>
        <w:t xml:space="preserve">De </w:t>
      </w:r>
      <w:r w:rsidRPr="00E4092B">
        <w:rPr>
          <w:rFonts w:ascii="Palatino Linotype" w:eastAsia="Palatino Linotype" w:hAnsi="Palatino Linotype" w:cs="Palatino Linotype"/>
        </w:rPr>
        <w:t xml:space="preserve">este modo, cuando el </w:t>
      </w:r>
      <w:r w:rsidRPr="00E4092B">
        <w:rPr>
          <w:rFonts w:ascii="Palatino Linotype" w:eastAsia="Palatino Linotype" w:hAnsi="Palatino Linotype" w:cs="Palatino Linotype"/>
          <w:b/>
          <w:bCs/>
        </w:rPr>
        <w:t xml:space="preserve">SUJETO OBLIGADO, </w:t>
      </w:r>
      <w:r w:rsidRPr="00E4092B">
        <w:rPr>
          <w:rFonts w:ascii="Palatino Linotype" w:eastAsia="Palatino Linotype" w:hAnsi="Palatino Linotype" w:cs="Palatino Linotype"/>
        </w:rPr>
        <w:t xml:space="preserve">antes de que se dicte resolución definitiva, entrega la información solicitada o completa la información que en un primer momento fue incompleta o no correspondió con lo solicitado; el recurso de revisión que al efecto se haya interpuesto queda sin materia lo que imposibilita el estudio de fondo de la </w:t>
      </w:r>
      <w:r w:rsidRPr="00E4092B">
        <w:rPr>
          <w:rFonts w:ascii="Palatino Linotype" w:eastAsia="Palatino Linotype" w:hAnsi="Palatino Linotype" w:cs="Palatino Linotype"/>
          <w:i/>
          <w:iCs/>
        </w:rPr>
        <w:t>litis</w:t>
      </w:r>
      <w:r w:rsidRPr="00E4092B">
        <w:rPr>
          <w:rFonts w:ascii="Palatino Linotype" w:eastAsia="Palatino Linotype" w:hAnsi="Palatino Linotype" w:cs="Palatino Linotype"/>
        </w:rPr>
        <w:t xml:space="preserve"> planteada, debido a que la afectación en su esfera de derechos fue restituida por la propia autoridad que emitió el acto motivo de impugnación.</w:t>
      </w:r>
    </w:p>
    <w:p w:rsidR="00855AFD" w:rsidRPr="00E4092B" w:rsidRDefault="00855AFD">
      <w:pPr>
        <w:spacing w:line="360" w:lineRule="auto"/>
        <w:ind w:right="1"/>
        <w:jc w:val="both"/>
        <w:rPr>
          <w:rFonts w:ascii="Palatino Linotype" w:eastAsia="Palatino Linotype" w:hAnsi="Palatino Linotype" w:cs="Palatino Linotype"/>
          <w:b/>
          <w:bCs/>
        </w:rPr>
      </w:pPr>
    </w:p>
    <w:p w:rsidR="00855AFD" w:rsidRPr="00E4092B" w:rsidRDefault="003554BF">
      <w:pPr>
        <w:numPr>
          <w:ilvl w:val="0"/>
          <w:numId w:val="5"/>
        </w:numPr>
        <w:spacing w:line="360" w:lineRule="auto"/>
        <w:ind w:left="0" w:right="1" w:firstLine="0"/>
        <w:jc w:val="both"/>
        <w:rPr>
          <w:rFonts w:ascii="Palatino Linotype" w:eastAsia="Palatino Linotype" w:hAnsi="Palatino Linotype" w:cs="Palatino Linotype"/>
          <w:b/>
          <w:bCs/>
        </w:rPr>
      </w:pPr>
      <w:r w:rsidRPr="00E4092B">
        <w:rPr>
          <w:rFonts w:ascii="Palatino Linotype" w:eastAsia="Palatino Linotype" w:hAnsi="Palatino Linotype" w:cs="Palatino Linotype"/>
          <w:color w:val="000000"/>
        </w:rPr>
        <w:t xml:space="preserve">Sirve </w:t>
      </w:r>
      <w:r w:rsidRPr="00E4092B">
        <w:rPr>
          <w:rFonts w:ascii="Palatino Linotype" w:eastAsia="Palatino Linotype" w:hAnsi="Palatino Linotype" w:cs="Palatino Linotype"/>
        </w:rPr>
        <w:t>de sustento a lo anterior la siguiente jurisprudencia por contradicción, cuyo rubro, texto y datos de identificación son los siguientes:</w:t>
      </w:r>
    </w:p>
    <w:p w:rsidR="00855AFD" w:rsidRPr="00E4092B" w:rsidRDefault="003554BF">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iCs/>
          <w:color w:val="000000"/>
        </w:rPr>
      </w:pPr>
      <w:r w:rsidRPr="00E4092B">
        <w:rPr>
          <w:rFonts w:ascii="Palatino Linotype" w:eastAsia="Palatino Linotype" w:hAnsi="Palatino Linotype" w:cs="Palatino Linotype"/>
          <w:b/>
          <w:bCs/>
          <w:i/>
          <w:iCs/>
          <w:color w:val="000000"/>
        </w:rPr>
        <w:t>CESACIÓN DE EFECTOS DEL ACTO RECLAMADO POR VIOLACIÓN AL ARTÍCULO 8o. DE LA CONSTITUCIÓN POLÍTICA DE LOS ESTADOS UNIDOS MEXICANOS. OPERA CUANDO LA AUTORIDAD RESPONSABLE AL RENDIR SU INFORME JUSTIFICADO EXHIBE LA CONTESTACIÓN A LA PETICIÓN FORMULADA, QUEDANDO EXPEDITOS LOS DERECHOS DEL QUEJOSO PARA AMPLIAR SU DEMANDA INICIAL, PROMOVER OTRO JUICIO DE AMPARO O EL MEDIO ORDINARIO DE DEFENSA QUE PROCEDA.</w:t>
      </w:r>
      <w:r w:rsidRPr="00E4092B">
        <w:rPr>
          <w:rFonts w:ascii="Palatino Linotype" w:eastAsia="Palatino Linotype" w:hAnsi="Palatino Linotype" w:cs="Palatino Linotype"/>
          <w:i/>
          <w:iCs/>
          <w:color w:val="000000"/>
        </w:rPr>
        <w:t xml:space="preserve"> De la interpretación de los artículos 73, fracción XVI y 80 de la Ley de Amparo, se concluye que la causa de improcedencia del juicio de garantías consistente en la cesación de efectos del acto reclamado, se actualiza cuando ante la insubsistencia del mismo, todos sus efectos desaparecen o se destruyen de forma inmediata, total e incondicionalmente, de manera que las cosas vuelvan al estado que tenían antes de la violación constitucional. Ahora bien, el hecho de que la autoridad responsable al rendir su informe justificado exhiba la respuesta expresa a la petición de la parte quejosa, producida durante la tramitación del juicio de amparo, significa, por una parte, que los efectos de la falta de contestación desaparecieron, de manera que las cosas volvieron al estado que tenían antes de la violación al artículo 8o. de la Constitución Política de los Estados Unidos Mexicanos, y por otra, que respecto del contenido de dicha </w:t>
      </w:r>
      <w:r w:rsidRPr="00E4092B">
        <w:rPr>
          <w:rFonts w:ascii="Palatino Linotype" w:eastAsia="Palatino Linotype" w:hAnsi="Palatino Linotype" w:cs="Palatino Linotype"/>
          <w:i/>
          <w:iCs/>
          <w:color w:val="000000"/>
        </w:rPr>
        <w:lastRenderedPageBreak/>
        <w:t>contestación, el quejoso puede ampliar su demanda inicial, promover otro juicio de amparo o el medio ordinario de defensa que proceda, toda vez que se trata de un nuevo acto.</w:t>
      </w:r>
    </w:p>
    <w:p w:rsidR="00855AFD" w:rsidRPr="00E4092B" w:rsidRDefault="00855AFD">
      <w:pPr>
        <w:spacing w:line="360" w:lineRule="auto"/>
        <w:ind w:right="1"/>
        <w:jc w:val="both"/>
        <w:rPr>
          <w:rFonts w:ascii="Palatino Linotype" w:eastAsia="Palatino Linotype" w:hAnsi="Palatino Linotype" w:cs="Palatino Linotype"/>
          <w:b/>
          <w:bCs/>
        </w:rPr>
      </w:pPr>
    </w:p>
    <w:p w:rsidR="00855AFD" w:rsidRPr="00E4092B" w:rsidRDefault="003554BF">
      <w:pPr>
        <w:numPr>
          <w:ilvl w:val="0"/>
          <w:numId w:val="5"/>
        </w:numPr>
        <w:spacing w:line="360" w:lineRule="auto"/>
        <w:ind w:left="0" w:right="1" w:firstLine="0"/>
        <w:jc w:val="both"/>
        <w:rPr>
          <w:rFonts w:ascii="Palatino Linotype" w:eastAsia="Palatino Linotype" w:hAnsi="Palatino Linotype" w:cs="Palatino Linotype"/>
          <w:b/>
          <w:bCs/>
        </w:rPr>
      </w:pPr>
      <w:r w:rsidRPr="00E4092B">
        <w:rPr>
          <w:rFonts w:ascii="Palatino Linotype" w:eastAsia="Palatino Linotype" w:hAnsi="Palatino Linotype" w:cs="Palatino Linotype"/>
          <w:color w:val="000000"/>
        </w:rPr>
        <w:t xml:space="preserve">La </w:t>
      </w:r>
      <w:r w:rsidRPr="00E4092B">
        <w:rPr>
          <w:rFonts w:ascii="Palatino Linotype" w:eastAsia="Palatino Linotype" w:hAnsi="Palatino Linotype" w:cs="Palatino Linotype"/>
        </w:rPr>
        <w:t>anterior jurisprudencia resulta aplicable al presente asunto, en dos aspectos:</w:t>
      </w:r>
    </w:p>
    <w:p w:rsidR="00855AFD" w:rsidRPr="00E4092B" w:rsidRDefault="003554BF">
      <w:pPr>
        <w:numPr>
          <w:ilvl w:val="0"/>
          <w:numId w:val="4"/>
        </w:numPr>
        <w:ind w:left="567" w:right="616" w:firstLine="0"/>
        <w:jc w:val="both"/>
        <w:rPr>
          <w:rFonts w:ascii="Palatino Linotype" w:eastAsia="Palatino Linotype" w:hAnsi="Palatino Linotype" w:cs="Palatino Linotype"/>
        </w:rPr>
      </w:pPr>
      <w:r w:rsidRPr="00E4092B">
        <w:rPr>
          <w:rFonts w:ascii="Palatino Linotype" w:eastAsia="Palatino Linotype" w:hAnsi="Palatino Linotype" w:cs="Palatino Linotype"/>
          <w:b/>
          <w:bCs/>
        </w:rPr>
        <w:t>La cesación de los efectos perniciosos del acto de autoridad:</w:t>
      </w:r>
      <w:r w:rsidRPr="00E4092B">
        <w:rPr>
          <w:rFonts w:ascii="Palatino Linotype" w:eastAsia="Palatino Linotype" w:hAnsi="Palatino Linotype" w:cs="Palatino Linotype"/>
        </w:rPr>
        <w:t xml:space="preserve"> Al respecto, la Ley de Transparencia contempla la figura jurídica del sobreseimiento cuando el </w:t>
      </w:r>
      <w:r w:rsidRPr="00E4092B">
        <w:rPr>
          <w:rFonts w:ascii="Palatino Linotype" w:eastAsia="Palatino Linotype" w:hAnsi="Palatino Linotype" w:cs="Palatino Linotype"/>
          <w:b/>
          <w:bCs/>
        </w:rPr>
        <w:t>SUJETO OBLIGADO</w:t>
      </w:r>
      <w:r w:rsidRPr="00E4092B">
        <w:rPr>
          <w:rFonts w:ascii="Palatino Linotype" w:eastAsia="Palatino Linotype" w:hAnsi="Palatino Linotype" w:cs="Palatino Linotype"/>
        </w:rPr>
        <w:t xml:space="preserve"> de </w:t>
      </w:r>
      <w:r w:rsidRPr="00E4092B">
        <w:rPr>
          <w:rFonts w:ascii="Palatino Linotype" w:eastAsia="Palatino Linotype" w:hAnsi="Palatino Linotype" w:cs="Palatino Linotype"/>
          <w:i/>
          <w:iCs/>
        </w:rPr>
        <w:t>motu proprio</w:t>
      </w:r>
      <w:r w:rsidRPr="00E4092B">
        <w:rPr>
          <w:rFonts w:ascii="Palatino Linotype" w:eastAsia="Palatino Linotype" w:hAnsi="Palatino Linotype" w:cs="Palatino Linotype"/>
        </w:rPr>
        <w:t xml:space="preserve"> modifica o revoca de tal manera el acto motivo de la impugnación que lo deja sin materia; es decir, cesan los efectos de éste y el derecho de acceso a la información pública se encuentra satisfecho.</w:t>
      </w:r>
    </w:p>
    <w:p w:rsidR="00855AFD" w:rsidRPr="00E4092B" w:rsidRDefault="00855AFD">
      <w:pPr>
        <w:ind w:left="567" w:right="616"/>
        <w:rPr>
          <w:rFonts w:ascii="Palatino Linotype" w:eastAsia="Palatino Linotype" w:hAnsi="Palatino Linotype" w:cs="Palatino Linotype"/>
        </w:rPr>
      </w:pPr>
    </w:p>
    <w:p w:rsidR="00855AFD" w:rsidRPr="00E4092B" w:rsidRDefault="003554BF">
      <w:pPr>
        <w:numPr>
          <w:ilvl w:val="0"/>
          <w:numId w:val="4"/>
        </w:numPr>
        <w:ind w:left="567" w:right="616" w:firstLine="0"/>
        <w:jc w:val="both"/>
        <w:rPr>
          <w:rFonts w:ascii="Palatino Linotype" w:eastAsia="Palatino Linotype" w:hAnsi="Palatino Linotype" w:cs="Palatino Linotype"/>
        </w:rPr>
      </w:pPr>
      <w:r w:rsidRPr="00E4092B">
        <w:rPr>
          <w:rFonts w:ascii="Palatino Linotype" w:eastAsia="Palatino Linotype" w:hAnsi="Palatino Linotype" w:cs="Palatino Linotype"/>
          <w:b/>
          <w:bCs/>
        </w:rPr>
        <w:t>El momento procesal para modificar el acto impugnado:</w:t>
      </w:r>
      <w:r w:rsidRPr="00E4092B">
        <w:rPr>
          <w:rFonts w:ascii="Palatino Linotype" w:eastAsia="Palatino Linotype" w:hAnsi="Palatino Linotype" w:cs="Palatino Linotype"/>
        </w:rPr>
        <w:t xml:space="preserve"> Para que se actualice el sobreseimiento de un recurso de revisión, el </w:t>
      </w:r>
      <w:r w:rsidRPr="00E4092B">
        <w:rPr>
          <w:rFonts w:ascii="Palatino Linotype" w:eastAsia="Palatino Linotype" w:hAnsi="Palatino Linotype" w:cs="Palatino Linotype"/>
          <w:b/>
          <w:bCs/>
        </w:rPr>
        <w:t>SUJETO OBLIGADO</w:t>
      </w:r>
      <w:r w:rsidRPr="00E4092B">
        <w:rPr>
          <w:rFonts w:ascii="Palatino Linotype" w:eastAsia="Palatino Linotype" w:hAnsi="Palatino Linotype" w:cs="Palatino Linotype"/>
        </w:rPr>
        <w:t xml:space="preserve"> puede entregar o completar la información al momento de rendir su informe de justificación o </w:t>
      </w:r>
      <w:r w:rsidRPr="00E4092B">
        <w:rPr>
          <w:rFonts w:ascii="Palatino Linotype" w:eastAsia="Palatino Linotype" w:hAnsi="Palatino Linotype" w:cs="Palatino Linotype"/>
          <w:b/>
          <w:bCs/>
          <w:u w:val="single"/>
        </w:rPr>
        <w:t>posteriormente</w:t>
      </w:r>
      <w:r w:rsidRPr="00E4092B">
        <w:rPr>
          <w:rFonts w:ascii="Palatino Linotype" w:eastAsia="Palatino Linotype" w:hAnsi="Palatino Linotype" w:cs="Palatino Linotype"/>
        </w:rPr>
        <w:t xml:space="preserve"> a éste, siempre y cuando el Pleno del Instituto no haya dictado resolución definitiva.</w:t>
      </w:r>
    </w:p>
    <w:p w:rsidR="00855AFD" w:rsidRPr="00E4092B" w:rsidRDefault="00855AFD">
      <w:pPr>
        <w:spacing w:line="360" w:lineRule="auto"/>
        <w:ind w:right="1"/>
        <w:jc w:val="both"/>
        <w:rPr>
          <w:rFonts w:ascii="Palatino Linotype" w:eastAsia="Palatino Linotype" w:hAnsi="Palatino Linotype" w:cs="Palatino Linotype"/>
          <w:b/>
          <w:bCs/>
        </w:rPr>
      </w:pPr>
    </w:p>
    <w:p w:rsidR="00855AFD" w:rsidRPr="00E4092B" w:rsidRDefault="003554BF">
      <w:pPr>
        <w:numPr>
          <w:ilvl w:val="0"/>
          <w:numId w:val="5"/>
        </w:numPr>
        <w:spacing w:line="360" w:lineRule="auto"/>
        <w:ind w:left="0" w:right="1" w:firstLine="0"/>
        <w:jc w:val="both"/>
        <w:rPr>
          <w:rFonts w:ascii="Palatino Linotype" w:eastAsia="Palatino Linotype" w:hAnsi="Palatino Linotype" w:cs="Palatino Linotype"/>
          <w:b/>
          <w:bCs/>
        </w:rPr>
      </w:pPr>
      <w:r w:rsidRPr="00E4092B">
        <w:rPr>
          <w:rFonts w:ascii="Palatino Linotype" w:eastAsia="Palatino Linotype" w:hAnsi="Palatino Linotype" w:cs="Palatino Linotype"/>
          <w:color w:val="000000"/>
        </w:rPr>
        <w:t xml:space="preserve">Eduardo Pallares, </w:t>
      </w:r>
      <w:r w:rsidRPr="00E4092B">
        <w:rPr>
          <w:rFonts w:ascii="Palatino Linotype" w:eastAsia="Palatino Linotype" w:hAnsi="Palatino Linotype" w:cs="Palatino Linotype"/>
        </w:rPr>
        <w:t xml:space="preserve">en su artículo </w:t>
      </w:r>
      <w:r w:rsidRPr="00E4092B">
        <w:rPr>
          <w:rFonts w:ascii="Palatino Linotype" w:eastAsia="Palatino Linotype" w:hAnsi="Palatino Linotype" w:cs="Palatino Linotype"/>
          <w:i/>
          <w:iCs/>
        </w:rPr>
        <w:t>“La caducidad y el sobreseimiento en el amparo”</w:t>
      </w:r>
      <w:r w:rsidRPr="00E4092B">
        <w:rPr>
          <w:rFonts w:ascii="Palatino Linotype" w:eastAsia="Palatino Linotype" w:hAnsi="Palatino Linotype" w:cs="Palatino Linotype"/>
        </w:rPr>
        <w:t xml:space="preserve">, cita la definición de Aguilera Paz, aduciendo que se </w:t>
      </w:r>
      <w:r w:rsidRPr="00E4092B">
        <w:rPr>
          <w:rFonts w:ascii="Palatino Linotype" w:eastAsia="Palatino Linotype" w:hAnsi="Palatino Linotype" w:cs="Palatino Linotype"/>
          <w:i/>
          <w:iCs/>
        </w:rPr>
        <w:t>“...entiende por sobreseimiento en el tecnicismo forense, el hecho de cesar en el procedimiento o curso de la causa, por no existir méritos bastantes para entrar en un juicio o para entablar la contienda judicial que debe ser objeto del mismo...”</w:t>
      </w:r>
      <w:r w:rsidRPr="00E4092B">
        <w:rPr>
          <w:rFonts w:ascii="Palatino Linotype" w:eastAsia="Palatino Linotype" w:hAnsi="Palatino Linotype" w:cs="Palatino Linotype"/>
        </w:rPr>
        <w:t>. Asimismo, señala que existe el sobreseimiento provisional y el definitivo</w:t>
      </w:r>
      <w:r w:rsidRPr="00E4092B">
        <w:rPr>
          <w:rFonts w:ascii="Palatino Linotype" w:eastAsia="Palatino Linotype" w:hAnsi="Palatino Linotype" w:cs="Palatino Linotype"/>
          <w:i/>
          <w:iCs/>
        </w:rPr>
        <w:t>: “...el definitivo es una verdadera sentencia que pone fin al juicio, y que una vez dictada, produce cosa juzgada, mientras que el provisorio tiene por efectos suspender la prosecución de la causa...”</w:t>
      </w:r>
    </w:p>
    <w:p w:rsidR="00855AFD" w:rsidRPr="00E4092B" w:rsidRDefault="00855AFD">
      <w:pPr>
        <w:spacing w:line="360" w:lineRule="auto"/>
        <w:ind w:right="1"/>
        <w:jc w:val="both"/>
        <w:rPr>
          <w:rFonts w:ascii="Palatino Linotype" w:eastAsia="Palatino Linotype" w:hAnsi="Palatino Linotype" w:cs="Palatino Linotype"/>
          <w:b/>
          <w:bCs/>
        </w:rPr>
      </w:pPr>
    </w:p>
    <w:p w:rsidR="00855AFD" w:rsidRPr="00E4092B" w:rsidRDefault="003554BF">
      <w:pPr>
        <w:numPr>
          <w:ilvl w:val="0"/>
          <w:numId w:val="5"/>
        </w:numPr>
        <w:spacing w:line="360" w:lineRule="auto"/>
        <w:ind w:left="0" w:right="1" w:firstLine="0"/>
        <w:jc w:val="both"/>
        <w:rPr>
          <w:rFonts w:ascii="Palatino Linotype" w:eastAsia="Palatino Linotype" w:hAnsi="Palatino Linotype" w:cs="Palatino Linotype"/>
          <w:b/>
          <w:bCs/>
        </w:rPr>
      </w:pPr>
      <w:r w:rsidRPr="00E4092B">
        <w:rPr>
          <w:rFonts w:ascii="Palatino Linotype" w:eastAsia="Palatino Linotype" w:hAnsi="Palatino Linotype" w:cs="Palatino Linotype"/>
          <w:color w:val="000000"/>
        </w:rPr>
        <w:t xml:space="preserve">Así, </w:t>
      </w:r>
      <w:r w:rsidRPr="00E4092B">
        <w:rPr>
          <w:rFonts w:ascii="Palatino Linotype" w:eastAsia="Palatino Linotype" w:hAnsi="Palatino Linotype" w:cs="Palatino Linotype"/>
        </w:rPr>
        <w:t xml:space="preserve">para la doctrina el sobreseimiento provoca que un procedimiento se suspenda o se resuelva en definitiva </w:t>
      </w:r>
      <w:r w:rsidRPr="00E4092B">
        <w:rPr>
          <w:rFonts w:ascii="Palatino Linotype" w:eastAsia="Palatino Linotype" w:hAnsi="Palatino Linotype" w:cs="Palatino Linotype"/>
          <w:b/>
          <w:bCs/>
          <w:u w:val="single"/>
        </w:rPr>
        <w:t xml:space="preserve">sin que se entre al estudio de los agravios o motivos de inconformidad. </w:t>
      </w:r>
      <w:r w:rsidRPr="00E4092B">
        <w:rPr>
          <w:rFonts w:ascii="Palatino Linotype" w:eastAsia="Palatino Linotype" w:hAnsi="Palatino Linotype" w:cs="Palatino Linotype"/>
        </w:rPr>
        <w:t>Este mismo criterio es compartido por el más alto tribunal del país en múltiples jurisprudencias, por lo que a continuación se agrega una de ellas que sirve como orientador en esta resolución:</w:t>
      </w:r>
    </w:p>
    <w:p w:rsidR="00855AFD" w:rsidRPr="00E4092B" w:rsidRDefault="003554BF">
      <w:pPr>
        <w:ind w:left="567" w:right="565"/>
        <w:jc w:val="both"/>
        <w:rPr>
          <w:rFonts w:ascii="Palatino Linotype" w:eastAsia="Palatino Linotype" w:hAnsi="Palatino Linotype" w:cs="Palatino Linotype"/>
          <w:i/>
          <w:iCs/>
        </w:rPr>
      </w:pPr>
      <w:r w:rsidRPr="00E4092B">
        <w:rPr>
          <w:rFonts w:ascii="Palatino Linotype" w:eastAsia="Palatino Linotype" w:hAnsi="Palatino Linotype" w:cs="Palatino Linotype"/>
          <w:b/>
          <w:bCs/>
          <w:i/>
          <w:iCs/>
        </w:rPr>
        <w:lastRenderedPageBreak/>
        <w:t>SOBRESEIMIENTO EN EL JUICIO DE AMPARO DIRECTO. IMPIDE EL ESTUDIO DE LAS VIOLACIONES PROCESALES PLANTEADAS EN LOS CONCEPTOS DE VIOLACIÓN. El sobreseimiento</w:t>
      </w:r>
      <w:r w:rsidRPr="00E4092B">
        <w:rPr>
          <w:rFonts w:ascii="Palatino Linotype" w:eastAsia="Palatino Linotype" w:hAnsi="Palatino Linotype" w:cs="Palatino Linotype"/>
          <w:i/>
          <w:iCs/>
        </w:rPr>
        <w:t xml:space="preserve"> en el juicio de amparo directo </w:t>
      </w:r>
      <w:r w:rsidRPr="00E4092B">
        <w:rPr>
          <w:rFonts w:ascii="Palatino Linotype" w:eastAsia="Palatino Linotype" w:hAnsi="Palatino Linotype" w:cs="Palatino Linotype"/>
          <w:b/>
          <w:bCs/>
          <w:i/>
          <w:iCs/>
        </w:rPr>
        <w:t>provoca la terminación de la controversia planteada</w:t>
      </w:r>
      <w:r w:rsidRPr="00E4092B">
        <w:rPr>
          <w:rFonts w:ascii="Palatino Linotype" w:eastAsia="Palatino Linotype" w:hAnsi="Palatino Linotype" w:cs="Palatino Linotype"/>
          <w:i/>
          <w:iCs/>
        </w:rPr>
        <w:t xml:space="preserve"> por el quejoso en la demanda de amparo</w:t>
      </w:r>
      <w:r w:rsidRPr="00E4092B">
        <w:rPr>
          <w:rFonts w:ascii="Palatino Linotype" w:eastAsia="Palatino Linotype" w:hAnsi="Palatino Linotype" w:cs="Palatino Linotype"/>
          <w:b/>
          <w:bCs/>
          <w:i/>
          <w:iCs/>
        </w:rPr>
        <w:t>, sin hacer un pronunciamiento de fondo sobre la legalidad o ilegalidad de la sentencia reclamada</w:t>
      </w:r>
      <w:r w:rsidRPr="00E4092B">
        <w:rPr>
          <w:rFonts w:ascii="Palatino Linotype" w:eastAsia="Palatino Linotype" w:hAnsi="Palatino Linotype" w:cs="Palatino Linotype"/>
          <w:i/>
          <w:iCs/>
        </w:rPr>
        <w:t xml:space="preserve">. </w:t>
      </w:r>
      <w:r w:rsidRPr="00E4092B">
        <w:rPr>
          <w:rFonts w:ascii="Palatino Linotype" w:eastAsia="Palatino Linotype" w:hAnsi="Palatino Linotype" w:cs="Palatino Linotype"/>
          <w:b/>
          <w:bCs/>
          <w:i/>
          <w:iCs/>
        </w:rPr>
        <w:t>Por consiguiente, si al sobreseerse en el juicio de amparo no se pueden estudiar los planteamientos que se hacen valer en contra del fallo reclamado, tampoco se deben analizar las violaciones procesales propuestas en los conceptos de violación, dado que, la principal consecuencia del sobreseimiento es poner fin al juicio de amparo sin resolver la controversia en sus méritos</w:t>
      </w:r>
      <w:r w:rsidRPr="00E4092B">
        <w:rPr>
          <w:rFonts w:ascii="Palatino Linotype" w:eastAsia="Palatino Linotype" w:hAnsi="Palatino Linotype" w:cs="Palatino Linotype"/>
          <w:i/>
          <w:iCs/>
        </w:rPr>
        <w:t>.</w:t>
      </w:r>
    </w:p>
    <w:p w:rsidR="00855AFD" w:rsidRPr="00E4092B" w:rsidRDefault="00855AFD">
      <w:pPr>
        <w:spacing w:line="360" w:lineRule="auto"/>
        <w:ind w:right="1"/>
        <w:jc w:val="both"/>
        <w:rPr>
          <w:rFonts w:ascii="Palatino Linotype" w:eastAsia="Palatino Linotype" w:hAnsi="Palatino Linotype" w:cs="Palatino Linotype"/>
          <w:b/>
          <w:bCs/>
        </w:rPr>
      </w:pPr>
    </w:p>
    <w:p w:rsidR="00855AFD" w:rsidRPr="00E4092B" w:rsidRDefault="003554BF">
      <w:pPr>
        <w:numPr>
          <w:ilvl w:val="0"/>
          <w:numId w:val="5"/>
        </w:numPr>
        <w:spacing w:line="360" w:lineRule="auto"/>
        <w:ind w:left="0" w:right="1" w:firstLine="0"/>
        <w:jc w:val="both"/>
        <w:rPr>
          <w:rFonts w:ascii="Palatino Linotype" w:eastAsia="Palatino Linotype" w:hAnsi="Palatino Linotype" w:cs="Palatino Linotype"/>
          <w:b/>
          <w:bCs/>
        </w:rPr>
      </w:pPr>
      <w:r w:rsidRPr="00E4092B">
        <w:rPr>
          <w:rFonts w:ascii="Palatino Linotype" w:eastAsia="Palatino Linotype" w:hAnsi="Palatino Linotype" w:cs="Palatino Linotype"/>
          <w:color w:val="000000"/>
        </w:rPr>
        <w:t xml:space="preserve">Consecuentemente, </w:t>
      </w:r>
      <w:r w:rsidRPr="00E4092B">
        <w:rPr>
          <w:rFonts w:ascii="Palatino Linotype" w:eastAsia="Palatino Linotype" w:hAnsi="Palatino Linotype" w:cs="Palatino Linotype"/>
        </w:rPr>
        <w:t>por lo que hace a los motivos de inconformidad, los mismos devienen inatendibles por actualizarse la figura del sobreseimiento, misma que impide el estudio de los agravios planteados, máxime que se ha dado cumplimiento al derecho de acceso a la información.</w:t>
      </w:r>
    </w:p>
    <w:p w:rsidR="00855AFD" w:rsidRPr="00E4092B" w:rsidRDefault="00855AFD">
      <w:pPr>
        <w:spacing w:line="360" w:lineRule="auto"/>
        <w:ind w:right="1"/>
        <w:jc w:val="both"/>
        <w:rPr>
          <w:rFonts w:ascii="Palatino Linotype" w:eastAsia="Palatino Linotype" w:hAnsi="Palatino Linotype" w:cs="Palatino Linotype"/>
          <w:b/>
          <w:bCs/>
        </w:rPr>
      </w:pPr>
    </w:p>
    <w:p w:rsidR="00855AFD" w:rsidRPr="00E4092B" w:rsidRDefault="003554BF">
      <w:pPr>
        <w:numPr>
          <w:ilvl w:val="0"/>
          <w:numId w:val="5"/>
        </w:numPr>
        <w:spacing w:line="360" w:lineRule="auto"/>
        <w:ind w:left="0" w:right="1" w:firstLine="0"/>
        <w:jc w:val="both"/>
        <w:rPr>
          <w:rFonts w:ascii="Palatino Linotype" w:eastAsia="Palatino Linotype" w:hAnsi="Palatino Linotype" w:cs="Palatino Linotype"/>
          <w:b/>
          <w:bCs/>
        </w:rPr>
      </w:pPr>
      <w:r w:rsidRPr="00E4092B">
        <w:rPr>
          <w:rFonts w:ascii="Palatino Linotype" w:eastAsia="Palatino Linotype" w:hAnsi="Palatino Linotype" w:cs="Palatino Linotype"/>
          <w:color w:val="000000"/>
        </w:rPr>
        <w:t xml:space="preserve">Bajo </w:t>
      </w:r>
      <w:r w:rsidRPr="00E4092B">
        <w:rPr>
          <w:rFonts w:ascii="Palatino Linotype" w:eastAsia="Palatino Linotype" w:hAnsi="Palatino Linotype" w:cs="Palatino Linotype"/>
        </w:rPr>
        <w:t xml:space="preserve">ese tenor y en términos del artículo 186 fracción I este Pleno determina el </w:t>
      </w:r>
      <w:r w:rsidRPr="00E4092B">
        <w:rPr>
          <w:rFonts w:ascii="Palatino Linotype" w:eastAsia="Palatino Linotype" w:hAnsi="Palatino Linotype" w:cs="Palatino Linotype"/>
          <w:b/>
          <w:bCs/>
        </w:rPr>
        <w:t xml:space="preserve">SOBRESEIMIENTO </w:t>
      </w:r>
      <w:r w:rsidRPr="00E4092B">
        <w:rPr>
          <w:rFonts w:ascii="Palatino Linotype" w:eastAsia="Palatino Linotype" w:hAnsi="Palatino Linotype" w:cs="Palatino Linotype"/>
        </w:rPr>
        <w:t>del presente recurso de revisión, toda vez que la afectación al derecho de acceso a la información pública establecido constitucionalmente a favor del Particular ha sido resarcida.</w:t>
      </w:r>
    </w:p>
    <w:p w:rsidR="00855AFD" w:rsidRPr="00E4092B" w:rsidRDefault="00855AFD">
      <w:pPr>
        <w:spacing w:line="360" w:lineRule="auto"/>
        <w:ind w:right="1"/>
        <w:jc w:val="both"/>
        <w:rPr>
          <w:rFonts w:ascii="Palatino Linotype" w:eastAsia="Palatino Linotype" w:hAnsi="Palatino Linotype" w:cs="Palatino Linotype"/>
        </w:rPr>
      </w:pPr>
    </w:p>
    <w:p w:rsidR="00855AFD" w:rsidRPr="00E4092B" w:rsidRDefault="003554BF">
      <w:pPr>
        <w:keepNext/>
        <w:keepLines/>
        <w:spacing w:line="360" w:lineRule="auto"/>
        <w:ind w:right="48"/>
        <w:rPr>
          <w:rFonts w:ascii="Palatino Linotype" w:eastAsia="Palatino Linotype" w:hAnsi="Palatino Linotype" w:cs="Palatino Linotype"/>
        </w:rPr>
      </w:pPr>
      <w:r w:rsidRPr="00E4092B">
        <w:rPr>
          <w:rFonts w:ascii="Palatino Linotype" w:eastAsia="Palatino Linotype" w:hAnsi="Palatino Linotype" w:cs="Palatino Linotype"/>
          <w:b/>
          <w:bCs/>
        </w:rPr>
        <w:t>CUARTO. Vista a la Dirección de Protección de Datos Personales.</w:t>
      </w:r>
    </w:p>
    <w:p w:rsidR="00855AFD" w:rsidRPr="00E4092B" w:rsidRDefault="003554BF">
      <w:pPr>
        <w:numPr>
          <w:ilvl w:val="0"/>
          <w:numId w:val="5"/>
        </w:numPr>
        <w:spacing w:line="360" w:lineRule="auto"/>
        <w:ind w:left="0" w:right="1" w:firstLine="0"/>
        <w:jc w:val="both"/>
        <w:rPr>
          <w:rFonts w:ascii="Palatino Linotype" w:eastAsia="Palatino Linotype" w:hAnsi="Palatino Linotype" w:cs="Palatino Linotype"/>
        </w:rPr>
      </w:pPr>
      <w:r w:rsidRPr="00E4092B">
        <w:rPr>
          <w:rFonts w:ascii="Palatino Linotype" w:eastAsia="Palatino Linotype" w:hAnsi="Palatino Linotype" w:cs="Palatino Linotype"/>
        </w:rPr>
        <w:t xml:space="preserve">Es necesario resaltar que el recurso de revisión previsto en la Ley de la materia no es el medio para investigar y, en su caso, sancionar a servidores públicos por la falta de cuidado de la protección de datos personales; es así que, con el pronunciamiento realizado en respuesta a solicitud de información, se aprecia que se vulneraron datos personales susceptibles de ser clasificados como confidenciales, como lo es el nombre de una persona menor de edad, así como, su estatus deportivo; por lo que, es necesario dar vista al área competente para que en </w:t>
      </w:r>
      <w:r w:rsidRPr="00E4092B">
        <w:rPr>
          <w:rFonts w:ascii="Palatino Linotype" w:eastAsia="Palatino Linotype" w:hAnsi="Palatino Linotype" w:cs="Palatino Linotype"/>
        </w:rPr>
        <w:lastRenderedPageBreak/>
        <w:t xml:space="preserve">ejercicio de sus atribuciones realice las investigaciones pertinentes por las omisiones detectadas atribuibles al </w:t>
      </w:r>
      <w:r w:rsidRPr="00E4092B">
        <w:rPr>
          <w:rFonts w:ascii="Palatino Linotype" w:eastAsia="Palatino Linotype" w:hAnsi="Palatino Linotype" w:cs="Palatino Linotype"/>
          <w:b/>
          <w:bCs/>
        </w:rPr>
        <w:t>SUJETO OBLIGADO.</w:t>
      </w:r>
    </w:p>
    <w:p w:rsidR="00855AFD" w:rsidRPr="00E4092B" w:rsidRDefault="00855AFD">
      <w:pPr>
        <w:spacing w:line="360" w:lineRule="auto"/>
        <w:ind w:left="925" w:right="1"/>
        <w:jc w:val="both"/>
        <w:rPr>
          <w:rFonts w:ascii="Palatino Linotype" w:eastAsia="Palatino Linotype" w:hAnsi="Palatino Linotype" w:cs="Palatino Linotype"/>
          <w:b/>
          <w:bCs/>
        </w:rPr>
      </w:pPr>
    </w:p>
    <w:p w:rsidR="00855AFD" w:rsidRPr="00E4092B" w:rsidRDefault="003554BF">
      <w:pPr>
        <w:numPr>
          <w:ilvl w:val="0"/>
          <w:numId w:val="5"/>
        </w:numPr>
        <w:spacing w:line="360" w:lineRule="auto"/>
        <w:ind w:left="0" w:right="1" w:firstLine="0"/>
        <w:jc w:val="both"/>
        <w:rPr>
          <w:rFonts w:ascii="Palatino Linotype" w:eastAsia="Palatino Linotype" w:hAnsi="Palatino Linotype" w:cs="Palatino Linotype"/>
          <w:b/>
          <w:bCs/>
        </w:rPr>
      </w:pPr>
      <w:r w:rsidRPr="00E4092B">
        <w:rPr>
          <w:rFonts w:ascii="Palatino Linotype" w:eastAsia="Palatino Linotype" w:hAnsi="Palatino Linotype" w:cs="Palatino Linotype"/>
        </w:rPr>
        <w:t>Por ello, es conveniente señalar las fracciones XIV, XXII, XXIII y XXV, del artículo 82, de la Ley de Protección de Datos Personales en Posesión de Sujetos Obligados del Estado de México y Municipios, que establece:</w:t>
      </w:r>
    </w:p>
    <w:p w:rsidR="00855AFD" w:rsidRPr="00E4092B" w:rsidRDefault="003554BF">
      <w:pPr>
        <w:tabs>
          <w:tab w:val="left" w:pos="426"/>
        </w:tabs>
        <w:spacing w:before="240"/>
        <w:ind w:left="567" w:right="539"/>
        <w:jc w:val="both"/>
        <w:rPr>
          <w:rFonts w:ascii="Palatino Linotype" w:eastAsia="Palatino Linotype" w:hAnsi="Palatino Linotype" w:cs="Palatino Linotype"/>
          <w:b/>
          <w:bCs/>
          <w:i/>
          <w:iCs/>
        </w:rPr>
      </w:pPr>
      <w:r w:rsidRPr="00E4092B">
        <w:rPr>
          <w:rFonts w:ascii="Palatino Linotype" w:eastAsia="Palatino Linotype" w:hAnsi="Palatino Linotype" w:cs="Palatino Linotype"/>
          <w:b/>
          <w:bCs/>
          <w:i/>
          <w:iCs/>
        </w:rPr>
        <w:t xml:space="preserve">Atribuciones del Instituto </w:t>
      </w:r>
    </w:p>
    <w:p w:rsidR="00855AFD" w:rsidRPr="00E4092B" w:rsidRDefault="003554BF">
      <w:pPr>
        <w:tabs>
          <w:tab w:val="left" w:pos="426"/>
        </w:tabs>
        <w:ind w:left="567" w:right="539"/>
        <w:jc w:val="both"/>
        <w:rPr>
          <w:rFonts w:ascii="Palatino Linotype" w:eastAsia="Palatino Linotype" w:hAnsi="Palatino Linotype" w:cs="Palatino Linotype"/>
          <w:i/>
          <w:iCs/>
        </w:rPr>
      </w:pPr>
      <w:r w:rsidRPr="00E4092B">
        <w:rPr>
          <w:rFonts w:ascii="Palatino Linotype" w:eastAsia="Palatino Linotype" w:hAnsi="Palatino Linotype" w:cs="Palatino Linotype"/>
          <w:b/>
          <w:bCs/>
          <w:i/>
          <w:iCs/>
        </w:rPr>
        <w:t>“Artículo 82.</w:t>
      </w:r>
      <w:r w:rsidRPr="00E4092B">
        <w:rPr>
          <w:rFonts w:ascii="Palatino Linotype" w:eastAsia="Palatino Linotype" w:hAnsi="Palatino Linotype" w:cs="Palatino Linotype"/>
          <w:i/>
          <w:iCs/>
        </w:rPr>
        <w:t xml:space="preserve"> El Instituto, además de las atribuciones encomendadas por la Ley de Transparencia y normatividad aplicable, tendrá las atribuciones siguientes: </w:t>
      </w:r>
    </w:p>
    <w:p w:rsidR="00855AFD" w:rsidRPr="00E4092B" w:rsidRDefault="003554BF">
      <w:pPr>
        <w:tabs>
          <w:tab w:val="left" w:pos="426"/>
        </w:tabs>
        <w:ind w:left="567" w:right="539"/>
        <w:jc w:val="both"/>
        <w:rPr>
          <w:rFonts w:ascii="Palatino Linotype" w:eastAsia="Palatino Linotype" w:hAnsi="Palatino Linotype" w:cs="Palatino Linotype"/>
          <w:i/>
          <w:iCs/>
        </w:rPr>
      </w:pPr>
      <w:r w:rsidRPr="00E4092B">
        <w:rPr>
          <w:rFonts w:ascii="Palatino Linotype" w:eastAsia="Palatino Linotype" w:hAnsi="Palatino Linotype" w:cs="Palatino Linotype"/>
          <w:i/>
          <w:iCs/>
        </w:rPr>
        <w:t xml:space="preserve">(…) </w:t>
      </w:r>
    </w:p>
    <w:p w:rsidR="00855AFD" w:rsidRPr="00E4092B" w:rsidRDefault="003554BF">
      <w:pPr>
        <w:tabs>
          <w:tab w:val="left" w:pos="426"/>
        </w:tabs>
        <w:ind w:left="567" w:right="539"/>
        <w:jc w:val="both"/>
        <w:rPr>
          <w:rFonts w:ascii="Palatino Linotype" w:eastAsia="Palatino Linotype" w:hAnsi="Palatino Linotype" w:cs="Palatino Linotype"/>
          <w:i/>
          <w:iCs/>
        </w:rPr>
      </w:pPr>
      <w:r w:rsidRPr="00E4092B">
        <w:rPr>
          <w:rFonts w:ascii="Palatino Linotype" w:eastAsia="Palatino Linotype" w:hAnsi="Palatino Linotype" w:cs="Palatino Linotype"/>
          <w:b/>
          <w:bCs/>
          <w:i/>
          <w:iCs/>
        </w:rPr>
        <w:t>XIV. Formular observaciones y recomendaciones</w:t>
      </w:r>
      <w:r w:rsidRPr="00E4092B">
        <w:rPr>
          <w:rFonts w:ascii="Palatino Linotype" w:eastAsia="Palatino Linotype" w:hAnsi="Palatino Linotype" w:cs="Palatino Linotype"/>
          <w:i/>
          <w:iCs/>
        </w:rPr>
        <w:t xml:space="preserve"> a los sujetos obligados que incumplan esta Ley. </w:t>
      </w:r>
    </w:p>
    <w:p w:rsidR="00855AFD" w:rsidRPr="00E4092B" w:rsidRDefault="003554BF">
      <w:pPr>
        <w:tabs>
          <w:tab w:val="left" w:pos="426"/>
        </w:tabs>
        <w:ind w:left="567" w:right="539"/>
        <w:jc w:val="both"/>
        <w:rPr>
          <w:rFonts w:ascii="Palatino Linotype" w:eastAsia="Palatino Linotype" w:hAnsi="Palatino Linotype" w:cs="Palatino Linotype"/>
          <w:i/>
          <w:iCs/>
        </w:rPr>
      </w:pPr>
      <w:r w:rsidRPr="00E4092B">
        <w:rPr>
          <w:rFonts w:ascii="Palatino Linotype" w:eastAsia="Palatino Linotype" w:hAnsi="Palatino Linotype" w:cs="Palatino Linotype"/>
          <w:i/>
          <w:iCs/>
        </w:rPr>
        <w:t xml:space="preserve">(…) </w:t>
      </w:r>
    </w:p>
    <w:p w:rsidR="00855AFD" w:rsidRPr="00E4092B" w:rsidRDefault="003554BF">
      <w:pPr>
        <w:tabs>
          <w:tab w:val="left" w:pos="426"/>
        </w:tabs>
        <w:ind w:left="567" w:right="539"/>
        <w:jc w:val="both"/>
        <w:rPr>
          <w:rFonts w:ascii="Palatino Linotype" w:eastAsia="Palatino Linotype" w:hAnsi="Palatino Linotype" w:cs="Palatino Linotype"/>
          <w:i/>
          <w:iCs/>
        </w:rPr>
      </w:pPr>
      <w:r w:rsidRPr="00E4092B">
        <w:rPr>
          <w:rFonts w:ascii="Palatino Linotype" w:eastAsia="Palatino Linotype" w:hAnsi="Palatino Linotype" w:cs="Palatino Linotype"/>
          <w:b/>
          <w:bCs/>
          <w:i/>
          <w:iCs/>
        </w:rPr>
        <w:t>XXII. Verificar el cumplimiento</w:t>
      </w:r>
      <w:r w:rsidRPr="00E4092B">
        <w:rPr>
          <w:rFonts w:ascii="Palatino Linotype" w:eastAsia="Palatino Linotype" w:hAnsi="Palatino Linotype" w:cs="Palatino Linotype"/>
          <w:i/>
          <w:iCs/>
        </w:rPr>
        <w:t xml:space="preserve"> de las disposiciones previstas en esta Ley a través de los procedimientos de revisión que resulten compatibles con las disposiciones de esta Ley. </w:t>
      </w:r>
    </w:p>
    <w:p w:rsidR="00855AFD" w:rsidRPr="00E4092B" w:rsidRDefault="003554BF">
      <w:pPr>
        <w:tabs>
          <w:tab w:val="left" w:pos="426"/>
        </w:tabs>
        <w:ind w:left="567" w:right="539"/>
        <w:jc w:val="both"/>
        <w:rPr>
          <w:rFonts w:ascii="Palatino Linotype" w:eastAsia="Palatino Linotype" w:hAnsi="Palatino Linotype" w:cs="Palatino Linotype"/>
          <w:i/>
          <w:iCs/>
        </w:rPr>
      </w:pPr>
      <w:r w:rsidRPr="00E4092B">
        <w:rPr>
          <w:rFonts w:ascii="Palatino Linotype" w:eastAsia="Palatino Linotype" w:hAnsi="Palatino Linotype" w:cs="Palatino Linotype"/>
          <w:b/>
          <w:bCs/>
          <w:i/>
          <w:iCs/>
        </w:rPr>
        <w:t>XXIII. Implementar los procedimientos</w:t>
      </w:r>
      <w:r w:rsidRPr="00E4092B">
        <w:rPr>
          <w:rFonts w:ascii="Palatino Linotype" w:eastAsia="Palatino Linotype" w:hAnsi="Palatino Linotype" w:cs="Palatino Linotype"/>
          <w:i/>
          <w:iCs/>
        </w:rPr>
        <w:t xml:space="preserve"> que resulten necesarios para el cumplimiento de las disposiciones de esta Ley y para asegurar la protección de datos personales de los titulares. </w:t>
      </w:r>
    </w:p>
    <w:p w:rsidR="00855AFD" w:rsidRPr="00E4092B" w:rsidRDefault="003554BF">
      <w:pPr>
        <w:tabs>
          <w:tab w:val="left" w:pos="426"/>
        </w:tabs>
        <w:ind w:left="567" w:right="539"/>
        <w:jc w:val="both"/>
        <w:rPr>
          <w:rFonts w:ascii="Palatino Linotype" w:eastAsia="Palatino Linotype" w:hAnsi="Palatino Linotype" w:cs="Palatino Linotype"/>
          <w:i/>
          <w:iCs/>
        </w:rPr>
      </w:pPr>
      <w:r w:rsidRPr="00E4092B">
        <w:rPr>
          <w:rFonts w:ascii="Palatino Linotype" w:eastAsia="Palatino Linotype" w:hAnsi="Palatino Linotype" w:cs="Palatino Linotype"/>
          <w:i/>
          <w:iCs/>
        </w:rPr>
        <w:t xml:space="preserve">(…) </w:t>
      </w:r>
    </w:p>
    <w:p w:rsidR="00855AFD" w:rsidRPr="00E4092B" w:rsidRDefault="003554BF">
      <w:pPr>
        <w:tabs>
          <w:tab w:val="left" w:pos="426"/>
        </w:tabs>
        <w:ind w:left="567" w:right="539"/>
        <w:jc w:val="both"/>
        <w:rPr>
          <w:rFonts w:ascii="Palatino Linotype" w:eastAsia="Palatino Linotype" w:hAnsi="Palatino Linotype" w:cs="Palatino Linotype"/>
          <w:i/>
          <w:iCs/>
        </w:rPr>
      </w:pPr>
      <w:r w:rsidRPr="00E4092B">
        <w:rPr>
          <w:rFonts w:ascii="Palatino Linotype" w:eastAsia="Palatino Linotype" w:hAnsi="Palatino Linotype" w:cs="Palatino Linotype"/>
          <w:b/>
          <w:bCs/>
          <w:i/>
          <w:iCs/>
        </w:rPr>
        <w:t>XXV. Investigar las posibles violaciones</w:t>
      </w:r>
      <w:r w:rsidRPr="00E4092B">
        <w:rPr>
          <w:rFonts w:ascii="Palatino Linotype" w:eastAsia="Palatino Linotype" w:hAnsi="Palatino Linotype" w:cs="Palatino Linotype"/>
          <w:i/>
          <w:iCs/>
        </w:rPr>
        <w:t xml:space="preserve"> a la seguridad de los datos personales a fin de determinar la práctica de verificaciones. </w:t>
      </w:r>
    </w:p>
    <w:p w:rsidR="00855AFD" w:rsidRPr="00E4092B" w:rsidRDefault="003554BF">
      <w:pPr>
        <w:tabs>
          <w:tab w:val="left" w:pos="426"/>
        </w:tabs>
        <w:spacing w:after="240"/>
        <w:ind w:left="567" w:right="539"/>
        <w:jc w:val="both"/>
        <w:rPr>
          <w:rFonts w:ascii="Palatino Linotype" w:eastAsia="Palatino Linotype" w:hAnsi="Palatino Linotype" w:cs="Palatino Linotype"/>
        </w:rPr>
      </w:pPr>
      <w:r w:rsidRPr="00E4092B">
        <w:rPr>
          <w:rFonts w:ascii="Palatino Linotype" w:eastAsia="Palatino Linotype" w:hAnsi="Palatino Linotype" w:cs="Palatino Linotype"/>
          <w:i/>
          <w:iCs/>
        </w:rPr>
        <w:t xml:space="preserve">(…)” </w:t>
      </w:r>
    </w:p>
    <w:p w:rsidR="00855AFD" w:rsidRPr="00E4092B" w:rsidRDefault="003554BF">
      <w:pPr>
        <w:numPr>
          <w:ilvl w:val="0"/>
          <w:numId w:val="5"/>
        </w:numPr>
        <w:spacing w:line="360" w:lineRule="auto"/>
        <w:ind w:left="0" w:right="1" w:firstLine="0"/>
        <w:jc w:val="both"/>
        <w:rPr>
          <w:rFonts w:ascii="Palatino Linotype" w:eastAsia="Palatino Linotype" w:hAnsi="Palatino Linotype" w:cs="Palatino Linotype"/>
        </w:rPr>
      </w:pPr>
      <w:r w:rsidRPr="00E4092B">
        <w:rPr>
          <w:rFonts w:ascii="Palatino Linotype" w:eastAsia="Palatino Linotype" w:hAnsi="Palatino Linotype" w:cs="Palatino Linotype"/>
        </w:rPr>
        <w:t xml:space="preserve">Por lo tanto, es menester dar vista a la Dirección de Protección de Datos Personales de este Instituto para que en ejercicio de sus atribuciones atienda las directivas marcadas en la propia Ley de la materia, con fundamento en el artículo 82 de la Ley de la materia, el cual señala la atribución de este Órgano Garante para Investigar las posibles violaciones a la seguridad de los datos personales a fin de determinar la práctica de verificaciones. </w:t>
      </w:r>
    </w:p>
    <w:p w:rsidR="00855AFD" w:rsidRPr="00E4092B" w:rsidRDefault="00855AFD">
      <w:pPr>
        <w:spacing w:line="360" w:lineRule="auto"/>
        <w:ind w:right="1"/>
        <w:jc w:val="both"/>
        <w:rPr>
          <w:rFonts w:ascii="Palatino Linotype" w:eastAsia="Palatino Linotype" w:hAnsi="Palatino Linotype" w:cs="Palatino Linotype"/>
        </w:rPr>
      </w:pPr>
    </w:p>
    <w:p w:rsidR="00855AFD" w:rsidRPr="00E4092B" w:rsidRDefault="003554BF">
      <w:pPr>
        <w:numPr>
          <w:ilvl w:val="0"/>
          <w:numId w:val="5"/>
        </w:numPr>
        <w:spacing w:line="360" w:lineRule="auto"/>
        <w:ind w:left="0" w:right="1" w:firstLine="0"/>
        <w:jc w:val="both"/>
        <w:rPr>
          <w:rFonts w:ascii="Palatino Linotype" w:eastAsia="Palatino Linotype" w:hAnsi="Palatino Linotype" w:cs="Palatino Linotype"/>
        </w:rPr>
      </w:pPr>
      <w:r w:rsidRPr="00E4092B">
        <w:rPr>
          <w:rFonts w:ascii="Palatino Linotype" w:eastAsia="Palatino Linotype" w:hAnsi="Palatino Linotype" w:cs="Palatino Linotype"/>
        </w:rPr>
        <w:lastRenderedPageBreak/>
        <w:t xml:space="preserve">Por último y no menos importante, se debe enfatizar que tal y como se mencionó en este considerando, el </w:t>
      </w:r>
      <w:r w:rsidRPr="00E4092B">
        <w:rPr>
          <w:rFonts w:ascii="Palatino Linotype" w:eastAsia="Palatino Linotype" w:hAnsi="Palatino Linotype" w:cs="Palatino Linotype"/>
          <w:b/>
          <w:bCs/>
        </w:rPr>
        <w:t>SUJETO OBLIGADO</w:t>
      </w:r>
      <w:r w:rsidRPr="00E4092B">
        <w:rPr>
          <w:rFonts w:ascii="Palatino Linotype" w:eastAsia="Palatino Linotype" w:hAnsi="Palatino Linotype" w:cs="Palatino Linotype"/>
        </w:rPr>
        <w:t xml:space="preserve"> realizó un pronunciamiento que debió ser clasificado como confidencial. Por dicha información, es menester hacer del conocimiento de la persona que solicitó la información, que ahora se encuentra sujeto a la </w:t>
      </w:r>
      <w:r w:rsidRPr="00E4092B">
        <w:rPr>
          <w:rFonts w:ascii="Palatino Linotype" w:eastAsia="Palatino Linotype" w:hAnsi="Palatino Linotype" w:cs="Palatino Linotype"/>
          <w:b/>
          <w:bCs/>
        </w:rPr>
        <w:t>LEY FEDERAL DE PROTECCIÓN DE DATOS PERSONALES EN POSESIÓN DE LOS PARTICULARES</w:t>
      </w:r>
      <w:r w:rsidRPr="00E4092B">
        <w:rPr>
          <w:rFonts w:ascii="Palatino Linotype" w:eastAsia="Palatino Linotype" w:hAnsi="Palatino Linotype" w:cs="Palatino Linotype"/>
        </w:rPr>
        <w:t xml:space="preserve"> que señala puntualmente en su artículo lo siguiente: </w:t>
      </w:r>
    </w:p>
    <w:p w:rsidR="00855AFD" w:rsidRPr="00E4092B" w:rsidRDefault="003554BF">
      <w:pPr>
        <w:ind w:left="567" w:right="539"/>
        <w:jc w:val="both"/>
        <w:rPr>
          <w:rFonts w:ascii="Palatino Linotype" w:eastAsia="Palatino Linotype" w:hAnsi="Palatino Linotype" w:cs="Palatino Linotype"/>
        </w:rPr>
      </w:pPr>
      <w:r w:rsidRPr="00E4092B">
        <w:rPr>
          <w:rFonts w:ascii="Palatino Linotype" w:eastAsia="Palatino Linotype" w:hAnsi="Palatino Linotype" w:cs="Palatino Linotype"/>
          <w:b/>
          <w:bCs/>
          <w:i/>
          <w:iCs/>
        </w:rPr>
        <w:t>“Artículo 1.-</w:t>
      </w:r>
      <w:r w:rsidRPr="00E4092B">
        <w:rPr>
          <w:rFonts w:ascii="Palatino Linotype" w:eastAsia="Palatino Linotype" w:hAnsi="Palatino Linotype" w:cs="Palatino Linotype"/>
          <w:i/>
          <w:iCs/>
        </w:rPr>
        <w:t xml:space="preserve"> La presente Ley es de orden público y de observancia general en toda la República y tiene por objeto la protección de los datos personales en posesión de los particulares, con la finalidad de regular su tratamiento legítimo, controlado e informado, a efecto de garantizar la privacidad y el derecho a la autodeterminación informativa de las personas.”</w:t>
      </w:r>
    </w:p>
    <w:p w:rsidR="00855AFD" w:rsidRPr="00E4092B" w:rsidRDefault="00855AFD">
      <w:pPr>
        <w:spacing w:line="360" w:lineRule="auto"/>
        <w:ind w:right="1"/>
        <w:jc w:val="both"/>
        <w:rPr>
          <w:rFonts w:ascii="Palatino Linotype" w:eastAsia="Palatino Linotype" w:hAnsi="Palatino Linotype" w:cs="Palatino Linotype"/>
          <w:b/>
          <w:bCs/>
        </w:rPr>
      </w:pPr>
    </w:p>
    <w:p w:rsidR="00855AFD" w:rsidRPr="00E4092B" w:rsidRDefault="003554BF">
      <w:pPr>
        <w:numPr>
          <w:ilvl w:val="0"/>
          <w:numId w:val="5"/>
        </w:numPr>
        <w:pBdr>
          <w:top w:val="nil"/>
          <w:left w:val="nil"/>
          <w:bottom w:val="nil"/>
          <w:right w:val="nil"/>
          <w:between w:val="nil"/>
        </w:pBdr>
        <w:spacing w:before="120" w:line="360" w:lineRule="auto"/>
        <w:ind w:left="0" w:firstLine="0"/>
        <w:jc w:val="both"/>
        <w:rPr>
          <w:rFonts w:ascii="Palatino Linotype" w:eastAsia="Palatino Linotype" w:hAnsi="Palatino Linotype" w:cs="Palatino Linotype"/>
          <w:color w:val="000000"/>
        </w:rPr>
      </w:pPr>
      <w:r w:rsidRPr="00E4092B">
        <w:rPr>
          <w:rFonts w:ascii="Palatino Linotype" w:eastAsia="Palatino Linotype" w:hAnsi="Palatino Linotype" w:cs="Palatino Linotype"/>
          <w:color w:val="222222"/>
        </w:rPr>
        <w:t xml:space="preserve">Por lo anteriormente expuesto y fundado, este </w:t>
      </w:r>
      <w:r w:rsidRPr="00E4092B">
        <w:rPr>
          <w:rFonts w:ascii="Palatino Linotype" w:eastAsia="Palatino Linotype" w:hAnsi="Palatino Linotype" w:cs="Palatino Linotype"/>
          <w:b/>
          <w:bCs/>
          <w:color w:val="222222"/>
        </w:rPr>
        <w:t>ÓRGANO GARANTE</w:t>
      </w:r>
      <w:r w:rsidRPr="00E4092B">
        <w:rPr>
          <w:rFonts w:ascii="Palatino Linotype" w:eastAsia="Palatino Linotype" w:hAnsi="Palatino Linotype" w:cs="Palatino Linotype"/>
          <w:color w:val="222222"/>
        </w:rPr>
        <w:t xml:space="preserve"> emite los siguientes:</w:t>
      </w:r>
    </w:p>
    <w:p w:rsidR="00855AFD" w:rsidRPr="00E4092B" w:rsidRDefault="00855AFD">
      <w:pPr>
        <w:pBdr>
          <w:top w:val="nil"/>
          <w:left w:val="nil"/>
          <w:bottom w:val="nil"/>
          <w:right w:val="nil"/>
          <w:between w:val="nil"/>
        </w:pBdr>
        <w:spacing w:before="120" w:line="360" w:lineRule="auto"/>
        <w:jc w:val="both"/>
        <w:rPr>
          <w:rFonts w:ascii="Palatino Linotype" w:eastAsia="Palatino Linotype" w:hAnsi="Palatino Linotype" w:cs="Palatino Linotype"/>
          <w:color w:val="000000"/>
        </w:rPr>
      </w:pPr>
    </w:p>
    <w:p w:rsidR="00855AFD" w:rsidRPr="00E4092B" w:rsidRDefault="003554BF">
      <w:pPr>
        <w:keepNext/>
        <w:keepLines/>
        <w:spacing w:line="360" w:lineRule="auto"/>
        <w:ind w:right="-592"/>
        <w:jc w:val="center"/>
        <w:rPr>
          <w:rFonts w:ascii="Palatino Linotype" w:eastAsia="Palatino Linotype" w:hAnsi="Palatino Linotype" w:cs="Palatino Linotype"/>
          <w:b/>
          <w:bCs/>
          <w:color w:val="000000"/>
        </w:rPr>
      </w:pPr>
      <w:bookmarkStart w:id="11" w:name="_heading=h.8tgq9am2xy6v" w:colFirst="0" w:colLast="0"/>
      <w:bookmarkEnd w:id="11"/>
      <w:r w:rsidRPr="00E4092B">
        <w:rPr>
          <w:rFonts w:ascii="Palatino Linotype" w:eastAsia="Palatino Linotype" w:hAnsi="Palatino Linotype" w:cs="Palatino Linotype"/>
          <w:b/>
          <w:bCs/>
          <w:color w:val="000000"/>
        </w:rPr>
        <w:t>R E S O L U T I V O S</w:t>
      </w:r>
    </w:p>
    <w:p w:rsidR="00855AFD" w:rsidRPr="00E4092B" w:rsidRDefault="00855AFD">
      <w:pPr>
        <w:keepNext/>
        <w:keepLines/>
        <w:spacing w:line="360" w:lineRule="auto"/>
        <w:ind w:right="-592"/>
        <w:jc w:val="center"/>
        <w:rPr>
          <w:rFonts w:ascii="Palatino Linotype" w:eastAsia="Palatino Linotype" w:hAnsi="Palatino Linotype" w:cs="Palatino Linotype"/>
          <w:b/>
          <w:bCs/>
          <w:color w:val="000000"/>
        </w:rPr>
      </w:pPr>
    </w:p>
    <w:p w:rsidR="00855AFD" w:rsidRPr="00E4092B" w:rsidRDefault="00EB3BA3">
      <w:pPr>
        <w:spacing w:line="360" w:lineRule="auto"/>
        <w:jc w:val="both"/>
        <w:rPr>
          <w:rFonts w:ascii="Palatino Linotype" w:eastAsia="Palatino Linotype" w:hAnsi="Palatino Linotype" w:cs="Palatino Linotype"/>
          <w:b/>
          <w:bCs/>
        </w:rPr>
      </w:pPr>
      <w:r w:rsidRPr="00E4092B">
        <w:rPr>
          <w:rFonts w:ascii="Palatino Linotype" w:eastAsia="Palatino Linotype" w:hAnsi="Palatino Linotype" w:cs="Palatino Linotype"/>
          <w:b/>
          <w:bCs/>
          <w:color w:val="000000"/>
        </w:rPr>
        <w:t xml:space="preserve">PRIMERO. </w:t>
      </w:r>
      <w:r w:rsidR="003554BF" w:rsidRPr="00E4092B">
        <w:rPr>
          <w:rFonts w:ascii="Palatino Linotype" w:eastAsia="Palatino Linotype" w:hAnsi="Palatino Linotype" w:cs="Palatino Linotype"/>
        </w:rPr>
        <w:t xml:space="preserve">Se </w:t>
      </w:r>
      <w:r w:rsidR="003554BF" w:rsidRPr="00E4092B">
        <w:rPr>
          <w:rFonts w:ascii="Palatino Linotype" w:eastAsia="Palatino Linotype" w:hAnsi="Palatino Linotype" w:cs="Palatino Linotype"/>
          <w:b/>
          <w:bCs/>
        </w:rPr>
        <w:t>SOBRESEE</w:t>
      </w:r>
      <w:r w:rsidR="003554BF" w:rsidRPr="00E4092B">
        <w:rPr>
          <w:rFonts w:ascii="Palatino Linotype" w:eastAsia="Palatino Linotype" w:hAnsi="Palatino Linotype" w:cs="Palatino Linotype"/>
        </w:rPr>
        <w:t xml:space="preserve"> el recurso de revisión número </w:t>
      </w:r>
      <w:r w:rsidR="003554BF" w:rsidRPr="00E4092B">
        <w:rPr>
          <w:rFonts w:ascii="Palatino Linotype" w:eastAsia="Palatino Linotype" w:hAnsi="Palatino Linotype" w:cs="Palatino Linotype"/>
          <w:b/>
          <w:bCs/>
        </w:rPr>
        <w:t xml:space="preserve">06628/INFOEM/IP/RR/2025 </w:t>
      </w:r>
      <w:r w:rsidR="003554BF" w:rsidRPr="00E4092B">
        <w:rPr>
          <w:rFonts w:ascii="Palatino Linotype" w:eastAsia="Palatino Linotype" w:hAnsi="Palatino Linotype" w:cs="Palatino Linotype"/>
        </w:rPr>
        <w:t>conforme al artículo 192</w:t>
      </w:r>
      <w:r w:rsidRPr="00E4092B">
        <w:rPr>
          <w:rFonts w:ascii="Palatino Linotype" w:eastAsia="Palatino Linotype" w:hAnsi="Palatino Linotype" w:cs="Palatino Linotype"/>
        </w:rPr>
        <w:t>,</w:t>
      </w:r>
      <w:r w:rsidR="003554BF" w:rsidRPr="00E4092B">
        <w:rPr>
          <w:rFonts w:ascii="Palatino Linotype" w:eastAsia="Palatino Linotype" w:hAnsi="Palatino Linotype" w:cs="Palatino Linotype"/>
        </w:rPr>
        <w:t xml:space="preserve"> fracción III</w:t>
      </w:r>
      <w:r w:rsidRPr="00E4092B">
        <w:rPr>
          <w:rFonts w:ascii="Palatino Linotype" w:eastAsia="Palatino Linotype" w:hAnsi="Palatino Linotype" w:cs="Palatino Linotype"/>
        </w:rPr>
        <w:t>,</w:t>
      </w:r>
      <w:r w:rsidR="003554BF" w:rsidRPr="00E4092B">
        <w:rPr>
          <w:rFonts w:ascii="Palatino Linotype" w:eastAsia="Palatino Linotype" w:hAnsi="Palatino Linotype" w:cs="Palatino Linotype"/>
        </w:rPr>
        <w:t xml:space="preserve"> de la Ley de Transparencia y Acceso a la Información Pública del Estado de México y Municipios, porque al </w:t>
      </w:r>
      <w:r w:rsidR="003554BF" w:rsidRPr="00E4092B">
        <w:rPr>
          <w:rFonts w:ascii="Palatino Linotype" w:eastAsia="Palatino Linotype" w:hAnsi="Palatino Linotype" w:cs="Palatino Linotype"/>
          <w:b/>
          <w:bCs/>
        </w:rPr>
        <w:t>modificar la respuesta a través del informe justificado y atender lo solicitado</w:t>
      </w:r>
      <w:r w:rsidR="003554BF" w:rsidRPr="00E4092B">
        <w:rPr>
          <w:rFonts w:ascii="Palatino Linotype" w:eastAsia="Palatino Linotype" w:hAnsi="Palatino Linotype" w:cs="Palatino Linotype"/>
        </w:rPr>
        <w:t xml:space="preserve">, el recurso de revisión quedó sin materia en términos del Considerando </w:t>
      </w:r>
      <w:r w:rsidR="003554BF" w:rsidRPr="00E4092B">
        <w:rPr>
          <w:rFonts w:ascii="Palatino Linotype" w:eastAsia="Palatino Linotype" w:hAnsi="Palatino Linotype" w:cs="Palatino Linotype"/>
          <w:b/>
          <w:bCs/>
        </w:rPr>
        <w:t>TERCERO</w:t>
      </w:r>
      <w:r w:rsidR="003554BF" w:rsidRPr="00E4092B">
        <w:rPr>
          <w:rFonts w:ascii="Palatino Linotype" w:eastAsia="Palatino Linotype" w:hAnsi="Palatino Linotype" w:cs="Palatino Linotype"/>
        </w:rPr>
        <w:t xml:space="preserve"> de la presente resolución.</w:t>
      </w:r>
    </w:p>
    <w:p w:rsidR="00855AFD" w:rsidRPr="00E4092B" w:rsidRDefault="00855AFD">
      <w:pPr>
        <w:jc w:val="both"/>
        <w:rPr>
          <w:rFonts w:ascii="Palatino Linotype" w:eastAsia="Palatino Linotype" w:hAnsi="Palatino Linotype" w:cs="Palatino Linotype"/>
          <w:b/>
          <w:bCs/>
        </w:rPr>
      </w:pPr>
    </w:p>
    <w:p w:rsidR="00855AFD" w:rsidRPr="00E4092B" w:rsidRDefault="003554BF">
      <w:p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E4092B">
        <w:rPr>
          <w:rFonts w:ascii="Palatino Linotype" w:eastAsia="Palatino Linotype" w:hAnsi="Palatino Linotype" w:cs="Palatino Linotype"/>
          <w:b/>
          <w:bCs/>
          <w:color w:val="000000"/>
        </w:rPr>
        <w:t xml:space="preserve">SEGUNDO. </w:t>
      </w:r>
      <w:r w:rsidR="00EB3BA3" w:rsidRPr="00E4092B">
        <w:rPr>
          <w:rFonts w:ascii="Palatino Linotype" w:eastAsia="Palatino Linotype" w:hAnsi="Palatino Linotype" w:cs="Palatino Linotype"/>
          <w:b/>
          <w:bCs/>
          <w:color w:val="000000"/>
        </w:rPr>
        <w:t>NOTIFÍQUESE</w:t>
      </w:r>
      <w:r w:rsidRPr="00E4092B">
        <w:rPr>
          <w:rFonts w:ascii="Palatino Linotype" w:eastAsia="Palatino Linotype" w:hAnsi="Palatino Linotype" w:cs="Palatino Linotype"/>
          <w:b/>
          <w:bCs/>
          <w:color w:val="000000"/>
        </w:rPr>
        <w:t xml:space="preserve"> </w:t>
      </w:r>
      <w:r w:rsidRPr="00E4092B">
        <w:rPr>
          <w:rFonts w:ascii="Palatino Linotype" w:eastAsia="Palatino Linotype" w:hAnsi="Palatino Linotype" w:cs="Palatino Linotype"/>
          <w:color w:val="000000"/>
        </w:rPr>
        <w:t xml:space="preserve">a través del Sistema de Acceso a la Información Mexiquense </w:t>
      </w:r>
      <w:r w:rsidRPr="00E4092B">
        <w:rPr>
          <w:rFonts w:ascii="Palatino Linotype" w:eastAsia="Palatino Linotype" w:hAnsi="Palatino Linotype" w:cs="Palatino Linotype"/>
          <w:b/>
          <w:bCs/>
          <w:color w:val="000000"/>
        </w:rPr>
        <w:t xml:space="preserve">(SAIMEX) </w:t>
      </w:r>
      <w:r w:rsidRPr="00E4092B">
        <w:rPr>
          <w:rFonts w:ascii="Palatino Linotype" w:eastAsia="Palatino Linotype" w:hAnsi="Palatino Linotype" w:cs="Palatino Linotype"/>
          <w:color w:val="000000"/>
        </w:rPr>
        <w:t>la presente resolución al Titular de la Unidad de Transparencia del</w:t>
      </w:r>
      <w:r w:rsidRPr="00E4092B">
        <w:rPr>
          <w:rFonts w:ascii="Palatino Linotype" w:eastAsia="Palatino Linotype" w:hAnsi="Palatino Linotype" w:cs="Palatino Linotype"/>
          <w:b/>
          <w:bCs/>
          <w:color w:val="000000"/>
        </w:rPr>
        <w:t xml:space="preserve"> SUJETO OBLIGADO.</w:t>
      </w:r>
    </w:p>
    <w:p w:rsidR="00855AFD" w:rsidRPr="00E4092B" w:rsidRDefault="00855AFD">
      <w:pPr>
        <w:pBdr>
          <w:top w:val="nil"/>
          <w:left w:val="nil"/>
          <w:bottom w:val="nil"/>
          <w:right w:val="nil"/>
          <w:between w:val="nil"/>
        </w:pBdr>
        <w:jc w:val="both"/>
        <w:rPr>
          <w:rFonts w:ascii="Palatino Linotype" w:eastAsia="Palatino Linotype" w:hAnsi="Palatino Linotype" w:cs="Palatino Linotype"/>
          <w:color w:val="000000"/>
        </w:rPr>
      </w:pPr>
    </w:p>
    <w:p w:rsidR="00855AFD" w:rsidRPr="00E4092B" w:rsidRDefault="003554BF">
      <w:pPr>
        <w:tabs>
          <w:tab w:val="left" w:pos="8080"/>
        </w:tabs>
        <w:spacing w:line="360" w:lineRule="auto"/>
        <w:ind w:right="49"/>
        <w:jc w:val="both"/>
        <w:rPr>
          <w:rFonts w:ascii="Palatino Linotype" w:eastAsia="Palatino Linotype" w:hAnsi="Palatino Linotype" w:cs="Palatino Linotype"/>
          <w:b/>
          <w:bCs/>
        </w:rPr>
      </w:pPr>
      <w:r w:rsidRPr="00E4092B">
        <w:rPr>
          <w:rFonts w:ascii="Palatino Linotype" w:eastAsia="Palatino Linotype" w:hAnsi="Palatino Linotype" w:cs="Palatino Linotype"/>
          <w:b/>
          <w:bCs/>
        </w:rPr>
        <w:t xml:space="preserve">TERCERO. Notifíquese </w:t>
      </w:r>
      <w:r w:rsidRPr="00E4092B">
        <w:rPr>
          <w:rFonts w:ascii="Palatino Linotype" w:eastAsia="Palatino Linotype" w:hAnsi="Palatino Linotype" w:cs="Palatino Linotype"/>
        </w:rPr>
        <w:t>a</w:t>
      </w:r>
      <w:r w:rsidRPr="00E4092B">
        <w:rPr>
          <w:rFonts w:ascii="Palatino Linotype" w:eastAsia="Palatino Linotype" w:hAnsi="Palatino Linotype" w:cs="Palatino Linotype"/>
          <w:b/>
          <w:bCs/>
        </w:rPr>
        <w:t xml:space="preserve"> </w:t>
      </w:r>
      <w:r w:rsidRPr="00E4092B">
        <w:rPr>
          <w:rFonts w:ascii="Palatino Linotype" w:eastAsia="Palatino Linotype" w:hAnsi="Palatino Linotype" w:cs="Palatino Linotype"/>
        </w:rPr>
        <w:t xml:space="preserve">la parte </w:t>
      </w:r>
      <w:r w:rsidRPr="00E4092B">
        <w:rPr>
          <w:rFonts w:ascii="Palatino Linotype" w:eastAsia="Palatino Linotype" w:hAnsi="Palatino Linotype" w:cs="Palatino Linotype"/>
          <w:b/>
          <w:bCs/>
        </w:rPr>
        <w:t>RECURRENTE</w:t>
      </w:r>
      <w:r w:rsidRPr="00E4092B">
        <w:rPr>
          <w:rFonts w:ascii="Palatino Linotype" w:eastAsia="Palatino Linotype" w:hAnsi="Palatino Linotype" w:cs="Palatino Linotype"/>
        </w:rPr>
        <w:t xml:space="preserve"> la presente resolución a través del Sistema de Acceso a la Información Mexiquense </w:t>
      </w:r>
      <w:r w:rsidRPr="00E4092B">
        <w:rPr>
          <w:rFonts w:ascii="Palatino Linotype" w:eastAsia="Palatino Linotype" w:hAnsi="Palatino Linotype" w:cs="Palatino Linotype"/>
          <w:b/>
          <w:bCs/>
        </w:rPr>
        <w:t>(SAIMEX).</w:t>
      </w:r>
    </w:p>
    <w:p w:rsidR="00855AFD" w:rsidRPr="00E4092B" w:rsidRDefault="00855AFD">
      <w:pPr>
        <w:tabs>
          <w:tab w:val="left" w:pos="8080"/>
        </w:tabs>
        <w:ind w:right="49"/>
        <w:jc w:val="both"/>
        <w:rPr>
          <w:rFonts w:ascii="Palatino Linotype" w:eastAsia="Palatino Linotype" w:hAnsi="Palatino Linotype" w:cs="Palatino Linotype"/>
          <w:b/>
          <w:bCs/>
        </w:rPr>
      </w:pPr>
    </w:p>
    <w:p w:rsidR="00855AFD" w:rsidRPr="00E4092B" w:rsidRDefault="003554BF">
      <w:pPr>
        <w:shd w:val="clear" w:color="auto" w:fill="FFFFFF"/>
        <w:spacing w:line="360" w:lineRule="auto"/>
        <w:jc w:val="both"/>
        <w:rPr>
          <w:rFonts w:ascii="Palatino Linotype" w:eastAsia="Palatino Linotype" w:hAnsi="Palatino Linotype" w:cs="Palatino Linotype"/>
        </w:rPr>
      </w:pPr>
      <w:r w:rsidRPr="00E4092B">
        <w:rPr>
          <w:rFonts w:ascii="Palatino Linotype" w:eastAsia="Palatino Linotype" w:hAnsi="Palatino Linotype" w:cs="Palatino Linotype"/>
          <w:b/>
          <w:bCs/>
        </w:rPr>
        <w:t xml:space="preserve">CUARTO. </w:t>
      </w:r>
      <w:r w:rsidRPr="00E4092B">
        <w:rPr>
          <w:rFonts w:ascii="Palatino Linotype" w:eastAsia="Palatino Linotype" w:hAnsi="Palatino Linotype" w:cs="Palatino Linotype"/>
        </w:rPr>
        <w:t xml:space="preserve">Se hace del conocimiento de la parte </w:t>
      </w:r>
      <w:r w:rsidRPr="00E4092B">
        <w:rPr>
          <w:rFonts w:ascii="Palatino Linotype" w:eastAsia="Palatino Linotype" w:hAnsi="Palatino Linotype" w:cs="Palatino Linotype"/>
          <w:b/>
          <w:bCs/>
        </w:rPr>
        <w:t>RECURRENTE</w:t>
      </w:r>
      <w:r w:rsidRPr="00E4092B">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855AFD" w:rsidRPr="00E4092B" w:rsidRDefault="00855AFD">
      <w:pPr>
        <w:shd w:val="clear" w:color="auto" w:fill="FFFFFF"/>
        <w:spacing w:line="360" w:lineRule="auto"/>
        <w:jc w:val="both"/>
        <w:rPr>
          <w:rFonts w:ascii="Palatino Linotype" w:eastAsia="Palatino Linotype" w:hAnsi="Palatino Linotype" w:cs="Palatino Linotype"/>
        </w:rPr>
      </w:pPr>
    </w:p>
    <w:p w:rsidR="00855AFD" w:rsidRPr="00E4092B" w:rsidRDefault="003554BF">
      <w:pPr>
        <w:spacing w:line="360" w:lineRule="auto"/>
        <w:jc w:val="both"/>
        <w:rPr>
          <w:rFonts w:ascii="Palatino Linotype" w:eastAsia="Palatino Linotype" w:hAnsi="Palatino Linotype" w:cs="Palatino Linotype"/>
        </w:rPr>
      </w:pPr>
      <w:r w:rsidRPr="00E4092B">
        <w:rPr>
          <w:rFonts w:ascii="Palatino Linotype" w:eastAsia="Palatino Linotype" w:hAnsi="Palatino Linotype" w:cs="Palatino Linotype"/>
          <w:b/>
          <w:bCs/>
        </w:rPr>
        <w:t>QUINTO. Gírese</w:t>
      </w:r>
      <w:r w:rsidRPr="00E4092B">
        <w:rPr>
          <w:rFonts w:ascii="Palatino Linotype" w:eastAsia="Palatino Linotype" w:hAnsi="Palatino Linotype" w:cs="Palatino Linotype"/>
        </w:rPr>
        <w:t xml:space="preserve"> oficio al Titular de la Dirección General de Protección de Datos Personales, en atención al artículo 82, fracción XXVII de la Ley de Protección de Datos Personales del Estado de México y Municipios en términos de lo señalado en el </w:t>
      </w:r>
      <w:r w:rsidRPr="00E4092B">
        <w:rPr>
          <w:rFonts w:ascii="Palatino Linotype" w:eastAsia="Palatino Linotype" w:hAnsi="Palatino Linotype" w:cs="Palatino Linotype"/>
          <w:b/>
          <w:bCs/>
        </w:rPr>
        <w:t>Considerando CUARTO</w:t>
      </w:r>
      <w:r w:rsidRPr="00E4092B">
        <w:rPr>
          <w:rFonts w:ascii="Palatino Linotype" w:eastAsia="Palatino Linotype" w:hAnsi="Palatino Linotype" w:cs="Palatino Linotype"/>
        </w:rPr>
        <w:t xml:space="preserve"> de la presente resolución</w:t>
      </w:r>
    </w:p>
    <w:p w:rsidR="00855AFD" w:rsidRPr="00E4092B" w:rsidRDefault="00855AFD">
      <w:pPr>
        <w:shd w:val="clear" w:color="auto" w:fill="FFFFFF"/>
        <w:jc w:val="both"/>
        <w:rPr>
          <w:rFonts w:ascii="Palatino Linotype" w:eastAsia="Palatino Linotype" w:hAnsi="Palatino Linotype" w:cs="Palatino Linotype"/>
        </w:rPr>
      </w:pPr>
    </w:p>
    <w:p w:rsidR="00EB3BA3" w:rsidRPr="00E4092B" w:rsidRDefault="00EB3BA3" w:rsidP="00EB3BA3">
      <w:pPr>
        <w:spacing w:before="240" w:after="240" w:line="360" w:lineRule="auto"/>
        <w:ind w:firstLine="1"/>
        <w:jc w:val="both"/>
        <w:rPr>
          <w:rFonts w:ascii="Palatino Linotype" w:hAnsi="Palatino Linotype"/>
        </w:rPr>
      </w:pPr>
      <w:bookmarkStart w:id="12" w:name="_heading=h.k06rde75t38" w:colFirst="0" w:colLast="0"/>
      <w:bookmarkStart w:id="13" w:name="_Hlk99014733"/>
      <w:bookmarkEnd w:id="12"/>
      <w:r w:rsidRPr="00E4092B">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QUINTA SESIÓN ORDINARIA, CELEBRADA EL ONCE (11) DE FEBRERO DE DOS MIL VEINTISÉIS, ANTE EL SECRETARIO TÉCNICO DEL PLENO </w:t>
      </w:r>
      <w:r w:rsidRPr="00E4092B">
        <w:rPr>
          <w:rFonts w:ascii="Palatino Linotype" w:hAnsi="Palatino Linotype" w:cs="Palatino Linotype"/>
          <w:color w:val="000000" w:themeColor="text1"/>
        </w:rPr>
        <w:t>ALEXIS TAPIA RAMÍREZ.</w:t>
      </w:r>
    </w:p>
    <w:bookmarkEnd w:id="13"/>
    <w:p w:rsidR="00855AFD" w:rsidRPr="00E4092B" w:rsidRDefault="00855AFD" w:rsidP="00EB3BA3">
      <w:pPr>
        <w:spacing w:line="360" w:lineRule="auto"/>
        <w:jc w:val="both"/>
        <w:rPr>
          <w:rFonts w:ascii="Palatino Linotype" w:eastAsia="Palatino Linotype" w:hAnsi="Palatino Linotype" w:cs="Palatino Linotype"/>
        </w:rPr>
      </w:pPr>
    </w:p>
    <w:p w:rsidR="00855AFD" w:rsidRPr="00E4092B" w:rsidRDefault="00855AFD" w:rsidP="00EB3BA3">
      <w:pPr>
        <w:spacing w:line="360" w:lineRule="auto"/>
        <w:jc w:val="both"/>
        <w:rPr>
          <w:rFonts w:ascii="Palatino Linotype" w:eastAsia="Palatino Linotype" w:hAnsi="Palatino Linotype" w:cs="Palatino Linotype"/>
        </w:rPr>
      </w:pPr>
    </w:p>
    <w:p w:rsidR="00855AFD" w:rsidRPr="00E4092B" w:rsidRDefault="00855AFD">
      <w:pPr>
        <w:spacing w:line="360" w:lineRule="auto"/>
        <w:ind w:right="-592"/>
        <w:jc w:val="both"/>
        <w:rPr>
          <w:rFonts w:ascii="Palatino Linotype" w:eastAsia="Palatino Linotype" w:hAnsi="Palatino Linotype" w:cs="Palatino Linotype"/>
        </w:rPr>
      </w:pPr>
    </w:p>
    <w:p w:rsidR="00855AFD" w:rsidRPr="00E4092B" w:rsidRDefault="00855AFD">
      <w:pPr>
        <w:spacing w:line="360" w:lineRule="auto"/>
        <w:ind w:right="-592"/>
        <w:jc w:val="both"/>
        <w:rPr>
          <w:rFonts w:ascii="Palatino Linotype" w:eastAsia="Palatino Linotype" w:hAnsi="Palatino Linotype" w:cs="Palatino Linotype"/>
        </w:rPr>
      </w:pPr>
    </w:p>
    <w:p w:rsidR="00855AFD" w:rsidRPr="00E4092B" w:rsidRDefault="00855AFD">
      <w:pPr>
        <w:spacing w:line="360" w:lineRule="auto"/>
        <w:ind w:right="-592"/>
        <w:jc w:val="both"/>
        <w:rPr>
          <w:rFonts w:ascii="Palatino Linotype" w:eastAsia="Palatino Linotype" w:hAnsi="Palatino Linotype" w:cs="Palatino Linotype"/>
        </w:rPr>
      </w:pPr>
    </w:p>
    <w:p w:rsidR="00855AFD" w:rsidRPr="00E4092B" w:rsidRDefault="00855AFD">
      <w:pPr>
        <w:spacing w:line="360" w:lineRule="auto"/>
        <w:ind w:right="-592"/>
        <w:jc w:val="both"/>
        <w:rPr>
          <w:rFonts w:ascii="Palatino Linotype" w:eastAsia="Palatino Linotype" w:hAnsi="Palatino Linotype" w:cs="Palatino Linotype"/>
        </w:rPr>
      </w:pPr>
    </w:p>
    <w:p w:rsidR="00855AFD" w:rsidRPr="00E4092B" w:rsidRDefault="00855AFD">
      <w:pPr>
        <w:spacing w:line="360" w:lineRule="auto"/>
        <w:ind w:right="-592"/>
        <w:jc w:val="both"/>
        <w:rPr>
          <w:rFonts w:ascii="Palatino Linotype" w:eastAsia="Palatino Linotype" w:hAnsi="Palatino Linotype" w:cs="Palatino Linotype"/>
        </w:rPr>
      </w:pPr>
    </w:p>
    <w:p w:rsidR="00855AFD" w:rsidRPr="00E4092B" w:rsidRDefault="00855AFD">
      <w:pPr>
        <w:spacing w:line="360" w:lineRule="auto"/>
        <w:ind w:right="-592"/>
        <w:rPr>
          <w:rFonts w:ascii="Palatino Linotype" w:eastAsia="Palatino Linotype" w:hAnsi="Palatino Linotype" w:cs="Palatino Linotype"/>
        </w:rPr>
      </w:pPr>
    </w:p>
    <w:p w:rsidR="00855AFD" w:rsidRPr="00E4092B" w:rsidRDefault="00855AFD">
      <w:pPr>
        <w:spacing w:line="360" w:lineRule="auto"/>
        <w:ind w:right="-592"/>
        <w:rPr>
          <w:rFonts w:ascii="Palatino Linotype" w:eastAsia="Palatino Linotype" w:hAnsi="Palatino Linotype" w:cs="Palatino Linotype"/>
        </w:rPr>
      </w:pPr>
    </w:p>
    <w:p w:rsidR="00855AFD" w:rsidRPr="00E4092B" w:rsidRDefault="00855AFD">
      <w:pPr>
        <w:spacing w:line="360" w:lineRule="auto"/>
        <w:ind w:right="-592"/>
        <w:rPr>
          <w:rFonts w:ascii="Palatino Linotype" w:eastAsia="Palatino Linotype" w:hAnsi="Palatino Linotype" w:cs="Palatino Linotype"/>
        </w:rPr>
      </w:pPr>
    </w:p>
    <w:p w:rsidR="00855AFD" w:rsidRPr="00E4092B" w:rsidRDefault="00855AFD">
      <w:pPr>
        <w:spacing w:line="360" w:lineRule="auto"/>
        <w:ind w:right="-592"/>
        <w:rPr>
          <w:rFonts w:ascii="Palatino Linotype" w:eastAsia="Palatino Linotype" w:hAnsi="Palatino Linotype" w:cs="Palatino Linotype"/>
        </w:rPr>
      </w:pPr>
    </w:p>
    <w:p w:rsidR="00855AFD" w:rsidRPr="00E4092B" w:rsidRDefault="00855AFD">
      <w:pPr>
        <w:spacing w:line="360" w:lineRule="auto"/>
        <w:ind w:right="-592"/>
        <w:rPr>
          <w:rFonts w:ascii="Palatino Linotype" w:eastAsia="Palatino Linotype" w:hAnsi="Palatino Linotype" w:cs="Palatino Linotype"/>
        </w:rPr>
      </w:pPr>
    </w:p>
    <w:p w:rsidR="00855AFD" w:rsidRPr="00E4092B" w:rsidRDefault="00855AFD">
      <w:pPr>
        <w:spacing w:line="360" w:lineRule="auto"/>
        <w:ind w:right="-592"/>
        <w:rPr>
          <w:rFonts w:ascii="Palatino Linotype" w:eastAsia="Palatino Linotype" w:hAnsi="Palatino Linotype" w:cs="Palatino Linotype"/>
        </w:rPr>
      </w:pPr>
    </w:p>
    <w:p w:rsidR="00C511EE" w:rsidRPr="00E4092B" w:rsidRDefault="00C511EE">
      <w:pPr>
        <w:spacing w:line="360" w:lineRule="auto"/>
        <w:ind w:right="-592"/>
        <w:rPr>
          <w:rFonts w:ascii="Palatino Linotype" w:eastAsia="Palatino Linotype" w:hAnsi="Palatino Linotype" w:cs="Palatino Linotype"/>
        </w:rPr>
      </w:pPr>
    </w:p>
    <w:p w:rsidR="00C511EE" w:rsidRPr="00E4092B" w:rsidRDefault="00C511EE">
      <w:pPr>
        <w:spacing w:line="360" w:lineRule="auto"/>
        <w:ind w:right="-592"/>
        <w:rPr>
          <w:rFonts w:ascii="Palatino Linotype" w:eastAsia="Palatino Linotype" w:hAnsi="Palatino Linotype" w:cs="Palatino Linotype"/>
        </w:rPr>
      </w:pPr>
    </w:p>
    <w:p w:rsidR="00C511EE" w:rsidRPr="00E4092B" w:rsidRDefault="00C511EE">
      <w:pPr>
        <w:spacing w:line="360" w:lineRule="auto"/>
        <w:ind w:right="-592"/>
        <w:rPr>
          <w:rFonts w:ascii="Palatino Linotype" w:eastAsia="Palatino Linotype" w:hAnsi="Palatino Linotype" w:cs="Palatino Linotype"/>
        </w:rPr>
      </w:pPr>
    </w:p>
    <w:p w:rsidR="00C511EE" w:rsidRPr="00E4092B" w:rsidRDefault="00C511EE">
      <w:pPr>
        <w:spacing w:line="360" w:lineRule="auto"/>
        <w:ind w:right="-592"/>
        <w:rPr>
          <w:rFonts w:ascii="Palatino Linotype" w:eastAsia="Palatino Linotype" w:hAnsi="Palatino Linotype" w:cs="Palatino Linotype"/>
        </w:rPr>
      </w:pPr>
    </w:p>
    <w:p w:rsidR="00C511EE" w:rsidRPr="00E4092B" w:rsidRDefault="00C511EE">
      <w:pPr>
        <w:spacing w:line="360" w:lineRule="auto"/>
        <w:ind w:right="-592"/>
        <w:rPr>
          <w:rFonts w:ascii="Palatino Linotype" w:eastAsia="Palatino Linotype" w:hAnsi="Palatino Linotype" w:cs="Palatino Linotype"/>
        </w:rPr>
      </w:pPr>
    </w:p>
    <w:p w:rsidR="00855AFD" w:rsidRPr="00E4092B" w:rsidRDefault="00855AFD">
      <w:pPr>
        <w:ind w:right="-592"/>
        <w:rPr>
          <w:rFonts w:ascii="Palatino Linotype" w:eastAsia="Palatino Linotype" w:hAnsi="Palatino Linotype" w:cs="Palatino Linotype"/>
        </w:rPr>
      </w:pPr>
    </w:p>
    <w:p w:rsidR="00855AFD" w:rsidRPr="00E4092B" w:rsidRDefault="00855AFD">
      <w:pPr>
        <w:ind w:right="-592"/>
        <w:rPr>
          <w:rFonts w:ascii="Palatino Linotype" w:eastAsia="Palatino Linotype" w:hAnsi="Palatino Linotype" w:cs="Palatino Linotype"/>
        </w:rPr>
      </w:pPr>
    </w:p>
    <w:p w:rsidR="00855AFD" w:rsidRPr="00E4092B" w:rsidRDefault="00855AFD">
      <w:pPr>
        <w:ind w:right="-592"/>
        <w:rPr>
          <w:rFonts w:ascii="Palatino Linotype" w:eastAsia="Palatino Linotype" w:hAnsi="Palatino Linotype" w:cs="Palatino Linotype"/>
        </w:rPr>
      </w:pPr>
    </w:p>
    <w:sectPr w:rsidR="00855AFD" w:rsidRPr="00E4092B" w:rsidSect="00E4092B">
      <w:headerReference w:type="even" r:id="rId10"/>
      <w:headerReference w:type="default" r:id="rId11"/>
      <w:footerReference w:type="default" r:id="rId12"/>
      <w:headerReference w:type="first" r:id="rId13"/>
      <w:footerReference w:type="first" r:id="rId14"/>
      <w:pgSz w:w="12240" w:h="15840"/>
      <w:pgMar w:top="80" w:right="616"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7D7C" w:rsidRDefault="00297D7C">
      <w:r>
        <w:separator/>
      </w:r>
    </w:p>
  </w:endnote>
  <w:endnote w:type="continuationSeparator" w:id="0">
    <w:p w:rsidR="00297D7C" w:rsidRDefault="00297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1" w:fontKey="{A44F6289-66AF-4E33-9801-414739DD786E}"/>
    <w:embedBold r:id="rId2" w:fontKey="{5F23702B-0461-4DFB-AAE2-7BE04FF41AE6}"/>
    <w:embedItalic r:id="rId3" w:fontKey="{EC881A2D-0DD5-4290-9D0A-4471B57D9CC2}"/>
    <w:embedBoldItalic r:id="rId4" w:fontKey="{6950B4E1-CBBA-4B5E-BA0A-4A3D8D7D399B}"/>
  </w:font>
  <w:font w:name="Noto Sans Symbols">
    <w:altName w:val="Times New Roman"/>
    <w:charset w:val="00"/>
    <w:family w:val="auto"/>
    <w:pitch w:val="default"/>
    <w:embedRegular r:id="rId5" w:fontKey="{AD57A169-03CD-43D5-8953-13110AB260DB}"/>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6" w:fontKey="{6F7AB8A4-3075-4946-8398-1DC48718FC05}"/>
    <w:embedBold r:id="rId7" w:fontKey="{D6CE4345-6516-40D5-97FF-27BACBEFACA8}"/>
  </w:font>
  <w:font w:name="Calibri Light">
    <w:panose1 w:val="020F0302020204030204"/>
    <w:charset w:val="00"/>
    <w:family w:val="swiss"/>
    <w:pitch w:val="variable"/>
    <w:sig w:usb0="E4002EFF" w:usb1="C200247B" w:usb2="00000009" w:usb3="00000000" w:csb0="000001FF" w:csb1="00000000"/>
    <w:embedRegular r:id="rId8" w:fontKey="{B2980B05-FDEE-456D-A795-507ADD4DD4F3}"/>
  </w:font>
  <w:font w:name="Century Gothic">
    <w:panose1 w:val="020B0502020202020204"/>
    <w:charset w:val="00"/>
    <w:family w:val="swiss"/>
    <w:pitch w:val="variable"/>
    <w:sig w:usb0="00000287" w:usb1="00000000" w:usb2="00000000" w:usb3="00000000" w:csb0="0000009F" w:csb1="00000000"/>
    <w:embedRegular r:id="rId9" w:fontKey="{5929EE5F-1F73-43F4-B178-C85F5F2D0EA7}"/>
  </w:font>
  <w:font w:name="Segoe UI">
    <w:panose1 w:val="020B0502040204020203"/>
    <w:charset w:val="00"/>
    <w:family w:val="swiss"/>
    <w:pitch w:val="variable"/>
    <w:sig w:usb0="E4002EFF" w:usb1="C000E47F" w:usb2="00000009" w:usb3="00000000" w:csb0="000001FF" w:csb1="00000000"/>
    <w:embedRegular r:id="rId10" w:fontKey="{E0CED560-E4E2-4FE7-B433-CC9DAA967637}"/>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1" w:fontKey="{F6A0292E-05D3-4B7E-8EA2-248EEC2B1823}"/>
  </w:font>
  <w:font w:name="Garamond">
    <w:panose1 w:val="02020404030301010803"/>
    <w:charset w:val="00"/>
    <w:family w:val="roman"/>
    <w:pitch w:val="variable"/>
    <w:sig w:usb0="00000287" w:usb1="00000000" w:usb2="00000000" w:usb3="00000000" w:csb0="0000009F" w:csb1="00000000"/>
    <w:embedRegular r:id="rId12" w:fontKey="{52B52CD0-1908-4272-A5D2-2D2DAE44F95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AFD" w:rsidRPr="00E4092B" w:rsidRDefault="003554BF">
    <w:pPr>
      <w:pBdr>
        <w:top w:val="nil"/>
        <w:left w:val="nil"/>
        <w:bottom w:val="nil"/>
        <w:right w:val="nil"/>
        <w:between w:val="nil"/>
      </w:pBdr>
      <w:tabs>
        <w:tab w:val="center" w:pos="4419"/>
        <w:tab w:val="right" w:pos="8838"/>
      </w:tabs>
      <w:jc w:val="right"/>
      <w:rPr>
        <w:rFonts w:ascii="Palatino Linotype" w:hAnsi="Palatino Linotype"/>
        <w:b/>
        <w:color w:val="000000"/>
        <w:sz w:val="22"/>
      </w:rPr>
    </w:pPr>
    <w:r w:rsidRPr="00E4092B">
      <w:rPr>
        <w:rFonts w:ascii="Palatino Linotype" w:hAnsi="Palatino Linotype"/>
        <w:b/>
        <w:color w:val="000000"/>
        <w:sz w:val="22"/>
      </w:rPr>
      <w:t xml:space="preserve">Página </w:t>
    </w:r>
    <w:r w:rsidRPr="00E4092B">
      <w:rPr>
        <w:rFonts w:ascii="Palatino Linotype" w:hAnsi="Palatino Linotype"/>
        <w:b/>
        <w:bCs/>
        <w:color w:val="000000"/>
        <w:sz w:val="22"/>
      </w:rPr>
      <w:fldChar w:fldCharType="begin"/>
    </w:r>
    <w:r w:rsidRPr="00E4092B">
      <w:rPr>
        <w:rFonts w:ascii="Palatino Linotype" w:hAnsi="Palatino Linotype"/>
        <w:b/>
        <w:bCs/>
        <w:color w:val="000000"/>
        <w:sz w:val="22"/>
      </w:rPr>
      <w:instrText>PAGE</w:instrText>
    </w:r>
    <w:r w:rsidRPr="00E4092B">
      <w:rPr>
        <w:rFonts w:ascii="Palatino Linotype" w:hAnsi="Palatino Linotype"/>
        <w:b/>
        <w:bCs/>
        <w:color w:val="000000"/>
        <w:sz w:val="22"/>
      </w:rPr>
      <w:fldChar w:fldCharType="separate"/>
    </w:r>
    <w:r w:rsidR="009667FD">
      <w:rPr>
        <w:rFonts w:ascii="Palatino Linotype" w:hAnsi="Palatino Linotype"/>
        <w:b/>
        <w:bCs/>
        <w:noProof/>
        <w:color w:val="000000"/>
        <w:sz w:val="22"/>
      </w:rPr>
      <w:t>18</w:t>
    </w:r>
    <w:r w:rsidRPr="00E4092B">
      <w:rPr>
        <w:rFonts w:ascii="Palatino Linotype" w:hAnsi="Palatino Linotype"/>
        <w:b/>
        <w:bCs/>
        <w:color w:val="000000"/>
        <w:sz w:val="22"/>
      </w:rPr>
      <w:fldChar w:fldCharType="end"/>
    </w:r>
    <w:r w:rsidRPr="00E4092B">
      <w:rPr>
        <w:rFonts w:ascii="Palatino Linotype" w:hAnsi="Palatino Linotype"/>
        <w:b/>
        <w:color w:val="000000"/>
        <w:sz w:val="22"/>
      </w:rPr>
      <w:t xml:space="preserve"> de </w:t>
    </w:r>
    <w:r w:rsidRPr="00E4092B">
      <w:rPr>
        <w:rFonts w:ascii="Palatino Linotype" w:hAnsi="Palatino Linotype"/>
        <w:b/>
        <w:bCs/>
        <w:color w:val="000000"/>
        <w:sz w:val="22"/>
      </w:rPr>
      <w:fldChar w:fldCharType="begin"/>
    </w:r>
    <w:r w:rsidRPr="00E4092B">
      <w:rPr>
        <w:rFonts w:ascii="Palatino Linotype" w:hAnsi="Palatino Linotype"/>
        <w:b/>
        <w:bCs/>
        <w:color w:val="000000"/>
        <w:sz w:val="22"/>
      </w:rPr>
      <w:instrText>NUMPAGES</w:instrText>
    </w:r>
    <w:r w:rsidRPr="00E4092B">
      <w:rPr>
        <w:rFonts w:ascii="Palatino Linotype" w:hAnsi="Palatino Linotype"/>
        <w:b/>
        <w:bCs/>
        <w:color w:val="000000"/>
        <w:sz w:val="22"/>
      </w:rPr>
      <w:fldChar w:fldCharType="separate"/>
    </w:r>
    <w:r w:rsidR="009667FD">
      <w:rPr>
        <w:rFonts w:ascii="Palatino Linotype" w:hAnsi="Palatino Linotype"/>
        <w:b/>
        <w:bCs/>
        <w:noProof/>
        <w:color w:val="000000"/>
        <w:sz w:val="22"/>
      </w:rPr>
      <w:t>18</w:t>
    </w:r>
    <w:r w:rsidRPr="00E4092B">
      <w:rPr>
        <w:rFonts w:ascii="Palatino Linotype" w:hAnsi="Palatino Linotype"/>
        <w:b/>
        <w:bCs/>
        <w:color w:val="000000"/>
        <w:sz w:val="22"/>
      </w:rPr>
      <w:fldChar w:fldCharType="end"/>
    </w:r>
  </w:p>
  <w:p w:rsidR="00855AFD" w:rsidRDefault="00855AFD">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AFD" w:rsidRPr="00E4092B" w:rsidRDefault="003554BF">
    <w:pPr>
      <w:pBdr>
        <w:top w:val="nil"/>
        <w:left w:val="nil"/>
        <w:bottom w:val="nil"/>
        <w:right w:val="nil"/>
        <w:between w:val="nil"/>
      </w:pBdr>
      <w:tabs>
        <w:tab w:val="center" w:pos="4419"/>
        <w:tab w:val="right" w:pos="8838"/>
      </w:tabs>
      <w:jc w:val="right"/>
      <w:rPr>
        <w:rFonts w:ascii="Palatino Linotype" w:hAnsi="Palatino Linotype"/>
        <w:b/>
        <w:color w:val="000000"/>
        <w:sz w:val="22"/>
      </w:rPr>
    </w:pPr>
    <w:r w:rsidRPr="00E4092B">
      <w:rPr>
        <w:rFonts w:ascii="Palatino Linotype" w:hAnsi="Palatino Linotype"/>
        <w:b/>
        <w:color w:val="000000"/>
        <w:sz w:val="22"/>
      </w:rPr>
      <w:t xml:space="preserve">Página </w:t>
    </w:r>
    <w:r w:rsidR="009667FD">
      <w:rPr>
        <w:rFonts w:ascii="Palatino Linotype" w:hAnsi="Palatino Linotype"/>
        <w:b/>
        <w:color w:val="000000"/>
        <w:sz w:val="22"/>
      </w:rPr>
      <w:t>1</w:t>
    </w:r>
    <w:r w:rsidRPr="00E4092B">
      <w:rPr>
        <w:rFonts w:ascii="Palatino Linotype" w:hAnsi="Palatino Linotype"/>
        <w:b/>
        <w:color w:val="000000"/>
        <w:sz w:val="22"/>
      </w:rPr>
      <w:t xml:space="preserve"> de </w:t>
    </w:r>
    <w:r w:rsidRPr="00E4092B">
      <w:rPr>
        <w:rFonts w:ascii="Palatino Linotype" w:hAnsi="Palatino Linotype"/>
        <w:b/>
        <w:bCs/>
        <w:color w:val="000000"/>
        <w:sz w:val="22"/>
      </w:rPr>
      <w:fldChar w:fldCharType="begin"/>
    </w:r>
    <w:r w:rsidRPr="00E4092B">
      <w:rPr>
        <w:rFonts w:ascii="Palatino Linotype" w:hAnsi="Palatino Linotype"/>
        <w:b/>
        <w:bCs/>
        <w:color w:val="000000"/>
        <w:sz w:val="22"/>
      </w:rPr>
      <w:instrText>NUMPAGES</w:instrText>
    </w:r>
    <w:r w:rsidRPr="00E4092B">
      <w:rPr>
        <w:rFonts w:ascii="Palatino Linotype" w:hAnsi="Palatino Linotype"/>
        <w:b/>
        <w:bCs/>
        <w:color w:val="000000"/>
        <w:sz w:val="22"/>
      </w:rPr>
      <w:fldChar w:fldCharType="separate"/>
    </w:r>
    <w:r w:rsidR="009667FD">
      <w:rPr>
        <w:rFonts w:ascii="Palatino Linotype" w:hAnsi="Palatino Linotype"/>
        <w:b/>
        <w:bCs/>
        <w:noProof/>
        <w:color w:val="000000"/>
        <w:sz w:val="22"/>
      </w:rPr>
      <w:t>18</w:t>
    </w:r>
    <w:r w:rsidRPr="00E4092B">
      <w:rPr>
        <w:rFonts w:ascii="Palatino Linotype" w:hAnsi="Palatino Linotype"/>
        <w:b/>
        <w:bCs/>
        <w:color w:val="000000"/>
        <w:sz w:val="22"/>
      </w:rPr>
      <w:fldChar w:fldCharType="end"/>
    </w:r>
  </w:p>
  <w:p w:rsidR="00855AFD" w:rsidRDefault="00855AFD">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7D7C" w:rsidRDefault="00297D7C">
      <w:r>
        <w:separator/>
      </w:r>
    </w:p>
  </w:footnote>
  <w:footnote w:type="continuationSeparator" w:id="0">
    <w:p w:rsidR="00297D7C" w:rsidRDefault="00297D7C">
      <w:r>
        <w:continuationSeparator/>
      </w:r>
    </w:p>
  </w:footnote>
  <w:footnote w:id="1">
    <w:p w:rsidR="00855AFD" w:rsidRDefault="003554B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Artículo 50, Ley de Transparencia y Acceso a la Información Pública del Estado de México y Municipios.</w:t>
      </w:r>
    </w:p>
  </w:footnote>
  <w:footnote w:id="2">
    <w:p w:rsidR="00855AFD" w:rsidRDefault="003554B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Artículo 51, Ídem.</w:t>
      </w:r>
    </w:p>
  </w:footnote>
  <w:footnote w:id="3">
    <w:p w:rsidR="00855AFD" w:rsidRDefault="003554B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Artículo 58, Ley de Transparencia y Acceso a la Información Pública del Estado de México y Municipios.</w:t>
      </w:r>
    </w:p>
  </w:footnote>
  <w:footnote w:id="4">
    <w:p w:rsidR="00855AFD" w:rsidRDefault="003554B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Artículo 59, Ídem.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AFD" w:rsidRDefault="00297D7C">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1"/>
      <w:tblW w:w="10348" w:type="dxa"/>
      <w:tblInd w:w="0" w:type="dxa"/>
      <w:tblLayout w:type="fixed"/>
      <w:tblLook w:val="0400" w:firstRow="0" w:lastRow="0" w:firstColumn="0" w:lastColumn="0" w:noHBand="0" w:noVBand="1"/>
    </w:tblPr>
    <w:tblGrid>
      <w:gridCol w:w="2268"/>
      <w:gridCol w:w="8080"/>
    </w:tblGrid>
    <w:tr w:rsidR="00855AFD" w:rsidTr="00E4092B">
      <w:trPr>
        <w:trHeight w:val="1435"/>
      </w:trPr>
      <w:tc>
        <w:tcPr>
          <w:tcW w:w="2268" w:type="dxa"/>
          <w:shd w:val="clear" w:color="auto" w:fill="auto"/>
        </w:tcPr>
        <w:p w:rsidR="00855AFD" w:rsidRDefault="00855AFD">
          <w:pPr>
            <w:tabs>
              <w:tab w:val="right" w:pos="4273"/>
            </w:tabs>
            <w:rPr>
              <w:rFonts w:ascii="Garamond" w:eastAsia="Garamond" w:hAnsi="Garamond" w:cs="Garamond"/>
              <w:sz w:val="16"/>
              <w:szCs w:val="16"/>
            </w:rPr>
          </w:pPr>
        </w:p>
      </w:tc>
      <w:tc>
        <w:tcPr>
          <w:tcW w:w="8080" w:type="dxa"/>
          <w:shd w:val="clear" w:color="auto" w:fill="auto"/>
        </w:tcPr>
        <w:tbl>
          <w:tblPr>
            <w:tblStyle w:val="af2"/>
            <w:tblW w:w="7642" w:type="dxa"/>
            <w:tblInd w:w="40" w:type="dxa"/>
            <w:tblLayout w:type="fixed"/>
            <w:tblLook w:val="0400" w:firstRow="0" w:lastRow="0" w:firstColumn="0" w:lastColumn="0" w:noHBand="0" w:noVBand="1"/>
          </w:tblPr>
          <w:tblGrid>
            <w:gridCol w:w="3673"/>
            <w:gridCol w:w="3969"/>
          </w:tblGrid>
          <w:tr w:rsidR="00855AFD" w:rsidTr="00E4092B">
            <w:trPr>
              <w:trHeight w:val="150"/>
            </w:trPr>
            <w:tc>
              <w:tcPr>
                <w:tcW w:w="3673" w:type="dxa"/>
                <w:shd w:val="clear" w:color="auto" w:fill="auto"/>
              </w:tcPr>
              <w:p w:rsidR="00855AFD" w:rsidRPr="00E4092B" w:rsidRDefault="003554BF">
                <w:pPr>
                  <w:tabs>
                    <w:tab w:val="right" w:pos="8838"/>
                  </w:tabs>
                  <w:ind w:left="850" w:right="-105"/>
                  <w:jc w:val="both"/>
                  <w:rPr>
                    <w:rFonts w:ascii="Palatino Linotype" w:eastAsia="Palatino Linotype" w:hAnsi="Palatino Linotype" w:cs="Palatino Linotype"/>
                    <w:b/>
                    <w:bCs/>
                    <w:szCs w:val="18"/>
                  </w:rPr>
                </w:pPr>
                <w:r w:rsidRPr="00E4092B">
                  <w:rPr>
                    <w:rFonts w:ascii="Palatino Linotype" w:eastAsia="Palatino Linotype" w:hAnsi="Palatino Linotype" w:cs="Palatino Linotype"/>
                    <w:b/>
                    <w:bCs/>
                    <w:szCs w:val="18"/>
                  </w:rPr>
                  <w:t>Recurso de Revisión:</w:t>
                </w:r>
              </w:p>
            </w:tc>
            <w:tc>
              <w:tcPr>
                <w:tcW w:w="3969" w:type="dxa"/>
                <w:shd w:val="clear" w:color="auto" w:fill="auto"/>
              </w:tcPr>
              <w:p w:rsidR="00855AFD" w:rsidRPr="00E4092B" w:rsidRDefault="003554BF">
                <w:pPr>
                  <w:tabs>
                    <w:tab w:val="right" w:pos="8838"/>
                  </w:tabs>
                  <w:ind w:right="-781"/>
                  <w:jc w:val="both"/>
                  <w:rPr>
                    <w:rFonts w:ascii="Palatino Linotype" w:eastAsia="Palatino Linotype" w:hAnsi="Palatino Linotype" w:cs="Palatino Linotype"/>
                    <w:szCs w:val="18"/>
                  </w:rPr>
                </w:pPr>
                <w:r w:rsidRPr="00E4092B">
                  <w:rPr>
                    <w:rFonts w:ascii="Palatino Linotype" w:eastAsia="Palatino Linotype" w:hAnsi="Palatino Linotype" w:cs="Palatino Linotype"/>
                    <w:szCs w:val="18"/>
                  </w:rPr>
                  <w:t>06628/INFOEM/IP/RR/2025</w:t>
                </w:r>
              </w:p>
            </w:tc>
          </w:tr>
          <w:tr w:rsidR="00855AFD" w:rsidTr="00E4092B">
            <w:trPr>
              <w:trHeight w:val="295"/>
            </w:trPr>
            <w:tc>
              <w:tcPr>
                <w:tcW w:w="3673" w:type="dxa"/>
                <w:shd w:val="clear" w:color="auto" w:fill="auto"/>
              </w:tcPr>
              <w:p w:rsidR="00855AFD" w:rsidRPr="00E4092B" w:rsidRDefault="003554BF">
                <w:pPr>
                  <w:tabs>
                    <w:tab w:val="right" w:pos="8838"/>
                  </w:tabs>
                  <w:ind w:left="850" w:right="-105"/>
                  <w:jc w:val="both"/>
                  <w:rPr>
                    <w:rFonts w:ascii="Palatino Linotype" w:eastAsia="Palatino Linotype" w:hAnsi="Palatino Linotype" w:cs="Palatino Linotype"/>
                    <w:b/>
                    <w:bCs/>
                    <w:szCs w:val="18"/>
                  </w:rPr>
                </w:pPr>
                <w:r w:rsidRPr="00E4092B">
                  <w:rPr>
                    <w:rFonts w:ascii="Palatino Linotype" w:eastAsia="Palatino Linotype" w:hAnsi="Palatino Linotype" w:cs="Palatino Linotype"/>
                    <w:b/>
                    <w:bCs/>
                    <w:szCs w:val="18"/>
                  </w:rPr>
                  <w:t>Sujeto Obligado:</w:t>
                </w:r>
              </w:p>
            </w:tc>
            <w:tc>
              <w:tcPr>
                <w:tcW w:w="3969" w:type="dxa"/>
                <w:shd w:val="clear" w:color="auto" w:fill="auto"/>
              </w:tcPr>
              <w:p w:rsidR="00855AFD" w:rsidRPr="00E4092B" w:rsidRDefault="003554BF">
                <w:pPr>
                  <w:tabs>
                    <w:tab w:val="left" w:pos="3122"/>
                    <w:tab w:val="right" w:pos="8838"/>
                  </w:tabs>
                  <w:ind w:right="-1552"/>
                  <w:rPr>
                    <w:rFonts w:ascii="Palatino Linotype" w:eastAsia="Palatino Linotype" w:hAnsi="Palatino Linotype" w:cs="Palatino Linotype"/>
                    <w:szCs w:val="18"/>
                  </w:rPr>
                </w:pPr>
                <w:r w:rsidRPr="00E4092B">
                  <w:rPr>
                    <w:rFonts w:ascii="Palatino Linotype" w:eastAsia="Palatino Linotype" w:hAnsi="Palatino Linotype" w:cs="Palatino Linotype"/>
                    <w:szCs w:val="18"/>
                  </w:rPr>
                  <w:t xml:space="preserve">Secretaría de Educación, Ciencia, </w:t>
                </w:r>
              </w:p>
              <w:p w:rsidR="00855AFD" w:rsidRPr="00E4092B" w:rsidRDefault="003554BF">
                <w:pPr>
                  <w:tabs>
                    <w:tab w:val="left" w:pos="3122"/>
                    <w:tab w:val="right" w:pos="8838"/>
                  </w:tabs>
                  <w:ind w:right="-1552"/>
                  <w:rPr>
                    <w:rFonts w:ascii="Palatino Linotype" w:eastAsia="Palatino Linotype" w:hAnsi="Palatino Linotype" w:cs="Palatino Linotype"/>
                    <w:szCs w:val="18"/>
                  </w:rPr>
                </w:pPr>
                <w:r w:rsidRPr="00E4092B">
                  <w:rPr>
                    <w:rFonts w:ascii="Palatino Linotype" w:eastAsia="Palatino Linotype" w:hAnsi="Palatino Linotype" w:cs="Palatino Linotype"/>
                    <w:szCs w:val="18"/>
                  </w:rPr>
                  <w:t xml:space="preserve">Tecnología e Innovación </w:t>
                </w:r>
              </w:p>
            </w:tc>
          </w:tr>
          <w:tr w:rsidR="00855AFD" w:rsidTr="00E4092B">
            <w:trPr>
              <w:trHeight w:val="295"/>
            </w:trPr>
            <w:tc>
              <w:tcPr>
                <w:tcW w:w="3673" w:type="dxa"/>
                <w:shd w:val="clear" w:color="auto" w:fill="auto"/>
              </w:tcPr>
              <w:p w:rsidR="00855AFD" w:rsidRPr="00E4092B" w:rsidRDefault="003554BF">
                <w:pPr>
                  <w:tabs>
                    <w:tab w:val="right" w:pos="8838"/>
                  </w:tabs>
                  <w:ind w:left="850" w:right="-105"/>
                  <w:jc w:val="both"/>
                  <w:rPr>
                    <w:rFonts w:ascii="Palatino Linotype" w:eastAsia="Palatino Linotype" w:hAnsi="Palatino Linotype" w:cs="Palatino Linotype"/>
                    <w:b/>
                    <w:bCs/>
                    <w:szCs w:val="18"/>
                  </w:rPr>
                </w:pPr>
                <w:r w:rsidRPr="00E4092B">
                  <w:rPr>
                    <w:rFonts w:ascii="Palatino Linotype" w:eastAsia="Palatino Linotype" w:hAnsi="Palatino Linotype" w:cs="Palatino Linotype"/>
                    <w:b/>
                    <w:bCs/>
                    <w:szCs w:val="18"/>
                  </w:rPr>
                  <w:t>Comisionada ponente:</w:t>
                </w:r>
              </w:p>
            </w:tc>
            <w:tc>
              <w:tcPr>
                <w:tcW w:w="3969" w:type="dxa"/>
                <w:shd w:val="clear" w:color="auto" w:fill="auto"/>
              </w:tcPr>
              <w:p w:rsidR="00855AFD" w:rsidRPr="00E4092B" w:rsidRDefault="003554BF">
                <w:pPr>
                  <w:tabs>
                    <w:tab w:val="right" w:pos="8838"/>
                  </w:tabs>
                  <w:ind w:right="-781"/>
                  <w:jc w:val="both"/>
                  <w:rPr>
                    <w:rFonts w:ascii="Palatino Linotype" w:eastAsia="Palatino Linotype" w:hAnsi="Palatino Linotype" w:cs="Palatino Linotype"/>
                    <w:szCs w:val="18"/>
                  </w:rPr>
                </w:pPr>
                <w:r w:rsidRPr="00E4092B">
                  <w:rPr>
                    <w:rFonts w:ascii="Palatino Linotype" w:eastAsia="Palatino Linotype" w:hAnsi="Palatino Linotype" w:cs="Palatino Linotype"/>
                    <w:szCs w:val="18"/>
                  </w:rPr>
                  <w:t>María del Rosario Mejía Ayala</w:t>
                </w:r>
              </w:p>
              <w:p w:rsidR="00855AFD" w:rsidRPr="00E4092B" w:rsidRDefault="00855AFD">
                <w:pPr>
                  <w:tabs>
                    <w:tab w:val="right" w:pos="8838"/>
                  </w:tabs>
                  <w:ind w:left="141" w:right="-781"/>
                  <w:jc w:val="both"/>
                  <w:rPr>
                    <w:rFonts w:ascii="Palatino Linotype" w:eastAsia="Palatino Linotype" w:hAnsi="Palatino Linotype" w:cs="Palatino Linotype"/>
                    <w:szCs w:val="18"/>
                  </w:rPr>
                </w:pPr>
              </w:p>
            </w:tc>
          </w:tr>
        </w:tbl>
        <w:p w:rsidR="00855AFD" w:rsidRDefault="00855AFD">
          <w:pPr>
            <w:tabs>
              <w:tab w:val="right" w:pos="8838"/>
            </w:tabs>
            <w:ind w:left="-28"/>
            <w:jc w:val="both"/>
            <w:rPr>
              <w:rFonts w:ascii="Arial" w:eastAsia="Arial" w:hAnsi="Arial" w:cs="Arial"/>
              <w:b/>
              <w:bCs/>
              <w:sz w:val="18"/>
              <w:szCs w:val="18"/>
            </w:rPr>
          </w:pPr>
        </w:p>
      </w:tc>
    </w:tr>
  </w:tbl>
  <w:p w:rsidR="00855AFD" w:rsidRDefault="00297D7C">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68.8pt;margin-top:-120.5pt;width:589.8pt;height:768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3"/>
      <w:tblW w:w="10065" w:type="dxa"/>
      <w:tblInd w:w="0" w:type="dxa"/>
      <w:tblLayout w:type="fixed"/>
      <w:tblLook w:val="0400" w:firstRow="0" w:lastRow="0" w:firstColumn="0" w:lastColumn="0" w:noHBand="0" w:noVBand="1"/>
    </w:tblPr>
    <w:tblGrid>
      <w:gridCol w:w="2265"/>
      <w:gridCol w:w="7800"/>
    </w:tblGrid>
    <w:tr w:rsidR="00855AFD">
      <w:trPr>
        <w:trHeight w:val="1435"/>
      </w:trPr>
      <w:tc>
        <w:tcPr>
          <w:tcW w:w="2265" w:type="dxa"/>
          <w:shd w:val="clear" w:color="auto" w:fill="auto"/>
        </w:tcPr>
        <w:p w:rsidR="00855AFD" w:rsidRDefault="00855AFD">
          <w:pPr>
            <w:tabs>
              <w:tab w:val="right" w:pos="4273"/>
            </w:tabs>
            <w:rPr>
              <w:rFonts w:ascii="Garamond" w:eastAsia="Garamond" w:hAnsi="Garamond" w:cs="Garamond"/>
              <w:sz w:val="22"/>
              <w:szCs w:val="22"/>
            </w:rPr>
          </w:pPr>
        </w:p>
      </w:tc>
      <w:tc>
        <w:tcPr>
          <w:tcW w:w="7800" w:type="dxa"/>
          <w:shd w:val="clear" w:color="auto" w:fill="auto"/>
        </w:tcPr>
        <w:tbl>
          <w:tblPr>
            <w:tblStyle w:val="af4"/>
            <w:tblW w:w="6834" w:type="dxa"/>
            <w:tblInd w:w="1022" w:type="dxa"/>
            <w:tblLayout w:type="fixed"/>
            <w:tblLook w:val="0400" w:firstRow="0" w:lastRow="0" w:firstColumn="0" w:lastColumn="0" w:noHBand="0" w:noVBand="1"/>
          </w:tblPr>
          <w:tblGrid>
            <w:gridCol w:w="2865"/>
            <w:gridCol w:w="3969"/>
          </w:tblGrid>
          <w:tr w:rsidR="00855AFD" w:rsidTr="00E4092B">
            <w:trPr>
              <w:trHeight w:val="144"/>
            </w:trPr>
            <w:tc>
              <w:tcPr>
                <w:tcW w:w="2865" w:type="dxa"/>
                <w:shd w:val="clear" w:color="auto" w:fill="auto"/>
              </w:tcPr>
              <w:p w:rsidR="00855AFD" w:rsidRPr="00E4092B" w:rsidRDefault="003554BF">
                <w:pPr>
                  <w:tabs>
                    <w:tab w:val="right" w:pos="8838"/>
                  </w:tabs>
                  <w:ind w:left="-264" w:right="-105" w:firstLine="195"/>
                  <w:rPr>
                    <w:rFonts w:ascii="Palatino Linotype" w:eastAsia="Palatino Linotype" w:hAnsi="Palatino Linotype" w:cs="Palatino Linotype"/>
                    <w:b/>
                    <w:bCs/>
                    <w:szCs w:val="18"/>
                  </w:rPr>
                </w:pPr>
                <w:r w:rsidRPr="00E4092B">
                  <w:rPr>
                    <w:rFonts w:ascii="Palatino Linotype" w:eastAsia="Palatino Linotype" w:hAnsi="Palatino Linotype" w:cs="Palatino Linotype"/>
                    <w:b/>
                    <w:bCs/>
                    <w:szCs w:val="18"/>
                  </w:rPr>
                  <w:t>Recurso de Revisión:</w:t>
                </w:r>
              </w:p>
            </w:tc>
            <w:tc>
              <w:tcPr>
                <w:tcW w:w="3969" w:type="dxa"/>
                <w:shd w:val="clear" w:color="auto" w:fill="auto"/>
              </w:tcPr>
              <w:p w:rsidR="00855AFD" w:rsidRPr="00E4092B" w:rsidRDefault="003554BF">
                <w:pPr>
                  <w:tabs>
                    <w:tab w:val="right" w:pos="8838"/>
                  </w:tabs>
                  <w:ind w:right="-1552"/>
                  <w:rPr>
                    <w:rFonts w:ascii="Palatino Linotype" w:eastAsia="Palatino Linotype" w:hAnsi="Palatino Linotype" w:cs="Palatino Linotype"/>
                    <w:szCs w:val="18"/>
                  </w:rPr>
                </w:pPr>
                <w:r w:rsidRPr="00E4092B">
                  <w:rPr>
                    <w:rFonts w:ascii="Palatino Linotype" w:eastAsia="Palatino Linotype" w:hAnsi="Palatino Linotype" w:cs="Palatino Linotype"/>
                    <w:szCs w:val="18"/>
                  </w:rPr>
                  <w:t>06628/INFOEM/IP/RR/2025</w:t>
                </w:r>
              </w:p>
            </w:tc>
          </w:tr>
          <w:tr w:rsidR="00855AFD" w:rsidTr="00E4092B">
            <w:trPr>
              <w:trHeight w:val="144"/>
            </w:trPr>
            <w:tc>
              <w:tcPr>
                <w:tcW w:w="2865" w:type="dxa"/>
                <w:shd w:val="clear" w:color="auto" w:fill="auto"/>
              </w:tcPr>
              <w:p w:rsidR="00855AFD" w:rsidRPr="00E4092B" w:rsidRDefault="003554BF">
                <w:pPr>
                  <w:tabs>
                    <w:tab w:val="right" w:pos="8838"/>
                  </w:tabs>
                  <w:ind w:left="-74" w:right="-105"/>
                  <w:rPr>
                    <w:rFonts w:ascii="Palatino Linotype" w:eastAsia="Palatino Linotype" w:hAnsi="Palatino Linotype" w:cs="Palatino Linotype"/>
                    <w:b/>
                    <w:bCs/>
                    <w:szCs w:val="18"/>
                  </w:rPr>
                </w:pPr>
                <w:r w:rsidRPr="00E4092B">
                  <w:rPr>
                    <w:rFonts w:ascii="Palatino Linotype" w:eastAsia="Palatino Linotype" w:hAnsi="Palatino Linotype" w:cs="Palatino Linotype"/>
                    <w:b/>
                    <w:bCs/>
                    <w:szCs w:val="18"/>
                  </w:rPr>
                  <w:t>Recurrente:</w:t>
                </w:r>
              </w:p>
            </w:tc>
            <w:tc>
              <w:tcPr>
                <w:tcW w:w="3969" w:type="dxa"/>
                <w:shd w:val="clear" w:color="auto" w:fill="auto"/>
              </w:tcPr>
              <w:p w:rsidR="00855AFD" w:rsidRPr="00E4092B" w:rsidRDefault="009667FD">
                <w:pPr>
                  <w:tabs>
                    <w:tab w:val="left" w:pos="3122"/>
                    <w:tab w:val="right" w:pos="8838"/>
                  </w:tabs>
                  <w:ind w:right="-1552"/>
                  <w:rPr>
                    <w:rFonts w:ascii="Palatino Linotype" w:eastAsia="Palatino Linotype" w:hAnsi="Palatino Linotype" w:cs="Palatino Linotype"/>
                    <w:szCs w:val="18"/>
                  </w:rPr>
                </w:pPr>
                <w:r>
                  <w:rPr>
                    <w:rFonts w:ascii="Palatino Linotype" w:eastAsia="Palatino Linotype" w:hAnsi="Palatino Linotype" w:cs="Palatino Linotype"/>
                    <w:szCs w:val="18"/>
                  </w:rPr>
                  <w:t>XXXX</w:t>
                </w:r>
              </w:p>
            </w:tc>
          </w:tr>
          <w:tr w:rsidR="00855AFD" w:rsidTr="00E4092B">
            <w:trPr>
              <w:trHeight w:val="80"/>
            </w:trPr>
            <w:tc>
              <w:tcPr>
                <w:tcW w:w="2865" w:type="dxa"/>
                <w:shd w:val="clear" w:color="auto" w:fill="auto"/>
              </w:tcPr>
              <w:p w:rsidR="00855AFD" w:rsidRPr="00E4092B" w:rsidRDefault="003554BF">
                <w:pPr>
                  <w:tabs>
                    <w:tab w:val="right" w:pos="8838"/>
                  </w:tabs>
                  <w:ind w:left="-74" w:right="-105"/>
                  <w:rPr>
                    <w:rFonts w:ascii="Palatino Linotype" w:eastAsia="Palatino Linotype" w:hAnsi="Palatino Linotype" w:cs="Palatino Linotype"/>
                    <w:b/>
                    <w:bCs/>
                    <w:szCs w:val="18"/>
                  </w:rPr>
                </w:pPr>
                <w:r w:rsidRPr="00E4092B">
                  <w:rPr>
                    <w:rFonts w:ascii="Palatino Linotype" w:eastAsia="Palatino Linotype" w:hAnsi="Palatino Linotype" w:cs="Palatino Linotype"/>
                    <w:b/>
                    <w:bCs/>
                    <w:szCs w:val="18"/>
                  </w:rPr>
                  <w:t>Sujeto Obligado:</w:t>
                </w:r>
              </w:p>
            </w:tc>
            <w:tc>
              <w:tcPr>
                <w:tcW w:w="3969" w:type="dxa"/>
                <w:shd w:val="clear" w:color="auto" w:fill="auto"/>
              </w:tcPr>
              <w:p w:rsidR="00855AFD" w:rsidRPr="00E4092B" w:rsidRDefault="003554BF" w:rsidP="00E4092B">
                <w:pPr>
                  <w:tabs>
                    <w:tab w:val="left" w:pos="3122"/>
                    <w:tab w:val="right" w:pos="8838"/>
                  </w:tabs>
                  <w:ind w:right="-85"/>
                  <w:rPr>
                    <w:rFonts w:ascii="Palatino Linotype" w:eastAsia="Palatino Linotype" w:hAnsi="Palatino Linotype" w:cs="Palatino Linotype"/>
                    <w:szCs w:val="18"/>
                  </w:rPr>
                </w:pPr>
                <w:r w:rsidRPr="00E4092B">
                  <w:rPr>
                    <w:rFonts w:ascii="Palatino Linotype" w:eastAsia="Palatino Linotype" w:hAnsi="Palatino Linotype" w:cs="Palatino Linotype"/>
                    <w:szCs w:val="18"/>
                  </w:rPr>
                  <w:t>Secretaría de Educación, Ciencia, Tecnología e Innovación</w:t>
                </w:r>
              </w:p>
            </w:tc>
          </w:tr>
          <w:tr w:rsidR="00855AFD" w:rsidTr="00E4092B">
            <w:trPr>
              <w:trHeight w:val="283"/>
            </w:trPr>
            <w:tc>
              <w:tcPr>
                <w:tcW w:w="2865" w:type="dxa"/>
                <w:shd w:val="clear" w:color="auto" w:fill="auto"/>
              </w:tcPr>
              <w:p w:rsidR="00855AFD" w:rsidRPr="00E4092B" w:rsidRDefault="003554BF">
                <w:pPr>
                  <w:tabs>
                    <w:tab w:val="right" w:pos="8838"/>
                  </w:tabs>
                  <w:ind w:right="-105"/>
                  <w:rPr>
                    <w:rFonts w:ascii="Palatino Linotype" w:eastAsia="Palatino Linotype" w:hAnsi="Palatino Linotype" w:cs="Palatino Linotype"/>
                    <w:b/>
                    <w:bCs/>
                    <w:szCs w:val="18"/>
                  </w:rPr>
                </w:pPr>
                <w:r w:rsidRPr="00E4092B">
                  <w:rPr>
                    <w:rFonts w:ascii="Palatino Linotype" w:eastAsia="Palatino Linotype" w:hAnsi="Palatino Linotype" w:cs="Palatino Linotype"/>
                    <w:b/>
                    <w:bCs/>
                    <w:szCs w:val="18"/>
                  </w:rPr>
                  <w:t>Comisionada ponente:</w:t>
                </w:r>
              </w:p>
            </w:tc>
            <w:tc>
              <w:tcPr>
                <w:tcW w:w="3969" w:type="dxa"/>
                <w:shd w:val="clear" w:color="auto" w:fill="auto"/>
              </w:tcPr>
              <w:p w:rsidR="00855AFD" w:rsidRPr="00E4092B" w:rsidRDefault="003554BF">
                <w:pPr>
                  <w:tabs>
                    <w:tab w:val="right" w:pos="8838"/>
                  </w:tabs>
                  <w:ind w:right="-1552"/>
                  <w:rPr>
                    <w:rFonts w:ascii="Palatino Linotype" w:eastAsia="Palatino Linotype" w:hAnsi="Palatino Linotype" w:cs="Palatino Linotype"/>
                    <w:szCs w:val="18"/>
                  </w:rPr>
                </w:pPr>
                <w:r w:rsidRPr="00E4092B">
                  <w:rPr>
                    <w:rFonts w:ascii="Palatino Linotype" w:eastAsia="Palatino Linotype" w:hAnsi="Palatino Linotype" w:cs="Palatino Linotype"/>
                    <w:szCs w:val="18"/>
                  </w:rPr>
                  <w:t>María del Rosario Mejía Ayala</w:t>
                </w:r>
              </w:p>
              <w:p w:rsidR="00855AFD" w:rsidRPr="00E4092B" w:rsidRDefault="00855AFD">
                <w:pPr>
                  <w:tabs>
                    <w:tab w:val="right" w:pos="8838"/>
                  </w:tabs>
                  <w:ind w:right="-1552"/>
                  <w:rPr>
                    <w:rFonts w:ascii="Palatino Linotype" w:eastAsia="Palatino Linotype" w:hAnsi="Palatino Linotype" w:cs="Palatino Linotype"/>
                    <w:szCs w:val="18"/>
                  </w:rPr>
                </w:pPr>
              </w:p>
            </w:tc>
          </w:tr>
        </w:tbl>
        <w:p w:rsidR="00855AFD" w:rsidRDefault="00855AFD">
          <w:pPr>
            <w:tabs>
              <w:tab w:val="right" w:pos="8838"/>
            </w:tabs>
            <w:ind w:left="-28"/>
            <w:jc w:val="both"/>
            <w:rPr>
              <w:rFonts w:ascii="Arial" w:eastAsia="Arial" w:hAnsi="Arial" w:cs="Arial"/>
              <w:b/>
              <w:bCs/>
              <w:sz w:val="22"/>
              <w:szCs w:val="22"/>
            </w:rPr>
          </w:pPr>
        </w:p>
      </w:tc>
    </w:tr>
  </w:tbl>
  <w:p w:rsidR="00855AFD" w:rsidRDefault="00297D7C">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79.7pt;margin-top:-130.5pt;width:589.8pt;height:768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D5B99"/>
    <w:multiLevelType w:val="multilevel"/>
    <w:tmpl w:val="9996BAF0"/>
    <w:lvl w:ilvl="0">
      <w:start w:val="1"/>
      <w:numFmt w:val="bullet"/>
      <w:lvlText w:val="●"/>
      <w:lvlJc w:val="left"/>
      <w:pPr>
        <w:ind w:left="2382" w:hanging="360"/>
      </w:pPr>
      <w:rPr>
        <w:u w:val="none"/>
      </w:rPr>
    </w:lvl>
    <w:lvl w:ilvl="1">
      <w:start w:val="1"/>
      <w:numFmt w:val="bullet"/>
      <w:lvlText w:val="o"/>
      <w:lvlJc w:val="left"/>
      <w:pPr>
        <w:ind w:left="3102" w:hanging="360"/>
      </w:pPr>
      <w:rPr>
        <w:u w:val="none"/>
      </w:rPr>
    </w:lvl>
    <w:lvl w:ilvl="2">
      <w:start w:val="1"/>
      <w:numFmt w:val="bullet"/>
      <w:lvlText w:val="▪"/>
      <w:lvlJc w:val="left"/>
      <w:pPr>
        <w:ind w:left="3822" w:hanging="360"/>
      </w:pPr>
      <w:rPr>
        <w:u w:val="none"/>
      </w:rPr>
    </w:lvl>
    <w:lvl w:ilvl="3">
      <w:start w:val="1"/>
      <w:numFmt w:val="bullet"/>
      <w:lvlText w:val="●"/>
      <w:lvlJc w:val="left"/>
      <w:pPr>
        <w:ind w:left="4542" w:hanging="360"/>
      </w:pPr>
      <w:rPr>
        <w:u w:val="none"/>
      </w:rPr>
    </w:lvl>
    <w:lvl w:ilvl="4">
      <w:start w:val="1"/>
      <w:numFmt w:val="bullet"/>
      <w:lvlText w:val="o"/>
      <w:lvlJc w:val="left"/>
      <w:pPr>
        <w:ind w:left="5262" w:hanging="360"/>
      </w:pPr>
      <w:rPr>
        <w:u w:val="none"/>
      </w:rPr>
    </w:lvl>
    <w:lvl w:ilvl="5">
      <w:start w:val="1"/>
      <w:numFmt w:val="bullet"/>
      <w:lvlText w:val="▪"/>
      <w:lvlJc w:val="left"/>
      <w:pPr>
        <w:ind w:left="5982" w:hanging="360"/>
      </w:pPr>
      <w:rPr>
        <w:u w:val="none"/>
      </w:rPr>
    </w:lvl>
    <w:lvl w:ilvl="6">
      <w:start w:val="1"/>
      <w:numFmt w:val="bullet"/>
      <w:lvlText w:val="●"/>
      <w:lvlJc w:val="left"/>
      <w:pPr>
        <w:ind w:left="6702" w:hanging="360"/>
      </w:pPr>
      <w:rPr>
        <w:u w:val="none"/>
      </w:rPr>
    </w:lvl>
    <w:lvl w:ilvl="7">
      <w:start w:val="1"/>
      <w:numFmt w:val="bullet"/>
      <w:lvlText w:val="o"/>
      <w:lvlJc w:val="left"/>
      <w:pPr>
        <w:ind w:left="7422" w:hanging="360"/>
      </w:pPr>
      <w:rPr>
        <w:u w:val="none"/>
      </w:rPr>
    </w:lvl>
    <w:lvl w:ilvl="8">
      <w:start w:val="1"/>
      <w:numFmt w:val="bullet"/>
      <w:lvlText w:val="▪"/>
      <w:lvlJc w:val="left"/>
      <w:pPr>
        <w:ind w:left="8142" w:hanging="360"/>
      </w:pPr>
      <w:rPr>
        <w:u w:val="none"/>
      </w:rPr>
    </w:lvl>
  </w:abstractNum>
  <w:abstractNum w:abstractNumId="1" w15:restartNumberingAfterBreak="0">
    <w:nsid w:val="42DA580B"/>
    <w:multiLevelType w:val="multilevel"/>
    <w:tmpl w:val="E898C67A"/>
    <w:lvl w:ilvl="0">
      <w:start w:val="1"/>
      <w:numFmt w:val="decimal"/>
      <w:lvlText w:val="%1."/>
      <w:lvlJc w:val="left"/>
      <w:pPr>
        <w:ind w:left="925"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4742F17"/>
    <w:multiLevelType w:val="multilevel"/>
    <w:tmpl w:val="61DA6ED0"/>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A176961"/>
    <w:multiLevelType w:val="multilevel"/>
    <w:tmpl w:val="EF342730"/>
    <w:lvl w:ilvl="0">
      <w:start w:val="1"/>
      <w:numFmt w:val="decimal"/>
      <w:pStyle w:val="Listaconvietas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E5C481B"/>
    <w:multiLevelType w:val="multilevel"/>
    <w:tmpl w:val="CB04D890"/>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5" w15:restartNumberingAfterBreak="0">
    <w:nsid w:val="663C68B7"/>
    <w:multiLevelType w:val="hybridMultilevel"/>
    <w:tmpl w:val="FAF8AE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7D7A1238"/>
    <w:multiLevelType w:val="multilevel"/>
    <w:tmpl w:val="461E57A4"/>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6"/>
  </w:num>
  <w:num w:numId="3">
    <w:abstractNumId w:val="2"/>
  </w:num>
  <w:num w:numId="4">
    <w:abstractNumId w:val="4"/>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AFD"/>
    <w:rsid w:val="00176F07"/>
    <w:rsid w:val="00297D7C"/>
    <w:rsid w:val="003554BF"/>
    <w:rsid w:val="00711473"/>
    <w:rsid w:val="007B3E77"/>
    <w:rsid w:val="00855AFD"/>
    <w:rsid w:val="009667FD"/>
    <w:rsid w:val="00A80B4C"/>
    <w:rsid w:val="00C511EE"/>
    <w:rsid w:val="00DE2C00"/>
    <w:rsid w:val="00E4092B"/>
    <w:rsid w:val="00EB3BA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3F655C00-4F0D-4366-8FDA-6930A04B5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Ttulo2Car">
    <w:name w:val="Título 2 Car"/>
    <w:basedOn w:val="Fuentedeprrafopredeter"/>
    <w:uiPriority w:val="9"/>
    <w:rsid w:val="00835EC8"/>
    <w:rPr>
      <w:rFonts w:asciiTheme="majorHAnsi" w:eastAsiaTheme="majorEastAsia" w:hAnsiTheme="majorHAnsi" w:cstheme="majorBidi"/>
      <w:color w:val="2E74B5" w:themeColor="accent1" w:themeShade="BF"/>
      <w:sz w:val="26"/>
      <w:szCs w:val="26"/>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835EC8"/>
    <w:pPr>
      <w:ind w:left="720"/>
      <w:contextualSpacing/>
    </w:pPr>
    <w:rPr>
      <w:rFonts w:ascii="Century Gothic" w:hAnsi="Century Gothic"/>
      <w:sz w:val="22"/>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rsid w:val="00835EC8"/>
    <w:rPr>
      <w:rFonts w:ascii="Century Gothic" w:eastAsia="Times New Roman" w:hAnsi="Century Gothic" w:cs="Times New Roman"/>
      <w:szCs w:val="24"/>
      <w:lang w:eastAsia="es-MX"/>
    </w:rPr>
  </w:style>
  <w:style w:type="character" w:styleId="Hipervnculo">
    <w:name w:val="Hyperlink"/>
    <w:aliases w:val="Hipervínculo1,Hipervínculo11,Hipervínculo12,Hipervínculo13,Hipervínculo14,Hipervínculo15"/>
    <w:uiPriority w:val="99"/>
    <w:unhideWhenUsed/>
    <w:rsid w:val="00835EC8"/>
    <w:rPr>
      <w:color w:val="0563C1"/>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835EC8"/>
    <w:rPr>
      <w:vertAlign w:val="superscript"/>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835EC8"/>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35EC8"/>
    <w:rPr>
      <w:rFonts w:asciiTheme="minorHAnsi" w:eastAsiaTheme="minorHAnsi" w:hAnsiTheme="minorHAnsi" w:cstheme="minorBidi"/>
      <w:sz w:val="20"/>
      <w:szCs w:val="20"/>
      <w:lang w:eastAsia="en-US"/>
    </w:rPr>
  </w:style>
  <w:style w:type="character" w:customStyle="1" w:styleId="TextonotapieCar1">
    <w:name w:val="Texto nota pie Car1"/>
    <w:basedOn w:val="Fuentedeprrafopredeter"/>
    <w:uiPriority w:val="99"/>
    <w:semiHidden/>
    <w:rsid w:val="00835EC8"/>
    <w:rPr>
      <w:rFonts w:ascii="Times New Roman" w:eastAsia="Times New Roman" w:hAnsi="Times New Roman" w:cs="Times New Roman"/>
      <w:sz w:val="20"/>
      <w:szCs w:val="20"/>
      <w:lang w:eastAsia="es-MX"/>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character" w:styleId="Refdecomentario">
    <w:name w:val="annotation reference"/>
    <w:basedOn w:val="Fuentedeprrafopredeter"/>
    <w:uiPriority w:val="99"/>
    <w:semiHidden/>
    <w:unhideWhenUsed/>
    <w:rsid w:val="009D378D"/>
    <w:rPr>
      <w:sz w:val="16"/>
      <w:szCs w:val="16"/>
    </w:rPr>
  </w:style>
  <w:style w:type="paragraph" w:styleId="Textocomentario">
    <w:name w:val="annotation text"/>
    <w:basedOn w:val="Normal"/>
    <w:link w:val="TextocomentarioCar"/>
    <w:uiPriority w:val="99"/>
    <w:semiHidden/>
    <w:unhideWhenUsed/>
    <w:rsid w:val="009D378D"/>
    <w:rPr>
      <w:sz w:val="20"/>
      <w:szCs w:val="20"/>
    </w:rPr>
  </w:style>
  <w:style w:type="character" w:customStyle="1" w:styleId="TextocomentarioCar">
    <w:name w:val="Texto comentario Car"/>
    <w:basedOn w:val="Fuentedeprrafopredeter"/>
    <w:link w:val="Textocomentario"/>
    <w:uiPriority w:val="99"/>
    <w:semiHidden/>
    <w:rsid w:val="009D378D"/>
    <w:rPr>
      <w:sz w:val="20"/>
      <w:szCs w:val="20"/>
    </w:rPr>
  </w:style>
  <w:style w:type="paragraph" w:styleId="Asuntodelcomentario">
    <w:name w:val="annotation subject"/>
    <w:basedOn w:val="Textocomentario"/>
    <w:next w:val="Textocomentario"/>
    <w:link w:val="AsuntodelcomentarioCar"/>
    <w:uiPriority w:val="99"/>
    <w:semiHidden/>
    <w:unhideWhenUsed/>
    <w:rsid w:val="009D378D"/>
    <w:rPr>
      <w:b/>
      <w:bCs/>
    </w:rPr>
  </w:style>
  <w:style w:type="character" w:customStyle="1" w:styleId="AsuntodelcomentarioCar">
    <w:name w:val="Asunto del comentario Car"/>
    <w:basedOn w:val="TextocomentarioCar"/>
    <w:link w:val="Asuntodelcomentario"/>
    <w:uiPriority w:val="99"/>
    <w:semiHidden/>
    <w:rsid w:val="009D378D"/>
    <w:rPr>
      <w:b/>
      <w:bCs/>
      <w:sz w:val="20"/>
      <w:szCs w:val="20"/>
    </w:rPr>
  </w:style>
  <w:style w:type="paragraph" w:styleId="Textodeglobo">
    <w:name w:val="Balloon Text"/>
    <w:basedOn w:val="Normal"/>
    <w:link w:val="TextodegloboCar"/>
    <w:uiPriority w:val="99"/>
    <w:semiHidden/>
    <w:unhideWhenUsed/>
    <w:rsid w:val="009D378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D378D"/>
    <w:rPr>
      <w:rFonts w:ascii="Segoe UI" w:hAnsi="Segoe UI" w:cs="Segoe UI"/>
      <w:sz w:val="18"/>
      <w:szCs w:val="18"/>
    </w:rPr>
  </w:style>
  <w:style w:type="paragraph" w:styleId="Piedepgina">
    <w:name w:val="footer"/>
    <w:basedOn w:val="Normal"/>
    <w:link w:val="PiedepginaCar"/>
    <w:uiPriority w:val="99"/>
    <w:unhideWhenUsed/>
    <w:rsid w:val="008936E7"/>
    <w:pPr>
      <w:tabs>
        <w:tab w:val="center" w:pos="4419"/>
        <w:tab w:val="right" w:pos="8838"/>
      </w:tabs>
    </w:pPr>
  </w:style>
  <w:style w:type="character" w:customStyle="1" w:styleId="PiedepginaCar">
    <w:name w:val="Pie de página Car"/>
    <w:basedOn w:val="Fuentedeprrafopredeter"/>
    <w:link w:val="Piedepgina"/>
    <w:uiPriority w:val="99"/>
    <w:rsid w:val="008936E7"/>
  </w:style>
  <w:style w:type="table" w:customStyle="1" w:styleId="Tablanormal13">
    <w:name w:val="Tabla normal 13"/>
    <w:basedOn w:val="Tablanormal"/>
    <w:next w:val="Tablanormal1"/>
    <w:uiPriority w:val="41"/>
    <w:rsid w:val="00AF5D34"/>
    <w:rPr>
      <w:rFonts w:asciiTheme="minorHAnsi" w:eastAsiaTheme="minorHAnsi" w:hAnsiTheme="minorHAnsi" w:cstheme="minorBidi"/>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AF5D3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visitado">
    <w:name w:val="FollowedHyperlink"/>
    <w:basedOn w:val="Fuentedeprrafopredeter"/>
    <w:uiPriority w:val="99"/>
    <w:semiHidden/>
    <w:unhideWhenUsed/>
    <w:rsid w:val="000D6271"/>
    <w:rPr>
      <w:color w:val="954F72" w:themeColor="followedHyperlink"/>
      <w:u w:val="single"/>
    </w:rPr>
  </w:style>
  <w:style w:type="table" w:styleId="Tablaconcuadrcula">
    <w:name w:val="Table Grid"/>
    <w:basedOn w:val="Tablanormal"/>
    <w:uiPriority w:val="39"/>
    <w:rsid w:val="000D62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3">
    <w:basedOn w:val="TableNormal3"/>
    <w:tblPr>
      <w:tblStyleRowBandSize w:val="1"/>
      <w:tblStyleColBandSize w:val="1"/>
      <w:tblCellMar>
        <w:left w:w="108" w:type="dxa"/>
        <w:right w:w="108" w:type="dxa"/>
      </w:tblCellMar>
    </w:tblPr>
  </w:style>
  <w:style w:type="table" w:customStyle="1" w:styleId="a4">
    <w:basedOn w:val="TableNormal3"/>
    <w:rPr>
      <w:rFonts w:ascii="Calibri" w:eastAsia="Calibri" w:hAnsi="Calibri" w:cs="Calibri"/>
      <w:sz w:val="22"/>
      <w:szCs w:val="22"/>
    </w:r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3"/>
    <w:tblPr>
      <w:tblStyleRowBandSize w:val="1"/>
      <w:tblStyleColBandSize w:val="1"/>
      <w:tblCellMar>
        <w:left w:w="115" w:type="dxa"/>
        <w:right w:w="115" w:type="dxa"/>
      </w:tblCellMar>
    </w:tblPr>
  </w:style>
  <w:style w:type="table" w:customStyle="1" w:styleId="a6">
    <w:basedOn w:val="TableNormal3"/>
    <w:tblPr>
      <w:tblStyleRowBandSize w:val="1"/>
      <w:tblStyleColBandSize w:val="1"/>
      <w:tblCellMar>
        <w:left w:w="115" w:type="dxa"/>
        <w:right w:w="115" w:type="dxa"/>
      </w:tblCellMar>
    </w:tblPr>
  </w:style>
  <w:style w:type="table" w:customStyle="1" w:styleId="a7">
    <w:basedOn w:val="TableNormal3"/>
    <w:tblPr>
      <w:tblStyleRowBandSize w:val="1"/>
      <w:tblStyleColBandSize w:val="1"/>
      <w:tblCellMar>
        <w:left w:w="115" w:type="dxa"/>
        <w:right w:w="115" w:type="dxa"/>
      </w:tblCellMar>
    </w:tblPr>
  </w:style>
  <w:style w:type="table" w:customStyle="1" w:styleId="a8">
    <w:basedOn w:val="TableNormal3"/>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850EB3"/>
    <w:pPr>
      <w:spacing w:before="100" w:beforeAutospacing="1" w:after="100" w:afterAutospacing="1"/>
    </w:pPr>
  </w:style>
  <w:style w:type="paragraph" w:customStyle="1" w:styleId="m5907675151158779931gmail-msolistparagraph">
    <w:name w:val="m_5907675151158779931gmail-msolistparagraph"/>
    <w:basedOn w:val="Normal"/>
    <w:rsid w:val="00F32383"/>
    <w:pPr>
      <w:spacing w:before="100" w:beforeAutospacing="1" w:after="100" w:afterAutospacing="1"/>
    </w:pPr>
  </w:style>
  <w:style w:type="paragraph" w:styleId="Textoindependiente">
    <w:name w:val="Body Text"/>
    <w:basedOn w:val="Normal"/>
    <w:link w:val="TextoindependienteCar"/>
    <w:rsid w:val="00FD0C3F"/>
    <w:pPr>
      <w:jc w:val="both"/>
    </w:pPr>
    <w:rPr>
      <w:rFonts w:ascii="Arial" w:hAnsi="Arial"/>
      <w:szCs w:val="20"/>
      <w:lang w:val="es-ES_tradnl" w:eastAsia="es-ES"/>
    </w:rPr>
  </w:style>
  <w:style w:type="character" w:customStyle="1" w:styleId="TextoindependienteCar">
    <w:name w:val="Texto independiente Car"/>
    <w:basedOn w:val="Fuentedeprrafopredeter"/>
    <w:link w:val="Textoindependiente"/>
    <w:rsid w:val="00FD0C3F"/>
    <w:rPr>
      <w:rFonts w:ascii="Arial" w:hAnsi="Arial"/>
      <w:szCs w:val="20"/>
      <w:lang w:val="es-ES_tradnl" w:eastAsia="es-ES"/>
    </w:rPr>
  </w:style>
  <w:style w:type="paragraph" w:styleId="Sinespaciado">
    <w:name w:val="No Spacing"/>
    <w:aliases w:val="Francesa,INAI,Fundamentos"/>
    <w:link w:val="SinespaciadoCar"/>
    <w:uiPriority w:val="1"/>
    <w:qFormat/>
    <w:rsid w:val="00AC68B1"/>
    <w:rPr>
      <w:rFonts w:asciiTheme="minorHAnsi" w:eastAsiaTheme="minorEastAsia" w:hAnsiTheme="minorHAnsi" w:cstheme="minorBidi"/>
      <w:lang w:val="es-ES_tradnl" w:eastAsia="es-ES"/>
    </w:rPr>
  </w:style>
  <w:style w:type="character" w:customStyle="1" w:styleId="SinespaciadoCar">
    <w:name w:val="Sin espaciado Car"/>
    <w:aliases w:val="Francesa Car,INAI Car,Fundamentos Car"/>
    <w:link w:val="Sinespaciado"/>
    <w:uiPriority w:val="1"/>
    <w:qFormat/>
    <w:locked/>
    <w:rsid w:val="00AC68B1"/>
    <w:rPr>
      <w:rFonts w:asciiTheme="minorHAnsi" w:eastAsiaTheme="minorEastAsia" w:hAnsiTheme="minorHAnsi" w:cstheme="minorBidi"/>
      <w:lang w:val="es-ES_tradnl" w:eastAsia="es-ES"/>
    </w:rPr>
  </w:style>
  <w:style w:type="character" w:customStyle="1" w:styleId="uv3um">
    <w:name w:val="uv3um"/>
    <w:basedOn w:val="Fuentedeprrafopredeter"/>
    <w:rsid w:val="004D0BA4"/>
  </w:style>
  <w:style w:type="table" w:customStyle="1" w:styleId="a9">
    <w:basedOn w:val="TableNormal2"/>
    <w:tblPr>
      <w:tblStyleRowBandSize w:val="1"/>
      <w:tblStyleColBandSize w:val="1"/>
      <w:tblCellMar>
        <w:left w:w="115" w:type="dxa"/>
        <w:right w:w="115" w:type="dxa"/>
      </w:tblCellMar>
    </w:tblPr>
  </w:style>
  <w:style w:type="table" w:customStyle="1" w:styleId="aa">
    <w:basedOn w:val="TableNormal2"/>
    <w:tblPr>
      <w:tblStyleRowBandSize w:val="1"/>
      <w:tblStyleColBandSize w:val="1"/>
      <w:tblCellMar>
        <w:left w:w="115" w:type="dxa"/>
        <w:right w:w="115" w:type="dxa"/>
      </w:tblCellMar>
    </w:tblPr>
  </w:style>
  <w:style w:type="table" w:customStyle="1" w:styleId="ab">
    <w:basedOn w:val="TableNormal2"/>
    <w:tblPr>
      <w:tblStyleRowBandSize w:val="1"/>
      <w:tblStyleColBandSize w:val="1"/>
      <w:tblCellMar>
        <w:left w:w="115" w:type="dxa"/>
        <w:right w:w="115" w:type="dxa"/>
      </w:tblCellMar>
    </w:tblPr>
  </w:style>
  <w:style w:type="table" w:customStyle="1" w:styleId="ac">
    <w:basedOn w:val="TableNormal2"/>
    <w:tblPr>
      <w:tblStyleRowBandSize w:val="1"/>
      <w:tblStyleColBandSize w:val="1"/>
      <w:tblCellMar>
        <w:left w:w="115" w:type="dxa"/>
        <w:right w:w="115" w:type="dxa"/>
      </w:tblCellMar>
    </w:tblPr>
  </w:style>
  <w:style w:type="paragraph" w:styleId="Lista2">
    <w:name w:val="List 2"/>
    <w:basedOn w:val="Normal"/>
    <w:uiPriority w:val="99"/>
    <w:unhideWhenUsed/>
    <w:rsid w:val="001640EA"/>
    <w:pPr>
      <w:ind w:left="566" w:hanging="283"/>
      <w:contextualSpacing/>
    </w:pPr>
    <w:rPr>
      <w:rFonts w:asciiTheme="minorHAnsi" w:eastAsiaTheme="minorEastAsia" w:hAnsiTheme="minorHAnsi" w:cstheme="minorBidi"/>
      <w:lang w:val="es-ES_tradnl" w:eastAsia="es-ES"/>
    </w:rPr>
  </w:style>
  <w:style w:type="paragraph" w:styleId="Sangradetextonormal">
    <w:name w:val="Body Text Indent"/>
    <w:basedOn w:val="Normal"/>
    <w:link w:val="SangradetextonormalCar"/>
    <w:uiPriority w:val="99"/>
    <w:unhideWhenUsed/>
    <w:rsid w:val="001640EA"/>
    <w:pPr>
      <w:spacing w:after="120"/>
      <w:ind w:left="283"/>
    </w:pPr>
    <w:rPr>
      <w:rFonts w:asciiTheme="minorHAnsi" w:eastAsiaTheme="minorEastAsia" w:hAnsiTheme="minorHAnsi" w:cstheme="minorBidi"/>
      <w:lang w:val="es-ES_tradnl" w:eastAsia="es-ES"/>
    </w:rPr>
  </w:style>
  <w:style w:type="character" w:customStyle="1" w:styleId="SangradetextonormalCar">
    <w:name w:val="Sangría de texto normal Car"/>
    <w:basedOn w:val="Fuentedeprrafopredeter"/>
    <w:link w:val="Sangradetextonormal"/>
    <w:uiPriority w:val="99"/>
    <w:rsid w:val="001640EA"/>
    <w:rPr>
      <w:rFonts w:asciiTheme="minorHAnsi" w:eastAsiaTheme="minorEastAsia" w:hAnsiTheme="minorHAnsi" w:cstheme="minorBidi"/>
      <w:lang w:val="es-ES_tradnl" w:eastAsia="es-ES"/>
    </w:rPr>
  </w:style>
  <w:style w:type="paragraph" w:styleId="Textoindependienteprimerasangra2">
    <w:name w:val="Body Text First Indent 2"/>
    <w:basedOn w:val="Sangradetextonormal"/>
    <w:link w:val="Textoindependienteprimerasangra2Car"/>
    <w:uiPriority w:val="99"/>
    <w:unhideWhenUsed/>
    <w:rsid w:val="001640EA"/>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640EA"/>
    <w:rPr>
      <w:rFonts w:asciiTheme="minorHAnsi" w:eastAsiaTheme="minorEastAsia" w:hAnsiTheme="minorHAnsi" w:cstheme="minorBidi"/>
      <w:lang w:val="es-ES_tradnl" w:eastAsia="es-ES"/>
    </w:rPr>
  </w:style>
  <w:style w:type="table" w:customStyle="1" w:styleId="ad">
    <w:basedOn w:val="TableNormal1"/>
    <w:tblPr>
      <w:tblStyleRowBandSize w:val="1"/>
      <w:tblStyleColBandSize w:val="1"/>
      <w:tblCellMar>
        <w:left w:w="115" w:type="dxa"/>
        <w:right w:w="115" w:type="dxa"/>
      </w:tblCellMar>
    </w:tblPr>
  </w:style>
  <w:style w:type="table" w:customStyle="1" w:styleId="ae">
    <w:basedOn w:val="TableNormal1"/>
    <w:tblPr>
      <w:tblStyleRowBandSize w:val="1"/>
      <w:tblStyleColBandSize w:val="1"/>
      <w:tblCellMar>
        <w:left w:w="115" w:type="dxa"/>
        <w:right w:w="115" w:type="dxa"/>
      </w:tblCellMar>
    </w:tblPr>
  </w:style>
  <w:style w:type="table" w:customStyle="1" w:styleId="af">
    <w:basedOn w:val="TableNormal1"/>
    <w:tblPr>
      <w:tblStyleRowBandSize w:val="1"/>
      <w:tblStyleColBandSize w:val="1"/>
      <w:tblCellMar>
        <w:left w:w="115" w:type="dxa"/>
        <w:right w:w="115" w:type="dxa"/>
      </w:tblCellMar>
    </w:tblPr>
  </w:style>
  <w:style w:type="table" w:customStyle="1" w:styleId="af0">
    <w:basedOn w:val="TableNormal1"/>
    <w:tblPr>
      <w:tblStyleRowBandSize w:val="1"/>
      <w:tblStyleColBandSize w:val="1"/>
      <w:tblCellMar>
        <w:left w:w="115" w:type="dxa"/>
        <w:right w:w="115" w:type="dxa"/>
      </w:tblCellMar>
    </w:tblPr>
  </w:style>
  <w:style w:type="paragraph" w:styleId="Listaconvietas3">
    <w:name w:val="List Bullet 3"/>
    <w:basedOn w:val="Normal"/>
    <w:uiPriority w:val="99"/>
    <w:unhideWhenUsed/>
    <w:rsid w:val="00BC2018"/>
    <w:pPr>
      <w:numPr>
        <w:numId w:val="6"/>
      </w:numPr>
      <w:contextualSpacing/>
    </w:p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f1">
    <w:basedOn w:val="TableNormal0"/>
    <w:tblPr>
      <w:tblStyleRowBandSize w:val="1"/>
      <w:tblStyleColBandSize w:val="1"/>
      <w:tblCellMar>
        <w:top w:w="0" w:type="dxa"/>
        <w:left w:w="115" w:type="dxa"/>
        <w:bottom w:w="0" w:type="dxa"/>
        <w:right w:w="115" w:type="dxa"/>
      </w:tblCellMar>
    </w:tblPr>
  </w:style>
  <w:style w:type="table" w:customStyle="1" w:styleId="af2">
    <w:basedOn w:val="TableNormal0"/>
    <w:tblPr>
      <w:tblStyleRowBandSize w:val="1"/>
      <w:tblStyleColBandSize w:val="1"/>
      <w:tblCellMar>
        <w:top w:w="0" w:type="dxa"/>
        <w:left w:w="115" w:type="dxa"/>
        <w:bottom w:w="0" w:type="dxa"/>
        <w:right w:w="115" w:type="dxa"/>
      </w:tblCellMar>
    </w:tblPr>
  </w:style>
  <w:style w:type="table" w:customStyle="1" w:styleId="af3">
    <w:basedOn w:val="TableNormal0"/>
    <w:tblPr>
      <w:tblStyleRowBandSize w:val="1"/>
      <w:tblStyleColBandSize w:val="1"/>
      <w:tblCellMar>
        <w:top w:w="0" w:type="dxa"/>
        <w:left w:w="115" w:type="dxa"/>
        <w:bottom w:w="0" w:type="dxa"/>
        <w:right w:w="115" w:type="dxa"/>
      </w:tblCellMar>
    </w:tblPr>
  </w:style>
  <w:style w:type="table" w:customStyle="1" w:styleId="af4">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464882.pag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aimex.org.mx/saimex/solicitud/downloadAttach/2464883.page"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vKCNaMWdBUdbcLedu8MjEDiaAw==">CgMxLjAyDmgud2JuM2I3aXZ0d29zMgloLjN6bnlzaDcyDmguMnYyMzBrbmlkZXkyMgloLjNkeTZ2a20yDmguMnBxYTRtZ2xrZ3YyMg5oLnNnNjlwamZ1c2N6NjIOaC4xczh3NG5yaTh6dDgyDmguZnVwZ2R1NWZlOTlpMg5oLm9tajUzMnZpanBpdDINaC5qdnhhZmNvemE4czIOaC44dGdxOWFtMnh5NnYyDWguazA2cmRlNzV0Mzg4AHIhMWlYa0o1UXNyMGVIaE5POFh4SWdod1BIdVZNUGd5Ull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18</Pages>
  <Words>4545</Words>
  <Characters>25000</Characters>
  <Application>Microsoft Office Word</Application>
  <DocSecurity>0</DocSecurity>
  <Lines>208</Lines>
  <Paragraphs>58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29487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INFOEM521</dc:creator>
  <cp:lastModifiedBy>Cuenta Microsoft</cp:lastModifiedBy>
  <cp:revision>9</cp:revision>
  <cp:lastPrinted>2026-02-13T15:47:00Z</cp:lastPrinted>
  <dcterms:created xsi:type="dcterms:W3CDTF">2026-02-05T01:58:00Z</dcterms:created>
  <dcterms:modified xsi:type="dcterms:W3CDTF">2026-02-24T00:00:00Z</dcterms:modified>
</cp:coreProperties>
</file>