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AAE" w:rsidRPr="00AB4CD3" w:rsidRDefault="00AF7AAE" w:rsidP="00AF7AAE">
      <w:pPr>
        <w:shd w:val="clear" w:color="auto" w:fill="FFFFFF"/>
        <w:spacing w:after="0" w:line="360" w:lineRule="auto"/>
        <w:jc w:val="both"/>
        <w:rPr>
          <w:rFonts w:ascii="Palatino Linotype" w:eastAsia="Palatino Linotype" w:hAnsi="Palatino Linotype" w:cs="Palatino Linotype"/>
          <w:color w:val="000000"/>
          <w:sz w:val="24"/>
          <w:szCs w:val="24"/>
        </w:rPr>
      </w:pPr>
      <w:r w:rsidRPr="00AB4CD3">
        <w:rPr>
          <w:rFonts w:ascii="Palatino Linotype" w:eastAsia="Palatino Linotype" w:hAnsi="Palatino Linotype" w:cs="Palatino Linotype"/>
          <w:color w:val="000000"/>
          <w:sz w:val="24"/>
          <w:szCs w:val="24"/>
        </w:rPr>
        <w:t>Resolución del Pleno del Instituto de Transparencia, Acceso a la Información Pública y Protección de Datos Personales del Estado de México y Municipios, con domicilio en Metepec, Estado de México, quince de abril de dos mil veintiséis.</w:t>
      </w:r>
    </w:p>
    <w:p w:rsidR="00AF7AAE" w:rsidRPr="00AB4CD3" w:rsidRDefault="00AF7AAE" w:rsidP="00AF7AAE">
      <w:pPr>
        <w:shd w:val="clear" w:color="auto" w:fill="FFFFFF"/>
        <w:spacing w:after="0" w:line="360" w:lineRule="auto"/>
        <w:jc w:val="both"/>
        <w:rPr>
          <w:rFonts w:ascii="Palatino Linotype" w:eastAsia="Palatino Linotype" w:hAnsi="Palatino Linotype" w:cs="Palatino Linotype"/>
          <w:color w:val="000000"/>
          <w:sz w:val="24"/>
          <w:szCs w:val="24"/>
        </w:rPr>
      </w:pPr>
    </w:p>
    <w:p w:rsidR="00AF7AAE" w:rsidRPr="00AB4CD3" w:rsidRDefault="00AF7AAE" w:rsidP="00AF7AAE">
      <w:pPr>
        <w:tabs>
          <w:tab w:val="left" w:pos="1701"/>
        </w:tabs>
        <w:spacing w:after="0" w:line="360" w:lineRule="auto"/>
        <w:jc w:val="both"/>
        <w:rPr>
          <w:rFonts w:ascii="Palatino Linotype" w:eastAsia="Palatino Linotype" w:hAnsi="Palatino Linotype" w:cs="Palatino Linotype"/>
          <w:b/>
          <w:sz w:val="24"/>
          <w:szCs w:val="24"/>
        </w:rPr>
      </w:pPr>
      <w:r w:rsidRPr="00AB4CD3">
        <w:rPr>
          <w:rFonts w:ascii="Palatino Linotype" w:eastAsia="Palatino Linotype" w:hAnsi="Palatino Linotype" w:cs="Palatino Linotype"/>
          <w:b/>
          <w:sz w:val="24"/>
          <w:szCs w:val="24"/>
        </w:rPr>
        <w:t>VISTO</w:t>
      </w:r>
      <w:r w:rsidRPr="00AB4CD3">
        <w:rPr>
          <w:rFonts w:ascii="Palatino Linotype" w:eastAsia="Palatino Linotype" w:hAnsi="Palatino Linotype" w:cs="Palatino Linotype"/>
          <w:sz w:val="24"/>
          <w:szCs w:val="24"/>
        </w:rPr>
        <w:t xml:space="preserve"> el expediente electrónico de los recursos de revisión con número </w:t>
      </w:r>
      <w:bookmarkStart w:id="0" w:name="_GoBack"/>
      <w:r w:rsidRPr="00AB4CD3">
        <w:rPr>
          <w:rFonts w:ascii="Palatino Linotype" w:eastAsia="Palatino Linotype" w:hAnsi="Palatino Linotype" w:cs="Palatino Linotype"/>
          <w:b/>
          <w:sz w:val="24"/>
          <w:szCs w:val="24"/>
        </w:rPr>
        <w:t xml:space="preserve">01315/INFOEM/IP/RR/2026 </w:t>
      </w:r>
      <w:bookmarkEnd w:id="0"/>
      <w:r w:rsidRPr="00AB4CD3">
        <w:rPr>
          <w:rFonts w:ascii="Palatino Linotype" w:eastAsia="Palatino Linotype" w:hAnsi="Palatino Linotype" w:cs="Palatino Linotype"/>
          <w:color w:val="000000"/>
          <w:sz w:val="24"/>
          <w:szCs w:val="24"/>
        </w:rPr>
        <w:t xml:space="preserve">interpuesto por un particular que no proporcionó nombre o seudónimo, quien en lo sucesivo se le denominara como la parte </w:t>
      </w:r>
      <w:r w:rsidRPr="00AB4CD3">
        <w:rPr>
          <w:rFonts w:ascii="Palatino Linotype" w:eastAsia="Palatino Linotype" w:hAnsi="Palatino Linotype" w:cs="Palatino Linotype"/>
          <w:b/>
          <w:color w:val="000000"/>
          <w:sz w:val="24"/>
          <w:szCs w:val="24"/>
        </w:rPr>
        <w:t>Recurrente</w:t>
      </w:r>
      <w:r w:rsidRPr="00AB4CD3">
        <w:rPr>
          <w:rFonts w:ascii="Palatino Linotype" w:eastAsia="Palatino Linotype" w:hAnsi="Palatino Linotype" w:cs="Palatino Linotype"/>
          <w:color w:val="000000"/>
          <w:sz w:val="24"/>
          <w:szCs w:val="24"/>
        </w:rPr>
        <w:t xml:space="preserve">, </w:t>
      </w:r>
      <w:r w:rsidRPr="00AB4CD3">
        <w:rPr>
          <w:rFonts w:ascii="Palatino Linotype" w:eastAsia="Palatino Linotype" w:hAnsi="Palatino Linotype" w:cs="Palatino Linotype"/>
          <w:sz w:val="24"/>
          <w:szCs w:val="24"/>
        </w:rPr>
        <w:t xml:space="preserve">en contra de la falta de respuesta del </w:t>
      </w:r>
      <w:r w:rsidRPr="00AB4CD3">
        <w:rPr>
          <w:rFonts w:ascii="Palatino Linotype" w:eastAsia="Palatino Linotype" w:hAnsi="Palatino Linotype" w:cs="Palatino Linotype"/>
          <w:b/>
          <w:color w:val="000000"/>
          <w:sz w:val="24"/>
          <w:szCs w:val="24"/>
        </w:rPr>
        <w:t>Ayuntamiento de Toluca</w:t>
      </w:r>
      <w:r w:rsidRPr="00AB4CD3">
        <w:rPr>
          <w:rFonts w:ascii="Palatino Linotype" w:eastAsia="Palatino Linotype" w:hAnsi="Palatino Linotype" w:cs="Palatino Linotype"/>
          <w:b/>
          <w:sz w:val="24"/>
          <w:szCs w:val="24"/>
        </w:rPr>
        <w:t xml:space="preserve">, </w:t>
      </w:r>
      <w:r w:rsidRPr="00AB4CD3">
        <w:rPr>
          <w:rFonts w:ascii="Palatino Linotype" w:eastAsia="Palatino Linotype" w:hAnsi="Palatino Linotype" w:cs="Palatino Linotype"/>
          <w:sz w:val="24"/>
          <w:szCs w:val="24"/>
        </w:rPr>
        <w:t>en lo subsecuente</w:t>
      </w:r>
      <w:r w:rsidRPr="00AB4CD3">
        <w:rPr>
          <w:rFonts w:ascii="Palatino Linotype" w:eastAsia="Palatino Linotype" w:hAnsi="Palatino Linotype" w:cs="Palatino Linotype"/>
          <w:b/>
          <w:sz w:val="24"/>
          <w:szCs w:val="24"/>
        </w:rPr>
        <w:t xml:space="preserve"> el Sujeto Obligado, </w:t>
      </w:r>
      <w:r w:rsidRPr="00AB4CD3">
        <w:rPr>
          <w:rFonts w:ascii="Palatino Linotype" w:eastAsia="Palatino Linotype" w:hAnsi="Palatino Linotype" w:cs="Palatino Linotype"/>
          <w:sz w:val="24"/>
          <w:szCs w:val="24"/>
        </w:rPr>
        <w:t>se procede a dictar la presente resolución.</w:t>
      </w:r>
    </w:p>
    <w:p w:rsidR="00AF7AAE" w:rsidRPr="00AB4CD3" w:rsidRDefault="00AF7AAE" w:rsidP="00AF7AAE">
      <w:pPr>
        <w:tabs>
          <w:tab w:val="left" w:pos="6960"/>
        </w:tabs>
        <w:spacing w:after="0" w:line="360" w:lineRule="auto"/>
        <w:jc w:val="both"/>
        <w:rPr>
          <w:rFonts w:ascii="Palatino Linotype" w:eastAsia="Palatino Linotype" w:hAnsi="Palatino Linotype" w:cs="Palatino Linotype"/>
          <w:sz w:val="24"/>
          <w:szCs w:val="24"/>
        </w:rPr>
      </w:pPr>
    </w:p>
    <w:p w:rsidR="00AF7AAE" w:rsidRPr="00AB4CD3" w:rsidRDefault="00AF7AAE" w:rsidP="00AF7AAE">
      <w:pPr>
        <w:spacing w:after="0" w:line="360" w:lineRule="auto"/>
        <w:jc w:val="center"/>
        <w:rPr>
          <w:rFonts w:ascii="Palatino Linotype" w:eastAsia="Palatino Linotype" w:hAnsi="Palatino Linotype" w:cs="Palatino Linotype"/>
          <w:b/>
          <w:sz w:val="28"/>
          <w:szCs w:val="28"/>
        </w:rPr>
      </w:pPr>
      <w:r w:rsidRPr="00AB4CD3">
        <w:rPr>
          <w:rFonts w:ascii="Palatino Linotype" w:eastAsia="Palatino Linotype" w:hAnsi="Palatino Linotype" w:cs="Palatino Linotype"/>
          <w:b/>
          <w:sz w:val="28"/>
          <w:szCs w:val="28"/>
        </w:rPr>
        <w:t>A N T E C E D E N T E S</w:t>
      </w:r>
    </w:p>
    <w:p w:rsidR="00AF7AAE" w:rsidRPr="00AB4CD3" w:rsidRDefault="00AF7AAE" w:rsidP="00AF7AAE">
      <w:pPr>
        <w:spacing w:after="0" w:line="360" w:lineRule="auto"/>
        <w:rPr>
          <w:rFonts w:ascii="Palatino Linotype" w:eastAsia="Palatino Linotype" w:hAnsi="Palatino Linotype" w:cs="Palatino Linotype"/>
          <w:b/>
          <w:sz w:val="24"/>
          <w:szCs w:val="24"/>
        </w:rPr>
      </w:pPr>
    </w:p>
    <w:p w:rsidR="00AF7AAE" w:rsidRPr="00AB4CD3" w:rsidRDefault="00AF7AAE" w:rsidP="00AF7AAE">
      <w:pPr>
        <w:spacing w:after="0" w:line="360" w:lineRule="auto"/>
        <w:jc w:val="both"/>
        <w:rPr>
          <w:rFonts w:ascii="Palatino Linotype" w:eastAsia="Palatino Linotype" w:hAnsi="Palatino Linotype" w:cs="Palatino Linotype"/>
          <w:b/>
          <w:sz w:val="28"/>
          <w:szCs w:val="24"/>
        </w:rPr>
      </w:pPr>
      <w:r w:rsidRPr="00AB4CD3">
        <w:rPr>
          <w:rFonts w:ascii="Palatino Linotype" w:eastAsia="Palatino Linotype" w:hAnsi="Palatino Linotype" w:cs="Palatino Linotype"/>
          <w:b/>
          <w:sz w:val="28"/>
          <w:szCs w:val="24"/>
        </w:rPr>
        <w:t xml:space="preserve">PRIMERO. </w:t>
      </w:r>
      <w:r w:rsidRPr="00AB4CD3">
        <w:rPr>
          <w:rFonts w:ascii="Palatino Linotype" w:eastAsia="Palatino Linotype" w:hAnsi="Palatino Linotype" w:cs="Palatino Linotype"/>
          <w:b/>
          <w:color w:val="000000"/>
          <w:sz w:val="28"/>
          <w:szCs w:val="24"/>
        </w:rPr>
        <w:t>De la solicitud de información.</w:t>
      </w:r>
    </w:p>
    <w:p w:rsidR="00AF7AAE" w:rsidRPr="00AB4CD3" w:rsidRDefault="00AF7AAE" w:rsidP="00AF7AAE">
      <w:pPr>
        <w:spacing w:after="0" w:line="360" w:lineRule="auto"/>
        <w:jc w:val="both"/>
        <w:rPr>
          <w:rFonts w:ascii="Palatino Linotype" w:eastAsia="Palatino Linotype" w:hAnsi="Palatino Linotype" w:cs="Palatino Linotype"/>
          <w:b/>
          <w:sz w:val="24"/>
          <w:szCs w:val="24"/>
        </w:rPr>
      </w:pPr>
      <w:r w:rsidRPr="00AB4CD3">
        <w:rPr>
          <w:rFonts w:ascii="Palatino Linotype" w:eastAsia="Palatino Linotype" w:hAnsi="Palatino Linotype" w:cs="Palatino Linotype"/>
          <w:sz w:val="24"/>
          <w:szCs w:val="24"/>
        </w:rPr>
        <w:t xml:space="preserve">En fecha </w:t>
      </w:r>
      <w:r w:rsidRPr="00AB4CD3">
        <w:rPr>
          <w:rFonts w:ascii="Palatino Linotype" w:eastAsia="Palatino Linotype" w:hAnsi="Palatino Linotype" w:cs="Palatino Linotype"/>
          <w:b/>
          <w:sz w:val="24"/>
          <w:szCs w:val="24"/>
        </w:rPr>
        <w:t>doce de enero de dos mil veintiséis</w:t>
      </w:r>
      <w:r w:rsidRPr="00AB4CD3">
        <w:rPr>
          <w:rFonts w:ascii="Palatino Linotype" w:eastAsia="Palatino Linotype" w:hAnsi="Palatino Linotype" w:cs="Palatino Linotype"/>
          <w:sz w:val="24"/>
          <w:szCs w:val="24"/>
        </w:rPr>
        <w:t>, la parte</w:t>
      </w:r>
      <w:r w:rsidRPr="00AB4CD3">
        <w:rPr>
          <w:rFonts w:ascii="Palatino Linotype" w:eastAsia="Palatino Linotype" w:hAnsi="Palatino Linotype" w:cs="Palatino Linotype"/>
          <w:b/>
          <w:sz w:val="24"/>
          <w:szCs w:val="24"/>
        </w:rPr>
        <w:t xml:space="preserve"> Recurrente</w:t>
      </w:r>
      <w:r w:rsidRPr="00AB4CD3">
        <w:rPr>
          <w:rFonts w:ascii="Palatino Linotype" w:eastAsia="Palatino Linotype" w:hAnsi="Palatino Linotype" w:cs="Palatino Linotype"/>
          <w:sz w:val="24"/>
          <w:szCs w:val="24"/>
        </w:rPr>
        <w:t xml:space="preserve"> presentó a través del Sistema de Acceso a la Información Mexiquense (</w:t>
      </w:r>
      <w:r w:rsidRPr="00AB4CD3">
        <w:rPr>
          <w:rFonts w:ascii="Palatino Linotype" w:eastAsia="Palatino Linotype" w:hAnsi="Palatino Linotype" w:cs="Palatino Linotype"/>
          <w:b/>
          <w:sz w:val="24"/>
          <w:szCs w:val="24"/>
        </w:rPr>
        <w:t>SAIMEX)</w:t>
      </w:r>
      <w:r w:rsidRPr="00AB4CD3">
        <w:rPr>
          <w:rFonts w:ascii="Palatino Linotype" w:eastAsia="Palatino Linotype" w:hAnsi="Palatino Linotype" w:cs="Palatino Linotype"/>
          <w:sz w:val="24"/>
          <w:szCs w:val="24"/>
        </w:rPr>
        <w:t xml:space="preserve">, la solicitud de acceso a la información pública, con número de folio </w:t>
      </w:r>
      <w:r w:rsidRPr="00AB4CD3">
        <w:rPr>
          <w:rFonts w:ascii="Palatino Linotype" w:eastAsia="Palatino Linotype" w:hAnsi="Palatino Linotype" w:cs="Palatino Linotype"/>
          <w:b/>
          <w:sz w:val="24"/>
          <w:szCs w:val="24"/>
        </w:rPr>
        <w:t>00517/TOLUCA/IP/2026</w:t>
      </w:r>
      <w:r w:rsidRPr="00AB4CD3">
        <w:rPr>
          <w:rFonts w:ascii="Palatino Linotype" w:eastAsia="Palatino Linotype" w:hAnsi="Palatino Linotype" w:cs="Palatino Linotype"/>
          <w:sz w:val="24"/>
          <w:szCs w:val="24"/>
        </w:rPr>
        <w:t xml:space="preserve">, de lo siguiente: </w:t>
      </w:r>
    </w:p>
    <w:p w:rsidR="00AF7AAE" w:rsidRPr="00AB4CD3" w:rsidRDefault="00AF7AAE" w:rsidP="00AF7AAE">
      <w:pPr>
        <w:pStyle w:val="INFOEM"/>
        <w:rPr>
          <w:lang w:val="es-ES_tradnl" w:eastAsia="es-ES"/>
        </w:rPr>
      </w:pPr>
      <w:r w:rsidRPr="00AB4CD3">
        <w:rPr>
          <w:lang w:val="es-ES_tradnl" w:eastAsia="es-ES"/>
        </w:rPr>
        <w:t>“</w:t>
      </w:r>
      <w:r w:rsidRPr="00AB4CD3">
        <w:rPr>
          <w:lang w:val="es-ES" w:eastAsia="es-ES"/>
        </w:rPr>
        <w:t>se solicitan todos los oficios que se recibieron y lo que se emitieron en el mes de octubre 2026 en NOVENA REGIDURÍA</w:t>
      </w:r>
      <w:r w:rsidRPr="00AB4CD3">
        <w:rPr>
          <w:lang w:val="es-ES_tradnl" w:eastAsia="es-ES"/>
        </w:rPr>
        <w:t>” (Sic)</w:t>
      </w:r>
    </w:p>
    <w:p w:rsidR="00AF7AAE" w:rsidRPr="00AB4CD3" w:rsidRDefault="00AF7AAE" w:rsidP="00AF7AAE">
      <w:pPr>
        <w:spacing w:before="240" w:line="360" w:lineRule="auto"/>
        <w:jc w:val="both"/>
        <w:rPr>
          <w:rFonts w:ascii="Palatino Linotype" w:hAnsi="Palatino Linotype"/>
          <w:lang w:val="es-ES_tradnl"/>
        </w:rPr>
      </w:pPr>
      <w:r w:rsidRPr="00AB4CD3">
        <w:rPr>
          <w:rFonts w:ascii="Palatino Linotype" w:hAnsi="Palatino Linotype"/>
          <w:b/>
          <w:lang w:val="es-ES_tradnl"/>
        </w:rPr>
        <w:t>Modalidad de entrega:</w:t>
      </w:r>
      <w:r w:rsidRPr="00AB4CD3">
        <w:rPr>
          <w:rFonts w:ascii="Palatino Linotype" w:hAnsi="Palatino Linotype"/>
          <w:lang w:val="es-ES_tradnl"/>
        </w:rPr>
        <w:t xml:space="preserve"> A través del SAIMEX.</w:t>
      </w:r>
    </w:p>
    <w:p w:rsidR="00AF7AAE" w:rsidRPr="00AB4CD3" w:rsidRDefault="00AF7AAE" w:rsidP="00AF7AAE">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AF7AAE" w:rsidRPr="00AB4CD3" w:rsidRDefault="00AF7AAE" w:rsidP="00AF7AAE">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AB4CD3">
        <w:rPr>
          <w:rFonts w:ascii="Palatino Linotype" w:eastAsia="Palatino Linotype" w:hAnsi="Palatino Linotype" w:cs="Palatino Linotype"/>
          <w:b/>
          <w:color w:val="000000"/>
          <w:sz w:val="28"/>
          <w:szCs w:val="24"/>
        </w:rPr>
        <w:t>SEGUNDO. De la falta de respuesta del Sujeto Obligado.</w:t>
      </w:r>
    </w:p>
    <w:p w:rsidR="00AF7AAE" w:rsidRPr="00AB4CD3" w:rsidRDefault="00AF7AAE" w:rsidP="00AF7AAE">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AB4CD3">
        <w:rPr>
          <w:rFonts w:ascii="Palatino Linotype" w:eastAsia="Palatino Linotype" w:hAnsi="Palatino Linotype" w:cs="Palatino Linotype"/>
          <w:color w:val="000000"/>
          <w:sz w:val="24"/>
          <w:szCs w:val="24"/>
        </w:rPr>
        <w:lastRenderedPageBreak/>
        <w:t>E</w:t>
      </w:r>
      <w:r w:rsidRPr="00AB4CD3">
        <w:rPr>
          <w:rFonts w:ascii="Palatino Linotype" w:eastAsia="Palatino Linotype" w:hAnsi="Palatino Linotype" w:cs="Palatino Linotype"/>
          <w:sz w:val="24"/>
          <w:szCs w:val="24"/>
        </w:rPr>
        <w:t xml:space="preserve">l </w:t>
      </w:r>
      <w:r w:rsidRPr="00AB4CD3">
        <w:rPr>
          <w:rFonts w:ascii="Palatino Linotype" w:eastAsia="Palatino Linotype" w:hAnsi="Palatino Linotype" w:cs="Palatino Linotype"/>
          <w:b/>
          <w:sz w:val="24"/>
          <w:szCs w:val="24"/>
        </w:rPr>
        <w:t>Sujeto Obligado</w:t>
      </w:r>
      <w:r w:rsidRPr="00AB4CD3">
        <w:rPr>
          <w:rFonts w:ascii="Palatino Linotype" w:eastAsia="Palatino Linotype" w:hAnsi="Palatino Linotype" w:cs="Palatino Linotype"/>
          <w:sz w:val="24"/>
          <w:szCs w:val="24"/>
        </w:rPr>
        <w:t xml:space="preserve"> no proporcionó respuesta a la solicitud de información </w:t>
      </w:r>
      <w:r w:rsidRPr="00AB4CD3">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AF7AAE" w:rsidRPr="00AB4CD3" w:rsidRDefault="00AF7AAE" w:rsidP="00AF7AAE">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AF7AAE" w:rsidRPr="00AB4CD3" w:rsidRDefault="00AF7AAE" w:rsidP="00AF7AAE">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AB4CD3">
        <w:rPr>
          <w:rFonts w:ascii="Palatino Linotype" w:eastAsia="Palatino Linotype" w:hAnsi="Palatino Linotype" w:cs="Palatino Linotype"/>
          <w:b/>
          <w:sz w:val="28"/>
          <w:szCs w:val="24"/>
        </w:rPr>
        <w:t xml:space="preserve">TERCERO. </w:t>
      </w:r>
      <w:r w:rsidRPr="00AB4CD3">
        <w:rPr>
          <w:rFonts w:ascii="Palatino Linotype" w:eastAsia="Palatino Linotype" w:hAnsi="Palatino Linotype" w:cs="Palatino Linotype"/>
          <w:b/>
          <w:color w:val="000000"/>
          <w:sz w:val="28"/>
          <w:szCs w:val="24"/>
        </w:rPr>
        <w:t>Del recurso de revisión.</w:t>
      </w:r>
    </w:p>
    <w:p w:rsidR="00AF7AAE" w:rsidRPr="00AB4CD3" w:rsidRDefault="00AF7AAE" w:rsidP="00AF7AAE">
      <w:pPr>
        <w:spacing w:after="0" w:line="360" w:lineRule="auto"/>
        <w:jc w:val="both"/>
        <w:rPr>
          <w:rFonts w:ascii="Palatino Linotype" w:eastAsia="Palatino Linotype" w:hAnsi="Palatino Linotype" w:cs="Palatino Linotype"/>
          <w:b/>
          <w:sz w:val="24"/>
          <w:szCs w:val="24"/>
        </w:rPr>
      </w:pPr>
      <w:r w:rsidRPr="00AB4CD3">
        <w:rPr>
          <w:rFonts w:ascii="Palatino Linotype" w:eastAsia="Palatino Linotype" w:hAnsi="Palatino Linotype" w:cs="Palatino Linotype"/>
          <w:sz w:val="24"/>
          <w:szCs w:val="24"/>
        </w:rPr>
        <w:t>Ante la falta de respuesta</w:t>
      </w:r>
      <w:r w:rsidRPr="00AB4CD3">
        <w:rPr>
          <w:rFonts w:ascii="Palatino Linotype" w:eastAsia="Palatino Linotype" w:hAnsi="Palatino Linotype" w:cs="Palatino Linotype"/>
          <w:b/>
          <w:sz w:val="24"/>
          <w:szCs w:val="24"/>
        </w:rPr>
        <w:t xml:space="preserve"> </w:t>
      </w:r>
      <w:r w:rsidRPr="00AB4CD3">
        <w:rPr>
          <w:rFonts w:ascii="Palatino Linotype" w:eastAsia="Palatino Linotype" w:hAnsi="Palatino Linotype" w:cs="Palatino Linotype"/>
          <w:sz w:val="24"/>
          <w:szCs w:val="24"/>
        </w:rPr>
        <w:t xml:space="preserve">del </w:t>
      </w:r>
      <w:r w:rsidRPr="00AB4CD3">
        <w:rPr>
          <w:rFonts w:ascii="Palatino Linotype" w:eastAsia="Palatino Linotype" w:hAnsi="Palatino Linotype" w:cs="Palatino Linotype"/>
          <w:b/>
          <w:sz w:val="24"/>
          <w:szCs w:val="24"/>
        </w:rPr>
        <w:t>Sujeto Obligado</w:t>
      </w:r>
      <w:r w:rsidRPr="00AB4CD3">
        <w:rPr>
          <w:rFonts w:ascii="Palatino Linotype" w:eastAsia="Palatino Linotype" w:hAnsi="Palatino Linotype" w:cs="Palatino Linotype"/>
          <w:sz w:val="24"/>
          <w:szCs w:val="24"/>
        </w:rPr>
        <w:t xml:space="preserve">, la parte </w:t>
      </w:r>
      <w:r w:rsidRPr="00AB4CD3">
        <w:rPr>
          <w:rFonts w:ascii="Palatino Linotype" w:eastAsia="Palatino Linotype" w:hAnsi="Palatino Linotype" w:cs="Palatino Linotype"/>
          <w:b/>
          <w:sz w:val="24"/>
          <w:szCs w:val="24"/>
        </w:rPr>
        <w:t>Recurrente</w:t>
      </w:r>
      <w:r w:rsidRPr="00AB4CD3">
        <w:rPr>
          <w:rFonts w:ascii="Palatino Linotype" w:eastAsia="Palatino Linotype" w:hAnsi="Palatino Linotype" w:cs="Palatino Linotype"/>
          <w:sz w:val="24"/>
          <w:szCs w:val="24"/>
        </w:rPr>
        <w:t xml:space="preserve"> interpuso el recurso de revisión en fecha </w:t>
      </w:r>
      <w:r w:rsidRPr="00AB4CD3">
        <w:rPr>
          <w:rFonts w:ascii="Palatino Linotype" w:eastAsia="Palatino Linotype" w:hAnsi="Palatino Linotype" w:cs="Palatino Linotype"/>
          <w:b/>
          <w:sz w:val="24"/>
          <w:szCs w:val="24"/>
        </w:rPr>
        <w:t>cuatro de febrero de dos mil veintiséis</w:t>
      </w:r>
      <w:r w:rsidRPr="00AB4CD3">
        <w:rPr>
          <w:rFonts w:ascii="Palatino Linotype" w:eastAsia="Palatino Linotype" w:hAnsi="Palatino Linotype" w:cs="Palatino Linotype"/>
          <w:sz w:val="24"/>
          <w:szCs w:val="24"/>
        </w:rPr>
        <w:t>, registrado</w:t>
      </w:r>
      <w:r w:rsidRPr="00AB4CD3">
        <w:rPr>
          <w:rFonts w:ascii="Palatino Linotype" w:eastAsia="Palatino Linotype" w:hAnsi="Palatino Linotype" w:cs="Palatino Linotype"/>
          <w:b/>
          <w:sz w:val="24"/>
          <w:szCs w:val="24"/>
        </w:rPr>
        <w:t xml:space="preserve"> </w:t>
      </w:r>
      <w:r w:rsidRPr="00AB4CD3">
        <w:rPr>
          <w:rFonts w:ascii="Palatino Linotype" w:eastAsia="Palatino Linotype" w:hAnsi="Palatino Linotype" w:cs="Palatino Linotype"/>
          <w:sz w:val="24"/>
          <w:szCs w:val="24"/>
        </w:rPr>
        <w:t xml:space="preserve">en el </w:t>
      </w:r>
      <w:r w:rsidRPr="00AB4CD3">
        <w:rPr>
          <w:rFonts w:ascii="Palatino Linotype" w:eastAsia="Palatino Linotype" w:hAnsi="Palatino Linotype" w:cs="Palatino Linotype"/>
          <w:b/>
          <w:sz w:val="24"/>
          <w:szCs w:val="24"/>
        </w:rPr>
        <w:t xml:space="preserve">SAIMEX </w:t>
      </w:r>
      <w:r w:rsidRPr="00AB4CD3">
        <w:rPr>
          <w:rFonts w:ascii="Palatino Linotype" w:eastAsia="Palatino Linotype" w:hAnsi="Palatino Linotype" w:cs="Palatino Linotype"/>
          <w:sz w:val="24"/>
          <w:szCs w:val="24"/>
        </w:rPr>
        <w:t xml:space="preserve">con el número de expediente </w:t>
      </w:r>
      <w:r w:rsidRPr="00AB4CD3">
        <w:rPr>
          <w:rFonts w:ascii="Palatino Linotype" w:eastAsia="Palatino Linotype" w:hAnsi="Palatino Linotype" w:cs="Palatino Linotype"/>
          <w:b/>
          <w:sz w:val="24"/>
          <w:szCs w:val="24"/>
        </w:rPr>
        <w:t>01315/INFOEM/IP/RR/2026</w:t>
      </w:r>
      <w:r w:rsidRPr="00AB4CD3">
        <w:rPr>
          <w:rFonts w:ascii="Palatino Linotype" w:eastAsia="Palatino Linotype" w:hAnsi="Palatino Linotype" w:cs="Palatino Linotype"/>
          <w:sz w:val="24"/>
          <w:szCs w:val="24"/>
        </w:rPr>
        <w:t>, y señaló como acto impugnado y razones o motivos de inconformidad, lo siguiente:</w:t>
      </w:r>
    </w:p>
    <w:p w:rsidR="00AF7AAE" w:rsidRPr="00AB4CD3" w:rsidRDefault="00AF7AAE" w:rsidP="00AF7AAE">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AF7AAE" w:rsidRPr="00AB4CD3" w:rsidRDefault="00AF7AAE" w:rsidP="00AF7AAE">
      <w:pPr>
        <w:pBdr>
          <w:top w:val="nil"/>
          <w:left w:val="nil"/>
          <w:bottom w:val="nil"/>
          <w:right w:val="nil"/>
          <w:between w:val="nil"/>
        </w:pBdr>
        <w:spacing w:line="360" w:lineRule="auto"/>
        <w:jc w:val="both"/>
        <w:rPr>
          <w:i/>
        </w:rPr>
      </w:pPr>
      <w:r w:rsidRPr="00AB4CD3">
        <w:rPr>
          <w:rFonts w:ascii="Palatino Linotype" w:eastAsia="Palatino Linotype" w:hAnsi="Palatino Linotype" w:cs="Palatino Linotype"/>
          <w:b/>
          <w:i/>
          <w:color w:val="000000"/>
        </w:rPr>
        <w:t xml:space="preserve">Acto Impugnado: </w:t>
      </w:r>
    </w:p>
    <w:p w:rsidR="00AF7AAE" w:rsidRPr="00AB4CD3" w:rsidRDefault="00AF7AAE" w:rsidP="00AF7AAE">
      <w:pPr>
        <w:pBdr>
          <w:top w:val="nil"/>
          <w:left w:val="nil"/>
          <w:bottom w:val="nil"/>
          <w:right w:val="nil"/>
          <w:between w:val="nil"/>
        </w:pBdr>
        <w:spacing w:line="360" w:lineRule="auto"/>
        <w:jc w:val="both"/>
        <w:rPr>
          <w:i/>
        </w:rPr>
      </w:pPr>
      <w:r w:rsidRPr="00AB4CD3">
        <w:rPr>
          <w:rFonts w:ascii="Palatino Linotype" w:eastAsia="Palatino Linotype" w:hAnsi="Palatino Linotype" w:cs="Palatino Linotype"/>
          <w:i/>
          <w:color w:val="000000"/>
        </w:rPr>
        <w:t xml:space="preserve">“El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 (Sic) </w:t>
      </w:r>
    </w:p>
    <w:p w:rsidR="00AF7AAE" w:rsidRPr="00AB4CD3" w:rsidRDefault="00AF7AAE" w:rsidP="00AF7AAE">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rsidR="00AF7AAE" w:rsidRPr="00AB4CD3" w:rsidRDefault="00AF7AAE" w:rsidP="00AF7AAE">
      <w:pPr>
        <w:pBdr>
          <w:top w:val="nil"/>
          <w:left w:val="nil"/>
          <w:bottom w:val="nil"/>
          <w:right w:val="nil"/>
          <w:between w:val="nil"/>
        </w:pBdr>
        <w:spacing w:line="360" w:lineRule="auto"/>
        <w:jc w:val="both"/>
      </w:pPr>
      <w:r w:rsidRPr="00AB4CD3">
        <w:rPr>
          <w:rFonts w:ascii="Palatino Linotype" w:eastAsia="Palatino Linotype" w:hAnsi="Palatino Linotype" w:cs="Palatino Linotype"/>
          <w:b/>
          <w:i/>
          <w:color w:val="000000"/>
        </w:rPr>
        <w:t>Razones o Motivos de Inconformidad</w:t>
      </w:r>
      <w:r w:rsidRPr="00AB4CD3">
        <w:rPr>
          <w:rFonts w:ascii="Palatino Linotype" w:eastAsia="Palatino Linotype" w:hAnsi="Palatino Linotype" w:cs="Palatino Linotype"/>
          <w:i/>
          <w:color w:val="000000"/>
        </w:rPr>
        <w:t xml:space="preserve">: </w:t>
      </w:r>
    </w:p>
    <w:p w:rsidR="00AF7AAE" w:rsidRPr="00AB4CD3" w:rsidRDefault="00AF7AAE" w:rsidP="00AF7AAE">
      <w:pPr>
        <w:pBdr>
          <w:top w:val="nil"/>
          <w:left w:val="nil"/>
          <w:bottom w:val="nil"/>
          <w:right w:val="nil"/>
          <w:between w:val="nil"/>
        </w:pBdr>
        <w:spacing w:after="0" w:line="360" w:lineRule="auto"/>
        <w:jc w:val="both"/>
      </w:pPr>
      <w:r w:rsidRPr="00AB4CD3">
        <w:rPr>
          <w:rFonts w:ascii="Palatino Linotype" w:eastAsia="Palatino Linotype" w:hAnsi="Palatino Linotype" w:cs="Palatino Linotype"/>
          <w:i/>
          <w:color w:val="000000"/>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Pr="00AB4CD3">
        <w:rPr>
          <w:rFonts w:ascii="Palatino Linotype" w:eastAsia="Palatino Linotype" w:hAnsi="Palatino Linotype" w:cs="Palatino Linotype"/>
          <w:color w:val="000000"/>
          <w:sz w:val="24"/>
          <w:szCs w:val="24"/>
        </w:rPr>
        <w:t xml:space="preserve"> (Sic)</w:t>
      </w:r>
      <w:r w:rsidRPr="00AB4CD3">
        <w:rPr>
          <w:rFonts w:ascii="Times New Roman" w:eastAsia="Times New Roman" w:hAnsi="Times New Roman" w:cs="Times New Roman"/>
          <w:color w:val="000000"/>
          <w:sz w:val="24"/>
          <w:szCs w:val="24"/>
        </w:rPr>
        <w:t xml:space="preserve"> </w:t>
      </w:r>
    </w:p>
    <w:p w:rsidR="00AF7AAE" w:rsidRPr="00AB4CD3" w:rsidRDefault="00AF7AAE" w:rsidP="00AF7AAE">
      <w:pPr>
        <w:spacing w:after="0" w:line="360" w:lineRule="auto"/>
        <w:jc w:val="both"/>
        <w:rPr>
          <w:rFonts w:ascii="Palatino Linotype" w:eastAsia="Palatino Linotype" w:hAnsi="Palatino Linotype" w:cs="Palatino Linotype"/>
          <w:b/>
          <w:sz w:val="28"/>
          <w:szCs w:val="28"/>
        </w:rPr>
      </w:pPr>
    </w:p>
    <w:p w:rsidR="00AF7AAE" w:rsidRPr="00AB4CD3" w:rsidRDefault="00AF7AAE" w:rsidP="00AF7AAE">
      <w:pPr>
        <w:spacing w:before="240" w:line="360" w:lineRule="auto"/>
        <w:jc w:val="both"/>
        <w:rPr>
          <w:rFonts w:ascii="Palatino Linotype" w:hAnsi="Palatino Linotype" w:cs="Arial"/>
          <w:b/>
        </w:rPr>
      </w:pPr>
      <w:r w:rsidRPr="00AB4CD3">
        <w:rPr>
          <w:rFonts w:ascii="Palatino Linotype" w:hAnsi="Palatino Linotype" w:cs="Arial"/>
          <w:b/>
          <w:sz w:val="28"/>
        </w:rPr>
        <w:lastRenderedPageBreak/>
        <w:t>CUARTO</w:t>
      </w:r>
      <w:r w:rsidRPr="00AB4CD3">
        <w:rPr>
          <w:rFonts w:ascii="Palatino Linotype" w:hAnsi="Palatino Linotype" w:cs="Arial"/>
          <w:b/>
        </w:rPr>
        <w:t xml:space="preserve">. </w:t>
      </w:r>
      <w:r w:rsidRPr="00AB4CD3">
        <w:rPr>
          <w:rFonts w:ascii="Palatino Linotype" w:hAnsi="Palatino Linotype" w:cs="Arial"/>
          <w:b/>
          <w:sz w:val="28"/>
          <w:szCs w:val="28"/>
        </w:rPr>
        <w:t>Del turno y admisión del recurso de revisión.</w:t>
      </w:r>
    </w:p>
    <w:p w:rsidR="00AF7AAE" w:rsidRPr="00AB4CD3" w:rsidRDefault="00AF7AAE" w:rsidP="00AF7AAE">
      <w:pPr>
        <w:spacing w:before="240" w:line="360" w:lineRule="auto"/>
        <w:jc w:val="both"/>
        <w:rPr>
          <w:rFonts w:ascii="Palatino Linotype" w:hAnsi="Palatino Linotype" w:cs="Arial"/>
          <w:sz w:val="32"/>
        </w:rPr>
      </w:pPr>
      <w:r w:rsidRPr="00AB4CD3">
        <w:rPr>
          <w:rFonts w:ascii="Palatino Linotype" w:hAnsi="Palatino Linotype"/>
          <w:sz w:val="24"/>
        </w:rPr>
        <w:t xml:space="preserve">El medio de impugnación fue turnado al Comisionado Presidente </w:t>
      </w:r>
      <w:r w:rsidRPr="00AB4CD3">
        <w:rPr>
          <w:rFonts w:ascii="Palatino Linotype" w:hAnsi="Palatino Linotype"/>
          <w:b/>
          <w:sz w:val="24"/>
        </w:rPr>
        <w:t>José Martínez Vilchis,</w:t>
      </w:r>
      <w:r w:rsidRPr="00AB4CD3">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AB4CD3">
        <w:rPr>
          <w:rFonts w:ascii="Palatino Linotype" w:hAnsi="Palatino Linotype"/>
          <w:b/>
          <w:sz w:val="24"/>
        </w:rPr>
        <w:t>admisión</w:t>
      </w:r>
      <w:r w:rsidRPr="00AB4CD3">
        <w:rPr>
          <w:rFonts w:ascii="Palatino Linotype" w:hAnsi="Palatino Linotype"/>
          <w:sz w:val="24"/>
        </w:rPr>
        <w:t xml:space="preserve"> en fecha </w:t>
      </w:r>
      <w:r w:rsidRPr="00AB4CD3">
        <w:rPr>
          <w:rFonts w:ascii="Palatino Linotype" w:hAnsi="Palatino Linotype"/>
          <w:b/>
          <w:sz w:val="24"/>
        </w:rPr>
        <w:t>nueve de febrero de dos mil veintiséis</w:t>
      </w:r>
      <w:r w:rsidRPr="00AB4CD3">
        <w:rPr>
          <w:rFonts w:ascii="Palatino Linotype" w:hAnsi="Palatino Linotype"/>
          <w:sz w:val="24"/>
        </w:rPr>
        <w:t>, determinándose en ellos, un plazo de siete días para que las partes manifestaran lo que a su derecho corresponda en términos del numeral ya citado.</w:t>
      </w:r>
    </w:p>
    <w:p w:rsidR="00AF7AAE" w:rsidRPr="00AB4CD3" w:rsidRDefault="00AF7AAE" w:rsidP="00AF7AAE">
      <w:pPr>
        <w:spacing w:after="0" w:line="360" w:lineRule="auto"/>
        <w:jc w:val="both"/>
        <w:rPr>
          <w:rFonts w:ascii="Palatino Linotype" w:eastAsia="Palatino Linotype" w:hAnsi="Palatino Linotype" w:cs="Palatino Linotype"/>
          <w:b/>
          <w:sz w:val="28"/>
          <w:szCs w:val="28"/>
        </w:rPr>
      </w:pPr>
    </w:p>
    <w:p w:rsidR="00AF7AAE" w:rsidRPr="00AB4CD3" w:rsidRDefault="00AF7AAE" w:rsidP="00AF7AAE">
      <w:pPr>
        <w:pStyle w:val="Prrafodelista"/>
        <w:spacing w:line="360" w:lineRule="auto"/>
        <w:ind w:left="0"/>
        <w:jc w:val="both"/>
        <w:rPr>
          <w:rFonts w:ascii="Palatino Linotype" w:hAnsi="Palatino Linotype" w:cs="Arial"/>
          <w:b/>
          <w:sz w:val="28"/>
          <w:szCs w:val="28"/>
        </w:rPr>
      </w:pPr>
      <w:r w:rsidRPr="00AB4CD3">
        <w:rPr>
          <w:rFonts w:ascii="Palatino Linotype" w:hAnsi="Palatino Linotype" w:cs="Arial"/>
          <w:b/>
          <w:sz w:val="28"/>
        </w:rPr>
        <w:t>QUINTO</w:t>
      </w:r>
      <w:r w:rsidRPr="00AB4CD3">
        <w:rPr>
          <w:rFonts w:ascii="Palatino Linotype" w:hAnsi="Palatino Linotype" w:cs="Arial"/>
          <w:b/>
        </w:rPr>
        <w:t>.</w:t>
      </w:r>
      <w:r w:rsidRPr="00AB4CD3">
        <w:rPr>
          <w:rFonts w:ascii="Palatino Linotype" w:hAnsi="Palatino Linotype" w:cs="Arial"/>
          <w:b/>
          <w:sz w:val="28"/>
          <w:szCs w:val="28"/>
        </w:rPr>
        <w:t xml:space="preserve"> De la etapa de instrucción.</w:t>
      </w:r>
    </w:p>
    <w:p w:rsidR="00AF7AAE" w:rsidRPr="00AB4CD3" w:rsidRDefault="00AF7AAE" w:rsidP="00AF7AAE">
      <w:pPr>
        <w:spacing w:line="360" w:lineRule="auto"/>
        <w:jc w:val="both"/>
        <w:rPr>
          <w:rFonts w:ascii="Palatino Linotype" w:hAnsi="Palatino Linotype" w:cs="Arial"/>
          <w:sz w:val="24"/>
        </w:rPr>
      </w:pPr>
      <w:r w:rsidRPr="00AB4CD3">
        <w:rPr>
          <w:rFonts w:ascii="Palatino Linotype" w:hAnsi="Palatino Linotype" w:cs="Arial"/>
          <w:sz w:val="24"/>
        </w:rPr>
        <w:t xml:space="preserve">De las constancias que obran en el expediente electrónico del SAIMEX, se advierte que el </w:t>
      </w:r>
      <w:r w:rsidRPr="00AB4CD3">
        <w:rPr>
          <w:rFonts w:ascii="Palatino Linotype" w:hAnsi="Palatino Linotype" w:cs="Arial"/>
          <w:b/>
          <w:sz w:val="24"/>
        </w:rPr>
        <w:t>Sujeto Obligado</w:t>
      </w:r>
      <w:r w:rsidRPr="00AB4CD3">
        <w:rPr>
          <w:rFonts w:ascii="Palatino Linotype" w:hAnsi="Palatino Linotype" w:cs="Arial"/>
          <w:sz w:val="24"/>
        </w:rPr>
        <w:t xml:space="preserve"> rindió su informe justificado en fecha dieciocho de febrero de dos mil veintiséis, por medio de los archivos electrónicos </w:t>
      </w:r>
      <w:r w:rsidRPr="00AB4CD3">
        <w:rPr>
          <w:rFonts w:ascii="Palatino Linotype" w:hAnsi="Palatino Linotype" w:cs="Arial"/>
          <w:b/>
          <w:sz w:val="24"/>
        </w:rPr>
        <w:t>“</w:t>
      </w:r>
      <w:r w:rsidRPr="00AB4CD3">
        <w:rPr>
          <w:rFonts w:ascii="Palatino Linotype" w:hAnsi="Palatino Linotype" w:cs="Arial"/>
          <w:b/>
          <w:i/>
          <w:sz w:val="24"/>
        </w:rPr>
        <w:t>1315-517-ANEXOS-2026-9R.pdf”, “1315 OCTUBRE2025 EYS.pdf” y “Ratificación1315.pdf”</w:t>
      </w:r>
      <w:r w:rsidRPr="00AB4CD3">
        <w:rPr>
          <w:rFonts w:ascii="Palatino Linotype" w:hAnsi="Palatino Linotype" w:cs="Arial"/>
          <w:i/>
          <w:sz w:val="24"/>
        </w:rPr>
        <w:t>,</w:t>
      </w:r>
      <w:r w:rsidRPr="00AB4CD3">
        <w:rPr>
          <w:rFonts w:ascii="Palatino Linotype" w:hAnsi="Palatino Linotype" w:cs="Arial"/>
          <w:sz w:val="24"/>
        </w:rPr>
        <w:t xml:space="preserve"> mismos que fueron puestos a la vista del Recurrente en fecha seis de abril de dos mil veintiséis</w:t>
      </w:r>
      <w:r w:rsidRPr="00AB4CD3">
        <w:rPr>
          <w:rFonts w:ascii="Palatino Linotype" w:hAnsi="Palatino Linotype" w:cs="Arial"/>
          <w:b/>
          <w:i/>
          <w:sz w:val="24"/>
        </w:rPr>
        <w:t xml:space="preserve">. </w:t>
      </w:r>
    </w:p>
    <w:p w:rsidR="00AF7AAE" w:rsidRPr="00AB4CD3" w:rsidRDefault="00AF7AAE" w:rsidP="00AF7AAE">
      <w:pPr>
        <w:spacing w:after="0" w:line="360" w:lineRule="auto"/>
        <w:jc w:val="both"/>
        <w:rPr>
          <w:rFonts w:ascii="Palatino Linotype" w:hAnsi="Palatino Linotype" w:cs="Arial"/>
          <w:b/>
          <w:sz w:val="28"/>
          <w:szCs w:val="28"/>
        </w:rPr>
      </w:pPr>
    </w:p>
    <w:p w:rsidR="00AF7AAE" w:rsidRPr="00AB4CD3" w:rsidRDefault="00AF7AAE" w:rsidP="00AF7AAE">
      <w:pPr>
        <w:spacing w:after="0" w:line="360" w:lineRule="auto"/>
        <w:jc w:val="both"/>
        <w:rPr>
          <w:rFonts w:ascii="Palatino Linotype" w:hAnsi="Palatino Linotype" w:cs="Arial"/>
          <w:b/>
          <w:sz w:val="28"/>
          <w:lang w:val="es-ES_tradnl"/>
        </w:rPr>
      </w:pPr>
      <w:r w:rsidRPr="00AB4CD3">
        <w:rPr>
          <w:rFonts w:ascii="Palatino Linotype" w:hAnsi="Palatino Linotype" w:cs="Arial"/>
          <w:b/>
          <w:sz w:val="28"/>
          <w:szCs w:val="28"/>
        </w:rPr>
        <w:t xml:space="preserve">SEXTO. </w:t>
      </w:r>
      <w:r w:rsidRPr="00AB4CD3">
        <w:rPr>
          <w:rFonts w:ascii="Palatino Linotype" w:hAnsi="Palatino Linotype" w:cs="Arial"/>
          <w:b/>
          <w:sz w:val="28"/>
          <w:lang w:val="es-ES_tradnl"/>
        </w:rPr>
        <w:t>De la ampliación del término para resolver.</w:t>
      </w:r>
    </w:p>
    <w:p w:rsidR="00AF7AAE" w:rsidRPr="00AB4CD3" w:rsidRDefault="00AF7AAE" w:rsidP="00AF7AAE">
      <w:pPr>
        <w:spacing w:line="360" w:lineRule="auto"/>
        <w:jc w:val="both"/>
        <w:rPr>
          <w:rFonts w:ascii="Palatino Linotype" w:hAnsi="Palatino Linotype" w:cs="Arial"/>
          <w:sz w:val="24"/>
        </w:rPr>
      </w:pPr>
      <w:r w:rsidRPr="00AB4CD3">
        <w:rPr>
          <w:rFonts w:ascii="Palatino Linotype" w:hAnsi="Palatino Linotype" w:cs="Arial"/>
          <w:sz w:val="24"/>
        </w:rPr>
        <w:t xml:space="preserve">De las constancias que integran el expediente electrónico, se advierte que han transcurrido los términos de Ley, para la emisión de la resolución en el presente recurso de revisión, por lo que en fecha </w:t>
      </w:r>
      <w:r w:rsidRPr="00AB4CD3">
        <w:rPr>
          <w:rFonts w:ascii="Palatino Linotype" w:hAnsi="Palatino Linotype" w:cs="Arial"/>
          <w:b/>
          <w:sz w:val="24"/>
        </w:rPr>
        <w:t>seis de abril de dos mil veintiséis</w:t>
      </w:r>
      <w:r w:rsidRPr="00AB4CD3">
        <w:rPr>
          <w:rFonts w:ascii="Palatino Linotype" w:hAnsi="Palatino Linotype" w:cs="Arial"/>
          <w:sz w:val="24"/>
        </w:rPr>
        <w:t xml:space="preserve">, se notificó a las partes el acuerdo por el que se ordena ampliar el plazo para la emisión de la resolución, en términos del artículo 181 párrafo tercero de la Ley de Transparencia y </w:t>
      </w:r>
      <w:r w:rsidRPr="00AB4CD3">
        <w:rPr>
          <w:rFonts w:ascii="Palatino Linotype" w:hAnsi="Palatino Linotype" w:cs="Arial"/>
          <w:sz w:val="24"/>
        </w:rPr>
        <w:lastRenderedPageBreak/>
        <w:t>Acceso a la Información Pública del Estado de México y Municipios, ordenándose turnar los expedientes a la resolución que en derecho proceda.</w:t>
      </w:r>
    </w:p>
    <w:p w:rsidR="00AF7AAE" w:rsidRPr="00AB4CD3" w:rsidRDefault="00AF7AAE" w:rsidP="00AF7AAE">
      <w:pPr>
        <w:spacing w:after="0" w:line="360" w:lineRule="auto"/>
        <w:jc w:val="both"/>
        <w:rPr>
          <w:rFonts w:ascii="Palatino Linotype" w:hAnsi="Palatino Linotype" w:cs="Arial"/>
          <w:sz w:val="24"/>
          <w:szCs w:val="24"/>
        </w:rPr>
      </w:pPr>
    </w:p>
    <w:p w:rsidR="00AF7AAE" w:rsidRPr="00AB4CD3" w:rsidRDefault="00AF7AAE" w:rsidP="00AF7AAE">
      <w:pPr>
        <w:spacing w:after="0" w:line="360" w:lineRule="auto"/>
        <w:jc w:val="both"/>
        <w:rPr>
          <w:rFonts w:ascii="Palatino Linotype" w:hAnsi="Palatino Linotype" w:cs="Arial"/>
          <w:b/>
          <w:sz w:val="28"/>
          <w:szCs w:val="28"/>
        </w:rPr>
      </w:pPr>
      <w:r w:rsidRPr="00AB4CD3">
        <w:rPr>
          <w:rFonts w:ascii="Palatino Linotype" w:hAnsi="Palatino Linotype" w:cs="Arial"/>
          <w:b/>
          <w:sz w:val="28"/>
          <w:lang w:val="es-ES_tradnl"/>
        </w:rPr>
        <w:t>SÉPTIMO</w:t>
      </w:r>
      <w:r w:rsidRPr="00AB4CD3">
        <w:rPr>
          <w:rFonts w:ascii="Palatino Linotype" w:hAnsi="Palatino Linotype" w:cs="Arial"/>
          <w:b/>
          <w:sz w:val="28"/>
          <w:szCs w:val="28"/>
        </w:rPr>
        <w:t>.</w:t>
      </w:r>
      <w:r w:rsidRPr="00AB4CD3">
        <w:rPr>
          <w:rFonts w:ascii="Palatino Linotype" w:hAnsi="Palatino Linotype" w:cs="Arial"/>
          <w:b/>
          <w:sz w:val="28"/>
          <w:lang w:val="es-ES_tradnl"/>
        </w:rPr>
        <w:t xml:space="preserve"> </w:t>
      </w:r>
      <w:r w:rsidRPr="00AB4CD3">
        <w:rPr>
          <w:rFonts w:ascii="Palatino Linotype" w:hAnsi="Palatino Linotype" w:cs="Arial"/>
          <w:b/>
          <w:sz w:val="28"/>
          <w:szCs w:val="28"/>
        </w:rPr>
        <w:t>Del Cierre de Instrucción.</w:t>
      </w:r>
    </w:p>
    <w:p w:rsidR="00AF7AAE" w:rsidRPr="00AB4CD3" w:rsidRDefault="00AF7AAE" w:rsidP="00AF7AAE">
      <w:pPr>
        <w:spacing w:after="0" w:line="360" w:lineRule="auto"/>
        <w:jc w:val="both"/>
        <w:rPr>
          <w:rFonts w:ascii="Palatino Linotype" w:hAnsi="Palatino Linotype" w:cs="Arial"/>
          <w:sz w:val="24"/>
          <w:szCs w:val="24"/>
        </w:rPr>
      </w:pPr>
      <w:r w:rsidRPr="00AB4CD3">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1591D" w:rsidRPr="00AB4CD3">
        <w:rPr>
          <w:rFonts w:ascii="Palatino Linotype" w:hAnsi="Palatino Linotype" w:cs="Arial"/>
          <w:b/>
          <w:sz w:val="24"/>
          <w:szCs w:val="24"/>
        </w:rPr>
        <w:t>trece</w:t>
      </w:r>
      <w:r w:rsidRPr="00AB4CD3">
        <w:rPr>
          <w:rFonts w:ascii="Palatino Linotype" w:hAnsi="Palatino Linotype" w:cs="Arial"/>
          <w:b/>
          <w:sz w:val="24"/>
          <w:szCs w:val="24"/>
        </w:rPr>
        <w:t xml:space="preserve"> de abril de dos mil veintiséis</w:t>
      </w:r>
      <w:r w:rsidRPr="00AB4CD3">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AF7AAE" w:rsidRPr="00AB4CD3" w:rsidRDefault="00AF7AAE" w:rsidP="00AF7AAE">
      <w:pPr>
        <w:spacing w:line="360" w:lineRule="auto"/>
        <w:jc w:val="both"/>
        <w:rPr>
          <w:rFonts w:ascii="Palatino Linotype" w:hAnsi="Palatino Linotype" w:cs="Arial"/>
          <w:sz w:val="24"/>
        </w:rPr>
      </w:pPr>
    </w:p>
    <w:p w:rsidR="00AF7AAE" w:rsidRPr="00AB4CD3" w:rsidRDefault="00AF7AAE" w:rsidP="00AF7AAE">
      <w:pPr>
        <w:spacing w:after="0" w:line="360" w:lineRule="auto"/>
        <w:jc w:val="both"/>
        <w:rPr>
          <w:rFonts w:ascii="Palatino Linotype" w:eastAsia="Palatino Linotype" w:hAnsi="Palatino Linotype" w:cs="Palatino Linotype"/>
          <w:sz w:val="24"/>
          <w:szCs w:val="24"/>
        </w:rPr>
      </w:pPr>
    </w:p>
    <w:p w:rsidR="00AF7AAE" w:rsidRPr="00AB4CD3" w:rsidRDefault="00AF7AAE" w:rsidP="00AF7AAE">
      <w:pPr>
        <w:spacing w:after="0" w:line="360" w:lineRule="auto"/>
        <w:jc w:val="center"/>
        <w:rPr>
          <w:rFonts w:ascii="Palatino Linotype" w:eastAsia="Palatino Linotype" w:hAnsi="Palatino Linotype" w:cs="Palatino Linotype"/>
          <w:sz w:val="24"/>
          <w:szCs w:val="24"/>
        </w:rPr>
      </w:pPr>
      <w:r w:rsidRPr="00AB4CD3">
        <w:rPr>
          <w:rFonts w:ascii="Palatino Linotype" w:eastAsia="Palatino Linotype" w:hAnsi="Palatino Linotype" w:cs="Palatino Linotype"/>
          <w:b/>
          <w:sz w:val="28"/>
          <w:szCs w:val="28"/>
        </w:rPr>
        <w:t xml:space="preserve">C O N S I D E R A N D O </w:t>
      </w:r>
    </w:p>
    <w:p w:rsidR="00AF7AAE" w:rsidRPr="00AB4CD3" w:rsidRDefault="00AF7AAE" w:rsidP="00AF7AAE">
      <w:pPr>
        <w:spacing w:after="0" w:line="360" w:lineRule="auto"/>
        <w:jc w:val="both"/>
        <w:rPr>
          <w:rFonts w:ascii="Palatino Linotype" w:eastAsia="Palatino Linotype" w:hAnsi="Palatino Linotype" w:cs="Palatino Linotype"/>
          <w:sz w:val="24"/>
          <w:szCs w:val="24"/>
        </w:rPr>
      </w:pPr>
    </w:p>
    <w:p w:rsidR="00AF7AAE" w:rsidRPr="00AB4CD3" w:rsidRDefault="00AF7AAE" w:rsidP="00AF7AAE">
      <w:pPr>
        <w:spacing w:after="0" w:line="360" w:lineRule="auto"/>
        <w:jc w:val="both"/>
        <w:rPr>
          <w:rFonts w:ascii="Palatino Linotype" w:eastAsia="Palatino Linotype" w:hAnsi="Palatino Linotype" w:cs="Palatino Linotype"/>
          <w:sz w:val="28"/>
          <w:szCs w:val="24"/>
        </w:rPr>
      </w:pPr>
      <w:r w:rsidRPr="00AB4CD3">
        <w:rPr>
          <w:rFonts w:ascii="Palatino Linotype" w:eastAsia="Palatino Linotype" w:hAnsi="Palatino Linotype" w:cs="Palatino Linotype"/>
          <w:b/>
          <w:sz w:val="28"/>
          <w:szCs w:val="24"/>
        </w:rPr>
        <w:t>PRIMERO. De la competencia</w:t>
      </w:r>
      <w:r w:rsidRPr="00AB4CD3">
        <w:rPr>
          <w:rFonts w:ascii="Palatino Linotype" w:eastAsia="Palatino Linotype" w:hAnsi="Palatino Linotype" w:cs="Palatino Linotype"/>
          <w:sz w:val="28"/>
          <w:szCs w:val="24"/>
        </w:rPr>
        <w:t>.</w:t>
      </w:r>
    </w:p>
    <w:p w:rsidR="00AF7AAE" w:rsidRPr="00AB4CD3" w:rsidRDefault="00AF7AAE" w:rsidP="00AF7AAE">
      <w:pPr>
        <w:spacing w:after="0" w:line="360" w:lineRule="auto"/>
        <w:jc w:val="both"/>
        <w:rPr>
          <w:rFonts w:ascii="Palatino Linotype" w:hAnsi="Palatino Linotype"/>
          <w:sz w:val="24"/>
          <w:szCs w:val="24"/>
          <w:lang w:val="es-ES"/>
        </w:rPr>
      </w:pPr>
      <w:r w:rsidRPr="00AB4CD3">
        <w:rPr>
          <w:rFonts w:ascii="Palatino Linotype" w:hAnsi="Palatino Linotype"/>
          <w:sz w:val="24"/>
          <w:szCs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AB4CD3">
        <w:rPr>
          <w:rFonts w:ascii="Palatino Linotype" w:hAnsi="Palatino Linotype"/>
          <w:sz w:val="24"/>
          <w:szCs w:val="24"/>
          <w:lang w:val="es-ES"/>
        </w:rPr>
        <w:lastRenderedPageBreak/>
        <w:t>Municipios; y 9, fracciones I y XXIII y 11 del Reglamento Interior del Instituto de Transparencia, Acceso a la Información Pública y Protección de Datos Personales del Estado de México y Municipios.</w:t>
      </w:r>
    </w:p>
    <w:p w:rsidR="00AF7AAE" w:rsidRPr="00AB4CD3" w:rsidRDefault="00AF7AAE" w:rsidP="00AF7AAE">
      <w:pPr>
        <w:spacing w:after="0" w:line="360" w:lineRule="auto"/>
        <w:jc w:val="both"/>
        <w:rPr>
          <w:rFonts w:ascii="Palatino Linotype" w:eastAsia="Palatino Linotype" w:hAnsi="Palatino Linotype" w:cs="Palatino Linotype"/>
          <w:sz w:val="24"/>
          <w:szCs w:val="24"/>
        </w:rPr>
      </w:pPr>
    </w:p>
    <w:p w:rsidR="00AF7AAE" w:rsidRPr="00AB4CD3" w:rsidRDefault="00AF7AAE" w:rsidP="00AF7AAE">
      <w:pPr>
        <w:pStyle w:val="Prrafodelista"/>
        <w:autoSpaceDE w:val="0"/>
        <w:autoSpaceDN w:val="0"/>
        <w:adjustRightInd w:val="0"/>
        <w:spacing w:line="360" w:lineRule="auto"/>
        <w:ind w:left="0"/>
        <w:jc w:val="both"/>
        <w:rPr>
          <w:rFonts w:ascii="Palatino Linotype" w:hAnsi="Palatino Linotype" w:cs="Arial"/>
          <w:b/>
        </w:rPr>
      </w:pPr>
      <w:r w:rsidRPr="00AB4CD3">
        <w:rPr>
          <w:rFonts w:ascii="Palatino Linotype" w:hAnsi="Palatino Linotype" w:cs="Arial"/>
          <w:b/>
          <w:sz w:val="28"/>
        </w:rPr>
        <w:t>SEGUNDO</w:t>
      </w:r>
      <w:r w:rsidRPr="00AB4CD3">
        <w:rPr>
          <w:rFonts w:ascii="Palatino Linotype" w:hAnsi="Palatino Linotype" w:cs="Arial"/>
          <w:b/>
        </w:rPr>
        <w:t xml:space="preserve">. </w:t>
      </w:r>
      <w:r w:rsidRPr="00AB4CD3">
        <w:rPr>
          <w:rFonts w:ascii="Palatino Linotype" w:hAnsi="Palatino Linotype" w:cs="Arial"/>
          <w:b/>
          <w:sz w:val="28"/>
          <w:szCs w:val="28"/>
        </w:rPr>
        <w:t>Sobre los alcances del recurso de revisión.</w:t>
      </w:r>
      <w:r w:rsidRPr="00AB4CD3">
        <w:rPr>
          <w:rFonts w:ascii="Palatino Linotype" w:hAnsi="Palatino Linotype" w:cs="Arial"/>
          <w:b/>
        </w:rPr>
        <w:t xml:space="preserve"> </w:t>
      </w: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r w:rsidRPr="00AB4CD3">
        <w:rPr>
          <w:rFonts w:ascii="Palatino Linotype" w:hAnsi="Palatino Linotype" w:cs="Arial"/>
          <w:sz w:val="24"/>
          <w:szCs w:val="24"/>
        </w:rPr>
        <w:t>Anterior a todo debe destacarse que el recurso de revisión tiene el fin y alcance que señalan los numerales 176, 179 fracción V,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r w:rsidRPr="00AB4CD3">
        <w:rPr>
          <w:rFonts w:ascii="Palatino Linotype" w:hAnsi="Palatino Linotype" w:cs="Arial"/>
          <w:sz w:val="24"/>
          <w:szCs w:val="24"/>
        </w:rPr>
        <w:t>Es de precisar que la Ley de Transparencia y Acceso a la Información Pública del Estado de México y Municipios, describe el mecanismo de procedencia de los recursos de revisión, en ese sentido en su artículo 163 se indica lo siguiente:</w:t>
      </w: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p>
    <w:p w:rsidR="00AF7AAE" w:rsidRPr="00AB4CD3" w:rsidRDefault="00AF7AAE" w:rsidP="00AF7AA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AB4CD3">
        <w:rPr>
          <w:rFonts w:ascii="Palatino Linotype" w:eastAsia="Times New Roman" w:hAnsi="Palatino Linotype" w:cs="Arial"/>
          <w:i/>
          <w:lang w:val="es-ES" w:eastAsia="es-ES"/>
        </w:rPr>
        <w:t>“</w:t>
      </w:r>
      <w:r w:rsidRPr="00AB4CD3">
        <w:rPr>
          <w:rFonts w:ascii="Palatino Linotype" w:eastAsia="Times New Roman" w:hAnsi="Palatino Linotype" w:cs="Arial"/>
          <w:b/>
          <w:i/>
          <w:lang w:val="es-ES" w:eastAsia="es-ES"/>
        </w:rPr>
        <w:t>Artículo 163.</w:t>
      </w:r>
      <w:r w:rsidRPr="00AB4CD3">
        <w:rPr>
          <w:rFonts w:ascii="Palatino Linotype" w:eastAsia="Times New Roman" w:hAnsi="Palatino Linotype" w:cs="Arial"/>
          <w:i/>
          <w:lang w:val="es-ES" w:eastAsia="es-ES"/>
        </w:rPr>
        <w:t xml:space="preserve"> </w:t>
      </w:r>
      <w:r w:rsidRPr="00AB4CD3">
        <w:rPr>
          <w:rFonts w:ascii="Palatino Linotype" w:eastAsia="Times New Roman" w:hAnsi="Palatino Linotype" w:cs="Arial"/>
          <w:i/>
          <w:u w:val="single"/>
          <w:lang w:val="es-ES" w:eastAsia="es-ES"/>
        </w:rPr>
        <w:t>La Unidad de Transparencia deberá notificar la respuesta a la solicitud al interesado en el menor tiempo posible, que no podrá exceder de quince días hábiles, contados a partir del día siguiente a la presentación de aquélla.</w:t>
      </w:r>
    </w:p>
    <w:p w:rsidR="00AF7AAE" w:rsidRPr="00AB4CD3" w:rsidRDefault="00AF7AAE" w:rsidP="00AF7AA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AB4CD3">
        <w:rPr>
          <w:rFonts w:ascii="Palatino Linotype" w:eastAsia="Times New Roman" w:hAnsi="Palatino Linotype" w:cs="Arial"/>
          <w:i/>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AF7AAE" w:rsidRPr="00AB4CD3" w:rsidRDefault="00AF7AAE" w:rsidP="00AF7AAE">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AB4CD3">
        <w:rPr>
          <w:rFonts w:ascii="Palatino Linotype" w:eastAsia="Times New Roman" w:hAnsi="Palatino Linotype" w:cs="Arial"/>
          <w:lang w:val="es-ES" w:eastAsia="es-ES"/>
        </w:rPr>
        <w:t>(Énfasis añadido)</w:t>
      </w: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r w:rsidRPr="00AB4CD3">
        <w:rPr>
          <w:rFonts w:ascii="Palatino Linotype" w:hAnsi="Palatino Linotype" w:cs="Arial"/>
          <w:sz w:val="24"/>
          <w:szCs w:val="24"/>
        </w:rPr>
        <w:lastRenderedPageBreak/>
        <w:t xml:space="preserve">De la interpretación al precepto legal inserto, se advierte que el plazo que les asiste a los </w:t>
      </w:r>
      <w:r w:rsidRPr="00AB4CD3">
        <w:rPr>
          <w:rFonts w:ascii="Palatino Linotype" w:hAnsi="Palatino Linotype" w:cs="Arial"/>
          <w:b/>
          <w:sz w:val="24"/>
          <w:szCs w:val="24"/>
        </w:rPr>
        <w:t>sujetos</w:t>
      </w:r>
      <w:r w:rsidRPr="00AB4CD3">
        <w:rPr>
          <w:rFonts w:ascii="Palatino Linotype" w:hAnsi="Palatino Linotype" w:cs="Arial"/>
          <w:sz w:val="24"/>
          <w:szCs w:val="24"/>
        </w:rPr>
        <w:t xml:space="preserve"> </w:t>
      </w:r>
      <w:r w:rsidRPr="00AB4CD3">
        <w:rPr>
          <w:rFonts w:ascii="Palatino Linotype" w:hAnsi="Palatino Linotype" w:cs="Arial"/>
          <w:b/>
          <w:sz w:val="24"/>
          <w:szCs w:val="24"/>
        </w:rPr>
        <w:t>obligados</w:t>
      </w:r>
      <w:r w:rsidRPr="00AB4CD3">
        <w:rPr>
          <w:rFonts w:ascii="Palatino Linotype" w:hAnsi="Palatino Linotype" w:cs="Arial"/>
          <w:sz w:val="24"/>
          <w:szCs w:val="24"/>
        </w:rPr>
        <w:t xml:space="preserve"> para notificar la respuesta a una solicitud de información pública, es de quince días hábiles posteriores a la presentación de ésta. 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w:t>
      </w: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r w:rsidRPr="00AB4CD3">
        <w:rPr>
          <w:rFonts w:ascii="Palatino Linotype" w:hAnsi="Palatino Linotype" w:cs="Arial"/>
          <w:sz w:val="24"/>
          <w:szCs w:val="24"/>
        </w:rPr>
        <w:t xml:space="preserve">Se constituye la figura jurídica de la </w:t>
      </w:r>
      <w:r w:rsidRPr="00AB4CD3">
        <w:rPr>
          <w:rFonts w:ascii="Palatino Linotype" w:hAnsi="Palatino Linotype" w:cs="Arial"/>
          <w:b/>
          <w:i/>
          <w:sz w:val="24"/>
          <w:szCs w:val="24"/>
        </w:rPr>
        <w:t>NEGATIVA FICTA</w:t>
      </w:r>
      <w:r w:rsidRPr="00AB4CD3">
        <w:rPr>
          <w:rFonts w:ascii="Palatino Linotype" w:hAnsi="Palatino Linotype" w:cs="Arial"/>
          <w:sz w:val="24"/>
          <w:szCs w:val="24"/>
        </w:rPr>
        <w:t>, cuya esencia consiste en atribuir un efecto negativo al silencio de la autoridad administrativa frente a las instancias y solicitudes que hagan los particulares. Por su parte el artículo 178 de la Ley de Transparencia y Acceso a la Información Pública del Estado de México y Municipios, establece:</w:t>
      </w:r>
    </w:p>
    <w:p w:rsidR="00AF7AAE" w:rsidRPr="00AB4CD3" w:rsidRDefault="00AF7AAE" w:rsidP="00AF7AAE">
      <w:pPr>
        <w:spacing w:after="0" w:line="240" w:lineRule="auto"/>
        <w:rPr>
          <w:rFonts w:ascii="Palatino Linotype" w:hAnsi="Palatino Linotype"/>
        </w:rPr>
      </w:pPr>
    </w:p>
    <w:p w:rsidR="00AF7AAE" w:rsidRPr="00AB4CD3" w:rsidRDefault="00AF7AAE" w:rsidP="00AF7AA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AB4CD3">
        <w:rPr>
          <w:rFonts w:ascii="Palatino Linotype" w:eastAsia="Times New Roman" w:hAnsi="Palatino Linotype" w:cs="Arial"/>
          <w:i/>
          <w:lang w:val="es-ES" w:eastAsia="es-ES"/>
        </w:rPr>
        <w:t>“</w:t>
      </w:r>
      <w:r w:rsidRPr="00AB4CD3">
        <w:rPr>
          <w:rFonts w:ascii="Palatino Linotype" w:eastAsia="Times New Roman" w:hAnsi="Palatino Linotype" w:cs="Arial"/>
          <w:b/>
          <w:i/>
          <w:lang w:val="es-ES" w:eastAsia="es-ES"/>
        </w:rPr>
        <w:t>Artículo 178.</w:t>
      </w:r>
      <w:r w:rsidRPr="00AB4CD3">
        <w:rPr>
          <w:rFonts w:ascii="Palatino Linotype" w:eastAsia="Times New Roman" w:hAnsi="Palatino Linotype" w:cs="Arial"/>
          <w:i/>
          <w:lang w:val="es-ES" w:eastAsia="es-ES"/>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rsidR="00AF7AAE" w:rsidRPr="00AB4CD3" w:rsidRDefault="00AF7AAE" w:rsidP="00AF7AA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AF7AAE" w:rsidRPr="00AB4CD3" w:rsidRDefault="00AF7AAE" w:rsidP="00AF7AA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AB4CD3">
        <w:rPr>
          <w:rFonts w:ascii="Palatino Linotype" w:eastAsia="Times New Roman" w:hAnsi="Palatino Linotype" w:cs="Arial"/>
          <w:b/>
          <w:i/>
          <w:lang w:val="es-ES" w:eastAsia="es-ES"/>
        </w:rPr>
        <w:t>A falta de respuesta del Sujeto Obligado, dentro de los plazos establecidos en esta Ley, a una solicitud de acceso a la información pública, el recurso podrá ser interpuesto en cualquier momento</w:t>
      </w:r>
      <w:r w:rsidRPr="00AB4CD3">
        <w:rPr>
          <w:rFonts w:ascii="Palatino Linotype" w:eastAsia="Times New Roman" w:hAnsi="Palatino Linotype" w:cs="Arial"/>
          <w:i/>
          <w:lang w:val="es-ES" w:eastAsia="es-ES"/>
        </w:rPr>
        <w:t>, acompañado con el documento que pruebe la fecha en que presentó la solicitud.</w:t>
      </w:r>
    </w:p>
    <w:p w:rsidR="00AF7AAE" w:rsidRPr="00AB4CD3" w:rsidRDefault="00AF7AAE" w:rsidP="00AF7AA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AF7AAE" w:rsidRPr="00AB4CD3" w:rsidRDefault="00AF7AAE" w:rsidP="00AF7AA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AB4CD3">
        <w:rPr>
          <w:rFonts w:ascii="Palatino Linotype" w:eastAsia="Times New Roman" w:hAnsi="Palatino Linotype" w:cs="Arial"/>
          <w:i/>
          <w:lang w:val="es-ES" w:eastAsia="es-ES"/>
        </w:rPr>
        <w:t>En el caso de que se interponga ante la Unidad de Transparencia, ésta deberá remitir el recurso de revisión al Instituto a más tardar al día siguiente de haberlo recibido.”</w:t>
      </w:r>
    </w:p>
    <w:p w:rsidR="00AF7AAE" w:rsidRPr="00AB4CD3" w:rsidRDefault="00AF7AAE" w:rsidP="00AF7AA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AF7AAE" w:rsidRPr="00AB4CD3" w:rsidRDefault="00AF7AAE" w:rsidP="00AF7AAE">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AB4CD3">
        <w:rPr>
          <w:rFonts w:ascii="Palatino Linotype" w:eastAsia="Times New Roman" w:hAnsi="Palatino Linotype" w:cs="Arial"/>
          <w:lang w:val="es-ES" w:eastAsia="es-ES"/>
        </w:rPr>
        <w:t>(Énfasis añadido)</w:t>
      </w: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p>
    <w:p w:rsidR="00AF7AAE" w:rsidRPr="00AB4CD3" w:rsidRDefault="00AF7AAE" w:rsidP="00AF7AAE">
      <w:pPr>
        <w:autoSpaceDE w:val="0"/>
        <w:autoSpaceDN w:val="0"/>
        <w:adjustRightInd w:val="0"/>
        <w:spacing w:after="0" w:line="360" w:lineRule="auto"/>
        <w:jc w:val="both"/>
        <w:rPr>
          <w:rFonts w:ascii="Palatino Linotype" w:hAnsi="Palatino Linotype" w:cs="Arial"/>
          <w:sz w:val="24"/>
          <w:szCs w:val="24"/>
        </w:rPr>
      </w:pPr>
      <w:r w:rsidRPr="00AB4CD3">
        <w:rPr>
          <w:rFonts w:ascii="Palatino Linotype" w:hAnsi="Palatino Linotype" w:cs="Arial"/>
          <w:sz w:val="24"/>
          <w:szCs w:val="24"/>
        </w:rPr>
        <w:lastRenderedPageBreak/>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al no existir respuesta a la solicitud de información por parte del </w:t>
      </w:r>
      <w:r w:rsidRPr="00AB4CD3">
        <w:rPr>
          <w:rFonts w:ascii="Palatino Linotype" w:hAnsi="Palatino Linotype" w:cs="Arial"/>
          <w:b/>
          <w:sz w:val="24"/>
          <w:szCs w:val="24"/>
        </w:rPr>
        <w:t>Sujeto Obligado</w:t>
      </w:r>
      <w:r w:rsidRPr="00AB4CD3">
        <w:rPr>
          <w:rFonts w:ascii="Palatino Linotype" w:hAnsi="Palatino Linotype" w:cs="Arial"/>
          <w:sz w:val="24"/>
          <w:szCs w:val="24"/>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rsidR="00AF7AAE" w:rsidRPr="00AB4CD3" w:rsidRDefault="00AF7AAE" w:rsidP="00AF7AAE">
      <w:pPr>
        <w:pStyle w:val="Prrafodelista"/>
        <w:autoSpaceDE w:val="0"/>
        <w:autoSpaceDN w:val="0"/>
        <w:adjustRightInd w:val="0"/>
        <w:spacing w:line="360" w:lineRule="auto"/>
        <w:ind w:left="0"/>
        <w:jc w:val="both"/>
        <w:rPr>
          <w:rFonts w:ascii="Palatino Linotype" w:hAnsi="Palatino Linotype" w:cs="Arial"/>
          <w:b/>
        </w:rPr>
      </w:pPr>
    </w:p>
    <w:p w:rsidR="00AF7AAE" w:rsidRPr="00AB4CD3" w:rsidRDefault="00AF7AAE" w:rsidP="00AF7AAE">
      <w:pPr>
        <w:spacing w:after="0" w:line="360" w:lineRule="auto"/>
        <w:ind w:right="49"/>
        <w:jc w:val="both"/>
        <w:rPr>
          <w:rFonts w:ascii="Palatino Linotype" w:eastAsia="Times New Roman" w:hAnsi="Palatino Linotype" w:cs="Arial"/>
          <w:b/>
          <w:sz w:val="28"/>
          <w:szCs w:val="28"/>
          <w:lang w:val="es-ES" w:eastAsia="es-ES"/>
        </w:rPr>
      </w:pPr>
      <w:r w:rsidRPr="00AB4CD3">
        <w:rPr>
          <w:rFonts w:ascii="Palatino Linotype" w:eastAsia="Times New Roman" w:hAnsi="Palatino Linotype" w:cs="Arial"/>
          <w:b/>
          <w:sz w:val="28"/>
          <w:szCs w:val="28"/>
          <w:lang w:val="es-ES" w:eastAsia="es-ES"/>
        </w:rPr>
        <w:t>TERCERO.</w:t>
      </w:r>
      <w:r w:rsidRPr="00AB4CD3">
        <w:rPr>
          <w:rFonts w:ascii="Palatino Linotype" w:eastAsia="Times New Roman" w:hAnsi="Palatino Linotype" w:cs="Arial"/>
          <w:sz w:val="28"/>
          <w:szCs w:val="28"/>
          <w:lang w:val="es-ES" w:eastAsia="es-ES"/>
        </w:rPr>
        <w:t xml:space="preserve"> </w:t>
      </w:r>
      <w:r w:rsidRPr="00AB4CD3">
        <w:rPr>
          <w:rFonts w:ascii="Palatino Linotype" w:eastAsia="Times New Roman" w:hAnsi="Palatino Linotype" w:cs="Arial"/>
          <w:b/>
          <w:sz w:val="28"/>
          <w:szCs w:val="28"/>
          <w:lang w:val="es-ES" w:eastAsia="es-ES"/>
        </w:rPr>
        <w:t xml:space="preserve">De las causas de improcedencia. </w:t>
      </w:r>
    </w:p>
    <w:p w:rsidR="00AF7AAE" w:rsidRPr="00AB4CD3" w:rsidRDefault="00AF7AAE" w:rsidP="00AF7AAE">
      <w:pPr>
        <w:spacing w:after="0" w:line="360" w:lineRule="auto"/>
        <w:ind w:right="49"/>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AB4CD3">
        <w:rPr>
          <w:rFonts w:ascii="Palatino Linotype" w:eastAsia="Times New Roman" w:hAnsi="Palatino Linotype" w:cs="Arial"/>
          <w:sz w:val="24"/>
          <w:szCs w:val="24"/>
          <w:vertAlign w:val="superscript"/>
          <w:lang w:val="es-ES" w:eastAsia="es-ES"/>
        </w:rPr>
        <w:footnoteReference w:id="1"/>
      </w:r>
      <w:r w:rsidRPr="00AB4CD3">
        <w:rPr>
          <w:rFonts w:ascii="Palatino Linotype" w:eastAsia="Times New Roman" w:hAnsi="Palatino Linotype" w:cs="Arial"/>
          <w:sz w:val="24"/>
          <w:szCs w:val="24"/>
          <w:lang w:val="es-ES" w:eastAsia="es-ES"/>
        </w:rPr>
        <w:t>.</w:t>
      </w:r>
    </w:p>
    <w:p w:rsidR="00AF7AAE" w:rsidRPr="00AB4CD3" w:rsidRDefault="00AF7AAE" w:rsidP="00AF7AAE">
      <w:pPr>
        <w:spacing w:after="0" w:line="360" w:lineRule="auto"/>
        <w:ind w:right="49"/>
        <w:jc w:val="both"/>
        <w:rPr>
          <w:rFonts w:ascii="Palatino Linotype" w:eastAsia="Times New Roman" w:hAnsi="Palatino Linotype" w:cs="Arial"/>
          <w:sz w:val="24"/>
          <w:szCs w:val="24"/>
          <w:lang w:val="es-ES" w:eastAsia="es-ES"/>
        </w:rPr>
      </w:pPr>
    </w:p>
    <w:p w:rsidR="00AF7AAE" w:rsidRPr="00AB4CD3" w:rsidRDefault="00AF7AAE" w:rsidP="00AF7AAE">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Así las cosas, del análisis de los expedientes electrónicos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rsidR="00AF7AAE" w:rsidRPr="00AB4CD3" w:rsidRDefault="00AF7AAE" w:rsidP="00AF7AA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widowControl w:val="0"/>
        <w:autoSpaceDE w:val="0"/>
        <w:autoSpaceDN w:val="0"/>
        <w:adjustRightInd w:val="0"/>
        <w:spacing w:after="0" w:line="360" w:lineRule="auto"/>
        <w:jc w:val="both"/>
        <w:rPr>
          <w:rFonts w:ascii="Palatino Linotype" w:eastAsia="Times New Roman" w:hAnsi="Palatino Linotype" w:cs="Times New Roman"/>
          <w:b/>
          <w:sz w:val="28"/>
          <w:szCs w:val="28"/>
          <w:lang w:val="es-ES" w:eastAsia="es-ES"/>
        </w:rPr>
      </w:pPr>
      <w:r w:rsidRPr="00AB4CD3">
        <w:rPr>
          <w:rFonts w:ascii="Palatino Linotype" w:eastAsia="Times New Roman" w:hAnsi="Palatino Linotype" w:cs="Arial"/>
          <w:b/>
          <w:sz w:val="28"/>
          <w:szCs w:val="28"/>
          <w:lang w:val="es-ES" w:eastAsia="es-ES"/>
        </w:rPr>
        <w:t>CUARTO. Estudio y resolución del asunto</w:t>
      </w:r>
      <w:r w:rsidRPr="00AB4CD3">
        <w:rPr>
          <w:rFonts w:ascii="Palatino Linotype" w:eastAsia="Times New Roman" w:hAnsi="Palatino Linotype" w:cs="Times New Roman"/>
          <w:b/>
          <w:sz w:val="28"/>
          <w:szCs w:val="28"/>
          <w:lang w:val="es-ES" w:eastAsia="es-ES"/>
        </w:rPr>
        <w:t xml:space="preserve">. </w:t>
      </w:r>
    </w:p>
    <w:p w:rsidR="00AF7AAE" w:rsidRPr="00AB4CD3" w:rsidRDefault="00AF7AAE" w:rsidP="00AF7AAE">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AB4CD3">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AF7AAE" w:rsidRPr="00AB4CD3" w:rsidRDefault="00AF7AAE" w:rsidP="00AF7AA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 xml:space="preserve">Ahora bien, de los requerimientos contenidos en la solicitud de información, se aprecia que objetivamente el </w:t>
      </w:r>
      <w:r w:rsidRPr="00AB4CD3">
        <w:rPr>
          <w:rFonts w:ascii="Palatino Linotype" w:eastAsia="Times New Roman" w:hAnsi="Palatino Linotype" w:cs="Arial"/>
          <w:b/>
          <w:sz w:val="24"/>
          <w:szCs w:val="24"/>
          <w:lang w:val="es-ES" w:eastAsia="es-ES"/>
        </w:rPr>
        <w:t>Recurrente</w:t>
      </w:r>
      <w:r w:rsidRPr="00AB4CD3">
        <w:rPr>
          <w:rFonts w:ascii="Palatino Linotype" w:eastAsia="Times New Roman" w:hAnsi="Palatino Linotype" w:cs="Arial"/>
          <w:sz w:val="24"/>
          <w:szCs w:val="24"/>
          <w:lang w:val="es-ES" w:eastAsia="es-ES"/>
        </w:rPr>
        <w:t xml:space="preserve"> peticiona le sea entregado por el sistema SAIMEX, lo siguiente:</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pStyle w:val="Prrafodelista"/>
        <w:numPr>
          <w:ilvl w:val="0"/>
          <w:numId w:val="10"/>
        </w:numPr>
        <w:spacing w:line="360" w:lineRule="auto"/>
        <w:jc w:val="both"/>
        <w:rPr>
          <w:rFonts w:ascii="Palatino Linotype" w:hAnsi="Palatino Linotype" w:cs="Arial"/>
        </w:rPr>
      </w:pPr>
      <w:r w:rsidRPr="00AB4CD3">
        <w:rPr>
          <w:rFonts w:ascii="Palatino Linotype" w:hAnsi="Palatino Linotype" w:cs="Arial"/>
        </w:rPr>
        <w:t>De la Novena Regiduría: oficios emitidos y recibidos en el mes de octubre de 2025.</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pStyle w:val="INFOEM"/>
        <w:ind w:left="0" w:right="0"/>
        <w:rPr>
          <w:i w:val="0"/>
          <w:sz w:val="24"/>
        </w:rPr>
      </w:pPr>
      <w:r w:rsidRPr="00AB4CD3">
        <w:rPr>
          <w:rFonts w:eastAsia="Palatino Linotype" w:cs="Palatino Linotype"/>
          <w:i w:val="0"/>
          <w:color w:val="000000"/>
          <w:sz w:val="24"/>
          <w:szCs w:val="24"/>
        </w:rPr>
        <w:t xml:space="preserve">Ante la falta respuesta por parte del </w:t>
      </w:r>
      <w:r w:rsidRPr="00AB4CD3">
        <w:rPr>
          <w:rFonts w:eastAsia="Palatino Linotype" w:cs="Palatino Linotype"/>
          <w:b/>
          <w:i w:val="0"/>
          <w:color w:val="000000"/>
          <w:sz w:val="24"/>
          <w:szCs w:val="24"/>
        </w:rPr>
        <w:t>Sujeto Obligado</w:t>
      </w:r>
      <w:r w:rsidRPr="00AB4CD3">
        <w:rPr>
          <w:rFonts w:eastAsia="Palatino Linotype" w:cs="Palatino Linotype"/>
          <w:i w:val="0"/>
          <w:color w:val="000000"/>
          <w:sz w:val="24"/>
          <w:szCs w:val="24"/>
        </w:rPr>
        <w:t xml:space="preserve">, el </w:t>
      </w:r>
      <w:r w:rsidRPr="00AB4CD3">
        <w:rPr>
          <w:rFonts w:eastAsia="Palatino Linotype" w:cs="Palatino Linotype"/>
          <w:b/>
          <w:i w:val="0"/>
          <w:color w:val="000000"/>
          <w:sz w:val="24"/>
          <w:szCs w:val="24"/>
        </w:rPr>
        <w:t>Recurrente</w:t>
      </w:r>
      <w:r w:rsidRPr="00AB4CD3">
        <w:rPr>
          <w:rFonts w:eastAsia="Palatino Linotype" w:cs="Palatino Linotype"/>
          <w:i w:val="0"/>
          <w:color w:val="000000"/>
          <w:sz w:val="24"/>
          <w:szCs w:val="24"/>
        </w:rPr>
        <w:t xml:space="preserve"> consideró que su derecho a la información pública había sido vulnerado, por lo que interpuso el recurso de revisión al rubro citado</w:t>
      </w:r>
      <w:r w:rsidRPr="00AB4CD3">
        <w:rPr>
          <w:rFonts w:cs="Arial"/>
          <w:bCs/>
          <w:i w:val="0"/>
          <w:sz w:val="24"/>
        </w:rPr>
        <w:t>, señalando sustancialmente como sus razones o motivos de inconformidad, lo siguiente:</w:t>
      </w:r>
      <w:r w:rsidRPr="00AB4CD3" w:rsidDel="00107C3B">
        <w:rPr>
          <w:b/>
          <w:i w:val="0"/>
          <w:sz w:val="24"/>
        </w:rPr>
        <w:t xml:space="preserve"> </w:t>
      </w:r>
      <w:r w:rsidRPr="00AB4CD3">
        <w:rPr>
          <w:i w:val="0"/>
          <w:sz w:val="24"/>
        </w:rPr>
        <w:t>“</w:t>
      </w:r>
      <w:r w:rsidRPr="00AB4CD3">
        <w:rPr>
          <w:sz w:val="24"/>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 (Sic)</w:t>
      </w:r>
      <w:r w:rsidRPr="00AB4CD3">
        <w:rPr>
          <w:i w:val="0"/>
          <w:sz w:val="24"/>
        </w:rPr>
        <w:t xml:space="preserve">. </w:t>
      </w:r>
    </w:p>
    <w:p w:rsidR="00AF7AAE" w:rsidRPr="00AB4CD3" w:rsidRDefault="00AF7AAE" w:rsidP="00AF7AAE">
      <w:pPr>
        <w:tabs>
          <w:tab w:val="left" w:pos="709"/>
        </w:tabs>
        <w:spacing w:line="360" w:lineRule="auto"/>
        <w:jc w:val="both"/>
        <w:rPr>
          <w:rFonts w:ascii="Palatino Linotype" w:hAnsi="Palatino Linotype" w:cs="Arial"/>
          <w:sz w:val="24"/>
        </w:rPr>
      </w:pPr>
    </w:p>
    <w:p w:rsidR="00AF7AAE" w:rsidRPr="00AB4CD3" w:rsidRDefault="00AF7AAE" w:rsidP="00AF7AAE">
      <w:pPr>
        <w:tabs>
          <w:tab w:val="left" w:pos="709"/>
        </w:tabs>
        <w:spacing w:line="360" w:lineRule="auto"/>
        <w:jc w:val="both"/>
        <w:rPr>
          <w:rFonts w:ascii="Palatino Linotype" w:hAnsi="Palatino Linotype" w:cs="Arial"/>
          <w:sz w:val="24"/>
        </w:rPr>
      </w:pPr>
      <w:r w:rsidRPr="00AB4CD3">
        <w:rPr>
          <w:rFonts w:ascii="Palatino Linotype" w:hAnsi="Palatino Linotype" w:cs="Arial"/>
          <w:sz w:val="24"/>
        </w:rPr>
        <w:t xml:space="preserve">Aunado a lo anterior, mediante informe justificado rendido por </w:t>
      </w:r>
      <w:r w:rsidRPr="00AB4CD3">
        <w:rPr>
          <w:rFonts w:ascii="Palatino Linotype" w:hAnsi="Palatino Linotype" w:cs="Arial"/>
          <w:b/>
          <w:sz w:val="24"/>
        </w:rPr>
        <w:t>El Sujeto Obligado</w:t>
      </w:r>
      <w:r w:rsidRPr="00AB4CD3">
        <w:rPr>
          <w:rFonts w:ascii="Palatino Linotype" w:hAnsi="Palatino Linotype" w:cs="Arial"/>
          <w:sz w:val="24"/>
        </w:rPr>
        <w:t xml:space="preserve">, se advierte que </w:t>
      </w:r>
      <w:r w:rsidRPr="00AB4CD3">
        <w:rPr>
          <w:rFonts w:ascii="Palatino Linotype" w:hAnsi="Palatino Linotype" w:cs="Arial"/>
          <w:bCs/>
          <w:sz w:val="24"/>
        </w:rPr>
        <w:t>remitió a</w:t>
      </w:r>
      <w:r w:rsidRPr="00AB4CD3">
        <w:rPr>
          <w:rFonts w:ascii="Palatino Linotype" w:hAnsi="Palatino Linotype" w:cs="Arial"/>
          <w:sz w:val="24"/>
        </w:rPr>
        <w:t xml:space="preserve"> través del Sistema de Acceso a la Información Mexiquense (</w:t>
      </w:r>
      <w:r w:rsidRPr="00AB4CD3">
        <w:rPr>
          <w:rFonts w:ascii="Palatino Linotype" w:hAnsi="Palatino Linotype" w:cs="Arial"/>
          <w:b/>
          <w:sz w:val="24"/>
        </w:rPr>
        <w:t xml:space="preserve">SAIMEX), </w:t>
      </w:r>
      <w:r w:rsidRPr="00AB4CD3">
        <w:rPr>
          <w:rFonts w:ascii="Palatino Linotype" w:hAnsi="Palatino Linotype" w:cs="Arial"/>
          <w:sz w:val="24"/>
        </w:rPr>
        <w:t>por medio de los archivos electrónicos siguientes:</w:t>
      </w:r>
    </w:p>
    <w:p w:rsidR="00EF6223" w:rsidRPr="00AB4CD3" w:rsidRDefault="00EF6223" w:rsidP="00EF6223">
      <w:pPr>
        <w:pStyle w:val="Prrafodelista"/>
        <w:numPr>
          <w:ilvl w:val="0"/>
          <w:numId w:val="2"/>
        </w:numPr>
        <w:spacing w:line="360" w:lineRule="auto"/>
        <w:jc w:val="both"/>
        <w:rPr>
          <w:rFonts w:ascii="Palatino Linotype" w:hAnsi="Palatino Linotype" w:cs="Arial"/>
        </w:rPr>
      </w:pPr>
      <w:r w:rsidRPr="00AB4CD3">
        <w:rPr>
          <w:rFonts w:ascii="Palatino Linotype" w:hAnsi="Palatino Linotype" w:cs="Arial"/>
          <w:b/>
          <w:i/>
        </w:rPr>
        <w:lastRenderedPageBreak/>
        <w:t>1315-517-ANEXOS-2026-9R.pdf</w:t>
      </w:r>
      <w:r w:rsidR="00AF7AAE" w:rsidRPr="00AB4CD3">
        <w:rPr>
          <w:rFonts w:ascii="Palatino Linotype" w:hAnsi="Palatino Linotype" w:cs="Arial"/>
        </w:rPr>
        <w:t>:</w:t>
      </w:r>
      <w:r w:rsidRPr="00AB4CD3">
        <w:rPr>
          <w:rFonts w:ascii="Palatino Linotype" w:hAnsi="Palatino Linotype" w:cs="Arial"/>
        </w:rPr>
        <w:t xml:space="preserve"> oficio número NR/075/2026, firmado por el Noveno Regidor, en el que refiere remitir los oficios entrantes y salientes en el mes de octubre.</w:t>
      </w:r>
    </w:p>
    <w:p w:rsidR="00EF6223" w:rsidRPr="00AB4CD3" w:rsidRDefault="00EF6223" w:rsidP="00EF6223">
      <w:pPr>
        <w:pStyle w:val="Prrafodelista"/>
        <w:numPr>
          <w:ilvl w:val="0"/>
          <w:numId w:val="2"/>
        </w:numPr>
        <w:spacing w:line="360" w:lineRule="auto"/>
        <w:jc w:val="both"/>
        <w:rPr>
          <w:rFonts w:ascii="Palatino Linotype" w:hAnsi="Palatino Linotype" w:cs="Arial"/>
        </w:rPr>
      </w:pPr>
      <w:r w:rsidRPr="00AB4CD3">
        <w:rPr>
          <w:rFonts w:ascii="Palatino Linotype" w:hAnsi="Palatino Linotype" w:cs="Arial"/>
          <w:b/>
          <w:i/>
        </w:rPr>
        <w:t>1315 OCTUBRE2025 EYS.pdf</w:t>
      </w:r>
      <w:r w:rsidRPr="00AB4CD3">
        <w:rPr>
          <w:rFonts w:ascii="Palatino Linotype" w:hAnsi="Palatino Linotype" w:cs="Arial"/>
        </w:rPr>
        <w:t xml:space="preserve">: documento que </w:t>
      </w:r>
      <w:r w:rsidRPr="00AB4CD3">
        <w:rPr>
          <w:rFonts w:ascii="Palatino Linotype" w:hAnsi="Palatino Linotype" w:cs="Arial"/>
          <w:u w:val="single"/>
        </w:rPr>
        <w:t>no fue puesto a la vista</w:t>
      </w:r>
      <w:r w:rsidRPr="00AB4CD3">
        <w:rPr>
          <w:rFonts w:ascii="Palatino Linotype" w:hAnsi="Palatino Linotype" w:cs="Arial"/>
        </w:rPr>
        <w:t xml:space="preserve"> por contener datos personales como números telefónicos, sin que se tenga certeza de que corresponden a números telefónicos institucionales. </w:t>
      </w:r>
    </w:p>
    <w:p w:rsidR="00AF7AAE" w:rsidRPr="00AB4CD3" w:rsidRDefault="00AF7AAE" w:rsidP="00EF6223">
      <w:pPr>
        <w:pStyle w:val="Prrafodelista"/>
        <w:numPr>
          <w:ilvl w:val="0"/>
          <w:numId w:val="2"/>
        </w:numPr>
        <w:spacing w:line="360" w:lineRule="auto"/>
        <w:jc w:val="both"/>
        <w:rPr>
          <w:rFonts w:ascii="Palatino Linotype" w:hAnsi="Palatino Linotype" w:cs="Arial"/>
        </w:rPr>
      </w:pPr>
      <w:r w:rsidRPr="00AB4CD3">
        <w:rPr>
          <w:rFonts w:ascii="Palatino Linotype" w:hAnsi="Palatino Linotype" w:cs="Arial"/>
        </w:rPr>
        <w:t xml:space="preserve"> </w:t>
      </w:r>
      <w:r w:rsidR="00EF6223" w:rsidRPr="00AB4CD3">
        <w:rPr>
          <w:rFonts w:ascii="Palatino Linotype" w:hAnsi="Palatino Linotype" w:cs="Arial"/>
          <w:b/>
          <w:i/>
        </w:rPr>
        <w:t>Ratificación1315.pdf</w:t>
      </w:r>
      <w:r w:rsidR="00EF6223" w:rsidRPr="00AB4CD3">
        <w:rPr>
          <w:rFonts w:ascii="Palatino Linotype" w:hAnsi="Palatino Linotype" w:cs="Arial"/>
        </w:rPr>
        <w:t xml:space="preserve">: el Titular de la Unidad de Transparencia ratifica. </w:t>
      </w:r>
    </w:p>
    <w:p w:rsidR="00EF6223" w:rsidRPr="00AB4CD3" w:rsidRDefault="00EF6223" w:rsidP="00AF7AA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p w:rsidR="00AF7AAE" w:rsidRPr="00AB4CD3" w:rsidRDefault="00AF7AAE" w:rsidP="00AF7AA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r w:rsidRPr="00AB4CD3">
        <w:rPr>
          <w:rFonts w:ascii="Palatino Linotype" w:eastAsia="Palatino Linotype" w:hAnsi="Palatino Linotype" w:cs="Palatino Linotype"/>
          <w:color w:val="000000"/>
          <w:sz w:val="24"/>
          <w:lang w:val="es-ES_tradnl"/>
        </w:rPr>
        <w:t xml:space="preserve">Ahora bien, quedando establecido lo anterior, este Órgano Garante considera viable establecer si el informe justificado del Sujeto Obligado colma la pretensión del Recurrente. </w:t>
      </w:r>
    </w:p>
    <w:p w:rsidR="00AF7AAE" w:rsidRPr="00AB4CD3" w:rsidRDefault="00AF7AAE" w:rsidP="00AF7AA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tbl>
      <w:tblPr>
        <w:tblStyle w:val="Tablaconcuadrcula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820"/>
        <w:gridCol w:w="5103"/>
        <w:gridCol w:w="1119"/>
      </w:tblGrid>
      <w:tr w:rsidR="00AF7AAE" w:rsidRPr="00AB4CD3" w:rsidTr="00EF6223">
        <w:trPr>
          <w:trHeight w:val="440"/>
        </w:trPr>
        <w:tc>
          <w:tcPr>
            <w:tcW w:w="2820" w:type="dxa"/>
            <w:shd w:val="clear" w:color="auto" w:fill="E7E6E6" w:themeFill="background2"/>
          </w:tcPr>
          <w:p w:rsidR="00AF7AAE" w:rsidRPr="00AB4CD3" w:rsidRDefault="00AF7AAE" w:rsidP="00EF6223">
            <w:pPr>
              <w:spacing w:line="360" w:lineRule="auto"/>
              <w:jc w:val="center"/>
              <w:rPr>
                <w:rFonts w:ascii="Palatino Linotype" w:eastAsiaTheme="minorHAnsi" w:hAnsi="Palatino Linotype" w:cstheme="minorBidi"/>
                <w:b/>
                <w:i/>
                <w:color w:val="000000"/>
                <w:lang w:eastAsia="en-US"/>
              </w:rPr>
            </w:pPr>
            <w:r w:rsidRPr="00AB4CD3">
              <w:rPr>
                <w:rFonts w:ascii="Palatino Linotype" w:eastAsiaTheme="minorHAnsi" w:hAnsi="Palatino Linotype" w:cstheme="minorBidi"/>
                <w:b/>
                <w:i/>
                <w:color w:val="000000"/>
                <w:lang w:eastAsia="en-US"/>
              </w:rPr>
              <w:t>Requerimientos</w:t>
            </w:r>
          </w:p>
        </w:tc>
        <w:tc>
          <w:tcPr>
            <w:tcW w:w="5103" w:type="dxa"/>
            <w:shd w:val="clear" w:color="auto" w:fill="E7E6E6" w:themeFill="background2"/>
          </w:tcPr>
          <w:p w:rsidR="00AF7AAE" w:rsidRPr="00AB4CD3" w:rsidRDefault="00AF7AAE" w:rsidP="00EF6223">
            <w:pPr>
              <w:spacing w:line="360" w:lineRule="auto"/>
              <w:jc w:val="center"/>
              <w:rPr>
                <w:rFonts w:ascii="Palatino Linotype" w:eastAsiaTheme="minorHAnsi" w:hAnsi="Palatino Linotype" w:cstheme="minorBidi"/>
                <w:b/>
                <w:i/>
                <w:color w:val="000000"/>
                <w:lang w:eastAsia="en-US"/>
              </w:rPr>
            </w:pPr>
            <w:r w:rsidRPr="00AB4CD3">
              <w:rPr>
                <w:rFonts w:ascii="Palatino Linotype" w:eastAsiaTheme="minorHAnsi" w:hAnsi="Palatino Linotype" w:cstheme="minorBidi"/>
                <w:b/>
                <w:i/>
                <w:color w:val="000000"/>
                <w:lang w:eastAsia="en-US"/>
              </w:rPr>
              <w:t>Informe Justificado</w:t>
            </w:r>
          </w:p>
        </w:tc>
        <w:tc>
          <w:tcPr>
            <w:tcW w:w="1119" w:type="dxa"/>
            <w:shd w:val="clear" w:color="auto" w:fill="E7E6E6" w:themeFill="background2"/>
          </w:tcPr>
          <w:p w:rsidR="00AF7AAE" w:rsidRPr="00AB4CD3" w:rsidRDefault="00AF7AAE" w:rsidP="00EF6223">
            <w:pPr>
              <w:spacing w:line="360" w:lineRule="auto"/>
              <w:jc w:val="center"/>
              <w:rPr>
                <w:rFonts w:ascii="Palatino Linotype" w:eastAsiaTheme="minorHAnsi" w:hAnsi="Palatino Linotype" w:cstheme="minorBidi"/>
                <w:b/>
                <w:i/>
                <w:color w:val="000000"/>
                <w:lang w:eastAsia="en-US"/>
              </w:rPr>
            </w:pPr>
            <w:r w:rsidRPr="00AB4CD3">
              <w:rPr>
                <w:rFonts w:ascii="Palatino Linotype" w:eastAsiaTheme="minorHAnsi" w:hAnsi="Palatino Linotype" w:cstheme="minorBidi"/>
                <w:b/>
                <w:i/>
                <w:color w:val="000000"/>
                <w:lang w:eastAsia="en-US"/>
              </w:rPr>
              <w:t>Colma</w:t>
            </w:r>
          </w:p>
        </w:tc>
      </w:tr>
      <w:tr w:rsidR="00AF7AAE" w:rsidRPr="00AB4CD3" w:rsidTr="00EF6223">
        <w:trPr>
          <w:trHeight w:val="828"/>
        </w:trPr>
        <w:tc>
          <w:tcPr>
            <w:tcW w:w="2820" w:type="dxa"/>
          </w:tcPr>
          <w:p w:rsidR="00AF7AAE" w:rsidRPr="00AB4CD3" w:rsidRDefault="00EF6223" w:rsidP="00EF6223">
            <w:pPr>
              <w:jc w:val="both"/>
              <w:rPr>
                <w:rFonts w:ascii="Palatino Linotype" w:eastAsiaTheme="minorHAnsi" w:hAnsi="Palatino Linotype" w:cstheme="minorBidi"/>
                <w:color w:val="000000"/>
                <w:lang w:eastAsia="en-US"/>
              </w:rPr>
            </w:pPr>
            <w:r w:rsidRPr="00AB4CD3">
              <w:rPr>
                <w:rFonts w:ascii="Palatino Linotype" w:eastAsiaTheme="minorHAnsi" w:hAnsi="Palatino Linotype" w:cstheme="minorBidi"/>
                <w:color w:val="000000"/>
                <w:lang w:eastAsia="en-US"/>
              </w:rPr>
              <w:t>Oficios recibidos y emitidos por la novena regiduría, del mes de octubre 2025</w:t>
            </w:r>
          </w:p>
        </w:tc>
        <w:tc>
          <w:tcPr>
            <w:tcW w:w="5103" w:type="dxa"/>
          </w:tcPr>
          <w:p w:rsidR="00AF7AAE" w:rsidRPr="00AB4CD3" w:rsidRDefault="00EF6223" w:rsidP="00EF6223">
            <w:pPr>
              <w:spacing w:after="160"/>
              <w:jc w:val="both"/>
              <w:rPr>
                <w:rFonts w:ascii="Palatino Linotype" w:eastAsia="Times New Roman" w:hAnsi="Palatino Linotype" w:cs="Times New Roman"/>
                <w:color w:val="000000"/>
                <w:lang w:val="es-ES" w:eastAsia="es-ES"/>
              </w:rPr>
            </w:pPr>
            <w:r w:rsidRPr="00AB4CD3">
              <w:rPr>
                <w:rFonts w:ascii="Palatino Linotype" w:eastAsia="Times New Roman" w:hAnsi="Palatino Linotype" w:cs="Times New Roman"/>
                <w:color w:val="000000"/>
                <w:lang w:val="es-ES" w:eastAsia="es-ES"/>
              </w:rPr>
              <w:t>Los oficios no fueron puestos a la vista por contener información personal</w:t>
            </w:r>
            <w:r w:rsidR="001C53A0" w:rsidRPr="00AB4CD3">
              <w:rPr>
                <w:rFonts w:ascii="Palatino Linotype" w:eastAsia="Times New Roman" w:hAnsi="Palatino Linotype" w:cs="Times New Roman"/>
                <w:color w:val="000000"/>
                <w:lang w:val="es-ES" w:eastAsia="es-ES"/>
              </w:rPr>
              <w:t xml:space="preserve"> (números telefónicos que en algunos oficios fueron testados y en otro no)</w:t>
            </w:r>
            <w:r w:rsidRPr="00AB4CD3">
              <w:rPr>
                <w:rFonts w:ascii="Palatino Linotype" w:eastAsia="Times New Roman" w:hAnsi="Palatino Linotype" w:cs="Times New Roman"/>
                <w:color w:val="000000"/>
                <w:lang w:val="es-ES" w:eastAsia="es-ES"/>
              </w:rPr>
              <w:t xml:space="preserve">. </w:t>
            </w:r>
          </w:p>
        </w:tc>
        <w:tc>
          <w:tcPr>
            <w:tcW w:w="1119" w:type="dxa"/>
          </w:tcPr>
          <w:p w:rsidR="00AF7AAE" w:rsidRPr="00AB4CD3" w:rsidRDefault="00AF7AAE" w:rsidP="00EF6223">
            <w:pPr>
              <w:jc w:val="center"/>
              <w:rPr>
                <w:rFonts w:ascii="Palatino Linotype" w:eastAsiaTheme="minorHAnsi" w:hAnsi="Palatino Linotype" w:cstheme="minorBidi"/>
                <w:b/>
                <w:i/>
                <w:color w:val="000000"/>
                <w:lang w:eastAsia="en-US"/>
              </w:rPr>
            </w:pPr>
            <w:r w:rsidRPr="00AB4CD3">
              <w:rPr>
                <w:rFonts w:ascii="Palatino Linotype" w:eastAsiaTheme="minorHAnsi" w:hAnsi="Palatino Linotype" w:cstheme="minorBidi"/>
                <w:b/>
                <w:i/>
                <w:color w:val="000000"/>
                <w:lang w:eastAsia="en-US"/>
              </w:rPr>
              <w:t xml:space="preserve">No </w:t>
            </w:r>
          </w:p>
        </w:tc>
      </w:tr>
    </w:tbl>
    <w:p w:rsidR="00AF7AAE" w:rsidRPr="00AB4CD3" w:rsidRDefault="00AF7AAE" w:rsidP="00AF7AAE">
      <w:pPr>
        <w:spacing w:after="0" w:line="360" w:lineRule="auto"/>
        <w:jc w:val="both"/>
        <w:rPr>
          <w:rFonts w:ascii="Palatino Linotype" w:eastAsia="Palatino Linotype" w:hAnsi="Palatino Linotype" w:cs="Palatino Linotype"/>
          <w:sz w:val="24"/>
          <w:szCs w:val="24"/>
          <w:lang w:eastAsia="en-US"/>
        </w:rPr>
      </w:pPr>
    </w:p>
    <w:p w:rsidR="00AF7AAE" w:rsidRPr="00AB4CD3" w:rsidRDefault="00AF7AAE" w:rsidP="00AF7AAE">
      <w:pPr>
        <w:spacing w:line="360" w:lineRule="auto"/>
        <w:jc w:val="both"/>
        <w:rPr>
          <w:rFonts w:ascii="Palatino Linotype" w:hAnsi="Palatino Linotype"/>
          <w:color w:val="000000"/>
        </w:rPr>
      </w:pPr>
      <w:r w:rsidRPr="00AB4CD3">
        <w:rPr>
          <w:rFonts w:ascii="Palatino Linotype" w:hAnsi="Palatino Linotype"/>
          <w:color w:val="000000"/>
        </w:rPr>
        <w:t>Por lo anterior, debe arribarse a las siguientes conclusiones:</w:t>
      </w:r>
    </w:p>
    <w:p w:rsidR="00AF7AAE" w:rsidRPr="00AB4CD3" w:rsidRDefault="00AF7AAE" w:rsidP="00AF7AAE">
      <w:pPr>
        <w:pStyle w:val="Prrafodelista"/>
        <w:numPr>
          <w:ilvl w:val="0"/>
          <w:numId w:val="6"/>
        </w:numPr>
        <w:tabs>
          <w:tab w:val="left" w:pos="7938"/>
        </w:tabs>
        <w:spacing w:line="360" w:lineRule="auto"/>
        <w:jc w:val="both"/>
        <w:rPr>
          <w:rFonts w:ascii="Palatino Linotype" w:hAnsi="Palatino Linotype" w:cs="Arial"/>
        </w:rPr>
      </w:pPr>
      <w:r w:rsidRPr="00AB4CD3">
        <w:rPr>
          <w:rFonts w:ascii="Palatino Linotype" w:eastAsiaTheme="minorHAnsi" w:hAnsi="Palatino Linotype" w:cstheme="minorBidi"/>
          <w:lang w:val="es-MX" w:eastAsia="en-US"/>
        </w:rPr>
        <w:t xml:space="preserve">El Sujeto Obligado admitió contar con la información, al </w:t>
      </w:r>
      <w:r w:rsidR="00EF6223" w:rsidRPr="00AB4CD3">
        <w:rPr>
          <w:rFonts w:ascii="Palatino Linotype" w:eastAsiaTheme="minorHAnsi" w:hAnsi="Palatino Linotype" w:cstheme="minorBidi"/>
          <w:lang w:val="es-MX" w:eastAsia="en-US"/>
        </w:rPr>
        <w:t>remitir oficios entrantes y salientes</w:t>
      </w:r>
      <w:r w:rsidR="00D838FA" w:rsidRPr="00AB4CD3">
        <w:rPr>
          <w:rFonts w:ascii="Palatino Linotype" w:eastAsiaTheme="minorHAnsi" w:hAnsi="Palatino Linotype" w:cstheme="minorBidi"/>
          <w:lang w:val="es-MX" w:eastAsia="en-US"/>
        </w:rPr>
        <w:t>, sin embargo no realizaron un correcto testado, aunado a ello, no se entregó el acuerdo y acta del comité en donde se apruebe la versión pública de la información</w:t>
      </w:r>
      <w:r w:rsidR="00EF6223" w:rsidRPr="00AB4CD3">
        <w:rPr>
          <w:rFonts w:ascii="Palatino Linotype" w:eastAsiaTheme="minorHAnsi" w:hAnsi="Palatino Linotype" w:cstheme="minorBidi"/>
          <w:lang w:val="es-MX" w:eastAsia="en-US"/>
        </w:rPr>
        <w:t xml:space="preserve">. </w:t>
      </w:r>
    </w:p>
    <w:p w:rsidR="00AF7AAE" w:rsidRPr="00AB4CD3" w:rsidRDefault="00AF7AAE" w:rsidP="00AF7AAE">
      <w:pPr>
        <w:spacing w:after="0" w:line="360" w:lineRule="auto"/>
        <w:jc w:val="both"/>
        <w:rPr>
          <w:rFonts w:ascii="Palatino Linotype" w:eastAsia="Palatino Linotype" w:hAnsi="Palatino Linotype" w:cs="Palatino Linotype"/>
          <w:sz w:val="24"/>
          <w:szCs w:val="24"/>
          <w:lang w:eastAsia="en-US"/>
        </w:rPr>
      </w:pPr>
    </w:p>
    <w:p w:rsidR="00EF6223" w:rsidRPr="00AB4CD3" w:rsidRDefault="00EF6223" w:rsidP="00EF6223">
      <w:pPr>
        <w:spacing w:line="360" w:lineRule="auto"/>
        <w:jc w:val="both"/>
        <w:rPr>
          <w:rFonts w:ascii="Palatino Linotype" w:hAnsi="Palatino Linotype"/>
          <w:color w:val="000000"/>
          <w:sz w:val="24"/>
        </w:rPr>
      </w:pPr>
      <w:r w:rsidRPr="00AB4CD3">
        <w:rPr>
          <w:rFonts w:ascii="Palatino Linotype" w:hAnsi="Palatino Linotype"/>
          <w:color w:val="000000"/>
          <w:sz w:val="24"/>
        </w:rPr>
        <w:lastRenderedPageBreak/>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EF6223" w:rsidRPr="00AB4CD3" w:rsidRDefault="00EF6223" w:rsidP="00EF6223">
      <w:pPr>
        <w:spacing w:line="360" w:lineRule="auto"/>
        <w:jc w:val="both"/>
        <w:rPr>
          <w:rFonts w:ascii="Palatino Linotype" w:hAnsi="Palatino Linotype"/>
          <w:color w:val="000000"/>
          <w:sz w:val="24"/>
        </w:rPr>
      </w:pPr>
    </w:p>
    <w:p w:rsidR="00EF6223" w:rsidRPr="00AB4CD3" w:rsidRDefault="00EF6223" w:rsidP="00EF6223">
      <w:pPr>
        <w:ind w:left="567" w:right="567"/>
        <w:jc w:val="both"/>
        <w:rPr>
          <w:rFonts w:ascii="Palatino Linotype" w:hAnsi="Palatino Linotype"/>
          <w:b/>
          <w:i/>
          <w:sz w:val="24"/>
        </w:rPr>
      </w:pPr>
      <w:r w:rsidRPr="00AB4CD3">
        <w:rPr>
          <w:rFonts w:ascii="Palatino Linotype" w:hAnsi="Palatino Linotype"/>
          <w:b/>
          <w:i/>
          <w:sz w:val="24"/>
        </w:rPr>
        <w:t>Artículo 6</w:t>
      </w:r>
    </w:p>
    <w:p w:rsidR="00EF6223" w:rsidRPr="00AB4CD3" w:rsidRDefault="00EF6223" w:rsidP="00EF6223">
      <w:pPr>
        <w:ind w:left="567" w:right="567"/>
        <w:jc w:val="both"/>
        <w:rPr>
          <w:rFonts w:ascii="Palatino Linotype" w:hAnsi="Palatino Linotype"/>
          <w:i/>
          <w:sz w:val="24"/>
        </w:rPr>
      </w:pPr>
      <w:r w:rsidRPr="00AB4CD3">
        <w:rPr>
          <w:rFonts w:ascii="Palatino Linotype" w:hAnsi="Palatino Linotype"/>
          <w:i/>
          <w:sz w:val="24"/>
        </w:rPr>
        <w:t>…</w:t>
      </w:r>
    </w:p>
    <w:p w:rsidR="00EF6223" w:rsidRPr="00AB4CD3" w:rsidRDefault="00EF6223" w:rsidP="00EF6223">
      <w:pPr>
        <w:ind w:left="567" w:right="567"/>
        <w:jc w:val="both"/>
        <w:rPr>
          <w:rFonts w:ascii="Palatino Linotype" w:hAnsi="Palatino Linotype"/>
          <w:i/>
          <w:sz w:val="24"/>
        </w:rPr>
      </w:pPr>
      <w:r w:rsidRPr="00AB4CD3">
        <w:rPr>
          <w:rFonts w:ascii="Palatino Linotype" w:hAnsi="Palatino Linotype"/>
          <w:i/>
          <w:sz w:val="24"/>
        </w:rPr>
        <w:t>Para el ejercicio del derecho de acceso a la información, la Federación, los Estados y el Distrito Federal, en el ámbito de sus respectivas competencias, se regirán por los siguientes principios y bases:</w:t>
      </w:r>
    </w:p>
    <w:p w:rsidR="00EF6223" w:rsidRPr="00AB4CD3" w:rsidRDefault="00EF6223" w:rsidP="00EF6223">
      <w:pPr>
        <w:ind w:left="567" w:right="567"/>
        <w:jc w:val="both"/>
        <w:rPr>
          <w:rFonts w:ascii="Palatino Linotype" w:hAnsi="Palatino Linotype"/>
          <w:i/>
          <w:sz w:val="24"/>
        </w:rPr>
      </w:pPr>
    </w:p>
    <w:p w:rsidR="00EF6223" w:rsidRPr="00AB4CD3" w:rsidRDefault="00EF6223" w:rsidP="00EF6223">
      <w:pPr>
        <w:numPr>
          <w:ilvl w:val="0"/>
          <w:numId w:val="11"/>
        </w:numPr>
        <w:spacing w:after="0" w:line="240" w:lineRule="auto"/>
        <w:ind w:left="993" w:right="567"/>
        <w:jc w:val="both"/>
        <w:rPr>
          <w:rFonts w:ascii="Palatino Linotype" w:hAnsi="Palatino Linotype"/>
          <w:i/>
          <w:sz w:val="24"/>
        </w:rPr>
      </w:pPr>
      <w:r w:rsidRPr="00AB4CD3">
        <w:rPr>
          <w:rFonts w:ascii="Palatino Linotype" w:hAnsi="Palatino Linotype"/>
          <w:i/>
          <w:sz w:val="24"/>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EF6223" w:rsidRPr="00AB4CD3" w:rsidRDefault="00EF6223" w:rsidP="00EF6223">
      <w:pPr>
        <w:spacing w:line="360" w:lineRule="auto"/>
        <w:jc w:val="both"/>
        <w:rPr>
          <w:rFonts w:ascii="Palatino Linotype" w:hAnsi="Palatino Linotype"/>
          <w:sz w:val="24"/>
        </w:rPr>
      </w:pPr>
    </w:p>
    <w:p w:rsidR="00EF6223" w:rsidRPr="00AB4CD3" w:rsidRDefault="00EF6223" w:rsidP="00EF6223">
      <w:pPr>
        <w:spacing w:line="360" w:lineRule="auto"/>
        <w:jc w:val="both"/>
        <w:rPr>
          <w:rFonts w:ascii="Palatino Linotype" w:hAnsi="Palatino Linotype" w:cs="Arial"/>
          <w:sz w:val="24"/>
        </w:rPr>
      </w:pPr>
      <w:r w:rsidRPr="00AB4CD3">
        <w:rPr>
          <w:rFonts w:ascii="Palatino Linotype" w:hAnsi="Palatino Linotype" w:cs="Arial"/>
          <w:sz w:val="24"/>
        </w:rPr>
        <w:lastRenderedPageBreak/>
        <w:t xml:space="preserve">Por otro lado, en atención a lo dispuesto por los artículos 3, fracción XI y 12 </w:t>
      </w:r>
      <w:r w:rsidRPr="00AB4CD3">
        <w:rPr>
          <w:rFonts w:ascii="Palatino Linotype" w:hAnsi="Palatino Linotype" w:cs="Arial"/>
          <w:bCs/>
          <w:sz w:val="24"/>
        </w:rPr>
        <w:t>de la Ley de Transparencia y Acceso a la Información Pública del Estado de México y Municipios</w:t>
      </w:r>
      <w:r w:rsidRPr="00AB4CD3">
        <w:rPr>
          <w:rFonts w:ascii="Palatino Linotype" w:hAnsi="Palatino Linotype" w:cs="Arial"/>
          <w:sz w:val="24"/>
        </w:rPr>
        <w:t>, los cuales son del tenor literal siguiente:</w:t>
      </w:r>
    </w:p>
    <w:p w:rsidR="00EF6223" w:rsidRPr="00AB4CD3" w:rsidRDefault="00EF6223" w:rsidP="00EF6223">
      <w:pPr>
        <w:ind w:left="567" w:right="567"/>
        <w:jc w:val="both"/>
        <w:rPr>
          <w:rFonts w:ascii="Palatino Linotype" w:hAnsi="Palatino Linotype"/>
          <w:sz w:val="24"/>
        </w:rPr>
      </w:pPr>
    </w:p>
    <w:p w:rsidR="00EF6223" w:rsidRPr="00AB4CD3" w:rsidRDefault="00EF6223" w:rsidP="00EF6223">
      <w:pPr>
        <w:ind w:left="567" w:right="332"/>
        <w:jc w:val="both"/>
        <w:rPr>
          <w:rFonts w:ascii="Palatino Linotype" w:hAnsi="Palatino Linotype"/>
          <w:i/>
          <w:sz w:val="24"/>
        </w:rPr>
      </w:pPr>
      <w:r w:rsidRPr="00AB4CD3">
        <w:rPr>
          <w:rFonts w:ascii="Palatino Linotype" w:hAnsi="Palatino Linotype"/>
          <w:b/>
          <w:bCs/>
          <w:i/>
          <w:sz w:val="24"/>
        </w:rPr>
        <w:t xml:space="preserve">Artículo 3.- </w:t>
      </w:r>
      <w:r w:rsidRPr="00AB4CD3">
        <w:rPr>
          <w:rFonts w:ascii="Palatino Linotype" w:hAnsi="Palatino Linotype"/>
          <w:i/>
          <w:sz w:val="24"/>
        </w:rPr>
        <w:t>Para los efectos de la presente Ley se entenderá por:</w:t>
      </w:r>
    </w:p>
    <w:p w:rsidR="00EF6223" w:rsidRPr="00AB4CD3" w:rsidRDefault="00EF6223" w:rsidP="00EF6223">
      <w:pPr>
        <w:ind w:left="567" w:right="332"/>
        <w:jc w:val="both"/>
        <w:rPr>
          <w:rFonts w:ascii="Palatino Linotype" w:hAnsi="Palatino Linotype"/>
          <w:i/>
          <w:sz w:val="24"/>
        </w:rPr>
      </w:pPr>
      <w:r w:rsidRPr="00AB4CD3">
        <w:rPr>
          <w:rFonts w:ascii="Palatino Linotype" w:hAnsi="Palatino Linotype"/>
          <w:i/>
          <w:sz w:val="24"/>
        </w:rPr>
        <w:t>…</w:t>
      </w:r>
    </w:p>
    <w:p w:rsidR="00EF6223" w:rsidRPr="00AB4CD3" w:rsidRDefault="00EF6223" w:rsidP="00EF6223">
      <w:pPr>
        <w:ind w:left="567" w:right="332"/>
        <w:jc w:val="both"/>
        <w:rPr>
          <w:rFonts w:ascii="Palatino Linotype" w:hAnsi="Palatino Linotype"/>
          <w:i/>
          <w:sz w:val="24"/>
        </w:rPr>
      </w:pPr>
      <w:r w:rsidRPr="00AB4CD3">
        <w:rPr>
          <w:rFonts w:ascii="Palatino Linotype" w:hAnsi="Palatino Linotype"/>
          <w:b/>
          <w:i/>
          <w:sz w:val="24"/>
        </w:rPr>
        <w:t>XI.</w:t>
      </w:r>
      <w:r w:rsidRPr="00AB4CD3">
        <w:rPr>
          <w:rFonts w:ascii="Palatino Linotype" w:hAnsi="Palatino Linotype"/>
          <w:i/>
          <w:sz w:val="24"/>
        </w:rPr>
        <w:t xml:space="preserve"> </w:t>
      </w:r>
      <w:r w:rsidRPr="00AB4CD3">
        <w:rPr>
          <w:rFonts w:ascii="Palatino Linotype" w:hAnsi="Palatino Linotype"/>
          <w:b/>
          <w:i/>
          <w:sz w:val="24"/>
        </w:rPr>
        <w:t>Documento:</w:t>
      </w:r>
      <w:r w:rsidRPr="00AB4CD3">
        <w:rPr>
          <w:rFonts w:ascii="Palatino Linotype" w:hAnsi="Palatino Linotype"/>
          <w:i/>
          <w:sz w:val="24"/>
        </w:rPr>
        <w:t xml:space="preserve"> Los expedientes, reportes, estudios, actas, resoluciones, oficios, correspondencia, acuerdos, directivas, directrices, circulares, contratos, convenios, instructivos, notas, memorandos, estadísticas o bien, </w:t>
      </w:r>
      <w:r w:rsidRPr="00AB4CD3">
        <w:rPr>
          <w:rFonts w:ascii="Palatino Linotype" w:hAnsi="Palatino Linotype"/>
          <w:b/>
          <w:i/>
          <w:sz w:val="24"/>
          <w:u w:val="single"/>
        </w:rPr>
        <w:t>cualquier otro registro que documente el ejercicio de las facultades, funciones y competencias de los sujetos obligados, sus servidores públicos e integrantes, sin importar su fuente o fecha de elaboración.</w:t>
      </w:r>
      <w:r w:rsidRPr="00AB4CD3">
        <w:rPr>
          <w:rFonts w:ascii="Palatino Linotype" w:hAnsi="Palatino Linotype"/>
          <w:i/>
          <w:sz w:val="24"/>
        </w:rPr>
        <w:t xml:space="preserve"> Los documentos podrán estar en cualquier medio, sea escrito, impreso, sonoro, visual, electrónico, informático u holográfico;</w:t>
      </w:r>
    </w:p>
    <w:p w:rsidR="00EF6223" w:rsidRPr="00AB4CD3" w:rsidRDefault="00EF6223" w:rsidP="00EF6223">
      <w:pPr>
        <w:ind w:left="567" w:right="332"/>
        <w:jc w:val="both"/>
        <w:rPr>
          <w:rFonts w:ascii="Palatino Linotype" w:hAnsi="Palatino Linotype"/>
          <w:i/>
          <w:sz w:val="24"/>
        </w:rPr>
      </w:pPr>
    </w:p>
    <w:p w:rsidR="00EF6223" w:rsidRPr="00AB4CD3" w:rsidRDefault="00EF6223" w:rsidP="00EF6223">
      <w:pPr>
        <w:ind w:left="567" w:right="332"/>
        <w:jc w:val="both"/>
        <w:rPr>
          <w:rFonts w:ascii="Palatino Linotype" w:hAnsi="Palatino Linotype"/>
          <w:i/>
          <w:sz w:val="24"/>
        </w:rPr>
      </w:pPr>
    </w:p>
    <w:p w:rsidR="00EF6223" w:rsidRPr="00AB4CD3" w:rsidRDefault="00EF6223" w:rsidP="00EF6223">
      <w:pPr>
        <w:ind w:left="567" w:right="332"/>
        <w:jc w:val="both"/>
        <w:rPr>
          <w:rFonts w:ascii="Palatino Linotype" w:hAnsi="Palatino Linotype"/>
          <w:bCs/>
          <w:i/>
          <w:sz w:val="24"/>
        </w:rPr>
      </w:pPr>
      <w:r w:rsidRPr="00AB4CD3">
        <w:rPr>
          <w:rFonts w:ascii="Palatino Linotype" w:hAnsi="Palatino Linotype"/>
          <w:b/>
          <w:bCs/>
          <w:i/>
          <w:sz w:val="24"/>
        </w:rPr>
        <w:t>Artículo 4.</w:t>
      </w:r>
      <w:r w:rsidRPr="00AB4CD3">
        <w:rPr>
          <w:rFonts w:ascii="Palatino Linotype" w:hAnsi="Palatino Linotype"/>
          <w:bCs/>
          <w:i/>
          <w:sz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EF6223" w:rsidRPr="00AB4CD3" w:rsidRDefault="00EF6223" w:rsidP="00EF6223">
      <w:pPr>
        <w:ind w:left="567" w:right="332"/>
        <w:jc w:val="both"/>
        <w:rPr>
          <w:rFonts w:ascii="Palatino Linotype" w:hAnsi="Palatino Linotype"/>
          <w:bCs/>
          <w:i/>
          <w:sz w:val="24"/>
        </w:rPr>
      </w:pPr>
      <w:r w:rsidRPr="00AB4CD3">
        <w:rPr>
          <w:rFonts w:ascii="Palatino Linotype" w:hAnsi="Palatino Linotype"/>
          <w:b/>
          <w:bCs/>
          <w:i/>
          <w:sz w:val="24"/>
          <w:u w:val="single"/>
        </w:rPr>
        <w:t>Toda la información generada, obtenida, adquirida, transformada, administrada o en posesión de los sujetos obligados es pública y accesible de manera permanente a cualquier persona,</w:t>
      </w:r>
      <w:r w:rsidRPr="00AB4CD3">
        <w:rPr>
          <w:rFonts w:ascii="Palatino Linotype" w:hAnsi="Palatino Linotype"/>
          <w:bCs/>
          <w:i/>
          <w:sz w:val="24"/>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EF6223" w:rsidRPr="00AB4CD3" w:rsidRDefault="00EF6223" w:rsidP="00EF6223">
      <w:pPr>
        <w:ind w:left="567" w:right="332"/>
        <w:jc w:val="both"/>
        <w:rPr>
          <w:rFonts w:ascii="Palatino Linotype" w:hAnsi="Palatino Linotype"/>
          <w:bCs/>
          <w:i/>
          <w:sz w:val="24"/>
        </w:rPr>
      </w:pPr>
      <w:r w:rsidRPr="00AB4CD3">
        <w:rPr>
          <w:rFonts w:ascii="Palatino Linotype" w:hAnsi="Palatino Linotype"/>
          <w:bCs/>
          <w:i/>
          <w:sz w:val="24"/>
        </w:rPr>
        <w:lastRenderedPageBreak/>
        <w:t>Los sujetos obligados deben poner en práctica, políticas y programas de acceso a la información que se apeguen a criterios de publicidad, veracidad, oportunidad, precisión y suficiencia en beneficio de los solicitantes.</w:t>
      </w:r>
    </w:p>
    <w:p w:rsidR="00EF6223" w:rsidRPr="00AB4CD3" w:rsidRDefault="00EF6223" w:rsidP="00EF6223">
      <w:pPr>
        <w:ind w:left="567" w:right="332"/>
        <w:jc w:val="both"/>
        <w:rPr>
          <w:rFonts w:ascii="Palatino Linotype" w:hAnsi="Palatino Linotype"/>
          <w:i/>
          <w:sz w:val="24"/>
        </w:rPr>
      </w:pPr>
    </w:p>
    <w:p w:rsidR="00EF6223" w:rsidRPr="00AB4CD3" w:rsidRDefault="00EF6223" w:rsidP="00EF6223">
      <w:pPr>
        <w:ind w:left="567" w:right="332"/>
        <w:jc w:val="both"/>
        <w:rPr>
          <w:rFonts w:ascii="Palatino Linotype" w:hAnsi="Palatino Linotype"/>
          <w:i/>
          <w:sz w:val="24"/>
        </w:rPr>
      </w:pPr>
      <w:r w:rsidRPr="00AB4CD3">
        <w:rPr>
          <w:rFonts w:ascii="Palatino Linotype" w:hAnsi="Palatino Linotype"/>
          <w:b/>
          <w:i/>
          <w:sz w:val="24"/>
        </w:rPr>
        <w:t>Artículo 12.</w:t>
      </w:r>
      <w:r w:rsidRPr="00AB4CD3">
        <w:rPr>
          <w:rFonts w:ascii="Palatino Linotype" w:hAnsi="Palatino Linotype"/>
          <w:i/>
          <w:sz w:val="24"/>
        </w:rPr>
        <w:t xml:space="preserve"> Quienes generen, recopilen, administren, manejen, procesen, archiven o conserven información pública serán responsables de la misma en los términos de las disposiciones jurídicas aplicables.</w:t>
      </w:r>
    </w:p>
    <w:p w:rsidR="00EF6223" w:rsidRPr="00AB4CD3" w:rsidRDefault="00EF6223" w:rsidP="00EF6223">
      <w:pPr>
        <w:ind w:left="567" w:right="332"/>
        <w:jc w:val="both"/>
        <w:rPr>
          <w:rFonts w:ascii="Palatino Linotype" w:hAnsi="Palatino Linotype"/>
          <w:i/>
          <w:sz w:val="24"/>
          <w:u w:val="single"/>
        </w:rPr>
      </w:pPr>
      <w:r w:rsidRPr="00AB4CD3">
        <w:rPr>
          <w:rFonts w:ascii="Palatino Linotype" w:hAnsi="Palatino Linotype"/>
          <w:b/>
          <w:i/>
          <w:sz w:val="24"/>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AB4CD3">
        <w:rPr>
          <w:rFonts w:ascii="Palatino Linotype" w:hAnsi="Palatino Linotype"/>
          <w:i/>
          <w:sz w:val="24"/>
        </w:rPr>
        <w:t>.</w:t>
      </w:r>
    </w:p>
    <w:p w:rsidR="00EF6223" w:rsidRPr="00AB4CD3" w:rsidRDefault="00EF6223" w:rsidP="00EF6223">
      <w:pPr>
        <w:spacing w:line="360" w:lineRule="auto"/>
        <w:jc w:val="both"/>
        <w:rPr>
          <w:rFonts w:ascii="Palatino Linotype" w:hAnsi="Palatino Linotype"/>
          <w:sz w:val="24"/>
        </w:rPr>
      </w:pPr>
    </w:p>
    <w:p w:rsidR="00EF6223" w:rsidRPr="00AB4CD3" w:rsidRDefault="00EF6223" w:rsidP="00EF6223">
      <w:pPr>
        <w:spacing w:line="360" w:lineRule="auto"/>
        <w:jc w:val="both"/>
        <w:rPr>
          <w:rFonts w:ascii="Palatino Linotype" w:hAnsi="Palatino Linotype"/>
          <w:sz w:val="24"/>
        </w:rPr>
      </w:pPr>
      <w:r w:rsidRPr="00AB4CD3">
        <w:rPr>
          <w:rFonts w:ascii="Palatino Linotype" w:hAnsi="Palatino Linotype" w:cs="Arial"/>
          <w:sz w:val="24"/>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EF6223" w:rsidRPr="00AB4CD3" w:rsidRDefault="00EF6223" w:rsidP="00EF6223">
      <w:pPr>
        <w:spacing w:line="360" w:lineRule="auto"/>
        <w:jc w:val="both"/>
        <w:rPr>
          <w:rFonts w:ascii="Palatino Linotype" w:hAnsi="Palatino Linotype" w:cs="Arial"/>
          <w:color w:val="000000"/>
          <w:sz w:val="24"/>
          <w:lang w:val="es-ES_tradnl"/>
        </w:rPr>
      </w:pPr>
      <w:r w:rsidRPr="00AB4CD3">
        <w:rPr>
          <w:rFonts w:ascii="Palatino Linotype" w:hAnsi="Palatino Linotype" w:cs="Arial"/>
          <w:color w:val="000000"/>
          <w:sz w:val="24"/>
          <w:lang w:val="es-ES_tradnl"/>
        </w:rPr>
        <w:t>En síntesis, el derecho de acceso a la información pública se satisface en aquellos casos en que se entregue el soporte documental en que conste la información pública, toda vez que, los Sujetos Obligados</w:t>
      </w:r>
      <w:r w:rsidRPr="00AB4CD3">
        <w:rPr>
          <w:rFonts w:ascii="Palatino Linotype" w:hAnsi="Palatino Linotype" w:cs="Arial"/>
          <w:b/>
          <w:color w:val="000000"/>
          <w:sz w:val="24"/>
          <w:lang w:val="es-ES_tradnl"/>
        </w:rPr>
        <w:t xml:space="preserve"> </w:t>
      </w:r>
      <w:r w:rsidRPr="00AB4CD3">
        <w:rPr>
          <w:rFonts w:ascii="Palatino Linotype" w:hAnsi="Palatino Linotype" w:cs="Arial"/>
          <w:color w:val="000000"/>
          <w:sz w:val="24"/>
          <w:lang w:val="es-ES_tradnl"/>
        </w:rPr>
        <w:t xml:space="preserve">no tienen el deber de generar, poseer o administrar la información pública con el grado de detalle solicitado; esto es, que no tienen el deber de generar </w:t>
      </w:r>
      <w:r w:rsidRPr="00AB4CD3">
        <w:rPr>
          <w:rFonts w:ascii="Palatino Linotype" w:hAnsi="Palatino Linotype" w:cs="Arial"/>
          <w:b/>
          <w:color w:val="000000"/>
          <w:sz w:val="24"/>
          <w:lang w:val="es-ES_tradnl"/>
        </w:rPr>
        <w:t xml:space="preserve">un documento </w:t>
      </w:r>
      <w:r w:rsidRPr="00AB4CD3">
        <w:rPr>
          <w:rFonts w:ascii="Palatino Linotype" w:hAnsi="Palatino Linotype" w:cs="Arial"/>
          <w:b/>
          <w:i/>
          <w:color w:val="000000"/>
          <w:sz w:val="24"/>
          <w:lang w:val="es-ES_tradnl"/>
        </w:rPr>
        <w:t>ad hoc</w:t>
      </w:r>
      <w:r w:rsidRPr="00AB4CD3">
        <w:rPr>
          <w:rFonts w:ascii="Palatino Linotype" w:hAnsi="Palatino Linotype" w:cs="Arial"/>
          <w:color w:val="000000"/>
          <w:sz w:val="24"/>
          <w:lang w:val="es-ES_tradnl"/>
        </w:rPr>
        <w:t>, para satisfacer el derecho de acceso a la información pública.</w:t>
      </w:r>
    </w:p>
    <w:p w:rsidR="00EF6223" w:rsidRPr="00AB4CD3" w:rsidRDefault="00EF6223" w:rsidP="00EF6223">
      <w:pPr>
        <w:spacing w:line="360" w:lineRule="auto"/>
        <w:jc w:val="both"/>
        <w:rPr>
          <w:rFonts w:ascii="Palatino Linotype" w:hAnsi="Palatino Linotype" w:cs="Arial"/>
          <w:color w:val="000000"/>
          <w:sz w:val="24"/>
          <w:lang w:val="es-ES_tradnl"/>
        </w:rPr>
      </w:pPr>
    </w:p>
    <w:p w:rsidR="00EF6223" w:rsidRPr="00AB4CD3" w:rsidRDefault="00EF6223" w:rsidP="00EF6223">
      <w:pPr>
        <w:spacing w:line="360" w:lineRule="auto"/>
        <w:jc w:val="both"/>
        <w:rPr>
          <w:rFonts w:ascii="Palatino Linotype" w:hAnsi="Palatino Linotype"/>
          <w:b/>
          <w:bCs/>
          <w:color w:val="000000"/>
          <w:sz w:val="24"/>
          <w:lang w:val="es-ES_tradnl"/>
        </w:rPr>
      </w:pPr>
      <w:r w:rsidRPr="00AB4CD3">
        <w:rPr>
          <w:rFonts w:ascii="Palatino Linotype" w:hAnsi="Palatino Linotype" w:cs="Arial"/>
          <w:color w:val="000000"/>
          <w:sz w:val="24"/>
          <w:lang w:val="es-ES_tradnl"/>
        </w:rPr>
        <w:lastRenderedPageBreak/>
        <w:t xml:space="preserve">Como apoyo a lo anterior, es aplicable el Criterio orientador 03-17, emitido por </w:t>
      </w:r>
      <w:r w:rsidRPr="00AB4CD3">
        <w:rPr>
          <w:rFonts w:ascii="Palatino Linotype" w:eastAsia="Arial Unicode MS" w:hAnsi="Palatino Linotype" w:cs="Arial"/>
          <w:color w:val="000000"/>
          <w:sz w:val="24"/>
          <w:lang w:val="es-ES_tradnl"/>
        </w:rPr>
        <w:t>el entonces Instituto Nacional de Transparencia, Acceso a la Información y Protección de Datos Personales,</w:t>
      </w:r>
      <w:r w:rsidRPr="00AB4CD3">
        <w:rPr>
          <w:rFonts w:ascii="Palatino Linotype" w:hAnsi="Palatino Linotype"/>
          <w:bCs/>
          <w:color w:val="000000"/>
          <w:sz w:val="24"/>
          <w:lang w:val="es-ES_tradnl"/>
        </w:rPr>
        <w:t xml:space="preserve"> que dice:</w:t>
      </w:r>
      <w:r w:rsidRPr="00AB4CD3">
        <w:rPr>
          <w:rFonts w:ascii="Palatino Linotype" w:hAnsi="Palatino Linotype"/>
          <w:b/>
          <w:bCs/>
          <w:color w:val="000000"/>
          <w:sz w:val="24"/>
          <w:lang w:val="es-ES_tradnl"/>
        </w:rPr>
        <w:t xml:space="preserve"> </w:t>
      </w:r>
    </w:p>
    <w:p w:rsidR="00EF6223" w:rsidRPr="00AB4CD3" w:rsidRDefault="00EF6223" w:rsidP="00EF6223">
      <w:pPr>
        <w:spacing w:line="360" w:lineRule="auto"/>
        <w:jc w:val="both"/>
        <w:rPr>
          <w:rFonts w:ascii="Palatino Linotype" w:hAnsi="Palatino Linotype"/>
          <w:sz w:val="24"/>
          <w:lang w:val="es-ES_tradnl"/>
        </w:rPr>
      </w:pPr>
    </w:p>
    <w:p w:rsidR="00EF6223" w:rsidRPr="00AB4CD3" w:rsidRDefault="00EF6223" w:rsidP="00EF6223">
      <w:pPr>
        <w:spacing w:line="360" w:lineRule="auto"/>
        <w:ind w:left="851" w:right="850"/>
        <w:jc w:val="both"/>
        <w:rPr>
          <w:rFonts w:ascii="Palatino Linotype" w:hAnsi="Palatino Linotype" w:cs="Arial"/>
          <w:color w:val="000000"/>
          <w:sz w:val="4"/>
          <w:lang w:val="es-ES_tradnl"/>
        </w:rPr>
      </w:pPr>
    </w:p>
    <w:p w:rsidR="00EF6223" w:rsidRPr="00AB4CD3" w:rsidRDefault="00EF6223" w:rsidP="00EF6223">
      <w:pPr>
        <w:ind w:left="567" w:right="567"/>
        <w:jc w:val="both"/>
        <w:rPr>
          <w:rFonts w:ascii="Palatino Linotype" w:hAnsi="Palatino Linotype" w:cs="Arial"/>
          <w:i/>
          <w:color w:val="000000"/>
          <w:sz w:val="24"/>
          <w:lang w:val="es-ES_tradnl"/>
        </w:rPr>
      </w:pPr>
      <w:r w:rsidRPr="00AB4CD3">
        <w:rPr>
          <w:rFonts w:ascii="Palatino Linotype" w:hAnsi="Palatino Linotype" w:cs="Arial"/>
          <w:b/>
          <w:i/>
          <w:color w:val="000000"/>
          <w:sz w:val="24"/>
          <w:lang w:val="es-ES_tradnl"/>
        </w:rPr>
        <w:t>No existe obligación de elaborar documentos ad hoc para atender las solicitudes de acceso a la información.</w:t>
      </w:r>
      <w:r w:rsidRPr="00AB4CD3">
        <w:rPr>
          <w:rFonts w:ascii="Palatino Linotype" w:hAnsi="Palatino Linotype" w:cs="Arial"/>
          <w:i/>
          <w:color w:val="000000"/>
          <w:sz w:val="24"/>
          <w:lang w:val="es-ES_tradnl"/>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EF6223" w:rsidRPr="00AB4CD3" w:rsidRDefault="00EF6223" w:rsidP="00EF6223">
      <w:pPr>
        <w:ind w:left="567" w:right="567"/>
        <w:jc w:val="both"/>
        <w:rPr>
          <w:rFonts w:ascii="Palatino Linotype" w:hAnsi="Palatino Linotype" w:cs="Arial"/>
          <w:i/>
          <w:color w:val="000000"/>
          <w:sz w:val="4"/>
          <w:lang w:val="es-ES_tradnl"/>
        </w:rPr>
      </w:pPr>
    </w:p>
    <w:p w:rsidR="00D838FA" w:rsidRPr="00AB4CD3" w:rsidRDefault="00D838FA" w:rsidP="00D838FA">
      <w:pPr>
        <w:spacing w:line="360" w:lineRule="auto"/>
        <w:jc w:val="both"/>
        <w:rPr>
          <w:rFonts w:ascii="Palatino Linotype" w:hAnsi="Palatino Linotype" w:cs="Arial"/>
          <w:noProof/>
          <w:color w:val="000000"/>
          <w:sz w:val="24"/>
        </w:rPr>
      </w:pPr>
      <w:r w:rsidRPr="00AB4CD3">
        <w:rPr>
          <w:rFonts w:ascii="Palatino Linotype" w:hAnsi="Palatino Linotype" w:cs="Arial"/>
          <w:noProof/>
          <w:color w:val="000000"/>
          <w:sz w:val="24"/>
        </w:rPr>
        <w:t xml:space="preserve">Con base en lo anteriormente expuesto, se arriba a la conclusión de que </w:t>
      </w:r>
      <w:r w:rsidRPr="00AB4CD3">
        <w:rPr>
          <w:rFonts w:ascii="Palatino Linotype" w:hAnsi="Palatino Linotype" w:cs="Arial"/>
          <w:b/>
          <w:noProof/>
          <w:color w:val="000000"/>
          <w:sz w:val="24"/>
        </w:rPr>
        <w:t xml:space="preserve">Sujeto Obligado </w:t>
      </w:r>
      <w:r w:rsidRPr="00AB4CD3">
        <w:rPr>
          <w:rFonts w:ascii="Palatino Linotype" w:hAnsi="Palatino Linotype" w:cs="Arial"/>
          <w:noProof/>
          <w:color w:val="000000"/>
          <w:sz w:val="24"/>
        </w:rPr>
        <w:t>no</w:t>
      </w:r>
      <w:r w:rsidRPr="00AB4CD3">
        <w:rPr>
          <w:rFonts w:ascii="Palatino Linotype" w:hAnsi="Palatino Linotype" w:cs="Arial"/>
          <w:b/>
          <w:noProof/>
          <w:color w:val="000000"/>
          <w:sz w:val="24"/>
        </w:rPr>
        <w:t xml:space="preserve"> </w:t>
      </w:r>
      <w:r w:rsidRPr="00AB4CD3">
        <w:rPr>
          <w:rFonts w:ascii="Palatino Linotype" w:hAnsi="Palatino Linotype" w:cs="Arial"/>
          <w:noProof/>
          <w:color w:val="000000"/>
          <w:sz w:val="24"/>
        </w:rPr>
        <w:t xml:space="preserve">colmó el derecho de acceso a la información ejercido por el particular. </w:t>
      </w:r>
    </w:p>
    <w:p w:rsidR="00EF6223" w:rsidRPr="00AB4CD3" w:rsidRDefault="00EF6223" w:rsidP="00EF6223">
      <w:pPr>
        <w:spacing w:line="360" w:lineRule="auto"/>
        <w:jc w:val="both"/>
        <w:rPr>
          <w:rFonts w:ascii="Palatino Linotype" w:hAnsi="Palatino Linotype" w:cs="Arial"/>
          <w:color w:val="000000"/>
          <w:sz w:val="24"/>
          <w:lang w:val="es-ES_tradnl"/>
        </w:rPr>
      </w:pPr>
    </w:p>
    <w:p w:rsidR="00AF7AAE" w:rsidRPr="00AB4CD3" w:rsidRDefault="00AF7AAE" w:rsidP="00AF7AAE">
      <w:pPr>
        <w:spacing w:after="0" w:line="360" w:lineRule="auto"/>
        <w:jc w:val="both"/>
        <w:rPr>
          <w:rFonts w:ascii="Palatino Linotype" w:eastAsia="Palatino Linotype" w:hAnsi="Palatino Linotype" w:cs="Palatino Linotype"/>
          <w:sz w:val="24"/>
          <w:szCs w:val="24"/>
          <w:lang w:eastAsia="en-US"/>
        </w:rPr>
      </w:pPr>
    </w:p>
    <w:p w:rsidR="00AF7AAE" w:rsidRPr="00AB4CD3" w:rsidRDefault="00AF7AAE" w:rsidP="00AF7AAE">
      <w:pPr>
        <w:numPr>
          <w:ilvl w:val="0"/>
          <w:numId w:val="3"/>
        </w:numPr>
        <w:spacing w:after="0" w:line="360" w:lineRule="auto"/>
        <w:ind w:left="142"/>
        <w:jc w:val="both"/>
        <w:rPr>
          <w:rFonts w:asciiTheme="minorHAnsi" w:eastAsiaTheme="minorHAnsi" w:hAnsiTheme="minorHAnsi" w:cstheme="minorBidi"/>
          <w:b/>
          <w:i/>
          <w:sz w:val="28"/>
          <w:szCs w:val="28"/>
          <w:lang w:eastAsia="en-US"/>
        </w:rPr>
      </w:pPr>
      <w:r w:rsidRPr="00AB4CD3">
        <w:rPr>
          <w:rFonts w:ascii="Palatino Linotype" w:eastAsia="Palatino Linotype" w:hAnsi="Palatino Linotype" w:cs="Palatino Linotype"/>
          <w:b/>
          <w:i/>
          <w:sz w:val="28"/>
          <w:szCs w:val="28"/>
          <w:lang w:eastAsia="en-US"/>
        </w:rPr>
        <w:t>De la versión pública</w:t>
      </w:r>
    </w:p>
    <w:p w:rsidR="00AF7AAE" w:rsidRPr="00AB4CD3" w:rsidRDefault="00AF7AAE" w:rsidP="00AF7AAE">
      <w:pPr>
        <w:tabs>
          <w:tab w:val="left" w:pos="7938"/>
        </w:tabs>
        <w:spacing w:before="240" w:after="240" w:line="360" w:lineRule="auto"/>
        <w:jc w:val="both"/>
        <w:rPr>
          <w:rFonts w:ascii="Palatino Linotype" w:eastAsia="Arial Unicode MS" w:hAnsi="Palatino Linotype" w:cs="Arial"/>
          <w:sz w:val="24"/>
          <w:szCs w:val="24"/>
          <w:lang w:val="es-ES_tradnl"/>
        </w:rPr>
      </w:pPr>
      <w:r w:rsidRPr="00AB4CD3">
        <w:rPr>
          <w:rFonts w:ascii="Palatino Linotype" w:eastAsia="Arial Unicode MS" w:hAnsi="Palatino Linotype" w:cs="Arial"/>
          <w:sz w:val="24"/>
          <w:szCs w:val="24"/>
          <w:lang w:val="es-ES_tradnl"/>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w:t>
      </w:r>
      <w:r w:rsidRPr="00AB4CD3">
        <w:rPr>
          <w:rFonts w:ascii="Palatino Linotype" w:eastAsia="Arial Unicode MS" w:hAnsi="Palatino Linotype" w:cs="Arial"/>
          <w:sz w:val="24"/>
          <w:szCs w:val="24"/>
          <w:lang w:val="es-ES_tradnl"/>
        </w:rPr>
        <w:lastRenderedPageBreak/>
        <w:t>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AF7AAE" w:rsidRPr="00AB4CD3" w:rsidRDefault="00AF7AAE" w:rsidP="00AF7AAE">
      <w:pPr>
        <w:spacing w:before="240" w:after="0" w:line="360" w:lineRule="auto"/>
        <w:ind w:left="851" w:right="851"/>
        <w:jc w:val="both"/>
        <w:rPr>
          <w:rFonts w:ascii="Palatino Linotype" w:hAnsi="Palatino Linotype" w:cs="Arial"/>
          <w:i/>
          <w:sz w:val="24"/>
          <w:szCs w:val="24"/>
          <w:lang w:val="es-ES_tradnl"/>
        </w:rPr>
      </w:pPr>
      <w:r w:rsidRPr="00AB4CD3">
        <w:rPr>
          <w:rFonts w:ascii="Palatino Linotype" w:hAnsi="Palatino Linotype" w:cs="Arial"/>
          <w:i/>
          <w:sz w:val="24"/>
          <w:szCs w:val="24"/>
          <w:lang w:val="es-ES_tradnl"/>
        </w:rPr>
        <w:t>“Artículo 3. Para los efectos de la presente Ley se entenderá por:</w:t>
      </w:r>
    </w:p>
    <w:p w:rsidR="00AF7AAE" w:rsidRPr="00AB4CD3" w:rsidRDefault="00AF7AAE" w:rsidP="00AF7AAE">
      <w:pPr>
        <w:spacing w:before="240" w:after="0" w:line="360" w:lineRule="auto"/>
        <w:ind w:left="851" w:right="851"/>
        <w:jc w:val="both"/>
        <w:rPr>
          <w:rFonts w:ascii="Palatino Linotype" w:hAnsi="Palatino Linotype" w:cs="Arial"/>
          <w:i/>
          <w:sz w:val="24"/>
          <w:szCs w:val="24"/>
          <w:lang w:val="es-ES_tradnl"/>
        </w:rPr>
      </w:pPr>
      <w:r w:rsidRPr="00AB4CD3">
        <w:rPr>
          <w:rFonts w:ascii="Palatino Linotype" w:hAnsi="Palatino Linotype" w:cs="Arial"/>
          <w:i/>
          <w:sz w:val="24"/>
          <w:szCs w:val="24"/>
          <w:lang w:val="es-ES_tradnl"/>
        </w:rPr>
        <w:t>(…)</w:t>
      </w:r>
    </w:p>
    <w:p w:rsidR="00AF7AAE" w:rsidRPr="00AB4CD3" w:rsidRDefault="00AF7AAE" w:rsidP="00AF7AAE">
      <w:pPr>
        <w:spacing w:before="240" w:after="0" w:line="360" w:lineRule="auto"/>
        <w:ind w:left="851" w:right="851"/>
        <w:jc w:val="both"/>
        <w:rPr>
          <w:rFonts w:ascii="Palatino Linotype" w:hAnsi="Palatino Linotype" w:cs="Arial"/>
          <w:b/>
          <w:i/>
          <w:sz w:val="24"/>
          <w:szCs w:val="24"/>
          <w:lang w:val="es-ES_tradnl"/>
        </w:rPr>
      </w:pPr>
      <w:r w:rsidRPr="00AB4CD3">
        <w:rPr>
          <w:rFonts w:ascii="Palatino Linotype" w:hAnsi="Palatino Linotype" w:cs="Arial"/>
          <w:b/>
          <w:i/>
          <w:sz w:val="24"/>
          <w:szCs w:val="24"/>
          <w:u w:val="single"/>
          <w:lang w:val="es-ES_tradnl"/>
        </w:rPr>
        <w:t>IX. Datos personales:</w:t>
      </w:r>
      <w:r w:rsidRPr="00AB4CD3">
        <w:rPr>
          <w:rFonts w:ascii="Palatino Linotype" w:hAnsi="Palatino Linotype" w:cs="Arial"/>
          <w:b/>
          <w:i/>
          <w:sz w:val="24"/>
          <w:szCs w:val="24"/>
          <w:lang w:val="es-ES_tradnl"/>
        </w:rPr>
        <w:t xml:space="preserve"> </w:t>
      </w:r>
      <w:r w:rsidRPr="00AB4CD3">
        <w:rPr>
          <w:rFonts w:ascii="Palatino Linotype" w:hAnsi="Palatino Linotype" w:cs="Arial"/>
          <w:i/>
          <w:sz w:val="24"/>
          <w:szCs w:val="24"/>
          <w:lang w:val="es-ES_tradnl"/>
        </w:rPr>
        <w:t>La información concerniente a una persona, identificada o identificable según lo dispuesto por la Ley de Protección de Datos Personales del Estado de México;</w:t>
      </w:r>
    </w:p>
    <w:p w:rsidR="00AF7AAE" w:rsidRPr="00AB4CD3" w:rsidRDefault="00AF7AAE" w:rsidP="00AF7AAE">
      <w:pPr>
        <w:spacing w:before="240" w:after="0" w:line="360" w:lineRule="auto"/>
        <w:ind w:left="851" w:right="851"/>
        <w:jc w:val="both"/>
        <w:rPr>
          <w:rFonts w:ascii="Palatino Linotype" w:hAnsi="Palatino Linotype" w:cs="Arial"/>
          <w:b/>
          <w:i/>
          <w:sz w:val="24"/>
          <w:szCs w:val="24"/>
          <w:lang w:val="es-ES_tradnl"/>
        </w:rPr>
      </w:pPr>
      <w:r w:rsidRPr="00AB4CD3">
        <w:rPr>
          <w:rFonts w:ascii="Palatino Linotype" w:hAnsi="Palatino Linotype" w:cs="Arial"/>
          <w:b/>
          <w:i/>
          <w:sz w:val="24"/>
          <w:szCs w:val="24"/>
          <w:lang w:val="es-ES_tradnl"/>
        </w:rPr>
        <w:t>(…)</w:t>
      </w:r>
    </w:p>
    <w:p w:rsidR="00AF7AAE" w:rsidRPr="00AB4CD3" w:rsidRDefault="00AF7AAE" w:rsidP="00AF7AAE">
      <w:pPr>
        <w:spacing w:before="240" w:after="0" w:line="360" w:lineRule="auto"/>
        <w:ind w:left="851" w:right="851"/>
        <w:jc w:val="both"/>
        <w:rPr>
          <w:rFonts w:ascii="Palatino Linotype" w:hAnsi="Palatino Linotype" w:cs="Arial"/>
          <w:b/>
          <w:i/>
          <w:sz w:val="24"/>
          <w:szCs w:val="24"/>
          <w:lang w:val="es-ES_tradnl"/>
        </w:rPr>
      </w:pPr>
      <w:r w:rsidRPr="00AB4CD3">
        <w:rPr>
          <w:rFonts w:ascii="Palatino Linotype" w:hAnsi="Palatino Linotype" w:cs="Arial"/>
          <w:b/>
          <w:i/>
          <w:sz w:val="24"/>
          <w:szCs w:val="24"/>
          <w:u w:val="single"/>
          <w:lang w:val="es-ES_tradnl"/>
        </w:rPr>
        <w:t>XLV. Versión pública:</w:t>
      </w:r>
      <w:r w:rsidRPr="00AB4CD3">
        <w:rPr>
          <w:rFonts w:ascii="Palatino Linotype" w:hAnsi="Palatino Linotype" w:cs="Arial"/>
          <w:b/>
          <w:i/>
          <w:sz w:val="24"/>
          <w:szCs w:val="24"/>
          <w:lang w:val="es-ES_tradnl"/>
        </w:rPr>
        <w:t xml:space="preserve"> </w:t>
      </w:r>
      <w:r w:rsidRPr="00AB4CD3">
        <w:rPr>
          <w:rFonts w:ascii="Palatino Linotype" w:hAnsi="Palatino Linotype" w:cs="Arial"/>
          <w:i/>
          <w:sz w:val="24"/>
          <w:szCs w:val="24"/>
          <w:lang w:val="es-ES_tradnl"/>
        </w:rPr>
        <w:t>Documento en el que se elimine, suprime o borra la información clasificada como reservada o confidencial para permitir su acceso.</w:t>
      </w:r>
    </w:p>
    <w:p w:rsidR="00AF7AAE" w:rsidRPr="00AB4CD3" w:rsidRDefault="00AF7AAE" w:rsidP="00AF7AAE">
      <w:pPr>
        <w:spacing w:before="240" w:after="0" w:line="360" w:lineRule="auto"/>
        <w:ind w:left="851" w:right="851"/>
        <w:jc w:val="both"/>
        <w:rPr>
          <w:rFonts w:ascii="Palatino Linotype" w:hAnsi="Palatino Linotype" w:cs="Arial"/>
          <w:b/>
          <w:i/>
          <w:sz w:val="24"/>
          <w:szCs w:val="24"/>
          <w:lang w:val="es-ES_tradnl"/>
        </w:rPr>
      </w:pPr>
      <w:r w:rsidRPr="00AB4CD3">
        <w:rPr>
          <w:rFonts w:ascii="Palatino Linotype" w:hAnsi="Palatino Linotype" w:cs="Arial"/>
          <w:i/>
          <w:sz w:val="24"/>
          <w:szCs w:val="24"/>
          <w:lang w:val="es-ES_tradnl"/>
        </w:rPr>
        <w:t xml:space="preserve">Artículo 122. </w:t>
      </w:r>
      <w:r w:rsidRPr="00AB4CD3">
        <w:rPr>
          <w:rFonts w:ascii="Palatino Linotype" w:hAnsi="Palatino Linotype" w:cs="Arial"/>
          <w:b/>
          <w:i/>
          <w:sz w:val="24"/>
          <w:szCs w:val="24"/>
          <w:u w:val="single"/>
          <w:lang w:val="es-ES_tradnl"/>
        </w:rPr>
        <w:t>La clasificación es el proceso mediante el cual el sujeto obligado determina que la información en su poder actualiza alguno de los supuestos de reserva o confidencialidad, de conformidad con lo dispuesto en el presente título.</w:t>
      </w:r>
    </w:p>
    <w:p w:rsidR="00AF7AAE" w:rsidRPr="00AB4CD3" w:rsidRDefault="00AF7AAE" w:rsidP="00AF7AAE">
      <w:pPr>
        <w:spacing w:before="240" w:after="0" w:line="360" w:lineRule="auto"/>
        <w:ind w:left="851" w:right="851"/>
        <w:jc w:val="both"/>
        <w:rPr>
          <w:rFonts w:ascii="Palatino Linotype" w:hAnsi="Palatino Linotype" w:cs="Arial"/>
          <w:i/>
          <w:sz w:val="24"/>
          <w:szCs w:val="24"/>
          <w:lang w:val="es-ES_tradnl"/>
        </w:rPr>
      </w:pPr>
      <w:r w:rsidRPr="00AB4CD3">
        <w:rPr>
          <w:rFonts w:ascii="Palatino Linotype" w:hAnsi="Palatino Linotype" w:cs="Arial"/>
          <w:i/>
          <w:sz w:val="24"/>
          <w:szCs w:val="24"/>
          <w:lang w:val="es-ES_tradnl"/>
        </w:rPr>
        <w:t>[…]</w:t>
      </w:r>
    </w:p>
    <w:p w:rsidR="00AF7AAE" w:rsidRPr="00AB4CD3" w:rsidRDefault="00AF7AAE" w:rsidP="00AF7AAE">
      <w:pPr>
        <w:spacing w:before="240" w:after="0" w:line="360" w:lineRule="auto"/>
        <w:ind w:left="851" w:right="851"/>
        <w:jc w:val="both"/>
        <w:rPr>
          <w:rFonts w:ascii="Palatino Linotype" w:hAnsi="Palatino Linotype" w:cs="Arial"/>
          <w:i/>
          <w:sz w:val="24"/>
          <w:szCs w:val="24"/>
          <w:lang w:val="es-ES_tradnl"/>
        </w:rPr>
      </w:pPr>
      <w:r w:rsidRPr="00AB4CD3">
        <w:rPr>
          <w:rFonts w:ascii="Palatino Linotype" w:hAnsi="Palatino Linotype" w:cs="Arial"/>
          <w:i/>
          <w:sz w:val="24"/>
          <w:szCs w:val="24"/>
          <w:lang w:val="es-ES_tradnl"/>
        </w:rPr>
        <w:t>Artículo 132. La clasificación de la información se llevará a cabo en el momento en que:</w:t>
      </w:r>
    </w:p>
    <w:p w:rsidR="00AF7AAE" w:rsidRPr="00AB4CD3" w:rsidRDefault="00AF7AAE" w:rsidP="00AF7AAE">
      <w:pPr>
        <w:spacing w:before="240" w:after="0" w:line="360" w:lineRule="auto"/>
        <w:ind w:left="851" w:right="851"/>
        <w:jc w:val="both"/>
        <w:rPr>
          <w:rFonts w:ascii="Palatino Linotype" w:hAnsi="Palatino Linotype" w:cs="Arial"/>
          <w:i/>
          <w:sz w:val="24"/>
          <w:szCs w:val="24"/>
          <w:lang w:val="es-ES_tradnl"/>
        </w:rPr>
      </w:pPr>
      <w:r w:rsidRPr="00AB4CD3">
        <w:rPr>
          <w:rFonts w:ascii="Palatino Linotype" w:hAnsi="Palatino Linotype" w:cs="Arial"/>
          <w:i/>
          <w:sz w:val="24"/>
          <w:szCs w:val="24"/>
          <w:lang w:val="es-ES_tradnl"/>
        </w:rPr>
        <w:lastRenderedPageBreak/>
        <w:t>[…]</w:t>
      </w:r>
    </w:p>
    <w:p w:rsidR="00AF7AAE" w:rsidRPr="00AB4CD3" w:rsidRDefault="00AF7AAE" w:rsidP="00AF7AAE">
      <w:pPr>
        <w:spacing w:before="240" w:after="0" w:line="360" w:lineRule="auto"/>
        <w:ind w:left="851" w:right="851"/>
        <w:jc w:val="both"/>
        <w:rPr>
          <w:rFonts w:ascii="Palatino Linotype" w:hAnsi="Palatino Linotype" w:cs="Arial"/>
          <w:b/>
          <w:i/>
          <w:sz w:val="24"/>
          <w:szCs w:val="24"/>
          <w:u w:val="single"/>
          <w:lang w:val="es-ES_tradnl"/>
        </w:rPr>
      </w:pPr>
      <w:r w:rsidRPr="00AB4CD3">
        <w:rPr>
          <w:rFonts w:ascii="Palatino Linotype" w:hAnsi="Palatino Linotype" w:cs="Arial"/>
          <w:b/>
          <w:i/>
          <w:sz w:val="24"/>
          <w:szCs w:val="24"/>
          <w:u w:val="single"/>
          <w:lang w:val="es-ES_tradnl"/>
        </w:rPr>
        <w:t>II. Se determine mediante resolución de autoridad competente; o</w:t>
      </w:r>
    </w:p>
    <w:p w:rsidR="00AF7AAE" w:rsidRPr="00AB4CD3" w:rsidRDefault="00AF7AAE" w:rsidP="00AF7AAE">
      <w:pPr>
        <w:spacing w:before="240" w:after="0" w:line="360" w:lineRule="auto"/>
        <w:ind w:left="851" w:right="851"/>
        <w:jc w:val="both"/>
        <w:rPr>
          <w:rFonts w:ascii="Palatino Linotype" w:hAnsi="Palatino Linotype" w:cs="Arial"/>
          <w:b/>
          <w:i/>
          <w:sz w:val="24"/>
          <w:szCs w:val="24"/>
          <w:lang w:val="es-ES_tradnl"/>
        </w:rPr>
      </w:pPr>
      <w:r w:rsidRPr="00AB4CD3">
        <w:rPr>
          <w:rFonts w:ascii="Palatino Linotype" w:hAnsi="Palatino Linotype" w:cs="Arial"/>
          <w:b/>
          <w:i/>
          <w:sz w:val="24"/>
          <w:szCs w:val="24"/>
          <w:lang w:val="es-ES_tradnl"/>
        </w:rPr>
        <w:t>(…)</w:t>
      </w:r>
    </w:p>
    <w:p w:rsidR="00AF7AAE" w:rsidRPr="00AB4CD3" w:rsidRDefault="00AF7AAE" w:rsidP="00AF7AAE">
      <w:pPr>
        <w:spacing w:before="240" w:after="0" w:line="360" w:lineRule="auto"/>
        <w:ind w:left="851" w:right="851"/>
        <w:jc w:val="both"/>
        <w:rPr>
          <w:rFonts w:ascii="Palatino Linotype" w:hAnsi="Palatino Linotype" w:cs="Arial"/>
          <w:b/>
          <w:i/>
          <w:sz w:val="24"/>
          <w:szCs w:val="24"/>
          <w:lang w:val="es-ES_tradnl"/>
        </w:rPr>
      </w:pPr>
      <w:r w:rsidRPr="00AB4CD3">
        <w:rPr>
          <w:rFonts w:ascii="Palatino Linotype" w:hAnsi="Palatino Linotype" w:cs="Arial"/>
          <w:i/>
          <w:sz w:val="24"/>
          <w:szCs w:val="24"/>
          <w:lang w:val="es-ES_tradnl"/>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AB4CD3">
        <w:rPr>
          <w:rFonts w:ascii="Palatino Linotype" w:hAnsi="Palatino Linotype" w:cs="Arial"/>
          <w:b/>
          <w:i/>
          <w:sz w:val="24"/>
          <w:szCs w:val="24"/>
          <w:lang w:val="es-ES_tradnl"/>
        </w:rPr>
        <w:t xml:space="preserve"> </w:t>
      </w:r>
      <w:r w:rsidRPr="00AB4CD3">
        <w:rPr>
          <w:rFonts w:ascii="Palatino Linotype" w:hAnsi="Palatino Linotype" w:cs="Arial"/>
          <w:b/>
          <w:i/>
          <w:sz w:val="24"/>
          <w:szCs w:val="24"/>
          <w:u w:val="single"/>
          <w:lang w:val="es-ES_tradnl"/>
        </w:rPr>
        <w:t xml:space="preserve">de manera genérica y fundando y motivando su clasificación.” </w:t>
      </w:r>
      <w:r w:rsidRPr="00AB4CD3">
        <w:rPr>
          <w:rFonts w:ascii="Palatino Linotype" w:hAnsi="Palatino Linotype" w:cs="Arial"/>
          <w:b/>
          <w:i/>
          <w:sz w:val="24"/>
          <w:szCs w:val="24"/>
          <w:lang w:val="es-ES_tradnl"/>
        </w:rPr>
        <w:t>[Sic]</w:t>
      </w:r>
    </w:p>
    <w:p w:rsidR="00AF7AAE" w:rsidRPr="00AB4CD3" w:rsidRDefault="00AF7AAE" w:rsidP="00AF7AAE">
      <w:pPr>
        <w:spacing w:after="0" w:line="360" w:lineRule="auto"/>
        <w:ind w:right="51"/>
        <w:jc w:val="both"/>
        <w:rPr>
          <w:rFonts w:ascii="Palatino Linotype" w:eastAsia="Arial Unicode MS" w:hAnsi="Palatino Linotype" w:cs="Arial"/>
          <w:sz w:val="24"/>
          <w:szCs w:val="24"/>
          <w:lang w:val="es-ES_tradnl"/>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D838FA" w:rsidRPr="00AB4CD3" w:rsidRDefault="00D838FA" w:rsidP="00AF7AAE">
      <w:pPr>
        <w:spacing w:after="0" w:line="360" w:lineRule="auto"/>
        <w:jc w:val="both"/>
        <w:rPr>
          <w:rFonts w:ascii="Palatino Linotype" w:eastAsia="Times New Roman" w:hAnsi="Palatino Linotype" w:cs="Arial"/>
          <w:sz w:val="24"/>
          <w:szCs w:val="24"/>
          <w:lang w:val="es-ES" w:eastAsia="es-ES"/>
        </w:rPr>
      </w:pPr>
    </w:p>
    <w:p w:rsidR="00D838FA" w:rsidRPr="00AB4CD3" w:rsidRDefault="00D838FA" w:rsidP="00D838FA">
      <w:pPr>
        <w:autoSpaceDE w:val="0"/>
        <w:autoSpaceDN w:val="0"/>
        <w:adjustRightInd w:val="0"/>
        <w:spacing w:line="360" w:lineRule="auto"/>
        <w:jc w:val="both"/>
        <w:rPr>
          <w:rFonts w:ascii="Palatino Linotype" w:eastAsiaTheme="minorHAnsi" w:hAnsi="Palatino Linotype" w:cs="Arial"/>
          <w:sz w:val="24"/>
          <w:lang w:eastAsia="en-US"/>
        </w:rPr>
      </w:pPr>
      <w:r w:rsidRPr="00AB4CD3">
        <w:rPr>
          <w:rFonts w:ascii="Palatino Linotype" w:eastAsiaTheme="minorHAnsi" w:hAnsi="Palatino Linotype" w:cs="Arial"/>
          <w:sz w:val="24"/>
          <w:lang w:eastAsia="en-US"/>
        </w:rPr>
        <w:t xml:space="preserve">En ese orden de ideas, el nombre, domicilio, firma o número telefónico de ciudadanos es información confidencial, por ello se debe arribar a las siguientes consideraciones: </w:t>
      </w:r>
    </w:p>
    <w:p w:rsidR="00D838FA" w:rsidRPr="00AB4CD3" w:rsidRDefault="00D838FA" w:rsidP="00D838FA">
      <w:pPr>
        <w:numPr>
          <w:ilvl w:val="0"/>
          <w:numId w:val="13"/>
        </w:numPr>
        <w:autoSpaceDE w:val="0"/>
        <w:autoSpaceDN w:val="0"/>
        <w:adjustRightInd w:val="0"/>
        <w:spacing w:line="360" w:lineRule="auto"/>
        <w:jc w:val="both"/>
        <w:rPr>
          <w:rFonts w:ascii="Palatino Linotype" w:hAnsi="Palatino Linotype" w:cs="Arial"/>
          <w:sz w:val="24"/>
        </w:rPr>
      </w:pPr>
      <w:r w:rsidRPr="00AB4CD3">
        <w:rPr>
          <w:rFonts w:ascii="Palatino Linotype" w:hAnsi="Palatino Linotype" w:cs="Arial"/>
          <w:b/>
          <w:sz w:val="24"/>
        </w:rPr>
        <w:t>NOMBRE DE PARTICULAR:</w:t>
      </w:r>
      <w:r w:rsidRPr="00AB4CD3">
        <w:rPr>
          <w:rFonts w:ascii="Palatino Linotype" w:hAnsi="Palatino Linotype" w:cs="Arial"/>
          <w:sz w:val="24"/>
        </w:rPr>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Circunstancia anterior que de ser visible y otorgarse por este Sujeto Obligado, de manera general y pública se vulneraría el derecho a la </w:t>
      </w:r>
      <w:r w:rsidRPr="00AB4CD3">
        <w:rPr>
          <w:rFonts w:ascii="Palatino Linotype" w:hAnsi="Palatino Linotype" w:cs="Arial"/>
          <w:sz w:val="24"/>
        </w:rPr>
        <w:lastRenderedPageBreak/>
        <w:t xml:space="preserve">protección de datos personales de la persona misma, esto debido a la divulgación innecesaria del nombre del particular, sin que exista consentimiento para ello, lo que haría ampliamente identificable al individuo respecto del documento que se trata o la actividad que se refiere, estando ante la posibilidad de manera directa de conocer el nombre específico del sujeto en el caso en concreto, </w:t>
      </w:r>
      <w:r w:rsidRPr="00AB4CD3">
        <w:rPr>
          <w:rFonts w:ascii="Palatino Linotype" w:hAnsi="Palatino Linotype"/>
          <w:b/>
          <w:sz w:val="24"/>
          <w:u w:val="single"/>
        </w:rPr>
        <w:t>información clasificada como confidencial</w:t>
      </w:r>
      <w:r w:rsidRPr="00AB4CD3">
        <w:rPr>
          <w:rFonts w:ascii="Palatino Linotype" w:hAnsi="Palatino Linotype"/>
          <w:sz w:val="24"/>
        </w:rPr>
        <w:t>.</w:t>
      </w:r>
    </w:p>
    <w:p w:rsidR="00D838FA" w:rsidRPr="00AB4CD3" w:rsidRDefault="00D838FA" w:rsidP="00D838FA">
      <w:pPr>
        <w:numPr>
          <w:ilvl w:val="0"/>
          <w:numId w:val="13"/>
        </w:numPr>
        <w:autoSpaceDE w:val="0"/>
        <w:autoSpaceDN w:val="0"/>
        <w:adjustRightInd w:val="0"/>
        <w:spacing w:line="360" w:lineRule="auto"/>
        <w:jc w:val="both"/>
        <w:rPr>
          <w:rFonts w:ascii="Palatino Linotype" w:hAnsi="Palatino Linotype" w:cs="Arial"/>
          <w:b/>
          <w:sz w:val="24"/>
        </w:rPr>
      </w:pPr>
      <w:r w:rsidRPr="00AB4CD3">
        <w:rPr>
          <w:rFonts w:ascii="Palatino Linotype" w:hAnsi="Palatino Linotype" w:cs="Arial"/>
          <w:b/>
          <w:sz w:val="24"/>
        </w:rPr>
        <w:t xml:space="preserve">Teléfono y celular particular: </w:t>
      </w:r>
      <w:r w:rsidRPr="00AB4CD3">
        <w:rPr>
          <w:rFonts w:ascii="Palatino Linotype" w:hAnsi="Palatino Linotype" w:cs="Arial"/>
          <w:sz w:val="24"/>
        </w:rPr>
        <w:t xml:space="preserve">El número asignado a un teléfono particular o celular permite localizar a una persona física identificada o identificable, ya sea a través de un dispositivo móvil o bien, en un lugar como el domicilio, </w:t>
      </w:r>
      <w:r w:rsidRPr="00AB4CD3">
        <w:rPr>
          <w:rFonts w:ascii="Palatino Linotype" w:hAnsi="Palatino Linotype"/>
          <w:b/>
          <w:sz w:val="24"/>
          <w:u w:val="single"/>
        </w:rPr>
        <w:t>información clasificada como confidencial</w:t>
      </w:r>
      <w:r w:rsidRPr="00AB4CD3">
        <w:rPr>
          <w:rFonts w:ascii="Palatino Linotype" w:hAnsi="Palatino Linotype"/>
          <w:sz w:val="24"/>
        </w:rPr>
        <w:t>.</w:t>
      </w:r>
    </w:p>
    <w:p w:rsidR="00D838FA" w:rsidRPr="00AB4CD3" w:rsidRDefault="00D838FA" w:rsidP="00D838FA">
      <w:pPr>
        <w:numPr>
          <w:ilvl w:val="0"/>
          <w:numId w:val="14"/>
        </w:numPr>
        <w:spacing w:line="360" w:lineRule="auto"/>
        <w:jc w:val="both"/>
        <w:rPr>
          <w:rFonts w:ascii="Palatino Linotype" w:hAnsi="Palatino Linotype" w:cs="Arial"/>
          <w:color w:val="000000"/>
          <w:sz w:val="24"/>
          <w:lang w:val="es-ES_tradnl"/>
        </w:rPr>
      </w:pPr>
      <w:r w:rsidRPr="00AB4CD3">
        <w:rPr>
          <w:rFonts w:ascii="Palatino Linotype" w:hAnsi="Palatino Linotype" w:cs="Arial"/>
          <w:b/>
          <w:bCs/>
          <w:color w:val="000000"/>
          <w:sz w:val="24"/>
          <w:lang w:val="es-ES_tradnl"/>
        </w:rPr>
        <w:t>Correo electrónico de particulares:</w:t>
      </w:r>
      <w:r w:rsidRPr="00AB4CD3">
        <w:rPr>
          <w:rFonts w:ascii="Palatino Linotype" w:hAnsi="Palatino Linotype" w:cs="Arial"/>
          <w:color w:val="000000"/>
          <w:sz w:val="24"/>
          <w:lang w:val="es-ES_tradnl"/>
        </w:rPr>
        <w:t xml:space="preserve"> </w:t>
      </w:r>
      <w:r w:rsidRPr="00AB4CD3">
        <w:rPr>
          <w:rFonts w:ascii="Palatino Linotype" w:hAnsi="Palatino Linotype"/>
          <w:sz w:val="24"/>
        </w:rPr>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 </w:t>
      </w:r>
      <w:r w:rsidRPr="00AB4CD3">
        <w:rPr>
          <w:rFonts w:ascii="Palatino Linotype" w:hAnsi="Palatino Linotype"/>
          <w:b/>
          <w:sz w:val="24"/>
          <w:u w:val="single"/>
        </w:rPr>
        <w:t>información clasificada como confidencial</w:t>
      </w:r>
      <w:r w:rsidRPr="00AB4CD3">
        <w:rPr>
          <w:rFonts w:ascii="Palatino Linotype" w:hAnsi="Palatino Linotype"/>
          <w:sz w:val="24"/>
        </w:rPr>
        <w:t>.</w:t>
      </w:r>
    </w:p>
    <w:p w:rsidR="00D838FA" w:rsidRPr="00AB4CD3" w:rsidRDefault="00D838FA" w:rsidP="00D838FA">
      <w:pPr>
        <w:numPr>
          <w:ilvl w:val="0"/>
          <w:numId w:val="14"/>
        </w:numPr>
        <w:spacing w:line="360" w:lineRule="auto"/>
        <w:jc w:val="both"/>
        <w:rPr>
          <w:rFonts w:ascii="Palatino Linotype" w:hAnsi="Palatino Linotype"/>
          <w:sz w:val="24"/>
        </w:rPr>
      </w:pPr>
      <w:r w:rsidRPr="00AB4CD3">
        <w:rPr>
          <w:rFonts w:ascii="Palatino Linotype" w:hAnsi="Palatino Linotype" w:cs="Arial"/>
          <w:b/>
          <w:sz w:val="24"/>
        </w:rPr>
        <w:t>Domicilio:</w:t>
      </w:r>
      <w:r w:rsidRPr="00AB4CD3">
        <w:rPr>
          <w:rFonts w:ascii="Palatino Linotype" w:hAnsi="Palatino Linotype"/>
          <w:sz w:val="24"/>
        </w:rPr>
        <w:t xml:space="preserve"> es un atributo de la personalidad que señala al individuo como miembro de una localidad, es decir, es el vínculo que relaciona a una persona con un espacio geográfico en específico, por lo que, en primera instancia se podría presumir que se trata de un dato confidencial.</w:t>
      </w:r>
    </w:p>
    <w:p w:rsidR="00D838FA" w:rsidRPr="00AB4CD3" w:rsidRDefault="00D838FA"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360" w:lineRule="auto"/>
        <w:jc w:val="both"/>
        <w:rPr>
          <w:rFonts w:ascii="Palatino Linotype" w:eastAsia="Times New Roman" w:hAnsi="Palatino Linotype" w:cs="Arial"/>
          <w:b/>
          <w:sz w:val="24"/>
          <w:szCs w:val="24"/>
          <w:lang w:val="es-ES" w:eastAsia="es-ES"/>
        </w:rPr>
      </w:pPr>
      <w:r w:rsidRPr="00AB4CD3">
        <w:rPr>
          <w:rFonts w:ascii="Palatino Linotype" w:eastAsia="Times New Roman" w:hAnsi="Palatino Linotype" w:cs="Arial"/>
          <w:sz w:val="24"/>
          <w:szCs w:val="24"/>
          <w:lang w:val="es-ES" w:eastAsia="es-ES"/>
        </w:rPr>
        <w:lastRenderedPageBreak/>
        <w:t xml:space="preserve">En caso específico, de los documentos solicitados obran datos que son considerados confidenciales, cuyo acceso debe ser restringido, los cuales deben testarse al momento de la elaboración de versiones públicas, como es el caso del </w:t>
      </w:r>
      <w:r w:rsidRPr="00AB4CD3">
        <w:rPr>
          <w:rFonts w:ascii="Palatino Linotype" w:eastAsia="Times New Roman" w:hAnsi="Palatino Linotype" w:cs="Arial"/>
          <w:b/>
          <w:sz w:val="24"/>
          <w:szCs w:val="24"/>
          <w:lang w:val="es-ES" w:eastAsia="es-ES"/>
        </w:rPr>
        <w:t>Registro Federal de Contribuyentes (RFC)</w:t>
      </w:r>
      <w:r w:rsidRPr="00AB4CD3">
        <w:rPr>
          <w:rFonts w:ascii="Palatino Linotype" w:eastAsia="Times New Roman" w:hAnsi="Palatino Linotype" w:cs="Arial"/>
          <w:sz w:val="24"/>
          <w:szCs w:val="24"/>
          <w:lang w:val="es-ES" w:eastAsia="es-ES"/>
        </w:rPr>
        <w:t xml:space="preserve"> y la </w:t>
      </w:r>
      <w:r w:rsidRPr="00AB4CD3">
        <w:rPr>
          <w:rFonts w:ascii="Palatino Linotype" w:eastAsia="Times New Roman" w:hAnsi="Palatino Linotype" w:cs="Arial"/>
          <w:b/>
          <w:sz w:val="24"/>
          <w:szCs w:val="24"/>
          <w:lang w:val="es-ES" w:eastAsia="es-ES"/>
        </w:rPr>
        <w:t>Clave Única de Registro de Población (CURP).</w:t>
      </w:r>
    </w:p>
    <w:p w:rsidR="00AF7AAE" w:rsidRPr="00AB4CD3" w:rsidRDefault="00AF7AAE" w:rsidP="00AF7AAE">
      <w:pPr>
        <w:spacing w:after="0" w:line="360" w:lineRule="auto"/>
        <w:jc w:val="both"/>
        <w:rPr>
          <w:rFonts w:ascii="Palatino Linotype" w:eastAsia="Times New Roman" w:hAnsi="Palatino Linotype" w:cs="Arial"/>
          <w:b/>
          <w:sz w:val="24"/>
          <w:szCs w:val="24"/>
          <w:lang w:val="es-ES" w:eastAsia="es-ES"/>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 xml:space="preserve">Por cuanto hace al </w:t>
      </w:r>
      <w:r w:rsidRPr="00AB4CD3">
        <w:rPr>
          <w:rFonts w:ascii="Palatino Linotype" w:eastAsia="Times New Roman" w:hAnsi="Palatino Linotype" w:cs="Arial"/>
          <w:b/>
          <w:sz w:val="24"/>
          <w:szCs w:val="24"/>
          <w:lang w:val="es-ES" w:eastAsia="es-ES"/>
        </w:rPr>
        <w:t>Registro Federal de Contribuyentes de las personas físicas</w:t>
      </w:r>
      <w:r w:rsidRPr="00AB4CD3">
        <w:rPr>
          <w:rFonts w:ascii="Palatino Linotype" w:eastAsia="Times New Roman" w:hAnsi="Palatino Linotype" w:cs="Arial"/>
          <w:sz w:val="24"/>
          <w:szCs w:val="24"/>
          <w:lang w:val="es-ES" w:eastAsia="es-ES"/>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Al respecto, el entonces Instituto Nacional Transparencia, Acceso a la Información y Protección de Datos Personales (INAI) a través del Criterio orientador 19/17, señala literalmente lo siguiente:</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276" w:lineRule="auto"/>
        <w:ind w:left="567" w:right="567"/>
        <w:jc w:val="both"/>
        <w:rPr>
          <w:rFonts w:ascii="Palatino Linotype" w:eastAsia="Times New Roman" w:hAnsi="Palatino Linotype" w:cs="Arial"/>
          <w:i/>
          <w:sz w:val="24"/>
          <w:szCs w:val="24"/>
          <w:lang w:val="es-ES" w:eastAsia="es-ES"/>
        </w:rPr>
      </w:pPr>
      <w:r w:rsidRPr="00AB4CD3">
        <w:rPr>
          <w:rFonts w:ascii="Palatino Linotype" w:eastAsia="Times New Roman" w:hAnsi="Palatino Linotype" w:cs="Arial"/>
          <w:i/>
          <w:sz w:val="24"/>
          <w:szCs w:val="24"/>
          <w:lang w:val="es-ES" w:eastAsia="es-ES"/>
        </w:rPr>
        <w:t>“</w:t>
      </w:r>
      <w:r w:rsidRPr="00AB4CD3">
        <w:rPr>
          <w:rFonts w:ascii="Palatino Linotype" w:eastAsia="Times New Roman" w:hAnsi="Palatino Linotype" w:cs="Arial"/>
          <w:b/>
          <w:i/>
          <w:sz w:val="24"/>
          <w:szCs w:val="24"/>
          <w:lang w:val="es-ES" w:eastAsia="es-ES"/>
        </w:rPr>
        <w:t>Registro Federal de Contribuyentes (RFC) de personas físicas</w:t>
      </w:r>
      <w:r w:rsidRPr="00AB4CD3">
        <w:rPr>
          <w:rFonts w:ascii="Palatino Linotype" w:eastAsia="Times New Roman" w:hAnsi="Palatino Linotype" w:cs="Arial"/>
          <w:i/>
          <w:sz w:val="24"/>
          <w:szCs w:val="24"/>
          <w:lang w:val="es-ES" w:eastAsia="es-ES"/>
        </w:rPr>
        <w:t>. El RFC es una clave de carácter fiscal, única e irrepetible, que permite identificar al titular, su edad y fecha de nacimiento, por lo que es un dato personal de carácter confidencial.</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 xml:space="preserve">De lo anterior, se desprende que el Registro Federal de Contribuyentes se vincula al nombre de su titular, permitiendo identificar la edad de la persona, fecha de nacimiento, así como su homoclave, determinando la identificación de dicha persona </w:t>
      </w:r>
      <w:r w:rsidRPr="00AB4CD3">
        <w:rPr>
          <w:rFonts w:ascii="Palatino Linotype" w:eastAsia="Times New Roman" w:hAnsi="Palatino Linotype" w:cs="Arial"/>
          <w:sz w:val="24"/>
          <w:szCs w:val="24"/>
          <w:lang w:val="es-ES" w:eastAsia="es-ES"/>
        </w:rPr>
        <w:lastRenderedPageBreak/>
        <w:t>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 xml:space="preserve">Por cuanto hace a la </w:t>
      </w:r>
      <w:r w:rsidRPr="00AB4CD3">
        <w:rPr>
          <w:rFonts w:ascii="Palatino Linotype" w:eastAsia="Times New Roman" w:hAnsi="Palatino Linotype" w:cs="Arial"/>
          <w:b/>
          <w:sz w:val="24"/>
          <w:szCs w:val="24"/>
          <w:lang w:val="es-ES" w:eastAsia="es-ES"/>
        </w:rPr>
        <w:t>Clave Única de Registro de Población</w:t>
      </w:r>
      <w:r w:rsidRPr="00AB4CD3">
        <w:rPr>
          <w:rFonts w:ascii="Palatino Linotype" w:eastAsia="Times New Roman" w:hAnsi="Palatino Linotype" w:cs="Arial"/>
          <w:sz w:val="24"/>
          <w:szCs w:val="24"/>
          <w:lang w:val="es-ES" w:eastAsia="es-ES"/>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Lo anterior, tiene sustento en los artículos 86 y 91, de la Ley General de Población, la cual señala lo siguiente:</w:t>
      </w:r>
    </w:p>
    <w:p w:rsidR="00AF7AAE" w:rsidRPr="00AB4CD3" w:rsidRDefault="00AF7AAE" w:rsidP="00AF7AAE">
      <w:pPr>
        <w:spacing w:after="0" w:line="276"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276" w:lineRule="auto"/>
        <w:ind w:left="567" w:right="567"/>
        <w:jc w:val="both"/>
        <w:rPr>
          <w:rFonts w:ascii="Palatino Linotype" w:eastAsia="Times New Roman" w:hAnsi="Palatino Linotype" w:cs="Arial"/>
          <w:i/>
          <w:sz w:val="24"/>
          <w:szCs w:val="24"/>
          <w:lang w:val="es-ES" w:eastAsia="es-ES"/>
        </w:rPr>
      </w:pPr>
      <w:r w:rsidRPr="00AB4CD3">
        <w:rPr>
          <w:rFonts w:ascii="Palatino Linotype" w:eastAsia="Times New Roman" w:hAnsi="Palatino Linotype" w:cs="Arial"/>
          <w:i/>
          <w:sz w:val="24"/>
          <w:szCs w:val="24"/>
          <w:lang w:val="es-ES" w:eastAsia="es-ES"/>
        </w:rPr>
        <w:t>“</w:t>
      </w:r>
      <w:r w:rsidRPr="00AB4CD3">
        <w:rPr>
          <w:rFonts w:ascii="Palatino Linotype" w:eastAsia="Times New Roman" w:hAnsi="Palatino Linotype" w:cs="Arial"/>
          <w:b/>
          <w:i/>
          <w:sz w:val="24"/>
          <w:szCs w:val="24"/>
          <w:lang w:val="es-ES" w:eastAsia="es-ES"/>
        </w:rPr>
        <w:t>Artículo 86.</w:t>
      </w:r>
      <w:r w:rsidRPr="00AB4CD3">
        <w:rPr>
          <w:rFonts w:ascii="Palatino Linotype" w:eastAsia="Times New Roman" w:hAnsi="Palatino Linotype" w:cs="Arial"/>
          <w:i/>
          <w:sz w:val="24"/>
          <w:szCs w:val="24"/>
          <w:lang w:val="es-ES" w:eastAsia="es-ES"/>
        </w:rPr>
        <w:t xml:space="preserve"> El Registro Nacional de Población tiene como finalidad registrar a cada una de las personas que integran la población del país, con los datos que permitan certificar y acreditar fehacientemente su identidad.</w:t>
      </w:r>
    </w:p>
    <w:p w:rsidR="00AF7AAE" w:rsidRPr="00AB4CD3" w:rsidRDefault="00AF7AAE" w:rsidP="00AF7AAE">
      <w:pPr>
        <w:spacing w:after="0" w:line="276" w:lineRule="auto"/>
        <w:ind w:left="567" w:right="567"/>
        <w:jc w:val="both"/>
        <w:rPr>
          <w:rFonts w:ascii="Palatino Linotype" w:eastAsia="Times New Roman" w:hAnsi="Palatino Linotype" w:cs="Arial"/>
          <w:i/>
          <w:sz w:val="24"/>
          <w:szCs w:val="24"/>
          <w:lang w:val="es-ES" w:eastAsia="es-ES"/>
        </w:rPr>
      </w:pPr>
    </w:p>
    <w:p w:rsidR="00AF7AAE" w:rsidRPr="00AB4CD3" w:rsidRDefault="00AF7AAE" w:rsidP="00AF7AAE">
      <w:pPr>
        <w:spacing w:after="0" w:line="276" w:lineRule="auto"/>
        <w:ind w:left="567" w:right="567"/>
        <w:jc w:val="both"/>
        <w:rPr>
          <w:rFonts w:ascii="Palatino Linotype" w:eastAsia="Times New Roman" w:hAnsi="Palatino Linotype" w:cs="Arial"/>
          <w:i/>
          <w:sz w:val="24"/>
          <w:szCs w:val="24"/>
          <w:lang w:val="es-ES" w:eastAsia="es-ES"/>
        </w:rPr>
      </w:pPr>
      <w:r w:rsidRPr="00AB4CD3">
        <w:rPr>
          <w:rFonts w:ascii="Palatino Linotype" w:eastAsia="Times New Roman" w:hAnsi="Palatino Linotype" w:cs="Arial"/>
          <w:b/>
          <w:i/>
          <w:sz w:val="24"/>
          <w:szCs w:val="24"/>
          <w:lang w:val="es-ES" w:eastAsia="es-ES"/>
        </w:rPr>
        <w:t>Artículo 91.</w:t>
      </w:r>
      <w:r w:rsidRPr="00AB4CD3">
        <w:rPr>
          <w:rFonts w:ascii="Palatino Linotype" w:eastAsia="Times New Roman" w:hAnsi="Palatino Linotype" w:cs="Arial"/>
          <w:i/>
          <w:sz w:val="24"/>
          <w:szCs w:val="24"/>
          <w:lang w:val="es-ES" w:eastAsia="es-ES"/>
        </w:rPr>
        <w:t xml:space="preserve"> Al incorporar a una persona en el Registro Nacional de Población, se le asignará una clave que se denominará Clave Única de Registro de Población. Esta servirá para registrarla e identificarla en forma individual.”</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w:t>
      </w:r>
      <w:r w:rsidRPr="00AB4CD3">
        <w:rPr>
          <w:rFonts w:ascii="Palatino Linotype" w:eastAsia="Times New Roman" w:hAnsi="Palatino Linotype" w:cs="Arial"/>
          <w:sz w:val="24"/>
          <w:szCs w:val="24"/>
          <w:lang w:val="es-ES" w:eastAsia="es-ES"/>
        </w:rPr>
        <w:lastRenderedPageBreak/>
        <w:t xml:space="preserve">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Al respecto, el entonces Instituto Nacional de Transparencia, Acceso a la Información y Protección de Datos Personales (INAI) a través del Criterio orientador 18/17, señala literalmente lo siguiente:</w:t>
      </w: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276" w:lineRule="auto"/>
        <w:ind w:left="567" w:right="567"/>
        <w:jc w:val="both"/>
        <w:rPr>
          <w:rFonts w:ascii="Palatino Linotype" w:eastAsia="Times New Roman" w:hAnsi="Palatino Linotype" w:cs="Arial"/>
          <w:i/>
          <w:sz w:val="24"/>
          <w:szCs w:val="24"/>
          <w:lang w:val="es-ES" w:eastAsia="es-ES"/>
        </w:rPr>
      </w:pPr>
      <w:r w:rsidRPr="00AB4CD3">
        <w:rPr>
          <w:rFonts w:ascii="Palatino Linotype" w:eastAsia="Times New Roman" w:hAnsi="Palatino Linotype" w:cs="Arial"/>
          <w:b/>
          <w:i/>
          <w:sz w:val="24"/>
          <w:szCs w:val="24"/>
          <w:lang w:val="es-ES" w:eastAsia="es-ES"/>
        </w:rPr>
        <w:t>Clave Única de Registro de Población (CURP).</w:t>
      </w:r>
      <w:r w:rsidRPr="00AB4CD3">
        <w:rPr>
          <w:rFonts w:ascii="Palatino Linotype" w:eastAsia="Times New Roman" w:hAnsi="Palatino Linotype" w:cs="Arial"/>
          <w:i/>
          <w:sz w:val="24"/>
          <w:szCs w:val="24"/>
          <w:lang w:val="es-ES" w:eastAsia="es-E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AF7AAE" w:rsidRPr="00AB4CD3" w:rsidRDefault="00AF7AAE" w:rsidP="00AF7AAE">
      <w:pPr>
        <w:spacing w:after="0" w:line="276" w:lineRule="auto"/>
        <w:jc w:val="both"/>
        <w:rPr>
          <w:rFonts w:ascii="Palatino Linotype" w:eastAsia="Times New Roman" w:hAnsi="Palatino Linotype" w:cs="Arial"/>
          <w:sz w:val="24"/>
          <w:szCs w:val="24"/>
          <w:lang w:val="es-ES" w:eastAsia="es-ES"/>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sz w:val="24"/>
          <w:szCs w:val="24"/>
          <w:lang w:val="es-ES" w:eastAsia="es-ES"/>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AF7AAE" w:rsidRPr="00AB4CD3" w:rsidRDefault="00AF7AAE" w:rsidP="00AF7AAE">
      <w:pPr>
        <w:spacing w:after="0" w:line="360" w:lineRule="auto"/>
        <w:ind w:right="51"/>
        <w:jc w:val="both"/>
        <w:rPr>
          <w:rFonts w:ascii="Palatino Linotype" w:hAnsi="Palatino Linotype" w:cs="Arial"/>
          <w:sz w:val="24"/>
          <w:szCs w:val="24"/>
          <w:lang w:val="es-ES_tradnl"/>
        </w:rPr>
      </w:pPr>
    </w:p>
    <w:p w:rsidR="00AF7AAE" w:rsidRPr="00AB4CD3" w:rsidRDefault="00AF7AAE" w:rsidP="00AF7AAE">
      <w:pPr>
        <w:spacing w:after="0" w:line="360" w:lineRule="auto"/>
        <w:ind w:right="51"/>
        <w:jc w:val="both"/>
        <w:rPr>
          <w:rFonts w:ascii="Palatino Linotype" w:eastAsia="Arial Unicode MS" w:hAnsi="Palatino Linotype" w:cs="Arial"/>
          <w:sz w:val="24"/>
          <w:szCs w:val="24"/>
          <w:lang w:val="es-ES_tradnl"/>
        </w:rPr>
      </w:pPr>
      <w:r w:rsidRPr="00AB4CD3">
        <w:rPr>
          <w:rFonts w:ascii="Palatino Linotype" w:hAnsi="Palatino Linotype" w:cs="Arial"/>
          <w:sz w:val="24"/>
          <w:szCs w:val="24"/>
          <w:lang w:val="es-ES_tradnl"/>
        </w:rPr>
        <w:lastRenderedPageBreak/>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AB4CD3">
        <w:rPr>
          <w:rFonts w:ascii="Palatino Linotype" w:hAnsi="Palatino Linotype" w:cs="Arial"/>
          <w:b/>
          <w:sz w:val="24"/>
          <w:szCs w:val="24"/>
          <w:lang w:val="es-ES_tradnl"/>
        </w:rPr>
        <w:t>LINEAMIENTOS GENERALES EN MATERIA DE CLASIFICACIÓN Y DESCLASIFICACIÓN DE LA INFORMACIÓN, ASÍ COMO PARA LA ELABORACIÓN DE VERSIONES PÚBLICAS,</w:t>
      </w:r>
      <w:r w:rsidRPr="00AB4CD3">
        <w:rPr>
          <w:rFonts w:ascii="Palatino Linotype" w:hAnsi="Palatino Linotype" w:cs="Arial"/>
          <w:sz w:val="24"/>
          <w:szCs w:val="24"/>
          <w:lang w:val="es-ES_tradnl"/>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AF7AAE" w:rsidRPr="00AB4CD3" w:rsidRDefault="00AF7AAE" w:rsidP="00AF7AAE">
      <w:pPr>
        <w:spacing w:after="0" w:line="360" w:lineRule="auto"/>
        <w:jc w:val="both"/>
        <w:rPr>
          <w:rFonts w:ascii="Palatino Linotype" w:eastAsia="Palatino Linotype" w:hAnsi="Palatino Linotype" w:cs="Palatino Linotype"/>
          <w:sz w:val="24"/>
          <w:szCs w:val="24"/>
          <w:lang w:eastAsia="en-US"/>
        </w:rPr>
      </w:pPr>
    </w:p>
    <w:p w:rsidR="00AF7AAE" w:rsidRPr="00AB4CD3" w:rsidRDefault="00AF7AAE" w:rsidP="00AF7AAE">
      <w:pPr>
        <w:numPr>
          <w:ilvl w:val="0"/>
          <w:numId w:val="4"/>
        </w:numPr>
        <w:tabs>
          <w:tab w:val="left" w:pos="7938"/>
        </w:tabs>
        <w:spacing w:after="0" w:line="360" w:lineRule="auto"/>
        <w:ind w:left="426"/>
        <w:jc w:val="both"/>
        <w:rPr>
          <w:rFonts w:asciiTheme="minorHAnsi" w:eastAsiaTheme="minorHAnsi" w:hAnsiTheme="minorHAnsi" w:cstheme="minorBidi"/>
          <w:b/>
          <w:sz w:val="28"/>
          <w:szCs w:val="28"/>
          <w:lang w:eastAsia="en-US"/>
        </w:rPr>
      </w:pPr>
      <w:r w:rsidRPr="00AB4CD3">
        <w:rPr>
          <w:rFonts w:ascii="Palatino Linotype" w:eastAsia="Palatino Linotype" w:hAnsi="Palatino Linotype" w:cs="Palatino Linotype"/>
          <w:b/>
          <w:sz w:val="28"/>
          <w:szCs w:val="28"/>
          <w:lang w:eastAsia="en-US"/>
        </w:rPr>
        <w:t>De la vista a los órganos de control interno competentes.</w:t>
      </w:r>
    </w:p>
    <w:p w:rsidR="00AF7AAE" w:rsidRPr="00AB4CD3" w:rsidRDefault="00AF7AAE" w:rsidP="00AF7AAE">
      <w:pPr>
        <w:spacing w:line="360" w:lineRule="auto"/>
        <w:ind w:right="49"/>
        <w:jc w:val="both"/>
        <w:rPr>
          <w:rFonts w:ascii="Palatino Linotype" w:eastAsia="Palatino Linotype" w:hAnsi="Palatino Linotype" w:cs="Palatino Linotype"/>
          <w:sz w:val="24"/>
          <w:szCs w:val="24"/>
          <w:lang w:eastAsia="en-US"/>
        </w:rPr>
      </w:pPr>
      <w:r w:rsidRPr="00AB4CD3">
        <w:rPr>
          <w:rFonts w:ascii="Palatino Linotype" w:eastAsia="Palatino Linotype" w:hAnsi="Palatino Linotype" w:cs="Palatino Linotype"/>
          <w:sz w:val="24"/>
          <w:szCs w:val="24"/>
          <w:lang w:eastAsia="en-US"/>
        </w:rPr>
        <w:t>Como ya se mencionó el</w:t>
      </w:r>
      <w:r w:rsidRPr="00AB4CD3">
        <w:rPr>
          <w:rFonts w:ascii="Palatino Linotype" w:eastAsia="Palatino Linotype" w:hAnsi="Palatino Linotype" w:cs="Palatino Linotype"/>
          <w:b/>
          <w:sz w:val="24"/>
          <w:szCs w:val="24"/>
          <w:lang w:eastAsia="en-US"/>
        </w:rPr>
        <w:t xml:space="preserve"> Sujeto Obligado</w:t>
      </w:r>
      <w:r w:rsidRPr="00AB4CD3">
        <w:rPr>
          <w:rFonts w:ascii="Palatino Linotype" w:eastAsia="Palatino Linotype" w:hAnsi="Palatino Linotype" w:cs="Palatino Linotype"/>
          <w:sz w:val="24"/>
          <w:szCs w:val="24"/>
          <w:lang w:eastAsia="en-US"/>
        </w:rPr>
        <w:t>, no proporcionó respuesta a la solicitud de acceso a la información pública, en el término previsto en el artículo 163 de la Ley de Transparencia y Acceso a la Información Pública por lo que ordena dar vista</w:t>
      </w:r>
      <w:r w:rsidRPr="00AB4CD3">
        <w:rPr>
          <w:rFonts w:ascii="Palatino Linotype" w:eastAsia="Palatino Linotype" w:hAnsi="Palatino Linotype" w:cs="Palatino Linotype"/>
          <w:b/>
          <w:sz w:val="24"/>
          <w:szCs w:val="24"/>
          <w:lang w:eastAsia="en-US"/>
        </w:rPr>
        <w:t xml:space="preserve"> </w:t>
      </w:r>
      <w:r w:rsidRPr="00AB4CD3">
        <w:rPr>
          <w:rFonts w:ascii="Palatino Linotype" w:eastAsia="Palatino Linotype" w:hAnsi="Palatino Linotype" w:cs="Palatino Linotype"/>
          <w:sz w:val="24"/>
          <w:szCs w:val="24"/>
          <w:lang w:eastAsia="en-US"/>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AF7AAE" w:rsidRPr="00AB4CD3" w:rsidRDefault="00AF7AAE" w:rsidP="00AF7AAE">
      <w:pPr>
        <w:spacing w:line="360" w:lineRule="auto"/>
        <w:ind w:right="49"/>
        <w:jc w:val="both"/>
        <w:rPr>
          <w:rFonts w:ascii="Palatino Linotype" w:eastAsia="Palatino Linotype" w:hAnsi="Palatino Linotype" w:cs="Palatino Linotype"/>
          <w:sz w:val="24"/>
          <w:szCs w:val="24"/>
          <w:lang w:eastAsia="en-US"/>
        </w:rPr>
      </w:pPr>
    </w:p>
    <w:p w:rsidR="00AF7AAE" w:rsidRPr="00AB4CD3" w:rsidRDefault="00AF7AAE" w:rsidP="00AF7AAE">
      <w:pPr>
        <w:spacing w:after="0" w:line="360" w:lineRule="auto"/>
        <w:jc w:val="both"/>
        <w:rPr>
          <w:rFonts w:ascii="Palatino Linotype" w:eastAsia="Palatino Linotype" w:hAnsi="Palatino Linotype" w:cs="Palatino Linotype"/>
          <w:sz w:val="24"/>
          <w:szCs w:val="24"/>
          <w:lang w:eastAsia="en-US"/>
        </w:rPr>
      </w:pPr>
      <w:r w:rsidRPr="00AB4CD3">
        <w:rPr>
          <w:rFonts w:ascii="Palatino Linotype" w:eastAsia="Palatino Linotype" w:hAnsi="Palatino Linotype" w:cs="Palatino Linotype"/>
          <w:sz w:val="24"/>
          <w:szCs w:val="24"/>
          <w:lang w:eastAsia="en-US"/>
        </w:rPr>
        <w:lastRenderedPageBreak/>
        <w:t xml:space="preserve">Por lo tanto, de lo expuesto y con fundamento en la fracción IV del artículo 186, de la Ley de Transparencia y Acceso a la Información Pública del Estado de México y Municipios, se </w:t>
      </w:r>
      <w:r w:rsidRPr="00AB4CD3">
        <w:rPr>
          <w:rFonts w:ascii="Palatino Linotype" w:eastAsia="Palatino Linotype" w:hAnsi="Palatino Linotype" w:cs="Palatino Linotype"/>
          <w:b/>
          <w:sz w:val="24"/>
          <w:szCs w:val="24"/>
          <w:lang w:eastAsia="en-US"/>
        </w:rPr>
        <w:t>ORDENA</w:t>
      </w:r>
      <w:r w:rsidRPr="00AB4CD3">
        <w:rPr>
          <w:rFonts w:ascii="Palatino Linotype" w:eastAsia="Palatino Linotype" w:hAnsi="Palatino Linotype" w:cs="Palatino Linotype"/>
          <w:sz w:val="24"/>
          <w:szCs w:val="24"/>
          <w:lang w:eastAsia="en-US"/>
        </w:rPr>
        <w:t xml:space="preserve"> al </w:t>
      </w:r>
      <w:r w:rsidRPr="00AB4CD3">
        <w:rPr>
          <w:rFonts w:ascii="Palatino Linotype" w:eastAsia="Palatino Linotype" w:hAnsi="Palatino Linotype" w:cs="Palatino Linotype"/>
          <w:b/>
          <w:sz w:val="24"/>
          <w:szCs w:val="24"/>
          <w:lang w:eastAsia="en-US"/>
        </w:rPr>
        <w:t>Sujeto Obligado</w:t>
      </w:r>
      <w:r w:rsidRPr="00AB4CD3">
        <w:rPr>
          <w:rFonts w:ascii="Palatino Linotype" w:eastAsia="Palatino Linotype" w:hAnsi="Palatino Linotype" w:cs="Palatino Linotype"/>
          <w:sz w:val="24"/>
          <w:szCs w:val="24"/>
          <w:lang w:eastAsia="en-US"/>
        </w:rPr>
        <w:t xml:space="preserve">, atienda las solicitudes de información </w:t>
      </w:r>
      <w:r w:rsidRPr="00AB4CD3">
        <w:rPr>
          <w:rFonts w:ascii="Palatino Linotype" w:eastAsia="Palatino Linotype" w:hAnsi="Palatino Linotype" w:cs="Palatino Linotype"/>
          <w:b/>
          <w:sz w:val="24"/>
          <w:szCs w:val="24"/>
          <w:lang w:eastAsia="en-US"/>
        </w:rPr>
        <w:t xml:space="preserve">00517/TOLUCA/IP/2026, </w:t>
      </w:r>
      <w:r w:rsidRPr="00AB4CD3">
        <w:rPr>
          <w:rFonts w:ascii="Palatino Linotype" w:eastAsia="Palatino Linotype" w:hAnsi="Palatino Linotype" w:cs="Palatino Linotype"/>
          <w:sz w:val="24"/>
          <w:szCs w:val="24"/>
          <w:lang w:eastAsia="en-US"/>
        </w:rPr>
        <w:t>que han sido materia del presente fallo.</w:t>
      </w:r>
    </w:p>
    <w:p w:rsidR="00AF7AAE" w:rsidRPr="00AB4CD3" w:rsidRDefault="00AF7AAE" w:rsidP="00AF7AAE">
      <w:pPr>
        <w:spacing w:after="0" w:line="360" w:lineRule="auto"/>
        <w:jc w:val="both"/>
        <w:rPr>
          <w:rFonts w:ascii="Palatino Linotype" w:eastAsia="Palatino Linotype" w:hAnsi="Palatino Linotype" w:cs="Palatino Linotype"/>
          <w:sz w:val="24"/>
          <w:szCs w:val="24"/>
          <w:lang w:eastAsia="en-US"/>
        </w:rPr>
      </w:pPr>
    </w:p>
    <w:p w:rsidR="00AF7AAE" w:rsidRPr="00AB4CD3" w:rsidRDefault="00AF7AAE" w:rsidP="00AF7AAE">
      <w:pPr>
        <w:spacing w:after="0" w:line="360" w:lineRule="auto"/>
        <w:jc w:val="both"/>
        <w:rPr>
          <w:rFonts w:ascii="Palatino Linotype" w:eastAsia="Palatino Linotype" w:hAnsi="Palatino Linotype" w:cs="Palatino Linotype"/>
          <w:sz w:val="24"/>
          <w:szCs w:val="24"/>
          <w:lang w:eastAsia="en-US"/>
        </w:rPr>
      </w:pPr>
      <w:r w:rsidRPr="00AB4CD3">
        <w:rPr>
          <w:rFonts w:ascii="Palatino Linotype" w:eastAsia="Palatino Linotype" w:hAnsi="Palatino Linotype" w:cs="Palatino Linotype"/>
          <w:sz w:val="24"/>
          <w:szCs w:val="24"/>
          <w:lang w:eastAsia="en-US"/>
        </w:rPr>
        <w:t>Por lo antes expuesto y fundado es de resolverse y,</w:t>
      </w:r>
    </w:p>
    <w:p w:rsidR="00AF7AAE" w:rsidRPr="00AB4CD3" w:rsidRDefault="00AF7AAE" w:rsidP="00AF7AAE">
      <w:pPr>
        <w:spacing w:after="0" w:line="360" w:lineRule="auto"/>
        <w:jc w:val="both"/>
        <w:rPr>
          <w:rFonts w:ascii="Palatino Linotype" w:eastAsia="Palatino Linotype" w:hAnsi="Palatino Linotype" w:cs="Palatino Linotype"/>
          <w:sz w:val="24"/>
          <w:szCs w:val="24"/>
          <w:lang w:eastAsia="en-US"/>
        </w:rPr>
      </w:pPr>
    </w:p>
    <w:p w:rsidR="00AF7AAE" w:rsidRPr="00AB4CD3" w:rsidRDefault="00AF7AAE" w:rsidP="00AF7AAE">
      <w:pPr>
        <w:spacing w:after="0" w:line="360" w:lineRule="auto"/>
        <w:ind w:left="426"/>
        <w:jc w:val="center"/>
        <w:rPr>
          <w:rFonts w:ascii="Palatino Linotype" w:eastAsia="Palatino Linotype" w:hAnsi="Palatino Linotype" w:cs="Palatino Linotype"/>
          <w:b/>
          <w:color w:val="000000"/>
          <w:sz w:val="28"/>
          <w:szCs w:val="28"/>
          <w:lang w:eastAsia="en-US"/>
        </w:rPr>
      </w:pPr>
      <w:r w:rsidRPr="00AB4CD3">
        <w:rPr>
          <w:rFonts w:ascii="Palatino Linotype" w:eastAsia="Palatino Linotype" w:hAnsi="Palatino Linotype" w:cs="Palatino Linotype"/>
          <w:b/>
          <w:color w:val="000000"/>
          <w:sz w:val="28"/>
          <w:szCs w:val="28"/>
          <w:lang w:eastAsia="en-US"/>
        </w:rPr>
        <w:t>SE    RESUELVE</w:t>
      </w:r>
    </w:p>
    <w:p w:rsidR="00AF7AAE" w:rsidRPr="00AB4CD3" w:rsidRDefault="00AF7AAE" w:rsidP="00AF7AAE">
      <w:pPr>
        <w:tabs>
          <w:tab w:val="left" w:pos="8647"/>
        </w:tabs>
        <w:spacing w:after="0" w:line="360" w:lineRule="auto"/>
        <w:ind w:right="51"/>
        <w:jc w:val="both"/>
        <w:rPr>
          <w:rFonts w:ascii="Palatino Linotype" w:eastAsia="Palatino Linotype" w:hAnsi="Palatino Linotype" w:cs="Palatino Linotype"/>
          <w:sz w:val="24"/>
          <w:szCs w:val="24"/>
          <w:lang w:eastAsia="en-US"/>
        </w:rPr>
      </w:pPr>
      <w:r w:rsidRPr="00AB4CD3">
        <w:rPr>
          <w:rFonts w:ascii="Palatino Linotype" w:eastAsia="Palatino Linotype" w:hAnsi="Palatino Linotype" w:cs="Palatino Linotype"/>
          <w:b/>
          <w:sz w:val="28"/>
          <w:szCs w:val="28"/>
          <w:lang w:eastAsia="en-US"/>
        </w:rPr>
        <w:t>PRIMERO.</w:t>
      </w:r>
      <w:r w:rsidRPr="00AB4CD3">
        <w:rPr>
          <w:rFonts w:ascii="Palatino Linotype" w:eastAsia="Palatino Linotype" w:hAnsi="Palatino Linotype" w:cs="Palatino Linotype"/>
          <w:sz w:val="24"/>
          <w:szCs w:val="24"/>
          <w:lang w:eastAsia="en-US"/>
        </w:rPr>
        <w:t xml:space="preserve"> Resultan fundadas las razones o motivos de inconformidad hechos valer por la parte </w:t>
      </w:r>
      <w:r w:rsidRPr="00AB4CD3">
        <w:rPr>
          <w:rFonts w:ascii="Palatino Linotype" w:eastAsia="Palatino Linotype" w:hAnsi="Palatino Linotype" w:cs="Palatino Linotype"/>
          <w:b/>
          <w:sz w:val="24"/>
          <w:szCs w:val="24"/>
          <w:lang w:eastAsia="en-US"/>
        </w:rPr>
        <w:t>Recurrente,</w:t>
      </w:r>
      <w:r w:rsidRPr="00AB4CD3">
        <w:rPr>
          <w:rFonts w:ascii="Palatino Linotype" w:eastAsia="Palatino Linotype" w:hAnsi="Palatino Linotype" w:cs="Palatino Linotype"/>
          <w:sz w:val="24"/>
          <w:szCs w:val="24"/>
          <w:lang w:eastAsia="en-US"/>
        </w:rPr>
        <w:t xml:space="preserve"> en términos del considerando </w:t>
      </w:r>
      <w:r w:rsidRPr="00AB4CD3">
        <w:rPr>
          <w:rFonts w:ascii="Palatino Linotype" w:eastAsia="Palatino Linotype" w:hAnsi="Palatino Linotype" w:cs="Palatino Linotype"/>
          <w:b/>
          <w:sz w:val="24"/>
          <w:szCs w:val="24"/>
          <w:lang w:eastAsia="en-US"/>
        </w:rPr>
        <w:t>CUARTO</w:t>
      </w:r>
      <w:r w:rsidRPr="00AB4CD3">
        <w:rPr>
          <w:rFonts w:ascii="Palatino Linotype" w:eastAsia="Palatino Linotype" w:hAnsi="Palatino Linotype" w:cs="Palatino Linotype"/>
          <w:sz w:val="24"/>
          <w:szCs w:val="24"/>
          <w:lang w:eastAsia="en-US"/>
        </w:rPr>
        <w:t>, de la presente resolución.</w:t>
      </w:r>
    </w:p>
    <w:p w:rsidR="00AF7AAE" w:rsidRPr="00AB4CD3" w:rsidRDefault="00AF7AAE" w:rsidP="00AF7AAE">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AF7AAE" w:rsidRPr="00AB4CD3" w:rsidRDefault="00AF7AAE" w:rsidP="00AF7AAE">
      <w:pPr>
        <w:tabs>
          <w:tab w:val="left" w:pos="8647"/>
        </w:tabs>
        <w:spacing w:after="0" w:line="360" w:lineRule="auto"/>
        <w:ind w:right="51"/>
        <w:jc w:val="both"/>
        <w:rPr>
          <w:rFonts w:ascii="Palatino Linotype" w:eastAsiaTheme="minorHAnsi" w:hAnsi="Palatino Linotype" w:cstheme="minorBidi"/>
          <w:bCs/>
          <w:sz w:val="24"/>
          <w:lang w:eastAsia="en-US"/>
        </w:rPr>
      </w:pPr>
      <w:r w:rsidRPr="00AB4CD3">
        <w:rPr>
          <w:rFonts w:ascii="Palatino Linotype" w:eastAsia="Palatino Linotype" w:hAnsi="Palatino Linotype" w:cs="Palatino Linotype"/>
          <w:b/>
          <w:sz w:val="28"/>
          <w:szCs w:val="28"/>
          <w:lang w:eastAsia="en-US"/>
        </w:rPr>
        <w:t>SEGUNDO.</w:t>
      </w:r>
      <w:r w:rsidRPr="00AB4CD3">
        <w:rPr>
          <w:rFonts w:ascii="Palatino Linotype" w:eastAsia="Palatino Linotype" w:hAnsi="Palatino Linotype" w:cs="Palatino Linotype"/>
          <w:sz w:val="24"/>
          <w:szCs w:val="24"/>
          <w:lang w:eastAsia="en-US"/>
        </w:rPr>
        <w:t xml:space="preserve"> Se </w:t>
      </w:r>
      <w:r w:rsidRPr="00AB4CD3">
        <w:rPr>
          <w:rFonts w:ascii="Palatino Linotype" w:eastAsia="Palatino Linotype" w:hAnsi="Palatino Linotype" w:cs="Palatino Linotype"/>
          <w:b/>
          <w:sz w:val="24"/>
          <w:szCs w:val="24"/>
          <w:lang w:eastAsia="en-US"/>
        </w:rPr>
        <w:t>ORDENA</w:t>
      </w:r>
      <w:r w:rsidRPr="00AB4CD3">
        <w:rPr>
          <w:rFonts w:ascii="Palatino Linotype" w:eastAsia="Palatino Linotype" w:hAnsi="Palatino Linotype" w:cs="Palatino Linotype"/>
          <w:sz w:val="24"/>
          <w:szCs w:val="24"/>
          <w:lang w:eastAsia="en-US"/>
        </w:rPr>
        <w:t xml:space="preserve"> al </w:t>
      </w:r>
      <w:r w:rsidRPr="00AB4CD3">
        <w:rPr>
          <w:rFonts w:ascii="Palatino Linotype" w:eastAsia="Palatino Linotype" w:hAnsi="Palatino Linotype" w:cs="Palatino Linotype"/>
          <w:b/>
          <w:sz w:val="24"/>
          <w:szCs w:val="24"/>
          <w:lang w:eastAsia="en-US"/>
        </w:rPr>
        <w:t>Sujeto Obligado</w:t>
      </w:r>
      <w:r w:rsidRPr="00AB4CD3">
        <w:rPr>
          <w:rFonts w:ascii="Palatino Linotype" w:eastAsia="Palatino Linotype" w:hAnsi="Palatino Linotype" w:cs="Palatino Linotype"/>
          <w:sz w:val="24"/>
          <w:szCs w:val="24"/>
          <w:lang w:eastAsia="en-US"/>
        </w:rPr>
        <w:t xml:space="preserve"> en las solicitudes de información </w:t>
      </w:r>
      <w:r w:rsidRPr="00AB4CD3">
        <w:rPr>
          <w:rFonts w:ascii="Palatino Linotype" w:eastAsia="Palatino Linotype" w:hAnsi="Palatino Linotype" w:cs="Palatino Linotype"/>
          <w:b/>
          <w:sz w:val="24"/>
          <w:szCs w:val="24"/>
          <w:lang w:eastAsia="en-US"/>
        </w:rPr>
        <w:t xml:space="preserve">00517/TOLUCA/IP/2026, </w:t>
      </w:r>
      <w:r w:rsidRPr="00AB4CD3">
        <w:rPr>
          <w:rFonts w:ascii="Palatino Linotype" w:eastAsia="Palatino Linotype" w:hAnsi="Palatino Linotype" w:cs="Palatino Linotype"/>
          <w:sz w:val="24"/>
          <w:szCs w:val="24"/>
          <w:lang w:eastAsia="en-US"/>
        </w:rPr>
        <w:t xml:space="preserve">vía Sistema de Acceso a la Información Mexiquense (SAIMEX), </w:t>
      </w:r>
      <w:r w:rsidRPr="00AB4CD3">
        <w:rPr>
          <w:rFonts w:ascii="Palatino Linotype" w:eastAsiaTheme="minorHAnsi" w:hAnsi="Palatino Linotype" w:cstheme="minorBidi"/>
          <w:bCs/>
        </w:rPr>
        <w:t xml:space="preserve">en </w:t>
      </w:r>
      <w:r w:rsidRPr="00AB4CD3">
        <w:rPr>
          <w:rFonts w:ascii="Palatino Linotype" w:eastAsiaTheme="minorHAnsi" w:hAnsi="Palatino Linotype" w:cstheme="minorBidi"/>
          <w:bCs/>
          <w:sz w:val="24"/>
        </w:rPr>
        <w:t xml:space="preserve">términos del Considerando </w:t>
      </w:r>
      <w:r w:rsidRPr="00AB4CD3">
        <w:rPr>
          <w:rFonts w:ascii="Palatino Linotype" w:eastAsiaTheme="minorHAnsi" w:hAnsi="Palatino Linotype" w:cstheme="minorBidi"/>
          <w:b/>
          <w:bCs/>
          <w:sz w:val="24"/>
        </w:rPr>
        <w:t>CUARTO</w:t>
      </w:r>
      <w:r w:rsidRPr="00AB4CD3">
        <w:rPr>
          <w:rFonts w:ascii="Palatino Linotype" w:eastAsiaTheme="minorHAnsi" w:hAnsi="Palatino Linotype" w:cstheme="minorBidi"/>
          <w:bCs/>
          <w:sz w:val="24"/>
        </w:rPr>
        <w:t xml:space="preserve"> de esta resolución, </w:t>
      </w:r>
      <w:r w:rsidRPr="00AB4CD3">
        <w:rPr>
          <w:rFonts w:ascii="Palatino Linotype" w:eastAsiaTheme="minorHAnsi" w:hAnsi="Palatino Linotype" w:cs="Arial"/>
          <w:sz w:val="24"/>
          <w:lang w:eastAsia="en-US"/>
        </w:rPr>
        <w:t>haga entrega en versión pública, lo siguiente</w:t>
      </w:r>
      <w:r w:rsidRPr="00AB4CD3">
        <w:rPr>
          <w:rFonts w:ascii="Palatino Linotype" w:eastAsiaTheme="minorHAnsi" w:hAnsi="Palatino Linotype" w:cstheme="minorBidi"/>
          <w:bCs/>
          <w:sz w:val="24"/>
          <w:lang w:eastAsia="en-US"/>
        </w:rPr>
        <w:t>:</w:t>
      </w:r>
    </w:p>
    <w:p w:rsidR="00AF7AAE" w:rsidRPr="00AB4CD3" w:rsidRDefault="00AF7AAE" w:rsidP="00AF7AAE">
      <w:pPr>
        <w:tabs>
          <w:tab w:val="left" w:pos="8647"/>
        </w:tabs>
        <w:spacing w:after="0" w:line="360" w:lineRule="auto"/>
        <w:ind w:right="51"/>
        <w:jc w:val="both"/>
        <w:rPr>
          <w:rFonts w:ascii="Palatino Linotype" w:eastAsiaTheme="minorHAnsi" w:hAnsi="Palatino Linotype" w:cstheme="minorBidi"/>
          <w:bCs/>
          <w:lang w:eastAsia="en-US"/>
        </w:rPr>
      </w:pPr>
    </w:p>
    <w:p w:rsidR="00AF7AAE" w:rsidRPr="00AB4CD3" w:rsidRDefault="00D838FA" w:rsidP="00AF7AAE">
      <w:pPr>
        <w:pStyle w:val="Prrafodelista"/>
        <w:numPr>
          <w:ilvl w:val="0"/>
          <w:numId w:val="8"/>
        </w:numPr>
        <w:spacing w:line="360" w:lineRule="auto"/>
        <w:ind w:left="426"/>
        <w:jc w:val="both"/>
        <w:rPr>
          <w:rFonts w:ascii="Palatino Linotype" w:hAnsi="Palatino Linotype" w:cs="Arial"/>
        </w:rPr>
      </w:pPr>
      <w:r w:rsidRPr="00AB4CD3">
        <w:rPr>
          <w:rFonts w:ascii="Palatino Linotype" w:hAnsi="Palatino Linotype" w:cs="Arial"/>
        </w:rPr>
        <w:t>Oficios recibidos y emitidos por la Novena Regiduría, en el mes de octubre de 2025.</w:t>
      </w:r>
    </w:p>
    <w:p w:rsidR="00AF7AAE" w:rsidRPr="00AB4CD3" w:rsidRDefault="00AF7AAE" w:rsidP="00AF7AAE">
      <w:pPr>
        <w:spacing w:after="0" w:line="360" w:lineRule="auto"/>
        <w:ind w:left="720" w:right="567"/>
        <w:jc w:val="both"/>
        <w:rPr>
          <w:rFonts w:ascii="Palatino Linotype" w:eastAsiaTheme="minorHAnsi" w:hAnsi="Palatino Linotype" w:cstheme="minorBidi"/>
          <w:i/>
          <w:szCs w:val="14"/>
          <w:lang w:eastAsia="en-US"/>
        </w:rPr>
      </w:pPr>
    </w:p>
    <w:p w:rsidR="00AF7AAE" w:rsidRPr="00AB4CD3" w:rsidRDefault="00AF7AAE" w:rsidP="00AF7AAE">
      <w:pPr>
        <w:spacing w:after="0" w:line="360" w:lineRule="auto"/>
        <w:ind w:left="720" w:right="567"/>
        <w:jc w:val="both"/>
        <w:rPr>
          <w:rFonts w:ascii="Palatino Linotype" w:eastAsiaTheme="minorHAnsi" w:hAnsi="Palatino Linotype" w:cstheme="minorBidi"/>
          <w:i/>
          <w:szCs w:val="14"/>
          <w:lang w:eastAsia="en-US"/>
        </w:rPr>
      </w:pPr>
      <w:r w:rsidRPr="00AB4CD3">
        <w:rPr>
          <w:rFonts w:ascii="Palatino Linotype" w:eastAsiaTheme="minorHAnsi" w:hAnsi="Palatino Linotype" w:cstheme="minorBidi"/>
          <w:i/>
          <w:szCs w:val="14"/>
          <w:lang w:eastAsia="en-US"/>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w:t>
      </w:r>
      <w:r w:rsidRPr="00AB4CD3">
        <w:rPr>
          <w:rFonts w:ascii="Palatino Linotype" w:eastAsiaTheme="minorHAnsi" w:hAnsi="Palatino Linotype" w:cstheme="minorBidi"/>
          <w:i/>
          <w:szCs w:val="14"/>
          <w:lang w:eastAsia="en-US"/>
        </w:rPr>
        <w:lastRenderedPageBreak/>
        <w:t>motive las razones sobre los datos que se supriman o eliminen y se ponga a disposición del Recurrente.</w:t>
      </w:r>
    </w:p>
    <w:p w:rsidR="00D838FA" w:rsidRPr="00AB4CD3" w:rsidRDefault="00D838FA" w:rsidP="00D838FA">
      <w:pPr>
        <w:pStyle w:val="INFOEM"/>
        <w:spacing w:before="0" w:after="0"/>
        <w:ind w:left="720" w:right="567"/>
      </w:pPr>
      <w:r w:rsidRPr="00AB4CD3">
        <w:t xml:space="preserve">En el supuesto de que se hayan cancelado oficios, el área competente deberá de manifestarlo de manera precisa y clara. </w:t>
      </w:r>
    </w:p>
    <w:p w:rsidR="00AF7AAE" w:rsidRPr="00AB4CD3" w:rsidRDefault="00AF7AAE" w:rsidP="00AF7AAE">
      <w:pPr>
        <w:spacing w:after="0" w:line="360" w:lineRule="auto"/>
        <w:ind w:left="720" w:right="567"/>
        <w:jc w:val="both"/>
        <w:rPr>
          <w:rFonts w:ascii="Palatino Linotype" w:eastAsiaTheme="minorHAnsi" w:hAnsi="Palatino Linotype" w:cstheme="minorBidi"/>
          <w:i/>
          <w:szCs w:val="14"/>
          <w:lang w:eastAsia="en-US"/>
        </w:rPr>
      </w:pPr>
    </w:p>
    <w:p w:rsidR="00AF7AAE" w:rsidRPr="00AB4CD3" w:rsidRDefault="00AF7AAE" w:rsidP="00AF7AAE">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AF7AAE" w:rsidRPr="00AB4CD3" w:rsidRDefault="00AF7AAE" w:rsidP="00AF7AAE">
      <w:pPr>
        <w:tabs>
          <w:tab w:val="left" w:pos="8647"/>
        </w:tabs>
        <w:spacing w:after="0" w:line="360" w:lineRule="auto"/>
        <w:ind w:right="51"/>
        <w:jc w:val="both"/>
        <w:rPr>
          <w:rFonts w:ascii="Palatino Linotype" w:eastAsiaTheme="minorHAnsi" w:hAnsi="Palatino Linotype" w:cs="Arial"/>
          <w:sz w:val="24"/>
          <w:szCs w:val="24"/>
          <w:lang w:eastAsia="en-US"/>
        </w:rPr>
      </w:pPr>
      <w:r w:rsidRPr="00AB4CD3">
        <w:rPr>
          <w:rFonts w:ascii="Palatino Linotype" w:eastAsiaTheme="minorHAnsi" w:hAnsi="Palatino Linotype" w:cs="Arial"/>
          <w:b/>
          <w:sz w:val="28"/>
          <w:szCs w:val="24"/>
          <w:lang w:eastAsia="en-US"/>
        </w:rPr>
        <w:t>TERCERO</w:t>
      </w:r>
      <w:r w:rsidRPr="00AB4CD3">
        <w:rPr>
          <w:rFonts w:ascii="Palatino Linotype" w:eastAsiaTheme="minorHAnsi" w:hAnsi="Palatino Linotype" w:cs="Arial"/>
          <w:b/>
          <w:sz w:val="24"/>
          <w:szCs w:val="24"/>
          <w:lang w:eastAsia="en-US"/>
        </w:rPr>
        <w:t>.</w:t>
      </w:r>
      <w:r w:rsidRPr="00AB4CD3">
        <w:rPr>
          <w:rFonts w:ascii="Palatino Linotype" w:eastAsiaTheme="minorHAnsi" w:hAnsi="Palatino Linotype" w:cs="Arial"/>
          <w:sz w:val="24"/>
          <w:szCs w:val="24"/>
          <w:lang w:eastAsia="en-US"/>
        </w:rPr>
        <w:t xml:space="preserve"> </w:t>
      </w:r>
      <w:r w:rsidRPr="00AB4CD3">
        <w:rPr>
          <w:rFonts w:ascii="Palatino Linotype" w:eastAsiaTheme="minorHAnsi" w:hAnsi="Palatino Linotype" w:cs="Arial"/>
          <w:b/>
          <w:sz w:val="24"/>
          <w:szCs w:val="24"/>
          <w:lang w:eastAsia="en-US"/>
        </w:rPr>
        <w:t>Notifíquese</w:t>
      </w:r>
      <w:r w:rsidRPr="00AB4CD3">
        <w:rPr>
          <w:rFonts w:ascii="Palatino Linotype" w:eastAsia="Times New Roman" w:hAnsi="Palatino Linotype" w:cs="Arial"/>
          <w:sz w:val="24"/>
          <w:szCs w:val="24"/>
          <w:lang w:val="es-ES" w:eastAsia="es-ES"/>
        </w:rPr>
        <w:t xml:space="preserve"> a través del SAIMEX,</w:t>
      </w:r>
      <w:r w:rsidRPr="00AB4CD3">
        <w:rPr>
          <w:rFonts w:ascii="Palatino Linotype" w:eastAsiaTheme="minorHAnsi" w:hAnsi="Palatino Linotype" w:cs="Arial"/>
          <w:b/>
          <w:i/>
          <w:sz w:val="24"/>
          <w:szCs w:val="24"/>
          <w:lang w:eastAsia="en-US"/>
        </w:rPr>
        <w:t xml:space="preserve"> </w:t>
      </w:r>
      <w:r w:rsidRPr="00AB4CD3">
        <w:rPr>
          <w:rFonts w:ascii="Palatino Linotype" w:eastAsiaTheme="minorHAnsi" w:hAnsi="Palatino Linotype" w:cs="Arial"/>
          <w:sz w:val="24"/>
          <w:szCs w:val="24"/>
          <w:lang w:eastAsia="en-US"/>
        </w:rPr>
        <w:t>al Titular de la Unidad de Transparencia del</w:t>
      </w:r>
      <w:r w:rsidRPr="00AB4CD3">
        <w:rPr>
          <w:rFonts w:ascii="Palatino Linotype" w:eastAsiaTheme="minorHAnsi" w:hAnsi="Palatino Linotype" w:cs="Arial"/>
          <w:b/>
          <w:sz w:val="24"/>
          <w:szCs w:val="24"/>
          <w:lang w:eastAsia="en-US"/>
        </w:rPr>
        <w:t xml:space="preserve"> Sujeto Obligado</w:t>
      </w:r>
      <w:r w:rsidRPr="00AB4CD3">
        <w:rPr>
          <w:rFonts w:ascii="Palatino Linotype" w:eastAsiaTheme="minorHAnsi" w:hAnsi="Palatino Linotype" w:cs="Arial"/>
          <w:sz w:val="24"/>
          <w:szCs w:val="24"/>
          <w:lang w:eastAsia="en-US"/>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AB4CD3">
        <w:rPr>
          <w:rFonts w:ascii="Palatino Linotype" w:eastAsiaTheme="minorHAnsi" w:hAnsi="Palatino Linotype" w:cs="Arial"/>
          <w:b/>
          <w:sz w:val="24"/>
          <w:szCs w:val="32"/>
          <w:lang w:val="es-ES_tradnl" w:eastAsia="en-US"/>
        </w:rPr>
        <w:t>y</w:t>
      </w:r>
      <w:r w:rsidRPr="00AB4CD3">
        <w:rPr>
          <w:rFonts w:ascii="Palatino Linotype" w:eastAsiaTheme="minorHAnsi" w:hAnsi="Palatino Linotype" w:cs="Arial"/>
          <w:sz w:val="24"/>
          <w:szCs w:val="32"/>
          <w:lang w:val="es-ES_tradnl" w:eastAsia="en-US"/>
        </w:rPr>
        <w:t xml:space="preserve"> </w:t>
      </w:r>
      <w:r w:rsidRPr="00AB4CD3">
        <w:rPr>
          <w:rFonts w:ascii="Palatino Linotype" w:eastAsia="Palatino Linotype" w:hAnsi="Palatino Linotype" w:cs="Palatino Linotype"/>
          <w:b/>
          <w:color w:val="000000"/>
          <w:sz w:val="24"/>
          <w:lang w:val="es-ES_tradnl" w:eastAsia="en-US"/>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F7AAE" w:rsidRPr="00AB4CD3" w:rsidRDefault="00AF7AAE" w:rsidP="00AF7AAE">
      <w:pPr>
        <w:tabs>
          <w:tab w:val="left" w:pos="8647"/>
        </w:tabs>
        <w:spacing w:after="0" w:line="360" w:lineRule="auto"/>
        <w:ind w:right="51"/>
        <w:jc w:val="both"/>
        <w:rPr>
          <w:rFonts w:ascii="Palatino Linotype" w:eastAsiaTheme="minorHAnsi" w:hAnsi="Palatino Linotype" w:cs="Arial"/>
          <w:sz w:val="24"/>
          <w:szCs w:val="24"/>
          <w:lang w:eastAsia="en-US"/>
        </w:rPr>
      </w:pPr>
    </w:p>
    <w:p w:rsidR="00AF7AAE" w:rsidRPr="00AB4CD3" w:rsidRDefault="00AF7AAE" w:rsidP="00AF7AAE">
      <w:pPr>
        <w:spacing w:after="0" w:line="360" w:lineRule="auto"/>
        <w:jc w:val="both"/>
        <w:rPr>
          <w:rFonts w:ascii="Palatino Linotype" w:eastAsia="Times New Roman" w:hAnsi="Palatino Linotype" w:cs="Arial"/>
          <w:sz w:val="24"/>
          <w:szCs w:val="24"/>
          <w:lang w:val="es-ES" w:eastAsia="es-ES"/>
        </w:rPr>
      </w:pPr>
      <w:r w:rsidRPr="00AB4CD3">
        <w:rPr>
          <w:rFonts w:ascii="Palatino Linotype" w:eastAsia="Times New Roman" w:hAnsi="Palatino Linotype" w:cs="Arial"/>
          <w:b/>
          <w:sz w:val="28"/>
          <w:szCs w:val="24"/>
          <w:lang w:val="es-ES" w:eastAsia="es-ES"/>
        </w:rPr>
        <w:t>CUARTO</w:t>
      </w:r>
      <w:r w:rsidRPr="00AB4CD3">
        <w:rPr>
          <w:rFonts w:ascii="Palatino Linotype" w:eastAsia="Times New Roman" w:hAnsi="Palatino Linotype" w:cs="Arial"/>
          <w:b/>
          <w:sz w:val="24"/>
          <w:szCs w:val="24"/>
          <w:lang w:val="es-ES" w:eastAsia="es-ES"/>
        </w:rPr>
        <w:t>. Notifíquese</w:t>
      </w:r>
      <w:r w:rsidRPr="00AB4CD3">
        <w:rPr>
          <w:rFonts w:ascii="Palatino Linotype" w:eastAsia="Times New Roman" w:hAnsi="Palatino Linotype" w:cs="Arial"/>
          <w:sz w:val="24"/>
          <w:szCs w:val="24"/>
          <w:lang w:val="es-ES" w:eastAsia="es-ES"/>
        </w:rPr>
        <w:t xml:space="preserve"> </w:t>
      </w:r>
      <w:r w:rsidRPr="00AB4CD3">
        <w:rPr>
          <w:rFonts w:ascii="Palatino Linotype" w:eastAsia="Times New Roman" w:hAnsi="Palatino Linotype" w:cs="Arial"/>
          <w:b/>
          <w:sz w:val="24"/>
          <w:szCs w:val="24"/>
          <w:lang w:val="es-ES" w:eastAsia="es-ES"/>
        </w:rPr>
        <w:t>a la Recurrente</w:t>
      </w:r>
      <w:r w:rsidRPr="00AB4CD3">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AF7AAE" w:rsidRPr="00AB4CD3" w:rsidRDefault="00AF7AAE" w:rsidP="00AF7AAE">
      <w:pPr>
        <w:spacing w:after="0" w:line="360" w:lineRule="auto"/>
        <w:jc w:val="both"/>
        <w:rPr>
          <w:rFonts w:ascii="Palatino Linotype" w:eastAsiaTheme="minorHAnsi" w:hAnsi="Palatino Linotype" w:cstheme="minorBidi"/>
          <w:sz w:val="24"/>
          <w:szCs w:val="24"/>
          <w:lang w:eastAsia="es-ES_tradnl"/>
        </w:rPr>
      </w:pPr>
    </w:p>
    <w:p w:rsidR="00AF7AAE" w:rsidRPr="00AB4CD3" w:rsidRDefault="00AF7AAE" w:rsidP="00AF7AAE">
      <w:pPr>
        <w:spacing w:after="0" w:line="360" w:lineRule="auto"/>
        <w:jc w:val="both"/>
        <w:rPr>
          <w:rFonts w:ascii="Palatino Linotype" w:eastAsiaTheme="minorHAnsi" w:hAnsi="Palatino Linotype" w:cs="Times New Roman"/>
          <w:sz w:val="24"/>
          <w:szCs w:val="24"/>
          <w:lang w:eastAsia="es-ES_tradnl"/>
        </w:rPr>
      </w:pPr>
      <w:r w:rsidRPr="00AB4CD3">
        <w:rPr>
          <w:rFonts w:ascii="Palatino Linotype" w:eastAsiaTheme="minorHAnsi" w:hAnsi="Palatino Linotype" w:cs="Times New Roman"/>
          <w:b/>
          <w:sz w:val="28"/>
          <w:szCs w:val="24"/>
          <w:lang w:eastAsia="es-ES_tradnl"/>
        </w:rPr>
        <w:lastRenderedPageBreak/>
        <w:t>QUINTO</w:t>
      </w:r>
      <w:r w:rsidRPr="00AB4CD3">
        <w:rPr>
          <w:rFonts w:ascii="Palatino Linotype" w:eastAsiaTheme="minorHAnsi" w:hAnsi="Palatino Linotype" w:cs="Times New Roman"/>
          <w:b/>
          <w:sz w:val="24"/>
          <w:szCs w:val="24"/>
          <w:lang w:eastAsia="es-ES_tradnl"/>
        </w:rPr>
        <w:t>.</w:t>
      </w:r>
      <w:r w:rsidRPr="00AB4CD3">
        <w:rPr>
          <w:rFonts w:ascii="Palatino Linotype" w:eastAsiaTheme="minorHAnsi" w:hAnsi="Palatino Linotype" w:cs="Times New Roman"/>
          <w:sz w:val="24"/>
          <w:szCs w:val="24"/>
          <w:lang w:eastAsia="es-ES_tradnl"/>
        </w:rPr>
        <w:t xml:space="preserve"> </w:t>
      </w:r>
      <w:r w:rsidRPr="00AB4CD3">
        <w:rPr>
          <w:rFonts w:ascii="Palatino Linotype" w:eastAsiaTheme="minorHAnsi" w:hAnsi="Palatino Linotype" w:cs="Times New Roman"/>
          <w:b/>
          <w:sz w:val="24"/>
          <w:szCs w:val="24"/>
          <w:lang w:eastAsia="es-ES_tradnl"/>
        </w:rPr>
        <w:t>Notifíquese</w:t>
      </w:r>
      <w:r w:rsidRPr="00AB4CD3">
        <w:rPr>
          <w:rFonts w:ascii="Palatino Linotype" w:eastAsiaTheme="minorHAnsi" w:hAnsi="Palatino Linotype" w:cs="Times New Roman"/>
          <w:sz w:val="24"/>
          <w:szCs w:val="24"/>
          <w:lang w:eastAsia="es-ES_tradnl"/>
        </w:rPr>
        <w:t xml:space="preserve"> al </w:t>
      </w:r>
      <w:r w:rsidRPr="00AB4CD3">
        <w:rPr>
          <w:rFonts w:ascii="Palatino Linotype" w:eastAsiaTheme="minorHAnsi" w:hAnsi="Palatino Linotype" w:cs="Times New Roman"/>
          <w:b/>
          <w:sz w:val="24"/>
          <w:szCs w:val="24"/>
          <w:lang w:eastAsia="es-ES_tradnl"/>
        </w:rPr>
        <w:t>Recurrente</w:t>
      </w:r>
      <w:r w:rsidRPr="00AB4CD3">
        <w:rPr>
          <w:rFonts w:ascii="Palatino Linotype" w:eastAsiaTheme="minorHAns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AB4CD3">
        <w:rPr>
          <w:rFonts w:ascii="Palatino Linotype" w:eastAsiaTheme="minorHAnsi" w:hAnsi="Palatino Linotype" w:cs="Times New Roman"/>
          <w:b/>
          <w:sz w:val="24"/>
          <w:szCs w:val="24"/>
          <w:lang w:eastAsia="es-ES_tradnl"/>
        </w:rPr>
        <w:t>Sujeto Obligado</w:t>
      </w:r>
      <w:r w:rsidRPr="00AB4CD3">
        <w:rPr>
          <w:rFonts w:ascii="Palatino Linotype" w:eastAsiaTheme="minorHAnsi" w:hAnsi="Palatino Linotype" w:cs="Times New Roman"/>
          <w:sz w:val="24"/>
          <w:szCs w:val="24"/>
          <w:lang w:eastAsia="es-ES_tradnl"/>
        </w:rPr>
        <w:t>, en cumplimiento a esta Resolución.</w:t>
      </w:r>
    </w:p>
    <w:p w:rsidR="00AF7AAE" w:rsidRPr="00AB4CD3" w:rsidRDefault="00AF7AAE" w:rsidP="00AF7AAE">
      <w:pPr>
        <w:spacing w:after="0" w:line="360" w:lineRule="auto"/>
        <w:jc w:val="both"/>
        <w:rPr>
          <w:rFonts w:ascii="Palatino Linotype" w:eastAsiaTheme="minorHAnsi" w:hAnsi="Palatino Linotype" w:cs="Times New Roman"/>
          <w:sz w:val="24"/>
          <w:szCs w:val="24"/>
          <w:lang w:eastAsia="es-ES_tradnl"/>
        </w:rPr>
      </w:pPr>
    </w:p>
    <w:p w:rsidR="00AF7AAE" w:rsidRPr="00AB4CD3" w:rsidRDefault="00AF7AAE" w:rsidP="00AF7AAE">
      <w:pPr>
        <w:spacing w:after="0" w:line="360" w:lineRule="auto"/>
        <w:jc w:val="both"/>
        <w:rPr>
          <w:rFonts w:ascii="Palatino Linotype" w:eastAsiaTheme="minorHAnsi" w:hAnsi="Palatino Linotype" w:cstheme="minorBidi"/>
          <w:sz w:val="24"/>
          <w:szCs w:val="24"/>
          <w:lang w:eastAsia="es-ES_tradnl"/>
        </w:rPr>
      </w:pPr>
      <w:r w:rsidRPr="00AB4CD3">
        <w:rPr>
          <w:rFonts w:ascii="Palatino Linotype" w:eastAsiaTheme="minorHAnsi" w:hAnsi="Palatino Linotype" w:cs="Times New Roman"/>
          <w:b/>
          <w:sz w:val="28"/>
          <w:szCs w:val="24"/>
          <w:lang w:eastAsia="es-ES_tradnl"/>
        </w:rPr>
        <w:t>SEXTO</w:t>
      </w:r>
      <w:r w:rsidRPr="00AB4CD3">
        <w:rPr>
          <w:rFonts w:ascii="Palatino Linotype" w:eastAsiaTheme="minorHAnsi" w:hAnsi="Palatino Linotype" w:cs="Times New Roman"/>
          <w:b/>
          <w:sz w:val="24"/>
          <w:szCs w:val="24"/>
          <w:lang w:eastAsia="es-ES_tradnl"/>
        </w:rPr>
        <w:t xml:space="preserve">. - </w:t>
      </w:r>
      <w:r w:rsidRPr="00AB4CD3">
        <w:rPr>
          <w:rFonts w:ascii="Palatino Linotype" w:eastAsiaTheme="minorHAnsi" w:hAnsi="Palatino Linotype" w:cstheme="minorBidi"/>
          <w:b/>
          <w:sz w:val="24"/>
          <w:szCs w:val="24"/>
          <w:lang w:eastAsia="es-ES_tradnl"/>
        </w:rPr>
        <w:t xml:space="preserve">Gírese </w:t>
      </w:r>
      <w:r w:rsidRPr="00AB4CD3">
        <w:rPr>
          <w:rFonts w:ascii="Palatino Linotype" w:eastAsiaTheme="minorHAnsi" w:hAnsi="Palatino Linotype" w:cstheme="minorBid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AB4CD3">
        <w:rPr>
          <w:rFonts w:ascii="Palatino Linotype" w:eastAsiaTheme="minorHAnsi" w:hAnsi="Palatino Linotype" w:cstheme="minorBidi"/>
          <w:b/>
          <w:bCs/>
          <w:sz w:val="24"/>
          <w:szCs w:val="24"/>
          <w:lang w:eastAsia="es-ES_tradnl"/>
        </w:rPr>
        <w:t>CUARTO</w:t>
      </w:r>
      <w:r w:rsidRPr="00AB4CD3">
        <w:rPr>
          <w:rFonts w:ascii="Palatino Linotype" w:eastAsiaTheme="minorHAnsi" w:hAnsi="Palatino Linotype" w:cstheme="minorBidi"/>
          <w:sz w:val="24"/>
          <w:szCs w:val="24"/>
          <w:lang w:eastAsia="es-ES_tradnl"/>
        </w:rPr>
        <w:t xml:space="preserve"> de la presente resolución.</w:t>
      </w:r>
    </w:p>
    <w:p w:rsidR="00AF7AAE" w:rsidRPr="00AB4CD3" w:rsidRDefault="00AF7AAE" w:rsidP="00AF7AAE">
      <w:pPr>
        <w:spacing w:after="0" w:line="360" w:lineRule="auto"/>
        <w:jc w:val="both"/>
        <w:rPr>
          <w:rFonts w:ascii="Palatino Linotype" w:eastAsia="Palatino Linotype" w:hAnsi="Palatino Linotype" w:cs="Palatino Linotype"/>
          <w:sz w:val="24"/>
          <w:szCs w:val="24"/>
        </w:rPr>
      </w:pPr>
    </w:p>
    <w:p w:rsidR="00AF7AAE" w:rsidRPr="00AB4CD3" w:rsidRDefault="00AB4CD3" w:rsidP="00AF7AAE">
      <w:pPr>
        <w:spacing w:after="0" w:line="360" w:lineRule="auto"/>
        <w:jc w:val="both"/>
        <w:rPr>
          <w:rFonts w:ascii="Palatino Linotype" w:eastAsia="Palatino Linotype" w:hAnsi="Palatino Linotype" w:cs="Palatino Linotype"/>
          <w:sz w:val="24"/>
          <w:szCs w:val="24"/>
        </w:rPr>
      </w:pPr>
      <w:r w:rsidRPr="00AB4CD3">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AF7AAE" w:rsidRPr="00AB4CD3">
        <w:rPr>
          <w:rFonts w:ascii="Palatino Linotype" w:eastAsia="Palatino Linotype" w:hAnsi="Palatino Linotype" w:cs="Palatino Linotype"/>
          <w:sz w:val="24"/>
          <w:szCs w:val="24"/>
        </w:rPr>
        <w:t>. ------------------------------------------------------------------------------------------------------------------------------------------------------------------------------------------------------------------------------------------------------------------------------------------------------------------------------------</w:t>
      </w:r>
    </w:p>
    <w:p w:rsidR="00AF7AAE" w:rsidRPr="00D2150D" w:rsidRDefault="00AF7AAE" w:rsidP="00AF7AAE">
      <w:pPr>
        <w:spacing w:after="0" w:line="360" w:lineRule="auto"/>
        <w:jc w:val="both"/>
        <w:rPr>
          <w:rFonts w:ascii="Palatino Linotype" w:eastAsia="Palatino Linotype" w:hAnsi="Palatino Linotype" w:cs="Palatino Linotype"/>
          <w:sz w:val="16"/>
          <w:szCs w:val="20"/>
        </w:rPr>
      </w:pPr>
      <w:r w:rsidRPr="00AB4CD3">
        <w:rPr>
          <w:rFonts w:ascii="Palatino Linotype" w:eastAsia="Palatino Linotype" w:hAnsi="Palatino Linotype" w:cs="Palatino Linotype"/>
          <w:sz w:val="16"/>
          <w:szCs w:val="20"/>
        </w:rPr>
        <w:t>JMV/CCR/LMST</w:t>
      </w:r>
    </w:p>
    <w:p w:rsidR="00AF7AAE" w:rsidRDefault="00AF7AAE" w:rsidP="00AF7AAE">
      <w:pPr>
        <w:spacing w:after="0" w:line="360" w:lineRule="auto"/>
        <w:jc w:val="both"/>
        <w:rPr>
          <w:rFonts w:ascii="Palatino Linotype" w:eastAsia="Palatino Linotype" w:hAnsi="Palatino Linotype" w:cs="Palatino Linotype"/>
          <w:sz w:val="24"/>
          <w:szCs w:val="24"/>
        </w:rPr>
      </w:pPr>
    </w:p>
    <w:p w:rsidR="00AF7AAE" w:rsidRDefault="00AF7AAE" w:rsidP="00AF7AAE">
      <w:pPr>
        <w:spacing w:after="0" w:line="360" w:lineRule="auto"/>
        <w:jc w:val="both"/>
        <w:rPr>
          <w:rFonts w:ascii="Palatino Linotype" w:eastAsia="Palatino Linotype" w:hAnsi="Palatino Linotype" w:cs="Palatino Linotype"/>
          <w:sz w:val="24"/>
          <w:szCs w:val="24"/>
        </w:rPr>
      </w:pPr>
    </w:p>
    <w:p w:rsidR="00AF7AAE" w:rsidRDefault="00AF7AAE" w:rsidP="00AF7AAE">
      <w:pPr>
        <w:spacing w:after="0" w:line="360" w:lineRule="auto"/>
        <w:jc w:val="both"/>
        <w:rPr>
          <w:rFonts w:ascii="Palatino Linotype" w:eastAsia="Palatino Linotype" w:hAnsi="Palatino Linotype" w:cs="Palatino Linotype"/>
          <w:sz w:val="24"/>
          <w:szCs w:val="24"/>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rPr>
          <w:rFonts w:ascii="Palatino Linotype" w:eastAsia="Palatino Linotype" w:hAnsi="Palatino Linotype" w:cs="Palatino Linotype"/>
        </w:rPr>
      </w:pPr>
    </w:p>
    <w:p w:rsidR="00AF7AAE" w:rsidRDefault="00AF7AAE" w:rsidP="00AF7AAE">
      <w:pPr>
        <w:spacing w:after="0"/>
      </w:pPr>
    </w:p>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AF7AAE" w:rsidRDefault="00AF7AAE" w:rsidP="00AF7AAE"/>
    <w:p w:rsidR="002B146C" w:rsidRDefault="002B146C"/>
    <w:sectPr w:rsidR="002B146C">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588" w:rsidRDefault="00300588" w:rsidP="00AF7AAE">
      <w:pPr>
        <w:spacing w:after="0" w:line="240" w:lineRule="auto"/>
      </w:pPr>
      <w:r>
        <w:separator/>
      </w:r>
    </w:p>
  </w:endnote>
  <w:endnote w:type="continuationSeparator" w:id="0">
    <w:p w:rsidR="00300588" w:rsidRDefault="00300588" w:rsidP="00AF7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223" w:rsidRDefault="00EF6223">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CD6F66">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CD6F66">
      <w:rPr>
        <w:rFonts w:ascii="Palatino Linotype" w:eastAsia="Palatino Linotype" w:hAnsi="Palatino Linotype" w:cs="Palatino Linotype"/>
        <w:noProof/>
        <w:color w:val="000000"/>
        <w:sz w:val="20"/>
        <w:szCs w:val="20"/>
      </w:rPr>
      <w:t>25</w:t>
    </w:r>
    <w:r>
      <w:rPr>
        <w:rFonts w:ascii="Palatino Linotype" w:eastAsia="Palatino Linotype" w:hAnsi="Palatino Linotype" w:cs="Palatino Linotype"/>
        <w:color w:val="000000"/>
        <w:sz w:val="20"/>
        <w:szCs w:val="20"/>
      </w:rPr>
      <w:fldChar w:fldCharType="end"/>
    </w:r>
  </w:p>
  <w:p w:rsidR="00EF6223" w:rsidRDefault="00EF622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223" w:rsidRDefault="00EF6223">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CD6F66">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CD6F66">
      <w:rPr>
        <w:rFonts w:ascii="Palatino Linotype" w:eastAsia="Palatino Linotype" w:hAnsi="Palatino Linotype" w:cs="Palatino Linotype"/>
        <w:noProof/>
        <w:color w:val="000000"/>
        <w:sz w:val="20"/>
        <w:szCs w:val="20"/>
      </w:rPr>
      <w:t>25</w:t>
    </w:r>
    <w:r>
      <w:rPr>
        <w:rFonts w:ascii="Palatino Linotype" w:eastAsia="Palatino Linotype" w:hAnsi="Palatino Linotype" w:cs="Palatino Linotype"/>
        <w:color w:val="000000"/>
        <w:sz w:val="20"/>
        <w:szCs w:val="20"/>
      </w:rPr>
      <w:fldChar w:fldCharType="end"/>
    </w:r>
  </w:p>
  <w:p w:rsidR="00EF6223" w:rsidRDefault="00EF622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588" w:rsidRDefault="00300588" w:rsidP="00AF7AAE">
      <w:pPr>
        <w:spacing w:after="0" w:line="240" w:lineRule="auto"/>
      </w:pPr>
      <w:r>
        <w:separator/>
      </w:r>
    </w:p>
  </w:footnote>
  <w:footnote w:type="continuationSeparator" w:id="0">
    <w:p w:rsidR="00300588" w:rsidRDefault="00300588" w:rsidP="00AF7AAE">
      <w:pPr>
        <w:spacing w:after="0" w:line="240" w:lineRule="auto"/>
      </w:pPr>
      <w:r>
        <w:continuationSeparator/>
      </w:r>
    </w:p>
  </w:footnote>
  <w:footnote w:id="1">
    <w:p w:rsidR="00EF6223" w:rsidRPr="00946E1F" w:rsidRDefault="00EF6223" w:rsidP="00AF7AAE">
      <w:pPr>
        <w:spacing w:line="240" w:lineRule="auto"/>
        <w:jc w:val="both"/>
        <w:rPr>
          <w:rFonts w:ascii="Palatino Linotype" w:hAnsi="Palatino Linotype"/>
          <w:i/>
          <w:sz w:val="20"/>
          <w:szCs w:val="20"/>
        </w:rPr>
      </w:pPr>
      <w:r>
        <w:rPr>
          <w:rStyle w:val="Refdenotaalpie"/>
          <w:rFonts w:eastAsiaTheme="minorEastAsia"/>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r>
        <w:rPr>
          <w:rFonts w:ascii="Palatino Linotype" w:hAnsi="Palatino Linotype"/>
          <w:b/>
          <w:bCs/>
          <w:i/>
          <w:sz w:val="20"/>
          <w:szCs w:val="20"/>
        </w:rPr>
        <w:t xml:space="preserve"> </w:t>
      </w:r>
      <w:r w:rsidRPr="00946E1F">
        <w:rPr>
          <w:rFonts w:ascii="Palatino Linotype" w:hAnsi="Palatino Linotype"/>
          <w:i/>
          <w:sz w:val="20"/>
          <w:szCs w:val="20"/>
        </w:rPr>
        <w:t>Del examen de compatibilidad de los artículos</w:t>
      </w:r>
      <w:r>
        <w:rPr>
          <w:rFonts w:ascii="Palatino Linotype" w:hAnsi="Palatino Linotype"/>
          <w:i/>
          <w:sz w:val="20"/>
          <w:szCs w:val="20"/>
        </w:rPr>
        <w:t xml:space="preserve"> </w:t>
      </w:r>
      <w:hyperlink r:id="rId1" w:history="1">
        <w:r w:rsidRPr="00946E1F">
          <w:rPr>
            <w:rStyle w:val="Hipervnculo"/>
            <w:rFonts w:ascii="Palatino Linotype" w:hAnsi="Palatino Linotype"/>
            <w:i/>
            <w:sz w:val="20"/>
            <w:szCs w:val="20"/>
          </w:rPr>
          <w:t>73 y 74 de la Ley de Amparo</w:t>
        </w:r>
      </w:hyperlink>
      <w:r>
        <w:rPr>
          <w:rStyle w:val="apple-converted-space"/>
          <w:rFonts w:ascii="Palatino Linotype" w:hAnsi="Palatino Linotype"/>
          <w:i/>
        </w:rPr>
        <w:t xml:space="preserve"> </w:t>
      </w:r>
      <w:r w:rsidRPr="00946E1F">
        <w:rPr>
          <w:rFonts w:ascii="Palatino Linotype" w:hAnsi="Palatino Linotype"/>
          <w:i/>
          <w:sz w:val="20"/>
          <w:szCs w:val="20"/>
        </w:rPr>
        <w:t>con el artículo</w:t>
      </w:r>
      <w:r>
        <w:rPr>
          <w:rFonts w:ascii="Palatino Linotype" w:hAnsi="Palatino Linotype"/>
          <w:i/>
          <w:sz w:val="20"/>
          <w:szCs w:val="20"/>
        </w:rPr>
        <w:t xml:space="preserve"> </w:t>
      </w:r>
      <w:hyperlink r:id="rId2" w:history="1">
        <w:r w:rsidRPr="00946E1F">
          <w:rPr>
            <w:rStyle w:val="Hipervnculo"/>
            <w:rFonts w:ascii="Palatino Linotype" w:hAnsi="Palatino Linotype"/>
            <w:i/>
            <w:sz w:val="20"/>
            <w:szCs w:val="20"/>
          </w:rPr>
          <w:t>25.1 de la Convención Americana sobre Derechos Humanos</w:t>
        </w:r>
      </w:hyperlink>
      <w:r>
        <w:rPr>
          <w:rStyle w:val="apple-converted-space"/>
          <w:rFonts w:ascii="Palatino Linotype" w:hAnsi="Palatino Linotype"/>
          <w:i/>
        </w:rPr>
        <w:t xml:space="preserve">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223" w:rsidRDefault="00EF6223">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EF6223">
      <w:trPr>
        <w:trHeight w:val="227"/>
      </w:trPr>
      <w:tc>
        <w:tcPr>
          <w:tcW w:w="5246" w:type="dxa"/>
        </w:tcPr>
        <w:p w:rsidR="00EF6223" w:rsidRDefault="00EF6223">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Recurso de Revisión N°:</w:t>
          </w:r>
        </w:p>
      </w:tc>
      <w:tc>
        <w:tcPr>
          <w:tcW w:w="4819" w:type="dxa"/>
        </w:tcPr>
        <w:p w:rsidR="00EF6223" w:rsidRDefault="00EF6223" w:rsidP="00AF7AAE">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01315/INFOEM/IP/RR/2026</w:t>
          </w:r>
        </w:p>
      </w:tc>
    </w:tr>
    <w:tr w:rsidR="00EF6223">
      <w:trPr>
        <w:trHeight w:val="242"/>
      </w:trPr>
      <w:tc>
        <w:tcPr>
          <w:tcW w:w="5246" w:type="dxa"/>
        </w:tcPr>
        <w:p w:rsidR="00EF6223" w:rsidRDefault="00EF6223">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EF6223" w:rsidRDefault="00EF6223">
          <w:pPr>
            <w:spacing w:after="120" w:line="256" w:lineRule="auto"/>
            <w:ind w:left="-486" w:right="214" w:firstLine="284"/>
            <w:jc w:val="right"/>
            <w:rPr>
              <w:rFonts w:ascii="Palatino Linotype" w:eastAsia="Palatino Linotype" w:hAnsi="Palatino Linotype" w:cs="Palatino Linotype"/>
              <w:b/>
              <w:sz w:val="24"/>
              <w:szCs w:val="24"/>
            </w:rPr>
          </w:pPr>
          <w:r w:rsidRPr="00AF7AAE">
            <w:rPr>
              <w:rFonts w:ascii="Palatino Linotype" w:eastAsia="Palatino Linotype" w:hAnsi="Palatino Linotype" w:cs="Palatino Linotype"/>
              <w:b/>
              <w:color w:val="000000"/>
              <w:sz w:val="24"/>
              <w:szCs w:val="24"/>
            </w:rPr>
            <w:t>Ayuntamiento de Toluca</w:t>
          </w:r>
        </w:p>
      </w:tc>
    </w:tr>
    <w:tr w:rsidR="00EF6223">
      <w:trPr>
        <w:trHeight w:val="342"/>
      </w:trPr>
      <w:tc>
        <w:tcPr>
          <w:tcW w:w="5246" w:type="dxa"/>
        </w:tcPr>
        <w:p w:rsidR="00EF6223" w:rsidRDefault="00EF6223">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EF6223" w:rsidRDefault="00EF6223">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EF6223" w:rsidRDefault="00EF622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53197890" wp14:editId="13331F2E">
          <wp:simplePos x="0" y="0"/>
          <wp:positionH relativeFrom="page">
            <wp:align>center</wp:align>
          </wp:positionH>
          <wp:positionV relativeFrom="margin">
            <wp:posOffset>-1379219</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223" w:rsidRDefault="00EF6223">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W w:w="9923" w:type="dxa"/>
      <w:tblInd w:w="-851" w:type="dxa"/>
      <w:tblLayout w:type="fixed"/>
      <w:tblLook w:val="0400" w:firstRow="0" w:lastRow="0" w:firstColumn="0" w:lastColumn="0" w:noHBand="0" w:noVBand="1"/>
    </w:tblPr>
    <w:tblGrid>
      <w:gridCol w:w="5104"/>
      <w:gridCol w:w="4819"/>
    </w:tblGrid>
    <w:tr w:rsidR="00EF6223">
      <w:trPr>
        <w:trHeight w:val="227"/>
      </w:trPr>
      <w:tc>
        <w:tcPr>
          <w:tcW w:w="5104" w:type="dxa"/>
        </w:tcPr>
        <w:p w:rsidR="00EF6223" w:rsidRDefault="00EF6223">
          <w:pPr>
            <w:spacing w:after="120" w:line="256" w:lineRule="auto"/>
            <w:ind w:right="204"/>
            <w:jc w:val="right"/>
            <w:rPr>
              <w:rFonts w:ascii="Palatino Linotype" w:eastAsia="Palatino Linotype" w:hAnsi="Palatino Linotype" w:cs="Palatino Linotype"/>
            </w:rPr>
          </w:pPr>
          <w:bookmarkStart w:id="1" w:name="_30j0zll" w:colFirst="0" w:colLast="0"/>
          <w:bookmarkEnd w:id="1"/>
          <w:r>
            <w:rPr>
              <w:rFonts w:ascii="Palatino Linotype" w:eastAsia="Palatino Linotype" w:hAnsi="Palatino Linotype" w:cs="Palatino Linotype"/>
            </w:rPr>
            <w:t>Recurso de Revisión N°:</w:t>
          </w:r>
        </w:p>
      </w:tc>
      <w:tc>
        <w:tcPr>
          <w:tcW w:w="4819" w:type="dxa"/>
        </w:tcPr>
        <w:p w:rsidR="00EF6223" w:rsidRDefault="00EF6223" w:rsidP="00AF7AAE">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01315/INFOEM/IP/RR/2026</w:t>
          </w:r>
        </w:p>
      </w:tc>
    </w:tr>
    <w:tr w:rsidR="00EF6223">
      <w:trPr>
        <w:trHeight w:val="242"/>
      </w:trPr>
      <w:tc>
        <w:tcPr>
          <w:tcW w:w="5104" w:type="dxa"/>
        </w:tcPr>
        <w:p w:rsidR="00EF6223" w:rsidRDefault="00EF6223">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EF6223" w:rsidRDefault="00EF6223">
          <w:pPr>
            <w:spacing w:after="120" w:line="256" w:lineRule="auto"/>
            <w:ind w:left="-486" w:right="214" w:firstLine="284"/>
            <w:jc w:val="right"/>
            <w:rPr>
              <w:rFonts w:ascii="Palatino Linotype" w:eastAsia="Palatino Linotype" w:hAnsi="Palatino Linotype" w:cs="Palatino Linotype"/>
              <w:b/>
            </w:rPr>
          </w:pPr>
          <w:r w:rsidRPr="00AF7AAE">
            <w:rPr>
              <w:rFonts w:ascii="Palatino Linotype" w:eastAsia="Palatino Linotype" w:hAnsi="Palatino Linotype" w:cs="Palatino Linotype"/>
              <w:b/>
              <w:color w:val="000000"/>
              <w:sz w:val="24"/>
              <w:szCs w:val="24"/>
            </w:rPr>
            <w:t>Ayuntamiento de Toluca</w:t>
          </w:r>
        </w:p>
      </w:tc>
    </w:tr>
    <w:tr w:rsidR="00EF6223">
      <w:trPr>
        <w:trHeight w:val="342"/>
      </w:trPr>
      <w:tc>
        <w:tcPr>
          <w:tcW w:w="5104" w:type="dxa"/>
        </w:tcPr>
        <w:p w:rsidR="00EF6223" w:rsidRDefault="00EF6223">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EF6223" w:rsidRDefault="00CD6F66" w:rsidP="00AF7AAE">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w:t>
          </w:r>
          <w:r w:rsidR="00EF6223">
            <w:rPr>
              <w:rFonts w:ascii="Palatino Linotype" w:eastAsia="Palatino Linotype" w:hAnsi="Palatino Linotype" w:cs="Palatino Linotype"/>
              <w:b/>
            </w:rPr>
            <w:t xml:space="preserve"> </w:t>
          </w:r>
          <w:r w:rsidR="00EF6223">
            <w:rPr>
              <w:noProof/>
            </w:rPr>
            <w:drawing>
              <wp:anchor distT="0" distB="0" distL="0" distR="0" simplePos="0" relativeHeight="251660288" behindDoc="1" locked="0" layoutInCell="1" hidden="0" allowOverlap="1" wp14:anchorId="2B3FECA6" wp14:editId="4E6653FA">
                <wp:simplePos x="0" y="0"/>
                <wp:positionH relativeFrom="column">
                  <wp:posOffset>-3769994</wp:posOffset>
                </wp:positionH>
                <wp:positionV relativeFrom="paragraph">
                  <wp:posOffset>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c>
    </w:tr>
    <w:tr w:rsidR="00EF6223">
      <w:trPr>
        <w:trHeight w:val="342"/>
      </w:trPr>
      <w:tc>
        <w:tcPr>
          <w:tcW w:w="5104" w:type="dxa"/>
        </w:tcPr>
        <w:p w:rsidR="00EF6223" w:rsidRDefault="00EF6223">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EF6223" w:rsidRDefault="00EF6223">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EF6223" w:rsidRDefault="00EF6223">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348A51B5"/>
    <w:multiLevelType w:val="hybridMultilevel"/>
    <w:tmpl w:val="BE58D0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7E27F46"/>
    <w:multiLevelType w:val="hybridMultilevel"/>
    <w:tmpl w:val="07FCC878"/>
    <w:lvl w:ilvl="0" w:tplc="65B078A8">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6" w15:restartNumberingAfterBreak="0">
    <w:nsid w:val="4EF7153C"/>
    <w:multiLevelType w:val="hybridMultilevel"/>
    <w:tmpl w:val="12D6E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3AF2C43"/>
    <w:multiLevelType w:val="hybridMultilevel"/>
    <w:tmpl w:val="A2F4D6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9" w15:restartNumberingAfterBreak="0">
    <w:nsid w:val="5BD834CF"/>
    <w:multiLevelType w:val="hybridMultilevel"/>
    <w:tmpl w:val="4EE6230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61FC39F2"/>
    <w:multiLevelType w:val="multilevel"/>
    <w:tmpl w:val="533C9312"/>
    <w:lvl w:ilvl="0">
      <w:start w:val="1"/>
      <w:numFmt w:val="decimal"/>
      <w:lvlText w:val="%1."/>
      <w:lvlJc w:val="left"/>
      <w:pPr>
        <w:ind w:left="720" w:hanging="360"/>
      </w:pPr>
      <w:rPr>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24F33FE"/>
    <w:multiLevelType w:val="hybridMultilevel"/>
    <w:tmpl w:val="B554C4C8"/>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69B058C8"/>
    <w:multiLevelType w:val="hybridMultilevel"/>
    <w:tmpl w:val="687003B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num w:numId="1">
    <w:abstractNumId w:val="10"/>
  </w:num>
  <w:num w:numId="2">
    <w:abstractNumId w:val="7"/>
  </w:num>
  <w:num w:numId="3">
    <w:abstractNumId w:val="0"/>
  </w:num>
  <w:num w:numId="4">
    <w:abstractNumId w:val="12"/>
  </w:num>
  <w:num w:numId="5">
    <w:abstractNumId w:val="3"/>
  </w:num>
  <w:num w:numId="6">
    <w:abstractNumId w:val="6"/>
  </w:num>
  <w:num w:numId="7">
    <w:abstractNumId w:val="5"/>
  </w:num>
  <w:num w:numId="8">
    <w:abstractNumId w:val="11"/>
  </w:num>
  <w:num w:numId="9">
    <w:abstractNumId w:val="9"/>
  </w:num>
  <w:num w:numId="10">
    <w:abstractNumId w:val="1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AAE"/>
    <w:rsid w:val="001C53A0"/>
    <w:rsid w:val="002B146C"/>
    <w:rsid w:val="00300588"/>
    <w:rsid w:val="00387044"/>
    <w:rsid w:val="003A3223"/>
    <w:rsid w:val="0091591D"/>
    <w:rsid w:val="00AB4CD3"/>
    <w:rsid w:val="00AF7AAE"/>
    <w:rsid w:val="00CD6F66"/>
    <w:rsid w:val="00D838FA"/>
    <w:rsid w:val="00EF62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388C5-46C5-441E-A108-73539277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F7AAE"/>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AF7AAE"/>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F7AAE"/>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F7AAE"/>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AF7AAE"/>
  </w:style>
  <w:style w:type="character" w:styleId="Hipervnculo">
    <w:name w:val="Hyperlink"/>
    <w:aliases w:val="Hipervínculo1,Hipervínculo11,Hipervínculo12,Hipervínculo13,Hipervínculo14,Hipervínculo15"/>
    <w:basedOn w:val="Fuentedeprrafopredeter"/>
    <w:uiPriority w:val="99"/>
    <w:unhideWhenUsed/>
    <w:rsid w:val="00AF7AAE"/>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AF7AAE"/>
    <w:rPr>
      <w:vertAlign w:val="superscript"/>
    </w:rPr>
  </w:style>
  <w:style w:type="table" w:customStyle="1" w:styleId="Tablaconcuadrcula1">
    <w:name w:val="Tabla con cuadrícula1"/>
    <w:basedOn w:val="Tablanormal"/>
    <w:next w:val="Tablaconcuadrcula"/>
    <w:uiPriority w:val="39"/>
    <w:rsid w:val="00AF7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F7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F7A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7AAE"/>
    <w:rPr>
      <w:rFonts w:ascii="Calibri" w:eastAsia="Calibri" w:hAnsi="Calibri" w:cs="Calibri"/>
      <w:lang w:eastAsia="es-MX"/>
    </w:rPr>
  </w:style>
  <w:style w:type="paragraph" w:styleId="Piedepgina">
    <w:name w:val="footer"/>
    <w:basedOn w:val="Normal"/>
    <w:link w:val="PiedepginaCar"/>
    <w:uiPriority w:val="99"/>
    <w:unhideWhenUsed/>
    <w:rsid w:val="00AF7A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7AAE"/>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25</Pages>
  <Words>5555</Words>
  <Characters>30554</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6</cp:revision>
  <cp:lastPrinted>2026-04-17T15:22:00Z</cp:lastPrinted>
  <dcterms:created xsi:type="dcterms:W3CDTF">2026-04-06T20:14:00Z</dcterms:created>
  <dcterms:modified xsi:type="dcterms:W3CDTF">2026-04-24T15:38:00Z</dcterms:modified>
</cp:coreProperties>
</file>