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87971" w14:textId="51B6D2D6" w:rsidR="00E723FE" w:rsidRPr="00151769" w:rsidRDefault="00890B26">
      <w:pPr>
        <w:spacing w:before="240" w:after="240" w:line="360" w:lineRule="auto"/>
        <w:jc w:val="both"/>
        <w:rPr>
          <w:rFonts w:ascii="Palatino Linotype" w:eastAsia="Palatino Linotype" w:hAnsi="Palatino Linotype" w:cs="Palatino Linotype"/>
          <w:sz w:val="22"/>
          <w:szCs w:val="22"/>
        </w:rPr>
      </w:pPr>
      <w:bookmarkStart w:id="0" w:name="_heading=h.3rdcrjn" w:colFirst="0" w:colLast="0"/>
      <w:bookmarkEnd w:id="0"/>
      <w:r w:rsidRPr="00151769">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w:t>
      </w:r>
      <w:r w:rsidR="00521F1D" w:rsidRPr="00151769">
        <w:rPr>
          <w:rFonts w:ascii="Palatino Linotype" w:eastAsia="Palatino Linotype" w:hAnsi="Palatino Linotype" w:cs="Palatino Linotype"/>
          <w:sz w:val="22"/>
          <w:szCs w:val="22"/>
        </w:rPr>
        <w:t>diecisiete de septiembre</w:t>
      </w:r>
      <w:r w:rsidRPr="00151769">
        <w:rPr>
          <w:rFonts w:ascii="Palatino Linotype" w:eastAsia="Palatino Linotype" w:hAnsi="Palatino Linotype" w:cs="Palatino Linotype"/>
          <w:sz w:val="22"/>
          <w:szCs w:val="22"/>
        </w:rPr>
        <w:t xml:space="preserve"> de dos mil </w:t>
      </w:r>
      <w:r w:rsidR="004125AE" w:rsidRPr="00151769">
        <w:rPr>
          <w:rFonts w:ascii="Palatino Linotype" w:eastAsia="Palatino Linotype" w:hAnsi="Palatino Linotype" w:cs="Palatino Linotype"/>
          <w:sz w:val="22"/>
          <w:szCs w:val="22"/>
        </w:rPr>
        <w:t>veintiséis</w:t>
      </w:r>
      <w:r w:rsidRPr="00151769">
        <w:rPr>
          <w:rFonts w:ascii="Palatino Linotype" w:eastAsia="Palatino Linotype" w:hAnsi="Palatino Linotype" w:cs="Palatino Linotype"/>
          <w:sz w:val="22"/>
          <w:szCs w:val="22"/>
        </w:rPr>
        <w:t xml:space="preserve">. </w:t>
      </w:r>
    </w:p>
    <w:p w14:paraId="2A17E634" w14:textId="053E6222" w:rsidR="00E723FE" w:rsidRPr="00151769" w:rsidRDefault="00890B26">
      <w:pPr>
        <w:tabs>
          <w:tab w:val="left" w:pos="5812"/>
        </w:tabs>
        <w:spacing w:before="240" w:after="240" w:line="360" w:lineRule="auto"/>
        <w:jc w:val="both"/>
        <w:rPr>
          <w:rFonts w:ascii="Palatino Linotype" w:eastAsia="Palatino Linotype" w:hAnsi="Palatino Linotype" w:cs="Palatino Linotype"/>
          <w:sz w:val="22"/>
          <w:szCs w:val="22"/>
        </w:rPr>
      </w:pPr>
      <w:bookmarkStart w:id="1" w:name="_heading=h.daj3j2xo6q66" w:colFirst="0" w:colLast="0"/>
      <w:bookmarkEnd w:id="1"/>
      <w:r w:rsidRPr="00151769">
        <w:rPr>
          <w:rFonts w:ascii="Palatino Linotype" w:eastAsia="Palatino Linotype" w:hAnsi="Palatino Linotype" w:cs="Palatino Linotype"/>
          <w:b/>
          <w:bCs/>
          <w:sz w:val="22"/>
          <w:szCs w:val="22"/>
        </w:rPr>
        <w:t>VISTO</w:t>
      </w:r>
      <w:r w:rsidRPr="00151769">
        <w:rPr>
          <w:rFonts w:ascii="Palatino Linotype" w:eastAsia="Palatino Linotype" w:hAnsi="Palatino Linotype" w:cs="Palatino Linotype"/>
          <w:sz w:val="22"/>
          <w:szCs w:val="22"/>
        </w:rPr>
        <w:t xml:space="preserve"> el expediente formado con motivo del recurso de revisión </w:t>
      </w:r>
      <w:r w:rsidRPr="00151769">
        <w:rPr>
          <w:rFonts w:ascii="Palatino Linotype" w:eastAsia="Palatino Linotype" w:hAnsi="Palatino Linotype" w:cs="Palatino Linotype"/>
          <w:b/>
          <w:bCs/>
          <w:sz w:val="22"/>
          <w:szCs w:val="22"/>
        </w:rPr>
        <w:t>0</w:t>
      </w:r>
      <w:r w:rsidR="00B410EA" w:rsidRPr="00151769">
        <w:rPr>
          <w:rFonts w:ascii="Palatino Linotype" w:eastAsia="Palatino Linotype" w:hAnsi="Palatino Linotype" w:cs="Palatino Linotype"/>
          <w:b/>
          <w:bCs/>
          <w:sz w:val="22"/>
          <w:szCs w:val="22"/>
        </w:rPr>
        <w:t>7</w:t>
      </w:r>
      <w:r w:rsidR="00EF31B5" w:rsidRPr="00151769">
        <w:rPr>
          <w:rFonts w:ascii="Palatino Linotype" w:eastAsia="Palatino Linotype" w:hAnsi="Palatino Linotype" w:cs="Palatino Linotype"/>
          <w:b/>
          <w:bCs/>
          <w:sz w:val="22"/>
          <w:szCs w:val="22"/>
        </w:rPr>
        <w:t>666</w:t>
      </w:r>
      <w:r w:rsidRPr="00151769">
        <w:rPr>
          <w:rFonts w:ascii="Palatino Linotype" w:eastAsia="Palatino Linotype" w:hAnsi="Palatino Linotype" w:cs="Palatino Linotype"/>
          <w:b/>
          <w:bCs/>
          <w:sz w:val="22"/>
          <w:szCs w:val="22"/>
        </w:rPr>
        <w:t>/INFOEM/IP/RR/2026</w:t>
      </w:r>
      <w:r w:rsidRPr="00151769">
        <w:rPr>
          <w:rFonts w:ascii="Palatino Linotype" w:eastAsia="Palatino Linotype" w:hAnsi="Palatino Linotype" w:cs="Palatino Linotype"/>
          <w:sz w:val="22"/>
          <w:szCs w:val="22"/>
        </w:rPr>
        <w:t xml:space="preserve">, interpuesto </w:t>
      </w:r>
      <w:r w:rsidR="00424532" w:rsidRPr="00424532">
        <w:rPr>
          <w:rFonts w:ascii="Palatino Linotype" w:eastAsia="Palatino Linotype" w:hAnsi="Palatino Linotype" w:cs="Palatino Linotype"/>
          <w:b/>
          <w:bCs/>
          <w:sz w:val="22"/>
          <w:szCs w:val="22"/>
        </w:rPr>
        <w:t>XXXX XXXXXX XXXXXXXXX</w:t>
      </w:r>
      <w:bookmarkStart w:id="2" w:name="_GoBack"/>
      <w:bookmarkEnd w:id="2"/>
      <w:r w:rsidRPr="00151769">
        <w:rPr>
          <w:rFonts w:ascii="Palatino Linotype" w:eastAsia="Palatino Linotype" w:hAnsi="Palatino Linotype" w:cs="Palatino Linotype"/>
          <w:b/>
          <w:bCs/>
          <w:sz w:val="22"/>
          <w:szCs w:val="22"/>
        </w:rPr>
        <w:t>,</w:t>
      </w:r>
      <w:r w:rsidRPr="00151769">
        <w:rPr>
          <w:rFonts w:ascii="Palatino Linotype" w:eastAsia="Palatino Linotype" w:hAnsi="Palatino Linotype" w:cs="Palatino Linotype"/>
          <w:sz w:val="22"/>
          <w:szCs w:val="22"/>
        </w:rPr>
        <w:t xml:space="preserve"> en lo sucesivo</w:t>
      </w:r>
      <w:r w:rsidRPr="00151769">
        <w:rPr>
          <w:rFonts w:ascii="Palatino Linotype" w:eastAsia="Palatino Linotype" w:hAnsi="Palatino Linotype" w:cs="Palatino Linotype"/>
          <w:b/>
          <w:bCs/>
          <w:sz w:val="22"/>
          <w:szCs w:val="22"/>
        </w:rPr>
        <w:t xml:space="preserve"> </w:t>
      </w:r>
      <w:r w:rsidRPr="00151769">
        <w:rPr>
          <w:rFonts w:ascii="Palatino Linotype" w:eastAsia="Palatino Linotype" w:hAnsi="Palatino Linotype" w:cs="Palatino Linotype"/>
          <w:sz w:val="22"/>
          <w:szCs w:val="22"/>
        </w:rPr>
        <w:t xml:space="preserve">la parte </w:t>
      </w:r>
      <w:r w:rsidRPr="00151769">
        <w:rPr>
          <w:rFonts w:ascii="Palatino Linotype" w:eastAsia="Palatino Linotype" w:hAnsi="Palatino Linotype" w:cs="Palatino Linotype"/>
          <w:b/>
          <w:bCs/>
          <w:sz w:val="22"/>
          <w:szCs w:val="22"/>
        </w:rPr>
        <w:t>Recurrente,</w:t>
      </w:r>
      <w:r w:rsidRPr="00151769">
        <w:rPr>
          <w:rFonts w:ascii="Palatino Linotype" w:eastAsia="Palatino Linotype" w:hAnsi="Palatino Linotype" w:cs="Palatino Linotype"/>
          <w:sz w:val="22"/>
          <w:szCs w:val="22"/>
        </w:rPr>
        <w:t xml:space="preserve"> en contra de la respuesta a la solicitud de información con número de folio</w:t>
      </w:r>
      <w:r w:rsidRPr="00151769">
        <w:t xml:space="preserve"> </w:t>
      </w:r>
      <w:r w:rsidR="00EF31B5" w:rsidRPr="00151769">
        <w:rPr>
          <w:rFonts w:ascii="Palatino Linotype" w:eastAsia="Palatino Linotype" w:hAnsi="Palatino Linotype" w:cs="Palatino Linotype"/>
          <w:b/>
          <w:bCs/>
          <w:sz w:val="22"/>
          <w:szCs w:val="22"/>
        </w:rPr>
        <w:t>00008/IMCUFIDEHUEHUET/IP/2026</w:t>
      </w:r>
      <w:r w:rsidRPr="00151769">
        <w:rPr>
          <w:rFonts w:ascii="Palatino Linotype" w:eastAsia="Palatino Linotype" w:hAnsi="Palatino Linotype" w:cs="Palatino Linotype"/>
          <w:b/>
          <w:bCs/>
          <w:sz w:val="22"/>
          <w:szCs w:val="22"/>
        </w:rPr>
        <w:t xml:space="preserve">, </w:t>
      </w:r>
      <w:r w:rsidRPr="00151769">
        <w:rPr>
          <w:rFonts w:ascii="Palatino Linotype" w:eastAsia="Palatino Linotype" w:hAnsi="Palatino Linotype" w:cs="Palatino Linotype"/>
          <w:sz w:val="22"/>
          <w:szCs w:val="22"/>
        </w:rPr>
        <w:t xml:space="preserve">por parte del </w:t>
      </w:r>
      <w:r w:rsidR="00EF31B5" w:rsidRPr="00151769">
        <w:rPr>
          <w:rFonts w:ascii="Palatino Linotype" w:eastAsia="Palatino Linotype" w:hAnsi="Palatino Linotype" w:cs="Palatino Linotype"/>
          <w:b/>
          <w:bCs/>
          <w:sz w:val="22"/>
          <w:szCs w:val="22"/>
        </w:rPr>
        <w:t>Instituto Municipal de Cultura Física y Deporte de Huehuetoca</w:t>
      </w:r>
      <w:r w:rsidRPr="00151769">
        <w:rPr>
          <w:rFonts w:ascii="Palatino Linotype" w:eastAsia="Palatino Linotype" w:hAnsi="Palatino Linotype" w:cs="Palatino Linotype"/>
          <w:b/>
          <w:bCs/>
          <w:sz w:val="22"/>
          <w:szCs w:val="22"/>
        </w:rPr>
        <w:t xml:space="preserve">, </w:t>
      </w:r>
      <w:r w:rsidRPr="00151769">
        <w:rPr>
          <w:rFonts w:ascii="Palatino Linotype" w:eastAsia="Palatino Linotype" w:hAnsi="Palatino Linotype" w:cs="Palatino Linotype"/>
          <w:sz w:val="22"/>
          <w:szCs w:val="22"/>
        </w:rPr>
        <w:t xml:space="preserve">en lo sucesivo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 xml:space="preserve">se procede a dictar la presente resolución con base en los siguientes: </w:t>
      </w:r>
    </w:p>
    <w:p w14:paraId="71E71FFF" w14:textId="77777777" w:rsidR="00E723FE" w:rsidRPr="00151769" w:rsidRDefault="00890B26">
      <w:pPr>
        <w:spacing w:before="240" w:after="240" w:line="360" w:lineRule="auto"/>
        <w:jc w:val="center"/>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 A N T E C E D E N T E S</w:t>
      </w:r>
    </w:p>
    <w:p w14:paraId="4AC361F0" w14:textId="6BE2E30D" w:rsidR="00E723FE" w:rsidRPr="00151769" w:rsidRDefault="00890B26">
      <w:pPr>
        <w:spacing w:before="240" w:after="240" w:line="360" w:lineRule="auto"/>
        <w:jc w:val="both"/>
        <w:rPr>
          <w:rFonts w:ascii="Palatino Linotype" w:eastAsia="Palatino Linotype" w:hAnsi="Palatino Linotype" w:cs="Palatino Linotype"/>
          <w:sz w:val="22"/>
          <w:szCs w:val="22"/>
        </w:rPr>
      </w:pPr>
      <w:bookmarkStart w:id="3" w:name="_heading=h.gjdgxs" w:colFirst="0" w:colLast="0"/>
      <w:bookmarkEnd w:id="3"/>
      <w:r w:rsidRPr="00151769">
        <w:rPr>
          <w:rFonts w:ascii="Palatino Linotype" w:eastAsia="Palatino Linotype" w:hAnsi="Palatino Linotype" w:cs="Palatino Linotype"/>
          <w:b/>
          <w:bCs/>
          <w:sz w:val="22"/>
          <w:szCs w:val="22"/>
        </w:rPr>
        <w:t>1. Solicitud de acceso a la información.</w:t>
      </w:r>
      <w:r w:rsidRPr="00151769">
        <w:rPr>
          <w:rFonts w:ascii="Palatino Linotype" w:eastAsia="Palatino Linotype" w:hAnsi="Palatino Linotype" w:cs="Palatino Linotype"/>
          <w:sz w:val="22"/>
          <w:szCs w:val="22"/>
        </w:rPr>
        <w:t xml:space="preserve"> El </w:t>
      </w:r>
      <w:r w:rsidR="00EF31B5" w:rsidRPr="00151769">
        <w:rPr>
          <w:rFonts w:ascii="Palatino Linotype" w:eastAsia="Palatino Linotype" w:hAnsi="Palatino Linotype" w:cs="Palatino Linotype"/>
          <w:b/>
          <w:bCs/>
          <w:sz w:val="22"/>
          <w:szCs w:val="22"/>
        </w:rPr>
        <w:t>tres de agosto</w:t>
      </w:r>
      <w:r w:rsidRPr="00151769">
        <w:rPr>
          <w:rFonts w:ascii="Palatino Linotype" w:eastAsia="Palatino Linotype" w:hAnsi="Palatino Linotype" w:cs="Palatino Linotype"/>
          <w:b/>
          <w:bCs/>
          <w:sz w:val="22"/>
          <w:szCs w:val="22"/>
        </w:rPr>
        <w:t xml:space="preserve"> de dos mil veintiséis,</w:t>
      </w:r>
      <w:r w:rsidRPr="00151769">
        <w:rPr>
          <w:rFonts w:ascii="Palatino Linotype" w:eastAsia="Palatino Linotype" w:hAnsi="Palatino Linotype" w:cs="Palatino Linotype"/>
          <w:sz w:val="22"/>
          <w:szCs w:val="22"/>
        </w:rPr>
        <w:t xml:space="preserve"> la parte </w:t>
      </w:r>
      <w:r w:rsidRPr="00151769">
        <w:rPr>
          <w:rFonts w:ascii="Palatino Linotype" w:eastAsia="Palatino Linotype" w:hAnsi="Palatino Linotype" w:cs="Palatino Linotype"/>
          <w:b/>
          <w:bCs/>
          <w:sz w:val="22"/>
          <w:szCs w:val="22"/>
        </w:rPr>
        <w:t xml:space="preserve">Recurrente </w:t>
      </w:r>
      <w:r w:rsidRPr="00151769">
        <w:rPr>
          <w:rFonts w:ascii="Palatino Linotype" w:eastAsia="Palatino Linotype" w:hAnsi="Palatino Linotype" w:cs="Palatino Linotype"/>
          <w:sz w:val="22"/>
          <w:szCs w:val="22"/>
        </w:rPr>
        <w:t xml:space="preserve">presentó la solicitud de acceso a la información pública ante 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a través del Sistema de Acceso a la Información Mexiquense, en lo subsecuente el </w:t>
      </w:r>
      <w:r w:rsidRPr="00151769">
        <w:rPr>
          <w:rFonts w:ascii="Palatino Linotype" w:eastAsia="Palatino Linotype" w:hAnsi="Palatino Linotype" w:cs="Palatino Linotype"/>
          <w:b/>
          <w:bCs/>
          <w:sz w:val="22"/>
          <w:szCs w:val="22"/>
        </w:rPr>
        <w:t>SAIMEX,</w:t>
      </w:r>
      <w:r w:rsidR="00EF31B5" w:rsidRPr="00151769">
        <w:rPr>
          <w:rFonts w:ascii="Palatino Linotype" w:eastAsia="Palatino Linotype" w:hAnsi="Palatino Linotype" w:cs="Palatino Linotype"/>
          <w:b/>
          <w:bCs/>
          <w:sz w:val="22"/>
          <w:szCs w:val="22"/>
        </w:rPr>
        <w:t xml:space="preserve"> (</w:t>
      </w:r>
      <w:r w:rsidR="00EF31B5" w:rsidRPr="00151769">
        <w:rPr>
          <w:rFonts w:ascii="Palatino Linotype" w:eastAsia="Palatino Linotype" w:hAnsi="Palatino Linotype" w:cs="Palatino Linotype"/>
          <w:bCs/>
          <w:sz w:val="22"/>
          <w:szCs w:val="22"/>
        </w:rPr>
        <w:t>si bien se presentó el día veinte de julio que fue inhábil, se tiene por recurrida al siguiente día hábil)</w:t>
      </w:r>
      <w:r w:rsidRPr="00151769">
        <w:rPr>
          <w:rFonts w:ascii="Palatino Linotype" w:eastAsia="Palatino Linotype" w:hAnsi="Palatino Linotype" w:cs="Palatino Linotype"/>
          <w:sz w:val="22"/>
          <w:szCs w:val="22"/>
        </w:rPr>
        <w:t xml:space="preserve"> mediante la cual requirió lo siguiente:</w:t>
      </w:r>
    </w:p>
    <w:p w14:paraId="44910808" w14:textId="6ACA7020" w:rsidR="00E723FE" w:rsidRPr="00151769" w:rsidRDefault="00890B26" w:rsidP="00B410EA">
      <w:pPr>
        <w:tabs>
          <w:tab w:val="left" w:pos="4678"/>
        </w:tabs>
        <w:spacing w:before="120" w:after="120"/>
        <w:ind w:left="851"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 xml:space="preserve"> “</w:t>
      </w:r>
      <w:r w:rsidR="00EF31B5" w:rsidRPr="00151769">
        <w:rPr>
          <w:rFonts w:ascii="Palatino Linotype" w:eastAsia="Palatino Linotype" w:hAnsi="Palatino Linotype" w:cs="Palatino Linotype"/>
          <w:i/>
          <w:iCs/>
          <w:sz w:val="22"/>
          <w:szCs w:val="22"/>
        </w:rPr>
        <w:t xml:space="preserve">**Asunto: Solicitud de acceso a la información pública sobre permisos para venta de bebidas alcohólicas, operación de embarcación y vigilancia en la Presa de Cuevecillas, Huehuetoca, Estado de México.** Con fundamento en los artículos 6° de la Constitución Política de los Estados Unidos Mexicanos, 4, 11, 12 y demás relativos de la Ley de Transparencia y Acceso a la Información Pública del Estado de México y Municipios, solicito se me proporcione la siguiente información: ## I. Permisos para la venta de bebidas alcohólicas 1. Informe si los establecimientos, puestos fijos, semifijos, temporales o cualquier otro punto de venta ubicados en la zona de la **Presa de Cuevecillas**, en el municipio de Huehuetoca, que </w:t>
      </w:r>
      <w:r w:rsidR="00EF31B5" w:rsidRPr="00151769">
        <w:rPr>
          <w:rFonts w:ascii="Palatino Linotype" w:eastAsia="Palatino Linotype" w:hAnsi="Palatino Linotype" w:cs="Palatino Linotype"/>
          <w:i/>
          <w:iCs/>
          <w:sz w:val="22"/>
          <w:szCs w:val="22"/>
        </w:rPr>
        <w:lastRenderedPageBreak/>
        <w:t xml:space="preserve">comercializan bebidas alcohólicas, cuentan con autorización, licencia o permiso vigente para dicha actividad. 2. Remita una relación de todos los permisos, licencias o autorizaciones vigentes otorgados para la venta de bebidas alcohólicas en dicha zona, indicando: * Nombre del titular (en versión pública cuando corresponda). * Tipo de permiso o licencia. * Giro autorizado. * Fecha de expedición. * Vigencia. * Autoridad que lo emitió. * Ubicación del establecimiento. 3. Señale qué dependencia municipal es la responsable de autorizar, supervisar, inspeccionar y, en su caso, sancionar la venta de bebidas alcohólicas en la Presa de Cuevecillas. 4. Informe si durante los años 2025 y 2026 se realizaron verificaciones, inspecciones o procedimientos administrativos a dichos establecimientos y remita copia de las actas de inspección, resoluciones o documentos correspondientes. ## II. Operación de la embarcación 5. Informe si la embarcación o lancha que presta servicio recreativo o de transporte en la Presa de Cuevecillas cuenta con autorización para operar. 6. Remita copia de los permisos, licencias, concesiones o autorizaciones que permitan su operación. 7. Informe si dicha embarcación ha sido inspeccionada por la Coordinación Municipal de Protección Civil y Bomberos o por cualquier otra autoridad competente. 8. Remita copia de los dictámenes, vistos buenos, actas de inspección, certificados de seguridad y demás documentos que acrediten que la embarcación cumple con las medidas de seguridad exigidas por la normatividad aplicable. 9. Informe cuál es el aforo máximo autorizado de la embarcación, el número máximo de pasajeros permitidos y las medidas de seguridad obligatorias con las que debe operar. 10. Indique qué autoridad es la responsable de regular, inspeccionar y vigilar la operación de embarcaciones dentro de la Presa de Cuevecillas. ## III. Consumo de bebidas alcohólicas en la vía pública y actuación de la autoridad 11. Informe si los accesos, vialidades, andadores, áreas comunes y espacios donde actualmente se ubican los puestos comerciales en la Presa de Cuevecillas forman parte de la vía pública o son bienes de uso común del Municipio de Huehuetoca. En caso afirmativo, remita el documento o fundamento jurídico que así lo acredite. 12. Informe cuál es la normatividad municipal aplicable respecto al consumo de bebidas alcohólicas en dichas áreas y si existe alguna autorización, acuerdo o excepción que permita consumir bebidas alcohólicas en esos espacios públicos. 13. Indique cuáles son las atribuciones de la Dirección de Seguridad Pública Municipal respecto a personas que consumen bebidas alcohólicas en la vía pública dentro de la Presa de Cuevecillas. 14. Informe si existe algún operativo permanente o temporal para vigilar el consumo de bebidas alcohólicas en la zona y remita copia de los acuerdos, oficios, órdenes de operación o programas que sustenten dichos operativos. 15. Informe cuántas infracciones, remisiones al Juez </w:t>
      </w:r>
      <w:r w:rsidR="00EF31B5" w:rsidRPr="00151769">
        <w:rPr>
          <w:rFonts w:ascii="Palatino Linotype" w:eastAsia="Palatino Linotype" w:hAnsi="Palatino Linotype" w:cs="Palatino Linotype"/>
          <w:i/>
          <w:iCs/>
          <w:sz w:val="22"/>
          <w:szCs w:val="22"/>
        </w:rPr>
        <w:lastRenderedPageBreak/>
        <w:t>Cívico, aseguramientos o puestas a disposición relacionadas con el consumo de bebidas alcohólicas en la vía pública se han realizado en la Presa de Cuevecillas durante los años 2025 y 2026, indicando únicamente: * Fecha. * Motivo de la actuación. * Autoridad que intervino. * Resultado de la intervención. 16. En caso de que la Dirección de Seguridad Pública tenga instrucciones, acuerdos, protocolos o lineamientos específicos para permitir, tolerar o abstenerse de intervenir cuando existan personas consumiendo bebidas alcohólicas en dicha zona, remita copia de dichos documentos o, en su caso, manifieste expresamente que no existen. ## IV. Marco normativo 17. Indique los reglamentos, acuerdos, lineamientos o disposiciones legales que regulan: * La instalación y funcionamiento de puestos comerciales en la Presa de Cuevecillas. * La venta de bebidas alcohólicas en dicha zona. * El consumo de bebidas alcohólicas en espacios públicos de la Presa de Cuevecillas. * La operación de embarcaciones recreativas dentro del cuerpo de agua. Solicito que toda la información sea entregada en formato electrónico mediante la Plataforma Nacional de Transparencia, incluyendo versiones públicas de los documentos cuando sea necesario proteger datos personales.”</w:t>
      </w:r>
      <w:r w:rsidRPr="00151769">
        <w:rPr>
          <w:rFonts w:ascii="Palatino Linotype" w:eastAsia="Palatino Linotype" w:hAnsi="Palatino Linotype" w:cs="Palatino Linotype"/>
          <w:i/>
          <w:iCs/>
          <w:sz w:val="22"/>
          <w:szCs w:val="22"/>
        </w:rPr>
        <w:t xml:space="preserve"> (sic) </w:t>
      </w:r>
    </w:p>
    <w:p w14:paraId="0AEDFE90" w14:textId="77777777" w:rsidR="00E723FE" w:rsidRPr="00151769" w:rsidRDefault="00890B26">
      <w:pPr>
        <w:spacing w:before="240" w:after="240" w:line="360" w:lineRule="auto"/>
        <w:jc w:val="both"/>
        <w:rPr>
          <w:rFonts w:ascii="Palatino Linotype" w:eastAsia="Palatino Linotype" w:hAnsi="Palatino Linotype" w:cs="Palatino Linotype"/>
          <w:sz w:val="22"/>
          <w:szCs w:val="22"/>
        </w:rPr>
      </w:pPr>
      <w:bookmarkStart w:id="4" w:name="_heading=h.3dy6vkm" w:colFirst="0" w:colLast="0"/>
      <w:bookmarkEnd w:id="4"/>
      <w:r w:rsidRPr="00151769">
        <w:rPr>
          <w:rFonts w:ascii="Palatino Linotype" w:eastAsia="Palatino Linotype" w:hAnsi="Palatino Linotype" w:cs="Palatino Linotype"/>
          <w:b/>
          <w:bCs/>
          <w:sz w:val="22"/>
          <w:szCs w:val="22"/>
        </w:rPr>
        <w:t>Modalidad de Entrega:</w:t>
      </w:r>
      <w:r w:rsidRPr="00151769">
        <w:rPr>
          <w:rFonts w:ascii="Palatino Linotype" w:eastAsia="Palatino Linotype" w:hAnsi="Palatino Linotype" w:cs="Palatino Linotype"/>
          <w:sz w:val="22"/>
          <w:szCs w:val="22"/>
        </w:rPr>
        <w:t xml:space="preserve"> a través del</w:t>
      </w:r>
      <w:r w:rsidRPr="00151769">
        <w:rPr>
          <w:rFonts w:ascii="Palatino Linotype" w:eastAsia="Palatino Linotype" w:hAnsi="Palatino Linotype" w:cs="Palatino Linotype"/>
          <w:b/>
          <w:bCs/>
          <w:sz w:val="22"/>
          <w:szCs w:val="22"/>
        </w:rPr>
        <w:t xml:space="preserve"> SAIMEX.</w:t>
      </w:r>
    </w:p>
    <w:p w14:paraId="674BA41D" w14:textId="3099E85B" w:rsidR="00E723FE" w:rsidRPr="00151769" w:rsidRDefault="00890B26">
      <w:pPr>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2.</w:t>
      </w:r>
      <w:r w:rsidRPr="00151769">
        <w:t xml:space="preserve"> </w:t>
      </w:r>
      <w:hyperlink r:id="rId8">
        <w:r w:rsidRPr="00151769">
          <w:rPr>
            <w:rFonts w:ascii="Palatino Linotype" w:eastAsia="Palatino Linotype" w:hAnsi="Palatino Linotype" w:cs="Palatino Linotype"/>
            <w:b/>
            <w:bCs/>
            <w:sz w:val="22"/>
            <w:szCs w:val="22"/>
          </w:rPr>
          <w:t>Información que Puede estar en Poder de Otro Sujeto Obligado</w:t>
        </w:r>
      </w:hyperlink>
      <w:r w:rsidRPr="00151769">
        <w:rPr>
          <w:rFonts w:ascii="Palatino Linotype" w:eastAsia="Palatino Linotype" w:hAnsi="Palatino Linotype" w:cs="Palatino Linotype"/>
          <w:b/>
          <w:bCs/>
          <w:sz w:val="22"/>
          <w:szCs w:val="22"/>
        </w:rPr>
        <w:t xml:space="preserve">. </w:t>
      </w:r>
      <w:r w:rsidRPr="00151769">
        <w:rPr>
          <w:rFonts w:ascii="Palatino Linotype" w:eastAsia="Palatino Linotype" w:hAnsi="Palatino Linotype" w:cs="Palatino Linotype"/>
          <w:sz w:val="22"/>
          <w:szCs w:val="22"/>
        </w:rPr>
        <w:t xml:space="preserve">El </w:t>
      </w:r>
      <w:r w:rsidR="00C107AD" w:rsidRPr="00151769">
        <w:rPr>
          <w:rFonts w:ascii="Palatino Linotype" w:eastAsia="Palatino Linotype" w:hAnsi="Palatino Linotype" w:cs="Palatino Linotype"/>
          <w:b/>
          <w:bCs/>
          <w:sz w:val="22"/>
          <w:szCs w:val="22"/>
        </w:rPr>
        <w:t>tres de agosto</w:t>
      </w:r>
      <w:r w:rsidRPr="00151769">
        <w:rPr>
          <w:rFonts w:ascii="Palatino Linotype" w:eastAsia="Palatino Linotype" w:hAnsi="Palatino Linotype" w:cs="Palatino Linotype"/>
          <w:b/>
          <w:bCs/>
          <w:sz w:val="22"/>
          <w:szCs w:val="22"/>
        </w:rPr>
        <w:t xml:space="preserve"> de dos mil veintiséis,</w:t>
      </w:r>
      <w:r w:rsidRPr="00151769">
        <w:rPr>
          <w:rFonts w:ascii="Palatino Linotype" w:eastAsia="Palatino Linotype" w:hAnsi="Palatino Linotype" w:cs="Palatino Linotype"/>
          <w:sz w:val="22"/>
          <w:szCs w:val="22"/>
        </w:rPr>
        <w:t xml:space="preserve">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5BE3E984" w14:textId="0F23619D" w:rsidR="00E723FE" w:rsidRPr="00151769" w:rsidRDefault="00B410EA">
      <w:pPr>
        <w:spacing w:before="240" w:after="240"/>
        <w:ind w:left="851"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00C107AD" w:rsidRPr="00151769">
        <w:rPr>
          <w:rFonts w:ascii="Palatino Linotype" w:eastAsia="Palatino Linotype" w:hAnsi="Palatino Linotype" w:cs="Palatino Linotype"/>
          <w:i/>
          <w:iCs/>
          <w:sz w:val="22"/>
          <w:szCs w:val="22"/>
        </w:rPr>
        <w:t>Esta unidad administrativa no es competente para generar, resguardar o poseer la información solicitada, ya que no tiene a su cargo las funciones, atribuciones ni la administración de las áreas responsables de los permisos, licencias, inspecciones, seguridad pública, protección civil y demás aspectos materia de la solicitud. En consecuencia, procede la orientación conforme al artículo 167 de la Ley de Transparencia y Acceso a la Información Pública del Estado de México y Municipios...”</w:t>
      </w:r>
      <w:r w:rsidR="00890B26" w:rsidRPr="00151769">
        <w:rPr>
          <w:rFonts w:ascii="Palatino Linotype" w:eastAsia="Palatino Linotype" w:hAnsi="Palatino Linotype" w:cs="Palatino Linotype"/>
          <w:i/>
          <w:iCs/>
          <w:sz w:val="22"/>
          <w:szCs w:val="22"/>
        </w:rPr>
        <w:t xml:space="preserve"> (sic)</w:t>
      </w:r>
    </w:p>
    <w:p w14:paraId="518245E4" w14:textId="77777777" w:rsidR="00E723FE" w:rsidRPr="00151769" w:rsidRDefault="00890B26">
      <w:pPr>
        <w:spacing w:before="240" w:after="240"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adjuntó los siguientes documentos:</w:t>
      </w:r>
    </w:p>
    <w:p w14:paraId="0DC02CF9" w14:textId="592AFD96" w:rsidR="00E723FE" w:rsidRPr="00151769" w:rsidRDefault="00890B26" w:rsidP="00F85750">
      <w:pPr>
        <w:numPr>
          <w:ilvl w:val="0"/>
          <w:numId w:val="1"/>
        </w:numPr>
        <w:pBdr>
          <w:top w:val="nil"/>
          <w:left w:val="nil"/>
          <w:bottom w:val="nil"/>
          <w:right w:val="nil"/>
          <w:between w:val="nil"/>
        </w:pBdr>
        <w:spacing w:before="240" w:after="240"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Oficio del </w:t>
      </w:r>
      <w:r w:rsidR="00C107AD" w:rsidRPr="00151769">
        <w:rPr>
          <w:rFonts w:ascii="Palatino Linotype" w:eastAsia="Palatino Linotype" w:hAnsi="Palatino Linotype" w:cs="Palatino Linotype"/>
          <w:sz w:val="22"/>
          <w:szCs w:val="22"/>
        </w:rPr>
        <w:t>3 de agosto</w:t>
      </w:r>
      <w:r w:rsidRPr="00151769">
        <w:rPr>
          <w:rFonts w:ascii="Palatino Linotype" w:eastAsia="Palatino Linotype" w:hAnsi="Palatino Linotype" w:cs="Palatino Linotype"/>
          <w:sz w:val="22"/>
          <w:szCs w:val="22"/>
        </w:rPr>
        <w:t xml:space="preserve"> de 2026, a través del cual </w:t>
      </w:r>
      <w:r w:rsidR="00B410EA" w:rsidRPr="00151769">
        <w:rPr>
          <w:rFonts w:ascii="Palatino Linotype" w:eastAsia="Palatino Linotype" w:hAnsi="Palatino Linotype" w:cs="Palatino Linotype"/>
          <w:sz w:val="22"/>
          <w:szCs w:val="22"/>
        </w:rPr>
        <w:t xml:space="preserve">la </w:t>
      </w:r>
      <w:r w:rsidR="00C107AD" w:rsidRPr="00151769">
        <w:rPr>
          <w:rFonts w:ascii="Palatino Linotype" w:eastAsia="Palatino Linotype" w:hAnsi="Palatino Linotype" w:cs="Palatino Linotype"/>
          <w:sz w:val="22"/>
          <w:szCs w:val="22"/>
        </w:rPr>
        <w:t>Titular</w:t>
      </w:r>
      <w:r w:rsidR="00B410EA" w:rsidRPr="00151769">
        <w:rPr>
          <w:rFonts w:ascii="Palatino Linotype" w:eastAsia="Palatino Linotype" w:hAnsi="Palatino Linotype" w:cs="Palatino Linotype"/>
          <w:sz w:val="22"/>
          <w:szCs w:val="22"/>
        </w:rPr>
        <w:t xml:space="preserve"> de Transparencia </w:t>
      </w:r>
      <w:r w:rsidR="00C107AD" w:rsidRPr="00151769">
        <w:rPr>
          <w:rFonts w:ascii="Palatino Linotype" w:eastAsia="Palatino Linotype" w:hAnsi="Palatino Linotype" w:cs="Palatino Linotype"/>
          <w:sz w:val="22"/>
          <w:szCs w:val="22"/>
        </w:rPr>
        <w:t xml:space="preserve"> del IMCUFIDEH, </w:t>
      </w:r>
      <w:r w:rsidR="00B410EA" w:rsidRPr="00151769">
        <w:rPr>
          <w:rFonts w:ascii="Palatino Linotype" w:eastAsia="Palatino Linotype" w:hAnsi="Palatino Linotype" w:cs="Palatino Linotype"/>
          <w:sz w:val="22"/>
          <w:szCs w:val="22"/>
        </w:rPr>
        <w:t>informó en términos generales manifestó su incompeten</w:t>
      </w:r>
      <w:r w:rsidR="00C107AD" w:rsidRPr="00151769">
        <w:rPr>
          <w:rFonts w:ascii="Palatino Linotype" w:eastAsia="Palatino Linotype" w:hAnsi="Palatino Linotype" w:cs="Palatino Linotype"/>
          <w:sz w:val="22"/>
          <w:szCs w:val="22"/>
        </w:rPr>
        <w:t>cia para brindar la información</w:t>
      </w:r>
      <w:r w:rsidR="00F85750" w:rsidRPr="00151769">
        <w:rPr>
          <w:rFonts w:ascii="Palatino Linotype" w:eastAsia="Palatino Linotype" w:hAnsi="Palatino Linotype" w:cs="Palatino Linotype"/>
          <w:sz w:val="22"/>
          <w:szCs w:val="22"/>
        </w:rPr>
        <w:t>, ya que el competente puede ser el Ayuntamiento de Huehuetoca.</w:t>
      </w:r>
    </w:p>
    <w:p w14:paraId="512C609B" w14:textId="77777777" w:rsidR="004029A9" w:rsidRPr="00151769" w:rsidRDefault="004029A9" w:rsidP="004029A9">
      <w:pPr>
        <w:pBdr>
          <w:top w:val="nil"/>
          <w:left w:val="nil"/>
          <w:bottom w:val="nil"/>
          <w:right w:val="nil"/>
          <w:between w:val="nil"/>
        </w:pBdr>
        <w:spacing w:before="240" w:after="240" w:line="276" w:lineRule="auto"/>
        <w:ind w:left="360" w:right="49"/>
        <w:jc w:val="both"/>
        <w:rPr>
          <w:rFonts w:ascii="Palatino Linotype" w:eastAsia="Palatino Linotype" w:hAnsi="Palatino Linotype" w:cs="Palatino Linotype"/>
          <w:sz w:val="22"/>
          <w:szCs w:val="22"/>
        </w:rPr>
      </w:pPr>
    </w:p>
    <w:p w14:paraId="36828EF8" w14:textId="7C5F7A5A" w:rsidR="005F7CF8" w:rsidRPr="00151769" w:rsidRDefault="00890B26">
      <w:pPr>
        <w:spacing w:before="240" w:after="240"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 xml:space="preserve">3. Interposición del recurso de revisión. </w:t>
      </w:r>
      <w:r w:rsidRPr="00151769">
        <w:rPr>
          <w:rFonts w:ascii="Palatino Linotype" w:eastAsia="Palatino Linotype" w:hAnsi="Palatino Linotype" w:cs="Palatino Linotype"/>
          <w:sz w:val="22"/>
          <w:szCs w:val="22"/>
        </w:rPr>
        <w:t xml:space="preserve">Inconforme con los términos de la respuesta emitida por parte del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el </w:t>
      </w:r>
      <w:r w:rsidR="00C107AD" w:rsidRPr="00151769">
        <w:rPr>
          <w:rFonts w:ascii="Palatino Linotype" w:eastAsia="Palatino Linotype" w:hAnsi="Palatino Linotype" w:cs="Palatino Linotype"/>
          <w:b/>
          <w:bCs/>
          <w:sz w:val="22"/>
          <w:szCs w:val="22"/>
        </w:rPr>
        <w:t>once de agosto</w:t>
      </w:r>
      <w:r w:rsidRPr="00151769">
        <w:rPr>
          <w:rFonts w:ascii="Palatino Linotype" w:eastAsia="Palatino Linotype" w:hAnsi="Palatino Linotype" w:cs="Palatino Linotype"/>
          <w:b/>
          <w:bCs/>
          <w:sz w:val="22"/>
          <w:szCs w:val="22"/>
        </w:rPr>
        <w:t xml:space="preserve"> de dos mil veintiséis,</w:t>
      </w:r>
      <w:r w:rsidRPr="00151769">
        <w:rPr>
          <w:rFonts w:ascii="Palatino Linotype" w:eastAsia="Palatino Linotype" w:hAnsi="Palatino Linotype" w:cs="Palatino Linotype"/>
          <w:sz w:val="22"/>
          <w:szCs w:val="22"/>
        </w:rPr>
        <w:t xml:space="preserve"> la parte </w:t>
      </w:r>
      <w:r w:rsidRPr="00151769">
        <w:rPr>
          <w:rFonts w:ascii="Palatino Linotype" w:eastAsia="Palatino Linotype" w:hAnsi="Palatino Linotype" w:cs="Palatino Linotype"/>
          <w:b/>
          <w:bCs/>
          <w:sz w:val="22"/>
          <w:szCs w:val="22"/>
        </w:rPr>
        <w:t>Recurrente</w:t>
      </w:r>
      <w:r w:rsidRPr="00151769">
        <w:rPr>
          <w:rFonts w:ascii="Palatino Linotype" w:eastAsia="Palatino Linotype" w:hAnsi="Palatino Linotype" w:cs="Palatino Linotype"/>
          <w:sz w:val="22"/>
          <w:szCs w:val="22"/>
        </w:rPr>
        <w:t xml:space="preserve"> interpuso el recurso de revisión a través de </w:t>
      </w:r>
      <w:r w:rsidRPr="00151769">
        <w:rPr>
          <w:rFonts w:ascii="Palatino Linotype" w:eastAsia="Palatino Linotype" w:hAnsi="Palatino Linotype" w:cs="Palatino Linotype"/>
          <w:b/>
          <w:bCs/>
          <w:sz w:val="22"/>
          <w:szCs w:val="22"/>
        </w:rPr>
        <w:t xml:space="preserve">SAIMEX, </w:t>
      </w:r>
      <w:r w:rsidRPr="00151769">
        <w:rPr>
          <w:rFonts w:ascii="Palatino Linotype" w:eastAsia="Palatino Linotype" w:hAnsi="Palatino Linotype" w:cs="Palatino Linotype"/>
          <w:sz w:val="22"/>
          <w:szCs w:val="22"/>
        </w:rPr>
        <w:t>en donde se manifestó de la siguiente manera:</w:t>
      </w:r>
    </w:p>
    <w:p w14:paraId="2E520E98" w14:textId="77777777" w:rsidR="005F7CF8" w:rsidRPr="00151769" w:rsidRDefault="00890B26" w:rsidP="005F7CF8">
      <w:pPr>
        <w:spacing w:before="240" w:after="240" w:line="360" w:lineRule="auto"/>
        <w:ind w:right="49"/>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 xml:space="preserve">Acto impugnado: </w:t>
      </w:r>
    </w:p>
    <w:p w14:paraId="0D81AF01" w14:textId="7E6C3065" w:rsidR="00E723FE" w:rsidRPr="00151769" w:rsidRDefault="00890B26" w:rsidP="004125AE">
      <w:pPr>
        <w:spacing w:before="240" w:after="240" w:line="360" w:lineRule="auto"/>
        <w:ind w:left="851" w:right="49"/>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00C107AD" w:rsidRPr="00151769">
        <w:rPr>
          <w:rFonts w:ascii="Palatino Linotype" w:eastAsia="Verdana" w:hAnsi="Palatino Linotype" w:cs="Verdana"/>
          <w:sz w:val="22"/>
          <w:szCs w:val="22"/>
        </w:rPr>
        <w:t>L</w:t>
      </w:r>
      <w:r w:rsidR="00C107AD" w:rsidRPr="00151769">
        <w:rPr>
          <w:rFonts w:ascii="Palatino Linotype" w:eastAsia="Palatino Linotype" w:hAnsi="Palatino Linotype" w:cs="Palatino Linotype"/>
          <w:i/>
          <w:iCs/>
          <w:sz w:val="22"/>
          <w:szCs w:val="22"/>
        </w:rPr>
        <w:t>a declaración de incompetencia del sujeto obligado para atender la solicitud de acceso a la información pública número 00008/IMCUFIDEHUEHUET/IP/2026, así como la falta de orientación y/o canalización específica hacia la o las unidades administrativas o sujetos obligados que pudieran resultar competentes para atender cada uno de los puntos solicitados.</w:t>
      </w:r>
      <w:r w:rsidRPr="00151769">
        <w:rPr>
          <w:rFonts w:ascii="Palatino Linotype" w:eastAsia="Palatino Linotype" w:hAnsi="Palatino Linotype" w:cs="Palatino Linotype"/>
          <w:i/>
          <w:iCs/>
          <w:sz w:val="22"/>
          <w:szCs w:val="22"/>
        </w:rPr>
        <w:t>." (sic)</w:t>
      </w:r>
    </w:p>
    <w:p w14:paraId="43237023" w14:textId="77777777" w:rsidR="00E723FE" w:rsidRPr="00151769" w:rsidRDefault="00890B26">
      <w:pPr>
        <w:spacing w:line="360" w:lineRule="auto"/>
        <w:jc w:val="both"/>
        <w:rPr>
          <w:rFonts w:ascii="Palatino Linotype" w:eastAsia="Palatino Linotype" w:hAnsi="Palatino Linotype" w:cs="Palatino Linotype"/>
          <w:sz w:val="22"/>
          <w:szCs w:val="22"/>
        </w:rPr>
      </w:pPr>
      <w:bookmarkStart w:id="5" w:name="_heading=h.30j0zll" w:colFirst="0" w:colLast="0"/>
      <w:bookmarkEnd w:id="5"/>
      <w:r w:rsidRPr="00151769">
        <w:rPr>
          <w:rFonts w:ascii="Palatino Linotype" w:eastAsia="Palatino Linotype" w:hAnsi="Palatino Linotype" w:cs="Palatino Linotype"/>
          <w:b/>
          <w:bCs/>
          <w:sz w:val="22"/>
          <w:szCs w:val="22"/>
        </w:rPr>
        <w:t>Y, Razones o motivos de inconformidad</w:t>
      </w:r>
      <w:r w:rsidRPr="00151769">
        <w:rPr>
          <w:rFonts w:ascii="Palatino Linotype" w:eastAsia="Palatino Linotype" w:hAnsi="Palatino Linotype" w:cs="Palatino Linotype"/>
          <w:sz w:val="22"/>
          <w:szCs w:val="22"/>
        </w:rPr>
        <w:t>:</w:t>
      </w:r>
    </w:p>
    <w:p w14:paraId="4191C016" w14:textId="352CF8FA" w:rsidR="00E723FE" w:rsidRPr="00151769" w:rsidRDefault="00890B26" w:rsidP="00C107AD">
      <w:pPr>
        <w:tabs>
          <w:tab w:val="left" w:pos="2745"/>
        </w:tabs>
        <w:spacing w:before="240" w:after="240" w:line="276" w:lineRule="auto"/>
        <w:ind w:left="851" w:right="900"/>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00C107AD" w:rsidRPr="00151769">
        <w:rPr>
          <w:rFonts w:ascii="Palatino Linotype" w:eastAsia="Palatino Linotype" w:hAnsi="Palatino Linotype" w:cs="Palatino Linotype"/>
          <w:i/>
          <w:iCs/>
          <w:sz w:val="22"/>
          <w:szCs w:val="22"/>
        </w:rPr>
        <w:t>Me inconformo con la respuesta emitida por el sujeto obligado, toda vez que se limita a declarar su incompetencia respecto de la totalidad de la solicitud, sin realizar un análisis individual de cada uno de los puntos planteados y sin proporcionar información alguna. La solicitud comprende diversos aspectos relacionados con las actividades desarrolladas en la Presa de Cuevecillas, entre ellos la venta y consumo de bebidas alcohólicas, operación de una embarcación recreativa, inspecciones, medidas de seguridad, vigilancia y marco normativo aplicable. No obstante, el sujeto obligado determinó de manera general que carece de competencia para conocer de toda la información solicitada. Respuesta presa.pdf Asimismo, la propia respuesta reconoce que la información solicitada pudiera corresponder a otro sujeto obligado o dependencia de la administración pública; sin embargo, no identifica de manera concreta qué autoridad resulta competente para atender cada rubro, limitándose a señalar que el solicitante puede presentar nuevamente su petición ante quien estime competente. Respuesta presa.pdf Por lo anterior, solicito que se revise la legalidad y suficiencia de la declaración de incompetencia y, en su caso, se ordene al sujeto obligado realizar una búsqueda exhaustiva y razonable de aquella información que pudiera encontrarse dentro de sus archivos o atribuciones y que, respecto de aquella sobre la cual efectivamente resulte incompetente, se proceda conforme a las obligaciones establecidas en la legislación de transparencia aplicable...”</w:t>
      </w:r>
      <w:r w:rsidRPr="00151769">
        <w:rPr>
          <w:rFonts w:ascii="Palatino Linotype" w:eastAsia="Palatino Linotype" w:hAnsi="Palatino Linotype" w:cs="Palatino Linotype"/>
          <w:i/>
          <w:iCs/>
          <w:sz w:val="22"/>
          <w:szCs w:val="22"/>
        </w:rPr>
        <w:t xml:space="preserve"> (sic)</w:t>
      </w:r>
    </w:p>
    <w:p w14:paraId="7508C224" w14:textId="77777777" w:rsidR="00C107AD" w:rsidRPr="00151769" w:rsidRDefault="00C107AD" w:rsidP="00C107AD">
      <w:pPr>
        <w:tabs>
          <w:tab w:val="left" w:pos="2745"/>
        </w:tabs>
        <w:spacing w:before="240" w:after="240" w:line="276" w:lineRule="auto"/>
        <w:ind w:left="851" w:right="900"/>
        <w:jc w:val="both"/>
        <w:rPr>
          <w:rFonts w:ascii="Palatino Linotype" w:eastAsia="Palatino Linotype" w:hAnsi="Palatino Linotype" w:cs="Palatino Linotype"/>
          <w:i/>
          <w:iCs/>
          <w:sz w:val="22"/>
          <w:szCs w:val="22"/>
        </w:rPr>
      </w:pPr>
    </w:p>
    <w:p w14:paraId="0F82EFE0" w14:textId="1F60622F"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 xml:space="preserve">4. Turno. </w:t>
      </w:r>
      <w:r w:rsidRPr="00151769">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w:t>
      </w:r>
      <w:r w:rsidR="00C107AD" w:rsidRPr="00151769">
        <w:rPr>
          <w:rFonts w:ascii="Palatino Linotype" w:eastAsia="Palatino Linotype" w:hAnsi="Palatino Linotype" w:cs="Palatino Linotype"/>
          <w:sz w:val="22"/>
          <w:szCs w:val="22"/>
        </w:rPr>
        <w:t>al Comisionado Luis Gustavo Parra Noriega</w:t>
      </w:r>
      <w:r w:rsidRPr="00151769">
        <w:rPr>
          <w:rFonts w:ascii="Palatino Linotype" w:eastAsia="Palatino Linotype" w:hAnsi="Palatino Linotype" w:cs="Palatino Linotype"/>
          <w:b/>
          <w:bCs/>
          <w:sz w:val="22"/>
          <w:szCs w:val="22"/>
        </w:rPr>
        <w:t xml:space="preserve">, </w:t>
      </w:r>
      <w:r w:rsidRPr="00151769">
        <w:rPr>
          <w:rFonts w:ascii="Palatino Linotype" w:eastAsia="Palatino Linotype" w:hAnsi="Palatino Linotype" w:cs="Palatino Linotype"/>
          <w:sz w:val="22"/>
          <w:szCs w:val="22"/>
        </w:rPr>
        <w:t>a efecto de que analizara sobre su admisión o su desechamiento.</w:t>
      </w:r>
    </w:p>
    <w:p w14:paraId="3BDEFAFF" w14:textId="744FEE29" w:rsidR="00C107AD" w:rsidRPr="00151769" w:rsidRDefault="00890B26">
      <w:pPr>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5. Admisión del Recurso de revisión.</w:t>
      </w:r>
      <w:r w:rsidRPr="00151769">
        <w:rPr>
          <w:rFonts w:ascii="Palatino Linotype" w:eastAsia="Palatino Linotype" w:hAnsi="Palatino Linotype" w:cs="Palatino Linotype"/>
          <w:sz w:val="22"/>
          <w:szCs w:val="22"/>
        </w:rPr>
        <w:t xml:space="preserve"> El</w:t>
      </w:r>
      <w:r w:rsidRPr="00151769">
        <w:rPr>
          <w:rFonts w:ascii="Palatino Linotype" w:eastAsia="Palatino Linotype" w:hAnsi="Palatino Linotype" w:cs="Palatino Linotype"/>
          <w:b/>
          <w:bCs/>
          <w:sz w:val="22"/>
          <w:szCs w:val="22"/>
        </w:rPr>
        <w:t xml:space="preserve"> </w:t>
      </w:r>
      <w:r w:rsidR="00C107AD" w:rsidRPr="00151769">
        <w:rPr>
          <w:rFonts w:ascii="Palatino Linotype" w:eastAsia="Palatino Linotype" w:hAnsi="Palatino Linotype" w:cs="Palatino Linotype"/>
          <w:b/>
          <w:bCs/>
          <w:sz w:val="22"/>
          <w:szCs w:val="22"/>
        </w:rPr>
        <w:t>catorce de agosto</w:t>
      </w:r>
      <w:r w:rsidRPr="00151769">
        <w:rPr>
          <w:rFonts w:ascii="Palatino Linotype" w:eastAsia="Palatino Linotype" w:hAnsi="Palatino Linotype" w:cs="Palatino Linotype"/>
          <w:b/>
          <w:bCs/>
          <w:sz w:val="22"/>
          <w:szCs w:val="22"/>
        </w:rPr>
        <w:t xml:space="preserve"> de dos mil veintiséis, </w:t>
      </w:r>
      <w:r w:rsidRPr="00151769">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presentara su informe justificado.</w:t>
      </w:r>
    </w:p>
    <w:p w14:paraId="030FAF77" w14:textId="5C9BCABE" w:rsidR="00E723FE" w:rsidRPr="00151769" w:rsidRDefault="00890B26">
      <w:pPr>
        <w:spacing w:before="240" w:after="240" w:line="360" w:lineRule="auto"/>
        <w:jc w:val="both"/>
        <w:rPr>
          <w:rFonts w:ascii="Palatino Linotype" w:eastAsia="Palatino Linotype" w:hAnsi="Palatino Linotype" w:cs="Palatino Linotype"/>
          <w:sz w:val="22"/>
          <w:szCs w:val="22"/>
        </w:rPr>
      </w:pPr>
      <w:bookmarkStart w:id="6" w:name="_heading=h.2s8eyo1" w:colFirst="0" w:colLast="0"/>
      <w:bookmarkEnd w:id="6"/>
      <w:r w:rsidRPr="00151769">
        <w:rPr>
          <w:rFonts w:ascii="Palatino Linotype" w:eastAsia="Palatino Linotype" w:hAnsi="Palatino Linotype" w:cs="Palatino Linotype"/>
          <w:b/>
          <w:bCs/>
          <w:sz w:val="22"/>
          <w:szCs w:val="22"/>
        </w:rPr>
        <w:t>6. Manifestaciones</w:t>
      </w:r>
      <w:r w:rsidRPr="00151769">
        <w:rPr>
          <w:rFonts w:ascii="Palatino Linotype" w:eastAsia="Palatino Linotype" w:hAnsi="Palatino Linotype" w:cs="Palatino Linotype"/>
          <w:sz w:val="22"/>
          <w:szCs w:val="22"/>
        </w:rPr>
        <w:t xml:space="preserve">. El </w:t>
      </w:r>
      <w:r w:rsidR="00C107AD" w:rsidRPr="00151769">
        <w:rPr>
          <w:rFonts w:ascii="Palatino Linotype" w:eastAsia="Palatino Linotype" w:hAnsi="Palatino Linotype" w:cs="Palatino Linotype"/>
          <w:b/>
          <w:bCs/>
          <w:sz w:val="22"/>
          <w:szCs w:val="22"/>
        </w:rPr>
        <w:t>diecisiete de agosto</w:t>
      </w:r>
      <w:r w:rsidR="005F7CF8" w:rsidRPr="00151769">
        <w:rPr>
          <w:rFonts w:ascii="Palatino Linotype" w:eastAsia="Palatino Linotype" w:hAnsi="Palatino Linotype" w:cs="Palatino Linotype"/>
          <w:b/>
          <w:bCs/>
          <w:sz w:val="22"/>
          <w:szCs w:val="22"/>
        </w:rPr>
        <w:t xml:space="preserve"> de d</w:t>
      </w:r>
      <w:r w:rsidRPr="00151769">
        <w:rPr>
          <w:rFonts w:ascii="Palatino Linotype" w:eastAsia="Palatino Linotype" w:hAnsi="Palatino Linotype" w:cs="Palatino Linotype"/>
          <w:b/>
          <w:bCs/>
          <w:sz w:val="22"/>
          <w:szCs w:val="22"/>
        </w:rPr>
        <w:t>os mil veintiséis</w:t>
      </w:r>
      <w:r w:rsidRPr="00151769">
        <w:rPr>
          <w:rFonts w:ascii="Palatino Linotype" w:eastAsia="Palatino Linotype" w:hAnsi="Palatino Linotype" w:cs="Palatino Linotype"/>
          <w:sz w:val="22"/>
          <w:szCs w:val="22"/>
        </w:rPr>
        <w:t xml:space="preserve">, 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remitió, a través del SAIMEX, mediante el cual en lo medular ratificó la respuesta inicial.</w:t>
      </w:r>
    </w:p>
    <w:p w14:paraId="0BCB1BEF" w14:textId="77777777" w:rsidR="00E723FE" w:rsidRPr="00151769" w:rsidRDefault="00890B26">
      <w:pPr>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Documento el anterior que fue puesto a la vista de la parte Recurrente, a fin de que hiciera valer alegatos o manifestaciones que conforme a derecho resultaran procedentes, no obstante, fue omisa en ejercer dicha prerrogativa.</w:t>
      </w:r>
    </w:p>
    <w:p w14:paraId="39709FD1" w14:textId="77777777" w:rsidR="00C107AD" w:rsidRPr="00151769" w:rsidRDefault="00C107AD" w:rsidP="00C107AD">
      <w:pPr>
        <w:spacing w:line="360" w:lineRule="auto"/>
        <w:ind w:right="51"/>
        <w:jc w:val="both"/>
        <w:rPr>
          <w:rFonts w:ascii="Palatino Linotype" w:eastAsia="Palatino Linotype" w:hAnsi="Palatino Linotype" w:cs="Palatino Linotype"/>
          <w:bCs/>
        </w:rPr>
      </w:pPr>
      <w:bookmarkStart w:id="7" w:name="_Hlk238731065"/>
      <w:r w:rsidRPr="00151769">
        <w:rPr>
          <w:rFonts w:ascii="Palatino Linotype" w:eastAsia="Palatino Linotype" w:hAnsi="Palatino Linotype" w:cs="Palatino Linotype"/>
          <w:b/>
          <w:sz w:val="22"/>
          <w:szCs w:val="22"/>
        </w:rPr>
        <w:t xml:space="preserve">7. </w:t>
      </w:r>
      <w:bookmarkStart w:id="8" w:name="_Hlk238730724"/>
      <w:bookmarkStart w:id="9" w:name="_Hlk238729428"/>
      <w:r w:rsidRPr="00151769">
        <w:rPr>
          <w:rFonts w:ascii="Palatino Linotype" w:eastAsia="Palatino Linotype" w:hAnsi="Palatino Linotype" w:cs="Palatino Linotype"/>
          <w:b/>
          <w:sz w:val="22"/>
          <w:szCs w:val="22"/>
        </w:rPr>
        <w:t xml:space="preserve">Returno. </w:t>
      </w:r>
      <w:r w:rsidRPr="00151769">
        <w:rPr>
          <w:rFonts w:ascii="Palatino Linotype" w:eastAsia="Palatino Linotype" w:hAnsi="Palatino Linotype" w:cs="Palatino Linotype"/>
          <w:bCs/>
          <w:sz w:val="22"/>
          <w:szCs w:val="22"/>
        </w:rPr>
        <w:t xml:space="preserve">Mediante acuerdo emitido por el Pleno de este Instituto, el </w:t>
      </w:r>
      <w:r w:rsidRPr="00151769">
        <w:rPr>
          <w:rFonts w:ascii="Palatino Linotype" w:eastAsia="Palatino Linotype" w:hAnsi="Palatino Linotype" w:cs="Palatino Linotype"/>
          <w:sz w:val="22"/>
          <w:szCs w:val="22"/>
        </w:rPr>
        <w:t>diecinueve de agosto de dos mil veintiséis</w:t>
      </w:r>
      <w:r w:rsidRPr="00151769">
        <w:rPr>
          <w:rFonts w:ascii="Palatino Linotype" w:eastAsia="Palatino Linotype" w:hAnsi="Palatino Linotype" w:cs="Palatino Linotype"/>
          <w:b/>
          <w:sz w:val="22"/>
          <w:szCs w:val="22"/>
        </w:rPr>
        <w:t xml:space="preserve">, </w:t>
      </w:r>
      <w:r w:rsidRPr="00151769">
        <w:rPr>
          <w:rFonts w:ascii="Palatino Linotype" w:eastAsia="Palatino Linotype" w:hAnsi="Palatino Linotype" w:cs="Palatino Linotype"/>
          <w:bCs/>
          <w:sz w:val="22"/>
          <w:szCs w:val="22"/>
        </w:rPr>
        <w:t xml:space="preserve">se aprobó el returno del recurso de revisión, a la Ponencia de la Comisionada </w:t>
      </w:r>
      <w:r w:rsidRPr="00151769">
        <w:rPr>
          <w:rFonts w:ascii="Palatino Linotype" w:eastAsia="Palatino Linotype" w:hAnsi="Palatino Linotype" w:cs="Palatino Linotype"/>
          <w:b/>
          <w:sz w:val="22"/>
          <w:szCs w:val="22"/>
        </w:rPr>
        <w:t>Guadalupe Ramírez Peña</w:t>
      </w:r>
      <w:r w:rsidRPr="00151769">
        <w:rPr>
          <w:rFonts w:ascii="Palatino Linotype" w:eastAsia="Palatino Linotype" w:hAnsi="Palatino Linotype" w:cs="Palatino Linotype"/>
          <w:bCs/>
          <w:sz w:val="22"/>
          <w:szCs w:val="22"/>
        </w:rPr>
        <w:t>, para su resolución</w:t>
      </w:r>
      <w:r w:rsidRPr="00151769">
        <w:rPr>
          <w:rFonts w:ascii="Palatino Linotype" w:eastAsia="Palatino Linotype" w:hAnsi="Palatino Linotype" w:cs="Palatino Linotype"/>
          <w:bCs/>
        </w:rPr>
        <w:t>.</w:t>
      </w:r>
      <w:bookmarkEnd w:id="8"/>
      <w:r w:rsidRPr="00151769">
        <w:rPr>
          <w:rFonts w:ascii="Palatino Linotype" w:eastAsia="Palatino Linotype" w:hAnsi="Palatino Linotype" w:cs="Palatino Linotype"/>
          <w:bCs/>
        </w:rPr>
        <w:t xml:space="preserve"> </w:t>
      </w:r>
      <w:bookmarkEnd w:id="7"/>
      <w:bookmarkEnd w:id="9"/>
    </w:p>
    <w:p w14:paraId="40BC3170" w14:textId="643C9379" w:rsidR="00E723FE" w:rsidRPr="00151769" w:rsidRDefault="00647569">
      <w:pPr>
        <w:spacing w:before="240" w:after="240" w:line="360" w:lineRule="auto"/>
        <w:jc w:val="both"/>
        <w:rPr>
          <w:rFonts w:ascii="Palatino Linotype" w:eastAsia="Palatino Linotype" w:hAnsi="Palatino Linotype" w:cs="Palatino Linotype"/>
          <w:sz w:val="22"/>
          <w:szCs w:val="22"/>
        </w:rPr>
      </w:pPr>
      <w:bookmarkStart w:id="10" w:name="_heading=h.zdofiiwjto8b" w:colFirst="0" w:colLast="0"/>
      <w:bookmarkEnd w:id="10"/>
      <w:r w:rsidRPr="00151769">
        <w:rPr>
          <w:rFonts w:ascii="Palatino Linotype" w:eastAsia="Palatino Linotype" w:hAnsi="Palatino Linotype" w:cs="Palatino Linotype"/>
          <w:b/>
          <w:bCs/>
          <w:sz w:val="22"/>
          <w:szCs w:val="22"/>
        </w:rPr>
        <w:t>8</w:t>
      </w:r>
      <w:r w:rsidR="00890B26" w:rsidRPr="00151769">
        <w:rPr>
          <w:rFonts w:ascii="Palatino Linotype" w:eastAsia="Palatino Linotype" w:hAnsi="Palatino Linotype" w:cs="Palatino Linotype"/>
          <w:b/>
          <w:bCs/>
          <w:sz w:val="22"/>
          <w:szCs w:val="22"/>
        </w:rPr>
        <w:t xml:space="preserve">. Cierre de instrucción. </w:t>
      </w:r>
      <w:r w:rsidR="00890B26" w:rsidRPr="00151769">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000D1809" w:rsidRPr="00151769">
        <w:rPr>
          <w:rFonts w:ascii="Palatino Linotype" w:eastAsia="Palatino Linotype" w:hAnsi="Palatino Linotype" w:cs="Palatino Linotype"/>
          <w:b/>
          <w:bCs/>
          <w:sz w:val="22"/>
          <w:szCs w:val="22"/>
        </w:rPr>
        <w:t>quince</w:t>
      </w:r>
      <w:r w:rsidR="00C107AD" w:rsidRPr="00151769">
        <w:rPr>
          <w:rFonts w:ascii="Palatino Linotype" w:eastAsia="Palatino Linotype" w:hAnsi="Palatino Linotype" w:cs="Palatino Linotype"/>
          <w:b/>
          <w:bCs/>
          <w:sz w:val="22"/>
          <w:szCs w:val="22"/>
        </w:rPr>
        <w:t xml:space="preserve"> de septiembre</w:t>
      </w:r>
      <w:r w:rsidR="00890B26" w:rsidRPr="00151769">
        <w:rPr>
          <w:rFonts w:ascii="Palatino Linotype" w:eastAsia="Palatino Linotype" w:hAnsi="Palatino Linotype" w:cs="Palatino Linotype"/>
          <w:b/>
          <w:bCs/>
          <w:sz w:val="22"/>
          <w:szCs w:val="22"/>
        </w:rPr>
        <w:t xml:space="preserve"> de dos mil veintiséis</w:t>
      </w:r>
      <w:r w:rsidR="00890B26" w:rsidRPr="00151769">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0EC15C0C" w14:textId="77777777" w:rsidR="00E723FE" w:rsidRPr="00151769" w:rsidRDefault="00890B26">
      <w:pPr>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2AF50157" w14:textId="77777777" w:rsidR="00E723FE" w:rsidRPr="00151769" w:rsidRDefault="00890B26">
      <w:pPr>
        <w:widowControl w:val="0"/>
        <w:spacing w:before="240" w:after="240" w:line="360" w:lineRule="auto"/>
        <w:jc w:val="center"/>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II. C O N S I D E R A N D O S</w:t>
      </w:r>
    </w:p>
    <w:p w14:paraId="14413D4D"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Primero. Competencia.</w:t>
      </w:r>
      <w:r w:rsidRPr="00151769">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5D96C85"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2124F0FA" w14:textId="77777777" w:rsidR="00E723FE" w:rsidRPr="00151769" w:rsidRDefault="00890B26">
      <w:pPr>
        <w:spacing w:line="360" w:lineRule="auto"/>
        <w:jc w:val="both"/>
        <w:rPr>
          <w:rFonts w:ascii="Palatino Linotype" w:eastAsia="Palatino Linotype" w:hAnsi="Palatino Linotype" w:cs="Palatino Linotype"/>
          <w:sz w:val="22"/>
          <w:szCs w:val="22"/>
        </w:rPr>
      </w:pPr>
      <w:bookmarkStart w:id="11" w:name="_heading=h.tyjcwt" w:colFirst="0" w:colLast="0"/>
      <w:bookmarkEnd w:id="11"/>
      <w:r w:rsidRPr="00151769">
        <w:rPr>
          <w:rFonts w:ascii="Palatino Linotype" w:eastAsia="Palatino Linotype" w:hAnsi="Palatino Linotype" w:cs="Palatino Linotype"/>
          <w:b/>
          <w:bCs/>
          <w:sz w:val="22"/>
          <w:szCs w:val="22"/>
        </w:rPr>
        <w:t>Segundo. Oportunidad y Procedibilidad del Recurso de Revisión</w:t>
      </w:r>
      <w:r w:rsidRPr="00151769">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213D6550"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4B647445" w14:textId="4E3EEE1D"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remitió la respuesta a la solicitud de información el</w:t>
      </w:r>
      <w:r w:rsidRPr="00151769">
        <w:t xml:space="preserve"> </w:t>
      </w:r>
      <w:r w:rsidR="005F7CF8" w:rsidRPr="00151769">
        <w:rPr>
          <w:rFonts w:ascii="Palatino Linotype" w:eastAsia="Palatino Linotype" w:hAnsi="Palatino Linotype" w:cs="Palatino Linotype"/>
          <w:b/>
          <w:bCs/>
          <w:sz w:val="22"/>
          <w:szCs w:val="22"/>
        </w:rPr>
        <w:t>nueve de julio</w:t>
      </w:r>
      <w:r w:rsidRPr="00151769">
        <w:rPr>
          <w:rFonts w:ascii="Palatino Linotype" w:eastAsia="Palatino Linotype" w:hAnsi="Palatino Linotype" w:cs="Palatino Linotype"/>
          <w:b/>
          <w:bCs/>
          <w:sz w:val="22"/>
          <w:szCs w:val="22"/>
        </w:rPr>
        <w:t xml:space="preserve"> de dos mil veintiséis, </w:t>
      </w:r>
      <w:r w:rsidRPr="00151769">
        <w:rPr>
          <w:rFonts w:ascii="Palatino Linotype" w:eastAsia="Palatino Linotype" w:hAnsi="Palatino Linotype" w:cs="Palatino Linotype"/>
          <w:sz w:val="22"/>
          <w:szCs w:val="22"/>
        </w:rPr>
        <w:t xml:space="preserve">mientras que el recurso de revisión interpuesto por </w:t>
      </w:r>
      <w:r w:rsidRPr="00151769">
        <w:rPr>
          <w:rFonts w:ascii="Palatino Linotype" w:eastAsia="Palatino Linotype" w:hAnsi="Palatino Linotype" w:cs="Palatino Linotype"/>
          <w:b/>
          <w:bCs/>
          <w:sz w:val="22"/>
          <w:szCs w:val="22"/>
        </w:rPr>
        <w:t>la parte</w:t>
      </w:r>
      <w:r w:rsidRPr="00151769">
        <w:rPr>
          <w:rFonts w:ascii="Palatino Linotype" w:eastAsia="Palatino Linotype" w:hAnsi="Palatino Linotype" w:cs="Palatino Linotype"/>
          <w:sz w:val="22"/>
          <w:szCs w:val="22"/>
        </w:rPr>
        <w:t xml:space="preserve"> </w:t>
      </w:r>
      <w:r w:rsidRPr="00151769">
        <w:rPr>
          <w:rFonts w:ascii="Palatino Linotype" w:eastAsia="Palatino Linotype" w:hAnsi="Palatino Linotype" w:cs="Palatino Linotype"/>
          <w:b/>
          <w:bCs/>
          <w:sz w:val="22"/>
          <w:szCs w:val="22"/>
        </w:rPr>
        <w:t>Recurrente</w:t>
      </w:r>
      <w:r w:rsidRPr="00151769">
        <w:rPr>
          <w:rFonts w:ascii="Palatino Linotype" w:eastAsia="Palatino Linotype" w:hAnsi="Palatino Linotype" w:cs="Palatino Linotype"/>
          <w:sz w:val="22"/>
          <w:szCs w:val="22"/>
        </w:rPr>
        <w:t xml:space="preserve">, se tuvo por presentado el </w:t>
      </w:r>
      <w:r w:rsidR="004125AE" w:rsidRPr="00151769">
        <w:rPr>
          <w:rFonts w:ascii="Palatino Linotype" w:eastAsia="Palatino Linotype" w:hAnsi="Palatino Linotype" w:cs="Palatino Linotype"/>
          <w:b/>
          <w:bCs/>
          <w:sz w:val="22"/>
          <w:szCs w:val="22"/>
        </w:rPr>
        <w:t>dieciséis</w:t>
      </w:r>
      <w:r w:rsidR="005F7CF8" w:rsidRPr="00151769">
        <w:rPr>
          <w:rFonts w:ascii="Palatino Linotype" w:eastAsia="Palatino Linotype" w:hAnsi="Palatino Linotype" w:cs="Palatino Linotype"/>
          <w:b/>
          <w:bCs/>
          <w:sz w:val="22"/>
          <w:szCs w:val="22"/>
        </w:rPr>
        <w:t xml:space="preserve"> de julio</w:t>
      </w:r>
      <w:r w:rsidRPr="00151769">
        <w:rPr>
          <w:rFonts w:ascii="Palatino Linotype" w:eastAsia="Palatino Linotype" w:hAnsi="Palatino Linotype" w:cs="Palatino Linotype"/>
          <w:b/>
          <w:bCs/>
          <w:sz w:val="22"/>
          <w:szCs w:val="22"/>
        </w:rPr>
        <w:t xml:space="preserve"> de dos mil veintiséis</w:t>
      </w:r>
      <w:r w:rsidRPr="00151769">
        <w:rPr>
          <w:rFonts w:ascii="Palatino Linotype" w:eastAsia="Palatino Linotype" w:hAnsi="Palatino Linotype" w:cs="Palatino Linotype"/>
          <w:sz w:val="22"/>
          <w:szCs w:val="22"/>
        </w:rPr>
        <w:t xml:space="preserve"> esto es, </w:t>
      </w:r>
      <w:r w:rsidR="004125AE" w:rsidRPr="00151769">
        <w:rPr>
          <w:rFonts w:ascii="Palatino Linotype" w:eastAsia="Palatino Linotype" w:hAnsi="Palatino Linotype" w:cs="Palatino Linotype"/>
          <w:sz w:val="22"/>
          <w:szCs w:val="22"/>
        </w:rPr>
        <w:t xml:space="preserve">el quinto </w:t>
      </w:r>
      <w:r w:rsidRPr="00151769">
        <w:rPr>
          <w:rFonts w:ascii="Palatino Linotype" w:eastAsia="Palatino Linotype" w:hAnsi="Palatino Linotype" w:cs="Palatino Linotype"/>
          <w:sz w:val="22"/>
          <w:szCs w:val="22"/>
        </w:rPr>
        <w:t>día</w:t>
      </w:r>
      <w:r w:rsidR="004125AE" w:rsidRPr="00151769">
        <w:rPr>
          <w:rFonts w:ascii="Palatino Linotype" w:eastAsia="Palatino Linotype" w:hAnsi="Palatino Linotype" w:cs="Palatino Linotype"/>
          <w:sz w:val="22"/>
          <w:szCs w:val="22"/>
        </w:rPr>
        <w:t xml:space="preserve"> hábil siguiente al </w:t>
      </w:r>
      <w:r w:rsidRPr="00151769">
        <w:rPr>
          <w:rFonts w:ascii="Palatino Linotype" w:eastAsia="Palatino Linotype" w:hAnsi="Palatino Linotype" w:cs="Palatino Linotype"/>
          <w:b/>
          <w:bCs/>
          <w:sz w:val="22"/>
          <w:szCs w:val="22"/>
        </w:rPr>
        <w:t>que se tuvo conocimiento de la respuesta impugnada</w:t>
      </w:r>
      <w:r w:rsidRPr="00151769">
        <w:rPr>
          <w:rFonts w:ascii="Palatino Linotype" w:eastAsia="Palatino Linotype" w:hAnsi="Palatino Linotype" w:cs="Palatino Linotype"/>
          <w:sz w:val="22"/>
          <w:szCs w:val="22"/>
        </w:rPr>
        <w:t xml:space="preserve">. </w:t>
      </w:r>
    </w:p>
    <w:p w14:paraId="67CD5C79"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4C616CE4"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En este sentido, se concluye que el presente recurso de revisión se encuentra dentro de los márgenes temporales previstos en las disposiciones legales referidas.</w:t>
      </w:r>
    </w:p>
    <w:p w14:paraId="0C59220D" w14:textId="77777777" w:rsidR="00647569" w:rsidRPr="00151769" w:rsidRDefault="00647569">
      <w:pPr>
        <w:spacing w:line="360" w:lineRule="auto"/>
        <w:jc w:val="both"/>
        <w:rPr>
          <w:rFonts w:ascii="Palatino Linotype" w:eastAsia="Palatino Linotype" w:hAnsi="Palatino Linotype" w:cs="Palatino Linotype"/>
          <w:sz w:val="22"/>
          <w:szCs w:val="22"/>
        </w:rPr>
      </w:pPr>
    </w:p>
    <w:p w14:paraId="742AF5D1" w14:textId="7D9533E2" w:rsidR="00E723FE" w:rsidRPr="00151769" w:rsidRDefault="00890B26">
      <w:pPr>
        <w:tabs>
          <w:tab w:val="left" w:pos="7938"/>
        </w:tabs>
        <w:spacing w:line="360" w:lineRule="auto"/>
        <w:jc w:val="both"/>
        <w:rPr>
          <w:rFonts w:ascii="Palatino Linotype" w:eastAsia="Palatino Linotype" w:hAnsi="Palatino Linotype" w:cs="Palatino Linotype"/>
          <w:sz w:val="22"/>
          <w:szCs w:val="22"/>
        </w:rPr>
      </w:pPr>
      <w:bookmarkStart w:id="12" w:name="_heading=h.3znysh7" w:colFirst="0" w:colLast="0"/>
      <w:bookmarkEnd w:id="12"/>
      <w:r w:rsidRPr="00151769">
        <w:rPr>
          <w:rFonts w:ascii="Palatino Linotype" w:eastAsia="Palatino Linotype" w:hAnsi="Palatino Linotype" w:cs="Palatino Linotype"/>
          <w:sz w:val="22"/>
          <w:szCs w:val="22"/>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2F2553A7" w14:textId="77777777" w:rsidR="00E723FE" w:rsidRPr="00151769" w:rsidRDefault="00E723FE">
      <w:pPr>
        <w:tabs>
          <w:tab w:val="left" w:pos="7938"/>
        </w:tabs>
        <w:spacing w:line="360" w:lineRule="auto"/>
        <w:jc w:val="both"/>
        <w:rPr>
          <w:rFonts w:ascii="Palatino Linotype" w:eastAsia="Palatino Linotype" w:hAnsi="Palatino Linotype" w:cs="Palatino Linotype"/>
          <w:sz w:val="22"/>
          <w:szCs w:val="22"/>
        </w:rPr>
      </w:pPr>
    </w:p>
    <w:p w14:paraId="460709E8"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Finalmente, se advierte que resulta procedente la interposición del recurso, según lo manifestado por </w:t>
      </w:r>
      <w:r w:rsidRPr="00151769">
        <w:rPr>
          <w:rFonts w:ascii="Palatino Linotype" w:eastAsia="Palatino Linotype" w:hAnsi="Palatino Linotype" w:cs="Palatino Linotype"/>
          <w:b/>
          <w:bCs/>
          <w:sz w:val="22"/>
          <w:szCs w:val="22"/>
        </w:rPr>
        <w:t>la parte</w:t>
      </w:r>
      <w:r w:rsidRPr="00151769">
        <w:rPr>
          <w:rFonts w:ascii="Palatino Linotype" w:eastAsia="Palatino Linotype" w:hAnsi="Palatino Linotype" w:cs="Palatino Linotype"/>
          <w:sz w:val="22"/>
          <w:szCs w:val="22"/>
        </w:rPr>
        <w:t xml:space="preserve"> </w:t>
      </w:r>
      <w:r w:rsidRPr="00151769">
        <w:rPr>
          <w:rFonts w:ascii="Palatino Linotype" w:eastAsia="Palatino Linotype" w:hAnsi="Palatino Linotype" w:cs="Palatino Linotype"/>
          <w:b/>
          <w:bCs/>
          <w:sz w:val="22"/>
          <w:szCs w:val="22"/>
        </w:rPr>
        <w:t>Recurrente</w:t>
      </w:r>
      <w:r w:rsidRPr="00151769">
        <w:rPr>
          <w:rFonts w:ascii="Palatino Linotype" w:eastAsia="Palatino Linotype" w:hAnsi="Palatino Linotype" w:cs="Palatino Linotype"/>
          <w:sz w:val="22"/>
          <w:szCs w:val="22"/>
        </w:rPr>
        <w:t xml:space="preserve"> en sus motivos de inconformidad, de acuerdo al artículo 179, fracción IV del ordenamiento legal citado, que a la letra dice: </w:t>
      </w:r>
    </w:p>
    <w:p w14:paraId="1713D3C3"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6EAFA871" w14:textId="77777777" w:rsidR="00E723FE" w:rsidRPr="00151769" w:rsidRDefault="00890B26">
      <w:pPr>
        <w:ind w:left="567"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Pr="00151769">
        <w:rPr>
          <w:rFonts w:ascii="Palatino Linotype" w:eastAsia="Palatino Linotype" w:hAnsi="Palatino Linotype" w:cs="Palatino Linotype"/>
          <w:b/>
          <w:bCs/>
          <w:i/>
          <w:iCs/>
          <w:sz w:val="22"/>
          <w:szCs w:val="22"/>
        </w:rPr>
        <w:t>Artículo 179.</w:t>
      </w:r>
      <w:r w:rsidRPr="00151769">
        <w:rPr>
          <w:rFonts w:ascii="Palatino Linotype" w:eastAsia="Palatino Linotype" w:hAnsi="Palatino Linotype" w:cs="Palatino Linotype"/>
          <w:i/>
          <w:iCs/>
          <w:sz w:val="22"/>
          <w:szCs w:val="22"/>
        </w:rPr>
        <w:t xml:space="preserve"> El recurso de revisión es un medio de protección que la Ley otorga a los particulares, para hacer valer su derecho de acceso a la información pública, y procederá en contra de las siguientes causas:</w:t>
      </w:r>
    </w:p>
    <w:p w14:paraId="63DDF7A0" w14:textId="77777777" w:rsidR="00E723FE" w:rsidRPr="00151769" w:rsidRDefault="00890B26">
      <w:pPr>
        <w:ind w:left="567"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p>
    <w:p w14:paraId="5571A9A3" w14:textId="77777777" w:rsidR="00E723FE" w:rsidRPr="00151769" w:rsidRDefault="00890B26">
      <w:pPr>
        <w:ind w:left="567" w:right="902"/>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IV. La declaración de incompetencia por el sujeto obligado;</w:t>
      </w:r>
    </w:p>
    <w:p w14:paraId="0485BD5E" w14:textId="77777777" w:rsidR="00E723FE" w:rsidRPr="00151769" w:rsidRDefault="00890B26">
      <w:pPr>
        <w:ind w:left="567"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 xml:space="preserve"> […]”</w:t>
      </w:r>
    </w:p>
    <w:p w14:paraId="19BE68E3" w14:textId="77777777" w:rsidR="00E723FE" w:rsidRPr="00151769" w:rsidRDefault="00E723FE">
      <w:pPr>
        <w:ind w:left="567"/>
        <w:rPr>
          <w:rFonts w:ascii="Palatino Linotype" w:eastAsia="Palatino Linotype" w:hAnsi="Palatino Linotype" w:cs="Palatino Linotype"/>
          <w:b/>
          <w:bCs/>
          <w:i/>
          <w:iCs/>
          <w:sz w:val="22"/>
          <w:szCs w:val="22"/>
        </w:rPr>
      </w:pPr>
    </w:p>
    <w:p w14:paraId="38CA869C" w14:textId="77777777" w:rsidR="00E723FE" w:rsidRPr="00151769" w:rsidRDefault="00890B26">
      <w:pPr>
        <w:ind w:left="567" w:right="900"/>
        <w:jc w:val="right"/>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 xml:space="preserve"> </w:t>
      </w:r>
      <w:r w:rsidRPr="00151769">
        <w:rPr>
          <w:rFonts w:ascii="Palatino Linotype" w:eastAsia="Palatino Linotype" w:hAnsi="Palatino Linotype" w:cs="Palatino Linotype"/>
          <w:i/>
          <w:iCs/>
          <w:sz w:val="22"/>
          <w:szCs w:val="22"/>
        </w:rPr>
        <w:t>(Énfasis añadido)</w:t>
      </w:r>
    </w:p>
    <w:p w14:paraId="4C9AE6B6" w14:textId="77777777" w:rsidR="00E723FE" w:rsidRPr="00151769" w:rsidRDefault="00E723FE">
      <w:pPr>
        <w:ind w:left="567" w:right="900"/>
        <w:jc w:val="right"/>
        <w:rPr>
          <w:rFonts w:ascii="Palatino Linotype" w:eastAsia="Palatino Linotype" w:hAnsi="Palatino Linotype" w:cs="Palatino Linotype"/>
          <w:b/>
          <w:bCs/>
          <w:i/>
          <w:iCs/>
          <w:sz w:val="22"/>
          <w:szCs w:val="22"/>
        </w:rPr>
      </w:pPr>
    </w:p>
    <w:p w14:paraId="6D91BE5D" w14:textId="77777777" w:rsidR="00E723FE" w:rsidRPr="00151769" w:rsidRDefault="00890B26">
      <w:pPr>
        <w:spacing w:line="360" w:lineRule="auto"/>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 xml:space="preserve">Tercero. Materia de la revisión. </w:t>
      </w:r>
      <w:r w:rsidRPr="00151769">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151769">
        <w:rPr>
          <w:rFonts w:ascii="Palatino Linotype" w:eastAsia="Palatino Linotype" w:hAnsi="Palatino Linotype" w:cs="Palatino Linotype"/>
          <w:b/>
          <w:bCs/>
          <w:sz w:val="22"/>
          <w:szCs w:val="22"/>
        </w:rPr>
        <w:t>verificar si la información otorgada por el Sujeto Obligado es adecuada y suficiente para satisfacer el derecho de acceso a la información pública de la parte Recurrente,</w:t>
      </w:r>
      <w:r w:rsidRPr="00151769">
        <w:rPr>
          <w:rFonts w:ascii="Palatino Linotype" w:eastAsia="Palatino Linotype" w:hAnsi="Palatino Linotype" w:cs="Palatino Linotype"/>
          <w:sz w:val="22"/>
          <w:szCs w:val="22"/>
        </w:rPr>
        <w:t xml:space="preserve"> o en su defecto, en caso de ser procedente, ordenar la entrega de la información oportuna.</w:t>
      </w:r>
    </w:p>
    <w:p w14:paraId="0B40E55B"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53AB995E"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 xml:space="preserve">Cuarto. Estudio del asunto. </w:t>
      </w:r>
      <w:r w:rsidRPr="00151769">
        <w:rPr>
          <w:rFonts w:ascii="Palatino Linotype" w:eastAsia="Palatino Linotype" w:hAnsi="Palatino Linotype" w:cs="Palatino Linotype"/>
          <w:sz w:val="22"/>
          <w:szCs w:val="22"/>
        </w:rPr>
        <w:t xml:space="preserve">Antes de entrar al análisis de los pronunciamientos del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en la respuesta proporcionada, es necesario mencionar que cualquier persona tiene el derecho al acceso de la información pública, información que consiste en aquella que sea generada, obtenida, adquirida, transformada, administrada o en posesión de los Sujetos Obligados, como así también lo señala la Ley de Transparencia y Acceso a la Información Pública del Estado de México y Municipios en su artículo 4,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792785A9"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7C3F8E6A"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Pr="00151769">
        <w:rPr>
          <w:rFonts w:ascii="Palatino Linotype" w:eastAsia="Palatino Linotype" w:hAnsi="Palatino Linotype" w:cs="Palatino Linotype"/>
          <w:b/>
          <w:bCs/>
          <w:i/>
          <w:iCs/>
          <w:sz w:val="22"/>
          <w:szCs w:val="22"/>
        </w:rPr>
        <w:t>Artículo 4</w:t>
      </w:r>
      <w:r w:rsidRPr="00151769">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2D47799C" w14:textId="77777777" w:rsidR="00E723FE" w:rsidRPr="00151769" w:rsidRDefault="00E723FE">
      <w:pPr>
        <w:spacing w:line="276" w:lineRule="auto"/>
        <w:ind w:left="567" w:right="616"/>
        <w:jc w:val="both"/>
        <w:rPr>
          <w:rFonts w:ascii="Palatino Linotype" w:eastAsia="Palatino Linotype" w:hAnsi="Palatino Linotype" w:cs="Palatino Linotype"/>
          <w:i/>
          <w:iCs/>
          <w:sz w:val="22"/>
          <w:szCs w:val="22"/>
        </w:rPr>
      </w:pPr>
    </w:p>
    <w:p w14:paraId="2A112E50"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151769">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702A8854" w14:textId="77777777" w:rsidR="00E723FE" w:rsidRPr="00151769" w:rsidRDefault="00E723FE">
      <w:pPr>
        <w:spacing w:line="276" w:lineRule="auto"/>
        <w:ind w:left="567" w:right="616"/>
        <w:jc w:val="both"/>
        <w:rPr>
          <w:rFonts w:ascii="Palatino Linotype" w:eastAsia="Palatino Linotype" w:hAnsi="Palatino Linotype" w:cs="Palatino Linotype"/>
          <w:i/>
          <w:iCs/>
          <w:sz w:val="22"/>
          <w:szCs w:val="22"/>
        </w:rPr>
      </w:pPr>
    </w:p>
    <w:p w14:paraId="2ABCF37B"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151769">
        <w:rPr>
          <w:rFonts w:ascii="Palatino Linotype" w:eastAsia="Palatino Linotype" w:hAnsi="Palatino Linotype" w:cs="Palatino Linotype"/>
          <w:i/>
          <w:iCs/>
          <w:sz w:val="22"/>
          <w:szCs w:val="22"/>
        </w:rPr>
        <w:t>.”</w:t>
      </w:r>
    </w:p>
    <w:p w14:paraId="2DD57DFE"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724F379C"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641560AB"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232A69D9"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“Artículo 12.-</w:t>
      </w:r>
      <w:r w:rsidRPr="00151769">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2D2B68A0" w14:textId="77777777" w:rsidR="00E723FE" w:rsidRPr="00151769" w:rsidRDefault="00E723FE">
      <w:pPr>
        <w:spacing w:line="276" w:lineRule="auto"/>
        <w:ind w:left="567" w:right="616"/>
        <w:jc w:val="both"/>
        <w:rPr>
          <w:rFonts w:ascii="Palatino Linotype" w:eastAsia="Palatino Linotype" w:hAnsi="Palatino Linotype" w:cs="Palatino Linotype"/>
          <w:i/>
          <w:iCs/>
          <w:sz w:val="22"/>
          <w:szCs w:val="22"/>
        </w:rPr>
      </w:pPr>
    </w:p>
    <w:p w14:paraId="75597DD7" w14:textId="77777777" w:rsidR="00E723FE" w:rsidRPr="00151769" w:rsidRDefault="00890B26">
      <w:pPr>
        <w:spacing w:line="276" w:lineRule="auto"/>
        <w:ind w:left="567" w:right="616"/>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151769">
        <w:rPr>
          <w:rFonts w:ascii="Palatino Linotype" w:eastAsia="Palatino Linotype" w:hAnsi="Palatino Linotype" w:cs="Palatino Linotype"/>
          <w:i/>
          <w:iCs/>
          <w:sz w:val="22"/>
          <w:szCs w:val="22"/>
        </w:rPr>
        <w:t xml:space="preserve">. </w:t>
      </w:r>
      <w:r w:rsidRPr="00151769">
        <w:rPr>
          <w:rFonts w:ascii="Palatino Linotype" w:eastAsia="Palatino Linotype" w:hAnsi="Palatino Linotype" w:cs="Palatino Linotype"/>
          <w:b/>
          <w:bCs/>
          <w:i/>
          <w:iCs/>
          <w:sz w:val="22"/>
          <w:szCs w:val="22"/>
        </w:rPr>
        <w:t xml:space="preserve">La obligación de proporcionar información no comprende el procesamiento de la misma, ni el presentarla conforme al interés del solicitante; no estarán obligados a generarla, resumirla, efectuar cálculos o practicar investigaciones”. </w:t>
      </w:r>
    </w:p>
    <w:p w14:paraId="053D9865" w14:textId="77777777" w:rsidR="00E723FE" w:rsidRPr="00151769" w:rsidRDefault="00E723FE">
      <w:pPr>
        <w:spacing w:line="360" w:lineRule="auto"/>
        <w:ind w:left="567" w:right="616"/>
        <w:jc w:val="both"/>
        <w:rPr>
          <w:rFonts w:ascii="Palatino Linotype" w:eastAsia="Palatino Linotype" w:hAnsi="Palatino Linotype" w:cs="Palatino Linotype"/>
          <w:i/>
          <w:iCs/>
          <w:sz w:val="22"/>
          <w:szCs w:val="22"/>
        </w:rPr>
      </w:pPr>
    </w:p>
    <w:p w14:paraId="270C14C3" w14:textId="77777777" w:rsidR="00E723FE" w:rsidRPr="00151769" w:rsidRDefault="00890B26">
      <w:pPr>
        <w:spacing w:line="360" w:lineRule="auto"/>
        <w:ind w:right="-93"/>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15854DEA" w14:textId="77777777" w:rsidR="00E723FE" w:rsidRPr="00151769" w:rsidRDefault="00E723FE">
      <w:pPr>
        <w:spacing w:line="360" w:lineRule="auto"/>
        <w:ind w:right="-93"/>
        <w:jc w:val="both"/>
        <w:rPr>
          <w:rFonts w:ascii="Palatino Linotype" w:eastAsia="Palatino Linotype" w:hAnsi="Palatino Linotype" w:cs="Palatino Linotype"/>
          <w:sz w:val="22"/>
          <w:szCs w:val="22"/>
        </w:rPr>
      </w:pPr>
    </w:p>
    <w:p w14:paraId="360AD204" w14:textId="77777777" w:rsidR="00E723FE" w:rsidRPr="00151769" w:rsidRDefault="00890B26">
      <w:pPr>
        <w:spacing w:line="360" w:lineRule="auto"/>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sz w:val="22"/>
          <w:szCs w:val="22"/>
        </w:rPr>
        <w:t>Sirve de apoyo a lo anterior, el criterio orientador 03-17, expuesto por el entonces Instituto Nacional de Transparencia, Acceso a la Información y Protección de Datos Personales, que dice:</w:t>
      </w:r>
      <w:r w:rsidRPr="00151769">
        <w:rPr>
          <w:rFonts w:ascii="Palatino Linotype" w:eastAsia="Palatino Linotype" w:hAnsi="Palatino Linotype" w:cs="Palatino Linotype"/>
          <w:b/>
          <w:bCs/>
          <w:sz w:val="22"/>
          <w:szCs w:val="22"/>
        </w:rPr>
        <w:t xml:space="preserve"> </w:t>
      </w:r>
    </w:p>
    <w:p w14:paraId="5827AC48"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Pr="00151769">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151769">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05093547" w14:textId="77777777" w:rsidR="00E723FE" w:rsidRPr="00151769" w:rsidRDefault="00E723FE">
      <w:pPr>
        <w:spacing w:line="360" w:lineRule="auto"/>
        <w:ind w:right="-93"/>
        <w:jc w:val="both"/>
        <w:rPr>
          <w:rFonts w:ascii="Palatino Linotype" w:eastAsia="Palatino Linotype" w:hAnsi="Palatino Linotype" w:cs="Palatino Linotype"/>
          <w:sz w:val="22"/>
          <w:szCs w:val="22"/>
        </w:rPr>
      </w:pPr>
    </w:p>
    <w:p w14:paraId="4D4DA694"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36FC680A"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0C300D2B" w14:textId="77777777" w:rsidR="00E723FE" w:rsidRPr="00151769" w:rsidRDefault="00890B26">
      <w:pPr>
        <w:spacing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2A75F3AE" w14:textId="77777777" w:rsidR="00E723FE" w:rsidRPr="00151769" w:rsidRDefault="00E723FE">
      <w:pPr>
        <w:spacing w:line="360" w:lineRule="auto"/>
        <w:ind w:right="49"/>
        <w:jc w:val="both"/>
        <w:rPr>
          <w:rFonts w:ascii="Palatino Linotype" w:eastAsia="Palatino Linotype" w:hAnsi="Palatino Linotype" w:cs="Palatino Linotype"/>
          <w:sz w:val="22"/>
          <w:szCs w:val="22"/>
        </w:rPr>
      </w:pPr>
    </w:p>
    <w:p w14:paraId="0A121183"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72368403" w14:textId="77777777" w:rsidR="00E723FE" w:rsidRPr="00151769" w:rsidRDefault="00E723FE">
      <w:pPr>
        <w:spacing w:line="360" w:lineRule="auto"/>
        <w:ind w:left="851" w:right="899"/>
        <w:jc w:val="both"/>
        <w:rPr>
          <w:rFonts w:ascii="Palatino Linotype" w:eastAsia="Palatino Linotype" w:hAnsi="Palatino Linotype" w:cs="Palatino Linotype"/>
          <w:i/>
          <w:iCs/>
          <w:sz w:val="22"/>
          <w:szCs w:val="22"/>
        </w:rPr>
      </w:pPr>
    </w:p>
    <w:p w14:paraId="3073547D"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Pr="00151769">
        <w:rPr>
          <w:rFonts w:ascii="Palatino Linotype" w:eastAsia="Palatino Linotype" w:hAnsi="Palatino Linotype" w:cs="Palatino Linotype"/>
          <w:b/>
          <w:bCs/>
          <w:i/>
          <w:iCs/>
          <w:sz w:val="22"/>
          <w:szCs w:val="22"/>
        </w:rPr>
        <w:t xml:space="preserve">Artículo 3. </w:t>
      </w:r>
      <w:r w:rsidRPr="00151769">
        <w:rPr>
          <w:rFonts w:ascii="Palatino Linotype" w:eastAsia="Palatino Linotype" w:hAnsi="Palatino Linotype" w:cs="Palatino Linotype"/>
          <w:i/>
          <w:iCs/>
          <w:sz w:val="22"/>
          <w:szCs w:val="22"/>
        </w:rPr>
        <w:t>Para los efectos de la presente Ley se entenderá por:</w:t>
      </w:r>
    </w:p>
    <w:p w14:paraId="537CFA61"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p>
    <w:p w14:paraId="7C9E3333"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XI. Documento:</w:t>
      </w:r>
      <w:r w:rsidRPr="00151769">
        <w:rPr>
          <w:rFonts w:ascii="Palatino Linotype" w:eastAsia="Palatino Linotype" w:hAnsi="Palatino Linotype" w:cs="Palatino Linotype"/>
          <w:i/>
          <w:iCs/>
          <w:sz w:val="22"/>
          <w:szCs w:val="22"/>
        </w:rPr>
        <w:t xml:space="preserve"> Los expedientes, reportes, estudios, actas</w:t>
      </w:r>
      <w:r w:rsidRPr="00151769">
        <w:rPr>
          <w:rFonts w:ascii="Palatino Linotype" w:eastAsia="Palatino Linotype" w:hAnsi="Palatino Linotype" w:cs="Palatino Linotype"/>
          <w:b/>
          <w:bCs/>
          <w:i/>
          <w:iCs/>
          <w:sz w:val="22"/>
          <w:szCs w:val="22"/>
        </w:rPr>
        <w:t>,</w:t>
      </w:r>
      <w:r w:rsidRPr="00151769">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5C1F352B" w14:textId="77777777" w:rsidR="00E723FE" w:rsidRPr="00151769" w:rsidRDefault="00E723FE">
      <w:pPr>
        <w:spacing w:line="360" w:lineRule="auto"/>
        <w:ind w:left="851" w:right="899"/>
        <w:jc w:val="both"/>
        <w:rPr>
          <w:rFonts w:ascii="Palatino Linotype" w:eastAsia="Palatino Linotype" w:hAnsi="Palatino Linotype" w:cs="Palatino Linotype"/>
          <w:sz w:val="22"/>
          <w:szCs w:val="22"/>
        </w:rPr>
      </w:pPr>
    </w:p>
    <w:p w14:paraId="3447A663"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3BC6EFCB"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59EA11B1" w14:textId="77777777" w:rsidR="00E723FE" w:rsidRPr="00151769" w:rsidRDefault="00890B26">
      <w:pPr>
        <w:spacing w:line="276" w:lineRule="auto"/>
        <w:ind w:left="567" w:right="616"/>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sz w:val="22"/>
          <w:szCs w:val="22"/>
        </w:rPr>
        <w:t>“</w:t>
      </w:r>
      <w:r w:rsidRPr="00151769">
        <w:rPr>
          <w:rFonts w:ascii="Palatino Linotype" w:eastAsia="Palatino Linotype" w:hAnsi="Palatino Linotype" w:cs="Palatino Linotype"/>
          <w:b/>
          <w:bCs/>
          <w:i/>
          <w:iCs/>
          <w:sz w:val="22"/>
          <w:szCs w:val="22"/>
        </w:rPr>
        <w:t>CRITERIO 0002-11. INFORMACIÓN PÚBLICA, CONCEPTO DE, EN MATERIA DE TRANSPARENCIA. INTERPRETACIÓN SISTEMÁTICA DE LOS ARTÍCULOS 2°, FRACCIÓN V, XV, Y XVI, 3°, 4°, 11 Y 41.</w:t>
      </w:r>
      <w:r w:rsidRPr="00151769">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03B59011"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67648AB4" w14:textId="77777777" w:rsidR="00E723FE" w:rsidRPr="00151769" w:rsidRDefault="00890B26">
      <w:pPr>
        <w:spacing w:line="276" w:lineRule="auto"/>
        <w:ind w:left="567" w:right="616"/>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172A13E1" w14:textId="77777777" w:rsidR="00E723FE" w:rsidRPr="00151769" w:rsidRDefault="00890B26">
      <w:pPr>
        <w:spacing w:line="276" w:lineRule="auto"/>
        <w:ind w:left="567" w:right="616"/>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2) Que se trate de información registrada en cualquier soporte documental, que en ejercicio de las atribuciones conferidas, sea administrada por los Sujetos Obligados, y</w:t>
      </w:r>
    </w:p>
    <w:p w14:paraId="44495536" w14:textId="77777777" w:rsidR="00E723FE" w:rsidRPr="00151769" w:rsidRDefault="00890B26">
      <w:pPr>
        <w:spacing w:line="276" w:lineRule="auto"/>
        <w:ind w:left="567" w:right="616"/>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 xml:space="preserve">3) Que se trate de información registrada en cualquier soporte documental, que en ejercicio de las atribuciones conferidas, se encuentre en posesión de los Sujetos Obligados.” </w:t>
      </w:r>
    </w:p>
    <w:p w14:paraId="4C56D47B" w14:textId="77777777" w:rsidR="00E723FE" w:rsidRPr="00151769" w:rsidRDefault="00E723FE">
      <w:pPr>
        <w:spacing w:line="276" w:lineRule="auto"/>
        <w:ind w:left="567" w:right="616"/>
        <w:jc w:val="both"/>
        <w:rPr>
          <w:rFonts w:ascii="Palatino Linotype" w:eastAsia="Palatino Linotype" w:hAnsi="Palatino Linotype" w:cs="Palatino Linotype"/>
          <w:b/>
          <w:bCs/>
          <w:i/>
          <w:iCs/>
          <w:sz w:val="22"/>
          <w:szCs w:val="22"/>
        </w:rPr>
      </w:pPr>
    </w:p>
    <w:p w14:paraId="3A2240AF"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De ahí que 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cuenta con el deber de satisfacer las solicitudes de acceso a la información que le sean formuladas y entregar la información pública que obre en sus archivos pudiendo ser de manera electrónica; más aún si la misma se trata de información relativa a obligaciones de transparencia, la cual se relaciona con aquella que se genere de acuerdo con sus facultades, atribuciones y obligaciones señaladas por la Ley en la materia</w:t>
      </w:r>
      <w:r w:rsidRPr="00151769">
        <w:rPr>
          <w:rFonts w:ascii="Palatino Linotype" w:eastAsia="Palatino Linotype" w:hAnsi="Palatino Linotype" w:cs="Palatino Linotype"/>
          <w:sz w:val="22"/>
          <w:szCs w:val="22"/>
          <w:vertAlign w:val="superscript"/>
        </w:rPr>
        <w:footnoteReference w:id="1"/>
      </w:r>
      <w:r w:rsidRPr="00151769">
        <w:rPr>
          <w:rFonts w:ascii="Palatino Linotype" w:eastAsia="Palatino Linotype" w:hAnsi="Palatino Linotype" w:cs="Palatino Linotype"/>
          <w:sz w:val="22"/>
          <w:szCs w:val="22"/>
        </w:rPr>
        <w:t>, así como de interés público, es decir, aquella que resulta relevante o beneficiosa para la sociedad y no simplemente de interés individual, y cuya divulgación resulta útil para que el público comprenda las actividades que llevan a cabo los Sujetos Obligados</w:t>
      </w:r>
      <w:r w:rsidRPr="00151769">
        <w:rPr>
          <w:rFonts w:ascii="Palatino Linotype" w:eastAsia="Palatino Linotype" w:hAnsi="Palatino Linotype" w:cs="Palatino Linotype"/>
          <w:sz w:val="22"/>
          <w:szCs w:val="22"/>
          <w:vertAlign w:val="superscript"/>
        </w:rPr>
        <w:footnoteReference w:id="2"/>
      </w:r>
      <w:r w:rsidRPr="00151769">
        <w:rPr>
          <w:rFonts w:ascii="Palatino Linotype" w:eastAsia="Palatino Linotype" w:hAnsi="Palatino Linotype" w:cs="Palatino Linotype"/>
          <w:sz w:val="22"/>
          <w:szCs w:val="22"/>
        </w:rPr>
        <w:t>, como pudiera tratarse de aquella relacionada con las obligaciones de transparencia señaladas en los artículos 92 y 100 de la Ley de la Materia.</w:t>
      </w:r>
    </w:p>
    <w:p w14:paraId="4F1856C9" w14:textId="77777777" w:rsidR="00E723FE" w:rsidRPr="00151769" w:rsidRDefault="00E723FE">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73C6355B" w14:textId="79EF9865" w:rsidR="00E723FE" w:rsidRPr="00151769" w:rsidRDefault="00890B26">
      <w:pPr>
        <w:spacing w:line="360" w:lineRule="auto"/>
        <w:ind w:right="51"/>
        <w:jc w:val="both"/>
        <w:rPr>
          <w:rFonts w:ascii="Palatino Linotype" w:eastAsia="Palatino Linotype" w:hAnsi="Palatino Linotype" w:cs="Palatino Linotype"/>
          <w:sz w:val="22"/>
          <w:szCs w:val="22"/>
        </w:rPr>
      </w:pPr>
      <w:bookmarkStart w:id="13" w:name="_heading=h.1y810tw" w:colFirst="0" w:colLast="0"/>
      <w:bookmarkEnd w:id="13"/>
      <w:r w:rsidRPr="00151769">
        <w:rPr>
          <w:rFonts w:ascii="Palatino Linotype" w:eastAsia="Palatino Linotype" w:hAnsi="Palatino Linotype" w:cs="Palatino Linotype"/>
          <w:sz w:val="22"/>
          <w:szCs w:val="22"/>
        </w:rPr>
        <w:t xml:space="preserve">Para ello, conviene iniciar el presente estudio señalando que la persona solicitante requirió al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le proporcione</w:t>
      </w:r>
      <w:r w:rsidR="005F7CF8" w:rsidRPr="00151769">
        <w:rPr>
          <w:rFonts w:ascii="Palatino Linotype" w:eastAsia="Palatino Linotype" w:hAnsi="Palatino Linotype" w:cs="Palatino Linotype"/>
          <w:sz w:val="22"/>
          <w:szCs w:val="22"/>
        </w:rPr>
        <w:t xml:space="preserve"> </w:t>
      </w:r>
      <w:r w:rsidR="00647569" w:rsidRPr="00151769">
        <w:rPr>
          <w:rFonts w:ascii="Palatino Linotype" w:eastAsia="Palatino Linotype" w:hAnsi="Palatino Linotype" w:cs="Palatino Linotype"/>
          <w:sz w:val="22"/>
          <w:szCs w:val="22"/>
        </w:rPr>
        <w:t xml:space="preserve">en relación </w:t>
      </w:r>
      <w:r w:rsidR="004F5E26" w:rsidRPr="00151769">
        <w:rPr>
          <w:rFonts w:ascii="Palatino Linotype" w:eastAsia="Palatino Linotype" w:hAnsi="Palatino Linotype" w:cs="Palatino Linotype"/>
          <w:sz w:val="22"/>
          <w:szCs w:val="22"/>
        </w:rPr>
        <w:t>a los permisos para la venta de bebidas alcohólicas</w:t>
      </w:r>
      <w:r w:rsidR="00B006D3" w:rsidRPr="00151769">
        <w:rPr>
          <w:rFonts w:ascii="Palatino Linotype" w:eastAsia="Palatino Linotype" w:hAnsi="Palatino Linotype" w:cs="Palatino Linotype"/>
          <w:sz w:val="22"/>
          <w:szCs w:val="22"/>
        </w:rPr>
        <w:t xml:space="preserve"> en el Municipio de Huehuetoca</w:t>
      </w:r>
      <w:r w:rsidR="004F5E26" w:rsidRPr="00151769">
        <w:rPr>
          <w:rFonts w:ascii="Palatino Linotype" w:eastAsia="Palatino Linotype" w:hAnsi="Palatino Linotype" w:cs="Palatino Linotype"/>
          <w:sz w:val="22"/>
          <w:szCs w:val="22"/>
        </w:rPr>
        <w:t xml:space="preserve"> los siguientes requerimientos:</w:t>
      </w:r>
    </w:p>
    <w:p w14:paraId="15F9EA2F" w14:textId="77777777" w:rsidR="00E723FE" w:rsidRPr="00151769" w:rsidRDefault="00E723FE">
      <w:pPr>
        <w:spacing w:line="360" w:lineRule="auto"/>
        <w:ind w:right="51"/>
        <w:jc w:val="both"/>
        <w:rPr>
          <w:rFonts w:ascii="Palatino Linotype" w:eastAsia="Palatino Linotype" w:hAnsi="Palatino Linotype" w:cs="Palatino Linotype"/>
          <w:sz w:val="22"/>
          <w:szCs w:val="22"/>
        </w:rPr>
      </w:pPr>
    </w:p>
    <w:p w14:paraId="7BDF3151"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 xml:space="preserve">Informe si los establecimientos, puestos fijos, semifijos, temporales o cualquier otro punto de venta ubicados en la zona de la **Presa de Cuevecillas**, en el municipio de Huehuetoca, que comercializan bebidas alcohólicas, cuentan con autorización, licencia o permiso vigente para dicha actividad. </w:t>
      </w:r>
    </w:p>
    <w:p w14:paraId="5437E1D5"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Remita una relación de todos los permisos, licencias o autorizaciones vigentes otorgados para la venta de bebidas alcohólicas en dicha zona, indicando: * Nombre del titular (en versión pública cuando corresponda). * Tipo de permiso o licencia. * Giro autorizado. * Fecha de expedición. * Vigencia. * Autoridad que lo emitió. * Ubicación del establecimiento.</w:t>
      </w:r>
    </w:p>
    <w:p w14:paraId="789D549B"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Señale qué dependencia municipal es la responsable de autorizar, supervisar, inspeccionar y, en su caso, sancionar la venta de bebidas alcohólicas en la Presa de Cuevecillas.</w:t>
      </w:r>
    </w:p>
    <w:p w14:paraId="1FB980BB"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 xml:space="preserve">Informe si durante los años 2025 y 2026 se realizaron verificaciones, inspecciones o procedimientos administrativos a dichos establecimientos y remita copia de las actas de inspección, resoluciones o documentos correspondientes. </w:t>
      </w:r>
    </w:p>
    <w:p w14:paraId="1272D574"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si la embarcación o lancha que presta servicio recreativo o de transporte en la Presa de Cuevecillas cuenta con autorización para operar.</w:t>
      </w:r>
    </w:p>
    <w:p w14:paraId="64AA16EB"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Remita copia de los permisos, licencias, concesiones o autorizaciones que permitan su operación.</w:t>
      </w:r>
    </w:p>
    <w:p w14:paraId="21FAE6BC"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si dicha embarcación ha sido inspeccionada por la Coordinación Municipal de Protección Civil y Bomberos o por cualquier otra autoridad competente.</w:t>
      </w:r>
    </w:p>
    <w:p w14:paraId="18692339"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Remita copia de los dictámenes, vistos buenos, actas de inspección, certificados de seguridad y demás documentos que acrediten que la embarcación cumple con las medidas de seguridad exigidas por la normatividad aplicable.</w:t>
      </w:r>
    </w:p>
    <w:p w14:paraId="5FBE8D06"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cuál es el aforo máximo autorizado de la embarcación, el número máximo de pasajeros permitidos y las medidas de seguridad obligatorias con las que debe operar.</w:t>
      </w:r>
    </w:p>
    <w:p w14:paraId="6EE9EC9F"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 xml:space="preserve">Indique qué autoridad es la responsable de regular, inspeccionar y vigilar la operación de embarcaciones dentro de la Presa de Cuevecillas. </w:t>
      </w:r>
    </w:p>
    <w:p w14:paraId="3227A2C6"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si los accesos, vialidades, andadores, áreas comunes y espacios donde actualmente se ubican los puestos comerciales en la Presa de Cuevecillas forman parte de la vía pública o son bienes de uso común del Municipio de Huehuetoca. En caso afirmativo, remita el documento o fundamento jurídico que así lo acredite.</w:t>
      </w:r>
    </w:p>
    <w:p w14:paraId="30DEC7DD"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cuál es la normatividad municipal aplicable respecto al consumo de bebidas alcohólicas en dichas áreas y si existe alguna autorización, acuerdo o excepción que permita consumir bebidas alcohólicas en esos espacios públicos.</w:t>
      </w:r>
    </w:p>
    <w:p w14:paraId="06223989"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Indique cuáles son las atribuciones de la Dirección de Seguridad Pública Municipal respecto a personas que consumen bebidas alcohólicas en la vía pública dentro de la Presa de Cuevecillas.</w:t>
      </w:r>
    </w:p>
    <w:p w14:paraId="1F6844B4"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si existe algún operativo permanente o temporal para vigilar el consumo de bebidas alcohólicas en la zona y remita copia de los acuerdos, oficios, órdenes de operación o programas que sustenten dichos operativos.</w:t>
      </w:r>
    </w:p>
    <w:p w14:paraId="3F2AF0A8"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Informe cuántas infracciones, remisiones al Juez Cívico, aseguramientos o puestas a disposición relacionadas con el consumo de bebidas alcohólicas en la vía pública se han realizado en la Presa de Cuevecillas durante los años 2025 y 2026, indicando únicamente: * Fecha. * Motivo de la actuación. * Autoridad que intervino. * Resultado de la intervención.</w:t>
      </w:r>
    </w:p>
    <w:p w14:paraId="7DF51B4F" w14:textId="77777777" w:rsidR="004F5E26"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En caso de que la Dirección de Seguridad Pública tenga instrucciones, acuerdos, protocolos o lineamientos específicos para permitir, tolerar o abstenerse de intervenir cuando existan personas consumiendo bebidas alcohólicas en dicha zona, remita copia de dichos documentos o, en su caso, manifieste expresamente que no existen.</w:t>
      </w:r>
    </w:p>
    <w:p w14:paraId="2049B4F5" w14:textId="0F2674E3" w:rsidR="00E723FE" w:rsidRPr="00151769" w:rsidRDefault="004F5E26" w:rsidP="004F5E26">
      <w:pPr>
        <w:pStyle w:val="Prrafodelista"/>
        <w:numPr>
          <w:ilvl w:val="0"/>
          <w:numId w:val="3"/>
        </w:numPr>
        <w:spacing w:line="360" w:lineRule="auto"/>
        <w:ind w:right="51"/>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 xml:space="preserve">Indique los reglamentos, acuerdos, lineamientos o disposiciones legales que regulan: * La instalación y funcionamiento de puestos comerciales en la Presa de Cuevecillas. * La venta de bebidas alcohólicas en dicha zona. * El consumo de bebidas alcohólicas en espacios públicos de la Presa de Cuevecillas. </w:t>
      </w:r>
    </w:p>
    <w:p w14:paraId="515ED81E" w14:textId="77777777" w:rsidR="004F5E26" w:rsidRPr="00151769" w:rsidRDefault="004F5E26" w:rsidP="004F5E26">
      <w:pPr>
        <w:spacing w:line="360" w:lineRule="auto"/>
        <w:ind w:right="51"/>
        <w:jc w:val="both"/>
        <w:rPr>
          <w:rFonts w:ascii="Palatino Linotype" w:eastAsia="Palatino Linotype" w:hAnsi="Palatino Linotype" w:cs="Palatino Linotype"/>
          <w:b/>
          <w:bCs/>
          <w:sz w:val="22"/>
          <w:szCs w:val="22"/>
        </w:rPr>
      </w:pPr>
    </w:p>
    <w:p w14:paraId="3BC81FF7" w14:textId="77777777" w:rsidR="004F5E26" w:rsidRPr="00151769" w:rsidRDefault="004F5E26">
      <w:pPr>
        <w:spacing w:line="360" w:lineRule="auto"/>
        <w:ind w:right="51"/>
        <w:jc w:val="both"/>
        <w:rPr>
          <w:rFonts w:ascii="Palatino Linotype" w:eastAsia="Palatino Linotype" w:hAnsi="Palatino Linotype" w:cs="Palatino Linotype"/>
          <w:sz w:val="22"/>
          <w:szCs w:val="22"/>
        </w:rPr>
      </w:pPr>
    </w:p>
    <w:p w14:paraId="46AFCF61" w14:textId="61138607" w:rsidR="00E723FE" w:rsidRPr="00151769" w:rsidRDefault="00890B26">
      <w:pPr>
        <w:spacing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En respuesta, la Unidad de Transparencia hizo del conocimiento de la persona solicitante que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 xml:space="preserve">es incompetente para atender lo solicitado, por lo que se sugirió enviar la solicitud al </w:t>
      </w:r>
      <w:r w:rsidR="005F7CF8" w:rsidRPr="00151769">
        <w:rPr>
          <w:rFonts w:ascii="Palatino Linotype" w:eastAsia="Palatino Linotype" w:hAnsi="Palatino Linotype" w:cs="Palatino Linotype"/>
          <w:sz w:val="22"/>
          <w:szCs w:val="22"/>
        </w:rPr>
        <w:t xml:space="preserve">Ayuntamiento de </w:t>
      </w:r>
      <w:r w:rsidR="00D31A19" w:rsidRPr="00151769">
        <w:rPr>
          <w:rFonts w:ascii="Palatino Linotype" w:eastAsia="Palatino Linotype" w:hAnsi="Palatino Linotype" w:cs="Palatino Linotype"/>
          <w:sz w:val="22"/>
          <w:szCs w:val="22"/>
        </w:rPr>
        <w:t>Huehuetoca.</w:t>
      </w:r>
      <w:r w:rsidR="005F7CF8" w:rsidRPr="00151769">
        <w:rPr>
          <w:rFonts w:ascii="Palatino Linotype" w:eastAsia="Palatino Linotype" w:hAnsi="Palatino Linotype" w:cs="Palatino Linotype"/>
          <w:sz w:val="22"/>
          <w:szCs w:val="22"/>
        </w:rPr>
        <w:t xml:space="preserve"> </w:t>
      </w:r>
    </w:p>
    <w:p w14:paraId="61B394CD" w14:textId="77777777" w:rsidR="00E723FE" w:rsidRPr="00151769" w:rsidRDefault="00E723FE">
      <w:pPr>
        <w:spacing w:line="360" w:lineRule="auto"/>
        <w:ind w:right="49"/>
        <w:jc w:val="both"/>
        <w:rPr>
          <w:rFonts w:ascii="Palatino Linotype" w:eastAsia="Palatino Linotype" w:hAnsi="Palatino Linotype" w:cs="Palatino Linotype"/>
          <w:sz w:val="22"/>
          <w:szCs w:val="22"/>
        </w:rPr>
      </w:pPr>
    </w:p>
    <w:p w14:paraId="41607123" w14:textId="77777777" w:rsidR="00E723FE" w:rsidRPr="00151769" w:rsidRDefault="00890B26">
      <w:pPr>
        <w:spacing w:line="360" w:lineRule="auto"/>
        <w:ind w:right="49"/>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sz w:val="22"/>
          <w:szCs w:val="22"/>
        </w:rPr>
        <w:t xml:space="preserve">Al no estar conforme con los términos de la respuesta emitida, la parte </w:t>
      </w:r>
      <w:r w:rsidRPr="00151769">
        <w:rPr>
          <w:rFonts w:ascii="Palatino Linotype" w:eastAsia="Palatino Linotype" w:hAnsi="Palatino Linotype" w:cs="Palatino Linotype"/>
          <w:b/>
          <w:bCs/>
          <w:sz w:val="22"/>
          <w:szCs w:val="22"/>
        </w:rPr>
        <w:t xml:space="preserve">Recurrente </w:t>
      </w:r>
      <w:r w:rsidRPr="00151769">
        <w:rPr>
          <w:rFonts w:ascii="Palatino Linotype" w:eastAsia="Palatino Linotype" w:hAnsi="Palatino Linotype" w:cs="Palatino Linotype"/>
          <w:sz w:val="22"/>
          <w:szCs w:val="22"/>
        </w:rPr>
        <w:t xml:space="preserve">interpuso el recurso de revisión que nos ocupa, donde señaló como motivo de inconformidad que le fue negada información por la declaratoria de incompetencia hecha valer por el </w:t>
      </w:r>
      <w:r w:rsidRPr="00151769">
        <w:rPr>
          <w:rFonts w:ascii="Palatino Linotype" w:eastAsia="Palatino Linotype" w:hAnsi="Palatino Linotype" w:cs="Palatino Linotype"/>
          <w:b/>
          <w:bCs/>
          <w:sz w:val="22"/>
          <w:szCs w:val="22"/>
        </w:rPr>
        <w:t>Sujeto Obligado.</w:t>
      </w:r>
    </w:p>
    <w:p w14:paraId="2BE11E70" w14:textId="77777777" w:rsidR="00E723FE" w:rsidRPr="00151769" w:rsidRDefault="00890B26">
      <w:pPr>
        <w:spacing w:before="240" w:after="240"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En la etapa de manifestaciones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 xml:space="preserve">ratificó en lo sustancial la respuesta proporcionada en primera instancia, y la parte </w:t>
      </w:r>
      <w:r w:rsidRPr="00151769">
        <w:rPr>
          <w:rFonts w:ascii="Palatino Linotype" w:eastAsia="Palatino Linotype" w:hAnsi="Palatino Linotype" w:cs="Palatino Linotype"/>
          <w:b/>
          <w:bCs/>
          <w:sz w:val="22"/>
          <w:szCs w:val="22"/>
        </w:rPr>
        <w:t xml:space="preserve">Recurrente </w:t>
      </w:r>
      <w:r w:rsidRPr="00151769">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14:paraId="33E21995" w14:textId="3539DC5E" w:rsidR="00162413" w:rsidRPr="00151769" w:rsidRDefault="00162413" w:rsidP="00162413">
      <w:pPr>
        <w:spacing w:line="360" w:lineRule="auto"/>
        <w:ind w:right="49"/>
        <w:jc w:val="both"/>
        <w:rPr>
          <w:rFonts w:ascii="Palatino Linotype" w:hAnsi="Palatino Linotype"/>
          <w:sz w:val="22"/>
          <w:szCs w:val="22"/>
        </w:rPr>
      </w:pPr>
      <w:r w:rsidRPr="00151769">
        <w:rPr>
          <w:rFonts w:ascii="Palatino Linotype" w:eastAsia="Palatino Linotype" w:hAnsi="Palatino Linotype" w:cs="Palatino Linotype"/>
          <w:sz w:val="22"/>
          <w:szCs w:val="22"/>
        </w:rPr>
        <w:t xml:space="preserve">Dicho lo anterior, resulta importante contextualizar la información solicitada, para ello, cabe señalar que </w:t>
      </w:r>
      <w:r w:rsidR="00C916E0" w:rsidRPr="00151769">
        <w:rPr>
          <w:rFonts w:ascii="Palatino Linotype" w:hAnsi="Palatino Linotype"/>
          <w:sz w:val="22"/>
        </w:rPr>
        <w:t xml:space="preserve">para el ejercicio de cualquier actividad de particulares de carácter comercial, industrial o de prestación de servicios, se requiere de autorización, licencia o permiso, por parte del Ayuntamiento, a través del comité de licencias y permisos, será la </w:t>
      </w:r>
      <w:r w:rsidR="00C916E0" w:rsidRPr="00151769">
        <w:rPr>
          <w:rFonts w:ascii="Palatino Linotype" w:hAnsi="Palatino Linotype"/>
          <w:b/>
          <w:sz w:val="22"/>
          <w:u w:val="single"/>
        </w:rPr>
        <w:t>Coordinación de Regulación Comercial</w:t>
      </w:r>
      <w:r w:rsidR="00C916E0" w:rsidRPr="00151769">
        <w:rPr>
          <w:rFonts w:ascii="Palatino Linotype" w:hAnsi="Palatino Linotype"/>
          <w:sz w:val="22"/>
        </w:rPr>
        <w:t xml:space="preserve"> dependiente de la Tesorería Municipal, quien recepcionará las solicitudes siempre y cuando cumplan con los requisitos y documentación necesaria. En </w:t>
      </w:r>
      <w:r w:rsidR="00C916E0" w:rsidRPr="00151769">
        <w:rPr>
          <w:rFonts w:ascii="Palatino Linotype" w:hAnsi="Palatino Linotype"/>
          <w:sz w:val="22"/>
          <w:szCs w:val="22"/>
        </w:rPr>
        <w:t>ese sentido se faculta a la Coordinación de Regulación Comercial, coordinación de Protección Civil y dirección de Desarrollo Urbano, para que, en el marco de sus atribuciones, amoneste y conmine a los particulares a cumplir con la regulación del giro comercial.</w:t>
      </w:r>
    </w:p>
    <w:p w14:paraId="07C7D699" w14:textId="77777777" w:rsidR="00C916E0" w:rsidRPr="00151769" w:rsidRDefault="00C916E0" w:rsidP="00162413">
      <w:pPr>
        <w:spacing w:line="360" w:lineRule="auto"/>
        <w:ind w:right="49"/>
        <w:jc w:val="both"/>
        <w:rPr>
          <w:rFonts w:ascii="Palatino Linotype" w:eastAsia="Palatino Linotype" w:hAnsi="Palatino Linotype" w:cs="Palatino Linotype"/>
          <w:sz w:val="22"/>
          <w:szCs w:val="22"/>
        </w:rPr>
      </w:pPr>
    </w:p>
    <w:p w14:paraId="03FC2FCA" w14:textId="62436684" w:rsidR="00162413" w:rsidRPr="00151769" w:rsidRDefault="00C916E0" w:rsidP="00162413">
      <w:pPr>
        <w:spacing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Así mismo </w:t>
      </w:r>
      <w:r w:rsidRPr="00151769">
        <w:rPr>
          <w:rFonts w:ascii="Palatino Linotype" w:hAnsi="Palatino Linotype"/>
          <w:sz w:val="22"/>
        </w:rPr>
        <w:t>regulará toda la actividad comercial y de servicios realizada en puestos fijos, semifijos, el comercio en mercados públicos, municipales, tianguis, vendedores ambulantes, expendedores de periódicos y revistas, venta de bebidas alcohólicas,  y los que se instalan en las vías públicas y áreas de uso común y el que ejerce a través de vehículos, también será de su competencia lo referente a la publicidad en vía pública, en cualquiera que sea su formato y de mensajes sonoros conocidos como perifoneo, degustaciones, así como también filmaciones y/o actividades realizadas en la vía pública que tengan como fin un lucro, emitiendo, en su caso, el permiso o autorización correspondiente para el desarrollo de dichas actividades que, de igual manera, se desarrollen en la vía pública o áreas de uso común, previo pago de derechos ante la Tesorería Municipal.</w:t>
      </w:r>
    </w:p>
    <w:p w14:paraId="612593C0" w14:textId="03ACFE3F" w:rsidR="00E723FE" w:rsidRPr="00151769" w:rsidRDefault="00890B26">
      <w:pPr>
        <w:spacing w:before="280" w:after="28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Acotado lo anterior, y atendiendo la normatividad que regula </w:t>
      </w:r>
      <w:r w:rsidR="00D31A19" w:rsidRPr="00151769">
        <w:rPr>
          <w:rFonts w:ascii="Palatino Linotype" w:eastAsia="Palatino Linotype" w:hAnsi="Palatino Linotype" w:cs="Palatino Linotype"/>
          <w:sz w:val="22"/>
          <w:szCs w:val="22"/>
        </w:rPr>
        <w:t>Instituto Municipal de Cultura Física y Deporte de Huehuetoca</w:t>
      </w:r>
      <w:r w:rsidRPr="00151769">
        <w:rPr>
          <w:rFonts w:ascii="Palatino Linotype" w:eastAsia="Palatino Linotype" w:hAnsi="Palatino Linotype" w:cs="Palatino Linotype"/>
          <w:sz w:val="22"/>
          <w:szCs w:val="22"/>
        </w:rPr>
        <w:t xml:space="preserve">, se advierte que este </w:t>
      </w:r>
      <w:r w:rsidRPr="00151769">
        <w:rPr>
          <w:rFonts w:ascii="Palatino Linotype" w:eastAsia="Palatino Linotype" w:hAnsi="Palatino Linotype" w:cs="Palatino Linotype"/>
          <w:b/>
          <w:bCs/>
          <w:sz w:val="22"/>
          <w:szCs w:val="22"/>
        </w:rPr>
        <w:t xml:space="preserve">no </w:t>
      </w:r>
      <w:r w:rsidRPr="00151769">
        <w:rPr>
          <w:rFonts w:ascii="Palatino Linotype" w:eastAsia="Palatino Linotype" w:hAnsi="Palatino Linotype" w:cs="Palatino Linotype"/>
          <w:sz w:val="22"/>
          <w:szCs w:val="22"/>
        </w:rPr>
        <w:t>es competente para cono</w:t>
      </w:r>
      <w:r w:rsidR="00C916E0" w:rsidRPr="00151769">
        <w:rPr>
          <w:rFonts w:ascii="Palatino Linotype" w:eastAsia="Palatino Linotype" w:hAnsi="Palatino Linotype" w:cs="Palatino Linotype"/>
          <w:sz w:val="22"/>
          <w:szCs w:val="22"/>
        </w:rPr>
        <w:t xml:space="preserve">cer de la información requerida, ya que dicho Sujeto Obligado le compete </w:t>
      </w:r>
      <w:r w:rsidR="00DD0987" w:rsidRPr="00151769">
        <w:rPr>
          <w:rFonts w:ascii="Palatino Linotype" w:hAnsi="Palatino Linotype"/>
          <w:sz w:val="22"/>
        </w:rPr>
        <w:t>organizar la actividad física, el deporte y la recreación en el municipio, así como coordinar la participación de organismos públicos y privados en esa materia.</w:t>
      </w:r>
    </w:p>
    <w:p w14:paraId="6657298B" w14:textId="1C9E3C0B" w:rsidR="00E723FE" w:rsidRPr="00151769" w:rsidRDefault="00890B26">
      <w:pPr>
        <w:spacing w:before="280" w:after="280" w:line="360" w:lineRule="auto"/>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sz w:val="22"/>
          <w:szCs w:val="22"/>
        </w:rPr>
        <w:t xml:space="preserve">Máxime que en el caso es de indicar que el </w:t>
      </w:r>
      <w:r w:rsidR="00E0651C" w:rsidRPr="00151769">
        <w:rPr>
          <w:rFonts w:ascii="Palatino Linotype" w:eastAsia="Palatino Linotype" w:hAnsi="Palatino Linotype" w:cs="Palatino Linotype"/>
          <w:sz w:val="22"/>
          <w:szCs w:val="22"/>
        </w:rPr>
        <w:t xml:space="preserve">Ayuntamiento de </w:t>
      </w:r>
      <w:r w:rsidR="00C30F2B" w:rsidRPr="00151769">
        <w:rPr>
          <w:rFonts w:ascii="Palatino Linotype" w:eastAsia="Palatino Linotype" w:hAnsi="Palatino Linotype" w:cs="Palatino Linotype"/>
          <w:sz w:val="22"/>
          <w:szCs w:val="22"/>
        </w:rPr>
        <w:t>Huehuetoca</w:t>
      </w:r>
      <w:r w:rsidRPr="00151769">
        <w:rPr>
          <w:rFonts w:ascii="Palatino Linotype" w:eastAsia="Palatino Linotype" w:hAnsi="Palatino Linotype" w:cs="Palatino Linotype"/>
          <w:sz w:val="22"/>
          <w:szCs w:val="22"/>
        </w:rPr>
        <w:t xml:space="preserve">, en materia de transparencia es un sujeto obligado diverso al </w:t>
      </w:r>
      <w:r w:rsidR="00C30F2B" w:rsidRPr="00151769">
        <w:rPr>
          <w:rFonts w:ascii="Palatino Linotype" w:eastAsia="Palatino Linotype" w:hAnsi="Palatino Linotype" w:cs="Palatino Linotype"/>
          <w:sz w:val="22"/>
          <w:szCs w:val="22"/>
        </w:rPr>
        <w:t>Instituto Municipal de Cultura Física y Deporte de Huehuetoca</w:t>
      </w:r>
      <w:r w:rsidRPr="00151769">
        <w:rPr>
          <w:rFonts w:ascii="Palatino Linotype" w:eastAsia="Palatino Linotype" w:hAnsi="Palatino Linotype" w:cs="Palatino Linotype"/>
          <w:sz w:val="22"/>
          <w:szCs w:val="22"/>
        </w:rPr>
        <w:t xml:space="preserve">, tal y como lo prevé el </w:t>
      </w:r>
      <w:r w:rsidRPr="00151769">
        <w:rPr>
          <w:rFonts w:ascii="Palatino Linotype" w:eastAsia="Palatino Linotype" w:hAnsi="Palatino Linotype" w:cs="Palatino Linotype"/>
          <w:b/>
          <w:bCs/>
          <w:sz w:val="22"/>
          <w:szCs w:val="22"/>
        </w:rPr>
        <w:t>Padrón de Sujetos Obligados en Materia de Transparencia y Acceso a la Información Pública del Estado de México y Municipios, a saber:</w:t>
      </w:r>
    </w:p>
    <w:p w14:paraId="38E196B5" w14:textId="718B4E93" w:rsidR="00E723FE" w:rsidRPr="00151769" w:rsidRDefault="00DD0987" w:rsidP="00DD0987">
      <w:pPr>
        <w:spacing w:before="280" w:after="280" w:line="360" w:lineRule="auto"/>
        <w:jc w:val="center"/>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noProof/>
          <w:sz w:val="22"/>
          <w:szCs w:val="22"/>
        </w:rPr>
        <w:drawing>
          <wp:inline distT="0" distB="0" distL="0" distR="0" wp14:anchorId="085252BE" wp14:editId="593D07E2">
            <wp:extent cx="4486901" cy="40010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86901" cy="400106"/>
                    </a:xfrm>
                    <a:prstGeom prst="rect">
                      <a:avLst/>
                    </a:prstGeom>
                  </pic:spPr>
                </pic:pic>
              </a:graphicData>
            </a:graphic>
          </wp:inline>
        </w:drawing>
      </w:r>
    </w:p>
    <w:p w14:paraId="415F7618" w14:textId="77777777" w:rsidR="00E723FE" w:rsidRPr="00151769" w:rsidRDefault="00890B26">
      <w:pPr>
        <w:spacing w:before="280" w:after="280" w:line="360" w:lineRule="auto"/>
        <w:jc w:val="center"/>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w:t>
      </w:r>
    </w:p>
    <w:p w14:paraId="0642567B" w14:textId="440E0C05" w:rsidR="00E723FE" w:rsidRPr="00151769" w:rsidRDefault="00DD0987" w:rsidP="00DD0987">
      <w:pPr>
        <w:spacing w:before="280" w:after="280" w:line="360" w:lineRule="auto"/>
        <w:jc w:val="center"/>
        <w:rPr>
          <w:rFonts w:ascii="Palatino Linotype" w:eastAsia="Palatino Linotype" w:hAnsi="Palatino Linotype" w:cs="Palatino Linotype"/>
          <w:sz w:val="22"/>
          <w:szCs w:val="22"/>
        </w:rPr>
      </w:pPr>
      <w:r w:rsidRPr="00151769">
        <w:rPr>
          <w:rFonts w:ascii="Palatino Linotype" w:eastAsia="Palatino Linotype" w:hAnsi="Palatino Linotype" w:cs="Palatino Linotype"/>
          <w:noProof/>
          <w:sz w:val="22"/>
          <w:szCs w:val="22"/>
        </w:rPr>
        <w:drawing>
          <wp:inline distT="0" distB="0" distL="0" distR="0" wp14:anchorId="69EFFF78" wp14:editId="37288EC3">
            <wp:extent cx="5353797" cy="40010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53797" cy="400106"/>
                    </a:xfrm>
                    <a:prstGeom prst="rect">
                      <a:avLst/>
                    </a:prstGeom>
                  </pic:spPr>
                </pic:pic>
              </a:graphicData>
            </a:graphic>
          </wp:inline>
        </w:drawing>
      </w:r>
    </w:p>
    <w:p w14:paraId="22CB0D84" w14:textId="23C02ED5"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Con base en lo anterior, se colige que existe una evidente incompetencia por parte del </w:t>
      </w:r>
      <w:r w:rsidR="00C30F2B" w:rsidRPr="00151769">
        <w:rPr>
          <w:rFonts w:ascii="Palatino Linotype" w:eastAsia="Palatino Linotype" w:hAnsi="Palatino Linotype" w:cs="Palatino Linotype"/>
          <w:b/>
          <w:bCs/>
          <w:sz w:val="22"/>
          <w:szCs w:val="22"/>
        </w:rPr>
        <w:t>Instituto Municipal de Cultura Física y Deporte de Huehuetoca</w:t>
      </w:r>
      <w:r w:rsidRPr="00151769">
        <w:rPr>
          <w:rFonts w:ascii="Palatino Linotype" w:eastAsia="Palatino Linotype" w:hAnsi="Palatino Linotype" w:cs="Palatino Linotype"/>
          <w:sz w:val="22"/>
          <w:szCs w:val="22"/>
        </w:rPr>
        <w:t xml:space="preserve">, como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para satisfacer lo solicitado.</w:t>
      </w:r>
    </w:p>
    <w:p w14:paraId="62D24669"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37E41298" w14:textId="77777777"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En este sentido, resulta aplicable el criterio orientador 13/17 emitido por el Pleno del entonces Instituto Nacional de Transparencia, Acceso a la Información y Protección de Datos Personales, el cual, para pronta referencia se reproduce a continuación:</w:t>
      </w:r>
    </w:p>
    <w:p w14:paraId="43AA3300" w14:textId="77777777" w:rsidR="00E723FE" w:rsidRPr="00151769" w:rsidRDefault="00E723FE">
      <w:pPr>
        <w:spacing w:line="360" w:lineRule="auto"/>
        <w:jc w:val="both"/>
        <w:rPr>
          <w:rFonts w:ascii="Palatino Linotype" w:eastAsia="Palatino Linotype" w:hAnsi="Palatino Linotype" w:cs="Palatino Linotype"/>
          <w:sz w:val="22"/>
          <w:szCs w:val="22"/>
        </w:rPr>
      </w:pPr>
    </w:p>
    <w:p w14:paraId="73736269" w14:textId="77777777" w:rsidR="00E723FE" w:rsidRPr="00151769" w:rsidRDefault="00890B26">
      <w:pPr>
        <w:ind w:left="851" w:right="851"/>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“Incompetencia. La incompetencia implica la ausencia de atribuciones del sujeto obligado para poseer la información solicitada</w:t>
      </w:r>
      <w:r w:rsidRPr="00151769">
        <w:rPr>
          <w:rFonts w:ascii="Palatino Linotype" w:eastAsia="Palatino Linotype" w:hAnsi="Palatino Linotype" w:cs="Palatino Linotype"/>
          <w:i/>
          <w:iCs/>
          <w:sz w:val="22"/>
          <w:szCs w:val="22"/>
        </w:rPr>
        <w:t xml:space="preserve">; es decir, se trata de una cuestión de derecho, </w:t>
      </w:r>
      <w:r w:rsidRPr="00151769">
        <w:rPr>
          <w:rFonts w:ascii="Palatino Linotype" w:eastAsia="Palatino Linotype" w:hAnsi="Palatino Linotype" w:cs="Palatino Linotype"/>
          <w:b/>
          <w:bCs/>
          <w:i/>
          <w:iCs/>
          <w:sz w:val="22"/>
          <w:szCs w:val="22"/>
        </w:rPr>
        <w:t>en tanto que no existan facultades para contar con lo requerido</w:t>
      </w:r>
      <w:r w:rsidRPr="00151769">
        <w:rPr>
          <w:rFonts w:ascii="Palatino Linotype" w:eastAsia="Palatino Linotype" w:hAnsi="Palatino Linotype" w:cs="Palatino Linotype"/>
          <w:i/>
          <w:iCs/>
          <w:sz w:val="22"/>
          <w:szCs w:val="22"/>
        </w:rPr>
        <w:t>; por lo que la incompetencia es una cualidad atribuida al sujeto obligado que la declara.”</w:t>
      </w:r>
    </w:p>
    <w:p w14:paraId="2C934710" w14:textId="77777777" w:rsidR="00E723FE" w:rsidRPr="00151769" w:rsidRDefault="00E723FE">
      <w:pPr>
        <w:ind w:left="851" w:right="851"/>
        <w:jc w:val="both"/>
        <w:rPr>
          <w:rFonts w:ascii="Palatino Linotype" w:eastAsia="Palatino Linotype" w:hAnsi="Palatino Linotype" w:cs="Palatino Linotype"/>
          <w:i/>
          <w:iCs/>
          <w:sz w:val="22"/>
          <w:szCs w:val="22"/>
        </w:rPr>
      </w:pPr>
    </w:p>
    <w:p w14:paraId="291A0077" w14:textId="10D5FEF0" w:rsidR="00E723FE" w:rsidRPr="00151769" w:rsidRDefault="00890B26">
      <w:pP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Por tanto, se arriba a la conclusión de que 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competente para atender el requerimiento de la persona solicitante, es el </w:t>
      </w:r>
      <w:r w:rsidR="00E0651C" w:rsidRPr="00151769">
        <w:rPr>
          <w:rFonts w:ascii="Palatino Linotype" w:eastAsia="Palatino Linotype" w:hAnsi="Palatino Linotype" w:cs="Palatino Linotype"/>
          <w:b/>
          <w:bCs/>
          <w:sz w:val="22"/>
          <w:szCs w:val="22"/>
        </w:rPr>
        <w:t xml:space="preserve">Ayuntamiento de </w:t>
      </w:r>
      <w:r w:rsidR="00C30F2B" w:rsidRPr="00151769">
        <w:rPr>
          <w:rFonts w:ascii="Palatino Linotype" w:eastAsia="Palatino Linotype" w:hAnsi="Palatino Linotype" w:cs="Palatino Linotype"/>
          <w:b/>
          <w:bCs/>
          <w:sz w:val="22"/>
          <w:szCs w:val="22"/>
        </w:rPr>
        <w:t>Huehuetoca.</w:t>
      </w:r>
    </w:p>
    <w:p w14:paraId="65908BED" w14:textId="77777777" w:rsidR="00E723FE" w:rsidRPr="00151769" w:rsidRDefault="00890B26">
      <w:pPr>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En consecuencia, en el presente asunto no es procedente la entrega de información alguna para atender la solicitud de información, bajo la premisa de que los Sujetos Obligados sólo deben proporcionar aquella información que hubieran generado en el ejercicio de sus atribuciones y que obre en sus archivos, de conformidad con lo establecido en el artículo 12 de la Ley de Transparencia y Acceso a la Información Pública del Estado de México y Municipios, lo que a</w:t>
      </w:r>
      <w:r w:rsidRPr="00151769">
        <w:rPr>
          <w:rFonts w:ascii="Palatino Linotype" w:eastAsia="Palatino Linotype" w:hAnsi="Palatino Linotype" w:cs="Palatino Linotype"/>
          <w:i/>
          <w:iCs/>
          <w:sz w:val="22"/>
          <w:szCs w:val="22"/>
        </w:rPr>
        <w:t xml:space="preserve"> contrario sensu</w:t>
      </w:r>
      <w:r w:rsidRPr="00151769">
        <w:rPr>
          <w:rFonts w:ascii="Palatino Linotype" w:eastAsia="Palatino Linotype" w:hAnsi="Palatino Linotype" w:cs="Palatino Linotype"/>
          <w:sz w:val="22"/>
          <w:szCs w:val="22"/>
        </w:rPr>
        <w:t xml:space="preserve"> significa que no se está obligado a proporcionar lo que no obre en sus archivos, en consecuencia,  el pronunciamiento vertido por la Unidad de Transparencia, es suficiente para tener por atendidos los requerimientos de información. </w:t>
      </w:r>
    </w:p>
    <w:p w14:paraId="571C4D49" w14:textId="77777777" w:rsidR="00E723FE" w:rsidRPr="00151769" w:rsidRDefault="00890B26">
      <w:pPr>
        <w:spacing w:line="360" w:lineRule="auto"/>
        <w:ind w:right="49"/>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Dicho lo anterior, es de recordar, respecto a la Declaración de Incompetencia, que la Ley de Transparencia y Acceso a la Información Pública del Estado de México, establece en los artículos 49, fracción II y 167, lo siguiente: </w:t>
      </w:r>
    </w:p>
    <w:p w14:paraId="73CDC7DA" w14:textId="77777777" w:rsidR="00E723FE" w:rsidRPr="00151769" w:rsidRDefault="00890B26">
      <w:pPr>
        <w:tabs>
          <w:tab w:val="left" w:pos="1134"/>
          <w:tab w:val="left" w:pos="1276"/>
        </w:tabs>
        <w:spacing w:line="276" w:lineRule="auto"/>
        <w:ind w:left="851"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i/>
          <w:iCs/>
          <w:sz w:val="22"/>
          <w:szCs w:val="22"/>
        </w:rPr>
        <w:t>“</w:t>
      </w:r>
      <w:r w:rsidRPr="00151769">
        <w:rPr>
          <w:rFonts w:ascii="Palatino Linotype" w:eastAsia="Palatino Linotype" w:hAnsi="Palatino Linotype" w:cs="Palatino Linotype"/>
          <w:b/>
          <w:bCs/>
          <w:i/>
          <w:iCs/>
          <w:sz w:val="22"/>
          <w:szCs w:val="22"/>
        </w:rPr>
        <w:t>Artículo 49.</w:t>
      </w:r>
      <w:r w:rsidRPr="00151769">
        <w:rPr>
          <w:rFonts w:ascii="Palatino Linotype" w:eastAsia="Palatino Linotype" w:hAnsi="Palatino Linotype" w:cs="Palatino Linotype"/>
          <w:i/>
          <w:iCs/>
          <w:sz w:val="22"/>
          <w:szCs w:val="22"/>
        </w:rPr>
        <w:t xml:space="preserve"> </w:t>
      </w:r>
      <w:r w:rsidRPr="00151769">
        <w:rPr>
          <w:rFonts w:ascii="Palatino Linotype" w:eastAsia="Palatino Linotype" w:hAnsi="Palatino Linotype" w:cs="Palatino Linotype"/>
          <w:b/>
          <w:bCs/>
          <w:i/>
          <w:iCs/>
          <w:sz w:val="22"/>
          <w:szCs w:val="22"/>
        </w:rPr>
        <w:t>Los Comités de Transparencia</w:t>
      </w:r>
      <w:r w:rsidRPr="00151769">
        <w:rPr>
          <w:rFonts w:ascii="Palatino Linotype" w:eastAsia="Palatino Linotype" w:hAnsi="Palatino Linotype" w:cs="Palatino Linotype"/>
          <w:i/>
          <w:iCs/>
          <w:sz w:val="22"/>
          <w:szCs w:val="22"/>
        </w:rPr>
        <w:t xml:space="preserve"> tendrán las siguientes atribuciones:</w:t>
      </w:r>
    </w:p>
    <w:p w14:paraId="3878EA56" w14:textId="77777777" w:rsidR="00E723FE" w:rsidRPr="00151769" w:rsidRDefault="00890B26">
      <w:pPr>
        <w:tabs>
          <w:tab w:val="left" w:pos="1134"/>
        </w:tabs>
        <w:spacing w:line="276" w:lineRule="auto"/>
        <w:ind w:left="1134" w:right="902"/>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w:t>
      </w:r>
    </w:p>
    <w:p w14:paraId="11C2ADB3" w14:textId="77777777" w:rsidR="00E723FE" w:rsidRPr="00151769" w:rsidRDefault="00890B26">
      <w:pPr>
        <w:tabs>
          <w:tab w:val="left" w:pos="1134"/>
        </w:tabs>
        <w:spacing w:line="276" w:lineRule="auto"/>
        <w:ind w:left="1134" w:right="902"/>
        <w:jc w:val="both"/>
        <w:rPr>
          <w:rFonts w:ascii="Palatino Linotype" w:eastAsia="Palatino Linotype" w:hAnsi="Palatino Linotype" w:cs="Palatino Linotype"/>
          <w:b/>
          <w:bCs/>
          <w:i/>
          <w:iCs/>
          <w:sz w:val="22"/>
          <w:szCs w:val="22"/>
          <w:u w:val="single"/>
        </w:rPr>
      </w:pPr>
      <w:r w:rsidRPr="00151769">
        <w:rPr>
          <w:rFonts w:ascii="Palatino Linotype" w:eastAsia="Palatino Linotype" w:hAnsi="Palatino Linotype" w:cs="Palatino Linotype"/>
          <w:b/>
          <w:bCs/>
          <w:i/>
          <w:iCs/>
          <w:sz w:val="22"/>
          <w:szCs w:val="22"/>
        </w:rPr>
        <w:t>II.</w:t>
      </w:r>
      <w:r w:rsidRPr="00151769">
        <w:rPr>
          <w:rFonts w:ascii="Palatino Linotype" w:eastAsia="Palatino Linotype" w:hAnsi="Palatino Linotype" w:cs="Palatino Linotype"/>
          <w:sz w:val="22"/>
          <w:szCs w:val="22"/>
        </w:rPr>
        <w:t xml:space="preserve"> </w:t>
      </w:r>
      <w:r w:rsidRPr="00151769">
        <w:rPr>
          <w:rFonts w:ascii="Palatino Linotype" w:eastAsia="Palatino Linotype" w:hAnsi="Palatino Linotype" w:cs="Palatino Linotype"/>
          <w:b/>
          <w:bCs/>
          <w:i/>
          <w:iCs/>
          <w:sz w:val="22"/>
          <w:szCs w:val="22"/>
        </w:rPr>
        <w:t>Confirmar, modificar o revocar</w:t>
      </w:r>
      <w:r w:rsidRPr="00151769">
        <w:rPr>
          <w:rFonts w:ascii="Palatino Linotype" w:eastAsia="Palatino Linotype" w:hAnsi="Palatino Linotype" w:cs="Palatino Linotype"/>
          <w:i/>
          <w:iCs/>
          <w:sz w:val="22"/>
          <w:szCs w:val="22"/>
        </w:rPr>
        <w:t xml:space="preserve"> las determinaciones que en materia de ampliación del plazo de respuesta, clasificación de la información </w:t>
      </w:r>
      <w:r w:rsidRPr="00151769">
        <w:rPr>
          <w:rFonts w:ascii="Palatino Linotype" w:eastAsia="Palatino Linotype" w:hAnsi="Palatino Linotype" w:cs="Palatino Linotype"/>
          <w:b/>
          <w:bCs/>
          <w:i/>
          <w:iCs/>
          <w:sz w:val="22"/>
          <w:szCs w:val="22"/>
        </w:rPr>
        <w:t>y declaración</w:t>
      </w:r>
      <w:r w:rsidRPr="00151769">
        <w:rPr>
          <w:rFonts w:ascii="Palatino Linotype" w:eastAsia="Palatino Linotype" w:hAnsi="Palatino Linotype" w:cs="Palatino Linotype"/>
          <w:i/>
          <w:iCs/>
          <w:sz w:val="22"/>
          <w:szCs w:val="22"/>
        </w:rPr>
        <w:t xml:space="preserve"> de inexistencia o </w:t>
      </w:r>
      <w:r w:rsidRPr="00151769">
        <w:rPr>
          <w:rFonts w:ascii="Palatino Linotype" w:eastAsia="Palatino Linotype" w:hAnsi="Palatino Linotype" w:cs="Palatino Linotype"/>
          <w:b/>
          <w:bCs/>
          <w:i/>
          <w:iCs/>
          <w:sz w:val="22"/>
          <w:szCs w:val="22"/>
        </w:rPr>
        <w:t>de incompetencia realicen los titulares de las áreas de los sujetos obligados;</w:t>
      </w:r>
    </w:p>
    <w:p w14:paraId="748E784D" w14:textId="77777777" w:rsidR="00E723FE" w:rsidRPr="00151769" w:rsidRDefault="00890B26">
      <w:pPr>
        <w:tabs>
          <w:tab w:val="left" w:pos="1134"/>
        </w:tabs>
        <w:spacing w:line="276" w:lineRule="auto"/>
        <w:ind w:left="851" w:right="902"/>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w:t>
      </w:r>
    </w:p>
    <w:p w14:paraId="18AA1EBB" w14:textId="77777777" w:rsidR="00E723FE" w:rsidRPr="00151769" w:rsidRDefault="00890B26">
      <w:pPr>
        <w:tabs>
          <w:tab w:val="left" w:pos="1134"/>
        </w:tabs>
        <w:spacing w:line="276" w:lineRule="auto"/>
        <w:ind w:left="851" w:right="902"/>
        <w:jc w:val="both"/>
        <w:rPr>
          <w:rFonts w:ascii="Palatino Linotype" w:eastAsia="Palatino Linotype" w:hAnsi="Palatino Linotype" w:cs="Palatino Linotype"/>
          <w:b/>
          <w:bCs/>
          <w:i/>
          <w:iCs/>
          <w:sz w:val="22"/>
          <w:szCs w:val="22"/>
        </w:rPr>
      </w:pPr>
      <w:r w:rsidRPr="00151769">
        <w:rPr>
          <w:rFonts w:ascii="Palatino Linotype" w:eastAsia="Palatino Linotype" w:hAnsi="Palatino Linotype" w:cs="Palatino Linotype"/>
          <w:b/>
          <w:bCs/>
          <w:i/>
          <w:iCs/>
          <w:sz w:val="22"/>
          <w:szCs w:val="22"/>
        </w:rPr>
        <w:t>Artículo 167</w:t>
      </w:r>
      <w:r w:rsidRPr="00151769">
        <w:rPr>
          <w:rFonts w:ascii="Palatino Linotype" w:eastAsia="Palatino Linotype" w:hAnsi="Palatino Linotype" w:cs="Palatino Linotype"/>
          <w:i/>
          <w:iCs/>
          <w:sz w:val="22"/>
          <w:szCs w:val="22"/>
        </w:rPr>
        <w:t xml:space="preserve">. </w:t>
      </w:r>
      <w:r w:rsidRPr="00151769">
        <w:rPr>
          <w:rFonts w:ascii="Palatino Linotype" w:eastAsia="Palatino Linotype" w:hAnsi="Palatino Linotype" w:cs="Palatino Linotype"/>
          <w:b/>
          <w:bCs/>
          <w:i/>
          <w:iCs/>
          <w:sz w:val="22"/>
          <w:szCs w:val="22"/>
        </w:rPr>
        <w:t>Cuando las unidades de transparencia determinen la notoria incompetencia</w:t>
      </w:r>
      <w:r w:rsidRPr="00151769">
        <w:rPr>
          <w:rFonts w:ascii="Palatino Linotype" w:eastAsia="Palatino Linotype" w:hAnsi="Palatino Linotype" w:cs="Palatino Linotype"/>
          <w:i/>
          <w:iCs/>
          <w:sz w:val="22"/>
          <w:szCs w:val="22"/>
        </w:rPr>
        <w:t xml:space="preserve"> por parte de los sujetos obligados, dentro del ámbito de aplicación, para atender la solicitud de acceso a la información, </w:t>
      </w:r>
      <w:r w:rsidRPr="00151769">
        <w:rPr>
          <w:rFonts w:ascii="Palatino Linotype" w:eastAsia="Palatino Linotype" w:hAnsi="Palatino Linotype" w:cs="Palatino Linotype"/>
          <w:b/>
          <w:bCs/>
          <w:i/>
          <w:iCs/>
          <w:sz w:val="22"/>
          <w:szCs w:val="22"/>
        </w:rPr>
        <w:t>deberán comunicarlo al solicitante, dentro de los tres días hábiles posteriores a la recepción de la solicitud</w:t>
      </w:r>
      <w:r w:rsidRPr="00151769">
        <w:rPr>
          <w:rFonts w:ascii="Palatino Linotype" w:eastAsia="Palatino Linotype" w:hAnsi="Palatino Linotype" w:cs="Palatino Linotype"/>
          <w:i/>
          <w:iCs/>
          <w:sz w:val="22"/>
          <w:szCs w:val="22"/>
        </w:rPr>
        <w:t xml:space="preserve"> y, </w:t>
      </w:r>
      <w:r w:rsidRPr="00151769">
        <w:rPr>
          <w:rFonts w:ascii="Palatino Linotype" w:eastAsia="Palatino Linotype" w:hAnsi="Palatino Linotype" w:cs="Palatino Linotype"/>
          <w:b/>
          <w:bCs/>
          <w:i/>
          <w:iCs/>
          <w:sz w:val="22"/>
          <w:szCs w:val="22"/>
        </w:rPr>
        <w:t>en su caso orientar al solicitante, el o los sujetos obligados competentes.” (Sic)</w:t>
      </w:r>
    </w:p>
    <w:p w14:paraId="5169B00B" w14:textId="77777777"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sz w:val="22"/>
          <w:szCs w:val="22"/>
        </w:rPr>
        <w:t>De los preceptos citados se desprende que es atribución del Comité de Transparencia confirmar, modificar o revocar, en su caso, la declaración de incompetencia,</w:t>
      </w:r>
      <w:r w:rsidRPr="00151769">
        <w:rPr>
          <w:rFonts w:ascii="Palatino Linotype" w:eastAsia="Palatino Linotype" w:hAnsi="Palatino Linotype" w:cs="Palatino Linotype"/>
          <w:b/>
          <w:bCs/>
          <w:sz w:val="22"/>
          <w:szCs w:val="22"/>
        </w:rPr>
        <w:t xml:space="preserve"> en aquellos casos en los que no se trate de una notoria incompetencia. </w:t>
      </w:r>
    </w:p>
    <w:p w14:paraId="5E93741B" w14:textId="77777777"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sz w:val="22"/>
          <w:szCs w:val="22"/>
          <w:u w:val="single"/>
        </w:rPr>
      </w:pPr>
      <w:r w:rsidRPr="00151769">
        <w:rPr>
          <w:rFonts w:ascii="Palatino Linotype" w:eastAsia="Palatino Linotype" w:hAnsi="Palatino Linotype" w:cs="Palatino Linotype"/>
          <w:sz w:val="22"/>
          <w:szCs w:val="22"/>
        </w:rPr>
        <w:t xml:space="preserve">Puesto que la Ley también prevé que dicho acuerdo no es necesario cuando la Unidad de Transparencia determine que la incompetencia es notoria dando un plazo de tres días hábiles para hacerlo del conocimiento de la persona solicitante. En otras palabras, la Ley de la Materia confiere a las Unidades de Transparencia la posibilidad de notificar la incompetencia cuando esta sea notoria, siendo innecesario que dicha circunstancia sea sometida a consideración de los integrantes del Comité de Transparencia </w:t>
      </w:r>
      <w:r w:rsidRPr="00151769">
        <w:rPr>
          <w:rFonts w:ascii="Palatino Linotype" w:eastAsia="Palatino Linotype" w:hAnsi="Palatino Linotype" w:cs="Palatino Linotype"/>
          <w:sz w:val="22"/>
          <w:szCs w:val="22"/>
          <w:u w:val="single"/>
        </w:rPr>
        <w:t xml:space="preserve">para su aprobación. </w:t>
      </w:r>
    </w:p>
    <w:p w14:paraId="59DA0F0B" w14:textId="77777777"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Como sustento de lo anterior, resulta aplicable el Criterio orientador con Clave ce control SO/002/2020, emitido por el entonces Instituto Nacional de Transparencia, Acceso a la Información, y Protección de Datos Personales, INAI, que lleva por rubro y texto los siguientes:  </w:t>
      </w:r>
    </w:p>
    <w:p w14:paraId="1D7FEDAB" w14:textId="77777777" w:rsidR="00E723FE" w:rsidRPr="00151769" w:rsidRDefault="00890B26">
      <w:pPr>
        <w:pBdr>
          <w:top w:val="nil"/>
          <w:left w:val="nil"/>
          <w:bottom w:val="nil"/>
          <w:right w:val="nil"/>
          <w:between w:val="nil"/>
        </w:pBdr>
        <w:spacing w:before="240" w:after="240"/>
        <w:ind w:left="851"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“Declaración de incompetencia por parte del Comité, cuando no sea notoria o manifiesta.</w:t>
      </w:r>
      <w:r w:rsidRPr="00151769">
        <w:rPr>
          <w:rFonts w:ascii="Palatino Linotype" w:eastAsia="Palatino Linotype" w:hAnsi="Palatino Linotype" w:cs="Palatino Linotype"/>
          <w:i/>
          <w:iCs/>
          <w:sz w:val="22"/>
          <w:szCs w:val="22"/>
        </w:rPr>
        <w:t xml:space="preserve"> Cuando la normatividad que prevé las atribuciones del sujeto obligado no sea clara en delimitar su competencia respecto a lo requerido por la persona solicitante y resulte necesario efectuar un análisis mayor para determinar la incompetencia, ésta debe ser declarada por el Comité de Transparencia.”</w:t>
      </w:r>
    </w:p>
    <w:p w14:paraId="4FCD7656" w14:textId="77777777"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De igual manera, el Pleno de este Instituto, a través del Criterio 02/04 emitido en la Segunda Época, precisa los alcances del artículo 167 de la Ley de Transparencia, al señalar que corresponde al Comité de Transparencia confirmar la declaratoria de incompetencia y notificarle dicha determinación al particular, refiriéndose a aquellos casos en los que exista</w:t>
      </w:r>
      <w:r w:rsidRPr="00151769">
        <w:rPr>
          <w:rFonts w:ascii="Palatino Linotype" w:eastAsia="Palatino Linotype" w:hAnsi="Palatino Linotype" w:cs="Palatino Linotype"/>
          <w:b/>
          <w:bCs/>
          <w:sz w:val="22"/>
          <w:szCs w:val="22"/>
        </w:rPr>
        <w:t xml:space="preserve"> </w:t>
      </w:r>
      <w:r w:rsidRPr="00151769">
        <w:rPr>
          <w:rFonts w:ascii="Palatino Linotype" w:eastAsia="Palatino Linotype" w:hAnsi="Palatino Linotype" w:cs="Palatino Linotype"/>
          <w:b/>
          <w:bCs/>
          <w:sz w:val="22"/>
          <w:szCs w:val="22"/>
          <w:u w:val="single"/>
        </w:rPr>
        <w:t>duda razonable sobre la administración del documento materia de la solicitud de información</w:t>
      </w:r>
      <w:r w:rsidRPr="00151769">
        <w:rPr>
          <w:rFonts w:ascii="Palatino Linotype" w:eastAsia="Palatino Linotype" w:hAnsi="Palatino Linotype" w:cs="Palatino Linotype"/>
          <w:sz w:val="22"/>
          <w:szCs w:val="22"/>
        </w:rPr>
        <w:t>, como se lee enseguida:</w:t>
      </w:r>
    </w:p>
    <w:p w14:paraId="1841AA72" w14:textId="77777777" w:rsidR="00E723FE" w:rsidRPr="00151769" w:rsidRDefault="00890B26">
      <w:pPr>
        <w:tabs>
          <w:tab w:val="left" w:pos="1418"/>
        </w:tabs>
        <w:spacing w:before="120" w:after="120"/>
        <w:ind w:left="851" w:right="902"/>
        <w:jc w:val="both"/>
        <w:rPr>
          <w:rFonts w:ascii="Palatino Linotype" w:eastAsia="Palatino Linotype" w:hAnsi="Palatino Linotype" w:cs="Palatino Linotype"/>
          <w:i/>
          <w:iCs/>
          <w:sz w:val="22"/>
          <w:szCs w:val="22"/>
        </w:rPr>
      </w:pPr>
      <w:r w:rsidRPr="00151769">
        <w:rPr>
          <w:rFonts w:ascii="Palatino Linotype" w:eastAsia="Palatino Linotype" w:hAnsi="Palatino Linotype" w:cs="Palatino Linotype"/>
          <w:b/>
          <w:bCs/>
          <w:i/>
          <w:iCs/>
          <w:sz w:val="22"/>
          <w:szCs w:val="22"/>
        </w:rPr>
        <w:t xml:space="preserve">“DECLARATORIA DE INCOMPETENCIA DEL SUJETO OBLIGADO. SUPUESTO PARA CONFIRMARLA POR ACUERDO DEL COMITÉ DE TRANSPARENCIA. </w:t>
      </w:r>
      <w:r w:rsidRPr="00151769">
        <w:rPr>
          <w:rFonts w:ascii="Palatino Linotype" w:eastAsia="Palatino Linotype" w:hAnsi="Palatino Linotype" w:cs="Palatino Linotype"/>
          <w:i/>
          <w:iCs/>
          <w:sz w:val="22"/>
          <w:szCs w:val="22"/>
        </w:rPr>
        <w:t xml:space="preserve">De conformidad con el artículo 167 de la Ley de Transparencia vigente en la entidad, las Unidades de Transparencia tienen la facultad de determinar la notoria incompetencia para atender las solicitudes de acceso a la información y comunicarla al solicitante dentro de los tres días hábiles posteriores a la recepción de la misma, así como en su caso, orientar al particular sobre el o los Sujetos Obligados competentes para su atención. No obstante, es importante resaltar que </w:t>
      </w:r>
      <w:r w:rsidRPr="00151769">
        <w:rPr>
          <w:rFonts w:ascii="Palatino Linotype" w:eastAsia="Palatino Linotype" w:hAnsi="Palatino Linotype" w:cs="Palatino Linotype"/>
          <w:b/>
          <w:bCs/>
          <w:i/>
          <w:iCs/>
          <w:sz w:val="22"/>
          <w:szCs w:val="22"/>
        </w:rPr>
        <w:t xml:space="preserve">al ejercer el derecho de acceso a la información pública cabe la posibilidad de que existan atribuciones concurrentes entre dos o más Sujetos Obligados que </w:t>
      </w:r>
      <w:r w:rsidRPr="00151769">
        <w:rPr>
          <w:rFonts w:ascii="Palatino Linotype" w:eastAsia="Palatino Linotype" w:hAnsi="Palatino Linotype" w:cs="Palatino Linotype"/>
          <w:b/>
          <w:bCs/>
          <w:i/>
          <w:iCs/>
          <w:sz w:val="22"/>
          <w:szCs w:val="22"/>
          <w:u w:val="single"/>
        </w:rPr>
        <w:t>impiden determinar dentro del término legal de tres días hábiles</w:t>
      </w:r>
      <w:r w:rsidRPr="00151769">
        <w:rPr>
          <w:rFonts w:ascii="Palatino Linotype" w:eastAsia="Palatino Linotype" w:hAnsi="Palatino Linotype" w:cs="Palatino Linotype"/>
          <w:b/>
          <w:bCs/>
          <w:i/>
          <w:iCs/>
          <w:sz w:val="22"/>
          <w:szCs w:val="22"/>
        </w:rPr>
        <w:t>, si se posee o no la información por el Sujeto Obligado requerid</w:t>
      </w:r>
      <w:r w:rsidRPr="00151769">
        <w:rPr>
          <w:rFonts w:ascii="Palatino Linotype" w:eastAsia="Palatino Linotype" w:hAnsi="Palatino Linotype" w:cs="Palatino Linotype"/>
          <w:i/>
          <w:iCs/>
          <w:sz w:val="22"/>
          <w:szCs w:val="22"/>
        </w:rPr>
        <w:t>o; en virtud de ello, en aras de disipar toda duda razonable sobre la administración del documento materia de la solicitud de información, el Sujeto Obligado deberá dar el trámite correspondiente a la solicitud de información a efecto de realizar un análisis minucioso de las facultades, competencias o funciones de cada una de las Unidades Administrativas que lo integran y, si posterior a ello, se corrobora la incompetencia para la atención del requerimiento, en razón de que es otro el Sujeto Obligado poseedor de la documentación, corresponde a su Comité de Transparencia confirmar la declaratoria de incompetencia y notificarle dicha determinación al particular, en términos de lo dispuesto en el artículo 49, fracción II de la Ley de Transparencia Local, al ser este el acto jurídico idóneo que genera seguridad jurídica de que el Ente ante quien se presentó la solicitud, carece de facultades, competencias o funciones para poseer o generar la información requerida; lo anterior, sin perjuicio de que pueda gestionar la colaboración de otro Sujeto Obligado competente para atender la solicitud.”</w:t>
      </w:r>
    </w:p>
    <w:p w14:paraId="2A348BCA" w14:textId="77777777"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En el caso particular, como ha quedado demostrado a lo largo del presente estudio, la incompetencia del Sujeto Obligado es notoria por lo tanto resulta innecesaria la emisión de una declaratoria formal de incompetencia a través del Comité de Transparencia.</w:t>
      </w:r>
    </w:p>
    <w:p w14:paraId="3CE39CF3" w14:textId="77777777"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En tales circunstancias, dado que 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informó de la notoria incompetencia para atender favorablemente la solicitud a la persona solicitante dentro del plazo de tres días previsto en el artículo 167 de la Ley de Transparencia Local; se concluye que motivos de inconformidad de la parte </w:t>
      </w:r>
      <w:r w:rsidRPr="00151769">
        <w:rPr>
          <w:rFonts w:ascii="Palatino Linotype" w:eastAsia="Palatino Linotype" w:hAnsi="Palatino Linotype" w:cs="Palatino Linotype"/>
          <w:b/>
          <w:bCs/>
          <w:sz w:val="22"/>
          <w:szCs w:val="22"/>
        </w:rPr>
        <w:t xml:space="preserve">Recurrente </w:t>
      </w:r>
      <w:r w:rsidRPr="00151769">
        <w:rPr>
          <w:rFonts w:ascii="Palatino Linotype" w:eastAsia="Palatino Linotype" w:hAnsi="Palatino Linotype" w:cs="Palatino Linotype"/>
          <w:sz w:val="22"/>
          <w:szCs w:val="22"/>
        </w:rPr>
        <w:t xml:space="preserve">son infundados, por lo que resulta procedente </w:t>
      </w:r>
      <w:r w:rsidRPr="00151769">
        <w:rPr>
          <w:rFonts w:ascii="Palatino Linotype" w:eastAsia="Palatino Linotype" w:hAnsi="Palatino Linotype" w:cs="Palatino Linotype"/>
          <w:i/>
          <w:iCs/>
          <w:sz w:val="22"/>
          <w:szCs w:val="22"/>
        </w:rPr>
        <w:t xml:space="preserve">confirmar </w:t>
      </w:r>
      <w:r w:rsidRPr="00151769">
        <w:rPr>
          <w:rFonts w:ascii="Palatino Linotype" w:eastAsia="Palatino Linotype" w:hAnsi="Palatino Linotype" w:cs="Palatino Linotype"/>
          <w:sz w:val="22"/>
          <w:szCs w:val="22"/>
        </w:rPr>
        <w:t xml:space="preserve">la respuesta proporcionada por el </w:t>
      </w:r>
      <w:r w:rsidRPr="00151769">
        <w:rPr>
          <w:rFonts w:ascii="Palatino Linotype" w:eastAsia="Palatino Linotype" w:hAnsi="Palatino Linotype" w:cs="Palatino Linotype"/>
          <w:b/>
          <w:bCs/>
          <w:sz w:val="22"/>
          <w:szCs w:val="22"/>
        </w:rPr>
        <w:t xml:space="preserve">Sujeto Obligado </w:t>
      </w:r>
      <w:r w:rsidRPr="00151769">
        <w:rPr>
          <w:rFonts w:ascii="Palatino Linotype" w:eastAsia="Palatino Linotype" w:hAnsi="Palatino Linotype" w:cs="Palatino Linotype"/>
          <w:sz w:val="22"/>
          <w:szCs w:val="22"/>
        </w:rPr>
        <w:t>en términos del artículo 186 fracción II de la Ley de Transparencia y Acceso a la Información Pública del Estado de México y Municipios.</w:t>
      </w:r>
    </w:p>
    <w:p w14:paraId="0308E495" w14:textId="15DE7170" w:rsidR="00E723FE" w:rsidRPr="00151769" w:rsidRDefault="00890B26">
      <w:pPr>
        <w:tabs>
          <w:tab w:val="left" w:pos="142"/>
          <w:tab w:val="left" w:pos="284"/>
        </w:tabs>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Finalmente, se dejan a salvo los derechos del particular, para que, en caso de así considerarlo conveniente a sus intereses, pueda formular una solicitud ante el Sujeto Ob</w:t>
      </w:r>
      <w:r w:rsidR="00C30F2B" w:rsidRPr="00151769">
        <w:rPr>
          <w:rFonts w:ascii="Palatino Linotype" w:eastAsia="Palatino Linotype" w:hAnsi="Palatino Linotype" w:cs="Palatino Linotype"/>
          <w:sz w:val="22"/>
          <w:szCs w:val="22"/>
        </w:rPr>
        <w:t xml:space="preserve">ligado competente, es decir, el </w:t>
      </w:r>
      <w:r w:rsidR="00C30F2B" w:rsidRPr="00151769">
        <w:rPr>
          <w:rFonts w:ascii="Palatino Linotype" w:eastAsia="Palatino Linotype" w:hAnsi="Palatino Linotype" w:cs="Palatino Linotype"/>
          <w:b/>
          <w:sz w:val="22"/>
          <w:szCs w:val="22"/>
        </w:rPr>
        <w:t>Ayuntamiento de Huehuetoca</w:t>
      </w:r>
      <w:r w:rsidRPr="00151769">
        <w:rPr>
          <w:rFonts w:ascii="Palatino Linotype" w:eastAsia="Palatino Linotype" w:hAnsi="Palatino Linotype" w:cs="Palatino Linotype"/>
          <w:sz w:val="22"/>
          <w:szCs w:val="22"/>
        </w:rPr>
        <w:t xml:space="preserve"> y requerir la información que es de su interés.</w:t>
      </w:r>
    </w:p>
    <w:p w14:paraId="0735D47E" w14:textId="77777777" w:rsidR="00E723FE" w:rsidRPr="00151769" w:rsidRDefault="00890B26">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 así como 188 de la Ley de Transparencia y Acceso a la Información Pública del Estado de México y Municipios, este Pleno:</w:t>
      </w:r>
    </w:p>
    <w:p w14:paraId="389FDEBB" w14:textId="77777777" w:rsidR="00E0651C" w:rsidRPr="00151769" w:rsidRDefault="00E0651C">
      <w:pPr>
        <w:pBdr>
          <w:top w:val="nil"/>
          <w:left w:val="nil"/>
          <w:bottom w:val="nil"/>
          <w:right w:val="nil"/>
          <w:between w:val="nil"/>
        </w:pBdr>
        <w:spacing w:before="240" w:after="240" w:line="360" w:lineRule="auto"/>
        <w:jc w:val="center"/>
        <w:rPr>
          <w:rFonts w:ascii="Palatino Linotype" w:eastAsia="Palatino Linotype" w:hAnsi="Palatino Linotype" w:cs="Palatino Linotype"/>
          <w:b/>
          <w:bCs/>
          <w:sz w:val="22"/>
          <w:szCs w:val="22"/>
        </w:rPr>
      </w:pPr>
    </w:p>
    <w:p w14:paraId="37258745" w14:textId="6BE483C4" w:rsidR="00E723FE" w:rsidRPr="00151769" w:rsidRDefault="00890B26">
      <w:pPr>
        <w:pBdr>
          <w:top w:val="nil"/>
          <w:left w:val="nil"/>
          <w:bottom w:val="nil"/>
          <w:right w:val="nil"/>
          <w:between w:val="nil"/>
        </w:pBdr>
        <w:spacing w:before="240" w:after="240" w:line="360" w:lineRule="auto"/>
        <w:jc w:val="center"/>
        <w:rPr>
          <w:rFonts w:ascii="Palatino Linotype" w:eastAsia="Palatino Linotype" w:hAnsi="Palatino Linotype" w:cs="Palatino Linotype"/>
          <w:b/>
          <w:bCs/>
          <w:sz w:val="22"/>
          <w:szCs w:val="22"/>
        </w:rPr>
      </w:pPr>
      <w:r w:rsidRPr="00151769">
        <w:rPr>
          <w:rFonts w:ascii="Palatino Linotype" w:eastAsia="Palatino Linotype" w:hAnsi="Palatino Linotype" w:cs="Palatino Linotype"/>
          <w:b/>
          <w:bCs/>
          <w:sz w:val="22"/>
          <w:szCs w:val="22"/>
        </w:rPr>
        <w:t>III. R E S U E L V E</w:t>
      </w:r>
    </w:p>
    <w:p w14:paraId="35C333F4" w14:textId="6E8FAC84" w:rsidR="00E723FE" w:rsidRPr="00151769" w:rsidRDefault="00890B26">
      <w:pPr>
        <w:spacing w:before="240" w:after="240" w:line="360" w:lineRule="auto"/>
        <w:jc w:val="both"/>
        <w:rPr>
          <w:rFonts w:ascii="Palatino Linotype" w:eastAsia="Palatino Linotype" w:hAnsi="Palatino Linotype" w:cs="Palatino Linotype"/>
          <w:sz w:val="22"/>
          <w:szCs w:val="22"/>
        </w:rPr>
      </w:pPr>
      <w:bookmarkStart w:id="14" w:name="_heading=h.1t3h5sf" w:colFirst="0" w:colLast="0"/>
      <w:bookmarkEnd w:id="14"/>
      <w:r w:rsidRPr="00151769">
        <w:rPr>
          <w:rFonts w:ascii="Palatino Linotype" w:eastAsia="Palatino Linotype" w:hAnsi="Palatino Linotype" w:cs="Palatino Linotype"/>
          <w:b/>
          <w:bCs/>
          <w:sz w:val="22"/>
          <w:szCs w:val="22"/>
        </w:rPr>
        <w:t xml:space="preserve">Primero. </w:t>
      </w:r>
      <w:r w:rsidRPr="00151769">
        <w:rPr>
          <w:rFonts w:ascii="Palatino Linotype" w:eastAsia="Palatino Linotype" w:hAnsi="Palatino Linotype" w:cs="Palatino Linotype"/>
          <w:sz w:val="22"/>
          <w:szCs w:val="22"/>
        </w:rPr>
        <w:t xml:space="preserve">Son </w:t>
      </w:r>
      <w:r w:rsidRPr="00151769">
        <w:rPr>
          <w:rFonts w:ascii="Palatino Linotype" w:eastAsia="Palatino Linotype" w:hAnsi="Palatino Linotype" w:cs="Palatino Linotype"/>
          <w:b/>
          <w:bCs/>
          <w:sz w:val="22"/>
          <w:szCs w:val="22"/>
        </w:rPr>
        <w:t>infundadas</w:t>
      </w:r>
      <w:r w:rsidRPr="00151769">
        <w:rPr>
          <w:rFonts w:ascii="Palatino Linotype" w:eastAsia="Palatino Linotype" w:hAnsi="Palatino Linotype" w:cs="Palatino Linotype"/>
          <w:sz w:val="22"/>
          <w:szCs w:val="22"/>
        </w:rPr>
        <w:t xml:space="preserve"> las razones o motivos de inconformidad hechos valer por la parte </w:t>
      </w:r>
      <w:r w:rsidRPr="00151769">
        <w:rPr>
          <w:rFonts w:ascii="Palatino Linotype" w:eastAsia="Palatino Linotype" w:hAnsi="Palatino Linotype" w:cs="Palatino Linotype"/>
          <w:b/>
          <w:bCs/>
          <w:sz w:val="22"/>
          <w:szCs w:val="22"/>
        </w:rPr>
        <w:t>Recurrente</w:t>
      </w:r>
      <w:r w:rsidRPr="00151769">
        <w:rPr>
          <w:rFonts w:ascii="Palatino Linotype" w:eastAsia="Palatino Linotype" w:hAnsi="Palatino Linotype" w:cs="Palatino Linotype"/>
          <w:sz w:val="22"/>
          <w:szCs w:val="22"/>
        </w:rPr>
        <w:t xml:space="preserve"> en el recurso de revisión </w:t>
      </w:r>
      <w:r w:rsidRPr="00151769">
        <w:rPr>
          <w:rFonts w:ascii="Palatino Linotype" w:eastAsia="Palatino Linotype" w:hAnsi="Palatino Linotype" w:cs="Palatino Linotype"/>
          <w:b/>
          <w:bCs/>
          <w:sz w:val="22"/>
          <w:szCs w:val="22"/>
        </w:rPr>
        <w:t>0</w:t>
      </w:r>
      <w:r w:rsidR="00E0651C" w:rsidRPr="00151769">
        <w:rPr>
          <w:rFonts w:ascii="Palatino Linotype" w:eastAsia="Palatino Linotype" w:hAnsi="Palatino Linotype" w:cs="Palatino Linotype"/>
          <w:b/>
          <w:bCs/>
          <w:sz w:val="22"/>
          <w:szCs w:val="22"/>
        </w:rPr>
        <w:t>7</w:t>
      </w:r>
      <w:r w:rsidR="00C30F2B" w:rsidRPr="00151769">
        <w:rPr>
          <w:rFonts w:ascii="Palatino Linotype" w:eastAsia="Palatino Linotype" w:hAnsi="Palatino Linotype" w:cs="Palatino Linotype"/>
          <w:b/>
          <w:bCs/>
          <w:sz w:val="22"/>
          <w:szCs w:val="22"/>
        </w:rPr>
        <w:t>666</w:t>
      </w:r>
      <w:r w:rsidRPr="00151769">
        <w:rPr>
          <w:rFonts w:ascii="Palatino Linotype" w:eastAsia="Palatino Linotype" w:hAnsi="Palatino Linotype" w:cs="Palatino Linotype"/>
          <w:b/>
          <w:bCs/>
          <w:sz w:val="22"/>
          <w:szCs w:val="22"/>
        </w:rPr>
        <w:t>/INFOEM/IP/RR/2026</w:t>
      </w:r>
      <w:r w:rsidRPr="00151769">
        <w:rPr>
          <w:rFonts w:ascii="Palatino Linotype" w:eastAsia="Palatino Linotype" w:hAnsi="Palatino Linotype" w:cs="Palatino Linotype"/>
          <w:sz w:val="22"/>
          <w:szCs w:val="22"/>
        </w:rPr>
        <w:t xml:space="preserve">, por lo que, en términos de los argumentos de derecho señalados en el considerando </w:t>
      </w:r>
      <w:r w:rsidRPr="00151769">
        <w:rPr>
          <w:rFonts w:ascii="Palatino Linotype" w:eastAsia="Palatino Linotype" w:hAnsi="Palatino Linotype" w:cs="Palatino Linotype"/>
          <w:b/>
          <w:bCs/>
          <w:sz w:val="22"/>
          <w:szCs w:val="22"/>
        </w:rPr>
        <w:t>Cuarto</w:t>
      </w:r>
      <w:r w:rsidRPr="00151769">
        <w:rPr>
          <w:rFonts w:ascii="Palatino Linotype" w:eastAsia="Palatino Linotype" w:hAnsi="Palatino Linotype" w:cs="Palatino Linotype"/>
          <w:sz w:val="22"/>
          <w:szCs w:val="22"/>
        </w:rPr>
        <w:t>, se</w:t>
      </w:r>
      <w:r w:rsidRPr="00151769">
        <w:rPr>
          <w:rFonts w:ascii="Palatino Linotype" w:eastAsia="Palatino Linotype" w:hAnsi="Palatino Linotype" w:cs="Palatino Linotype"/>
          <w:b/>
          <w:bCs/>
          <w:sz w:val="22"/>
          <w:szCs w:val="22"/>
        </w:rPr>
        <w:t xml:space="preserve"> Confirma </w:t>
      </w:r>
      <w:r w:rsidRPr="00151769">
        <w:rPr>
          <w:rFonts w:ascii="Palatino Linotype" w:eastAsia="Palatino Linotype" w:hAnsi="Palatino Linotype" w:cs="Palatino Linotype"/>
          <w:sz w:val="22"/>
          <w:szCs w:val="22"/>
        </w:rPr>
        <w:t xml:space="preserve">la respuesta del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w:t>
      </w:r>
    </w:p>
    <w:p w14:paraId="1CACF6A7" w14:textId="77777777" w:rsidR="00E723FE" w:rsidRPr="00151769" w:rsidRDefault="00890B26">
      <w:pPr>
        <w:spacing w:before="240" w:after="240" w:line="360" w:lineRule="auto"/>
        <w:jc w:val="both"/>
        <w:rPr>
          <w:rFonts w:ascii="Palatino Linotype" w:eastAsia="Palatino Linotype" w:hAnsi="Palatino Linotype" w:cs="Palatino Linotype"/>
          <w:sz w:val="22"/>
          <w:szCs w:val="22"/>
        </w:rPr>
      </w:pPr>
      <w:bookmarkStart w:id="15" w:name="_heading=h.lnxbz9" w:colFirst="0" w:colLast="0"/>
      <w:bookmarkEnd w:id="15"/>
      <w:r w:rsidRPr="00151769">
        <w:rPr>
          <w:rFonts w:ascii="Palatino Linotype" w:eastAsia="Palatino Linotype" w:hAnsi="Palatino Linotype" w:cs="Palatino Linotype"/>
          <w:b/>
          <w:bCs/>
          <w:sz w:val="22"/>
          <w:szCs w:val="22"/>
        </w:rPr>
        <w:t xml:space="preserve">Segundo. Notifíquese, </w:t>
      </w:r>
      <w:r w:rsidRPr="00151769">
        <w:rPr>
          <w:rFonts w:ascii="Palatino Linotype" w:eastAsia="Palatino Linotype" w:hAnsi="Palatino Linotype" w:cs="Palatino Linotype"/>
          <w:sz w:val="22"/>
          <w:szCs w:val="22"/>
        </w:rPr>
        <w:t xml:space="preserve">vía </w:t>
      </w:r>
      <w:r w:rsidRPr="00151769">
        <w:rPr>
          <w:rFonts w:ascii="Palatino Linotype" w:eastAsia="Palatino Linotype" w:hAnsi="Palatino Linotype" w:cs="Palatino Linotype"/>
          <w:b/>
          <w:bCs/>
          <w:sz w:val="22"/>
          <w:szCs w:val="22"/>
        </w:rPr>
        <w:t xml:space="preserve">SAIMEX, </w:t>
      </w:r>
      <w:r w:rsidRPr="00151769">
        <w:rPr>
          <w:rFonts w:ascii="Palatino Linotype" w:eastAsia="Palatino Linotype" w:hAnsi="Palatino Linotype" w:cs="Palatino Linotype"/>
          <w:sz w:val="22"/>
          <w:szCs w:val="22"/>
        </w:rPr>
        <w:t xml:space="preserve">al Titular de la Unidad de Transparencia del </w:t>
      </w:r>
      <w:r w:rsidRPr="00151769">
        <w:rPr>
          <w:rFonts w:ascii="Palatino Linotype" w:eastAsia="Palatino Linotype" w:hAnsi="Palatino Linotype" w:cs="Palatino Linotype"/>
          <w:b/>
          <w:bCs/>
          <w:sz w:val="22"/>
          <w:szCs w:val="22"/>
        </w:rPr>
        <w:t>Sujeto Obligado</w:t>
      </w:r>
      <w:r w:rsidRPr="00151769">
        <w:rPr>
          <w:rFonts w:ascii="Palatino Linotype" w:eastAsia="Palatino Linotype" w:hAnsi="Palatino Linotype" w:cs="Palatino Linotype"/>
          <w:sz w:val="22"/>
          <w:szCs w:val="22"/>
        </w:rPr>
        <w:t xml:space="preserve"> para su conocimiento, la presente resolución.</w:t>
      </w:r>
    </w:p>
    <w:p w14:paraId="040BB45D" w14:textId="04BFAA61" w:rsidR="00162413" w:rsidRPr="00151769" w:rsidRDefault="00890B26" w:rsidP="00162413">
      <w:pPr>
        <w:spacing w:before="240" w:after="240" w:line="360" w:lineRule="auto"/>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b/>
          <w:bCs/>
          <w:sz w:val="22"/>
          <w:szCs w:val="22"/>
        </w:rPr>
        <w:t xml:space="preserve">Tercero.  Notifíquese, </w:t>
      </w:r>
      <w:r w:rsidRPr="00151769">
        <w:rPr>
          <w:rFonts w:ascii="Palatino Linotype" w:eastAsia="Palatino Linotype" w:hAnsi="Palatino Linotype" w:cs="Palatino Linotype"/>
          <w:sz w:val="22"/>
          <w:szCs w:val="22"/>
        </w:rPr>
        <w:t xml:space="preserve">vía </w:t>
      </w:r>
      <w:r w:rsidRPr="00151769">
        <w:rPr>
          <w:rFonts w:ascii="Palatino Linotype" w:eastAsia="Palatino Linotype" w:hAnsi="Palatino Linotype" w:cs="Palatino Linotype"/>
          <w:b/>
          <w:bCs/>
          <w:sz w:val="22"/>
          <w:szCs w:val="22"/>
        </w:rPr>
        <w:t xml:space="preserve">SAIMEX, </w:t>
      </w:r>
      <w:r w:rsidRPr="00151769">
        <w:rPr>
          <w:rFonts w:ascii="Palatino Linotype" w:eastAsia="Palatino Linotype" w:hAnsi="Palatino Linotype" w:cs="Palatino Linotype"/>
          <w:sz w:val="22"/>
          <w:szCs w:val="22"/>
        </w:rPr>
        <w:t xml:space="preserve">a la parte </w:t>
      </w:r>
      <w:r w:rsidRPr="00151769">
        <w:rPr>
          <w:rFonts w:ascii="Palatino Linotype" w:eastAsia="Palatino Linotype" w:hAnsi="Palatino Linotype" w:cs="Palatino Linotype"/>
          <w:b/>
          <w:bCs/>
          <w:sz w:val="22"/>
          <w:szCs w:val="22"/>
        </w:rPr>
        <w:t>Recurrente</w:t>
      </w:r>
      <w:r w:rsidRPr="00151769">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52A57FE7" w14:textId="28B553A4" w:rsidR="00E723FE" w:rsidRPr="000D1809" w:rsidRDefault="00890B26">
      <w:pPr>
        <w:tabs>
          <w:tab w:val="left" w:pos="8647"/>
        </w:tabs>
        <w:spacing w:before="240" w:after="240" w:line="360" w:lineRule="auto"/>
        <w:ind w:right="51"/>
        <w:jc w:val="both"/>
        <w:rPr>
          <w:rFonts w:ascii="Palatino Linotype" w:eastAsia="Palatino Linotype" w:hAnsi="Palatino Linotype" w:cs="Palatino Linotype"/>
          <w:sz w:val="22"/>
          <w:szCs w:val="22"/>
        </w:rPr>
      </w:pPr>
      <w:r w:rsidRPr="00151769">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w:t>
      </w:r>
      <w:r w:rsidR="00C30F2B" w:rsidRPr="00151769">
        <w:rPr>
          <w:rFonts w:ascii="Palatino Linotype" w:eastAsia="Palatino Linotype" w:hAnsi="Palatino Linotype" w:cs="Palatino Linotype"/>
          <w:sz w:val="22"/>
          <w:szCs w:val="22"/>
        </w:rPr>
        <w:t xml:space="preserve">TRIGESIMA </w:t>
      </w:r>
      <w:r w:rsidR="00AE1772" w:rsidRPr="00151769">
        <w:rPr>
          <w:rFonts w:ascii="Palatino Linotype" w:eastAsia="Palatino Linotype" w:hAnsi="Palatino Linotype" w:cs="Palatino Linotype"/>
          <w:sz w:val="22"/>
          <w:szCs w:val="22"/>
        </w:rPr>
        <w:t>TERCERA</w:t>
      </w:r>
      <w:r w:rsidRPr="00151769">
        <w:rPr>
          <w:rFonts w:ascii="Palatino Linotype" w:eastAsia="Palatino Linotype" w:hAnsi="Palatino Linotype" w:cs="Palatino Linotype"/>
          <w:sz w:val="22"/>
          <w:szCs w:val="22"/>
        </w:rPr>
        <w:t xml:space="preserve"> SESIÓN ORDINARIA CELEBRADA EL </w:t>
      </w:r>
      <w:r w:rsidR="00B21714" w:rsidRPr="00151769">
        <w:rPr>
          <w:rFonts w:ascii="Palatino Linotype" w:eastAsia="Palatino Linotype" w:hAnsi="Palatino Linotype" w:cs="Palatino Linotype"/>
          <w:sz w:val="22"/>
          <w:szCs w:val="22"/>
        </w:rPr>
        <w:t>DIECISISETE DE SEPTIEMBRE</w:t>
      </w:r>
      <w:r w:rsidRPr="00151769">
        <w:rPr>
          <w:rFonts w:ascii="Palatino Linotype" w:eastAsia="Palatino Linotype" w:hAnsi="Palatino Linotype" w:cs="Palatino Linotype"/>
          <w:sz w:val="22"/>
          <w:szCs w:val="22"/>
        </w:rPr>
        <w:t xml:space="preserve"> DE DOS MIL VEINTISÉIS, ANTE EL SECRETARIO TÉCNICO DEL PLENO ALEXIS TAPIA RAMÍREZ.</w:t>
      </w:r>
    </w:p>
    <w:p w14:paraId="3228A8FF"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5CE7FD93" w14:textId="77777777" w:rsidR="00E723FE" w:rsidRPr="000D1809" w:rsidRDefault="00E723FE">
      <w:pPr>
        <w:spacing w:line="360" w:lineRule="auto"/>
        <w:jc w:val="center"/>
        <w:rPr>
          <w:rFonts w:ascii="Palatino Linotype" w:eastAsia="Palatino Linotype" w:hAnsi="Palatino Linotype" w:cs="Palatino Linotype"/>
          <w:sz w:val="22"/>
          <w:szCs w:val="22"/>
        </w:rPr>
      </w:pPr>
    </w:p>
    <w:p w14:paraId="4AF7E06B"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226957EB"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0C7F51AD"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0B6D0216"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6FF5CE38"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43F53E71"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326957E2"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0E5D42FC"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2ADF74C5"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598F7E62" w14:textId="166B8D90" w:rsidR="00E723FE" w:rsidRPr="000D1809" w:rsidRDefault="00E723FE">
      <w:pPr>
        <w:spacing w:line="360" w:lineRule="auto"/>
        <w:jc w:val="both"/>
        <w:rPr>
          <w:rFonts w:ascii="Palatino Linotype" w:eastAsia="Palatino Linotype" w:hAnsi="Palatino Linotype" w:cs="Palatino Linotype"/>
          <w:sz w:val="22"/>
          <w:szCs w:val="22"/>
        </w:rPr>
      </w:pPr>
    </w:p>
    <w:p w14:paraId="37228CA1" w14:textId="4379C29F" w:rsidR="00082361" w:rsidRPr="000D1809" w:rsidRDefault="00082361">
      <w:pPr>
        <w:spacing w:line="360" w:lineRule="auto"/>
        <w:jc w:val="both"/>
        <w:rPr>
          <w:rFonts w:ascii="Palatino Linotype" w:eastAsia="Palatino Linotype" w:hAnsi="Palatino Linotype" w:cs="Palatino Linotype"/>
          <w:sz w:val="22"/>
          <w:szCs w:val="22"/>
        </w:rPr>
      </w:pPr>
    </w:p>
    <w:p w14:paraId="312C2834" w14:textId="060F0F96" w:rsidR="00082361" w:rsidRPr="000D1809" w:rsidRDefault="00082361">
      <w:pPr>
        <w:spacing w:line="360" w:lineRule="auto"/>
        <w:jc w:val="both"/>
        <w:rPr>
          <w:rFonts w:ascii="Palatino Linotype" w:eastAsia="Palatino Linotype" w:hAnsi="Palatino Linotype" w:cs="Palatino Linotype"/>
          <w:sz w:val="22"/>
          <w:szCs w:val="22"/>
        </w:rPr>
      </w:pPr>
    </w:p>
    <w:p w14:paraId="0AD5A5EB" w14:textId="414AD33B" w:rsidR="00082361" w:rsidRPr="000D1809" w:rsidRDefault="00082361">
      <w:pPr>
        <w:spacing w:line="360" w:lineRule="auto"/>
        <w:jc w:val="both"/>
        <w:rPr>
          <w:rFonts w:ascii="Palatino Linotype" w:eastAsia="Palatino Linotype" w:hAnsi="Palatino Linotype" w:cs="Palatino Linotype"/>
          <w:sz w:val="22"/>
          <w:szCs w:val="22"/>
        </w:rPr>
      </w:pPr>
    </w:p>
    <w:p w14:paraId="6E965460" w14:textId="182FCDD4" w:rsidR="00082361" w:rsidRPr="000D1809" w:rsidRDefault="00082361">
      <w:pPr>
        <w:spacing w:line="360" w:lineRule="auto"/>
        <w:jc w:val="both"/>
        <w:rPr>
          <w:rFonts w:ascii="Palatino Linotype" w:eastAsia="Palatino Linotype" w:hAnsi="Palatino Linotype" w:cs="Palatino Linotype"/>
          <w:sz w:val="22"/>
          <w:szCs w:val="22"/>
        </w:rPr>
      </w:pPr>
    </w:p>
    <w:p w14:paraId="7CF807AB" w14:textId="524B1A2A" w:rsidR="00082361" w:rsidRPr="000D1809" w:rsidRDefault="00082361">
      <w:pPr>
        <w:spacing w:line="360" w:lineRule="auto"/>
        <w:jc w:val="both"/>
        <w:rPr>
          <w:rFonts w:ascii="Palatino Linotype" w:eastAsia="Palatino Linotype" w:hAnsi="Palatino Linotype" w:cs="Palatino Linotype"/>
          <w:sz w:val="22"/>
          <w:szCs w:val="22"/>
        </w:rPr>
      </w:pPr>
    </w:p>
    <w:p w14:paraId="26379E97" w14:textId="77777777" w:rsidR="00082361" w:rsidRPr="000D1809" w:rsidRDefault="00082361">
      <w:pPr>
        <w:spacing w:line="360" w:lineRule="auto"/>
        <w:jc w:val="both"/>
        <w:rPr>
          <w:rFonts w:ascii="Palatino Linotype" w:eastAsia="Palatino Linotype" w:hAnsi="Palatino Linotype" w:cs="Palatino Linotype"/>
          <w:sz w:val="22"/>
          <w:szCs w:val="22"/>
        </w:rPr>
      </w:pPr>
    </w:p>
    <w:p w14:paraId="70F0671E" w14:textId="77777777" w:rsidR="00E723FE" w:rsidRPr="000D1809" w:rsidRDefault="00E723FE">
      <w:pPr>
        <w:spacing w:line="360" w:lineRule="auto"/>
        <w:jc w:val="both"/>
        <w:rPr>
          <w:rFonts w:ascii="Palatino Linotype" w:eastAsia="Palatino Linotype" w:hAnsi="Palatino Linotype" w:cs="Palatino Linotype"/>
          <w:sz w:val="22"/>
          <w:szCs w:val="22"/>
        </w:rPr>
      </w:pPr>
    </w:p>
    <w:p w14:paraId="26845FDD" w14:textId="77777777" w:rsidR="003F265B" w:rsidRPr="000D1809" w:rsidRDefault="003F265B">
      <w:pPr>
        <w:spacing w:line="360" w:lineRule="auto"/>
        <w:jc w:val="both"/>
        <w:rPr>
          <w:rFonts w:ascii="Palatino Linotype" w:eastAsia="Palatino Linotype" w:hAnsi="Palatino Linotype" w:cs="Palatino Linotype"/>
          <w:sz w:val="22"/>
          <w:szCs w:val="22"/>
        </w:rPr>
      </w:pPr>
    </w:p>
    <w:p w14:paraId="3F5E5D01" w14:textId="77777777" w:rsidR="003F265B" w:rsidRPr="000D1809" w:rsidRDefault="003F265B">
      <w:pPr>
        <w:spacing w:line="360" w:lineRule="auto"/>
        <w:jc w:val="both"/>
        <w:rPr>
          <w:rFonts w:ascii="Palatino Linotype" w:eastAsia="Palatino Linotype" w:hAnsi="Palatino Linotype" w:cs="Palatino Linotype"/>
          <w:sz w:val="22"/>
          <w:szCs w:val="22"/>
        </w:rPr>
      </w:pPr>
    </w:p>
    <w:p w14:paraId="2222C04A" w14:textId="77777777" w:rsidR="003F265B" w:rsidRPr="000D1809" w:rsidRDefault="003F265B">
      <w:pPr>
        <w:spacing w:line="360" w:lineRule="auto"/>
        <w:jc w:val="both"/>
        <w:rPr>
          <w:rFonts w:ascii="Palatino Linotype" w:eastAsia="Palatino Linotype" w:hAnsi="Palatino Linotype" w:cs="Palatino Linotype"/>
          <w:sz w:val="22"/>
          <w:szCs w:val="22"/>
        </w:rPr>
      </w:pPr>
    </w:p>
    <w:p w14:paraId="2A3790F4" w14:textId="77777777" w:rsidR="003F265B" w:rsidRPr="000D1809" w:rsidRDefault="003F265B">
      <w:pPr>
        <w:spacing w:line="360" w:lineRule="auto"/>
        <w:jc w:val="both"/>
        <w:rPr>
          <w:rFonts w:ascii="Palatino Linotype" w:eastAsia="Palatino Linotype" w:hAnsi="Palatino Linotype" w:cs="Palatino Linotype"/>
          <w:sz w:val="22"/>
          <w:szCs w:val="22"/>
        </w:rPr>
      </w:pPr>
    </w:p>
    <w:p w14:paraId="30C0B1B7" w14:textId="77777777" w:rsidR="003F265B" w:rsidRPr="000D1809" w:rsidRDefault="003F265B">
      <w:pPr>
        <w:spacing w:line="360" w:lineRule="auto"/>
        <w:jc w:val="both"/>
        <w:rPr>
          <w:rFonts w:ascii="Palatino Linotype" w:eastAsia="Palatino Linotype" w:hAnsi="Palatino Linotype" w:cs="Palatino Linotype"/>
          <w:sz w:val="22"/>
          <w:szCs w:val="22"/>
        </w:rPr>
      </w:pPr>
    </w:p>
    <w:sectPr w:rsidR="003F265B" w:rsidRPr="000D1809">
      <w:headerReference w:type="default" r:id="rId11"/>
      <w:footerReference w:type="default" r:id="rId12"/>
      <w:headerReference w:type="first" r:id="rId13"/>
      <w:footerReference w:type="first" r:id="rId14"/>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7CD63" w14:textId="77777777" w:rsidR="00B36EDB" w:rsidRDefault="00B36EDB">
      <w:r>
        <w:separator/>
      </w:r>
    </w:p>
  </w:endnote>
  <w:endnote w:type="continuationSeparator" w:id="0">
    <w:p w14:paraId="608A1852" w14:textId="77777777" w:rsidR="00B36EDB" w:rsidRDefault="00B36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868DE31E-34DC-4A69-920C-D98BF0AC11A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B7960D1-9531-4A93-9007-F49CC3C4335C}"/>
    <w:embedBold r:id="rId3" w:fontKey="{C76976B9-A103-407F-861A-0FE85ED27BA1}"/>
  </w:font>
  <w:font w:name="Cambria">
    <w:panose1 w:val="02040503050406030204"/>
    <w:charset w:val="00"/>
    <w:family w:val="roman"/>
    <w:pitch w:val="variable"/>
    <w:sig w:usb0="E00006FF" w:usb1="420024FF" w:usb2="02000000" w:usb3="00000000" w:csb0="0000019F" w:csb1="00000000"/>
    <w:embedRegular r:id="rId4" w:fontKey="{BFFCFE9E-5084-436F-BA66-89F36821F19B}"/>
    <w:embedBold r:id="rId5" w:fontKey="{686F452C-BF74-4924-8802-943CFEDE3ECB}"/>
    <w:embedBoldItalic r:id="rId6" w:fontKey="{C07A1E1F-F05D-4565-A2FC-9C5D93722D2D}"/>
  </w:font>
  <w:font w:name="Georgia">
    <w:panose1 w:val="02040502050405020303"/>
    <w:charset w:val="00"/>
    <w:family w:val="roman"/>
    <w:pitch w:val="variable"/>
    <w:sig w:usb0="00000287" w:usb1="00000000" w:usb2="00000000" w:usb3="00000000" w:csb0="0000009F" w:csb1="00000000"/>
    <w:embedItalic r:id="rId7" w:fontKey="{61C77D22-6E13-4081-B599-669152E5C4C8}"/>
  </w:font>
  <w:font w:name="Palatino Linotype">
    <w:panose1 w:val="02040502050505030304"/>
    <w:charset w:val="00"/>
    <w:family w:val="roman"/>
    <w:pitch w:val="variable"/>
    <w:sig w:usb0="E0000287" w:usb1="40000013" w:usb2="00000000" w:usb3="00000000" w:csb0="0000019F" w:csb1="00000000"/>
    <w:embedRegular r:id="rId8" w:fontKey="{5148AB8A-5E26-45D8-BC01-3909D5A6E23F}"/>
    <w:embedBold r:id="rId9" w:fontKey="{3C9EFA2D-EC52-4F5C-B707-B2E14FED6AC3}"/>
    <w:embedItalic r:id="rId10" w:fontKey="{59610B3E-A726-4A63-874A-BAA29E2BB8D0}"/>
    <w:embedBoldItalic r:id="rId11" w:fontKey="{C5EC24B0-B320-4C50-AF20-5DE0C0BB7413}"/>
  </w:font>
  <w:font w:name="Verdana">
    <w:panose1 w:val="020B0604030504040204"/>
    <w:charset w:val="00"/>
    <w:family w:val="swiss"/>
    <w:pitch w:val="variable"/>
    <w:sig w:usb0="A00006FF" w:usb1="4000205B" w:usb2="00000010" w:usb3="00000000" w:csb0="0000019F" w:csb1="00000000"/>
    <w:embedRegular r:id="rId12" w:fontKey="{F7B3EC6B-8151-492F-96E9-352ED73AFC0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30664" w14:textId="4396D907" w:rsidR="00E723FE" w:rsidRDefault="00890B26">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424532">
      <w:rPr>
        <w:rFonts w:ascii="Palatino Linotype" w:eastAsia="Palatino Linotype" w:hAnsi="Palatino Linotype" w:cs="Palatino Linotype"/>
        <w:b/>
        <w:bCs/>
        <w:noProof/>
        <w:color w:val="000000"/>
        <w:sz w:val="20"/>
        <w:szCs w:val="20"/>
      </w:rPr>
      <w:t>8</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424532">
      <w:rPr>
        <w:rFonts w:ascii="Palatino Linotype" w:eastAsia="Palatino Linotype" w:hAnsi="Palatino Linotype" w:cs="Palatino Linotype"/>
        <w:b/>
        <w:bCs/>
        <w:noProof/>
        <w:color w:val="000000"/>
        <w:sz w:val="20"/>
        <w:szCs w:val="20"/>
      </w:rPr>
      <w:t>24</w:t>
    </w:r>
    <w:r>
      <w:rPr>
        <w:rFonts w:ascii="Palatino Linotype" w:eastAsia="Palatino Linotype" w:hAnsi="Palatino Linotype" w:cs="Palatino Linotype"/>
        <w:b/>
        <w:bCs/>
        <w:color w:val="000000"/>
        <w:sz w:val="20"/>
        <w:szCs w:val="20"/>
      </w:rPr>
      <w:fldChar w:fldCharType="end"/>
    </w:r>
  </w:p>
  <w:p w14:paraId="21392A02" w14:textId="77777777" w:rsidR="00E723FE" w:rsidRDefault="00E723FE">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8CA8C" w14:textId="5AA5C77D" w:rsidR="00E723FE" w:rsidRDefault="00890B26">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424532">
      <w:rPr>
        <w:rFonts w:ascii="Palatino Linotype" w:eastAsia="Palatino Linotype" w:hAnsi="Palatino Linotype" w:cs="Palatino Linotype"/>
        <w:b/>
        <w:bCs/>
        <w:noProof/>
        <w:color w:val="000000"/>
        <w:sz w:val="20"/>
        <w:szCs w:val="20"/>
      </w:rPr>
      <w:t>1</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424532">
      <w:rPr>
        <w:rFonts w:ascii="Palatino Linotype" w:eastAsia="Palatino Linotype" w:hAnsi="Palatino Linotype" w:cs="Palatino Linotype"/>
        <w:b/>
        <w:bCs/>
        <w:noProof/>
        <w:color w:val="000000"/>
        <w:sz w:val="20"/>
        <w:szCs w:val="20"/>
      </w:rPr>
      <w:t>24</w:t>
    </w:r>
    <w:r>
      <w:rPr>
        <w:rFonts w:ascii="Palatino Linotype" w:eastAsia="Palatino Linotype" w:hAnsi="Palatino Linotype" w:cs="Palatino Linotype"/>
        <w:b/>
        <w:bCs/>
        <w:color w:val="000000"/>
        <w:sz w:val="20"/>
        <w:szCs w:val="20"/>
      </w:rPr>
      <w:fldChar w:fldCharType="end"/>
    </w:r>
  </w:p>
  <w:p w14:paraId="284F3B32" w14:textId="77777777" w:rsidR="00E723FE" w:rsidRDefault="00E723FE">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AEF98" w14:textId="77777777" w:rsidR="00B36EDB" w:rsidRDefault="00B36EDB">
      <w:r>
        <w:separator/>
      </w:r>
    </w:p>
  </w:footnote>
  <w:footnote w:type="continuationSeparator" w:id="0">
    <w:p w14:paraId="0E3CF8E4" w14:textId="77777777" w:rsidR="00B36EDB" w:rsidRDefault="00B36EDB">
      <w:r>
        <w:continuationSeparator/>
      </w:r>
    </w:p>
  </w:footnote>
  <w:footnote w:id="1">
    <w:p w14:paraId="261C1CB3" w14:textId="77777777" w:rsidR="00E723FE" w:rsidRDefault="00890B26">
      <w:pPr>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w:t>
      </w:r>
      <w:r>
        <w:rPr>
          <w:rFonts w:ascii="Palatino Linotype" w:eastAsia="Palatino Linotype" w:hAnsi="Palatino Linotype" w:cs="Palatino Linotype"/>
          <w:color w:val="000000"/>
          <w:sz w:val="16"/>
          <w:szCs w:val="16"/>
        </w:rPr>
        <w:t>Artículo 92.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r>
        <w:rPr>
          <w:rFonts w:ascii="Cambria" w:eastAsia="Cambria" w:hAnsi="Cambria" w:cs="Cambria"/>
          <w:color w:val="000000"/>
          <w:sz w:val="20"/>
          <w:szCs w:val="20"/>
        </w:rPr>
        <w:t xml:space="preserve"> (…)</w:t>
      </w:r>
    </w:p>
  </w:footnote>
  <w:footnote w:id="2">
    <w:p w14:paraId="1F85B5BA" w14:textId="77777777" w:rsidR="00E723FE" w:rsidRDefault="00890B26">
      <w:pP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9"/>
          <w:szCs w:val="19"/>
        </w:rPr>
        <w:t xml:space="preserve"> </w:t>
      </w:r>
      <w:r>
        <w:rPr>
          <w:rFonts w:ascii="Palatino Linotype" w:eastAsia="Palatino Linotype" w:hAnsi="Palatino Linotype" w:cs="Palatino Linotype"/>
          <w:color w:val="000000"/>
          <w:sz w:val="16"/>
          <w:szCs w:val="16"/>
        </w:rPr>
        <w:t>“Artículo 3. Para los efectos de la presente Ley se entenderá por: (…) XXII. Información de interés público: Se refiere a la información que resulta relevante o beneficiosa para la sociedad y no simplemente de interés individual, cuya divulgación resulta útil para que el público comprenda las actividades que llevan a cabo los sujetos obligados…”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6D07B" w14:textId="77777777" w:rsidR="00E723FE" w:rsidRDefault="00890B26">
    <w:pPr>
      <w:rPr>
        <w:rFonts w:ascii="Cambria" w:eastAsia="Cambria" w:hAnsi="Cambria" w:cs="Cambria"/>
        <w:color w:val="000000"/>
      </w:rPr>
    </w:pPr>
    <w:r>
      <w:rPr>
        <w:noProof/>
      </w:rPr>
      <w:drawing>
        <wp:anchor distT="0" distB="0" distL="0" distR="0" simplePos="0" relativeHeight="251658240" behindDoc="1" locked="0" layoutInCell="1" hidden="0" allowOverlap="1" wp14:anchorId="30275B28" wp14:editId="70E0DD2D">
          <wp:simplePos x="0" y="0"/>
          <wp:positionH relativeFrom="column">
            <wp:posOffset>-1080090</wp:posOffset>
          </wp:positionH>
          <wp:positionV relativeFrom="paragraph">
            <wp:posOffset>-488261</wp:posOffset>
          </wp:positionV>
          <wp:extent cx="7809865" cy="10165715"/>
          <wp:effectExtent l="0" t="0" r="0" b="0"/>
          <wp:wrapNone/>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
      <w:tblW w:w="5953" w:type="dxa"/>
      <w:tblInd w:w="3261" w:type="dxa"/>
      <w:tblLayout w:type="fixed"/>
      <w:tblLook w:val="0400" w:firstRow="0" w:lastRow="0" w:firstColumn="0" w:lastColumn="0" w:noHBand="0" w:noVBand="1"/>
    </w:tblPr>
    <w:tblGrid>
      <w:gridCol w:w="2489"/>
      <w:gridCol w:w="3464"/>
    </w:tblGrid>
    <w:tr w:rsidR="00E723FE" w14:paraId="549D0438" w14:textId="77777777">
      <w:tc>
        <w:tcPr>
          <w:tcW w:w="2489" w:type="dxa"/>
        </w:tcPr>
        <w:p w14:paraId="7018F285" w14:textId="77777777" w:rsidR="00E723FE" w:rsidRDefault="00890B26">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vAlign w:val="center"/>
        </w:tcPr>
        <w:p w14:paraId="081CD17B" w14:textId="42C09E4E" w:rsidR="00E723FE" w:rsidRDefault="00890B26" w:rsidP="00EF31B5">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w:t>
          </w:r>
          <w:r w:rsidR="003B4C3C">
            <w:rPr>
              <w:rFonts w:ascii="Palatino Linotype" w:eastAsia="Palatino Linotype" w:hAnsi="Palatino Linotype" w:cs="Palatino Linotype"/>
              <w:b/>
              <w:bCs/>
              <w:sz w:val="22"/>
              <w:szCs w:val="22"/>
            </w:rPr>
            <w:t>7</w:t>
          </w:r>
          <w:r w:rsidR="00EF31B5">
            <w:rPr>
              <w:rFonts w:ascii="Palatino Linotype" w:eastAsia="Palatino Linotype" w:hAnsi="Palatino Linotype" w:cs="Palatino Linotype"/>
              <w:b/>
              <w:bCs/>
              <w:sz w:val="22"/>
              <w:szCs w:val="22"/>
            </w:rPr>
            <w:t>666</w:t>
          </w:r>
          <w:r>
            <w:rPr>
              <w:rFonts w:ascii="Palatino Linotype" w:eastAsia="Palatino Linotype" w:hAnsi="Palatino Linotype" w:cs="Palatino Linotype"/>
              <w:b/>
              <w:bCs/>
              <w:sz w:val="22"/>
              <w:szCs w:val="22"/>
            </w:rPr>
            <w:t>/INFOEM/IP/RR/2026</w:t>
          </w:r>
        </w:p>
      </w:tc>
    </w:tr>
    <w:tr w:rsidR="00E723FE" w14:paraId="3A5BD1CC" w14:textId="77777777">
      <w:trPr>
        <w:trHeight w:val="228"/>
      </w:trPr>
      <w:tc>
        <w:tcPr>
          <w:tcW w:w="2489" w:type="dxa"/>
          <w:vAlign w:val="center"/>
        </w:tcPr>
        <w:p w14:paraId="26B7BC73" w14:textId="77777777" w:rsidR="00E723FE" w:rsidRDefault="00890B26">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vAlign w:val="center"/>
        </w:tcPr>
        <w:p w14:paraId="71C55507" w14:textId="667175D1" w:rsidR="00E723FE" w:rsidRDefault="00EF31B5">
          <w:pPr>
            <w:ind w:left="-45" w:right="176"/>
            <w:jc w:val="both"/>
            <w:rPr>
              <w:rFonts w:ascii="Palatino Linotype" w:eastAsia="Palatino Linotype" w:hAnsi="Palatino Linotype" w:cs="Palatino Linotype"/>
              <w:b/>
              <w:bCs/>
              <w:sz w:val="22"/>
              <w:szCs w:val="22"/>
            </w:rPr>
          </w:pPr>
          <w:r w:rsidRPr="00EF31B5">
            <w:rPr>
              <w:rFonts w:ascii="Palatino Linotype" w:eastAsia="Palatino Linotype" w:hAnsi="Palatino Linotype" w:cs="Palatino Linotype"/>
              <w:b/>
              <w:bCs/>
              <w:sz w:val="22"/>
              <w:szCs w:val="22"/>
            </w:rPr>
            <w:t>Instituto Municipal de Cultura Física y Deporte de Huehuetoca</w:t>
          </w:r>
        </w:p>
      </w:tc>
    </w:tr>
    <w:tr w:rsidR="00E723FE" w14:paraId="427F10A1" w14:textId="77777777">
      <w:tc>
        <w:tcPr>
          <w:tcW w:w="2489" w:type="dxa"/>
          <w:vAlign w:val="center"/>
        </w:tcPr>
        <w:p w14:paraId="6F8C5A72" w14:textId="77777777" w:rsidR="00E723FE" w:rsidRDefault="00890B26">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vAlign w:val="center"/>
        </w:tcPr>
        <w:p w14:paraId="7676B15C" w14:textId="77777777" w:rsidR="00E723FE" w:rsidRDefault="00890B26">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1FADD438" w14:textId="77777777" w:rsidR="00E723FE" w:rsidRDefault="00890B26">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8746B" w14:textId="77777777" w:rsidR="00E723FE" w:rsidRDefault="00890B26">
    <w:pPr>
      <w:widowControl w:val="0"/>
      <w:pBdr>
        <w:top w:val="nil"/>
        <w:left w:val="nil"/>
        <w:bottom w:val="nil"/>
        <w:right w:val="nil"/>
        <w:between w:val="nil"/>
      </w:pBdr>
      <w:spacing w:line="276" w:lineRule="auto"/>
      <w:rPr>
        <w:rFonts w:ascii="Palatino Linotype" w:eastAsia="Palatino Linotype" w:hAnsi="Palatino Linotype" w:cs="Palatino Linotype"/>
        <w:sz w:val="16"/>
        <w:szCs w:val="16"/>
      </w:rPr>
    </w:pPr>
    <w:r>
      <w:rPr>
        <w:noProof/>
      </w:rPr>
      <w:drawing>
        <wp:anchor distT="0" distB="0" distL="0" distR="0" simplePos="0" relativeHeight="251659264" behindDoc="1" locked="0" layoutInCell="1" hidden="0" allowOverlap="1" wp14:anchorId="7D920AC5" wp14:editId="66B4187B">
          <wp:simplePos x="0" y="0"/>
          <wp:positionH relativeFrom="column">
            <wp:posOffset>-1080132</wp:posOffset>
          </wp:positionH>
          <wp:positionV relativeFrom="paragraph">
            <wp:posOffset>-369891</wp:posOffset>
          </wp:positionV>
          <wp:extent cx="7809865" cy="10165715"/>
          <wp:effectExtent l="0" t="0" r="0" b="0"/>
          <wp:wrapNone/>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0"/>
      <w:tblW w:w="5953" w:type="dxa"/>
      <w:tblInd w:w="3261" w:type="dxa"/>
      <w:tblLayout w:type="fixed"/>
      <w:tblLook w:val="0400" w:firstRow="0" w:lastRow="0" w:firstColumn="0" w:lastColumn="0" w:noHBand="0" w:noVBand="1"/>
    </w:tblPr>
    <w:tblGrid>
      <w:gridCol w:w="2489"/>
      <w:gridCol w:w="3464"/>
    </w:tblGrid>
    <w:tr w:rsidR="00E723FE" w14:paraId="102B4084" w14:textId="77777777">
      <w:tc>
        <w:tcPr>
          <w:tcW w:w="2489" w:type="dxa"/>
        </w:tcPr>
        <w:p w14:paraId="7C871ED5" w14:textId="77777777" w:rsidR="00E723FE" w:rsidRDefault="00890B26">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vAlign w:val="center"/>
        </w:tcPr>
        <w:p w14:paraId="66B6DC38" w14:textId="5E02ACAF" w:rsidR="00E723FE" w:rsidRDefault="00890B26" w:rsidP="00EF31B5">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w:t>
          </w:r>
          <w:r w:rsidR="004125AE">
            <w:rPr>
              <w:rFonts w:ascii="Palatino Linotype" w:eastAsia="Palatino Linotype" w:hAnsi="Palatino Linotype" w:cs="Palatino Linotype"/>
              <w:b/>
              <w:bCs/>
              <w:sz w:val="22"/>
              <w:szCs w:val="22"/>
            </w:rPr>
            <w:t>7</w:t>
          </w:r>
          <w:r w:rsidR="00EF31B5">
            <w:rPr>
              <w:rFonts w:ascii="Palatino Linotype" w:eastAsia="Palatino Linotype" w:hAnsi="Palatino Linotype" w:cs="Palatino Linotype"/>
              <w:b/>
              <w:bCs/>
              <w:sz w:val="22"/>
              <w:szCs w:val="22"/>
            </w:rPr>
            <w:t>666</w:t>
          </w:r>
          <w:r>
            <w:rPr>
              <w:rFonts w:ascii="Palatino Linotype" w:eastAsia="Palatino Linotype" w:hAnsi="Palatino Linotype" w:cs="Palatino Linotype"/>
              <w:b/>
              <w:bCs/>
              <w:sz w:val="22"/>
              <w:szCs w:val="22"/>
            </w:rPr>
            <w:t>/INFOEM/IP/RR/2026</w:t>
          </w:r>
        </w:p>
      </w:tc>
    </w:tr>
    <w:tr w:rsidR="00E723FE" w14:paraId="2F8C22F2" w14:textId="77777777">
      <w:tc>
        <w:tcPr>
          <w:tcW w:w="2489" w:type="dxa"/>
        </w:tcPr>
        <w:p w14:paraId="6656B834" w14:textId="77777777" w:rsidR="00E723FE" w:rsidRDefault="00890B26">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3464" w:type="dxa"/>
          <w:vAlign w:val="center"/>
        </w:tcPr>
        <w:p w14:paraId="27E5A232" w14:textId="60C20315" w:rsidR="00E723FE" w:rsidRDefault="00424532">
          <w:pPr>
            <w:ind w:right="175"/>
            <w:jc w:val="both"/>
            <w:rPr>
              <w:rFonts w:ascii="Palatino Linotype" w:eastAsia="Palatino Linotype" w:hAnsi="Palatino Linotype" w:cs="Palatino Linotype"/>
              <w:b/>
              <w:bCs/>
              <w:sz w:val="22"/>
              <w:szCs w:val="22"/>
            </w:rPr>
          </w:pPr>
          <w:r w:rsidRPr="00424532">
            <w:rPr>
              <w:rFonts w:ascii="Palatino Linotype" w:eastAsia="Palatino Linotype" w:hAnsi="Palatino Linotype" w:cs="Palatino Linotype"/>
              <w:b/>
              <w:bCs/>
              <w:sz w:val="22"/>
              <w:szCs w:val="22"/>
            </w:rPr>
            <w:t>XXXX XXXXXX XXXXXXXXX</w:t>
          </w:r>
        </w:p>
      </w:tc>
    </w:tr>
    <w:tr w:rsidR="00E723FE" w14:paraId="76E304DC" w14:textId="77777777">
      <w:trPr>
        <w:trHeight w:val="228"/>
      </w:trPr>
      <w:tc>
        <w:tcPr>
          <w:tcW w:w="2489" w:type="dxa"/>
          <w:vAlign w:val="center"/>
        </w:tcPr>
        <w:p w14:paraId="2E255C08" w14:textId="77777777" w:rsidR="00E723FE" w:rsidRDefault="00890B26">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vAlign w:val="center"/>
        </w:tcPr>
        <w:p w14:paraId="6A4868A2" w14:textId="7B146F6F" w:rsidR="00E723FE" w:rsidRDefault="00EF31B5">
          <w:pPr>
            <w:ind w:left="-45" w:right="176"/>
            <w:jc w:val="both"/>
            <w:rPr>
              <w:rFonts w:ascii="Palatino Linotype" w:eastAsia="Palatino Linotype" w:hAnsi="Palatino Linotype" w:cs="Palatino Linotype"/>
              <w:b/>
              <w:bCs/>
              <w:sz w:val="22"/>
              <w:szCs w:val="22"/>
            </w:rPr>
          </w:pPr>
          <w:r w:rsidRPr="00EF31B5">
            <w:rPr>
              <w:rFonts w:ascii="Palatino Linotype" w:eastAsia="Palatino Linotype" w:hAnsi="Palatino Linotype" w:cs="Palatino Linotype"/>
              <w:b/>
              <w:bCs/>
              <w:sz w:val="22"/>
              <w:szCs w:val="22"/>
            </w:rPr>
            <w:t>Instituto Municipal de Cultura Física y Deporte de Huehuetoca</w:t>
          </w:r>
        </w:p>
      </w:tc>
    </w:tr>
    <w:tr w:rsidR="00E723FE" w14:paraId="5C649B1D" w14:textId="77777777">
      <w:tc>
        <w:tcPr>
          <w:tcW w:w="2489" w:type="dxa"/>
          <w:vAlign w:val="center"/>
        </w:tcPr>
        <w:p w14:paraId="7E3E6F58" w14:textId="77777777" w:rsidR="00E723FE" w:rsidRDefault="00890B26">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vAlign w:val="center"/>
        </w:tcPr>
        <w:p w14:paraId="3C4273E3" w14:textId="77777777" w:rsidR="00E723FE" w:rsidRDefault="00890B26">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1A9F8499" w14:textId="77777777" w:rsidR="00E723FE" w:rsidRDefault="00E723F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4024F"/>
    <w:multiLevelType w:val="multilevel"/>
    <w:tmpl w:val="99FE3B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F8F431F"/>
    <w:multiLevelType w:val="multilevel"/>
    <w:tmpl w:val="A1606D2A"/>
    <w:lvl w:ilvl="0">
      <w:start w:val="1"/>
      <w:numFmt w:val="low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606B4087"/>
    <w:multiLevelType w:val="hybridMultilevel"/>
    <w:tmpl w:val="8FFC3D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3FE"/>
    <w:rsid w:val="00040526"/>
    <w:rsid w:val="00050453"/>
    <w:rsid w:val="00064696"/>
    <w:rsid w:val="00073D21"/>
    <w:rsid w:val="00082361"/>
    <w:rsid w:val="000D1809"/>
    <w:rsid w:val="000E70EE"/>
    <w:rsid w:val="00151769"/>
    <w:rsid w:val="00162413"/>
    <w:rsid w:val="002E2FF8"/>
    <w:rsid w:val="003B4C3C"/>
    <w:rsid w:val="003F265B"/>
    <w:rsid w:val="004029A9"/>
    <w:rsid w:val="004125AE"/>
    <w:rsid w:val="00424532"/>
    <w:rsid w:val="00450224"/>
    <w:rsid w:val="004F5E26"/>
    <w:rsid w:val="00521F1D"/>
    <w:rsid w:val="00581E96"/>
    <w:rsid w:val="005F7CF8"/>
    <w:rsid w:val="00647569"/>
    <w:rsid w:val="00890B26"/>
    <w:rsid w:val="0089618B"/>
    <w:rsid w:val="00AE1772"/>
    <w:rsid w:val="00B006D3"/>
    <w:rsid w:val="00B21714"/>
    <w:rsid w:val="00B36EDB"/>
    <w:rsid w:val="00B410EA"/>
    <w:rsid w:val="00B97565"/>
    <w:rsid w:val="00C107AD"/>
    <w:rsid w:val="00C30F2B"/>
    <w:rsid w:val="00C65884"/>
    <w:rsid w:val="00C916E0"/>
    <w:rsid w:val="00D31A19"/>
    <w:rsid w:val="00DB5C5C"/>
    <w:rsid w:val="00DD0987"/>
    <w:rsid w:val="00E0651C"/>
    <w:rsid w:val="00E6581C"/>
    <w:rsid w:val="00E723FE"/>
    <w:rsid w:val="00EB7F43"/>
    <w:rsid w:val="00EF31B5"/>
    <w:rsid w:val="00F36036"/>
    <w:rsid w:val="00F857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62F8D7"/>
  <w15:docId w15:val="{B94F72E9-D79F-4A6D-ADD6-82B23E1C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bCs/>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bCs/>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bCs/>
      <w:i/>
      <w:iCs/>
      <w:sz w:val="26"/>
      <w:szCs w:val="26"/>
    </w:rPr>
  </w:style>
  <w:style w:type="paragraph" w:styleId="Ttulo6">
    <w:name w:val="heading 6"/>
    <w:basedOn w:val="Normal"/>
    <w:next w:val="Normal"/>
    <w:uiPriority w:val="9"/>
    <w:semiHidden/>
    <w:unhideWhenUsed/>
    <w:qFormat/>
    <w:pPr>
      <w:spacing w:before="240" w:after="60"/>
      <w:ind w:left="4320" w:hanging="72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character" w:customStyle="1" w:styleId="SinespaciadoCar">
    <w:name w:val="Sin espaciado Car"/>
    <w:aliases w:val="Francesa Car"/>
    <w:link w:val="Sinespaciado"/>
    <w:uiPriority w:val="1"/>
    <w:locked/>
    <w:rsid w:val="00040526"/>
  </w:style>
  <w:style w:type="paragraph" w:styleId="Sinespaciado">
    <w:name w:val="No Spacing"/>
    <w:aliases w:val="Francesa"/>
    <w:link w:val="SinespaciadoCar"/>
    <w:uiPriority w:val="1"/>
    <w:qFormat/>
    <w:rsid w:val="00040526"/>
  </w:style>
  <w:style w:type="paragraph" w:styleId="Encabezado">
    <w:name w:val="header"/>
    <w:basedOn w:val="Normal"/>
    <w:link w:val="EncabezadoCar"/>
    <w:uiPriority w:val="99"/>
    <w:unhideWhenUsed/>
    <w:rsid w:val="003B4C3C"/>
    <w:pPr>
      <w:tabs>
        <w:tab w:val="center" w:pos="4419"/>
        <w:tab w:val="right" w:pos="8838"/>
      </w:tabs>
    </w:pPr>
  </w:style>
  <w:style w:type="character" w:customStyle="1" w:styleId="EncabezadoCar">
    <w:name w:val="Encabezado Car"/>
    <w:basedOn w:val="Fuentedeprrafopredeter"/>
    <w:link w:val="Encabezado"/>
    <w:uiPriority w:val="99"/>
    <w:rsid w:val="003B4C3C"/>
  </w:style>
  <w:style w:type="paragraph" w:styleId="Piedepgina">
    <w:name w:val="footer"/>
    <w:basedOn w:val="Normal"/>
    <w:link w:val="PiedepginaCar"/>
    <w:uiPriority w:val="99"/>
    <w:unhideWhenUsed/>
    <w:rsid w:val="003B4C3C"/>
    <w:pPr>
      <w:tabs>
        <w:tab w:val="center" w:pos="4419"/>
        <w:tab w:val="right" w:pos="8838"/>
      </w:tabs>
    </w:pPr>
  </w:style>
  <w:style w:type="character" w:customStyle="1" w:styleId="PiedepginaCar">
    <w:name w:val="Pie de página Car"/>
    <w:basedOn w:val="Fuentedeprrafopredeter"/>
    <w:link w:val="Piedepgina"/>
    <w:uiPriority w:val="99"/>
    <w:rsid w:val="003B4C3C"/>
  </w:style>
  <w:style w:type="paragraph" w:styleId="Prrafodelista">
    <w:name w:val="List Paragraph"/>
    <w:basedOn w:val="Normal"/>
    <w:uiPriority w:val="34"/>
    <w:qFormat/>
    <w:rsid w:val="004F5E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2931">
      <w:bodyDiv w:val="1"/>
      <w:marLeft w:val="0"/>
      <w:marRight w:val="0"/>
      <w:marTop w:val="0"/>
      <w:marBottom w:val="0"/>
      <w:divBdr>
        <w:top w:val="none" w:sz="0" w:space="0" w:color="auto"/>
        <w:left w:val="none" w:sz="0" w:space="0" w:color="auto"/>
        <w:bottom w:val="none" w:sz="0" w:space="0" w:color="auto"/>
        <w:right w:val="none" w:sz="0" w:space="0" w:color="auto"/>
      </w:divBdr>
    </w:div>
    <w:div w:id="590090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Pl5YgcHIe7cN5IZ+SkwKlSfu5Q==">CgMxLjAyCWguM3JkY3JqbjIOaC5kYWozajJ4bzZxNjYyCGguZ2pkZ3hzMgloLjNkeTZ2a20yCWguMzBqMHpsbDIJaC4yczhleW8xMg5oLnpkb2ZpaXdqdG84YjIIaC50eWpjd3QyCWguM3pueXNoNzIJaC4xeTgxMHR3MgloLjF0M2g1c2YyCGgubG54Yno5OAByITF0STY0TGJXMlVmRDhBekpSZTBCNzVJQjVQWnE1YmtyeQ==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6424</Words>
  <Characters>35336</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Maricela Villagómez Martínez</cp:lastModifiedBy>
  <cp:revision>2</cp:revision>
  <cp:lastPrinted>2026-09-21T17:00:00Z</cp:lastPrinted>
  <dcterms:created xsi:type="dcterms:W3CDTF">2026-09-22T22:46:00Z</dcterms:created>
  <dcterms:modified xsi:type="dcterms:W3CDTF">2026-09-22T22:46:00Z</dcterms:modified>
</cp:coreProperties>
</file>