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86E" w:rsidRPr="008645AC" w:rsidRDefault="00CB7FDB">
      <w:pPr>
        <w:spacing w:before="240" w:after="240" w:line="360" w:lineRule="auto"/>
        <w:jc w:val="both"/>
        <w:rPr>
          <w:rFonts w:ascii="Palatino Linotype" w:eastAsia="Palatino Linotype" w:hAnsi="Palatino Linotype" w:cs="Palatino Linotype"/>
          <w:b/>
          <w:bCs/>
          <w:sz w:val="22"/>
          <w:szCs w:val="22"/>
        </w:rPr>
      </w:pPr>
      <w:bookmarkStart w:id="0" w:name="_heading=h.1fob9te" w:colFirst="0" w:colLast="0"/>
      <w:bookmarkEnd w:id="0"/>
      <w:r w:rsidRPr="008645A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8645AC">
        <w:rPr>
          <w:rFonts w:ascii="Palatino Linotype" w:eastAsia="Palatino Linotype" w:hAnsi="Palatino Linotype" w:cs="Palatino Linotype"/>
          <w:b/>
          <w:bCs/>
          <w:sz w:val="22"/>
          <w:szCs w:val="22"/>
        </w:rPr>
        <w:t>a ocho de abril de dos mil veintiséis.</w:t>
      </w:r>
      <w:r w:rsidRPr="008645AC">
        <w:rPr>
          <w:rFonts w:ascii="Palatino Linotype" w:eastAsia="Palatino Linotype" w:hAnsi="Palatino Linotype" w:cs="Palatino Linotype"/>
          <w:sz w:val="22"/>
          <w:szCs w:val="22"/>
        </w:rPr>
        <w:t xml:space="preserve"> </w:t>
      </w:r>
    </w:p>
    <w:p w:rsidR="00EB186E" w:rsidRPr="008645AC" w:rsidRDefault="00CB7FDB">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8645AC">
        <w:rPr>
          <w:rFonts w:ascii="Palatino Linotype" w:eastAsia="Palatino Linotype" w:hAnsi="Palatino Linotype" w:cs="Palatino Linotype"/>
          <w:b/>
          <w:bCs/>
          <w:sz w:val="22"/>
          <w:szCs w:val="22"/>
        </w:rPr>
        <w:t>Visto</w:t>
      </w:r>
      <w:r w:rsidRPr="008645AC">
        <w:rPr>
          <w:rFonts w:ascii="Palatino Linotype" w:eastAsia="Palatino Linotype" w:hAnsi="Palatino Linotype" w:cs="Palatino Linotype"/>
          <w:sz w:val="22"/>
          <w:szCs w:val="22"/>
        </w:rPr>
        <w:t xml:space="preserve"> el expediente formado con motivo del recurso de revisión </w:t>
      </w:r>
      <w:r w:rsidRPr="008645AC">
        <w:rPr>
          <w:rFonts w:ascii="Palatino Linotype" w:eastAsia="Palatino Linotype" w:hAnsi="Palatino Linotype" w:cs="Palatino Linotype"/>
          <w:b/>
          <w:bCs/>
          <w:sz w:val="22"/>
          <w:szCs w:val="22"/>
        </w:rPr>
        <w:t>11234/INFOEM/IP/RR/2025</w:t>
      </w:r>
      <w:r w:rsidRPr="008645AC">
        <w:rPr>
          <w:rFonts w:ascii="Palatino Linotype" w:eastAsia="Palatino Linotype" w:hAnsi="Palatino Linotype" w:cs="Palatino Linotype"/>
          <w:sz w:val="22"/>
          <w:szCs w:val="22"/>
        </w:rPr>
        <w:t>, interpuesto por</w:t>
      </w:r>
      <w:r w:rsidRPr="008645AC">
        <w:t xml:space="preserve"> </w:t>
      </w:r>
      <w:r w:rsidRPr="008645AC">
        <w:rPr>
          <w:rFonts w:ascii="Palatino Linotype" w:eastAsia="Palatino Linotype" w:hAnsi="Palatino Linotype" w:cs="Palatino Linotype"/>
          <w:b/>
          <w:bCs/>
          <w:sz w:val="22"/>
          <w:szCs w:val="22"/>
        </w:rPr>
        <w:t>una persona usuaria del Sistema de Acceso a la Información Mexiquense que no proporcionó nombre,</w:t>
      </w:r>
      <w:r w:rsidRPr="008645AC">
        <w:rPr>
          <w:rFonts w:ascii="Palatino Linotype" w:eastAsia="Palatino Linotype" w:hAnsi="Palatino Linotype" w:cs="Palatino Linotype"/>
          <w:sz w:val="22"/>
          <w:szCs w:val="22"/>
        </w:rPr>
        <w:t xml:space="preserve"> en lo sucesivo</w:t>
      </w:r>
      <w:r w:rsidRPr="008645AC">
        <w:rPr>
          <w:rFonts w:ascii="Palatino Linotype" w:eastAsia="Palatino Linotype" w:hAnsi="Palatino Linotype" w:cs="Palatino Linotype"/>
          <w:b/>
          <w:bCs/>
          <w:sz w:val="22"/>
          <w:szCs w:val="22"/>
        </w:rPr>
        <w:t xml:space="preserve"> la parte</w:t>
      </w:r>
      <w:r w:rsidRPr="008645AC">
        <w:rPr>
          <w:rFonts w:ascii="Palatino Linotype" w:eastAsia="Palatino Linotype" w:hAnsi="Palatino Linotype" w:cs="Palatino Linotype"/>
          <w:sz w:val="22"/>
          <w:szCs w:val="22"/>
        </w:rPr>
        <w:t xml:space="preserve"> </w:t>
      </w:r>
      <w:r w:rsidRPr="008645AC">
        <w:rPr>
          <w:rFonts w:ascii="Palatino Linotype" w:eastAsia="Palatino Linotype" w:hAnsi="Palatino Linotype" w:cs="Palatino Linotype"/>
          <w:b/>
          <w:bCs/>
          <w:sz w:val="22"/>
          <w:szCs w:val="22"/>
        </w:rPr>
        <w:t>Recurrente,</w:t>
      </w:r>
      <w:r w:rsidRPr="008645AC">
        <w:rPr>
          <w:rFonts w:ascii="Palatino Linotype" w:eastAsia="Palatino Linotype" w:hAnsi="Palatino Linotype" w:cs="Palatino Linotype"/>
          <w:sz w:val="22"/>
          <w:szCs w:val="22"/>
        </w:rPr>
        <w:t xml:space="preserve"> en contra de la respuesta a su solicitud por parte del </w:t>
      </w:r>
      <w:r w:rsidRPr="008645AC">
        <w:rPr>
          <w:rFonts w:ascii="Palatino Linotype" w:eastAsia="Palatino Linotype" w:hAnsi="Palatino Linotype" w:cs="Palatino Linotype"/>
          <w:b/>
          <w:bCs/>
          <w:sz w:val="22"/>
          <w:szCs w:val="22"/>
        </w:rPr>
        <w:t xml:space="preserve">Ayuntamiento de Toluca, </w:t>
      </w:r>
      <w:r w:rsidRPr="008645AC">
        <w:rPr>
          <w:rFonts w:ascii="Palatino Linotype" w:eastAsia="Palatino Linotype" w:hAnsi="Palatino Linotype" w:cs="Palatino Linotype"/>
          <w:sz w:val="22"/>
          <w:szCs w:val="22"/>
        </w:rPr>
        <w:t xml:space="preserve">en lo sucesivo el </w:t>
      </w:r>
      <w:r w:rsidRPr="008645AC">
        <w:rPr>
          <w:rFonts w:ascii="Palatino Linotype" w:eastAsia="Palatino Linotype" w:hAnsi="Palatino Linotype" w:cs="Palatino Linotype"/>
          <w:b/>
          <w:bCs/>
          <w:sz w:val="22"/>
          <w:szCs w:val="22"/>
        </w:rPr>
        <w:t xml:space="preserve">Sujeto Obligado, </w:t>
      </w:r>
      <w:r w:rsidRPr="008645AC">
        <w:rPr>
          <w:rFonts w:ascii="Palatino Linotype" w:eastAsia="Palatino Linotype" w:hAnsi="Palatino Linotype" w:cs="Palatino Linotype"/>
          <w:sz w:val="22"/>
          <w:szCs w:val="22"/>
        </w:rPr>
        <w:t xml:space="preserve">se procede a dictar la presente resolución con base en los siguientes: </w:t>
      </w:r>
    </w:p>
    <w:p w:rsidR="00EB186E" w:rsidRPr="008645AC" w:rsidRDefault="00CB7FDB">
      <w:pPr>
        <w:spacing w:before="240" w:after="240" w:line="360" w:lineRule="auto"/>
        <w:jc w:val="center"/>
        <w:rPr>
          <w:rFonts w:ascii="Palatino Linotype" w:eastAsia="Palatino Linotype" w:hAnsi="Palatino Linotype" w:cs="Palatino Linotype"/>
          <w:b/>
          <w:bCs/>
          <w:sz w:val="22"/>
          <w:szCs w:val="22"/>
        </w:rPr>
      </w:pPr>
      <w:r w:rsidRPr="008645AC">
        <w:rPr>
          <w:rFonts w:ascii="Palatino Linotype" w:eastAsia="Palatino Linotype" w:hAnsi="Palatino Linotype" w:cs="Palatino Linotype"/>
          <w:b/>
          <w:bCs/>
          <w:sz w:val="22"/>
          <w:szCs w:val="22"/>
        </w:rPr>
        <w:t>I. A N T E C E D E N T E S</w:t>
      </w:r>
    </w:p>
    <w:p w:rsidR="00EB186E" w:rsidRPr="008645AC" w:rsidRDefault="00CB7FDB">
      <w:pPr>
        <w:spacing w:before="240" w:after="240"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1. Solicitud de acceso a la información.</w:t>
      </w:r>
      <w:r w:rsidRPr="008645AC">
        <w:rPr>
          <w:rFonts w:ascii="Palatino Linotype" w:eastAsia="Palatino Linotype" w:hAnsi="Palatino Linotype" w:cs="Palatino Linotype"/>
          <w:sz w:val="22"/>
          <w:szCs w:val="22"/>
        </w:rPr>
        <w:t xml:space="preserve"> El </w:t>
      </w:r>
      <w:r w:rsidRPr="008645AC">
        <w:rPr>
          <w:rFonts w:ascii="Palatino Linotype" w:eastAsia="Palatino Linotype" w:hAnsi="Palatino Linotype" w:cs="Palatino Linotype"/>
          <w:b/>
          <w:bCs/>
          <w:sz w:val="22"/>
          <w:szCs w:val="22"/>
        </w:rPr>
        <w:t>diecinueve de agosto de dos mil veinticinco,</w:t>
      </w:r>
      <w:r w:rsidRPr="008645AC">
        <w:rPr>
          <w:rFonts w:ascii="Palatino Linotype" w:eastAsia="Palatino Linotype" w:hAnsi="Palatino Linotype" w:cs="Palatino Linotype"/>
          <w:sz w:val="22"/>
          <w:szCs w:val="22"/>
        </w:rPr>
        <w:t xml:space="preserve"> </w:t>
      </w:r>
      <w:r w:rsidRPr="008645AC">
        <w:rPr>
          <w:rFonts w:ascii="Palatino Linotype" w:eastAsia="Palatino Linotype" w:hAnsi="Palatino Linotype" w:cs="Palatino Linotype"/>
          <w:b/>
          <w:bCs/>
          <w:sz w:val="22"/>
          <w:szCs w:val="22"/>
        </w:rPr>
        <w:t>la parte</w:t>
      </w:r>
      <w:r w:rsidRPr="008645AC">
        <w:rPr>
          <w:rFonts w:ascii="Palatino Linotype" w:eastAsia="Palatino Linotype" w:hAnsi="Palatino Linotype" w:cs="Palatino Linotype"/>
          <w:sz w:val="22"/>
          <w:szCs w:val="22"/>
        </w:rPr>
        <w:t xml:space="preserve"> </w:t>
      </w:r>
      <w:r w:rsidRPr="008645AC">
        <w:rPr>
          <w:rFonts w:ascii="Palatino Linotype" w:eastAsia="Palatino Linotype" w:hAnsi="Palatino Linotype" w:cs="Palatino Linotype"/>
          <w:b/>
          <w:bCs/>
          <w:sz w:val="22"/>
          <w:szCs w:val="22"/>
        </w:rPr>
        <w:t xml:space="preserve">Recurrente </w:t>
      </w:r>
      <w:r w:rsidRPr="008645AC">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8645AC">
        <w:rPr>
          <w:rFonts w:ascii="Palatino Linotype" w:eastAsia="Palatino Linotype" w:hAnsi="Palatino Linotype" w:cs="Palatino Linotype"/>
          <w:b/>
          <w:bCs/>
          <w:sz w:val="22"/>
          <w:szCs w:val="22"/>
        </w:rPr>
        <w:t>Sujeto Obligado</w:t>
      </w:r>
      <w:r w:rsidRPr="008645AC">
        <w:rPr>
          <w:rFonts w:ascii="Palatino Linotype" w:eastAsia="Palatino Linotype" w:hAnsi="Palatino Linotype" w:cs="Palatino Linotype"/>
          <w:sz w:val="22"/>
          <w:szCs w:val="22"/>
        </w:rPr>
        <w:t xml:space="preserve">, la solicitud de acceso a la información pública a la que se le asignó el número </w:t>
      </w:r>
      <w:r w:rsidRPr="008645AC">
        <w:rPr>
          <w:rFonts w:ascii="Palatino Linotype" w:eastAsia="Palatino Linotype" w:hAnsi="Palatino Linotype" w:cs="Palatino Linotype"/>
          <w:b/>
          <w:bCs/>
          <w:sz w:val="22"/>
          <w:szCs w:val="22"/>
        </w:rPr>
        <w:t>04273/TOLUCA/IP/2025;</w:t>
      </w:r>
      <w:r w:rsidRPr="008645AC">
        <w:rPr>
          <w:rFonts w:ascii="Palatino Linotype" w:eastAsia="Palatino Linotype" w:hAnsi="Palatino Linotype" w:cs="Palatino Linotype"/>
          <w:sz w:val="22"/>
          <w:szCs w:val="22"/>
        </w:rPr>
        <w:t xml:space="preserve"> mediante la cual requirió la información siguiente: </w:t>
      </w:r>
    </w:p>
    <w:p w:rsidR="00EB186E" w:rsidRPr="008645AC" w:rsidRDefault="00CB7FDB">
      <w:pPr>
        <w:spacing w:before="240" w:after="240"/>
        <w:ind w:left="567" w:right="474"/>
        <w:jc w:val="both"/>
        <w:rPr>
          <w:rFonts w:ascii="Palatino Linotype" w:eastAsia="Palatino Linotype" w:hAnsi="Palatino Linotype" w:cs="Palatino Linotype"/>
          <w:i/>
          <w:iCs/>
          <w:sz w:val="22"/>
          <w:szCs w:val="22"/>
        </w:rPr>
      </w:pPr>
      <w:bookmarkStart w:id="2" w:name="_heading=h.gjdgxs" w:colFirst="0" w:colLast="0"/>
      <w:bookmarkEnd w:id="2"/>
      <w:r w:rsidRPr="008645AC">
        <w:rPr>
          <w:rFonts w:ascii="Palatino Linotype" w:eastAsia="Palatino Linotype" w:hAnsi="Palatino Linotype" w:cs="Palatino Linotype"/>
          <w:i/>
          <w:iCs/>
          <w:sz w:val="22"/>
          <w:szCs w:val="22"/>
        </w:rPr>
        <w:t xml:space="preserve">“SE SOLICITAN LOS INFORMES DEL COMITE DE ARCHIVOS DE SU MUNICIPIO Y LAS ACTAS DE LAS SESIONES CON LOS PROGRAMAS ANUALES ESTO DESDE EL AÑO 2007 A 2025” (Sic) </w:t>
      </w:r>
    </w:p>
    <w:p w:rsidR="00EB186E" w:rsidRPr="008645AC" w:rsidRDefault="00CB7FDB">
      <w:pPr>
        <w:spacing w:before="240" w:after="240"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Modalidad de Entrega:</w:t>
      </w:r>
      <w:r w:rsidRPr="008645AC">
        <w:rPr>
          <w:rFonts w:ascii="Palatino Linotype" w:eastAsia="Palatino Linotype" w:hAnsi="Palatino Linotype" w:cs="Palatino Linotype"/>
          <w:sz w:val="22"/>
          <w:szCs w:val="22"/>
        </w:rPr>
        <w:t xml:space="preserve"> a través del Sistema de Acceso a la Información Mexiquense (SAIMEX).</w:t>
      </w:r>
    </w:p>
    <w:p w:rsidR="00EB186E" w:rsidRPr="008645AC" w:rsidRDefault="00CB7FDB">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sz w:val="22"/>
          <w:szCs w:val="22"/>
        </w:rPr>
      </w:pPr>
      <w:bookmarkStart w:id="3" w:name="_heading=h.3dy6vkm" w:colFirst="0" w:colLast="0"/>
      <w:bookmarkEnd w:id="3"/>
      <w:r w:rsidRPr="008645AC">
        <w:rPr>
          <w:rFonts w:ascii="Palatino Linotype" w:eastAsia="Palatino Linotype" w:hAnsi="Palatino Linotype" w:cs="Palatino Linotype"/>
          <w:b/>
          <w:bCs/>
          <w:sz w:val="22"/>
          <w:szCs w:val="22"/>
        </w:rPr>
        <w:t>2.</w:t>
      </w:r>
      <w:r w:rsidRPr="008645AC">
        <w:t xml:space="preserve"> </w:t>
      </w:r>
      <w:r w:rsidRPr="008645AC">
        <w:rPr>
          <w:rFonts w:ascii="Palatino Linotype" w:eastAsia="Palatino Linotype" w:hAnsi="Palatino Linotype" w:cs="Palatino Linotype"/>
          <w:b/>
          <w:bCs/>
          <w:sz w:val="22"/>
          <w:szCs w:val="22"/>
        </w:rPr>
        <w:t xml:space="preserve">Respuesta. </w:t>
      </w:r>
      <w:r w:rsidRPr="008645AC">
        <w:rPr>
          <w:rFonts w:ascii="Palatino Linotype" w:eastAsia="Palatino Linotype" w:hAnsi="Palatino Linotype" w:cs="Palatino Linotype"/>
          <w:sz w:val="22"/>
          <w:szCs w:val="22"/>
        </w:rPr>
        <w:t xml:space="preserve">El </w:t>
      </w:r>
      <w:r w:rsidRPr="008645AC">
        <w:rPr>
          <w:rFonts w:ascii="Palatino Linotype" w:eastAsia="Palatino Linotype" w:hAnsi="Palatino Linotype" w:cs="Palatino Linotype"/>
          <w:b/>
          <w:bCs/>
          <w:sz w:val="22"/>
          <w:szCs w:val="22"/>
        </w:rPr>
        <w:t>nueve de septiembre de dos mil veinticinco</w:t>
      </w:r>
      <w:r w:rsidRPr="008645AC">
        <w:rPr>
          <w:rFonts w:ascii="Palatino Linotype" w:eastAsia="Palatino Linotype" w:hAnsi="Palatino Linotype" w:cs="Palatino Linotype"/>
          <w:sz w:val="22"/>
          <w:szCs w:val="22"/>
        </w:rPr>
        <w:t xml:space="preserve">, el </w:t>
      </w:r>
      <w:r w:rsidRPr="008645AC">
        <w:rPr>
          <w:rFonts w:ascii="Palatino Linotype" w:eastAsia="Palatino Linotype" w:hAnsi="Palatino Linotype" w:cs="Palatino Linotype"/>
          <w:b/>
          <w:bCs/>
          <w:sz w:val="22"/>
          <w:szCs w:val="22"/>
        </w:rPr>
        <w:t xml:space="preserve">Sujeto Obligado </w:t>
      </w:r>
      <w:r w:rsidRPr="008645AC">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rsidR="00EB186E" w:rsidRPr="008645AC" w:rsidRDefault="00CB7FDB">
      <w:pPr>
        <w:spacing w:before="240" w:after="240"/>
        <w:ind w:left="567" w:right="902"/>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lastRenderedPageBreak/>
        <w:t>“En atención a la solicitud con folio 04273/TOLUCA/IP/2025, me permito adjuntar al presente la respuesta correspondiente, Sin más por el momento, reciba un saludo.” (Sic)</w:t>
      </w:r>
    </w:p>
    <w:p w:rsidR="00EB186E" w:rsidRPr="008645AC" w:rsidRDefault="00CB7FDB">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Adjunto a la respuesta, el </w:t>
      </w:r>
      <w:r w:rsidRPr="008645AC">
        <w:rPr>
          <w:rFonts w:ascii="Palatino Linotype" w:eastAsia="Palatino Linotype" w:hAnsi="Palatino Linotype" w:cs="Palatino Linotype"/>
          <w:b/>
          <w:bCs/>
          <w:sz w:val="22"/>
          <w:szCs w:val="22"/>
        </w:rPr>
        <w:t xml:space="preserve">Sujeto Obligado </w:t>
      </w:r>
      <w:r w:rsidRPr="008645AC">
        <w:rPr>
          <w:rFonts w:ascii="Palatino Linotype" w:eastAsia="Palatino Linotype" w:hAnsi="Palatino Linotype" w:cs="Palatino Linotype"/>
          <w:sz w:val="22"/>
          <w:szCs w:val="22"/>
        </w:rPr>
        <w:t>hizo entrega de la siguiente información:</w:t>
      </w:r>
    </w:p>
    <w:p w:rsidR="00EB186E" w:rsidRPr="008645AC" w:rsidRDefault="00EB186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EB186E" w:rsidRPr="008645AC" w:rsidRDefault="00CB7FDB">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Oficio del 09 de septiembre de 2025, a través del cual la Secretaría del Ayuntamiento y Servidor Público Habilitado, informó que la Ley General de Archivos no prevé la formación de Comités de Archivo; no obstante, procedió a realizar la búsqueda exhaustiva y razonable en los archivos que obran en la Coordinación de Apoyo Técnico y Archivo de la Secretaría del Ayuntamiento, no localizándose la información requerida de dicho comité. </w:t>
      </w:r>
    </w:p>
    <w:p w:rsidR="00EB186E" w:rsidRPr="008645AC" w:rsidRDefault="00EB186E">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Asimismo, respecto a los programas anuales, refiere que se localizó la expresión documental y por tanto se hace entrega de los Programas Anuales de los años 2022, 2023 у 2024, aprobados en la Sesión del Grupo Interdisciplinario de Archivos del Municipio de Toluca, Estado de México.</w:t>
      </w:r>
    </w:p>
    <w:p w:rsidR="00EB186E" w:rsidRPr="008645AC" w:rsidRDefault="00EB186E">
      <w:pPr>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rsidR="00EB186E" w:rsidRPr="008645AC" w:rsidRDefault="00CB7FDB">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Archivo que contiene los Programas Anuales de Desarrollo Archivístico de los ejercicios 2022, 2023 y 2024.</w:t>
      </w:r>
    </w:p>
    <w:p w:rsidR="00EB186E" w:rsidRPr="008645AC" w:rsidRDefault="00EB186E">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r w:rsidRPr="008645AC">
        <w:rPr>
          <w:rFonts w:ascii="Palatino Linotype" w:eastAsia="Palatino Linotype" w:hAnsi="Palatino Linotype" w:cs="Palatino Linotype"/>
          <w:b/>
          <w:bCs/>
          <w:sz w:val="22"/>
          <w:szCs w:val="22"/>
        </w:rPr>
        <w:t xml:space="preserve">3. Interposición del recurso de revisión. </w:t>
      </w:r>
      <w:r w:rsidRPr="008645AC">
        <w:rPr>
          <w:rFonts w:ascii="Palatino Linotype" w:eastAsia="Palatino Linotype" w:hAnsi="Palatino Linotype" w:cs="Palatino Linotype"/>
          <w:sz w:val="22"/>
          <w:szCs w:val="22"/>
        </w:rPr>
        <w:t xml:space="preserve">Inconforme con los términos de la respuesta emitida por parte del </w:t>
      </w:r>
      <w:r w:rsidRPr="008645AC">
        <w:rPr>
          <w:rFonts w:ascii="Palatino Linotype" w:eastAsia="Palatino Linotype" w:hAnsi="Palatino Linotype" w:cs="Palatino Linotype"/>
          <w:b/>
          <w:bCs/>
          <w:sz w:val="22"/>
          <w:szCs w:val="22"/>
        </w:rPr>
        <w:t>Sujeto Obligado</w:t>
      </w:r>
      <w:r w:rsidRPr="008645AC">
        <w:rPr>
          <w:rFonts w:ascii="Palatino Linotype" w:eastAsia="Palatino Linotype" w:hAnsi="Palatino Linotype" w:cs="Palatino Linotype"/>
          <w:sz w:val="22"/>
          <w:szCs w:val="22"/>
        </w:rPr>
        <w:t>, el</w:t>
      </w:r>
      <w:r w:rsidRPr="008645AC">
        <w:rPr>
          <w:rFonts w:ascii="Palatino Linotype" w:eastAsia="Palatino Linotype" w:hAnsi="Palatino Linotype" w:cs="Palatino Linotype"/>
          <w:b/>
          <w:bCs/>
          <w:sz w:val="22"/>
          <w:szCs w:val="22"/>
        </w:rPr>
        <w:t xml:space="preserve"> primero de octubre de dos mil veinticinco,</w:t>
      </w:r>
      <w:r w:rsidRPr="008645AC">
        <w:rPr>
          <w:rFonts w:ascii="Palatino Linotype" w:eastAsia="Palatino Linotype" w:hAnsi="Palatino Linotype" w:cs="Palatino Linotype"/>
          <w:sz w:val="22"/>
          <w:szCs w:val="22"/>
        </w:rPr>
        <w:t xml:space="preserve"> </w:t>
      </w:r>
      <w:r w:rsidRPr="008645AC">
        <w:rPr>
          <w:rFonts w:ascii="Palatino Linotype" w:eastAsia="Palatino Linotype" w:hAnsi="Palatino Linotype" w:cs="Palatino Linotype"/>
          <w:b/>
          <w:bCs/>
          <w:sz w:val="22"/>
          <w:szCs w:val="22"/>
        </w:rPr>
        <w:t>la parte</w:t>
      </w:r>
      <w:r w:rsidRPr="008645AC">
        <w:rPr>
          <w:rFonts w:ascii="Palatino Linotype" w:eastAsia="Palatino Linotype" w:hAnsi="Palatino Linotype" w:cs="Palatino Linotype"/>
          <w:sz w:val="22"/>
          <w:szCs w:val="22"/>
        </w:rPr>
        <w:t xml:space="preserve"> </w:t>
      </w:r>
      <w:r w:rsidRPr="008645AC">
        <w:rPr>
          <w:rFonts w:ascii="Palatino Linotype" w:eastAsia="Palatino Linotype" w:hAnsi="Palatino Linotype" w:cs="Palatino Linotype"/>
          <w:b/>
          <w:bCs/>
          <w:sz w:val="22"/>
          <w:szCs w:val="22"/>
        </w:rPr>
        <w:t>Recurrente</w:t>
      </w:r>
      <w:r w:rsidRPr="008645AC">
        <w:rPr>
          <w:rFonts w:ascii="Palatino Linotype" w:eastAsia="Palatino Linotype" w:hAnsi="Palatino Linotype" w:cs="Palatino Linotype"/>
          <w:sz w:val="22"/>
          <w:szCs w:val="22"/>
        </w:rPr>
        <w:t xml:space="preserve"> interpuso el recurso de revisión a través de </w:t>
      </w:r>
      <w:r w:rsidRPr="008645AC">
        <w:rPr>
          <w:rFonts w:ascii="Palatino Linotype" w:eastAsia="Palatino Linotype" w:hAnsi="Palatino Linotype" w:cs="Palatino Linotype"/>
          <w:b/>
          <w:bCs/>
          <w:sz w:val="22"/>
          <w:szCs w:val="22"/>
        </w:rPr>
        <w:t xml:space="preserve">SAIMEX, </w:t>
      </w:r>
      <w:r w:rsidRPr="008645AC">
        <w:rPr>
          <w:rFonts w:ascii="Palatino Linotype" w:eastAsia="Palatino Linotype" w:hAnsi="Palatino Linotype" w:cs="Palatino Linotype"/>
          <w:sz w:val="22"/>
          <w:szCs w:val="22"/>
        </w:rPr>
        <w:t>en donde se manifestó de la siguiente manera:</w:t>
      </w:r>
    </w:p>
    <w:p w:rsidR="00EB186E" w:rsidRPr="008645AC" w:rsidRDefault="00CB7FDB">
      <w:pPr>
        <w:tabs>
          <w:tab w:val="left" w:pos="2745"/>
        </w:tabs>
        <w:spacing w:before="240" w:after="240" w:line="276" w:lineRule="auto"/>
        <w:ind w:left="567" w:right="900"/>
        <w:jc w:val="both"/>
        <w:rPr>
          <w:rFonts w:ascii="Palatino Linotype" w:eastAsia="Palatino Linotype" w:hAnsi="Palatino Linotype" w:cs="Palatino Linotype"/>
          <w:b/>
          <w:bCs/>
          <w:sz w:val="22"/>
          <w:szCs w:val="22"/>
        </w:rPr>
      </w:pPr>
      <w:r w:rsidRPr="008645AC">
        <w:rPr>
          <w:rFonts w:ascii="Palatino Linotype" w:eastAsia="Palatino Linotype" w:hAnsi="Palatino Linotype" w:cs="Palatino Linotype"/>
          <w:b/>
          <w:bCs/>
          <w:sz w:val="22"/>
          <w:szCs w:val="22"/>
        </w:rPr>
        <w:t xml:space="preserve">a) Acto impugnado: </w:t>
      </w:r>
      <w:r w:rsidRPr="008645AC">
        <w:rPr>
          <w:rFonts w:ascii="Palatino Linotype" w:eastAsia="Palatino Linotype" w:hAnsi="Palatino Linotype" w:cs="Palatino Linotype"/>
          <w:i/>
          <w:iCs/>
          <w:sz w:val="22"/>
          <w:szCs w:val="22"/>
        </w:rPr>
        <w:t>“La opacidad a todo en ese municipio no entrega la información solicitada se pide se entregue conforme a la ley se entregue la información” (Sic)</w:t>
      </w:r>
    </w:p>
    <w:p w:rsidR="00EB186E" w:rsidRPr="008645AC" w:rsidRDefault="00CB7FDB">
      <w:pPr>
        <w:spacing w:line="276" w:lineRule="auto"/>
        <w:ind w:left="567" w:right="900"/>
        <w:jc w:val="both"/>
        <w:rPr>
          <w:rFonts w:ascii="Palatino Linotype" w:eastAsia="Palatino Linotype" w:hAnsi="Palatino Linotype" w:cs="Palatino Linotype"/>
          <w:i/>
          <w:iCs/>
          <w:sz w:val="22"/>
          <w:szCs w:val="22"/>
        </w:rPr>
      </w:pPr>
      <w:bookmarkStart w:id="4" w:name="_heading=h.30j0zll" w:colFirst="0" w:colLast="0"/>
      <w:bookmarkEnd w:id="4"/>
      <w:r w:rsidRPr="008645AC">
        <w:rPr>
          <w:rFonts w:ascii="Palatino Linotype" w:eastAsia="Palatino Linotype" w:hAnsi="Palatino Linotype" w:cs="Palatino Linotype"/>
          <w:b/>
          <w:bCs/>
          <w:sz w:val="22"/>
          <w:szCs w:val="22"/>
        </w:rPr>
        <w:lastRenderedPageBreak/>
        <w:t>b) Razones o motivos de inconformidad</w:t>
      </w:r>
      <w:r w:rsidRPr="008645AC">
        <w:rPr>
          <w:rFonts w:ascii="Palatino Linotype" w:eastAsia="Palatino Linotype" w:hAnsi="Palatino Linotype" w:cs="Palatino Linotype"/>
          <w:sz w:val="22"/>
          <w:szCs w:val="22"/>
        </w:rPr>
        <w:t xml:space="preserve">: </w:t>
      </w:r>
      <w:r w:rsidRPr="008645AC">
        <w:rPr>
          <w:rFonts w:ascii="Palatino Linotype" w:eastAsia="Palatino Linotype" w:hAnsi="Palatino Linotype" w:cs="Palatino Linotype"/>
          <w:i/>
          <w:iCs/>
          <w:sz w:val="22"/>
          <w:szCs w:val="22"/>
        </w:rPr>
        <w:t>“La opacidad a todo en ese municipio no entrega la información solicitada se pide se entregue conforme a la ley se entregue la información” (Sic)</w:t>
      </w:r>
    </w:p>
    <w:p w:rsidR="00EB186E" w:rsidRPr="008645AC" w:rsidRDefault="00EB186E">
      <w:pPr>
        <w:spacing w:line="276" w:lineRule="auto"/>
        <w:ind w:left="567" w:right="900"/>
        <w:jc w:val="both"/>
        <w:rPr>
          <w:rFonts w:ascii="Palatino Linotype" w:eastAsia="Palatino Linotype" w:hAnsi="Palatino Linotype" w:cs="Palatino Linotype"/>
          <w:i/>
          <w:iCs/>
          <w:sz w:val="22"/>
          <w:szCs w:val="22"/>
        </w:rPr>
      </w:pPr>
    </w:p>
    <w:p w:rsidR="00EB186E" w:rsidRPr="008645AC" w:rsidRDefault="00CB7FDB">
      <w:pPr>
        <w:spacing w:line="360" w:lineRule="auto"/>
        <w:ind w:right="51"/>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 xml:space="preserve">4. Turno. </w:t>
      </w:r>
      <w:r w:rsidRPr="008645A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645AC">
        <w:rPr>
          <w:rFonts w:ascii="Palatino Linotype" w:eastAsia="Palatino Linotype" w:hAnsi="Palatino Linotype" w:cs="Palatino Linotype"/>
          <w:b/>
          <w:bCs/>
          <w:sz w:val="22"/>
          <w:szCs w:val="22"/>
        </w:rPr>
        <w:t xml:space="preserve">Guadalupe Ramírez Peña, </w:t>
      </w:r>
      <w:r w:rsidRPr="008645AC">
        <w:rPr>
          <w:rFonts w:ascii="Palatino Linotype" w:eastAsia="Palatino Linotype" w:hAnsi="Palatino Linotype" w:cs="Palatino Linotype"/>
          <w:sz w:val="22"/>
          <w:szCs w:val="22"/>
        </w:rPr>
        <w:t>a efecto de que analizara sobre su admisión o su desechamiento.</w:t>
      </w:r>
    </w:p>
    <w:p w:rsidR="00EB186E" w:rsidRPr="008645AC" w:rsidRDefault="00EB186E">
      <w:pPr>
        <w:spacing w:line="360" w:lineRule="auto"/>
        <w:ind w:right="51"/>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5. Admisión del Recurso de revisión.</w:t>
      </w:r>
      <w:r w:rsidRPr="008645AC">
        <w:rPr>
          <w:rFonts w:ascii="Palatino Linotype" w:eastAsia="Palatino Linotype" w:hAnsi="Palatino Linotype" w:cs="Palatino Linotype"/>
          <w:sz w:val="22"/>
          <w:szCs w:val="22"/>
        </w:rPr>
        <w:t xml:space="preserve"> El </w:t>
      </w:r>
      <w:r w:rsidRPr="008645AC">
        <w:rPr>
          <w:rFonts w:ascii="Palatino Linotype" w:eastAsia="Palatino Linotype" w:hAnsi="Palatino Linotype" w:cs="Palatino Linotype"/>
          <w:b/>
          <w:bCs/>
          <w:sz w:val="22"/>
          <w:szCs w:val="22"/>
        </w:rPr>
        <w:t xml:space="preserve">seis de octubre de dos mil veinticinco, </w:t>
      </w:r>
      <w:r w:rsidRPr="008645AC">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645AC">
        <w:rPr>
          <w:rFonts w:ascii="Palatino Linotype" w:eastAsia="Palatino Linotype" w:hAnsi="Palatino Linotype" w:cs="Palatino Linotype"/>
          <w:b/>
          <w:bCs/>
          <w:sz w:val="22"/>
          <w:szCs w:val="22"/>
        </w:rPr>
        <w:t xml:space="preserve">Sujeto Obligado </w:t>
      </w:r>
      <w:r w:rsidRPr="008645AC">
        <w:rPr>
          <w:rFonts w:ascii="Palatino Linotype" w:eastAsia="Palatino Linotype" w:hAnsi="Palatino Linotype" w:cs="Palatino Linotype"/>
          <w:sz w:val="22"/>
          <w:szCs w:val="22"/>
        </w:rPr>
        <w:t>presentara su informe justificado.</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8645AC">
        <w:rPr>
          <w:rFonts w:ascii="Palatino Linotype" w:eastAsia="Palatino Linotype" w:hAnsi="Palatino Linotype" w:cs="Palatino Linotype"/>
          <w:b/>
          <w:bCs/>
          <w:sz w:val="22"/>
          <w:szCs w:val="22"/>
        </w:rPr>
        <w:t>6. Manifestaciones</w:t>
      </w:r>
      <w:r w:rsidRPr="008645AC">
        <w:rPr>
          <w:rFonts w:ascii="Palatino Linotype" w:eastAsia="Palatino Linotype" w:hAnsi="Palatino Linotype" w:cs="Palatino Linotype"/>
          <w:sz w:val="22"/>
          <w:szCs w:val="22"/>
        </w:rPr>
        <w:t xml:space="preserve">. De las constancias que integran el expediente en que se actúa se advierte que el </w:t>
      </w:r>
      <w:r w:rsidRPr="008645AC">
        <w:rPr>
          <w:rFonts w:ascii="Palatino Linotype" w:eastAsia="Palatino Linotype" w:hAnsi="Palatino Linotype" w:cs="Palatino Linotype"/>
          <w:b/>
          <w:bCs/>
          <w:sz w:val="22"/>
          <w:szCs w:val="22"/>
        </w:rPr>
        <w:t>Sujeto Obligado el quince de octubre de dos mil veinticinco,</w:t>
      </w:r>
      <w:r w:rsidRPr="008645AC">
        <w:rPr>
          <w:rFonts w:ascii="Palatino Linotype" w:eastAsia="Palatino Linotype" w:hAnsi="Palatino Linotype" w:cs="Palatino Linotype"/>
          <w:sz w:val="22"/>
          <w:szCs w:val="22"/>
        </w:rPr>
        <w:t xml:space="preserve"> rindió su informe justificado a través del archivo electrónico denominado “</w:t>
      </w:r>
      <w:r w:rsidRPr="008645AC">
        <w:rPr>
          <w:rFonts w:ascii="Palatino Linotype" w:eastAsia="Palatino Linotype" w:hAnsi="Palatino Linotype" w:cs="Palatino Linotype"/>
          <w:b/>
          <w:bCs/>
          <w:i/>
          <w:iCs/>
          <w:sz w:val="22"/>
          <w:szCs w:val="22"/>
        </w:rPr>
        <w:t>Ratificación 11234.pdf</w:t>
      </w:r>
      <w:r w:rsidRPr="008645AC">
        <w:rPr>
          <w:rFonts w:ascii="Palatino Linotype" w:eastAsia="Palatino Linotype" w:hAnsi="Palatino Linotype" w:cs="Palatino Linotype"/>
          <w:sz w:val="22"/>
          <w:szCs w:val="22"/>
        </w:rPr>
        <w:t>” a través del cual se ratificó en lo medular la respuesta inicial.</w:t>
      </w:r>
    </w:p>
    <w:p w:rsidR="00EB186E" w:rsidRPr="008645AC" w:rsidRDefault="00EB186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Documento el anterior que fue puesto a la vista de la parte </w:t>
      </w:r>
      <w:r w:rsidRPr="008645AC">
        <w:rPr>
          <w:rFonts w:ascii="Palatino Linotype" w:eastAsia="Palatino Linotype" w:hAnsi="Palatino Linotype" w:cs="Palatino Linotype"/>
          <w:b/>
          <w:bCs/>
          <w:sz w:val="22"/>
          <w:szCs w:val="22"/>
        </w:rPr>
        <w:t xml:space="preserve">Recurrente </w:t>
      </w:r>
      <w:r w:rsidRPr="008645AC">
        <w:rPr>
          <w:rFonts w:ascii="Palatino Linotype" w:eastAsia="Palatino Linotype" w:hAnsi="Palatino Linotype" w:cs="Palatino Linotype"/>
          <w:sz w:val="22"/>
          <w:szCs w:val="22"/>
        </w:rPr>
        <w:t>a fin de que hiciera valer manifestaciones o rindiera alegatos que conforme a derecho resultaran procedentes; no obstante, fue omisa en ejercer dicha prerrogativa.</w:t>
      </w:r>
    </w:p>
    <w:p w:rsidR="00EB186E" w:rsidRPr="008645AC" w:rsidRDefault="00EB186E">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rsidR="00EB186E" w:rsidRPr="008645AC" w:rsidRDefault="00CB7FD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7. Ampliación del término para resolver</w:t>
      </w:r>
      <w:r w:rsidRPr="008645AC">
        <w:rPr>
          <w:rFonts w:ascii="Palatino Linotype" w:eastAsia="Palatino Linotype" w:hAnsi="Palatino Linotype" w:cs="Palatino Linotype"/>
          <w:sz w:val="22"/>
          <w:szCs w:val="22"/>
        </w:rPr>
        <w:t xml:space="preserve">. Mediante acuerdo del </w:t>
      </w:r>
      <w:r w:rsidRPr="008645AC">
        <w:rPr>
          <w:rFonts w:ascii="Palatino Linotype" w:eastAsia="Palatino Linotype" w:hAnsi="Palatino Linotype" w:cs="Palatino Linotype"/>
          <w:b/>
          <w:bCs/>
          <w:sz w:val="22"/>
          <w:szCs w:val="22"/>
        </w:rPr>
        <w:t>veinticinco de marzo de dos mil veintiséis</w:t>
      </w:r>
      <w:r w:rsidRPr="008645AC">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trike/>
          <w:sz w:val="22"/>
          <w:szCs w:val="22"/>
        </w:rPr>
      </w:pPr>
      <w:r w:rsidRPr="008645AC">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numPr>
          <w:ilvl w:val="0"/>
          <w:numId w:val="1"/>
        </w:num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Complejidad del Asunto:</w:t>
      </w:r>
      <w:r w:rsidRPr="008645AC">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rsidR="00EB186E" w:rsidRPr="008645AC" w:rsidRDefault="00EB186E">
      <w:pPr>
        <w:spacing w:line="360" w:lineRule="auto"/>
        <w:ind w:left="927"/>
        <w:jc w:val="both"/>
        <w:rPr>
          <w:rFonts w:ascii="Palatino Linotype" w:eastAsia="Palatino Linotype" w:hAnsi="Palatino Linotype" w:cs="Palatino Linotype"/>
          <w:sz w:val="22"/>
          <w:szCs w:val="22"/>
        </w:rPr>
      </w:pPr>
    </w:p>
    <w:p w:rsidR="00EB186E" w:rsidRPr="008645AC" w:rsidRDefault="00CB7FDB">
      <w:pPr>
        <w:numPr>
          <w:ilvl w:val="0"/>
          <w:numId w:val="1"/>
        </w:num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Actividad Procesal del interesado.</w:t>
      </w:r>
      <w:r w:rsidRPr="008645AC">
        <w:rPr>
          <w:rFonts w:ascii="Palatino Linotype" w:eastAsia="Palatino Linotype" w:hAnsi="Palatino Linotype" w:cs="Palatino Linotype"/>
          <w:sz w:val="22"/>
          <w:szCs w:val="22"/>
        </w:rPr>
        <w:t xml:space="preserve"> Acciones u omisiones del interesado.</w:t>
      </w:r>
    </w:p>
    <w:p w:rsidR="00EB186E" w:rsidRPr="008645AC" w:rsidRDefault="00EB186E">
      <w:pPr>
        <w:spacing w:line="360" w:lineRule="auto"/>
        <w:ind w:left="927"/>
        <w:jc w:val="both"/>
        <w:rPr>
          <w:rFonts w:ascii="Palatino Linotype" w:eastAsia="Palatino Linotype" w:hAnsi="Palatino Linotype" w:cs="Palatino Linotype"/>
          <w:sz w:val="22"/>
          <w:szCs w:val="22"/>
        </w:rPr>
      </w:pPr>
    </w:p>
    <w:p w:rsidR="00EB186E" w:rsidRPr="008645AC" w:rsidRDefault="00CB7FDB">
      <w:pPr>
        <w:numPr>
          <w:ilvl w:val="0"/>
          <w:numId w:val="1"/>
        </w:num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Conducta de la Autoridad:</w:t>
      </w:r>
      <w:r w:rsidRPr="008645AC">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rsidR="00EB186E" w:rsidRPr="008645AC" w:rsidRDefault="00EB186E">
      <w:pPr>
        <w:spacing w:line="360" w:lineRule="auto"/>
        <w:ind w:left="927"/>
        <w:jc w:val="both"/>
        <w:rPr>
          <w:rFonts w:ascii="Palatino Linotype" w:eastAsia="Palatino Linotype" w:hAnsi="Palatino Linotype" w:cs="Palatino Linotype"/>
          <w:sz w:val="22"/>
          <w:szCs w:val="22"/>
        </w:rPr>
      </w:pPr>
    </w:p>
    <w:p w:rsidR="00EB186E" w:rsidRPr="008645AC" w:rsidRDefault="00CB7FDB">
      <w:pPr>
        <w:numPr>
          <w:ilvl w:val="0"/>
          <w:numId w:val="1"/>
        </w:num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 </w:t>
      </w:r>
      <w:r w:rsidRPr="008645AC">
        <w:rPr>
          <w:rFonts w:ascii="Palatino Linotype" w:eastAsia="Palatino Linotype" w:hAnsi="Palatino Linotype" w:cs="Palatino Linotype"/>
          <w:b/>
          <w:bCs/>
          <w:sz w:val="22"/>
          <w:szCs w:val="22"/>
        </w:rPr>
        <w:t xml:space="preserve">La afectación generada en la situación jurídica de la persona involucrada en el proceso: </w:t>
      </w:r>
      <w:r w:rsidRPr="008645AC">
        <w:rPr>
          <w:rFonts w:ascii="Palatino Linotype" w:eastAsia="Palatino Linotype" w:hAnsi="Palatino Linotype" w:cs="Palatino Linotype"/>
          <w:sz w:val="22"/>
          <w:szCs w:val="22"/>
        </w:rPr>
        <w:t>Violación a sus derechos humanos.</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b/>
          <w:bCs/>
          <w:sz w:val="22"/>
          <w:szCs w:val="22"/>
        </w:rPr>
      </w:pPr>
      <w:r w:rsidRPr="008645AC">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8645AC">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8645AC">
        <w:rPr>
          <w:rFonts w:ascii="Palatino Linotype" w:eastAsia="Palatino Linotype" w:hAnsi="Palatino Linotype" w:cs="Palatino Linotype"/>
          <w:sz w:val="22"/>
          <w:szCs w:val="22"/>
        </w:rPr>
        <w:t>, visible en la Gaceta del Seminario Judicial de la Federación con el registro digital 205635.</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ind w:left="567" w:right="616"/>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 </w:t>
      </w:r>
      <w:r w:rsidRPr="008645AC">
        <w:rPr>
          <w:rFonts w:ascii="Palatino Linotype" w:eastAsia="Palatino Linotype" w:hAnsi="Palatino Linotype" w:cs="Palatino Linotype"/>
          <w:i/>
          <w:iCs/>
          <w:sz w:val="22"/>
          <w:szCs w:val="22"/>
        </w:rPr>
        <w:t>“PLAZO RAZONABLE PARA RESOLVER. DIMENSIÓN Y EFECTOS DE ESTE CONCEPTO CUANDO SE ADUCE EXCESIVA CARGA DE TRABAJO.”</w:t>
      </w:r>
      <w:r w:rsidRPr="008645AC">
        <w:rPr>
          <w:rFonts w:ascii="Palatino Linotype" w:eastAsia="Palatino Linotype" w:hAnsi="Palatino Linotype" w:cs="Palatino Linotype"/>
          <w:sz w:val="22"/>
          <w:szCs w:val="22"/>
        </w:rPr>
        <w:t xml:space="preserve"> consultable en el Seminario Judicial de la Federación y su gaceta, con el registro digital 2002351.</w:t>
      </w:r>
    </w:p>
    <w:p w:rsidR="00EB186E" w:rsidRPr="008645AC" w:rsidRDefault="00EB186E">
      <w:pPr>
        <w:spacing w:line="360" w:lineRule="auto"/>
        <w:ind w:left="567" w:right="616"/>
        <w:jc w:val="both"/>
        <w:rPr>
          <w:rFonts w:ascii="Palatino Linotype" w:eastAsia="Palatino Linotype" w:hAnsi="Palatino Linotype" w:cs="Palatino Linotype"/>
          <w:b/>
          <w:bCs/>
          <w:sz w:val="22"/>
          <w:szCs w:val="22"/>
        </w:rPr>
      </w:pPr>
    </w:p>
    <w:p w:rsidR="00EB186E" w:rsidRPr="008645AC" w:rsidRDefault="00CB7FDB">
      <w:pPr>
        <w:spacing w:line="360" w:lineRule="auto"/>
        <w:ind w:left="567" w:right="616"/>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i/>
          <w:iCs/>
          <w:sz w:val="22"/>
          <w:szCs w:val="22"/>
        </w:rPr>
        <w:t>“PLAZO RAZONABLE PARA RESOLVER. CONCEPTO Y ELEMENTOS QUE LO INTEGRAN A LA LUZ DEL DERECHO INTERNACIONAL DE LOS DERECHOS HUMANOS.”</w:t>
      </w:r>
      <w:r w:rsidRPr="008645AC">
        <w:rPr>
          <w:rFonts w:ascii="Palatino Linotype" w:eastAsia="Palatino Linotype" w:hAnsi="Palatino Linotype" w:cs="Palatino Linotype"/>
          <w:sz w:val="22"/>
          <w:szCs w:val="22"/>
        </w:rPr>
        <w:t>, visible en el Seminario Judicial de la Federación y su gaceta, con el registro digital 2002350.</w:t>
      </w:r>
    </w:p>
    <w:p w:rsidR="00EB186E" w:rsidRPr="008645AC" w:rsidRDefault="00EB186E">
      <w:pPr>
        <w:spacing w:line="360" w:lineRule="auto"/>
        <w:ind w:left="567" w:right="616"/>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 xml:space="preserve">8. Cierre de instrucción. </w:t>
      </w:r>
      <w:r w:rsidRPr="008645AC">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8645AC">
        <w:rPr>
          <w:rFonts w:ascii="Palatino Linotype" w:eastAsia="Palatino Linotype" w:hAnsi="Palatino Linotype" w:cs="Palatino Linotype"/>
          <w:b/>
          <w:bCs/>
          <w:sz w:val="22"/>
          <w:szCs w:val="22"/>
        </w:rPr>
        <w:t>siete de abril de dos mil veintiséis,</w:t>
      </w:r>
      <w:r w:rsidRPr="008645AC">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rsidR="00EB186E" w:rsidRPr="008645AC" w:rsidRDefault="00EB186E">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bCs/>
          <w:sz w:val="22"/>
          <w:szCs w:val="22"/>
        </w:rPr>
      </w:pPr>
    </w:p>
    <w:p w:rsidR="00EB186E" w:rsidRPr="008645AC" w:rsidRDefault="00CB7FD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EB186E" w:rsidRPr="008645AC" w:rsidRDefault="00CB7FDB">
      <w:pPr>
        <w:widowControl w:val="0"/>
        <w:spacing w:before="240" w:after="240" w:line="360" w:lineRule="auto"/>
        <w:jc w:val="center"/>
        <w:rPr>
          <w:rFonts w:ascii="Palatino Linotype" w:eastAsia="Palatino Linotype" w:hAnsi="Palatino Linotype" w:cs="Palatino Linotype"/>
          <w:b/>
          <w:bCs/>
          <w:sz w:val="22"/>
          <w:szCs w:val="22"/>
        </w:rPr>
      </w:pPr>
      <w:r w:rsidRPr="008645AC">
        <w:rPr>
          <w:rFonts w:ascii="Palatino Linotype" w:eastAsia="Palatino Linotype" w:hAnsi="Palatino Linotype" w:cs="Palatino Linotype"/>
          <w:b/>
          <w:bCs/>
          <w:sz w:val="22"/>
          <w:szCs w:val="22"/>
        </w:rPr>
        <w:t>II. C O N S I D E R A N D O S</w:t>
      </w: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Primero. Competencia.</w:t>
      </w:r>
      <w:r w:rsidRPr="008645A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EB186E" w:rsidRPr="008645AC" w:rsidRDefault="00CB7FDB">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8645AC">
        <w:rPr>
          <w:rFonts w:ascii="Palatino Linotype" w:eastAsia="Palatino Linotype" w:hAnsi="Palatino Linotype" w:cs="Palatino Linotype"/>
          <w:b/>
          <w:bCs/>
          <w:sz w:val="22"/>
          <w:szCs w:val="22"/>
        </w:rPr>
        <w:t>Segundo. Oportunidad y Procedibilidad del Recurso de Revisión</w:t>
      </w:r>
      <w:r w:rsidRPr="008645AC">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8645AC">
        <w:rPr>
          <w:rFonts w:ascii="Palatino Linotype" w:eastAsia="Palatino Linotype" w:hAnsi="Palatino Linotype" w:cs="Palatino Linotype"/>
          <w:b/>
          <w:bCs/>
          <w:sz w:val="22"/>
          <w:szCs w:val="22"/>
        </w:rPr>
        <w:t xml:space="preserve">Sujeto Obligado </w:t>
      </w:r>
      <w:r w:rsidRPr="008645AC">
        <w:rPr>
          <w:rFonts w:ascii="Palatino Linotype" w:eastAsia="Palatino Linotype" w:hAnsi="Palatino Linotype" w:cs="Palatino Linotype"/>
          <w:sz w:val="22"/>
          <w:szCs w:val="22"/>
        </w:rPr>
        <w:t>remitió la respuesta a la solicitud de información el</w:t>
      </w:r>
      <w:r w:rsidRPr="008645AC">
        <w:t xml:space="preserve"> </w:t>
      </w:r>
      <w:r w:rsidRPr="008645AC">
        <w:rPr>
          <w:rFonts w:ascii="Palatino Linotype" w:eastAsia="Palatino Linotype" w:hAnsi="Palatino Linotype" w:cs="Palatino Linotype"/>
          <w:b/>
          <w:bCs/>
          <w:sz w:val="22"/>
          <w:szCs w:val="22"/>
        </w:rPr>
        <w:t xml:space="preserve">nueve de septiembre de dos mil veinticinco, </w:t>
      </w:r>
      <w:r w:rsidRPr="008645AC">
        <w:rPr>
          <w:rFonts w:ascii="Palatino Linotype" w:eastAsia="Palatino Linotype" w:hAnsi="Palatino Linotype" w:cs="Palatino Linotype"/>
          <w:sz w:val="22"/>
          <w:szCs w:val="22"/>
        </w:rPr>
        <w:t xml:space="preserve">mientras que el recurso de revisión interpuesto por </w:t>
      </w:r>
      <w:r w:rsidRPr="008645AC">
        <w:rPr>
          <w:rFonts w:ascii="Palatino Linotype" w:eastAsia="Palatino Linotype" w:hAnsi="Palatino Linotype" w:cs="Palatino Linotype"/>
          <w:b/>
          <w:bCs/>
          <w:sz w:val="22"/>
          <w:szCs w:val="22"/>
        </w:rPr>
        <w:t>la parte</w:t>
      </w:r>
      <w:r w:rsidRPr="008645AC">
        <w:rPr>
          <w:rFonts w:ascii="Palatino Linotype" w:eastAsia="Palatino Linotype" w:hAnsi="Palatino Linotype" w:cs="Palatino Linotype"/>
          <w:sz w:val="22"/>
          <w:szCs w:val="22"/>
        </w:rPr>
        <w:t xml:space="preserve"> </w:t>
      </w:r>
      <w:r w:rsidRPr="008645AC">
        <w:rPr>
          <w:rFonts w:ascii="Palatino Linotype" w:eastAsia="Palatino Linotype" w:hAnsi="Palatino Linotype" w:cs="Palatino Linotype"/>
          <w:b/>
          <w:bCs/>
          <w:sz w:val="22"/>
          <w:szCs w:val="22"/>
        </w:rPr>
        <w:t>Recurrente</w:t>
      </w:r>
      <w:r w:rsidRPr="008645AC">
        <w:rPr>
          <w:rFonts w:ascii="Palatino Linotype" w:eastAsia="Palatino Linotype" w:hAnsi="Palatino Linotype" w:cs="Palatino Linotype"/>
          <w:sz w:val="22"/>
          <w:szCs w:val="22"/>
        </w:rPr>
        <w:t xml:space="preserve">, se tuvo por presentado el </w:t>
      </w:r>
      <w:r w:rsidRPr="008645AC">
        <w:rPr>
          <w:rFonts w:ascii="Palatino Linotype" w:eastAsia="Palatino Linotype" w:hAnsi="Palatino Linotype" w:cs="Palatino Linotype"/>
          <w:b/>
          <w:bCs/>
          <w:sz w:val="22"/>
          <w:szCs w:val="22"/>
        </w:rPr>
        <w:t>primero de octubre de dos mil veinticinco</w:t>
      </w:r>
      <w:r w:rsidRPr="008645AC">
        <w:rPr>
          <w:rFonts w:ascii="Palatino Linotype" w:eastAsia="Palatino Linotype" w:hAnsi="Palatino Linotype" w:cs="Palatino Linotype"/>
          <w:sz w:val="22"/>
          <w:szCs w:val="22"/>
        </w:rPr>
        <w:t xml:space="preserve"> esto es, al décimo quinto día hábil siguiente a aquel </w:t>
      </w:r>
      <w:r w:rsidRPr="008645AC">
        <w:rPr>
          <w:rFonts w:ascii="Palatino Linotype" w:eastAsia="Palatino Linotype" w:hAnsi="Palatino Linotype" w:cs="Palatino Linotype"/>
          <w:b/>
          <w:bCs/>
          <w:sz w:val="22"/>
          <w:szCs w:val="22"/>
        </w:rPr>
        <w:t>en que se tuvo conocimiento de la respuesta impugnada</w:t>
      </w:r>
      <w:r w:rsidRPr="008645AC">
        <w:rPr>
          <w:rFonts w:ascii="Palatino Linotype" w:eastAsia="Palatino Linotype" w:hAnsi="Palatino Linotype" w:cs="Palatino Linotype"/>
          <w:sz w:val="22"/>
          <w:szCs w:val="22"/>
        </w:rPr>
        <w:t xml:space="preserve">. </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tabs>
          <w:tab w:val="left" w:pos="7938"/>
        </w:tabs>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EB186E" w:rsidRPr="008645AC" w:rsidRDefault="00EB186E">
      <w:pPr>
        <w:tabs>
          <w:tab w:val="left" w:pos="7938"/>
        </w:tabs>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Por otro lado, es de suma importancia mencionar que, si bien la parte</w:t>
      </w:r>
      <w:r w:rsidRPr="008645AC">
        <w:rPr>
          <w:rFonts w:ascii="Palatino Linotype" w:eastAsia="Palatino Linotype" w:hAnsi="Palatino Linotype" w:cs="Palatino Linotype"/>
          <w:b/>
          <w:bCs/>
          <w:sz w:val="22"/>
          <w:szCs w:val="22"/>
        </w:rPr>
        <w:t xml:space="preserve"> Recurrente</w:t>
      </w:r>
      <w:r w:rsidRPr="008645AC">
        <w:rPr>
          <w:rFonts w:ascii="Palatino Linotype" w:eastAsia="Palatino Linotype" w:hAnsi="Palatino Linotype" w:cs="Palatino Linotype"/>
          <w:sz w:val="22"/>
          <w:szCs w:val="22"/>
        </w:rPr>
        <w:t xml:space="preserve"> </w:t>
      </w:r>
      <w:r w:rsidRPr="008645AC">
        <w:rPr>
          <w:rFonts w:ascii="Palatino Linotype" w:eastAsia="Palatino Linotype" w:hAnsi="Palatino Linotype" w:cs="Palatino Linotype"/>
          <w:b/>
          <w:bCs/>
          <w:sz w:val="22"/>
          <w:szCs w:val="22"/>
        </w:rPr>
        <w:t>no</w:t>
      </w:r>
      <w:r w:rsidRPr="008645AC">
        <w:rPr>
          <w:rFonts w:ascii="Palatino Linotype" w:eastAsia="Palatino Linotype" w:hAnsi="Palatino Linotype" w:cs="Palatino Linotype"/>
          <w:sz w:val="22"/>
          <w:szCs w:val="22"/>
        </w:rPr>
        <w:t xml:space="preserve"> </w:t>
      </w:r>
      <w:r w:rsidRPr="008645AC">
        <w:rPr>
          <w:rFonts w:ascii="Palatino Linotype" w:eastAsia="Palatino Linotype" w:hAnsi="Palatino Linotype" w:cs="Palatino Linotype"/>
          <w:b/>
          <w:bCs/>
          <w:sz w:val="22"/>
          <w:szCs w:val="22"/>
        </w:rPr>
        <w:t>proporcionó nombre,</w:t>
      </w:r>
      <w:r w:rsidRPr="008645AC">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276" w:lineRule="auto"/>
        <w:ind w:left="851" w:right="902"/>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 xml:space="preserve">Las solicitudes </w:t>
      </w:r>
      <w:r w:rsidRPr="008645AC">
        <w:rPr>
          <w:rFonts w:ascii="Palatino Linotype" w:eastAsia="Palatino Linotype" w:hAnsi="Palatino Linotype" w:cs="Palatino Linotype"/>
          <w:b/>
          <w:bCs/>
          <w:i/>
          <w:iCs/>
          <w:sz w:val="22"/>
          <w:szCs w:val="22"/>
          <w:u w:val="single"/>
        </w:rPr>
        <w:t>anónimas</w:t>
      </w:r>
      <w:r w:rsidRPr="008645AC">
        <w:rPr>
          <w:rFonts w:ascii="Palatino Linotype" w:eastAsia="Palatino Linotype" w:hAnsi="Palatino Linotype" w:cs="Palatino Linotype"/>
          <w:i/>
          <w:iCs/>
          <w:sz w:val="22"/>
          <w:szCs w:val="22"/>
        </w:rPr>
        <w:t>, con nombre incompleto o seudónimo </w:t>
      </w:r>
      <w:r w:rsidRPr="008645AC">
        <w:rPr>
          <w:rFonts w:ascii="Palatino Linotype" w:eastAsia="Palatino Linotype" w:hAnsi="Palatino Linotype" w:cs="Palatino Linotype"/>
          <w:b/>
          <w:bCs/>
          <w:i/>
          <w:iCs/>
          <w:sz w:val="22"/>
          <w:szCs w:val="22"/>
        </w:rPr>
        <w:t>serán procedentes para su trámite por parte del sujeto obligado ante quien se presente</w:t>
      </w:r>
      <w:r w:rsidRPr="008645AC">
        <w:rPr>
          <w:rFonts w:ascii="Palatino Linotype" w:eastAsia="Palatino Linotype" w:hAnsi="Palatino Linotype" w:cs="Palatino Linotype"/>
          <w:i/>
          <w:iCs/>
          <w:sz w:val="22"/>
          <w:szCs w:val="22"/>
        </w:rPr>
        <w:t>. No podrá requerirse información adicional con motivo del nombre proporcionado por el solicitante."</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Finalmente, se advierte que resulta procedente la interposición del recurso, según lo manifestado por </w:t>
      </w:r>
      <w:r w:rsidRPr="008645AC">
        <w:rPr>
          <w:rFonts w:ascii="Palatino Linotype" w:eastAsia="Palatino Linotype" w:hAnsi="Palatino Linotype" w:cs="Palatino Linotype"/>
          <w:b/>
          <w:bCs/>
          <w:sz w:val="22"/>
          <w:szCs w:val="22"/>
        </w:rPr>
        <w:t>la parte</w:t>
      </w:r>
      <w:r w:rsidRPr="008645AC">
        <w:rPr>
          <w:rFonts w:ascii="Palatino Linotype" w:eastAsia="Palatino Linotype" w:hAnsi="Palatino Linotype" w:cs="Palatino Linotype"/>
          <w:sz w:val="22"/>
          <w:szCs w:val="22"/>
        </w:rPr>
        <w:t xml:space="preserve"> </w:t>
      </w:r>
      <w:r w:rsidRPr="008645AC">
        <w:rPr>
          <w:rFonts w:ascii="Palatino Linotype" w:eastAsia="Palatino Linotype" w:hAnsi="Palatino Linotype" w:cs="Palatino Linotype"/>
          <w:b/>
          <w:bCs/>
          <w:sz w:val="22"/>
          <w:szCs w:val="22"/>
        </w:rPr>
        <w:t>Recurrente</w:t>
      </w:r>
      <w:r w:rsidRPr="008645AC">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ind w:left="567" w:right="902"/>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Artículo 179.</w:t>
      </w:r>
      <w:r w:rsidRPr="008645AC">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rsidR="00EB186E" w:rsidRPr="008645AC" w:rsidRDefault="00CB7FDB">
      <w:pPr>
        <w:ind w:left="567" w:right="902"/>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 La negativa a la información solicitada;</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br/>
      </w:r>
      <w:r w:rsidRPr="008645AC">
        <w:rPr>
          <w:rFonts w:ascii="Palatino Linotype" w:eastAsia="Palatino Linotype" w:hAnsi="Palatino Linotype" w:cs="Palatino Linotype"/>
          <w:i/>
          <w:iCs/>
          <w:sz w:val="22"/>
          <w:szCs w:val="22"/>
        </w:rPr>
        <w:t xml:space="preserve"> […]”</w:t>
      </w:r>
    </w:p>
    <w:p w:rsidR="00EB186E" w:rsidRPr="008645AC" w:rsidRDefault="00EB186E">
      <w:pPr>
        <w:ind w:left="567"/>
        <w:rPr>
          <w:rFonts w:ascii="Palatino Linotype" w:eastAsia="Palatino Linotype" w:hAnsi="Palatino Linotype" w:cs="Palatino Linotype"/>
          <w:b/>
          <w:bCs/>
          <w:i/>
          <w:iCs/>
          <w:sz w:val="22"/>
          <w:szCs w:val="22"/>
        </w:rPr>
      </w:pPr>
    </w:p>
    <w:p w:rsidR="00EB186E" w:rsidRPr="008645AC" w:rsidRDefault="00CB7FDB">
      <w:pPr>
        <w:spacing w:line="360" w:lineRule="auto"/>
        <w:jc w:val="both"/>
        <w:rPr>
          <w:rFonts w:ascii="Palatino Linotype" w:eastAsia="Palatino Linotype" w:hAnsi="Palatino Linotype" w:cs="Palatino Linotype"/>
          <w:b/>
          <w:bCs/>
          <w:sz w:val="22"/>
          <w:szCs w:val="22"/>
        </w:rPr>
      </w:pPr>
      <w:r w:rsidRPr="008645AC">
        <w:rPr>
          <w:rFonts w:ascii="Palatino Linotype" w:eastAsia="Palatino Linotype" w:hAnsi="Palatino Linotype" w:cs="Palatino Linotype"/>
          <w:b/>
          <w:bCs/>
          <w:sz w:val="22"/>
          <w:szCs w:val="22"/>
        </w:rPr>
        <w:t xml:space="preserve">Tercero. Materia de la revisión. </w:t>
      </w:r>
      <w:r w:rsidRPr="008645AC">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8645AC">
        <w:rPr>
          <w:rFonts w:ascii="Palatino Linotype" w:eastAsia="Palatino Linotype" w:hAnsi="Palatino Linotype" w:cs="Palatino Linotype"/>
          <w:b/>
          <w:bCs/>
          <w:sz w:val="22"/>
          <w:szCs w:val="22"/>
        </w:rPr>
        <w:t>verificar si la información otorgada por el Sujeto Obligado es adecuada y suficiente para satisfacer el derecho de acceso a la información pública de la parte Recurrente,</w:t>
      </w:r>
      <w:r w:rsidRPr="008645AC">
        <w:rPr>
          <w:rFonts w:ascii="Palatino Linotype" w:eastAsia="Palatino Linotype" w:hAnsi="Palatino Linotype" w:cs="Palatino Linotype"/>
          <w:sz w:val="22"/>
          <w:szCs w:val="22"/>
        </w:rPr>
        <w:t xml:space="preserve"> o en su defecto, en caso de ser procedente, ordenar la entrega de la información oportuna.</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 xml:space="preserve">Cuarto. Estudio del asunto. </w:t>
      </w:r>
      <w:r w:rsidRPr="008645AC">
        <w:rPr>
          <w:rFonts w:ascii="Palatino Linotype" w:eastAsia="Palatino Linotype" w:hAnsi="Palatino Linotype" w:cs="Palatino Linotype"/>
          <w:sz w:val="22"/>
          <w:szCs w:val="22"/>
        </w:rPr>
        <w:t xml:space="preserve">Antes de entrar al análisis de los pronunciamientos del </w:t>
      </w:r>
      <w:r w:rsidRPr="008645AC">
        <w:rPr>
          <w:rFonts w:ascii="Palatino Linotype" w:eastAsia="Palatino Linotype" w:hAnsi="Palatino Linotype" w:cs="Palatino Linotype"/>
          <w:b/>
          <w:bCs/>
          <w:sz w:val="22"/>
          <w:szCs w:val="22"/>
        </w:rPr>
        <w:t>Sujeto Obligado</w:t>
      </w:r>
      <w:r w:rsidRPr="008645AC">
        <w:rPr>
          <w:rFonts w:ascii="Palatino Linotype" w:eastAsia="Palatino Linotype" w:hAnsi="Palatino Linotype" w:cs="Palatino Linotype"/>
          <w:sz w:val="22"/>
          <w:szCs w:val="22"/>
        </w:rPr>
        <w:t xml:space="preserve"> en la respuesta proporcionada, es necesario mencionar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276" w:lineRule="auto"/>
        <w:ind w:left="567"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Artículo 4</w:t>
      </w:r>
      <w:r w:rsidRPr="008645AC">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B186E" w:rsidRPr="008645AC" w:rsidRDefault="00EB186E">
      <w:pPr>
        <w:spacing w:line="276" w:lineRule="auto"/>
        <w:ind w:left="567" w:right="616"/>
        <w:jc w:val="both"/>
        <w:rPr>
          <w:rFonts w:ascii="Palatino Linotype" w:eastAsia="Palatino Linotype" w:hAnsi="Palatino Linotype" w:cs="Palatino Linotype"/>
          <w:i/>
          <w:iCs/>
          <w:sz w:val="22"/>
          <w:szCs w:val="22"/>
        </w:rPr>
      </w:pPr>
    </w:p>
    <w:p w:rsidR="00EB186E" w:rsidRPr="008645AC" w:rsidRDefault="00CB7FDB">
      <w:pPr>
        <w:spacing w:line="276" w:lineRule="auto"/>
        <w:ind w:left="567"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8645AC">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B186E" w:rsidRPr="008645AC" w:rsidRDefault="00EB186E">
      <w:pPr>
        <w:spacing w:line="276" w:lineRule="auto"/>
        <w:ind w:left="567" w:right="616"/>
        <w:jc w:val="both"/>
        <w:rPr>
          <w:rFonts w:ascii="Palatino Linotype" w:eastAsia="Palatino Linotype" w:hAnsi="Palatino Linotype" w:cs="Palatino Linotype"/>
          <w:i/>
          <w:iCs/>
          <w:sz w:val="22"/>
          <w:szCs w:val="22"/>
        </w:rPr>
      </w:pPr>
    </w:p>
    <w:p w:rsidR="00EB186E" w:rsidRPr="008645AC" w:rsidRDefault="00CB7FDB">
      <w:pPr>
        <w:spacing w:line="276" w:lineRule="auto"/>
        <w:ind w:left="567"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8645AC">
        <w:rPr>
          <w:rFonts w:ascii="Palatino Linotype" w:eastAsia="Palatino Linotype" w:hAnsi="Palatino Linotype" w:cs="Palatino Linotype"/>
          <w:i/>
          <w:iCs/>
          <w:sz w:val="22"/>
          <w:szCs w:val="22"/>
        </w:rPr>
        <w:t>.”</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276" w:lineRule="auto"/>
        <w:ind w:left="567" w:right="616"/>
        <w:jc w:val="both"/>
        <w:rPr>
          <w:rFonts w:ascii="Palatino Linotype" w:eastAsia="Palatino Linotype" w:hAnsi="Palatino Linotype" w:cs="Palatino Linotype"/>
          <w:i/>
          <w:iCs/>
          <w:sz w:val="22"/>
          <w:szCs w:val="22"/>
        </w:rPr>
      </w:pPr>
      <w:bookmarkStart w:id="7" w:name="_GoBack"/>
      <w:bookmarkEnd w:id="7"/>
      <w:r w:rsidRPr="008645AC">
        <w:rPr>
          <w:rFonts w:ascii="Palatino Linotype" w:eastAsia="Palatino Linotype" w:hAnsi="Palatino Linotype" w:cs="Palatino Linotype"/>
          <w:b/>
          <w:bCs/>
          <w:i/>
          <w:iCs/>
          <w:sz w:val="22"/>
          <w:szCs w:val="22"/>
        </w:rPr>
        <w:t>“Artículo 12.-</w:t>
      </w:r>
      <w:r w:rsidRPr="008645AC">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rsidR="00EB186E" w:rsidRPr="008645AC" w:rsidRDefault="00EB186E">
      <w:pPr>
        <w:spacing w:line="276" w:lineRule="auto"/>
        <w:ind w:left="567" w:right="616"/>
        <w:jc w:val="both"/>
        <w:rPr>
          <w:rFonts w:ascii="Palatino Linotype" w:eastAsia="Palatino Linotype" w:hAnsi="Palatino Linotype" w:cs="Palatino Linotype"/>
          <w:i/>
          <w:iCs/>
          <w:sz w:val="22"/>
          <w:szCs w:val="22"/>
        </w:rPr>
      </w:pPr>
    </w:p>
    <w:p w:rsidR="00EB186E" w:rsidRPr="008645AC" w:rsidRDefault="00CB7FDB">
      <w:pPr>
        <w:spacing w:line="276" w:lineRule="auto"/>
        <w:ind w:left="567" w:right="616"/>
        <w:jc w:val="both"/>
        <w:rPr>
          <w:rFonts w:ascii="Palatino Linotype" w:eastAsia="Palatino Linotype" w:hAnsi="Palatino Linotype" w:cs="Palatino Linotype"/>
          <w:b/>
          <w:bCs/>
          <w:i/>
          <w:iCs/>
          <w:sz w:val="22"/>
          <w:szCs w:val="22"/>
        </w:rPr>
      </w:pPr>
      <w:r w:rsidRPr="008645AC">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rsidR="00EB186E" w:rsidRPr="008645AC" w:rsidRDefault="00EB186E">
      <w:pPr>
        <w:spacing w:line="360" w:lineRule="auto"/>
        <w:ind w:left="567" w:right="616"/>
        <w:jc w:val="both"/>
        <w:rPr>
          <w:rFonts w:ascii="Palatino Linotype" w:eastAsia="Palatino Linotype" w:hAnsi="Palatino Linotype" w:cs="Palatino Linotype"/>
          <w:i/>
          <w:iCs/>
          <w:sz w:val="22"/>
          <w:szCs w:val="22"/>
        </w:rPr>
      </w:pPr>
    </w:p>
    <w:p w:rsidR="00EB186E" w:rsidRPr="008645AC" w:rsidRDefault="00CB7FDB">
      <w:pPr>
        <w:spacing w:line="360" w:lineRule="auto"/>
        <w:ind w:right="-93"/>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EB186E" w:rsidRPr="008645AC" w:rsidRDefault="00EB186E">
      <w:pPr>
        <w:spacing w:line="360" w:lineRule="auto"/>
        <w:ind w:right="-93"/>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b/>
          <w:bCs/>
          <w:sz w:val="22"/>
          <w:szCs w:val="22"/>
        </w:rPr>
      </w:pPr>
      <w:r w:rsidRPr="008645AC">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8645AC">
        <w:rPr>
          <w:rFonts w:ascii="Palatino Linotype" w:eastAsia="Palatino Linotype" w:hAnsi="Palatino Linotype" w:cs="Palatino Linotype"/>
          <w:b/>
          <w:bCs/>
          <w:sz w:val="22"/>
          <w:szCs w:val="22"/>
        </w:rPr>
        <w:t xml:space="preserve"> </w:t>
      </w:r>
    </w:p>
    <w:p w:rsidR="00EB186E" w:rsidRPr="008645AC" w:rsidRDefault="00CB7FDB">
      <w:pPr>
        <w:spacing w:line="276" w:lineRule="auto"/>
        <w:ind w:left="567"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8645AC">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EB186E" w:rsidRPr="008645AC" w:rsidRDefault="00EB186E">
      <w:pPr>
        <w:spacing w:line="360" w:lineRule="auto"/>
        <w:ind w:right="-93"/>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B186E" w:rsidRPr="008645AC" w:rsidRDefault="00EB186E">
      <w:pPr>
        <w:spacing w:line="360" w:lineRule="auto"/>
        <w:ind w:right="49"/>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B186E" w:rsidRPr="008645AC" w:rsidRDefault="00EB186E">
      <w:pPr>
        <w:spacing w:line="360" w:lineRule="auto"/>
        <w:ind w:left="851" w:right="899"/>
        <w:jc w:val="both"/>
        <w:rPr>
          <w:rFonts w:ascii="Palatino Linotype" w:eastAsia="Palatino Linotype" w:hAnsi="Palatino Linotype" w:cs="Palatino Linotype"/>
          <w:i/>
          <w:iCs/>
          <w:sz w:val="22"/>
          <w:szCs w:val="22"/>
        </w:rPr>
      </w:pPr>
    </w:p>
    <w:p w:rsidR="00EB186E" w:rsidRPr="008645AC" w:rsidRDefault="00CB7FDB">
      <w:pPr>
        <w:spacing w:line="276" w:lineRule="auto"/>
        <w:ind w:left="567"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 xml:space="preserve">Artículo 3. </w:t>
      </w:r>
      <w:r w:rsidRPr="008645AC">
        <w:rPr>
          <w:rFonts w:ascii="Palatino Linotype" w:eastAsia="Palatino Linotype" w:hAnsi="Palatino Linotype" w:cs="Palatino Linotype"/>
          <w:i/>
          <w:iCs/>
          <w:sz w:val="22"/>
          <w:szCs w:val="22"/>
        </w:rPr>
        <w:t>Para los efectos de la presente Ley se entenderá por:</w:t>
      </w:r>
    </w:p>
    <w:p w:rsidR="00EB186E" w:rsidRPr="008645AC" w:rsidRDefault="00CB7FDB">
      <w:pPr>
        <w:spacing w:line="276" w:lineRule="auto"/>
        <w:ind w:left="567"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p>
    <w:p w:rsidR="00EB186E" w:rsidRPr="008645AC" w:rsidRDefault="00CB7FDB">
      <w:pPr>
        <w:spacing w:line="276" w:lineRule="auto"/>
        <w:ind w:left="567"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XI. Documento:</w:t>
      </w:r>
      <w:r w:rsidRPr="008645AC">
        <w:rPr>
          <w:rFonts w:ascii="Palatino Linotype" w:eastAsia="Palatino Linotype" w:hAnsi="Palatino Linotype" w:cs="Palatino Linotype"/>
          <w:i/>
          <w:iCs/>
          <w:sz w:val="22"/>
          <w:szCs w:val="22"/>
        </w:rPr>
        <w:t xml:space="preserve"> Los expedientes, reportes, estudios, actas</w:t>
      </w:r>
      <w:r w:rsidRPr="008645AC">
        <w:rPr>
          <w:rFonts w:ascii="Palatino Linotype" w:eastAsia="Palatino Linotype" w:hAnsi="Palatino Linotype" w:cs="Palatino Linotype"/>
          <w:b/>
          <w:bCs/>
          <w:i/>
          <w:iCs/>
          <w:sz w:val="22"/>
          <w:szCs w:val="22"/>
        </w:rPr>
        <w:t>,</w:t>
      </w:r>
      <w:r w:rsidRPr="008645AC">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EB186E" w:rsidRPr="008645AC" w:rsidRDefault="00EB186E">
      <w:pPr>
        <w:spacing w:line="360" w:lineRule="auto"/>
        <w:ind w:left="851" w:right="899"/>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276" w:lineRule="auto"/>
        <w:ind w:left="567" w:right="616"/>
        <w:jc w:val="both"/>
        <w:rPr>
          <w:rFonts w:ascii="Palatino Linotype" w:eastAsia="Palatino Linotype" w:hAnsi="Palatino Linotype" w:cs="Palatino Linotype"/>
          <w:b/>
          <w:bCs/>
          <w:i/>
          <w:iCs/>
          <w:sz w:val="22"/>
          <w:szCs w:val="22"/>
        </w:rPr>
      </w:pPr>
      <w:r w:rsidRPr="008645AC">
        <w:rPr>
          <w:rFonts w:ascii="Palatino Linotype" w:eastAsia="Palatino Linotype" w:hAnsi="Palatino Linotype" w:cs="Palatino Linotype"/>
          <w:b/>
          <w:bCs/>
          <w:sz w:val="22"/>
          <w:szCs w:val="22"/>
        </w:rPr>
        <w:t>“</w:t>
      </w:r>
      <w:r w:rsidRPr="008645AC">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8645AC">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B186E" w:rsidRPr="008645AC" w:rsidRDefault="00CB7FDB">
      <w:pPr>
        <w:spacing w:line="276" w:lineRule="auto"/>
        <w:ind w:left="567"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EB186E" w:rsidRPr="008645AC" w:rsidRDefault="00CB7FDB">
      <w:pPr>
        <w:spacing w:line="276" w:lineRule="auto"/>
        <w:ind w:left="567"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rsidR="00EB186E" w:rsidRPr="008645AC" w:rsidRDefault="00CB7FDB">
      <w:pPr>
        <w:spacing w:line="276" w:lineRule="auto"/>
        <w:ind w:left="567" w:right="616"/>
        <w:jc w:val="both"/>
        <w:rPr>
          <w:rFonts w:ascii="Palatino Linotype" w:eastAsia="Palatino Linotype" w:hAnsi="Palatino Linotype" w:cs="Palatino Linotype"/>
          <w:b/>
          <w:bCs/>
          <w:i/>
          <w:iCs/>
          <w:sz w:val="22"/>
          <w:szCs w:val="22"/>
        </w:rPr>
      </w:pPr>
      <w:r w:rsidRPr="008645AC">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rsidR="00EB186E" w:rsidRPr="008645AC" w:rsidRDefault="00CB7FDB">
      <w:pPr>
        <w:spacing w:line="276" w:lineRule="auto"/>
        <w:ind w:left="567" w:right="616"/>
        <w:jc w:val="both"/>
        <w:rPr>
          <w:rFonts w:ascii="Palatino Linotype" w:eastAsia="Palatino Linotype" w:hAnsi="Palatino Linotype" w:cs="Palatino Linotype"/>
          <w:b/>
          <w:bCs/>
          <w:i/>
          <w:iCs/>
          <w:sz w:val="22"/>
          <w:szCs w:val="22"/>
        </w:rPr>
      </w:pPr>
      <w:r w:rsidRPr="008645AC">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rsidR="00EB186E" w:rsidRPr="008645AC" w:rsidRDefault="00EB186E">
      <w:pPr>
        <w:spacing w:line="276" w:lineRule="auto"/>
        <w:ind w:left="567" w:right="616"/>
        <w:jc w:val="both"/>
        <w:rPr>
          <w:rFonts w:ascii="Palatino Linotype" w:eastAsia="Palatino Linotype" w:hAnsi="Palatino Linotype" w:cs="Palatino Linotype"/>
          <w:b/>
          <w:bCs/>
          <w:i/>
          <w:iCs/>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De ahí que el </w:t>
      </w:r>
      <w:r w:rsidRPr="008645AC">
        <w:rPr>
          <w:rFonts w:ascii="Palatino Linotype" w:eastAsia="Palatino Linotype" w:hAnsi="Palatino Linotype" w:cs="Palatino Linotype"/>
          <w:b/>
          <w:bCs/>
          <w:sz w:val="22"/>
          <w:szCs w:val="22"/>
        </w:rPr>
        <w:t>Sujeto Obligado</w:t>
      </w:r>
      <w:r w:rsidRPr="008645AC">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8645AC">
        <w:rPr>
          <w:rFonts w:ascii="Palatino Linotype" w:eastAsia="Palatino Linotype" w:hAnsi="Palatino Linotype" w:cs="Palatino Linotype"/>
          <w:sz w:val="22"/>
          <w:szCs w:val="22"/>
          <w:vertAlign w:val="superscript"/>
        </w:rPr>
        <w:footnoteReference w:id="1"/>
      </w:r>
      <w:r w:rsidRPr="008645AC">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645AC">
        <w:rPr>
          <w:rFonts w:ascii="Palatino Linotype" w:eastAsia="Palatino Linotype" w:hAnsi="Palatino Linotype" w:cs="Palatino Linotype"/>
          <w:sz w:val="22"/>
          <w:szCs w:val="22"/>
          <w:vertAlign w:val="superscript"/>
        </w:rPr>
        <w:footnoteReference w:id="2"/>
      </w:r>
      <w:r w:rsidRPr="008645AC">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rsidR="00EB186E" w:rsidRPr="008645AC" w:rsidRDefault="00EB186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bookmarkStart w:id="8" w:name="_heading=h.1y810tw" w:colFirst="0" w:colLast="0"/>
      <w:bookmarkEnd w:id="8"/>
      <w:r w:rsidRPr="008645AC">
        <w:rPr>
          <w:rFonts w:ascii="Palatino Linotype" w:eastAsia="Palatino Linotype" w:hAnsi="Palatino Linotype" w:cs="Palatino Linotype"/>
          <w:sz w:val="22"/>
          <w:szCs w:val="22"/>
        </w:rPr>
        <w:t>Conviene iniciar el presente estudio señalando que, del análisis a la solicitud de información se advierte que la persona solicitante pretende acceder a la siguiente información:</w:t>
      </w:r>
    </w:p>
    <w:p w:rsidR="00EB186E" w:rsidRPr="008645AC" w:rsidRDefault="00EB186E">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p>
    <w:p w:rsidR="00EB186E" w:rsidRPr="008645AC" w:rsidRDefault="00CB7FDB">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8645AC">
        <w:rPr>
          <w:rFonts w:ascii="Palatino Linotype" w:eastAsia="Palatino Linotype" w:hAnsi="Palatino Linotype" w:cs="Palatino Linotype"/>
          <w:b/>
          <w:bCs/>
          <w:sz w:val="22"/>
          <w:szCs w:val="22"/>
        </w:rPr>
        <w:t>1. Respecto del Comité de Archivos, los informes y actas de las sesiones celebradas del periodo comprendido del 01 de enero de 2007 al 31 de diciembre de 2025.</w:t>
      </w:r>
    </w:p>
    <w:p w:rsidR="00EB186E" w:rsidRPr="008645AC" w:rsidRDefault="00EB186E">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p>
    <w:p w:rsidR="00EB186E" w:rsidRPr="008645AC" w:rsidRDefault="00CB7FDB">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8645AC">
        <w:rPr>
          <w:rFonts w:ascii="Palatino Linotype" w:eastAsia="Palatino Linotype" w:hAnsi="Palatino Linotype" w:cs="Palatino Linotype"/>
          <w:b/>
          <w:bCs/>
          <w:sz w:val="22"/>
          <w:szCs w:val="22"/>
        </w:rPr>
        <w:t>2. Los Programas Anuales de Archivo de los ejercicios 2007 al 2025.</w:t>
      </w:r>
    </w:p>
    <w:p w:rsidR="00EB186E" w:rsidRPr="008645AC" w:rsidRDefault="00EB186E">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p>
    <w:p w:rsidR="00EB186E" w:rsidRPr="008645AC" w:rsidRDefault="00CB7FD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Ahora, sobre el requerimiento marcado en el numeral 1, no pasa por desapercibido que el particular requirió información del ejercicio 2025, al respecto es de indicar que no es posible obligar al ente obligado que atienda la exigencia de entregar información de todo un ejercicio que no había concluido a la fecha de la solicitud, pues ello corresponde a hechos futuros.</w:t>
      </w:r>
    </w:p>
    <w:p w:rsidR="00EB186E" w:rsidRPr="008645AC" w:rsidRDefault="00EB186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Por tanto, atendiendo que la solicitud fue presentada el 19 de agosto de 2025, resulta dable fijar la temporalidad de entrega de la información que en su caso proceda respecto del ejercicio de mérito, la generada, poseída o administrada del </w:t>
      </w:r>
      <w:r w:rsidRPr="008645AC">
        <w:rPr>
          <w:rFonts w:ascii="Palatino Linotype" w:eastAsia="Palatino Linotype" w:hAnsi="Palatino Linotype" w:cs="Palatino Linotype"/>
          <w:b/>
          <w:bCs/>
          <w:sz w:val="22"/>
          <w:szCs w:val="22"/>
          <w:u w:val="single"/>
        </w:rPr>
        <w:t>01 de enero al 19 de agosto de 2025.</w:t>
      </w:r>
    </w:p>
    <w:p w:rsidR="00EB186E" w:rsidRPr="008645AC" w:rsidRDefault="00EB186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En respuesta </w:t>
      </w:r>
      <w:r w:rsidRPr="008645AC">
        <w:rPr>
          <w:rFonts w:ascii="Palatino Linotype" w:eastAsia="Palatino Linotype" w:hAnsi="Palatino Linotype" w:cs="Palatino Linotype"/>
          <w:b/>
          <w:bCs/>
          <w:sz w:val="22"/>
          <w:szCs w:val="22"/>
        </w:rPr>
        <w:t xml:space="preserve">el Sujeto Obligado </w:t>
      </w:r>
      <w:r w:rsidRPr="008645AC">
        <w:rPr>
          <w:rFonts w:ascii="Palatino Linotype" w:eastAsia="Palatino Linotype" w:hAnsi="Palatino Linotype" w:cs="Palatino Linotype"/>
          <w:sz w:val="22"/>
          <w:szCs w:val="22"/>
        </w:rPr>
        <w:t xml:space="preserve">se pronunció por conducto del servidor público habilitado competente de la Secretaría del Ayuntamiento, quien informó que la Ley General de Archivos no prevé la formación de Comités de Archivo; no obstante, procedió a realizar la búsqueda exhaustiva y razonable en los archivos que obran en la Coordinación de Apoyo Técnico y Archivo de la Secretaría del Ayuntamiento, no localizándose la información requerida de dicho comité. </w:t>
      </w:r>
    </w:p>
    <w:p w:rsidR="00EB186E" w:rsidRPr="008645AC" w:rsidRDefault="00EB186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Asimismo, respecto a los programas anuales, refiere que se localizó la expresión documental y por tanto se hico entrega de los Programas Anuales de Desarrollo Archivístico de los años 2022, 2023 у 2024, aprobados en la Sesión del Grupo Interdisciplinario de Archivos del Municipio de Toluca, Estado de México.</w:t>
      </w:r>
    </w:p>
    <w:p w:rsidR="00EB186E" w:rsidRPr="008645AC" w:rsidRDefault="00EB186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EB186E" w:rsidRPr="008645AC" w:rsidRDefault="00CB7FDB">
      <w:pPr>
        <w:spacing w:line="360" w:lineRule="auto"/>
        <w:ind w:right="49"/>
        <w:jc w:val="both"/>
        <w:rPr>
          <w:rFonts w:ascii="Palatino Linotype" w:eastAsia="Palatino Linotype" w:hAnsi="Palatino Linotype" w:cs="Palatino Linotype"/>
          <w:b/>
          <w:bCs/>
          <w:sz w:val="22"/>
          <w:szCs w:val="22"/>
        </w:rPr>
      </w:pPr>
      <w:r w:rsidRPr="008645AC">
        <w:rPr>
          <w:rFonts w:ascii="Palatino Linotype" w:eastAsia="Palatino Linotype" w:hAnsi="Palatino Linotype" w:cs="Palatino Linotype"/>
          <w:sz w:val="22"/>
          <w:szCs w:val="22"/>
        </w:rPr>
        <w:t xml:space="preserve">Inconforme con la respuesta, la parte </w:t>
      </w:r>
      <w:r w:rsidRPr="008645AC">
        <w:rPr>
          <w:rFonts w:ascii="Palatino Linotype" w:eastAsia="Palatino Linotype" w:hAnsi="Palatino Linotype" w:cs="Palatino Linotype"/>
          <w:b/>
          <w:bCs/>
          <w:sz w:val="22"/>
          <w:szCs w:val="22"/>
        </w:rPr>
        <w:t xml:space="preserve">Recurrente </w:t>
      </w:r>
      <w:r w:rsidRPr="008645AC">
        <w:rPr>
          <w:rFonts w:ascii="Palatino Linotype" w:eastAsia="Palatino Linotype" w:hAnsi="Palatino Linotype" w:cs="Palatino Linotype"/>
          <w:sz w:val="22"/>
          <w:szCs w:val="22"/>
        </w:rPr>
        <w:t xml:space="preserve">promovió el presente recurso de revisión en el que a manera de motivos de inconformidad </w:t>
      </w:r>
      <w:r w:rsidRPr="008645AC">
        <w:rPr>
          <w:rFonts w:ascii="Palatino Linotype" w:eastAsia="Palatino Linotype" w:hAnsi="Palatino Linotype" w:cs="Palatino Linotype"/>
          <w:b/>
          <w:bCs/>
          <w:sz w:val="22"/>
          <w:szCs w:val="22"/>
        </w:rPr>
        <w:t>se adolece medularmente de la negativa a la entrega de la información.</w:t>
      </w:r>
    </w:p>
    <w:p w:rsidR="00EB186E" w:rsidRPr="008645AC" w:rsidRDefault="00EB186E">
      <w:pPr>
        <w:spacing w:line="360" w:lineRule="auto"/>
        <w:ind w:right="49"/>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Admitido el presente recurso de revisión, en términos del artículo 185 fracción II</w:t>
      </w:r>
      <w:r w:rsidRPr="008645AC">
        <w:rPr>
          <w:rFonts w:ascii="Palatino Linotype" w:eastAsia="Palatino Linotype" w:hAnsi="Palatino Linotype" w:cs="Palatino Linotype"/>
          <w:sz w:val="22"/>
          <w:szCs w:val="22"/>
          <w:vertAlign w:val="superscript"/>
        </w:rPr>
        <w:footnoteReference w:id="3"/>
      </w:r>
      <w:r w:rsidRPr="008645AC">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De las constancias que integran el expediente en que se actúa se advierte que el </w:t>
      </w:r>
      <w:r w:rsidRPr="008645AC">
        <w:rPr>
          <w:rFonts w:ascii="Palatino Linotype" w:eastAsia="Palatino Linotype" w:hAnsi="Palatino Linotype" w:cs="Palatino Linotype"/>
          <w:b/>
          <w:bCs/>
          <w:sz w:val="22"/>
          <w:szCs w:val="22"/>
        </w:rPr>
        <w:t xml:space="preserve">Sujeto Obligado </w:t>
      </w:r>
      <w:r w:rsidRPr="008645AC">
        <w:rPr>
          <w:rFonts w:ascii="Palatino Linotype" w:eastAsia="Palatino Linotype" w:hAnsi="Palatino Linotype" w:cs="Palatino Linotype"/>
          <w:sz w:val="22"/>
          <w:szCs w:val="22"/>
        </w:rPr>
        <w:t>rindió su informe justificado, ratificando la respuesta inicial.</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Por su lado, la parte </w:t>
      </w:r>
      <w:r w:rsidRPr="008645AC">
        <w:rPr>
          <w:rFonts w:ascii="Palatino Linotype" w:eastAsia="Palatino Linotype" w:hAnsi="Palatino Linotype" w:cs="Palatino Linotype"/>
          <w:b/>
          <w:bCs/>
          <w:sz w:val="22"/>
          <w:szCs w:val="22"/>
        </w:rPr>
        <w:t xml:space="preserve">Recurrente </w:t>
      </w:r>
      <w:r w:rsidRPr="008645AC">
        <w:rPr>
          <w:rFonts w:ascii="Palatino Linotype" w:eastAsia="Palatino Linotype" w:hAnsi="Palatino Linotype" w:cs="Palatino Linotype"/>
          <w:sz w:val="22"/>
          <w:szCs w:val="22"/>
        </w:rPr>
        <w:t>fue omisa en realizar manifestaciones o rendir alegatos que conforme a derecho resultaran procedentes.</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Una vez establecidas las posturas de las partes, es de recordar que quien se pronunció en el presente asunto fue el servidor público habilitado competente de la Secretaría del Ayuntamiento, área que tiene bajo su estructura orgánica a la Coordinación de Apoyo Técnico y Archivo, la cual conforme el Manual de Organización de la Secretaría del Ayuntamiento vigente, tiene las siguientes atribuciones:</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Coordinar y organizar la integración, formalización y operación del grupo interdisciplinario para la valoración y conservación de los archivos, así como la convocatoria a reuniones de trabajo y fungir como moderador en las mismas.</w:t>
      </w:r>
    </w:p>
    <w:p w:rsidR="00EB186E" w:rsidRPr="008645AC" w:rsidRDefault="00CB7FD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Coordinar con las áreas administrativas las políticas de acceso, administración y conservación de los archivos.</w:t>
      </w:r>
    </w:p>
    <w:p w:rsidR="00EB186E" w:rsidRPr="008645AC" w:rsidRDefault="00CB7FD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Coordinar la operación de los archivos de trámite, concentración e histórico con base en la normatividad archivística vigente.</w:t>
      </w:r>
    </w:p>
    <w:p w:rsidR="00EB186E" w:rsidRPr="008645AC" w:rsidRDefault="00CB7FDB">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Elaborar en coordinación con las y los responsables de archivos de trámite, correspondencia, concentración e histórico el programa anual de desarrollo archivístico.</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De ahí que, en el caso se cumplió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rsidR="00EB186E" w:rsidRPr="008645AC" w:rsidRDefault="00EB186E">
      <w:pPr>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ind w:left="864" w:right="864"/>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EB186E" w:rsidRPr="008645AC" w:rsidRDefault="00EB186E">
      <w:pPr>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En este orden de ideas, se advierte que la Unidad de Transparencia cumplió con lo expresado en el artículo 162 de la Ley de Transparencia y Acceso a la Información Pública del Estado de México y Municipios, el cual menciona lo siguiente:</w:t>
      </w:r>
    </w:p>
    <w:p w:rsidR="00EB186E" w:rsidRPr="008645AC" w:rsidRDefault="00EB186E">
      <w:pPr>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ind w:left="864" w:right="864"/>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i/>
          <w:iCs/>
          <w:sz w:val="22"/>
          <w:szCs w:val="22"/>
        </w:rPr>
        <w:t xml:space="preserve">“Artículo 162. Las unidades de transparencia deberán garantizar que las solicitudes </w:t>
      </w:r>
      <w:r w:rsidRPr="008645AC">
        <w:rPr>
          <w:rFonts w:ascii="Palatino Linotype" w:eastAsia="Palatino Linotype" w:hAnsi="Palatino Linotype" w:cs="Palatino Linotype"/>
          <w:b/>
          <w:bCs/>
          <w:i/>
          <w:iCs/>
          <w:sz w:val="22"/>
          <w:szCs w:val="22"/>
        </w:rPr>
        <w:t xml:space="preserve">se turnen a todas las Áreas competentes </w:t>
      </w:r>
      <w:r w:rsidRPr="008645AC">
        <w:rPr>
          <w:rFonts w:ascii="Palatino Linotype" w:eastAsia="Palatino Linotype" w:hAnsi="Palatino Linotype" w:cs="Palatino Linotype"/>
          <w:i/>
          <w:iCs/>
          <w:sz w:val="22"/>
          <w:szCs w:val="22"/>
        </w:rPr>
        <w:t>que cuenten con la información o deban tenerla de acuerdo a sus facultades, competencias y funciones, con el objeto de que realicen una búsqueda exhaustiva y razonable de la información solicitada.”</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Precisado lo anterior, se procede al análisis de la naturaleza de la información requerida:</w:t>
      </w:r>
    </w:p>
    <w:p w:rsidR="00EB186E" w:rsidRPr="008645AC" w:rsidRDefault="00EB186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EB186E" w:rsidRPr="008645AC" w:rsidRDefault="00CB7FDB">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Del Comité de Archivos, los informes y actas de las sesiones celebradas del periodo comprendido del 01 de enero de 2007 al 19 de agosto de 2025.</w:t>
      </w:r>
    </w:p>
    <w:p w:rsidR="00EB186E" w:rsidRPr="008645AC" w:rsidRDefault="00EB186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EB186E" w:rsidRPr="008645AC" w:rsidRDefault="00CB7FDB">
      <w:pPr>
        <w:spacing w:before="240" w:after="240"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Tomando en consideración la materia de la solicitud y la temporalidad de la misma, es oportuno analizar los requerimientos de información en contraposición con lo establecido en los Lineamientos para la Organización y Conservación de los Archivos, la Ley General de Archivos, y la Ley de Archivos y Administración de Documentos del Estado de México y Municipios, a efecto de determinar el requerimiento en cuestión podría colmarse con la entrega de un documento, o, por el contrario, si el </w:t>
      </w:r>
      <w:r w:rsidRPr="008645AC">
        <w:rPr>
          <w:rFonts w:ascii="Palatino Linotype" w:eastAsia="Palatino Linotype" w:hAnsi="Palatino Linotype" w:cs="Palatino Linotype"/>
          <w:b/>
          <w:bCs/>
          <w:sz w:val="22"/>
          <w:szCs w:val="22"/>
        </w:rPr>
        <w:t xml:space="preserve">Sujeto Obligado </w:t>
      </w:r>
      <w:r w:rsidRPr="008645AC">
        <w:rPr>
          <w:rFonts w:ascii="Palatino Linotype" w:eastAsia="Palatino Linotype" w:hAnsi="Palatino Linotype" w:cs="Palatino Linotype"/>
          <w:sz w:val="22"/>
          <w:szCs w:val="22"/>
        </w:rPr>
        <w:t>se encuentra imposibilitado para atender los mismos.</w:t>
      </w:r>
    </w:p>
    <w:p w:rsidR="00EB186E" w:rsidRPr="008645AC" w:rsidRDefault="00CB7FD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En este orden de ideas, es de mencionar que los Lineamientos para la Organización y Conservación de los Archivos, emitidos por el SISTEMA NACIONAL DE TRANSPARENCIA, ACCESO A LA INFORMACIÓN PÚBLICA Y PROTECCIÓN DE DATOS PERSONALES, publicados en el Diario Oficial de la Federación el </w:t>
      </w:r>
      <w:r w:rsidRPr="008645AC">
        <w:rPr>
          <w:rFonts w:ascii="Palatino Linotype" w:eastAsia="Palatino Linotype" w:hAnsi="Palatino Linotype" w:cs="Palatino Linotype"/>
          <w:b/>
          <w:bCs/>
          <w:sz w:val="22"/>
          <w:szCs w:val="22"/>
        </w:rPr>
        <w:t xml:space="preserve">cinco de mayo de dos mil dieciséis, </w:t>
      </w:r>
      <w:r w:rsidRPr="008645AC">
        <w:rPr>
          <w:rFonts w:ascii="Palatino Linotype" w:eastAsia="Palatino Linotype" w:hAnsi="Palatino Linotype" w:cs="Palatino Linotype"/>
          <w:sz w:val="22"/>
          <w:szCs w:val="22"/>
        </w:rPr>
        <w:t xml:space="preserve">mismos que de conformidad con los Transitorios Primero, Segundo, Tercero, Cuarto y Quinto, los referidos Lineamientos, entraron en vigor al día siguiente de su publicación en el Diario Oficial de la Federación, es decir, a partir del </w:t>
      </w:r>
      <w:r w:rsidRPr="008645AC">
        <w:rPr>
          <w:rFonts w:ascii="Palatino Linotype" w:eastAsia="Palatino Linotype" w:hAnsi="Palatino Linotype" w:cs="Palatino Linotype"/>
          <w:b/>
          <w:bCs/>
          <w:sz w:val="22"/>
          <w:szCs w:val="22"/>
        </w:rPr>
        <w:t xml:space="preserve">seis de mayo de dos mil diecisiete, </w:t>
      </w:r>
      <w:r w:rsidRPr="008645AC">
        <w:rPr>
          <w:rFonts w:ascii="Palatino Linotype" w:eastAsia="Palatino Linotype" w:hAnsi="Palatino Linotype" w:cs="Palatino Linotype"/>
          <w:sz w:val="22"/>
          <w:szCs w:val="22"/>
        </w:rPr>
        <w:t>y son de observancia obligatoria y de aplicación general para los sujetos obligados señalados en el artículo 1 de la Ley General de Transparencia y Acceso a la Información Pública.</w:t>
      </w:r>
    </w:p>
    <w:p w:rsidR="00EB186E" w:rsidRPr="008645AC" w:rsidRDefault="00CB7FDB">
      <w:p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8645AC">
        <w:rPr>
          <w:rFonts w:ascii="Palatino Linotype" w:eastAsia="Palatino Linotype" w:hAnsi="Palatino Linotype" w:cs="Palatino Linotype"/>
          <w:sz w:val="22"/>
          <w:szCs w:val="22"/>
        </w:rPr>
        <w:t xml:space="preserve">Al respecto, resulta importante señalar que, a partir de la publicación de los Lineamientos se les concedió a los Sujetos Obligados un plazo de </w:t>
      </w:r>
      <w:r w:rsidRPr="008645AC">
        <w:rPr>
          <w:rFonts w:ascii="Palatino Linotype" w:eastAsia="Palatino Linotype" w:hAnsi="Palatino Linotype" w:cs="Palatino Linotype"/>
          <w:b/>
          <w:bCs/>
          <w:sz w:val="22"/>
          <w:szCs w:val="22"/>
          <w:u w:val="single"/>
        </w:rPr>
        <w:t>doce meses</w:t>
      </w:r>
      <w:r w:rsidRPr="008645AC">
        <w:rPr>
          <w:rFonts w:ascii="Palatino Linotype" w:eastAsia="Palatino Linotype" w:hAnsi="Palatino Linotype" w:cs="Palatino Linotype"/>
          <w:b/>
          <w:bCs/>
          <w:sz w:val="22"/>
          <w:szCs w:val="22"/>
        </w:rPr>
        <w:t xml:space="preserve"> para la implementación del Sistema Institucional de Archivos; </w:t>
      </w:r>
      <w:r w:rsidRPr="008645AC">
        <w:rPr>
          <w:rFonts w:ascii="Palatino Linotype" w:eastAsia="Palatino Linotype" w:hAnsi="Palatino Linotype" w:cs="Palatino Linotype"/>
          <w:sz w:val="22"/>
          <w:szCs w:val="22"/>
        </w:rPr>
        <w:t xml:space="preserve">cuestión que en el caso resulta importante enfatizar, en razón de que dicho </w:t>
      </w:r>
      <w:r w:rsidRPr="008645AC">
        <w:rPr>
          <w:rFonts w:ascii="Palatino Linotype" w:eastAsia="Palatino Linotype" w:hAnsi="Palatino Linotype" w:cs="Palatino Linotype"/>
          <w:b/>
          <w:bCs/>
          <w:sz w:val="22"/>
          <w:szCs w:val="22"/>
        </w:rPr>
        <w:t xml:space="preserve">sistema de acuerdo con los Lineamientos en cuestión operaría, entre otras, a través del área coordinadora de archivos, la cual es la encargada de integrar al grupo interdisciplinario que realiza la valoración documental, y del cual se advierte que es la pretensión del particular obtener la información relativa a los informes y actas de sesiones, al equipararse a un comité de archivos. </w:t>
      </w:r>
    </w:p>
    <w:p w:rsidR="00EB186E" w:rsidRPr="008645AC" w:rsidRDefault="00CB7FDB">
      <w:p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8645AC">
        <w:rPr>
          <w:rFonts w:ascii="Palatino Linotype" w:eastAsia="Palatino Linotype" w:hAnsi="Palatino Linotype" w:cs="Palatino Linotype"/>
          <w:sz w:val="22"/>
          <w:szCs w:val="22"/>
        </w:rPr>
        <w:t>Sobre dicho tema, es de destacar que los Lineamientos</w:t>
      </w:r>
      <w:r w:rsidRPr="008645AC">
        <w:rPr>
          <w:rFonts w:ascii="Palatino Linotype" w:eastAsia="Palatino Linotype" w:hAnsi="Palatino Linotype" w:cs="Palatino Linotype"/>
          <w:b/>
          <w:bCs/>
          <w:sz w:val="22"/>
          <w:szCs w:val="22"/>
        </w:rPr>
        <w:t xml:space="preserve"> </w:t>
      </w:r>
      <w:r w:rsidRPr="008645AC">
        <w:rPr>
          <w:rFonts w:ascii="Palatino Linotype" w:eastAsia="Palatino Linotype" w:hAnsi="Palatino Linotype" w:cs="Palatino Linotype"/>
          <w:sz w:val="22"/>
          <w:szCs w:val="22"/>
        </w:rPr>
        <w:t>de referencia</w:t>
      </w:r>
      <w:r w:rsidRPr="008645AC">
        <w:rPr>
          <w:rFonts w:ascii="Palatino Linotype" w:eastAsia="Palatino Linotype" w:hAnsi="Palatino Linotype" w:cs="Palatino Linotype"/>
          <w:b/>
          <w:bCs/>
          <w:sz w:val="22"/>
          <w:szCs w:val="22"/>
        </w:rPr>
        <w:t xml:space="preserve">, </w:t>
      </w:r>
      <w:r w:rsidRPr="008645AC">
        <w:rPr>
          <w:rFonts w:ascii="Palatino Linotype" w:eastAsia="Palatino Linotype" w:hAnsi="Palatino Linotype" w:cs="Palatino Linotype"/>
          <w:sz w:val="22"/>
          <w:szCs w:val="22"/>
        </w:rPr>
        <w:t xml:space="preserve">establecieron en sus numerales Noveno, Décimo inciso I, la obligación de los sujetos obligados de implementar un </w:t>
      </w:r>
      <w:r w:rsidRPr="008645AC">
        <w:rPr>
          <w:rFonts w:ascii="Palatino Linotype" w:eastAsia="Palatino Linotype" w:hAnsi="Palatino Linotype" w:cs="Palatino Linotype"/>
          <w:b/>
          <w:bCs/>
          <w:sz w:val="22"/>
          <w:szCs w:val="22"/>
        </w:rPr>
        <w:t>área coordinadora de archivos</w:t>
      </w:r>
      <w:r w:rsidRPr="008645AC">
        <w:rPr>
          <w:rFonts w:ascii="Palatino Linotype" w:eastAsia="Palatino Linotype" w:hAnsi="Palatino Linotype" w:cs="Palatino Linotype"/>
          <w:sz w:val="22"/>
          <w:szCs w:val="22"/>
        </w:rPr>
        <w:t xml:space="preserve"> la cual tiene, entre sus funciones, aprobar los instrumentos de control archivístico, así como integrar </w:t>
      </w:r>
      <w:r w:rsidRPr="008645AC">
        <w:rPr>
          <w:rFonts w:ascii="Palatino Linotype" w:eastAsia="Palatino Linotype" w:hAnsi="Palatino Linotype" w:cs="Palatino Linotype"/>
          <w:b/>
          <w:bCs/>
          <w:sz w:val="22"/>
          <w:szCs w:val="22"/>
        </w:rPr>
        <w:t xml:space="preserve">al grupo interdisciplinario, siendo este el conjunto de personas integrado por el titular del área coordinadora de archivos; la unidad de transparencia; los titulares de las áreas de: planeación estratégica, jurídica, mejora continua, órganos internos de control o sus equivalentes, las áreas responsables de la información, así como el responsable del Archivo histórico, con la finalidad de participar en la </w:t>
      </w:r>
      <w:r w:rsidRPr="008645AC">
        <w:rPr>
          <w:rFonts w:ascii="Palatino Linotype" w:eastAsia="Palatino Linotype" w:hAnsi="Palatino Linotype" w:cs="Palatino Linotype"/>
          <w:b/>
          <w:bCs/>
          <w:sz w:val="22"/>
          <w:szCs w:val="22"/>
          <w:u w:val="single"/>
        </w:rPr>
        <w:t>valoración documenta</w:t>
      </w:r>
      <w:r w:rsidRPr="008645AC">
        <w:rPr>
          <w:rFonts w:ascii="Palatino Linotype" w:eastAsia="Palatino Linotype" w:hAnsi="Palatino Linotype" w:cs="Palatino Linotype"/>
          <w:b/>
          <w:bCs/>
          <w:sz w:val="22"/>
          <w:szCs w:val="22"/>
        </w:rPr>
        <w:t>l y quien mediante el análisis de los procesos y procedimientos institucionales que dan origen a la documentación que integra los expedientes de cada serie, permita establecer los valores documentales, plazos de conservación y políticas que garanticen el acceso a la información, así como la disposición documental.</w:t>
      </w:r>
    </w:p>
    <w:p w:rsidR="00EB186E" w:rsidRPr="008645AC" w:rsidRDefault="00CB7FDB">
      <w:p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8645AC">
        <w:rPr>
          <w:rFonts w:ascii="Palatino Linotype" w:eastAsia="Palatino Linotype" w:hAnsi="Palatino Linotype" w:cs="Palatino Linotype"/>
          <w:b/>
          <w:bCs/>
          <w:sz w:val="22"/>
          <w:szCs w:val="22"/>
        </w:rPr>
        <w:t>No obstante, la obligación de</w:t>
      </w:r>
      <w:r w:rsidRPr="008645AC">
        <w:rPr>
          <w:b/>
          <w:bCs/>
        </w:rPr>
        <w:t xml:space="preserve"> </w:t>
      </w:r>
      <w:r w:rsidRPr="008645AC">
        <w:rPr>
          <w:rFonts w:ascii="Palatino Linotype" w:eastAsia="Palatino Linotype" w:hAnsi="Palatino Linotype" w:cs="Palatino Linotype"/>
          <w:b/>
          <w:bCs/>
          <w:sz w:val="22"/>
          <w:szCs w:val="22"/>
        </w:rPr>
        <w:t>implementar un área coordinadora de archivos, así como de  integrar al grupo interdisciplinario de archivos, fue exigible a partir del 06 de mayo de 2017.</w:t>
      </w:r>
    </w:p>
    <w:p w:rsidR="00EB186E" w:rsidRPr="008645AC" w:rsidRDefault="00CB7FD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Por tanto, dado que los particulares no son expertos en la materia y no se encuentran constreñidos a conocer el nombre correcto de los comités o grupos respecto de los que pretende obtener información, así como la fecha a partir de la cual los entes obligados se encontraban constreñidos en implementar su integración, en el caso, la información que proceda entregarse, será la relativa a </w:t>
      </w:r>
      <w:r w:rsidRPr="008645AC">
        <w:rPr>
          <w:rFonts w:ascii="Palatino Linotype" w:eastAsia="Palatino Linotype" w:hAnsi="Palatino Linotype" w:cs="Palatino Linotype"/>
          <w:b/>
          <w:bCs/>
          <w:sz w:val="22"/>
          <w:szCs w:val="22"/>
        </w:rPr>
        <w:t>los informes emitidos y las actas de las sesiones celebradas por el Grupo Interdisciplinario del periodo comprendido del 06 de mayo de 2017 al 19 de agosto de 2025 (fecha de la solicitud).</w:t>
      </w:r>
    </w:p>
    <w:p w:rsidR="00EB186E" w:rsidRPr="008645AC" w:rsidRDefault="00CB7FD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Ahora, de conformidad con el artículo 51 de la Ley de Archivos y Administración de Documentos del Estado de México y Municipios, se dispone que la persona responsable del Área Coordinadora de Archivos propiciará la integración y formalización del Grupo Interdisciplinario, </w:t>
      </w:r>
      <w:r w:rsidRPr="008645AC">
        <w:rPr>
          <w:rFonts w:ascii="Palatino Linotype" w:eastAsia="Palatino Linotype" w:hAnsi="Palatino Linotype" w:cs="Palatino Linotype"/>
          <w:b/>
          <w:bCs/>
          <w:sz w:val="22"/>
          <w:szCs w:val="22"/>
        </w:rPr>
        <w:t>convocará a las reuniones de trabajo y fungirá como moderadora en las mismas, por lo que será el encargado de llevar el registro y seguimiento de los acuerdos y compromisos establecidos, conservando las constancias respectivas.</w:t>
      </w:r>
    </w:p>
    <w:p w:rsidR="00EB186E" w:rsidRPr="008645AC" w:rsidRDefault="00CB7FD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En ese sentido, se colige que el Grupo interdisciplinario lleva a cabo reuniones de trabajo o sesiones, respecto de las cuales se lleva un registro de los acuerdos y compromisos establecidos, además de conservarse las constancias de esas reuniones como lo puede ser a través de un acta o acuerdo.</w:t>
      </w:r>
    </w:p>
    <w:p w:rsidR="00EB186E" w:rsidRPr="008645AC" w:rsidRDefault="00CB7FD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Sobre el tema de los informes que emita dicho grupo, es de indicarse que no se localizó que el mismo deba emitir alguno, sin embargo no se descarta la posibilidad de que se genere dicha expresión documental en el ejercicio de sus atribuciones del grupo interdisciplinario.</w:t>
      </w:r>
    </w:p>
    <w:p w:rsidR="00EB186E" w:rsidRPr="008645AC" w:rsidRDefault="00CB7FD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En tal contexto, del análisis a la respuesta emitida por la Secretaría del Ayuntamiento y Servidor Público Habilitado, se desprende que este informó que la Ley General de Archivos no prevé la formación de Comités de Archivo; no obstante, procedió a realizar la búsqueda exhaustiva y razonable en los archivos que obran en la Coordinación de Apoyo Técnico y Archivo de la Secretaría del Ayuntamiento, no localizándose la información requerida de dicho comité.</w:t>
      </w:r>
    </w:p>
    <w:p w:rsidR="00EB186E" w:rsidRPr="008645AC" w:rsidRDefault="00CB7FD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Sin embargo, dicho pronunciamiento resulta insuficiente para tener por atendido el requerimiento de información, pues como se indicó los particulares no son expertos en la materia y no están obligados a conocer la denominación correcta de los comités, o ente caso, del grupo interdisciplinario del que se requiere la información relativa a informes y actas de las sesiones celebradas.</w:t>
      </w:r>
    </w:p>
    <w:p w:rsidR="00EB186E" w:rsidRPr="008645AC" w:rsidRDefault="00CB7FD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De ahí que a fin de restituir al particular en el ejercicio de su derecho de acceso a la información, resulta procedente </w:t>
      </w:r>
      <w:r w:rsidRPr="008645AC">
        <w:rPr>
          <w:rFonts w:ascii="Palatino Linotype" w:eastAsia="Palatino Linotype" w:hAnsi="Palatino Linotype" w:cs="Palatino Linotype"/>
          <w:b/>
          <w:bCs/>
          <w:sz w:val="22"/>
          <w:szCs w:val="22"/>
        </w:rPr>
        <w:t xml:space="preserve">Modificar </w:t>
      </w:r>
      <w:r w:rsidRPr="008645AC">
        <w:rPr>
          <w:rFonts w:ascii="Palatino Linotype" w:eastAsia="Palatino Linotype" w:hAnsi="Palatino Linotype" w:cs="Palatino Linotype"/>
          <w:sz w:val="22"/>
          <w:szCs w:val="22"/>
        </w:rPr>
        <w:t xml:space="preserve">la respuesta del ente obligado y ordenar que en cumplimiento a la presente se entregue, previa búsqueda exhaustiva y razonable, de ser procedente en versión pública, </w:t>
      </w:r>
      <w:r w:rsidRPr="008645AC">
        <w:rPr>
          <w:rFonts w:ascii="Palatino Linotype" w:eastAsia="Palatino Linotype" w:hAnsi="Palatino Linotype" w:cs="Palatino Linotype"/>
          <w:b/>
          <w:bCs/>
          <w:sz w:val="22"/>
          <w:szCs w:val="22"/>
        </w:rPr>
        <w:t>los informes emitidos y las actas o acuerdos de las reuniones de trabajo o sesiones celebradas por el Grupo Interdisciplinario, en el periodo comprendido del 06 de mayo de 2017 al 19 de agosto de 2025.</w:t>
      </w:r>
    </w:p>
    <w:p w:rsidR="00EB186E" w:rsidRPr="008645AC" w:rsidRDefault="00CB7FDB">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Sin embargo, para el caso de que no se llegara a localizar información que se ordena, </w:t>
      </w:r>
      <w:r w:rsidRPr="008645AC">
        <w:rPr>
          <w:rFonts w:ascii="Palatino Linotype" w:eastAsia="Palatino Linotype" w:hAnsi="Palatino Linotype" w:cs="Palatino Linotype"/>
          <w:b/>
          <w:bCs/>
          <w:sz w:val="22"/>
          <w:szCs w:val="22"/>
          <w:u w:val="single"/>
        </w:rPr>
        <w:t>la relativa a los informes emitidos por el grupo interdisciplinario en el periodo ordenado</w:t>
      </w:r>
      <w:r w:rsidRPr="008645AC">
        <w:rPr>
          <w:rFonts w:ascii="Palatino Linotype" w:eastAsia="Palatino Linotype" w:hAnsi="Palatino Linotype" w:cs="Palatino Linotype"/>
          <w:sz w:val="22"/>
          <w:szCs w:val="22"/>
        </w:rPr>
        <w:t>, al no haberse generado, poseído o administrado,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p>
    <w:p w:rsidR="00EB186E" w:rsidRPr="008645AC" w:rsidRDefault="00CB7FDB">
      <w:pPr>
        <w:numPr>
          <w:ilvl w:val="0"/>
          <w:numId w:val="2"/>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b/>
          <w:bCs/>
          <w:sz w:val="22"/>
          <w:szCs w:val="22"/>
        </w:rPr>
      </w:pPr>
      <w:r w:rsidRPr="008645AC">
        <w:rPr>
          <w:rFonts w:ascii="Palatino Linotype" w:eastAsia="Palatino Linotype" w:hAnsi="Palatino Linotype" w:cs="Palatino Linotype"/>
          <w:b/>
          <w:bCs/>
          <w:sz w:val="22"/>
          <w:szCs w:val="22"/>
        </w:rPr>
        <w:t>Los Programas Anuales de Archivo de los ejercicios 2007 al 2025.</w:t>
      </w:r>
    </w:p>
    <w:p w:rsidR="00EB186E" w:rsidRPr="008645AC" w:rsidRDefault="00CB7FDB">
      <w:pPr>
        <w:spacing w:before="240" w:after="240" w:line="360" w:lineRule="auto"/>
        <w:ind w:right="51"/>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De análisis a la naturaleza de la información requerida, se advierte que el particular pretende acceder a los </w:t>
      </w:r>
      <w:r w:rsidRPr="008645AC">
        <w:rPr>
          <w:rFonts w:ascii="Palatino Linotype" w:eastAsia="Palatino Linotype" w:hAnsi="Palatino Linotype" w:cs="Palatino Linotype"/>
          <w:b/>
          <w:bCs/>
          <w:sz w:val="22"/>
          <w:szCs w:val="22"/>
        </w:rPr>
        <w:t>programas anuales de desarrollo archivístico</w:t>
      </w:r>
      <w:r w:rsidRPr="008645AC">
        <w:rPr>
          <w:rFonts w:ascii="Palatino Linotype" w:eastAsia="Palatino Linotype" w:hAnsi="Palatino Linotype" w:cs="Palatino Linotype"/>
          <w:sz w:val="22"/>
          <w:szCs w:val="22"/>
        </w:rPr>
        <w:t>.</w:t>
      </w:r>
    </w:p>
    <w:p w:rsidR="00EB186E" w:rsidRPr="008645AC" w:rsidRDefault="00CB7FDB">
      <w:pPr>
        <w:spacing w:before="240" w:after="240" w:line="360" w:lineRule="auto"/>
        <w:ind w:right="51"/>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No obstante, atendiendo la temporalidad requerida es de indicar que del análisis a la abrogada Ley de Documentos Administrativos e Históricos del Estado de México, que fue publicada en el Periódico Oficial “Gaceta del Gobierno” del Gobierno del Estado de México el 24 de marzo de 1986, no se prevé la emisión de un programa anual como el requirido.</w:t>
      </w:r>
    </w:p>
    <w:p w:rsidR="00EB186E" w:rsidRPr="008645AC" w:rsidRDefault="00CB7FDB">
      <w:pPr>
        <w:spacing w:before="240" w:after="240" w:line="360" w:lineRule="auto"/>
        <w:ind w:right="51"/>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Sin embargo, en la actual Ley de Archivos y Administración de Documentos del Estado de México publicada en el Periódico Oficial “Gaceta del Gobierno” del Gobierno del Estado de México el 26 de noviembre de 2020, se prevé lo siguiente:</w:t>
      </w:r>
    </w:p>
    <w:p w:rsidR="00EB186E" w:rsidRPr="008645AC" w:rsidRDefault="00CB7FDB">
      <w:pPr>
        <w:spacing w:before="240" w:after="240" w:line="276" w:lineRule="auto"/>
        <w:ind w:left="567"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Artículo 23.</w:t>
      </w:r>
      <w:r w:rsidRPr="008645AC">
        <w:rPr>
          <w:rFonts w:ascii="Palatino Linotype" w:eastAsia="Palatino Linotype" w:hAnsi="Palatino Linotype" w:cs="Palatino Linotype"/>
          <w:i/>
          <w:iCs/>
          <w:sz w:val="22"/>
          <w:szCs w:val="22"/>
        </w:rPr>
        <w:t xml:space="preserve"> Los Sujetos Obligados que cuenten con un Sistema Institucional, deberán elaborar un Programa Anual y publicarlo en su portal electrónico, informativo u homólogo en los primeros treinta días naturales del ejercicio fiscal correspondiente. </w:t>
      </w:r>
    </w:p>
    <w:p w:rsidR="00EB186E" w:rsidRPr="008645AC" w:rsidRDefault="00CB7FDB">
      <w:pPr>
        <w:spacing w:before="240" w:after="240" w:line="276" w:lineRule="auto"/>
        <w:ind w:left="567"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Artículo 24. El Programa Anual</w:t>
      </w:r>
      <w:r w:rsidRPr="008645AC">
        <w:rPr>
          <w:rFonts w:ascii="Palatino Linotype" w:eastAsia="Palatino Linotype" w:hAnsi="Palatino Linotype" w:cs="Palatino Linotype"/>
          <w:i/>
          <w:iCs/>
          <w:sz w:val="22"/>
          <w:szCs w:val="22"/>
        </w:rPr>
        <w:t xml:space="preserve"> contendrá los elementos de planeación, programación y evaluación para el desarrollo de los Archivos y deberá incluir un enfoque de administración de riesgos, protección a los derechos humanos y de otros derechos que de ellos deriven, así como de apertura proactiva de la información, de conformidad con los instrumentos de planeación correspondientes de carácter estatal y municipal. </w:t>
      </w:r>
    </w:p>
    <w:p w:rsidR="00EB186E" w:rsidRPr="008645AC" w:rsidRDefault="00CB7FDB">
      <w:pPr>
        <w:spacing w:before="240" w:after="240" w:line="276" w:lineRule="auto"/>
        <w:ind w:left="567"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Artículo 25.</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t>El Programa Anual</w:t>
      </w:r>
      <w:r w:rsidRPr="008645AC">
        <w:rPr>
          <w:rFonts w:ascii="Palatino Linotype" w:eastAsia="Palatino Linotype" w:hAnsi="Palatino Linotype" w:cs="Palatino Linotype"/>
          <w:i/>
          <w:iCs/>
          <w:sz w:val="22"/>
          <w:szCs w:val="22"/>
        </w:rPr>
        <w:t xml:space="preserve"> definirá las prioridades institucionales tomando en consideración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de conformidad con la presente Ley, la Ley de Gobierno Digital del Estado de México y Municipios, su Reglamento y las disposiciones jurídicas aplicables.”</w:t>
      </w:r>
    </w:p>
    <w:p w:rsidR="00EB186E" w:rsidRPr="008645AC" w:rsidRDefault="00CB7FDB">
      <w:pPr>
        <w:spacing w:before="240" w:after="240" w:line="276" w:lineRule="auto"/>
        <w:ind w:left="567" w:right="616"/>
        <w:jc w:val="right"/>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(Énfasis añadido)</w:t>
      </w:r>
    </w:p>
    <w:p w:rsidR="00EB186E" w:rsidRPr="008645AC" w:rsidRDefault="00CB7FDB">
      <w:pPr>
        <w:spacing w:before="240" w:after="240" w:line="360" w:lineRule="auto"/>
        <w:ind w:right="51"/>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Como se desprende de lo anterior, </w:t>
      </w:r>
      <w:r w:rsidRPr="008645AC">
        <w:rPr>
          <w:rFonts w:ascii="Palatino Linotype" w:eastAsia="Palatino Linotype" w:hAnsi="Palatino Linotype" w:cs="Palatino Linotype"/>
          <w:b/>
          <w:bCs/>
          <w:sz w:val="22"/>
          <w:szCs w:val="22"/>
        </w:rPr>
        <w:t>los Sujetos Obligados que cuenten con un Sistema Institucional, deberán elaborar un Programa Anual y publicarlo en su portal electrónico, informativo u homólogo en los primeros treinta días naturales del ejercicio fiscal correspondiente.</w:t>
      </w:r>
    </w:p>
    <w:p w:rsidR="00EB186E" w:rsidRPr="008645AC" w:rsidRDefault="00CB7FDB">
      <w:pPr>
        <w:spacing w:before="240" w:after="240" w:line="360" w:lineRule="auto"/>
        <w:ind w:right="51"/>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Asimismo, se dispone que el Programa Anual definirá las prioridades institucionales tomando en consideración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w:t>
      </w:r>
    </w:p>
    <w:p w:rsidR="00EB186E" w:rsidRPr="008645AC" w:rsidRDefault="00CB7FDB">
      <w:pPr>
        <w:spacing w:before="240" w:after="240" w:line="360" w:lineRule="auto"/>
        <w:ind w:right="51"/>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Ahora, a efecto de determinar el ejercicio a partir del cual el ente obligado tuvo la obligación de emitir su programa anual de desarrollo archivístico, en el caso debe considerarse que el Lineamiento Sexto Transitorio, de los Lineamientos para la Organización y Conservación de los Archivos, emitidos por el SISTEMA NACIONAL DE TRANSPARENCIA, ACCESO A LA INFORMACIÓN PÚBLICA Y PROTECCIÓN DE DATOS PERSONALES, publicados en el Diario Oficial de la Federación el </w:t>
      </w:r>
      <w:r w:rsidRPr="008645AC">
        <w:rPr>
          <w:rFonts w:ascii="Palatino Linotype" w:eastAsia="Palatino Linotype" w:hAnsi="Palatino Linotype" w:cs="Palatino Linotype"/>
          <w:b/>
          <w:bCs/>
          <w:sz w:val="22"/>
          <w:szCs w:val="22"/>
        </w:rPr>
        <w:t xml:space="preserve">cinco de mayo de dos mil dieciséis, </w:t>
      </w:r>
      <w:r w:rsidRPr="008645AC">
        <w:rPr>
          <w:rFonts w:ascii="Palatino Linotype" w:eastAsia="Palatino Linotype" w:hAnsi="Palatino Linotype" w:cs="Palatino Linotype"/>
          <w:sz w:val="22"/>
          <w:szCs w:val="22"/>
        </w:rPr>
        <w:t xml:space="preserve">que entraron en vigor al día siguiente de su publicación en el Diario Oficial de la Federación, es decir, a partir del </w:t>
      </w:r>
      <w:r w:rsidRPr="008645AC">
        <w:rPr>
          <w:rFonts w:ascii="Palatino Linotype" w:eastAsia="Palatino Linotype" w:hAnsi="Palatino Linotype" w:cs="Palatino Linotype"/>
          <w:b/>
          <w:bCs/>
          <w:sz w:val="22"/>
          <w:szCs w:val="22"/>
        </w:rPr>
        <w:t xml:space="preserve">seis de mayo de dos mil diecisiete; </w:t>
      </w:r>
      <w:r w:rsidRPr="008645AC">
        <w:rPr>
          <w:rFonts w:ascii="Palatino Linotype" w:eastAsia="Palatino Linotype" w:hAnsi="Palatino Linotype" w:cs="Palatino Linotype"/>
          <w:sz w:val="22"/>
          <w:szCs w:val="22"/>
        </w:rPr>
        <w:t>dispone lo siguiente:</w:t>
      </w:r>
    </w:p>
    <w:p w:rsidR="00EB186E" w:rsidRPr="008645AC" w:rsidRDefault="00CB7FDB">
      <w:pPr>
        <w:spacing w:before="240" w:after="240" w:line="360" w:lineRule="auto"/>
        <w:ind w:left="567"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 xml:space="preserve">“Sexto. A partir de la entrada en vigor de los presentes Lineamientos, </w:t>
      </w:r>
      <w:r w:rsidRPr="008645AC">
        <w:rPr>
          <w:rFonts w:ascii="Palatino Linotype" w:eastAsia="Palatino Linotype" w:hAnsi="Palatino Linotype" w:cs="Palatino Linotype"/>
          <w:b/>
          <w:bCs/>
          <w:i/>
          <w:iCs/>
          <w:sz w:val="22"/>
          <w:szCs w:val="22"/>
        </w:rPr>
        <w:t>los Sujetos obligados deberán establecer el Programa anual de desarrollo archivístico para el ejercicio de 2017 a que se refieren los presentes Lineamientos</w:t>
      </w:r>
      <w:r w:rsidRPr="008645AC">
        <w:rPr>
          <w:rFonts w:ascii="Palatino Linotype" w:eastAsia="Palatino Linotype" w:hAnsi="Palatino Linotype" w:cs="Palatino Linotype"/>
          <w:i/>
          <w:iCs/>
          <w:sz w:val="22"/>
          <w:szCs w:val="22"/>
        </w:rPr>
        <w:t>.”</w:t>
      </w:r>
    </w:p>
    <w:p w:rsidR="00EB186E" w:rsidRPr="008645AC" w:rsidRDefault="00CB7FDB">
      <w:pPr>
        <w:spacing w:line="360" w:lineRule="auto"/>
        <w:ind w:right="51"/>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Por tanto, atendiendo que el Programa Anual de Desarrollo Archivístico se debe elaborar de manera anual, dentro de los primeros treinta días naturales del ejercicio fiscal correspondiente, y tomando en cuenta lo establecido en el Lineamiento Sexto Transitorio, se considera que el Ayuntamiento de Toluca se encontraba obligado a generar dicho programa desde el ejercicio 2017 al 2025.</w:t>
      </w:r>
    </w:p>
    <w:p w:rsidR="00EB186E" w:rsidRPr="008645AC" w:rsidRDefault="00EB186E">
      <w:pPr>
        <w:spacing w:line="360" w:lineRule="auto"/>
        <w:ind w:right="51"/>
        <w:jc w:val="both"/>
        <w:rPr>
          <w:rFonts w:ascii="Palatino Linotype" w:eastAsia="Palatino Linotype" w:hAnsi="Palatino Linotype" w:cs="Palatino Linotype"/>
          <w:sz w:val="22"/>
          <w:szCs w:val="22"/>
        </w:rPr>
      </w:pPr>
    </w:p>
    <w:p w:rsidR="00EB186E" w:rsidRPr="008645AC" w:rsidRDefault="00CB7FDB">
      <w:pPr>
        <w:spacing w:line="360" w:lineRule="auto"/>
        <w:ind w:right="51"/>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Ahora, en el caso es de recordar que en respuesta el servidor público habilitado competente hizo entrega de los Programas Anuales de Desarrollo Archivístico, pero únicamente de los ejercicios 2022, 2023 y 2024, haciendo falta la entrega del correspondiente a los ejercicios 2017, 2018, 2019, 2020, 2021 y 2025.</w:t>
      </w:r>
    </w:p>
    <w:p w:rsidR="00EB186E" w:rsidRPr="008645AC" w:rsidRDefault="00EB186E">
      <w:pPr>
        <w:spacing w:line="360" w:lineRule="auto"/>
        <w:ind w:right="51"/>
        <w:jc w:val="both"/>
        <w:rPr>
          <w:rFonts w:ascii="Palatino Linotype" w:eastAsia="Palatino Linotype" w:hAnsi="Palatino Linotype" w:cs="Palatino Linotype"/>
          <w:sz w:val="22"/>
          <w:szCs w:val="22"/>
        </w:rPr>
      </w:pPr>
    </w:p>
    <w:p w:rsidR="00EB186E" w:rsidRPr="008645AC" w:rsidRDefault="00CB7FDB">
      <w:pPr>
        <w:spacing w:line="360" w:lineRule="auto"/>
        <w:ind w:right="51"/>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De ahí que se considere que los motivos de inconformidad de la parte </w:t>
      </w:r>
      <w:r w:rsidRPr="008645AC">
        <w:rPr>
          <w:rFonts w:ascii="Palatino Linotype" w:eastAsia="Palatino Linotype" w:hAnsi="Palatino Linotype" w:cs="Palatino Linotype"/>
          <w:b/>
          <w:bCs/>
          <w:sz w:val="22"/>
          <w:szCs w:val="22"/>
        </w:rPr>
        <w:t>Recurrente</w:t>
      </w:r>
      <w:r w:rsidRPr="008645AC">
        <w:rPr>
          <w:rFonts w:ascii="Palatino Linotype" w:eastAsia="Palatino Linotype" w:hAnsi="Palatino Linotype" w:cs="Palatino Linotype"/>
          <w:sz w:val="22"/>
          <w:szCs w:val="22"/>
        </w:rPr>
        <w:t xml:space="preserve"> resulten parcialmente fundados, siendo procedente </w:t>
      </w:r>
      <w:r w:rsidRPr="008645AC">
        <w:rPr>
          <w:rFonts w:ascii="Palatino Linotype" w:eastAsia="Palatino Linotype" w:hAnsi="Palatino Linotype" w:cs="Palatino Linotype"/>
          <w:b/>
          <w:bCs/>
          <w:sz w:val="22"/>
          <w:szCs w:val="22"/>
        </w:rPr>
        <w:t>Modificar</w:t>
      </w:r>
      <w:r w:rsidRPr="008645AC">
        <w:rPr>
          <w:rFonts w:ascii="Palatino Linotype" w:eastAsia="Palatino Linotype" w:hAnsi="Palatino Linotype" w:cs="Palatino Linotype"/>
          <w:sz w:val="22"/>
          <w:szCs w:val="22"/>
        </w:rPr>
        <w:t xml:space="preserve"> la respuesta del ente obligado y ordenar que en cumplimiento se haga entrega, previa búsqueda exhaustiva y razonable de los </w:t>
      </w:r>
      <w:r w:rsidRPr="008645AC">
        <w:rPr>
          <w:rFonts w:ascii="Palatino Linotype" w:eastAsia="Palatino Linotype" w:hAnsi="Palatino Linotype" w:cs="Palatino Linotype"/>
          <w:b/>
          <w:bCs/>
          <w:sz w:val="22"/>
          <w:szCs w:val="22"/>
        </w:rPr>
        <w:t>Programas Anuales de Desarrollo Archivístico de los ejercicios 2017, 2018, 2019, 2020, 2021 y 2025.</w:t>
      </w:r>
    </w:p>
    <w:p w:rsidR="00EB186E" w:rsidRPr="008645AC" w:rsidRDefault="00EB186E">
      <w:pPr>
        <w:spacing w:line="360" w:lineRule="auto"/>
        <w:ind w:right="51"/>
        <w:jc w:val="both"/>
        <w:rPr>
          <w:rFonts w:ascii="Palatino Linotype" w:eastAsia="Palatino Linotype" w:hAnsi="Palatino Linotype" w:cs="Palatino Linotype"/>
          <w:sz w:val="22"/>
          <w:szCs w:val="22"/>
        </w:rPr>
      </w:pPr>
    </w:p>
    <w:p w:rsidR="00EB186E" w:rsidRPr="008645AC" w:rsidRDefault="00CB7FDB">
      <w:pPr>
        <w:spacing w:line="360" w:lineRule="auto"/>
        <w:ind w:right="51"/>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Lo anterior, sin que resulte necesaria la elaboración de una versión pública, pues de la información remitida en respuesta, se advierte que dicho programa no contiene información susceptible de ser clasificada.</w:t>
      </w:r>
    </w:p>
    <w:p w:rsidR="00EB186E" w:rsidRPr="008645AC" w:rsidRDefault="00EB186E">
      <w:pPr>
        <w:spacing w:line="360" w:lineRule="auto"/>
        <w:ind w:right="51"/>
        <w:jc w:val="both"/>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bookmarkStart w:id="9" w:name="_heading=h.4isrvdxalk01" w:colFirst="0" w:colLast="0"/>
      <w:bookmarkEnd w:id="9"/>
      <w:r w:rsidRPr="008645AC">
        <w:rPr>
          <w:rFonts w:ascii="Palatino Linotype" w:eastAsia="Palatino Linotype" w:hAnsi="Palatino Linotype" w:cs="Palatino Linotype"/>
          <w:sz w:val="22"/>
          <w:szCs w:val="22"/>
        </w:rPr>
        <w:t>Ahora bien, en atención a que, en cumplimiento a la presente resolución, se ordena información desde el año dos mil diecisiete, es conveniente señalar los siguientes conceptos de acuerdo a los Lineamientos para la Organización y Conservación de Archivos, emitidos por el Sistema Nacional de Transparencia, Acceso a la Información Pública y Protección de Datos Personales, cuyo objeto es “</w:t>
      </w:r>
      <w:r w:rsidRPr="008645AC">
        <w:rPr>
          <w:rFonts w:ascii="Palatino Linotype" w:eastAsia="Palatino Linotype" w:hAnsi="Palatino Linotype" w:cs="Palatino Linotype"/>
          <w:i/>
          <w:iCs/>
          <w:sz w:val="22"/>
          <w:szCs w:val="22"/>
        </w:rPr>
        <w:t xml:space="preserve">establecer las políticas y criterios para la sistematización y digitalización, así como para </w:t>
      </w:r>
      <w:r w:rsidRPr="008645AC">
        <w:rPr>
          <w:rFonts w:ascii="Palatino Linotype" w:eastAsia="Palatino Linotype" w:hAnsi="Palatino Linotype" w:cs="Palatino Linotype"/>
          <w:b/>
          <w:bCs/>
          <w:i/>
          <w:iCs/>
          <w:sz w:val="22"/>
          <w:szCs w:val="22"/>
        </w:rPr>
        <w:t>la custodia y conservación de los archivos</w:t>
      </w:r>
      <w:r w:rsidRPr="008645AC">
        <w:rPr>
          <w:rFonts w:ascii="Palatino Linotype" w:eastAsia="Palatino Linotype" w:hAnsi="Palatino Linotype" w:cs="Palatino Linotype"/>
          <w:i/>
          <w:iCs/>
          <w:sz w:val="22"/>
          <w:szCs w:val="22"/>
        </w:rPr>
        <w:t xml:space="preserve"> en posesión de los sujetos obligados, con la finalidad de garantizar la disponibilidad, la localización eficiente de la información generada, obtenida, adquirida, transformada y contar con sistemas de información, ágiles y eficientes</w:t>
      </w:r>
      <w:r w:rsidRPr="008645AC">
        <w:rPr>
          <w:rFonts w:ascii="Palatino Linotype" w:eastAsia="Palatino Linotype" w:hAnsi="Palatino Linotype" w:cs="Palatino Linotype"/>
          <w:sz w:val="22"/>
          <w:szCs w:val="22"/>
        </w:rPr>
        <w:t>”, al tenor de lo siguiente:</w:t>
      </w:r>
    </w:p>
    <w:p w:rsidR="00EB186E" w:rsidRPr="008645AC" w:rsidRDefault="00CB7FDB">
      <w:pPr>
        <w:spacing w:line="276" w:lineRule="auto"/>
        <w:ind w:left="851" w:right="567"/>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Cuarto.</w:t>
      </w:r>
    </w:p>
    <w:p w:rsidR="00EB186E" w:rsidRPr="008645AC" w:rsidRDefault="00CB7FDB">
      <w:pPr>
        <w:spacing w:line="276" w:lineRule="auto"/>
        <w:ind w:left="851" w:right="567"/>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p>
    <w:p w:rsidR="00EB186E" w:rsidRPr="008645AC" w:rsidRDefault="00CB7FDB">
      <w:pPr>
        <w:spacing w:line="276" w:lineRule="auto"/>
        <w:ind w:left="851" w:right="567"/>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 Archivo</w:t>
      </w:r>
      <w:r w:rsidRPr="008645AC">
        <w:rPr>
          <w:rFonts w:ascii="Palatino Linotype" w:eastAsia="Palatino Linotype" w:hAnsi="Palatino Linotype" w:cs="Palatino Linotype"/>
          <w:i/>
          <w:iCs/>
          <w:sz w:val="22"/>
          <w:szCs w:val="22"/>
        </w:rPr>
        <w:t>: El conjunto orgánico de documentos en cualquier soporte, que son producidos o recibidos por los sujetos obligados o los particulares en el ejercicio de sus atribuciones o en el desarrollo de sus actividades;</w:t>
      </w:r>
    </w:p>
    <w:p w:rsidR="00EB186E" w:rsidRPr="008645AC" w:rsidRDefault="00CB7FDB">
      <w:pPr>
        <w:spacing w:line="276" w:lineRule="auto"/>
        <w:ind w:left="851" w:right="567"/>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III. Archivo de concentración</w:t>
      </w:r>
      <w:r w:rsidRPr="008645AC">
        <w:rPr>
          <w:rFonts w:ascii="Palatino Linotype" w:eastAsia="Palatino Linotype" w:hAnsi="Palatino Linotype" w:cs="Palatino Linotype"/>
          <w:i/>
          <w:iCs/>
          <w:sz w:val="22"/>
          <w:szCs w:val="22"/>
        </w:rPr>
        <w:t>: La unidad de la administración de documentos cuya consulta es esporádica y que permanecen en ella hasta su transferencia secundaria o baja documental;</w:t>
      </w:r>
    </w:p>
    <w:p w:rsidR="00EB186E" w:rsidRPr="008645AC" w:rsidRDefault="00CB7FDB">
      <w:pPr>
        <w:spacing w:line="276" w:lineRule="auto"/>
        <w:ind w:left="851" w:right="567"/>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IV. Archivo histórico</w:t>
      </w:r>
      <w:r w:rsidRPr="008645AC">
        <w:rPr>
          <w:rFonts w:ascii="Palatino Linotype" w:eastAsia="Palatino Linotype" w:hAnsi="Palatino Linotype" w:cs="Palatino Linotype"/>
          <w:i/>
          <w:iCs/>
          <w:sz w:val="22"/>
          <w:szCs w:val="22"/>
        </w:rPr>
        <w:t>. La unidad responsable de la administración de los documentos de conservación permanente y que son fuente de acceso público;</w:t>
      </w:r>
    </w:p>
    <w:p w:rsidR="00EB186E" w:rsidRPr="008645AC" w:rsidRDefault="00CB7FDB">
      <w:pPr>
        <w:spacing w:line="276" w:lineRule="auto"/>
        <w:ind w:left="851" w:right="567"/>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V. Archivo de trámite</w:t>
      </w:r>
      <w:r w:rsidRPr="008645AC">
        <w:rPr>
          <w:rFonts w:ascii="Palatino Linotype" w:eastAsia="Palatino Linotype" w:hAnsi="Palatino Linotype" w:cs="Palatino Linotype"/>
          <w:i/>
          <w:iCs/>
          <w:sz w:val="22"/>
          <w:szCs w:val="22"/>
        </w:rPr>
        <w:t>: La unidad responsable de la administración de documentos de uso cotidiano y necesario para el ejercicio de las atribuciones de una unidad administrativa, los cuales permanecen en ella hasta su transferencia primaria;</w:t>
      </w:r>
    </w:p>
    <w:p w:rsidR="00EB186E" w:rsidRPr="008645AC" w:rsidRDefault="00CB7FDB">
      <w:pPr>
        <w:spacing w:line="276" w:lineRule="auto"/>
        <w:ind w:left="851" w:right="567"/>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VIII. Baja documental</w:t>
      </w:r>
      <w:r w:rsidRPr="008645AC">
        <w:rPr>
          <w:rFonts w:ascii="Palatino Linotype" w:eastAsia="Palatino Linotype" w:hAnsi="Palatino Linotype" w:cs="Palatino Linotype"/>
          <w:i/>
          <w:iCs/>
          <w:sz w:val="22"/>
          <w:szCs w:val="22"/>
        </w:rPr>
        <w:t>. La eliminación de aquella documentación que haya prescrito en sus valores administrativos, legales, fiscales, contables, y que no contenga valores históricos;</w:t>
      </w:r>
    </w:p>
    <w:p w:rsidR="00EB186E" w:rsidRPr="008645AC" w:rsidRDefault="00CB7FDB">
      <w:pPr>
        <w:spacing w:line="276" w:lineRule="auto"/>
        <w:ind w:left="851" w:right="567"/>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p>
    <w:p w:rsidR="00EB186E" w:rsidRPr="008645AC" w:rsidRDefault="00CB7FDB">
      <w:pPr>
        <w:spacing w:line="276" w:lineRule="auto"/>
        <w:ind w:left="851" w:right="567"/>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X. Ciclo vital del documento</w:t>
      </w:r>
      <w:r w:rsidRPr="008645AC">
        <w:rPr>
          <w:rFonts w:ascii="Palatino Linotype" w:eastAsia="Palatino Linotype" w:hAnsi="Palatino Linotype" w:cs="Palatino Linotype"/>
          <w:i/>
          <w:iCs/>
          <w:sz w:val="22"/>
          <w:szCs w:val="22"/>
        </w:rPr>
        <w:t>: La etapas de los documentos desde su producción o recepción hasta su baja o transferencia a un archivo histórico;</w:t>
      </w:r>
    </w:p>
    <w:p w:rsidR="00EB186E" w:rsidRPr="008645AC" w:rsidRDefault="00CB7FDB">
      <w:pPr>
        <w:spacing w:line="276" w:lineRule="auto"/>
        <w:ind w:left="851" w:right="567"/>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p>
    <w:p w:rsidR="00EB186E" w:rsidRPr="008645AC" w:rsidRDefault="00CB7FDB">
      <w:pPr>
        <w:spacing w:line="276" w:lineRule="auto"/>
        <w:ind w:left="851" w:right="567"/>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XLVIII. Transferencia documental</w:t>
      </w:r>
      <w:r w:rsidRPr="008645AC">
        <w:rPr>
          <w:rFonts w:ascii="Palatino Linotype" w:eastAsia="Palatino Linotype" w:hAnsi="Palatino Linotype" w:cs="Palatino Linotype"/>
          <w:i/>
          <w:iCs/>
          <w:sz w:val="22"/>
          <w:szCs w:val="22"/>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EB186E" w:rsidRPr="008645AC" w:rsidRDefault="00CB7FDB">
      <w:pPr>
        <w:spacing w:line="276" w:lineRule="auto"/>
        <w:ind w:left="851" w:right="567"/>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(Énfasis Añadido)</w:t>
      </w:r>
    </w:p>
    <w:p w:rsidR="00EB186E" w:rsidRPr="008645AC" w:rsidRDefault="00EB186E">
      <w:pPr>
        <w:spacing w:line="360" w:lineRule="auto"/>
        <w:ind w:right="49"/>
        <w:jc w:val="both"/>
        <w:rPr>
          <w:rFonts w:ascii="Palatino Linotype" w:eastAsia="Palatino Linotype" w:hAnsi="Palatino Linotype" w:cs="Palatino Linotype"/>
          <w:sz w:val="22"/>
          <w:szCs w:val="22"/>
        </w:rPr>
      </w:pPr>
    </w:p>
    <w:p w:rsidR="00EB186E" w:rsidRPr="008645AC" w:rsidRDefault="00CB7FDB">
      <w:pPr>
        <w:spacing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 transferencia secundaria al Archivo Histórico o su baja documental.</w:t>
      </w:r>
    </w:p>
    <w:p w:rsidR="00EB186E" w:rsidRPr="008645AC" w:rsidRDefault="00EB186E">
      <w:pPr>
        <w:spacing w:line="360" w:lineRule="auto"/>
        <w:ind w:right="49"/>
        <w:jc w:val="both"/>
        <w:rPr>
          <w:rFonts w:ascii="Palatino Linotype" w:eastAsia="Palatino Linotype" w:hAnsi="Palatino Linotype" w:cs="Palatino Linotype"/>
          <w:sz w:val="22"/>
          <w:szCs w:val="22"/>
        </w:rPr>
      </w:pPr>
    </w:p>
    <w:p w:rsidR="00EB186E" w:rsidRPr="008645AC" w:rsidRDefault="00CB7FDB">
      <w:pPr>
        <w:spacing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Por su parte, los Lineamientos para la Valoración, Selección y Baja de los Documentos, Expedientes y Series de Trámite Concluido en los Archivos del Estado de México, emitidos por la Comisión Dictaminadora de Depuración de Documentos, establecen lo siguiente en su parte conducente:</w:t>
      </w:r>
    </w:p>
    <w:p w:rsidR="00EB186E" w:rsidRPr="008645AC" w:rsidRDefault="00EB186E">
      <w:pPr>
        <w:spacing w:line="360" w:lineRule="auto"/>
        <w:ind w:right="49"/>
        <w:jc w:val="both"/>
        <w:rPr>
          <w:rFonts w:ascii="Palatino Linotype" w:eastAsia="Palatino Linotype" w:hAnsi="Palatino Linotype" w:cs="Palatino Linotype"/>
          <w:sz w:val="22"/>
          <w:szCs w:val="22"/>
        </w:rPr>
      </w:pP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Artículo 20.</w:t>
      </w:r>
      <w:r w:rsidRPr="008645AC">
        <w:rPr>
          <w:rFonts w:ascii="Palatino Linotype" w:eastAsia="Palatino Linotype" w:hAnsi="Palatino Linotype" w:cs="Palatino Linotype"/>
          <w:i/>
          <w:iCs/>
          <w:sz w:val="22"/>
          <w:szCs w:val="22"/>
        </w:rP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El periodo señalado se computará a partir del día siguiente a la fecha del documento con el cual se dé por concluido el asunto por el que los expedientes fueron creados.</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Artículo 27</w:t>
      </w:r>
      <w:r w:rsidRPr="008645AC">
        <w:rPr>
          <w:rFonts w:ascii="Palatino Linotype" w:eastAsia="Palatino Linotype" w:hAnsi="Palatino Linotype" w:cs="Palatino Linotype"/>
          <w:i/>
          <w:iCs/>
          <w:sz w:val="22"/>
          <w:szCs w:val="22"/>
        </w:rPr>
        <w:t>.- Las Unidades Administrativas al realizar la transferencia de los expedientes de trámite concluido, señalarán en el Inventario correspondiente los plazos de conservación precaucional de éstos en el Archivo de Concentración.</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Para determinar el plazo de conservación precaucional deberán considerar el marco legal o administrativo bajo el cual se produjeron o recibieron los documentos y los siguientes períodos:</w:t>
      </w:r>
    </w:p>
    <w:p w:rsidR="00EB186E" w:rsidRPr="008645AC" w:rsidRDefault="00CB7FDB">
      <w:pPr>
        <w:spacing w:line="276" w:lineRule="auto"/>
        <w:ind w:left="851" w:right="616"/>
        <w:jc w:val="both"/>
        <w:rPr>
          <w:rFonts w:ascii="Palatino Linotype" w:eastAsia="Palatino Linotype" w:hAnsi="Palatino Linotype" w:cs="Palatino Linotype"/>
          <w:b/>
          <w:bCs/>
          <w:i/>
          <w:iCs/>
          <w:sz w:val="22"/>
          <w:szCs w:val="22"/>
          <w:u w:val="single"/>
        </w:rPr>
      </w:pPr>
      <w:r w:rsidRPr="008645AC">
        <w:rPr>
          <w:rFonts w:ascii="Palatino Linotype" w:eastAsia="Palatino Linotype" w:hAnsi="Palatino Linotype" w:cs="Palatino Linotype"/>
          <w:b/>
          <w:bCs/>
          <w:i/>
          <w:iCs/>
          <w:sz w:val="22"/>
          <w:szCs w:val="22"/>
        </w:rPr>
        <w:t>I</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u w:val="single"/>
        </w:rPr>
        <w:t>6 años para expedientes con información administrativa;</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w:t>
      </w:r>
      <w:r w:rsidRPr="008645AC">
        <w:rPr>
          <w:rFonts w:ascii="Palatino Linotype" w:eastAsia="Palatino Linotype" w:hAnsi="Palatino Linotype" w:cs="Palatino Linotype"/>
          <w:i/>
          <w:iCs/>
          <w:sz w:val="22"/>
          <w:szCs w:val="22"/>
        </w:rPr>
        <w:t xml:space="preserve"> 6 años como mínimo para expedientes con información fiscal y presupuestal contable;</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III</w:t>
      </w:r>
      <w:r w:rsidRPr="008645AC">
        <w:rPr>
          <w:rFonts w:ascii="Palatino Linotype" w:eastAsia="Palatino Linotype" w:hAnsi="Palatino Linotype" w:cs="Palatino Linotype"/>
          <w:i/>
          <w:iCs/>
          <w:sz w:val="22"/>
          <w:szCs w:val="22"/>
        </w:rPr>
        <w:t>. 12 años como mínimo para expedientes con información jurídico-legal, obra pública y activo fijo; y</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IV.</w:t>
      </w:r>
      <w:r w:rsidRPr="008645AC">
        <w:rPr>
          <w:rFonts w:ascii="Palatino Linotype" w:eastAsia="Palatino Linotype" w:hAnsi="Palatino Linotype" w:cs="Palatino Linotype"/>
          <w:i/>
          <w:iCs/>
          <w:sz w:val="22"/>
          <w:szCs w:val="22"/>
        </w:rPr>
        <w:t xml:space="preserve"> Cuando en la legislación se establezcan períodos de conservación mayores a los señalados en las fracciones I, II y III, se considerarán los estipulados en dicha legislación para efectos de realización del proceso de selección final.</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V</w:t>
      </w:r>
      <w:r w:rsidRPr="008645AC">
        <w:rPr>
          <w:rFonts w:ascii="Palatino Linotype" w:eastAsia="Palatino Linotype" w:hAnsi="Palatino Linotype" w:cs="Palatino Linotype"/>
          <w:i/>
          <w:iCs/>
          <w:sz w:val="22"/>
          <w:szCs w:val="22"/>
        </w:rPr>
        <w:t>. Cuando las Unidades Administrativas no indique el plazo de conservación precaucional de sus expedientes en el Inventario correspondiente, los Archivos de Concentración podrán rechazar la transferencia de los expedientes.”</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En apego de lo anterior, se tiene que una vez que los documentos generados se consideran como trámite concluido, pasan a formar parte del Archivo de Trámite por dos años; concluido el plazo, se transfieren al Archivo de Concentración para mantenerse </w:t>
      </w:r>
      <w:r w:rsidRPr="008645AC">
        <w:rPr>
          <w:rFonts w:ascii="Palatino Linotype" w:eastAsia="Palatino Linotype" w:hAnsi="Palatino Linotype" w:cs="Palatino Linotype"/>
          <w:b/>
          <w:bCs/>
          <w:sz w:val="22"/>
          <w:szCs w:val="22"/>
        </w:rPr>
        <w:t>allí por seis años cuando los expedientes contengan información administrativa; y una vez que concluye dicho periodo, los documentos pueden causar baja documental</w:t>
      </w:r>
      <w:r w:rsidRPr="008645AC">
        <w:rPr>
          <w:rFonts w:ascii="Palatino Linotype" w:eastAsia="Palatino Linotype" w:hAnsi="Palatino Linotype" w:cs="Palatino Linotype"/>
          <w:sz w:val="22"/>
          <w:szCs w:val="22"/>
        </w:rPr>
        <w:t xml:space="preserve"> o bien, formar parte del Archivo Histórico.</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Es de señalar que, para efectuar la baja, deberá emitirse el acta de baja documental, el cual se concibe como el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En ese sentido, tenemos que los documentos requeridos y toda vez que datan desde el año dos mil diecisiete pudieran encontrarse en el supuesto de que agotaron su vida útil y/o no se consideraron de importancia para formar parte del Archivo Histórico, </w:t>
      </w:r>
      <w:r w:rsidRPr="008645AC">
        <w:rPr>
          <w:rFonts w:ascii="Palatino Linotype" w:eastAsia="Palatino Linotype" w:hAnsi="Palatino Linotype" w:cs="Palatino Linotype"/>
          <w:b/>
          <w:bCs/>
          <w:sz w:val="22"/>
          <w:szCs w:val="22"/>
          <w:u w:val="single"/>
        </w:rPr>
        <w:t>pudiendo haber causado baja.</w:t>
      </w:r>
      <w:r w:rsidRPr="008645AC">
        <w:rPr>
          <w:rFonts w:ascii="Palatino Linotype" w:eastAsia="Palatino Linotype" w:hAnsi="Palatino Linotype" w:cs="Palatino Linotype"/>
          <w:sz w:val="22"/>
          <w:szCs w:val="22"/>
        </w:rPr>
        <w:t> </w:t>
      </w:r>
    </w:p>
    <w:p w:rsidR="00EB186E" w:rsidRPr="008645AC" w:rsidRDefault="00EB186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Sin embargo, cabe mencionar que el referir esto, no colma el derecho de acceso a la información de los ciudadanos; es decir, el simple pronunciamiento de las autoridades respecto a la baja documental o el hacer entrega al ciudadano del acta de baja como justificación de la negativa de la información, no es suficiente para satisfacer el ejercicio del derecho de acceso.</w:t>
      </w:r>
    </w:p>
    <w:p w:rsidR="00EB186E" w:rsidRPr="008645AC" w:rsidRDefault="00EB186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Atento a lo anterior, si derivado de la búsqueda que se efectúe, el </w:t>
      </w:r>
      <w:r w:rsidRPr="008645AC">
        <w:rPr>
          <w:rFonts w:ascii="Palatino Linotype" w:eastAsia="Palatino Linotype" w:hAnsi="Palatino Linotype" w:cs="Palatino Linotype"/>
          <w:b/>
          <w:bCs/>
          <w:sz w:val="22"/>
          <w:szCs w:val="22"/>
        </w:rPr>
        <w:t>Sujeto Obligado</w:t>
      </w:r>
      <w:r w:rsidRPr="008645AC">
        <w:rPr>
          <w:rFonts w:ascii="Palatino Linotype" w:eastAsia="Palatino Linotype" w:hAnsi="Palatino Linotype" w:cs="Palatino Linotype"/>
          <w:sz w:val="22"/>
          <w:szCs w:val="22"/>
        </w:rPr>
        <w:t xml:space="preserve"> no llegará a localizar información de alguna temporalidad, se deberá acreditar el destino de la misma, es decir; se deberá precisar si esta se envió a su archivo histórico o se procedió a su baja permanente, asimismo, deberá señalar las circunstancias de modo, tiempo y lugar que precedieron a la inexistencia de la información, con la finalidad de otorgar certeza jurídica a la persona solicitante.</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Sirve de apoyo a lo anterior por analogía el Criterio orientador 14-09 que emitió el entonces Instituto Nacional de Transparencia, Acceso a la Información y Protección de Datos Personales que a la letra dice:</w:t>
      </w:r>
    </w:p>
    <w:p w:rsidR="00EB186E" w:rsidRPr="008645AC" w:rsidRDefault="00EB186E">
      <w:pPr>
        <w:ind w:left="850" w:right="901"/>
        <w:jc w:val="both"/>
        <w:rPr>
          <w:rFonts w:ascii="Palatino Linotype" w:eastAsia="Palatino Linotype" w:hAnsi="Palatino Linotype" w:cs="Palatino Linotype"/>
          <w:b/>
          <w:bCs/>
          <w:i/>
          <w:iCs/>
          <w:sz w:val="22"/>
          <w:szCs w:val="22"/>
        </w:rPr>
      </w:pPr>
    </w:p>
    <w:p w:rsidR="00EB186E" w:rsidRPr="008645AC" w:rsidRDefault="00CB7FDB">
      <w:pPr>
        <w:spacing w:line="276" w:lineRule="auto"/>
        <w:ind w:left="850" w:right="901"/>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Baja documental</w:t>
      </w:r>
      <w:r w:rsidRPr="008645AC">
        <w:rPr>
          <w:rFonts w:ascii="Palatino Linotype" w:eastAsia="Palatino Linotype" w:hAnsi="Palatino Linotype" w:cs="Palatino Linotype"/>
          <w:i/>
          <w:iCs/>
          <w:sz w:val="22"/>
          <w:szCs w:val="22"/>
        </w:rPr>
        <w:t xml:space="preserve">. Las dependencias y entidades deben proporcionar a los particulares el documento que acredite dicha situación. De conformidad con lo previsto en los artículos 24 y 46 de la Ley Federal de Transparencia y Acceso a la Información Pública Gubernamental 70, fracción V y 78, fracción III de su Reglamento, </w:t>
      </w:r>
      <w:r w:rsidRPr="008645AC">
        <w:rPr>
          <w:rFonts w:ascii="Palatino Linotype" w:eastAsia="Palatino Linotype" w:hAnsi="Palatino Linotype" w:cs="Palatino Linotype"/>
          <w:b/>
          <w:bCs/>
          <w:i/>
          <w:iCs/>
          <w:sz w:val="22"/>
          <w:szCs w:val="22"/>
          <w:u w:val="single"/>
        </w:rPr>
        <w:t>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w:t>
      </w:r>
      <w:r w:rsidRPr="008645AC">
        <w:rPr>
          <w:rFonts w:ascii="Palatino Linotype" w:eastAsia="Palatino Linotype" w:hAnsi="Palatino Linotype" w:cs="Palatino Linotype"/>
          <w:i/>
          <w:iCs/>
          <w:sz w:val="22"/>
          <w:szCs w:val="22"/>
        </w:rPr>
        <w:t xml:space="preserve"> en todos aquellos casos en los que la normatividad en materia archivística prevea que la misma debe existir.”(Sic)</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En tal caso la declaratoria formal de la inexistencia a la que se hace referencia deberá realizarse en términos de lo que señala el artículo 19, tercer párrafo, 49, fracciones II y XIII; 169 y 170 de la Ley de Transparencia y Acceso a la Información Pública del Estado de México y Municipios, que se leen como sigue:</w:t>
      </w:r>
    </w:p>
    <w:p w:rsidR="00EB186E" w:rsidRPr="008645AC" w:rsidRDefault="00EB186E">
      <w:pPr>
        <w:ind w:left="851" w:right="902"/>
        <w:jc w:val="both"/>
        <w:rPr>
          <w:rFonts w:ascii="Palatino Linotype" w:eastAsia="Palatino Linotype" w:hAnsi="Palatino Linotype" w:cs="Palatino Linotype"/>
          <w:i/>
          <w:iCs/>
          <w:sz w:val="22"/>
          <w:szCs w:val="22"/>
        </w:rPr>
      </w:pP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Artículo 19.</w:t>
      </w:r>
      <w:r w:rsidRPr="008645AC">
        <w:rPr>
          <w:rFonts w:ascii="Palatino Linotype" w:eastAsia="Palatino Linotype" w:hAnsi="Palatino Linotype" w:cs="Palatino Linotype"/>
          <w:i/>
          <w:iCs/>
          <w:sz w:val="22"/>
          <w:szCs w:val="22"/>
        </w:rPr>
        <w:t xml:space="preserve"> (…)</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Si el sujeto obligado, en el ejercicio de sus atribuciones, debía generar, poseer o administrar la información, pero ésta no se encuentra, el Comité de transparencia deberá emitir un acuerdo de inexistencia</w:t>
      </w:r>
      <w:r w:rsidRPr="008645AC">
        <w:rPr>
          <w:rFonts w:ascii="Palatino Linotype" w:eastAsia="Palatino Linotype" w:hAnsi="Palatino Linotype" w:cs="Palatino Linotype"/>
          <w:i/>
          <w:iCs/>
          <w:sz w:val="22"/>
          <w:szCs w:val="22"/>
        </w:rPr>
        <w:t>, debidamente fundado y motivado, en el que detalle las razones del por qué no obra en sus archivos.”</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Artículo 49.</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t>Los Comités de Transparencia</w:t>
      </w:r>
      <w:r w:rsidRPr="008645AC">
        <w:rPr>
          <w:rFonts w:ascii="Palatino Linotype" w:eastAsia="Palatino Linotype" w:hAnsi="Palatino Linotype" w:cs="Palatino Linotype"/>
          <w:i/>
          <w:iCs/>
          <w:sz w:val="22"/>
          <w:szCs w:val="22"/>
        </w:rPr>
        <w:t xml:space="preserve"> tendrán las siguientes </w:t>
      </w:r>
      <w:r w:rsidRPr="008645AC">
        <w:rPr>
          <w:rFonts w:ascii="Palatino Linotype" w:eastAsia="Palatino Linotype" w:hAnsi="Palatino Linotype" w:cs="Palatino Linotype"/>
          <w:b/>
          <w:bCs/>
          <w:i/>
          <w:iCs/>
          <w:sz w:val="22"/>
          <w:szCs w:val="22"/>
        </w:rPr>
        <w:t>atribuciones</w:t>
      </w:r>
      <w:r w:rsidRPr="008645AC">
        <w:rPr>
          <w:rFonts w:ascii="Palatino Linotype" w:eastAsia="Palatino Linotype" w:hAnsi="Palatino Linotype" w:cs="Palatino Linotype"/>
          <w:i/>
          <w:iCs/>
          <w:sz w:val="22"/>
          <w:szCs w:val="22"/>
        </w:rPr>
        <w:t>:</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t>Confirmar, modificar o revocar las determinaciones que en materia de</w:t>
      </w:r>
      <w:r w:rsidRPr="008645AC">
        <w:rPr>
          <w:rFonts w:ascii="Palatino Linotype" w:eastAsia="Palatino Linotype" w:hAnsi="Palatino Linotype" w:cs="Palatino Linotype"/>
          <w:i/>
          <w:iCs/>
          <w:sz w:val="22"/>
          <w:szCs w:val="22"/>
        </w:rPr>
        <w:t xml:space="preserve"> ampliación del plazo de respuesta, clasificación de la información y </w:t>
      </w:r>
      <w:r w:rsidRPr="008645AC">
        <w:rPr>
          <w:rFonts w:ascii="Palatino Linotype" w:eastAsia="Palatino Linotype" w:hAnsi="Palatino Linotype" w:cs="Palatino Linotype"/>
          <w:b/>
          <w:bCs/>
          <w:i/>
          <w:iCs/>
          <w:sz w:val="22"/>
          <w:szCs w:val="22"/>
        </w:rPr>
        <w:t>declaración de inexistencia</w:t>
      </w:r>
      <w:r w:rsidRPr="008645AC">
        <w:rPr>
          <w:rFonts w:ascii="Palatino Linotype" w:eastAsia="Palatino Linotype" w:hAnsi="Palatino Linotype" w:cs="Palatino Linotype"/>
          <w:i/>
          <w:iCs/>
          <w:sz w:val="22"/>
          <w:szCs w:val="22"/>
        </w:rPr>
        <w:t xml:space="preserve"> o de incompetencia realicen los titulares de las áreas de los sujetos obligados;</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XIII.</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t>Dictaminar las declaratorias de inexistencia de la información</w:t>
      </w:r>
      <w:r w:rsidRPr="008645AC">
        <w:rPr>
          <w:rFonts w:ascii="Palatino Linotype" w:eastAsia="Palatino Linotype" w:hAnsi="Palatino Linotype" w:cs="Palatino Linotype"/>
          <w:i/>
          <w:iCs/>
          <w:sz w:val="22"/>
          <w:szCs w:val="22"/>
        </w:rPr>
        <w:t xml:space="preserve"> que les remitan las unidades administrativas y resolver en consecuencia…”</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Artículo 169</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t>Cuando la información no se encuentre en los archivos del sujeto obligado, el Comité de Transparencia</w:t>
      </w:r>
      <w:r w:rsidRPr="008645AC">
        <w:rPr>
          <w:rFonts w:ascii="Palatino Linotype" w:eastAsia="Palatino Linotype" w:hAnsi="Palatino Linotype" w:cs="Palatino Linotype"/>
          <w:i/>
          <w:iCs/>
          <w:sz w:val="22"/>
          <w:szCs w:val="22"/>
        </w:rPr>
        <w:t xml:space="preserve">: </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w:t>
      </w:r>
      <w:r w:rsidRPr="008645AC">
        <w:rPr>
          <w:rFonts w:ascii="Palatino Linotype" w:eastAsia="Palatino Linotype" w:hAnsi="Palatino Linotype" w:cs="Palatino Linotype"/>
          <w:i/>
          <w:iCs/>
          <w:sz w:val="22"/>
          <w:szCs w:val="22"/>
        </w:rPr>
        <w:t xml:space="preserve"> Analizará el caso y tomará las medidas necesarias para localizar la información; </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t>Expedirá una resolución que confirme la inexistencia del documento</w:t>
      </w:r>
      <w:r w:rsidRPr="008645AC">
        <w:rPr>
          <w:rFonts w:ascii="Palatino Linotype" w:eastAsia="Palatino Linotype" w:hAnsi="Palatino Linotype" w:cs="Palatino Linotype"/>
          <w:i/>
          <w:iCs/>
          <w:sz w:val="22"/>
          <w:szCs w:val="22"/>
        </w:rPr>
        <w:t xml:space="preserve">; </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III</w:t>
      </w:r>
      <w:r w:rsidRPr="008645AC">
        <w:rPr>
          <w:rFonts w:ascii="Palatino Linotype" w:eastAsia="Palatino Linotype" w:hAnsi="Palatino Linotype" w:cs="Palatino Linotype"/>
          <w:i/>
          <w:iCs/>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 xml:space="preserve">IV. </w:t>
      </w:r>
      <w:r w:rsidRPr="008645AC">
        <w:rPr>
          <w:rFonts w:ascii="Palatino Linotype" w:eastAsia="Palatino Linotype" w:hAnsi="Palatino Linotype" w:cs="Palatino Linotype"/>
          <w:i/>
          <w:iCs/>
          <w:sz w:val="22"/>
          <w:szCs w:val="22"/>
        </w:rPr>
        <w:t xml:space="preserve">Notificará al órgano interno de control o equivalente del sujeto obligado quien, en su caso, deberá iniciar el procedimiento de responsabilidad administrativa que corresponda. </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 xml:space="preserve">La Unidad de Transparencia deberá notificarlo al solicitante por escrito, en un plazo que no exceda de quince días hábiles contados a partir del día siguiente a la presentación de la solicitud. </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Este plazo podrá ampliarse hasta por otros siete días hábiles, siempre que existan razones para ello, debiendo notificarse por escrito al solicitante.”</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Artículo 170.</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t>La resolución del Comité de Transparencia que confirme la inexistencia de la información solicitada contendrá los elementos mínimos</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t>que permitan al solicitante tener la certeza de que se utilizó un criterio de búsqueda exhaustivo</w:t>
      </w:r>
      <w:r w:rsidRPr="008645AC">
        <w:rPr>
          <w:rFonts w:ascii="Palatino Linotype" w:eastAsia="Palatino Linotype" w:hAnsi="Palatino Linotype" w:cs="Palatino Linotype"/>
          <w:i/>
          <w:iCs/>
          <w:sz w:val="22"/>
          <w:szCs w:val="22"/>
        </w:rPr>
        <w:t>, además de señalar las circunstancias de tiempo, modo y lugar que generaron la existencia en cuestión y señalará al servidor público responsable de contar con la misma.”</w:t>
      </w:r>
    </w:p>
    <w:p w:rsidR="00EB186E" w:rsidRPr="008645AC" w:rsidRDefault="00EB186E">
      <w:pPr>
        <w:spacing w:line="276" w:lineRule="auto"/>
        <w:ind w:left="851" w:right="616"/>
        <w:jc w:val="both"/>
        <w:rPr>
          <w:rFonts w:ascii="Palatino Linotype" w:eastAsia="Palatino Linotype" w:hAnsi="Palatino Linotype" w:cs="Palatino Linotype"/>
          <w:i/>
          <w:iCs/>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Lo anterior, como se precisa, resulta necesario ya que el Acuerdo de Inexistencia emitido por el Comité de Transparencia, da certeza de las razones o motivos por las cuales no se localizó la información y del proceso realizado para localizar la misma, acreditando en un primer momento la búsqueda exhaustiva y razonable de la información en las áreas administrativas, lo cual constará mediante los oficios emitidos y las respuestas por parte de los servidores públicos de las áreas correspondientes, ello con la finalidad de que se informe si los documentos solicitados habían causado baja documental.</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Asimismo, resulta aplicable el Criterio reiterado número 08/19 emitido por Acuerdo del Pleno del Instituto de Transparencia y Acceso a la Información Pública del Estado de México y Municipios, que precisa:</w:t>
      </w:r>
    </w:p>
    <w:p w:rsidR="00EB186E" w:rsidRPr="008645AC" w:rsidRDefault="00EB186E">
      <w:pPr>
        <w:ind w:left="851" w:right="902"/>
        <w:jc w:val="both"/>
        <w:rPr>
          <w:rFonts w:ascii="Palatino Linotype" w:eastAsia="Palatino Linotype" w:hAnsi="Palatino Linotype" w:cs="Palatino Linotype"/>
          <w:i/>
          <w:iCs/>
          <w:sz w:val="22"/>
          <w:szCs w:val="22"/>
        </w:rPr>
      </w:pP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INEXISTENCIA DE LA INFORMACIÓN. SUPUESTOS PARA EMITIR LA RESOLUCIÓN DE LA</w:t>
      </w:r>
      <w:r w:rsidRPr="008645AC">
        <w:rPr>
          <w:rFonts w:ascii="Palatino Linotype" w:eastAsia="Palatino Linotype" w:hAnsi="Palatino Linotype" w:cs="Palatino Linotype"/>
          <w:i/>
          <w:iCs/>
          <w:sz w:val="22"/>
          <w:szCs w:val="22"/>
        </w:rPr>
        <w:t>. 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Lo anterior, obedece a lo establecido por el artículo 12 de la Ley de Transparencia y Acceso a la Información Pública del Estado de México y Municipios, el cual destaca que quienes generen, recopilen, administren, manejen, procesen, archiven o conserven información pública serán responsables de esta; vinculando inminentemente al servidor público con los documentos que por el ejercicio de sus funciones obra en su poder, lo que impone un compromiso en su cuidado y resguardo.</w:t>
      </w:r>
    </w:p>
    <w:p w:rsidR="00EB186E" w:rsidRPr="008645AC" w:rsidRDefault="00CB7FDB">
      <w:pPr>
        <w:spacing w:before="240" w:after="240" w:line="360" w:lineRule="auto"/>
        <w:ind w:right="51"/>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 xml:space="preserve">Quinto. Versión Pública. </w:t>
      </w:r>
      <w:r w:rsidRPr="008645AC">
        <w:rPr>
          <w:rFonts w:ascii="Palatino Linotype" w:eastAsia="Palatino Linotype" w:hAnsi="Palatino Linotype" w:cs="Palatino Linotype"/>
          <w:sz w:val="22"/>
          <w:szCs w:val="22"/>
        </w:rPr>
        <w:t>Como fue debidamente apuntado, el </w:t>
      </w:r>
      <w:r w:rsidRPr="008645AC">
        <w:rPr>
          <w:rFonts w:ascii="Palatino Linotype" w:eastAsia="Palatino Linotype" w:hAnsi="Palatino Linotype" w:cs="Palatino Linotype"/>
          <w:b/>
          <w:bCs/>
          <w:sz w:val="22"/>
          <w:szCs w:val="22"/>
        </w:rPr>
        <w:t>Sujeto Obligado</w:t>
      </w:r>
      <w:r w:rsidRPr="008645AC">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EB186E" w:rsidRPr="008645AC" w:rsidRDefault="00CB7FDB">
      <w:pPr>
        <w:spacing w:before="240" w:after="240"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EB186E" w:rsidRPr="008645AC" w:rsidRDefault="00CB7FDB">
      <w:pPr>
        <w:spacing w:before="240" w:after="240"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EB186E" w:rsidRPr="008645AC" w:rsidRDefault="00CB7FDB">
      <w:pPr>
        <w:spacing w:before="240" w:after="240"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sz w:val="22"/>
          <w:szCs w:val="22"/>
        </w:rPr>
        <w:t> </w:t>
      </w: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Artículo 3.</w:t>
      </w:r>
      <w:r w:rsidRPr="008645AC">
        <w:rPr>
          <w:rFonts w:ascii="Palatino Linotype" w:eastAsia="Palatino Linotype" w:hAnsi="Palatino Linotype" w:cs="Palatino Linotype"/>
          <w:i/>
          <w:iCs/>
          <w:sz w:val="22"/>
          <w:szCs w:val="22"/>
        </w:rPr>
        <w:t xml:space="preserve"> Para los efectos de la presente Ley se entenderá por:</w:t>
      </w:r>
    </w:p>
    <w:p w:rsidR="00EB186E" w:rsidRPr="008645AC" w:rsidRDefault="00CB7FDB">
      <w:pPr>
        <w:tabs>
          <w:tab w:val="left" w:pos="1276"/>
        </w:tabs>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p>
    <w:p w:rsidR="00EB186E" w:rsidRPr="008645AC" w:rsidRDefault="00CB7FDB">
      <w:pPr>
        <w:tabs>
          <w:tab w:val="left" w:pos="1276"/>
        </w:tabs>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IX. Datos personales</w:t>
      </w:r>
      <w:r w:rsidRPr="008645AC">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rsidR="00EB186E" w:rsidRPr="008645AC" w:rsidRDefault="00CB7FDB">
      <w:pPr>
        <w:tabs>
          <w:tab w:val="left" w:pos="1276"/>
        </w:tabs>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p>
    <w:p w:rsidR="00EB186E" w:rsidRPr="008645AC" w:rsidRDefault="00CB7FDB">
      <w:pPr>
        <w:tabs>
          <w:tab w:val="left" w:pos="1276"/>
        </w:tabs>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XX. Información clasificada</w:t>
      </w:r>
      <w:r w:rsidRPr="008645AC">
        <w:rPr>
          <w:rFonts w:ascii="Palatino Linotype" w:eastAsia="Palatino Linotype" w:hAnsi="Palatino Linotype" w:cs="Palatino Linotype"/>
          <w:i/>
          <w:iCs/>
          <w:sz w:val="22"/>
          <w:szCs w:val="22"/>
        </w:rPr>
        <w:t>: Aquella considerada por la presente Ley como reservada o confidencial;</w:t>
      </w:r>
    </w:p>
    <w:p w:rsidR="00EB186E" w:rsidRPr="008645AC" w:rsidRDefault="00CB7FDB">
      <w:pPr>
        <w:tabs>
          <w:tab w:val="left" w:pos="1276"/>
        </w:tabs>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XXI. Información confidencial</w:t>
      </w:r>
      <w:r w:rsidRPr="008645AC">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B186E" w:rsidRPr="008645AC" w:rsidRDefault="00CB7FDB">
      <w:pPr>
        <w:tabs>
          <w:tab w:val="left" w:pos="1276"/>
        </w:tabs>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p>
    <w:p w:rsidR="00EB186E" w:rsidRPr="008645AC" w:rsidRDefault="00CB7FDB">
      <w:pPr>
        <w:tabs>
          <w:tab w:val="left" w:pos="1276"/>
        </w:tabs>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XXXII. Protección de Datos Personales</w:t>
      </w:r>
      <w:r w:rsidRPr="008645AC">
        <w:rPr>
          <w:rFonts w:ascii="Palatino Linotype" w:eastAsia="Palatino Linotype" w:hAnsi="Palatino Linotype" w:cs="Palatino Linotype"/>
          <w:i/>
          <w:iCs/>
          <w:sz w:val="22"/>
          <w:szCs w:val="22"/>
        </w:rPr>
        <w:t>: Derecho humano que tutela la privacidad de datos personales en poder de los sujetos obligados y sujetos particulares;</w:t>
      </w:r>
    </w:p>
    <w:p w:rsidR="00EB186E" w:rsidRPr="008645AC" w:rsidRDefault="00CB7FDB">
      <w:pPr>
        <w:tabs>
          <w:tab w:val="left" w:pos="1276"/>
        </w:tabs>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p>
    <w:p w:rsidR="00EB186E" w:rsidRPr="008645AC" w:rsidRDefault="00CB7FDB">
      <w:pPr>
        <w:tabs>
          <w:tab w:val="left" w:pos="1276"/>
        </w:tabs>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XLV. Versión pública</w:t>
      </w:r>
      <w:r w:rsidRPr="008645AC">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 Artículo 6</w:t>
      </w:r>
      <w:r w:rsidRPr="008645AC">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Artículo 91.</w:t>
      </w:r>
      <w:r w:rsidRPr="008645AC">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8645AC">
        <w:rPr>
          <w:rFonts w:ascii="Palatino Linotype" w:eastAsia="Palatino Linotype" w:hAnsi="Palatino Linotype" w:cs="Palatino Linotype"/>
          <w:i/>
          <w:iCs/>
          <w:sz w:val="22"/>
          <w:szCs w:val="22"/>
        </w:rPr>
        <w:br/>
        <w:t>…</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Artículo 132.</w:t>
      </w:r>
      <w:r w:rsidRPr="008645AC">
        <w:rPr>
          <w:rFonts w:ascii="Palatino Linotype" w:eastAsia="Palatino Linotype" w:hAnsi="Palatino Linotype" w:cs="Palatino Linotype"/>
          <w:i/>
          <w:iCs/>
          <w:sz w:val="22"/>
          <w:szCs w:val="22"/>
        </w:rPr>
        <w:t xml:space="preserve"> La clasificación de la información se llevará a cabo en el momento en que:</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w:t>
      </w:r>
      <w:r w:rsidRPr="008645AC">
        <w:rPr>
          <w:rFonts w:ascii="Palatino Linotype" w:eastAsia="Palatino Linotype" w:hAnsi="Palatino Linotype" w:cs="Palatino Linotype"/>
          <w:i/>
          <w:iCs/>
          <w:sz w:val="22"/>
          <w:szCs w:val="22"/>
        </w:rPr>
        <w:t>. Se reciba una solicitud de acceso a la información;</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w:t>
      </w:r>
      <w:r w:rsidRPr="008645AC">
        <w:rPr>
          <w:rFonts w:ascii="Palatino Linotype" w:eastAsia="Palatino Linotype" w:hAnsi="Palatino Linotype" w:cs="Palatino Linotype"/>
          <w:i/>
          <w:iCs/>
          <w:sz w:val="22"/>
          <w:szCs w:val="22"/>
        </w:rPr>
        <w:t xml:space="preserve"> Se determine mediante resolución de autoridad competente; o</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III.</w:t>
      </w:r>
      <w:r w:rsidRPr="008645AC">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Artículo 137.</w:t>
      </w:r>
      <w:r w:rsidRPr="008645AC">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 Artículo 143.</w:t>
      </w:r>
      <w:r w:rsidRPr="008645AC">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rsidR="00EB186E" w:rsidRPr="008645AC" w:rsidRDefault="00CB7FDB">
      <w:pPr>
        <w:spacing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w:t>
      </w:r>
      <w:r w:rsidRPr="008645AC">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rsidR="00EB186E" w:rsidRPr="008645AC" w:rsidRDefault="00CB7FDB">
      <w:pPr>
        <w:spacing w:before="240" w:after="240" w:line="360" w:lineRule="auto"/>
        <w:ind w:right="50"/>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645AC">
        <w:rPr>
          <w:rFonts w:ascii="Palatino Linotype" w:eastAsia="Palatino Linotype" w:hAnsi="Palatino Linotype" w:cs="Palatino Linotype"/>
          <w:b/>
          <w:bCs/>
          <w:sz w:val="22"/>
          <w:szCs w:val="22"/>
        </w:rPr>
        <w:t>Sujeto Obligado</w:t>
      </w:r>
      <w:r w:rsidRPr="008645AC">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EB186E" w:rsidRPr="008645AC" w:rsidRDefault="00CB7FDB">
      <w:pPr>
        <w:spacing w:before="240" w:after="240" w:line="360" w:lineRule="auto"/>
        <w:ind w:right="50"/>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EB186E" w:rsidRPr="008645AC" w:rsidRDefault="00CB7FDB">
      <w:pPr>
        <w:spacing w:before="240" w:after="240" w:line="360" w:lineRule="auto"/>
        <w:ind w:right="50"/>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EB186E" w:rsidRPr="008645AC" w:rsidRDefault="00CB7FDB">
      <w:pPr>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“Artículo 49.</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t>Los Comités de Transparencia</w:t>
      </w:r>
      <w:r w:rsidRPr="008645AC">
        <w:rPr>
          <w:rFonts w:ascii="Palatino Linotype" w:eastAsia="Palatino Linotype" w:hAnsi="Palatino Linotype" w:cs="Palatino Linotype"/>
          <w:i/>
          <w:iCs/>
          <w:sz w:val="22"/>
          <w:szCs w:val="22"/>
        </w:rPr>
        <w:t xml:space="preserve"> tendrán las siguientes atribuciones:</w:t>
      </w:r>
    </w:p>
    <w:p w:rsidR="00EB186E" w:rsidRPr="008645AC" w:rsidRDefault="00CB7FDB">
      <w:pPr>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VIII. Aprobar, modificar o revocar la clasificación de la información</w:t>
      </w:r>
      <w:r w:rsidRPr="008645AC">
        <w:rPr>
          <w:rFonts w:ascii="Palatino Linotype" w:eastAsia="Palatino Linotype" w:hAnsi="Palatino Linotype" w:cs="Palatino Linotype"/>
          <w:i/>
          <w:iCs/>
          <w:sz w:val="22"/>
          <w:szCs w:val="22"/>
        </w:rPr>
        <w:t>…”</w:t>
      </w:r>
    </w:p>
    <w:p w:rsidR="00EB186E" w:rsidRPr="008645AC" w:rsidRDefault="00CB7FDB">
      <w:pPr>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Artículo 53.</w:t>
      </w:r>
      <w:r w:rsidRPr="008645AC">
        <w:rPr>
          <w:rFonts w:ascii="Palatino Linotype" w:eastAsia="Palatino Linotype" w:hAnsi="Palatino Linotype" w:cs="Palatino Linotype"/>
          <w:i/>
          <w:iCs/>
          <w:sz w:val="22"/>
          <w:szCs w:val="22"/>
        </w:rPr>
        <w:t xml:space="preserve"> Las </w:t>
      </w:r>
      <w:r w:rsidRPr="008645AC">
        <w:rPr>
          <w:rFonts w:ascii="Palatino Linotype" w:eastAsia="Palatino Linotype" w:hAnsi="Palatino Linotype" w:cs="Palatino Linotype"/>
          <w:b/>
          <w:bCs/>
          <w:i/>
          <w:iCs/>
          <w:sz w:val="22"/>
          <w:szCs w:val="22"/>
        </w:rPr>
        <w:t>Unidades de Transparencia</w:t>
      </w:r>
      <w:r w:rsidRPr="008645AC">
        <w:rPr>
          <w:rFonts w:ascii="Palatino Linotype" w:eastAsia="Palatino Linotype" w:hAnsi="Palatino Linotype" w:cs="Palatino Linotype"/>
          <w:i/>
          <w:iCs/>
          <w:sz w:val="22"/>
          <w:szCs w:val="22"/>
        </w:rPr>
        <w:t xml:space="preserve"> tendrán las siguientes </w:t>
      </w:r>
      <w:r w:rsidRPr="008645AC">
        <w:rPr>
          <w:rFonts w:ascii="Palatino Linotype" w:eastAsia="Palatino Linotype" w:hAnsi="Palatino Linotype" w:cs="Palatino Linotype"/>
          <w:b/>
          <w:bCs/>
          <w:i/>
          <w:iCs/>
          <w:sz w:val="22"/>
          <w:szCs w:val="22"/>
        </w:rPr>
        <w:t>funciones</w:t>
      </w:r>
      <w:r w:rsidRPr="008645AC">
        <w:rPr>
          <w:rFonts w:ascii="Palatino Linotype" w:eastAsia="Palatino Linotype" w:hAnsi="Palatino Linotype" w:cs="Palatino Linotype"/>
          <w:i/>
          <w:iCs/>
          <w:sz w:val="22"/>
          <w:szCs w:val="22"/>
        </w:rPr>
        <w:t>:</w:t>
      </w:r>
    </w:p>
    <w:p w:rsidR="00EB186E" w:rsidRPr="008645AC" w:rsidRDefault="00CB7FDB">
      <w:pPr>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X. Presentar ante el Comité, el proyecto de clasificación de información</w:t>
      </w:r>
      <w:r w:rsidRPr="008645AC">
        <w:rPr>
          <w:rFonts w:ascii="Palatino Linotype" w:eastAsia="Palatino Linotype" w:hAnsi="Palatino Linotype" w:cs="Palatino Linotype"/>
          <w:i/>
          <w:iCs/>
          <w:sz w:val="22"/>
          <w:szCs w:val="22"/>
        </w:rPr>
        <w:t xml:space="preserve">…” </w:t>
      </w:r>
    </w:p>
    <w:p w:rsidR="00EB186E" w:rsidRPr="008645AC" w:rsidRDefault="00CB7FDB">
      <w:pPr>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“Artículo 59.</w:t>
      </w:r>
      <w:r w:rsidRPr="008645AC">
        <w:rPr>
          <w:rFonts w:ascii="Palatino Linotype" w:eastAsia="Palatino Linotype" w:hAnsi="Palatino Linotype" w:cs="Palatino Linotype"/>
          <w:i/>
          <w:iCs/>
          <w:sz w:val="22"/>
          <w:szCs w:val="22"/>
        </w:rPr>
        <w:t xml:space="preserve"> Los </w:t>
      </w:r>
      <w:r w:rsidRPr="008645AC">
        <w:rPr>
          <w:rFonts w:ascii="Palatino Linotype" w:eastAsia="Palatino Linotype" w:hAnsi="Palatino Linotype" w:cs="Palatino Linotype"/>
          <w:b/>
          <w:bCs/>
          <w:i/>
          <w:iCs/>
          <w:sz w:val="22"/>
          <w:szCs w:val="22"/>
        </w:rPr>
        <w:t>servidores públicos habilitados</w:t>
      </w:r>
      <w:r w:rsidRPr="008645AC">
        <w:rPr>
          <w:rFonts w:ascii="Palatino Linotype" w:eastAsia="Palatino Linotype" w:hAnsi="Palatino Linotype" w:cs="Palatino Linotype"/>
          <w:i/>
          <w:iCs/>
          <w:sz w:val="22"/>
          <w:szCs w:val="22"/>
        </w:rPr>
        <w:t xml:space="preserve"> tendrán las </w:t>
      </w:r>
      <w:r w:rsidRPr="008645AC">
        <w:rPr>
          <w:rFonts w:ascii="Palatino Linotype" w:eastAsia="Palatino Linotype" w:hAnsi="Palatino Linotype" w:cs="Palatino Linotype"/>
          <w:b/>
          <w:bCs/>
          <w:i/>
          <w:iCs/>
          <w:sz w:val="22"/>
          <w:szCs w:val="22"/>
        </w:rPr>
        <w:t>funciones</w:t>
      </w:r>
      <w:r w:rsidRPr="008645AC">
        <w:rPr>
          <w:rFonts w:ascii="Palatino Linotype" w:eastAsia="Palatino Linotype" w:hAnsi="Palatino Linotype" w:cs="Palatino Linotype"/>
          <w:i/>
          <w:iCs/>
          <w:sz w:val="22"/>
          <w:szCs w:val="22"/>
        </w:rPr>
        <w:t xml:space="preserve"> siguientes:</w:t>
      </w:r>
    </w:p>
    <w:p w:rsidR="00EB186E" w:rsidRPr="008645AC" w:rsidRDefault="00CB7FDB">
      <w:pPr>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8645AC">
        <w:rPr>
          <w:rFonts w:ascii="Palatino Linotype" w:eastAsia="Palatino Linotype" w:hAnsi="Palatino Linotype" w:cs="Palatino Linotype"/>
          <w:i/>
          <w:iCs/>
          <w:sz w:val="22"/>
          <w:szCs w:val="22"/>
        </w:rPr>
        <w:t>, la cual tendrá los fundamentos y argumentos en que se basa dicha propuesta…”</w:t>
      </w:r>
    </w:p>
    <w:p w:rsidR="00EB186E" w:rsidRPr="008645AC" w:rsidRDefault="00CB7FDB">
      <w:pPr>
        <w:spacing w:before="240" w:after="240"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EB186E" w:rsidRPr="008645AC" w:rsidRDefault="00CB7FDB">
      <w:pPr>
        <w:spacing w:before="240" w:after="240"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rsidR="00EB186E" w:rsidRPr="008645AC" w:rsidRDefault="00CB7FDB">
      <w:pPr>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Artículo 149.</w:t>
      </w:r>
      <w:r w:rsidRPr="008645AC">
        <w:rPr>
          <w:rFonts w:ascii="Palatino Linotype" w:eastAsia="Palatino Linotype" w:hAnsi="Palatino Linotype" w:cs="Palatino Linotype"/>
          <w:i/>
          <w:iCs/>
          <w:sz w:val="22"/>
          <w:szCs w:val="22"/>
        </w:rPr>
        <w:t xml:space="preserve"> El </w:t>
      </w:r>
      <w:r w:rsidRPr="008645AC">
        <w:rPr>
          <w:rFonts w:ascii="Palatino Linotype" w:eastAsia="Palatino Linotype" w:hAnsi="Palatino Linotype" w:cs="Palatino Linotype"/>
          <w:b/>
          <w:bCs/>
          <w:i/>
          <w:iCs/>
          <w:sz w:val="22"/>
          <w:szCs w:val="22"/>
        </w:rPr>
        <w:t>acuerdo que clasifique la información como confidencial</w:t>
      </w:r>
      <w:r w:rsidRPr="008645AC">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rsidR="00EB186E" w:rsidRPr="008645AC" w:rsidRDefault="00CB7FDB">
      <w:pPr>
        <w:spacing w:before="240" w:after="240" w:line="360" w:lineRule="auto"/>
        <w:ind w:right="51"/>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Es decir, el </w:t>
      </w:r>
      <w:r w:rsidRPr="008645AC">
        <w:rPr>
          <w:rFonts w:ascii="Palatino Linotype" w:eastAsia="Palatino Linotype" w:hAnsi="Palatino Linotype" w:cs="Palatino Linotype"/>
          <w:b/>
          <w:bCs/>
          <w:sz w:val="22"/>
          <w:szCs w:val="22"/>
        </w:rPr>
        <w:t>Sujeto Obligado</w:t>
      </w:r>
      <w:r w:rsidRPr="008645AC">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rsidR="00EB186E" w:rsidRPr="008645AC" w:rsidRDefault="00CB7FDB">
      <w:pPr>
        <w:spacing w:before="240" w:after="240"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Atento a lo anterior, cabe señalar que el Comité de Transparencia del </w:t>
      </w:r>
      <w:r w:rsidRPr="008645AC">
        <w:rPr>
          <w:rFonts w:ascii="Palatino Linotype" w:eastAsia="Palatino Linotype" w:hAnsi="Palatino Linotype" w:cs="Palatino Linotype"/>
          <w:b/>
          <w:bCs/>
          <w:sz w:val="22"/>
          <w:szCs w:val="22"/>
        </w:rPr>
        <w:t>Sujeto Obligado</w:t>
      </w:r>
      <w:r w:rsidRPr="008645AC">
        <w:rPr>
          <w:rFonts w:ascii="Palatino Linotype" w:eastAsia="Palatino Linotype" w:hAnsi="Palatino Linotype" w:cs="Palatino Linotype"/>
          <w:sz w:val="22"/>
          <w:szCs w:val="22"/>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vigentes a la fecha de la solicitud que literalmente expresan:</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t>Segundo.-</w:t>
      </w:r>
      <w:r w:rsidRPr="008645AC">
        <w:rPr>
          <w:rFonts w:ascii="Palatino Linotype" w:eastAsia="Palatino Linotype" w:hAnsi="Palatino Linotype" w:cs="Palatino Linotype"/>
          <w:i/>
          <w:iCs/>
          <w:sz w:val="22"/>
          <w:szCs w:val="22"/>
        </w:rPr>
        <w:t xml:space="preserve"> Para efectos de los presentes Lineamientos Generales, se entenderá por:</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XVIII.</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t>Versión pública:</w:t>
      </w:r>
      <w:r w:rsidRPr="008645AC">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indicando el contenido de éstas de manera genérica, </w:t>
      </w:r>
      <w:r w:rsidRPr="008645AC">
        <w:rPr>
          <w:rFonts w:ascii="Palatino Linotype" w:eastAsia="Palatino Linotype" w:hAnsi="Palatino Linotype" w:cs="Palatino Linotype"/>
          <w:b/>
          <w:bCs/>
          <w:i/>
          <w:iCs/>
          <w:sz w:val="22"/>
          <w:szCs w:val="22"/>
        </w:rPr>
        <w:t>fundando y motivando la</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t>reserva o confidencialidad</w:t>
      </w:r>
      <w:r w:rsidRPr="008645AC">
        <w:rPr>
          <w:rFonts w:ascii="Palatino Linotype" w:eastAsia="Palatino Linotype" w:hAnsi="Palatino Linotype" w:cs="Palatino Linotype"/>
          <w:i/>
          <w:iCs/>
          <w:sz w:val="22"/>
          <w:szCs w:val="22"/>
        </w:rPr>
        <w:t>, a través de la resolución que para tal efecto emita el Comité de Transparencia.</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b/>
          <w:bCs/>
          <w:i/>
          <w:iCs/>
          <w:sz w:val="22"/>
          <w:szCs w:val="22"/>
        </w:rPr>
      </w:pPr>
      <w:r w:rsidRPr="008645AC">
        <w:rPr>
          <w:rFonts w:ascii="Palatino Linotype" w:eastAsia="Palatino Linotype" w:hAnsi="Palatino Linotype" w:cs="Palatino Linotype"/>
          <w:b/>
          <w:bCs/>
          <w:i/>
          <w:iCs/>
          <w:sz w:val="22"/>
          <w:szCs w:val="22"/>
        </w:rPr>
        <w:t>...</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Cuarto.</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t>Para clasificar la información como</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t>reservada o</w:t>
      </w:r>
      <w:r w:rsidRPr="008645AC">
        <w:rPr>
          <w:rFonts w:ascii="Palatino Linotype" w:eastAsia="Palatino Linotype" w:hAnsi="Palatino Linotype" w:cs="Palatino Linotype"/>
          <w:i/>
          <w:iCs/>
          <w:sz w:val="22"/>
          <w:szCs w:val="22"/>
        </w:rPr>
        <w:t xml:space="preserve"> </w:t>
      </w:r>
      <w:r w:rsidRPr="008645AC">
        <w:rPr>
          <w:rFonts w:ascii="Palatino Linotype" w:eastAsia="Palatino Linotype" w:hAnsi="Palatino Linotype" w:cs="Palatino Linotype"/>
          <w:b/>
          <w:bCs/>
          <w:i/>
          <w:iCs/>
          <w:sz w:val="22"/>
          <w:szCs w:val="22"/>
        </w:rPr>
        <w:t>confidencial, de manera total o parcial, el titular del área del sujeto obligado deberá atender lo dispuesto por el Título Sexto de la Ley General</w:t>
      </w:r>
      <w:r w:rsidRPr="008645AC">
        <w:rPr>
          <w:rFonts w:ascii="Palatino Linotype" w:eastAsia="Palatino Linotype" w:hAnsi="Palatino Linotype" w:cs="Palatino Linotype"/>
          <w:i/>
          <w:iCs/>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Quinto.</w:t>
      </w:r>
      <w:r w:rsidRPr="008645AC">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Sexto.</w:t>
      </w:r>
      <w:r w:rsidRPr="008645AC">
        <w:rPr>
          <w:rFonts w:ascii="Palatino Linotype" w:eastAsia="Palatino Linotype" w:hAnsi="Palatino Linotype" w:cs="Palatino Linotype"/>
          <w:i/>
          <w:iCs/>
          <w:sz w:val="22"/>
          <w:szCs w:val="22"/>
        </w:rPr>
        <w:t xml:space="preserve"> Se deroga.</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Séptimo.</w:t>
      </w:r>
      <w:r w:rsidRPr="008645AC">
        <w:rPr>
          <w:rFonts w:ascii="Palatino Linotype" w:eastAsia="Palatino Linotype" w:hAnsi="Palatino Linotype" w:cs="Palatino Linotype"/>
          <w:i/>
          <w:iCs/>
          <w:sz w:val="22"/>
          <w:szCs w:val="22"/>
        </w:rPr>
        <w:t xml:space="preserve"> La clasificación de la información se llevará a cabo en el momento en que:</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w:t>
      </w:r>
      <w:r w:rsidRPr="008645AC">
        <w:rPr>
          <w:rFonts w:ascii="Palatino Linotype" w:eastAsia="Palatino Linotype" w:hAnsi="Palatino Linotype" w:cs="Palatino Linotype"/>
          <w:i/>
          <w:iCs/>
          <w:sz w:val="22"/>
          <w:szCs w:val="22"/>
        </w:rPr>
        <w:t xml:space="preserve"> Se reciba una solicitud de acceso a la información;</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w:t>
      </w:r>
      <w:r w:rsidRPr="008645AC">
        <w:rPr>
          <w:rFonts w:ascii="Palatino Linotype" w:eastAsia="Palatino Linotype" w:hAnsi="Palatino Linotype" w:cs="Palatino Linotype"/>
          <w:i/>
          <w:iCs/>
          <w:sz w:val="22"/>
          <w:szCs w:val="22"/>
        </w:rPr>
        <w:t xml:space="preserve"> Se determine mediante resolución del Comité de Transparencia, el órgano garante competente, o en cumplimiento a una sentencia del Poder Judicial; o</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III.</w:t>
      </w:r>
      <w:r w:rsidRPr="008645AC">
        <w:rPr>
          <w:rFonts w:ascii="Palatino Linotype" w:eastAsia="Palatino Linotype" w:hAnsi="Palatino Linotype" w:cs="Palatino Linotype"/>
          <w:i/>
          <w:iCs/>
          <w:sz w:val="22"/>
          <w:szCs w:val="22"/>
        </w:rPr>
        <w:t xml:space="preserve"> Se generen versiones públicas para dar cumplimiento a las obligaciones de transparencia previstas en la Ley General, la Ley Federal y las correspondientes de las entidades federativas.</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Los titulares de las áreas deberán revisar la clasificación al momento de la recepción de una solicitud de acceso, para verificar</w:t>
      </w:r>
      <w:r w:rsidRPr="008645AC">
        <w:rPr>
          <w:rFonts w:ascii="Palatino Linotype" w:eastAsia="Palatino Linotype" w:hAnsi="Palatino Linotype" w:cs="Palatino Linotype"/>
          <w:sz w:val="22"/>
          <w:szCs w:val="22"/>
        </w:rPr>
        <w:t xml:space="preserve">, </w:t>
      </w:r>
      <w:r w:rsidRPr="008645AC">
        <w:rPr>
          <w:rFonts w:ascii="Palatino Linotype" w:eastAsia="Palatino Linotype" w:hAnsi="Palatino Linotype" w:cs="Palatino Linotype"/>
          <w:i/>
          <w:iCs/>
          <w:sz w:val="22"/>
          <w:szCs w:val="22"/>
        </w:rPr>
        <w:t>conforme a su naturaleza, si encuadra en una causal de reserva o de confidencialidad.</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Octavo.</w:t>
      </w:r>
      <w:r w:rsidRPr="008645AC">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Noveno.</w:t>
      </w:r>
      <w:r w:rsidRPr="008645AC">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Décimo.</w:t>
      </w:r>
      <w:r w:rsidRPr="008645AC">
        <w:rPr>
          <w:rFonts w:ascii="Palatino Linotype" w:eastAsia="Palatino Linotype" w:hAnsi="Palatino Linotype" w:cs="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rsidR="00EB186E" w:rsidRPr="008645AC" w:rsidRDefault="00CB7FDB">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Décimo primero.</w:t>
      </w:r>
      <w:r w:rsidRPr="008645AC">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EB186E" w:rsidRPr="008645AC" w:rsidRDefault="00CB7FDB">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8645AC">
        <w:rPr>
          <w:rFonts w:ascii="Palatino Linotype" w:eastAsia="Palatino Linotype" w:hAnsi="Palatino Linotype" w:cs="Palatino Linotype"/>
          <w:b/>
          <w:bCs/>
          <w:sz w:val="22"/>
          <w:szCs w:val="22"/>
        </w:rPr>
        <w:t>Sujeto Obligado</w:t>
      </w:r>
      <w:r w:rsidRPr="008645AC">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rsidR="00EB186E" w:rsidRPr="008645AC" w:rsidRDefault="00CB7FDB">
      <w:pPr>
        <w:spacing w:after="200" w:line="276" w:lineRule="auto"/>
        <w:ind w:left="851" w:right="902"/>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 xml:space="preserve">“Quincuagésimo. </w:t>
      </w:r>
      <w:r w:rsidRPr="008645AC">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EB186E" w:rsidRPr="008645AC" w:rsidRDefault="00CB7FDB">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 xml:space="preserve">Quincuagésimo primero. </w:t>
      </w:r>
      <w:r w:rsidRPr="008645AC">
        <w:rPr>
          <w:rFonts w:ascii="Palatino Linotype" w:eastAsia="Palatino Linotype" w:hAnsi="Palatino Linotype" w:cs="Palatino Linotype"/>
          <w:i/>
          <w:iCs/>
          <w:sz w:val="22"/>
          <w:szCs w:val="22"/>
        </w:rPr>
        <w:t xml:space="preserve">Toda acta del Comité de Transparencia deberá contener: </w:t>
      </w:r>
    </w:p>
    <w:p w:rsidR="00EB186E" w:rsidRPr="008645AC" w:rsidRDefault="00CB7FDB">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w:t>
      </w:r>
      <w:r w:rsidRPr="008645AC">
        <w:rPr>
          <w:rFonts w:ascii="Palatino Linotype" w:eastAsia="Palatino Linotype" w:hAnsi="Palatino Linotype" w:cs="Palatino Linotype"/>
          <w:i/>
          <w:iCs/>
          <w:sz w:val="22"/>
          <w:szCs w:val="22"/>
        </w:rPr>
        <w:t xml:space="preserve"> El número de sesión y fecha; </w:t>
      </w:r>
    </w:p>
    <w:p w:rsidR="00EB186E" w:rsidRPr="008645AC" w:rsidRDefault="00CB7FDB">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w:t>
      </w:r>
      <w:r w:rsidRPr="008645AC">
        <w:rPr>
          <w:rFonts w:ascii="Palatino Linotype" w:eastAsia="Palatino Linotype" w:hAnsi="Palatino Linotype" w:cs="Palatino Linotype"/>
          <w:i/>
          <w:iCs/>
          <w:sz w:val="22"/>
          <w:szCs w:val="22"/>
        </w:rPr>
        <w:t xml:space="preserve">. El nombre del área que solicitó la clasificación de información; </w:t>
      </w:r>
    </w:p>
    <w:p w:rsidR="00EB186E" w:rsidRPr="008645AC" w:rsidRDefault="00CB7FDB">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III</w:t>
      </w:r>
      <w:r w:rsidRPr="008645AC">
        <w:rPr>
          <w:rFonts w:ascii="Palatino Linotype" w:eastAsia="Palatino Linotype" w:hAnsi="Palatino Linotype" w:cs="Palatino Linotype"/>
          <w:i/>
          <w:iCs/>
          <w:sz w:val="22"/>
          <w:szCs w:val="22"/>
        </w:rPr>
        <w:t xml:space="preserve">. La fundamentación legal y motivación correspondiente; </w:t>
      </w:r>
    </w:p>
    <w:p w:rsidR="00EB186E" w:rsidRPr="008645AC" w:rsidRDefault="00CB7FDB">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IV</w:t>
      </w:r>
      <w:r w:rsidRPr="008645AC">
        <w:rPr>
          <w:rFonts w:ascii="Palatino Linotype" w:eastAsia="Palatino Linotype" w:hAnsi="Palatino Linotype" w:cs="Palatino Linotype"/>
          <w:i/>
          <w:iCs/>
          <w:sz w:val="22"/>
          <w:szCs w:val="22"/>
        </w:rPr>
        <w:t xml:space="preserve">. La resolución o resoluciones aprobadas; y </w:t>
      </w:r>
    </w:p>
    <w:p w:rsidR="00EB186E" w:rsidRPr="008645AC" w:rsidRDefault="00CB7FDB">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V</w:t>
      </w:r>
      <w:r w:rsidRPr="008645AC">
        <w:rPr>
          <w:rFonts w:ascii="Palatino Linotype" w:eastAsia="Palatino Linotype" w:hAnsi="Palatino Linotype" w:cs="Palatino Linotype"/>
          <w:i/>
          <w:iCs/>
          <w:sz w:val="22"/>
          <w:szCs w:val="22"/>
        </w:rPr>
        <w:t xml:space="preserve">. La rúbrica o firma digital de cada integrante del Comité de Transparencia. </w:t>
      </w:r>
    </w:p>
    <w:p w:rsidR="00EB186E" w:rsidRPr="008645AC" w:rsidRDefault="00CB7FDB">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rsidR="00EB186E" w:rsidRPr="008645AC" w:rsidRDefault="00CB7FDB">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w:t>
      </w:r>
      <w:r w:rsidRPr="008645AC">
        <w:rPr>
          <w:rFonts w:ascii="Palatino Linotype" w:eastAsia="Palatino Linotype" w:hAnsi="Palatino Linotype" w:cs="Palatino Linotype"/>
          <w:i/>
          <w:iCs/>
          <w:sz w:val="22"/>
          <w:szCs w:val="22"/>
        </w:rPr>
        <w:t xml:space="preserve"> Los motivos y razonamientos que sustenten la confirmación o modificación de la prueba de daño;</w:t>
      </w:r>
    </w:p>
    <w:p w:rsidR="00EB186E" w:rsidRPr="008645AC" w:rsidRDefault="00CB7FDB">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b/>
          <w:bCs/>
          <w:i/>
          <w:iCs/>
          <w:sz w:val="22"/>
          <w:szCs w:val="22"/>
        </w:rPr>
      </w:pPr>
      <w:r w:rsidRPr="008645AC">
        <w:rPr>
          <w:rFonts w:ascii="Palatino Linotype" w:eastAsia="Palatino Linotype" w:hAnsi="Palatino Linotype" w:cs="Palatino Linotype"/>
          <w:b/>
          <w:bCs/>
          <w:i/>
          <w:iCs/>
          <w:sz w:val="22"/>
          <w:szCs w:val="22"/>
        </w:rPr>
        <w:t>II</w:t>
      </w:r>
      <w:r w:rsidRPr="008645AC">
        <w:rPr>
          <w:rFonts w:ascii="Palatino Linotype" w:eastAsia="Palatino Linotype" w:hAnsi="Palatino Linotype" w:cs="Palatino Linotype"/>
          <w:i/>
          <w:iCs/>
          <w:sz w:val="22"/>
          <w:szCs w:val="22"/>
        </w:rPr>
        <w:t>. Descripción de las partes o secciones reservadas, en caso de clasificación parcial</w:t>
      </w:r>
      <w:r w:rsidRPr="008645AC">
        <w:rPr>
          <w:rFonts w:ascii="Palatino Linotype" w:eastAsia="Palatino Linotype" w:hAnsi="Palatino Linotype" w:cs="Palatino Linotype"/>
          <w:b/>
          <w:bCs/>
          <w:i/>
          <w:iCs/>
          <w:sz w:val="22"/>
          <w:szCs w:val="22"/>
        </w:rPr>
        <w:t xml:space="preserve">; </w:t>
      </w:r>
    </w:p>
    <w:p w:rsidR="00EB186E" w:rsidRPr="008645AC" w:rsidRDefault="00CB7FDB">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III.</w:t>
      </w:r>
      <w:r w:rsidRPr="008645AC">
        <w:rPr>
          <w:rFonts w:ascii="Palatino Linotype" w:eastAsia="Palatino Linotype" w:hAnsi="Palatino Linotype" w:cs="Palatino Linotype"/>
          <w:i/>
          <w:iCs/>
          <w:sz w:val="22"/>
          <w:szCs w:val="22"/>
        </w:rPr>
        <w:t xml:space="preserve"> El periodo por el que mantendrá su clasificación y fecha de expiración; y </w:t>
      </w:r>
    </w:p>
    <w:p w:rsidR="00EB186E" w:rsidRPr="008645AC" w:rsidRDefault="00CB7FDB">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IV.</w:t>
      </w:r>
      <w:r w:rsidRPr="008645AC">
        <w:rPr>
          <w:rFonts w:ascii="Palatino Linotype" w:eastAsia="Palatino Linotype" w:hAnsi="Palatino Linotype" w:cs="Palatino Linotype"/>
          <w:i/>
          <w:iCs/>
          <w:sz w:val="22"/>
          <w:szCs w:val="22"/>
        </w:rPr>
        <w:t xml:space="preserve"> El nombre del titular y área encargada de realizar la versión pública del documento, en su caso. </w:t>
      </w:r>
    </w:p>
    <w:p w:rsidR="00EB186E" w:rsidRPr="008645AC" w:rsidRDefault="00CB7FDB">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rsidR="00EB186E" w:rsidRPr="008645AC" w:rsidRDefault="00CB7FDB">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EB186E" w:rsidRPr="008645AC" w:rsidRDefault="00CB7FDB">
      <w:pPr>
        <w:spacing w:before="240" w:after="240"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rsidR="00EB186E" w:rsidRPr="008645AC" w:rsidRDefault="00CB7FDB">
      <w:pPr>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r w:rsidRPr="008645AC">
        <w:rPr>
          <w:rFonts w:ascii="Palatino Linotype" w:eastAsia="Palatino Linotype" w:hAnsi="Palatino Linotype" w:cs="Palatino Linotype"/>
          <w:b/>
          <w:bCs/>
          <w:i/>
          <w:iCs/>
          <w:sz w:val="22"/>
          <w:szCs w:val="22"/>
        </w:rPr>
        <w:t>Quincuagésimo segundo</w:t>
      </w:r>
      <w:r w:rsidRPr="008645AC">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EB186E" w:rsidRPr="008645AC" w:rsidRDefault="00CB7FDB">
      <w:pPr>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rsidR="00EB186E" w:rsidRPr="008645AC" w:rsidRDefault="00CB7FDB">
      <w:pPr>
        <w:spacing w:after="200" w:line="276" w:lineRule="auto"/>
        <w:ind w:left="1134"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w:t>
      </w:r>
      <w:r w:rsidRPr="008645AC">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rsidR="00EB186E" w:rsidRPr="008645AC" w:rsidRDefault="00CB7FDB">
      <w:pPr>
        <w:spacing w:after="200" w:line="276" w:lineRule="auto"/>
        <w:ind w:left="1134"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w:t>
      </w:r>
      <w:r w:rsidRPr="008645AC">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rsidR="00EB186E" w:rsidRPr="008645AC" w:rsidRDefault="00CB7FDB">
      <w:pPr>
        <w:spacing w:after="200" w:line="276" w:lineRule="auto"/>
        <w:ind w:left="1134"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III.</w:t>
      </w:r>
      <w:r w:rsidRPr="008645AC">
        <w:rPr>
          <w:rFonts w:ascii="Palatino Linotype" w:eastAsia="Palatino Linotype" w:hAnsi="Palatino Linotype" w:cs="Palatino Linotype"/>
          <w:i/>
          <w:iCs/>
          <w:sz w:val="22"/>
          <w:szCs w:val="22"/>
        </w:rPr>
        <w:t xml:space="preserve"> Señalar las personas o instancias autorizadas a acceder a la información clasificada.</w:t>
      </w:r>
    </w:p>
    <w:p w:rsidR="00EB186E" w:rsidRPr="008645AC" w:rsidRDefault="00CB7FDB">
      <w:pPr>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rsidR="00EB186E" w:rsidRPr="008645AC" w:rsidRDefault="00CB7FDB">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w:t>
      </w:r>
    </w:p>
    <w:p w:rsidR="00EB186E" w:rsidRPr="008645AC" w:rsidRDefault="00CB7FDB">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b/>
          <w:bCs/>
          <w:i/>
          <w:iCs/>
          <w:sz w:val="22"/>
          <w:szCs w:val="22"/>
        </w:rPr>
      </w:pPr>
      <w:r w:rsidRPr="008645AC">
        <w:rPr>
          <w:rFonts w:ascii="Palatino Linotype" w:eastAsia="Palatino Linotype" w:hAnsi="Palatino Linotype" w:cs="Palatino Linotype"/>
          <w:b/>
          <w:bCs/>
          <w:i/>
          <w:iCs/>
          <w:sz w:val="22"/>
          <w:szCs w:val="22"/>
        </w:rPr>
        <w:t xml:space="preserve">Quincuagésimo cuarto. </w:t>
      </w:r>
      <w:r w:rsidRPr="008645AC">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8645AC">
        <w:rPr>
          <w:rFonts w:ascii="Palatino Linotype" w:eastAsia="Palatino Linotype" w:hAnsi="Palatino Linotype" w:cs="Palatino Linotype"/>
          <w:b/>
          <w:bCs/>
          <w:i/>
          <w:iCs/>
          <w:sz w:val="22"/>
          <w:szCs w:val="22"/>
        </w:rPr>
        <w:t xml:space="preserve"> </w:t>
      </w:r>
    </w:p>
    <w:p w:rsidR="00EB186E" w:rsidRPr="008645AC" w:rsidRDefault="00CB7FDB">
      <w:pPr>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 xml:space="preserve">Quincuagésimo quinto. </w:t>
      </w:r>
      <w:r w:rsidRPr="008645AC">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EB186E" w:rsidRPr="008645AC" w:rsidRDefault="00CB7FDB">
      <w:pPr>
        <w:spacing w:after="200" w:line="276" w:lineRule="auto"/>
        <w:ind w:left="851" w:right="616"/>
        <w:jc w:val="both"/>
        <w:rPr>
          <w:rFonts w:ascii="Palatino Linotype" w:eastAsia="Palatino Linotype" w:hAnsi="Palatino Linotype" w:cs="Palatino Linotype"/>
          <w:b/>
          <w:bCs/>
          <w:i/>
          <w:iCs/>
          <w:sz w:val="22"/>
          <w:szCs w:val="22"/>
        </w:rPr>
      </w:pPr>
      <w:r w:rsidRPr="008645AC">
        <w:rPr>
          <w:rFonts w:ascii="Palatino Linotype" w:eastAsia="Palatino Linotype" w:hAnsi="Palatino Linotype" w:cs="Palatino Linotype"/>
          <w:b/>
          <w:bCs/>
          <w:i/>
          <w:iCs/>
          <w:sz w:val="22"/>
          <w:szCs w:val="22"/>
        </w:rPr>
        <w:t>...</w:t>
      </w:r>
    </w:p>
    <w:p w:rsidR="00EB186E" w:rsidRPr="008645AC" w:rsidRDefault="00CB7FDB">
      <w:pPr>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Quincuagésimo séptimo</w:t>
      </w:r>
      <w:r w:rsidRPr="008645AC">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rsidR="00EB186E" w:rsidRPr="008645AC" w:rsidRDefault="00CB7FDB">
      <w:pPr>
        <w:spacing w:after="200" w:line="276" w:lineRule="auto"/>
        <w:ind w:left="1134"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w:t>
      </w:r>
      <w:r w:rsidRPr="008645AC">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rsidR="00EB186E" w:rsidRPr="008645AC" w:rsidRDefault="00CB7FDB">
      <w:pPr>
        <w:spacing w:after="200" w:line="276" w:lineRule="auto"/>
        <w:ind w:left="1134"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w:t>
      </w:r>
      <w:r w:rsidRPr="008645AC">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rsidR="00EB186E" w:rsidRPr="008645AC" w:rsidRDefault="00CB7FDB">
      <w:pPr>
        <w:spacing w:after="200" w:line="276" w:lineRule="auto"/>
        <w:ind w:left="1134"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III</w:t>
      </w:r>
      <w:r w:rsidRPr="008645AC">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EB186E" w:rsidRPr="008645AC" w:rsidRDefault="00CB7FDB">
      <w:pPr>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rsidR="00EB186E" w:rsidRPr="008645AC" w:rsidRDefault="00CB7FDB">
      <w:pPr>
        <w:spacing w:after="200" w:line="276" w:lineRule="auto"/>
        <w:ind w:left="851" w:right="616"/>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b/>
          <w:bCs/>
          <w:i/>
          <w:iCs/>
          <w:sz w:val="22"/>
          <w:szCs w:val="22"/>
        </w:rPr>
        <w:t>Quincuagésimo octavo</w:t>
      </w:r>
      <w:r w:rsidRPr="008645AC">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rsidR="00EB186E" w:rsidRPr="008645AC" w:rsidRDefault="00CB7FDB">
      <w:pPr>
        <w:shd w:val="clear" w:color="auto" w:fill="FFFFFF"/>
        <w:spacing w:line="360" w:lineRule="auto"/>
        <w:ind w:right="51"/>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8645AC">
        <w:rPr>
          <w:rFonts w:ascii="Palatino Linotype" w:eastAsia="Palatino Linotype" w:hAnsi="Palatino Linotype" w:cs="Palatino Linotype"/>
          <w:b/>
          <w:bCs/>
          <w:sz w:val="22"/>
          <w:szCs w:val="22"/>
        </w:rPr>
        <w:t>Sujeto Obligado</w:t>
      </w:r>
      <w:r w:rsidRPr="008645AC">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8645AC">
        <w:rPr>
          <w:rFonts w:ascii="Palatino Linotype" w:eastAsia="Palatino Linotype" w:hAnsi="Palatino Linotype" w:cs="Palatino Linotype"/>
          <w:b/>
          <w:bCs/>
          <w:sz w:val="22"/>
          <w:szCs w:val="22"/>
        </w:rPr>
        <w:t>Recurrente</w:t>
      </w:r>
      <w:r w:rsidRPr="008645AC">
        <w:rPr>
          <w:rFonts w:ascii="Palatino Linotype" w:eastAsia="Palatino Linotype" w:hAnsi="Palatino Linotype" w:cs="Palatino Linotype"/>
          <w:sz w:val="22"/>
          <w:szCs w:val="22"/>
        </w:rPr>
        <w:t>.</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rsidR="00EB186E" w:rsidRPr="008645AC" w:rsidRDefault="00EB186E">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rsidR="00EB186E" w:rsidRPr="008645AC" w:rsidRDefault="00CB7FDB">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10" w:name="_heading=h.ijv98pntcd5s" w:colFirst="0" w:colLast="0"/>
      <w:bookmarkEnd w:id="10"/>
      <w:r w:rsidRPr="008645AC">
        <w:rPr>
          <w:rFonts w:ascii="Palatino Linotype" w:eastAsia="Palatino Linotype" w:hAnsi="Palatino Linotype" w:cs="Palatino Linotype"/>
          <w:b/>
          <w:bCs/>
          <w:sz w:val="22"/>
          <w:szCs w:val="22"/>
        </w:rPr>
        <w:t>III. R E S U E L V E</w:t>
      </w:r>
    </w:p>
    <w:p w:rsidR="00EB186E" w:rsidRPr="008645AC" w:rsidRDefault="00EB186E">
      <w:pPr>
        <w:spacing w:line="360" w:lineRule="auto"/>
        <w:jc w:val="both"/>
        <w:rPr>
          <w:rFonts w:ascii="Palatino Linotype" w:eastAsia="Palatino Linotype" w:hAnsi="Palatino Linotype" w:cs="Palatino Linotype"/>
          <w:b/>
          <w:bCs/>
          <w:sz w:val="22"/>
          <w:szCs w:val="22"/>
        </w:rPr>
      </w:pPr>
      <w:bookmarkStart w:id="11" w:name="_heading=h.26in1rg" w:colFirst="0" w:colLast="0"/>
      <w:bookmarkEnd w:id="11"/>
    </w:p>
    <w:p w:rsidR="00EB186E" w:rsidRPr="008645AC" w:rsidRDefault="00CB7FDB">
      <w:pPr>
        <w:spacing w:line="360" w:lineRule="auto"/>
        <w:jc w:val="both"/>
        <w:rPr>
          <w:rFonts w:ascii="Palatino Linotype" w:eastAsia="Palatino Linotype" w:hAnsi="Palatino Linotype" w:cs="Palatino Linotype"/>
          <w:b/>
          <w:bCs/>
          <w:sz w:val="22"/>
          <w:szCs w:val="22"/>
        </w:rPr>
      </w:pPr>
      <w:bookmarkStart w:id="12" w:name="_heading=h.h7nzb79wlra" w:colFirst="0" w:colLast="0"/>
      <w:bookmarkEnd w:id="12"/>
      <w:r w:rsidRPr="008645AC">
        <w:rPr>
          <w:rFonts w:ascii="Palatino Linotype" w:eastAsia="Palatino Linotype" w:hAnsi="Palatino Linotype" w:cs="Palatino Linotype"/>
          <w:b/>
          <w:bCs/>
          <w:sz w:val="22"/>
          <w:szCs w:val="22"/>
        </w:rPr>
        <w:t xml:space="preserve">Primero. </w:t>
      </w:r>
      <w:r w:rsidRPr="008645AC">
        <w:rPr>
          <w:rFonts w:ascii="Palatino Linotype" w:eastAsia="Palatino Linotype" w:hAnsi="Palatino Linotype" w:cs="Palatino Linotype"/>
          <w:sz w:val="22"/>
          <w:szCs w:val="22"/>
        </w:rPr>
        <w:t xml:space="preserve">Resultan </w:t>
      </w:r>
      <w:r w:rsidRPr="008645AC">
        <w:rPr>
          <w:rFonts w:ascii="Palatino Linotype" w:eastAsia="Palatino Linotype" w:hAnsi="Palatino Linotype" w:cs="Palatino Linotype"/>
          <w:b/>
          <w:bCs/>
          <w:sz w:val="22"/>
          <w:szCs w:val="22"/>
        </w:rPr>
        <w:t>parcialmente fundadas</w:t>
      </w:r>
      <w:r w:rsidRPr="008645AC">
        <w:rPr>
          <w:rFonts w:ascii="Palatino Linotype" w:eastAsia="Palatino Linotype" w:hAnsi="Palatino Linotype" w:cs="Palatino Linotype"/>
          <w:sz w:val="22"/>
          <w:szCs w:val="22"/>
        </w:rPr>
        <w:t xml:space="preserve"> las razones o motivos de inconformidad hechos valer por la parte</w:t>
      </w:r>
      <w:r w:rsidRPr="008645AC">
        <w:rPr>
          <w:rFonts w:ascii="Palatino Linotype" w:eastAsia="Palatino Linotype" w:hAnsi="Palatino Linotype" w:cs="Palatino Linotype"/>
          <w:b/>
          <w:bCs/>
          <w:sz w:val="22"/>
          <w:szCs w:val="22"/>
        </w:rPr>
        <w:t xml:space="preserve"> Recurrente</w:t>
      </w:r>
      <w:r w:rsidRPr="008645AC">
        <w:rPr>
          <w:rFonts w:ascii="Palatino Linotype" w:eastAsia="Palatino Linotype" w:hAnsi="Palatino Linotype" w:cs="Palatino Linotype"/>
          <w:sz w:val="22"/>
          <w:szCs w:val="22"/>
        </w:rPr>
        <w:t xml:space="preserve"> en el recurso de revisión </w:t>
      </w:r>
      <w:r w:rsidRPr="008645AC">
        <w:rPr>
          <w:rFonts w:ascii="Palatino Linotype" w:eastAsia="Palatino Linotype" w:hAnsi="Palatino Linotype" w:cs="Palatino Linotype"/>
          <w:b/>
          <w:bCs/>
          <w:sz w:val="22"/>
          <w:szCs w:val="22"/>
        </w:rPr>
        <w:t>11234/INFOEM/IP/RR/2025</w:t>
      </w:r>
      <w:r w:rsidRPr="008645AC">
        <w:rPr>
          <w:rFonts w:ascii="Palatino Linotype" w:eastAsia="Palatino Linotype" w:hAnsi="Palatino Linotype" w:cs="Palatino Linotype"/>
          <w:sz w:val="22"/>
          <w:szCs w:val="22"/>
        </w:rPr>
        <w:t xml:space="preserve">; por lo que, en términos del </w:t>
      </w:r>
      <w:r w:rsidRPr="008645AC">
        <w:rPr>
          <w:rFonts w:ascii="Palatino Linotype" w:eastAsia="Palatino Linotype" w:hAnsi="Palatino Linotype" w:cs="Palatino Linotype"/>
          <w:b/>
          <w:bCs/>
          <w:sz w:val="22"/>
          <w:szCs w:val="22"/>
        </w:rPr>
        <w:t>Considerando</w:t>
      </w:r>
      <w:r w:rsidRPr="008645AC">
        <w:rPr>
          <w:rFonts w:ascii="Palatino Linotype" w:eastAsia="Palatino Linotype" w:hAnsi="Palatino Linotype" w:cs="Palatino Linotype"/>
          <w:sz w:val="22"/>
          <w:szCs w:val="22"/>
        </w:rPr>
        <w:t xml:space="preserve"> </w:t>
      </w:r>
      <w:r w:rsidRPr="008645AC">
        <w:rPr>
          <w:rFonts w:ascii="Palatino Linotype" w:eastAsia="Palatino Linotype" w:hAnsi="Palatino Linotype" w:cs="Palatino Linotype"/>
          <w:b/>
          <w:bCs/>
          <w:sz w:val="22"/>
          <w:szCs w:val="22"/>
        </w:rPr>
        <w:t xml:space="preserve">Cuarto </w:t>
      </w:r>
      <w:r w:rsidRPr="008645AC">
        <w:rPr>
          <w:rFonts w:ascii="Palatino Linotype" w:eastAsia="Palatino Linotype" w:hAnsi="Palatino Linotype" w:cs="Palatino Linotype"/>
          <w:sz w:val="22"/>
          <w:szCs w:val="22"/>
        </w:rPr>
        <w:t xml:space="preserve">de esta resolución, se </w:t>
      </w:r>
      <w:r w:rsidRPr="008645AC">
        <w:rPr>
          <w:rFonts w:ascii="Palatino Linotype" w:eastAsia="Palatino Linotype" w:hAnsi="Palatino Linotype" w:cs="Palatino Linotype"/>
          <w:b/>
          <w:bCs/>
          <w:sz w:val="22"/>
          <w:szCs w:val="22"/>
        </w:rPr>
        <w:t xml:space="preserve">Modifica </w:t>
      </w:r>
      <w:r w:rsidRPr="008645AC">
        <w:rPr>
          <w:rFonts w:ascii="Palatino Linotype" w:eastAsia="Palatino Linotype" w:hAnsi="Palatino Linotype" w:cs="Palatino Linotype"/>
          <w:sz w:val="22"/>
          <w:szCs w:val="22"/>
        </w:rPr>
        <w:t xml:space="preserve">la respuesta emitida por el </w:t>
      </w:r>
      <w:r w:rsidRPr="008645AC">
        <w:rPr>
          <w:rFonts w:ascii="Palatino Linotype" w:eastAsia="Palatino Linotype" w:hAnsi="Palatino Linotype" w:cs="Palatino Linotype"/>
          <w:b/>
          <w:bCs/>
          <w:sz w:val="22"/>
          <w:szCs w:val="22"/>
        </w:rPr>
        <w:t>Sujeto Obligado.</w:t>
      </w:r>
    </w:p>
    <w:p w:rsidR="00EB186E" w:rsidRPr="008645AC" w:rsidRDefault="00EB186E">
      <w:pPr>
        <w:spacing w:line="360" w:lineRule="auto"/>
        <w:jc w:val="both"/>
        <w:rPr>
          <w:rFonts w:ascii="Palatino Linotype" w:eastAsia="Palatino Linotype" w:hAnsi="Palatino Linotype" w:cs="Palatino Linotype"/>
          <w:b/>
          <w:bCs/>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 xml:space="preserve">Segundo. </w:t>
      </w:r>
      <w:r w:rsidRPr="008645AC">
        <w:rPr>
          <w:rFonts w:ascii="Palatino Linotype" w:eastAsia="Palatino Linotype" w:hAnsi="Palatino Linotype" w:cs="Palatino Linotype"/>
          <w:sz w:val="22"/>
          <w:szCs w:val="22"/>
        </w:rPr>
        <w:t xml:space="preserve">Se </w:t>
      </w:r>
      <w:r w:rsidRPr="008645AC">
        <w:rPr>
          <w:rFonts w:ascii="Palatino Linotype" w:eastAsia="Palatino Linotype" w:hAnsi="Palatino Linotype" w:cs="Palatino Linotype"/>
          <w:b/>
          <w:bCs/>
          <w:sz w:val="22"/>
          <w:szCs w:val="22"/>
        </w:rPr>
        <w:t>Ordena</w:t>
      </w:r>
      <w:r w:rsidRPr="008645AC">
        <w:rPr>
          <w:rFonts w:ascii="Palatino Linotype" w:eastAsia="Palatino Linotype" w:hAnsi="Palatino Linotype" w:cs="Palatino Linotype"/>
          <w:sz w:val="22"/>
          <w:szCs w:val="22"/>
        </w:rPr>
        <w:t xml:space="preserve"> al </w:t>
      </w:r>
      <w:r w:rsidRPr="008645AC">
        <w:rPr>
          <w:rFonts w:ascii="Palatino Linotype" w:eastAsia="Palatino Linotype" w:hAnsi="Palatino Linotype" w:cs="Palatino Linotype"/>
          <w:b/>
          <w:bCs/>
          <w:sz w:val="22"/>
          <w:szCs w:val="22"/>
        </w:rPr>
        <w:t>Sujeto Obligado</w:t>
      </w:r>
      <w:r w:rsidRPr="008645AC">
        <w:rPr>
          <w:rFonts w:ascii="Palatino Linotype" w:eastAsia="Palatino Linotype" w:hAnsi="Palatino Linotype" w:cs="Palatino Linotype"/>
          <w:sz w:val="22"/>
          <w:szCs w:val="22"/>
        </w:rPr>
        <w:t xml:space="preserve"> que, en términos de los Considerandos </w:t>
      </w:r>
      <w:r w:rsidRPr="008645AC">
        <w:rPr>
          <w:rFonts w:ascii="Palatino Linotype" w:eastAsia="Palatino Linotype" w:hAnsi="Palatino Linotype" w:cs="Palatino Linotype"/>
          <w:b/>
          <w:bCs/>
          <w:sz w:val="22"/>
          <w:szCs w:val="22"/>
        </w:rPr>
        <w:t xml:space="preserve">Cuarto </w:t>
      </w:r>
      <w:r w:rsidRPr="008645AC">
        <w:rPr>
          <w:rFonts w:ascii="Palatino Linotype" w:eastAsia="Palatino Linotype" w:hAnsi="Palatino Linotype" w:cs="Palatino Linotype"/>
          <w:sz w:val="22"/>
          <w:szCs w:val="22"/>
        </w:rPr>
        <w:t xml:space="preserve">y </w:t>
      </w:r>
      <w:r w:rsidRPr="008645AC">
        <w:rPr>
          <w:rFonts w:ascii="Palatino Linotype" w:eastAsia="Palatino Linotype" w:hAnsi="Palatino Linotype" w:cs="Palatino Linotype"/>
          <w:b/>
          <w:bCs/>
          <w:sz w:val="22"/>
          <w:szCs w:val="22"/>
        </w:rPr>
        <w:t>Quinto</w:t>
      </w:r>
      <w:r w:rsidRPr="008645AC">
        <w:rPr>
          <w:rFonts w:ascii="Palatino Linotype" w:eastAsia="Palatino Linotype" w:hAnsi="Palatino Linotype" w:cs="Palatino Linotype"/>
        </w:rPr>
        <w:t xml:space="preserve">, </w:t>
      </w:r>
      <w:r w:rsidRPr="008645AC">
        <w:rPr>
          <w:rFonts w:ascii="Palatino Linotype" w:eastAsia="Palatino Linotype" w:hAnsi="Palatino Linotype" w:cs="Palatino Linotype"/>
          <w:sz w:val="22"/>
          <w:szCs w:val="22"/>
        </w:rPr>
        <w:t>haga entrega vía Sistema de Acceso a la Información Mexiquense, previa búsqueda exhaustiva y razonable, el documento donde conste o se advierta lo siguiente:</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numPr>
          <w:ilvl w:val="0"/>
          <w:numId w:val="3"/>
        </w:num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De ser procedente en versión pública, los informes emitidos y las actas o acuerdos de las reuniones de trabajo o sesiones celebradas por el Grupo Interdisciplinario, en el periodo comprendido del 06 de mayo de 2017 al 19 de agosto de 2025.</w:t>
      </w:r>
    </w:p>
    <w:p w:rsidR="00EB186E" w:rsidRPr="008645AC" w:rsidRDefault="00EB186E">
      <w:p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p>
    <w:p w:rsidR="00EB186E" w:rsidRPr="008645AC" w:rsidRDefault="00CB7FDB">
      <w:pPr>
        <w:numPr>
          <w:ilvl w:val="0"/>
          <w:numId w:val="3"/>
        </w:num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Programas Anuales de Desarrollo Archivístico de los ejercicios 2017, 2018, 2019, 2020, 2021 y 2025</w:t>
      </w:r>
    </w:p>
    <w:p w:rsidR="00EB186E" w:rsidRPr="008645AC" w:rsidRDefault="00EB186E">
      <w:pPr>
        <w:pBdr>
          <w:top w:val="nil"/>
          <w:left w:val="nil"/>
          <w:bottom w:val="nil"/>
          <w:right w:val="nil"/>
          <w:between w:val="nil"/>
        </w:pBdr>
        <w:spacing w:line="360" w:lineRule="auto"/>
        <w:ind w:left="284"/>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8645AC">
        <w:rPr>
          <w:rFonts w:ascii="Palatino Linotype" w:eastAsia="Palatino Linotype" w:hAnsi="Palatino Linotype" w:cs="Palatino Linotype"/>
          <w:b/>
          <w:bCs/>
          <w:i/>
          <w:iCs/>
          <w:sz w:val="22"/>
          <w:szCs w:val="22"/>
        </w:rPr>
        <w:t>la parte Recurrente</w:t>
      </w:r>
      <w:r w:rsidRPr="008645AC">
        <w:rPr>
          <w:rFonts w:ascii="Palatino Linotype" w:eastAsia="Palatino Linotype" w:hAnsi="Palatino Linotype" w:cs="Palatino Linotype"/>
          <w:i/>
          <w:iCs/>
          <w:sz w:val="22"/>
          <w:szCs w:val="22"/>
        </w:rPr>
        <w:t>.</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jc w:val="both"/>
        <w:rPr>
          <w:rFonts w:ascii="Palatino Linotype" w:eastAsia="Palatino Linotype" w:hAnsi="Palatino Linotype" w:cs="Palatino Linotype"/>
          <w:i/>
          <w:iCs/>
          <w:sz w:val="22"/>
          <w:szCs w:val="22"/>
        </w:rPr>
      </w:pPr>
      <w:r w:rsidRPr="008645AC">
        <w:rPr>
          <w:rFonts w:ascii="Palatino Linotype" w:eastAsia="Palatino Linotype" w:hAnsi="Palatino Linotype" w:cs="Palatino Linotype"/>
          <w:i/>
          <w:iCs/>
          <w:sz w:val="22"/>
          <w:szCs w:val="22"/>
        </w:rPr>
        <w:t>Sin embargo, para el caso de que no se llegara a localizar información que se ordena en el punto 1, la relativa</w:t>
      </w:r>
      <w:r w:rsidRPr="008645AC">
        <w:rPr>
          <w:rFonts w:ascii="Palatino Linotype" w:eastAsia="Palatino Linotype" w:hAnsi="Palatino Linotype" w:cs="Palatino Linotype"/>
          <w:b/>
          <w:bCs/>
          <w:i/>
          <w:iCs/>
          <w:sz w:val="22"/>
          <w:szCs w:val="22"/>
          <w:u w:val="single"/>
        </w:rPr>
        <w:t xml:space="preserve"> a los informes emitidos</w:t>
      </w:r>
      <w:r w:rsidRPr="008645AC">
        <w:rPr>
          <w:rFonts w:ascii="Palatino Linotype" w:eastAsia="Palatino Linotype" w:hAnsi="Palatino Linotype" w:cs="Palatino Linotype"/>
          <w:i/>
          <w:iCs/>
          <w:sz w:val="22"/>
          <w:szCs w:val="22"/>
        </w:rPr>
        <w:t xml:space="preserve"> por el grupo interdisciplinario en el periodo ordenado, al no haberse generado, poseído o administrado,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p>
    <w:p w:rsidR="00EB186E" w:rsidRPr="008645AC" w:rsidRDefault="00EB186E">
      <w:pPr>
        <w:spacing w:line="360" w:lineRule="auto"/>
        <w:jc w:val="both"/>
        <w:rPr>
          <w:rFonts w:ascii="Palatino Linotype" w:eastAsia="Palatino Linotype" w:hAnsi="Palatino Linotype" w:cs="Palatino Linotype"/>
          <w:b/>
          <w:bCs/>
          <w:sz w:val="22"/>
          <w:szCs w:val="22"/>
        </w:rPr>
      </w:pPr>
    </w:p>
    <w:p w:rsidR="00EB186E" w:rsidRPr="008645AC"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 xml:space="preserve">Tercero. Notifíquese, </w:t>
      </w:r>
      <w:r w:rsidRPr="008645AC">
        <w:rPr>
          <w:rFonts w:ascii="Palatino Linotype" w:eastAsia="Palatino Linotype" w:hAnsi="Palatino Linotype" w:cs="Palatino Linotype"/>
          <w:sz w:val="22"/>
          <w:szCs w:val="22"/>
        </w:rPr>
        <w:t xml:space="preserve">vía </w:t>
      </w:r>
      <w:r w:rsidRPr="008645AC">
        <w:rPr>
          <w:rFonts w:ascii="Palatino Linotype" w:eastAsia="Palatino Linotype" w:hAnsi="Palatino Linotype" w:cs="Palatino Linotype"/>
          <w:b/>
          <w:bCs/>
          <w:sz w:val="22"/>
          <w:szCs w:val="22"/>
        </w:rPr>
        <w:t>SAIMEX</w:t>
      </w:r>
      <w:r w:rsidRPr="008645AC">
        <w:rPr>
          <w:rFonts w:ascii="Palatino Linotype" w:eastAsia="Palatino Linotype" w:hAnsi="Palatino Linotype" w:cs="Palatino Linotype"/>
          <w:sz w:val="22"/>
          <w:szCs w:val="22"/>
        </w:rPr>
        <w:t xml:space="preserve">, al Titular de la Unidad de Transparencia del </w:t>
      </w:r>
      <w:r w:rsidRPr="008645AC">
        <w:rPr>
          <w:rFonts w:ascii="Palatino Linotype" w:eastAsia="Palatino Linotype" w:hAnsi="Palatino Linotype" w:cs="Palatino Linotype"/>
          <w:b/>
          <w:bCs/>
          <w:sz w:val="22"/>
          <w:szCs w:val="22"/>
        </w:rPr>
        <w:t>Sujeto Obligado,</w:t>
      </w:r>
      <w:r w:rsidRPr="008645AC">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B186E" w:rsidRPr="008645AC" w:rsidRDefault="00EB186E">
      <w:pPr>
        <w:spacing w:line="360" w:lineRule="auto"/>
        <w:jc w:val="both"/>
        <w:rPr>
          <w:rFonts w:ascii="Palatino Linotype" w:eastAsia="Palatino Linotype" w:hAnsi="Palatino Linotype" w:cs="Palatino Linotype"/>
          <w:sz w:val="22"/>
          <w:szCs w:val="22"/>
        </w:rPr>
      </w:pPr>
    </w:p>
    <w:p w:rsidR="00EB186E" w:rsidRPr="008645AC" w:rsidRDefault="00CB7FDB">
      <w:pPr>
        <w:spacing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Cuarto.</w:t>
      </w:r>
      <w:r w:rsidRPr="008645AC">
        <w:rPr>
          <w:rFonts w:ascii="Palatino Linotype" w:eastAsia="Palatino Linotype" w:hAnsi="Palatino Linotype" w:cs="Palatino Linotype"/>
          <w:sz w:val="22"/>
          <w:szCs w:val="22"/>
        </w:rPr>
        <w:t xml:space="preserve"> </w:t>
      </w:r>
      <w:r w:rsidRPr="008645AC">
        <w:rPr>
          <w:rFonts w:ascii="Palatino Linotype" w:eastAsia="Palatino Linotype" w:hAnsi="Palatino Linotype" w:cs="Palatino Linotype"/>
          <w:b/>
          <w:bCs/>
          <w:sz w:val="22"/>
          <w:szCs w:val="22"/>
        </w:rPr>
        <w:t xml:space="preserve">Notifíquese, </w:t>
      </w:r>
      <w:r w:rsidRPr="008645AC">
        <w:rPr>
          <w:rFonts w:ascii="Palatino Linotype" w:eastAsia="Palatino Linotype" w:hAnsi="Palatino Linotype" w:cs="Palatino Linotype"/>
          <w:sz w:val="22"/>
          <w:szCs w:val="22"/>
        </w:rPr>
        <w:t xml:space="preserve">vía </w:t>
      </w:r>
      <w:r w:rsidRPr="008645AC">
        <w:rPr>
          <w:rFonts w:ascii="Palatino Linotype" w:eastAsia="Palatino Linotype" w:hAnsi="Palatino Linotype" w:cs="Palatino Linotype"/>
          <w:b/>
          <w:bCs/>
          <w:sz w:val="22"/>
          <w:szCs w:val="22"/>
        </w:rPr>
        <w:t>SAIMEX</w:t>
      </w:r>
      <w:r w:rsidRPr="008645AC">
        <w:rPr>
          <w:rFonts w:ascii="Palatino Linotype" w:eastAsia="Palatino Linotype" w:hAnsi="Palatino Linotype" w:cs="Palatino Linotype"/>
          <w:sz w:val="22"/>
          <w:szCs w:val="22"/>
        </w:rPr>
        <w:t xml:space="preserve">, al Titular de la Unidad de Transparencia del </w:t>
      </w:r>
      <w:r w:rsidRPr="008645AC">
        <w:rPr>
          <w:rFonts w:ascii="Palatino Linotype" w:eastAsia="Palatino Linotype" w:hAnsi="Palatino Linotype" w:cs="Palatino Linotype"/>
          <w:b/>
          <w:bCs/>
          <w:sz w:val="22"/>
          <w:szCs w:val="22"/>
        </w:rPr>
        <w:t>Sujeto Obligado,</w:t>
      </w:r>
      <w:r w:rsidRPr="008645AC">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EB186E" w:rsidRPr="008645AC" w:rsidRDefault="00EB186E">
      <w:pPr>
        <w:spacing w:line="360" w:lineRule="auto"/>
        <w:ind w:right="49"/>
        <w:jc w:val="both"/>
        <w:rPr>
          <w:rFonts w:ascii="Palatino Linotype" w:eastAsia="Palatino Linotype" w:hAnsi="Palatino Linotype" w:cs="Palatino Linotype"/>
          <w:sz w:val="22"/>
          <w:szCs w:val="22"/>
        </w:rPr>
      </w:pPr>
    </w:p>
    <w:p w:rsidR="00EB186E" w:rsidRPr="008645AC" w:rsidRDefault="00CB7FDB">
      <w:pPr>
        <w:spacing w:line="360" w:lineRule="auto"/>
        <w:ind w:right="49"/>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b/>
          <w:bCs/>
          <w:sz w:val="22"/>
          <w:szCs w:val="22"/>
        </w:rPr>
        <w:t xml:space="preserve">Quinto. Notifíquese vía SAIMEX, </w:t>
      </w:r>
      <w:r w:rsidRPr="008645AC">
        <w:rPr>
          <w:rFonts w:ascii="Palatino Linotype" w:eastAsia="Palatino Linotype" w:hAnsi="Palatino Linotype" w:cs="Palatino Linotype"/>
          <w:sz w:val="22"/>
          <w:szCs w:val="22"/>
        </w:rPr>
        <w:t xml:space="preserve">la presente resolución a la parte </w:t>
      </w:r>
      <w:r w:rsidRPr="008645AC">
        <w:rPr>
          <w:rFonts w:ascii="Palatino Linotype" w:eastAsia="Palatino Linotype" w:hAnsi="Palatino Linotype" w:cs="Palatino Linotype"/>
          <w:b/>
          <w:bCs/>
          <w:sz w:val="22"/>
          <w:szCs w:val="22"/>
        </w:rPr>
        <w:t>Recurrente</w:t>
      </w:r>
      <w:r w:rsidRPr="008645AC">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EB186E" w:rsidRPr="008645AC" w:rsidRDefault="00EB186E">
      <w:pPr>
        <w:spacing w:line="360" w:lineRule="auto"/>
        <w:ind w:right="49"/>
        <w:jc w:val="both"/>
        <w:rPr>
          <w:rFonts w:ascii="Palatino Linotype" w:eastAsia="Palatino Linotype" w:hAnsi="Palatino Linotype" w:cs="Palatino Linotype"/>
          <w:sz w:val="22"/>
          <w:szCs w:val="22"/>
        </w:rPr>
      </w:pPr>
    </w:p>
    <w:p w:rsidR="00EB186E" w:rsidRPr="00CB7FDB" w:rsidRDefault="00CB7FDB">
      <w:pPr>
        <w:spacing w:line="360" w:lineRule="auto"/>
        <w:jc w:val="both"/>
        <w:rPr>
          <w:rFonts w:ascii="Palatino Linotype" w:eastAsia="Palatino Linotype" w:hAnsi="Palatino Linotype" w:cs="Palatino Linotype"/>
          <w:sz w:val="22"/>
          <w:szCs w:val="22"/>
        </w:rPr>
      </w:pPr>
      <w:r w:rsidRPr="008645AC">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VEINTISEIS, ANTE EL SECRETARIO TÉCNICO DEL PLENO ALEXIS TAPIA RAMÍREZ.</w:t>
      </w:r>
      <w:r w:rsidRPr="00CB7FDB">
        <w:rPr>
          <w:rFonts w:ascii="Palatino Linotype" w:eastAsia="Palatino Linotype" w:hAnsi="Palatino Linotype" w:cs="Palatino Linotype"/>
          <w:sz w:val="22"/>
          <w:szCs w:val="22"/>
        </w:rPr>
        <w:t xml:space="preserve"> </w:t>
      </w: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rPr>
          <w:rFonts w:ascii="Palatino Linotype" w:eastAsia="Palatino Linotype" w:hAnsi="Palatino Linotype" w:cs="Palatino Linotype"/>
          <w:sz w:val="22"/>
          <w:szCs w:val="22"/>
        </w:rPr>
      </w:pPr>
      <w:bookmarkStart w:id="13" w:name="_heading=h.17dp8vu" w:colFirst="0" w:colLast="0"/>
      <w:bookmarkEnd w:id="13"/>
    </w:p>
    <w:p w:rsidR="00EB186E" w:rsidRPr="00CB7FDB" w:rsidRDefault="00EB186E">
      <w:pPr>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bookmarkStart w:id="14" w:name="_heading=h.3rdcrjn" w:colFirst="0" w:colLast="0"/>
      <w:bookmarkEnd w:id="14"/>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bookmarkStart w:id="15" w:name="_heading=h.1t3h5sf" w:colFirst="0" w:colLast="0"/>
      <w:bookmarkEnd w:id="15"/>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p w:rsidR="00EB186E" w:rsidRPr="00CB7FDB" w:rsidRDefault="00EB186E">
      <w:pPr>
        <w:spacing w:line="360" w:lineRule="auto"/>
        <w:jc w:val="both"/>
        <w:rPr>
          <w:rFonts w:ascii="Palatino Linotype" w:eastAsia="Palatino Linotype" w:hAnsi="Palatino Linotype" w:cs="Palatino Linotype"/>
          <w:sz w:val="22"/>
          <w:szCs w:val="22"/>
        </w:rPr>
      </w:pPr>
    </w:p>
    <w:sectPr w:rsidR="00EB186E" w:rsidRPr="00CB7FDB">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0B3" w:rsidRDefault="00D300B3">
      <w:r>
        <w:separator/>
      </w:r>
    </w:p>
  </w:endnote>
  <w:endnote w:type="continuationSeparator" w:id="0">
    <w:p w:rsidR="00D300B3" w:rsidRDefault="00D30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400943BC-6C86-4B2C-8D23-C08F6EA8DD5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1C5DBDA-B0ED-438C-BB51-02BDB8DE1AFF}"/>
    <w:embedBold r:id="rId3" w:fontKey="{DD1416EC-8348-4833-B18A-95447D1B4969}"/>
  </w:font>
  <w:font w:name="Cambria">
    <w:panose1 w:val="02040503050406030204"/>
    <w:charset w:val="00"/>
    <w:family w:val="roman"/>
    <w:pitch w:val="variable"/>
    <w:sig w:usb0="E00006FF" w:usb1="420024FF" w:usb2="02000000" w:usb3="00000000" w:csb0="0000019F" w:csb1="00000000"/>
    <w:embedRegular r:id="rId4" w:fontKey="{2A0FDCE0-9142-48AF-B7CE-91FA1033A237}"/>
    <w:embedBold r:id="rId5" w:fontKey="{200A61FC-AF49-46BF-8EDE-348DAFF52C9B}"/>
    <w:embedBoldItalic r:id="rId6" w:fontKey="{0A23B554-CDB7-41F9-A5DA-4C996A6E17D8}"/>
  </w:font>
  <w:font w:name="Georgia">
    <w:panose1 w:val="02040502050405020303"/>
    <w:charset w:val="00"/>
    <w:family w:val="roman"/>
    <w:pitch w:val="variable"/>
    <w:sig w:usb0="00000287" w:usb1="00000000" w:usb2="00000000" w:usb3="00000000" w:csb0="0000009F" w:csb1="00000000"/>
    <w:embedItalic r:id="rId7" w:fontKey="{484EF39B-319F-46C6-9255-935B13699B28}"/>
  </w:font>
  <w:font w:name="Palatino Linotype">
    <w:panose1 w:val="02040502050505030304"/>
    <w:charset w:val="00"/>
    <w:family w:val="roman"/>
    <w:pitch w:val="variable"/>
    <w:sig w:usb0="E0000287" w:usb1="40000013" w:usb2="00000000" w:usb3="00000000" w:csb0="0000019F" w:csb1="00000000"/>
    <w:embedRegular r:id="rId8" w:fontKey="{34972CB8-0944-4575-8E74-435DCFBA60E8}"/>
    <w:embedBold r:id="rId9" w:fontKey="{7EB701D4-D5B8-4798-AEE1-DADA4D96CF3E}"/>
    <w:embedItalic r:id="rId10" w:fontKey="{72984895-1996-40BA-BB25-586EC2D489CE}"/>
    <w:embedBoldItalic r:id="rId11" w:fontKey="{FE0D06ED-EFBA-4695-8CE8-8ACD0082D6A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86E" w:rsidRDefault="00CB7F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FE05CE">
      <w:rPr>
        <w:rFonts w:ascii="Palatino Linotype" w:eastAsia="Palatino Linotype" w:hAnsi="Palatino Linotype" w:cs="Palatino Linotype"/>
        <w:b/>
        <w:bCs/>
        <w:noProof/>
        <w:color w:val="000000"/>
        <w:sz w:val="20"/>
        <w:szCs w:val="20"/>
      </w:rPr>
      <w:t>11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FE05CE">
      <w:rPr>
        <w:rFonts w:ascii="Palatino Linotype" w:eastAsia="Palatino Linotype" w:hAnsi="Palatino Linotype" w:cs="Palatino Linotype"/>
        <w:b/>
        <w:bCs/>
        <w:noProof/>
        <w:color w:val="000000"/>
        <w:sz w:val="20"/>
        <w:szCs w:val="20"/>
      </w:rPr>
      <w:t>44</w:t>
    </w:r>
    <w:r>
      <w:rPr>
        <w:rFonts w:ascii="Palatino Linotype" w:eastAsia="Palatino Linotype" w:hAnsi="Palatino Linotype" w:cs="Palatino Linotype"/>
        <w:b/>
        <w:bCs/>
        <w:color w:val="000000"/>
        <w:sz w:val="20"/>
        <w:szCs w:val="20"/>
      </w:rPr>
      <w:fldChar w:fldCharType="end"/>
    </w:r>
  </w:p>
  <w:p w:rsidR="00EB186E" w:rsidRDefault="00EB186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86E" w:rsidRDefault="00CB7F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FE05CE">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FE05CE">
      <w:rPr>
        <w:rFonts w:ascii="Palatino Linotype" w:eastAsia="Palatino Linotype" w:hAnsi="Palatino Linotype" w:cs="Palatino Linotype"/>
        <w:b/>
        <w:bCs/>
        <w:noProof/>
        <w:color w:val="000000"/>
        <w:sz w:val="20"/>
        <w:szCs w:val="20"/>
      </w:rPr>
      <w:t>44</w:t>
    </w:r>
    <w:r>
      <w:rPr>
        <w:rFonts w:ascii="Palatino Linotype" w:eastAsia="Palatino Linotype" w:hAnsi="Palatino Linotype" w:cs="Palatino Linotype"/>
        <w:b/>
        <w:bCs/>
        <w:color w:val="000000"/>
        <w:sz w:val="20"/>
        <w:szCs w:val="20"/>
      </w:rPr>
      <w:fldChar w:fldCharType="end"/>
    </w:r>
  </w:p>
  <w:p w:rsidR="00EB186E" w:rsidRDefault="00EB186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0B3" w:rsidRDefault="00D300B3">
      <w:r>
        <w:separator/>
      </w:r>
    </w:p>
  </w:footnote>
  <w:footnote w:type="continuationSeparator" w:id="0">
    <w:p w:rsidR="00D300B3" w:rsidRDefault="00D300B3">
      <w:r>
        <w:continuationSeparator/>
      </w:r>
    </w:p>
  </w:footnote>
  <w:footnote w:id="1">
    <w:p w:rsidR="00EB186E" w:rsidRDefault="00CB7FDB">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EB186E" w:rsidRDefault="00CB7FDB">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EB186E" w:rsidRDefault="00CB7FDB">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EB186E" w:rsidRDefault="00CB7FDB">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86E" w:rsidRDefault="00EB186E">
    <w:pPr>
      <w:rPr>
        <w:rFonts w:ascii="Cambria" w:eastAsia="Cambria" w:hAnsi="Cambria" w:cs="Cambria"/>
        <w:color w:val="000000"/>
      </w:rPr>
    </w:pPr>
  </w:p>
  <w:tbl>
    <w:tblPr>
      <w:tblStyle w:val="a"/>
      <w:tblW w:w="7087" w:type="dxa"/>
      <w:tblInd w:w="3261" w:type="dxa"/>
      <w:tblLayout w:type="fixed"/>
      <w:tblLook w:val="0400" w:firstRow="0" w:lastRow="0" w:firstColumn="0" w:lastColumn="0" w:noHBand="0" w:noVBand="1"/>
    </w:tblPr>
    <w:tblGrid>
      <w:gridCol w:w="2489"/>
      <w:gridCol w:w="4598"/>
    </w:tblGrid>
    <w:tr w:rsidR="00EB186E">
      <w:tc>
        <w:tcPr>
          <w:tcW w:w="2489" w:type="dxa"/>
          <w:shd w:val="clear" w:color="auto" w:fill="auto"/>
        </w:tcPr>
        <w:p w:rsidR="00EB186E" w:rsidRDefault="00CB7FD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rsidR="00EB186E" w:rsidRDefault="00CB7FD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color w:val="000000"/>
              <w:sz w:val="22"/>
              <w:szCs w:val="22"/>
            </w:rPr>
            <w:t>11234/INFOEM/IP/RR/2025</w:t>
          </w:r>
          <w:r>
            <w:rPr>
              <w:noProof/>
            </w:rPr>
            <w:drawing>
              <wp:anchor distT="0" distB="0" distL="0" distR="0" simplePos="0" relativeHeight="251658240" behindDoc="1" locked="0" layoutInCell="1" hidden="0" allowOverlap="1">
                <wp:simplePos x="0" y="0"/>
                <wp:positionH relativeFrom="column">
                  <wp:posOffset>-4305299</wp:posOffset>
                </wp:positionH>
                <wp:positionV relativeFrom="paragraph">
                  <wp:posOffset>-666114</wp:posOffset>
                </wp:positionV>
                <wp:extent cx="7809865" cy="1016571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EB186E">
      <w:trPr>
        <w:trHeight w:val="228"/>
      </w:trPr>
      <w:tc>
        <w:tcPr>
          <w:tcW w:w="2489" w:type="dxa"/>
          <w:shd w:val="clear" w:color="auto" w:fill="auto"/>
          <w:vAlign w:val="center"/>
        </w:tcPr>
        <w:p w:rsidR="00EB186E" w:rsidRDefault="00CB7FD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rsidR="00EB186E" w:rsidRDefault="00CB7FDB">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EB186E">
      <w:tc>
        <w:tcPr>
          <w:tcW w:w="2489" w:type="dxa"/>
          <w:shd w:val="clear" w:color="auto" w:fill="auto"/>
          <w:vAlign w:val="center"/>
        </w:tcPr>
        <w:p w:rsidR="00EB186E" w:rsidRDefault="00CB7FDB">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rsidR="00EB186E" w:rsidRDefault="00CB7FDB">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EB186E" w:rsidRDefault="00CB7FD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86E" w:rsidRDefault="00CB7FD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-1079484</wp:posOffset>
          </wp:positionH>
          <wp:positionV relativeFrom="paragraph">
            <wp:posOffset>-328912</wp:posOffset>
          </wp:positionV>
          <wp:extent cx="7809865" cy="1016571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6945" w:type="dxa"/>
      <w:tblInd w:w="3261" w:type="dxa"/>
      <w:tblLayout w:type="fixed"/>
      <w:tblLook w:val="0400" w:firstRow="0" w:lastRow="0" w:firstColumn="0" w:lastColumn="0" w:noHBand="0" w:noVBand="1"/>
    </w:tblPr>
    <w:tblGrid>
      <w:gridCol w:w="2551"/>
      <w:gridCol w:w="4394"/>
    </w:tblGrid>
    <w:tr w:rsidR="00EB186E">
      <w:tc>
        <w:tcPr>
          <w:tcW w:w="2551" w:type="dxa"/>
          <w:shd w:val="clear" w:color="auto" w:fill="auto"/>
          <w:vAlign w:val="center"/>
        </w:tcPr>
        <w:p w:rsidR="00EB186E" w:rsidRDefault="00CB7FD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rsidR="00EB186E" w:rsidRDefault="00CB7FDB">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11234/INFOEM/IP/RR/2025</w:t>
          </w:r>
        </w:p>
      </w:tc>
    </w:tr>
    <w:tr w:rsidR="00EB186E">
      <w:trPr>
        <w:trHeight w:val="130"/>
      </w:trPr>
      <w:tc>
        <w:tcPr>
          <w:tcW w:w="2551" w:type="dxa"/>
          <w:shd w:val="clear" w:color="auto" w:fill="auto"/>
          <w:vAlign w:val="center"/>
        </w:tcPr>
        <w:p w:rsidR="00EB186E" w:rsidRDefault="00CB7FD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rsidR="00EB186E" w:rsidRDefault="00EB186E">
          <w:pPr>
            <w:ind w:left="-45" w:right="1444"/>
            <w:jc w:val="both"/>
            <w:rPr>
              <w:rFonts w:ascii="Palatino Linotype" w:eastAsia="Palatino Linotype" w:hAnsi="Palatino Linotype" w:cs="Palatino Linotype"/>
              <w:b/>
              <w:bCs/>
              <w:sz w:val="22"/>
              <w:szCs w:val="22"/>
            </w:rPr>
          </w:pPr>
        </w:p>
      </w:tc>
    </w:tr>
    <w:tr w:rsidR="00EB186E">
      <w:trPr>
        <w:trHeight w:val="228"/>
      </w:trPr>
      <w:tc>
        <w:tcPr>
          <w:tcW w:w="2551" w:type="dxa"/>
          <w:shd w:val="clear" w:color="auto" w:fill="auto"/>
          <w:vAlign w:val="center"/>
        </w:tcPr>
        <w:p w:rsidR="00EB186E" w:rsidRDefault="00CB7FD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rsidR="00EB186E" w:rsidRDefault="00CB7FDB">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Toluca</w:t>
          </w:r>
        </w:p>
      </w:tc>
    </w:tr>
    <w:tr w:rsidR="00EB186E">
      <w:tc>
        <w:tcPr>
          <w:tcW w:w="2551" w:type="dxa"/>
          <w:shd w:val="clear" w:color="auto" w:fill="auto"/>
          <w:vAlign w:val="center"/>
        </w:tcPr>
        <w:p w:rsidR="00EB186E" w:rsidRDefault="00CB7FDB">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rsidR="00EB186E" w:rsidRDefault="00CB7FDB">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EB186E" w:rsidRDefault="00EB186E">
    <w:pPr>
      <w:pBdr>
        <w:top w:val="nil"/>
        <w:left w:val="nil"/>
        <w:bottom w:val="nil"/>
        <w:right w:val="nil"/>
        <w:between w:val="nil"/>
      </w:pBdr>
      <w:tabs>
        <w:tab w:val="center" w:pos="4252"/>
        <w:tab w:val="right" w:pos="8504"/>
      </w:tabs>
      <w:rPr>
        <w:rFonts w:ascii="Cambria" w:eastAsia="Cambria" w:hAnsi="Cambria" w:cs="Cambria"/>
        <w:color w:val="000000"/>
      </w:rPr>
    </w:pPr>
  </w:p>
  <w:p w:rsidR="00EB186E" w:rsidRDefault="00EB186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625B46"/>
    <w:multiLevelType w:val="multilevel"/>
    <w:tmpl w:val="A22C161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4C052DEA"/>
    <w:multiLevelType w:val="multilevel"/>
    <w:tmpl w:val="2D7401E2"/>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7BC7DDA"/>
    <w:multiLevelType w:val="multilevel"/>
    <w:tmpl w:val="B9FCA10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86E"/>
    <w:rsid w:val="00431307"/>
    <w:rsid w:val="008645AC"/>
    <w:rsid w:val="00CB7FDB"/>
    <w:rsid w:val="00D300B3"/>
    <w:rsid w:val="00EB186E"/>
    <w:rsid w:val="00FE05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78CB65-99A1-4444-B6A5-28F819857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9xtIMZCKDVl35tr58Y74p91UpQ==">CgMxLjAyCWguMWZvYjl0ZTIJaC40ZDM0b2c4MghoLmdqZGd4czIJaC4zZHk2dmttMgloLjMwajB6bGwyCWguMnM4ZXlvMTIIaC50eWpjd3QyCWguMXk4MTB0dzIOaC40aXNydmR4YWxrMDEyDmguaWp2OThwbnRjZDVzMgloLjI2aW4xcmcyDWguaDduemI3OXdscmEyCWguMTdkcDh2dTIJaC4zcmRjcmpuMgloLjF0M2g1c2Y4AHIhMVNDVnhjQTZJdE5seFhNMUJsVV9PTmlEMmVPMGwxWX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12178</Words>
  <Characters>66984</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2026-04-10T18:52:00Z</cp:lastPrinted>
  <dcterms:created xsi:type="dcterms:W3CDTF">2026-04-25T02:49:00Z</dcterms:created>
  <dcterms:modified xsi:type="dcterms:W3CDTF">2026-04-25T02:49:00Z</dcterms:modified>
</cp:coreProperties>
</file>