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76BA6BC" w14:textId="77777777" w:rsidR="00342378" w:rsidRPr="00740F35" w:rsidRDefault="00342378" w:rsidP="000B54EE">
          <w:pPr>
            <w:pStyle w:val="TtulodeTDC"/>
            <w:spacing w:before="0" w:line="360" w:lineRule="auto"/>
            <w:rPr>
              <w:rFonts w:ascii="Palatino Linotype" w:hAnsi="Palatino Linotype"/>
              <w:color w:val="auto"/>
              <w:sz w:val="22"/>
              <w:szCs w:val="22"/>
            </w:rPr>
          </w:pPr>
          <w:r w:rsidRPr="00740F35">
            <w:rPr>
              <w:rFonts w:ascii="Palatino Linotype" w:hAnsi="Palatino Linotype"/>
              <w:color w:val="auto"/>
              <w:sz w:val="22"/>
              <w:szCs w:val="22"/>
              <w:lang w:val="es-ES"/>
            </w:rPr>
            <w:t>Contenido</w:t>
          </w:r>
        </w:p>
        <w:p w14:paraId="16DEE07A" w14:textId="77777777" w:rsidR="00740F35" w:rsidRPr="00740F35" w:rsidRDefault="00342378">
          <w:pPr>
            <w:pStyle w:val="TDC1"/>
            <w:tabs>
              <w:tab w:val="right" w:leader="dot" w:pos="9034"/>
            </w:tabs>
            <w:rPr>
              <w:rFonts w:ascii="Palatino Linotype" w:eastAsiaTheme="minorEastAsia" w:hAnsi="Palatino Linotype" w:cstheme="minorBidi"/>
              <w:noProof/>
              <w:sz w:val="22"/>
              <w:szCs w:val="22"/>
              <w:lang w:eastAsia="es-MX"/>
            </w:rPr>
          </w:pPr>
          <w:r w:rsidRPr="00740F35">
            <w:rPr>
              <w:rFonts w:ascii="Palatino Linotype" w:hAnsi="Palatino Linotype"/>
              <w:bCs/>
              <w:sz w:val="22"/>
              <w:szCs w:val="22"/>
              <w:lang w:val="es-ES"/>
            </w:rPr>
            <w:fldChar w:fldCharType="begin"/>
          </w:r>
          <w:r w:rsidRPr="00740F35">
            <w:rPr>
              <w:rFonts w:ascii="Palatino Linotype" w:hAnsi="Palatino Linotype"/>
              <w:bCs/>
              <w:sz w:val="22"/>
              <w:szCs w:val="22"/>
              <w:lang w:val="es-ES"/>
            </w:rPr>
            <w:instrText xml:space="preserve"> TOC \o "1-3" \h \z \u </w:instrText>
          </w:r>
          <w:r w:rsidRPr="00740F35">
            <w:rPr>
              <w:rFonts w:ascii="Palatino Linotype" w:hAnsi="Palatino Linotype"/>
              <w:bCs/>
              <w:sz w:val="22"/>
              <w:szCs w:val="22"/>
              <w:lang w:val="es-ES"/>
            </w:rPr>
            <w:fldChar w:fldCharType="separate"/>
          </w:r>
          <w:hyperlink w:anchor="_Toc221201930" w:history="1">
            <w:r w:rsidR="00740F35" w:rsidRPr="00740F35">
              <w:rPr>
                <w:rStyle w:val="Hipervnculo"/>
                <w:rFonts w:ascii="Palatino Linotype" w:hAnsi="Palatino Linotype"/>
                <w:noProof/>
                <w:sz w:val="22"/>
                <w:szCs w:val="22"/>
              </w:rPr>
              <w:t>A N T E C E D E N T E S</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_Toc221201930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2</w:t>
            </w:r>
            <w:r w:rsidR="00740F35" w:rsidRPr="00740F35">
              <w:rPr>
                <w:rFonts w:ascii="Palatino Linotype" w:hAnsi="Palatino Linotype"/>
                <w:noProof/>
                <w:webHidden/>
                <w:sz w:val="22"/>
                <w:szCs w:val="22"/>
              </w:rPr>
              <w:fldChar w:fldCharType="end"/>
            </w:r>
          </w:hyperlink>
        </w:p>
        <w:p w14:paraId="7F5669E1"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31" w:history="1">
            <w:r w:rsidR="00740F35" w:rsidRPr="00740F35">
              <w:rPr>
                <w:rStyle w:val="Hipervnculo"/>
                <w:rFonts w:ascii="Palatino Linotype" w:hAnsi="Palatino Linotype"/>
                <w:noProof/>
                <w:sz w:val="22"/>
                <w:szCs w:val="22"/>
              </w:rPr>
              <w:t>I. Presentación de la solicitud de información</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_Toc221201931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2</w:t>
            </w:r>
            <w:r w:rsidR="00740F35" w:rsidRPr="00740F35">
              <w:rPr>
                <w:rFonts w:ascii="Palatino Linotype" w:hAnsi="Palatino Linotype"/>
                <w:noProof/>
                <w:webHidden/>
                <w:sz w:val="22"/>
                <w:szCs w:val="22"/>
              </w:rPr>
              <w:fldChar w:fldCharType="end"/>
            </w:r>
          </w:hyperlink>
        </w:p>
        <w:p w14:paraId="3128DA78"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32" w:history="1">
            <w:r w:rsidR="00740F35" w:rsidRPr="00740F35">
              <w:rPr>
                <w:rStyle w:val="Hipervnculo"/>
                <w:rFonts w:ascii="Palatino Linotype" w:hAnsi="Palatino Linotype" w:cs="Tahoma"/>
                <w:noProof/>
                <w:sz w:val="22"/>
                <w:szCs w:val="22"/>
              </w:rPr>
              <w:t>II. Respuesta del Sujeto Obligado</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_Toc221201932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3</w:t>
            </w:r>
            <w:r w:rsidR="00740F35" w:rsidRPr="00740F35">
              <w:rPr>
                <w:rFonts w:ascii="Palatino Linotype" w:hAnsi="Palatino Linotype"/>
                <w:noProof/>
                <w:webHidden/>
                <w:sz w:val="22"/>
                <w:szCs w:val="22"/>
              </w:rPr>
              <w:fldChar w:fldCharType="end"/>
            </w:r>
          </w:hyperlink>
        </w:p>
        <w:p w14:paraId="0751FFA5"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33" w:history="1">
            <w:r w:rsidR="00740F35" w:rsidRPr="00740F35">
              <w:rPr>
                <w:rStyle w:val="Hipervnculo"/>
                <w:rFonts w:ascii="Palatino Linotype" w:hAnsi="Palatino Linotype" w:cs="Tahoma"/>
                <w:noProof/>
                <w:sz w:val="22"/>
                <w:szCs w:val="22"/>
              </w:rPr>
              <w:t>III. Interposición del Recurso de Revisión</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_Toc221201933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3</w:t>
            </w:r>
            <w:r w:rsidR="00740F35" w:rsidRPr="00740F35">
              <w:rPr>
                <w:rFonts w:ascii="Palatino Linotype" w:hAnsi="Palatino Linotype"/>
                <w:noProof/>
                <w:webHidden/>
                <w:sz w:val="22"/>
                <w:szCs w:val="22"/>
              </w:rPr>
              <w:fldChar w:fldCharType="end"/>
            </w:r>
          </w:hyperlink>
        </w:p>
        <w:p w14:paraId="6FC90C71"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34" w:history="1">
            <w:r w:rsidR="00740F35" w:rsidRPr="00740F35">
              <w:rPr>
                <w:rStyle w:val="Hipervnculo"/>
                <w:rFonts w:ascii="Palatino Linotype" w:hAnsi="Palatino Linotype"/>
                <w:noProof/>
                <w:sz w:val="22"/>
                <w:szCs w:val="22"/>
              </w:rPr>
              <w:t>IV. Trámite del Recurso de Revisión ante el Instituto</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_Toc221201934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3</w:t>
            </w:r>
            <w:r w:rsidR="00740F35" w:rsidRPr="00740F35">
              <w:rPr>
                <w:rFonts w:ascii="Palatino Linotype" w:hAnsi="Palatino Linotype"/>
                <w:noProof/>
                <w:webHidden/>
                <w:sz w:val="22"/>
                <w:szCs w:val="22"/>
              </w:rPr>
              <w:fldChar w:fldCharType="end"/>
            </w:r>
          </w:hyperlink>
        </w:p>
        <w:p w14:paraId="5C69324C"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39" w:history="1">
            <w:r w:rsidR="00740F35" w:rsidRPr="00740F35">
              <w:rPr>
                <w:rStyle w:val="Hipervnculo"/>
                <w:rFonts w:ascii="Palatino Linotype" w:eastAsia="Calibri" w:hAnsi="Palatino Linotype"/>
                <w:noProof/>
                <w:sz w:val="22"/>
                <w:szCs w:val="22"/>
                <w:lang w:eastAsia="es-MX"/>
              </w:rPr>
              <w:t xml:space="preserve">PRIMERO. </w:t>
            </w:r>
            <w:r w:rsidR="00740F35" w:rsidRPr="00740F35">
              <w:rPr>
                <w:rStyle w:val="Hipervnculo"/>
                <w:rFonts w:ascii="Palatino Linotype" w:hAnsi="Palatino Linotype"/>
                <w:noProof/>
                <w:sz w:val="22"/>
                <w:szCs w:val="22"/>
              </w:rPr>
              <w:t>Competencia</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_Toc221201939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5</w:t>
            </w:r>
            <w:r w:rsidR="00740F35" w:rsidRPr="00740F35">
              <w:rPr>
                <w:rFonts w:ascii="Palatino Linotype" w:hAnsi="Palatino Linotype"/>
                <w:noProof/>
                <w:webHidden/>
                <w:sz w:val="22"/>
                <w:szCs w:val="22"/>
              </w:rPr>
              <w:fldChar w:fldCharType="end"/>
            </w:r>
          </w:hyperlink>
        </w:p>
        <w:p w14:paraId="4ABB81BF"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40" w:history="1">
            <w:r w:rsidR="00740F35" w:rsidRPr="00740F35">
              <w:rPr>
                <w:rStyle w:val="Hipervnculo"/>
                <w:rFonts w:ascii="Palatino Linotype" w:eastAsia="Calibri" w:hAnsi="Palatino Linotype"/>
                <w:noProof/>
                <w:sz w:val="22"/>
                <w:szCs w:val="22"/>
                <w:lang w:eastAsia="es-MX"/>
              </w:rPr>
              <w:t>SEGUNDO. Causales de improcedencia y sobreseimiento</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_Toc221201940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5</w:t>
            </w:r>
            <w:r w:rsidR="00740F35" w:rsidRPr="00740F35">
              <w:rPr>
                <w:rFonts w:ascii="Palatino Linotype" w:hAnsi="Palatino Linotype"/>
                <w:noProof/>
                <w:webHidden/>
                <w:sz w:val="22"/>
                <w:szCs w:val="22"/>
              </w:rPr>
              <w:fldChar w:fldCharType="end"/>
            </w:r>
          </w:hyperlink>
        </w:p>
        <w:p w14:paraId="166D6B0F" w14:textId="77777777" w:rsidR="00740F35" w:rsidRPr="00740F35" w:rsidRDefault="008F5743">
          <w:pPr>
            <w:pStyle w:val="TDC3"/>
            <w:tabs>
              <w:tab w:val="right" w:leader="dot" w:pos="9034"/>
            </w:tabs>
            <w:rPr>
              <w:rFonts w:ascii="Palatino Linotype" w:eastAsiaTheme="minorEastAsia" w:hAnsi="Palatino Linotype" w:cstheme="minorBidi"/>
              <w:noProof/>
              <w:sz w:val="22"/>
              <w:szCs w:val="22"/>
              <w:lang w:eastAsia="es-MX"/>
            </w:rPr>
          </w:pPr>
          <w:hyperlink w:anchor="_Toc221201941" w:history="1">
            <w:r w:rsidR="00740F35" w:rsidRPr="00740F35">
              <w:rPr>
                <w:rStyle w:val="Hipervnculo"/>
                <w:rFonts w:ascii="Palatino Linotype" w:eastAsia="Calibri" w:hAnsi="Palatino Linotype" w:cs="Arial"/>
                <w:noProof/>
                <w:sz w:val="22"/>
                <w:szCs w:val="22"/>
                <w:lang w:eastAsia="es-ES_tradnl"/>
              </w:rPr>
              <w:t>Causales de sobreseimiento</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_Toc221201941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6</w:t>
            </w:r>
            <w:r w:rsidR="00740F35" w:rsidRPr="00740F35">
              <w:rPr>
                <w:rFonts w:ascii="Palatino Linotype" w:hAnsi="Palatino Linotype"/>
                <w:noProof/>
                <w:webHidden/>
                <w:sz w:val="22"/>
                <w:szCs w:val="22"/>
              </w:rPr>
              <w:fldChar w:fldCharType="end"/>
            </w:r>
          </w:hyperlink>
        </w:p>
        <w:p w14:paraId="7EB0DCC9"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42" w:history="1">
            <w:r w:rsidR="00740F35" w:rsidRPr="00740F35">
              <w:rPr>
                <w:rStyle w:val="Hipervnculo"/>
                <w:rFonts w:ascii="Palatino Linotype" w:eastAsia="Calibri" w:hAnsi="Palatino Linotype"/>
                <w:noProof/>
                <w:sz w:val="22"/>
                <w:szCs w:val="22"/>
                <w:lang w:eastAsia="es-ES_tradnl"/>
              </w:rPr>
              <w:t>TERCERO. Determinación de la Controversia</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_Toc221201942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7</w:t>
            </w:r>
            <w:r w:rsidR="00740F35" w:rsidRPr="00740F35">
              <w:rPr>
                <w:rFonts w:ascii="Palatino Linotype" w:hAnsi="Palatino Linotype"/>
                <w:noProof/>
                <w:webHidden/>
                <w:sz w:val="22"/>
                <w:szCs w:val="22"/>
              </w:rPr>
              <w:fldChar w:fldCharType="end"/>
            </w:r>
          </w:hyperlink>
        </w:p>
        <w:p w14:paraId="62131004"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43" w:history="1">
            <w:r w:rsidR="00740F35" w:rsidRPr="00740F35">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_Toc221201943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7</w:t>
            </w:r>
            <w:r w:rsidR="00740F35" w:rsidRPr="00740F35">
              <w:rPr>
                <w:rFonts w:ascii="Palatino Linotype" w:hAnsi="Palatino Linotype"/>
                <w:noProof/>
                <w:webHidden/>
                <w:sz w:val="22"/>
                <w:szCs w:val="22"/>
              </w:rPr>
              <w:fldChar w:fldCharType="end"/>
            </w:r>
          </w:hyperlink>
        </w:p>
        <w:p w14:paraId="105A532E"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44" w:history="1">
            <w:r w:rsidR="00740F35" w:rsidRPr="00740F35">
              <w:rPr>
                <w:rStyle w:val="Hipervnculo"/>
                <w:rFonts w:ascii="Palatino Linotype" w:eastAsia="Calibri" w:hAnsi="Palatino Linotype"/>
                <w:noProof/>
                <w:sz w:val="22"/>
                <w:szCs w:val="22"/>
                <w:lang w:eastAsia="es-ES_tradnl"/>
              </w:rPr>
              <w:t>QUINTO. Estudio de Fondo</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_Toc221201944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8</w:t>
            </w:r>
            <w:r w:rsidR="00740F35" w:rsidRPr="00740F35">
              <w:rPr>
                <w:rFonts w:ascii="Palatino Linotype" w:hAnsi="Palatino Linotype"/>
                <w:noProof/>
                <w:webHidden/>
                <w:sz w:val="22"/>
                <w:szCs w:val="22"/>
              </w:rPr>
              <w:fldChar w:fldCharType="end"/>
            </w:r>
          </w:hyperlink>
        </w:p>
        <w:p w14:paraId="7435CA7F" w14:textId="77777777" w:rsidR="00740F35" w:rsidRPr="00740F35" w:rsidRDefault="008F5743">
          <w:pPr>
            <w:pStyle w:val="TDC2"/>
            <w:tabs>
              <w:tab w:val="right" w:leader="dot" w:pos="9034"/>
            </w:tabs>
            <w:rPr>
              <w:rFonts w:ascii="Palatino Linotype" w:eastAsiaTheme="minorEastAsia" w:hAnsi="Palatino Linotype" w:cstheme="minorBidi"/>
              <w:noProof/>
              <w:sz w:val="22"/>
              <w:szCs w:val="22"/>
              <w:lang w:eastAsia="es-MX"/>
            </w:rPr>
          </w:pPr>
          <w:hyperlink w:anchor="_Toc221201945" w:history="1">
            <w:r w:rsidR="00740F35" w:rsidRPr="00740F35">
              <w:rPr>
                <w:rStyle w:val="Hipervnculo"/>
                <w:rFonts w:ascii="Palatino Linotype" w:hAnsi="Palatino Linotype"/>
                <w:noProof/>
                <w:sz w:val="22"/>
                <w:szCs w:val="22"/>
              </w:rPr>
              <w:t>SEXTO. Decisión</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_Toc221201945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17</w:t>
            </w:r>
            <w:r w:rsidR="00740F35" w:rsidRPr="00740F35">
              <w:rPr>
                <w:rFonts w:ascii="Palatino Linotype" w:hAnsi="Palatino Linotype"/>
                <w:noProof/>
                <w:webHidden/>
                <w:sz w:val="22"/>
                <w:szCs w:val="22"/>
              </w:rPr>
              <w:fldChar w:fldCharType="end"/>
            </w:r>
          </w:hyperlink>
        </w:p>
        <w:p w14:paraId="4EA67295" w14:textId="77777777" w:rsidR="00740F35" w:rsidRPr="00740F35" w:rsidRDefault="008F5743">
          <w:pPr>
            <w:pStyle w:val="TDC1"/>
            <w:tabs>
              <w:tab w:val="right" w:leader="dot" w:pos="9034"/>
            </w:tabs>
            <w:rPr>
              <w:rFonts w:ascii="Palatino Linotype" w:eastAsiaTheme="minorEastAsia" w:hAnsi="Palatino Linotype" w:cstheme="minorBidi"/>
              <w:noProof/>
              <w:sz w:val="22"/>
              <w:szCs w:val="22"/>
              <w:lang w:eastAsia="es-MX"/>
            </w:rPr>
          </w:pPr>
          <w:hyperlink w:anchor="_Toc221201946" w:history="1">
            <w:r w:rsidR="00740F35" w:rsidRPr="00740F35">
              <w:rPr>
                <w:rStyle w:val="Hipervnculo"/>
                <w:rFonts w:ascii="Palatino Linotype" w:eastAsia="Calibri" w:hAnsi="Palatino Linotype"/>
                <w:noProof/>
                <w:sz w:val="22"/>
                <w:szCs w:val="22"/>
                <w:lang w:eastAsia="en-US"/>
              </w:rPr>
              <w:t>R E S U E L V E</w:t>
            </w:r>
            <w:r w:rsidR="00740F35" w:rsidRPr="00740F35">
              <w:rPr>
                <w:rFonts w:ascii="Palatino Linotype" w:hAnsi="Palatino Linotype"/>
                <w:noProof/>
                <w:webHidden/>
                <w:sz w:val="22"/>
                <w:szCs w:val="22"/>
              </w:rPr>
              <w:tab/>
            </w:r>
            <w:r w:rsidR="00740F35" w:rsidRPr="00740F35">
              <w:rPr>
                <w:rFonts w:ascii="Palatino Linotype" w:hAnsi="Palatino Linotype"/>
                <w:noProof/>
                <w:webHidden/>
                <w:sz w:val="22"/>
                <w:szCs w:val="22"/>
              </w:rPr>
              <w:fldChar w:fldCharType="begin"/>
            </w:r>
            <w:r w:rsidR="00740F35" w:rsidRPr="00740F35">
              <w:rPr>
                <w:rFonts w:ascii="Palatino Linotype" w:hAnsi="Palatino Linotype"/>
                <w:noProof/>
                <w:webHidden/>
                <w:sz w:val="22"/>
                <w:szCs w:val="22"/>
              </w:rPr>
              <w:instrText xml:space="preserve"> PAGEREF _Toc221201946 \h </w:instrText>
            </w:r>
            <w:r w:rsidR="00740F35" w:rsidRPr="00740F35">
              <w:rPr>
                <w:rFonts w:ascii="Palatino Linotype" w:hAnsi="Palatino Linotype"/>
                <w:noProof/>
                <w:webHidden/>
                <w:sz w:val="22"/>
                <w:szCs w:val="22"/>
              </w:rPr>
            </w:r>
            <w:r w:rsidR="00740F35" w:rsidRPr="00740F35">
              <w:rPr>
                <w:rFonts w:ascii="Palatino Linotype" w:hAnsi="Palatino Linotype"/>
                <w:noProof/>
                <w:webHidden/>
                <w:sz w:val="22"/>
                <w:szCs w:val="22"/>
              </w:rPr>
              <w:fldChar w:fldCharType="separate"/>
            </w:r>
            <w:r w:rsidR="00F923C0">
              <w:rPr>
                <w:rFonts w:ascii="Palatino Linotype" w:hAnsi="Palatino Linotype"/>
                <w:noProof/>
                <w:webHidden/>
                <w:sz w:val="22"/>
                <w:szCs w:val="22"/>
              </w:rPr>
              <w:t>18</w:t>
            </w:r>
            <w:r w:rsidR="00740F35" w:rsidRPr="00740F35">
              <w:rPr>
                <w:rFonts w:ascii="Palatino Linotype" w:hAnsi="Palatino Linotype"/>
                <w:noProof/>
                <w:webHidden/>
                <w:sz w:val="22"/>
                <w:szCs w:val="22"/>
              </w:rPr>
              <w:fldChar w:fldCharType="end"/>
            </w:r>
          </w:hyperlink>
        </w:p>
        <w:p w14:paraId="72C02EEB" w14:textId="77777777" w:rsidR="00342378" w:rsidRPr="00030A67" w:rsidRDefault="00342378" w:rsidP="000B54EE">
          <w:pPr>
            <w:spacing w:line="360" w:lineRule="auto"/>
          </w:pPr>
          <w:r w:rsidRPr="00740F35">
            <w:rPr>
              <w:rFonts w:ascii="Palatino Linotype" w:hAnsi="Palatino Linotype"/>
              <w:bCs/>
              <w:sz w:val="22"/>
              <w:szCs w:val="22"/>
              <w:lang w:val="es-ES"/>
            </w:rPr>
            <w:fldChar w:fldCharType="end"/>
          </w:r>
        </w:p>
      </w:sdtContent>
    </w:sdt>
    <w:p w14:paraId="51D4EE66" w14:textId="77777777" w:rsidR="00ED76AF" w:rsidRPr="00030A67" w:rsidRDefault="00ED76AF" w:rsidP="000B54EE">
      <w:pPr>
        <w:tabs>
          <w:tab w:val="left" w:pos="3969"/>
        </w:tabs>
        <w:spacing w:line="360" w:lineRule="auto"/>
        <w:contextualSpacing/>
        <w:jc w:val="both"/>
        <w:rPr>
          <w:rFonts w:ascii="Palatino Linotype" w:hAnsi="Palatino Linotype" w:cs="Tahoma"/>
          <w:bCs/>
          <w:sz w:val="22"/>
          <w:szCs w:val="22"/>
        </w:rPr>
      </w:pPr>
    </w:p>
    <w:p w14:paraId="70CA90CC" w14:textId="77777777" w:rsidR="00501E1B" w:rsidRPr="00030A67" w:rsidRDefault="00501E1B" w:rsidP="000B54EE">
      <w:pPr>
        <w:tabs>
          <w:tab w:val="left" w:pos="3969"/>
        </w:tabs>
        <w:spacing w:line="360" w:lineRule="auto"/>
        <w:contextualSpacing/>
        <w:jc w:val="both"/>
        <w:rPr>
          <w:rFonts w:ascii="Palatino Linotype" w:hAnsi="Palatino Linotype" w:cs="Tahoma"/>
          <w:bCs/>
          <w:sz w:val="22"/>
          <w:szCs w:val="22"/>
        </w:rPr>
      </w:pPr>
    </w:p>
    <w:p w14:paraId="2621E8D5" w14:textId="77777777" w:rsidR="008E3045" w:rsidRPr="00030A67" w:rsidRDefault="008E3045">
      <w:pPr>
        <w:spacing w:after="160" w:line="259" w:lineRule="auto"/>
        <w:rPr>
          <w:rFonts w:ascii="Palatino Linotype" w:hAnsi="Palatino Linotype" w:cs="Tahoma"/>
          <w:bCs/>
          <w:sz w:val="22"/>
          <w:szCs w:val="22"/>
        </w:rPr>
      </w:pPr>
      <w:r w:rsidRPr="00030A67">
        <w:rPr>
          <w:rFonts w:ascii="Palatino Linotype" w:hAnsi="Palatino Linotype" w:cs="Tahoma"/>
          <w:bCs/>
          <w:sz w:val="22"/>
          <w:szCs w:val="22"/>
        </w:rPr>
        <w:br w:type="page"/>
      </w:r>
    </w:p>
    <w:p w14:paraId="7DEDFDA1" w14:textId="23D26F09" w:rsidR="00E35DF9" w:rsidRPr="00030A67" w:rsidRDefault="00E35DF9" w:rsidP="000B54EE">
      <w:pPr>
        <w:spacing w:line="360" w:lineRule="auto"/>
        <w:contextualSpacing/>
        <w:jc w:val="both"/>
        <w:rPr>
          <w:rFonts w:ascii="Palatino Linotype" w:hAnsi="Palatino Linotype" w:cs="Tahoma"/>
          <w:bCs/>
          <w:sz w:val="22"/>
          <w:szCs w:val="22"/>
        </w:rPr>
      </w:pPr>
      <w:r w:rsidRPr="00030A67">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030A67">
        <w:rPr>
          <w:rFonts w:ascii="Palatino Linotype" w:hAnsi="Palatino Linotype" w:cs="Tahoma"/>
          <w:bCs/>
          <w:sz w:val="22"/>
          <w:szCs w:val="22"/>
        </w:rPr>
        <w:t xml:space="preserve"> </w:t>
      </w:r>
      <w:r w:rsidR="0072268E" w:rsidRPr="00030A67">
        <w:rPr>
          <w:rFonts w:ascii="Palatino Linotype" w:hAnsi="Palatino Linotype" w:cs="Tahoma"/>
          <w:bCs/>
          <w:sz w:val="22"/>
          <w:szCs w:val="22"/>
        </w:rPr>
        <w:t>cinco de febrero</w:t>
      </w:r>
      <w:r w:rsidR="009908D1" w:rsidRPr="00030A67">
        <w:rPr>
          <w:rFonts w:ascii="Palatino Linotype" w:hAnsi="Palatino Linotype" w:cs="Tahoma"/>
          <w:bCs/>
          <w:sz w:val="22"/>
          <w:szCs w:val="22"/>
        </w:rPr>
        <w:t xml:space="preserve"> </w:t>
      </w:r>
      <w:r w:rsidR="008453FA" w:rsidRPr="00030A67">
        <w:rPr>
          <w:rFonts w:ascii="Palatino Linotype" w:hAnsi="Palatino Linotype" w:cs="Tahoma"/>
          <w:bCs/>
          <w:sz w:val="22"/>
          <w:szCs w:val="22"/>
        </w:rPr>
        <w:t xml:space="preserve">de dos mil </w:t>
      </w:r>
      <w:r w:rsidR="009908D1" w:rsidRPr="00030A67">
        <w:rPr>
          <w:rFonts w:ascii="Palatino Linotype" w:hAnsi="Palatino Linotype" w:cs="Tahoma"/>
          <w:bCs/>
          <w:sz w:val="22"/>
          <w:szCs w:val="22"/>
        </w:rPr>
        <w:t>veintiséis</w:t>
      </w:r>
      <w:r w:rsidRPr="00030A67">
        <w:rPr>
          <w:rFonts w:ascii="Palatino Linotype" w:hAnsi="Palatino Linotype" w:cs="Tahoma"/>
          <w:bCs/>
          <w:sz w:val="22"/>
          <w:szCs w:val="22"/>
        </w:rPr>
        <w:t>.</w:t>
      </w:r>
    </w:p>
    <w:p w14:paraId="2E2809EB" w14:textId="77777777" w:rsidR="00E35DF9" w:rsidRPr="00030A67" w:rsidRDefault="00E35DF9" w:rsidP="000B54EE">
      <w:pPr>
        <w:spacing w:line="360" w:lineRule="auto"/>
        <w:contextualSpacing/>
        <w:jc w:val="both"/>
        <w:rPr>
          <w:rFonts w:ascii="Palatino Linotype" w:hAnsi="Palatino Linotype" w:cs="Tahoma"/>
          <w:bCs/>
          <w:sz w:val="22"/>
          <w:szCs w:val="22"/>
        </w:rPr>
      </w:pPr>
    </w:p>
    <w:p w14:paraId="51113CBC" w14:textId="6F740566" w:rsidR="00E35DF9" w:rsidRPr="00030A67" w:rsidRDefault="00E35DF9" w:rsidP="000B54EE">
      <w:pPr>
        <w:spacing w:line="360" w:lineRule="auto"/>
        <w:contextualSpacing/>
        <w:jc w:val="both"/>
        <w:rPr>
          <w:rFonts w:ascii="Palatino Linotype" w:hAnsi="Palatino Linotype" w:cs="Tahoma"/>
          <w:bCs/>
          <w:sz w:val="22"/>
          <w:szCs w:val="22"/>
        </w:rPr>
      </w:pPr>
      <w:r w:rsidRPr="00030A67">
        <w:rPr>
          <w:rFonts w:ascii="Palatino Linotype" w:hAnsi="Palatino Linotype" w:cs="Tahoma"/>
          <w:b/>
          <w:bCs/>
          <w:color w:val="0D0D0D" w:themeColor="text1" w:themeTint="F2"/>
          <w:sz w:val="22"/>
          <w:szCs w:val="22"/>
        </w:rPr>
        <w:t xml:space="preserve">VISTO </w:t>
      </w:r>
      <w:r w:rsidR="00D0542E" w:rsidRPr="00030A67">
        <w:rPr>
          <w:rFonts w:ascii="Palatino Linotype" w:hAnsi="Palatino Linotype" w:cs="Tahoma"/>
          <w:bCs/>
          <w:color w:val="0D0D0D" w:themeColor="text1" w:themeTint="F2"/>
          <w:sz w:val="22"/>
          <w:szCs w:val="22"/>
        </w:rPr>
        <w:t>el expediente</w:t>
      </w:r>
      <w:r w:rsidRPr="00030A67">
        <w:rPr>
          <w:rFonts w:ascii="Palatino Linotype" w:hAnsi="Palatino Linotype" w:cs="Tahoma"/>
          <w:bCs/>
          <w:color w:val="0D0D0D" w:themeColor="text1" w:themeTint="F2"/>
          <w:sz w:val="22"/>
          <w:szCs w:val="22"/>
        </w:rPr>
        <w:t xml:space="preserve"> conformado con motivo de</w:t>
      </w:r>
      <w:r w:rsidR="00E30210" w:rsidRPr="00030A67">
        <w:rPr>
          <w:rFonts w:ascii="Palatino Linotype" w:hAnsi="Palatino Linotype" w:cs="Tahoma"/>
          <w:bCs/>
          <w:color w:val="0D0D0D" w:themeColor="text1" w:themeTint="F2"/>
          <w:sz w:val="22"/>
          <w:szCs w:val="22"/>
        </w:rPr>
        <w:t>l</w:t>
      </w:r>
      <w:r w:rsidRPr="00030A67">
        <w:rPr>
          <w:rFonts w:ascii="Palatino Linotype" w:hAnsi="Palatino Linotype" w:cs="Tahoma"/>
          <w:bCs/>
          <w:color w:val="0D0D0D" w:themeColor="text1" w:themeTint="F2"/>
          <w:sz w:val="22"/>
          <w:szCs w:val="22"/>
        </w:rPr>
        <w:t xml:space="preserve"> Recurso de Revisión</w:t>
      </w:r>
      <w:r w:rsidR="0089175F" w:rsidRPr="00030A67">
        <w:rPr>
          <w:rFonts w:ascii="Palatino Linotype" w:hAnsi="Palatino Linotype" w:cs="Tahoma"/>
          <w:bCs/>
          <w:color w:val="0D0D0D" w:themeColor="text1" w:themeTint="F2"/>
          <w:sz w:val="22"/>
          <w:szCs w:val="22"/>
        </w:rPr>
        <w:t xml:space="preserve"> </w:t>
      </w:r>
      <w:r w:rsidR="0072268E" w:rsidRPr="00287072">
        <w:rPr>
          <w:rFonts w:ascii="Palatino Linotype" w:hAnsi="Palatino Linotype" w:cs="Tahoma"/>
          <w:b/>
          <w:color w:val="0D0D0D" w:themeColor="text1" w:themeTint="F2"/>
          <w:sz w:val="22"/>
          <w:szCs w:val="22"/>
        </w:rPr>
        <w:t>14411</w:t>
      </w:r>
      <w:r w:rsidR="0089175F" w:rsidRPr="00287072">
        <w:rPr>
          <w:rFonts w:ascii="Palatino Linotype" w:hAnsi="Palatino Linotype" w:cs="Tahoma"/>
          <w:b/>
          <w:color w:val="0D0D0D" w:themeColor="text1" w:themeTint="F2"/>
          <w:sz w:val="22"/>
          <w:szCs w:val="22"/>
        </w:rPr>
        <w:t>/INFOEM/IP/RR/202</w:t>
      </w:r>
      <w:r w:rsidR="00CD10BF" w:rsidRPr="00287072">
        <w:rPr>
          <w:rFonts w:ascii="Palatino Linotype" w:hAnsi="Palatino Linotype" w:cs="Tahoma"/>
          <w:b/>
          <w:color w:val="0D0D0D" w:themeColor="text1" w:themeTint="F2"/>
          <w:sz w:val="22"/>
          <w:szCs w:val="22"/>
        </w:rPr>
        <w:t>5</w:t>
      </w:r>
      <w:r w:rsidR="0089175F" w:rsidRPr="00030A67">
        <w:rPr>
          <w:rFonts w:ascii="Palatino Linotype" w:hAnsi="Palatino Linotype" w:cs="Tahoma"/>
          <w:color w:val="0D0D0D" w:themeColor="text1" w:themeTint="F2"/>
          <w:sz w:val="22"/>
          <w:szCs w:val="22"/>
        </w:rPr>
        <w:t>,</w:t>
      </w:r>
      <w:r w:rsidRPr="00030A67">
        <w:rPr>
          <w:rFonts w:ascii="Palatino Linotype" w:hAnsi="Palatino Linotype" w:cs="Tahoma"/>
          <w:color w:val="0D0D0D" w:themeColor="text1" w:themeTint="F2"/>
          <w:sz w:val="22"/>
          <w:szCs w:val="22"/>
        </w:rPr>
        <w:t xml:space="preserve"> interpuesto</w:t>
      </w:r>
      <w:r w:rsidR="00C74F5F" w:rsidRPr="00030A67">
        <w:rPr>
          <w:rFonts w:ascii="Palatino Linotype" w:hAnsi="Palatino Linotype" w:cs="Tahoma"/>
          <w:color w:val="0D0D0D" w:themeColor="text1" w:themeTint="F2"/>
          <w:sz w:val="22"/>
          <w:szCs w:val="22"/>
        </w:rPr>
        <w:t xml:space="preserve"> </w:t>
      </w:r>
      <w:r w:rsidR="007E4927" w:rsidRPr="00030A67">
        <w:rPr>
          <w:rFonts w:ascii="Palatino Linotype" w:hAnsi="Palatino Linotype" w:cs="Tahoma"/>
          <w:color w:val="0D0D0D" w:themeColor="text1" w:themeTint="F2"/>
          <w:sz w:val="22"/>
          <w:szCs w:val="22"/>
        </w:rPr>
        <w:t>por</w:t>
      </w:r>
      <w:r w:rsidR="00383BDB" w:rsidRPr="00030A67">
        <w:rPr>
          <w:rFonts w:ascii="Palatino Linotype" w:hAnsi="Palatino Linotype" w:cs="Tahoma"/>
          <w:color w:val="0D0D0D" w:themeColor="text1" w:themeTint="F2"/>
          <w:sz w:val="22"/>
          <w:szCs w:val="22"/>
        </w:rPr>
        <w:t xml:space="preserve"> </w:t>
      </w:r>
      <w:r w:rsidR="000B54EE" w:rsidRPr="00030A67">
        <w:rPr>
          <w:rFonts w:ascii="Palatino Linotype" w:hAnsi="Palatino Linotype" w:cs="Tahoma"/>
          <w:color w:val="0D0D0D" w:themeColor="text1" w:themeTint="F2"/>
          <w:sz w:val="22"/>
          <w:szCs w:val="22"/>
        </w:rPr>
        <w:t>la persona</w:t>
      </w:r>
      <w:r w:rsidR="00F770EE" w:rsidRPr="00030A67">
        <w:rPr>
          <w:rFonts w:ascii="Palatino Linotype" w:hAnsi="Palatino Linotype" w:cs="Tahoma"/>
          <w:color w:val="0D0D0D" w:themeColor="text1" w:themeTint="F2"/>
          <w:sz w:val="22"/>
          <w:szCs w:val="22"/>
        </w:rPr>
        <w:t xml:space="preserve"> </w:t>
      </w:r>
      <w:r w:rsidRPr="00030A67">
        <w:rPr>
          <w:rFonts w:ascii="Palatino Linotype" w:hAnsi="Palatino Linotype" w:cs="Tahoma"/>
          <w:color w:val="0D0D0D" w:themeColor="text1" w:themeTint="F2"/>
          <w:sz w:val="22"/>
          <w:szCs w:val="22"/>
        </w:rPr>
        <w:t>Recurrente o Particular, en contra de la respuesta del Sujeto Obligado</w:t>
      </w:r>
      <w:r w:rsidRPr="00030A67">
        <w:rPr>
          <w:rFonts w:ascii="Palatino Linotype" w:hAnsi="Palatino Linotype"/>
          <w:sz w:val="22"/>
          <w:szCs w:val="22"/>
        </w:rPr>
        <w:t xml:space="preserve"> </w:t>
      </w:r>
      <w:bookmarkStart w:id="1" w:name="_GoBack"/>
      <w:r w:rsidR="0072268E" w:rsidRPr="00287072">
        <w:rPr>
          <w:rFonts w:ascii="Palatino Linotype" w:eastAsia="Calibri" w:hAnsi="Palatino Linotype" w:cs="Tahoma"/>
          <w:b/>
          <w:sz w:val="22"/>
          <w:szCs w:val="22"/>
          <w:lang w:eastAsia="en-US"/>
        </w:rPr>
        <w:t>Organismo Público Descentralizado para la Prestación de los Servicios de Agua Potable, Alcantarillado y Saneamiento de Teoloyucan</w:t>
      </w:r>
      <w:r w:rsidRPr="00287072">
        <w:rPr>
          <w:rFonts w:ascii="Palatino Linotype" w:hAnsi="Palatino Linotype" w:cs="Tahoma"/>
          <w:b/>
          <w:color w:val="0D0D0D" w:themeColor="text1" w:themeTint="F2"/>
          <w:sz w:val="22"/>
          <w:szCs w:val="22"/>
        </w:rPr>
        <w:t>,</w:t>
      </w:r>
      <w:r w:rsidRPr="00030A67">
        <w:rPr>
          <w:rFonts w:ascii="Palatino Linotype" w:hAnsi="Palatino Linotype" w:cs="Tahoma"/>
          <w:b/>
          <w:color w:val="0D0D0D" w:themeColor="text1" w:themeTint="F2"/>
          <w:sz w:val="22"/>
          <w:szCs w:val="22"/>
        </w:rPr>
        <w:t xml:space="preserve"> </w:t>
      </w:r>
      <w:bookmarkEnd w:id="1"/>
      <w:r w:rsidRPr="00030A67">
        <w:rPr>
          <w:rFonts w:ascii="Palatino Linotype" w:hAnsi="Palatino Linotype" w:cs="Tahoma"/>
          <w:bCs/>
          <w:color w:val="0D0D0D" w:themeColor="text1" w:themeTint="F2"/>
          <w:sz w:val="22"/>
          <w:szCs w:val="22"/>
        </w:rPr>
        <w:t>se emite la presente Resolución, con base en los Antecedentes y C</w:t>
      </w:r>
      <w:r w:rsidRPr="00030A67">
        <w:rPr>
          <w:rFonts w:ascii="Palatino Linotype" w:hAnsi="Palatino Linotype" w:cs="Tahoma"/>
          <w:bCs/>
          <w:sz w:val="22"/>
          <w:szCs w:val="22"/>
        </w:rPr>
        <w:t>onsiderandos que a continuación se exponen:</w:t>
      </w:r>
    </w:p>
    <w:p w14:paraId="1D53D343" w14:textId="77777777" w:rsidR="00BB1F81" w:rsidRPr="00030A67" w:rsidRDefault="00BB1F81" w:rsidP="000B54EE">
      <w:pPr>
        <w:spacing w:line="360" w:lineRule="auto"/>
        <w:contextualSpacing/>
        <w:jc w:val="both"/>
        <w:rPr>
          <w:rFonts w:ascii="Palatino Linotype" w:hAnsi="Palatino Linotype" w:cs="Tahoma"/>
          <w:b/>
          <w:color w:val="0D0D0D" w:themeColor="text1" w:themeTint="F2"/>
          <w:sz w:val="18"/>
          <w:szCs w:val="22"/>
        </w:rPr>
      </w:pPr>
    </w:p>
    <w:p w14:paraId="33DC7873" w14:textId="77777777" w:rsidR="00E35DF9" w:rsidRPr="00030A67" w:rsidRDefault="00E35DF9" w:rsidP="000B54EE">
      <w:pPr>
        <w:pStyle w:val="Ttulo1"/>
        <w:spacing w:before="0" w:line="360" w:lineRule="auto"/>
        <w:jc w:val="center"/>
        <w:rPr>
          <w:rFonts w:ascii="Palatino Linotype" w:hAnsi="Palatino Linotype"/>
          <w:b/>
          <w:sz w:val="22"/>
          <w:szCs w:val="22"/>
        </w:rPr>
      </w:pPr>
      <w:bookmarkStart w:id="2" w:name="_Toc221201930"/>
      <w:r w:rsidRPr="00030A67">
        <w:rPr>
          <w:rFonts w:ascii="Palatino Linotype" w:hAnsi="Palatino Linotype"/>
          <w:b/>
          <w:color w:val="auto"/>
          <w:sz w:val="22"/>
          <w:szCs w:val="22"/>
        </w:rPr>
        <w:t>A N T E C E D E N T E S</w:t>
      </w:r>
      <w:bookmarkEnd w:id="2"/>
    </w:p>
    <w:p w14:paraId="2C0595B7" w14:textId="77777777" w:rsidR="001E7B8B" w:rsidRPr="00030A67" w:rsidRDefault="001E7B8B" w:rsidP="000B54EE">
      <w:pPr>
        <w:pStyle w:val="Prrafodelista"/>
        <w:tabs>
          <w:tab w:val="left" w:pos="567"/>
        </w:tabs>
        <w:spacing w:line="360" w:lineRule="auto"/>
        <w:ind w:left="0"/>
        <w:jc w:val="both"/>
        <w:rPr>
          <w:rFonts w:ascii="Palatino Linotype" w:hAnsi="Palatino Linotype" w:cs="Tahoma"/>
          <w:b/>
          <w:szCs w:val="22"/>
        </w:rPr>
      </w:pPr>
    </w:p>
    <w:p w14:paraId="6D4D6153" w14:textId="77777777" w:rsidR="00E35DF9" w:rsidRPr="00030A67" w:rsidRDefault="00E35DF9" w:rsidP="000B54EE">
      <w:pPr>
        <w:pStyle w:val="Ttulo2"/>
        <w:spacing w:before="0" w:line="360" w:lineRule="auto"/>
        <w:rPr>
          <w:rFonts w:ascii="Palatino Linotype" w:hAnsi="Palatino Linotype"/>
          <w:b/>
          <w:color w:val="auto"/>
          <w:sz w:val="22"/>
          <w:szCs w:val="22"/>
        </w:rPr>
      </w:pPr>
      <w:bookmarkStart w:id="3" w:name="_Toc221201931"/>
      <w:r w:rsidRPr="00030A67">
        <w:rPr>
          <w:rFonts w:ascii="Palatino Linotype" w:hAnsi="Palatino Linotype"/>
          <w:b/>
          <w:color w:val="auto"/>
          <w:sz w:val="22"/>
          <w:szCs w:val="22"/>
        </w:rPr>
        <w:t>I. Presentación de la solicitud de información</w:t>
      </w:r>
      <w:bookmarkEnd w:id="3"/>
    </w:p>
    <w:p w14:paraId="4C9B90CE" w14:textId="77777777" w:rsidR="00E35DF9" w:rsidRPr="00030A67"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070F1F28" w14:textId="5400079E" w:rsidR="00E35DF9" w:rsidRPr="00030A67" w:rsidRDefault="00BB1F81" w:rsidP="000B54EE">
      <w:pPr>
        <w:tabs>
          <w:tab w:val="left" w:pos="567"/>
        </w:tabs>
        <w:spacing w:line="360" w:lineRule="auto"/>
        <w:contextualSpacing/>
        <w:jc w:val="both"/>
        <w:rPr>
          <w:rFonts w:ascii="Palatino Linotype" w:hAnsi="Palatino Linotype" w:cs="Tahoma"/>
          <w:sz w:val="22"/>
          <w:szCs w:val="22"/>
        </w:rPr>
      </w:pPr>
      <w:r w:rsidRPr="00030A67">
        <w:rPr>
          <w:rFonts w:ascii="Palatino Linotype" w:hAnsi="Palatino Linotype" w:cs="Tahoma"/>
          <w:sz w:val="22"/>
          <w:szCs w:val="22"/>
        </w:rPr>
        <w:t>El</w:t>
      </w:r>
      <w:r w:rsidR="00E35DF9" w:rsidRPr="00030A67">
        <w:rPr>
          <w:rFonts w:ascii="Palatino Linotype" w:hAnsi="Palatino Linotype" w:cs="Tahoma"/>
          <w:sz w:val="22"/>
          <w:szCs w:val="22"/>
        </w:rPr>
        <w:t xml:space="preserve"> </w:t>
      </w:r>
      <w:r w:rsidR="0072268E" w:rsidRPr="00030A67">
        <w:rPr>
          <w:rFonts w:ascii="Palatino Linotype" w:hAnsi="Palatino Linotype" w:cs="Tahoma"/>
          <w:sz w:val="22"/>
          <w:szCs w:val="22"/>
        </w:rPr>
        <w:t>doce</w:t>
      </w:r>
      <w:r w:rsidR="009908D1" w:rsidRPr="00030A67">
        <w:rPr>
          <w:rFonts w:ascii="Palatino Linotype" w:hAnsi="Palatino Linotype" w:cs="Tahoma"/>
          <w:sz w:val="22"/>
          <w:szCs w:val="22"/>
        </w:rPr>
        <w:t xml:space="preserve"> de noviembre</w:t>
      </w:r>
      <w:r w:rsidR="004313EA" w:rsidRPr="00030A67">
        <w:rPr>
          <w:rFonts w:ascii="Palatino Linotype" w:hAnsi="Palatino Linotype" w:cs="Tahoma"/>
          <w:sz w:val="22"/>
          <w:szCs w:val="22"/>
        </w:rPr>
        <w:t xml:space="preserve"> </w:t>
      </w:r>
      <w:r w:rsidR="00D6115B" w:rsidRPr="00030A67">
        <w:rPr>
          <w:rFonts w:ascii="Palatino Linotype" w:hAnsi="Palatino Linotype" w:cs="Tahoma"/>
          <w:sz w:val="22"/>
          <w:szCs w:val="22"/>
        </w:rPr>
        <w:t>de dos mil veinticinco</w:t>
      </w:r>
      <w:r w:rsidR="00E35DF9" w:rsidRPr="00030A67">
        <w:rPr>
          <w:rFonts w:ascii="Palatino Linotype" w:hAnsi="Palatino Linotype" w:cs="Tahoma"/>
          <w:sz w:val="22"/>
          <w:szCs w:val="22"/>
        </w:rPr>
        <w:t xml:space="preserve">, </w:t>
      </w:r>
      <w:r w:rsidR="00C247E5" w:rsidRPr="00030A67">
        <w:rPr>
          <w:rFonts w:ascii="Palatino Linotype" w:hAnsi="Palatino Linotype" w:cs="Tahoma"/>
          <w:sz w:val="22"/>
          <w:szCs w:val="22"/>
        </w:rPr>
        <w:t>el</w:t>
      </w:r>
      <w:r w:rsidR="00E35DF9" w:rsidRPr="00030A67">
        <w:rPr>
          <w:rFonts w:ascii="Palatino Linotype" w:hAnsi="Palatino Linotype" w:cs="Tahoma"/>
          <w:sz w:val="22"/>
          <w:szCs w:val="22"/>
        </w:rPr>
        <w:t xml:space="preserve"> Particular presentó solicitud de acceso a la i</w:t>
      </w:r>
      <w:r w:rsidR="009D6672" w:rsidRPr="00030A67">
        <w:rPr>
          <w:rFonts w:ascii="Palatino Linotype" w:hAnsi="Palatino Linotype" w:cs="Tahoma"/>
          <w:sz w:val="22"/>
          <w:szCs w:val="22"/>
        </w:rPr>
        <w:t>nformación pública, a través de</w:t>
      </w:r>
      <w:r w:rsidR="00EA2594" w:rsidRPr="00030A67">
        <w:rPr>
          <w:rFonts w:ascii="Palatino Linotype" w:hAnsi="Palatino Linotype" w:cs="Tahoma"/>
          <w:sz w:val="22"/>
          <w:szCs w:val="22"/>
        </w:rPr>
        <w:t xml:space="preserve">l </w:t>
      </w:r>
      <w:r w:rsidR="00062387" w:rsidRPr="00030A67">
        <w:rPr>
          <w:rFonts w:ascii="Palatino Linotype" w:hAnsi="Palatino Linotype" w:cs="Tahoma"/>
          <w:sz w:val="22"/>
          <w:szCs w:val="22"/>
        </w:rPr>
        <w:t>Sistema de Acceso a la</w:t>
      </w:r>
      <w:r w:rsidR="000973B8" w:rsidRPr="00030A67">
        <w:rPr>
          <w:rFonts w:ascii="Palatino Linotype" w:hAnsi="Palatino Linotype" w:cs="Tahoma"/>
          <w:sz w:val="22"/>
          <w:szCs w:val="22"/>
        </w:rPr>
        <w:t xml:space="preserve"> Información Mexiquense</w:t>
      </w:r>
      <w:r w:rsidRPr="00030A67">
        <w:rPr>
          <w:rFonts w:ascii="Palatino Linotype" w:hAnsi="Palatino Linotype" w:cs="Tahoma"/>
          <w:sz w:val="22"/>
          <w:szCs w:val="22"/>
        </w:rPr>
        <w:t>, en lo sucesivo</w:t>
      </w:r>
      <w:r w:rsidR="000973B8" w:rsidRPr="00030A67">
        <w:rPr>
          <w:rFonts w:ascii="Palatino Linotype" w:hAnsi="Palatino Linotype" w:cs="Tahoma"/>
          <w:sz w:val="22"/>
          <w:szCs w:val="22"/>
        </w:rPr>
        <w:t xml:space="preserve"> </w:t>
      </w:r>
      <w:r w:rsidRPr="00030A67">
        <w:rPr>
          <w:rFonts w:ascii="Palatino Linotype" w:hAnsi="Palatino Linotype" w:cs="Tahoma"/>
          <w:sz w:val="22"/>
          <w:szCs w:val="22"/>
        </w:rPr>
        <w:t xml:space="preserve">el </w:t>
      </w:r>
      <w:r w:rsidR="000973B8" w:rsidRPr="00030A67">
        <w:rPr>
          <w:rFonts w:ascii="Palatino Linotype" w:hAnsi="Palatino Linotype" w:cs="Tahoma"/>
          <w:sz w:val="22"/>
          <w:szCs w:val="22"/>
        </w:rPr>
        <w:t>SAIMEX</w:t>
      </w:r>
      <w:r w:rsidR="00E35DF9" w:rsidRPr="00030A67">
        <w:rPr>
          <w:rFonts w:ascii="Palatino Linotype" w:hAnsi="Palatino Linotype" w:cs="Tahoma"/>
          <w:sz w:val="22"/>
          <w:szCs w:val="22"/>
        </w:rPr>
        <w:t xml:space="preserve">, ante </w:t>
      </w:r>
      <w:r w:rsidR="009C323D" w:rsidRPr="00030A67">
        <w:rPr>
          <w:rFonts w:ascii="Palatino Linotype" w:hAnsi="Palatino Linotype" w:cs="Tahoma"/>
          <w:sz w:val="22"/>
          <w:szCs w:val="22"/>
        </w:rPr>
        <w:t>e</w:t>
      </w:r>
      <w:r w:rsidR="00212285" w:rsidRPr="00030A67">
        <w:rPr>
          <w:rFonts w:ascii="Palatino Linotype" w:hAnsi="Palatino Linotype" w:cs="Tahoma"/>
          <w:sz w:val="22"/>
          <w:szCs w:val="22"/>
        </w:rPr>
        <w:t>l</w:t>
      </w:r>
      <w:r w:rsidR="00E35DF9" w:rsidRPr="00030A67">
        <w:rPr>
          <w:rFonts w:ascii="Palatino Linotype" w:hAnsi="Palatino Linotype" w:cs="Tahoma"/>
          <w:sz w:val="22"/>
          <w:szCs w:val="22"/>
        </w:rPr>
        <w:t xml:space="preserve"> </w:t>
      </w:r>
      <w:r w:rsidR="0072268E" w:rsidRPr="00030A67">
        <w:rPr>
          <w:rFonts w:ascii="Palatino Linotype" w:hAnsi="Palatino Linotype" w:cs="Tahoma"/>
          <w:sz w:val="22"/>
          <w:szCs w:val="22"/>
        </w:rPr>
        <w:t>Organismo Público Descentralizado para la Prestación de los Servicios de Agua Potable, Alcantarillado y Saneamiento de Teoloyucan</w:t>
      </w:r>
      <w:r w:rsidR="00E35DF9" w:rsidRPr="00030A67">
        <w:rPr>
          <w:rFonts w:ascii="Palatino Linotype" w:hAnsi="Palatino Linotype" w:cs="Tahoma"/>
          <w:sz w:val="22"/>
          <w:szCs w:val="22"/>
        </w:rPr>
        <w:t xml:space="preserve">, </w:t>
      </w:r>
      <w:r w:rsidR="003A12F1" w:rsidRPr="00030A67">
        <w:rPr>
          <w:rFonts w:ascii="Palatino Linotype" w:hAnsi="Palatino Linotype" w:cs="Tahoma"/>
          <w:sz w:val="22"/>
          <w:szCs w:val="22"/>
        </w:rPr>
        <w:t xml:space="preserve">misma que fue registrada con el número de folio </w:t>
      </w:r>
      <w:r w:rsidR="0072268E" w:rsidRPr="00030A67">
        <w:rPr>
          <w:rFonts w:ascii="Palatino Linotype" w:hAnsi="Palatino Linotype" w:cs="Tahoma"/>
          <w:sz w:val="22"/>
          <w:szCs w:val="22"/>
        </w:rPr>
        <w:t>00295/OPDTEOLOYUCAN/IP/2025</w:t>
      </w:r>
      <w:r w:rsidR="003A12F1" w:rsidRPr="00030A67">
        <w:rPr>
          <w:rFonts w:ascii="Palatino Linotype" w:hAnsi="Palatino Linotype" w:cs="Tahoma"/>
          <w:b/>
          <w:bCs/>
          <w:sz w:val="22"/>
          <w:szCs w:val="22"/>
        </w:rPr>
        <w:t xml:space="preserve">, </w:t>
      </w:r>
      <w:r w:rsidR="00E35DF9" w:rsidRPr="00030A67">
        <w:rPr>
          <w:rFonts w:ascii="Palatino Linotype" w:hAnsi="Palatino Linotype" w:cs="Tahoma"/>
          <w:sz w:val="22"/>
          <w:szCs w:val="22"/>
        </w:rPr>
        <w:t xml:space="preserve">mediante </w:t>
      </w:r>
      <w:r w:rsidR="0074594A" w:rsidRPr="00030A67">
        <w:rPr>
          <w:rFonts w:ascii="Palatino Linotype" w:hAnsi="Palatino Linotype" w:cs="Tahoma"/>
          <w:sz w:val="22"/>
          <w:szCs w:val="22"/>
        </w:rPr>
        <w:t>l</w:t>
      </w:r>
      <w:r w:rsidR="00B50512" w:rsidRPr="00030A67">
        <w:rPr>
          <w:rFonts w:ascii="Palatino Linotype" w:hAnsi="Palatino Linotype" w:cs="Tahoma"/>
          <w:sz w:val="22"/>
          <w:szCs w:val="22"/>
        </w:rPr>
        <w:t>a</w:t>
      </w:r>
      <w:r w:rsidR="00E35DF9" w:rsidRPr="00030A67">
        <w:rPr>
          <w:rFonts w:ascii="Palatino Linotype" w:hAnsi="Palatino Linotype" w:cs="Tahoma"/>
          <w:sz w:val="22"/>
          <w:szCs w:val="22"/>
        </w:rPr>
        <w:t xml:space="preserve"> cual requirió lo siguiente: </w:t>
      </w:r>
    </w:p>
    <w:p w14:paraId="6A2AFFB8" w14:textId="77777777" w:rsidR="00D807FB" w:rsidRPr="00030A67" w:rsidRDefault="00D807FB" w:rsidP="000B54EE">
      <w:pPr>
        <w:tabs>
          <w:tab w:val="left" w:pos="567"/>
        </w:tabs>
        <w:spacing w:line="360" w:lineRule="auto"/>
        <w:contextualSpacing/>
        <w:jc w:val="both"/>
        <w:rPr>
          <w:rFonts w:ascii="Palatino Linotype" w:hAnsi="Palatino Linotype" w:cs="Tahoma"/>
          <w:sz w:val="22"/>
        </w:rPr>
      </w:pPr>
    </w:p>
    <w:p w14:paraId="0EA12CE8" w14:textId="77777777" w:rsidR="00D807FB" w:rsidRPr="00030A67"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030A67">
        <w:rPr>
          <w:rFonts w:ascii="Palatino Linotype" w:hAnsi="Palatino Linotype" w:cs="Tahoma"/>
          <w:b/>
          <w:bCs/>
        </w:rPr>
        <w:t>DESCRIPCIÓN CLARA Y PRECISA DE LA INFORMACIÓN SOLICITADA</w:t>
      </w:r>
    </w:p>
    <w:p w14:paraId="58448BCF" w14:textId="30254F2F" w:rsidR="000F2B83" w:rsidRPr="00030A67" w:rsidRDefault="004B553D" w:rsidP="0072268E">
      <w:pPr>
        <w:pStyle w:val="Prrafodelista"/>
        <w:tabs>
          <w:tab w:val="left" w:pos="567"/>
        </w:tabs>
        <w:spacing w:line="360" w:lineRule="auto"/>
        <w:ind w:left="567" w:right="539"/>
        <w:jc w:val="both"/>
        <w:rPr>
          <w:rFonts w:ascii="Palatino Linotype" w:hAnsi="Palatino Linotype"/>
          <w:i/>
          <w:iCs/>
          <w:color w:val="000000"/>
          <w:sz w:val="20"/>
          <w:szCs w:val="20"/>
        </w:rPr>
      </w:pPr>
      <w:r w:rsidRPr="00030A67">
        <w:rPr>
          <w:rFonts w:ascii="Palatino Linotype" w:hAnsi="Palatino Linotype"/>
          <w:i/>
          <w:iCs/>
          <w:color w:val="000000"/>
          <w:sz w:val="20"/>
          <w:szCs w:val="20"/>
        </w:rPr>
        <w:t>"</w:t>
      </w:r>
      <w:proofErr w:type="spellStart"/>
      <w:r w:rsidR="0072268E" w:rsidRPr="00030A67">
        <w:rPr>
          <w:rFonts w:ascii="Palatino Linotype" w:hAnsi="Palatino Linotype"/>
          <w:i/>
          <w:iCs/>
          <w:color w:val="000000"/>
          <w:sz w:val="20"/>
          <w:szCs w:val="20"/>
        </w:rPr>
        <w:t>solisito</w:t>
      </w:r>
      <w:proofErr w:type="spellEnd"/>
      <w:r w:rsidR="0072268E" w:rsidRPr="00030A67">
        <w:rPr>
          <w:rFonts w:ascii="Palatino Linotype" w:hAnsi="Palatino Linotype"/>
          <w:i/>
          <w:iCs/>
          <w:color w:val="000000"/>
          <w:sz w:val="20"/>
          <w:szCs w:val="20"/>
        </w:rPr>
        <w:t xml:space="preserve"> la </w:t>
      </w:r>
      <w:proofErr w:type="spellStart"/>
      <w:r w:rsidR="0072268E" w:rsidRPr="00030A67">
        <w:rPr>
          <w:rFonts w:ascii="Palatino Linotype" w:hAnsi="Palatino Linotype"/>
          <w:i/>
          <w:iCs/>
          <w:color w:val="000000"/>
          <w:sz w:val="20"/>
          <w:szCs w:val="20"/>
        </w:rPr>
        <w:t>polizas</w:t>
      </w:r>
      <w:proofErr w:type="spellEnd"/>
      <w:r w:rsidR="0072268E" w:rsidRPr="00030A67">
        <w:rPr>
          <w:rFonts w:ascii="Palatino Linotype" w:hAnsi="Palatino Linotype"/>
          <w:i/>
          <w:iCs/>
          <w:color w:val="000000"/>
          <w:sz w:val="20"/>
          <w:szCs w:val="20"/>
        </w:rPr>
        <w:t xml:space="preserve"> de egresos, ingresos, cheques de los meses de septiembre, octubre 2025 del organismo de agua </w:t>
      </w:r>
      <w:r w:rsidR="00B50512" w:rsidRPr="00030A67">
        <w:rPr>
          <w:rFonts w:ascii="Palatino Linotype" w:hAnsi="Palatino Linotype"/>
          <w:i/>
          <w:iCs/>
          <w:color w:val="000000"/>
          <w:sz w:val="20"/>
          <w:szCs w:val="20"/>
        </w:rPr>
        <w:t>"</w:t>
      </w:r>
      <w:r w:rsidR="00A650C6" w:rsidRPr="00030A67">
        <w:rPr>
          <w:rFonts w:ascii="Palatino Linotype" w:hAnsi="Palatino Linotype"/>
          <w:i/>
          <w:iCs/>
          <w:color w:val="000000"/>
          <w:sz w:val="20"/>
          <w:szCs w:val="20"/>
        </w:rPr>
        <w:t xml:space="preserve"> </w:t>
      </w:r>
      <w:r w:rsidR="00954EDD" w:rsidRPr="00030A67">
        <w:rPr>
          <w:rFonts w:ascii="Palatino Linotype" w:hAnsi="Palatino Linotype"/>
          <w:i/>
          <w:iCs/>
          <w:color w:val="000000"/>
          <w:sz w:val="20"/>
          <w:szCs w:val="20"/>
        </w:rPr>
        <w:t>(Sic)</w:t>
      </w:r>
    </w:p>
    <w:p w14:paraId="58B461A2" w14:textId="77777777" w:rsidR="007E4927" w:rsidRPr="00030A67"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1B127119" w14:textId="77777777" w:rsidR="00E35DF9" w:rsidRPr="00030A67"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030A67">
        <w:rPr>
          <w:rFonts w:ascii="Palatino Linotype" w:hAnsi="Palatino Linotype" w:cs="Tahoma"/>
          <w:b/>
          <w:sz w:val="20"/>
          <w:szCs w:val="22"/>
        </w:rPr>
        <w:lastRenderedPageBreak/>
        <w:t>MODALIDAD DE ENTREGA</w:t>
      </w:r>
      <w:r w:rsidR="00007985" w:rsidRPr="00030A67">
        <w:rPr>
          <w:rFonts w:ascii="Palatino Linotype" w:hAnsi="Palatino Linotype" w:cs="Tahoma"/>
          <w:b/>
          <w:sz w:val="20"/>
          <w:szCs w:val="22"/>
        </w:rPr>
        <w:t xml:space="preserve"> </w:t>
      </w:r>
      <w:r w:rsidR="007E4927" w:rsidRPr="00030A67">
        <w:rPr>
          <w:rFonts w:ascii="Palatino Linotype" w:hAnsi="Palatino Linotype" w:cs="Tahoma"/>
          <w:i/>
          <w:sz w:val="20"/>
          <w:szCs w:val="22"/>
        </w:rPr>
        <w:t>“</w:t>
      </w:r>
      <w:r w:rsidR="00062387" w:rsidRPr="00030A67">
        <w:rPr>
          <w:rFonts w:ascii="Palatino Linotype" w:hAnsi="Palatino Linotype" w:cs="Tahoma"/>
          <w:i/>
          <w:sz w:val="20"/>
          <w:szCs w:val="22"/>
        </w:rPr>
        <w:t>A través del SAIMEX</w:t>
      </w:r>
      <w:r w:rsidR="007E4927" w:rsidRPr="00030A67">
        <w:rPr>
          <w:rFonts w:ascii="Palatino Linotype" w:hAnsi="Palatino Linotype" w:cs="Tahoma"/>
          <w:i/>
          <w:sz w:val="20"/>
          <w:szCs w:val="22"/>
        </w:rPr>
        <w:t>”</w:t>
      </w:r>
    </w:p>
    <w:p w14:paraId="13B7EB88" w14:textId="77777777" w:rsidR="00681D84" w:rsidRPr="00030A67" w:rsidRDefault="00954EDD" w:rsidP="000B54EE">
      <w:pPr>
        <w:pStyle w:val="Ttulo2"/>
        <w:spacing w:before="0" w:line="360" w:lineRule="auto"/>
      </w:pPr>
      <w:bookmarkStart w:id="4" w:name="_Toc221201932"/>
      <w:r w:rsidRPr="00030A67">
        <w:rPr>
          <w:rFonts w:ascii="Palatino Linotype" w:hAnsi="Palatino Linotype" w:cs="Tahoma"/>
          <w:b/>
          <w:color w:val="auto"/>
          <w:sz w:val="22"/>
          <w:szCs w:val="22"/>
        </w:rPr>
        <w:t>I</w:t>
      </w:r>
      <w:r w:rsidR="00F86BFB" w:rsidRPr="00030A67">
        <w:rPr>
          <w:rFonts w:ascii="Palatino Linotype" w:hAnsi="Palatino Linotype" w:cs="Tahoma"/>
          <w:b/>
          <w:color w:val="auto"/>
          <w:sz w:val="22"/>
          <w:szCs w:val="22"/>
        </w:rPr>
        <w:t xml:space="preserve">I. </w:t>
      </w:r>
      <w:r w:rsidR="00681D84" w:rsidRPr="00030A67">
        <w:rPr>
          <w:rFonts w:ascii="Palatino Linotype" w:hAnsi="Palatino Linotype" w:cs="Tahoma"/>
          <w:b/>
          <w:color w:val="auto"/>
          <w:sz w:val="22"/>
          <w:szCs w:val="22"/>
        </w:rPr>
        <w:t>Respuesta del Sujeto Obligado</w:t>
      </w:r>
      <w:bookmarkEnd w:id="4"/>
    </w:p>
    <w:p w14:paraId="11D37C94" w14:textId="77777777" w:rsidR="00E0128F" w:rsidRPr="00030A67"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795EE7C5" w14:textId="5EF9786C" w:rsidR="009908D1" w:rsidRPr="00030A67"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030A67">
        <w:rPr>
          <w:rFonts w:ascii="Palatino Linotype" w:hAnsi="Palatino Linotype" w:cs="Tahoma"/>
          <w:sz w:val="22"/>
          <w:szCs w:val="22"/>
        </w:rPr>
        <w:t>El</w:t>
      </w:r>
      <w:r w:rsidR="00681D84" w:rsidRPr="00030A67">
        <w:rPr>
          <w:rFonts w:ascii="Palatino Linotype" w:hAnsi="Palatino Linotype" w:cs="Tahoma"/>
          <w:sz w:val="22"/>
          <w:szCs w:val="22"/>
        </w:rPr>
        <w:t xml:space="preserve"> </w:t>
      </w:r>
      <w:r w:rsidR="0072268E" w:rsidRPr="00030A67">
        <w:rPr>
          <w:rFonts w:ascii="Palatino Linotype" w:hAnsi="Palatino Linotype" w:cs="Tahoma"/>
          <w:sz w:val="22"/>
          <w:szCs w:val="22"/>
        </w:rPr>
        <w:t>cu</w:t>
      </w:r>
      <w:r w:rsidR="000279EE" w:rsidRPr="00030A67">
        <w:rPr>
          <w:rFonts w:ascii="Palatino Linotype" w:hAnsi="Palatino Linotype" w:cs="Tahoma"/>
          <w:sz w:val="22"/>
          <w:szCs w:val="22"/>
        </w:rPr>
        <w:t>atro</w:t>
      </w:r>
      <w:r w:rsidR="00314520" w:rsidRPr="00030A67">
        <w:rPr>
          <w:rFonts w:ascii="Palatino Linotype" w:hAnsi="Palatino Linotype" w:cs="Tahoma"/>
          <w:sz w:val="22"/>
          <w:szCs w:val="22"/>
        </w:rPr>
        <w:t xml:space="preserve"> de diciembre</w:t>
      </w:r>
      <w:r w:rsidR="00DB28B1" w:rsidRPr="00030A67">
        <w:rPr>
          <w:rFonts w:ascii="Palatino Linotype" w:hAnsi="Palatino Linotype" w:cs="Tahoma"/>
          <w:sz w:val="22"/>
          <w:szCs w:val="22"/>
        </w:rPr>
        <w:t xml:space="preserve"> </w:t>
      </w:r>
      <w:r w:rsidR="00B71F2C" w:rsidRPr="00030A67">
        <w:rPr>
          <w:rFonts w:ascii="Palatino Linotype" w:hAnsi="Palatino Linotype" w:cs="Tahoma"/>
          <w:sz w:val="22"/>
          <w:szCs w:val="22"/>
        </w:rPr>
        <w:t>de dos mil veinti</w:t>
      </w:r>
      <w:r w:rsidR="00F93A36" w:rsidRPr="00030A67">
        <w:rPr>
          <w:rFonts w:ascii="Palatino Linotype" w:hAnsi="Palatino Linotype" w:cs="Tahoma"/>
          <w:sz w:val="22"/>
          <w:szCs w:val="22"/>
        </w:rPr>
        <w:t>c</w:t>
      </w:r>
      <w:r w:rsidR="00CD10BF" w:rsidRPr="00030A67">
        <w:rPr>
          <w:rFonts w:ascii="Palatino Linotype" w:hAnsi="Palatino Linotype" w:cs="Tahoma"/>
          <w:sz w:val="22"/>
          <w:szCs w:val="22"/>
        </w:rPr>
        <w:t>inco</w:t>
      </w:r>
      <w:r w:rsidR="00681D84" w:rsidRPr="00030A67">
        <w:rPr>
          <w:rFonts w:ascii="Palatino Linotype" w:hAnsi="Palatino Linotype" w:cs="Tahoma"/>
          <w:sz w:val="22"/>
          <w:szCs w:val="22"/>
        </w:rPr>
        <w:t xml:space="preserve">, </w:t>
      </w:r>
      <w:r w:rsidR="00D74B06" w:rsidRPr="00030A67">
        <w:rPr>
          <w:rFonts w:ascii="Palatino Linotype" w:hAnsi="Palatino Linotype" w:cs="Tahoma"/>
          <w:sz w:val="22"/>
          <w:szCs w:val="22"/>
        </w:rPr>
        <w:t xml:space="preserve">el Sujeto Obligado </w:t>
      </w:r>
      <w:r w:rsidR="008453FA" w:rsidRPr="00030A67">
        <w:rPr>
          <w:rFonts w:ascii="Palatino Linotype" w:hAnsi="Palatino Linotype" w:cs="Tahoma"/>
          <w:sz w:val="22"/>
          <w:szCs w:val="22"/>
        </w:rPr>
        <w:t xml:space="preserve">otorgó respuesta a través del </w:t>
      </w:r>
      <w:r w:rsidRPr="00030A67">
        <w:rPr>
          <w:rFonts w:ascii="Palatino Linotype" w:hAnsi="Palatino Linotype" w:cs="Tahoma"/>
          <w:sz w:val="22"/>
          <w:szCs w:val="22"/>
        </w:rPr>
        <w:t>SAIMEX</w:t>
      </w:r>
      <w:r w:rsidR="008453FA" w:rsidRPr="00030A67">
        <w:rPr>
          <w:rFonts w:ascii="Palatino Linotype" w:hAnsi="Palatino Linotype" w:cs="Tahoma"/>
          <w:sz w:val="22"/>
          <w:szCs w:val="22"/>
        </w:rPr>
        <w:t xml:space="preserve"> en </w:t>
      </w:r>
      <w:r w:rsidR="009C323D" w:rsidRPr="00030A67">
        <w:rPr>
          <w:rFonts w:ascii="Palatino Linotype" w:hAnsi="Palatino Linotype" w:cs="Tahoma"/>
          <w:sz w:val="22"/>
          <w:szCs w:val="22"/>
        </w:rPr>
        <w:t>l</w:t>
      </w:r>
      <w:r w:rsidR="00253861" w:rsidRPr="00030A67">
        <w:rPr>
          <w:rFonts w:ascii="Palatino Linotype" w:hAnsi="Palatino Linotype" w:cs="Tahoma"/>
          <w:sz w:val="22"/>
          <w:szCs w:val="22"/>
        </w:rPr>
        <w:t xml:space="preserve">a que </w:t>
      </w:r>
      <w:r w:rsidR="000279EE" w:rsidRPr="00030A67">
        <w:rPr>
          <w:rFonts w:ascii="Palatino Linotype" w:hAnsi="Palatino Linotype" w:cs="Tahoma"/>
          <w:sz w:val="22"/>
          <w:szCs w:val="22"/>
        </w:rPr>
        <w:t>a través del Subdirector de Administración y Finanzas del Sujeto Obligado, señaló enviar las pólizas del mes de septiembre y por lo que hace a las del mes de octubre refirió que estaban en proceso de captura y desarrollo.</w:t>
      </w:r>
    </w:p>
    <w:p w14:paraId="48EE5EA3" w14:textId="77777777" w:rsidR="00785FCA" w:rsidRPr="00030A67"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7BB1669B" w14:textId="77777777" w:rsidR="001A412B" w:rsidRPr="00030A67" w:rsidRDefault="007812D1" w:rsidP="000B54EE">
      <w:pPr>
        <w:pStyle w:val="Ttulo2"/>
        <w:spacing w:before="0" w:line="360" w:lineRule="auto"/>
        <w:rPr>
          <w:rFonts w:ascii="Palatino Linotype" w:hAnsi="Palatino Linotype" w:cs="Tahoma"/>
          <w:b/>
          <w:color w:val="auto"/>
          <w:sz w:val="22"/>
          <w:szCs w:val="22"/>
        </w:rPr>
      </w:pPr>
      <w:bookmarkStart w:id="5" w:name="_Toc221201933"/>
      <w:bookmarkEnd w:id="0"/>
      <w:r w:rsidRPr="00030A67">
        <w:rPr>
          <w:rFonts w:ascii="Palatino Linotype" w:hAnsi="Palatino Linotype" w:cs="Tahoma"/>
          <w:b/>
          <w:color w:val="auto"/>
          <w:sz w:val="22"/>
          <w:szCs w:val="22"/>
        </w:rPr>
        <w:t>I</w:t>
      </w:r>
      <w:r w:rsidR="00BF4B55" w:rsidRPr="00030A67">
        <w:rPr>
          <w:rFonts w:ascii="Palatino Linotype" w:hAnsi="Palatino Linotype" w:cs="Tahoma"/>
          <w:b/>
          <w:color w:val="auto"/>
          <w:sz w:val="22"/>
          <w:szCs w:val="22"/>
        </w:rPr>
        <w:t>II</w:t>
      </w:r>
      <w:r w:rsidR="009A7587" w:rsidRPr="00030A67">
        <w:rPr>
          <w:rFonts w:ascii="Palatino Linotype" w:hAnsi="Palatino Linotype" w:cs="Tahoma"/>
          <w:b/>
          <w:color w:val="auto"/>
          <w:sz w:val="22"/>
          <w:szCs w:val="22"/>
        </w:rPr>
        <w:t>. Interposición del Recurso de Revisión</w:t>
      </w:r>
      <w:bookmarkEnd w:id="5"/>
    </w:p>
    <w:p w14:paraId="5FBA4EE1" w14:textId="77777777" w:rsidR="00F87649" w:rsidRPr="00030A67"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0970F046" w14:textId="052F2175" w:rsidR="009A7587" w:rsidRPr="00030A67" w:rsidRDefault="009A7587" w:rsidP="000B54EE">
      <w:pPr>
        <w:tabs>
          <w:tab w:val="left" w:pos="3122"/>
        </w:tabs>
        <w:spacing w:line="360" w:lineRule="auto"/>
        <w:contextualSpacing/>
        <w:jc w:val="both"/>
        <w:rPr>
          <w:rFonts w:ascii="Palatino Linotype" w:hAnsi="Palatino Linotype" w:cs="Tahoma"/>
          <w:sz w:val="22"/>
          <w:szCs w:val="22"/>
        </w:rPr>
      </w:pPr>
      <w:r w:rsidRPr="00030A67">
        <w:rPr>
          <w:rFonts w:ascii="Palatino Linotype" w:hAnsi="Palatino Linotype" w:cs="Tahoma"/>
          <w:sz w:val="22"/>
          <w:szCs w:val="22"/>
        </w:rPr>
        <w:t>Con fecha</w:t>
      </w:r>
      <w:r w:rsidR="00E13C8C" w:rsidRPr="00030A67">
        <w:rPr>
          <w:rFonts w:ascii="Palatino Linotype" w:hAnsi="Palatino Linotype" w:cs="Tahoma"/>
          <w:sz w:val="22"/>
          <w:szCs w:val="22"/>
        </w:rPr>
        <w:t xml:space="preserve"> </w:t>
      </w:r>
      <w:r w:rsidR="000279EE" w:rsidRPr="00030A67">
        <w:rPr>
          <w:rFonts w:ascii="Palatino Linotype" w:hAnsi="Palatino Linotype" w:cs="Tahoma"/>
          <w:sz w:val="22"/>
          <w:szCs w:val="22"/>
        </w:rPr>
        <w:t>dieciséis</w:t>
      </w:r>
      <w:r w:rsidR="00314520" w:rsidRPr="00030A67">
        <w:rPr>
          <w:rFonts w:ascii="Palatino Linotype" w:hAnsi="Palatino Linotype" w:cs="Tahoma"/>
          <w:sz w:val="22"/>
          <w:szCs w:val="22"/>
        </w:rPr>
        <w:t xml:space="preserve"> de diciembre </w:t>
      </w:r>
      <w:r w:rsidR="00B267E1" w:rsidRPr="00030A67">
        <w:rPr>
          <w:rFonts w:ascii="Palatino Linotype" w:hAnsi="Palatino Linotype" w:cs="Tahoma"/>
          <w:sz w:val="22"/>
          <w:szCs w:val="22"/>
        </w:rPr>
        <w:t>de dos mil veinti</w:t>
      </w:r>
      <w:r w:rsidR="00F93A36" w:rsidRPr="00030A67">
        <w:rPr>
          <w:rFonts w:ascii="Palatino Linotype" w:hAnsi="Palatino Linotype" w:cs="Tahoma"/>
          <w:sz w:val="22"/>
          <w:szCs w:val="22"/>
        </w:rPr>
        <w:t>c</w:t>
      </w:r>
      <w:r w:rsidR="00BF4B55" w:rsidRPr="00030A67">
        <w:rPr>
          <w:rFonts w:ascii="Palatino Linotype" w:hAnsi="Palatino Linotype" w:cs="Tahoma"/>
          <w:sz w:val="22"/>
          <w:szCs w:val="22"/>
        </w:rPr>
        <w:t>inco</w:t>
      </w:r>
      <w:r w:rsidRPr="00030A67">
        <w:rPr>
          <w:rFonts w:ascii="Palatino Linotype" w:hAnsi="Palatino Linotype" w:cs="Tahoma"/>
          <w:sz w:val="22"/>
          <w:szCs w:val="22"/>
        </w:rPr>
        <w:t xml:space="preserve">, a través del </w:t>
      </w:r>
      <w:r w:rsidR="00BB1F81" w:rsidRPr="00030A67">
        <w:rPr>
          <w:rFonts w:ascii="Palatino Linotype" w:hAnsi="Palatino Linotype" w:cs="Tahoma"/>
          <w:sz w:val="22"/>
          <w:szCs w:val="22"/>
          <w:lang w:val="es-ES"/>
        </w:rPr>
        <w:t>SAIMEX</w:t>
      </w:r>
      <w:r w:rsidR="00A048C7" w:rsidRPr="00030A67">
        <w:rPr>
          <w:rFonts w:ascii="Palatino Linotype" w:hAnsi="Palatino Linotype" w:cs="Tahoma"/>
          <w:sz w:val="22"/>
          <w:szCs w:val="22"/>
        </w:rPr>
        <w:t>, se interpus</w:t>
      </w:r>
      <w:r w:rsidR="003C3E71" w:rsidRPr="00030A67">
        <w:rPr>
          <w:rFonts w:ascii="Palatino Linotype" w:hAnsi="Palatino Linotype" w:cs="Tahoma"/>
          <w:sz w:val="22"/>
          <w:szCs w:val="22"/>
        </w:rPr>
        <w:t>o</w:t>
      </w:r>
      <w:r w:rsidR="00A048C7" w:rsidRPr="00030A67">
        <w:rPr>
          <w:rFonts w:ascii="Palatino Linotype" w:hAnsi="Palatino Linotype" w:cs="Tahoma"/>
          <w:sz w:val="22"/>
          <w:szCs w:val="22"/>
        </w:rPr>
        <w:t xml:space="preserve"> </w:t>
      </w:r>
      <w:r w:rsidR="003C3E71" w:rsidRPr="00030A67">
        <w:rPr>
          <w:rFonts w:ascii="Palatino Linotype" w:hAnsi="Palatino Linotype" w:cs="Tahoma"/>
          <w:sz w:val="22"/>
          <w:szCs w:val="22"/>
        </w:rPr>
        <w:t>el</w:t>
      </w:r>
      <w:r w:rsidRPr="00030A67">
        <w:rPr>
          <w:rFonts w:ascii="Palatino Linotype" w:hAnsi="Palatino Linotype" w:cs="Tahoma"/>
          <w:sz w:val="22"/>
          <w:szCs w:val="22"/>
        </w:rPr>
        <w:t xml:space="preserve"> presente Recurso de Revisión por</w:t>
      </w:r>
      <w:r w:rsidR="008E6658" w:rsidRPr="00030A67">
        <w:rPr>
          <w:rFonts w:ascii="Palatino Linotype" w:hAnsi="Palatino Linotype" w:cs="Tahoma"/>
          <w:sz w:val="22"/>
          <w:szCs w:val="22"/>
        </w:rPr>
        <w:t xml:space="preserve"> </w:t>
      </w:r>
      <w:r w:rsidR="0035716C" w:rsidRPr="00030A67">
        <w:rPr>
          <w:rFonts w:ascii="Palatino Linotype" w:hAnsi="Palatino Linotype" w:cs="Tahoma"/>
          <w:sz w:val="22"/>
          <w:szCs w:val="22"/>
        </w:rPr>
        <w:t xml:space="preserve">el </w:t>
      </w:r>
      <w:r w:rsidRPr="00030A67">
        <w:rPr>
          <w:rFonts w:ascii="Palatino Linotype" w:hAnsi="Palatino Linotype" w:cs="Tahoma"/>
          <w:sz w:val="22"/>
          <w:szCs w:val="22"/>
        </w:rPr>
        <w:t xml:space="preserve">Recurrente, en contra de </w:t>
      </w:r>
      <w:r w:rsidR="00655265" w:rsidRPr="00030A67">
        <w:rPr>
          <w:rFonts w:ascii="Palatino Linotype" w:hAnsi="Palatino Linotype" w:cs="Tahoma"/>
          <w:sz w:val="22"/>
          <w:szCs w:val="22"/>
        </w:rPr>
        <w:t>la respuesta emitida</w:t>
      </w:r>
      <w:r w:rsidRPr="00030A67">
        <w:rPr>
          <w:rFonts w:ascii="Palatino Linotype" w:hAnsi="Palatino Linotype" w:cs="Tahoma"/>
          <w:sz w:val="22"/>
          <w:szCs w:val="22"/>
        </w:rPr>
        <w:t xml:space="preserve"> por el Sujeto Obligado a </w:t>
      </w:r>
      <w:r w:rsidR="00655265" w:rsidRPr="00030A67">
        <w:rPr>
          <w:rFonts w:ascii="Palatino Linotype" w:hAnsi="Palatino Linotype" w:cs="Tahoma"/>
          <w:sz w:val="22"/>
          <w:szCs w:val="22"/>
        </w:rPr>
        <w:t>la solicitud</w:t>
      </w:r>
      <w:r w:rsidRPr="00030A67">
        <w:rPr>
          <w:rFonts w:ascii="Palatino Linotype" w:hAnsi="Palatino Linotype" w:cs="Tahoma"/>
          <w:sz w:val="22"/>
          <w:szCs w:val="22"/>
        </w:rPr>
        <w:t xml:space="preserve"> de información, en los siguientes términos:</w:t>
      </w:r>
    </w:p>
    <w:p w14:paraId="4CBE5B6F" w14:textId="77777777" w:rsidR="00AB6595" w:rsidRPr="00030A67" w:rsidRDefault="00AB6595" w:rsidP="000B54EE">
      <w:pPr>
        <w:tabs>
          <w:tab w:val="left" w:pos="4995"/>
        </w:tabs>
        <w:spacing w:line="360" w:lineRule="auto"/>
        <w:contextualSpacing/>
        <w:jc w:val="both"/>
        <w:rPr>
          <w:rFonts w:ascii="Palatino Linotype" w:hAnsi="Palatino Linotype" w:cs="Tahoma"/>
          <w:sz w:val="22"/>
          <w:szCs w:val="22"/>
        </w:rPr>
      </w:pPr>
    </w:p>
    <w:p w14:paraId="3DC69F65" w14:textId="77777777" w:rsidR="00D5699B" w:rsidRPr="00030A67" w:rsidRDefault="00D5699B" w:rsidP="000B54EE">
      <w:pPr>
        <w:spacing w:line="360" w:lineRule="auto"/>
        <w:ind w:left="567" w:right="539"/>
        <w:contextualSpacing/>
        <w:jc w:val="both"/>
        <w:rPr>
          <w:rFonts w:ascii="Palatino Linotype" w:hAnsi="Palatino Linotype" w:cs="Tahoma"/>
          <w:b/>
          <w:bCs/>
          <w:szCs w:val="22"/>
        </w:rPr>
      </w:pPr>
      <w:r w:rsidRPr="00030A67">
        <w:rPr>
          <w:rFonts w:ascii="Palatino Linotype" w:hAnsi="Palatino Linotype" w:cs="Tahoma"/>
          <w:b/>
          <w:bCs/>
          <w:szCs w:val="22"/>
        </w:rPr>
        <w:t>ACTO IMPUGNADO</w:t>
      </w:r>
    </w:p>
    <w:p w14:paraId="07DDB904" w14:textId="5A059446" w:rsidR="003D1770" w:rsidRPr="00030A67" w:rsidRDefault="007E4927" w:rsidP="000B54EE">
      <w:pPr>
        <w:spacing w:line="360" w:lineRule="auto"/>
        <w:ind w:left="567" w:right="539"/>
        <w:contextualSpacing/>
        <w:jc w:val="both"/>
        <w:rPr>
          <w:rFonts w:ascii="Palatino Linotype" w:hAnsi="Palatino Linotype" w:cs="Tahoma"/>
          <w:bCs/>
          <w:szCs w:val="22"/>
        </w:rPr>
      </w:pPr>
      <w:r w:rsidRPr="00030A67">
        <w:rPr>
          <w:rFonts w:ascii="Palatino Linotype" w:hAnsi="Palatino Linotype" w:cs="Tahoma"/>
          <w:bCs/>
          <w:i/>
          <w:szCs w:val="22"/>
        </w:rPr>
        <w:t>“</w:t>
      </w:r>
      <w:proofErr w:type="spellStart"/>
      <w:r w:rsidR="000279EE" w:rsidRPr="00030A67">
        <w:rPr>
          <w:rFonts w:ascii="Palatino Linotype" w:hAnsi="Palatino Linotype" w:cs="Tahoma"/>
          <w:bCs/>
          <w:i/>
          <w:szCs w:val="22"/>
        </w:rPr>
        <w:t>informesion</w:t>
      </w:r>
      <w:proofErr w:type="spellEnd"/>
      <w:r w:rsidR="000279EE" w:rsidRPr="00030A67">
        <w:rPr>
          <w:rFonts w:ascii="Palatino Linotype" w:hAnsi="Palatino Linotype" w:cs="Tahoma"/>
          <w:bCs/>
          <w:i/>
          <w:szCs w:val="22"/>
        </w:rPr>
        <w:t xml:space="preserve"> incompleta</w:t>
      </w:r>
      <w:r w:rsidR="00E55401" w:rsidRPr="00030A67">
        <w:rPr>
          <w:rFonts w:ascii="Palatino Linotype" w:hAnsi="Palatino Linotype" w:cs="Tahoma"/>
          <w:bCs/>
          <w:i/>
          <w:szCs w:val="22"/>
        </w:rPr>
        <w:t>"</w:t>
      </w:r>
      <w:r w:rsidR="004D62C9" w:rsidRPr="00030A67">
        <w:rPr>
          <w:rFonts w:ascii="Palatino Linotype" w:hAnsi="Palatino Linotype" w:cs="Tahoma"/>
          <w:bCs/>
          <w:i/>
          <w:szCs w:val="22"/>
        </w:rPr>
        <w:t xml:space="preserve"> (Sic)</w:t>
      </w:r>
    </w:p>
    <w:p w14:paraId="600F8154" w14:textId="77777777" w:rsidR="000B54EE" w:rsidRPr="00030A67" w:rsidRDefault="000B54EE" w:rsidP="000B54EE">
      <w:pPr>
        <w:spacing w:line="360" w:lineRule="auto"/>
        <w:ind w:left="567" w:right="539"/>
        <w:contextualSpacing/>
        <w:jc w:val="both"/>
        <w:rPr>
          <w:rFonts w:ascii="Palatino Linotype" w:hAnsi="Palatino Linotype" w:cs="Tahoma"/>
          <w:bCs/>
          <w:szCs w:val="22"/>
        </w:rPr>
      </w:pPr>
    </w:p>
    <w:p w14:paraId="4DE15A2B" w14:textId="77777777" w:rsidR="00CE2F19" w:rsidRPr="00030A67" w:rsidRDefault="00CE2F19" w:rsidP="000B54EE">
      <w:pPr>
        <w:spacing w:line="360" w:lineRule="auto"/>
        <w:ind w:left="567" w:right="539"/>
        <w:contextualSpacing/>
        <w:jc w:val="both"/>
        <w:rPr>
          <w:rFonts w:ascii="Palatino Linotype" w:hAnsi="Palatino Linotype" w:cs="Tahoma"/>
          <w:b/>
          <w:bCs/>
          <w:szCs w:val="22"/>
        </w:rPr>
      </w:pPr>
      <w:r w:rsidRPr="00030A67">
        <w:rPr>
          <w:rFonts w:ascii="Palatino Linotype" w:hAnsi="Palatino Linotype" w:cs="Tahoma"/>
          <w:b/>
          <w:bCs/>
          <w:szCs w:val="22"/>
        </w:rPr>
        <w:t>RAZONES O MOTIVOS DE LA INCONFORMIDAD</w:t>
      </w:r>
    </w:p>
    <w:p w14:paraId="594CF79D" w14:textId="753D5A2D" w:rsidR="00CE2F19" w:rsidRPr="00030A67" w:rsidRDefault="00CE2F19" w:rsidP="000B54EE">
      <w:pPr>
        <w:spacing w:line="360" w:lineRule="auto"/>
        <w:ind w:left="567" w:right="539"/>
        <w:contextualSpacing/>
        <w:jc w:val="both"/>
        <w:rPr>
          <w:rFonts w:ascii="Palatino Linotype" w:hAnsi="Palatino Linotype" w:cs="Tahoma"/>
          <w:bCs/>
          <w:i/>
          <w:szCs w:val="24"/>
        </w:rPr>
      </w:pPr>
      <w:r w:rsidRPr="00030A67">
        <w:rPr>
          <w:rFonts w:ascii="Palatino Linotype" w:hAnsi="Palatino Linotype" w:cs="Tahoma"/>
          <w:bCs/>
          <w:i/>
          <w:szCs w:val="24"/>
        </w:rPr>
        <w:t>“</w:t>
      </w:r>
      <w:bookmarkStart w:id="6" w:name="_Hlk181699048"/>
      <w:proofErr w:type="spellStart"/>
      <w:r w:rsidR="000279EE" w:rsidRPr="00030A67">
        <w:rPr>
          <w:rFonts w:ascii="Palatino Linotype" w:hAnsi="Palatino Linotype" w:cs="Tahoma"/>
          <w:bCs/>
          <w:i/>
          <w:szCs w:val="24"/>
        </w:rPr>
        <w:t>informasion</w:t>
      </w:r>
      <w:proofErr w:type="spellEnd"/>
      <w:r w:rsidR="000279EE" w:rsidRPr="00030A67">
        <w:rPr>
          <w:rFonts w:ascii="Palatino Linotype" w:hAnsi="Palatino Linotype" w:cs="Tahoma"/>
          <w:bCs/>
          <w:i/>
          <w:szCs w:val="24"/>
        </w:rPr>
        <w:t xml:space="preserve"> carente</w:t>
      </w:r>
      <w:r w:rsidRPr="00030A67">
        <w:rPr>
          <w:rFonts w:ascii="Palatino Linotype" w:hAnsi="Palatino Linotype" w:cs="Tahoma"/>
          <w:bCs/>
          <w:i/>
          <w:szCs w:val="24"/>
        </w:rPr>
        <w:t>”</w:t>
      </w:r>
      <w:r w:rsidR="004D62C9" w:rsidRPr="00030A67">
        <w:rPr>
          <w:rFonts w:ascii="Palatino Linotype" w:hAnsi="Palatino Linotype" w:cs="Tahoma"/>
          <w:bCs/>
          <w:i/>
          <w:szCs w:val="24"/>
        </w:rPr>
        <w:t xml:space="preserve"> (Sic)</w:t>
      </w:r>
    </w:p>
    <w:p w14:paraId="78C433A0" w14:textId="77777777" w:rsidR="00342378" w:rsidRPr="00030A67" w:rsidRDefault="00342378" w:rsidP="000B54EE">
      <w:pPr>
        <w:spacing w:line="360" w:lineRule="auto"/>
        <w:ind w:right="539"/>
        <w:contextualSpacing/>
        <w:jc w:val="both"/>
        <w:rPr>
          <w:rFonts w:ascii="Palatino Linotype" w:hAnsi="Palatino Linotype" w:cs="Tahoma"/>
          <w:bCs/>
          <w:i/>
          <w:szCs w:val="24"/>
        </w:rPr>
      </w:pPr>
    </w:p>
    <w:p w14:paraId="19FD690E" w14:textId="77777777" w:rsidR="009A7587" w:rsidRPr="00030A67" w:rsidRDefault="00BF4B55" w:rsidP="000B54EE">
      <w:pPr>
        <w:pStyle w:val="Ttulo2"/>
        <w:spacing w:before="0" w:line="360" w:lineRule="auto"/>
        <w:rPr>
          <w:rFonts w:ascii="Palatino Linotype" w:eastAsia="Batang" w:hAnsi="Palatino Linotype" w:cs="Tahoma"/>
          <w:b/>
          <w:bCs/>
          <w:color w:val="auto"/>
          <w:sz w:val="22"/>
          <w:szCs w:val="22"/>
        </w:rPr>
      </w:pPr>
      <w:bookmarkStart w:id="7" w:name="_Toc221201934"/>
      <w:bookmarkEnd w:id="6"/>
      <w:r w:rsidRPr="00030A67">
        <w:rPr>
          <w:rStyle w:val="Ttulo2Car"/>
          <w:rFonts w:ascii="Palatino Linotype" w:hAnsi="Palatino Linotype"/>
          <w:b/>
          <w:color w:val="auto"/>
          <w:sz w:val="22"/>
          <w:szCs w:val="22"/>
        </w:rPr>
        <w:t>I</w:t>
      </w:r>
      <w:r w:rsidR="00FF1049" w:rsidRPr="00030A67">
        <w:rPr>
          <w:rStyle w:val="Ttulo2Car"/>
          <w:rFonts w:ascii="Palatino Linotype" w:hAnsi="Palatino Linotype"/>
          <w:b/>
          <w:color w:val="auto"/>
          <w:sz w:val="22"/>
          <w:szCs w:val="22"/>
        </w:rPr>
        <w:t>V</w:t>
      </w:r>
      <w:r w:rsidR="009A7587" w:rsidRPr="00030A67">
        <w:rPr>
          <w:rStyle w:val="Ttulo2Car"/>
          <w:rFonts w:ascii="Palatino Linotype" w:hAnsi="Palatino Linotype"/>
          <w:b/>
          <w:color w:val="auto"/>
          <w:sz w:val="22"/>
          <w:szCs w:val="22"/>
        </w:rPr>
        <w:t>. Trámite del Recurso de Revisión ante el Instituto</w:t>
      </w:r>
      <w:bookmarkEnd w:id="7"/>
    </w:p>
    <w:p w14:paraId="29B3EF2A" w14:textId="77777777" w:rsidR="007E4927" w:rsidRPr="00030A67" w:rsidRDefault="007E4927" w:rsidP="000B54EE">
      <w:pPr>
        <w:spacing w:line="360" w:lineRule="auto"/>
        <w:contextualSpacing/>
        <w:jc w:val="both"/>
        <w:rPr>
          <w:rFonts w:ascii="Palatino Linotype" w:eastAsia="Batang" w:hAnsi="Palatino Linotype" w:cs="Tahoma"/>
          <w:b/>
          <w:bCs/>
          <w:sz w:val="22"/>
          <w:szCs w:val="22"/>
        </w:rPr>
      </w:pPr>
    </w:p>
    <w:p w14:paraId="76EAF71F" w14:textId="2DF87FBD" w:rsidR="00C950E3" w:rsidRPr="00030A67" w:rsidRDefault="009A7587" w:rsidP="000B54EE">
      <w:pPr>
        <w:spacing w:line="360" w:lineRule="auto"/>
        <w:contextualSpacing/>
        <w:jc w:val="both"/>
        <w:rPr>
          <w:rFonts w:ascii="Palatino Linotype" w:eastAsia="Batang" w:hAnsi="Palatino Linotype" w:cs="Tahoma"/>
          <w:bCs/>
          <w:sz w:val="22"/>
          <w:szCs w:val="22"/>
        </w:rPr>
      </w:pPr>
      <w:bookmarkStart w:id="8" w:name="_Toc205306988"/>
      <w:bookmarkStart w:id="9" w:name="_Toc221201935"/>
      <w:r w:rsidRPr="00030A67">
        <w:rPr>
          <w:rStyle w:val="Ttulo3Car"/>
          <w:rFonts w:ascii="Palatino Linotype" w:hAnsi="Palatino Linotype"/>
          <w:b/>
          <w:color w:val="auto"/>
          <w:sz w:val="22"/>
          <w:szCs w:val="22"/>
        </w:rPr>
        <w:t>a) Turno del Recurso de Revisión</w:t>
      </w:r>
      <w:r w:rsidRPr="00030A67">
        <w:rPr>
          <w:rStyle w:val="Ttulo3Car"/>
          <w:rFonts w:ascii="Palatino Linotype" w:hAnsi="Palatino Linotype"/>
          <w:color w:val="auto"/>
          <w:sz w:val="22"/>
          <w:szCs w:val="22"/>
        </w:rPr>
        <w:t>.</w:t>
      </w:r>
      <w:bookmarkEnd w:id="8"/>
      <w:bookmarkEnd w:id="9"/>
      <w:r w:rsidRPr="00030A67">
        <w:rPr>
          <w:rFonts w:ascii="Palatino Linotype" w:eastAsia="Batang" w:hAnsi="Palatino Linotype" w:cs="Tahoma"/>
          <w:b/>
          <w:bCs/>
          <w:sz w:val="22"/>
          <w:szCs w:val="22"/>
        </w:rPr>
        <w:t xml:space="preserve"> </w:t>
      </w:r>
      <w:r w:rsidR="00A06844" w:rsidRPr="00030A67">
        <w:rPr>
          <w:rFonts w:ascii="Palatino Linotype" w:eastAsia="Batang" w:hAnsi="Palatino Linotype" w:cs="Tahoma"/>
          <w:bCs/>
          <w:sz w:val="22"/>
          <w:szCs w:val="22"/>
        </w:rPr>
        <w:t xml:space="preserve">El </w:t>
      </w:r>
      <w:r w:rsidR="000279EE" w:rsidRPr="00030A67">
        <w:rPr>
          <w:rFonts w:ascii="Palatino Linotype" w:hAnsi="Palatino Linotype" w:cs="Tahoma"/>
          <w:sz w:val="22"/>
          <w:szCs w:val="22"/>
        </w:rPr>
        <w:t>dieciséis</w:t>
      </w:r>
      <w:r w:rsidR="00314520" w:rsidRPr="00030A67">
        <w:rPr>
          <w:rFonts w:ascii="Palatino Linotype" w:hAnsi="Palatino Linotype" w:cs="Tahoma"/>
          <w:sz w:val="22"/>
          <w:szCs w:val="22"/>
        </w:rPr>
        <w:t xml:space="preserve"> de diciembre </w:t>
      </w:r>
      <w:r w:rsidR="00BF4B55" w:rsidRPr="00030A67">
        <w:rPr>
          <w:rFonts w:ascii="Palatino Linotype" w:hAnsi="Palatino Linotype" w:cs="Tahoma"/>
          <w:sz w:val="22"/>
          <w:szCs w:val="22"/>
        </w:rPr>
        <w:t>de dos mil veinticinco</w:t>
      </w:r>
      <w:r w:rsidR="00A06844" w:rsidRPr="00030A67">
        <w:rPr>
          <w:rFonts w:ascii="Palatino Linotype" w:eastAsia="Batang" w:hAnsi="Palatino Linotype" w:cs="Tahoma"/>
          <w:bCs/>
          <w:sz w:val="22"/>
          <w:szCs w:val="22"/>
        </w:rPr>
        <w:t xml:space="preserve">, </w:t>
      </w:r>
      <w:r w:rsidR="00D5699B" w:rsidRPr="00030A67">
        <w:rPr>
          <w:rFonts w:ascii="Palatino Linotype" w:eastAsia="Batang" w:hAnsi="Palatino Linotype" w:cs="Tahoma"/>
          <w:bCs/>
          <w:sz w:val="22"/>
          <w:szCs w:val="22"/>
        </w:rPr>
        <w:t xml:space="preserve">el </w:t>
      </w:r>
      <w:r w:rsidR="00BB1F81" w:rsidRPr="00030A67">
        <w:rPr>
          <w:rFonts w:ascii="Palatino Linotype" w:eastAsia="Batang" w:hAnsi="Palatino Linotype" w:cs="Tahoma"/>
          <w:bCs/>
          <w:sz w:val="22"/>
          <w:szCs w:val="22"/>
        </w:rPr>
        <w:t>SAIMEX</w:t>
      </w:r>
      <w:r w:rsidR="00D5699B" w:rsidRPr="00030A67">
        <w:rPr>
          <w:rFonts w:ascii="Palatino Linotype" w:eastAsia="Batang" w:hAnsi="Palatino Linotype" w:cs="Tahoma"/>
          <w:bCs/>
          <w:sz w:val="22"/>
          <w:szCs w:val="22"/>
        </w:rPr>
        <w:t xml:space="preserve">, asignó el número de expediente </w:t>
      </w:r>
      <w:r w:rsidR="00314520" w:rsidRPr="00030A67">
        <w:rPr>
          <w:rFonts w:ascii="Palatino Linotype" w:eastAsia="Batang" w:hAnsi="Palatino Linotype" w:cs="Tahoma"/>
          <w:b/>
          <w:bCs/>
          <w:sz w:val="22"/>
          <w:szCs w:val="22"/>
        </w:rPr>
        <w:t>14</w:t>
      </w:r>
      <w:r w:rsidR="000279EE" w:rsidRPr="00030A67">
        <w:rPr>
          <w:rFonts w:ascii="Palatino Linotype" w:eastAsia="Batang" w:hAnsi="Palatino Linotype" w:cs="Tahoma"/>
          <w:b/>
          <w:bCs/>
          <w:sz w:val="22"/>
          <w:szCs w:val="22"/>
        </w:rPr>
        <w:t>411</w:t>
      </w:r>
      <w:r w:rsidR="00D5699B" w:rsidRPr="00030A67">
        <w:rPr>
          <w:rFonts w:ascii="Palatino Linotype" w:eastAsia="Batang" w:hAnsi="Palatino Linotype" w:cs="Tahoma"/>
          <w:b/>
          <w:bCs/>
          <w:sz w:val="22"/>
          <w:szCs w:val="22"/>
        </w:rPr>
        <w:t>/INFOEM/IP/RR/202</w:t>
      </w:r>
      <w:r w:rsidR="00BF4B55" w:rsidRPr="00030A67">
        <w:rPr>
          <w:rFonts w:ascii="Palatino Linotype" w:eastAsia="Batang" w:hAnsi="Palatino Linotype" w:cs="Tahoma"/>
          <w:b/>
          <w:bCs/>
          <w:sz w:val="22"/>
          <w:szCs w:val="22"/>
        </w:rPr>
        <w:t>5</w:t>
      </w:r>
      <w:r w:rsidR="00D5699B" w:rsidRPr="00030A6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030A67">
        <w:rPr>
          <w:rFonts w:ascii="Palatino Linotype" w:eastAsia="Batang" w:hAnsi="Palatino Linotype" w:cs="Tahoma"/>
          <w:b/>
          <w:bCs/>
          <w:sz w:val="22"/>
          <w:szCs w:val="22"/>
        </w:rPr>
        <w:t>Comisionado Ponente Luis Gustavo Parra Noriega</w:t>
      </w:r>
      <w:r w:rsidR="00D5699B" w:rsidRPr="00030A67">
        <w:rPr>
          <w:rFonts w:ascii="Palatino Linotype" w:eastAsia="Batang" w:hAnsi="Palatino Linotype" w:cs="Tahoma"/>
          <w:bCs/>
          <w:sz w:val="22"/>
          <w:szCs w:val="22"/>
        </w:rPr>
        <w:t xml:space="preserve">, para los efectos del </w:t>
      </w:r>
      <w:r w:rsidR="00D5699B" w:rsidRPr="00030A67">
        <w:rPr>
          <w:rFonts w:ascii="Palatino Linotype" w:eastAsia="Batang" w:hAnsi="Palatino Linotype" w:cs="Tahoma"/>
          <w:bCs/>
          <w:sz w:val="22"/>
          <w:szCs w:val="22"/>
        </w:rPr>
        <w:lastRenderedPageBreak/>
        <w:t>artículo 185, fracción I</w:t>
      </w:r>
      <w:r w:rsidR="00BB1F81" w:rsidRPr="00030A67">
        <w:rPr>
          <w:rFonts w:ascii="Palatino Linotype" w:eastAsia="Batang" w:hAnsi="Palatino Linotype" w:cs="Tahoma"/>
          <w:bCs/>
          <w:sz w:val="22"/>
          <w:szCs w:val="22"/>
        </w:rPr>
        <w:t>,</w:t>
      </w:r>
      <w:r w:rsidR="00D5699B" w:rsidRPr="00030A67">
        <w:rPr>
          <w:rFonts w:ascii="Palatino Linotype" w:eastAsia="Batang" w:hAnsi="Palatino Linotype" w:cs="Tahoma"/>
          <w:bCs/>
          <w:sz w:val="22"/>
          <w:szCs w:val="22"/>
        </w:rPr>
        <w:t xml:space="preserve"> de la Ley de Transparencia y Acceso a la Información Pública del Estado de México y Municipios.</w:t>
      </w:r>
    </w:p>
    <w:p w14:paraId="2F174A70" w14:textId="77777777" w:rsidR="00D5699B" w:rsidRPr="00030A67" w:rsidRDefault="00D5699B" w:rsidP="000B54EE">
      <w:pPr>
        <w:spacing w:line="360" w:lineRule="auto"/>
        <w:contextualSpacing/>
        <w:jc w:val="both"/>
        <w:rPr>
          <w:rFonts w:ascii="Palatino Linotype" w:eastAsia="Batang" w:hAnsi="Palatino Linotype" w:cs="Tahoma"/>
          <w:b/>
          <w:bCs/>
          <w:sz w:val="22"/>
          <w:szCs w:val="22"/>
        </w:rPr>
      </w:pPr>
    </w:p>
    <w:p w14:paraId="2B8F6D00" w14:textId="088F9991" w:rsidR="00253937" w:rsidRPr="00030A67" w:rsidRDefault="009A7587" w:rsidP="000B54EE">
      <w:pPr>
        <w:spacing w:line="360" w:lineRule="auto"/>
        <w:contextualSpacing/>
        <w:jc w:val="both"/>
        <w:rPr>
          <w:rFonts w:ascii="Palatino Linotype" w:hAnsi="Palatino Linotype" w:cs="Tahoma"/>
          <w:bCs/>
          <w:sz w:val="22"/>
          <w:szCs w:val="22"/>
          <w:lang w:val="es-ES_tradnl"/>
        </w:rPr>
      </w:pPr>
      <w:bookmarkStart w:id="10" w:name="_Toc205306989"/>
      <w:bookmarkStart w:id="11" w:name="_Toc221201936"/>
      <w:r w:rsidRPr="00030A67">
        <w:rPr>
          <w:rStyle w:val="Ttulo3Car"/>
          <w:rFonts w:ascii="Palatino Linotype" w:hAnsi="Palatino Linotype"/>
          <w:b/>
          <w:color w:val="auto"/>
          <w:sz w:val="22"/>
          <w:szCs w:val="22"/>
        </w:rPr>
        <w:t>b) Admisión del Recurso de Revisión</w:t>
      </w:r>
      <w:r w:rsidRPr="00030A67">
        <w:rPr>
          <w:rStyle w:val="Ttulo3Car"/>
          <w:rFonts w:ascii="Palatino Linotype" w:hAnsi="Palatino Linotype"/>
          <w:color w:val="auto"/>
          <w:sz w:val="22"/>
          <w:szCs w:val="22"/>
        </w:rPr>
        <w:t>.</w:t>
      </w:r>
      <w:bookmarkEnd w:id="10"/>
      <w:bookmarkEnd w:id="11"/>
      <w:r w:rsidRPr="00030A67">
        <w:rPr>
          <w:rFonts w:ascii="Palatino Linotype" w:eastAsia="Batang" w:hAnsi="Palatino Linotype" w:cs="Tahoma"/>
          <w:b/>
          <w:bCs/>
          <w:sz w:val="22"/>
          <w:szCs w:val="22"/>
          <w:lang w:val="es-ES_tradnl"/>
        </w:rPr>
        <w:t xml:space="preserve"> </w:t>
      </w:r>
      <w:r w:rsidRPr="00030A67">
        <w:rPr>
          <w:rFonts w:ascii="Palatino Linotype" w:hAnsi="Palatino Linotype" w:cs="Tahoma"/>
          <w:bCs/>
          <w:sz w:val="22"/>
          <w:szCs w:val="22"/>
        </w:rPr>
        <w:t>El</w:t>
      </w:r>
      <w:r w:rsidR="00EB3A2C" w:rsidRPr="00030A67">
        <w:rPr>
          <w:rFonts w:ascii="Palatino Linotype" w:hAnsi="Palatino Linotype" w:cs="Tahoma"/>
          <w:bCs/>
          <w:sz w:val="22"/>
          <w:szCs w:val="22"/>
        </w:rPr>
        <w:t xml:space="preserve"> </w:t>
      </w:r>
      <w:r w:rsidR="000279EE" w:rsidRPr="00030A67">
        <w:rPr>
          <w:rFonts w:ascii="Palatino Linotype" w:hAnsi="Palatino Linotype" w:cs="Tahoma"/>
          <w:bCs/>
          <w:sz w:val="22"/>
          <w:szCs w:val="22"/>
        </w:rPr>
        <w:t>diecinueve</w:t>
      </w:r>
      <w:r w:rsidR="00314520" w:rsidRPr="00030A67">
        <w:rPr>
          <w:rFonts w:ascii="Palatino Linotype" w:hAnsi="Palatino Linotype" w:cs="Tahoma"/>
          <w:bCs/>
          <w:sz w:val="22"/>
          <w:szCs w:val="22"/>
        </w:rPr>
        <w:t xml:space="preserve"> de diciembre </w:t>
      </w:r>
      <w:r w:rsidR="00BF4B55" w:rsidRPr="00030A67">
        <w:rPr>
          <w:rFonts w:ascii="Palatino Linotype" w:hAnsi="Palatino Linotype" w:cs="Tahoma"/>
          <w:bCs/>
          <w:sz w:val="22"/>
          <w:szCs w:val="22"/>
        </w:rPr>
        <w:t>de dos mil veinticinco</w:t>
      </w:r>
      <w:r w:rsidRPr="00030A67">
        <w:rPr>
          <w:rFonts w:ascii="Palatino Linotype" w:hAnsi="Palatino Linotype" w:cs="Tahoma"/>
          <w:bCs/>
          <w:sz w:val="22"/>
          <w:szCs w:val="22"/>
        </w:rPr>
        <w:t xml:space="preserve">, </w:t>
      </w:r>
      <w:r w:rsidR="001F787A" w:rsidRPr="00030A67">
        <w:rPr>
          <w:rFonts w:ascii="Palatino Linotype" w:hAnsi="Palatino Linotype" w:cs="Tahoma"/>
          <w:bCs/>
          <w:sz w:val="22"/>
          <w:szCs w:val="22"/>
        </w:rPr>
        <w:t xml:space="preserve">se acordó la admisión del </w:t>
      </w:r>
      <w:r w:rsidR="001F787A" w:rsidRPr="00030A67">
        <w:rPr>
          <w:rFonts w:ascii="Palatino Linotype" w:hAnsi="Palatino Linotype" w:cs="Tahoma"/>
          <w:bCs/>
          <w:sz w:val="22"/>
          <w:szCs w:val="22"/>
          <w:lang w:val="es-ES_tradnl"/>
        </w:rPr>
        <w:t xml:space="preserve">Recurso de Revisión interpuesto por el Recurrente en contra del </w:t>
      </w:r>
      <w:r w:rsidR="001F787A" w:rsidRPr="00030A67">
        <w:rPr>
          <w:rFonts w:ascii="Palatino Linotype" w:hAnsi="Palatino Linotype" w:cs="Tahoma"/>
          <w:b/>
          <w:bCs/>
          <w:sz w:val="22"/>
          <w:szCs w:val="22"/>
          <w:lang w:val="es-ES_tradnl"/>
        </w:rPr>
        <w:t>Sujeto Obligado</w:t>
      </w:r>
      <w:r w:rsidR="001F787A" w:rsidRPr="00030A67">
        <w:rPr>
          <w:rFonts w:ascii="Palatino Linotype" w:hAnsi="Palatino Linotype" w:cs="Tahoma"/>
          <w:bCs/>
          <w:sz w:val="22"/>
          <w:szCs w:val="22"/>
          <w:lang w:val="es-ES_tradnl"/>
        </w:rPr>
        <w:t>, en términos del artículo 185, fracciones I, II y IV</w:t>
      </w:r>
      <w:r w:rsidR="00BB1F81" w:rsidRPr="00030A67">
        <w:rPr>
          <w:rFonts w:ascii="Palatino Linotype" w:hAnsi="Palatino Linotype" w:cs="Tahoma"/>
          <w:bCs/>
          <w:sz w:val="22"/>
          <w:szCs w:val="22"/>
          <w:lang w:val="es-ES_tradnl"/>
        </w:rPr>
        <w:t>,</w:t>
      </w:r>
      <w:r w:rsidR="001F787A" w:rsidRPr="00030A67">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030A67">
        <w:rPr>
          <w:rFonts w:ascii="Palatino Linotype" w:hAnsi="Palatino Linotype" w:cs="Tahoma"/>
          <w:bCs/>
          <w:sz w:val="22"/>
          <w:szCs w:val="22"/>
          <w:lang w:val="es-ES_tradnl"/>
        </w:rPr>
        <w:t>o a las partes el mismo día</w:t>
      </w:r>
      <w:r w:rsidR="001F787A" w:rsidRPr="00030A67">
        <w:rPr>
          <w:rFonts w:ascii="Palatino Linotype" w:hAnsi="Palatino Linotype" w:cs="Tahoma"/>
          <w:bCs/>
          <w:sz w:val="22"/>
          <w:szCs w:val="22"/>
          <w:lang w:val="es-ES_tradnl"/>
        </w:rPr>
        <w:t xml:space="preserve"> a través del </w:t>
      </w:r>
      <w:r w:rsidR="00BB1F81" w:rsidRPr="00030A67">
        <w:rPr>
          <w:rFonts w:ascii="Palatino Linotype" w:hAnsi="Palatino Linotype" w:cs="Tahoma"/>
          <w:bCs/>
          <w:sz w:val="22"/>
          <w:szCs w:val="22"/>
          <w:lang w:val="es-ES_tradnl"/>
        </w:rPr>
        <w:t>SAIMEX</w:t>
      </w:r>
      <w:r w:rsidR="001F787A" w:rsidRPr="00030A67">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8556953" w14:textId="77777777" w:rsidR="00253937" w:rsidRPr="00030A67" w:rsidRDefault="00253937" w:rsidP="000B54EE">
      <w:pPr>
        <w:spacing w:line="360" w:lineRule="auto"/>
        <w:contextualSpacing/>
        <w:jc w:val="both"/>
        <w:rPr>
          <w:rFonts w:ascii="Palatino Linotype" w:hAnsi="Palatino Linotype" w:cs="Tahoma"/>
          <w:bCs/>
          <w:sz w:val="22"/>
          <w:szCs w:val="22"/>
          <w:lang w:val="es-ES_tradnl"/>
        </w:rPr>
      </w:pPr>
    </w:p>
    <w:p w14:paraId="527750EC" w14:textId="317E3665" w:rsidR="000279EE" w:rsidRPr="00030A67" w:rsidRDefault="000279EE" w:rsidP="000279EE">
      <w:pPr>
        <w:spacing w:line="360" w:lineRule="auto"/>
        <w:jc w:val="both"/>
        <w:rPr>
          <w:rFonts w:ascii="Palatino Linotype" w:eastAsia="Palatino Linotype" w:hAnsi="Palatino Linotype" w:cs="Palatino Linotype"/>
          <w:color w:val="000000"/>
          <w:sz w:val="22"/>
          <w:szCs w:val="22"/>
          <w:lang w:eastAsia="es-MX"/>
        </w:rPr>
      </w:pPr>
      <w:bookmarkStart w:id="12" w:name="_Toc190261913"/>
      <w:bookmarkStart w:id="13" w:name="_Toc196917717"/>
      <w:bookmarkStart w:id="14" w:name="_Toc205306990"/>
      <w:bookmarkStart w:id="15" w:name="_Toc190261914"/>
      <w:bookmarkStart w:id="16" w:name="_Toc196917718"/>
      <w:r w:rsidRPr="00030A67">
        <w:rPr>
          <w:rFonts w:ascii="Palatino Linotype" w:eastAsiaTheme="majorEastAsia" w:hAnsi="Palatino Linotype"/>
          <w:b/>
          <w:bCs/>
          <w:sz w:val="22"/>
          <w:szCs w:val="22"/>
        </w:rPr>
        <w:t xml:space="preserve">c) Informe Justificado. </w:t>
      </w:r>
      <w:r w:rsidRPr="00030A67">
        <w:rPr>
          <w:rFonts w:ascii="Palatino Linotype" w:eastAsiaTheme="majorEastAsia" w:hAnsi="Palatino Linotype"/>
          <w:sz w:val="22"/>
          <w:szCs w:val="22"/>
        </w:rPr>
        <w:t>El</w:t>
      </w:r>
      <w:r w:rsidRPr="00030A67">
        <w:rPr>
          <w:rFonts w:ascii="Palatino Linotype" w:eastAsia="Palatino Linotype" w:hAnsi="Palatino Linotype" w:cs="Palatino Linotype"/>
          <w:b/>
          <w:color w:val="000000"/>
          <w:sz w:val="22"/>
          <w:szCs w:val="22"/>
          <w:lang w:eastAsia="es-MX"/>
        </w:rPr>
        <w:t xml:space="preserve"> </w:t>
      </w:r>
      <w:r w:rsidRPr="00030A67">
        <w:rPr>
          <w:rFonts w:ascii="Palatino Linotype" w:eastAsia="Palatino Linotype" w:hAnsi="Palatino Linotype" w:cs="Palatino Linotype"/>
          <w:bCs/>
          <w:color w:val="000000"/>
          <w:sz w:val="22"/>
          <w:szCs w:val="22"/>
          <w:lang w:eastAsia="es-MX"/>
        </w:rPr>
        <w:t>veintiuno de enero de dos mil veintiséis</w:t>
      </w:r>
      <w:r w:rsidRPr="00030A67">
        <w:rPr>
          <w:rFonts w:ascii="Palatino Linotype" w:eastAsia="Palatino Linotype" w:hAnsi="Palatino Linotype" w:cs="Palatino Linotype"/>
          <w:color w:val="000000"/>
          <w:sz w:val="22"/>
          <w:szCs w:val="22"/>
          <w:lang w:eastAsia="es-MX"/>
        </w:rPr>
        <w:t>, a través del Sistema de Acceso a la Información Mexiquense (SAIMEX), se recibió en este Instituto el informe justificado por parte del Sujeto Obligado, por medio del cual ratificó su respuesta.</w:t>
      </w:r>
    </w:p>
    <w:p w14:paraId="4668616C" w14:textId="77777777" w:rsidR="000279EE" w:rsidRPr="00030A67" w:rsidRDefault="000279EE" w:rsidP="000279EE">
      <w:pPr>
        <w:spacing w:line="360" w:lineRule="auto"/>
        <w:jc w:val="both"/>
        <w:rPr>
          <w:rFonts w:ascii="Palatino Linotype" w:eastAsiaTheme="majorEastAsia" w:hAnsi="Palatino Linotype"/>
          <w:b/>
          <w:bCs/>
          <w:sz w:val="22"/>
          <w:szCs w:val="22"/>
        </w:rPr>
      </w:pPr>
    </w:p>
    <w:p w14:paraId="2D6E5775" w14:textId="6E8382B1" w:rsidR="000279EE" w:rsidRPr="00030A67" w:rsidRDefault="000279EE" w:rsidP="000279EE">
      <w:pPr>
        <w:spacing w:line="360" w:lineRule="auto"/>
        <w:jc w:val="both"/>
        <w:rPr>
          <w:rFonts w:ascii="Palatino Linotype" w:eastAsia="Palatino Linotype" w:hAnsi="Palatino Linotype" w:cs="Palatino Linotype"/>
          <w:b/>
          <w:color w:val="000000"/>
          <w:sz w:val="22"/>
          <w:szCs w:val="22"/>
          <w:lang w:eastAsia="es-MX"/>
        </w:rPr>
      </w:pPr>
      <w:r w:rsidRPr="00030A67">
        <w:rPr>
          <w:rFonts w:ascii="Palatino Linotype" w:eastAsiaTheme="majorEastAsia" w:hAnsi="Palatino Linotype"/>
          <w:b/>
          <w:bCs/>
          <w:sz w:val="22"/>
          <w:szCs w:val="22"/>
        </w:rPr>
        <w:t>d) Vista del Informe Justificado.</w:t>
      </w:r>
      <w:r w:rsidRPr="00030A67">
        <w:rPr>
          <w:rFonts w:ascii="Palatino Linotype" w:eastAsia="Palatino Linotype" w:hAnsi="Palatino Linotype" w:cs="Palatino Linotype"/>
          <w:b/>
          <w:color w:val="000000"/>
          <w:sz w:val="22"/>
          <w:szCs w:val="22"/>
          <w:lang w:eastAsia="es-MX"/>
        </w:rPr>
        <w:t xml:space="preserve"> </w:t>
      </w:r>
      <w:r w:rsidRPr="00030A67">
        <w:rPr>
          <w:rFonts w:ascii="Palatino Linotype" w:eastAsia="Palatino Linotype" w:hAnsi="Palatino Linotype" w:cs="Palatino Linotype"/>
          <w:color w:val="000000"/>
          <w:sz w:val="22"/>
          <w:szCs w:val="22"/>
          <w:lang w:eastAsia="es-MX"/>
        </w:rPr>
        <w:t xml:space="preserve">El veintiocho de enero de dos mil veintiséis, se dictó acuerdo por medio del cual se puso a la vista de la persona Recurrente el Informe Justificado entregado por el Sujeto Obligado, el cual fue notificado a las partes, el mismo día, a través del Sistema de Acceso a la Información Mexiquense (SAIMEX). </w:t>
      </w:r>
      <w:r w:rsidRPr="00030A67">
        <w:rPr>
          <w:rFonts w:ascii="Palatino Linotype" w:eastAsia="Palatino Linotype" w:hAnsi="Palatino Linotype" w:cs="Palatino Linotype"/>
          <w:b/>
          <w:color w:val="000000"/>
          <w:sz w:val="22"/>
          <w:szCs w:val="22"/>
          <w:lang w:eastAsia="es-MX"/>
        </w:rPr>
        <w:t>Cabe señalar que el Particular fue omiso en realizar manifestación alguna.</w:t>
      </w:r>
    </w:p>
    <w:p w14:paraId="532EEA91" w14:textId="77777777" w:rsidR="00785FCA" w:rsidRPr="00030A67" w:rsidRDefault="00785FCA" w:rsidP="00785FCA">
      <w:pPr>
        <w:spacing w:line="360" w:lineRule="auto"/>
        <w:jc w:val="both"/>
        <w:rPr>
          <w:rStyle w:val="Ttulo3Car"/>
          <w:rFonts w:ascii="Palatino Linotype" w:hAnsi="Palatino Linotype"/>
          <w:b/>
          <w:color w:val="auto"/>
          <w:sz w:val="22"/>
        </w:rPr>
      </w:pPr>
    </w:p>
    <w:p w14:paraId="49E9A80C" w14:textId="6DA0A235" w:rsidR="00ED5DF5" w:rsidRPr="00030A67" w:rsidRDefault="000279EE" w:rsidP="000B54EE">
      <w:pPr>
        <w:spacing w:line="360" w:lineRule="auto"/>
        <w:jc w:val="both"/>
        <w:rPr>
          <w:rFonts w:ascii="Palatino Linotype" w:hAnsi="Palatino Linotype" w:cs="Tahoma"/>
          <w:sz w:val="22"/>
          <w:szCs w:val="22"/>
        </w:rPr>
      </w:pPr>
      <w:bookmarkStart w:id="17" w:name="_Toc205306992"/>
      <w:bookmarkStart w:id="18" w:name="_Toc221201937"/>
      <w:bookmarkEnd w:id="12"/>
      <w:bookmarkEnd w:id="13"/>
      <w:bookmarkEnd w:id="14"/>
      <w:bookmarkEnd w:id="15"/>
      <w:bookmarkEnd w:id="16"/>
      <w:r w:rsidRPr="00030A67">
        <w:rPr>
          <w:rStyle w:val="Ttulo3Car"/>
          <w:rFonts w:ascii="Palatino Linotype" w:hAnsi="Palatino Linotype"/>
          <w:b/>
          <w:color w:val="auto"/>
          <w:sz w:val="22"/>
          <w:szCs w:val="22"/>
        </w:rPr>
        <w:t>e</w:t>
      </w:r>
      <w:r w:rsidR="003B0501" w:rsidRPr="00030A67">
        <w:rPr>
          <w:rStyle w:val="Ttulo3Car"/>
          <w:rFonts w:ascii="Palatino Linotype" w:hAnsi="Palatino Linotype"/>
          <w:b/>
          <w:color w:val="auto"/>
          <w:sz w:val="22"/>
          <w:szCs w:val="22"/>
        </w:rPr>
        <w:t>).</w:t>
      </w:r>
      <w:r w:rsidR="00C3485C" w:rsidRPr="00030A67">
        <w:rPr>
          <w:rStyle w:val="Ttulo3Car"/>
          <w:rFonts w:ascii="Palatino Linotype" w:hAnsi="Palatino Linotype"/>
          <w:b/>
          <w:color w:val="auto"/>
          <w:sz w:val="22"/>
          <w:szCs w:val="22"/>
        </w:rPr>
        <w:t xml:space="preserve"> </w:t>
      </w:r>
      <w:r w:rsidR="00ED5DF5" w:rsidRPr="00030A67">
        <w:rPr>
          <w:rStyle w:val="Ttulo3Car"/>
          <w:rFonts w:ascii="Palatino Linotype" w:hAnsi="Palatino Linotype"/>
          <w:b/>
          <w:color w:val="auto"/>
          <w:sz w:val="22"/>
          <w:szCs w:val="22"/>
        </w:rPr>
        <w:t>Cierre de instrucción</w:t>
      </w:r>
      <w:bookmarkEnd w:id="17"/>
      <w:bookmarkEnd w:id="18"/>
      <w:r w:rsidR="00ED5DF5" w:rsidRPr="00030A67">
        <w:rPr>
          <w:rFonts w:ascii="Palatino Linotype" w:hAnsi="Palatino Linotype" w:cs="Tahoma"/>
          <w:b/>
          <w:bCs/>
          <w:sz w:val="22"/>
          <w:szCs w:val="22"/>
        </w:rPr>
        <w:t xml:space="preserve">. </w:t>
      </w:r>
      <w:r w:rsidR="00ED5DF5" w:rsidRPr="00030A67">
        <w:rPr>
          <w:rFonts w:ascii="Palatino Linotype" w:hAnsi="Palatino Linotype" w:cs="Tahoma"/>
          <w:sz w:val="22"/>
          <w:szCs w:val="22"/>
        </w:rPr>
        <w:t>El</w:t>
      </w:r>
      <w:r w:rsidR="000F437A" w:rsidRPr="00030A67">
        <w:rPr>
          <w:rFonts w:ascii="Palatino Linotype" w:hAnsi="Palatino Linotype" w:cs="Tahoma"/>
          <w:sz w:val="22"/>
          <w:szCs w:val="22"/>
        </w:rPr>
        <w:t xml:space="preserve"> </w:t>
      </w:r>
      <w:r w:rsidRPr="00030A67">
        <w:rPr>
          <w:rFonts w:ascii="Palatino Linotype" w:hAnsi="Palatino Linotype" w:cs="Tahoma"/>
          <w:sz w:val="22"/>
          <w:szCs w:val="22"/>
        </w:rPr>
        <w:t xml:space="preserve">cuatro de febrero </w:t>
      </w:r>
      <w:r w:rsidR="00E95147" w:rsidRPr="00030A67">
        <w:rPr>
          <w:rFonts w:ascii="Palatino Linotype" w:hAnsi="Palatino Linotype" w:cs="Tahoma"/>
          <w:sz w:val="22"/>
          <w:szCs w:val="22"/>
        </w:rPr>
        <w:t xml:space="preserve">de dos mil </w:t>
      </w:r>
      <w:r w:rsidR="009908D1" w:rsidRPr="00030A67">
        <w:rPr>
          <w:rFonts w:ascii="Palatino Linotype" w:hAnsi="Palatino Linotype" w:cs="Tahoma"/>
          <w:sz w:val="22"/>
          <w:szCs w:val="22"/>
        </w:rPr>
        <w:t>veintiséis</w:t>
      </w:r>
      <w:r w:rsidR="00ED5DF5" w:rsidRPr="00030A6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ED5DF5" w:rsidRPr="00030A67">
        <w:rPr>
          <w:rFonts w:ascii="Palatino Linotype" w:hAnsi="Palatino Linotype" w:cs="Tahoma"/>
          <w:sz w:val="22"/>
          <w:szCs w:val="22"/>
        </w:rPr>
        <w:lastRenderedPageBreak/>
        <w:t xml:space="preserve">Pública del Estado de México y Municipios, mismo que fue notificado a las partes </w:t>
      </w:r>
      <w:r w:rsidR="000F437A" w:rsidRPr="00030A67">
        <w:rPr>
          <w:rFonts w:ascii="Palatino Linotype" w:hAnsi="Palatino Linotype" w:cs="Tahoma"/>
          <w:sz w:val="22"/>
          <w:szCs w:val="22"/>
        </w:rPr>
        <w:t>el mismo día</w:t>
      </w:r>
      <w:r w:rsidR="00ED5DF5" w:rsidRPr="00030A67">
        <w:rPr>
          <w:rFonts w:ascii="Palatino Linotype" w:hAnsi="Palatino Linotype" w:cs="Tahoma"/>
          <w:sz w:val="22"/>
          <w:szCs w:val="22"/>
        </w:rPr>
        <w:t xml:space="preserve">, a través del </w:t>
      </w:r>
      <w:r w:rsidR="00BB1F81" w:rsidRPr="00030A67">
        <w:rPr>
          <w:rFonts w:ascii="Palatino Linotype" w:hAnsi="Palatino Linotype" w:cs="Tahoma"/>
          <w:sz w:val="22"/>
          <w:szCs w:val="22"/>
          <w:lang w:val="es-ES"/>
        </w:rPr>
        <w:t>SAIMEX</w:t>
      </w:r>
      <w:r w:rsidR="00ED5DF5" w:rsidRPr="00030A67">
        <w:rPr>
          <w:rFonts w:ascii="Palatino Linotype" w:hAnsi="Palatino Linotype" w:cs="Tahoma"/>
          <w:sz w:val="22"/>
          <w:szCs w:val="22"/>
        </w:rPr>
        <w:t>.</w:t>
      </w:r>
    </w:p>
    <w:p w14:paraId="23E0B95D" w14:textId="77777777" w:rsidR="0079675C" w:rsidRPr="00030A67" w:rsidRDefault="0079675C" w:rsidP="000B54EE">
      <w:pPr>
        <w:spacing w:line="360" w:lineRule="auto"/>
        <w:jc w:val="both"/>
        <w:rPr>
          <w:rFonts w:ascii="Palatino Linotype" w:hAnsi="Palatino Linotype" w:cs="Tahoma"/>
          <w:sz w:val="22"/>
          <w:szCs w:val="22"/>
        </w:rPr>
      </w:pPr>
    </w:p>
    <w:p w14:paraId="7F33F8ED" w14:textId="77777777" w:rsidR="004F2D88" w:rsidRPr="00030A67" w:rsidRDefault="004F2D88" w:rsidP="000B54EE">
      <w:pPr>
        <w:spacing w:line="360" w:lineRule="auto"/>
        <w:contextualSpacing/>
        <w:jc w:val="both"/>
        <w:rPr>
          <w:rFonts w:ascii="Palatino Linotype" w:hAnsi="Palatino Linotype" w:cs="Tahoma"/>
          <w:color w:val="000000"/>
          <w:sz w:val="22"/>
          <w:szCs w:val="22"/>
        </w:rPr>
      </w:pPr>
      <w:r w:rsidRPr="00030A67">
        <w:rPr>
          <w:rFonts w:ascii="Palatino Linotype" w:hAnsi="Palatino Linotype" w:cs="Tahoma"/>
          <w:color w:val="000000"/>
          <w:sz w:val="22"/>
          <w:szCs w:val="22"/>
        </w:rPr>
        <w:t xml:space="preserve">En </w:t>
      </w:r>
      <w:r w:rsidR="00367F82" w:rsidRPr="00030A67">
        <w:rPr>
          <w:rFonts w:ascii="Palatino Linotype" w:hAnsi="Palatino Linotype" w:cs="Tahoma"/>
          <w:color w:val="000000"/>
          <w:sz w:val="22"/>
          <w:szCs w:val="22"/>
        </w:rPr>
        <w:t>razón de que fue debidamente su</w:t>
      </w:r>
      <w:r w:rsidRPr="00030A67">
        <w:rPr>
          <w:rFonts w:ascii="Palatino Linotype" w:hAnsi="Palatino Linotype" w:cs="Tahoma"/>
          <w:color w:val="000000"/>
          <w:sz w:val="22"/>
          <w:szCs w:val="22"/>
        </w:rPr>
        <w:t xml:space="preserve">stanciado el expediente </w:t>
      </w:r>
      <w:r w:rsidR="00367F82" w:rsidRPr="00030A67">
        <w:rPr>
          <w:rFonts w:ascii="Palatino Linotype" w:hAnsi="Palatino Linotype" w:cs="Tahoma"/>
          <w:color w:val="000000"/>
          <w:sz w:val="22"/>
          <w:szCs w:val="22"/>
        </w:rPr>
        <w:t xml:space="preserve">electrónico </w:t>
      </w:r>
      <w:r w:rsidRPr="00030A67">
        <w:rPr>
          <w:rFonts w:ascii="Palatino Linotype" w:hAnsi="Palatino Linotype" w:cs="Tahoma"/>
          <w:color w:val="000000"/>
          <w:sz w:val="22"/>
          <w:szCs w:val="22"/>
        </w:rPr>
        <w:t>y no exist</w:t>
      </w:r>
      <w:r w:rsidR="00367F82" w:rsidRPr="00030A67">
        <w:rPr>
          <w:rFonts w:ascii="Palatino Linotype" w:hAnsi="Palatino Linotype" w:cs="Tahoma"/>
          <w:color w:val="000000"/>
          <w:sz w:val="22"/>
          <w:szCs w:val="22"/>
        </w:rPr>
        <w:t>e</w:t>
      </w:r>
      <w:r w:rsidRPr="00030A67">
        <w:rPr>
          <w:rFonts w:ascii="Palatino Linotype" w:hAnsi="Palatino Linotype" w:cs="Tahoma"/>
          <w:color w:val="000000"/>
          <w:sz w:val="22"/>
          <w:szCs w:val="22"/>
        </w:rPr>
        <w:t xml:space="preserve"> dilige</w:t>
      </w:r>
      <w:r w:rsidR="00367F82" w:rsidRPr="00030A67">
        <w:rPr>
          <w:rFonts w:ascii="Palatino Linotype" w:hAnsi="Palatino Linotype" w:cs="Tahoma"/>
          <w:color w:val="000000"/>
          <w:sz w:val="22"/>
          <w:szCs w:val="22"/>
        </w:rPr>
        <w:t xml:space="preserve">ncia pendiente de desahogo, se </w:t>
      </w:r>
      <w:r w:rsidRPr="00030A67">
        <w:rPr>
          <w:rFonts w:ascii="Palatino Linotype" w:hAnsi="Palatino Linotype" w:cs="Tahoma"/>
          <w:color w:val="000000"/>
          <w:sz w:val="22"/>
          <w:szCs w:val="22"/>
        </w:rPr>
        <w:t>emit</w:t>
      </w:r>
      <w:r w:rsidR="00367F82" w:rsidRPr="00030A67">
        <w:rPr>
          <w:rFonts w:ascii="Palatino Linotype" w:hAnsi="Palatino Linotype" w:cs="Tahoma"/>
          <w:color w:val="000000"/>
          <w:sz w:val="22"/>
          <w:szCs w:val="22"/>
        </w:rPr>
        <w:t>e</w:t>
      </w:r>
      <w:r w:rsidRPr="00030A67">
        <w:rPr>
          <w:rFonts w:ascii="Palatino Linotype" w:hAnsi="Palatino Linotype" w:cs="Tahoma"/>
          <w:color w:val="000000"/>
          <w:sz w:val="22"/>
          <w:szCs w:val="22"/>
        </w:rPr>
        <w:t xml:space="preserve"> la resolución que conforme a Derecho proceda, de acuerdo a l</w:t>
      </w:r>
      <w:r w:rsidR="009A620E" w:rsidRPr="00030A67">
        <w:rPr>
          <w:rFonts w:ascii="Palatino Linotype" w:hAnsi="Palatino Linotype" w:cs="Tahoma"/>
          <w:color w:val="000000"/>
          <w:sz w:val="22"/>
          <w:szCs w:val="22"/>
        </w:rPr>
        <w:t>o</w:t>
      </w:r>
      <w:r w:rsidRPr="00030A67">
        <w:rPr>
          <w:rFonts w:ascii="Palatino Linotype" w:hAnsi="Palatino Linotype" w:cs="Tahoma"/>
          <w:color w:val="000000"/>
          <w:sz w:val="22"/>
          <w:szCs w:val="22"/>
        </w:rPr>
        <w:t xml:space="preserve">s siguientes: </w:t>
      </w:r>
    </w:p>
    <w:p w14:paraId="07E19BA1" w14:textId="77777777" w:rsidR="00314520" w:rsidRPr="00030A67" w:rsidRDefault="00314520" w:rsidP="000B54EE">
      <w:pPr>
        <w:spacing w:line="360" w:lineRule="auto"/>
        <w:contextualSpacing/>
        <w:jc w:val="both"/>
        <w:rPr>
          <w:rFonts w:ascii="Palatino Linotype" w:hAnsi="Palatino Linotype" w:cs="Tahoma"/>
          <w:color w:val="000000"/>
          <w:sz w:val="22"/>
          <w:szCs w:val="22"/>
        </w:rPr>
      </w:pPr>
    </w:p>
    <w:p w14:paraId="751C28F5" w14:textId="77777777" w:rsidR="00EA4E4A" w:rsidRPr="00030A67" w:rsidRDefault="00EA4E4A" w:rsidP="000B54EE">
      <w:pPr>
        <w:pStyle w:val="Ttulo1"/>
        <w:spacing w:before="0" w:line="360" w:lineRule="auto"/>
        <w:jc w:val="center"/>
        <w:rPr>
          <w:rFonts w:ascii="Palatino Linotype" w:hAnsi="Palatino Linotype"/>
          <w:b/>
          <w:color w:val="auto"/>
          <w:sz w:val="22"/>
          <w:szCs w:val="22"/>
        </w:rPr>
      </w:pPr>
      <w:bookmarkStart w:id="19" w:name="_Toc221201938"/>
      <w:r w:rsidRPr="00030A67">
        <w:rPr>
          <w:rFonts w:ascii="Palatino Linotype" w:hAnsi="Palatino Linotype"/>
          <w:b/>
          <w:color w:val="auto"/>
          <w:sz w:val="22"/>
          <w:szCs w:val="22"/>
        </w:rPr>
        <w:t>C O N S I D E R A N D O S</w:t>
      </w:r>
      <w:bookmarkEnd w:id="19"/>
    </w:p>
    <w:p w14:paraId="545C250E" w14:textId="77777777" w:rsidR="00EA4E4A" w:rsidRPr="00030A67" w:rsidRDefault="00EA4E4A" w:rsidP="000B54EE">
      <w:pPr>
        <w:spacing w:line="360" w:lineRule="auto"/>
        <w:contextualSpacing/>
        <w:jc w:val="both"/>
        <w:rPr>
          <w:rFonts w:ascii="Palatino Linotype" w:hAnsi="Palatino Linotype" w:cs="Tahoma"/>
          <w:b/>
          <w:sz w:val="22"/>
          <w:szCs w:val="22"/>
        </w:rPr>
      </w:pPr>
    </w:p>
    <w:p w14:paraId="6E067335" w14:textId="77777777" w:rsidR="00EA4E4A" w:rsidRPr="00030A67" w:rsidRDefault="00EA4E4A" w:rsidP="000B54EE">
      <w:pPr>
        <w:pStyle w:val="Ttulo2"/>
        <w:spacing w:before="0" w:line="360" w:lineRule="auto"/>
        <w:rPr>
          <w:rFonts w:ascii="Palatino Linotype" w:hAnsi="Palatino Linotype"/>
          <w:b/>
          <w:sz w:val="22"/>
          <w:szCs w:val="22"/>
        </w:rPr>
      </w:pPr>
      <w:bookmarkStart w:id="20" w:name="_Toc221201939"/>
      <w:r w:rsidRPr="00030A67">
        <w:rPr>
          <w:rFonts w:ascii="Palatino Linotype" w:eastAsia="Calibri" w:hAnsi="Palatino Linotype"/>
          <w:b/>
          <w:color w:val="auto"/>
          <w:sz w:val="22"/>
          <w:szCs w:val="22"/>
          <w:lang w:eastAsia="es-MX"/>
        </w:rPr>
        <w:t xml:space="preserve">PRIMERO. </w:t>
      </w:r>
      <w:r w:rsidRPr="00030A67">
        <w:rPr>
          <w:rFonts w:ascii="Palatino Linotype" w:hAnsi="Palatino Linotype"/>
          <w:b/>
          <w:color w:val="auto"/>
          <w:sz w:val="22"/>
          <w:szCs w:val="22"/>
        </w:rPr>
        <w:t>Competencia</w:t>
      </w:r>
      <w:bookmarkEnd w:id="20"/>
    </w:p>
    <w:p w14:paraId="087EB264" w14:textId="77777777" w:rsidR="00EA4E4A" w:rsidRPr="00030A67"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7F8E5CCC" w14:textId="77777777" w:rsidR="00692FA8" w:rsidRPr="00030A67" w:rsidRDefault="00692FA8" w:rsidP="00692FA8">
      <w:pPr>
        <w:spacing w:line="360" w:lineRule="auto"/>
        <w:jc w:val="both"/>
        <w:rPr>
          <w:rFonts w:ascii="Palatino Linotype" w:eastAsia="Calibri" w:hAnsi="Palatino Linotype" w:cs="Tahoma"/>
          <w:color w:val="000000"/>
          <w:sz w:val="22"/>
          <w:szCs w:val="22"/>
          <w:lang w:eastAsia="es-MX"/>
        </w:rPr>
      </w:pPr>
      <w:r w:rsidRPr="00030A67">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8B0056" w14:textId="77777777" w:rsidR="008266D8" w:rsidRPr="00030A67"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5698B164" w14:textId="77777777" w:rsidR="00CE0B4C" w:rsidRPr="00030A67" w:rsidRDefault="00CE0B4C" w:rsidP="000B54EE">
      <w:pPr>
        <w:pStyle w:val="Ttulo2"/>
        <w:spacing w:before="0" w:line="360" w:lineRule="auto"/>
        <w:rPr>
          <w:rFonts w:ascii="Palatino Linotype" w:eastAsia="Calibri" w:hAnsi="Palatino Linotype"/>
          <w:b/>
          <w:color w:val="auto"/>
          <w:sz w:val="22"/>
          <w:szCs w:val="22"/>
          <w:lang w:eastAsia="es-MX"/>
        </w:rPr>
      </w:pPr>
      <w:bookmarkStart w:id="21" w:name="_Toc221201940"/>
      <w:r w:rsidRPr="00030A67">
        <w:rPr>
          <w:rFonts w:ascii="Palatino Linotype" w:eastAsia="Calibri" w:hAnsi="Palatino Linotype"/>
          <w:b/>
          <w:color w:val="auto"/>
          <w:sz w:val="22"/>
          <w:szCs w:val="22"/>
          <w:lang w:eastAsia="es-MX"/>
        </w:rPr>
        <w:t>SEGUNDO. Causales de improcedencia y sobreseimiento</w:t>
      </w:r>
      <w:bookmarkEnd w:id="21"/>
    </w:p>
    <w:p w14:paraId="3ADA347A" w14:textId="77777777" w:rsidR="00566562" w:rsidRPr="00030A67"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01BFC6B" w14:textId="77777777" w:rsidR="00CE0B4C" w:rsidRPr="00030A67"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30A67">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AF7561" w14:textId="77777777" w:rsidR="00CE0B4C" w:rsidRPr="00030A67"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236E247" w14:textId="77777777" w:rsidR="00CE0B4C" w:rsidRPr="00030A67"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30A6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E93A80A" w14:textId="77777777" w:rsidR="00BF4B55" w:rsidRPr="00030A67"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A27734" w14:textId="77777777" w:rsidR="00CE0B4C" w:rsidRPr="00030A67"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22" w:name="_Toc221201941"/>
      <w:r w:rsidRPr="00030A67">
        <w:rPr>
          <w:rFonts w:ascii="Palatino Linotype" w:eastAsia="Calibri" w:hAnsi="Palatino Linotype" w:cs="Arial"/>
          <w:b/>
          <w:color w:val="auto"/>
          <w:sz w:val="22"/>
          <w:szCs w:val="22"/>
          <w:lang w:eastAsia="es-ES_tradnl"/>
        </w:rPr>
        <w:t>Causales de sobreseimiento</w:t>
      </w:r>
      <w:bookmarkEnd w:id="22"/>
    </w:p>
    <w:p w14:paraId="40C3CB33" w14:textId="77777777" w:rsidR="00B02FEF" w:rsidRPr="00030A67" w:rsidRDefault="00B02FEF" w:rsidP="00B02FEF">
      <w:pPr>
        <w:spacing w:line="360" w:lineRule="auto"/>
        <w:jc w:val="both"/>
        <w:rPr>
          <w:rFonts w:ascii="Palatino Linotype" w:eastAsia="Calibri" w:hAnsi="Palatino Linotype" w:cs="Tahoma"/>
          <w:sz w:val="22"/>
          <w:szCs w:val="22"/>
          <w:lang w:eastAsia="es-ES_tradnl"/>
        </w:rPr>
      </w:pPr>
    </w:p>
    <w:p w14:paraId="32573E0B" w14:textId="77777777" w:rsidR="00B02FEF" w:rsidRPr="00030A67" w:rsidRDefault="00785FCA" w:rsidP="00B02FEF">
      <w:pPr>
        <w:spacing w:line="360" w:lineRule="auto"/>
        <w:jc w:val="both"/>
        <w:rPr>
          <w:rFonts w:ascii="Palatino Linotype" w:eastAsia="Calibri" w:hAnsi="Palatino Linotype" w:cs="Tahoma"/>
          <w:sz w:val="22"/>
          <w:szCs w:val="22"/>
          <w:lang w:eastAsia="es-ES_tradnl"/>
        </w:rPr>
      </w:pPr>
      <w:r w:rsidRPr="00030A67">
        <w:rPr>
          <w:rFonts w:ascii="Palatino Linotype" w:eastAsia="Calibri" w:hAnsi="Palatino Linotype" w:cs="Tahoma"/>
          <w:sz w:val="22"/>
          <w:szCs w:val="22"/>
          <w:lang w:eastAsia="es-ES_tradnl"/>
        </w:rPr>
        <w:t xml:space="preserve">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030A67">
        <w:rPr>
          <w:rFonts w:ascii="Palatino Linotype" w:eastAsia="Calibri" w:hAnsi="Palatino Linotype" w:cs="Tahoma"/>
          <w:sz w:val="22"/>
          <w:szCs w:val="22"/>
          <w:lang w:eastAsia="es-ES_tradnl"/>
        </w:rPr>
        <w:lastRenderedPageBreak/>
        <w:t>o bien que el recurso de revisión hubiera quedado sin materia. Por tales motivos, se considera procedente entrar al fondo del presente asunto.</w:t>
      </w:r>
    </w:p>
    <w:p w14:paraId="57F3EFA8" w14:textId="77777777" w:rsidR="00785FCA" w:rsidRPr="00030A67" w:rsidRDefault="00785FCA" w:rsidP="00B02FEF">
      <w:pPr>
        <w:spacing w:line="360" w:lineRule="auto"/>
        <w:jc w:val="both"/>
        <w:rPr>
          <w:rFonts w:ascii="Palatino Linotype" w:eastAsia="Calibri" w:hAnsi="Palatino Linotype" w:cs="Tahoma"/>
          <w:sz w:val="22"/>
          <w:szCs w:val="22"/>
          <w:lang w:eastAsia="es-ES_tradnl"/>
        </w:rPr>
      </w:pPr>
    </w:p>
    <w:p w14:paraId="443DDAB2" w14:textId="77777777" w:rsidR="00CE0B4C" w:rsidRPr="00030A67" w:rsidRDefault="00CE0B4C" w:rsidP="000B54EE">
      <w:pPr>
        <w:pStyle w:val="Ttulo2"/>
        <w:spacing w:before="0" w:line="360" w:lineRule="auto"/>
        <w:rPr>
          <w:rFonts w:ascii="Palatino Linotype" w:eastAsia="Calibri" w:hAnsi="Palatino Linotype"/>
          <w:b/>
          <w:color w:val="auto"/>
          <w:sz w:val="22"/>
          <w:lang w:val="es-ES" w:eastAsia="es-ES_tradnl"/>
        </w:rPr>
      </w:pPr>
      <w:bookmarkStart w:id="23" w:name="_Toc221201942"/>
      <w:r w:rsidRPr="00030A67">
        <w:rPr>
          <w:rFonts w:ascii="Palatino Linotype" w:eastAsia="Calibri" w:hAnsi="Palatino Linotype"/>
          <w:b/>
          <w:color w:val="auto"/>
          <w:sz w:val="22"/>
          <w:lang w:eastAsia="es-ES_tradnl"/>
        </w:rPr>
        <w:t>TERCERO. Determinación de la Controversia</w:t>
      </w:r>
      <w:bookmarkEnd w:id="23"/>
    </w:p>
    <w:p w14:paraId="13FBB044" w14:textId="77777777" w:rsidR="00785FCA" w:rsidRPr="00030A67"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62AD93FF" w14:textId="61133DCE" w:rsidR="003527CF" w:rsidRPr="00030A67"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030A67">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w:t>
      </w:r>
      <w:r w:rsidR="00EF574D" w:rsidRPr="00030A67">
        <w:rPr>
          <w:rFonts w:ascii="Palatino Linotype" w:eastAsia="Calibri" w:hAnsi="Palatino Linotype" w:cs="Tahoma"/>
          <w:iCs/>
          <w:sz w:val="22"/>
          <w:szCs w:val="22"/>
          <w:lang w:val="es-ES" w:eastAsia="es-ES_tradnl"/>
        </w:rPr>
        <w:t xml:space="preserve"> </w:t>
      </w:r>
      <w:r w:rsidR="003527CF" w:rsidRPr="00030A67">
        <w:rPr>
          <w:rFonts w:ascii="Palatino Linotype" w:eastAsia="Calibri" w:hAnsi="Palatino Linotype" w:cs="Tahoma"/>
          <w:iCs/>
          <w:sz w:val="22"/>
          <w:szCs w:val="22"/>
          <w:lang w:val="es-ES" w:eastAsia="es-ES_tradnl"/>
        </w:rPr>
        <w:t>pólizas de egresos, ingresos y cheques de los meses de septiembre y octubre de dos mil veinticinco.</w:t>
      </w:r>
    </w:p>
    <w:p w14:paraId="28AD2730" w14:textId="77777777" w:rsidR="002715BD" w:rsidRPr="00030A67"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15C527D1" w14:textId="191EA4E0" w:rsidR="00785FCA" w:rsidRPr="00030A67"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030A67">
        <w:rPr>
          <w:rFonts w:ascii="Palatino Linotype" w:eastAsia="Calibri" w:hAnsi="Palatino Linotype" w:cs="Tahoma"/>
          <w:iCs/>
          <w:sz w:val="22"/>
          <w:szCs w:val="22"/>
          <w:lang w:val="es-ES" w:eastAsia="es-ES_tradnl"/>
        </w:rPr>
        <w:t xml:space="preserve">En respuesta, el Sujeto Obligado </w:t>
      </w:r>
      <w:r w:rsidR="00EF574D" w:rsidRPr="00030A67">
        <w:rPr>
          <w:rFonts w:ascii="Palatino Linotype" w:eastAsia="Calibri" w:hAnsi="Palatino Linotype" w:cs="Tahoma"/>
          <w:iCs/>
          <w:sz w:val="22"/>
          <w:szCs w:val="22"/>
          <w:lang w:val="es-ES" w:eastAsia="es-ES_tradnl"/>
        </w:rPr>
        <w:t xml:space="preserve">proporcionó </w:t>
      </w:r>
      <w:r w:rsidR="003527CF" w:rsidRPr="00030A67">
        <w:rPr>
          <w:rFonts w:ascii="Palatino Linotype" w:eastAsia="Calibri" w:hAnsi="Palatino Linotype" w:cs="Tahoma"/>
          <w:iCs/>
          <w:sz w:val="22"/>
          <w:szCs w:val="22"/>
          <w:lang w:val="es-ES" w:eastAsia="es-ES_tradnl"/>
        </w:rPr>
        <w:t>las pólizas del mes de septiembre,</w:t>
      </w:r>
      <w:r w:rsidR="00EF574D" w:rsidRPr="00030A67">
        <w:rPr>
          <w:rFonts w:ascii="Palatino Linotype" w:eastAsia="Calibri" w:hAnsi="Palatino Linotype" w:cs="Tahoma"/>
          <w:iCs/>
          <w:sz w:val="22"/>
          <w:szCs w:val="22"/>
          <w:lang w:val="es-ES" w:eastAsia="es-ES_tradnl"/>
        </w:rPr>
        <w:t xml:space="preserve"> derivado de ello </w:t>
      </w:r>
      <w:r w:rsidR="002715BD" w:rsidRPr="00030A67">
        <w:rPr>
          <w:rFonts w:ascii="Palatino Linotype" w:eastAsia="Calibri" w:hAnsi="Palatino Linotype" w:cs="Tahoma"/>
          <w:iCs/>
          <w:sz w:val="22"/>
          <w:szCs w:val="22"/>
          <w:lang w:val="es-ES" w:eastAsia="es-ES_tradnl"/>
        </w:rPr>
        <w:t>el Particular se inconformó</w:t>
      </w:r>
      <w:r w:rsidRPr="00030A67">
        <w:rPr>
          <w:rFonts w:ascii="Palatino Linotype" w:eastAsia="Calibri" w:hAnsi="Palatino Linotype" w:cs="Tahoma"/>
          <w:iCs/>
          <w:sz w:val="22"/>
          <w:szCs w:val="22"/>
          <w:lang w:val="es-ES" w:eastAsia="es-ES_tradnl"/>
        </w:rPr>
        <w:t>,</w:t>
      </w:r>
      <w:r w:rsidR="00EF574D" w:rsidRPr="00030A67">
        <w:rPr>
          <w:rFonts w:ascii="Palatino Linotype" w:eastAsia="Calibri" w:hAnsi="Palatino Linotype" w:cs="Tahoma"/>
          <w:iCs/>
          <w:sz w:val="22"/>
          <w:szCs w:val="22"/>
          <w:lang w:val="es-ES" w:eastAsia="es-ES_tradnl"/>
        </w:rPr>
        <w:t xml:space="preserve"> por </w:t>
      </w:r>
      <w:r w:rsidR="003527CF" w:rsidRPr="00030A67">
        <w:rPr>
          <w:rFonts w:ascii="Palatino Linotype" w:eastAsia="Calibri" w:hAnsi="Palatino Linotype" w:cs="Tahoma"/>
          <w:iCs/>
          <w:sz w:val="22"/>
          <w:szCs w:val="22"/>
          <w:lang w:val="es-ES" w:eastAsia="es-ES_tradnl"/>
        </w:rPr>
        <w:t>la entrega de información incompleta</w:t>
      </w:r>
      <w:r w:rsidR="00EF574D" w:rsidRPr="00030A67">
        <w:rPr>
          <w:rFonts w:ascii="Palatino Linotype" w:eastAsia="Calibri" w:hAnsi="Palatino Linotype" w:cs="Tahoma"/>
          <w:iCs/>
          <w:sz w:val="22"/>
          <w:szCs w:val="22"/>
          <w:lang w:val="es-ES" w:eastAsia="es-ES_tradnl"/>
        </w:rPr>
        <w:t>,</w:t>
      </w:r>
      <w:r w:rsidRPr="00030A67">
        <w:rPr>
          <w:rFonts w:ascii="Palatino Linotype" w:eastAsia="Calibri" w:hAnsi="Palatino Linotype" w:cs="Tahoma"/>
          <w:iCs/>
          <w:sz w:val="22"/>
          <w:szCs w:val="22"/>
          <w:lang w:val="es-ES" w:eastAsia="es-ES_tradnl"/>
        </w:rPr>
        <w:t xml:space="preserve"> </w:t>
      </w:r>
      <w:r w:rsidRPr="00030A67">
        <w:rPr>
          <w:rFonts w:ascii="Palatino Linotype" w:eastAsia="Calibri" w:hAnsi="Palatino Linotype" w:cs="Tahoma"/>
          <w:bCs/>
          <w:sz w:val="22"/>
          <w:szCs w:val="22"/>
          <w:lang w:val="es-ES_tradnl" w:eastAsia="en-US"/>
        </w:rPr>
        <w:t xml:space="preserve">así </w:t>
      </w:r>
      <w:r w:rsidRPr="00030A67">
        <w:rPr>
          <w:rFonts w:ascii="Palatino Linotype" w:eastAsia="Calibri" w:hAnsi="Palatino Linotype" w:cs="Tahoma"/>
          <w:color w:val="000000"/>
          <w:sz w:val="22"/>
          <w:szCs w:val="22"/>
        </w:rPr>
        <w:t xml:space="preserve">en el asunto que nos ocupa se actualiza la causal de procedencia señalada en el </w:t>
      </w:r>
      <w:r w:rsidRPr="00030A67">
        <w:rPr>
          <w:rFonts w:ascii="Palatino Linotype" w:eastAsia="Calibri" w:hAnsi="Palatino Linotype" w:cs="Tahoma"/>
          <w:sz w:val="22"/>
          <w:szCs w:val="22"/>
        </w:rPr>
        <w:t>artículo 179, fracción V, de la Ley de la materia</w:t>
      </w:r>
      <w:r w:rsidRPr="00030A67">
        <w:rPr>
          <w:rFonts w:ascii="Palatino Linotype" w:eastAsia="Calibri" w:hAnsi="Palatino Linotype" w:cs="Tahoma"/>
          <w:bCs/>
          <w:sz w:val="22"/>
          <w:szCs w:val="22"/>
        </w:rPr>
        <w:t>.</w:t>
      </w:r>
    </w:p>
    <w:p w14:paraId="47954C6D" w14:textId="77777777" w:rsidR="00785FCA" w:rsidRPr="00030A67"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45A1C0B9" w14:textId="77777777" w:rsidR="00785FCA" w:rsidRPr="00030A67"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030A67">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96B4BDA" w14:textId="77777777" w:rsidR="00785FCA" w:rsidRPr="00030A67"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5449D172" w14:textId="77777777" w:rsidR="00CE0B4C" w:rsidRPr="00030A67"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4" w:name="_Toc221201943"/>
      <w:r w:rsidRPr="00030A67">
        <w:rPr>
          <w:rFonts w:ascii="Palatino Linotype" w:eastAsia="Calibri" w:hAnsi="Palatino Linotype" w:cs="Arial"/>
          <w:b/>
          <w:color w:val="auto"/>
          <w:sz w:val="22"/>
          <w:lang w:eastAsia="es-ES_tradnl"/>
        </w:rPr>
        <w:t>CUARTO. Marco normativo aplicable en materia de transparencia y acceso a la información pública</w:t>
      </w:r>
      <w:bookmarkEnd w:id="24"/>
    </w:p>
    <w:p w14:paraId="2EF4E7CB" w14:textId="77777777" w:rsidR="00CE0B4C" w:rsidRPr="00030A67" w:rsidRDefault="00CE0B4C" w:rsidP="000B54EE">
      <w:pPr>
        <w:spacing w:line="360" w:lineRule="auto"/>
        <w:contextualSpacing/>
        <w:jc w:val="both"/>
        <w:rPr>
          <w:rFonts w:ascii="Palatino Linotype" w:hAnsi="Palatino Linotype" w:cs="Tahoma"/>
          <w:sz w:val="22"/>
          <w:szCs w:val="22"/>
        </w:rPr>
      </w:pPr>
    </w:p>
    <w:p w14:paraId="046D275F" w14:textId="77777777" w:rsidR="00CE0B4C" w:rsidRPr="00030A67" w:rsidRDefault="00CE0B4C" w:rsidP="000B54EE">
      <w:pPr>
        <w:widowControl w:val="0"/>
        <w:spacing w:line="360" w:lineRule="auto"/>
        <w:contextualSpacing/>
        <w:jc w:val="both"/>
        <w:rPr>
          <w:rFonts w:ascii="Palatino Linotype" w:hAnsi="Palatino Linotype" w:cs="Tahoma"/>
          <w:sz w:val="22"/>
          <w:szCs w:val="22"/>
        </w:rPr>
      </w:pPr>
      <w:r w:rsidRPr="00030A67">
        <w:rPr>
          <w:rFonts w:ascii="Palatino Linotype" w:hAnsi="Palatino Linotype" w:cs="Tahoma"/>
          <w:sz w:val="22"/>
          <w:szCs w:val="22"/>
        </w:rPr>
        <w:t>El artículo 6°, Apartado A), fracción I</w:t>
      </w:r>
      <w:r w:rsidR="00D63A43" w:rsidRPr="00030A67">
        <w:rPr>
          <w:rFonts w:ascii="Palatino Linotype" w:hAnsi="Palatino Linotype" w:cs="Tahoma"/>
          <w:sz w:val="22"/>
          <w:szCs w:val="22"/>
        </w:rPr>
        <w:t>,</w:t>
      </w:r>
      <w:r w:rsidRPr="00030A67">
        <w:rPr>
          <w:rFonts w:ascii="Palatino Linotype" w:hAnsi="Palatino Linotype" w:cs="Tahoma"/>
          <w:sz w:val="22"/>
          <w:szCs w:val="22"/>
        </w:rPr>
        <w:t xml:space="preserve"> de la Constitución Política de los Estados Unidos Mexicanos, establece que toda la información en posesión de cualquier </w:t>
      </w:r>
      <w:r w:rsidR="005A1884" w:rsidRPr="00030A67">
        <w:rPr>
          <w:rFonts w:ascii="Palatino Linotype" w:hAnsi="Palatino Linotype" w:cs="Tahoma"/>
          <w:sz w:val="22"/>
          <w:szCs w:val="22"/>
        </w:rPr>
        <w:t>autoridad</w:t>
      </w:r>
      <w:r w:rsidRPr="00030A67">
        <w:rPr>
          <w:rFonts w:ascii="Palatino Linotype" w:hAnsi="Palatino Linotype" w:cs="Tahoma"/>
          <w:sz w:val="22"/>
          <w:szCs w:val="22"/>
        </w:rPr>
        <w:t xml:space="preserve"> es pública y sólo podrá ser reservada temporalmente por razones de interés público.</w:t>
      </w:r>
    </w:p>
    <w:p w14:paraId="6A8C2C12" w14:textId="77777777" w:rsidR="00CE0B4C" w:rsidRPr="00030A67" w:rsidRDefault="00CE0B4C" w:rsidP="000B54EE">
      <w:pPr>
        <w:spacing w:line="360" w:lineRule="auto"/>
        <w:contextualSpacing/>
        <w:jc w:val="both"/>
        <w:rPr>
          <w:rFonts w:ascii="Palatino Linotype" w:hAnsi="Palatino Linotype" w:cs="Tahoma"/>
          <w:sz w:val="22"/>
          <w:szCs w:val="22"/>
        </w:rPr>
      </w:pPr>
    </w:p>
    <w:p w14:paraId="1E839019" w14:textId="77777777" w:rsidR="00CE0B4C" w:rsidRPr="00030A67" w:rsidRDefault="00CE0B4C" w:rsidP="000B54EE">
      <w:pPr>
        <w:spacing w:line="360" w:lineRule="auto"/>
        <w:jc w:val="both"/>
        <w:rPr>
          <w:rFonts w:ascii="Palatino Linotype" w:hAnsi="Palatino Linotype" w:cs="Tahoma"/>
          <w:sz w:val="22"/>
          <w:szCs w:val="22"/>
        </w:rPr>
      </w:pPr>
      <w:r w:rsidRPr="00030A67">
        <w:rPr>
          <w:rFonts w:ascii="Palatino Linotype" w:hAnsi="Palatino Linotype" w:cs="Tahoma"/>
          <w:sz w:val="22"/>
          <w:szCs w:val="22"/>
        </w:rPr>
        <w:t>En materia local, el artículo 5°, fracción I</w:t>
      </w:r>
      <w:r w:rsidR="00002CF8" w:rsidRPr="00030A67">
        <w:rPr>
          <w:rFonts w:ascii="Palatino Linotype" w:hAnsi="Palatino Linotype" w:cs="Tahoma"/>
          <w:sz w:val="22"/>
          <w:szCs w:val="22"/>
        </w:rPr>
        <w:t>,</w:t>
      </w:r>
      <w:r w:rsidRPr="00030A67">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83BD597" w14:textId="77777777" w:rsidR="00CE0B4C" w:rsidRPr="00030A67" w:rsidRDefault="00CE0B4C" w:rsidP="000B54EE">
      <w:pPr>
        <w:spacing w:line="360" w:lineRule="auto"/>
        <w:jc w:val="both"/>
        <w:rPr>
          <w:rFonts w:ascii="Palatino Linotype" w:hAnsi="Palatino Linotype" w:cs="Tahoma"/>
          <w:sz w:val="22"/>
          <w:szCs w:val="22"/>
        </w:rPr>
      </w:pPr>
    </w:p>
    <w:p w14:paraId="6A7DD8C5" w14:textId="77777777" w:rsidR="00CE0B4C" w:rsidRPr="00030A67" w:rsidRDefault="00CE0B4C" w:rsidP="000B54EE">
      <w:pPr>
        <w:spacing w:line="360" w:lineRule="auto"/>
        <w:jc w:val="both"/>
        <w:rPr>
          <w:rFonts w:ascii="Palatino Linotype" w:hAnsi="Palatino Linotype" w:cs="Tahoma"/>
          <w:sz w:val="22"/>
          <w:szCs w:val="22"/>
        </w:rPr>
      </w:pPr>
      <w:r w:rsidRPr="00030A6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8F1F260" w14:textId="77777777" w:rsidR="00CE0B4C" w:rsidRPr="00030A67" w:rsidRDefault="00CE0B4C" w:rsidP="000B54EE">
      <w:pPr>
        <w:spacing w:line="360" w:lineRule="auto"/>
        <w:jc w:val="both"/>
        <w:rPr>
          <w:rFonts w:ascii="Palatino Linotype" w:hAnsi="Palatino Linotype" w:cs="Tahoma"/>
          <w:sz w:val="22"/>
          <w:szCs w:val="22"/>
        </w:rPr>
      </w:pPr>
    </w:p>
    <w:p w14:paraId="74EC53E5" w14:textId="77777777" w:rsidR="00CE0B4C" w:rsidRPr="00030A67" w:rsidRDefault="00CE0B4C" w:rsidP="000B54EE">
      <w:pPr>
        <w:spacing w:line="360" w:lineRule="auto"/>
        <w:jc w:val="both"/>
        <w:rPr>
          <w:rFonts w:ascii="Palatino Linotype" w:hAnsi="Palatino Linotype" w:cs="Tahoma"/>
          <w:sz w:val="22"/>
          <w:szCs w:val="22"/>
        </w:rPr>
      </w:pPr>
      <w:r w:rsidRPr="00030A67">
        <w:rPr>
          <w:rFonts w:ascii="Palatino Linotype" w:hAnsi="Palatino Linotype" w:cs="Tahoma"/>
          <w:sz w:val="22"/>
          <w:szCs w:val="22"/>
        </w:rPr>
        <w:t>El artículo 12, que, quienes generen, recopilen, administren, manejen, procesen, archiven o conserven información pública serán responsables de la misma.</w:t>
      </w:r>
    </w:p>
    <w:p w14:paraId="295B5E52" w14:textId="77777777" w:rsidR="00EF5683" w:rsidRPr="00030A67" w:rsidRDefault="00EF5683" w:rsidP="000B54EE">
      <w:pPr>
        <w:spacing w:line="360" w:lineRule="auto"/>
        <w:jc w:val="both"/>
        <w:rPr>
          <w:rFonts w:ascii="Palatino Linotype" w:hAnsi="Palatino Linotype" w:cs="Tahoma"/>
          <w:sz w:val="22"/>
          <w:szCs w:val="22"/>
        </w:rPr>
      </w:pPr>
    </w:p>
    <w:p w14:paraId="313E3972" w14:textId="77777777" w:rsidR="00CE0B4C" w:rsidRPr="00030A67" w:rsidRDefault="00CE0B4C" w:rsidP="000B54EE">
      <w:pPr>
        <w:spacing w:line="360" w:lineRule="auto"/>
        <w:jc w:val="both"/>
        <w:rPr>
          <w:rFonts w:ascii="Palatino Linotype" w:hAnsi="Palatino Linotype" w:cs="Tahoma"/>
          <w:sz w:val="22"/>
          <w:szCs w:val="22"/>
        </w:rPr>
      </w:pPr>
      <w:r w:rsidRPr="00030A6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2E9318" w14:textId="77777777" w:rsidR="005C0E48" w:rsidRPr="00030A67" w:rsidRDefault="005C0E48" w:rsidP="000B54EE">
      <w:pPr>
        <w:spacing w:line="360" w:lineRule="auto"/>
        <w:jc w:val="both"/>
        <w:rPr>
          <w:rFonts w:ascii="Palatino Linotype" w:hAnsi="Palatino Linotype" w:cs="Tahoma"/>
          <w:sz w:val="22"/>
          <w:szCs w:val="22"/>
        </w:rPr>
      </w:pPr>
    </w:p>
    <w:p w14:paraId="04CDE0E8" w14:textId="77777777" w:rsidR="00CE0B4C" w:rsidRPr="00030A67" w:rsidRDefault="00CE0B4C" w:rsidP="000B54EE">
      <w:pPr>
        <w:spacing w:line="360" w:lineRule="auto"/>
        <w:jc w:val="both"/>
        <w:rPr>
          <w:rFonts w:ascii="Palatino Linotype" w:hAnsi="Palatino Linotype" w:cs="Tahoma"/>
          <w:sz w:val="22"/>
          <w:szCs w:val="22"/>
        </w:rPr>
      </w:pPr>
      <w:r w:rsidRPr="00030A6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39C7F2" w14:textId="77777777" w:rsidR="00EA1A4A" w:rsidRPr="00030A67" w:rsidRDefault="00EA1A4A" w:rsidP="000B54EE">
      <w:pPr>
        <w:spacing w:line="360" w:lineRule="auto"/>
        <w:jc w:val="both"/>
        <w:rPr>
          <w:rFonts w:ascii="Palatino Linotype" w:hAnsi="Palatino Linotype" w:cs="Tahoma"/>
          <w:sz w:val="22"/>
          <w:szCs w:val="22"/>
        </w:rPr>
      </w:pPr>
    </w:p>
    <w:p w14:paraId="68B87A6F" w14:textId="77777777" w:rsidR="00CE0B4C" w:rsidRPr="00030A67" w:rsidRDefault="00CE0B4C" w:rsidP="000B54EE">
      <w:pPr>
        <w:pStyle w:val="Ttulo2"/>
        <w:spacing w:before="0" w:line="360" w:lineRule="auto"/>
        <w:rPr>
          <w:rFonts w:ascii="Palatino Linotype" w:hAnsi="Palatino Linotype"/>
          <w:b/>
          <w:color w:val="auto"/>
          <w:sz w:val="22"/>
          <w:lang w:val="es-ES"/>
        </w:rPr>
      </w:pPr>
      <w:bookmarkStart w:id="25" w:name="_Toc221201944"/>
      <w:r w:rsidRPr="00030A67">
        <w:rPr>
          <w:rFonts w:ascii="Palatino Linotype" w:eastAsia="Calibri" w:hAnsi="Palatino Linotype"/>
          <w:b/>
          <w:color w:val="auto"/>
          <w:sz w:val="22"/>
          <w:lang w:eastAsia="es-ES_tradnl"/>
        </w:rPr>
        <w:t>QUINTO. Estudio de Fondo</w:t>
      </w:r>
      <w:bookmarkEnd w:id="25"/>
    </w:p>
    <w:p w14:paraId="083DE745" w14:textId="77777777" w:rsidR="00040101" w:rsidRPr="00030A67" w:rsidRDefault="00040101" w:rsidP="000B54EE">
      <w:pPr>
        <w:spacing w:line="360" w:lineRule="auto"/>
        <w:ind w:right="-93"/>
        <w:jc w:val="both"/>
        <w:rPr>
          <w:rFonts w:ascii="Palatino Linotype" w:hAnsi="Palatino Linotype" w:cs="Tahoma"/>
          <w:b/>
          <w:sz w:val="22"/>
          <w:szCs w:val="22"/>
          <w:lang w:val="es-ES"/>
        </w:rPr>
      </w:pPr>
    </w:p>
    <w:p w14:paraId="49DDE79B" w14:textId="77777777" w:rsidR="001809B9" w:rsidRPr="00030A67" w:rsidRDefault="001809B9" w:rsidP="001809B9">
      <w:pPr>
        <w:spacing w:line="360" w:lineRule="auto"/>
        <w:jc w:val="both"/>
        <w:rPr>
          <w:rFonts w:ascii="Palatino Linotype" w:hAnsi="Palatino Linotype" w:cs="Tahoma"/>
          <w:bCs/>
          <w:iCs/>
          <w:color w:val="000000"/>
          <w:sz w:val="22"/>
          <w:szCs w:val="22"/>
        </w:rPr>
      </w:pPr>
      <w:r w:rsidRPr="00030A67">
        <w:rPr>
          <w:rFonts w:ascii="Palatino Linotype" w:eastAsia="Palatino Linotype" w:hAnsi="Palatino Linotype" w:cs="Palatino Linotype"/>
          <w:color w:val="000000"/>
          <w:sz w:val="22"/>
          <w:szCs w:val="22"/>
          <w:lang w:eastAsia="es-MX"/>
        </w:rPr>
        <w:lastRenderedPageBreak/>
        <w:t xml:space="preserve">Expuestas las posturas de las partes, se procede al análisis de los agravios hechos valer por la persona Recurrente, </w:t>
      </w:r>
      <w:r w:rsidRPr="00030A67">
        <w:rPr>
          <w:rFonts w:ascii="Palatino Linotype" w:hAnsi="Palatino Linotype" w:cs="Tahoma"/>
          <w:bCs/>
          <w:iCs/>
          <w:color w:val="000000"/>
          <w:sz w:val="22"/>
          <w:szCs w:val="22"/>
        </w:rPr>
        <w:t>por lo que, en principio es necesario contextualizar la solicitud de información.</w:t>
      </w:r>
    </w:p>
    <w:p w14:paraId="610AFF39" w14:textId="3E4196A0" w:rsidR="001809B9" w:rsidRPr="00030A67" w:rsidRDefault="001809B9" w:rsidP="001809B9">
      <w:pPr>
        <w:spacing w:line="360" w:lineRule="auto"/>
        <w:jc w:val="both"/>
        <w:rPr>
          <w:rFonts w:ascii="Palatino Linotype" w:hAnsi="Palatino Linotype" w:cs="Tahoma"/>
          <w:bCs/>
          <w:iCs/>
          <w:color w:val="000000"/>
          <w:sz w:val="22"/>
          <w:szCs w:val="22"/>
        </w:rPr>
      </w:pPr>
    </w:p>
    <w:p w14:paraId="7676706E" w14:textId="77777777"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Al respecto, el artículo 4°, fracción XVIII, de la Ley General de Contabilidad Gubernamental, establece que </w:t>
      </w:r>
      <w:r w:rsidRPr="00030A67">
        <w:rPr>
          <w:rFonts w:ascii="Palatino Linotype" w:hAnsi="Palatino Linotype" w:cs="Tahoma"/>
          <w:b/>
          <w:bCs/>
          <w:iCs/>
          <w:color w:val="000000"/>
          <w:sz w:val="22"/>
          <w:szCs w:val="22"/>
        </w:rPr>
        <w:t>la información financiera consiste en información presupuestaria y contable que se expresa en unidades monetarias las transacciones que realiza un ente público y los eventos económicos identificables y cuantificable</w:t>
      </w:r>
      <w:r w:rsidRPr="00030A67">
        <w:rPr>
          <w:rFonts w:ascii="Palatino Linotype" w:hAnsi="Palatino Linotype" w:cs="Tahoma"/>
          <w:bCs/>
          <w:iCs/>
          <w:color w:val="000000"/>
          <w:sz w:val="22"/>
          <w:szCs w:val="22"/>
        </w:rPr>
        <w:t xml:space="preserve"> la cual puede representarse por reportes, informes, estados y notas que expresan su situación financiera, los resultados de su operación y los cambios en su patrimonio.</w:t>
      </w:r>
    </w:p>
    <w:p w14:paraId="38C43142"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59A29036" w14:textId="77777777"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4C833C49"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61ACA019" w14:textId="77777777"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030A67">
        <w:rPr>
          <w:rFonts w:ascii="Palatino Linotype" w:hAnsi="Palatino Linotype" w:cs="Tahoma"/>
          <w:bCs/>
          <w:iCs/>
          <w:color w:val="000000"/>
          <w:sz w:val="22"/>
          <w:szCs w:val="22"/>
        </w:rPr>
        <w:t>presupuestación</w:t>
      </w:r>
      <w:proofErr w:type="spellEnd"/>
      <w:r w:rsidRPr="00030A67">
        <w:rPr>
          <w:rFonts w:ascii="Palatino Linotype" w:hAnsi="Palatino Linotype" w:cs="Tahoma"/>
          <w:bCs/>
          <w:iCs/>
          <w:color w:val="000000"/>
          <w:sz w:val="22"/>
          <w:szCs w:val="22"/>
        </w:rPr>
        <w:t xml:space="preserve">, ejecución y control de la adquisición (bienes muebles e inmuebles), arrendamiento (bienes muebles e inmuebles), y la contratación de servicios de cualquier naturaleza, que realicen los Ayuntamientos de los Municipios. </w:t>
      </w:r>
    </w:p>
    <w:p w14:paraId="3686C848"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6BBE4CE4" w14:textId="7B19416F"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lastRenderedPageBreak/>
        <w:t xml:space="preserve">Ahora bien, la Resolución Miscelánea Fiscal, establece que la factura es lo mismo, que un Comprobante Fiscal Digital por Internet, por lo que, se puede considerar como el documento que comprueba la realización de una </w:t>
      </w:r>
      <w:r w:rsidRPr="00030A67">
        <w:rPr>
          <w:rFonts w:ascii="Palatino Linotype" w:hAnsi="Palatino Linotype" w:cs="Tahoma"/>
          <w:b/>
          <w:bCs/>
          <w:iCs/>
          <w:color w:val="000000"/>
          <w:sz w:val="22"/>
          <w:szCs w:val="22"/>
        </w:rPr>
        <w:t xml:space="preserve">transacción </w:t>
      </w:r>
      <w:r w:rsidRPr="00030A67">
        <w:rPr>
          <w:rFonts w:ascii="Palatino Linotype" w:hAnsi="Palatino Linotype" w:cs="Tahoma"/>
          <w:bCs/>
          <w:iCs/>
          <w:color w:val="000000"/>
          <w:sz w:val="22"/>
          <w:szCs w:val="22"/>
        </w:rPr>
        <w:t>comercial, entre un comprador y un vendedor, mediante el cual, el primero queda obligado a realizar un pago, mientras que el segundo, a entregar o brindar un producto o servicio.</w:t>
      </w:r>
    </w:p>
    <w:p w14:paraId="7E98C5C1"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45E771ED" w14:textId="77777777"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5B0A71D4"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3ABDBEF6" w14:textId="77777777"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14:paraId="1C53C141"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5429A4F1" w14:textId="77777777" w:rsidR="003527CF" w:rsidRPr="00030A67" w:rsidRDefault="003527CF" w:rsidP="003527CF">
      <w:pPr>
        <w:numPr>
          <w:ilvl w:val="0"/>
          <w:numId w:val="3"/>
        </w:numPr>
        <w:spacing w:line="360" w:lineRule="auto"/>
        <w:jc w:val="both"/>
        <w:rPr>
          <w:rFonts w:ascii="Palatino Linotype" w:hAnsi="Palatino Linotype" w:cs="Tahoma"/>
          <w:bCs/>
          <w:iCs/>
          <w:color w:val="000000"/>
          <w:sz w:val="22"/>
          <w:szCs w:val="22"/>
        </w:rPr>
      </w:pPr>
      <w:r w:rsidRPr="00030A67">
        <w:rPr>
          <w:rFonts w:ascii="Palatino Linotype" w:hAnsi="Palatino Linotype" w:cs="Tahoma"/>
          <w:b/>
          <w:bCs/>
          <w:iCs/>
          <w:color w:val="000000"/>
          <w:sz w:val="22"/>
          <w:szCs w:val="22"/>
        </w:rPr>
        <w:t>Póliza de Ingresos:</w:t>
      </w:r>
      <w:r w:rsidRPr="00030A67">
        <w:rPr>
          <w:rFonts w:ascii="Palatino Linotype" w:hAnsi="Palatino Linotype" w:cs="Tahoma"/>
          <w:bCs/>
          <w:iCs/>
          <w:color w:val="000000"/>
          <w:sz w:val="22"/>
          <w:szCs w:val="22"/>
        </w:rPr>
        <w:t xml:space="preserve"> Es aquella donde se anotan las operaciones que representan ingresos, esto es, entradas de dinero para el municipio. </w:t>
      </w:r>
    </w:p>
    <w:p w14:paraId="5CA99295"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70694095" w14:textId="77777777" w:rsidR="003527CF" w:rsidRPr="00030A67" w:rsidRDefault="003527CF" w:rsidP="003527CF">
      <w:pPr>
        <w:numPr>
          <w:ilvl w:val="0"/>
          <w:numId w:val="3"/>
        </w:numPr>
        <w:spacing w:line="360" w:lineRule="auto"/>
        <w:jc w:val="both"/>
        <w:rPr>
          <w:rFonts w:ascii="Palatino Linotype" w:hAnsi="Palatino Linotype" w:cs="Tahoma"/>
          <w:bCs/>
          <w:iCs/>
          <w:color w:val="000000"/>
          <w:sz w:val="22"/>
          <w:szCs w:val="22"/>
        </w:rPr>
      </w:pPr>
      <w:r w:rsidRPr="00030A67">
        <w:rPr>
          <w:rFonts w:ascii="Palatino Linotype" w:hAnsi="Palatino Linotype" w:cs="Tahoma"/>
          <w:b/>
          <w:bCs/>
          <w:iCs/>
          <w:color w:val="000000"/>
          <w:sz w:val="22"/>
          <w:szCs w:val="22"/>
        </w:rPr>
        <w:t>Póliza de Egresos:</w:t>
      </w:r>
      <w:r w:rsidRPr="00030A67">
        <w:rPr>
          <w:rFonts w:ascii="Palatino Linotype" w:hAnsi="Palatino Linotype" w:cs="Tahoma"/>
          <w:bCs/>
          <w:iCs/>
          <w:color w:val="000000"/>
          <w:sz w:val="22"/>
          <w:szCs w:val="22"/>
        </w:rPr>
        <w:t xml:space="preserve"> Corresponde a aquella donde se anotan las operaciones que implique egresos, es decir, la salida de dinero, en efectivo o transferencia, para el municipio.</w:t>
      </w:r>
    </w:p>
    <w:p w14:paraId="10DF87E5"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6A6D2817" w14:textId="77777777" w:rsidR="003527CF" w:rsidRPr="00030A67" w:rsidRDefault="003527CF" w:rsidP="003527CF">
      <w:pPr>
        <w:numPr>
          <w:ilvl w:val="0"/>
          <w:numId w:val="3"/>
        </w:numPr>
        <w:spacing w:line="360" w:lineRule="auto"/>
        <w:jc w:val="both"/>
        <w:rPr>
          <w:rFonts w:ascii="Palatino Linotype" w:hAnsi="Palatino Linotype" w:cs="Tahoma"/>
          <w:bCs/>
          <w:iCs/>
          <w:color w:val="000000"/>
          <w:sz w:val="22"/>
          <w:szCs w:val="22"/>
        </w:rPr>
      </w:pPr>
      <w:r w:rsidRPr="00030A67">
        <w:rPr>
          <w:rFonts w:ascii="Palatino Linotype" w:hAnsi="Palatino Linotype" w:cs="Tahoma"/>
          <w:b/>
          <w:bCs/>
          <w:iCs/>
          <w:color w:val="000000"/>
          <w:sz w:val="22"/>
          <w:szCs w:val="22"/>
        </w:rPr>
        <w:lastRenderedPageBreak/>
        <w:t>Póliza Cheque:</w:t>
      </w:r>
      <w:r w:rsidRPr="00030A67">
        <w:rPr>
          <w:rFonts w:ascii="Palatino Linotype" w:hAnsi="Palatino Linotype" w:cs="Tahoma"/>
          <w:bCs/>
          <w:iCs/>
          <w:color w:val="000000"/>
          <w:sz w:val="22"/>
          <w:szCs w:val="22"/>
        </w:rPr>
        <w:t xml:space="preserve"> Es la que se elabora cuando la operación implique una salida de dinero del municipio, a través de un cheque.</w:t>
      </w:r>
    </w:p>
    <w:p w14:paraId="78A7FAA1"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5F46F17D" w14:textId="77777777" w:rsidR="003527CF" w:rsidRPr="00030A67" w:rsidRDefault="003527CF" w:rsidP="003527CF">
      <w:pPr>
        <w:numPr>
          <w:ilvl w:val="0"/>
          <w:numId w:val="3"/>
        </w:numPr>
        <w:spacing w:line="360" w:lineRule="auto"/>
        <w:jc w:val="both"/>
        <w:rPr>
          <w:rFonts w:ascii="Palatino Linotype" w:hAnsi="Palatino Linotype" w:cs="Tahoma"/>
          <w:bCs/>
          <w:iCs/>
          <w:color w:val="000000"/>
          <w:sz w:val="22"/>
          <w:szCs w:val="22"/>
        </w:rPr>
      </w:pPr>
      <w:r w:rsidRPr="00030A67">
        <w:rPr>
          <w:rFonts w:ascii="Palatino Linotype" w:hAnsi="Palatino Linotype" w:cs="Tahoma"/>
          <w:b/>
          <w:bCs/>
          <w:iCs/>
          <w:color w:val="000000"/>
          <w:sz w:val="22"/>
          <w:szCs w:val="22"/>
        </w:rPr>
        <w:t>Póliza de Diario:</w:t>
      </w:r>
      <w:r w:rsidRPr="00030A67">
        <w:rPr>
          <w:rFonts w:ascii="Palatino Linotype" w:hAnsi="Palatino Linotype" w:cs="Tahoma"/>
          <w:bCs/>
          <w:iCs/>
          <w:color w:val="000000"/>
          <w:sz w:val="22"/>
          <w:szCs w:val="22"/>
        </w:rPr>
        <w:t xml:space="preserve"> Es la que se elabora cuando la operación que se está registrando no implica una entrada o una salida (ingreso o egreso) de dinero para el municipio.</w:t>
      </w:r>
    </w:p>
    <w:p w14:paraId="3FAB441E"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28610878" w14:textId="25071846"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En ese orden de ideas, este Instituto revisó los Lineamientos para la Integración, Presentación y Envío de los Informes Trimestrales Municipales del Ejercicio Fiscal 2025,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w:t>
      </w:r>
      <w:r w:rsidRPr="00030A67">
        <w:rPr>
          <w:rFonts w:ascii="Palatino Linotype" w:hAnsi="Palatino Linotype" w:cs="Tahoma"/>
          <w:b/>
          <w:iCs/>
          <w:color w:val="000000"/>
          <w:sz w:val="22"/>
          <w:szCs w:val="22"/>
          <w:u w:val="single"/>
        </w:rPr>
        <w:t>concentrar el</w:t>
      </w:r>
      <w:r w:rsidRPr="00030A67">
        <w:rPr>
          <w:rFonts w:ascii="Palatino Linotype" w:hAnsi="Palatino Linotype" w:cs="Tahoma"/>
          <w:b/>
          <w:bCs/>
          <w:iCs/>
          <w:color w:val="000000"/>
          <w:sz w:val="22"/>
          <w:szCs w:val="22"/>
          <w:u w:val="single"/>
        </w:rPr>
        <w:t xml:space="preserve"> total de pólizas</w:t>
      </w:r>
      <w:r w:rsidRPr="00030A67">
        <w:rPr>
          <w:rFonts w:ascii="Palatino Linotype" w:hAnsi="Palatino Linotype" w:cs="Tahoma"/>
          <w:bCs/>
          <w:iCs/>
          <w:color w:val="000000"/>
          <w:sz w:val="22"/>
          <w:szCs w:val="22"/>
        </w:rPr>
        <w:t xml:space="preserve"> que la enditad realizó en un determinado periodo.</w:t>
      </w:r>
    </w:p>
    <w:p w14:paraId="2D8EA7B4"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09D70B4C" w14:textId="5096DE85" w:rsidR="003527CF" w:rsidRPr="00030A67" w:rsidRDefault="003527CF" w:rsidP="003527CF">
      <w:pPr>
        <w:spacing w:line="360" w:lineRule="auto"/>
        <w:jc w:val="both"/>
        <w:rPr>
          <w:rFonts w:ascii="Palatino Linotype" w:hAnsi="Palatino Linotype" w:cs="Tahoma"/>
          <w:bCs/>
          <w:iCs/>
          <w:color w:val="000000"/>
          <w:sz w:val="22"/>
          <w:szCs w:val="22"/>
          <w:lang w:val="es-ES_tradnl"/>
        </w:rPr>
      </w:pPr>
      <w:r w:rsidRPr="00030A67">
        <w:rPr>
          <w:rFonts w:ascii="Palatino Linotype" w:hAnsi="Palatino Linotype" w:cs="Tahoma"/>
          <w:bCs/>
          <w:iCs/>
          <w:color w:val="000000"/>
          <w:sz w:val="22"/>
          <w:szCs w:val="22"/>
          <w:lang w:val="es-ES_tradnl"/>
        </w:rPr>
        <w:t xml:space="preserve">De tales circunstancias, se logra vislumbrar que la pretensión de la persona Recurrente, es obtener las pólizas de ingresos, egresos y de cheque de los meses de septiembre y octubre de dos mil veinticinco. </w:t>
      </w:r>
    </w:p>
    <w:p w14:paraId="46E367C9"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19D914D0" w14:textId="69505C3F"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Ahora bien, de las constancias que obran en el expediente electrónico, se advierte que el Sujeto Obligado, turnó la solicitud de información al Subdirector de Administración y Finanzas; por lo que, es oportuno hacer referencia al </w:t>
      </w:r>
      <w:r w:rsidRPr="00030A67">
        <w:rPr>
          <w:rFonts w:ascii="Palatino Linotype" w:hAnsi="Palatino Linotype" w:cs="Tahoma"/>
          <w:b/>
          <w:bCs/>
          <w:iCs/>
          <w:color w:val="000000"/>
          <w:sz w:val="22"/>
          <w:szCs w:val="22"/>
        </w:rPr>
        <w:t>procedimiento de búsqueda que deben de seguir los Sujetos Obligados para localizar la información</w:t>
      </w:r>
      <w:r w:rsidRPr="00030A67">
        <w:rPr>
          <w:rFonts w:ascii="Palatino Linotype" w:hAnsi="Palatino Linotype" w:cs="Tahoma"/>
          <w:bCs/>
          <w:iCs/>
          <w:color w:val="000000"/>
          <w:sz w:val="22"/>
          <w:szCs w:val="22"/>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w:t>
      </w:r>
      <w:r w:rsidRPr="00030A67">
        <w:rPr>
          <w:rFonts w:ascii="Palatino Linotype" w:hAnsi="Palatino Linotype" w:cs="Tahoma"/>
          <w:bCs/>
          <w:iCs/>
          <w:color w:val="000000"/>
          <w:sz w:val="22"/>
          <w:szCs w:val="22"/>
        </w:rPr>
        <w:lastRenderedPageBreak/>
        <w:t>la información o deban tenerla -de acuerdo con las facultades, competencias y funciones- con el objeto de que dichas áreas realicen una búsqueda exhaustiva y razonable de la información requerida.</w:t>
      </w:r>
    </w:p>
    <w:p w14:paraId="38003DDD"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7C521A01" w14:textId="405FEE31"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hAnsi="Palatino Linotype" w:cs="Tahoma"/>
          <w:bCs/>
          <w:iCs/>
          <w:color w:val="000000"/>
          <w:sz w:val="22"/>
          <w:szCs w:val="22"/>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 proporcionó diversas pólizas del mes de septiembre. </w:t>
      </w:r>
    </w:p>
    <w:p w14:paraId="74BC8694" w14:textId="3508C049" w:rsidR="003527CF" w:rsidRPr="00030A67" w:rsidRDefault="003527CF" w:rsidP="003527CF">
      <w:pPr>
        <w:spacing w:line="360" w:lineRule="auto"/>
        <w:jc w:val="both"/>
        <w:rPr>
          <w:rFonts w:ascii="Palatino Linotype" w:hAnsi="Palatino Linotype" w:cs="Tahoma"/>
          <w:bCs/>
          <w:iCs/>
          <w:color w:val="000000"/>
          <w:sz w:val="22"/>
          <w:szCs w:val="22"/>
        </w:rPr>
      </w:pPr>
    </w:p>
    <w:p w14:paraId="243AFF59" w14:textId="5A771FB6" w:rsidR="003527CF" w:rsidRPr="00030A67" w:rsidRDefault="003527CF" w:rsidP="003527CF">
      <w:pPr>
        <w:spacing w:line="360" w:lineRule="auto"/>
        <w:jc w:val="both"/>
        <w:rPr>
          <w:rFonts w:ascii="Palatino Linotype" w:hAnsi="Palatino Linotype" w:cs="Tahoma"/>
          <w:bCs/>
          <w:sz w:val="22"/>
          <w:szCs w:val="24"/>
          <w:lang w:val="es-ES_tradnl"/>
        </w:rPr>
      </w:pPr>
      <w:r w:rsidRPr="00030A67">
        <w:rPr>
          <w:rFonts w:ascii="Palatino Linotype" w:eastAsia="Calibri" w:hAnsi="Palatino Linotype" w:cs="Tahoma"/>
          <w:bCs/>
          <w:sz w:val="22"/>
          <w:szCs w:val="22"/>
          <w:lang w:eastAsia="en-US"/>
        </w:rPr>
        <w:t xml:space="preserve">Derivado de lo anterior, es de recordar que en respuesta </w:t>
      </w:r>
      <w:r w:rsidRPr="00030A67">
        <w:rPr>
          <w:rFonts w:ascii="Palatino Linotype" w:hAnsi="Palatino Linotype" w:cs="Tahoma"/>
          <w:sz w:val="22"/>
          <w:szCs w:val="22"/>
        </w:rPr>
        <w:t xml:space="preserve">el Sujeto Obligado proporcionó las pólizas de ingresos, egresos y de cheques del mes de septiembre y por lo que hace a las del mes de octubre, refirió que las estaba integrando, por lo que es de señalar que </w:t>
      </w:r>
      <w:r w:rsidR="00E8592C" w:rsidRPr="00030A67">
        <w:rPr>
          <w:rFonts w:ascii="Palatino Linotype" w:hAnsi="Palatino Linotype" w:cs="Tahoma"/>
          <w:sz w:val="22"/>
          <w:szCs w:val="22"/>
        </w:rPr>
        <w:t xml:space="preserve">ante la negativa  entregar los documentos solicitados </w:t>
      </w:r>
      <w:r w:rsidRPr="00030A67">
        <w:rPr>
          <w:rFonts w:ascii="Palatino Linotype" w:hAnsi="Palatino Linotype" w:cs="Tahoma"/>
          <w:sz w:val="22"/>
          <w:szCs w:val="22"/>
        </w:rPr>
        <w:t xml:space="preserve">no proporcionó </w:t>
      </w:r>
      <w:r w:rsidR="00E8592C" w:rsidRPr="00030A67">
        <w:rPr>
          <w:rFonts w:ascii="Palatino Linotype" w:hAnsi="Palatino Linotype" w:cs="Tahoma"/>
          <w:sz w:val="22"/>
          <w:szCs w:val="22"/>
        </w:rPr>
        <w:t>ningún</w:t>
      </w:r>
      <w:r w:rsidRPr="00030A67">
        <w:rPr>
          <w:rFonts w:ascii="Palatino Linotype" w:hAnsi="Palatino Linotype" w:cs="Tahoma"/>
          <w:sz w:val="22"/>
          <w:szCs w:val="22"/>
        </w:rPr>
        <w:t xml:space="preserve"> acuerdo que validara tal situación </w:t>
      </w:r>
      <w:r w:rsidRPr="00030A67">
        <w:rPr>
          <w:rFonts w:ascii="Palatino Linotype" w:hAnsi="Palatino Linotype" w:cs="Tahoma"/>
          <w:bCs/>
          <w:iCs/>
          <w:sz w:val="22"/>
          <w:szCs w:val="24"/>
          <w:lang w:val="es-ES"/>
        </w:rPr>
        <w:t xml:space="preserve">por ello se realizan las siguientes consideraciones: </w:t>
      </w:r>
      <w:r w:rsidRPr="00030A67">
        <w:rPr>
          <w:rFonts w:ascii="Palatino Linotype" w:hAnsi="Palatino Linotype" w:cs="Tahoma"/>
          <w:bCs/>
          <w:sz w:val="22"/>
          <w:szCs w:val="24"/>
          <w:lang w:val="es-ES_tradnl"/>
        </w:rPr>
        <w:t xml:space="preserve">según Trujillo, Humberto (2019), en el “Diccionario de Transparencia y Acceso a la Información Pública” (p. 201), </w:t>
      </w:r>
      <w:r w:rsidRPr="00030A67">
        <w:rPr>
          <w:rFonts w:ascii="Palatino Linotype" w:hAnsi="Palatino Linotype" w:cs="Tahoma"/>
          <w:b/>
          <w:bCs/>
          <w:sz w:val="22"/>
          <w:szCs w:val="24"/>
          <w:lang w:val="es-ES_tradnl"/>
        </w:rPr>
        <w:t xml:space="preserve">la negativa de acceso a la información </w:t>
      </w:r>
      <w:r w:rsidRPr="00030A67">
        <w:rPr>
          <w:rFonts w:ascii="Palatino Linotype" w:hAnsi="Palatino Linotype" w:cs="Tahoma"/>
          <w:bCs/>
          <w:sz w:val="22"/>
          <w:szCs w:val="24"/>
          <w:lang w:val="es-ES_tradnl"/>
        </w:rPr>
        <w:t xml:space="preserve">ocurre cuanto de manera fundada y motivada, una autoridad la niega o la limita, por alguna de las siguientes razones: </w:t>
      </w:r>
    </w:p>
    <w:p w14:paraId="0662BC19" w14:textId="77777777" w:rsidR="003527CF" w:rsidRPr="00030A67" w:rsidRDefault="003527CF" w:rsidP="003527CF">
      <w:pPr>
        <w:spacing w:line="360" w:lineRule="auto"/>
        <w:ind w:right="-93"/>
        <w:contextualSpacing/>
        <w:jc w:val="both"/>
        <w:rPr>
          <w:rFonts w:ascii="Palatino Linotype" w:hAnsi="Palatino Linotype" w:cs="Tahoma"/>
          <w:bCs/>
          <w:sz w:val="22"/>
          <w:szCs w:val="24"/>
          <w:lang w:val="es-ES_tradnl"/>
        </w:rPr>
      </w:pPr>
    </w:p>
    <w:p w14:paraId="14D6B87E" w14:textId="77777777" w:rsidR="003527CF" w:rsidRPr="00030A67" w:rsidRDefault="003527CF" w:rsidP="003527CF">
      <w:pPr>
        <w:numPr>
          <w:ilvl w:val="0"/>
          <w:numId w:val="5"/>
        </w:numPr>
        <w:spacing w:line="360" w:lineRule="auto"/>
        <w:ind w:right="-93"/>
        <w:contextualSpacing/>
        <w:jc w:val="both"/>
        <w:rPr>
          <w:rFonts w:ascii="Palatino Linotype" w:hAnsi="Palatino Linotype" w:cs="Tahoma"/>
          <w:b/>
          <w:bCs/>
          <w:sz w:val="22"/>
          <w:szCs w:val="24"/>
          <w:lang w:val="es-ES_tradnl"/>
        </w:rPr>
      </w:pPr>
      <w:r w:rsidRPr="00030A67">
        <w:rPr>
          <w:rFonts w:ascii="Palatino Linotype" w:hAnsi="Palatino Linotype" w:cs="Tahoma"/>
          <w:b/>
          <w:bCs/>
          <w:sz w:val="22"/>
          <w:szCs w:val="24"/>
          <w:lang w:val="es-ES_tradnl"/>
        </w:rPr>
        <w:t xml:space="preserve">La inexistencia de la información (p. 171): </w:t>
      </w:r>
      <w:r w:rsidRPr="00030A67">
        <w:rPr>
          <w:rFonts w:ascii="Palatino Linotype" w:hAnsi="Palatino Linotype" w:cs="Tahoma"/>
          <w:bCs/>
          <w:sz w:val="22"/>
          <w:szCs w:val="24"/>
          <w:lang w:val="es-ES_tradnl"/>
        </w:rPr>
        <w:t>Sucede cuando la información solicitada no se encuentra en los archivos públicos o clasificados de los entes sujetos a las Leyes de Transparencia.</w:t>
      </w:r>
    </w:p>
    <w:p w14:paraId="0C70701A" w14:textId="77777777" w:rsidR="003527CF" w:rsidRPr="00030A67" w:rsidRDefault="003527CF" w:rsidP="003527CF">
      <w:pPr>
        <w:spacing w:line="360" w:lineRule="auto"/>
        <w:ind w:right="-93"/>
        <w:contextualSpacing/>
        <w:jc w:val="both"/>
        <w:rPr>
          <w:rFonts w:ascii="Palatino Linotype" w:hAnsi="Palatino Linotype" w:cs="Tahoma"/>
          <w:b/>
          <w:bCs/>
          <w:sz w:val="22"/>
          <w:szCs w:val="24"/>
          <w:lang w:val="es-ES_tradnl"/>
        </w:rPr>
      </w:pPr>
    </w:p>
    <w:p w14:paraId="50893D02" w14:textId="77777777" w:rsidR="003527CF" w:rsidRPr="00030A67" w:rsidRDefault="003527CF" w:rsidP="003527CF">
      <w:pPr>
        <w:numPr>
          <w:ilvl w:val="0"/>
          <w:numId w:val="5"/>
        </w:numPr>
        <w:spacing w:line="360" w:lineRule="auto"/>
        <w:ind w:right="-93"/>
        <w:contextualSpacing/>
        <w:jc w:val="both"/>
        <w:rPr>
          <w:rFonts w:ascii="Palatino Linotype" w:hAnsi="Palatino Linotype" w:cs="Tahoma"/>
          <w:b/>
          <w:bCs/>
          <w:sz w:val="22"/>
          <w:szCs w:val="24"/>
          <w:lang w:val="es-ES_tradnl"/>
        </w:rPr>
      </w:pPr>
      <w:r w:rsidRPr="00030A67">
        <w:rPr>
          <w:rFonts w:ascii="Palatino Linotype" w:hAnsi="Palatino Linotype" w:cs="Tahoma"/>
          <w:b/>
          <w:bCs/>
          <w:sz w:val="22"/>
          <w:szCs w:val="24"/>
          <w:lang w:val="es-ES_tradnl"/>
        </w:rPr>
        <w:t xml:space="preserve">La incompetencia del Sujeto Obligado (p. 171): </w:t>
      </w:r>
      <w:r w:rsidRPr="00030A67">
        <w:rPr>
          <w:rFonts w:ascii="Palatino Linotype" w:hAnsi="Palatino Linotype" w:cs="Tahoma"/>
          <w:bCs/>
          <w:sz w:val="22"/>
          <w:szCs w:val="24"/>
          <w:lang w:val="es-ES_tradnl"/>
        </w:rPr>
        <w:t>Ocurre cuando el Sujeto Obligado carece de atribuciones para poseer la información peticionada.</w:t>
      </w:r>
    </w:p>
    <w:p w14:paraId="3BF64BF8" w14:textId="77777777" w:rsidR="003527CF" w:rsidRPr="00030A67" w:rsidRDefault="003527CF" w:rsidP="003527CF">
      <w:pPr>
        <w:spacing w:line="360" w:lineRule="auto"/>
        <w:ind w:right="-93"/>
        <w:contextualSpacing/>
        <w:jc w:val="both"/>
        <w:rPr>
          <w:rFonts w:ascii="Palatino Linotype" w:hAnsi="Palatino Linotype" w:cs="Tahoma"/>
          <w:b/>
          <w:bCs/>
          <w:sz w:val="22"/>
          <w:szCs w:val="24"/>
          <w:lang w:val="es-ES_tradnl"/>
        </w:rPr>
      </w:pPr>
    </w:p>
    <w:p w14:paraId="72CD458D" w14:textId="77777777" w:rsidR="003527CF" w:rsidRPr="00030A67" w:rsidRDefault="003527CF" w:rsidP="003527CF">
      <w:pPr>
        <w:numPr>
          <w:ilvl w:val="0"/>
          <w:numId w:val="5"/>
        </w:numPr>
        <w:spacing w:line="360" w:lineRule="auto"/>
        <w:ind w:right="-93"/>
        <w:contextualSpacing/>
        <w:jc w:val="both"/>
        <w:rPr>
          <w:rFonts w:ascii="Palatino Linotype" w:hAnsi="Palatino Linotype" w:cs="Tahoma"/>
          <w:b/>
          <w:bCs/>
          <w:sz w:val="22"/>
          <w:szCs w:val="24"/>
          <w:lang w:val="es-ES_tradnl"/>
        </w:rPr>
      </w:pPr>
      <w:r w:rsidRPr="00030A67">
        <w:rPr>
          <w:rFonts w:ascii="Palatino Linotype" w:hAnsi="Palatino Linotype" w:cs="Tahoma"/>
          <w:b/>
          <w:bCs/>
          <w:sz w:val="22"/>
          <w:szCs w:val="24"/>
          <w:lang w:val="es-ES_tradnl"/>
        </w:rPr>
        <w:t xml:space="preserve">La clasificación de la información (p. 70): </w:t>
      </w:r>
      <w:r w:rsidRPr="00030A67">
        <w:rPr>
          <w:rFonts w:ascii="Palatino Linotype" w:hAnsi="Palatino Linotype" w:cs="Tahoma"/>
          <w:bCs/>
          <w:sz w:val="22"/>
          <w:szCs w:val="24"/>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47F237F8" w14:textId="77777777" w:rsidR="003527CF" w:rsidRPr="00030A67" w:rsidRDefault="003527CF" w:rsidP="003527CF">
      <w:pPr>
        <w:spacing w:line="360" w:lineRule="auto"/>
        <w:ind w:right="-93"/>
        <w:contextualSpacing/>
        <w:jc w:val="both"/>
        <w:rPr>
          <w:rFonts w:ascii="Palatino Linotype" w:hAnsi="Palatino Linotype" w:cs="Tahoma"/>
          <w:sz w:val="22"/>
          <w:szCs w:val="24"/>
          <w:lang w:val="es-ES_tradnl"/>
        </w:rPr>
      </w:pPr>
    </w:p>
    <w:p w14:paraId="325A07C7" w14:textId="77777777" w:rsidR="003527CF" w:rsidRPr="00030A67" w:rsidRDefault="003527CF" w:rsidP="003527CF">
      <w:pPr>
        <w:spacing w:line="360" w:lineRule="auto"/>
        <w:ind w:right="-93"/>
        <w:contextualSpacing/>
        <w:jc w:val="both"/>
        <w:rPr>
          <w:rFonts w:ascii="Palatino Linotype" w:hAnsi="Palatino Linotype" w:cs="Tahoma"/>
          <w:b/>
          <w:bCs/>
          <w:iCs/>
          <w:sz w:val="22"/>
          <w:szCs w:val="24"/>
          <w:lang w:val="es-ES"/>
        </w:rPr>
      </w:pPr>
      <w:r w:rsidRPr="00030A67">
        <w:rPr>
          <w:rFonts w:ascii="Palatino Linotype" w:hAnsi="Palatino Linotype" w:cs="Tahoma"/>
          <w:sz w:val="22"/>
          <w:szCs w:val="24"/>
          <w:lang w:val="es-ES_tradnl"/>
        </w:rPr>
        <w:t>En ese orden de ideas y en atención a lo anterior, es de señalar que l</w:t>
      </w:r>
      <w:r w:rsidRPr="00030A67">
        <w:rPr>
          <w:rFonts w:ascii="Palatino Linotype" w:hAnsi="Palatino Linotype" w:cs="Tahoma"/>
          <w:sz w:val="22"/>
          <w:szCs w:val="24"/>
          <w:lang w:val="es-ES"/>
        </w:rPr>
        <w:t xml:space="preserve">as </w:t>
      </w:r>
      <w:r w:rsidRPr="00030A67">
        <w:rPr>
          <w:rFonts w:ascii="Palatino Linotype" w:hAnsi="Palatino Linotype" w:cs="Tahoma"/>
          <w:bCs/>
          <w:iCs/>
          <w:sz w:val="22"/>
          <w:szCs w:val="24"/>
          <w:lang w:val="es-ES"/>
        </w:rPr>
        <w:t xml:space="preserve">excepciones al derecho de acceso a la información, consisten en que la documentación sea inexistente, </w:t>
      </w:r>
      <w:r w:rsidRPr="00030A67">
        <w:rPr>
          <w:rFonts w:ascii="Palatino Linotype" w:hAnsi="Palatino Linotype" w:cs="Tahoma"/>
          <w:b/>
          <w:bCs/>
          <w:iCs/>
          <w:sz w:val="22"/>
          <w:szCs w:val="24"/>
          <w:lang w:val="es-ES"/>
        </w:rPr>
        <w:t>se encuentre clasificada</w:t>
      </w:r>
      <w:r w:rsidRPr="00030A67">
        <w:rPr>
          <w:rFonts w:ascii="Palatino Linotype" w:hAnsi="Palatino Linotype" w:cs="Tahoma"/>
          <w:bCs/>
          <w:iCs/>
          <w:sz w:val="22"/>
          <w:szCs w:val="24"/>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30A67">
        <w:rPr>
          <w:rFonts w:ascii="Palatino Linotype" w:hAnsi="Palatino Linotype" w:cs="Tahoma"/>
          <w:b/>
          <w:bCs/>
          <w:iCs/>
          <w:sz w:val="22"/>
          <w:szCs w:val="24"/>
          <w:lang w:val="es-ES"/>
        </w:rPr>
        <w:t>confidenciales o reservados.</w:t>
      </w:r>
    </w:p>
    <w:p w14:paraId="42E9193C" w14:textId="77777777" w:rsidR="003527CF" w:rsidRPr="00030A67" w:rsidRDefault="003527CF" w:rsidP="003527CF">
      <w:pPr>
        <w:spacing w:line="360" w:lineRule="auto"/>
        <w:ind w:right="-93"/>
        <w:jc w:val="both"/>
        <w:rPr>
          <w:rFonts w:ascii="Palatino Linotype" w:hAnsi="Palatino Linotype" w:cs="Tahoma"/>
          <w:b/>
          <w:bCs/>
          <w:iCs/>
          <w:sz w:val="22"/>
          <w:szCs w:val="24"/>
          <w:lang w:val="es-ES"/>
        </w:rPr>
      </w:pPr>
    </w:p>
    <w:p w14:paraId="0379F8A1" w14:textId="421BA1C4" w:rsidR="003527CF" w:rsidRPr="00030A67" w:rsidRDefault="003527CF" w:rsidP="003527CF">
      <w:pPr>
        <w:spacing w:line="360" w:lineRule="auto"/>
        <w:ind w:right="-93"/>
        <w:jc w:val="both"/>
        <w:rPr>
          <w:rFonts w:ascii="Palatino Linotype" w:hAnsi="Palatino Linotype" w:cs="Tahoma"/>
          <w:sz w:val="22"/>
          <w:szCs w:val="24"/>
          <w:lang w:val="es-ES"/>
        </w:rPr>
      </w:pPr>
      <w:r w:rsidRPr="00030A67">
        <w:rPr>
          <w:rFonts w:ascii="Palatino Linotype" w:hAnsi="Palatino Linotype" w:cs="Tahoma"/>
          <w:sz w:val="22"/>
          <w:szCs w:val="24"/>
          <w:lang w:val="es-ES_tradnl"/>
        </w:rPr>
        <w:t xml:space="preserve">Así, en los artículos 122, 128 y 130 de la Ley Transparencia y Acceso a la Información Pública del Estado de México y Municipios, se prevé que </w:t>
      </w:r>
      <w:r w:rsidRPr="00030A67">
        <w:rPr>
          <w:rFonts w:ascii="Palatino Linotype" w:hAnsi="Palatino Linotype" w:cs="Tahoma"/>
          <w:b/>
          <w:sz w:val="22"/>
          <w:szCs w:val="24"/>
          <w:lang w:val="es-ES_tradnl"/>
        </w:rPr>
        <w:t xml:space="preserve">la clasificación </w:t>
      </w:r>
      <w:r w:rsidRPr="00030A67">
        <w:rPr>
          <w:rFonts w:ascii="Palatino Linotype" w:hAnsi="Palatino Linotype" w:cs="Tahoma"/>
          <w:sz w:val="22"/>
          <w:szCs w:val="24"/>
          <w:lang w:val="es-ES_tradnl"/>
        </w:rPr>
        <w:t xml:space="preserve">es el proceso mediante el cual los sujetos obligados determinan que la información en su poder </w:t>
      </w:r>
      <w:r w:rsidR="00426685" w:rsidRPr="00030A67">
        <w:rPr>
          <w:rFonts w:ascii="Palatino Linotype" w:hAnsi="Palatino Linotype" w:cs="Tahoma"/>
          <w:sz w:val="22"/>
          <w:szCs w:val="24"/>
          <w:lang w:val="es-ES_tradnl"/>
        </w:rPr>
        <w:t>actualizar</w:t>
      </w:r>
      <w:r w:rsidRPr="00030A67">
        <w:rPr>
          <w:rFonts w:ascii="Palatino Linotype" w:hAnsi="Palatino Linotype" w:cs="Tahoma"/>
          <w:sz w:val="22"/>
          <w:szCs w:val="24"/>
          <w:lang w:val="es-ES_tradnl"/>
        </w:rPr>
        <w:t xml:space="preserve"> alguno de los supuestos de reserva o confidencialidad. </w:t>
      </w:r>
      <w:r w:rsidRPr="00030A67">
        <w:rPr>
          <w:rFonts w:ascii="Palatino Linotype" w:hAnsi="Palatino Linotype" w:cs="Tahoma"/>
          <w:sz w:val="22"/>
          <w:szCs w:val="24"/>
          <w:lang w:val="es-ES"/>
        </w:rPr>
        <w:t>Además, que dichos entes deberán aplicar de manera restrictiva y limitada, las excepciones al derecho de acceso a la información, por lo que, tendrán que acreditar la procedencia.</w:t>
      </w:r>
    </w:p>
    <w:p w14:paraId="7943E631"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p>
    <w:p w14:paraId="3CE2DE5C" w14:textId="77777777" w:rsidR="003527CF" w:rsidRPr="00030A67" w:rsidRDefault="003527CF" w:rsidP="003527CF">
      <w:pPr>
        <w:spacing w:line="360" w:lineRule="auto"/>
        <w:ind w:right="-93"/>
        <w:jc w:val="both"/>
        <w:rPr>
          <w:rFonts w:ascii="Palatino Linotype" w:hAnsi="Palatino Linotype" w:cs="Tahoma"/>
          <w:sz w:val="22"/>
          <w:szCs w:val="24"/>
          <w:lang w:val="es-ES"/>
        </w:rPr>
      </w:pPr>
      <w:r w:rsidRPr="00030A67">
        <w:rPr>
          <w:rFonts w:ascii="Palatino Linotype" w:hAnsi="Palatino Linotype" w:cs="Tahoma"/>
          <w:sz w:val="22"/>
          <w:szCs w:val="24"/>
          <w:lang w:val="es-ES"/>
        </w:rPr>
        <w:t xml:space="preserve">Por lo cual, en los casos en que se niegue el acceso a la información, por actualizarse alguno de los supuestos de clasificación, </w:t>
      </w:r>
      <w:r w:rsidRPr="00030A67">
        <w:rPr>
          <w:rFonts w:ascii="Palatino Linotype" w:hAnsi="Palatino Linotype" w:cs="Tahoma"/>
          <w:b/>
          <w:sz w:val="22"/>
          <w:szCs w:val="24"/>
          <w:lang w:val="es-ES"/>
        </w:rPr>
        <w:t xml:space="preserve">el Comité de Transparencia deberá confirmar, modificar o revocar la decisión; </w:t>
      </w:r>
      <w:r w:rsidRPr="00030A67">
        <w:rPr>
          <w:rFonts w:ascii="Palatino Linotype" w:hAnsi="Palatino Linotype" w:cs="Tahoma"/>
          <w:sz w:val="22"/>
          <w:szCs w:val="24"/>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679534D" w14:textId="77777777" w:rsidR="003527CF" w:rsidRPr="00030A67" w:rsidRDefault="003527CF" w:rsidP="003527CF">
      <w:pPr>
        <w:spacing w:line="360" w:lineRule="auto"/>
        <w:ind w:right="-93"/>
        <w:jc w:val="both"/>
        <w:rPr>
          <w:rFonts w:ascii="Palatino Linotype" w:hAnsi="Palatino Linotype" w:cs="Tahoma"/>
          <w:sz w:val="22"/>
          <w:szCs w:val="24"/>
          <w:lang w:val="es-ES"/>
        </w:rPr>
      </w:pPr>
    </w:p>
    <w:p w14:paraId="577D8FAE" w14:textId="77777777" w:rsidR="003527CF" w:rsidRPr="00030A67" w:rsidRDefault="003527CF" w:rsidP="003527CF">
      <w:pPr>
        <w:spacing w:line="360" w:lineRule="auto"/>
        <w:ind w:right="-93"/>
        <w:jc w:val="both"/>
        <w:rPr>
          <w:rFonts w:ascii="Palatino Linotype" w:hAnsi="Palatino Linotype" w:cs="Tahoma"/>
          <w:b/>
          <w:bCs/>
          <w:sz w:val="22"/>
          <w:szCs w:val="24"/>
          <w:lang w:val="es-ES_tradnl"/>
        </w:rPr>
      </w:pPr>
      <w:r w:rsidRPr="00030A67">
        <w:rPr>
          <w:rFonts w:ascii="Palatino Linotype" w:hAnsi="Palatino Linotype" w:cs="Tahoma"/>
          <w:sz w:val="22"/>
          <w:szCs w:val="24"/>
          <w:lang w:val="es-ES"/>
        </w:rPr>
        <w:t xml:space="preserve">Por su parte, </w:t>
      </w:r>
      <w:r w:rsidRPr="00030A67">
        <w:rPr>
          <w:rFonts w:ascii="Palatino Linotype" w:hAnsi="Palatino Linotype" w:cs="Tahoma"/>
          <w:bCs/>
          <w:sz w:val="22"/>
          <w:szCs w:val="24"/>
          <w:lang w:val="es-ES_tradnl"/>
        </w:rPr>
        <w:t xml:space="preserve">según </w:t>
      </w:r>
      <w:proofErr w:type="spellStart"/>
      <w:r w:rsidRPr="00030A67">
        <w:rPr>
          <w:rFonts w:ascii="Palatino Linotype" w:hAnsi="Palatino Linotype" w:cs="Tahoma"/>
          <w:bCs/>
          <w:sz w:val="22"/>
          <w:szCs w:val="24"/>
          <w:lang w:val="es-ES_tradnl"/>
        </w:rPr>
        <w:t>Bonifaz</w:t>
      </w:r>
      <w:proofErr w:type="spellEnd"/>
      <w:r w:rsidRPr="00030A67">
        <w:rPr>
          <w:rFonts w:ascii="Palatino Linotype" w:hAnsi="Palatino Linotype" w:cs="Tahoma"/>
          <w:bCs/>
          <w:sz w:val="22"/>
          <w:szCs w:val="24"/>
          <w:lang w:val="es-ES_tradnl"/>
        </w:rPr>
        <w:t xml:space="preserve">, Leticia (2016), en la “Ley General de Transparencia y Acceso a la Información Pública Comentada” (p. 342), la </w:t>
      </w:r>
      <w:r w:rsidRPr="00030A67">
        <w:rPr>
          <w:rFonts w:ascii="Palatino Linotype" w:hAnsi="Palatino Linotype" w:cs="Tahoma"/>
          <w:b/>
          <w:bCs/>
          <w:sz w:val="22"/>
          <w:szCs w:val="24"/>
          <w:lang w:val="es-ES_tradnl"/>
        </w:rPr>
        <w:t>clasificación de la información</w:t>
      </w:r>
      <w:r w:rsidRPr="00030A67">
        <w:rPr>
          <w:rFonts w:ascii="Palatino Linotype" w:hAnsi="Palatino Linotype" w:cs="Tahoma"/>
          <w:bCs/>
          <w:sz w:val="22"/>
          <w:szCs w:val="24"/>
          <w:lang w:val="es-ES_tradnl"/>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30A67">
        <w:rPr>
          <w:rFonts w:ascii="Palatino Linotype" w:hAnsi="Palatino Linotype" w:cs="Tahoma"/>
          <w:b/>
          <w:bCs/>
          <w:sz w:val="22"/>
          <w:szCs w:val="24"/>
          <w:lang w:val="es-ES_tradnl"/>
        </w:rPr>
        <w:t>de manera adecuada la negativa de información.</w:t>
      </w:r>
    </w:p>
    <w:p w14:paraId="06FDF6D5" w14:textId="77777777" w:rsidR="003527CF" w:rsidRPr="00030A67" w:rsidRDefault="003527CF" w:rsidP="003527CF">
      <w:pPr>
        <w:spacing w:line="360" w:lineRule="auto"/>
        <w:ind w:right="-93"/>
        <w:jc w:val="both"/>
        <w:rPr>
          <w:rFonts w:ascii="Palatino Linotype" w:hAnsi="Palatino Linotype" w:cs="Tahoma"/>
          <w:sz w:val="22"/>
          <w:szCs w:val="24"/>
        </w:rPr>
      </w:pPr>
    </w:p>
    <w:p w14:paraId="57F2FD14"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r w:rsidRPr="00030A67">
        <w:rPr>
          <w:rFonts w:ascii="Palatino Linotype" w:hAnsi="Palatino Linotype" w:cs="Tahoma"/>
          <w:sz w:val="22"/>
          <w:szCs w:val="24"/>
          <w:lang w:val="es-ES_tradnl"/>
        </w:rPr>
        <w:t xml:space="preserve">Además, el artículo 131 de la Ley referida, así como el Quinto de los Lineamientos Generales en Materia de Clasificación y Desclasificación de la Información, así como para la Elaboración de Versiones Públicas –Lineamientos Generales-, vigentes a la fecha de la solicitud, establecen que los sujetos obligados </w:t>
      </w:r>
      <w:r w:rsidRPr="00030A67">
        <w:rPr>
          <w:rFonts w:ascii="Palatino Linotype" w:hAnsi="Palatino Linotype" w:cs="Tahoma"/>
          <w:b/>
          <w:sz w:val="22"/>
          <w:szCs w:val="24"/>
          <w:lang w:val="es-ES_tradnl"/>
        </w:rPr>
        <w:t>deberán fundar y motivar</w:t>
      </w:r>
      <w:r w:rsidRPr="00030A67">
        <w:rPr>
          <w:rFonts w:ascii="Palatino Linotype" w:hAnsi="Palatino Linotype" w:cs="Tahoma"/>
          <w:sz w:val="22"/>
          <w:szCs w:val="24"/>
          <w:lang w:val="es-ES_tradnl"/>
        </w:rPr>
        <w:t xml:space="preserve"> debidamente la clasificación de la información.</w:t>
      </w:r>
    </w:p>
    <w:p w14:paraId="1FE3CED8" w14:textId="77777777" w:rsidR="003527CF" w:rsidRPr="00030A67" w:rsidRDefault="003527CF" w:rsidP="003527CF">
      <w:pPr>
        <w:spacing w:line="360" w:lineRule="auto"/>
        <w:ind w:right="-93"/>
        <w:jc w:val="both"/>
        <w:rPr>
          <w:rFonts w:ascii="Palatino Linotype" w:hAnsi="Palatino Linotype" w:cs="Tahoma"/>
          <w:b/>
          <w:sz w:val="22"/>
          <w:szCs w:val="24"/>
          <w:lang w:val="es-ES_tradnl"/>
        </w:rPr>
      </w:pPr>
    </w:p>
    <w:p w14:paraId="01830180" w14:textId="77777777" w:rsidR="003527CF" w:rsidRPr="00030A67" w:rsidRDefault="003527CF" w:rsidP="003527CF">
      <w:pPr>
        <w:spacing w:line="360" w:lineRule="auto"/>
        <w:ind w:right="-93"/>
        <w:jc w:val="both"/>
        <w:rPr>
          <w:rFonts w:ascii="Palatino Linotype" w:hAnsi="Palatino Linotype" w:cs="Tahoma"/>
          <w:bCs/>
          <w:iCs/>
          <w:sz w:val="22"/>
          <w:szCs w:val="24"/>
          <w:lang w:val="es-ES_tradnl"/>
        </w:rPr>
      </w:pPr>
      <w:r w:rsidRPr="00030A67">
        <w:rPr>
          <w:rFonts w:ascii="Palatino Linotype" w:hAnsi="Palatino Linotype" w:cs="Tahoma"/>
          <w:sz w:val="22"/>
          <w:szCs w:val="24"/>
          <w:lang w:val="es-ES_tradnl"/>
        </w:rPr>
        <w:t>Al respecto, e</w:t>
      </w:r>
      <w:r w:rsidRPr="00030A67">
        <w:rPr>
          <w:rFonts w:ascii="Palatino Linotype" w:hAnsi="Palatino Linotype" w:cs="Tahoma"/>
          <w:bCs/>
          <w:iCs/>
          <w:sz w:val="22"/>
          <w:szCs w:val="24"/>
          <w:lang w:val="es-ES_tradnl"/>
        </w:rPr>
        <w:t>l Octavo de los Lineamientos Generales, precisa lo siguiente:</w:t>
      </w:r>
    </w:p>
    <w:p w14:paraId="19DD347D" w14:textId="77777777" w:rsidR="003527CF" w:rsidRPr="00030A67" w:rsidRDefault="003527CF" w:rsidP="003527CF">
      <w:pPr>
        <w:spacing w:line="360" w:lineRule="auto"/>
        <w:ind w:right="-93"/>
        <w:jc w:val="both"/>
        <w:rPr>
          <w:rFonts w:ascii="Palatino Linotype" w:hAnsi="Palatino Linotype" w:cs="Tahoma"/>
          <w:bCs/>
          <w:iCs/>
          <w:sz w:val="22"/>
          <w:szCs w:val="24"/>
          <w:lang w:val="es-ES_tradnl"/>
        </w:rPr>
      </w:pPr>
    </w:p>
    <w:p w14:paraId="56336099" w14:textId="77777777" w:rsidR="003527CF" w:rsidRPr="00030A67" w:rsidRDefault="003527CF" w:rsidP="003527CF">
      <w:pPr>
        <w:numPr>
          <w:ilvl w:val="0"/>
          <w:numId w:val="4"/>
        </w:numPr>
        <w:spacing w:line="360" w:lineRule="auto"/>
        <w:ind w:right="-93"/>
        <w:jc w:val="both"/>
        <w:rPr>
          <w:rFonts w:ascii="Palatino Linotype" w:hAnsi="Palatino Linotype" w:cs="Tahoma"/>
          <w:bCs/>
          <w:sz w:val="22"/>
          <w:szCs w:val="24"/>
          <w:lang w:val="es-ES_tradnl"/>
        </w:rPr>
      </w:pPr>
      <w:r w:rsidRPr="00030A67">
        <w:rPr>
          <w:rFonts w:ascii="Palatino Linotype" w:hAnsi="Palatino Linotype" w:cs="Tahoma"/>
          <w:b/>
          <w:bCs/>
          <w:sz w:val="22"/>
          <w:szCs w:val="24"/>
          <w:lang w:val="es-ES_tradnl"/>
        </w:rPr>
        <w:t>Para fundar la clasificación</w:t>
      </w:r>
      <w:r w:rsidRPr="00030A67">
        <w:rPr>
          <w:rFonts w:ascii="Palatino Linotype" w:hAnsi="Palatino Linotype" w:cs="Tahoma"/>
          <w:bCs/>
          <w:sz w:val="22"/>
          <w:szCs w:val="24"/>
          <w:lang w:val="es-ES_tradnl"/>
        </w:rPr>
        <w:t xml:space="preserve"> de la información se deberán señalar el artículo, fracción, inciso, párrafo o numeral de la Ley aplicable, y</w:t>
      </w:r>
    </w:p>
    <w:p w14:paraId="0C0DB3FA" w14:textId="77777777" w:rsidR="003527CF" w:rsidRPr="00030A67" w:rsidRDefault="003527CF" w:rsidP="003527CF">
      <w:pPr>
        <w:spacing w:line="360" w:lineRule="auto"/>
        <w:ind w:left="720" w:right="-93"/>
        <w:jc w:val="both"/>
        <w:rPr>
          <w:rFonts w:ascii="Palatino Linotype" w:hAnsi="Palatino Linotype" w:cs="Tahoma"/>
          <w:bCs/>
          <w:sz w:val="22"/>
          <w:szCs w:val="24"/>
          <w:lang w:val="es-ES_tradnl"/>
        </w:rPr>
      </w:pPr>
    </w:p>
    <w:p w14:paraId="04BE2649" w14:textId="77777777" w:rsidR="003527CF" w:rsidRPr="00030A67" w:rsidRDefault="003527CF" w:rsidP="003527CF">
      <w:pPr>
        <w:numPr>
          <w:ilvl w:val="0"/>
          <w:numId w:val="4"/>
        </w:numPr>
        <w:spacing w:line="360" w:lineRule="auto"/>
        <w:ind w:right="-93"/>
        <w:jc w:val="both"/>
        <w:rPr>
          <w:rFonts w:ascii="Palatino Linotype" w:hAnsi="Palatino Linotype" w:cs="Tahoma"/>
          <w:bCs/>
          <w:sz w:val="22"/>
          <w:szCs w:val="24"/>
          <w:lang w:val="es-ES_tradnl"/>
        </w:rPr>
      </w:pPr>
      <w:r w:rsidRPr="00030A67">
        <w:rPr>
          <w:rFonts w:ascii="Palatino Linotype" w:hAnsi="Palatino Linotype" w:cs="Tahoma"/>
          <w:b/>
          <w:bCs/>
          <w:sz w:val="22"/>
          <w:szCs w:val="24"/>
          <w:lang w:val="es-ES_tradnl"/>
        </w:rPr>
        <w:t>Para motivar la clasificación</w:t>
      </w:r>
      <w:r w:rsidRPr="00030A67">
        <w:rPr>
          <w:rFonts w:ascii="Palatino Linotype" w:hAnsi="Palatino Linotype" w:cs="Tahoma"/>
          <w:bCs/>
          <w:sz w:val="22"/>
          <w:szCs w:val="24"/>
          <w:lang w:val="es-ES_tradnl"/>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0ACB8005" w14:textId="77777777" w:rsidR="00E8592C" w:rsidRPr="00030A67" w:rsidRDefault="00E8592C" w:rsidP="003527CF">
      <w:pPr>
        <w:spacing w:line="360" w:lineRule="auto"/>
        <w:ind w:right="-93"/>
        <w:jc w:val="both"/>
        <w:rPr>
          <w:rFonts w:ascii="Palatino Linotype" w:hAnsi="Palatino Linotype" w:cs="Tahoma"/>
          <w:sz w:val="22"/>
          <w:szCs w:val="24"/>
          <w:lang w:val="es-ES_tradnl"/>
        </w:rPr>
      </w:pPr>
    </w:p>
    <w:p w14:paraId="0DCF754C" w14:textId="2708770A" w:rsidR="003527CF" w:rsidRPr="00030A67" w:rsidRDefault="003527CF" w:rsidP="003527CF">
      <w:pPr>
        <w:spacing w:line="360" w:lineRule="auto"/>
        <w:ind w:right="-93"/>
        <w:jc w:val="both"/>
        <w:rPr>
          <w:rFonts w:ascii="Palatino Linotype" w:hAnsi="Palatino Linotype" w:cs="Tahoma"/>
          <w:sz w:val="22"/>
          <w:szCs w:val="24"/>
          <w:lang w:val="es-ES_tradnl"/>
        </w:rPr>
      </w:pPr>
      <w:r w:rsidRPr="00030A67">
        <w:rPr>
          <w:rFonts w:ascii="Palatino Linotype" w:hAnsi="Palatino Linotype" w:cs="Tahoma"/>
          <w:sz w:val="22"/>
          <w:szCs w:val="24"/>
          <w:lang w:val="es-ES_tradnl"/>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6AD38F9E"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p>
    <w:p w14:paraId="51398447" w14:textId="77777777" w:rsidR="003527CF" w:rsidRPr="00030A67" w:rsidRDefault="003527CF" w:rsidP="003527CF">
      <w:pPr>
        <w:spacing w:line="360" w:lineRule="auto"/>
        <w:ind w:left="567" w:right="539"/>
        <w:jc w:val="both"/>
        <w:rPr>
          <w:rFonts w:ascii="Palatino Linotype" w:hAnsi="Palatino Linotype" w:cs="Tahoma"/>
          <w:i/>
          <w:szCs w:val="24"/>
          <w:lang w:val="es-ES_tradnl"/>
        </w:rPr>
      </w:pPr>
      <w:r w:rsidRPr="00030A67">
        <w:rPr>
          <w:rFonts w:ascii="Palatino Linotype" w:hAnsi="Palatino Linotype" w:cs="Tahoma"/>
          <w:b/>
          <w:i/>
          <w:szCs w:val="24"/>
          <w:lang w:val="es-ES_tradnl"/>
        </w:rPr>
        <w:t xml:space="preserve">“FUNDAMENTACION Y MOTIVACION, CONCEPTO DE. </w:t>
      </w:r>
      <w:r w:rsidRPr="00030A67">
        <w:rPr>
          <w:rFonts w:ascii="Palatino Linotype" w:hAnsi="Palatino Linotype" w:cs="Tahoma"/>
          <w:i/>
          <w:szCs w:val="24"/>
          <w:lang w:val="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6947694"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p>
    <w:p w14:paraId="2895DCFD"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r w:rsidRPr="00030A67">
        <w:rPr>
          <w:rFonts w:ascii="Palatino Linotype" w:hAnsi="Palatino Linotype" w:cs="Tahoma"/>
          <w:sz w:val="22"/>
          <w:szCs w:val="24"/>
          <w:lang w:val="es-ES_tradnl"/>
        </w:rPr>
        <w:t>Conforme a lo anterior, se advierte lo siguiente:</w:t>
      </w:r>
    </w:p>
    <w:p w14:paraId="184BABDB"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p>
    <w:p w14:paraId="2A0CB126" w14:textId="77777777" w:rsidR="003527CF" w:rsidRPr="00030A67" w:rsidRDefault="003527CF" w:rsidP="003527CF">
      <w:pPr>
        <w:numPr>
          <w:ilvl w:val="0"/>
          <w:numId w:val="6"/>
        </w:numPr>
        <w:spacing w:line="360" w:lineRule="auto"/>
        <w:ind w:right="-93"/>
        <w:jc w:val="both"/>
        <w:rPr>
          <w:rFonts w:ascii="Palatino Linotype" w:hAnsi="Palatino Linotype" w:cs="Tahoma"/>
          <w:b/>
          <w:sz w:val="22"/>
          <w:szCs w:val="24"/>
          <w:lang w:val="es-ES_tradnl"/>
        </w:rPr>
      </w:pPr>
      <w:r w:rsidRPr="00030A67">
        <w:rPr>
          <w:rFonts w:ascii="Palatino Linotype" w:hAnsi="Palatino Linotype" w:cs="Tahoma"/>
          <w:b/>
          <w:sz w:val="22"/>
          <w:szCs w:val="24"/>
          <w:lang w:val="es-ES_tradnl"/>
        </w:rPr>
        <w:t xml:space="preserve">Fundamentación: </w:t>
      </w:r>
      <w:r w:rsidRPr="00030A67">
        <w:rPr>
          <w:rFonts w:ascii="Palatino Linotype" w:hAnsi="Palatino Linotype" w:cs="Tahoma"/>
          <w:sz w:val="22"/>
          <w:szCs w:val="24"/>
          <w:lang w:val="es-ES_tradnl"/>
        </w:rPr>
        <w:t>Obligación de la autoridad que emite un acto, para citar los preceptos legales, sustantivos y adjetivos, en que se apoye para la determinación tomada.</w:t>
      </w:r>
    </w:p>
    <w:p w14:paraId="43F4C84F" w14:textId="77777777" w:rsidR="003527CF" w:rsidRPr="00030A67" w:rsidRDefault="003527CF" w:rsidP="003527CF">
      <w:pPr>
        <w:spacing w:line="360" w:lineRule="auto"/>
        <w:ind w:left="720" w:right="-93"/>
        <w:jc w:val="both"/>
        <w:rPr>
          <w:rFonts w:ascii="Palatino Linotype" w:hAnsi="Palatino Linotype" w:cs="Tahoma"/>
          <w:b/>
          <w:sz w:val="22"/>
          <w:szCs w:val="24"/>
          <w:lang w:val="es-ES_tradnl"/>
        </w:rPr>
      </w:pPr>
    </w:p>
    <w:p w14:paraId="20B55FCF" w14:textId="77777777" w:rsidR="003527CF" w:rsidRPr="00030A67" w:rsidRDefault="003527CF" w:rsidP="003527CF">
      <w:pPr>
        <w:numPr>
          <w:ilvl w:val="0"/>
          <w:numId w:val="6"/>
        </w:numPr>
        <w:spacing w:line="360" w:lineRule="auto"/>
        <w:ind w:right="-93"/>
        <w:jc w:val="both"/>
        <w:rPr>
          <w:rFonts w:ascii="Palatino Linotype" w:hAnsi="Palatino Linotype" w:cs="Tahoma"/>
          <w:b/>
          <w:sz w:val="22"/>
          <w:szCs w:val="24"/>
          <w:lang w:val="es-ES_tradnl"/>
        </w:rPr>
      </w:pPr>
      <w:r w:rsidRPr="00030A67">
        <w:rPr>
          <w:rFonts w:ascii="Palatino Linotype" w:hAnsi="Palatino Linotype" w:cs="Tahoma"/>
          <w:b/>
          <w:sz w:val="22"/>
          <w:szCs w:val="24"/>
          <w:lang w:val="es-ES_tradnl"/>
        </w:rPr>
        <w:t xml:space="preserve">Motivación: </w:t>
      </w:r>
      <w:r w:rsidRPr="00030A67">
        <w:rPr>
          <w:rFonts w:ascii="Palatino Linotype" w:hAnsi="Palatino Linotype" w:cs="Tahoma"/>
          <w:sz w:val="22"/>
          <w:szCs w:val="24"/>
          <w:lang w:val="es-ES_tradnl"/>
        </w:rPr>
        <w:t>Razonamientos lógico-jurídicos sobre porque se consideró en el caso en concreto, que se ajusta a la hipótesis normativa.</w:t>
      </w:r>
    </w:p>
    <w:p w14:paraId="69294B42" w14:textId="77777777" w:rsidR="003527CF" w:rsidRPr="00030A67" w:rsidRDefault="003527CF" w:rsidP="003527CF">
      <w:pPr>
        <w:spacing w:line="360" w:lineRule="auto"/>
        <w:ind w:right="-93"/>
        <w:jc w:val="both"/>
        <w:rPr>
          <w:rFonts w:ascii="Palatino Linotype" w:hAnsi="Palatino Linotype" w:cs="Tahoma"/>
          <w:sz w:val="22"/>
          <w:szCs w:val="24"/>
          <w:lang w:val="es-ES_tradnl"/>
        </w:rPr>
      </w:pPr>
    </w:p>
    <w:p w14:paraId="7039129E" w14:textId="267988BB" w:rsidR="003527CF" w:rsidRPr="00030A67" w:rsidRDefault="003527CF" w:rsidP="003527CF">
      <w:pPr>
        <w:spacing w:line="360" w:lineRule="auto"/>
        <w:jc w:val="both"/>
        <w:rPr>
          <w:rFonts w:ascii="Palatino Linotype" w:eastAsia="Calibri" w:hAnsi="Palatino Linotype" w:cs="Tahoma"/>
          <w:color w:val="000000"/>
          <w:sz w:val="22"/>
          <w:szCs w:val="22"/>
          <w:lang w:val="es-ES" w:eastAsia="es-MX"/>
        </w:rPr>
      </w:pPr>
      <w:r w:rsidRPr="00030A67">
        <w:rPr>
          <w:rFonts w:ascii="Palatino Linotype" w:eastAsia="Calibri" w:hAnsi="Palatino Linotype" w:cs="Tahoma"/>
          <w:color w:val="000000"/>
          <w:sz w:val="22"/>
          <w:szCs w:val="22"/>
          <w:lang w:val="es-ES" w:eastAsia="es-MX"/>
        </w:rPr>
        <w:t xml:space="preserve">Situación que toma relevancia, pues conforme al artículo 149 de la Ley de Transparencia y Acceso a la Información Pública del Estado de México y Municipios, todo acuerdo que clasifique la información, deberá contener un razonamiento lógico en el que se demuestre que </w:t>
      </w:r>
      <w:r w:rsidRPr="00030A67">
        <w:rPr>
          <w:rFonts w:ascii="Palatino Linotype" w:eastAsia="Calibri" w:hAnsi="Palatino Linotype" w:cs="Tahoma"/>
          <w:color w:val="000000"/>
          <w:sz w:val="22"/>
          <w:szCs w:val="22"/>
          <w:lang w:val="es-ES" w:eastAsia="es-MX"/>
        </w:rPr>
        <w:lastRenderedPageBreak/>
        <w:t>la información actualiza alguna de las hipótesis previstas en el ordenamiento jurídico establecido.</w:t>
      </w:r>
    </w:p>
    <w:p w14:paraId="588C29F6" w14:textId="77777777" w:rsidR="003527CF" w:rsidRPr="00030A67" w:rsidRDefault="003527CF" w:rsidP="003527CF">
      <w:pPr>
        <w:widowControl w:val="0"/>
        <w:autoSpaceDE w:val="0"/>
        <w:autoSpaceDN w:val="0"/>
        <w:adjustRightInd w:val="0"/>
        <w:spacing w:line="360" w:lineRule="auto"/>
        <w:contextualSpacing/>
        <w:jc w:val="both"/>
        <w:rPr>
          <w:rFonts w:ascii="Palatino Linotype" w:eastAsia="Palatino Linotype" w:hAnsi="Palatino Linotype" w:cs="Tahoma"/>
          <w:iCs/>
          <w:color w:val="000000"/>
          <w:sz w:val="22"/>
          <w:szCs w:val="24"/>
          <w:lang w:val="es-ES_tradnl" w:eastAsia="es-MX"/>
        </w:rPr>
      </w:pPr>
    </w:p>
    <w:p w14:paraId="1432B83B" w14:textId="3919BFC9" w:rsidR="003527CF" w:rsidRPr="00030A67" w:rsidRDefault="003527CF" w:rsidP="003527CF">
      <w:pPr>
        <w:spacing w:line="360" w:lineRule="auto"/>
        <w:jc w:val="both"/>
        <w:rPr>
          <w:rFonts w:ascii="Palatino Linotype" w:hAnsi="Palatino Linotype" w:cs="Tahoma"/>
          <w:bCs/>
          <w:iCs/>
          <w:color w:val="000000"/>
          <w:sz w:val="22"/>
          <w:szCs w:val="22"/>
        </w:rPr>
      </w:pPr>
      <w:r w:rsidRPr="00030A67">
        <w:rPr>
          <w:rFonts w:ascii="Palatino Linotype" w:eastAsia="Batang" w:hAnsi="Palatino Linotype" w:cs="Tahoma"/>
          <w:bCs/>
          <w:color w:val="000000"/>
          <w:sz w:val="22"/>
          <w:szCs w:val="22"/>
          <w:lang w:val="es-ES"/>
        </w:rPr>
        <w:t>En ese contexto, es de señalar que el Sujeto Obligado no precisó de manera fundada y motivada las razones por las cuales, consideraba que</w:t>
      </w:r>
      <w:r w:rsidR="00E8592C" w:rsidRPr="00030A67">
        <w:rPr>
          <w:rFonts w:ascii="Palatino Linotype" w:eastAsia="Batang" w:hAnsi="Palatino Linotype" w:cs="Tahoma"/>
          <w:bCs/>
          <w:color w:val="000000"/>
          <w:sz w:val="22"/>
          <w:szCs w:val="22"/>
          <w:lang w:val="es-ES"/>
        </w:rPr>
        <w:t xml:space="preserve"> las pólizas del mes de octubre no se podías entregar, aunado a que como ya se refirió </w:t>
      </w:r>
      <w:r w:rsidR="00E8592C" w:rsidRPr="00030A67">
        <w:rPr>
          <w:rFonts w:ascii="Palatino Linotype" w:hAnsi="Palatino Linotype" w:cs="Tahoma"/>
          <w:bCs/>
          <w:iCs/>
          <w:color w:val="000000"/>
          <w:sz w:val="22"/>
          <w:szCs w:val="22"/>
        </w:rPr>
        <w:t xml:space="preserve">los Lineamientos para la Integración, Presentación y Envío de los Informes Trimestrales Municipales del Ejercicio Fiscal 2025,  en el Módulo 1, Diario General de Pólizas, conforme al Instructivo de llenado de dicho formato, este tiene como finalidad </w:t>
      </w:r>
      <w:r w:rsidR="00E8592C" w:rsidRPr="00030A67">
        <w:rPr>
          <w:rFonts w:ascii="Palatino Linotype" w:hAnsi="Palatino Linotype" w:cs="Tahoma"/>
          <w:b/>
          <w:iCs/>
          <w:color w:val="000000"/>
          <w:sz w:val="22"/>
          <w:szCs w:val="22"/>
          <w:u w:val="single"/>
        </w:rPr>
        <w:t>concentrar el</w:t>
      </w:r>
      <w:r w:rsidR="00E8592C" w:rsidRPr="00030A67">
        <w:rPr>
          <w:rFonts w:ascii="Palatino Linotype" w:hAnsi="Palatino Linotype" w:cs="Tahoma"/>
          <w:b/>
          <w:bCs/>
          <w:iCs/>
          <w:color w:val="000000"/>
          <w:sz w:val="22"/>
          <w:szCs w:val="22"/>
          <w:u w:val="single"/>
        </w:rPr>
        <w:t xml:space="preserve"> total de pólizas</w:t>
      </w:r>
      <w:r w:rsidR="00E8592C" w:rsidRPr="00030A67">
        <w:rPr>
          <w:rFonts w:ascii="Palatino Linotype" w:hAnsi="Palatino Linotype" w:cs="Tahoma"/>
          <w:bCs/>
          <w:iCs/>
          <w:color w:val="000000"/>
          <w:sz w:val="22"/>
          <w:szCs w:val="22"/>
        </w:rPr>
        <w:t xml:space="preserve"> que la enditad realizó en un determinado periodo, es decir que las pólizas del mes de octubre ya las tiene, solo las necesita concentrar en un documento especifico, sin embargo, puede proporcionar los documentos fuente de donde obtiene l</w:t>
      </w:r>
      <w:r w:rsidR="00426685">
        <w:rPr>
          <w:rFonts w:ascii="Palatino Linotype" w:hAnsi="Palatino Linotype" w:cs="Tahoma"/>
          <w:bCs/>
          <w:iCs/>
          <w:color w:val="000000"/>
          <w:sz w:val="22"/>
          <w:szCs w:val="22"/>
        </w:rPr>
        <w:t>a</w:t>
      </w:r>
      <w:r w:rsidR="00E8592C" w:rsidRPr="00030A67">
        <w:rPr>
          <w:rFonts w:ascii="Palatino Linotype" w:hAnsi="Palatino Linotype" w:cs="Tahoma"/>
          <w:bCs/>
          <w:iCs/>
          <w:color w:val="000000"/>
          <w:sz w:val="22"/>
          <w:szCs w:val="22"/>
        </w:rPr>
        <w:t xml:space="preserve"> información</w:t>
      </w:r>
      <w:r w:rsidRPr="00030A67">
        <w:rPr>
          <w:rFonts w:ascii="Palatino Linotype" w:eastAsia="Batang" w:hAnsi="Palatino Linotype" w:cs="Tahoma"/>
          <w:bCs/>
          <w:color w:val="000000"/>
          <w:sz w:val="22"/>
          <w:szCs w:val="22"/>
          <w:lang w:val="es-ES"/>
        </w:rPr>
        <w:t xml:space="preserve">, lo cual da como resultado que el agravio sea </w:t>
      </w:r>
      <w:r w:rsidRPr="00030A67">
        <w:rPr>
          <w:rFonts w:ascii="Palatino Linotype" w:eastAsia="Batang" w:hAnsi="Palatino Linotype" w:cs="Tahoma"/>
          <w:b/>
          <w:bCs/>
          <w:color w:val="000000"/>
          <w:sz w:val="22"/>
          <w:szCs w:val="22"/>
          <w:lang w:val="es-ES"/>
        </w:rPr>
        <w:t>FUNDADO</w:t>
      </w:r>
      <w:r w:rsidR="00E8592C" w:rsidRPr="00030A67">
        <w:rPr>
          <w:rFonts w:ascii="Palatino Linotype" w:eastAsia="Batang" w:hAnsi="Palatino Linotype" w:cs="Tahoma"/>
          <w:bCs/>
          <w:color w:val="000000"/>
          <w:sz w:val="22"/>
          <w:szCs w:val="22"/>
          <w:lang w:val="es-ES"/>
        </w:rPr>
        <w:t>, por lo que lo dable es ordenar la información faltante.</w:t>
      </w:r>
    </w:p>
    <w:p w14:paraId="6732D5A5" w14:textId="77777777" w:rsidR="003527CF" w:rsidRPr="00030A67" w:rsidRDefault="003527CF" w:rsidP="003527CF">
      <w:pPr>
        <w:spacing w:line="360" w:lineRule="auto"/>
        <w:jc w:val="both"/>
        <w:rPr>
          <w:rFonts w:ascii="Palatino Linotype" w:hAnsi="Palatino Linotype" w:cs="Tahoma"/>
          <w:bCs/>
          <w:iCs/>
          <w:color w:val="000000"/>
          <w:sz w:val="22"/>
          <w:szCs w:val="22"/>
        </w:rPr>
      </w:pPr>
    </w:p>
    <w:p w14:paraId="3BE8C4E0" w14:textId="77777777" w:rsidR="00BB3882" w:rsidRPr="00030A67" w:rsidRDefault="00BB3882" w:rsidP="00BB3882">
      <w:pPr>
        <w:spacing w:line="360" w:lineRule="auto"/>
        <w:jc w:val="both"/>
        <w:rPr>
          <w:rFonts w:ascii="Palatino Linotype" w:hAnsi="Palatino Linotype" w:cs="Tahoma"/>
          <w:bCs/>
          <w:iCs/>
          <w:sz w:val="22"/>
          <w:szCs w:val="22"/>
          <w:lang w:val="es-ES"/>
        </w:rPr>
      </w:pPr>
      <w:r w:rsidRPr="00030A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30A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BD58729" w14:textId="77777777" w:rsidR="00BB3882" w:rsidRPr="00030A67" w:rsidRDefault="00BB3882" w:rsidP="00BB3882">
      <w:pPr>
        <w:spacing w:line="360" w:lineRule="auto"/>
        <w:jc w:val="both"/>
        <w:rPr>
          <w:rFonts w:ascii="Palatino Linotype" w:hAnsi="Palatino Linotype" w:cs="Tahoma"/>
          <w:bCs/>
          <w:iCs/>
          <w:sz w:val="22"/>
          <w:szCs w:val="22"/>
          <w:lang w:val="es-ES"/>
        </w:rPr>
      </w:pPr>
    </w:p>
    <w:p w14:paraId="79AF1C2A" w14:textId="77777777" w:rsidR="00BB3882" w:rsidRPr="00030A67" w:rsidRDefault="00BB3882" w:rsidP="00BB3882">
      <w:pPr>
        <w:spacing w:line="360" w:lineRule="auto"/>
        <w:jc w:val="both"/>
        <w:rPr>
          <w:rFonts w:ascii="Palatino Linotype" w:hAnsi="Palatino Linotype" w:cs="Tahoma"/>
          <w:bCs/>
          <w:iCs/>
          <w:sz w:val="22"/>
          <w:szCs w:val="22"/>
          <w:lang w:val="es-ES"/>
        </w:rPr>
      </w:pPr>
      <w:r w:rsidRPr="00030A67">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030A67">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p>
    <w:p w14:paraId="4DD8633B" w14:textId="77777777" w:rsidR="00BB3882" w:rsidRPr="00030A67" w:rsidRDefault="00BB3882" w:rsidP="0012359E">
      <w:pPr>
        <w:spacing w:line="360" w:lineRule="auto"/>
        <w:jc w:val="both"/>
        <w:rPr>
          <w:rFonts w:ascii="Palatino Linotype" w:eastAsia="Calibri" w:hAnsi="Palatino Linotype" w:cs="Tahoma"/>
          <w:b/>
          <w:bCs/>
          <w:iCs/>
          <w:sz w:val="22"/>
          <w:szCs w:val="24"/>
          <w:lang w:val="es-ES" w:eastAsia="es-ES_tradnl"/>
        </w:rPr>
      </w:pPr>
    </w:p>
    <w:p w14:paraId="01639E89" w14:textId="77777777" w:rsidR="005D4660" w:rsidRPr="00030A67" w:rsidRDefault="005D4660" w:rsidP="000B54EE">
      <w:pPr>
        <w:pStyle w:val="Ttulo2"/>
        <w:spacing w:before="0" w:line="360" w:lineRule="auto"/>
        <w:rPr>
          <w:rFonts w:ascii="Palatino Linotype" w:hAnsi="Palatino Linotype"/>
          <w:b/>
          <w:color w:val="auto"/>
          <w:sz w:val="22"/>
          <w:szCs w:val="22"/>
        </w:rPr>
      </w:pPr>
      <w:bookmarkStart w:id="26" w:name="_Toc190857068"/>
      <w:bookmarkStart w:id="27" w:name="_Toc221201945"/>
      <w:r w:rsidRPr="00030A67">
        <w:rPr>
          <w:rFonts w:ascii="Palatino Linotype" w:hAnsi="Palatino Linotype"/>
          <w:b/>
          <w:color w:val="auto"/>
          <w:sz w:val="22"/>
          <w:szCs w:val="22"/>
        </w:rPr>
        <w:t>SEXTO. Decisión</w:t>
      </w:r>
      <w:bookmarkEnd w:id="26"/>
      <w:bookmarkEnd w:id="27"/>
    </w:p>
    <w:p w14:paraId="65C5A7E9" w14:textId="77777777" w:rsidR="005D4660" w:rsidRPr="00030A67" w:rsidRDefault="005D4660" w:rsidP="000B54EE">
      <w:pPr>
        <w:spacing w:line="360" w:lineRule="auto"/>
        <w:ind w:right="-93"/>
        <w:jc w:val="both"/>
        <w:rPr>
          <w:rFonts w:ascii="Palatino Linotype" w:hAnsi="Palatino Linotype" w:cs="Tahoma"/>
          <w:b/>
          <w:sz w:val="22"/>
          <w:szCs w:val="22"/>
        </w:rPr>
      </w:pPr>
    </w:p>
    <w:p w14:paraId="6AC7940C" w14:textId="36808C95" w:rsidR="00BB3882" w:rsidRPr="00030A67" w:rsidRDefault="00BB3882" w:rsidP="00BB3882">
      <w:pPr>
        <w:spacing w:line="360" w:lineRule="auto"/>
        <w:ind w:right="-93"/>
        <w:jc w:val="both"/>
        <w:rPr>
          <w:rFonts w:ascii="Palatino Linotype" w:hAnsi="Palatino Linotype" w:cs="Tahoma"/>
          <w:sz w:val="22"/>
          <w:szCs w:val="22"/>
        </w:rPr>
      </w:pPr>
      <w:r w:rsidRPr="00030A6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8592C" w:rsidRPr="00030A67">
        <w:rPr>
          <w:rFonts w:ascii="Palatino Linotype" w:hAnsi="Palatino Linotype" w:cs="Tahoma"/>
          <w:b/>
          <w:sz w:val="22"/>
          <w:szCs w:val="22"/>
        </w:rPr>
        <w:t>MODIFICAR</w:t>
      </w:r>
      <w:r w:rsidRPr="00030A67">
        <w:rPr>
          <w:rFonts w:ascii="Palatino Linotype" w:hAnsi="Palatino Linotype" w:cs="Tahoma"/>
          <w:sz w:val="22"/>
          <w:szCs w:val="22"/>
        </w:rPr>
        <w:t xml:space="preserve"> la respuesta otorgada por el Sujeto Obligado a la solicitud de información </w:t>
      </w:r>
      <w:r w:rsidR="00E8592C" w:rsidRPr="00030A67">
        <w:rPr>
          <w:rFonts w:ascii="Palatino Linotype" w:hAnsi="Palatino Linotype" w:cs="Tahoma"/>
          <w:b/>
          <w:bCs/>
          <w:sz w:val="22"/>
          <w:szCs w:val="22"/>
        </w:rPr>
        <w:t>00295/OPDTEOLOYUCAN/IP/2025</w:t>
      </w:r>
      <w:r w:rsidRPr="00030A67">
        <w:rPr>
          <w:rFonts w:ascii="Palatino Linotype" w:hAnsi="Palatino Linotype" w:cs="Tahoma"/>
          <w:sz w:val="22"/>
          <w:szCs w:val="22"/>
        </w:rPr>
        <w:t xml:space="preserve">, por resultar fundadas las razones o motivos de inconformidad hechos valer por el Recurrente, en el Recurso de Revisión </w:t>
      </w:r>
      <w:r w:rsidR="00E8592C" w:rsidRPr="00030A67">
        <w:rPr>
          <w:rFonts w:ascii="Palatino Linotype" w:hAnsi="Palatino Linotype" w:cs="Tahoma"/>
          <w:b/>
          <w:sz w:val="22"/>
          <w:szCs w:val="22"/>
        </w:rPr>
        <w:t>14411</w:t>
      </w:r>
      <w:r w:rsidRPr="00030A67">
        <w:rPr>
          <w:rFonts w:ascii="Palatino Linotype" w:hAnsi="Palatino Linotype" w:cs="Tahoma"/>
          <w:b/>
          <w:sz w:val="22"/>
          <w:szCs w:val="22"/>
        </w:rPr>
        <w:t>/INFOEM/IP/RR/2025</w:t>
      </w:r>
      <w:r w:rsidRPr="00030A67">
        <w:rPr>
          <w:rFonts w:ascii="Palatino Linotype" w:hAnsi="Palatino Linotype" w:cs="Tahoma"/>
          <w:sz w:val="22"/>
          <w:szCs w:val="22"/>
        </w:rPr>
        <w:t xml:space="preserve">, en consecuencia procede </w:t>
      </w:r>
      <w:r w:rsidRPr="00030A67">
        <w:rPr>
          <w:rFonts w:ascii="Palatino Linotype" w:hAnsi="Palatino Linotype" w:cs="Tahoma"/>
          <w:b/>
          <w:sz w:val="22"/>
          <w:szCs w:val="22"/>
        </w:rPr>
        <w:t>ORDENAR</w:t>
      </w:r>
      <w:r w:rsidRPr="00030A67">
        <w:rPr>
          <w:rFonts w:ascii="Palatino Linotype" w:hAnsi="Palatino Linotype" w:cs="Tahoma"/>
          <w:sz w:val="22"/>
          <w:szCs w:val="22"/>
        </w:rPr>
        <w:t xml:space="preserve">, </w:t>
      </w:r>
      <w:r w:rsidR="00CB76E3" w:rsidRPr="00030A67">
        <w:rPr>
          <w:rFonts w:ascii="Palatino Linotype" w:hAnsi="Palatino Linotype" w:cs="Tahoma"/>
          <w:sz w:val="22"/>
          <w:szCs w:val="22"/>
        </w:rPr>
        <w:t xml:space="preserve">haga entrega de la información </w:t>
      </w:r>
      <w:r w:rsidR="00E8592C" w:rsidRPr="00030A67">
        <w:rPr>
          <w:rFonts w:ascii="Palatino Linotype" w:hAnsi="Palatino Linotype" w:cs="Tahoma"/>
          <w:sz w:val="22"/>
          <w:szCs w:val="22"/>
        </w:rPr>
        <w:t>faltante</w:t>
      </w:r>
      <w:r w:rsidRPr="00030A67">
        <w:rPr>
          <w:rFonts w:ascii="Palatino Linotype" w:hAnsi="Palatino Linotype" w:cs="Tahoma"/>
          <w:sz w:val="22"/>
          <w:szCs w:val="22"/>
        </w:rPr>
        <w:t>.</w:t>
      </w:r>
    </w:p>
    <w:p w14:paraId="05878613" w14:textId="77777777" w:rsidR="00BB3882" w:rsidRPr="00030A67" w:rsidRDefault="00BB3882" w:rsidP="00BB3882">
      <w:pPr>
        <w:spacing w:line="360" w:lineRule="auto"/>
        <w:ind w:right="-93"/>
        <w:jc w:val="both"/>
        <w:rPr>
          <w:rFonts w:ascii="Palatino Linotype" w:eastAsia="Palatino Linotype" w:hAnsi="Palatino Linotype" w:cs="Palatino Linotype"/>
          <w:sz w:val="22"/>
          <w:szCs w:val="22"/>
        </w:rPr>
      </w:pPr>
    </w:p>
    <w:p w14:paraId="3B2F482A" w14:textId="5453669F" w:rsidR="00BB3882" w:rsidRPr="00030A67"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030A67">
        <w:rPr>
          <w:rFonts w:ascii="Palatino Linotype" w:eastAsia="Calibri" w:hAnsi="Palatino Linotype" w:cs="Tahoma"/>
          <w:b/>
          <w:bCs/>
          <w:iCs/>
          <w:sz w:val="22"/>
          <w:szCs w:val="22"/>
          <w:u w:val="single"/>
          <w:lang w:val="es-ES" w:eastAsia="es-ES_tradnl"/>
        </w:rPr>
        <w:t>Términos de l</w:t>
      </w:r>
      <w:r w:rsidR="00BF2379">
        <w:rPr>
          <w:rFonts w:ascii="Palatino Linotype" w:eastAsia="Calibri" w:hAnsi="Palatino Linotype" w:cs="Tahoma"/>
          <w:b/>
          <w:bCs/>
          <w:iCs/>
          <w:sz w:val="22"/>
          <w:szCs w:val="22"/>
          <w:u w:val="single"/>
          <w:lang w:val="es-ES" w:eastAsia="es-ES_tradnl"/>
        </w:rPr>
        <w:t>a Resolución para el Recurrente</w:t>
      </w:r>
    </w:p>
    <w:p w14:paraId="1FF0551E" w14:textId="77777777" w:rsidR="00BB3882" w:rsidRPr="00030A67" w:rsidRDefault="00BB3882" w:rsidP="00BB3882">
      <w:pPr>
        <w:spacing w:line="360" w:lineRule="auto"/>
        <w:jc w:val="both"/>
        <w:rPr>
          <w:rFonts w:ascii="Palatino Linotype" w:eastAsia="Calibri" w:hAnsi="Palatino Linotype" w:cs="Tahoma"/>
          <w:iCs/>
          <w:sz w:val="22"/>
          <w:szCs w:val="22"/>
          <w:lang w:eastAsia="es-ES_tradnl"/>
        </w:rPr>
      </w:pPr>
    </w:p>
    <w:p w14:paraId="61FE1BEA" w14:textId="77777777" w:rsidR="00BB3882" w:rsidRPr="00030A67" w:rsidRDefault="00BB3882" w:rsidP="00BB3882">
      <w:pPr>
        <w:spacing w:line="360" w:lineRule="auto"/>
        <w:jc w:val="both"/>
        <w:rPr>
          <w:rFonts w:ascii="Palatino Linotype" w:hAnsi="Palatino Linotype" w:cs="Tahoma"/>
          <w:bCs/>
          <w:sz w:val="22"/>
          <w:szCs w:val="22"/>
          <w:u w:val="single"/>
        </w:rPr>
      </w:pPr>
      <w:r w:rsidRPr="00030A67">
        <w:rPr>
          <w:rFonts w:ascii="Palatino Linotype" w:hAnsi="Palatino Linotype" w:cs="Tahoma"/>
          <w:bCs/>
          <w:sz w:val="22"/>
          <w:szCs w:val="22"/>
          <w:u w:val="single"/>
        </w:rPr>
        <w:t>Se hace del conocimiento del Recurrente la determinación de este Organismo Garante a su inconformidad:</w:t>
      </w:r>
    </w:p>
    <w:p w14:paraId="6C81CCCD" w14:textId="77777777" w:rsidR="00BB3882" w:rsidRPr="00030A67" w:rsidRDefault="00BB3882" w:rsidP="00BB3882">
      <w:pPr>
        <w:spacing w:line="360" w:lineRule="auto"/>
        <w:jc w:val="both"/>
        <w:rPr>
          <w:rFonts w:ascii="Palatino Linotype" w:hAnsi="Palatino Linotype" w:cs="Tahoma"/>
          <w:bCs/>
          <w:sz w:val="22"/>
          <w:szCs w:val="22"/>
          <w:u w:val="single"/>
        </w:rPr>
      </w:pPr>
    </w:p>
    <w:p w14:paraId="4A9ACAC9" w14:textId="47CFE712" w:rsidR="00BB3882" w:rsidRPr="00030A67" w:rsidRDefault="00BB3882" w:rsidP="00BB3882">
      <w:pPr>
        <w:spacing w:line="360" w:lineRule="auto"/>
        <w:jc w:val="both"/>
        <w:rPr>
          <w:rFonts w:ascii="Palatino Linotype" w:hAnsi="Palatino Linotype" w:cs="Tahoma"/>
          <w:bCs/>
          <w:sz w:val="22"/>
          <w:szCs w:val="22"/>
          <w:u w:val="single"/>
        </w:rPr>
      </w:pPr>
      <w:r w:rsidRPr="00030A67">
        <w:rPr>
          <w:rFonts w:ascii="Palatino Linotype" w:hAnsi="Palatino Linotype" w:cs="Tahoma"/>
          <w:bCs/>
          <w:sz w:val="22"/>
          <w:szCs w:val="22"/>
          <w:u w:val="single"/>
        </w:rPr>
        <w:t xml:space="preserve">Este Instituto, determinó </w:t>
      </w:r>
      <w:r w:rsidR="00E8592C" w:rsidRPr="00030A67">
        <w:rPr>
          <w:rFonts w:ascii="Palatino Linotype" w:hAnsi="Palatino Linotype" w:cs="Tahoma"/>
          <w:bCs/>
          <w:sz w:val="22"/>
          <w:szCs w:val="22"/>
          <w:u w:val="single"/>
        </w:rPr>
        <w:t>modificar</w:t>
      </w:r>
      <w:r w:rsidRPr="00030A67">
        <w:rPr>
          <w:rFonts w:ascii="Palatino Linotype" w:hAnsi="Palatino Linotype" w:cs="Tahoma"/>
          <w:bCs/>
          <w:sz w:val="22"/>
          <w:szCs w:val="22"/>
          <w:u w:val="single"/>
        </w:rPr>
        <w:t xml:space="preserve"> la respuesta que le entregó el Sujeto Obligado a su solicitud de acceso, toda vez que </w:t>
      </w:r>
      <w:r w:rsidR="00E8592C" w:rsidRPr="00030A67">
        <w:rPr>
          <w:rFonts w:ascii="Palatino Linotype" w:hAnsi="Palatino Linotype" w:cs="Tahoma"/>
          <w:bCs/>
          <w:sz w:val="22"/>
          <w:szCs w:val="22"/>
          <w:u w:val="single"/>
        </w:rPr>
        <w:t xml:space="preserve">no es justificante que este integrando la información para no entregarla, ya que si obra en sus archivos. </w:t>
      </w:r>
    </w:p>
    <w:p w14:paraId="2F6253AB" w14:textId="77777777" w:rsidR="00BB3882" w:rsidRPr="00030A67" w:rsidRDefault="00BB3882" w:rsidP="00BB3882">
      <w:pPr>
        <w:spacing w:line="360" w:lineRule="auto"/>
        <w:jc w:val="both"/>
        <w:rPr>
          <w:rFonts w:ascii="Palatino Linotype" w:hAnsi="Palatino Linotype" w:cs="Tahoma"/>
          <w:bCs/>
          <w:sz w:val="22"/>
          <w:szCs w:val="22"/>
          <w:u w:val="single"/>
        </w:rPr>
      </w:pPr>
    </w:p>
    <w:p w14:paraId="6A308802" w14:textId="77777777" w:rsidR="00BB3882" w:rsidRPr="00030A67" w:rsidRDefault="00BB3882" w:rsidP="00BB3882">
      <w:pPr>
        <w:spacing w:line="360" w:lineRule="auto"/>
        <w:ind w:right="-93"/>
        <w:jc w:val="both"/>
        <w:rPr>
          <w:rFonts w:ascii="Palatino Linotype" w:hAnsi="Palatino Linotype" w:cs="Tahoma"/>
          <w:bCs/>
          <w:sz w:val="22"/>
          <w:szCs w:val="22"/>
          <w:u w:val="single"/>
        </w:rPr>
      </w:pPr>
      <w:r w:rsidRPr="00030A67">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2DE9A1A" w14:textId="77777777" w:rsidR="00A90050" w:rsidRPr="00030A67" w:rsidRDefault="00A90050" w:rsidP="00BB3882">
      <w:pPr>
        <w:spacing w:line="360" w:lineRule="auto"/>
        <w:ind w:right="-93"/>
        <w:jc w:val="both"/>
        <w:rPr>
          <w:rFonts w:ascii="Palatino Linotype" w:hAnsi="Palatino Linotype" w:cs="Tahoma"/>
          <w:bCs/>
          <w:sz w:val="22"/>
          <w:szCs w:val="22"/>
          <w:u w:val="single"/>
        </w:rPr>
      </w:pPr>
    </w:p>
    <w:p w14:paraId="28EA4D03" w14:textId="77777777" w:rsidR="00030A67" w:rsidRDefault="00030A67" w:rsidP="000B54EE">
      <w:pPr>
        <w:pStyle w:val="Ttulo1"/>
        <w:spacing w:before="0" w:line="360" w:lineRule="auto"/>
        <w:jc w:val="center"/>
        <w:rPr>
          <w:rFonts w:ascii="Palatino Linotype" w:eastAsia="Calibri" w:hAnsi="Palatino Linotype"/>
          <w:b/>
          <w:color w:val="auto"/>
          <w:sz w:val="22"/>
          <w:szCs w:val="22"/>
          <w:lang w:eastAsia="en-US"/>
        </w:rPr>
      </w:pPr>
      <w:bookmarkStart w:id="28" w:name="_Toc190857069"/>
    </w:p>
    <w:p w14:paraId="6D528BA8" w14:textId="386F8266" w:rsidR="005D4660" w:rsidRPr="00030A67"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9" w:name="_Toc221201946"/>
      <w:r w:rsidRPr="00030A67">
        <w:rPr>
          <w:rFonts w:ascii="Palatino Linotype" w:eastAsia="Calibri" w:hAnsi="Palatino Linotype"/>
          <w:b/>
          <w:color w:val="auto"/>
          <w:sz w:val="22"/>
          <w:szCs w:val="22"/>
          <w:lang w:eastAsia="en-US"/>
        </w:rPr>
        <w:t>R E S U E L V E</w:t>
      </w:r>
      <w:bookmarkEnd w:id="28"/>
      <w:bookmarkEnd w:id="29"/>
    </w:p>
    <w:p w14:paraId="12C498E8" w14:textId="77777777" w:rsidR="005D4660" w:rsidRPr="00030A67" w:rsidRDefault="005D4660" w:rsidP="000B54EE">
      <w:pPr>
        <w:spacing w:line="360" w:lineRule="auto"/>
        <w:jc w:val="both"/>
        <w:rPr>
          <w:rFonts w:ascii="Palatino Linotype" w:hAnsi="Palatino Linotype" w:cs="Tahoma"/>
          <w:b/>
          <w:bCs/>
          <w:sz w:val="22"/>
          <w:szCs w:val="22"/>
        </w:rPr>
      </w:pPr>
    </w:p>
    <w:p w14:paraId="1B2AACEA" w14:textId="2D440CC2" w:rsidR="005D4660" w:rsidRPr="00030A67" w:rsidRDefault="005D4660" w:rsidP="000B54EE">
      <w:pPr>
        <w:spacing w:line="360" w:lineRule="auto"/>
        <w:contextualSpacing/>
        <w:jc w:val="both"/>
        <w:rPr>
          <w:rFonts w:ascii="Palatino Linotype" w:eastAsia="Calibri" w:hAnsi="Palatino Linotype" w:cs="Tahoma"/>
          <w:bCs/>
          <w:sz w:val="22"/>
          <w:szCs w:val="22"/>
          <w:lang w:eastAsia="en-US"/>
        </w:rPr>
      </w:pPr>
      <w:r w:rsidRPr="00030A67">
        <w:rPr>
          <w:rFonts w:ascii="Palatino Linotype" w:hAnsi="Palatino Linotype" w:cs="Tahoma"/>
          <w:b/>
          <w:bCs/>
          <w:sz w:val="22"/>
          <w:szCs w:val="22"/>
        </w:rPr>
        <w:t xml:space="preserve">PRIMERO. </w:t>
      </w:r>
      <w:r w:rsidRPr="00030A67">
        <w:rPr>
          <w:rFonts w:ascii="Palatino Linotype" w:hAnsi="Palatino Linotype" w:cs="Tahoma"/>
          <w:bCs/>
          <w:sz w:val="22"/>
          <w:szCs w:val="22"/>
        </w:rPr>
        <w:t xml:space="preserve">Se </w:t>
      </w:r>
      <w:r w:rsidR="00E8592C" w:rsidRPr="00030A67">
        <w:rPr>
          <w:rFonts w:ascii="Palatino Linotype" w:hAnsi="Palatino Linotype" w:cs="Tahoma"/>
          <w:b/>
          <w:bCs/>
          <w:sz w:val="22"/>
          <w:szCs w:val="22"/>
        </w:rPr>
        <w:t>MODIFICA</w:t>
      </w:r>
      <w:r w:rsidRPr="00030A67">
        <w:rPr>
          <w:rFonts w:ascii="Palatino Linotype" w:hAnsi="Palatino Linotype" w:cs="Tahoma"/>
          <w:bCs/>
          <w:sz w:val="22"/>
          <w:szCs w:val="22"/>
        </w:rPr>
        <w:t xml:space="preserve"> la respuesta entregada por el </w:t>
      </w:r>
      <w:r w:rsidR="0072268E" w:rsidRPr="00030A67">
        <w:rPr>
          <w:rFonts w:ascii="Palatino Linotype" w:hAnsi="Palatino Linotype" w:cs="Tahoma"/>
          <w:sz w:val="22"/>
          <w:szCs w:val="22"/>
        </w:rPr>
        <w:t>Organismo Público Descentralizado para la Prestación de los Servicios de Agua Potable, Alcantarillado y Saneamiento de Teoloyucan</w:t>
      </w:r>
      <w:r w:rsidRPr="00030A67">
        <w:rPr>
          <w:rFonts w:ascii="Palatino Linotype" w:hAnsi="Palatino Linotype" w:cs="Tahoma"/>
          <w:sz w:val="22"/>
          <w:szCs w:val="22"/>
        </w:rPr>
        <w:t xml:space="preserve"> </w:t>
      </w:r>
      <w:r w:rsidRPr="00030A67">
        <w:rPr>
          <w:rFonts w:ascii="Palatino Linotype" w:eastAsia="Calibri" w:hAnsi="Palatino Linotype" w:cs="Tahoma"/>
          <w:sz w:val="22"/>
          <w:szCs w:val="22"/>
          <w:lang w:eastAsia="en-US"/>
        </w:rPr>
        <w:t>a</w:t>
      </w:r>
      <w:r w:rsidRPr="00030A67">
        <w:rPr>
          <w:rFonts w:ascii="Palatino Linotype" w:hAnsi="Palatino Linotype" w:cs="Tahoma"/>
          <w:sz w:val="22"/>
          <w:szCs w:val="22"/>
        </w:rPr>
        <w:t xml:space="preserve"> la solicitud de información </w:t>
      </w:r>
      <w:r w:rsidR="00E8592C" w:rsidRPr="00030A67">
        <w:rPr>
          <w:rFonts w:ascii="Palatino Linotype" w:hAnsi="Palatino Linotype"/>
          <w:sz w:val="22"/>
          <w:szCs w:val="22"/>
        </w:rPr>
        <w:t xml:space="preserve">00295/OPDTEOLOYUCAN/IP/2025 </w:t>
      </w:r>
      <w:r w:rsidRPr="00030A67">
        <w:rPr>
          <w:rFonts w:ascii="Palatino Linotype" w:hAnsi="Palatino Linotype"/>
          <w:sz w:val="22"/>
          <w:szCs w:val="22"/>
        </w:rPr>
        <w:t>p</w:t>
      </w:r>
      <w:r w:rsidRPr="00030A67">
        <w:rPr>
          <w:rFonts w:ascii="Palatino Linotype" w:hAnsi="Palatino Linotype"/>
          <w:bCs/>
          <w:sz w:val="22"/>
          <w:szCs w:val="22"/>
        </w:rPr>
        <w:t>or resultar</w:t>
      </w:r>
      <w:r w:rsidR="006E6B62" w:rsidRPr="00030A67">
        <w:rPr>
          <w:rFonts w:ascii="Palatino Linotype" w:hAnsi="Palatino Linotype"/>
          <w:bCs/>
          <w:sz w:val="22"/>
          <w:szCs w:val="22"/>
        </w:rPr>
        <w:t xml:space="preserve"> </w:t>
      </w:r>
      <w:r w:rsidRPr="00030A67">
        <w:rPr>
          <w:rFonts w:ascii="Palatino Linotype" w:hAnsi="Palatino Linotype"/>
          <w:sz w:val="22"/>
          <w:szCs w:val="22"/>
        </w:rPr>
        <w:t>fundadas</w:t>
      </w:r>
      <w:r w:rsidRPr="00030A67">
        <w:rPr>
          <w:rFonts w:ascii="Palatino Linotype" w:hAnsi="Palatino Linotype" w:cs="Tahoma"/>
          <w:bCs/>
          <w:sz w:val="22"/>
          <w:szCs w:val="22"/>
        </w:rPr>
        <w:t xml:space="preserve"> </w:t>
      </w:r>
      <w:r w:rsidRPr="00030A67">
        <w:rPr>
          <w:rFonts w:ascii="Palatino Linotype" w:eastAsia="Calibri" w:hAnsi="Palatino Linotype" w:cs="Tahoma"/>
          <w:bCs/>
          <w:sz w:val="22"/>
          <w:szCs w:val="22"/>
          <w:lang w:eastAsia="en-US"/>
        </w:rPr>
        <w:t xml:space="preserve">las razones o motivos de inconformidad hechos valer por el Recurrente en el Recurso de Revisión </w:t>
      </w:r>
      <w:r w:rsidR="00E8592C" w:rsidRPr="00030A67">
        <w:rPr>
          <w:rFonts w:ascii="Palatino Linotype" w:hAnsi="Palatino Linotype" w:cs="Tahoma"/>
          <w:b/>
          <w:bCs/>
          <w:color w:val="0D0D0D" w:themeColor="text1" w:themeTint="F2"/>
          <w:sz w:val="22"/>
          <w:szCs w:val="22"/>
        </w:rPr>
        <w:t>14411</w:t>
      </w:r>
      <w:r w:rsidRPr="00030A67">
        <w:rPr>
          <w:rFonts w:ascii="Palatino Linotype" w:hAnsi="Palatino Linotype" w:cs="Tahoma"/>
          <w:b/>
          <w:bCs/>
          <w:color w:val="0D0D0D" w:themeColor="text1" w:themeTint="F2"/>
          <w:sz w:val="22"/>
          <w:szCs w:val="22"/>
        </w:rPr>
        <w:t>/INFOEM/IP/RR/2025</w:t>
      </w:r>
      <w:r w:rsidRPr="00030A67">
        <w:rPr>
          <w:rFonts w:ascii="Palatino Linotype" w:eastAsia="Calibri" w:hAnsi="Palatino Linotype" w:cs="Tahoma"/>
          <w:bCs/>
          <w:sz w:val="22"/>
          <w:szCs w:val="22"/>
          <w:lang w:eastAsia="en-US"/>
        </w:rPr>
        <w:t>, en términos de los considerandos QUINTO y SEXTO de la presente Resolución.</w:t>
      </w:r>
    </w:p>
    <w:p w14:paraId="4F383C10" w14:textId="77777777" w:rsidR="0012359E" w:rsidRPr="00030A67" w:rsidRDefault="0012359E" w:rsidP="000B54EE">
      <w:pPr>
        <w:spacing w:line="360" w:lineRule="auto"/>
        <w:contextualSpacing/>
        <w:jc w:val="both"/>
        <w:rPr>
          <w:rFonts w:ascii="Palatino Linotype" w:eastAsia="Calibri" w:hAnsi="Palatino Linotype" w:cs="Tahoma"/>
          <w:bCs/>
          <w:sz w:val="22"/>
          <w:szCs w:val="22"/>
          <w:lang w:eastAsia="en-US"/>
        </w:rPr>
      </w:pPr>
    </w:p>
    <w:p w14:paraId="4D31D691" w14:textId="3F539B15" w:rsidR="00E8592C" w:rsidRPr="00030A67" w:rsidRDefault="005D4660" w:rsidP="00E8592C">
      <w:pPr>
        <w:spacing w:line="360" w:lineRule="auto"/>
        <w:ind w:right="-93"/>
        <w:jc w:val="both"/>
        <w:rPr>
          <w:rFonts w:ascii="Palatino Linotype" w:hAnsi="Palatino Linotype" w:cs="Arial"/>
          <w:sz w:val="22"/>
          <w:szCs w:val="22"/>
          <w:lang w:val="es-ES"/>
        </w:rPr>
      </w:pPr>
      <w:r w:rsidRPr="00030A67">
        <w:rPr>
          <w:rFonts w:ascii="Palatino Linotype" w:hAnsi="Palatino Linotype" w:cs="Tahoma"/>
          <w:b/>
          <w:bCs/>
          <w:sz w:val="22"/>
          <w:szCs w:val="22"/>
        </w:rPr>
        <w:t xml:space="preserve">SEGUNDO. </w:t>
      </w:r>
      <w:r w:rsidRPr="00030A67">
        <w:rPr>
          <w:rFonts w:ascii="Palatino Linotype" w:hAnsi="Palatino Linotype" w:cs="Tahoma"/>
          <w:sz w:val="22"/>
          <w:szCs w:val="22"/>
        </w:rPr>
        <w:t xml:space="preserve">Se </w:t>
      </w:r>
      <w:r w:rsidRPr="00030A67">
        <w:rPr>
          <w:rFonts w:ascii="Palatino Linotype" w:hAnsi="Palatino Linotype" w:cs="Tahoma"/>
          <w:b/>
          <w:sz w:val="22"/>
          <w:szCs w:val="22"/>
        </w:rPr>
        <w:t xml:space="preserve">ORDENA </w:t>
      </w:r>
      <w:r w:rsidRPr="00030A67">
        <w:rPr>
          <w:rFonts w:ascii="Palatino Linotype" w:hAnsi="Palatino Linotype" w:cs="Tahoma"/>
          <w:sz w:val="22"/>
          <w:szCs w:val="22"/>
        </w:rPr>
        <w:t xml:space="preserve">al </w:t>
      </w:r>
      <w:r w:rsidR="0072268E" w:rsidRPr="00030A67">
        <w:rPr>
          <w:rFonts w:ascii="Palatino Linotype" w:eastAsia="Calibri" w:hAnsi="Palatino Linotype" w:cs="Tahoma"/>
          <w:sz w:val="22"/>
          <w:szCs w:val="22"/>
          <w:lang w:eastAsia="en-US"/>
        </w:rPr>
        <w:t>Organismo Público Descentralizado para la Prestación de los Servicios de Agua Potable, Alcantarillado y Saneamiento de Teoloyucan</w:t>
      </w:r>
      <w:r w:rsidRPr="00030A67">
        <w:rPr>
          <w:rFonts w:ascii="Palatino Linotype" w:hAnsi="Palatino Linotype" w:cs="Tahoma"/>
          <w:sz w:val="22"/>
          <w:szCs w:val="22"/>
        </w:rPr>
        <w:t xml:space="preserve">, </w:t>
      </w:r>
      <w:r w:rsidR="00E8592C" w:rsidRPr="00030A67">
        <w:rPr>
          <w:rFonts w:ascii="Palatino Linotype" w:hAnsi="Palatino Linotype" w:cs="Tahoma"/>
          <w:sz w:val="22"/>
          <w:szCs w:val="22"/>
        </w:rPr>
        <w:t>a efecto de que previa búsqueda exhaustiva y razonable en los archivos de las unidades administrativas competentes, remita</w:t>
      </w:r>
      <w:r w:rsidR="00E8592C" w:rsidRPr="00030A67">
        <w:rPr>
          <w:rFonts w:ascii="Palatino Linotype" w:hAnsi="Palatino Linotype" w:cs="Tahoma"/>
          <w:bCs/>
          <w:iCs/>
          <w:sz w:val="22"/>
          <w:szCs w:val="22"/>
          <w:lang w:val="es-ES_tradnl"/>
        </w:rPr>
        <w:t xml:space="preserve"> </w:t>
      </w:r>
      <w:r w:rsidR="00E8592C" w:rsidRPr="00030A67">
        <w:rPr>
          <w:rFonts w:ascii="Palatino Linotype" w:hAnsi="Palatino Linotype" w:cs="Tahoma"/>
          <w:bCs/>
          <w:iCs/>
          <w:sz w:val="22"/>
          <w:szCs w:val="22"/>
        </w:rPr>
        <w:t xml:space="preserve">a través </w:t>
      </w:r>
      <w:r w:rsidR="00E8592C" w:rsidRPr="00030A67">
        <w:rPr>
          <w:rFonts w:ascii="Palatino Linotype" w:hAnsi="Palatino Linotype" w:cs="Tahoma"/>
          <w:bCs/>
          <w:iCs/>
          <w:sz w:val="22"/>
          <w:szCs w:val="22"/>
          <w:lang w:val="es-ES_tradnl"/>
        </w:rPr>
        <w:t>del SAIMEX</w:t>
      </w:r>
      <w:r w:rsidR="00E8592C" w:rsidRPr="00030A67">
        <w:rPr>
          <w:rFonts w:ascii="Palatino Linotype" w:hAnsi="Palatino Linotype" w:cs="Arial"/>
          <w:sz w:val="22"/>
          <w:szCs w:val="22"/>
          <w:lang w:val="es-ES"/>
        </w:rPr>
        <w:t xml:space="preserve">, de ser procedente en versión pública, las pólizas de ingresos, egresos y de cheques </w:t>
      </w:r>
      <w:r w:rsidR="005728DA">
        <w:rPr>
          <w:rFonts w:ascii="Palatino Linotype" w:hAnsi="Palatino Linotype" w:cs="Arial"/>
          <w:sz w:val="22"/>
          <w:szCs w:val="22"/>
          <w:lang w:val="es-ES"/>
        </w:rPr>
        <w:t>generadas en el mes</w:t>
      </w:r>
      <w:r w:rsidR="00E8592C" w:rsidRPr="00030A67">
        <w:rPr>
          <w:rFonts w:ascii="Palatino Linotype" w:hAnsi="Palatino Linotype" w:cs="Arial"/>
          <w:sz w:val="22"/>
          <w:szCs w:val="22"/>
          <w:lang w:val="es-ES"/>
        </w:rPr>
        <w:t xml:space="preserve"> de octubre de dos mil veinticinco.</w:t>
      </w:r>
    </w:p>
    <w:p w14:paraId="0C0166D3" w14:textId="77777777" w:rsidR="00E8592C" w:rsidRPr="00030A67" w:rsidRDefault="00E8592C" w:rsidP="00E8592C">
      <w:pPr>
        <w:spacing w:line="360" w:lineRule="auto"/>
        <w:ind w:right="-93"/>
        <w:jc w:val="both"/>
        <w:rPr>
          <w:rFonts w:ascii="Palatino Linotype" w:hAnsi="Palatino Linotype" w:cs="Arial"/>
          <w:sz w:val="22"/>
          <w:szCs w:val="22"/>
          <w:lang w:val="es-ES"/>
        </w:rPr>
      </w:pPr>
    </w:p>
    <w:p w14:paraId="24814C53" w14:textId="77777777" w:rsidR="00A90050" w:rsidRPr="00030A67" w:rsidRDefault="00A90050" w:rsidP="00A90050">
      <w:pPr>
        <w:spacing w:after="160" w:line="360" w:lineRule="auto"/>
        <w:contextualSpacing/>
        <w:jc w:val="both"/>
        <w:rPr>
          <w:rFonts w:ascii="Palatino Linotype" w:eastAsia="Palatino Linotype" w:hAnsi="Palatino Linotype" w:cs="Tahoma"/>
          <w:bCs/>
          <w:iCs/>
          <w:sz w:val="22"/>
          <w:szCs w:val="22"/>
        </w:rPr>
      </w:pPr>
      <w:r w:rsidRPr="00030A67">
        <w:rPr>
          <w:rFonts w:ascii="Palatino Linotype" w:eastAsia="Palatino Linotype" w:hAnsi="Palatino Linotype" w:cs="Tahoma"/>
          <w:bCs/>
          <w:iCs/>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F59CB3F" w14:textId="77777777" w:rsidR="0012359E" w:rsidRPr="00030A67" w:rsidRDefault="0012359E" w:rsidP="00A90050">
      <w:pPr>
        <w:spacing w:line="360" w:lineRule="auto"/>
        <w:ind w:right="-93"/>
        <w:jc w:val="both"/>
        <w:rPr>
          <w:rFonts w:ascii="Palatino Linotype" w:eastAsia="Calibri" w:hAnsi="Palatino Linotype" w:cs="Tahoma"/>
          <w:bCs/>
          <w:iCs/>
          <w:sz w:val="22"/>
          <w:szCs w:val="22"/>
          <w:lang w:eastAsia="en-US"/>
        </w:rPr>
      </w:pPr>
    </w:p>
    <w:p w14:paraId="02D6E11E" w14:textId="77777777" w:rsidR="005D4660" w:rsidRPr="00030A67" w:rsidRDefault="005D4660" w:rsidP="000B54EE">
      <w:pPr>
        <w:spacing w:line="360" w:lineRule="auto"/>
        <w:contextualSpacing/>
        <w:jc w:val="both"/>
        <w:rPr>
          <w:rFonts w:ascii="Palatino Linotype" w:eastAsia="Calibri" w:hAnsi="Palatino Linotype" w:cs="Tahoma"/>
          <w:bCs/>
          <w:sz w:val="22"/>
          <w:szCs w:val="22"/>
          <w:lang w:eastAsia="en-US"/>
        </w:rPr>
      </w:pPr>
      <w:r w:rsidRPr="00030A67">
        <w:rPr>
          <w:rFonts w:ascii="Palatino Linotype" w:eastAsia="Calibri" w:hAnsi="Palatino Linotype" w:cs="Tahoma"/>
          <w:b/>
          <w:bCs/>
          <w:sz w:val="22"/>
          <w:szCs w:val="22"/>
          <w:lang w:eastAsia="en-US"/>
        </w:rPr>
        <w:t xml:space="preserve">TERCERO. NOTIFÍQUESE POR SAIMEX </w:t>
      </w:r>
      <w:r w:rsidRPr="00030A67">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030A67">
        <w:rPr>
          <w:rFonts w:ascii="Palatino Linotype" w:eastAsia="Calibri" w:hAnsi="Palatino Linotype" w:cs="Tahoma"/>
          <w:bCs/>
          <w:sz w:val="22"/>
          <w:szCs w:val="22"/>
          <w:lang w:eastAsia="en-US"/>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886FC57" w14:textId="77777777" w:rsidR="005D4660" w:rsidRPr="00030A67" w:rsidRDefault="005D4660" w:rsidP="000B54EE">
      <w:pPr>
        <w:spacing w:line="360" w:lineRule="auto"/>
        <w:contextualSpacing/>
        <w:jc w:val="both"/>
        <w:rPr>
          <w:rFonts w:ascii="Palatino Linotype" w:hAnsi="Palatino Linotype" w:cs="Tahoma"/>
          <w:sz w:val="22"/>
          <w:szCs w:val="22"/>
        </w:rPr>
      </w:pPr>
    </w:p>
    <w:p w14:paraId="3D8B512D" w14:textId="77777777" w:rsidR="005D4660" w:rsidRPr="00030A67" w:rsidRDefault="005D4660" w:rsidP="000B54EE">
      <w:pPr>
        <w:spacing w:line="360" w:lineRule="auto"/>
        <w:contextualSpacing/>
        <w:jc w:val="both"/>
        <w:rPr>
          <w:rFonts w:ascii="Palatino Linotype" w:hAnsi="Palatino Linotype" w:cs="Tahoma"/>
          <w:iCs/>
          <w:sz w:val="22"/>
          <w:szCs w:val="22"/>
        </w:rPr>
      </w:pPr>
      <w:r w:rsidRPr="00030A6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4B60554" w14:textId="77777777" w:rsidR="005D4660" w:rsidRPr="00030A67"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75F737D6" w14:textId="77777777" w:rsidR="005D4660" w:rsidRPr="00030A67" w:rsidRDefault="005D4660" w:rsidP="000B54EE">
      <w:pPr>
        <w:spacing w:line="360" w:lineRule="auto"/>
        <w:jc w:val="both"/>
        <w:rPr>
          <w:rFonts w:ascii="Palatino Linotype" w:hAnsi="Palatino Linotype" w:cs="Tahoma"/>
          <w:color w:val="000000" w:themeColor="text1"/>
          <w:sz w:val="22"/>
          <w:szCs w:val="22"/>
        </w:rPr>
      </w:pPr>
      <w:r w:rsidRPr="00030A67">
        <w:rPr>
          <w:rFonts w:ascii="Palatino Linotype" w:eastAsia="Calibri" w:hAnsi="Palatino Linotype" w:cs="Tahoma"/>
          <w:b/>
          <w:color w:val="000000" w:themeColor="text1"/>
          <w:sz w:val="22"/>
          <w:szCs w:val="22"/>
          <w:lang w:eastAsia="es-MX"/>
        </w:rPr>
        <w:t>CUARTO</w:t>
      </w:r>
      <w:r w:rsidRPr="00030A67">
        <w:rPr>
          <w:rFonts w:ascii="Palatino Linotype" w:eastAsia="Calibri" w:hAnsi="Palatino Linotype" w:cs="Tahoma"/>
          <w:b/>
          <w:bCs/>
          <w:color w:val="000000" w:themeColor="text1"/>
          <w:sz w:val="22"/>
          <w:szCs w:val="22"/>
          <w:lang w:eastAsia="en-US"/>
        </w:rPr>
        <w:t xml:space="preserve">. </w:t>
      </w:r>
      <w:r w:rsidRPr="00030A67">
        <w:rPr>
          <w:rFonts w:ascii="Palatino Linotype" w:hAnsi="Palatino Linotype" w:cs="Tahoma"/>
          <w:b/>
          <w:color w:val="000000" w:themeColor="text1"/>
          <w:sz w:val="22"/>
          <w:szCs w:val="22"/>
        </w:rPr>
        <w:t>NOTIFÍQUESE</w:t>
      </w:r>
      <w:r w:rsidRPr="00030A67">
        <w:rPr>
          <w:rFonts w:ascii="Palatino Linotype" w:hAnsi="Palatino Linotype" w:cs="Tahoma"/>
          <w:color w:val="000000" w:themeColor="text1"/>
          <w:sz w:val="22"/>
          <w:szCs w:val="22"/>
        </w:rPr>
        <w:t xml:space="preserve"> </w:t>
      </w:r>
      <w:r w:rsidRPr="00030A67">
        <w:rPr>
          <w:rFonts w:ascii="Palatino Linotype" w:eastAsia="Calibri" w:hAnsi="Palatino Linotype" w:cs="Tahoma"/>
          <w:b/>
          <w:bCs/>
          <w:sz w:val="22"/>
          <w:szCs w:val="22"/>
          <w:lang w:eastAsia="en-US"/>
        </w:rPr>
        <w:t xml:space="preserve">POR SAIMEX </w:t>
      </w:r>
      <w:r w:rsidRPr="00030A67">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030A67">
        <w:rPr>
          <w:rFonts w:ascii="Palatino Linotype" w:hAnsi="Palatino Linotype" w:cs="Tahoma"/>
          <w:sz w:val="22"/>
          <w:szCs w:val="22"/>
        </w:rPr>
        <w:t>.</w:t>
      </w:r>
    </w:p>
    <w:p w14:paraId="28260228" w14:textId="77777777" w:rsidR="005D4660" w:rsidRPr="00030A67" w:rsidRDefault="005D4660" w:rsidP="000B54EE">
      <w:pPr>
        <w:spacing w:line="360" w:lineRule="auto"/>
        <w:contextualSpacing/>
        <w:jc w:val="both"/>
        <w:rPr>
          <w:rFonts w:ascii="Palatino Linotype" w:hAnsi="Palatino Linotype" w:cs="Tahoma"/>
          <w:color w:val="000000" w:themeColor="text1"/>
          <w:sz w:val="22"/>
          <w:szCs w:val="22"/>
        </w:rPr>
      </w:pPr>
    </w:p>
    <w:p w14:paraId="552D8448" w14:textId="2253EBB2" w:rsidR="00803E3D" w:rsidRDefault="00803E3D" w:rsidP="000B54EE">
      <w:pPr>
        <w:spacing w:line="360" w:lineRule="auto"/>
        <w:contextualSpacing/>
        <w:jc w:val="both"/>
        <w:rPr>
          <w:rFonts w:ascii="Palatino Linotype" w:hAnsi="Palatino Linotype" w:cs="Tahoma"/>
          <w:sz w:val="22"/>
          <w:szCs w:val="22"/>
        </w:rPr>
      </w:pPr>
      <w:r w:rsidRPr="00030A67">
        <w:rPr>
          <w:rFonts w:ascii="Palatino Linotype" w:hAnsi="Palatino Linotype" w:cs="Tahoma"/>
          <w:sz w:val="22"/>
          <w:szCs w:val="22"/>
          <w:lang w:eastAsia="es-MX"/>
        </w:rPr>
        <w:t xml:space="preserve">ASÍ LO RESUELVE, POR </w:t>
      </w:r>
      <w:r w:rsidRPr="00030A67">
        <w:rPr>
          <w:rFonts w:ascii="Palatino Linotype" w:hAnsi="Palatino Linotype" w:cs="Tahoma"/>
          <w:b/>
          <w:sz w:val="22"/>
          <w:szCs w:val="22"/>
          <w:lang w:eastAsia="es-MX"/>
        </w:rPr>
        <w:t>UNANIMIDAD</w:t>
      </w:r>
      <w:r w:rsidRPr="00030A67">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030A67">
        <w:rPr>
          <w:rFonts w:ascii="Palatino Linotype" w:hAnsi="Palatino Linotype" w:cs="Tahoma"/>
          <w:sz w:val="22"/>
          <w:szCs w:val="22"/>
          <w:lang w:eastAsia="es-MX"/>
        </w:rPr>
        <w:t xml:space="preserve"> </w:t>
      </w:r>
      <w:r w:rsidR="005C0E48" w:rsidRPr="00030A67">
        <w:rPr>
          <w:rFonts w:ascii="Palatino Linotype" w:hAnsi="Palatino Linotype" w:cs="Tahoma"/>
          <w:sz w:val="22"/>
          <w:szCs w:val="22"/>
          <w:lang w:eastAsia="es-MX"/>
        </w:rPr>
        <w:t xml:space="preserve"> </w:t>
      </w:r>
      <w:r w:rsidRPr="00030A67">
        <w:rPr>
          <w:rFonts w:ascii="Palatino Linotype" w:hAnsi="Palatino Linotype" w:cs="Tahoma"/>
          <w:sz w:val="22"/>
          <w:szCs w:val="22"/>
          <w:lang w:eastAsia="es-MX"/>
        </w:rPr>
        <w:t xml:space="preserve">Y GUADALUPE RAMÍREZ PEÑA, EN LA </w:t>
      </w:r>
      <w:r w:rsidR="00E8592C" w:rsidRPr="00030A67">
        <w:rPr>
          <w:rFonts w:ascii="Palatino Linotype" w:hAnsi="Palatino Linotype" w:cs="Tahoma"/>
          <w:sz w:val="22"/>
          <w:szCs w:val="22"/>
          <w:lang w:eastAsia="es-MX"/>
        </w:rPr>
        <w:t>CUARTA</w:t>
      </w:r>
      <w:r w:rsidR="00CB76E3" w:rsidRPr="00030A67">
        <w:rPr>
          <w:rFonts w:ascii="Palatino Linotype" w:hAnsi="Palatino Linotype" w:cs="Tahoma"/>
          <w:sz w:val="22"/>
          <w:szCs w:val="22"/>
          <w:lang w:eastAsia="es-MX"/>
        </w:rPr>
        <w:t xml:space="preserve"> </w:t>
      </w:r>
      <w:r w:rsidRPr="00030A67">
        <w:rPr>
          <w:rFonts w:ascii="Palatino Linotype" w:hAnsi="Palatino Linotype" w:cs="Tahoma"/>
          <w:sz w:val="22"/>
          <w:szCs w:val="22"/>
          <w:lang w:eastAsia="es-MX"/>
        </w:rPr>
        <w:t xml:space="preserve">SESIÓN ORDINARIA, CELEBRADA EL </w:t>
      </w:r>
      <w:r w:rsidR="00E8592C" w:rsidRPr="00030A67">
        <w:rPr>
          <w:rFonts w:ascii="Palatino Linotype" w:hAnsi="Palatino Linotype" w:cs="Tahoma"/>
          <w:sz w:val="22"/>
          <w:szCs w:val="22"/>
          <w:lang w:eastAsia="es-MX"/>
        </w:rPr>
        <w:t xml:space="preserve">CINCO DE FEBRERO </w:t>
      </w:r>
      <w:r w:rsidR="0006503E" w:rsidRPr="00030A67">
        <w:rPr>
          <w:rFonts w:ascii="Palatino Linotype" w:hAnsi="Palatino Linotype" w:cs="Tahoma"/>
          <w:sz w:val="22"/>
          <w:szCs w:val="22"/>
          <w:lang w:eastAsia="es-MX"/>
        </w:rPr>
        <w:t>DE DOS MIL VEINTISÉIS</w:t>
      </w:r>
      <w:r w:rsidRPr="00030A67">
        <w:rPr>
          <w:rFonts w:ascii="Palatino Linotype" w:hAnsi="Palatino Linotype" w:cs="Tahoma"/>
          <w:sz w:val="22"/>
          <w:szCs w:val="22"/>
          <w:lang w:eastAsia="es-MX"/>
        </w:rPr>
        <w:t>, ANTE EL SECRETARIO TÉCNICO DEL PLENO, ALEXIS TAPIA RAMÍREZ.</w:t>
      </w:r>
    </w:p>
    <w:p w14:paraId="4E38B07F" w14:textId="77777777" w:rsidR="00163BAA" w:rsidRDefault="00163BAA" w:rsidP="000B54EE">
      <w:pPr>
        <w:spacing w:line="360" w:lineRule="auto"/>
        <w:contextualSpacing/>
        <w:jc w:val="both"/>
        <w:rPr>
          <w:rFonts w:ascii="Palatino Linotype" w:hAnsi="Palatino Linotype" w:cs="Tahoma"/>
          <w:sz w:val="22"/>
          <w:szCs w:val="22"/>
        </w:rPr>
      </w:pPr>
    </w:p>
    <w:p w14:paraId="6FD7D904" w14:textId="77777777" w:rsidR="00163BAA" w:rsidRDefault="00163BAA" w:rsidP="000B54EE">
      <w:pPr>
        <w:spacing w:line="360" w:lineRule="auto"/>
        <w:contextualSpacing/>
        <w:jc w:val="both"/>
        <w:rPr>
          <w:rFonts w:ascii="Palatino Linotype" w:hAnsi="Palatino Linotype" w:cs="Tahoma"/>
          <w:sz w:val="22"/>
          <w:szCs w:val="22"/>
        </w:rPr>
      </w:pPr>
    </w:p>
    <w:p w14:paraId="46AD6956" w14:textId="77777777" w:rsidR="0089175F" w:rsidRDefault="0089175F" w:rsidP="000B54EE">
      <w:pPr>
        <w:spacing w:line="360" w:lineRule="auto"/>
        <w:contextualSpacing/>
        <w:jc w:val="both"/>
        <w:rPr>
          <w:rFonts w:ascii="Palatino Linotype" w:hAnsi="Palatino Linotype" w:cs="Tahoma"/>
          <w:sz w:val="22"/>
          <w:szCs w:val="22"/>
        </w:rPr>
      </w:pPr>
    </w:p>
    <w:p w14:paraId="05AEDDE4" w14:textId="77777777" w:rsidR="0089175F" w:rsidRDefault="0089175F" w:rsidP="000B54EE">
      <w:pPr>
        <w:spacing w:line="360" w:lineRule="auto"/>
        <w:contextualSpacing/>
        <w:jc w:val="both"/>
        <w:rPr>
          <w:rFonts w:ascii="Palatino Linotype" w:hAnsi="Palatino Linotype" w:cs="Tahoma"/>
          <w:sz w:val="22"/>
          <w:szCs w:val="22"/>
        </w:rPr>
      </w:pPr>
    </w:p>
    <w:p w14:paraId="2083188C" w14:textId="77777777" w:rsidR="0089175F" w:rsidRDefault="0089175F" w:rsidP="000B54EE">
      <w:pPr>
        <w:spacing w:line="360" w:lineRule="auto"/>
        <w:contextualSpacing/>
        <w:jc w:val="both"/>
        <w:rPr>
          <w:rFonts w:ascii="Palatino Linotype" w:hAnsi="Palatino Linotype" w:cs="Tahoma"/>
          <w:sz w:val="22"/>
          <w:szCs w:val="22"/>
        </w:rPr>
      </w:pPr>
    </w:p>
    <w:p w14:paraId="6051667C" w14:textId="77777777" w:rsidR="0089175F" w:rsidRDefault="0089175F" w:rsidP="000B54EE">
      <w:pPr>
        <w:spacing w:line="360" w:lineRule="auto"/>
        <w:contextualSpacing/>
        <w:jc w:val="both"/>
        <w:rPr>
          <w:rFonts w:ascii="Palatino Linotype" w:hAnsi="Palatino Linotype" w:cs="Tahoma"/>
          <w:sz w:val="22"/>
          <w:szCs w:val="22"/>
        </w:rPr>
      </w:pPr>
    </w:p>
    <w:p w14:paraId="2DD582A8" w14:textId="77777777" w:rsidR="001F1A77" w:rsidRDefault="001F1A77" w:rsidP="000B54EE">
      <w:pPr>
        <w:spacing w:line="360" w:lineRule="auto"/>
        <w:contextualSpacing/>
        <w:jc w:val="both"/>
        <w:rPr>
          <w:rFonts w:ascii="Palatino Linotype" w:hAnsi="Palatino Linotype" w:cs="Tahoma"/>
          <w:sz w:val="22"/>
          <w:szCs w:val="22"/>
        </w:rPr>
      </w:pPr>
    </w:p>
    <w:p w14:paraId="7302382D" w14:textId="77777777" w:rsidR="001F1A77" w:rsidRDefault="001F1A77" w:rsidP="000B54EE">
      <w:pPr>
        <w:spacing w:line="360" w:lineRule="auto"/>
        <w:contextualSpacing/>
        <w:jc w:val="both"/>
        <w:rPr>
          <w:rFonts w:ascii="Palatino Linotype" w:hAnsi="Palatino Linotype" w:cs="Tahoma"/>
          <w:sz w:val="22"/>
          <w:szCs w:val="22"/>
        </w:rPr>
      </w:pPr>
    </w:p>
    <w:p w14:paraId="37320BB0" w14:textId="77777777" w:rsidR="000B1059" w:rsidRDefault="000B1059" w:rsidP="000B54EE">
      <w:pPr>
        <w:spacing w:line="360" w:lineRule="auto"/>
        <w:contextualSpacing/>
        <w:jc w:val="both"/>
        <w:rPr>
          <w:rFonts w:ascii="Palatino Linotype" w:hAnsi="Palatino Linotype" w:cs="Tahoma"/>
          <w:sz w:val="22"/>
          <w:szCs w:val="22"/>
        </w:rPr>
      </w:pPr>
    </w:p>
    <w:p w14:paraId="15F723CD" w14:textId="77777777" w:rsidR="000B1059" w:rsidRDefault="000B1059" w:rsidP="000B54EE">
      <w:pPr>
        <w:spacing w:line="360" w:lineRule="auto"/>
        <w:contextualSpacing/>
        <w:jc w:val="both"/>
        <w:rPr>
          <w:rFonts w:ascii="Palatino Linotype" w:hAnsi="Palatino Linotype" w:cs="Tahoma"/>
          <w:sz w:val="22"/>
          <w:szCs w:val="22"/>
        </w:rPr>
      </w:pPr>
    </w:p>
    <w:p w14:paraId="4525202D" w14:textId="77777777" w:rsidR="000B1059" w:rsidRDefault="000B1059" w:rsidP="000B54EE">
      <w:pPr>
        <w:spacing w:line="360" w:lineRule="auto"/>
        <w:contextualSpacing/>
        <w:jc w:val="both"/>
        <w:rPr>
          <w:rFonts w:ascii="Palatino Linotype" w:hAnsi="Palatino Linotype" w:cs="Tahoma"/>
          <w:sz w:val="22"/>
          <w:szCs w:val="22"/>
        </w:rPr>
      </w:pPr>
    </w:p>
    <w:p w14:paraId="3C503ABC" w14:textId="77777777" w:rsidR="001F1A77" w:rsidRDefault="001F1A77" w:rsidP="000B54EE">
      <w:pPr>
        <w:spacing w:line="360" w:lineRule="auto"/>
        <w:contextualSpacing/>
        <w:jc w:val="both"/>
        <w:rPr>
          <w:rFonts w:ascii="Palatino Linotype" w:hAnsi="Palatino Linotype" w:cs="Tahoma"/>
          <w:sz w:val="22"/>
          <w:szCs w:val="22"/>
        </w:rPr>
      </w:pPr>
    </w:p>
    <w:p w14:paraId="6CEA16B6" w14:textId="77777777" w:rsidR="001F1A77" w:rsidRDefault="001F1A77" w:rsidP="000B54EE">
      <w:pPr>
        <w:spacing w:line="360" w:lineRule="auto"/>
        <w:contextualSpacing/>
        <w:jc w:val="both"/>
        <w:rPr>
          <w:rFonts w:ascii="Palatino Linotype" w:hAnsi="Palatino Linotype" w:cs="Tahoma"/>
          <w:sz w:val="22"/>
          <w:szCs w:val="22"/>
        </w:rPr>
      </w:pPr>
    </w:p>
    <w:p w14:paraId="09616607" w14:textId="77777777" w:rsidR="003274C0" w:rsidRDefault="003274C0" w:rsidP="000B54EE">
      <w:pPr>
        <w:spacing w:line="360" w:lineRule="auto"/>
        <w:contextualSpacing/>
        <w:jc w:val="both"/>
        <w:rPr>
          <w:rFonts w:ascii="Palatino Linotype" w:hAnsi="Palatino Linotype" w:cs="Tahoma"/>
          <w:sz w:val="22"/>
          <w:szCs w:val="22"/>
        </w:rPr>
      </w:pPr>
    </w:p>
    <w:p w14:paraId="7893C446" w14:textId="77777777" w:rsidR="003274C0" w:rsidRDefault="003274C0" w:rsidP="000B54EE">
      <w:pPr>
        <w:spacing w:line="360" w:lineRule="auto"/>
        <w:contextualSpacing/>
        <w:jc w:val="both"/>
        <w:rPr>
          <w:rFonts w:ascii="Palatino Linotype" w:hAnsi="Palatino Linotype" w:cs="Tahoma"/>
          <w:sz w:val="22"/>
          <w:szCs w:val="22"/>
        </w:rPr>
      </w:pPr>
    </w:p>
    <w:p w14:paraId="57DDB84D" w14:textId="77777777" w:rsidR="003274C0" w:rsidRDefault="003274C0" w:rsidP="000B54EE">
      <w:pPr>
        <w:spacing w:line="360" w:lineRule="auto"/>
        <w:contextualSpacing/>
        <w:jc w:val="both"/>
        <w:rPr>
          <w:rFonts w:ascii="Palatino Linotype" w:hAnsi="Palatino Linotype" w:cs="Tahoma"/>
          <w:sz w:val="22"/>
          <w:szCs w:val="22"/>
        </w:rPr>
      </w:pPr>
    </w:p>
    <w:p w14:paraId="6FF43A03" w14:textId="77777777" w:rsidR="003274C0" w:rsidRDefault="003274C0" w:rsidP="000B54EE">
      <w:pPr>
        <w:spacing w:line="360" w:lineRule="auto"/>
        <w:contextualSpacing/>
        <w:jc w:val="both"/>
        <w:rPr>
          <w:rFonts w:ascii="Palatino Linotype" w:hAnsi="Palatino Linotype" w:cs="Tahoma"/>
          <w:sz w:val="22"/>
          <w:szCs w:val="22"/>
        </w:rPr>
      </w:pPr>
    </w:p>
    <w:p w14:paraId="07626F58" w14:textId="77777777" w:rsidR="003274C0" w:rsidRDefault="003274C0" w:rsidP="000B54EE">
      <w:pPr>
        <w:spacing w:line="360" w:lineRule="auto"/>
        <w:contextualSpacing/>
        <w:jc w:val="both"/>
        <w:rPr>
          <w:rFonts w:ascii="Palatino Linotype" w:hAnsi="Palatino Linotype" w:cs="Tahoma"/>
          <w:sz w:val="22"/>
          <w:szCs w:val="22"/>
        </w:rPr>
      </w:pPr>
    </w:p>
    <w:p w14:paraId="665625F5" w14:textId="77777777" w:rsidR="001F1A77" w:rsidRDefault="001F1A77" w:rsidP="000B54EE">
      <w:pPr>
        <w:spacing w:line="360" w:lineRule="auto"/>
        <w:contextualSpacing/>
        <w:jc w:val="both"/>
        <w:rPr>
          <w:rFonts w:ascii="Palatino Linotype" w:hAnsi="Palatino Linotype" w:cs="Tahoma"/>
          <w:sz w:val="22"/>
          <w:szCs w:val="22"/>
        </w:rPr>
      </w:pPr>
    </w:p>
    <w:p w14:paraId="11FB218A" w14:textId="77777777" w:rsidR="001F1A77" w:rsidRDefault="001F1A77" w:rsidP="000B54EE">
      <w:pPr>
        <w:spacing w:line="360" w:lineRule="auto"/>
        <w:contextualSpacing/>
        <w:jc w:val="both"/>
        <w:rPr>
          <w:rFonts w:ascii="Palatino Linotype" w:hAnsi="Palatino Linotype" w:cs="Tahoma"/>
          <w:sz w:val="22"/>
          <w:szCs w:val="22"/>
        </w:rPr>
      </w:pPr>
    </w:p>
    <w:p w14:paraId="6A42766F" w14:textId="77777777" w:rsidR="001F1A77" w:rsidRDefault="001F1A77" w:rsidP="000B54EE">
      <w:pPr>
        <w:spacing w:line="360" w:lineRule="auto"/>
        <w:contextualSpacing/>
        <w:jc w:val="both"/>
        <w:rPr>
          <w:rFonts w:ascii="Palatino Linotype" w:hAnsi="Palatino Linotype" w:cs="Tahoma"/>
          <w:sz w:val="22"/>
          <w:szCs w:val="22"/>
        </w:rPr>
      </w:pPr>
    </w:p>
    <w:p w14:paraId="12C66F39" w14:textId="77777777" w:rsidR="001F1A77" w:rsidRDefault="001F1A77" w:rsidP="000B54EE">
      <w:pPr>
        <w:spacing w:line="360" w:lineRule="auto"/>
        <w:contextualSpacing/>
        <w:jc w:val="both"/>
        <w:rPr>
          <w:rFonts w:ascii="Palatino Linotype" w:hAnsi="Palatino Linotype" w:cs="Tahoma"/>
          <w:sz w:val="22"/>
          <w:szCs w:val="22"/>
        </w:rPr>
      </w:pPr>
    </w:p>
    <w:p w14:paraId="61A58A96" w14:textId="77777777" w:rsidR="001F1A77" w:rsidRPr="003A1DF0" w:rsidRDefault="001F1A77" w:rsidP="000B54EE">
      <w:pPr>
        <w:spacing w:line="360" w:lineRule="auto"/>
        <w:contextualSpacing/>
        <w:jc w:val="both"/>
        <w:rPr>
          <w:rFonts w:ascii="Palatino Linotype" w:hAnsi="Palatino Linotype" w:cs="Tahoma"/>
          <w:sz w:val="22"/>
          <w:szCs w:val="22"/>
        </w:rPr>
      </w:pPr>
    </w:p>
    <w:p w14:paraId="26C29521"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86D2" w14:textId="77777777" w:rsidR="008F5743" w:rsidRDefault="008F5743" w:rsidP="00B31222">
      <w:r>
        <w:separator/>
      </w:r>
    </w:p>
  </w:endnote>
  <w:endnote w:type="continuationSeparator" w:id="0">
    <w:p w14:paraId="1711270B" w14:textId="77777777" w:rsidR="008F5743" w:rsidRDefault="008F5743" w:rsidP="00B31222">
      <w:r>
        <w:continuationSeparator/>
      </w:r>
    </w:p>
  </w:endnote>
  <w:endnote w:type="continuationNotice" w:id="1">
    <w:p w14:paraId="6F8BCA9A" w14:textId="77777777" w:rsidR="008F5743" w:rsidRDefault="008F5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6976FB8"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23C0">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23C0">
              <w:rPr>
                <w:b/>
                <w:bCs/>
                <w:noProof/>
              </w:rPr>
              <w:t>20</w:t>
            </w:r>
            <w:r>
              <w:rPr>
                <w:b/>
                <w:bCs/>
                <w:sz w:val="24"/>
                <w:szCs w:val="24"/>
              </w:rPr>
              <w:fldChar w:fldCharType="end"/>
            </w:r>
          </w:p>
        </w:sdtContent>
      </w:sdt>
    </w:sdtContent>
  </w:sdt>
  <w:p w14:paraId="0AA5D677"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7347F1B"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23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23C0">
              <w:rPr>
                <w:b/>
                <w:bCs/>
                <w:noProof/>
              </w:rPr>
              <w:t>20</w:t>
            </w:r>
            <w:r>
              <w:rPr>
                <w:b/>
                <w:bCs/>
                <w:sz w:val="24"/>
                <w:szCs w:val="24"/>
              </w:rPr>
              <w:fldChar w:fldCharType="end"/>
            </w:r>
          </w:p>
        </w:sdtContent>
      </w:sdt>
    </w:sdtContent>
  </w:sdt>
  <w:p w14:paraId="73FD092B"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8596B" w14:textId="77777777" w:rsidR="008F5743" w:rsidRDefault="008F5743" w:rsidP="00B31222">
      <w:r>
        <w:separator/>
      </w:r>
    </w:p>
  </w:footnote>
  <w:footnote w:type="continuationSeparator" w:id="0">
    <w:p w14:paraId="5F075FA6" w14:textId="77777777" w:rsidR="008F5743" w:rsidRDefault="008F5743" w:rsidP="00B31222">
      <w:r>
        <w:continuationSeparator/>
      </w:r>
    </w:p>
  </w:footnote>
  <w:footnote w:type="continuationNotice" w:id="1">
    <w:p w14:paraId="03EFFC58" w14:textId="77777777" w:rsidR="008F5743" w:rsidRDefault="008F57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A751" w14:textId="77777777" w:rsidR="0094768D" w:rsidRDefault="008F5743">
    <w:pPr>
      <w:pStyle w:val="Encabezado"/>
    </w:pPr>
    <w:r>
      <w:rPr>
        <w:noProof/>
        <w:lang w:eastAsia="es-MX"/>
      </w:rPr>
      <w:pict w14:anchorId="48CB2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127"/>
      <w:gridCol w:w="7654"/>
    </w:tblGrid>
    <w:tr w:rsidR="0094768D" w:rsidRPr="005C106F" w14:paraId="2E37E723" w14:textId="77777777" w:rsidTr="005728DA">
      <w:trPr>
        <w:trHeight w:val="1435"/>
      </w:trPr>
      <w:tc>
        <w:tcPr>
          <w:tcW w:w="2127" w:type="dxa"/>
          <w:shd w:val="clear" w:color="auto" w:fill="auto"/>
        </w:tcPr>
        <w:p w14:paraId="1B1DB253" w14:textId="62DCB258" w:rsidR="0094768D" w:rsidRPr="005C106F" w:rsidRDefault="0094768D" w:rsidP="00EF4A64">
          <w:pPr>
            <w:tabs>
              <w:tab w:val="right" w:pos="4273"/>
            </w:tabs>
            <w:rPr>
              <w:rFonts w:ascii="Garamond" w:eastAsia="Calibri" w:hAnsi="Garamond"/>
              <w:sz w:val="16"/>
              <w:szCs w:val="16"/>
              <w:lang w:eastAsia="en-US"/>
            </w:rPr>
          </w:pPr>
        </w:p>
      </w:tc>
      <w:tc>
        <w:tcPr>
          <w:tcW w:w="7654" w:type="dxa"/>
          <w:shd w:val="clear" w:color="auto" w:fill="auto"/>
        </w:tcPr>
        <w:tbl>
          <w:tblPr>
            <w:tblStyle w:val="Tablaconcuadrcula"/>
            <w:tblW w:w="694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353"/>
          </w:tblGrid>
          <w:tr w:rsidR="0094768D" w14:paraId="64599AAE" w14:textId="77777777" w:rsidTr="005728DA">
            <w:trPr>
              <w:trHeight w:val="144"/>
            </w:trPr>
            <w:tc>
              <w:tcPr>
                <w:tcW w:w="2589" w:type="dxa"/>
              </w:tcPr>
              <w:p w14:paraId="0FBC84DA"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353" w:type="dxa"/>
              </w:tcPr>
              <w:p w14:paraId="3989539E" w14:textId="4B6F6158" w:rsidR="0094768D" w:rsidRPr="000B54EE" w:rsidRDefault="0072268E"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14411</w:t>
                </w:r>
                <w:r w:rsidR="0094768D" w:rsidRPr="000B54EE">
                  <w:rPr>
                    <w:rFonts w:ascii="Palatino Linotype" w:eastAsia="Calibri" w:hAnsi="Palatino Linotype" w:cs="Tahoma"/>
                    <w:sz w:val="22"/>
                    <w:szCs w:val="22"/>
                    <w:lang w:val="es-MX" w:eastAsia="en-US"/>
                  </w:rPr>
                  <w:t>/INFOEM/IP/RR/2025</w:t>
                </w:r>
              </w:p>
            </w:tc>
          </w:tr>
          <w:tr w:rsidR="0094768D" w14:paraId="778685DE" w14:textId="77777777" w:rsidTr="005728DA">
            <w:trPr>
              <w:trHeight w:val="283"/>
            </w:trPr>
            <w:tc>
              <w:tcPr>
                <w:tcW w:w="2589" w:type="dxa"/>
              </w:tcPr>
              <w:p w14:paraId="5C8FED96"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353" w:type="dxa"/>
              </w:tcPr>
              <w:p w14:paraId="189A6E4F" w14:textId="6C7032B0" w:rsidR="0094768D" w:rsidRPr="005F13CF" w:rsidRDefault="0072268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Teoloyucan</w:t>
                </w:r>
              </w:p>
            </w:tc>
          </w:tr>
          <w:tr w:rsidR="0094768D" w14:paraId="7B24B221" w14:textId="77777777" w:rsidTr="005728DA">
            <w:trPr>
              <w:trHeight w:val="283"/>
            </w:trPr>
            <w:tc>
              <w:tcPr>
                <w:tcW w:w="2589" w:type="dxa"/>
              </w:tcPr>
              <w:p w14:paraId="7ECA8630"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353" w:type="dxa"/>
              </w:tcPr>
              <w:p w14:paraId="3A8AD90C"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BB573B4"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49D29200"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31AAFB17" w14:textId="47B2C737" w:rsidR="0094768D" w:rsidRPr="00A25151" w:rsidRDefault="005728DA" w:rsidP="00EF4A64">
    <w:pPr>
      <w:pStyle w:val="Encabezado"/>
      <w:rPr>
        <w:sz w:val="22"/>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4CF75B2" wp14:editId="3ABDC762">
          <wp:simplePos x="0" y="0"/>
          <wp:positionH relativeFrom="page">
            <wp:posOffset>3175</wp:posOffset>
          </wp:positionH>
          <wp:positionV relativeFrom="margin">
            <wp:posOffset>-1727835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843"/>
      <w:gridCol w:w="7371"/>
    </w:tblGrid>
    <w:tr w:rsidR="0094768D" w:rsidRPr="00330DA7" w14:paraId="2EA3DEC1" w14:textId="77777777" w:rsidTr="005728DA">
      <w:trPr>
        <w:trHeight w:val="1435"/>
      </w:trPr>
      <w:tc>
        <w:tcPr>
          <w:tcW w:w="1843" w:type="dxa"/>
          <w:shd w:val="clear" w:color="auto" w:fill="auto"/>
        </w:tcPr>
        <w:p w14:paraId="72AAFF09"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0FFD8E8" wp14:editId="32311A6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shd w:val="clear" w:color="auto" w:fill="auto"/>
        </w:tcPr>
        <w:p w14:paraId="2506EFA9" w14:textId="77777777" w:rsidR="000B54EE" w:rsidRDefault="000B54EE"/>
        <w:tbl>
          <w:tblPr>
            <w:tblStyle w:val="Tablaconcuadrcula"/>
            <w:tblW w:w="6978" w:type="dxa"/>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389"/>
          </w:tblGrid>
          <w:tr w:rsidR="0094768D" w:rsidRPr="00431A70" w14:paraId="14501F4B" w14:textId="77777777" w:rsidTr="005728DA">
            <w:trPr>
              <w:trHeight w:val="144"/>
            </w:trPr>
            <w:tc>
              <w:tcPr>
                <w:tcW w:w="2589" w:type="dxa"/>
              </w:tcPr>
              <w:p w14:paraId="1624F5BF"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389" w:type="dxa"/>
              </w:tcPr>
              <w:p w14:paraId="22F46194" w14:textId="3C5C386C" w:rsidR="0094768D" w:rsidRPr="000B54EE" w:rsidRDefault="0072268E"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14411</w:t>
                </w:r>
                <w:r w:rsidR="0094768D" w:rsidRPr="000B54EE">
                  <w:rPr>
                    <w:rFonts w:ascii="Palatino Linotype" w:eastAsia="Calibri" w:hAnsi="Palatino Linotype" w:cs="Tahoma"/>
                    <w:sz w:val="22"/>
                    <w:szCs w:val="22"/>
                    <w:lang w:val="es-MX" w:eastAsia="en-US"/>
                  </w:rPr>
                  <w:t>/INFOEM/IP/RR/2025</w:t>
                </w:r>
              </w:p>
            </w:tc>
          </w:tr>
          <w:tr w:rsidR="0094768D" w:rsidRPr="00286D0C" w14:paraId="56A4A5A6" w14:textId="77777777" w:rsidTr="005728DA">
            <w:trPr>
              <w:trHeight w:val="144"/>
            </w:trPr>
            <w:tc>
              <w:tcPr>
                <w:tcW w:w="2589" w:type="dxa"/>
              </w:tcPr>
              <w:p w14:paraId="60CD406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389" w:type="dxa"/>
              </w:tcPr>
              <w:p w14:paraId="3D2BDC06"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1990DE77" w14:textId="77777777" w:rsidTr="005728DA">
            <w:trPr>
              <w:trHeight w:val="283"/>
            </w:trPr>
            <w:tc>
              <w:tcPr>
                <w:tcW w:w="2589" w:type="dxa"/>
              </w:tcPr>
              <w:p w14:paraId="0573B87C"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389" w:type="dxa"/>
              </w:tcPr>
              <w:p w14:paraId="43792518" w14:textId="137CA8A0" w:rsidR="0094768D" w:rsidRPr="005F13CF" w:rsidRDefault="0072268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Teoloyucan</w:t>
                </w:r>
              </w:p>
            </w:tc>
          </w:tr>
          <w:tr w:rsidR="0094768D" w:rsidRPr="00431A70" w14:paraId="6A61179A" w14:textId="77777777" w:rsidTr="005728DA">
            <w:trPr>
              <w:trHeight w:val="283"/>
            </w:trPr>
            <w:tc>
              <w:tcPr>
                <w:tcW w:w="2589" w:type="dxa"/>
              </w:tcPr>
              <w:p w14:paraId="65B33F6A"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389" w:type="dxa"/>
              </w:tcPr>
              <w:p w14:paraId="2894AA96"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9D36A5B"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5FA566B5"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64185F"/>
    <w:multiLevelType w:val="hybridMultilevel"/>
    <w:tmpl w:val="3BD499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9EE"/>
    <w:rsid w:val="00027B6E"/>
    <w:rsid w:val="000300BE"/>
    <w:rsid w:val="0003037C"/>
    <w:rsid w:val="0003089C"/>
    <w:rsid w:val="00030A67"/>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03E"/>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B670B"/>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6BE"/>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095"/>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072"/>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4C0"/>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27CF"/>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244"/>
    <w:rsid w:val="003C6934"/>
    <w:rsid w:val="003C6B65"/>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685"/>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8DA"/>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68E"/>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09"/>
    <w:rsid w:val="00735FE4"/>
    <w:rsid w:val="0073614A"/>
    <w:rsid w:val="00736485"/>
    <w:rsid w:val="00736FF2"/>
    <w:rsid w:val="00737108"/>
    <w:rsid w:val="00737D63"/>
    <w:rsid w:val="007401D6"/>
    <w:rsid w:val="00740478"/>
    <w:rsid w:val="00740C8C"/>
    <w:rsid w:val="00740F35"/>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7F9"/>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743"/>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56E1"/>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9D6"/>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2379"/>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6E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92C"/>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23C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8261FC"/>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C1BB-AACA-48C4-96A4-A6D5672B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4538</Words>
  <Characters>24959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2026-02-09T15:20:00Z</cp:lastPrinted>
  <dcterms:created xsi:type="dcterms:W3CDTF">2026-02-09T15:20:00Z</dcterms:created>
  <dcterms:modified xsi:type="dcterms:W3CDTF">2026-02-09T15:21:00Z</dcterms:modified>
</cp:coreProperties>
</file>