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1E226" w14:textId="77777777" w:rsidR="002369AB" w:rsidRPr="008B1A35" w:rsidRDefault="00282375">
      <w:pPr>
        <w:spacing w:line="360" w:lineRule="auto"/>
        <w:jc w:val="both"/>
        <w:rPr>
          <w:rFonts w:ascii="Palatino Linotype" w:eastAsia="Palatino Linotype" w:hAnsi="Palatino Linotype" w:cs="Palatino Linotype"/>
          <w:sz w:val="22"/>
          <w:szCs w:val="22"/>
        </w:rPr>
      </w:pPr>
      <w:bookmarkStart w:id="0" w:name="_heading=h.gjdgxs" w:colFirst="0" w:colLast="0"/>
      <w:bookmarkEnd w:id="0"/>
      <w:r w:rsidRPr="008B1A35">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de fecha cinco de marzo de dos mil veintiséis. </w:t>
      </w:r>
    </w:p>
    <w:p w14:paraId="5D1D8439" w14:textId="77777777" w:rsidR="002369AB" w:rsidRPr="008B1A35" w:rsidRDefault="002369AB">
      <w:pPr>
        <w:spacing w:line="360" w:lineRule="auto"/>
        <w:jc w:val="both"/>
        <w:rPr>
          <w:rFonts w:ascii="Palatino Linotype" w:eastAsia="Palatino Linotype" w:hAnsi="Palatino Linotype" w:cs="Palatino Linotype"/>
          <w:b/>
          <w:bCs/>
          <w:sz w:val="22"/>
          <w:szCs w:val="22"/>
        </w:rPr>
      </w:pPr>
    </w:p>
    <w:p w14:paraId="5066764B" w14:textId="77092BA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 xml:space="preserve">Visto </w:t>
      </w:r>
      <w:r w:rsidRPr="008B1A35">
        <w:rPr>
          <w:rFonts w:ascii="Palatino Linotype" w:eastAsia="Palatino Linotype" w:hAnsi="Palatino Linotype" w:cs="Palatino Linotype"/>
          <w:sz w:val="22"/>
          <w:szCs w:val="22"/>
        </w:rPr>
        <w:t xml:space="preserve">el expediente relativo al recurso de revisión </w:t>
      </w:r>
      <w:r w:rsidRPr="008B1A35">
        <w:rPr>
          <w:rFonts w:ascii="Palatino Linotype" w:eastAsia="Palatino Linotype" w:hAnsi="Palatino Linotype" w:cs="Palatino Linotype"/>
          <w:b/>
          <w:bCs/>
          <w:sz w:val="22"/>
          <w:szCs w:val="22"/>
        </w:rPr>
        <w:t>01904/INFOEM/IP/RR/2026</w:t>
      </w:r>
      <w:r w:rsidRPr="008B1A35">
        <w:rPr>
          <w:rFonts w:ascii="Palatino Linotype" w:eastAsia="Palatino Linotype" w:hAnsi="Palatino Linotype" w:cs="Palatino Linotype"/>
          <w:sz w:val="22"/>
          <w:szCs w:val="22"/>
        </w:rPr>
        <w:t>, interpuesto por</w:t>
      </w:r>
      <w:r w:rsidR="00A44B61" w:rsidRPr="00A44B61">
        <w:rPr>
          <w:rFonts w:ascii="Palatino Linotype" w:eastAsia="Palatino Linotype" w:hAnsi="Palatino Linotype" w:cs="Palatino Linotype"/>
          <w:b/>
          <w:sz w:val="21"/>
          <w:szCs w:val="21"/>
          <w:lang w:val="es-ES"/>
        </w:rPr>
        <w:t xml:space="preserve"> </w:t>
      </w:r>
      <w:r w:rsidR="00A44B61">
        <w:rPr>
          <w:rFonts w:ascii="Palatino Linotype" w:eastAsia="Palatino Linotype" w:hAnsi="Palatino Linotype" w:cs="Palatino Linotype"/>
          <w:b/>
          <w:sz w:val="21"/>
          <w:szCs w:val="21"/>
          <w:lang w:val="es-ES"/>
        </w:rPr>
        <w:t>XXXXX XXXXXXX XXXXX</w:t>
      </w:r>
      <w:r w:rsidRPr="008B1A35">
        <w:rPr>
          <w:rFonts w:ascii="Palatino Linotype" w:eastAsia="Palatino Linotype" w:hAnsi="Palatino Linotype" w:cs="Palatino Linotype"/>
          <w:b/>
          <w:bCs/>
          <w:sz w:val="22"/>
          <w:szCs w:val="22"/>
        </w:rPr>
        <w:t>,</w:t>
      </w:r>
      <w:r w:rsidRPr="008B1A35">
        <w:rPr>
          <w:rFonts w:ascii="Palatino Linotype" w:eastAsia="Palatino Linotype" w:hAnsi="Palatino Linotype" w:cs="Palatino Linotype"/>
          <w:sz w:val="22"/>
          <w:szCs w:val="22"/>
        </w:rPr>
        <w:t xml:space="preserve"> en lo sucesivo la parte </w:t>
      </w:r>
      <w:r w:rsidRPr="008B1A35">
        <w:rPr>
          <w:rFonts w:ascii="Palatino Linotype" w:eastAsia="Palatino Linotype" w:hAnsi="Palatino Linotype" w:cs="Palatino Linotype"/>
          <w:b/>
          <w:bCs/>
          <w:sz w:val="22"/>
          <w:szCs w:val="22"/>
        </w:rPr>
        <w:t xml:space="preserve">RECURRENTE, </w:t>
      </w:r>
      <w:r w:rsidRPr="008B1A35">
        <w:rPr>
          <w:rFonts w:ascii="Palatino Linotype" w:eastAsia="Palatino Linotype" w:hAnsi="Palatino Linotype" w:cs="Palatino Linotype"/>
          <w:sz w:val="22"/>
          <w:szCs w:val="22"/>
        </w:rPr>
        <w:t>en contra de la falta de respuesta a la solicitud de acceso a la información con número de folio</w:t>
      </w:r>
      <w:r w:rsidRPr="008B1A35">
        <w:rPr>
          <w:rFonts w:ascii="Verdana" w:eastAsia="Verdana" w:hAnsi="Verdana" w:cs="Verdana"/>
          <w:b/>
          <w:bCs/>
          <w:sz w:val="22"/>
          <w:szCs w:val="22"/>
        </w:rPr>
        <w:t xml:space="preserve"> </w:t>
      </w:r>
      <w:r w:rsidRPr="008B1A35">
        <w:rPr>
          <w:rFonts w:ascii="Palatino Linotype" w:eastAsia="Palatino Linotype" w:hAnsi="Palatino Linotype" w:cs="Palatino Linotype"/>
          <w:b/>
          <w:bCs/>
          <w:sz w:val="22"/>
          <w:szCs w:val="22"/>
        </w:rPr>
        <w:t xml:space="preserve">00343/TEPOTZOT/IP/2026, </w:t>
      </w:r>
      <w:r w:rsidRPr="008B1A35">
        <w:rPr>
          <w:rFonts w:ascii="Palatino Linotype" w:eastAsia="Palatino Linotype" w:hAnsi="Palatino Linotype" w:cs="Palatino Linotype"/>
          <w:sz w:val="22"/>
          <w:szCs w:val="22"/>
        </w:rPr>
        <w:t xml:space="preserve">por parte del </w:t>
      </w:r>
      <w:r w:rsidRPr="008B1A35">
        <w:rPr>
          <w:rFonts w:ascii="Palatino Linotype" w:eastAsia="Palatino Linotype" w:hAnsi="Palatino Linotype" w:cs="Palatino Linotype"/>
          <w:b/>
          <w:bCs/>
          <w:sz w:val="22"/>
          <w:szCs w:val="22"/>
        </w:rPr>
        <w:t>Ayuntamiento de Tepotzotlán,</w:t>
      </w:r>
      <w:r w:rsidRPr="008B1A35">
        <w:rPr>
          <w:rFonts w:ascii="Palatino Linotype" w:eastAsia="Palatino Linotype" w:hAnsi="Palatino Linotype" w:cs="Palatino Linotype"/>
          <w:sz w:val="22"/>
          <w:szCs w:val="22"/>
        </w:rPr>
        <w:t xml:space="preserve"> en lo sucesivo el </w:t>
      </w:r>
      <w:r w:rsidRPr="008B1A35">
        <w:rPr>
          <w:rFonts w:ascii="Palatino Linotype" w:eastAsia="Palatino Linotype" w:hAnsi="Palatino Linotype" w:cs="Palatino Linotype"/>
          <w:b/>
          <w:bCs/>
          <w:sz w:val="22"/>
          <w:szCs w:val="22"/>
        </w:rPr>
        <w:t xml:space="preserve">SUJETO OBLIGADO; </w:t>
      </w:r>
      <w:r w:rsidRPr="008B1A35">
        <w:rPr>
          <w:rFonts w:ascii="Palatino Linotype" w:eastAsia="Palatino Linotype" w:hAnsi="Palatino Linotype" w:cs="Palatino Linotype"/>
          <w:sz w:val="22"/>
          <w:szCs w:val="22"/>
        </w:rPr>
        <w:t xml:space="preserve">se procede a dictar la presente resolución, con base en lo siguiente. </w:t>
      </w:r>
    </w:p>
    <w:p w14:paraId="05D4F131"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5535A563" w14:textId="77777777" w:rsidR="002369AB" w:rsidRPr="008B1A35" w:rsidRDefault="00282375">
      <w:pPr>
        <w:numPr>
          <w:ilvl w:val="0"/>
          <w:numId w:val="5"/>
        </w:numPr>
        <w:pBdr>
          <w:top w:val="nil"/>
          <w:left w:val="nil"/>
          <w:bottom w:val="nil"/>
          <w:right w:val="nil"/>
          <w:between w:val="nil"/>
        </w:pBdr>
        <w:spacing w:line="360" w:lineRule="auto"/>
        <w:ind w:left="1077"/>
        <w:jc w:val="center"/>
        <w:rPr>
          <w:rFonts w:ascii="Palatino Linotype" w:eastAsia="Palatino Linotype" w:hAnsi="Palatino Linotype" w:cs="Palatino Linotype"/>
          <w:b/>
          <w:bCs/>
          <w:sz w:val="22"/>
          <w:szCs w:val="22"/>
        </w:rPr>
      </w:pPr>
      <w:r w:rsidRPr="008B1A35">
        <w:rPr>
          <w:rFonts w:ascii="Palatino Linotype" w:eastAsia="Palatino Linotype" w:hAnsi="Palatino Linotype" w:cs="Palatino Linotype"/>
          <w:b/>
          <w:bCs/>
          <w:sz w:val="22"/>
          <w:szCs w:val="22"/>
        </w:rPr>
        <w:t>A N T E C E D E N T E S:</w:t>
      </w:r>
    </w:p>
    <w:p w14:paraId="0616B6D6" w14:textId="77777777" w:rsidR="002369AB" w:rsidRPr="008B1A35" w:rsidRDefault="002369AB">
      <w:pPr>
        <w:pBdr>
          <w:top w:val="nil"/>
          <w:left w:val="nil"/>
          <w:bottom w:val="nil"/>
          <w:right w:val="nil"/>
          <w:between w:val="nil"/>
        </w:pBdr>
        <w:spacing w:line="360" w:lineRule="auto"/>
        <w:ind w:left="1077"/>
        <w:rPr>
          <w:rFonts w:ascii="Palatino Linotype" w:eastAsia="Palatino Linotype" w:hAnsi="Palatino Linotype" w:cs="Palatino Linotype"/>
          <w:b/>
          <w:bCs/>
          <w:sz w:val="22"/>
          <w:szCs w:val="22"/>
        </w:rPr>
      </w:pPr>
    </w:p>
    <w:p w14:paraId="3070EA7D"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 xml:space="preserve">1. Solicitud de acceso a la información. </w:t>
      </w:r>
      <w:r w:rsidRPr="008B1A35">
        <w:rPr>
          <w:rFonts w:ascii="Palatino Linotype" w:eastAsia="Palatino Linotype" w:hAnsi="Palatino Linotype" w:cs="Palatino Linotype"/>
          <w:sz w:val="22"/>
          <w:szCs w:val="22"/>
        </w:rPr>
        <w:t xml:space="preserve">Con fecha </w:t>
      </w:r>
      <w:r w:rsidRPr="008B1A35">
        <w:rPr>
          <w:rFonts w:ascii="Palatino Linotype" w:eastAsia="Palatino Linotype" w:hAnsi="Palatino Linotype" w:cs="Palatino Linotype"/>
          <w:b/>
          <w:bCs/>
          <w:sz w:val="22"/>
          <w:szCs w:val="22"/>
        </w:rPr>
        <w:t>veintidós de enero de dos mil veintiséis</w:t>
      </w:r>
      <w:r w:rsidRPr="008B1A35">
        <w:rPr>
          <w:rFonts w:ascii="Palatino Linotype" w:eastAsia="Palatino Linotype" w:hAnsi="Palatino Linotype" w:cs="Palatino Linotype"/>
          <w:sz w:val="22"/>
          <w:szCs w:val="22"/>
        </w:rPr>
        <w:t xml:space="preserve">, la parte </w:t>
      </w:r>
      <w:r w:rsidRPr="008B1A35">
        <w:rPr>
          <w:rFonts w:ascii="Palatino Linotype" w:eastAsia="Palatino Linotype" w:hAnsi="Palatino Linotype" w:cs="Palatino Linotype"/>
          <w:b/>
          <w:bCs/>
          <w:sz w:val="22"/>
          <w:szCs w:val="22"/>
        </w:rPr>
        <w:t xml:space="preserve">RECURRENTE </w:t>
      </w:r>
      <w:r w:rsidRPr="008B1A35">
        <w:rPr>
          <w:rFonts w:ascii="Palatino Linotype" w:eastAsia="Palatino Linotype" w:hAnsi="Palatino Linotype" w:cs="Palatino Linotype"/>
          <w:sz w:val="22"/>
          <w:szCs w:val="22"/>
        </w:rPr>
        <w:t xml:space="preserve">formuló a través del Sistema de Acceso a la Información Mexiquense, en adelante </w:t>
      </w:r>
      <w:r w:rsidRPr="008B1A35">
        <w:rPr>
          <w:rFonts w:ascii="Palatino Linotype" w:eastAsia="Palatino Linotype" w:hAnsi="Palatino Linotype" w:cs="Palatino Linotype"/>
          <w:b/>
          <w:bCs/>
          <w:sz w:val="22"/>
          <w:szCs w:val="22"/>
        </w:rPr>
        <w:t>SAIMEX,</w:t>
      </w:r>
      <w:r w:rsidRPr="008B1A35">
        <w:rPr>
          <w:rFonts w:ascii="Palatino Linotype" w:eastAsia="Palatino Linotype" w:hAnsi="Palatino Linotype" w:cs="Palatino Linotype"/>
          <w:sz w:val="22"/>
          <w:szCs w:val="22"/>
        </w:rPr>
        <w:t xml:space="preserve"> solicitud de información al </w:t>
      </w:r>
      <w:r w:rsidRPr="008B1A35">
        <w:rPr>
          <w:rFonts w:ascii="Palatino Linotype" w:eastAsia="Palatino Linotype" w:hAnsi="Palatino Linotype" w:cs="Palatino Linotype"/>
          <w:b/>
          <w:bCs/>
          <w:sz w:val="22"/>
          <w:szCs w:val="22"/>
        </w:rPr>
        <w:t>SUJETO OBLIGADO</w:t>
      </w:r>
      <w:r w:rsidRPr="008B1A35">
        <w:rPr>
          <w:rFonts w:ascii="Palatino Linotype" w:eastAsia="Palatino Linotype" w:hAnsi="Palatino Linotype" w:cs="Palatino Linotype"/>
          <w:sz w:val="22"/>
          <w:szCs w:val="22"/>
        </w:rPr>
        <w:t xml:space="preserve"> requiriendo lo siguiente:</w:t>
      </w:r>
    </w:p>
    <w:p w14:paraId="76E08078" w14:textId="77777777" w:rsidR="002369AB" w:rsidRPr="008B1A35" w:rsidRDefault="002369AB">
      <w:pPr>
        <w:ind w:left="567" w:right="616"/>
        <w:jc w:val="both"/>
        <w:rPr>
          <w:rFonts w:ascii="Palatino Linotype" w:eastAsia="Palatino Linotype" w:hAnsi="Palatino Linotype" w:cs="Palatino Linotype"/>
          <w:i/>
          <w:iCs/>
          <w:sz w:val="22"/>
          <w:szCs w:val="22"/>
        </w:rPr>
      </w:pPr>
    </w:p>
    <w:p w14:paraId="1DAD6B3D" w14:textId="77777777" w:rsidR="002369AB" w:rsidRPr="008B1A35" w:rsidRDefault="00282375">
      <w:pPr>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i/>
          <w:iCs/>
          <w:sz w:val="22"/>
          <w:szCs w:val="22"/>
        </w:rPr>
        <w:t xml:space="preserve">“Solicito se informe y se remita copia íntegra, completa y legible del expediente de control, fiscalización, verificación y, en su caso, investigación administrativa que obre o debió obrar en poder de la Contraloría Municipal del H. Ayuntamiento de Tepotzotlán, derivado de las acciones anunciadas públicamente mediante una manta colocada en el perímetro del Jardín de Niños “Rosa Agazzi”, C.C.T. 15EJN0661P, correspondiente al programa municipal “Por Amor a tu Escuela”, específicamente en lo relativo a la acción denominada “PODA DE ÁRBOLES”, durante los ejercicios 2025 y 2026, incluyendo de manera enunciativa más no limitativa: a) Actuaciones de la Contraloría tendientes a verificar que las acciones anunciadas en la manta correspondan a trabajos efectivamente ejecutados, conforme a los principios de legalidad, veracidad, honradez y rendición de cuentas. b) Informes, auditorías, revisiones, verificaciones físicas o documentales realizadas para constatar la ejecución real de la poda de árboles en el Jardín de Niños “Rosa Agazzi”, C.C.T. 15EJN0661P. c) Resultados de dichas verificaciones, </w:t>
      </w:r>
      <w:r w:rsidRPr="008B1A35">
        <w:rPr>
          <w:rFonts w:ascii="Palatino Linotype" w:eastAsia="Palatino Linotype" w:hAnsi="Palatino Linotype" w:cs="Palatino Linotype"/>
          <w:i/>
          <w:iCs/>
          <w:sz w:val="22"/>
          <w:szCs w:val="22"/>
        </w:rPr>
        <w:lastRenderedPageBreak/>
        <w:t>observaciones formuladas y medidas correctivas ordenadas, en su caso. d) Identificación de las áreas municipales responsables de autorizar, ejecutar, supervisar y validar la acción de poda anunciada, así como nombre, cargo y adscripción de los servidores públicos involucrados. e) Análisis de la correspondencia entre la información difundida públicamente en la manta y la ejecución material de los trabajos, precisando si se detectaron inconsistencias, omisiones, ejecución parcial o simulación. f) En su caso, procedimientos de responsabilidad administrativa iniciados, indicando número de expediente, autoridad instructora, conductas imputadas y estatus procesal. g) Acciones emprendidas por la Contraloría ante la posible difusión de información inexacta o engañosa respecto a la poda de árboles en un plantel educativo con población infantil. h) Medidas preventivas o correctivas ordenadas para evitar riesgos a la comunidad escolar derivados de la falta de poda del arbolado perimetral. Asimismo, solicito se informe de manera expresa y fundada: i) Si la Contraloría Municipal tenía conocimiento de que el arbolado del perímetro del Jardín de Niños “Rosa Agazzi”, C.C.T. 15EJN0661P, no fue podado, pese a que la manta anunciaba dicha acción. j) En caso de no haberse iniciado revisión, auditoría o procedimiento alguno, se precise la razón legal de dicha omisión, desde cuándo debió actuar la Contraloría y quién es el servidor público responsable de no haberlo hecho. En caso de inexistencia total o parcial de la información solicitada, indíquese claramente qué autoridad municipal estaba obligada a generarla, bajo qué fundamento legal, desde cuándo, y qué acciones se han tomado para subsanar dicha omisión.” (Sic)</w:t>
      </w:r>
    </w:p>
    <w:p w14:paraId="20F7CF84" w14:textId="77777777" w:rsidR="002369AB" w:rsidRPr="008B1A35" w:rsidRDefault="002369AB">
      <w:pPr>
        <w:spacing w:line="360" w:lineRule="auto"/>
        <w:jc w:val="both"/>
        <w:rPr>
          <w:rFonts w:ascii="Palatino Linotype" w:eastAsia="Palatino Linotype" w:hAnsi="Palatino Linotype" w:cs="Palatino Linotype"/>
          <w:b/>
          <w:bCs/>
          <w:sz w:val="22"/>
          <w:szCs w:val="22"/>
        </w:rPr>
      </w:pPr>
    </w:p>
    <w:p w14:paraId="5DE0B1F3"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 xml:space="preserve">Modalidad elegida para la entrega de la información: </w:t>
      </w:r>
      <w:r w:rsidRPr="008B1A35">
        <w:rPr>
          <w:rFonts w:ascii="Palatino Linotype" w:eastAsia="Palatino Linotype" w:hAnsi="Palatino Linotype" w:cs="Palatino Linotype"/>
          <w:sz w:val="22"/>
          <w:szCs w:val="22"/>
        </w:rPr>
        <w:t>a través del SAIMEX.</w:t>
      </w:r>
    </w:p>
    <w:p w14:paraId="10179D8F"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75042819" w14:textId="77777777" w:rsidR="002369AB" w:rsidRPr="008B1A35" w:rsidRDefault="00282375">
      <w:pPr>
        <w:spacing w:line="360" w:lineRule="auto"/>
        <w:jc w:val="both"/>
        <w:rPr>
          <w:rFonts w:ascii="Palatino Linotype" w:eastAsia="Palatino Linotype" w:hAnsi="Palatino Linotype" w:cs="Palatino Linotype"/>
          <w:b/>
          <w:bCs/>
          <w:sz w:val="22"/>
          <w:szCs w:val="22"/>
        </w:rPr>
      </w:pPr>
      <w:r w:rsidRPr="008B1A35">
        <w:rPr>
          <w:rFonts w:ascii="Palatino Linotype" w:eastAsia="Palatino Linotype" w:hAnsi="Palatino Linotype" w:cs="Palatino Linotype"/>
          <w:b/>
          <w:bCs/>
          <w:sz w:val="22"/>
          <w:szCs w:val="22"/>
        </w:rPr>
        <w:t xml:space="preserve">2. Respuesta. </w:t>
      </w:r>
      <w:r w:rsidRPr="008B1A35">
        <w:rPr>
          <w:rFonts w:ascii="Palatino Linotype" w:eastAsia="Palatino Linotype" w:hAnsi="Palatino Linotype" w:cs="Palatino Linotype"/>
          <w:sz w:val="22"/>
          <w:szCs w:val="22"/>
        </w:rPr>
        <w:t xml:space="preserve">El </w:t>
      </w:r>
      <w:r w:rsidRPr="008B1A35">
        <w:rPr>
          <w:rFonts w:ascii="Palatino Linotype" w:eastAsia="Palatino Linotype" w:hAnsi="Palatino Linotype" w:cs="Palatino Linotype"/>
          <w:b/>
          <w:bCs/>
          <w:sz w:val="22"/>
          <w:szCs w:val="22"/>
        </w:rPr>
        <w:t xml:space="preserve">SUJETO OBLIGADO </w:t>
      </w:r>
      <w:r w:rsidRPr="008B1A35">
        <w:rPr>
          <w:rFonts w:ascii="Palatino Linotype" w:eastAsia="Palatino Linotype" w:hAnsi="Palatino Linotype" w:cs="Palatino Linotype"/>
          <w:sz w:val="22"/>
          <w:szCs w:val="22"/>
        </w:rPr>
        <w:t xml:space="preserve">fue omiso en proporcionar respuesta. </w:t>
      </w:r>
    </w:p>
    <w:p w14:paraId="3B834D47"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373882EC"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 xml:space="preserve">3. Interposición del recurso de revisión. </w:t>
      </w:r>
      <w:r w:rsidRPr="008B1A35">
        <w:rPr>
          <w:rFonts w:ascii="Palatino Linotype" w:eastAsia="Palatino Linotype" w:hAnsi="Palatino Linotype" w:cs="Palatino Linotype"/>
          <w:sz w:val="22"/>
          <w:szCs w:val="22"/>
        </w:rPr>
        <w:t xml:space="preserve">Inconforme la parte solicitante con la falta de respuesta del </w:t>
      </w:r>
      <w:r w:rsidRPr="008B1A35">
        <w:rPr>
          <w:rFonts w:ascii="Palatino Linotype" w:eastAsia="Palatino Linotype" w:hAnsi="Palatino Linotype" w:cs="Palatino Linotype"/>
          <w:b/>
          <w:bCs/>
          <w:sz w:val="22"/>
          <w:szCs w:val="22"/>
        </w:rPr>
        <w:t>SUJETO OBLIGADO</w:t>
      </w:r>
      <w:r w:rsidRPr="008B1A35">
        <w:rPr>
          <w:rFonts w:ascii="Palatino Linotype" w:eastAsia="Palatino Linotype" w:hAnsi="Palatino Linotype" w:cs="Palatino Linotype"/>
          <w:sz w:val="22"/>
          <w:szCs w:val="22"/>
        </w:rPr>
        <w:t xml:space="preserve">, interpuso recurso de revisión a través del SAIMEX en fecha </w:t>
      </w:r>
      <w:r w:rsidRPr="008B1A35">
        <w:rPr>
          <w:rFonts w:ascii="Palatino Linotype" w:eastAsia="Palatino Linotype" w:hAnsi="Palatino Linotype" w:cs="Palatino Linotype"/>
          <w:b/>
          <w:bCs/>
          <w:sz w:val="22"/>
          <w:szCs w:val="22"/>
        </w:rPr>
        <w:t>dieciséis de febrero de dos mil veintiséis</w:t>
      </w:r>
      <w:r w:rsidRPr="008B1A35">
        <w:rPr>
          <w:rFonts w:ascii="Palatino Linotype" w:eastAsia="Palatino Linotype" w:hAnsi="Palatino Linotype" w:cs="Palatino Linotype"/>
          <w:sz w:val="22"/>
          <w:szCs w:val="22"/>
        </w:rPr>
        <w:t>, expresando lo siguiente:</w:t>
      </w:r>
    </w:p>
    <w:p w14:paraId="0E036151"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32B92224" w14:textId="77777777" w:rsidR="002369AB" w:rsidRPr="008B1A35" w:rsidRDefault="00282375">
      <w:pPr>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sz w:val="22"/>
          <w:szCs w:val="22"/>
        </w:rPr>
        <w:t>a) Acto impugnado</w:t>
      </w:r>
      <w:r w:rsidRPr="008B1A35">
        <w:rPr>
          <w:rFonts w:ascii="Palatino Linotype" w:eastAsia="Palatino Linotype" w:hAnsi="Palatino Linotype" w:cs="Palatino Linotype"/>
          <w:b/>
          <w:bCs/>
          <w:i/>
          <w:iCs/>
          <w:sz w:val="22"/>
          <w:szCs w:val="22"/>
        </w:rPr>
        <w:t xml:space="preserve">. </w:t>
      </w:r>
      <w:r w:rsidRPr="008B1A35">
        <w:rPr>
          <w:rFonts w:ascii="Palatino Linotype" w:eastAsia="Palatino Linotype" w:hAnsi="Palatino Linotype" w:cs="Palatino Linotype"/>
          <w:i/>
          <w:iCs/>
          <w:sz w:val="22"/>
          <w:szCs w:val="22"/>
        </w:rPr>
        <w:t xml:space="preserve">“Solicito se informe y se remita copia íntegra, completa y legible del expediente de control, fiscalización, verificación y, en su caso, investigación administrativa que obre o debió obrar en poder de la Contraloría Municipal del H. Ayuntamiento de Tepotzotlán, derivado de las acciones anunciadas públicamente </w:t>
      </w:r>
      <w:r w:rsidRPr="008B1A35">
        <w:rPr>
          <w:rFonts w:ascii="Palatino Linotype" w:eastAsia="Palatino Linotype" w:hAnsi="Palatino Linotype" w:cs="Palatino Linotype"/>
          <w:i/>
          <w:iCs/>
          <w:sz w:val="22"/>
          <w:szCs w:val="22"/>
        </w:rPr>
        <w:lastRenderedPageBreak/>
        <w:t>mediante una manta colocada en el perímetro del Jardín de Niños “Rosa Agazzi”, C.C.T. 15EJN0661P, correspondiente al programa municipal “Por Amor a tu Escuela”, específicamente en lo relativo a la acción denominada “PODA DE ÁRBOLES”, durante los ejercicios 2025 y 2026, incluyendo de manera enunciativa más no limitativa: a) Actuaciones de la Contraloría tendientes a verificar que las acciones anunciadas en la manta correspondan a trabajos efectivamente ejecutados, conforme a los principios de legalidad, veracidad, honradez y rendición de cuentas. b) Informes, auditorías, revisiones, verificaciones físicas o documentales realizadas para constatar la ejecución real de la poda de árboles en el Jardín de Niños “Rosa Agazzi”, C.C.T. 15EJN0661P. c) Resultados de dichas verificaciones, observaciones formuladas y medidas correctivas ordenadas, en su caso. d) Identificación de las áreas municipales responsables de autorizar, ejecutar, supervisar y validar la acción de poda anunciada, así como nombre, cargo y adscripción de los servidores públicos involucrados. e) Análisis de la correspondencia entre la información difundida públicamente en la manta y la ejecución material de los trabajos, precisando si se detectaron inconsistencias, omisiones, ejecución parcial o simulación. f) En su caso, procedimientos de responsabilidad administrativa iniciados, indicando número de expediente, autoridad instructora, conductas imputadas y estatus procesal. g) Acciones emprendidas por la Contraloría ante la posible difusión de información inexacta o engañosa respecto a la poda de árboles en un plantel educativo con población infantil. h) Medidas preventivas o correctivas ordenadas para evitar riesgos a la comunidad escolar derivados de la falta de poda del arbolado perimetral. Asimismo, solicito se informe de manera expresa y fundada: i) Si la Contraloría Municipal tenía conocimiento de que el arbolado del perímetro del Jardín de Niños “Rosa Agazzi”, C.C.T. 15EJN0661P, no fue podado, pese a que la manta anunciaba dicha acción. j) En caso de no haberse iniciado revisión, auditoría o procedimiento alguno, se precise la razón legal de dicha omisión, desde cuándo debió actuar la Contraloría y quién es el servidor público responsable de no haberlo hecho. En caso de inexistencia total o parcial de la información solicitada, indíquese claramente qué autoridad municipal estaba obligada a generarla, bajo qué fundamento legal, desde cuándo, y qué acciones se han tomado para subsanar dicha omisión.” (Sic)</w:t>
      </w:r>
    </w:p>
    <w:p w14:paraId="035F7E06" w14:textId="77777777" w:rsidR="002369AB" w:rsidRPr="008B1A35" w:rsidRDefault="002369AB">
      <w:pPr>
        <w:spacing w:line="360" w:lineRule="auto"/>
        <w:ind w:left="567" w:right="616"/>
        <w:jc w:val="both"/>
        <w:rPr>
          <w:rFonts w:ascii="Palatino Linotype" w:eastAsia="Palatino Linotype" w:hAnsi="Palatino Linotype" w:cs="Palatino Linotype"/>
          <w:b/>
          <w:bCs/>
          <w:sz w:val="22"/>
          <w:szCs w:val="22"/>
        </w:rPr>
      </w:pPr>
    </w:p>
    <w:p w14:paraId="01724F7A" w14:textId="77777777" w:rsidR="002369AB" w:rsidRPr="008B1A35" w:rsidRDefault="00282375">
      <w:pPr>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sz w:val="22"/>
          <w:szCs w:val="22"/>
        </w:rPr>
        <w:t xml:space="preserve">b) Motivos de inconformidad. </w:t>
      </w:r>
      <w:r w:rsidRPr="008B1A35">
        <w:rPr>
          <w:rFonts w:ascii="Palatino Linotype" w:eastAsia="Palatino Linotype" w:hAnsi="Palatino Linotype" w:cs="Palatino Linotype"/>
          <w:i/>
          <w:iCs/>
          <w:sz w:val="22"/>
          <w:szCs w:val="22"/>
        </w:rPr>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w:t>
      </w:r>
      <w:r w:rsidRPr="008B1A35">
        <w:rPr>
          <w:rFonts w:ascii="Palatino Linotype" w:eastAsia="Palatino Linotype" w:hAnsi="Palatino Linotype" w:cs="Palatino Linotype"/>
          <w:i/>
          <w:iCs/>
          <w:sz w:val="22"/>
          <w:szCs w:val="22"/>
        </w:rPr>
        <w:lastRenderedPageBreak/>
        <w:t xml:space="preserve">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contenga datos personales, clasificados o confidenciales, solicito la elaboración y entrega </w:t>
      </w:r>
      <w:r w:rsidRPr="008B1A35">
        <w:rPr>
          <w:rFonts w:ascii="Palatino Linotype" w:eastAsia="Palatino Linotype" w:hAnsi="Palatino Linotype" w:cs="Palatino Linotype"/>
          <w:i/>
          <w:iCs/>
          <w:sz w:val="22"/>
          <w:szCs w:val="22"/>
        </w:rPr>
        <w:lastRenderedPageBreak/>
        <w:t>de versión pública, aplicando un testado estricto, proporcional y debidamente justificado, acompañado del acta del Comité de Transparencia donde conste la determinación correspondiente.” (Sic)</w:t>
      </w:r>
    </w:p>
    <w:p w14:paraId="195F9DA4" w14:textId="77777777" w:rsidR="002369AB" w:rsidRPr="008B1A35" w:rsidRDefault="002369AB">
      <w:pPr>
        <w:spacing w:line="360" w:lineRule="auto"/>
        <w:jc w:val="both"/>
        <w:rPr>
          <w:rFonts w:ascii="Palatino Linotype" w:eastAsia="Palatino Linotype" w:hAnsi="Palatino Linotype" w:cs="Palatino Linotype"/>
          <w:i/>
          <w:iCs/>
          <w:sz w:val="22"/>
          <w:szCs w:val="22"/>
        </w:rPr>
      </w:pPr>
    </w:p>
    <w:p w14:paraId="042F5767"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 xml:space="preserve">4. Turno. </w:t>
      </w:r>
      <w:r w:rsidRPr="008B1A35">
        <w:rPr>
          <w:rFonts w:ascii="Palatino Linotype" w:eastAsia="Palatino Linotype" w:hAnsi="Palatino Linotype" w:cs="Palatino Linotype"/>
          <w:sz w:val="22"/>
          <w:szCs w:val="22"/>
        </w:rPr>
        <w:t xml:space="preserve">De conformidad con el artículo 185 Fracción I de la Ley Transparencia y Acceso a la Información Pública, el recurso de revisión fue turnado a la Comisionada Ponente </w:t>
      </w:r>
      <w:r w:rsidRPr="008B1A35">
        <w:rPr>
          <w:rFonts w:ascii="Palatino Linotype" w:eastAsia="Palatino Linotype" w:hAnsi="Palatino Linotype" w:cs="Palatino Linotype"/>
          <w:b/>
          <w:bCs/>
          <w:sz w:val="22"/>
          <w:szCs w:val="22"/>
        </w:rPr>
        <w:t>Guadalupe Ramírez Peña</w:t>
      </w:r>
      <w:r w:rsidRPr="008B1A35">
        <w:rPr>
          <w:rFonts w:ascii="Palatino Linotype" w:eastAsia="Palatino Linotype" w:hAnsi="Palatino Linotype" w:cs="Palatino Linotype"/>
          <w:sz w:val="22"/>
          <w:szCs w:val="22"/>
        </w:rPr>
        <w:t>, a efecto de presentar al Pleno el proyecto de resolución correspondiente.</w:t>
      </w:r>
    </w:p>
    <w:p w14:paraId="2738B996"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4634834D"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 xml:space="preserve">5. Admisión. </w:t>
      </w:r>
      <w:r w:rsidRPr="008B1A35">
        <w:rPr>
          <w:rFonts w:ascii="Palatino Linotype" w:eastAsia="Palatino Linotype" w:hAnsi="Palatino Linotype" w:cs="Palatino Linotype"/>
          <w:sz w:val="22"/>
          <w:szCs w:val="22"/>
        </w:rPr>
        <w:t xml:space="preserve">En fecha </w:t>
      </w:r>
      <w:r w:rsidRPr="008B1A35">
        <w:rPr>
          <w:rFonts w:ascii="Palatino Linotype" w:eastAsia="Palatino Linotype" w:hAnsi="Palatino Linotype" w:cs="Palatino Linotype"/>
          <w:b/>
          <w:bCs/>
          <w:sz w:val="22"/>
          <w:szCs w:val="22"/>
        </w:rPr>
        <w:t>diecisiete de febrero de dos mil veintiséis</w:t>
      </w:r>
      <w:r w:rsidRPr="008B1A35">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de México y Municipios, se admitió a trámite el recurso de revisión al rubro indicado.</w:t>
      </w:r>
    </w:p>
    <w:p w14:paraId="679DEDF6"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30BED561" w14:textId="77777777" w:rsidR="002369AB" w:rsidRPr="008B1A35" w:rsidRDefault="00282375">
      <w:pPr>
        <w:widowControl w:val="0"/>
        <w:spacing w:line="360" w:lineRule="auto"/>
        <w:ind w:right="49"/>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6. Manifestaciones</w:t>
      </w:r>
      <w:r w:rsidRPr="008B1A35">
        <w:rPr>
          <w:rFonts w:ascii="Palatino Linotype" w:eastAsia="Palatino Linotype" w:hAnsi="Palatino Linotype" w:cs="Palatino Linotype"/>
          <w:sz w:val="22"/>
          <w:szCs w:val="22"/>
        </w:rPr>
        <w:t xml:space="preserve">. Las partes fueron omisas en rendir manifestaciones, como se observa a continuación en la siguiente imagen. </w:t>
      </w:r>
    </w:p>
    <w:p w14:paraId="240CAA01" w14:textId="77777777" w:rsidR="002369AB" w:rsidRPr="008B1A35" w:rsidRDefault="00282375">
      <w:pPr>
        <w:widowControl w:val="0"/>
        <w:spacing w:line="360" w:lineRule="auto"/>
        <w:ind w:right="49"/>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noProof/>
          <w:sz w:val="22"/>
          <w:szCs w:val="22"/>
        </w:rPr>
        <w:drawing>
          <wp:inline distT="0" distB="0" distL="0" distR="0" wp14:anchorId="1B7A3798" wp14:editId="3AB37924">
            <wp:extent cx="5855127" cy="1448481"/>
            <wp:effectExtent l="0" t="0" r="0" b="0"/>
            <wp:docPr id="2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l="1528" r="1052"/>
                    <a:stretch>
                      <a:fillRect/>
                    </a:stretch>
                  </pic:blipFill>
                  <pic:spPr>
                    <a:xfrm>
                      <a:off x="0" y="0"/>
                      <a:ext cx="5855127" cy="1448481"/>
                    </a:xfrm>
                    <a:prstGeom prst="rect">
                      <a:avLst/>
                    </a:prstGeom>
                    <a:ln/>
                  </pic:spPr>
                </pic:pic>
              </a:graphicData>
            </a:graphic>
          </wp:inline>
        </w:drawing>
      </w:r>
    </w:p>
    <w:p w14:paraId="14E2B1F2"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57D152A0"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 xml:space="preserve">7. Cierre de instrucción. </w:t>
      </w:r>
      <w:r w:rsidRPr="008B1A35">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8B1A35">
        <w:rPr>
          <w:rFonts w:ascii="Palatino Linotype" w:eastAsia="Palatino Linotype" w:hAnsi="Palatino Linotype" w:cs="Palatino Linotype"/>
          <w:b/>
          <w:bCs/>
          <w:sz w:val="22"/>
          <w:szCs w:val="22"/>
        </w:rPr>
        <w:t>veintisiete de febrero de dos mil veintiséis</w:t>
      </w:r>
      <w:r w:rsidRPr="008B1A35">
        <w:rPr>
          <w:rFonts w:ascii="Palatino Linotype" w:eastAsia="Palatino Linotype" w:hAnsi="Palatino Linotype" w:cs="Palatino Linotype"/>
          <w:sz w:val="22"/>
          <w:szCs w:val="22"/>
        </w:rPr>
        <w:t xml:space="preserve">, la Comisionada Ponente determinó el cierre de </w:t>
      </w:r>
      <w:r w:rsidRPr="008B1A35">
        <w:rPr>
          <w:rFonts w:ascii="Palatino Linotype" w:eastAsia="Palatino Linotype" w:hAnsi="Palatino Linotype" w:cs="Palatino Linotype"/>
          <w:sz w:val="22"/>
          <w:szCs w:val="22"/>
        </w:rPr>
        <w:lastRenderedPageBreak/>
        <w:t>instrucción en términos de la fracción VI del artículo 185 de la Ley de Transparencia y Acceso a la Información Pública del Estado de México y Municipios.</w:t>
      </w:r>
    </w:p>
    <w:p w14:paraId="145BA96E"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1B7FAA9E"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0BC13815"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0E913873"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742F5DCE" w14:textId="77777777" w:rsidR="002369AB" w:rsidRPr="008B1A35" w:rsidRDefault="00282375">
      <w:pPr>
        <w:widowControl w:val="0"/>
        <w:spacing w:line="360" w:lineRule="auto"/>
        <w:jc w:val="center"/>
        <w:rPr>
          <w:rFonts w:ascii="Palatino Linotype" w:eastAsia="Palatino Linotype" w:hAnsi="Palatino Linotype" w:cs="Palatino Linotype"/>
          <w:b/>
          <w:bCs/>
          <w:sz w:val="22"/>
          <w:szCs w:val="22"/>
        </w:rPr>
      </w:pPr>
      <w:r w:rsidRPr="008B1A35">
        <w:rPr>
          <w:rFonts w:ascii="Palatino Linotype" w:eastAsia="Palatino Linotype" w:hAnsi="Palatino Linotype" w:cs="Palatino Linotype"/>
          <w:b/>
          <w:bCs/>
          <w:sz w:val="22"/>
          <w:szCs w:val="22"/>
        </w:rPr>
        <w:t>II. C O N S I D E R A N D O S</w:t>
      </w:r>
    </w:p>
    <w:p w14:paraId="582E935B" w14:textId="77777777" w:rsidR="002369AB" w:rsidRPr="008B1A35" w:rsidRDefault="002369AB">
      <w:pPr>
        <w:widowControl w:val="0"/>
        <w:pBdr>
          <w:top w:val="nil"/>
          <w:left w:val="nil"/>
          <w:bottom w:val="nil"/>
          <w:right w:val="nil"/>
          <w:between w:val="nil"/>
        </w:pBdr>
        <w:spacing w:line="360" w:lineRule="auto"/>
        <w:ind w:left="1080"/>
        <w:rPr>
          <w:rFonts w:ascii="Palatino Linotype" w:eastAsia="Palatino Linotype" w:hAnsi="Palatino Linotype" w:cs="Palatino Linotype"/>
          <w:b/>
          <w:bCs/>
          <w:sz w:val="22"/>
          <w:szCs w:val="22"/>
        </w:rPr>
      </w:pPr>
    </w:p>
    <w:p w14:paraId="0DD7FD14"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Primero. Competencia.</w:t>
      </w:r>
      <w:r w:rsidRPr="008B1A35">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del Decreto número 198 de la “LXII” Legislatura del Estado de México; 1, 2, fracción II; 13, 29, 36, fracciones I y II; 176, 178, 179, 181 párrafo tercero y 185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321494C6"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5A9C45B9"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 xml:space="preserve">Segundo. Oportunidad y Procedibilidad del Recurso de Revisión. </w:t>
      </w:r>
      <w:r w:rsidRPr="008B1A35">
        <w:rPr>
          <w:rFonts w:ascii="Palatino Linotype" w:eastAsia="Palatino Linotype" w:hAnsi="Palatino Linotype" w:cs="Palatino Linotype"/>
          <w:sz w:val="22"/>
          <w:szCs w:val="22"/>
        </w:rPr>
        <w:t>Por cuanto hace a la oportunidad del recurso de revisión</w:t>
      </w:r>
      <w:r w:rsidRPr="008B1A35">
        <w:rPr>
          <w:rFonts w:ascii="Palatino Linotype" w:eastAsia="Palatino Linotype" w:hAnsi="Palatino Linotype" w:cs="Palatino Linotype"/>
          <w:b/>
          <w:bCs/>
          <w:sz w:val="22"/>
          <w:szCs w:val="22"/>
        </w:rPr>
        <w:t xml:space="preserve"> </w:t>
      </w:r>
      <w:r w:rsidRPr="008B1A35">
        <w:rPr>
          <w:rFonts w:ascii="Palatino Linotype" w:eastAsia="Palatino Linotype" w:hAnsi="Palatino Linotype" w:cs="Palatino Linotype"/>
          <w:sz w:val="22"/>
          <w:szCs w:val="22"/>
        </w:rPr>
        <w:t xml:space="preserve">es necesario considerar lo previsto en los artículos 163, párrafo primero; 166, penúltimo párrafo y 178, párrafo segundo; de la Ley de Transparencia </w:t>
      </w:r>
      <w:r w:rsidRPr="008B1A35">
        <w:rPr>
          <w:rFonts w:ascii="Palatino Linotype" w:eastAsia="Palatino Linotype" w:hAnsi="Palatino Linotype" w:cs="Palatino Linotype"/>
          <w:sz w:val="22"/>
          <w:szCs w:val="22"/>
        </w:rPr>
        <w:lastRenderedPageBreak/>
        <w:t>y Acceso a la Información Pública del Estado de México y Municipios, de cuya interpretación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esta se considera negada; por lo que al solicitante le asiste el derecho para presentar el recurso de revisión en cualquier momento.</w:t>
      </w:r>
    </w:p>
    <w:p w14:paraId="382BA339"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7D219373"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Derivado de lo anterior, se constituye la figura jurídica de la </w:t>
      </w:r>
      <w:r w:rsidRPr="008B1A35">
        <w:rPr>
          <w:rFonts w:ascii="Palatino Linotype" w:eastAsia="Palatino Linotype" w:hAnsi="Palatino Linotype" w:cs="Palatino Linotype"/>
          <w:b/>
          <w:bCs/>
          <w:sz w:val="22"/>
          <w:szCs w:val="22"/>
        </w:rPr>
        <w:t>NEGATIVA FICTA</w:t>
      </w:r>
      <w:r w:rsidRPr="008B1A35">
        <w:rPr>
          <w:rFonts w:ascii="Palatino Linotype" w:eastAsia="Palatino Linotype" w:hAnsi="Palatino Linotype" w:cs="Palatino Linotype"/>
          <w:sz w:val="22"/>
          <w:szCs w:val="22"/>
        </w:rPr>
        <w:t>, cuya esencia consiste en atribuir un efecto negativo al silencio de la autoridad administrativa frente a las instancias y solicitudes que hagan los particulares.</w:t>
      </w:r>
    </w:p>
    <w:p w14:paraId="0C22A980"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28CD5DC1"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De tal manera, en el presente recurso de revisión se actualizó la negativa ficta por parte del </w:t>
      </w:r>
      <w:r w:rsidRPr="008B1A35">
        <w:rPr>
          <w:rFonts w:ascii="Palatino Linotype" w:eastAsia="Palatino Linotype" w:hAnsi="Palatino Linotype" w:cs="Palatino Linotype"/>
          <w:b/>
          <w:bCs/>
          <w:sz w:val="22"/>
          <w:szCs w:val="22"/>
        </w:rPr>
        <w:t>SUJETO OBLIGADO</w:t>
      </w:r>
      <w:r w:rsidRPr="008B1A35">
        <w:rPr>
          <w:rFonts w:ascii="Palatino Linotype" w:eastAsia="Palatino Linotype" w:hAnsi="Palatino Linotype" w:cs="Palatino Linotype"/>
          <w:sz w:val="22"/>
          <w:szCs w:val="22"/>
        </w:rPr>
        <w:t xml:space="preserve"> al no haber respondido a la parte </w:t>
      </w:r>
      <w:r w:rsidRPr="008B1A35">
        <w:rPr>
          <w:rFonts w:ascii="Palatino Linotype" w:eastAsia="Palatino Linotype" w:hAnsi="Palatino Linotype" w:cs="Palatino Linotype"/>
          <w:b/>
          <w:bCs/>
          <w:sz w:val="22"/>
          <w:szCs w:val="22"/>
        </w:rPr>
        <w:t>RECURRENTE</w:t>
      </w:r>
      <w:r w:rsidRPr="008B1A35">
        <w:rPr>
          <w:rFonts w:ascii="Palatino Linotype" w:eastAsia="Palatino Linotype" w:hAnsi="Palatino Linotype" w:cs="Palatino Linotype"/>
          <w:sz w:val="22"/>
          <w:szCs w:val="22"/>
        </w:rPr>
        <w:t xml:space="preserve"> en tiempo y forma en el plazo legal previsto para ello, en este sentido la falta de respuesta implica necesariamente que de modo fáctico se ha negado la información por razones desconocidas, pero que el hecho simple de no responder apareja una forma por omisión de negar el acceso a la información.</w:t>
      </w:r>
    </w:p>
    <w:p w14:paraId="69928F2D"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368B97ED"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Si a ello se le suma lo previsto en el párrafo segundo del artículo 178, párrafo segundo</w:t>
      </w:r>
      <w:r w:rsidRPr="008B1A35">
        <w:rPr>
          <w:rFonts w:ascii="Palatino Linotype" w:eastAsia="Palatino Linotype" w:hAnsi="Palatino Linotype" w:cs="Palatino Linotype"/>
          <w:sz w:val="22"/>
          <w:szCs w:val="22"/>
          <w:vertAlign w:val="superscript"/>
        </w:rPr>
        <w:footnoteReference w:id="1"/>
      </w:r>
      <w:r w:rsidRPr="008B1A35">
        <w:rPr>
          <w:rFonts w:ascii="Palatino Linotype" w:eastAsia="Palatino Linotype" w:hAnsi="Palatino Linotype" w:cs="Palatino Linotype"/>
          <w:sz w:val="22"/>
          <w:szCs w:val="22"/>
        </w:rPr>
        <w:t xml:space="preserve"> de la Ley de Transparencia y Acceso a la Información Pública vigente en la entidad.</w:t>
      </w:r>
    </w:p>
    <w:p w14:paraId="24502C20"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32B996FA"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Lo anterior encuentra sustento en el CRITERIO número 0001-15, aprobado por unanimidad del Pleno del Instituto de Transparencia, Acceso a la Información Pública y Protección de Datos Personales del Estado de México y Municipios, publicado en el Periódico Oficial del Estado de México “Gaceta del Gobierno”, el veintitrés de abril de dos mil quince, que establece:</w:t>
      </w:r>
    </w:p>
    <w:p w14:paraId="14E1B603"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3210459E" w14:textId="77777777" w:rsidR="002369AB" w:rsidRPr="008B1A35" w:rsidRDefault="00282375">
      <w:pPr>
        <w:ind w:left="567" w:right="616"/>
        <w:jc w:val="both"/>
        <w:rPr>
          <w:rFonts w:ascii="Palatino Linotype" w:eastAsia="Palatino Linotype" w:hAnsi="Palatino Linotype" w:cs="Palatino Linotype"/>
          <w:b/>
          <w:bCs/>
          <w:i/>
          <w:iCs/>
          <w:sz w:val="22"/>
          <w:szCs w:val="22"/>
        </w:rPr>
      </w:pPr>
      <w:r w:rsidRPr="008B1A35">
        <w:rPr>
          <w:rFonts w:ascii="Palatino Linotype" w:eastAsia="Palatino Linotype" w:hAnsi="Palatino Linotype" w:cs="Palatino Linotype"/>
          <w:i/>
          <w:iCs/>
          <w:sz w:val="22"/>
          <w:szCs w:val="22"/>
        </w:rPr>
        <w:t>“</w:t>
      </w:r>
      <w:r w:rsidRPr="008B1A35">
        <w:rPr>
          <w:rFonts w:ascii="Palatino Linotype" w:eastAsia="Palatino Linotype" w:hAnsi="Palatino Linotype" w:cs="Palatino Linotype"/>
          <w:b/>
          <w:bCs/>
          <w:i/>
          <w:iCs/>
          <w:sz w:val="22"/>
          <w:szCs w:val="22"/>
        </w:rPr>
        <w:t>CRITERIO 0001-15 NEGATIVA FICTA. PLAZO PARA INTERPONER EL RECURSO DE REVISIÓN TRATÁNDOSE DE</w:t>
      </w:r>
      <w:r w:rsidRPr="008B1A35">
        <w:rPr>
          <w:rFonts w:ascii="Palatino Linotype" w:eastAsia="Palatino Linotype" w:hAnsi="Palatino Linotype" w:cs="Palatino Linotype"/>
          <w:i/>
          <w:iCs/>
          <w:sz w:val="22"/>
          <w:szCs w:val="22"/>
        </w:rPr>
        <w:t>. El artículo 48, párrafo tercero de la Ley de Transparencia y Acceso a la Información Pública del Estado de México y Municipios establece que, cuando no se entregue la respuesta a la solicitud dentro del plazo de 15 días establecidos en el artículo 46 de la Ley de la materia, se entenderá por negada la solicitud y podrá interponerse el recurso correspondiente. Por su parte, el artículo 72 del mismo ordenamiento legal establece el plazo de 15 días para interponer el recurso de revisión a partir del día siguiente al que tuvo conocimiento de la respuesta recaída a su solicitud, sin que se establezca excepción alguna tratándose de una falta de respuesta del sujeto obligado. Así, entonces, resulta evidente que, al no emitirse respuesta dentro del plazo establecido, se genera la ficción legal de una respuesta en sentido negativo; en el entendido de que el plazo para impugnar esa negativa podrá ser en cualquier tiempo y hasta en tanto no se dicte resolución expresa; es decir, mientras no haya respuesta por parte del Sujeto Obligado, momento a partir del cual deberá computarse el plazo previsto en el artículo 72 de la citada Ley.”</w:t>
      </w:r>
    </w:p>
    <w:p w14:paraId="354B7E8A" w14:textId="77777777" w:rsidR="002369AB" w:rsidRPr="008B1A35" w:rsidRDefault="002369AB">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2C423A31" w14:textId="77777777" w:rsidR="002369AB" w:rsidRPr="008B1A35" w:rsidRDefault="00282375">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Además, una vez realizado el análisis del formato de interposición del recurso, se acreditan plenamente de todos y cada uno de los elementos formales exigidos por el artículo 180 de la Ley de Transparencia y Acceso a la Información Pública del Estado de México y Municipios, en atención a que fue presentado mediante el formato visible en </w:t>
      </w:r>
      <w:r w:rsidRPr="008B1A35">
        <w:rPr>
          <w:rFonts w:ascii="Palatino Linotype" w:eastAsia="Palatino Linotype" w:hAnsi="Palatino Linotype" w:cs="Palatino Linotype"/>
          <w:b/>
          <w:bCs/>
          <w:sz w:val="22"/>
          <w:szCs w:val="22"/>
        </w:rPr>
        <w:t>EL</w:t>
      </w:r>
      <w:r w:rsidRPr="008B1A35">
        <w:rPr>
          <w:rFonts w:ascii="Palatino Linotype" w:eastAsia="Palatino Linotype" w:hAnsi="Palatino Linotype" w:cs="Palatino Linotype"/>
          <w:sz w:val="22"/>
          <w:szCs w:val="22"/>
        </w:rPr>
        <w:t xml:space="preserve"> </w:t>
      </w:r>
      <w:r w:rsidRPr="008B1A35">
        <w:rPr>
          <w:rFonts w:ascii="Palatino Linotype" w:eastAsia="Palatino Linotype" w:hAnsi="Palatino Linotype" w:cs="Palatino Linotype"/>
          <w:b/>
          <w:bCs/>
          <w:sz w:val="22"/>
          <w:szCs w:val="22"/>
        </w:rPr>
        <w:t>SAIMEX</w:t>
      </w:r>
      <w:r w:rsidRPr="008B1A35">
        <w:rPr>
          <w:rFonts w:ascii="Palatino Linotype" w:eastAsia="Palatino Linotype" w:hAnsi="Palatino Linotype" w:cs="Palatino Linotype"/>
          <w:sz w:val="22"/>
          <w:szCs w:val="22"/>
        </w:rPr>
        <w:t>.</w:t>
      </w:r>
    </w:p>
    <w:p w14:paraId="03BF3D46" w14:textId="77777777" w:rsidR="002369AB" w:rsidRPr="008B1A35" w:rsidRDefault="002369AB">
      <w:pPr>
        <w:pBdr>
          <w:top w:val="nil"/>
          <w:left w:val="nil"/>
          <w:bottom w:val="nil"/>
          <w:right w:val="nil"/>
          <w:between w:val="nil"/>
        </w:pBdr>
        <w:spacing w:line="360" w:lineRule="auto"/>
        <w:ind w:right="-147"/>
        <w:jc w:val="both"/>
        <w:rPr>
          <w:rFonts w:ascii="Palatino Linotype" w:eastAsia="Palatino Linotype" w:hAnsi="Palatino Linotype" w:cs="Palatino Linotype"/>
          <w:sz w:val="22"/>
          <w:szCs w:val="22"/>
        </w:rPr>
      </w:pPr>
    </w:p>
    <w:p w14:paraId="5A9E673E"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Ahora bien, resulta procedente la interposición del recurso de revisión, según lo aducido por la parte </w:t>
      </w:r>
      <w:r w:rsidRPr="008B1A35">
        <w:rPr>
          <w:rFonts w:ascii="Palatino Linotype" w:eastAsia="Palatino Linotype" w:hAnsi="Palatino Linotype" w:cs="Palatino Linotype"/>
          <w:b/>
          <w:bCs/>
          <w:sz w:val="22"/>
          <w:szCs w:val="22"/>
        </w:rPr>
        <w:t>RECURRENTE</w:t>
      </w:r>
      <w:r w:rsidRPr="008B1A35">
        <w:rPr>
          <w:rFonts w:ascii="Palatino Linotype" w:eastAsia="Palatino Linotype" w:hAnsi="Palatino Linotype" w:cs="Palatino Linotype"/>
          <w:sz w:val="22"/>
          <w:szCs w:val="22"/>
        </w:rPr>
        <w:t>, en términos del artículo 179, fracción VII del ordenamiento legal de la materia, que a la letra dice:</w:t>
      </w:r>
    </w:p>
    <w:p w14:paraId="09EB93F0"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2D970C92" w14:textId="77777777" w:rsidR="002369AB" w:rsidRPr="008B1A35" w:rsidRDefault="00282375">
      <w:pPr>
        <w:ind w:left="567" w:right="616"/>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i/>
          <w:iCs/>
          <w:sz w:val="22"/>
          <w:szCs w:val="22"/>
        </w:rPr>
        <w:t>“</w:t>
      </w:r>
      <w:r w:rsidRPr="008B1A35">
        <w:rPr>
          <w:rFonts w:ascii="Palatino Linotype" w:eastAsia="Palatino Linotype" w:hAnsi="Palatino Linotype" w:cs="Palatino Linotype"/>
          <w:b/>
          <w:bCs/>
          <w:sz w:val="22"/>
          <w:szCs w:val="22"/>
        </w:rPr>
        <w:t>Artículo 179.</w:t>
      </w:r>
      <w:r w:rsidRPr="008B1A35">
        <w:rPr>
          <w:rFonts w:ascii="Palatino Linotype" w:eastAsia="Palatino Linotype" w:hAnsi="Palatino Linotype" w:cs="Palatino Linotype"/>
          <w:i/>
          <w:iCs/>
          <w:sz w:val="22"/>
          <w:szCs w:val="22"/>
        </w:rPr>
        <w:t xml:space="preserve">El recurso de revisión es un medio de protección que la Ley otorga a los particulares, para hacer valer su derecho de acceso a la información pública, y procederá en contra de las siguientes causas: </w:t>
      </w:r>
      <w:r w:rsidRPr="008B1A35">
        <w:rPr>
          <w:rFonts w:ascii="Palatino Linotype" w:eastAsia="Palatino Linotype" w:hAnsi="Palatino Linotype" w:cs="Palatino Linotype"/>
          <w:sz w:val="22"/>
          <w:szCs w:val="22"/>
        </w:rPr>
        <w:t> </w:t>
      </w:r>
    </w:p>
    <w:p w14:paraId="16CA013A" w14:textId="77777777" w:rsidR="002369AB" w:rsidRPr="008B1A35" w:rsidRDefault="00282375">
      <w:pPr>
        <w:ind w:left="567" w:right="616"/>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w:t>
      </w:r>
    </w:p>
    <w:p w14:paraId="5E9DCCC9" w14:textId="77777777" w:rsidR="002369AB" w:rsidRPr="008B1A35" w:rsidRDefault="00282375">
      <w:pPr>
        <w:numPr>
          <w:ilvl w:val="0"/>
          <w:numId w:val="4"/>
        </w:numPr>
        <w:ind w:left="567" w:right="616" w:firstLine="0"/>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i/>
          <w:iCs/>
          <w:sz w:val="22"/>
          <w:szCs w:val="22"/>
        </w:rPr>
        <w:t>La falta de respuesta a una solicitud de acceso a la información…</w:t>
      </w:r>
    </w:p>
    <w:p w14:paraId="66C61621" w14:textId="77777777" w:rsidR="002369AB" w:rsidRPr="008B1A35" w:rsidRDefault="002369AB">
      <w:pPr>
        <w:spacing w:line="360" w:lineRule="auto"/>
        <w:ind w:right="1041"/>
        <w:jc w:val="both"/>
        <w:rPr>
          <w:rFonts w:ascii="Palatino Linotype" w:eastAsia="Palatino Linotype" w:hAnsi="Palatino Linotype" w:cs="Palatino Linotype"/>
          <w:i/>
          <w:iCs/>
          <w:sz w:val="22"/>
          <w:szCs w:val="22"/>
        </w:rPr>
      </w:pPr>
    </w:p>
    <w:p w14:paraId="584BEB65" w14:textId="77777777" w:rsidR="002369AB" w:rsidRPr="008B1A35" w:rsidRDefault="00282375">
      <w:pPr>
        <w:tabs>
          <w:tab w:val="left" w:pos="8647"/>
        </w:tabs>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 xml:space="preserve">Tercero. Materia de la revisión. </w:t>
      </w:r>
      <w:r w:rsidRPr="008B1A35">
        <w:rPr>
          <w:rFonts w:ascii="Palatino Linotype" w:eastAsia="Palatino Linotype" w:hAnsi="Palatino Linotype" w:cs="Palatino Linotype"/>
          <w:sz w:val="22"/>
          <w:szCs w:val="22"/>
        </w:rPr>
        <w:t xml:space="preserve">Este Organismo Garante procede del análisis de los agravios hechos valer por la parte </w:t>
      </w:r>
      <w:r w:rsidRPr="008B1A35">
        <w:rPr>
          <w:rFonts w:ascii="Palatino Linotype" w:eastAsia="Palatino Linotype" w:hAnsi="Palatino Linotype" w:cs="Palatino Linotype"/>
          <w:b/>
          <w:bCs/>
          <w:sz w:val="22"/>
          <w:szCs w:val="22"/>
        </w:rPr>
        <w:t>Recurrente</w:t>
      </w:r>
      <w:r w:rsidRPr="008B1A35">
        <w:rPr>
          <w:rFonts w:ascii="Palatino Linotype" w:eastAsia="Palatino Linotype" w:hAnsi="Palatino Linotype" w:cs="Palatino Linotype"/>
          <w:sz w:val="22"/>
          <w:szCs w:val="22"/>
        </w:rPr>
        <w:t xml:space="preserve">, a fin de determinar si se violenta en perjuicio de este, el derecho de acceso a la información previsto en la Constitución Política de los Estados Unidos Mexicanos y en la Constitución Política del Estado Libre y Soberano de México. </w:t>
      </w:r>
    </w:p>
    <w:p w14:paraId="739261BF" w14:textId="77777777" w:rsidR="002369AB" w:rsidRPr="008B1A35" w:rsidRDefault="002369AB">
      <w:pPr>
        <w:tabs>
          <w:tab w:val="left" w:pos="8647"/>
        </w:tabs>
        <w:spacing w:line="360" w:lineRule="auto"/>
        <w:jc w:val="both"/>
        <w:rPr>
          <w:rFonts w:ascii="Palatino Linotype" w:eastAsia="Palatino Linotype" w:hAnsi="Palatino Linotype" w:cs="Palatino Linotype"/>
          <w:sz w:val="22"/>
          <w:szCs w:val="22"/>
        </w:rPr>
      </w:pPr>
    </w:p>
    <w:p w14:paraId="51BCD758"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 xml:space="preserve">Cuarto. Estudio del asunto. </w:t>
      </w:r>
      <w:r w:rsidRPr="008B1A35">
        <w:rPr>
          <w:rFonts w:ascii="Palatino Linotype" w:eastAsia="Palatino Linotype" w:hAnsi="Palatino Linotype" w:cs="Palatino Linotype"/>
          <w:sz w:val="22"/>
          <w:szCs w:val="22"/>
        </w:rPr>
        <w:t xml:space="preserve">Una vez determinada la vía sobre la que versará el presente recurso, y previa revisión del expediente del recurso de revisión materia de la presente resolución, se advierte que el </w:t>
      </w:r>
      <w:r w:rsidRPr="008B1A35">
        <w:rPr>
          <w:rFonts w:ascii="Palatino Linotype" w:eastAsia="Palatino Linotype" w:hAnsi="Palatino Linotype" w:cs="Palatino Linotype"/>
          <w:b/>
          <w:bCs/>
          <w:sz w:val="22"/>
          <w:szCs w:val="22"/>
        </w:rPr>
        <w:t xml:space="preserve">Sujeto Obligado </w:t>
      </w:r>
      <w:r w:rsidRPr="008B1A35">
        <w:rPr>
          <w:rFonts w:ascii="Palatino Linotype" w:eastAsia="Palatino Linotype" w:hAnsi="Palatino Linotype" w:cs="Palatino Linotype"/>
          <w:sz w:val="22"/>
          <w:szCs w:val="22"/>
        </w:rPr>
        <w:t xml:space="preserve">no dio respuesta a la solicitud de información planteada por la parte </w:t>
      </w:r>
      <w:r w:rsidRPr="008B1A35">
        <w:rPr>
          <w:rFonts w:ascii="Palatino Linotype" w:eastAsia="Palatino Linotype" w:hAnsi="Palatino Linotype" w:cs="Palatino Linotype"/>
          <w:b/>
          <w:bCs/>
          <w:sz w:val="22"/>
          <w:szCs w:val="22"/>
        </w:rPr>
        <w:t>Recurrente</w:t>
      </w:r>
      <w:r w:rsidRPr="008B1A35">
        <w:rPr>
          <w:rFonts w:ascii="Palatino Linotype" w:eastAsia="Palatino Linotype" w:hAnsi="Palatino Linotype" w:cs="Palatino Linotype"/>
          <w:sz w:val="22"/>
          <w:szCs w:val="22"/>
        </w:rPr>
        <w:t xml:space="preserve">, lo que se traduce como la configuración de la </w:t>
      </w:r>
      <w:r w:rsidRPr="008B1A35">
        <w:rPr>
          <w:rFonts w:ascii="Palatino Linotype" w:eastAsia="Palatino Linotype" w:hAnsi="Palatino Linotype" w:cs="Palatino Linotype"/>
          <w:b/>
          <w:bCs/>
          <w:sz w:val="22"/>
          <w:szCs w:val="22"/>
        </w:rPr>
        <w:t>negativa ficta</w:t>
      </w:r>
      <w:r w:rsidRPr="008B1A35">
        <w:rPr>
          <w:rFonts w:ascii="Palatino Linotype" w:eastAsia="Palatino Linotype" w:hAnsi="Palatino Linotype" w:cs="Palatino Linotype"/>
          <w:sz w:val="22"/>
          <w:szCs w:val="22"/>
        </w:rPr>
        <w:t xml:space="preserve">, situación que demuestra la existencia del acto impugnado y procedencia del motivo de inconformidad, que en términos generales consistente en que el </w:t>
      </w:r>
      <w:r w:rsidRPr="008B1A35">
        <w:rPr>
          <w:rFonts w:ascii="Palatino Linotype" w:eastAsia="Palatino Linotype" w:hAnsi="Palatino Linotype" w:cs="Palatino Linotype"/>
          <w:b/>
          <w:bCs/>
          <w:sz w:val="22"/>
          <w:szCs w:val="22"/>
        </w:rPr>
        <w:t>Sujeto Obligado</w:t>
      </w:r>
      <w:r w:rsidRPr="008B1A35">
        <w:rPr>
          <w:rFonts w:ascii="Palatino Linotype" w:eastAsia="Palatino Linotype" w:hAnsi="Palatino Linotype" w:cs="Palatino Linotype"/>
          <w:sz w:val="22"/>
          <w:szCs w:val="22"/>
        </w:rPr>
        <w:t xml:space="preserve"> no emitió respuesta a la solicitud de información, dentro del plazo legal previsto para ello.</w:t>
      </w:r>
    </w:p>
    <w:p w14:paraId="549E27A7"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526425F5"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Previo a exponer los argumentos que justifiquen la afirmación que antecede, es necesario precisar que, del análisis realizado a la solicitud formulada por la parte </w:t>
      </w:r>
      <w:r w:rsidRPr="008B1A35">
        <w:rPr>
          <w:rFonts w:ascii="Palatino Linotype" w:eastAsia="Palatino Linotype" w:hAnsi="Palatino Linotype" w:cs="Palatino Linotype"/>
          <w:b/>
          <w:bCs/>
          <w:sz w:val="22"/>
          <w:szCs w:val="22"/>
        </w:rPr>
        <w:t>Recurrente</w:t>
      </w:r>
      <w:r w:rsidRPr="008B1A35">
        <w:rPr>
          <w:rFonts w:ascii="Palatino Linotype" w:eastAsia="Palatino Linotype" w:hAnsi="Palatino Linotype" w:cs="Palatino Linotype"/>
          <w:sz w:val="22"/>
          <w:szCs w:val="22"/>
        </w:rPr>
        <w:t xml:space="preserve">, se advierte que requirió al </w:t>
      </w:r>
      <w:r w:rsidRPr="008B1A35">
        <w:rPr>
          <w:rFonts w:ascii="Palatino Linotype" w:eastAsia="Palatino Linotype" w:hAnsi="Palatino Linotype" w:cs="Palatino Linotype"/>
          <w:b/>
          <w:bCs/>
          <w:sz w:val="22"/>
          <w:szCs w:val="22"/>
        </w:rPr>
        <w:t>Sujeto Obligado</w:t>
      </w:r>
      <w:r w:rsidRPr="008B1A35">
        <w:rPr>
          <w:rFonts w:ascii="Palatino Linotype" w:eastAsia="Palatino Linotype" w:hAnsi="Palatino Linotype" w:cs="Palatino Linotype"/>
          <w:sz w:val="22"/>
          <w:szCs w:val="22"/>
        </w:rPr>
        <w:t xml:space="preserve"> le proporcionara, información consistente en lo siguiente:</w:t>
      </w:r>
    </w:p>
    <w:p w14:paraId="6710FE3F" w14:textId="77777777" w:rsidR="002369AB" w:rsidRPr="008B1A35" w:rsidRDefault="002369AB">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p>
    <w:p w14:paraId="11F6935A" w14:textId="77777777" w:rsidR="002369AB" w:rsidRPr="008B1A35" w:rsidRDefault="00282375">
      <w:pPr>
        <w:pBdr>
          <w:top w:val="nil"/>
          <w:left w:val="nil"/>
          <w:bottom w:val="nil"/>
          <w:right w:val="nil"/>
          <w:between w:val="nil"/>
        </w:pBdr>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i/>
          <w:iCs/>
          <w:sz w:val="22"/>
          <w:szCs w:val="22"/>
        </w:rPr>
        <w:t xml:space="preserve">“Solicito se informe y se remita copia íntegra, completa y legible del expediente de control, fiscalización, verificación y, en su caso, investigación administrativa que obre o debió obrar en poder de la Contraloría Municipal del H. Ayuntamiento de Tepotzotlán, </w:t>
      </w:r>
      <w:r w:rsidRPr="008B1A35">
        <w:rPr>
          <w:rFonts w:ascii="Palatino Linotype" w:eastAsia="Palatino Linotype" w:hAnsi="Palatino Linotype" w:cs="Palatino Linotype"/>
          <w:i/>
          <w:iCs/>
          <w:sz w:val="22"/>
          <w:szCs w:val="22"/>
        </w:rPr>
        <w:lastRenderedPageBreak/>
        <w:t>derivado de las acciones anunciadas públicamente mediante una manta colocada en el perímetro del Jardín de Niños “Rosa Agazzi”, C.C.T. 15EJN0661P, correspondiente al programa municipal “Por Amor a tu Escuela”, específicamente en lo relativo a la acción denominada “PODA DE ÁRBOLES”, durante los ejercicios 2025 y 2026, incluyendo de manera enunciativa más no limitativa: a) Actuaciones de la Contraloría tendientes a verificar que las acciones anunciadas en la manta correspondan a trabajos efectivamente ejecutados, conforme a los principios de legalidad, veracidad, honradez y rendición de cuentas. b) Informes, auditorías, revisiones, verificaciones físicas o documentales realizadas para constatar la ejecución real de la poda de árboles en el Jardín de Niños “Rosa Agazzi”, C.C.T. 15EJN0661P. c) Resultados de dichas verificaciones, observaciones formuladas y medidas correctivas ordenadas, en su caso. d) Identificación de las áreas municipales responsables de autorizar, ejecutar, supervisar y validar la acción de poda anunciada, así como nombre, cargo y adscripción de los servidores públicos involucrados. e) Análisis de la correspondencia entre la información difundida públicamente en la manta y la ejecución material de los trabajos, precisando si se detectaron inconsistencias, omisiones, ejecución parcial o simulación. f) En su caso, procedimientos de responsabilidad administrativa iniciados, indicando número de expediente, autoridad instructora, conductas imputadas y estatus procesal. g) Acciones emprendidas por la Contraloría ante la posible difusión de información inexacta o engañosa respecto a la poda de árboles en un plantel educativo con población infantil. h) Medidas preventivas o correctivas ordenadas para evitar riesgos a la comunidad escolar derivados de la falta de poda del arbolado perimetral. Asimismo, solicito se informe de manera expresa y fundada: i) Si la Contraloría Municipal tenía conocimiento de que el arbolado del perímetro del Jardín de Niños “Rosa Agazzi”, C.C.T. 15EJN0661P, no fue podado, pese a que la manta anunciaba dicha acción. j) En caso de no haberse iniciado revisión, auditoría o procedimiento alguno, se precise la razón legal de dicha omisión, desde cuándo debió actuar la Contraloría y quién es el servidor público responsable de no haberlo hecho. En caso de inexistencia total o parcial de la información solicitada, indíquese claramente qué autoridad municipal estaba obligada a generarla, bajo qué fundamento legal, desde cuándo, y qué acciones se han tomado para subsanar dicha omisión.” (Sic)</w:t>
      </w:r>
    </w:p>
    <w:p w14:paraId="3B7F9CB7" w14:textId="77777777" w:rsidR="002369AB" w:rsidRPr="008B1A35" w:rsidRDefault="002369AB">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29ABFB16"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Precisado lo anterior, se procede al análisis del presente recurso, así como al contenido íntegro de las actuaciones que obran en el expediente electrónico, para así estar en posibilidad este Organismo Garante de dictar el fallo correspondiente conforme a derecho, tomando en consideración los elementos aportados por las partes y apegándose en todo </w:t>
      </w:r>
      <w:r w:rsidRPr="008B1A35">
        <w:rPr>
          <w:rFonts w:ascii="Palatino Linotype" w:eastAsia="Palatino Linotype" w:hAnsi="Palatino Linotype" w:cs="Palatino Linotype"/>
          <w:sz w:val="22"/>
          <w:szCs w:val="22"/>
        </w:rPr>
        <w:lastRenderedPageBreak/>
        <w:t>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45CC5654"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4B18BE77" w14:textId="77777777" w:rsidR="002369AB" w:rsidRPr="008B1A35" w:rsidRDefault="00282375">
      <w:pPr>
        <w:tabs>
          <w:tab w:val="left" w:pos="709"/>
        </w:tabs>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En primer lugar, es menester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6 apartado A fracciones I, II, III, IV, V, VI y VII que a la letra señalan:</w:t>
      </w:r>
    </w:p>
    <w:p w14:paraId="0F4FAEEE" w14:textId="77777777" w:rsidR="002369AB" w:rsidRPr="008B1A35" w:rsidRDefault="002369AB">
      <w:pPr>
        <w:tabs>
          <w:tab w:val="left" w:pos="709"/>
        </w:tabs>
        <w:spacing w:line="360" w:lineRule="auto"/>
        <w:jc w:val="both"/>
        <w:rPr>
          <w:rFonts w:ascii="Palatino Linotype" w:eastAsia="Palatino Linotype" w:hAnsi="Palatino Linotype" w:cs="Palatino Linotype"/>
          <w:sz w:val="22"/>
          <w:szCs w:val="22"/>
        </w:rPr>
      </w:pPr>
    </w:p>
    <w:p w14:paraId="7EF68FD0" w14:textId="77777777" w:rsidR="002369AB" w:rsidRPr="008B1A35" w:rsidRDefault="00282375">
      <w:pPr>
        <w:tabs>
          <w:tab w:val="left" w:pos="709"/>
        </w:tabs>
        <w:spacing w:line="276" w:lineRule="auto"/>
        <w:ind w:left="567" w:right="851"/>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8B1A35">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14:paraId="53F816F9" w14:textId="77777777" w:rsidR="002369AB" w:rsidRPr="008B1A35" w:rsidRDefault="00282375">
      <w:pPr>
        <w:tabs>
          <w:tab w:val="left" w:pos="709"/>
        </w:tabs>
        <w:spacing w:line="276" w:lineRule="auto"/>
        <w:ind w:left="567" w:right="851"/>
        <w:jc w:val="both"/>
        <w:rPr>
          <w:rFonts w:ascii="Palatino Linotype" w:eastAsia="Palatino Linotype" w:hAnsi="Palatino Linotype" w:cs="Palatino Linotype"/>
          <w:b/>
          <w:bCs/>
          <w:i/>
          <w:iCs/>
          <w:sz w:val="22"/>
          <w:szCs w:val="22"/>
        </w:rPr>
      </w:pPr>
      <w:r w:rsidRPr="008B1A35">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14:paraId="6F962466" w14:textId="77777777" w:rsidR="002369AB" w:rsidRPr="008B1A35" w:rsidRDefault="00282375">
      <w:pPr>
        <w:tabs>
          <w:tab w:val="left" w:pos="709"/>
        </w:tabs>
        <w:spacing w:line="276" w:lineRule="auto"/>
        <w:ind w:left="567" w:right="851"/>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8B1A35">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14:paraId="6DFF4401" w14:textId="77777777" w:rsidR="002369AB" w:rsidRPr="008B1A35" w:rsidRDefault="00282375">
      <w:pPr>
        <w:tabs>
          <w:tab w:val="left" w:pos="709"/>
        </w:tabs>
        <w:spacing w:line="276" w:lineRule="auto"/>
        <w:ind w:left="567" w:right="851"/>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i/>
          <w:iCs/>
          <w:sz w:val="22"/>
          <w:szCs w:val="22"/>
        </w:rPr>
        <w:t>[…]</w:t>
      </w:r>
    </w:p>
    <w:p w14:paraId="74E0CA61" w14:textId="77777777" w:rsidR="002369AB" w:rsidRPr="008B1A35" w:rsidRDefault="00282375">
      <w:pPr>
        <w:spacing w:line="276" w:lineRule="auto"/>
        <w:ind w:left="567" w:right="851"/>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“Artículo 6o.</w:t>
      </w:r>
    </w:p>
    <w:p w14:paraId="6EC0DA5B" w14:textId="77777777" w:rsidR="002369AB" w:rsidRPr="008B1A35" w:rsidRDefault="00282375">
      <w:pPr>
        <w:spacing w:line="276" w:lineRule="auto"/>
        <w:ind w:left="567" w:right="851"/>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i/>
          <w:iCs/>
          <w:sz w:val="22"/>
          <w:szCs w:val="22"/>
        </w:rPr>
        <w:t>[...]</w:t>
      </w:r>
    </w:p>
    <w:p w14:paraId="7785BD48" w14:textId="77777777" w:rsidR="002369AB" w:rsidRPr="008B1A35" w:rsidRDefault="00282375">
      <w:pPr>
        <w:spacing w:line="276" w:lineRule="auto"/>
        <w:ind w:left="567" w:right="851"/>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lastRenderedPageBreak/>
        <w:t xml:space="preserve">A. Para el ejercicio del derecho de acceso a la información, la Federación y </w:t>
      </w:r>
      <w:r w:rsidRPr="008B1A35">
        <w:rPr>
          <w:rFonts w:ascii="Palatino Linotype" w:eastAsia="Palatino Linotype" w:hAnsi="Palatino Linotype" w:cs="Palatino Linotype"/>
          <w:b/>
          <w:bCs/>
          <w:i/>
          <w:iCs/>
          <w:sz w:val="22"/>
          <w:szCs w:val="22"/>
          <w:u w:val="single"/>
        </w:rPr>
        <w:t>las entidades federativas</w:t>
      </w:r>
      <w:r w:rsidRPr="008B1A35">
        <w:rPr>
          <w:rFonts w:ascii="Palatino Linotype" w:eastAsia="Palatino Linotype" w:hAnsi="Palatino Linotype" w:cs="Palatino Linotype"/>
          <w:b/>
          <w:bCs/>
          <w:i/>
          <w:iCs/>
          <w:sz w:val="22"/>
          <w:szCs w:val="22"/>
        </w:rPr>
        <w:t>,</w:t>
      </w:r>
      <w:r w:rsidRPr="008B1A35">
        <w:rPr>
          <w:rFonts w:ascii="Palatino Linotype" w:eastAsia="Palatino Linotype" w:hAnsi="Palatino Linotype" w:cs="Palatino Linotype"/>
          <w:i/>
          <w:iCs/>
          <w:sz w:val="22"/>
          <w:szCs w:val="22"/>
        </w:rPr>
        <w:t xml:space="preserve"> en el ámbito de sus respectivas competencias, se regirán por los siguientes principios y bases:</w:t>
      </w:r>
    </w:p>
    <w:p w14:paraId="60BB6678" w14:textId="77777777" w:rsidR="002369AB" w:rsidRPr="008B1A35" w:rsidRDefault="00282375">
      <w:pPr>
        <w:spacing w:line="276" w:lineRule="auto"/>
        <w:ind w:left="567" w:right="851"/>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I. </w:t>
      </w:r>
      <w:r w:rsidRPr="008B1A35">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8B1A35">
        <w:rPr>
          <w:rFonts w:ascii="Palatino Linotype" w:eastAsia="Palatino Linotype" w:hAnsi="Palatino Linotype" w:cs="Palatino Linotype"/>
          <w:i/>
          <w:iCs/>
          <w:sz w:val="22"/>
          <w:szCs w:val="22"/>
        </w:rPr>
        <w:t xml:space="preserve"> Ejecutivo, Legislativo </w:t>
      </w:r>
      <w:r w:rsidRPr="008B1A35">
        <w:rPr>
          <w:rFonts w:ascii="Palatino Linotype" w:eastAsia="Palatino Linotype" w:hAnsi="Palatino Linotype" w:cs="Palatino Linotype"/>
          <w:b/>
          <w:bCs/>
          <w:i/>
          <w:iCs/>
          <w:sz w:val="22"/>
          <w:szCs w:val="22"/>
          <w:u w:val="single"/>
        </w:rPr>
        <w:t>y Judicial</w:t>
      </w:r>
      <w:r w:rsidRPr="008B1A35">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8B1A35">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8B1A35">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1056F86A" w14:textId="77777777" w:rsidR="002369AB" w:rsidRPr="008B1A35" w:rsidRDefault="00282375">
      <w:pPr>
        <w:spacing w:line="276" w:lineRule="auto"/>
        <w:ind w:left="567" w:right="851"/>
        <w:jc w:val="both"/>
        <w:rPr>
          <w:rFonts w:ascii="Palatino Linotype" w:eastAsia="Palatino Linotype" w:hAnsi="Palatino Linotype" w:cs="Palatino Linotype"/>
          <w:b/>
          <w:bCs/>
          <w:i/>
          <w:iCs/>
          <w:sz w:val="22"/>
          <w:szCs w:val="22"/>
        </w:rPr>
      </w:pPr>
      <w:r w:rsidRPr="008B1A35">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w:t>
      </w:r>
    </w:p>
    <w:p w14:paraId="7384C6C8" w14:textId="77777777" w:rsidR="002369AB" w:rsidRPr="008B1A35" w:rsidRDefault="00282375">
      <w:pPr>
        <w:spacing w:line="276" w:lineRule="auto"/>
        <w:ind w:left="567" w:right="851"/>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III. </w:t>
      </w:r>
      <w:r w:rsidRPr="008B1A35">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8B1A35">
        <w:rPr>
          <w:rFonts w:ascii="Palatino Linotype" w:eastAsia="Palatino Linotype" w:hAnsi="Palatino Linotype" w:cs="Palatino Linotype"/>
          <w:i/>
          <w:iCs/>
          <w:sz w:val="22"/>
          <w:szCs w:val="22"/>
        </w:rPr>
        <w:t xml:space="preserve"> a sus datos personales o a la rectificación de éstos.</w:t>
      </w:r>
    </w:p>
    <w:p w14:paraId="47CAE369" w14:textId="77777777" w:rsidR="002369AB" w:rsidRPr="008B1A35" w:rsidRDefault="00282375">
      <w:pPr>
        <w:spacing w:line="276" w:lineRule="auto"/>
        <w:ind w:left="567" w:right="851"/>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IV.</w:t>
      </w:r>
      <w:r w:rsidRPr="008B1A35">
        <w:rPr>
          <w:rFonts w:ascii="Palatino Linotype" w:eastAsia="Palatino Linotype" w:hAnsi="Palatino Linotype" w:cs="Palatino Linotype"/>
          <w:i/>
          <w:iCs/>
          <w:sz w:val="22"/>
          <w:szCs w:val="22"/>
        </w:rPr>
        <w:t xml:space="preserve"> Se establecerán mecanismos de acceso a la información pública y procedimientos de revisión expeditos que se sustanciarán ante las instancias competentes en los términos que fija esta Constitución y las leyes.</w:t>
      </w:r>
    </w:p>
    <w:p w14:paraId="4D831D9E" w14:textId="77777777" w:rsidR="002369AB" w:rsidRPr="008B1A35" w:rsidRDefault="00282375">
      <w:pPr>
        <w:spacing w:line="276" w:lineRule="auto"/>
        <w:ind w:left="567" w:right="851"/>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V. </w:t>
      </w:r>
      <w:r w:rsidRPr="008B1A35">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3A141482" w14:textId="77777777" w:rsidR="002369AB" w:rsidRPr="008B1A35" w:rsidRDefault="002369AB">
      <w:pPr>
        <w:spacing w:line="276" w:lineRule="auto"/>
        <w:ind w:left="567" w:right="851"/>
        <w:jc w:val="both"/>
        <w:rPr>
          <w:rFonts w:ascii="Palatino Linotype" w:eastAsia="Palatino Linotype" w:hAnsi="Palatino Linotype" w:cs="Palatino Linotype"/>
          <w:b/>
          <w:bCs/>
          <w:i/>
          <w:iCs/>
          <w:sz w:val="22"/>
          <w:szCs w:val="22"/>
        </w:rPr>
      </w:pPr>
    </w:p>
    <w:p w14:paraId="2F639E76" w14:textId="77777777" w:rsidR="002369AB" w:rsidRPr="008B1A35" w:rsidRDefault="002369AB">
      <w:pPr>
        <w:spacing w:line="360" w:lineRule="auto"/>
        <w:ind w:left="567" w:right="851"/>
        <w:jc w:val="both"/>
        <w:rPr>
          <w:rFonts w:ascii="Palatino Linotype" w:eastAsia="Palatino Linotype" w:hAnsi="Palatino Linotype" w:cs="Palatino Linotype"/>
          <w:i/>
          <w:iCs/>
          <w:sz w:val="22"/>
          <w:szCs w:val="22"/>
        </w:rPr>
      </w:pPr>
    </w:p>
    <w:p w14:paraId="1BC2E98A" w14:textId="77777777" w:rsidR="002369AB" w:rsidRPr="008B1A35" w:rsidRDefault="00282375">
      <w:pPr>
        <w:tabs>
          <w:tab w:val="left" w:pos="709"/>
        </w:tabs>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Así, de la interpretación sistémica de los numerales inmersos en el instrumento legal nacional, el derecho de acceso a la información es un derecho del cual goza toda persona sin discriminación alguna, el cual se ejerce ante los Poderes del Estado, entidades, dependencias o cualquiera persona física o moral que reciba y ejerza recursos públicos, siendo pública </w:t>
      </w:r>
      <w:r w:rsidRPr="008B1A35">
        <w:rPr>
          <w:rFonts w:ascii="Palatino Linotype" w:eastAsia="Palatino Linotype" w:hAnsi="Palatino Linotype" w:cs="Palatino Linotype"/>
          <w:sz w:val="22"/>
          <w:szCs w:val="22"/>
        </w:rPr>
        <w:lastRenderedPageBreak/>
        <w:t>toda la información que posean con las excepciones enmarcadas, para lo cual queda demostrado que los Sujetos Obligados deben cumplir con dichos dispositivos legales.</w:t>
      </w:r>
    </w:p>
    <w:p w14:paraId="1F86105A" w14:textId="77777777" w:rsidR="002369AB" w:rsidRPr="008B1A35" w:rsidRDefault="002369AB">
      <w:pPr>
        <w:tabs>
          <w:tab w:val="left" w:pos="709"/>
        </w:tabs>
        <w:spacing w:line="360" w:lineRule="auto"/>
        <w:jc w:val="both"/>
        <w:rPr>
          <w:rFonts w:ascii="Palatino Linotype" w:eastAsia="Palatino Linotype" w:hAnsi="Palatino Linotype" w:cs="Palatino Linotype"/>
          <w:sz w:val="22"/>
          <w:szCs w:val="22"/>
        </w:rPr>
      </w:pPr>
    </w:p>
    <w:p w14:paraId="752E0F87"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En ese orden de ideas, la Ley de Transparencia y Acceso a la Información Pública del Estado de México y Municipios, prevé en su artículo 23, lo siguiente:</w:t>
      </w:r>
    </w:p>
    <w:p w14:paraId="0316AF26"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1849F716" w14:textId="77777777" w:rsidR="002369AB" w:rsidRPr="008B1A35" w:rsidRDefault="00282375">
      <w:pPr>
        <w:tabs>
          <w:tab w:val="left" w:pos="7655"/>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i/>
          <w:iCs/>
          <w:sz w:val="22"/>
          <w:szCs w:val="22"/>
        </w:rPr>
        <w:t>“</w:t>
      </w:r>
      <w:r w:rsidRPr="008B1A35">
        <w:rPr>
          <w:rFonts w:ascii="Palatino Linotype" w:eastAsia="Palatino Linotype" w:hAnsi="Palatino Linotype" w:cs="Palatino Linotype"/>
          <w:b/>
          <w:bCs/>
          <w:i/>
          <w:iCs/>
          <w:sz w:val="22"/>
          <w:szCs w:val="22"/>
        </w:rPr>
        <w:t>Artículo 23. Son sujetos obligados a transparentar y permitir el acceso a su información y proteger los datos personales que obren en su poder</w:t>
      </w:r>
      <w:r w:rsidRPr="008B1A35">
        <w:rPr>
          <w:rFonts w:ascii="Palatino Linotype" w:eastAsia="Palatino Linotype" w:hAnsi="Palatino Linotype" w:cs="Palatino Linotype"/>
          <w:i/>
          <w:iCs/>
          <w:sz w:val="22"/>
          <w:szCs w:val="22"/>
        </w:rPr>
        <w:t>:</w:t>
      </w:r>
    </w:p>
    <w:p w14:paraId="6898B5E6" w14:textId="77777777" w:rsidR="002369AB" w:rsidRPr="008B1A35" w:rsidRDefault="00282375">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B1A35">
        <w:rPr>
          <w:rFonts w:ascii="Palatino Linotype" w:eastAsia="Palatino Linotype" w:hAnsi="Palatino Linotype" w:cs="Palatino Linotype"/>
          <w:b/>
          <w:bCs/>
          <w:i/>
          <w:iCs/>
          <w:sz w:val="22"/>
          <w:szCs w:val="22"/>
        </w:rPr>
        <w:t>I.</w:t>
      </w:r>
      <w:r w:rsidRPr="008B1A35">
        <w:rPr>
          <w:rFonts w:ascii="Palatino Linotype" w:eastAsia="Palatino Linotype" w:hAnsi="Palatino Linotype" w:cs="Palatino Linotype"/>
          <w:i/>
          <w:iCs/>
          <w:sz w:val="22"/>
          <w:szCs w:val="22"/>
        </w:rPr>
        <w:t xml:space="preserve"> El Poder Ejecutivo del Estado de México, las dependencias, organismos auxiliares,</w:t>
      </w:r>
      <w:r w:rsidRPr="008B1A35">
        <w:rPr>
          <w:rFonts w:ascii="Palatino Linotype" w:eastAsia="Palatino Linotype" w:hAnsi="Palatino Linotype" w:cs="Palatino Linotype"/>
          <w:b/>
          <w:bCs/>
          <w:i/>
          <w:iCs/>
          <w:sz w:val="22"/>
          <w:szCs w:val="22"/>
        </w:rPr>
        <w:t xml:space="preserve"> </w:t>
      </w:r>
      <w:r w:rsidRPr="008B1A35">
        <w:rPr>
          <w:rFonts w:ascii="Palatino Linotype" w:eastAsia="Palatino Linotype" w:hAnsi="Palatino Linotype" w:cs="Palatino Linotype"/>
          <w:i/>
          <w:iCs/>
          <w:sz w:val="22"/>
          <w:szCs w:val="22"/>
        </w:rPr>
        <w:t>órganos, entidades, fideicomisos y fondos públicos, así como la Procuraduría General de Justicia;</w:t>
      </w:r>
    </w:p>
    <w:p w14:paraId="45871E28" w14:textId="77777777" w:rsidR="002369AB" w:rsidRPr="008B1A35" w:rsidRDefault="00282375">
      <w:pPr>
        <w:tabs>
          <w:tab w:val="left" w:pos="7655"/>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II.</w:t>
      </w:r>
      <w:r w:rsidRPr="008B1A35">
        <w:rPr>
          <w:rFonts w:ascii="Palatino Linotype" w:eastAsia="Palatino Linotype" w:hAnsi="Palatino Linotype" w:cs="Palatino Linotype"/>
          <w:i/>
          <w:iCs/>
          <w:sz w:val="22"/>
          <w:szCs w:val="22"/>
        </w:rPr>
        <w:t xml:space="preserve"> El Poder Legislativo del Estado, los organismos, órganos y entidades de la Legislatura y sus dependencias;</w:t>
      </w:r>
    </w:p>
    <w:p w14:paraId="6B9CCA0F" w14:textId="77777777" w:rsidR="002369AB" w:rsidRPr="008B1A35" w:rsidRDefault="00282375">
      <w:pPr>
        <w:tabs>
          <w:tab w:val="left" w:pos="7655"/>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III.</w:t>
      </w:r>
      <w:r w:rsidRPr="008B1A35">
        <w:rPr>
          <w:rFonts w:ascii="Palatino Linotype" w:eastAsia="Palatino Linotype" w:hAnsi="Palatino Linotype" w:cs="Palatino Linotype"/>
          <w:i/>
          <w:iCs/>
          <w:sz w:val="22"/>
          <w:szCs w:val="22"/>
        </w:rPr>
        <w:t xml:space="preserve"> El Poder Judicial, sus organismos, órganos y entidades, así como el Consejo de la Judicatura del Estado;</w:t>
      </w:r>
    </w:p>
    <w:p w14:paraId="79008001" w14:textId="77777777" w:rsidR="002369AB" w:rsidRPr="008B1A35" w:rsidRDefault="00282375">
      <w:pPr>
        <w:tabs>
          <w:tab w:val="left" w:pos="7655"/>
        </w:tabs>
        <w:spacing w:line="276" w:lineRule="auto"/>
        <w:ind w:left="567" w:right="616"/>
        <w:jc w:val="both"/>
        <w:rPr>
          <w:rFonts w:ascii="Palatino Linotype" w:eastAsia="Palatino Linotype" w:hAnsi="Palatino Linotype" w:cs="Palatino Linotype"/>
          <w:b/>
          <w:bCs/>
          <w:i/>
          <w:iCs/>
          <w:sz w:val="22"/>
          <w:szCs w:val="22"/>
        </w:rPr>
      </w:pPr>
      <w:r w:rsidRPr="008B1A35">
        <w:rPr>
          <w:rFonts w:ascii="Palatino Linotype" w:eastAsia="Palatino Linotype" w:hAnsi="Palatino Linotype" w:cs="Palatino Linotype"/>
          <w:b/>
          <w:bCs/>
          <w:i/>
          <w:iCs/>
          <w:sz w:val="22"/>
          <w:szCs w:val="22"/>
        </w:rPr>
        <w:t>IV. Los ayuntamientos y las dependencias, organismos, órganos y entidades de la administración municipal;</w:t>
      </w:r>
    </w:p>
    <w:p w14:paraId="233BAF8F" w14:textId="77777777" w:rsidR="002369AB" w:rsidRPr="008B1A35" w:rsidRDefault="00282375">
      <w:pPr>
        <w:tabs>
          <w:tab w:val="left" w:pos="7655"/>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V.</w:t>
      </w:r>
      <w:r w:rsidRPr="008B1A35">
        <w:rPr>
          <w:rFonts w:ascii="Palatino Linotype" w:eastAsia="Palatino Linotype" w:hAnsi="Palatino Linotype" w:cs="Palatino Linotype"/>
          <w:i/>
          <w:iCs/>
          <w:sz w:val="22"/>
          <w:szCs w:val="22"/>
        </w:rPr>
        <w:t xml:space="preserve"> Los órganos autónomos;</w:t>
      </w:r>
    </w:p>
    <w:p w14:paraId="43CACAE7" w14:textId="77777777" w:rsidR="002369AB" w:rsidRPr="008B1A35" w:rsidRDefault="00282375">
      <w:pPr>
        <w:tabs>
          <w:tab w:val="left" w:pos="7655"/>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VI.</w:t>
      </w:r>
      <w:r w:rsidRPr="008B1A35">
        <w:rPr>
          <w:rFonts w:ascii="Palatino Linotype" w:eastAsia="Palatino Linotype" w:hAnsi="Palatino Linotype" w:cs="Palatino Linotype"/>
          <w:i/>
          <w:iCs/>
          <w:sz w:val="22"/>
          <w:szCs w:val="22"/>
        </w:rPr>
        <w:t xml:space="preserve"> Los tribunales administrativos y autoridades jurisdiccionales en materia laboral;</w:t>
      </w:r>
    </w:p>
    <w:p w14:paraId="55D6E479" w14:textId="77777777" w:rsidR="002369AB" w:rsidRPr="008B1A35" w:rsidRDefault="00282375">
      <w:pPr>
        <w:tabs>
          <w:tab w:val="left" w:pos="7655"/>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VII.</w:t>
      </w:r>
      <w:r w:rsidRPr="008B1A35">
        <w:rPr>
          <w:rFonts w:ascii="Palatino Linotype" w:eastAsia="Palatino Linotype" w:hAnsi="Palatino Linotype" w:cs="Palatino Linotype"/>
          <w:i/>
          <w:iCs/>
          <w:sz w:val="22"/>
          <w:szCs w:val="22"/>
        </w:rPr>
        <w:t xml:space="preserve"> Los partidos políticos y agrupaciones políticas, en los términos de las disposiciones aplicables;</w:t>
      </w:r>
    </w:p>
    <w:p w14:paraId="3007C6A8" w14:textId="77777777" w:rsidR="002369AB" w:rsidRPr="008B1A35" w:rsidRDefault="00282375">
      <w:pPr>
        <w:tabs>
          <w:tab w:val="left" w:pos="7655"/>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VIII.</w:t>
      </w:r>
      <w:r w:rsidRPr="008B1A35">
        <w:rPr>
          <w:rFonts w:ascii="Palatino Linotype" w:eastAsia="Palatino Linotype" w:hAnsi="Palatino Linotype" w:cs="Palatino Linotype"/>
          <w:i/>
          <w:iCs/>
          <w:sz w:val="22"/>
          <w:szCs w:val="22"/>
        </w:rPr>
        <w:t xml:space="preserve"> Los fideicomisos y fondos públicos que cuenten con financiamiento público, parcial o total, o con participación de entidades de gobierno;</w:t>
      </w:r>
    </w:p>
    <w:p w14:paraId="355CE68F" w14:textId="77777777" w:rsidR="002369AB" w:rsidRPr="008B1A35" w:rsidRDefault="00282375">
      <w:pPr>
        <w:tabs>
          <w:tab w:val="left" w:pos="7655"/>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IX.</w:t>
      </w:r>
      <w:r w:rsidRPr="008B1A35">
        <w:rPr>
          <w:rFonts w:ascii="Palatino Linotype" w:eastAsia="Palatino Linotype" w:hAnsi="Palatino Linotype" w:cs="Palatino Linotype"/>
          <w:i/>
          <w:iCs/>
          <w:sz w:val="22"/>
          <w:szCs w:val="22"/>
        </w:rPr>
        <w:t xml:space="preserve"> Los sindicatos que reciban y/o ejerzan recursos públicos en el ámbito estatal y municipal;</w:t>
      </w:r>
    </w:p>
    <w:p w14:paraId="4805D962" w14:textId="77777777" w:rsidR="002369AB" w:rsidRPr="008B1A35" w:rsidRDefault="00282375">
      <w:pPr>
        <w:tabs>
          <w:tab w:val="left" w:pos="7655"/>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X.</w:t>
      </w:r>
      <w:r w:rsidRPr="008B1A35">
        <w:rPr>
          <w:rFonts w:ascii="Palatino Linotype" w:eastAsia="Palatino Linotype" w:hAnsi="Palatino Linotype" w:cs="Palatino Linotype"/>
          <w:i/>
          <w:iCs/>
          <w:sz w:val="22"/>
          <w:szCs w:val="22"/>
        </w:rPr>
        <w:t xml:space="preserve"> Cualquier persona física o jurídico colectiva que reciba y ejerza recursos públicos en el ámbito estatal o municipal; y</w:t>
      </w:r>
    </w:p>
    <w:p w14:paraId="237171D9" w14:textId="77777777" w:rsidR="002369AB" w:rsidRPr="008B1A35" w:rsidRDefault="00282375">
      <w:pPr>
        <w:tabs>
          <w:tab w:val="left" w:pos="7655"/>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XI.</w:t>
      </w:r>
      <w:r w:rsidRPr="008B1A35">
        <w:rPr>
          <w:rFonts w:ascii="Palatino Linotype" w:eastAsia="Palatino Linotype" w:hAnsi="Palatino Linotype" w:cs="Palatino Linotype"/>
          <w:i/>
          <w:iCs/>
          <w:sz w:val="22"/>
          <w:szCs w:val="22"/>
        </w:rPr>
        <w:t xml:space="preserve"> Cualquier otra autoridad, entidad, órgano u organismo de los poderes estatal o municipal, que reciba recursos públicos.</w:t>
      </w:r>
    </w:p>
    <w:p w14:paraId="5229653A" w14:textId="77777777" w:rsidR="002369AB" w:rsidRPr="008B1A35" w:rsidRDefault="00282375">
      <w:pPr>
        <w:tabs>
          <w:tab w:val="left" w:pos="7655"/>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i/>
          <w:iCs/>
          <w:sz w:val="22"/>
          <w:szCs w:val="22"/>
        </w:rPr>
        <w:t xml:space="preserve">Los sujetos obligados deberán hacer pública toda aquella información relativa a los montos y las personas a quienes entreguen, por cualquier motivo, recursos públicos, así </w:t>
      </w:r>
      <w:r w:rsidRPr="008B1A35">
        <w:rPr>
          <w:rFonts w:ascii="Palatino Linotype" w:eastAsia="Palatino Linotype" w:hAnsi="Palatino Linotype" w:cs="Palatino Linotype"/>
          <w:i/>
          <w:iCs/>
          <w:sz w:val="22"/>
          <w:szCs w:val="22"/>
        </w:rPr>
        <w:lastRenderedPageBreak/>
        <w:t>como los informes que dichas personas les entreguen sobre el uso y destino de dichos recursos.</w:t>
      </w:r>
    </w:p>
    <w:p w14:paraId="191D4248" w14:textId="77777777" w:rsidR="002369AB" w:rsidRPr="008B1A35" w:rsidRDefault="00282375">
      <w:pPr>
        <w:tabs>
          <w:tab w:val="left" w:pos="7655"/>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Los servidores públicos deberán transparentar sus acciones, así como garantizar y respetar el derecho de acceso a la información pública</w:t>
      </w:r>
      <w:r w:rsidRPr="008B1A35">
        <w:rPr>
          <w:rFonts w:ascii="Palatino Linotype" w:eastAsia="Palatino Linotype" w:hAnsi="Palatino Linotype" w:cs="Palatino Linotype"/>
          <w:i/>
          <w:iCs/>
          <w:sz w:val="22"/>
          <w:szCs w:val="22"/>
        </w:rPr>
        <w:t>.”</w:t>
      </w:r>
    </w:p>
    <w:p w14:paraId="12848054"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003BC487"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Es así que,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 </w:t>
      </w:r>
    </w:p>
    <w:p w14:paraId="0FEF1064"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61547949"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En esa tesitura, este Instituto no omite señalar que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w:t>
      </w:r>
    </w:p>
    <w:p w14:paraId="00BDCD21"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0C732E5A" w14:textId="77777777" w:rsidR="002369AB" w:rsidRPr="008B1A35" w:rsidRDefault="00282375">
      <w:pPr>
        <w:widowControl w:val="0"/>
        <w:tabs>
          <w:tab w:val="left" w:pos="1276"/>
        </w:tabs>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Dicho lo anterior,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y Acceso a la Información Pública del Estado de México y Municipios.</w:t>
      </w:r>
    </w:p>
    <w:p w14:paraId="39C5F17D" w14:textId="77777777" w:rsidR="002369AB" w:rsidRPr="008B1A35" w:rsidRDefault="002369AB">
      <w:pPr>
        <w:widowControl w:val="0"/>
        <w:tabs>
          <w:tab w:val="left" w:pos="1276"/>
        </w:tabs>
        <w:spacing w:line="360" w:lineRule="auto"/>
        <w:jc w:val="both"/>
        <w:rPr>
          <w:rFonts w:ascii="Palatino Linotype" w:eastAsia="Palatino Linotype" w:hAnsi="Palatino Linotype" w:cs="Palatino Linotype"/>
          <w:sz w:val="22"/>
          <w:szCs w:val="22"/>
        </w:rPr>
      </w:pPr>
    </w:p>
    <w:p w14:paraId="79CE0FA0" w14:textId="77777777" w:rsidR="002369AB" w:rsidRPr="008B1A35" w:rsidRDefault="00282375">
      <w:pPr>
        <w:widowControl w:val="0"/>
        <w:tabs>
          <w:tab w:val="left" w:pos="1276"/>
        </w:tabs>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713A7318"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6A5E573A"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Asimismo, el diverso artículo 54 de la Ley de Transparencia y Acceso a la Información Pública del Estado de México y Municipios establece que cuando alguna área de los Sujetos Obligados se negara a colaborar con la Unidad de Transparencia, ésta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4045417C"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3BEDFDBA" w14:textId="77777777" w:rsidR="002369AB" w:rsidRPr="008B1A35" w:rsidRDefault="00282375">
      <w:pPr>
        <w:widowControl w:val="0"/>
        <w:tabs>
          <w:tab w:val="left" w:pos="1276"/>
        </w:tabs>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De igual forma, el diverso artículo 59, fracciones I, II y III de la multicitada legislación Sustantiva, establece que los Servidores Públicos Habilitados deben localizar la información que le solicite la Unidad de Transparencia; proporcionar la misma y apoyarla en lo que ésta le solicite para el cumplimiento de sus funciones.</w:t>
      </w:r>
    </w:p>
    <w:p w14:paraId="342B8D95" w14:textId="77777777" w:rsidR="002369AB" w:rsidRPr="008B1A35" w:rsidRDefault="002369AB">
      <w:pPr>
        <w:widowControl w:val="0"/>
        <w:tabs>
          <w:tab w:val="left" w:pos="1276"/>
        </w:tabs>
        <w:spacing w:line="360" w:lineRule="auto"/>
        <w:jc w:val="both"/>
        <w:rPr>
          <w:rFonts w:ascii="Palatino Linotype" w:eastAsia="Palatino Linotype" w:hAnsi="Palatino Linotype" w:cs="Palatino Linotype"/>
          <w:sz w:val="22"/>
          <w:szCs w:val="22"/>
        </w:rPr>
      </w:pPr>
    </w:p>
    <w:p w14:paraId="05E34BC6"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Finalmente, se destaca que de conformidad con el artículo 163 de la legislación en cita, se desprende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Situación que en la especie no aconteció. </w:t>
      </w:r>
    </w:p>
    <w:p w14:paraId="7BDE98B5"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25955749"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Sirve de sustento a lo anterior, el precepto legal en cita:</w:t>
      </w:r>
    </w:p>
    <w:p w14:paraId="6D4244FD"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225D83F7" w14:textId="77777777" w:rsidR="002369AB" w:rsidRPr="008B1A35" w:rsidRDefault="00282375">
      <w:pPr>
        <w:spacing w:line="276" w:lineRule="auto"/>
        <w:ind w:left="567" w:right="902"/>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i/>
          <w:iCs/>
          <w:sz w:val="22"/>
          <w:szCs w:val="22"/>
        </w:rPr>
        <w:t>“</w:t>
      </w:r>
      <w:r w:rsidRPr="008B1A35">
        <w:rPr>
          <w:rFonts w:ascii="Palatino Linotype" w:eastAsia="Palatino Linotype" w:hAnsi="Palatino Linotype" w:cs="Palatino Linotype"/>
          <w:b/>
          <w:bCs/>
          <w:i/>
          <w:iCs/>
          <w:sz w:val="22"/>
          <w:szCs w:val="22"/>
        </w:rPr>
        <w:t>Artículo 163. La Unidad de Transparencia deberá notificar la respuesta a la solicitud al interesado en el menor tiempo posible, que no podrá exceder de quince días hábiles</w:t>
      </w:r>
      <w:r w:rsidRPr="008B1A35">
        <w:rPr>
          <w:rFonts w:ascii="Palatino Linotype" w:eastAsia="Palatino Linotype" w:hAnsi="Palatino Linotype" w:cs="Palatino Linotype"/>
          <w:i/>
          <w:iCs/>
          <w:sz w:val="22"/>
          <w:szCs w:val="22"/>
        </w:rPr>
        <w:t xml:space="preserve">, contados a partir del día siguiente a la presentación de aquélla. </w:t>
      </w:r>
    </w:p>
    <w:p w14:paraId="789C5D7D" w14:textId="77777777" w:rsidR="002369AB" w:rsidRPr="008B1A35" w:rsidRDefault="00282375">
      <w:pPr>
        <w:spacing w:line="276" w:lineRule="auto"/>
        <w:ind w:left="567" w:right="902"/>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i/>
          <w:iCs/>
          <w:sz w:val="22"/>
          <w:szCs w:val="22"/>
        </w:rPr>
        <w:lastRenderedPageBreak/>
        <w:t>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w:t>
      </w:r>
    </w:p>
    <w:p w14:paraId="21BB7E8C" w14:textId="77777777" w:rsidR="002369AB" w:rsidRPr="008B1A35" w:rsidRDefault="002369AB">
      <w:pPr>
        <w:spacing w:line="360" w:lineRule="auto"/>
        <w:ind w:left="851" w:right="902"/>
        <w:jc w:val="both"/>
        <w:rPr>
          <w:rFonts w:ascii="Palatino Linotype" w:eastAsia="Palatino Linotype" w:hAnsi="Palatino Linotype" w:cs="Palatino Linotype"/>
          <w:i/>
          <w:iCs/>
          <w:sz w:val="22"/>
          <w:szCs w:val="22"/>
        </w:rPr>
      </w:pPr>
    </w:p>
    <w:p w14:paraId="30F27755"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En mérito de lo expuesto, es claro que en este caso el </w:t>
      </w:r>
      <w:r w:rsidRPr="008B1A35">
        <w:rPr>
          <w:rFonts w:ascii="Palatino Linotype" w:eastAsia="Palatino Linotype" w:hAnsi="Palatino Linotype" w:cs="Palatino Linotype"/>
          <w:b/>
          <w:bCs/>
          <w:sz w:val="22"/>
          <w:szCs w:val="22"/>
        </w:rPr>
        <w:t>Sujeto Obligado</w:t>
      </w:r>
      <w:r w:rsidRPr="008B1A35">
        <w:rPr>
          <w:rFonts w:ascii="Palatino Linotype" w:eastAsia="Palatino Linotype" w:hAnsi="Palatino Linotype" w:cs="Palatino Linotype"/>
          <w:sz w:val="22"/>
          <w:szCs w:val="22"/>
        </w:rPr>
        <w:t xml:space="preserve"> incumplió la normativa en la materia, puesto que no dio trámite ni respuesta a la solicitud de acceso a la información, limitando el derecho de acceso a la información, accionado por la persona solicitante.</w:t>
      </w:r>
    </w:p>
    <w:p w14:paraId="60D8D3BD"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793FEE05"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Consecuentemente, este Instituto estima necesario reiterar que, de conformidad con el artículo 150 de la Ley de Transparencia y Acceso a la Información Pública del Estado de México y Municipios,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249B3964"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71F589AA"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Aunado a lo anterior, este Instituto estima dable referir lo que dispone el artículo 172, último párrafo de la Ley de Transparencia y Acceso a la Información Pública del Estado de México y Municipios, el cual refiere que los argumentos para justificar cualquier negativa de acceso a la información deben recaer en </w:t>
      </w:r>
      <w:r w:rsidRPr="008B1A35">
        <w:rPr>
          <w:rFonts w:ascii="Palatino Linotype" w:eastAsia="Palatino Linotype" w:hAnsi="Palatino Linotype" w:cs="Palatino Linotype"/>
          <w:b/>
          <w:bCs/>
          <w:sz w:val="22"/>
          <w:szCs w:val="22"/>
        </w:rPr>
        <w:t>el Sujeto Obligado</w:t>
      </w:r>
      <w:r w:rsidRPr="008B1A35">
        <w:rPr>
          <w:rFonts w:ascii="Palatino Linotype" w:eastAsia="Palatino Linotype" w:hAnsi="Palatino Linotype" w:cs="Palatino Linotype"/>
          <w:sz w:val="22"/>
          <w:szCs w:val="22"/>
        </w:rPr>
        <w:t>; por lo que, en caso de no atender de manera positiva</w:t>
      </w:r>
      <w:r w:rsidRPr="008B1A35">
        <w:rPr>
          <w:rFonts w:ascii="Palatino Linotype" w:eastAsia="Palatino Linotype" w:hAnsi="Palatino Linotype" w:cs="Palatino Linotype"/>
          <w:sz w:val="22"/>
          <w:szCs w:val="22"/>
          <w:vertAlign w:val="superscript"/>
        </w:rPr>
        <w:footnoteReference w:id="2"/>
      </w:r>
      <w:r w:rsidRPr="008B1A35">
        <w:rPr>
          <w:rFonts w:ascii="Palatino Linotype" w:eastAsia="Palatino Linotype" w:hAnsi="Palatino Linotype" w:cs="Palatino Linotype"/>
          <w:sz w:val="22"/>
          <w:szCs w:val="22"/>
        </w:rPr>
        <w:t>, el requerimiento de información deberá manifestarse al respecto.</w:t>
      </w:r>
    </w:p>
    <w:p w14:paraId="73AF44E0"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25F24AF9" w14:textId="77777777" w:rsidR="002369AB" w:rsidRPr="008B1A35" w:rsidRDefault="00282375">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r w:rsidRPr="008B1A35">
        <w:rPr>
          <w:rFonts w:ascii="Palatino Linotype" w:eastAsia="Palatino Linotype" w:hAnsi="Palatino Linotype" w:cs="Palatino Linotype"/>
          <w:b/>
          <w:bCs/>
          <w:sz w:val="22"/>
          <w:szCs w:val="22"/>
        </w:rPr>
        <w:lastRenderedPageBreak/>
        <w:t>De la clasificación de la información.</w:t>
      </w:r>
    </w:p>
    <w:p w14:paraId="5B330733" w14:textId="77777777" w:rsidR="002369AB" w:rsidRPr="008B1A35" w:rsidRDefault="002369AB">
      <w:pPr>
        <w:pBdr>
          <w:top w:val="nil"/>
          <w:left w:val="nil"/>
          <w:bottom w:val="nil"/>
          <w:right w:val="nil"/>
          <w:between w:val="nil"/>
        </w:pBdr>
        <w:spacing w:line="360" w:lineRule="auto"/>
        <w:ind w:left="720"/>
        <w:jc w:val="both"/>
        <w:rPr>
          <w:rFonts w:ascii="Palatino Linotype" w:eastAsia="Palatino Linotype" w:hAnsi="Palatino Linotype" w:cs="Palatino Linotype"/>
          <w:b/>
          <w:bCs/>
          <w:sz w:val="22"/>
          <w:szCs w:val="22"/>
        </w:rPr>
      </w:pPr>
    </w:p>
    <w:p w14:paraId="4FA81A13" w14:textId="77777777" w:rsidR="002369AB" w:rsidRPr="008B1A35" w:rsidRDefault="00282375">
      <w:pPr>
        <w:spacing w:line="360" w:lineRule="auto"/>
        <w:ind w:right="51"/>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Ahora bien, en atención al sentido en que se resuelve el presente medio de impugnación, este Organismo Garante no omite señalar que, el derecho de acceso a la información puede ser restringido de manera excepcional por razones de interés público, en los términos de las causas legítimas y estrictamente necesarias previstas por la Ley, a través de la clasificación de la información como confidencial o reservada para permitir el acceso, como se desprende del artículo 91 de la Ley de la Materia que es del tenor literal siguiente:</w:t>
      </w:r>
    </w:p>
    <w:p w14:paraId="7EFD2FFA" w14:textId="77777777" w:rsidR="002369AB" w:rsidRPr="008B1A35" w:rsidRDefault="002369AB">
      <w:pPr>
        <w:spacing w:line="360" w:lineRule="auto"/>
        <w:ind w:right="51"/>
        <w:jc w:val="both"/>
        <w:rPr>
          <w:rFonts w:ascii="Palatino Linotype" w:eastAsia="Palatino Linotype" w:hAnsi="Palatino Linotype" w:cs="Palatino Linotype"/>
          <w:sz w:val="22"/>
          <w:szCs w:val="22"/>
        </w:rPr>
      </w:pPr>
    </w:p>
    <w:p w14:paraId="52268B4C" w14:textId="77777777" w:rsidR="002369AB" w:rsidRPr="008B1A35" w:rsidRDefault="00282375">
      <w:pPr>
        <w:spacing w:line="276" w:lineRule="auto"/>
        <w:ind w:left="851" w:right="900"/>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“Artículo 91. </w:t>
      </w:r>
      <w:r w:rsidRPr="008B1A35">
        <w:rPr>
          <w:rFonts w:ascii="Palatino Linotype" w:eastAsia="Palatino Linotype" w:hAnsi="Palatino Linotype" w:cs="Palatino Linotype"/>
          <w:i/>
          <w:iCs/>
          <w:sz w:val="22"/>
          <w:szCs w:val="22"/>
        </w:rPr>
        <w:t>El acceso a la información pública será restringido excepcionalmente, cuando ésta sea clasificada como reservada o confidencial.”</w:t>
      </w:r>
    </w:p>
    <w:p w14:paraId="2BBAB7A8" w14:textId="77777777" w:rsidR="002369AB" w:rsidRPr="008B1A35" w:rsidRDefault="002369AB">
      <w:pPr>
        <w:spacing w:line="360" w:lineRule="auto"/>
        <w:ind w:left="851" w:right="900"/>
        <w:jc w:val="both"/>
        <w:rPr>
          <w:rFonts w:ascii="Palatino Linotype" w:eastAsia="Palatino Linotype" w:hAnsi="Palatino Linotype" w:cs="Palatino Linotype"/>
          <w:i/>
          <w:iCs/>
          <w:sz w:val="22"/>
          <w:szCs w:val="22"/>
        </w:rPr>
      </w:pPr>
    </w:p>
    <w:p w14:paraId="352461BA"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Entendiéndose como información reservada aquella que se clasifica de manera temporal cuya divulgación pueda causar algún daño; y como información confidencial,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4FC5F12A"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De manera que, la Ley de Transparencia y Acceso a la Información Pública del Estado de México y Municipios, en sus artículos 140 y 143 prevé los siguientes supuestos para clasificar la información como reservada o confidencial:</w:t>
      </w:r>
    </w:p>
    <w:p w14:paraId="77C1B4DE" w14:textId="77777777" w:rsidR="002369AB" w:rsidRPr="008B1A35" w:rsidRDefault="002369AB">
      <w:pPr>
        <w:tabs>
          <w:tab w:val="left" w:pos="567"/>
        </w:tabs>
        <w:spacing w:line="276" w:lineRule="auto"/>
        <w:ind w:left="567" w:right="616"/>
        <w:jc w:val="both"/>
        <w:rPr>
          <w:rFonts w:ascii="Palatino Linotype" w:eastAsia="Palatino Linotype" w:hAnsi="Palatino Linotype" w:cs="Palatino Linotype"/>
          <w:sz w:val="22"/>
          <w:szCs w:val="22"/>
        </w:rPr>
      </w:pPr>
    </w:p>
    <w:p w14:paraId="5D4495F8"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“Artículo 140. </w:t>
      </w:r>
      <w:r w:rsidRPr="008B1A35">
        <w:rPr>
          <w:rFonts w:ascii="Palatino Linotype" w:eastAsia="Palatino Linotype" w:hAnsi="Palatino Linotype" w:cs="Palatino Linotype"/>
          <w:i/>
          <w:iCs/>
          <w:sz w:val="22"/>
          <w:szCs w:val="22"/>
        </w:rPr>
        <w:t>El acceso a la información pública será restringido excepcionalmente, cuando por razones de interés público, ésta sea clasificada como reservada, conforme a los criterios siguientes:</w:t>
      </w:r>
    </w:p>
    <w:p w14:paraId="2B3A2589"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I. </w:t>
      </w:r>
      <w:r w:rsidRPr="008B1A35">
        <w:rPr>
          <w:rFonts w:ascii="Palatino Linotype" w:eastAsia="Palatino Linotype" w:hAnsi="Palatino Linotype" w:cs="Palatino Linotype"/>
          <w:i/>
          <w:iCs/>
          <w:sz w:val="22"/>
          <w:szCs w:val="22"/>
        </w:rPr>
        <w:t>Comprometa la seguridad pública y cuente con un propósito genuino y un efecto demostrable;</w:t>
      </w:r>
    </w:p>
    <w:p w14:paraId="70BEB575"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lastRenderedPageBreak/>
        <w:t xml:space="preserve">II. </w:t>
      </w:r>
      <w:r w:rsidRPr="008B1A35">
        <w:rPr>
          <w:rFonts w:ascii="Palatino Linotype" w:eastAsia="Palatino Linotype" w:hAnsi="Palatino Linotype" w:cs="Palatino Linotype"/>
          <w:i/>
          <w:iCs/>
          <w:sz w:val="22"/>
          <w:szCs w:val="22"/>
        </w:rPr>
        <w:t>Pueda menoscabar la conducción de las negociaciones y relaciones internacionales;</w:t>
      </w:r>
    </w:p>
    <w:p w14:paraId="5F444EA6"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III. </w:t>
      </w:r>
      <w:r w:rsidRPr="008B1A35">
        <w:rPr>
          <w:rFonts w:ascii="Palatino Linotype" w:eastAsia="Palatino Linotype" w:hAnsi="Palatino Linotype" w:cs="Palatino Linotype"/>
          <w:i/>
          <w:iCs/>
          <w:sz w:val="22"/>
          <w:szCs w:val="22"/>
        </w:rPr>
        <w:t>Se entregue a la Entidad expresamente con ese carácter o el de confidencialidad por otro u otros sujetos de derecho internacional, excepto cuando se trate de violaciones graves de derechos humanos o delitos de lesa humanidad de conformidad con el derecho internacional;</w:t>
      </w:r>
    </w:p>
    <w:p w14:paraId="5A8A2DF7"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IV. </w:t>
      </w:r>
      <w:r w:rsidRPr="008B1A35">
        <w:rPr>
          <w:rFonts w:ascii="Palatino Linotype" w:eastAsia="Palatino Linotype" w:hAnsi="Palatino Linotype" w:cs="Palatino Linotype"/>
          <w:i/>
          <w:iCs/>
          <w:sz w:val="22"/>
          <w:szCs w:val="22"/>
        </w:rPr>
        <w:t>Ponga en riesgo la vida, la seguridad o la salud de una persona física;</w:t>
      </w:r>
    </w:p>
    <w:p w14:paraId="021239A5"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V. </w:t>
      </w:r>
      <w:r w:rsidRPr="008B1A35">
        <w:rPr>
          <w:rFonts w:ascii="Palatino Linotype" w:eastAsia="Palatino Linotype" w:hAnsi="Palatino Linotype" w:cs="Palatino Linotype"/>
          <w:i/>
          <w:iCs/>
          <w:sz w:val="22"/>
          <w:szCs w:val="22"/>
        </w:rPr>
        <w:t>Aquella cuya divulgación obstruya o pueda causar un serio perjuicio a:</w:t>
      </w:r>
    </w:p>
    <w:p w14:paraId="103A2B69"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1. </w:t>
      </w:r>
      <w:r w:rsidRPr="008B1A35">
        <w:rPr>
          <w:rFonts w:ascii="Palatino Linotype" w:eastAsia="Palatino Linotype" w:hAnsi="Palatino Linotype" w:cs="Palatino Linotype"/>
          <w:i/>
          <w:iCs/>
          <w:sz w:val="22"/>
          <w:szCs w:val="22"/>
        </w:rPr>
        <w:t xml:space="preserve">Las actividades de fiscalización, verificación, inspección, comprobación y auditoría sobre el cumplimiento de las Leyes; o </w:t>
      </w:r>
    </w:p>
    <w:p w14:paraId="22A02507"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2. </w:t>
      </w:r>
      <w:r w:rsidRPr="008B1A35">
        <w:rPr>
          <w:rFonts w:ascii="Palatino Linotype" w:eastAsia="Palatino Linotype" w:hAnsi="Palatino Linotype" w:cs="Palatino Linotype"/>
          <w:i/>
          <w:iCs/>
          <w:sz w:val="22"/>
          <w:szCs w:val="22"/>
        </w:rPr>
        <w:t>La recaudación de las contribuciones.</w:t>
      </w:r>
    </w:p>
    <w:p w14:paraId="74B94BC4"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VI. </w:t>
      </w:r>
      <w:r w:rsidRPr="008B1A35">
        <w:rPr>
          <w:rFonts w:ascii="Palatino Linotype" w:eastAsia="Palatino Linotype" w:hAnsi="Palatino Linotype" w:cs="Palatino Linotype"/>
          <w:i/>
          <w:iCs/>
          <w:sz w:val="22"/>
          <w:szCs w:val="22"/>
        </w:rPr>
        <w:t>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039C9053"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VII. </w:t>
      </w:r>
      <w:r w:rsidRPr="008B1A35">
        <w:rPr>
          <w:rFonts w:ascii="Palatino Linotype" w:eastAsia="Palatino Linotype" w:hAnsi="Palatino Linotype" w:cs="Palatino Linotype"/>
          <w:i/>
          <w:iCs/>
          <w:sz w:val="22"/>
          <w:szCs w:val="22"/>
        </w:rPr>
        <w:t>La que contengan las opiniones, recomendaciones o puntos de vista que formen parte del proceso deliberativo de los servidores públicos, hasta en tanto sea adoptada la decisión definitiva, la cual deberá estar documentada;</w:t>
      </w:r>
    </w:p>
    <w:p w14:paraId="285965D8"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VIII</w:t>
      </w:r>
      <w:r w:rsidRPr="008B1A35">
        <w:rPr>
          <w:rFonts w:ascii="Palatino Linotype" w:eastAsia="Palatino Linotype" w:hAnsi="Palatino Linotype" w:cs="Palatino Linotype"/>
          <w:i/>
          <w:iCs/>
          <w:sz w:val="22"/>
          <w:szCs w:val="22"/>
        </w:rPr>
        <w:t>. Vulnere la conducción de los expedientes judiciales o de los procedimientos administrativos seguidos en forma de juicio, en tanto no hayan quedado firmes</w:t>
      </w:r>
      <w:r w:rsidRPr="008B1A35">
        <w:rPr>
          <w:rFonts w:ascii="Palatino Linotype" w:eastAsia="Palatino Linotype" w:hAnsi="Palatino Linotype" w:cs="Palatino Linotype"/>
          <w:b/>
          <w:bCs/>
          <w:i/>
          <w:iCs/>
          <w:sz w:val="22"/>
          <w:szCs w:val="22"/>
        </w:rPr>
        <w:t>;</w:t>
      </w:r>
    </w:p>
    <w:p w14:paraId="08A4D0F6"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IX. </w:t>
      </w:r>
      <w:r w:rsidRPr="008B1A35">
        <w:rPr>
          <w:rFonts w:ascii="Palatino Linotype" w:eastAsia="Palatino Linotype" w:hAnsi="Palatino Linotype" w:cs="Palatino Linotype"/>
          <w:i/>
          <w:iCs/>
          <w:sz w:val="22"/>
          <w:szCs w:val="22"/>
        </w:rPr>
        <w:t>Se encuentre contenida dentro de las investigaciones de hechos que la Ley señale como delitos y se tramiten ante el Ministerio Público;</w:t>
      </w:r>
    </w:p>
    <w:p w14:paraId="35F11767"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X. </w:t>
      </w:r>
      <w:r w:rsidRPr="008B1A35">
        <w:rPr>
          <w:rFonts w:ascii="Palatino Linotype" w:eastAsia="Palatino Linotype" w:hAnsi="Palatino Linotype" w:cs="Palatino Linotype"/>
          <w:i/>
          <w:iCs/>
          <w:sz w:val="22"/>
          <w:szCs w:val="22"/>
        </w:rPr>
        <w:t>El daño que pueda producirse con la publicación de la información sea mayor que el interés público de conocer la información de referencia, siempre que esté directamente relacionado con procesos o procedimientos administrativos o judiciales que no hayan quedado firmes;</w:t>
      </w:r>
    </w:p>
    <w:p w14:paraId="7D1BA06F"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i/>
          <w:iCs/>
          <w:sz w:val="22"/>
          <w:szCs w:val="22"/>
        </w:rPr>
        <w:t>Cuando se trate de información sobre estudios y proyectos cuya divulgación pueda causar daños al interés del Estado o suponga un riesgo para su realización, siempre que esté directamente relacionado con procesos o procedimientos administrativos o judiciales que no hayan quedado firmes; y</w:t>
      </w:r>
    </w:p>
    <w:p w14:paraId="27E6B03F"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lastRenderedPageBreak/>
        <w:t xml:space="preserve">XI. </w:t>
      </w:r>
      <w:r w:rsidRPr="008B1A35">
        <w:rPr>
          <w:rFonts w:ascii="Palatino Linotype" w:eastAsia="Palatino Linotype" w:hAnsi="Palatino Linotype" w:cs="Palatino Linotype"/>
          <w:i/>
          <w:iCs/>
          <w:sz w:val="22"/>
          <w:szCs w:val="22"/>
        </w:rPr>
        <w:t>Las que por disposición expresa de una ley tengan tal carácter, siempre que sean acordes con las bases, principios y disposiciones establecidos en esta Ley y no la contravengan; así como las previstas en tratados internacionales.</w:t>
      </w:r>
    </w:p>
    <w:p w14:paraId="58042658"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i/>
          <w:iCs/>
          <w:sz w:val="22"/>
          <w:szCs w:val="22"/>
        </w:rPr>
        <w:t>(…)</w:t>
      </w:r>
    </w:p>
    <w:p w14:paraId="323FE66C"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Artículo 143. </w:t>
      </w:r>
      <w:r w:rsidRPr="008B1A35">
        <w:rPr>
          <w:rFonts w:ascii="Palatino Linotype" w:eastAsia="Palatino Linotype" w:hAnsi="Palatino Linotype" w:cs="Palatino Linotype"/>
          <w:i/>
          <w:iCs/>
          <w:sz w:val="22"/>
          <w:szCs w:val="22"/>
        </w:rPr>
        <w:t>Para los efectos de esta Ley se considera información confidencial, la clasificada como tal, de manera permanente, por su naturaleza, cuando:</w:t>
      </w:r>
    </w:p>
    <w:p w14:paraId="587778A7"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I. </w:t>
      </w:r>
      <w:r w:rsidRPr="008B1A35">
        <w:rPr>
          <w:rFonts w:ascii="Palatino Linotype" w:eastAsia="Palatino Linotype" w:hAnsi="Palatino Linotype" w:cs="Palatino Linotype"/>
          <w:i/>
          <w:iCs/>
          <w:sz w:val="22"/>
          <w:szCs w:val="22"/>
        </w:rPr>
        <w:t>Se refiera a la información privada y los datos personales concernientes a una persona física o jurídico colectiva identificada o identificable;</w:t>
      </w:r>
    </w:p>
    <w:p w14:paraId="7A5C7A14"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II. </w:t>
      </w:r>
      <w:r w:rsidRPr="008B1A35">
        <w:rPr>
          <w:rFonts w:ascii="Palatino Linotype" w:eastAsia="Palatino Linotype" w:hAnsi="Palatino Linotype" w:cs="Palatino Linotype"/>
          <w:i/>
          <w:iCs/>
          <w:sz w:val="22"/>
          <w:szCs w:val="22"/>
        </w:rPr>
        <w:t>Los secretos bancario, fiduciario, industrial, comercial, fiscal, bursátil y postal, cuya titularidad corresponda a particulares, sujetos de derecho internacional o a sujetos obligados cuando no involucren el ejercicio de recursos públicos; y</w:t>
      </w:r>
    </w:p>
    <w:p w14:paraId="48C4422F"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III. </w:t>
      </w:r>
      <w:r w:rsidRPr="008B1A35">
        <w:rPr>
          <w:rFonts w:ascii="Palatino Linotype" w:eastAsia="Palatino Linotype" w:hAnsi="Palatino Linotype" w:cs="Palatino Linotype"/>
          <w:i/>
          <w:iCs/>
          <w:sz w:val="22"/>
          <w:szCs w:val="22"/>
        </w:rPr>
        <w:t>La que presenten los particulares a los sujetos obligados, de conformidad con lo dispuesto por las leyes o los tratados internacionales.</w:t>
      </w:r>
    </w:p>
    <w:p w14:paraId="2C2BD4B9"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i/>
          <w:iCs/>
          <w:sz w:val="22"/>
          <w:szCs w:val="22"/>
        </w:rPr>
        <w:t>La información confidencial no estará sujeta a temporalidad alguna y sólo podrán tener acceso a ella los titulares de la misma, sus representantes y los servidores públicos facultados para ello.</w:t>
      </w:r>
    </w:p>
    <w:p w14:paraId="288C9A45" w14:textId="77777777" w:rsidR="002369AB" w:rsidRPr="008B1A35" w:rsidRDefault="00282375">
      <w:pPr>
        <w:tabs>
          <w:tab w:val="left" w:pos="567"/>
        </w:tabs>
        <w:spacing w:line="276" w:lineRule="auto"/>
        <w:ind w:left="567" w:right="616"/>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i/>
          <w:iCs/>
          <w:sz w:val="22"/>
          <w:szCs w:val="22"/>
        </w:rPr>
        <w:t>No se considerará confidencial la información que se encuentre en los registros públicos o en fuentes de acceso público, ni tampoco la que sea considerada por la presente ley como información pública.”</w:t>
      </w:r>
    </w:p>
    <w:p w14:paraId="35071379" w14:textId="77777777" w:rsidR="002369AB" w:rsidRPr="008B1A35" w:rsidRDefault="002369AB">
      <w:pPr>
        <w:tabs>
          <w:tab w:val="left" w:pos="567"/>
        </w:tabs>
        <w:spacing w:line="276" w:lineRule="auto"/>
        <w:ind w:left="567" w:right="616"/>
        <w:jc w:val="both"/>
        <w:rPr>
          <w:rFonts w:ascii="Palatino Linotype" w:eastAsia="Palatino Linotype" w:hAnsi="Palatino Linotype" w:cs="Palatino Linotype"/>
          <w:i/>
          <w:iCs/>
          <w:sz w:val="22"/>
          <w:szCs w:val="22"/>
        </w:rPr>
      </w:pPr>
    </w:p>
    <w:p w14:paraId="6B82CA98"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De este modo, conforme al artículo 132 de la Ley en la Materia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13A3078E"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7065A06F" w14:textId="77777777" w:rsidR="002369AB" w:rsidRPr="008B1A35" w:rsidRDefault="00282375">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Se reciba una solicitud de acceso a la información;</w:t>
      </w:r>
    </w:p>
    <w:p w14:paraId="05C8B7F7" w14:textId="77777777" w:rsidR="002369AB" w:rsidRPr="008B1A35" w:rsidRDefault="00282375">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Se determine mediante resolución de autoridad competente; y/o</w:t>
      </w:r>
    </w:p>
    <w:p w14:paraId="0046391B" w14:textId="77777777" w:rsidR="002369AB" w:rsidRPr="008B1A35" w:rsidRDefault="00282375">
      <w:pPr>
        <w:numPr>
          <w:ilvl w:val="0"/>
          <w:numId w:val="2"/>
        </w:numPr>
        <w:tabs>
          <w:tab w:val="left" w:pos="851"/>
        </w:tabs>
        <w:spacing w:line="360" w:lineRule="auto"/>
        <w:ind w:left="567" w:firstLine="0"/>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Se generen versiones públicas para dar cumplimiento a las obligaciones de transparencia previstas en la Ley.</w:t>
      </w:r>
    </w:p>
    <w:p w14:paraId="21096108" w14:textId="77777777" w:rsidR="002369AB" w:rsidRPr="008B1A35" w:rsidRDefault="002369AB">
      <w:pPr>
        <w:tabs>
          <w:tab w:val="left" w:pos="851"/>
        </w:tabs>
        <w:spacing w:line="360" w:lineRule="auto"/>
        <w:ind w:left="567"/>
        <w:jc w:val="both"/>
        <w:rPr>
          <w:rFonts w:ascii="Palatino Linotype" w:eastAsia="Palatino Linotype" w:hAnsi="Palatino Linotype" w:cs="Palatino Linotype"/>
          <w:sz w:val="22"/>
          <w:szCs w:val="22"/>
        </w:rPr>
      </w:pPr>
    </w:p>
    <w:p w14:paraId="7FDC276D" w14:textId="77777777" w:rsidR="002369AB" w:rsidRPr="008B1A35" w:rsidRDefault="00282375">
      <w:pPr>
        <w:spacing w:line="360" w:lineRule="auto"/>
        <w:ind w:right="51"/>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lastRenderedPageBreak/>
        <w:t xml:space="preserve">En ese sentido, es de precisar que la clasificación de la información no se da por el simple mandato de la Ley, sino que es necesario que el </w:t>
      </w:r>
      <w:r w:rsidRPr="008B1A35">
        <w:rPr>
          <w:rFonts w:ascii="Palatino Linotype" w:eastAsia="Palatino Linotype" w:hAnsi="Palatino Linotype" w:cs="Palatino Linotype"/>
          <w:b/>
          <w:bCs/>
          <w:sz w:val="22"/>
          <w:szCs w:val="22"/>
        </w:rPr>
        <w:t>Sujeto Obligado,</w:t>
      </w:r>
      <w:r w:rsidRPr="008B1A35">
        <w:rPr>
          <w:rFonts w:ascii="Palatino Linotype" w:eastAsia="Palatino Linotype" w:hAnsi="Palatino Linotype" w:cs="Palatino Linotype"/>
          <w:sz w:val="22"/>
          <w:szCs w:val="22"/>
        </w:rPr>
        <w:t xml:space="preserve"> cuando clasifique algún documento o información, ya sea todo o en parte, atienda lo dispuesto por la Ley de la materia, siendo que dicha clasificación es un trabajo en conjunto tanto de los Servidores Públicos Habilitados, de las Unidades de Transparencia y del Comité de Transparencia del </w:t>
      </w:r>
      <w:r w:rsidRPr="008B1A35">
        <w:rPr>
          <w:rFonts w:ascii="Palatino Linotype" w:eastAsia="Palatino Linotype" w:hAnsi="Palatino Linotype" w:cs="Palatino Linotype"/>
          <w:b/>
          <w:bCs/>
          <w:sz w:val="22"/>
          <w:szCs w:val="22"/>
        </w:rPr>
        <w:t>Sujeto Obligado</w:t>
      </w:r>
      <w:r w:rsidRPr="008B1A35">
        <w:rPr>
          <w:rFonts w:ascii="Palatino Linotype" w:eastAsia="Palatino Linotype" w:hAnsi="Palatino Linotype" w:cs="Palatino Linotype"/>
          <w:sz w:val="22"/>
          <w:szCs w:val="22"/>
        </w:rPr>
        <w:t>, teniendo el deber los primeros de ellos de presentar ante la Unidad de Transparencia la propuesta de la clasificación de la información, para que luego esta se presente ante al Comité de Transparencia de así resultar procedente el proyecto de clasificación de la información y que finalmente sea este último quien apruebe, modifique o revoque la misma, como se desprende de los artículos 59 fracción V</w:t>
      </w:r>
      <w:r w:rsidRPr="008B1A35">
        <w:rPr>
          <w:rFonts w:ascii="Palatino Linotype" w:eastAsia="Palatino Linotype" w:hAnsi="Palatino Linotype" w:cs="Palatino Linotype"/>
          <w:sz w:val="22"/>
          <w:szCs w:val="22"/>
          <w:vertAlign w:val="superscript"/>
        </w:rPr>
        <w:footnoteReference w:id="3"/>
      </w:r>
      <w:r w:rsidRPr="008B1A35">
        <w:rPr>
          <w:rFonts w:ascii="Palatino Linotype" w:eastAsia="Palatino Linotype" w:hAnsi="Palatino Linotype" w:cs="Palatino Linotype"/>
          <w:sz w:val="22"/>
          <w:szCs w:val="22"/>
        </w:rPr>
        <w:t>, 53 fracción X</w:t>
      </w:r>
      <w:r w:rsidRPr="008B1A35">
        <w:rPr>
          <w:rFonts w:ascii="Palatino Linotype" w:eastAsia="Palatino Linotype" w:hAnsi="Palatino Linotype" w:cs="Palatino Linotype"/>
          <w:sz w:val="22"/>
          <w:szCs w:val="22"/>
          <w:vertAlign w:val="superscript"/>
        </w:rPr>
        <w:footnoteReference w:id="4"/>
      </w:r>
      <w:r w:rsidRPr="008B1A35">
        <w:rPr>
          <w:rFonts w:ascii="Palatino Linotype" w:eastAsia="Palatino Linotype" w:hAnsi="Palatino Linotype" w:cs="Palatino Linotype"/>
          <w:sz w:val="22"/>
          <w:szCs w:val="22"/>
        </w:rPr>
        <w:t>, y 49 fracciones II y VIII</w:t>
      </w:r>
      <w:r w:rsidRPr="008B1A35">
        <w:rPr>
          <w:rFonts w:ascii="Palatino Linotype" w:eastAsia="Palatino Linotype" w:hAnsi="Palatino Linotype" w:cs="Palatino Linotype"/>
          <w:sz w:val="22"/>
          <w:szCs w:val="22"/>
          <w:vertAlign w:val="superscript"/>
        </w:rPr>
        <w:footnoteReference w:id="5"/>
      </w:r>
      <w:r w:rsidRPr="008B1A35">
        <w:rPr>
          <w:rFonts w:ascii="Palatino Linotype" w:eastAsia="Palatino Linotype" w:hAnsi="Palatino Linotype" w:cs="Palatino Linotype"/>
          <w:sz w:val="22"/>
          <w:szCs w:val="22"/>
        </w:rPr>
        <w:t xml:space="preserve"> de la Ley de Transparencia y Acceso a la Información Pública del Estado de México y Municipios.</w:t>
      </w:r>
    </w:p>
    <w:p w14:paraId="3BE17FAD" w14:textId="77777777" w:rsidR="002369AB" w:rsidRPr="008B1A35" w:rsidRDefault="002369AB">
      <w:pPr>
        <w:spacing w:line="360" w:lineRule="auto"/>
        <w:ind w:right="51"/>
        <w:jc w:val="both"/>
        <w:rPr>
          <w:rFonts w:ascii="Palatino Linotype" w:eastAsia="Palatino Linotype" w:hAnsi="Palatino Linotype" w:cs="Palatino Linotype"/>
          <w:sz w:val="22"/>
          <w:szCs w:val="22"/>
        </w:rPr>
      </w:pPr>
    </w:p>
    <w:p w14:paraId="54EBEC15"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Bajo tales consideraciones, este Organismo Garante no omite señalar que, si el </w:t>
      </w:r>
      <w:r w:rsidRPr="008B1A35">
        <w:rPr>
          <w:rFonts w:ascii="Palatino Linotype" w:eastAsia="Palatino Linotype" w:hAnsi="Palatino Linotype" w:cs="Palatino Linotype"/>
          <w:b/>
          <w:bCs/>
          <w:sz w:val="22"/>
          <w:szCs w:val="22"/>
        </w:rPr>
        <w:t>Sujeto Obligado</w:t>
      </w:r>
      <w:r w:rsidRPr="008B1A35">
        <w:rPr>
          <w:rFonts w:ascii="Palatino Linotype" w:eastAsia="Palatino Linotype" w:hAnsi="Palatino Linotype" w:cs="Palatino Linotype"/>
          <w:sz w:val="22"/>
          <w:szCs w:val="22"/>
        </w:rPr>
        <w:t xml:space="preserve"> advierte que la información solicitada contiene </w:t>
      </w:r>
      <w:r w:rsidRPr="008B1A35">
        <w:rPr>
          <w:rFonts w:ascii="Palatino Linotype" w:eastAsia="Palatino Linotype" w:hAnsi="Palatino Linotype" w:cs="Palatino Linotype"/>
          <w:b/>
          <w:bCs/>
          <w:sz w:val="22"/>
          <w:szCs w:val="22"/>
        </w:rPr>
        <w:t>datos personales</w:t>
      </w:r>
      <w:r w:rsidRPr="008B1A35">
        <w:rPr>
          <w:rFonts w:ascii="Palatino Linotype" w:eastAsia="Palatino Linotype" w:hAnsi="Palatino Linotype" w:cs="Palatino Linotype"/>
          <w:sz w:val="22"/>
          <w:szCs w:val="22"/>
        </w:rPr>
        <w:t xml:space="preserve"> que sean susceptibles de ser </w:t>
      </w:r>
      <w:r w:rsidRPr="008B1A35">
        <w:rPr>
          <w:rFonts w:ascii="Palatino Linotype" w:eastAsia="Palatino Linotype" w:hAnsi="Palatino Linotype" w:cs="Palatino Linotype"/>
          <w:b/>
          <w:bCs/>
          <w:sz w:val="22"/>
          <w:szCs w:val="22"/>
        </w:rPr>
        <w:t xml:space="preserve">clasificados como confidenciales, </w:t>
      </w:r>
      <w:r w:rsidRPr="008B1A35">
        <w:rPr>
          <w:rFonts w:ascii="Palatino Linotype" w:eastAsia="Palatino Linotype" w:hAnsi="Palatino Linotype" w:cs="Palatino Linotype"/>
          <w:sz w:val="22"/>
          <w:szCs w:val="22"/>
        </w:rPr>
        <w:t>o, si por otro lado</w:t>
      </w:r>
      <w:r w:rsidRPr="008B1A35">
        <w:rPr>
          <w:rFonts w:ascii="Palatino Linotype" w:eastAsia="Palatino Linotype" w:hAnsi="Palatino Linotype" w:cs="Palatino Linotype"/>
          <w:b/>
          <w:bCs/>
          <w:sz w:val="22"/>
          <w:szCs w:val="22"/>
        </w:rPr>
        <w:t>, por su propia y especial naturaleza,</w:t>
      </w:r>
      <w:r w:rsidRPr="008B1A35">
        <w:rPr>
          <w:rFonts w:ascii="Palatino Linotype" w:eastAsia="Palatino Linotype" w:hAnsi="Palatino Linotype" w:cs="Palatino Linotype"/>
          <w:sz w:val="22"/>
          <w:szCs w:val="22"/>
        </w:rPr>
        <w:t xml:space="preserve"> encuadra en alguno de los </w:t>
      </w:r>
      <w:r w:rsidRPr="008B1A35">
        <w:rPr>
          <w:rFonts w:ascii="Palatino Linotype" w:eastAsia="Palatino Linotype" w:hAnsi="Palatino Linotype" w:cs="Palatino Linotype"/>
          <w:b/>
          <w:bCs/>
          <w:sz w:val="22"/>
          <w:szCs w:val="22"/>
        </w:rPr>
        <w:t>supuestos de reserva o de confidencialidad en su totalidad</w:t>
      </w:r>
      <w:r w:rsidRPr="008B1A35">
        <w:rPr>
          <w:rFonts w:ascii="Palatino Linotype" w:eastAsia="Palatino Linotype" w:hAnsi="Palatino Linotype" w:cs="Palatino Linotype"/>
          <w:sz w:val="22"/>
          <w:szCs w:val="22"/>
        </w:rPr>
        <w:t>, deberá emitir, un</w:t>
      </w:r>
      <w:r w:rsidRPr="008B1A35">
        <w:rPr>
          <w:rFonts w:ascii="Palatino Linotype" w:eastAsia="Palatino Linotype" w:hAnsi="Palatino Linotype" w:cs="Palatino Linotype"/>
          <w:b/>
          <w:bCs/>
          <w:sz w:val="22"/>
          <w:szCs w:val="22"/>
        </w:rPr>
        <w:t xml:space="preserve"> Acuerdo de Clasificación </w:t>
      </w:r>
      <w:r w:rsidRPr="008B1A35">
        <w:rPr>
          <w:rFonts w:ascii="Palatino Linotype" w:eastAsia="Palatino Linotype" w:hAnsi="Palatino Linotype" w:cs="Palatino Linotype"/>
          <w:sz w:val="22"/>
          <w:szCs w:val="22"/>
        </w:rPr>
        <w:t>debidamente fundado y motivado que</w:t>
      </w:r>
      <w:r w:rsidRPr="008B1A35">
        <w:rPr>
          <w:rFonts w:ascii="Palatino Linotype" w:eastAsia="Palatino Linotype" w:hAnsi="Palatino Linotype" w:cs="Palatino Linotype"/>
          <w:b/>
          <w:bCs/>
          <w:sz w:val="22"/>
          <w:szCs w:val="22"/>
        </w:rPr>
        <w:t xml:space="preserve"> sustente la clasificación parcial, a través de la versión pública que emita,</w:t>
      </w:r>
      <w:r w:rsidRPr="008B1A35">
        <w:rPr>
          <w:rFonts w:ascii="Palatino Linotype" w:eastAsia="Palatino Linotype" w:hAnsi="Palatino Linotype" w:cs="Palatino Linotype"/>
          <w:sz w:val="22"/>
          <w:szCs w:val="22"/>
        </w:rPr>
        <w:t xml:space="preserve"> o bien, la restricción total del derecho de acceso a la información.  </w:t>
      </w:r>
    </w:p>
    <w:p w14:paraId="79CCD278"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41B33490" w14:textId="77777777" w:rsidR="002369AB" w:rsidRPr="008B1A35" w:rsidRDefault="00282375">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De la clasificación parcial de la información.</w:t>
      </w:r>
    </w:p>
    <w:p w14:paraId="12F4529B" w14:textId="77777777" w:rsidR="002369AB" w:rsidRPr="008B1A35" w:rsidRDefault="002369AB">
      <w:pPr>
        <w:pBdr>
          <w:top w:val="nil"/>
          <w:left w:val="nil"/>
          <w:bottom w:val="nil"/>
          <w:right w:val="nil"/>
          <w:between w:val="nil"/>
        </w:pBdr>
        <w:spacing w:line="360" w:lineRule="auto"/>
        <w:ind w:left="720"/>
        <w:jc w:val="both"/>
        <w:rPr>
          <w:rFonts w:ascii="Palatino Linotype" w:eastAsia="Palatino Linotype" w:hAnsi="Palatino Linotype" w:cs="Palatino Linotype"/>
          <w:sz w:val="22"/>
          <w:szCs w:val="22"/>
        </w:rPr>
      </w:pPr>
    </w:p>
    <w:p w14:paraId="4211B310"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Respecto de la elaboración de versiones públicas, debe mencionarse que dentro de los datos personales que pudieran contenerse se destacan los datos personales sensibles, los cuales son aquellos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3C0F53D7"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33102F94" w14:textId="77777777" w:rsidR="002369AB" w:rsidRPr="008B1A35" w:rsidRDefault="00282375">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b/>
          <w:bCs/>
          <w:sz w:val="22"/>
          <w:szCs w:val="22"/>
        </w:rPr>
      </w:pPr>
      <w:r w:rsidRPr="008B1A35">
        <w:rPr>
          <w:rFonts w:ascii="Palatino Linotype" w:eastAsia="Palatino Linotype" w:hAnsi="Palatino Linotype" w:cs="Palatino Linotype"/>
          <w:b/>
          <w:bCs/>
          <w:sz w:val="22"/>
          <w:szCs w:val="22"/>
        </w:rPr>
        <w:t>De la clasificación de información como reservada.</w:t>
      </w:r>
    </w:p>
    <w:p w14:paraId="0EFE1DC1" w14:textId="77777777" w:rsidR="002369AB" w:rsidRPr="008B1A35" w:rsidRDefault="002369AB">
      <w:pPr>
        <w:pBdr>
          <w:top w:val="nil"/>
          <w:left w:val="nil"/>
          <w:bottom w:val="nil"/>
          <w:right w:val="nil"/>
          <w:between w:val="nil"/>
        </w:pBdr>
        <w:spacing w:line="360" w:lineRule="auto"/>
        <w:ind w:left="720" w:right="51"/>
        <w:jc w:val="both"/>
        <w:rPr>
          <w:rFonts w:ascii="Palatino Linotype" w:eastAsia="Palatino Linotype" w:hAnsi="Palatino Linotype" w:cs="Palatino Linotype"/>
          <w:b/>
          <w:bCs/>
          <w:sz w:val="22"/>
          <w:szCs w:val="22"/>
        </w:rPr>
      </w:pPr>
    </w:p>
    <w:p w14:paraId="45C8388C" w14:textId="77777777" w:rsidR="002369AB" w:rsidRPr="008B1A35" w:rsidRDefault="00282375">
      <w:pPr>
        <w:spacing w:line="360" w:lineRule="auto"/>
        <w:ind w:right="51"/>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Por cuanto hace a la reserva y ampliación del plazo de reserva de la información, para motivar la clasificación se deberán de señalar las razones, motivos o circunstancias especiales que llevaron al </w:t>
      </w:r>
      <w:r w:rsidRPr="008B1A35">
        <w:rPr>
          <w:rFonts w:ascii="Palatino Linotype" w:eastAsia="Palatino Linotype" w:hAnsi="Palatino Linotype" w:cs="Palatino Linotype"/>
          <w:b/>
          <w:bCs/>
          <w:sz w:val="22"/>
          <w:szCs w:val="22"/>
        </w:rPr>
        <w:t>Sujeto Obligado</w:t>
      </w:r>
      <w:r w:rsidRPr="008B1A35">
        <w:rPr>
          <w:rFonts w:ascii="Palatino Linotype" w:eastAsia="Palatino Linotype" w:hAnsi="Palatino Linotype" w:cs="Palatino Linotype"/>
          <w:sz w:val="22"/>
          <w:szCs w:val="22"/>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D2E3EFB" w14:textId="77777777" w:rsidR="002369AB" w:rsidRPr="008B1A35" w:rsidRDefault="002369AB">
      <w:pPr>
        <w:spacing w:line="360" w:lineRule="auto"/>
        <w:ind w:right="51"/>
        <w:jc w:val="both"/>
        <w:rPr>
          <w:rFonts w:ascii="Palatino Linotype" w:eastAsia="Palatino Linotype" w:hAnsi="Palatino Linotype" w:cs="Palatino Linotype"/>
          <w:sz w:val="22"/>
          <w:szCs w:val="22"/>
        </w:rPr>
      </w:pPr>
    </w:p>
    <w:p w14:paraId="62330124"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lastRenderedPageBreak/>
        <w:t xml:space="preserve">En otras palabras, 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 para lo cual, los Sujetos Obligados deberán considerar que: </w:t>
      </w:r>
    </w:p>
    <w:p w14:paraId="59BFB9BD"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2B456493" w14:textId="77777777" w:rsidR="002369AB" w:rsidRPr="008B1A35" w:rsidRDefault="00282375">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La divulgación de la información representa un </w:t>
      </w:r>
      <w:r w:rsidRPr="008B1A35">
        <w:rPr>
          <w:rFonts w:ascii="Palatino Linotype" w:eastAsia="Palatino Linotype" w:hAnsi="Palatino Linotype" w:cs="Palatino Linotype"/>
          <w:b/>
          <w:bCs/>
          <w:sz w:val="22"/>
          <w:szCs w:val="22"/>
        </w:rPr>
        <w:t>riesgo real, demostrable e identificable del perjuicio significativo al interés público o a la seguridad pública</w:t>
      </w:r>
      <w:r w:rsidRPr="008B1A35">
        <w:rPr>
          <w:rFonts w:ascii="Palatino Linotype" w:eastAsia="Palatino Linotype" w:hAnsi="Palatino Linotype" w:cs="Palatino Linotype"/>
          <w:sz w:val="22"/>
          <w:szCs w:val="22"/>
        </w:rPr>
        <w:t>;</w:t>
      </w:r>
    </w:p>
    <w:p w14:paraId="203017DF" w14:textId="77777777" w:rsidR="002369AB" w:rsidRPr="008B1A35" w:rsidRDefault="00282375">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El riesgo de perjuicio que supondría la divulgación supera el interés público general de que se difunda; y,</w:t>
      </w:r>
    </w:p>
    <w:p w14:paraId="70108FE3" w14:textId="77777777" w:rsidR="002369AB" w:rsidRPr="008B1A35" w:rsidRDefault="00282375">
      <w:pPr>
        <w:numPr>
          <w:ilvl w:val="0"/>
          <w:numId w:val="1"/>
        </w:numPr>
        <w:tabs>
          <w:tab w:val="left" w:pos="851"/>
        </w:tabs>
        <w:spacing w:line="360" w:lineRule="auto"/>
        <w:ind w:left="567" w:firstLine="1"/>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La limitación se adecua al principio de proporcionalidad y representa el medio menos restrictivo disponible para evitar el perjuicio. </w:t>
      </w:r>
    </w:p>
    <w:p w14:paraId="466CFB6A" w14:textId="77777777" w:rsidR="002369AB" w:rsidRPr="008B1A35" w:rsidRDefault="002369AB">
      <w:pPr>
        <w:tabs>
          <w:tab w:val="left" w:pos="851"/>
        </w:tabs>
        <w:spacing w:line="360" w:lineRule="auto"/>
        <w:ind w:left="568"/>
        <w:jc w:val="both"/>
        <w:rPr>
          <w:rFonts w:ascii="Palatino Linotype" w:eastAsia="Palatino Linotype" w:hAnsi="Palatino Linotype" w:cs="Palatino Linotype"/>
          <w:sz w:val="22"/>
          <w:szCs w:val="22"/>
        </w:rPr>
      </w:pPr>
    </w:p>
    <w:p w14:paraId="5DF5E666"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Siendo pertinente aclarar que, la información que se clasifica bajo la premisa de reservada, </w:t>
      </w:r>
      <w:r w:rsidRPr="008B1A35">
        <w:rPr>
          <w:rFonts w:ascii="Palatino Linotype" w:eastAsia="Palatino Linotype" w:hAnsi="Palatino Linotype" w:cs="Palatino Linotype"/>
          <w:b/>
          <w:bCs/>
          <w:sz w:val="22"/>
          <w:szCs w:val="22"/>
        </w:rPr>
        <w:t>no pierde el carácter de pública</w:t>
      </w:r>
      <w:r w:rsidRPr="008B1A35">
        <w:rPr>
          <w:rFonts w:ascii="Palatino Linotype" w:eastAsia="Palatino Linotype" w:hAnsi="Palatino Linotype" w:cs="Palatino Linotype"/>
          <w:sz w:val="22"/>
          <w:szCs w:val="22"/>
        </w:rPr>
        <w:t xml:space="preserve">, sino que </w:t>
      </w:r>
      <w:r w:rsidRPr="008B1A35">
        <w:rPr>
          <w:rFonts w:ascii="Palatino Linotype" w:eastAsia="Palatino Linotype" w:hAnsi="Palatino Linotype" w:cs="Palatino Linotype"/>
          <w:b/>
          <w:bCs/>
          <w:sz w:val="22"/>
          <w:szCs w:val="22"/>
        </w:rPr>
        <w:t>se reserva temporalmente</w:t>
      </w:r>
      <w:r w:rsidRPr="008B1A35">
        <w:rPr>
          <w:rFonts w:ascii="Palatino Linotype" w:eastAsia="Palatino Linotype" w:hAnsi="Palatino Linotype" w:cs="Palatino Linotype"/>
          <w:sz w:val="22"/>
          <w:szCs w:val="22"/>
        </w:rPr>
        <w:t xml:space="preserve"> </w:t>
      </w:r>
      <w:r w:rsidRPr="008B1A35">
        <w:rPr>
          <w:rFonts w:ascii="Palatino Linotype" w:eastAsia="Palatino Linotype" w:hAnsi="Palatino Linotype" w:cs="Palatino Linotype"/>
          <w:b/>
          <w:bCs/>
          <w:sz w:val="22"/>
          <w:szCs w:val="22"/>
        </w:rPr>
        <w:t>del conocimiento público</w:t>
      </w:r>
      <w:r w:rsidRPr="008B1A35">
        <w:rPr>
          <w:rFonts w:ascii="Palatino Linotype" w:eastAsia="Palatino Linotype" w:hAnsi="Palatino Linotype" w:cs="Palatino Linotype"/>
          <w:sz w:val="22"/>
          <w:szCs w:val="22"/>
        </w:rPr>
        <w:t xml:space="preserve">, es decir, que, </w:t>
      </w:r>
      <w:r w:rsidRPr="008B1A35">
        <w:rPr>
          <w:rFonts w:ascii="Palatino Linotype" w:eastAsia="Palatino Linotype" w:hAnsi="Palatino Linotype" w:cs="Palatino Linotype"/>
          <w:b/>
          <w:bCs/>
          <w:sz w:val="22"/>
          <w:szCs w:val="22"/>
        </w:rPr>
        <w:t>por un tiempo determinado</w:t>
      </w:r>
      <w:r w:rsidRPr="008B1A35">
        <w:rPr>
          <w:rFonts w:ascii="Palatino Linotype" w:eastAsia="Palatino Linotype" w:hAnsi="Palatino Linotype" w:cs="Palatino Linotype"/>
          <w:sz w:val="22"/>
          <w:szCs w:val="22"/>
        </w:rPr>
        <w:t>, se conservará y custodiará la información de manera especial, y una vez transcurrido el plazo de reserva, el documento podrá divulgarse.</w:t>
      </w:r>
    </w:p>
    <w:p w14:paraId="3D94CF8A"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10EABDF9"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886AEF5"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01F2BB02" w14:textId="77777777" w:rsidR="002369AB" w:rsidRPr="008B1A35" w:rsidRDefault="00282375">
      <w:pPr>
        <w:numPr>
          <w:ilvl w:val="0"/>
          <w:numId w:val="3"/>
        </w:numPr>
        <w:pBdr>
          <w:top w:val="nil"/>
          <w:left w:val="nil"/>
          <w:bottom w:val="nil"/>
          <w:right w:val="nil"/>
          <w:between w:val="nil"/>
        </w:pBdr>
        <w:tabs>
          <w:tab w:val="left" w:pos="709"/>
        </w:tabs>
        <w:spacing w:line="360" w:lineRule="auto"/>
        <w:jc w:val="both"/>
        <w:rPr>
          <w:rFonts w:ascii="Palatino Linotype" w:eastAsia="Palatino Linotype" w:hAnsi="Palatino Linotype" w:cs="Palatino Linotype"/>
          <w:b/>
          <w:bCs/>
          <w:sz w:val="22"/>
          <w:szCs w:val="22"/>
        </w:rPr>
      </w:pPr>
      <w:r w:rsidRPr="008B1A35">
        <w:rPr>
          <w:rFonts w:ascii="Palatino Linotype" w:eastAsia="Palatino Linotype" w:hAnsi="Palatino Linotype" w:cs="Palatino Linotype"/>
          <w:b/>
          <w:bCs/>
          <w:sz w:val="22"/>
          <w:szCs w:val="22"/>
        </w:rPr>
        <w:t>De la clasificación de la información como totalmente confidencial.</w:t>
      </w:r>
    </w:p>
    <w:p w14:paraId="57FCF293" w14:textId="77777777" w:rsidR="002369AB" w:rsidRPr="008B1A35" w:rsidRDefault="002369AB">
      <w:pPr>
        <w:pBdr>
          <w:top w:val="nil"/>
          <w:left w:val="nil"/>
          <w:bottom w:val="nil"/>
          <w:right w:val="nil"/>
          <w:between w:val="nil"/>
        </w:pBdr>
        <w:tabs>
          <w:tab w:val="left" w:pos="709"/>
        </w:tabs>
        <w:spacing w:line="360" w:lineRule="auto"/>
        <w:ind w:left="720"/>
        <w:jc w:val="both"/>
        <w:rPr>
          <w:rFonts w:ascii="Palatino Linotype" w:eastAsia="Palatino Linotype" w:hAnsi="Palatino Linotype" w:cs="Palatino Linotype"/>
          <w:b/>
          <w:bCs/>
          <w:sz w:val="22"/>
          <w:szCs w:val="22"/>
        </w:rPr>
      </w:pPr>
    </w:p>
    <w:p w14:paraId="1DF2C9BF" w14:textId="77777777" w:rsidR="002369AB" w:rsidRPr="008B1A35" w:rsidRDefault="00282375">
      <w:pPr>
        <w:tabs>
          <w:tab w:val="left" w:pos="709"/>
        </w:tabs>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lastRenderedPageBreak/>
        <w:t>Por cuanto hace a los documentos que por su propia y especial naturaleza sean de carácter privado, encuadran en el supuesto de información confidencial en su totalidad, bajo la premisa de que el derecho de acceso a la información pública tiene como limitante el respeto a la intimidad y a la vida privada de las personas, es por ello que este Instituto debe cuidar que los datos personales que obren en poder de los Sujetos Obligados estén protegidos, quienes deberán adoptar las medidas de seguridad administrativa, física y técnica necesarias para garantizar la integridad, confidencialidad y disponibilidad de los datos personales, considerando además, que conforme al principio de finalidad todo tratamiento de datos personales que efectúen los Sujetos Obligados deberá estar justificado en la Ley, lo anterior en términos de lo dispuesto por los artículos 6, 22, 38 y 43, de la Ley de Protección de Datos Personales en Posesión de los Sujetos Obligados del Estado de México y Municipios.</w:t>
      </w:r>
    </w:p>
    <w:p w14:paraId="063274CA" w14:textId="77777777" w:rsidR="002369AB" w:rsidRPr="008B1A35" w:rsidRDefault="002369AB">
      <w:pPr>
        <w:tabs>
          <w:tab w:val="left" w:pos="709"/>
        </w:tabs>
        <w:spacing w:line="360" w:lineRule="auto"/>
        <w:jc w:val="both"/>
        <w:rPr>
          <w:rFonts w:ascii="Palatino Linotype" w:eastAsia="Palatino Linotype" w:hAnsi="Palatino Linotype" w:cs="Palatino Linotype"/>
          <w:sz w:val="22"/>
          <w:szCs w:val="22"/>
        </w:rPr>
      </w:pPr>
    </w:p>
    <w:p w14:paraId="58B71909" w14:textId="77777777" w:rsidR="002369AB" w:rsidRPr="008B1A35" w:rsidRDefault="00282375">
      <w:pPr>
        <w:spacing w:line="360" w:lineRule="auto"/>
        <w:ind w:right="51"/>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Asimismo, no obsta mencionar que el Acuerdo del Comité de Transparencia mediante el cual se clasifique la información como reservada o confidencial, de manera total o parcial debe emitirse siguiendo las formalidades previstas en la Ley de Transparencia y Acceso a la Información Pública del Estado de México y en los Lineamientos Generales en Materia de Clasificación y Desclasificación de la Información, así como para la Elaboración de Versiones Públicas</w:t>
      </w:r>
      <w:r w:rsidRPr="008B1A35">
        <w:rPr>
          <w:rFonts w:ascii="Palatino Linotype" w:eastAsia="Palatino Linotype" w:hAnsi="Palatino Linotype" w:cs="Palatino Linotype"/>
          <w:sz w:val="22"/>
          <w:szCs w:val="22"/>
          <w:vertAlign w:val="superscript"/>
        </w:rPr>
        <w:footnoteReference w:id="6"/>
      </w:r>
      <w:r w:rsidRPr="008B1A35">
        <w:rPr>
          <w:rFonts w:ascii="Palatino Linotype" w:eastAsia="Palatino Linotype" w:hAnsi="Palatino Linotype" w:cs="Palatino Linotype"/>
          <w:sz w:val="22"/>
          <w:szCs w:val="22"/>
        </w:rPr>
        <w:t>, de igual forma en dicho acuerdo se deben exponer de manera clara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03485C32" w14:textId="77777777" w:rsidR="002369AB" w:rsidRPr="008B1A35" w:rsidRDefault="002369AB">
      <w:pPr>
        <w:spacing w:line="360" w:lineRule="auto"/>
        <w:ind w:right="51"/>
        <w:jc w:val="both"/>
        <w:rPr>
          <w:rFonts w:ascii="Palatino Linotype" w:eastAsia="Palatino Linotype" w:hAnsi="Palatino Linotype" w:cs="Palatino Linotype"/>
          <w:sz w:val="22"/>
          <w:szCs w:val="22"/>
        </w:rPr>
      </w:pPr>
    </w:p>
    <w:p w14:paraId="0A058930" w14:textId="77777777" w:rsidR="002369AB" w:rsidRPr="008B1A35" w:rsidRDefault="00282375">
      <w:pPr>
        <w:numPr>
          <w:ilvl w:val="0"/>
          <w:numId w:val="3"/>
        </w:numPr>
        <w:pBdr>
          <w:top w:val="nil"/>
          <w:left w:val="nil"/>
          <w:bottom w:val="nil"/>
          <w:right w:val="nil"/>
          <w:between w:val="nil"/>
        </w:pBdr>
        <w:spacing w:line="360" w:lineRule="auto"/>
        <w:ind w:right="51"/>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De la declaratoria de inexistencia de la información</w:t>
      </w:r>
      <w:r w:rsidRPr="008B1A35">
        <w:rPr>
          <w:rFonts w:ascii="Palatino Linotype" w:eastAsia="Palatino Linotype" w:hAnsi="Palatino Linotype" w:cs="Palatino Linotype"/>
          <w:sz w:val="22"/>
          <w:szCs w:val="22"/>
        </w:rPr>
        <w:t>.</w:t>
      </w:r>
    </w:p>
    <w:p w14:paraId="116CB190" w14:textId="77777777" w:rsidR="002369AB" w:rsidRPr="008B1A35" w:rsidRDefault="002369AB">
      <w:pPr>
        <w:spacing w:line="360" w:lineRule="auto"/>
        <w:ind w:right="51"/>
        <w:jc w:val="both"/>
        <w:rPr>
          <w:rFonts w:ascii="Palatino Linotype" w:eastAsia="Palatino Linotype" w:hAnsi="Palatino Linotype" w:cs="Palatino Linotype"/>
          <w:sz w:val="22"/>
          <w:szCs w:val="22"/>
        </w:rPr>
      </w:pPr>
    </w:p>
    <w:p w14:paraId="11E4917C"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Por otro lado, estima prudente señalar al </w:t>
      </w:r>
      <w:r w:rsidRPr="008B1A35">
        <w:rPr>
          <w:rFonts w:ascii="Palatino Linotype" w:eastAsia="Palatino Linotype" w:hAnsi="Palatino Linotype" w:cs="Palatino Linotype"/>
          <w:b/>
          <w:bCs/>
          <w:sz w:val="22"/>
          <w:szCs w:val="22"/>
        </w:rPr>
        <w:t>Sujeto Obligado</w:t>
      </w:r>
      <w:r w:rsidRPr="008B1A35">
        <w:rPr>
          <w:rFonts w:ascii="Palatino Linotype" w:eastAsia="Palatino Linotype" w:hAnsi="Palatino Linotype" w:cs="Palatino Linotype"/>
          <w:sz w:val="22"/>
          <w:szCs w:val="22"/>
        </w:rPr>
        <w:t xml:space="preserve"> que, en caso de que la información solicitada, debiera obrar en sus archivos y no cuente con ella, deberá entregar el Acuerdo del Comité de Transparencia, en donde conste la declaratoria de inexistencia de la misma.</w:t>
      </w:r>
    </w:p>
    <w:p w14:paraId="08AE04C6"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16F9DD09"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Siendo importante resaltar que los artículos 18 y 19 de la Ley de Transparencia y Acceso a la Información Pública del Estado de México y Municipios establecen que los Sujetos Obligados deben documentar todo acto que derive del ejercicio de sus facultades, competencias o funciones y que se presume que la información debe existir si se refiere a dichas facultades, competencias y/o funciones.</w:t>
      </w:r>
    </w:p>
    <w:p w14:paraId="0AA16DD7"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6DFF787A"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En tal caso, la declaratoria a que se ha hecho referencia deberá realizarse, conforme a lo dispuesto en los artículos 49, fracciones II y XIII, 169 y 170 de la Ley de Transparencia y Acceso a la Información Pública del Estado de México y Municipios, que establecen la forma en que los Sujetos Obligados deben dar curso a las Declaratorias de Inexistencia.</w:t>
      </w:r>
    </w:p>
    <w:p w14:paraId="7CBDDEAF"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1B14D9A3"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Resulta aplicable el criterio de interpretación en el orden administrativo número 0008-19 emitido por Acuerdo del Pleno del Instituto de Transparencia y Acceso a la Información Pública del Estado de México y Municipios, que a la letra dice:</w:t>
      </w:r>
    </w:p>
    <w:p w14:paraId="09EDF1A6"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085C1FF6" w14:textId="77777777" w:rsidR="002369AB" w:rsidRPr="008B1A35" w:rsidRDefault="00282375">
      <w:pPr>
        <w:spacing w:line="276" w:lineRule="auto"/>
        <w:ind w:left="567" w:right="902"/>
        <w:jc w:val="both"/>
        <w:rPr>
          <w:rFonts w:ascii="Palatino Linotype" w:eastAsia="Palatino Linotype" w:hAnsi="Palatino Linotype" w:cs="Palatino Linotype"/>
          <w:i/>
          <w:iCs/>
          <w:sz w:val="22"/>
          <w:szCs w:val="22"/>
        </w:rPr>
      </w:pPr>
      <w:r w:rsidRPr="008B1A35">
        <w:rPr>
          <w:rFonts w:ascii="Palatino Linotype" w:eastAsia="Palatino Linotype" w:hAnsi="Palatino Linotype" w:cs="Palatino Linotype"/>
          <w:b/>
          <w:bCs/>
          <w:i/>
          <w:iCs/>
          <w:sz w:val="22"/>
          <w:szCs w:val="22"/>
        </w:rPr>
        <w:t xml:space="preserve">“INEXISTENCIA DE LA INFORMACIÓN. SUPUESTOS PARA EMITIR LA RESOLUCIÓN DE LA. </w:t>
      </w:r>
      <w:r w:rsidRPr="008B1A35">
        <w:rPr>
          <w:rFonts w:ascii="Palatino Linotype" w:eastAsia="Palatino Linotype" w:hAnsi="Palatino Linotype" w:cs="Palatino Linotype"/>
          <w:i/>
          <w:iCs/>
          <w:sz w:val="22"/>
          <w:szCs w:val="22"/>
        </w:rPr>
        <w:t xml:space="preserve">De conformidad con los artículos 19, párrafo tercero y 170 de la Ley de Transparencia y Acceso a la Información Pública del Estado de México y Municipios, el Comité de Transparencia deberá emitir un acuerdo de inexistencia </w:t>
      </w:r>
      <w:r w:rsidRPr="008B1A35">
        <w:rPr>
          <w:rFonts w:ascii="Palatino Linotype" w:eastAsia="Palatino Linotype" w:hAnsi="Palatino Linotype" w:cs="Palatino Linotype"/>
          <w:i/>
          <w:iCs/>
          <w:sz w:val="22"/>
          <w:szCs w:val="22"/>
        </w:rPr>
        <w:lastRenderedPageBreak/>
        <w:t>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p>
    <w:p w14:paraId="5142CBC0" w14:textId="77777777" w:rsidR="002369AB" w:rsidRPr="008B1A35" w:rsidRDefault="002369AB">
      <w:pPr>
        <w:spacing w:line="360" w:lineRule="auto"/>
        <w:ind w:left="851" w:right="902"/>
        <w:jc w:val="both"/>
        <w:rPr>
          <w:rFonts w:ascii="Palatino Linotype" w:eastAsia="Palatino Linotype" w:hAnsi="Palatino Linotype" w:cs="Palatino Linotype"/>
          <w:i/>
          <w:iCs/>
          <w:sz w:val="22"/>
          <w:szCs w:val="22"/>
        </w:rPr>
      </w:pPr>
    </w:p>
    <w:p w14:paraId="0A8F651D"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 xml:space="preserve">En mérito de todo lo expuesto, ante lo </w:t>
      </w:r>
      <w:r w:rsidRPr="008B1A35">
        <w:rPr>
          <w:rFonts w:ascii="Palatino Linotype" w:eastAsia="Palatino Linotype" w:hAnsi="Palatino Linotype" w:cs="Palatino Linotype"/>
          <w:b/>
          <w:bCs/>
          <w:sz w:val="22"/>
          <w:szCs w:val="22"/>
        </w:rPr>
        <w:t>FUNDADO</w:t>
      </w:r>
      <w:r w:rsidRPr="008B1A35">
        <w:rPr>
          <w:rFonts w:ascii="Palatino Linotype" w:eastAsia="Palatino Linotype" w:hAnsi="Palatino Linotype" w:cs="Palatino Linotype"/>
          <w:sz w:val="22"/>
          <w:szCs w:val="22"/>
        </w:rPr>
        <w:t xml:space="preserve"> de las razones o motivos de inconformidad hechos valer por la parte Recurrente, este Instituto estima que lo dable es </w:t>
      </w:r>
      <w:r w:rsidRPr="008B1A35">
        <w:rPr>
          <w:rFonts w:ascii="Palatino Linotype" w:eastAsia="Palatino Linotype" w:hAnsi="Palatino Linotype" w:cs="Palatino Linotype"/>
          <w:b/>
          <w:bCs/>
          <w:sz w:val="22"/>
          <w:szCs w:val="22"/>
        </w:rPr>
        <w:t>ORDENAR</w:t>
      </w:r>
      <w:r w:rsidRPr="008B1A35">
        <w:rPr>
          <w:rFonts w:ascii="Palatino Linotype" w:eastAsia="Palatino Linotype" w:hAnsi="Palatino Linotype" w:cs="Palatino Linotype"/>
          <w:sz w:val="22"/>
          <w:szCs w:val="22"/>
        </w:rPr>
        <w:t xml:space="preserve"> al </w:t>
      </w:r>
      <w:r w:rsidRPr="008B1A35">
        <w:rPr>
          <w:rFonts w:ascii="Palatino Linotype" w:eastAsia="Palatino Linotype" w:hAnsi="Palatino Linotype" w:cs="Palatino Linotype"/>
          <w:b/>
          <w:bCs/>
          <w:sz w:val="22"/>
          <w:szCs w:val="22"/>
        </w:rPr>
        <w:t>Sujeto Obligado</w:t>
      </w:r>
      <w:r w:rsidRPr="008B1A35">
        <w:rPr>
          <w:rFonts w:ascii="Palatino Linotype" w:eastAsia="Palatino Linotype" w:hAnsi="Palatino Linotype" w:cs="Palatino Linotype"/>
          <w:sz w:val="22"/>
          <w:szCs w:val="22"/>
        </w:rPr>
        <w:t xml:space="preserve"> dé respuesta a la solicitud de acceso a la información, atendiendo lo señalado en el presente Considerando.</w:t>
      </w:r>
    </w:p>
    <w:p w14:paraId="3A26AD47"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78D248EB" w14:textId="77777777" w:rsidR="002369AB" w:rsidRPr="008B1A35" w:rsidRDefault="00282375">
      <w:pPr>
        <w:spacing w:line="360" w:lineRule="auto"/>
        <w:ind w:right="49"/>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sz w:val="22"/>
          <w:szCs w:val="22"/>
        </w:rPr>
        <w:t>Finalmente, es de señalar que, como ya se mencionó el</w:t>
      </w:r>
      <w:r w:rsidRPr="008B1A35">
        <w:rPr>
          <w:rFonts w:ascii="Palatino Linotype" w:eastAsia="Palatino Linotype" w:hAnsi="Palatino Linotype" w:cs="Palatino Linotype"/>
          <w:b/>
          <w:bCs/>
          <w:sz w:val="22"/>
          <w:szCs w:val="22"/>
        </w:rPr>
        <w:t xml:space="preserve"> Sujeto Obligado</w:t>
      </w:r>
      <w:r w:rsidRPr="008B1A35">
        <w:rPr>
          <w:rFonts w:ascii="Palatino Linotype" w:eastAsia="Palatino Linotype" w:hAnsi="Palatino Linotype" w:cs="Palatino Linotype"/>
          <w:sz w:val="22"/>
          <w:szCs w:val="22"/>
        </w:rPr>
        <w:t>, omitió proporcionar la respuesta a la solicitud de acceso a la información pública, en el término contemplado en el ya citado artículo 163 de la Ley de la materia, razón por la que se ordena dar vista</w:t>
      </w:r>
      <w:r w:rsidRPr="008B1A35">
        <w:rPr>
          <w:rFonts w:ascii="Palatino Linotype" w:eastAsia="Palatino Linotype" w:hAnsi="Palatino Linotype" w:cs="Palatino Linotype"/>
          <w:b/>
          <w:bCs/>
          <w:sz w:val="22"/>
          <w:szCs w:val="22"/>
        </w:rPr>
        <w:t xml:space="preserve"> </w:t>
      </w:r>
      <w:r w:rsidRPr="008B1A35">
        <w:rPr>
          <w:rFonts w:ascii="Palatino Linotype" w:eastAsia="Palatino Linotype" w:hAnsi="Palatino Linotype" w:cs="Palatino Linotype"/>
          <w:sz w:val="22"/>
          <w:szCs w:val="22"/>
        </w:rPr>
        <w:t>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w:t>
      </w:r>
    </w:p>
    <w:p w14:paraId="36444E31" w14:textId="77777777" w:rsidR="002369AB" w:rsidRPr="008B1A35" w:rsidRDefault="002369AB">
      <w:pPr>
        <w:spacing w:line="360" w:lineRule="auto"/>
        <w:ind w:right="49"/>
        <w:jc w:val="both"/>
        <w:rPr>
          <w:rFonts w:ascii="Palatino Linotype" w:eastAsia="Palatino Linotype" w:hAnsi="Palatino Linotype" w:cs="Palatino Linotype"/>
          <w:sz w:val="22"/>
          <w:szCs w:val="22"/>
        </w:rPr>
      </w:pPr>
    </w:p>
    <w:p w14:paraId="75787A26" w14:textId="77777777" w:rsidR="002369AB" w:rsidRPr="008B1A35" w:rsidRDefault="00282375">
      <w:pPr>
        <w:spacing w:line="360" w:lineRule="auto"/>
        <w:jc w:val="both"/>
        <w:rPr>
          <w:rFonts w:ascii="Palatino Linotype" w:eastAsia="Palatino Linotype" w:hAnsi="Palatino Linotype" w:cs="Palatino Linotype"/>
          <w:sz w:val="22"/>
          <w:szCs w:val="22"/>
        </w:rPr>
      </w:pPr>
      <w:bookmarkStart w:id="1" w:name="_heading=h.ufldlg1z5cqe" w:colFirst="0" w:colLast="0"/>
      <w:bookmarkEnd w:id="1"/>
      <w:r w:rsidRPr="008B1A35">
        <w:rPr>
          <w:rFonts w:ascii="Palatino Linotype" w:eastAsia="Palatino Linotype" w:hAnsi="Palatino Linotype" w:cs="Palatino Linotype"/>
          <w:sz w:val="22"/>
          <w:szCs w:val="22"/>
        </w:rPr>
        <w:t>Así, con fundamento en lo prescrito en los artículos 5 párrafos cuadragésimo cuarto, cuadragésimo quinto y cuadragésimo sexto, fracciones IV y V de la Constitución Política del Estado Libre y Soberano de México; transitorio Cuarto del Decreto número 198 de la “LXII” Legislatura del Estado de México; 2, fracción II; 29, 36 fracciones I y II; 176, 178, 181, 185, fracción I, 186 y 188 de la Ley de Transparencia y Acceso a la Información Pública del Estado de México y Municipios, este Pleno:</w:t>
      </w:r>
    </w:p>
    <w:p w14:paraId="29F30788" w14:textId="77777777" w:rsidR="002369AB" w:rsidRPr="008B1A35" w:rsidRDefault="002369AB">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6B74AC78" w14:textId="77777777" w:rsidR="002369AB" w:rsidRPr="008B1A35" w:rsidRDefault="002369AB">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76095D0B" w14:textId="77777777" w:rsidR="002369AB" w:rsidRPr="008B1A35" w:rsidRDefault="002369AB">
      <w:pPr>
        <w:pBdr>
          <w:top w:val="nil"/>
          <w:left w:val="nil"/>
          <w:bottom w:val="nil"/>
          <w:right w:val="nil"/>
          <w:between w:val="nil"/>
        </w:pBdr>
        <w:spacing w:line="360" w:lineRule="auto"/>
        <w:rPr>
          <w:rFonts w:ascii="Palatino Linotype" w:eastAsia="Palatino Linotype" w:hAnsi="Palatino Linotype" w:cs="Palatino Linotype"/>
          <w:b/>
          <w:bCs/>
          <w:sz w:val="22"/>
          <w:szCs w:val="22"/>
        </w:rPr>
      </w:pPr>
    </w:p>
    <w:p w14:paraId="60436D19" w14:textId="77777777" w:rsidR="002369AB" w:rsidRPr="008B1A35" w:rsidRDefault="00282375">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r w:rsidRPr="008B1A35">
        <w:rPr>
          <w:rFonts w:ascii="Palatino Linotype" w:eastAsia="Palatino Linotype" w:hAnsi="Palatino Linotype" w:cs="Palatino Linotype"/>
          <w:b/>
          <w:bCs/>
          <w:sz w:val="22"/>
          <w:szCs w:val="22"/>
        </w:rPr>
        <w:t>III. R E S U E L V E</w:t>
      </w:r>
    </w:p>
    <w:p w14:paraId="15BD4CE6" w14:textId="77777777" w:rsidR="002369AB" w:rsidRPr="008B1A35" w:rsidRDefault="002369AB">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p>
    <w:p w14:paraId="1A3BCDDA" w14:textId="77777777" w:rsidR="002369AB" w:rsidRPr="008B1A35" w:rsidRDefault="00282375">
      <w:pPr>
        <w:spacing w:line="360" w:lineRule="auto"/>
        <w:ind w:right="49"/>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 xml:space="preserve">Primero. </w:t>
      </w:r>
      <w:r w:rsidRPr="008B1A35">
        <w:rPr>
          <w:rFonts w:ascii="Palatino Linotype" w:eastAsia="Palatino Linotype" w:hAnsi="Palatino Linotype" w:cs="Palatino Linotype"/>
          <w:sz w:val="22"/>
          <w:szCs w:val="22"/>
        </w:rPr>
        <w:t xml:space="preserve">Resultan </w:t>
      </w:r>
      <w:r w:rsidRPr="008B1A35">
        <w:rPr>
          <w:rFonts w:ascii="Palatino Linotype" w:eastAsia="Palatino Linotype" w:hAnsi="Palatino Linotype" w:cs="Palatino Linotype"/>
          <w:b/>
          <w:bCs/>
          <w:sz w:val="22"/>
          <w:szCs w:val="22"/>
        </w:rPr>
        <w:t>FUNDADOS</w:t>
      </w:r>
      <w:r w:rsidRPr="008B1A35">
        <w:rPr>
          <w:rFonts w:ascii="Palatino Linotype" w:eastAsia="Palatino Linotype" w:hAnsi="Palatino Linotype" w:cs="Palatino Linotype"/>
          <w:sz w:val="22"/>
          <w:szCs w:val="22"/>
        </w:rPr>
        <w:t xml:space="preserve"> los motivos de inconformidad de la parte </w:t>
      </w:r>
      <w:r w:rsidRPr="008B1A35">
        <w:rPr>
          <w:rFonts w:ascii="Palatino Linotype" w:eastAsia="Palatino Linotype" w:hAnsi="Palatino Linotype" w:cs="Palatino Linotype"/>
          <w:b/>
          <w:bCs/>
          <w:sz w:val="22"/>
          <w:szCs w:val="22"/>
        </w:rPr>
        <w:t>Recurrente</w:t>
      </w:r>
      <w:r w:rsidRPr="008B1A35">
        <w:rPr>
          <w:rFonts w:ascii="Palatino Linotype" w:eastAsia="Palatino Linotype" w:hAnsi="Palatino Linotype" w:cs="Palatino Linotype"/>
          <w:sz w:val="22"/>
          <w:szCs w:val="22"/>
        </w:rPr>
        <w:t xml:space="preserve">, en términos del </w:t>
      </w:r>
      <w:r w:rsidRPr="008B1A35">
        <w:rPr>
          <w:rFonts w:ascii="Palatino Linotype" w:eastAsia="Palatino Linotype" w:hAnsi="Palatino Linotype" w:cs="Palatino Linotype"/>
          <w:b/>
          <w:bCs/>
          <w:sz w:val="22"/>
          <w:szCs w:val="22"/>
        </w:rPr>
        <w:t>Considerando Cuarto</w:t>
      </w:r>
      <w:r w:rsidRPr="008B1A35">
        <w:rPr>
          <w:rFonts w:ascii="Palatino Linotype" w:eastAsia="Palatino Linotype" w:hAnsi="Palatino Linotype" w:cs="Palatino Linotype"/>
          <w:sz w:val="22"/>
          <w:szCs w:val="22"/>
        </w:rPr>
        <w:t xml:space="preserve"> de la presente resolución.</w:t>
      </w:r>
    </w:p>
    <w:p w14:paraId="0354E3D0" w14:textId="77777777" w:rsidR="002369AB" w:rsidRPr="008B1A35" w:rsidRDefault="002369AB">
      <w:pPr>
        <w:spacing w:line="360" w:lineRule="auto"/>
        <w:ind w:right="49"/>
        <w:jc w:val="both"/>
        <w:rPr>
          <w:rFonts w:ascii="Palatino Linotype" w:eastAsia="Palatino Linotype" w:hAnsi="Palatino Linotype" w:cs="Palatino Linotype"/>
          <w:sz w:val="22"/>
          <w:szCs w:val="22"/>
        </w:rPr>
      </w:pPr>
    </w:p>
    <w:p w14:paraId="6AB45E34" w14:textId="77777777" w:rsidR="002369AB" w:rsidRPr="008B1A35" w:rsidRDefault="00282375">
      <w:pPr>
        <w:spacing w:line="360" w:lineRule="auto"/>
        <w:jc w:val="both"/>
        <w:rPr>
          <w:rFonts w:ascii="Palatino Linotype" w:eastAsia="Palatino Linotype" w:hAnsi="Palatino Linotype" w:cs="Palatino Linotype"/>
          <w:sz w:val="22"/>
          <w:szCs w:val="22"/>
        </w:rPr>
      </w:pPr>
      <w:bookmarkStart w:id="2" w:name="_heading=h.3dy6vkm" w:colFirst="0" w:colLast="0"/>
      <w:bookmarkEnd w:id="2"/>
      <w:r w:rsidRPr="008B1A35">
        <w:rPr>
          <w:rFonts w:ascii="Palatino Linotype" w:eastAsia="Palatino Linotype" w:hAnsi="Palatino Linotype" w:cs="Palatino Linotype"/>
          <w:b/>
          <w:bCs/>
          <w:sz w:val="22"/>
          <w:szCs w:val="22"/>
        </w:rPr>
        <w:t>Segundo.</w:t>
      </w:r>
      <w:r w:rsidRPr="008B1A35">
        <w:rPr>
          <w:rFonts w:ascii="Palatino Linotype" w:eastAsia="Palatino Linotype" w:hAnsi="Palatino Linotype" w:cs="Palatino Linotype"/>
          <w:sz w:val="22"/>
          <w:szCs w:val="22"/>
        </w:rPr>
        <w:t xml:space="preserve"> Se</w:t>
      </w:r>
      <w:r w:rsidRPr="008B1A35">
        <w:rPr>
          <w:rFonts w:ascii="Palatino Linotype" w:eastAsia="Palatino Linotype" w:hAnsi="Palatino Linotype" w:cs="Palatino Linotype"/>
          <w:b/>
          <w:bCs/>
          <w:sz w:val="22"/>
          <w:szCs w:val="22"/>
        </w:rPr>
        <w:t xml:space="preserve"> Ordena </w:t>
      </w:r>
      <w:r w:rsidRPr="008B1A35">
        <w:rPr>
          <w:rFonts w:ascii="Palatino Linotype" w:eastAsia="Palatino Linotype" w:hAnsi="Palatino Linotype" w:cs="Palatino Linotype"/>
          <w:sz w:val="22"/>
          <w:szCs w:val="22"/>
        </w:rPr>
        <w:t xml:space="preserve">al </w:t>
      </w:r>
      <w:r w:rsidRPr="008B1A35">
        <w:rPr>
          <w:rFonts w:ascii="Palatino Linotype" w:eastAsia="Palatino Linotype" w:hAnsi="Palatino Linotype" w:cs="Palatino Linotype"/>
          <w:b/>
          <w:bCs/>
          <w:sz w:val="22"/>
          <w:szCs w:val="22"/>
        </w:rPr>
        <w:t xml:space="preserve">Sujeto Obligado </w:t>
      </w:r>
      <w:r w:rsidRPr="008B1A35">
        <w:rPr>
          <w:rFonts w:ascii="Palatino Linotype" w:eastAsia="Palatino Linotype" w:hAnsi="Palatino Linotype" w:cs="Palatino Linotype"/>
          <w:sz w:val="22"/>
          <w:szCs w:val="22"/>
        </w:rPr>
        <w:t xml:space="preserve">dé trámite, vía </w:t>
      </w:r>
      <w:r w:rsidRPr="008B1A35">
        <w:rPr>
          <w:rFonts w:ascii="Palatino Linotype" w:eastAsia="Palatino Linotype" w:hAnsi="Palatino Linotype" w:cs="Palatino Linotype"/>
          <w:b/>
          <w:bCs/>
          <w:sz w:val="22"/>
          <w:szCs w:val="22"/>
        </w:rPr>
        <w:t xml:space="preserve">Sistema de Acceso a la Información Mexiquense </w:t>
      </w:r>
      <w:r w:rsidRPr="008B1A35">
        <w:rPr>
          <w:rFonts w:ascii="Palatino Linotype" w:eastAsia="Palatino Linotype" w:hAnsi="Palatino Linotype" w:cs="Palatino Linotype"/>
          <w:sz w:val="22"/>
          <w:szCs w:val="22"/>
        </w:rPr>
        <w:t xml:space="preserve">a la solicitud de acceso a la información pública </w:t>
      </w:r>
      <w:r w:rsidRPr="008B1A35">
        <w:rPr>
          <w:rFonts w:ascii="Palatino Linotype" w:eastAsia="Palatino Linotype" w:hAnsi="Palatino Linotype" w:cs="Palatino Linotype"/>
          <w:b/>
          <w:bCs/>
          <w:sz w:val="22"/>
          <w:szCs w:val="22"/>
        </w:rPr>
        <w:t xml:space="preserve">00343/TEPOTZOT/IP/2026 </w:t>
      </w:r>
      <w:r w:rsidRPr="008B1A35">
        <w:rPr>
          <w:rFonts w:ascii="Palatino Linotype" w:eastAsia="Palatino Linotype" w:hAnsi="Palatino Linotype" w:cs="Palatino Linotype"/>
          <w:sz w:val="22"/>
          <w:szCs w:val="22"/>
        </w:rPr>
        <w:t xml:space="preserve">que dio origen al recurso de revisión </w:t>
      </w:r>
      <w:r w:rsidRPr="008B1A35">
        <w:rPr>
          <w:rFonts w:ascii="Palatino Linotype" w:eastAsia="Palatino Linotype" w:hAnsi="Palatino Linotype" w:cs="Palatino Linotype"/>
          <w:b/>
          <w:bCs/>
          <w:sz w:val="22"/>
          <w:szCs w:val="22"/>
        </w:rPr>
        <w:t xml:space="preserve">01904/INFOEM/IP/RR/2026 </w:t>
      </w:r>
      <w:r w:rsidRPr="008B1A35">
        <w:rPr>
          <w:rFonts w:ascii="Palatino Linotype" w:eastAsia="Palatino Linotype" w:hAnsi="Palatino Linotype" w:cs="Palatino Linotype"/>
          <w:sz w:val="22"/>
          <w:szCs w:val="22"/>
        </w:rPr>
        <w:t xml:space="preserve">en términos del </w:t>
      </w:r>
      <w:r w:rsidRPr="008B1A35">
        <w:rPr>
          <w:rFonts w:ascii="Palatino Linotype" w:eastAsia="Palatino Linotype" w:hAnsi="Palatino Linotype" w:cs="Palatino Linotype"/>
          <w:b/>
          <w:bCs/>
          <w:sz w:val="22"/>
          <w:szCs w:val="22"/>
        </w:rPr>
        <w:t>Considerando Cuarto</w:t>
      </w:r>
      <w:r w:rsidRPr="008B1A35">
        <w:rPr>
          <w:rFonts w:ascii="Palatino Linotype" w:eastAsia="Palatino Linotype" w:hAnsi="Palatino Linotype" w:cs="Palatino Linotype"/>
          <w:sz w:val="22"/>
          <w:szCs w:val="22"/>
        </w:rPr>
        <w:t xml:space="preserve"> de esta resolución y emita respuesta, debiendo observar las excepciones contenidas en la Ley de Transparencia y Acceso a la Información Pública del Estado de México y Municipios.</w:t>
      </w:r>
    </w:p>
    <w:p w14:paraId="248EE136"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1862A9D0" w14:textId="77777777" w:rsidR="002369AB" w:rsidRPr="008B1A35" w:rsidRDefault="00282375">
      <w:pPr>
        <w:spacing w:line="360" w:lineRule="auto"/>
        <w:ind w:right="49"/>
        <w:jc w:val="both"/>
        <w:rPr>
          <w:rFonts w:ascii="Palatino Linotype" w:eastAsia="Palatino Linotype" w:hAnsi="Palatino Linotype" w:cs="Palatino Linotype"/>
          <w:sz w:val="22"/>
          <w:szCs w:val="22"/>
        </w:rPr>
      </w:pPr>
      <w:bookmarkStart w:id="3" w:name="_heading=h.3znysh7" w:colFirst="0" w:colLast="0"/>
      <w:bookmarkEnd w:id="3"/>
      <w:r w:rsidRPr="008B1A35">
        <w:rPr>
          <w:rFonts w:ascii="Palatino Linotype" w:eastAsia="Palatino Linotype" w:hAnsi="Palatino Linotype" w:cs="Palatino Linotype"/>
          <w:b/>
          <w:bCs/>
          <w:sz w:val="22"/>
          <w:szCs w:val="22"/>
        </w:rPr>
        <w:t>Tercero.</w:t>
      </w:r>
      <w:r w:rsidRPr="008B1A35">
        <w:rPr>
          <w:rFonts w:ascii="Palatino Linotype" w:eastAsia="Palatino Linotype" w:hAnsi="Palatino Linotype" w:cs="Palatino Linotype"/>
          <w:sz w:val="22"/>
          <w:szCs w:val="22"/>
        </w:rPr>
        <w:t xml:space="preserve"> </w:t>
      </w:r>
      <w:r w:rsidRPr="008B1A35">
        <w:rPr>
          <w:rFonts w:ascii="Palatino Linotype" w:eastAsia="Palatino Linotype" w:hAnsi="Palatino Linotype" w:cs="Palatino Linotype"/>
          <w:b/>
          <w:bCs/>
          <w:sz w:val="22"/>
          <w:szCs w:val="22"/>
        </w:rPr>
        <w:t xml:space="preserve">Notifíquese vía Sistema de Acceso a la Información Mexiquense </w:t>
      </w:r>
      <w:r w:rsidRPr="008B1A35">
        <w:rPr>
          <w:rFonts w:ascii="Palatino Linotype" w:eastAsia="Palatino Linotype" w:hAnsi="Palatino Linotype" w:cs="Palatino Linotype"/>
          <w:sz w:val="22"/>
          <w:szCs w:val="22"/>
        </w:rPr>
        <w:t>la presente resolución al T</w:t>
      </w:r>
      <w:r w:rsidRPr="008B1A35">
        <w:rPr>
          <w:rFonts w:ascii="Palatino Linotype" w:eastAsia="Palatino Linotype" w:hAnsi="Palatino Linotype" w:cs="Palatino Linotype"/>
          <w:b/>
          <w:bCs/>
          <w:sz w:val="22"/>
          <w:szCs w:val="22"/>
        </w:rPr>
        <w:t xml:space="preserve">itular de la Unidad de Transparencia </w:t>
      </w:r>
      <w:r w:rsidRPr="008B1A35">
        <w:rPr>
          <w:rFonts w:ascii="Palatino Linotype" w:eastAsia="Palatino Linotype" w:hAnsi="Palatino Linotype" w:cs="Palatino Linotype"/>
          <w:sz w:val="22"/>
          <w:szCs w:val="22"/>
        </w:rPr>
        <w:t xml:space="preserve">del </w:t>
      </w:r>
      <w:r w:rsidRPr="008B1A35">
        <w:rPr>
          <w:rFonts w:ascii="Palatino Linotype" w:eastAsia="Palatino Linotype" w:hAnsi="Palatino Linotype" w:cs="Palatino Linotype"/>
          <w:b/>
          <w:bCs/>
          <w:sz w:val="22"/>
          <w:szCs w:val="22"/>
        </w:rPr>
        <w:t>SUJETO OBLIGADO</w:t>
      </w:r>
      <w:r w:rsidRPr="008B1A35">
        <w:rPr>
          <w:rFonts w:ascii="Palatino Linotype" w:eastAsia="Palatino Linotype" w:hAnsi="Palatino Linotype" w:cs="Palatino Linotype"/>
          <w:sz w:val="22"/>
          <w:szCs w:val="22"/>
        </w:rPr>
        <w:t xml:space="preserve">, para que conforme al artículo 186 último párrafo, 189 segundo párrafo y 194 de la Ley de Transparencia y Acceso a la Información Pública del Estado de México y Municipios; dé </w:t>
      </w:r>
      <w:r w:rsidRPr="008B1A35">
        <w:rPr>
          <w:rFonts w:ascii="Palatino Linotype" w:eastAsia="Palatino Linotype" w:hAnsi="Palatino Linotype" w:cs="Palatino Linotype"/>
          <w:sz w:val="22"/>
          <w:szCs w:val="22"/>
        </w:rPr>
        <w:lastRenderedPageBreak/>
        <w:t>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1C195832" w14:textId="77777777" w:rsidR="002369AB" w:rsidRPr="008B1A35" w:rsidRDefault="002369AB">
      <w:pPr>
        <w:spacing w:line="360" w:lineRule="auto"/>
        <w:ind w:right="49"/>
        <w:jc w:val="both"/>
        <w:rPr>
          <w:rFonts w:ascii="Palatino Linotype" w:eastAsia="Palatino Linotype" w:hAnsi="Palatino Linotype" w:cs="Palatino Linotype"/>
          <w:sz w:val="22"/>
          <w:szCs w:val="22"/>
        </w:rPr>
      </w:pPr>
    </w:p>
    <w:p w14:paraId="13594285"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Cuarto. Notifíquese</w:t>
      </w:r>
      <w:r w:rsidRPr="008B1A35">
        <w:rPr>
          <w:rFonts w:ascii="Palatino Linotype" w:eastAsia="Palatino Linotype" w:hAnsi="Palatino Linotype" w:cs="Palatino Linotype"/>
          <w:sz w:val="22"/>
          <w:szCs w:val="22"/>
        </w:rPr>
        <w:t>,</w:t>
      </w:r>
      <w:r w:rsidRPr="008B1A35">
        <w:rPr>
          <w:rFonts w:ascii="Palatino Linotype" w:eastAsia="Palatino Linotype" w:hAnsi="Palatino Linotype" w:cs="Palatino Linotype"/>
          <w:b/>
          <w:bCs/>
          <w:sz w:val="22"/>
          <w:szCs w:val="22"/>
        </w:rPr>
        <w:t xml:space="preserve"> </w:t>
      </w:r>
      <w:r w:rsidRPr="008B1A35">
        <w:rPr>
          <w:rFonts w:ascii="Palatino Linotype" w:eastAsia="Palatino Linotype" w:hAnsi="Palatino Linotype" w:cs="Palatino Linotype"/>
          <w:sz w:val="22"/>
          <w:szCs w:val="22"/>
        </w:rPr>
        <w:t xml:space="preserve">vía </w:t>
      </w:r>
      <w:r w:rsidRPr="008B1A35">
        <w:rPr>
          <w:rFonts w:ascii="Palatino Linotype" w:eastAsia="Palatino Linotype" w:hAnsi="Palatino Linotype" w:cs="Palatino Linotype"/>
          <w:b/>
          <w:bCs/>
          <w:sz w:val="22"/>
          <w:szCs w:val="22"/>
        </w:rPr>
        <w:t>Sistema de Acceso a la Información Mexiquense</w:t>
      </w:r>
      <w:r w:rsidRPr="008B1A35">
        <w:rPr>
          <w:rFonts w:ascii="Palatino Linotype" w:eastAsia="Palatino Linotype" w:hAnsi="Palatino Linotype" w:cs="Palatino Linotype"/>
          <w:sz w:val="22"/>
          <w:szCs w:val="22"/>
        </w:rPr>
        <w:t xml:space="preserve">, a la parte </w:t>
      </w:r>
      <w:r w:rsidRPr="008B1A35">
        <w:rPr>
          <w:rFonts w:ascii="Palatino Linotype" w:eastAsia="Palatino Linotype" w:hAnsi="Palatino Linotype" w:cs="Palatino Linotype"/>
          <w:b/>
          <w:bCs/>
          <w:sz w:val="22"/>
          <w:szCs w:val="22"/>
        </w:rPr>
        <w:t xml:space="preserve">Recurrente </w:t>
      </w:r>
      <w:r w:rsidRPr="008B1A35">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en caso de que considere que le causa algún perjuicio podrá impugnarla vía Juicio de Amparo en los términos de las leyes aplicables.</w:t>
      </w:r>
    </w:p>
    <w:p w14:paraId="62599F50" w14:textId="77777777" w:rsidR="002369AB" w:rsidRPr="008B1A35" w:rsidRDefault="002369AB">
      <w:pPr>
        <w:spacing w:line="360" w:lineRule="auto"/>
        <w:jc w:val="both"/>
        <w:rPr>
          <w:rFonts w:ascii="Palatino Linotype" w:eastAsia="Palatino Linotype" w:hAnsi="Palatino Linotype" w:cs="Palatino Linotype"/>
          <w:sz w:val="22"/>
          <w:szCs w:val="22"/>
        </w:rPr>
      </w:pPr>
    </w:p>
    <w:p w14:paraId="2341A657" w14:textId="77777777" w:rsidR="002369AB" w:rsidRPr="008B1A35" w:rsidRDefault="00282375">
      <w:pPr>
        <w:spacing w:line="360" w:lineRule="auto"/>
        <w:jc w:val="both"/>
        <w:rPr>
          <w:rFonts w:ascii="Palatino Linotype" w:eastAsia="Palatino Linotype" w:hAnsi="Palatino Linotype" w:cs="Palatino Linotype"/>
          <w:sz w:val="22"/>
          <w:szCs w:val="22"/>
        </w:rPr>
      </w:pPr>
      <w:r w:rsidRPr="008B1A35">
        <w:rPr>
          <w:rFonts w:ascii="Palatino Linotype" w:eastAsia="Palatino Linotype" w:hAnsi="Palatino Linotype" w:cs="Palatino Linotype"/>
          <w:b/>
          <w:bCs/>
          <w:sz w:val="22"/>
          <w:szCs w:val="22"/>
        </w:rPr>
        <w:t xml:space="preserve">Quinto. Notifíquese </w:t>
      </w:r>
      <w:r w:rsidRPr="008B1A35">
        <w:rPr>
          <w:rFonts w:ascii="Palatino Linotype" w:eastAsia="Palatino Linotype" w:hAnsi="Palatino Linotype" w:cs="Palatino Linotype"/>
          <w:sz w:val="22"/>
          <w:szCs w:val="22"/>
        </w:rPr>
        <w:t xml:space="preserve">a la parte </w:t>
      </w:r>
      <w:r w:rsidRPr="008B1A35">
        <w:rPr>
          <w:rFonts w:ascii="Palatino Linotype" w:eastAsia="Palatino Linotype" w:hAnsi="Palatino Linotype" w:cs="Palatino Linotype"/>
          <w:b/>
          <w:bCs/>
          <w:sz w:val="22"/>
          <w:szCs w:val="22"/>
        </w:rPr>
        <w:t xml:space="preserve">Recurrente </w:t>
      </w:r>
      <w:r w:rsidRPr="008B1A35">
        <w:rPr>
          <w:rFonts w:ascii="Palatino Linotype" w:eastAsia="Palatino Linotype" w:hAnsi="Palatino Linotype" w:cs="Palatino Linotype"/>
          <w:sz w:val="22"/>
          <w:szCs w:val="22"/>
        </w:rPr>
        <w:t xml:space="preserve">que la respuesta que dé el </w:t>
      </w:r>
      <w:r w:rsidRPr="008B1A35">
        <w:rPr>
          <w:rFonts w:ascii="Palatino Linotype" w:eastAsia="Palatino Linotype" w:hAnsi="Palatino Linotype" w:cs="Palatino Linotype"/>
          <w:b/>
          <w:bCs/>
          <w:sz w:val="22"/>
          <w:szCs w:val="22"/>
        </w:rPr>
        <w:t>Sujeto Obligado</w:t>
      </w:r>
      <w:r w:rsidRPr="008B1A35">
        <w:rPr>
          <w:rFonts w:ascii="Palatino Linotype" w:eastAsia="Palatino Linotype" w:hAnsi="Palatino Linotype" w:cs="Palatino Linotype"/>
          <w:sz w:val="22"/>
          <w:szCs w:val="22"/>
        </w:rPr>
        <w:t xml:space="preserve"> derivada de la presente resolución es susceptible de ser impugnadas nuevamente, mediante recurso de revisión, ante el Instituto, en términos del artículo 179, último párrafo de la Ley de Transparencia y Acceso a la Información Pública del Estado de México y Municipios.</w:t>
      </w:r>
    </w:p>
    <w:p w14:paraId="28972F20" w14:textId="77777777" w:rsidR="002369AB" w:rsidRPr="008B1A35" w:rsidRDefault="002369AB">
      <w:pPr>
        <w:spacing w:line="360" w:lineRule="auto"/>
        <w:jc w:val="both"/>
        <w:rPr>
          <w:rFonts w:ascii="Palatino Linotype" w:eastAsia="Palatino Linotype" w:hAnsi="Palatino Linotype" w:cs="Palatino Linotype"/>
          <w:b/>
          <w:bCs/>
          <w:sz w:val="22"/>
          <w:szCs w:val="22"/>
        </w:rPr>
      </w:pPr>
    </w:p>
    <w:p w14:paraId="4AF79818" w14:textId="77777777" w:rsidR="002369AB" w:rsidRPr="008B1A35" w:rsidRDefault="00282375">
      <w:pPr>
        <w:spacing w:line="360" w:lineRule="auto"/>
        <w:jc w:val="both"/>
        <w:rPr>
          <w:rFonts w:ascii="Palatino Linotype" w:eastAsia="Palatino Linotype" w:hAnsi="Palatino Linotype" w:cs="Palatino Linotype"/>
          <w:b/>
          <w:bCs/>
          <w:sz w:val="22"/>
          <w:szCs w:val="22"/>
        </w:rPr>
      </w:pPr>
      <w:r w:rsidRPr="008B1A35">
        <w:rPr>
          <w:rFonts w:ascii="Palatino Linotype" w:eastAsia="Palatino Linotype" w:hAnsi="Palatino Linotype" w:cs="Palatino Linotype"/>
          <w:b/>
          <w:bCs/>
          <w:sz w:val="22"/>
          <w:szCs w:val="22"/>
        </w:rPr>
        <w:t xml:space="preserve">Sexto. Gírese </w:t>
      </w:r>
      <w:r w:rsidRPr="008B1A35">
        <w:rPr>
          <w:rFonts w:ascii="Palatino Linotype" w:eastAsia="Palatino Linotype" w:hAnsi="Palatino Linotype" w:cs="Palatino Linotype"/>
          <w:sz w:val="22"/>
          <w:szCs w:val="22"/>
        </w:rPr>
        <w:t xml:space="preserve">oficio a la </w:t>
      </w:r>
      <w:r w:rsidRPr="008B1A35">
        <w:rPr>
          <w:rFonts w:ascii="Palatino Linotype" w:eastAsia="Palatino Linotype" w:hAnsi="Palatino Linotype" w:cs="Palatino Linotype"/>
          <w:b/>
          <w:bCs/>
          <w:sz w:val="22"/>
          <w:szCs w:val="22"/>
        </w:rPr>
        <w:t>Secretaría Técnica del Pleno</w:t>
      </w:r>
      <w:r w:rsidRPr="008B1A35">
        <w:rPr>
          <w:rFonts w:ascii="Palatino Linotype" w:eastAsia="Palatino Linotype" w:hAnsi="Palatino Linotype" w:cs="Palatino Linotype"/>
          <w:sz w:val="22"/>
          <w:szCs w:val="22"/>
        </w:rPr>
        <w:t xml:space="preserve">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Cuarto</w:t>
      </w:r>
      <w:r w:rsidRPr="008B1A35">
        <w:rPr>
          <w:rFonts w:ascii="Palatino Linotype" w:eastAsia="Palatino Linotype" w:hAnsi="Palatino Linotype" w:cs="Palatino Linotype"/>
          <w:b/>
          <w:bCs/>
          <w:sz w:val="22"/>
          <w:szCs w:val="22"/>
        </w:rPr>
        <w:t xml:space="preserve"> </w:t>
      </w:r>
      <w:r w:rsidRPr="008B1A35">
        <w:rPr>
          <w:rFonts w:ascii="Palatino Linotype" w:eastAsia="Palatino Linotype" w:hAnsi="Palatino Linotype" w:cs="Palatino Linotype"/>
          <w:sz w:val="22"/>
          <w:szCs w:val="22"/>
        </w:rPr>
        <w:t>de la presente resolución.</w:t>
      </w:r>
      <w:r w:rsidRPr="008B1A35">
        <w:rPr>
          <w:rFonts w:ascii="Palatino Linotype" w:eastAsia="Palatino Linotype" w:hAnsi="Palatino Linotype" w:cs="Palatino Linotype"/>
          <w:b/>
          <w:bCs/>
          <w:sz w:val="22"/>
          <w:szCs w:val="22"/>
        </w:rPr>
        <w:t xml:space="preserve"> </w:t>
      </w:r>
    </w:p>
    <w:p w14:paraId="1792B6C6" w14:textId="77777777" w:rsidR="002369AB" w:rsidRPr="008B1A35" w:rsidRDefault="002369AB">
      <w:pPr>
        <w:spacing w:line="360" w:lineRule="auto"/>
        <w:jc w:val="both"/>
        <w:rPr>
          <w:rFonts w:ascii="Palatino Linotype" w:eastAsia="Palatino Linotype" w:hAnsi="Palatino Linotype" w:cs="Palatino Linotype"/>
          <w:sz w:val="22"/>
          <w:szCs w:val="22"/>
        </w:rPr>
      </w:pPr>
      <w:bookmarkStart w:id="4" w:name="_heading=h.ibiie51sawl6" w:colFirst="0" w:colLast="0"/>
      <w:bookmarkEnd w:id="4"/>
    </w:p>
    <w:p w14:paraId="727A8C8A" w14:textId="77777777" w:rsidR="002369AB" w:rsidRPr="008B1A35" w:rsidRDefault="00282375">
      <w:pPr>
        <w:spacing w:line="360" w:lineRule="auto"/>
        <w:ind w:right="49"/>
        <w:jc w:val="both"/>
        <w:rPr>
          <w:rFonts w:ascii="Palatino Linotype" w:eastAsia="Palatino Linotype" w:hAnsi="Palatino Linotype" w:cs="Palatino Linotype"/>
          <w:sz w:val="22"/>
          <w:szCs w:val="22"/>
        </w:rPr>
        <w:sectPr w:rsidR="002369AB" w:rsidRPr="008B1A35">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pPr>
      <w:bookmarkStart w:id="5" w:name="_heading=h.1fob9te" w:colFirst="0" w:colLast="0"/>
      <w:bookmarkEnd w:id="5"/>
      <w:r w:rsidRPr="008B1A35">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w:t>
      </w:r>
      <w:r w:rsidRPr="008B1A35">
        <w:rPr>
          <w:rFonts w:ascii="Palatino Linotype" w:eastAsia="Palatino Linotype" w:hAnsi="Palatino Linotype" w:cs="Palatino Linotype"/>
          <w:sz w:val="22"/>
          <w:szCs w:val="22"/>
        </w:rPr>
        <w:lastRenderedPageBreak/>
        <w:t xml:space="preserve">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626E7654" w14:textId="77777777" w:rsidR="002369AB" w:rsidRPr="008B1A35" w:rsidRDefault="002369AB">
      <w:pPr>
        <w:tabs>
          <w:tab w:val="left" w:pos="709"/>
        </w:tabs>
        <w:spacing w:line="360" w:lineRule="auto"/>
        <w:jc w:val="both"/>
        <w:rPr>
          <w:rFonts w:ascii="Palatino Linotype" w:eastAsia="Palatino Linotype" w:hAnsi="Palatino Linotype" w:cs="Palatino Linotype"/>
          <w:sz w:val="22"/>
          <w:szCs w:val="22"/>
        </w:rPr>
      </w:pPr>
    </w:p>
    <w:p w14:paraId="42BE5972" w14:textId="77777777" w:rsidR="002369AB" w:rsidRPr="008B1A35" w:rsidRDefault="002369AB">
      <w:pPr>
        <w:rPr>
          <w:sz w:val="22"/>
          <w:szCs w:val="22"/>
        </w:rPr>
      </w:pPr>
    </w:p>
    <w:sectPr w:rsidR="002369AB" w:rsidRPr="008B1A35">
      <w:headerReference w:type="first" r:id="rId13"/>
      <w:pgSz w:w="12240" w:h="15840"/>
      <w:pgMar w:top="1985" w:right="1701" w:bottom="1701" w:left="1701"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0B17B" w14:textId="77777777" w:rsidR="00007A72" w:rsidRDefault="00007A72">
      <w:r>
        <w:separator/>
      </w:r>
    </w:p>
  </w:endnote>
  <w:endnote w:type="continuationSeparator" w:id="0">
    <w:p w14:paraId="6FCDFF12" w14:textId="77777777" w:rsidR="00007A72" w:rsidRDefault="00007A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6B74539B-CA23-214D-A32E-0E7573703BE9}"/>
  </w:font>
  <w:font w:name="Times New Roman">
    <w:panose1 w:val="02020603050405020304"/>
    <w:charset w:val="00"/>
    <w:family w:val="roman"/>
    <w:pitch w:val="variable"/>
    <w:sig w:usb0="E0002EFF" w:usb1="C000785B" w:usb2="00000009" w:usb3="00000000" w:csb0="000001FF" w:csb1="00000000"/>
    <w:embedRegular r:id="rId3" w:fontKey="{763A32A7-29F4-A04D-9B49-AEAAC1399B7F}"/>
    <w:embedBold r:id="rId4" w:fontKey="{B051B116-7A07-5641-BF06-048A1A78E480}"/>
  </w:font>
  <w:font w:name="Calibri">
    <w:panose1 w:val="020F0502020204030204"/>
    <w:charset w:val="00"/>
    <w:family w:val="swiss"/>
    <w:pitch w:val="variable"/>
    <w:sig w:usb0="E4002EFF" w:usb1="C200247B" w:usb2="00000009" w:usb3="00000000" w:csb0="000001FF" w:csb1="00000000"/>
    <w:embedRegular r:id="rId5" w:fontKey="{0C9F51DE-DFD6-CA4C-9BA9-1ACCF8E75CC5}"/>
  </w:font>
  <w:font w:name="Segoe UI">
    <w:panose1 w:val="020B0502040204020203"/>
    <w:charset w:val="00"/>
    <w:family w:val="swiss"/>
    <w:pitch w:val="variable"/>
    <w:sig w:usb0="E4002EFF" w:usb1="C000E47F" w:usb2="00000009" w:usb3="00000000" w:csb0="000001FF" w:csb1="00000000"/>
    <w:embedRegular r:id="rId6" w:fontKey="{20554B8D-121A-6442-A46E-EDDC0CAEFEFD}"/>
  </w:font>
  <w:font w:name="Georgia">
    <w:panose1 w:val="02040502050405020303"/>
    <w:charset w:val="00"/>
    <w:family w:val="roman"/>
    <w:pitch w:val="variable"/>
    <w:sig w:usb0="00000287" w:usb1="00000000" w:usb2="00000000" w:usb3="00000000" w:csb0="0000009F" w:csb1="00000000"/>
    <w:embedItalic r:id="rId7" w:fontKey="{B321D201-34ED-A346-A97B-C2261EE79DBC}"/>
  </w:font>
  <w:font w:name="Palatino Linotype">
    <w:panose1 w:val="02040502050505030304"/>
    <w:charset w:val="00"/>
    <w:family w:val="roman"/>
    <w:pitch w:val="variable"/>
    <w:sig w:usb0="E0000287" w:usb1="40000013" w:usb2="00000000" w:usb3="00000000" w:csb0="0000019F" w:csb1="00000000"/>
    <w:embedRegular r:id="rId8" w:fontKey="{F437752C-F603-FE46-B904-66FCCFF6C3B1}"/>
    <w:embedBold r:id="rId9" w:fontKey="{43081883-A4FA-6741-B98D-D9010CC45750}"/>
    <w:embedItalic r:id="rId10" w:fontKey="{EFEC9CF9-411A-9444-8B0E-76DC3E324DBE}"/>
    <w:embedBoldItalic r:id="rId11" w:fontKey="{90BE3423-0FBD-AF47-8240-B4D528FF5068}"/>
  </w:font>
  <w:font w:name="Verdana">
    <w:panose1 w:val="020B0604030504040204"/>
    <w:charset w:val="00"/>
    <w:family w:val="swiss"/>
    <w:pitch w:val="variable"/>
    <w:sig w:usb0="A10006FF" w:usb1="4000205B" w:usb2="00000010" w:usb3="00000000" w:csb0="0000019F" w:csb1="00000000"/>
    <w:embedBold r:id="rId12" w:fontKey="{8664F161-D023-B940-B1F5-6F79CE0E6C0B}"/>
  </w:font>
  <w:font w:name="Arial">
    <w:panose1 w:val="020B0604020202020204"/>
    <w:charset w:val="00"/>
    <w:family w:val="swiss"/>
    <w:pitch w:val="variable"/>
    <w:sig w:usb0="E0002EFF" w:usb1="C000785B" w:usb2="00000009" w:usb3="00000000" w:csb0="000001FF" w:csb1="00000000"/>
    <w:embedRegular r:id="rId13" w:fontKey="{FAC02498-707D-4047-B905-4B5917FB254A}"/>
    <w:embedBold r:id="rId14" w:fontKey="{A70250AB-8762-B746-A817-545D00D9A0ED}"/>
  </w:font>
  <w:font w:name="Calibri Light">
    <w:panose1 w:val="020F0302020204030204"/>
    <w:charset w:val="00"/>
    <w:family w:val="swiss"/>
    <w:pitch w:val="variable"/>
    <w:sig w:usb0="E4002EFF" w:usb1="C200247B" w:usb2="00000009" w:usb3="00000000" w:csb0="000001FF" w:csb1="00000000"/>
    <w:embedRegular r:id="rId15" w:fontKey="{859E266B-448C-E14B-9091-B574F6DCF3D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279CE" w14:textId="77777777" w:rsidR="002369AB" w:rsidRDefault="00282375">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B1A35">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B1A35">
      <w:rPr>
        <w:rFonts w:ascii="Arial" w:eastAsia="Arial" w:hAnsi="Arial" w:cs="Arial"/>
        <w:b/>
        <w:bCs/>
        <w:noProof/>
        <w:color w:val="000000"/>
        <w:sz w:val="20"/>
        <w:szCs w:val="20"/>
      </w:rPr>
      <w:t>3</w:t>
    </w:r>
    <w:r>
      <w:rPr>
        <w:rFonts w:ascii="Arial" w:eastAsia="Arial" w:hAnsi="Arial" w:cs="Arial"/>
        <w:b/>
        <w:bCs/>
        <w:color w:val="000000"/>
        <w:sz w:val="20"/>
        <w:szCs w:val="20"/>
      </w:rPr>
      <w:fldChar w:fldCharType="end"/>
    </w:r>
  </w:p>
  <w:p w14:paraId="72F7D0AA" w14:textId="77777777" w:rsidR="002369AB" w:rsidRDefault="002369AB">
    <w:pPr>
      <w:pBdr>
        <w:top w:val="nil"/>
        <w:left w:val="nil"/>
        <w:bottom w:val="nil"/>
        <w:right w:val="nil"/>
        <w:between w:val="nil"/>
      </w:pBdr>
      <w:tabs>
        <w:tab w:val="center" w:pos="4252"/>
        <w:tab w:val="right" w:pos="8504"/>
      </w:tabs>
      <w:rPr>
        <w:color w:val="000000"/>
      </w:rPr>
    </w:pPr>
  </w:p>
  <w:p w14:paraId="280CFB47" w14:textId="77777777" w:rsidR="002369AB" w:rsidRDefault="002369AB">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CB947" w14:textId="77777777" w:rsidR="002369AB" w:rsidRDefault="00282375">
    <w:pPr>
      <w:pBdr>
        <w:top w:val="nil"/>
        <w:left w:val="nil"/>
        <w:bottom w:val="nil"/>
        <w:right w:val="nil"/>
        <w:between w:val="nil"/>
      </w:pBdr>
      <w:tabs>
        <w:tab w:val="center" w:pos="4252"/>
        <w:tab w:val="right" w:pos="8504"/>
      </w:tabs>
      <w:jc w:val="right"/>
      <w:rPr>
        <w:rFonts w:ascii="Arial" w:eastAsia="Arial" w:hAnsi="Arial" w:cs="Arial"/>
        <w:color w:val="000000"/>
        <w:sz w:val="20"/>
        <w:szCs w:val="20"/>
      </w:rPr>
    </w:pPr>
    <w:r>
      <w:rPr>
        <w:rFonts w:ascii="Arial" w:eastAsia="Arial" w:hAnsi="Arial" w:cs="Arial"/>
        <w:b/>
        <w:bCs/>
        <w:color w:val="000000"/>
        <w:sz w:val="20"/>
        <w:szCs w:val="20"/>
      </w:rPr>
      <w:t xml:space="preserve">Página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PAGE</w:instrText>
    </w:r>
    <w:r>
      <w:rPr>
        <w:rFonts w:ascii="Arial" w:eastAsia="Arial" w:hAnsi="Arial" w:cs="Arial"/>
        <w:b/>
        <w:bCs/>
        <w:color w:val="000000"/>
        <w:sz w:val="20"/>
        <w:szCs w:val="20"/>
      </w:rPr>
      <w:fldChar w:fldCharType="separate"/>
    </w:r>
    <w:r w:rsidR="008B1A35">
      <w:rPr>
        <w:rFonts w:ascii="Arial" w:eastAsia="Arial" w:hAnsi="Arial" w:cs="Arial"/>
        <w:b/>
        <w:bCs/>
        <w:noProof/>
        <w:color w:val="000000"/>
        <w:sz w:val="20"/>
        <w:szCs w:val="20"/>
      </w:rPr>
      <w:t>1</w:t>
    </w:r>
    <w:r>
      <w:rPr>
        <w:rFonts w:ascii="Arial" w:eastAsia="Arial" w:hAnsi="Arial" w:cs="Arial"/>
        <w:b/>
        <w:bCs/>
        <w:color w:val="000000"/>
        <w:sz w:val="20"/>
        <w:szCs w:val="20"/>
      </w:rPr>
      <w:fldChar w:fldCharType="end"/>
    </w:r>
    <w:r>
      <w:rPr>
        <w:rFonts w:ascii="Arial" w:eastAsia="Arial" w:hAnsi="Arial" w:cs="Arial"/>
        <w:color w:val="000000"/>
        <w:sz w:val="20"/>
        <w:szCs w:val="20"/>
      </w:rPr>
      <w:t xml:space="preserve"> de </w:t>
    </w:r>
    <w:r>
      <w:rPr>
        <w:rFonts w:ascii="Arial" w:eastAsia="Arial" w:hAnsi="Arial" w:cs="Arial"/>
        <w:b/>
        <w:bCs/>
        <w:color w:val="000000"/>
        <w:sz w:val="20"/>
        <w:szCs w:val="20"/>
      </w:rPr>
      <w:fldChar w:fldCharType="begin"/>
    </w:r>
    <w:r>
      <w:rPr>
        <w:rFonts w:ascii="Arial" w:eastAsia="Arial" w:hAnsi="Arial" w:cs="Arial"/>
        <w:b/>
        <w:bCs/>
        <w:color w:val="000000"/>
        <w:sz w:val="20"/>
        <w:szCs w:val="20"/>
      </w:rPr>
      <w:instrText>NUMPAGES</w:instrText>
    </w:r>
    <w:r>
      <w:rPr>
        <w:rFonts w:ascii="Arial" w:eastAsia="Arial" w:hAnsi="Arial" w:cs="Arial"/>
        <w:b/>
        <w:bCs/>
        <w:color w:val="000000"/>
        <w:sz w:val="20"/>
        <w:szCs w:val="20"/>
      </w:rPr>
      <w:fldChar w:fldCharType="separate"/>
    </w:r>
    <w:r w:rsidR="008B1A35">
      <w:rPr>
        <w:rFonts w:ascii="Arial" w:eastAsia="Arial" w:hAnsi="Arial" w:cs="Arial"/>
        <w:b/>
        <w:bCs/>
        <w:noProof/>
        <w:color w:val="000000"/>
        <w:sz w:val="20"/>
        <w:szCs w:val="20"/>
      </w:rPr>
      <w:t>2</w:t>
    </w:r>
    <w:r>
      <w:rPr>
        <w:rFonts w:ascii="Arial" w:eastAsia="Arial" w:hAnsi="Arial" w:cs="Arial"/>
        <w:b/>
        <w:bCs/>
        <w:color w:val="000000"/>
        <w:sz w:val="20"/>
        <w:szCs w:val="20"/>
      </w:rPr>
      <w:fldChar w:fldCharType="end"/>
    </w:r>
  </w:p>
  <w:p w14:paraId="53CCC0CB" w14:textId="77777777" w:rsidR="002369AB" w:rsidRDefault="002369AB">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64D44" w14:textId="77777777" w:rsidR="00007A72" w:rsidRDefault="00007A72">
      <w:r>
        <w:separator/>
      </w:r>
    </w:p>
  </w:footnote>
  <w:footnote w:type="continuationSeparator" w:id="0">
    <w:p w14:paraId="26343569" w14:textId="77777777" w:rsidR="00007A72" w:rsidRDefault="00007A72">
      <w:r>
        <w:continuationSeparator/>
      </w:r>
    </w:p>
  </w:footnote>
  <w:footnote w:id="1">
    <w:p w14:paraId="5CA6CF2E" w14:textId="77777777" w:rsidR="002369AB" w:rsidRDefault="00282375">
      <w:pPr>
        <w:spacing w:before="240"/>
        <w:jc w:val="both"/>
        <w:rPr>
          <w:rFonts w:ascii="Palatino Linotype" w:eastAsia="Palatino Linotype" w:hAnsi="Palatino Linotype" w:cs="Palatino Linotype"/>
          <w:sz w:val="16"/>
          <w:szCs w:val="16"/>
        </w:rPr>
      </w:pPr>
      <w:r>
        <w:rPr>
          <w:vertAlign w:val="superscript"/>
        </w:rPr>
        <w:footnoteRef/>
      </w:r>
      <w:r>
        <w:rPr>
          <w:rFonts w:ascii="Palatino Linotype" w:eastAsia="Palatino Linotype" w:hAnsi="Palatino Linotype" w:cs="Palatino Linotype"/>
          <w:sz w:val="16"/>
          <w:szCs w:val="16"/>
        </w:rPr>
        <w:t>“Artículo 178.</w:t>
      </w:r>
    </w:p>
    <w:p w14:paraId="0666EF88" w14:textId="77777777" w:rsidR="002369AB" w:rsidRDefault="00282375">
      <w:pPr>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w:t>
      </w:r>
    </w:p>
    <w:p w14:paraId="35FFE363" w14:textId="77777777" w:rsidR="002369AB" w:rsidRDefault="00282375">
      <w:pPr>
        <w:spacing w:after="240"/>
        <w:jc w:val="both"/>
      </w:pPr>
      <w:r>
        <w:rPr>
          <w:rFonts w:ascii="Palatino Linotype" w:eastAsia="Palatino Linotype" w:hAnsi="Palatino Linotype" w:cs="Palatino Linotype"/>
          <w:sz w:val="16"/>
          <w:szCs w:val="16"/>
        </w:rPr>
        <w:t>A falta de respuesta del sujeto obligado, dentro de los plazos establecidos en esta Ley, a una solicitud de acceso a la información pública, el recurso podrá ser interpuesto en cualquier momento, acompañado con el documento que pruebe la fecha en que presentó la solicitud…”(Sic)</w:t>
      </w:r>
    </w:p>
  </w:footnote>
  <w:footnote w:id="2">
    <w:p w14:paraId="34C32289" w14:textId="77777777" w:rsidR="002369AB" w:rsidRDefault="0028237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Al encontrarse en algún supuesto restrictivo, previsto en la normatividad aplicable.</w:t>
      </w:r>
    </w:p>
  </w:footnote>
  <w:footnote w:id="3">
    <w:p w14:paraId="3D10A5E1" w14:textId="77777777" w:rsidR="002369AB" w:rsidRDefault="0028237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59. Los servidores públicos habilitados tendrán las funciones siguientes:</w:t>
      </w:r>
    </w:p>
    <w:p w14:paraId="42B886D9" w14:textId="77777777" w:rsidR="002369AB" w:rsidRDefault="0028237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 Integrar y presentar al responsable de la Unidad de Transparencia la propuesta de clasificación de información, la cual tendrá los fundamentos y argumentos en que se basa dicha propuesta;</w:t>
      </w:r>
    </w:p>
  </w:footnote>
  <w:footnote w:id="4">
    <w:p w14:paraId="3C1A1211" w14:textId="77777777" w:rsidR="002369AB" w:rsidRDefault="0028237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53. Las Unidades de Transparencia tendrán las siguientes funciones:</w:t>
      </w:r>
    </w:p>
    <w:p w14:paraId="4F33EAD8" w14:textId="77777777" w:rsidR="002369AB" w:rsidRDefault="0028237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X. Presentar ante el Comité, el proyecto de clasificación de información;</w:t>
      </w:r>
    </w:p>
  </w:footnote>
  <w:footnote w:id="5">
    <w:p w14:paraId="15C5440D" w14:textId="77777777" w:rsidR="002369AB" w:rsidRDefault="0028237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Artículo 49. Los Comités de Transparencia tendrán las siguientes atribuciones:</w:t>
      </w:r>
    </w:p>
    <w:p w14:paraId="4BD0698F" w14:textId="77777777" w:rsidR="002369AB" w:rsidRDefault="0028237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Confirmar, modificar o revocar las determinaciones que en materia de ampliación del plazo de respuesta, clasificación de la información y declaración de inexistencia o de incompetencia realicen los titulares de las áreas de los sujetos obligados;</w:t>
      </w:r>
    </w:p>
    <w:p w14:paraId="156E6DB1" w14:textId="77777777" w:rsidR="002369AB" w:rsidRDefault="00282375">
      <w:pPr>
        <w:pBdr>
          <w:top w:val="nil"/>
          <w:left w:val="nil"/>
          <w:bottom w:val="nil"/>
          <w:right w:val="nil"/>
          <w:between w:val="nil"/>
        </w:pBd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VIII. Aprobar, modificar o revocar la clasificación de la información;</w:t>
      </w:r>
    </w:p>
  </w:footnote>
  <w:footnote w:id="6">
    <w:p w14:paraId="4872D181" w14:textId="77777777" w:rsidR="002369AB" w:rsidRDefault="00282375">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Publicados en el Diario Oficial de la Federación en fecha quince de abril del año dos mil dieciséis, mediante Acuerdo del Consejo Nacional del Sistema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53A75" w14:textId="77777777" w:rsidR="002369AB" w:rsidRDefault="00282375">
    <w:pPr>
      <w:widowControl w:val="0"/>
      <w:pBdr>
        <w:top w:val="nil"/>
        <w:left w:val="nil"/>
        <w:bottom w:val="nil"/>
        <w:right w:val="nil"/>
        <w:between w:val="nil"/>
      </w:pBdr>
      <w:spacing w:line="276" w:lineRule="auto"/>
      <w:rPr>
        <w:rFonts w:ascii="Calibri" w:eastAsia="Calibri" w:hAnsi="Calibri" w:cs="Calibri"/>
        <w:color w:val="000000"/>
      </w:rPr>
    </w:pPr>
    <w:r>
      <w:rPr>
        <w:noProof/>
      </w:rPr>
      <w:drawing>
        <wp:anchor distT="0" distB="0" distL="0" distR="0" simplePos="0" relativeHeight="251658240" behindDoc="1" locked="0" layoutInCell="1" hidden="0" allowOverlap="1" wp14:anchorId="770897A9" wp14:editId="1FAF2BE7">
          <wp:simplePos x="0" y="0"/>
          <wp:positionH relativeFrom="column">
            <wp:posOffset>-721994</wp:posOffset>
          </wp:positionH>
          <wp:positionV relativeFrom="paragraph">
            <wp:posOffset>-194309</wp:posOffset>
          </wp:positionV>
          <wp:extent cx="7635875" cy="994346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bl>
    <w:tblPr>
      <w:tblStyle w:val="a8"/>
      <w:tblW w:w="5528" w:type="dxa"/>
      <w:tblInd w:w="3261" w:type="dxa"/>
      <w:tblLayout w:type="fixed"/>
      <w:tblLook w:val="0400" w:firstRow="0" w:lastRow="0" w:firstColumn="0" w:lastColumn="0" w:noHBand="0" w:noVBand="1"/>
    </w:tblPr>
    <w:tblGrid>
      <w:gridCol w:w="2552"/>
      <w:gridCol w:w="2976"/>
    </w:tblGrid>
    <w:tr w:rsidR="002369AB" w14:paraId="0A3985A1" w14:textId="77777777">
      <w:tc>
        <w:tcPr>
          <w:tcW w:w="2552" w:type="dxa"/>
          <w:vAlign w:val="center"/>
        </w:tcPr>
        <w:p w14:paraId="73E08520" w14:textId="77777777" w:rsidR="002369AB" w:rsidRDefault="0028237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2976" w:type="dxa"/>
          <w:vAlign w:val="center"/>
        </w:tcPr>
        <w:p w14:paraId="076008AD" w14:textId="77777777" w:rsidR="002369AB" w:rsidRDefault="00282375">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 xml:space="preserve">01904/INFOEM/IP/RR/2026 </w:t>
          </w:r>
        </w:p>
      </w:tc>
    </w:tr>
    <w:tr w:rsidR="002369AB" w14:paraId="2C67B62D" w14:textId="77777777">
      <w:trPr>
        <w:trHeight w:val="228"/>
      </w:trPr>
      <w:tc>
        <w:tcPr>
          <w:tcW w:w="2552" w:type="dxa"/>
          <w:shd w:val="clear" w:color="auto" w:fill="auto"/>
          <w:vAlign w:val="center"/>
        </w:tcPr>
        <w:p w14:paraId="5BC82E7B" w14:textId="77777777" w:rsidR="002369AB" w:rsidRDefault="0028237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29ABF8FB" w14:textId="77777777" w:rsidR="002369AB" w:rsidRDefault="002369AB">
          <w:pPr>
            <w:rPr>
              <w:rFonts w:ascii="Palatino Linotype" w:eastAsia="Palatino Linotype" w:hAnsi="Palatino Linotype" w:cs="Palatino Linotype"/>
              <w:b/>
              <w:bCs/>
              <w:sz w:val="21"/>
              <w:szCs w:val="21"/>
            </w:rPr>
          </w:pPr>
        </w:p>
      </w:tc>
      <w:tc>
        <w:tcPr>
          <w:tcW w:w="2976" w:type="dxa"/>
          <w:shd w:val="clear" w:color="auto" w:fill="auto"/>
          <w:vAlign w:val="center"/>
        </w:tcPr>
        <w:p w14:paraId="457B75EC" w14:textId="77777777" w:rsidR="002369AB" w:rsidRDefault="00282375">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2369AB" w14:paraId="5805A7FB" w14:textId="77777777">
      <w:tc>
        <w:tcPr>
          <w:tcW w:w="2552" w:type="dxa"/>
          <w:vAlign w:val="center"/>
        </w:tcPr>
        <w:p w14:paraId="21C4B537" w14:textId="77777777" w:rsidR="002369AB" w:rsidRDefault="0028237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2976" w:type="dxa"/>
          <w:vAlign w:val="center"/>
        </w:tcPr>
        <w:p w14:paraId="1268C2CB" w14:textId="77777777" w:rsidR="002369AB" w:rsidRDefault="00282375">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6C0A37E6" w14:textId="77777777" w:rsidR="002369AB" w:rsidRDefault="00282375">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rFonts w:ascii="Calibri" w:eastAsia="Calibri" w:hAnsi="Calibri" w:cs="Calibri"/>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FCA53" w14:textId="77777777" w:rsidR="002369AB" w:rsidRDefault="00282375">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tbl>
    <w:tblPr>
      <w:tblStyle w:val="a9"/>
      <w:tblW w:w="6238" w:type="dxa"/>
      <w:tblInd w:w="3119" w:type="dxa"/>
      <w:tblLayout w:type="fixed"/>
      <w:tblLook w:val="0400" w:firstRow="0" w:lastRow="0" w:firstColumn="0" w:lastColumn="0" w:noHBand="0" w:noVBand="1"/>
    </w:tblPr>
    <w:tblGrid>
      <w:gridCol w:w="2551"/>
      <w:gridCol w:w="3687"/>
    </w:tblGrid>
    <w:tr w:rsidR="002369AB" w14:paraId="58487374" w14:textId="77777777">
      <w:tc>
        <w:tcPr>
          <w:tcW w:w="2551" w:type="dxa"/>
          <w:vAlign w:val="center"/>
        </w:tcPr>
        <w:p w14:paraId="73D19F8D" w14:textId="77777777" w:rsidR="002369AB" w:rsidRDefault="0028237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Recurso de Revisión:</w:t>
          </w:r>
        </w:p>
      </w:tc>
      <w:tc>
        <w:tcPr>
          <w:tcW w:w="3687" w:type="dxa"/>
          <w:vAlign w:val="center"/>
        </w:tcPr>
        <w:p w14:paraId="4BE2D66A" w14:textId="77777777" w:rsidR="002369AB" w:rsidRDefault="00282375">
          <w:pPr>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01904/INFOEM/IP/RR/2026</w:t>
          </w:r>
        </w:p>
      </w:tc>
    </w:tr>
    <w:tr w:rsidR="002369AB" w14:paraId="031B54C3" w14:textId="77777777">
      <w:tc>
        <w:tcPr>
          <w:tcW w:w="2551" w:type="dxa"/>
          <w:vAlign w:val="center"/>
        </w:tcPr>
        <w:p w14:paraId="6E8205E6" w14:textId="77777777" w:rsidR="002369AB" w:rsidRDefault="00282375">
          <w:pPr>
            <w:ind w:left="35" w:hanging="35"/>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Recurrente:</w:t>
          </w:r>
          <w:r>
            <w:rPr>
              <w:noProof/>
            </w:rPr>
            <w:drawing>
              <wp:anchor distT="0" distB="0" distL="0" distR="0" simplePos="0" relativeHeight="251659264" behindDoc="1" locked="0" layoutInCell="1" hidden="0" allowOverlap="1" wp14:anchorId="1E33F9FD" wp14:editId="4B0A13CF">
                <wp:simplePos x="0" y="0"/>
                <wp:positionH relativeFrom="column">
                  <wp:posOffset>-2834004</wp:posOffset>
                </wp:positionH>
                <wp:positionV relativeFrom="paragraph">
                  <wp:posOffset>-479424</wp:posOffset>
                </wp:positionV>
                <wp:extent cx="7635875" cy="9943465"/>
                <wp:effectExtent l="0" t="0" r="0" b="0"/>
                <wp:wrapNone/>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635875" cy="9943465"/>
                        </a:xfrm>
                        <a:prstGeom prst="rect">
                          <a:avLst/>
                        </a:prstGeom>
                        <a:ln/>
                      </pic:spPr>
                    </pic:pic>
                  </a:graphicData>
                </a:graphic>
              </wp:anchor>
            </w:drawing>
          </w:r>
        </w:p>
      </w:tc>
      <w:tc>
        <w:tcPr>
          <w:tcW w:w="3687" w:type="dxa"/>
          <w:vAlign w:val="center"/>
        </w:tcPr>
        <w:p w14:paraId="0D2943D1" w14:textId="43246DB8" w:rsidR="002369AB" w:rsidRDefault="00A44B61">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sz w:val="21"/>
              <w:szCs w:val="21"/>
              <w:lang w:val="es-ES"/>
            </w:rPr>
            <w:t>XXXXX XXXXXXX XXXXX</w:t>
          </w:r>
        </w:p>
      </w:tc>
    </w:tr>
    <w:tr w:rsidR="002369AB" w14:paraId="7394D885" w14:textId="77777777">
      <w:trPr>
        <w:trHeight w:val="228"/>
      </w:trPr>
      <w:tc>
        <w:tcPr>
          <w:tcW w:w="2551" w:type="dxa"/>
          <w:vAlign w:val="center"/>
        </w:tcPr>
        <w:p w14:paraId="4A8F7A48" w14:textId="77777777" w:rsidR="002369AB" w:rsidRDefault="0028237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Sujeto obligado:</w:t>
          </w:r>
        </w:p>
        <w:p w14:paraId="7D52F3E5" w14:textId="77777777" w:rsidR="002369AB" w:rsidRDefault="002369AB">
          <w:pPr>
            <w:rPr>
              <w:rFonts w:ascii="Palatino Linotype" w:eastAsia="Palatino Linotype" w:hAnsi="Palatino Linotype" w:cs="Palatino Linotype"/>
              <w:b/>
              <w:bCs/>
              <w:sz w:val="21"/>
              <w:szCs w:val="21"/>
            </w:rPr>
          </w:pPr>
        </w:p>
      </w:tc>
      <w:tc>
        <w:tcPr>
          <w:tcW w:w="3687" w:type="dxa"/>
          <w:vAlign w:val="center"/>
        </w:tcPr>
        <w:p w14:paraId="7263A3EE" w14:textId="77777777" w:rsidR="002369AB" w:rsidRDefault="00282375">
          <w:pPr>
            <w:ind w:right="452"/>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Ayuntamiento de Tepotzotlán</w:t>
          </w:r>
        </w:p>
      </w:tc>
    </w:tr>
    <w:tr w:rsidR="002369AB" w14:paraId="3B6B84F2" w14:textId="77777777">
      <w:tc>
        <w:tcPr>
          <w:tcW w:w="2551" w:type="dxa"/>
          <w:vAlign w:val="center"/>
        </w:tcPr>
        <w:p w14:paraId="30435849" w14:textId="77777777" w:rsidR="002369AB" w:rsidRDefault="00282375">
          <w:pPr>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Comisionada ponente:</w:t>
          </w:r>
        </w:p>
      </w:tc>
      <w:tc>
        <w:tcPr>
          <w:tcW w:w="3687" w:type="dxa"/>
          <w:vAlign w:val="center"/>
        </w:tcPr>
        <w:p w14:paraId="229EA6A3" w14:textId="77777777" w:rsidR="002369AB" w:rsidRDefault="00282375">
          <w:pPr>
            <w:ind w:right="-533"/>
            <w:jc w:val="both"/>
            <w:rPr>
              <w:rFonts w:ascii="Palatino Linotype" w:eastAsia="Palatino Linotype" w:hAnsi="Palatino Linotype" w:cs="Palatino Linotype"/>
              <w:b/>
              <w:bCs/>
              <w:sz w:val="21"/>
              <w:szCs w:val="21"/>
            </w:rPr>
          </w:pPr>
          <w:r>
            <w:rPr>
              <w:rFonts w:ascii="Palatino Linotype" w:eastAsia="Palatino Linotype" w:hAnsi="Palatino Linotype" w:cs="Palatino Linotype"/>
              <w:b/>
              <w:bCs/>
              <w:sz w:val="21"/>
              <w:szCs w:val="21"/>
            </w:rPr>
            <w:t>Guadalupe Ramírez Peña</w:t>
          </w:r>
        </w:p>
      </w:tc>
    </w:tr>
  </w:tbl>
  <w:p w14:paraId="26D80791" w14:textId="77777777" w:rsidR="002369AB" w:rsidRDefault="002369AB">
    <w:pPr>
      <w:pBdr>
        <w:top w:val="nil"/>
        <w:left w:val="nil"/>
        <w:bottom w:val="nil"/>
        <w:right w:val="nil"/>
        <w:between w:val="nil"/>
      </w:pBdr>
      <w:tabs>
        <w:tab w:val="center" w:pos="4252"/>
        <w:tab w:val="right" w:pos="8504"/>
      </w:tabs>
      <w:rPr>
        <w:rFonts w:ascii="Calibri" w:eastAsia="Calibri" w:hAnsi="Calibri"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89568" w14:textId="77777777" w:rsidR="002369AB" w:rsidRDefault="00282375">
    <w:pPr>
      <w:pBdr>
        <w:top w:val="nil"/>
        <w:left w:val="nil"/>
        <w:bottom w:val="nil"/>
        <w:right w:val="nil"/>
        <w:between w:val="nil"/>
      </w:pBdr>
      <w:tabs>
        <w:tab w:val="center" w:pos="4252"/>
        <w:tab w:val="right" w:pos="8504"/>
      </w:tabs>
      <w:jc w:val="both"/>
      <w:rPr>
        <w:rFonts w:ascii="Calibri" w:eastAsia="Calibri" w:hAnsi="Calibri" w:cs="Calibri"/>
        <w:color w:val="000000"/>
      </w:rPr>
    </w:pPr>
    <w:r>
      <w:rPr>
        <w:rFonts w:ascii="Calibri" w:eastAsia="Calibri" w:hAnsi="Calibri" w:cs="Calibri"/>
        <w:color w:val="000000"/>
      </w:rPr>
      <w:t xml:space="preserve">                                  </w:t>
    </w:r>
  </w:p>
  <w:p w14:paraId="27987F3D" w14:textId="77777777" w:rsidR="002369AB" w:rsidRDefault="002369AB">
    <w:pPr>
      <w:pBdr>
        <w:top w:val="nil"/>
        <w:left w:val="nil"/>
        <w:bottom w:val="nil"/>
        <w:right w:val="nil"/>
        <w:between w:val="nil"/>
      </w:pBdr>
      <w:tabs>
        <w:tab w:val="center" w:pos="4252"/>
        <w:tab w:val="right" w:pos="8504"/>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31E3B"/>
    <w:multiLevelType w:val="multilevel"/>
    <w:tmpl w:val="030C2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684B77"/>
    <w:multiLevelType w:val="multilevel"/>
    <w:tmpl w:val="D72E96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3214052"/>
    <w:multiLevelType w:val="multilevel"/>
    <w:tmpl w:val="A3D6EE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5065C99"/>
    <w:multiLevelType w:val="multilevel"/>
    <w:tmpl w:val="4A3C5FC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E802690"/>
    <w:multiLevelType w:val="multilevel"/>
    <w:tmpl w:val="4986F7EA"/>
    <w:lvl w:ilvl="0">
      <w:start w:val="7"/>
      <w:numFmt w:val="upperRoman"/>
      <w:lvlText w:val="%1."/>
      <w:lvlJc w:val="left"/>
      <w:pPr>
        <w:ind w:left="108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76828772">
    <w:abstractNumId w:val="2"/>
  </w:num>
  <w:num w:numId="2" w16cid:durableId="1041248086">
    <w:abstractNumId w:val="0"/>
  </w:num>
  <w:num w:numId="3" w16cid:durableId="1376005262">
    <w:abstractNumId w:val="1"/>
  </w:num>
  <w:num w:numId="4" w16cid:durableId="1314406859">
    <w:abstractNumId w:val="4"/>
  </w:num>
  <w:num w:numId="5" w16cid:durableId="10575065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9AB"/>
    <w:rsid w:val="00007A72"/>
    <w:rsid w:val="002369AB"/>
    <w:rsid w:val="00282375"/>
    <w:rsid w:val="003B6362"/>
    <w:rsid w:val="008B1A35"/>
    <w:rsid w:val="00A44B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A7E0A"/>
  <w15:docId w15:val="{C91D6C36-2BF1-4899-87AB-AD5B2866C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591A48"/>
    <w:rPr>
      <w:rFonts w:eastAsiaTheme="minorEastAsia"/>
      <w:sz w:val="24"/>
      <w:szCs w:val="24"/>
      <w:lang w:val="es-ES_tradnl" w:eastAsia="es-ES"/>
    </w:rPr>
  </w:style>
  <w:style w:type="paragraph" w:styleId="Piedepgina">
    <w:name w:val="footer"/>
    <w:basedOn w:val="Normal"/>
    <w:link w:val="PiedepginaCar"/>
    <w:uiPriority w:val="99"/>
    <w:unhideWhenUsed/>
    <w:rsid w:val="00591A4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591A48"/>
    <w:rPr>
      <w:rFonts w:eastAsiaTheme="minorEastAsia"/>
      <w:sz w:val="24"/>
      <w:szCs w:val="24"/>
      <w:lang w:val="es-ES_tradnl"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591A48"/>
    <w:rPr>
      <w:rFonts w:ascii="Times New Roman" w:eastAsia="Times New Roman" w:hAnsi="Times New Roman"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591A48"/>
    <w:pPr>
      <w:ind w:left="708"/>
    </w:pPr>
    <w:rPr>
      <w:sz w:val="22"/>
      <w:szCs w:val="22"/>
      <w:lang w:val="es-MX" w:eastAsia="en-US"/>
    </w:rPr>
  </w:style>
  <w:style w:type="table" w:styleId="Tablaconcuadrcula">
    <w:name w:val="Table Grid"/>
    <w:basedOn w:val="Tablanormal"/>
    <w:uiPriority w:val="59"/>
    <w:rsid w:val="00591A48"/>
    <w:rPr>
      <w:rFonts w:eastAsiaTheme="minorEastAsia"/>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Fuentedeprrafopredeter"/>
    <w:rsid w:val="00591A48"/>
  </w:style>
  <w:style w:type="character" w:customStyle="1" w:styleId="apple-converted-space">
    <w:name w:val="apple-converted-space"/>
    <w:basedOn w:val="Fuentedeprrafopredeter"/>
    <w:rsid w:val="00591A48"/>
  </w:style>
  <w:style w:type="character" w:styleId="Hipervnculo">
    <w:name w:val="Hyperlink"/>
    <w:basedOn w:val="Fuentedeprrafopredeter"/>
    <w:uiPriority w:val="99"/>
    <w:unhideWhenUsed/>
    <w:rsid w:val="00591A48"/>
    <w:rPr>
      <w:color w:val="0000FF"/>
      <w:u w:val="single"/>
    </w:rPr>
  </w:style>
  <w:style w:type="paragraph" w:styleId="NormalWeb">
    <w:name w:val="Normal (Web)"/>
    <w:basedOn w:val="Normal"/>
    <w:uiPriority w:val="99"/>
    <w:unhideWhenUsed/>
    <w:rsid w:val="00591A48"/>
    <w:pPr>
      <w:spacing w:before="100" w:beforeAutospacing="1" w:after="100" w:afterAutospacing="1"/>
    </w:pPr>
    <w:rPr>
      <w:lang w:val="es-MX"/>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591A48"/>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591A48"/>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591A48"/>
    <w:rPr>
      <w:vertAlign w:val="superscript"/>
    </w:rPr>
  </w:style>
  <w:style w:type="character" w:styleId="Refdecomentario">
    <w:name w:val="annotation reference"/>
    <w:basedOn w:val="Fuentedeprrafopredeter"/>
    <w:uiPriority w:val="99"/>
    <w:semiHidden/>
    <w:unhideWhenUsed/>
    <w:rsid w:val="00D33422"/>
    <w:rPr>
      <w:sz w:val="16"/>
      <w:szCs w:val="16"/>
    </w:rPr>
  </w:style>
  <w:style w:type="paragraph" w:styleId="Textocomentario">
    <w:name w:val="annotation text"/>
    <w:basedOn w:val="Normal"/>
    <w:link w:val="TextocomentarioCar"/>
    <w:uiPriority w:val="99"/>
    <w:semiHidden/>
    <w:unhideWhenUsed/>
    <w:rsid w:val="00D33422"/>
    <w:rPr>
      <w:sz w:val="20"/>
      <w:szCs w:val="20"/>
    </w:rPr>
  </w:style>
  <w:style w:type="character" w:customStyle="1" w:styleId="TextocomentarioCar">
    <w:name w:val="Texto comentario Car"/>
    <w:basedOn w:val="Fuentedeprrafopredeter"/>
    <w:link w:val="Textocomentario"/>
    <w:uiPriority w:val="99"/>
    <w:semiHidden/>
    <w:rsid w:val="00D3342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33422"/>
    <w:rPr>
      <w:b/>
      <w:bCs/>
    </w:rPr>
  </w:style>
  <w:style w:type="character" w:customStyle="1" w:styleId="AsuntodelcomentarioCar">
    <w:name w:val="Asunto del comentario Car"/>
    <w:basedOn w:val="TextocomentarioCar"/>
    <w:link w:val="Asuntodelcomentario"/>
    <w:uiPriority w:val="99"/>
    <w:semiHidden/>
    <w:rsid w:val="00D3342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D3342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33422"/>
    <w:rPr>
      <w:rFonts w:ascii="Segoe UI" w:eastAsia="Times New Roman" w:hAnsi="Segoe UI" w:cs="Segoe UI"/>
      <w:sz w:val="18"/>
      <w:szCs w:val="18"/>
      <w:lang w:val="es-ES" w:eastAsia="es-ES"/>
    </w:rPr>
  </w:style>
  <w:style w:type="paragraph" w:customStyle="1" w:styleId="paragraph">
    <w:name w:val="paragraph"/>
    <w:basedOn w:val="Normal"/>
    <w:rsid w:val="00225930"/>
    <w:pPr>
      <w:spacing w:before="100" w:beforeAutospacing="1" w:after="100" w:afterAutospacing="1"/>
    </w:pPr>
    <w:rPr>
      <w:lang w:val="es-MX"/>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paragraph" w:styleId="Textoindependiente">
    <w:name w:val="Body Text"/>
    <w:basedOn w:val="Normal"/>
    <w:link w:val="TextoindependienteCar"/>
    <w:uiPriority w:val="99"/>
    <w:unhideWhenUsed/>
    <w:rsid w:val="00AA0915"/>
    <w:pPr>
      <w:spacing w:after="120"/>
    </w:pPr>
  </w:style>
  <w:style w:type="character" w:customStyle="1" w:styleId="TextoindependienteCar">
    <w:name w:val="Texto independiente Car"/>
    <w:basedOn w:val="Fuentedeprrafopredeter"/>
    <w:link w:val="Textoindependiente"/>
    <w:uiPriority w:val="99"/>
    <w:rsid w:val="00AA0915"/>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paragraph" w:styleId="Sinespaciado">
    <w:name w:val="No Spacing"/>
    <w:aliases w:val="Francesa,INAI"/>
    <w:link w:val="SinespaciadoCar"/>
    <w:uiPriority w:val="1"/>
    <w:qFormat/>
    <w:rsid w:val="0085765F"/>
    <w:rPr>
      <w:lang w:val="es-MX" w:eastAsia="es-ES"/>
    </w:rPr>
  </w:style>
  <w:style w:type="character" w:customStyle="1" w:styleId="SinespaciadoCar">
    <w:name w:val="Sin espaciado Car"/>
    <w:aliases w:val="Francesa Car,INAI Car"/>
    <w:link w:val="Sinespaciado"/>
    <w:uiPriority w:val="1"/>
    <w:locked/>
    <w:rsid w:val="0085765F"/>
    <w:rPr>
      <w:lang w:val="es-MX" w:eastAsia="es-ES"/>
    </w:r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Wf59AFPrZaFEhWpqU524E4v03A==">CgMxLjAyCGguZ2pkZ3hzMg5oLnVmbGRsZzF6NWNxZTIJaC4zZHk2dmttMgloLjN6bnlzaDcyDmguaWJpaWU1MXNhd2w2MgloLjFmb2I5dGU4AHIhMUxUY1J0QXJOZEQ1ZHZTczlaMGQxV0w4eUt5bFJnaUQ5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8168</Words>
  <Characters>44927</Characters>
  <Application>Microsoft Office Word</Application>
  <DocSecurity>0</DocSecurity>
  <Lines>374</Lines>
  <Paragraphs>105</Paragraphs>
  <ScaleCrop>false</ScaleCrop>
  <Company/>
  <LinksUpToDate>false</LinksUpToDate>
  <CharactersWithSpaces>52990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ADRIANA INFOEM</cp:lastModifiedBy>
  <cp:revision>2</cp:revision>
  <dcterms:created xsi:type="dcterms:W3CDTF">2026-03-25T23:37:00Z</dcterms:created>
  <dcterms:modified xsi:type="dcterms:W3CDTF">2026-03-25T23:37:00Z</dcterms:modified>
</cp:coreProperties>
</file>