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a dieciocho de febrero de dos mil veintiséis. </w:t>
      </w:r>
    </w:p>
    <w:p w:rsidR="00000000" w:rsidDel="00000000" w:rsidP="00000000" w:rsidRDefault="00000000" w:rsidRPr="00000000" w14:paraId="0000000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3">
      <w:pPr>
        <w:spacing w:line="360" w:lineRule="auto"/>
        <w:jc w:val="both"/>
        <w:rPr>
          <w:rFonts w:ascii="Palatino Linotype" w:cs="Palatino Linotype" w:eastAsia="Palatino Linotype" w:hAnsi="Palatino Linotype"/>
          <w:sz w:val="22"/>
          <w:szCs w:val="22"/>
        </w:rPr>
      </w:pPr>
      <w:bookmarkStart w:colFirst="0" w:colLast="0" w:name="_heading=h.n116apmdpbbc" w:id="0"/>
      <w:bookmarkEnd w:id="0"/>
      <w:r w:rsidDel="00000000" w:rsidR="00000000" w:rsidRPr="00000000">
        <w:rPr>
          <w:rFonts w:ascii="Palatino Linotype" w:cs="Palatino Linotype" w:eastAsia="Palatino Linotype" w:hAnsi="Palatino Linotype"/>
          <w:b w:val="1"/>
          <w:bCs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formado con motivo del recurso de revisión </w:t>
      </w:r>
      <w:r w:rsidDel="00000000" w:rsidR="00000000" w:rsidRPr="00000000">
        <w:rPr>
          <w:rFonts w:ascii="Palatino Linotype" w:cs="Palatino Linotype" w:eastAsia="Palatino Linotype" w:hAnsi="Palatino Linotype"/>
          <w:b w:val="1"/>
          <w:bCs w:val="1"/>
          <w:sz w:val="22"/>
          <w:szCs w:val="22"/>
          <w:rtl w:val="0"/>
        </w:rPr>
        <w:t xml:space="preserve">14199/INFOEM/IP/RR/2025</w:t>
      </w:r>
      <w:r w:rsidDel="00000000" w:rsidR="00000000" w:rsidRPr="00000000">
        <w:rPr>
          <w:rFonts w:ascii="Palatino Linotype" w:cs="Palatino Linotype" w:eastAsia="Palatino Linotype" w:hAnsi="Palatino Linotype"/>
          <w:sz w:val="22"/>
          <w:szCs w:val="22"/>
          <w:rtl w:val="0"/>
        </w:rPr>
        <w:t xml:space="preserve">, interpuesto por</w:t>
      </w:r>
      <w:r w:rsidDel="00000000" w:rsidR="00000000" w:rsidRPr="00000000">
        <w:rPr>
          <w:rFonts w:ascii="Palatino Linotype" w:cs="Palatino Linotype" w:eastAsia="Palatino Linotype" w:hAnsi="Palatino Linotype"/>
          <w:b w:val="1"/>
          <w:bCs w:val="1"/>
          <w:sz w:val="22"/>
          <w:szCs w:val="22"/>
          <w:rtl w:val="0"/>
        </w:rPr>
        <w:t xml:space="preserve"> XXXXX XXXXXX XXXXXXXX,</w:t>
      </w:r>
      <w:r w:rsidDel="00000000" w:rsidR="00000000" w:rsidRPr="00000000">
        <w:rPr>
          <w:rFonts w:ascii="Palatino Linotype" w:cs="Palatino Linotype" w:eastAsia="Palatino Linotype" w:hAnsi="Palatino Linotype"/>
          <w:sz w:val="22"/>
          <w:szCs w:val="22"/>
          <w:rtl w:val="0"/>
        </w:rPr>
        <w:t xml:space="preserve"> en lo sucesivo</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contra de la respuesta a su solicitud de información con número de folio </w:t>
      </w:r>
      <w:r w:rsidDel="00000000" w:rsidR="00000000" w:rsidRPr="00000000">
        <w:rPr>
          <w:rFonts w:ascii="Palatino Linotype" w:cs="Palatino Linotype" w:eastAsia="Palatino Linotype" w:hAnsi="Palatino Linotype"/>
          <w:b w:val="1"/>
          <w:bCs w:val="1"/>
          <w:sz w:val="22"/>
          <w:szCs w:val="22"/>
          <w:rtl w:val="0"/>
        </w:rPr>
        <w:t xml:space="preserve">00330/BIENESTAR/IP/2025</w:t>
      </w:r>
      <w:r w:rsidDel="00000000" w:rsidR="00000000" w:rsidRPr="00000000">
        <w:rPr>
          <w:rFonts w:ascii="Palatino Linotype" w:cs="Palatino Linotype" w:eastAsia="Palatino Linotype" w:hAnsi="Palatino Linotype"/>
          <w:sz w:val="22"/>
          <w:szCs w:val="22"/>
          <w:rtl w:val="0"/>
        </w:rPr>
        <w:t xml:space="preserve">, por parte de la </w:t>
      </w:r>
      <w:r w:rsidDel="00000000" w:rsidR="00000000" w:rsidRPr="00000000">
        <w:rPr>
          <w:rFonts w:ascii="Palatino Linotype" w:cs="Palatino Linotype" w:eastAsia="Palatino Linotype" w:hAnsi="Palatino Linotype"/>
          <w:b w:val="1"/>
          <w:bCs w:val="1"/>
          <w:sz w:val="22"/>
          <w:szCs w:val="22"/>
          <w:rtl w:val="0"/>
        </w:rPr>
        <w:t xml:space="preserve">Secretaría de Bienestar,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 </w:t>
      </w:r>
    </w:p>
    <w:p w:rsidR="00000000" w:rsidDel="00000000" w:rsidP="00000000" w:rsidRDefault="00000000" w:rsidRPr="00000000" w14:paraId="0000000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5">
      <w:pPr>
        <w:spacing w:line="360" w:lineRule="auto"/>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I. A N T E C E D E N T E S</w:t>
      </w:r>
    </w:p>
    <w:p w:rsidR="00000000" w:rsidDel="00000000" w:rsidP="00000000" w:rsidRDefault="00000000" w:rsidRPr="00000000" w14:paraId="00000006">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0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1. Solicitud de acceso a la información.</w:t>
      </w:r>
      <w:r w:rsidDel="00000000" w:rsidR="00000000" w:rsidRPr="00000000">
        <w:rPr>
          <w:rFonts w:ascii="Palatino Linotype" w:cs="Palatino Linotype" w:eastAsia="Palatino Linotype" w:hAnsi="Palatino Linotype"/>
          <w:sz w:val="22"/>
          <w:szCs w:val="22"/>
          <w:rtl w:val="0"/>
        </w:rPr>
        <w:t xml:space="preserve"> Con fecha </w:t>
      </w:r>
      <w:r w:rsidDel="00000000" w:rsidR="00000000" w:rsidRPr="00000000">
        <w:rPr>
          <w:rFonts w:ascii="Palatino Linotype" w:cs="Palatino Linotype" w:eastAsia="Palatino Linotype" w:hAnsi="Palatino Linotype"/>
          <w:b w:val="1"/>
          <w:bCs w:val="1"/>
          <w:sz w:val="22"/>
          <w:szCs w:val="22"/>
          <w:rtl w:val="0"/>
        </w:rPr>
        <w:t xml:space="preserve">once de noviembre de dos mil veinticinco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formuló solicitud de acceso a información pública al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bCs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requiriéndole lo siguiente:</w:t>
      </w:r>
    </w:p>
    <w:p w:rsidR="00000000" w:rsidDel="00000000" w:rsidP="00000000" w:rsidRDefault="00000000" w:rsidRPr="00000000" w14:paraId="00000008">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09">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“SOLICITO COPIA SIMPLE DIGITALIZADA A TRAVÉS DEL SISTEMA ELECTRÓNICO SAIMEX DE TODAS LAS </w:t>
      </w:r>
      <w:r w:rsidDel="00000000" w:rsidR="00000000" w:rsidRPr="00000000">
        <w:rPr>
          <w:rFonts w:ascii="Palatino Linotype" w:cs="Palatino Linotype" w:eastAsia="Palatino Linotype" w:hAnsi="Palatino Linotype"/>
          <w:b w:val="1"/>
          <w:bCs w:val="1"/>
          <w:i w:val="1"/>
          <w:iCs w:val="1"/>
          <w:sz w:val="22"/>
          <w:szCs w:val="22"/>
          <w:rtl w:val="0"/>
        </w:rPr>
        <w:t xml:space="preserve">FACTURAS PAGADAS Y EN PROCESO DE PAGO POR MÁS DE UN MILLÓN DE PESOS </w:t>
      </w:r>
      <w:r w:rsidDel="00000000" w:rsidR="00000000" w:rsidRPr="00000000">
        <w:rPr>
          <w:rFonts w:ascii="Palatino Linotype" w:cs="Palatino Linotype" w:eastAsia="Palatino Linotype" w:hAnsi="Palatino Linotype"/>
          <w:i w:val="1"/>
          <w:iCs w:val="1"/>
          <w:sz w:val="22"/>
          <w:szCs w:val="22"/>
          <w:rtl w:val="0"/>
        </w:rPr>
        <w:t xml:space="preserve">GENERADAS ENTRE EL 1 DE ENERO Y EL 10 DE NOVIEMBRE DE 2025.</w:t>
      </w:r>
      <w:r w:rsidDel="00000000" w:rsidR="00000000" w:rsidRPr="00000000">
        <w:rPr>
          <w:rFonts w:ascii="Palatino Linotype" w:cs="Palatino Linotype" w:eastAsia="Palatino Linotype" w:hAnsi="Palatino Linotype"/>
          <w:b w:val="1"/>
          <w:bCs w:val="1"/>
          <w:i w:val="1"/>
          <w:iCs w:val="1"/>
          <w:sz w:val="22"/>
          <w:szCs w:val="22"/>
          <w:rtl w:val="0"/>
        </w:rPr>
        <w:t xml:space="preserve">”</w:t>
      </w:r>
      <w:r w:rsidDel="00000000" w:rsidR="00000000" w:rsidRPr="00000000">
        <w:rPr>
          <w:rFonts w:ascii="Palatino Linotype" w:cs="Palatino Linotype" w:eastAsia="Palatino Linotype" w:hAnsi="Palatino Linotype"/>
          <w:i w:val="1"/>
          <w:iCs w:val="1"/>
          <w:sz w:val="22"/>
          <w:szCs w:val="22"/>
          <w:rtl w:val="0"/>
        </w:rPr>
        <w:t xml:space="preserve"> (sic) </w:t>
      </w:r>
      <w:r w:rsidDel="00000000" w:rsidR="00000000" w:rsidRPr="00000000">
        <w:rPr>
          <w:rtl w:val="0"/>
        </w:rPr>
      </w:r>
    </w:p>
    <w:p w:rsidR="00000000" w:rsidDel="00000000" w:rsidP="00000000" w:rsidRDefault="00000000" w:rsidRPr="00000000" w14:paraId="0000000A">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0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Modalidad de Entrega:</w:t>
      </w:r>
      <w:r w:rsidDel="00000000" w:rsidR="00000000" w:rsidRPr="00000000">
        <w:rPr>
          <w:rFonts w:ascii="Palatino Linotype" w:cs="Palatino Linotype" w:eastAsia="Palatino Linotype" w:hAnsi="Palatino Linotype"/>
          <w:sz w:val="22"/>
          <w:szCs w:val="22"/>
          <w:rtl w:val="0"/>
        </w:rPr>
        <w:t xml:space="preserve"> a través </w:t>
      </w:r>
      <w:r w:rsidDel="00000000" w:rsidR="00000000" w:rsidRPr="00000000">
        <w:rPr>
          <w:rFonts w:ascii="Palatino Linotype" w:cs="Palatino Linotype" w:eastAsia="Palatino Linotype" w:hAnsi="Palatino Linotype"/>
          <w:b w:val="1"/>
          <w:bCs w:val="1"/>
          <w:sz w:val="22"/>
          <w:szCs w:val="22"/>
          <w:rtl w:val="0"/>
        </w:rPr>
        <w:t xml:space="preserve">de SAIMEX</w:t>
      </w:r>
      <w:r w:rsidDel="00000000" w:rsidR="00000000" w:rsidRPr="00000000">
        <w:rPr>
          <w:rtl w:val="0"/>
        </w:rPr>
      </w:r>
    </w:p>
    <w:p w:rsidR="00000000" w:rsidDel="00000000" w:rsidP="00000000" w:rsidRDefault="00000000" w:rsidRPr="00000000" w14:paraId="0000000C">
      <w:pPr>
        <w:spacing w:line="360" w:lineRule="auto"/>
        <w:jc w:val="both"/>
        <w:rPr>
          <w:rFonts w:ascii="Palatino Linotype" w:cs="Palatino Linotype" w:eastAsia="Palatino Linotype" w:hAnsi="Palatino Linotype"/>
          <w:b w:val="1"/>
          <w:bCs w:val="1"/>
          <w:sz w:val="22"/>
          <w:szCs w:val="22"/>
        </w:rPr>
      </w:pPr>
      <w:bookmarkStart w:colFirst="0" w:colLast="0" w:name="_heading=h.3dy6vkm" w:id="1"/>
      <w:bookmarkEnd w:id="1"/>
      <w:r w:rsidDel="00000000" w:rsidR="00000000" w:rsidRPr="00000000">
        <w:rPr>
          <w:rtl w:val="0"/>
        </w:rPr>
      </w:r>
    </w:p>
    <w:p w:rsidR="00000000" w:rsidDel="00000000" w:rsidP="00000000" w:rsidRDefault="00000000" w:rsidRPr="00000000" w14:paraId="0000000D">
      <w:pPr>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2. Respuesta. </w:t>
      </w:r>
      <w:r w:rsidDel="00000000" w:rsidR="00000000" w:rsidRPr="00000000">
        <w:rPr>
          <w:rFonts w:ascii="Palatino Linotype" w:cs="Palatino Linotype" w:eastAsia="Palatino Linotype" w:hAnsi="Palatino Linotype"/>
          <w:sz w:val="22"/>
          <w:szCs w:val="22"/>
          <w:rtl w:val="0"/>
        </w:rPr>
        <w:t xml:space="preserve">Con fecha</w:t>
      </w:r>
      <w:r w:rsidDel="00000000" w:rsidR="00000000" w:rsidRPr="00000000">
        <w:rPr>
          <w:rFonts w:ascii="Palatino Linotype" w:cs="Palatino Linotype" w:eastAsia="Palatino Linotype" w:hAnsi="Palatino Linotype"/>
          <w:b w:val="1"/>
          <w:bCs w:val="1"/>
          <w:sz w:val="22"/>
          <w:szCs w:val="22"/>
          <w:rtl w:val="0"/>
        </w:rPr>
        <w:t xml:space="preserve"> dos de diciembre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envió su respuesta a la solicitud de acceso a la información a través de SAIMEX, sustancialmente en los términos siguientes:   </w:t>
      </w:r>
      <w:r w:rsidDel="00000000" w:rsidR="00000000" w:rsidRPr="00000000">
        <w:rPr>
          <w:rtl w:val="0"/>
        </w:rPr>
      </w:r>
    </w:p>
    <w:p w:rsidR="00000000" w:rsidDel="00000000" w:rsidP="00000000" w:rsidRDefault="00000000" w:rsidRPr="00000000" w14:paraId="0000000E">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0F">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0">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Se anexa oficio de respuesta número SBIENESTAREDOMEX/UT/330/2025, de fecha 1 de diciembre de 2025.</w:t>
      </w:r>
    </w:p>
    <w:p w:rsidR="00000000" w:rsidDel="00000000" w:rsidP="00000000" w:rsidRDefault="00000000" w:rsidRPr="00000000" w14:paraId="00000011">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ATENTAMENTE</w:t>
      </w:r>
    </w:p>
    <w:p w:rsidR="00000000" w:rsidDel="00000000" w:rsidP="00000000" w:rsidRDefault="00000000" w:rsidRPr="00000000" w14:paraId="00000012">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MTRO. FELIPE DE JESÚS AYALA GUADARRAMA” (sic)</w:t>
      </w:r>
      <w:r w:rsidDel="00000000" w:rsidR="00000000" w:rsidRPr="00000000">
        <w:rPr>
          <w:rtl w:val="0"/>
        </w:rPr>
      </w:r>
    </w:p>
    <w:p w:rsidR="00000000" w:rsidDel="00000000" w:rsidP="00000000" w:rsidRDefault="00000000" w:rsidRPr="00000000" w14:paraId="00000013">
      <w:pPr>
        <w:spacing w:line="360" w:lineRule="auto"/>
        <w:ind w:right="49"/>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14">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Adjuntando a su respuesta el archivo electrónico denominado </w:t>
      </w:r>
      <w:r w:rsidDel="00000000" w:rsidR="00000000" w:rsidRPr="00000000">
        <w:rPr>
          <w:rFonts w:ascii="Palatino Linotype" w:cs="Palatino Linotype" w:eastAsia="Palatino Linotype" w:hAnsi="Palatino Linotype"/>
          <w:b w:val="1"/>
          <w:bCs w:val="1"/>
          <w:i w:val="1"/>
          <w:iCs w:val="1"/>
          <w:sz w:val="22"/>
          <w:szCs w:val="22"/>
          <w:rtl w:val="0"/>
        </w:rPr>
        <w:t xml:space="preserve">“330 - C. Xxxxx Xxxxxx Xxxxxxxx - Unidad de Transparencia - 0330.pdf”</w:t>
      </w:r>
      <w:r w:rsidDel="00000000" w:rsidR="00000000" w:rsidRPr="00000000">
        <w:rPr>
          <w:rFonts w:ascii="Palatino Linotype" w:cs="Palatino Linotype" w:eastAsia="Palatino Linotype" w:hAnsi="Palatino Linotype"/>
          <w:sz w:val="22"/>
          <w:szCs w:val="22"/>
          <w:rtl w:val="0"/>
        </w:rPr>
        <w:t xml:space="preserve">, mismo que contiene el oficio número SBIENESTAREDOMEX/UT/330/2025 de fecha primero de diciembre de dos mil veinticinco, mediante el cual la Unidad de Transparencia refirió: </w:t>
      </w:r>
    </w:p>
    <w:p w:rsidR="00000000" w:rsidDel="00000000" w:rsidP="00000000" w:rsidRDefault="00000000" w:rsidRPr="00000000" w14:paraId="00000015">
      <w:pPr>
        <w:spacing w:line="360"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16">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“..La Dirección de Recursos Materiales y Servicios Generales y la Dirección de Recursos Financieros informaron que en atención a lo señalado en el Manual General de Organización de la Secretaría de Finanzas las unidades administrativas Dirección General de Tesorería y Subdirección de Cuentas por pagar son las instancias competentes para ejecutar y tramitar el pago de facturas derivadas de los servicios contratados por la Secretaría del Bienestar, razón por la cual desconoce el estatus del proceso de pago de dichas facturas. </w:t>
      </w:r>
    </w:p>
    <w:p w:rsidR="00000000" w:rsidDel="00000000" w:rsidP="00000000" w:rsidRDefault="00000000" w:rsidRPr="00000000" w14:paraId="00000017">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18">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esa tesitura y toda vez que la solicitud referida hace mención expresa a facturas pagadas y en proceso de pago, operaciones que se reitera no son atribuciones de dicha dirección, no es posible atender la solicitud planteada por el peticionario. </w:t>
      </w:r>
    </w:p>
    <w:p w:rsidR="00000000" w:rsidDel="00000000" w:rsidP="00000000" w:rsidRDefault="00000000" w:rsidRPr="00000000" w14:paraId="00000019">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 </w:t>
      </w:r>
    </w:p>
    <w:p w:rsidR="00000000" w:rsidDel="00000000" w:rsidP="00000000" w:rsidRDefault="00000000" w:rsidRPr="00000000" w14:paraId="0000001A">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Por otra parte y bajo el principio de máxima publicidad, sugiere respetuosamente dirija su solicitud al Modulo de Información de la Secretaría de Finanzas, la cual cuenta con su página institucional donde podrá consultar mayor información de su interés… quien podrá atender en el ámbito de su competencia su requerimiento de información…</w:t>
      </w:r>
    </w:p>
    <w:p w:rsidR="00000000" w:rsidDel="00000000" w:rsidP="00000000" w:rsidRDefault="00000000" w:rsidRPr="00000000" w14:paraId="0000001B">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este sentido, se le precisa que esta dependencia no genera, recopila, administra, maneja, procesa, archiva o conserva la información pública que crean las demás dependencias, organismo públicos descentralizados, los ayuntamientos de la entidad y las dependencias del Gobierno Federal…”</w:t>
      </w:r>
    </w:p>
    <w:p w:rsidR="00000000" w:rsidDel="00000000" w:rsidP="00000000" w:rsidRDefault="00000000" w:rsidRPr="00000000" w14:paraId="0000001C">
      <w:pPr>
        <w:spacing w:line="360" w:lineRule="auto"/>
        <w:ind w:right="49"/>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1D">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3. 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doce de diciembre de dos mil veinticinco,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interpuso el recurso de revisión a través de </w:t>
      </w:r>
      <w:r w:rsidDel="00000000" w:rsidR="00000000" w:rsidRPr="00000000">
        <w:rPr>
          <w:rFonts w:ascii="Palatino Linotype" w:cs="Palatino Linotype" w:eastAsia="Palatino Linotype" w:hAnsi="Palatino Linotype"/>
          <w:b w:val="1"/>
          <w:bCs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en donde se manifestó de la siguiente manera:</w:t>
      </w:r>
    </w:p>
    <w:p w:rsidR="00000000" w:rsidDel="00000000" w:rsidP="00000000" w:rsidRDefault="00000000" w:rsidRPr="00000000" w14:paraId="0000001E">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F">
      <w:pPr>
        <w:tabs>
          <w:tab w:val="left" w:leader="none" w:pos="2745"/>
        </w:tabs>
        <w:spacing w:line="360" w:lineRule="auto"/>
        <w:ind w:left="851" w:right="616"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Acto impugnado: </w:t>
      </w:r>
    </w:p>
    <w:p w:rsidR="00000000" w:rsidDel="00000000" w:rsidP="00000000" w:rsidRDefault="00000000" w:rsidRPr="00000000" w14:paraId="00000020">
      <w:pPr>
        <w:tabs>
          <w:tab w:val="left" w:leader="none" w:pos="2745"/>
        </w:tabs>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“RESPUESTA A LA SOLICITUD 00330/BIENESTAR/IP/2025” (sic)</w:t>
      </w:r>
    </w:p>
    <w:p w:rsidR="00000000" w:rsidDel="00000000" w:rsidP="00000000" w:rsidRDefault="00000000" w:rsidRPr="00000000" w14:paraId="00000021">
      <w:pPr>
        <w:tabs>
          <w:tab w:val="left" w:leader="none" w:pos="2745"/>
        </w:tabs>
        <w:ind w:left="851"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22">
      <w:pPr>
        <w:spacing w:line="360" w:lineRule="auto"/>
        <w:ind w:left="851" w:right="616" w:firstLine="0"/>
        <w:jc w:val="both"/>
        <w:rPr>
          <w:rFonts w:ascii="Palatino Linotype" w:cs="Palatino Linotype" w:eastAsia="Palatino Linotype" w:hAnsi="Palatino Linotype"/>
          <w:sz w:val="22"/>
          <w:szCs w:val="22"/>
        </w:rPr>
      </w:pPr>
      <w:bookmarkStart w:colFirst="0" w:colLast="0" w:name="_heading=h.30j0zll" w:id="2"/>
      <w:bookmarkEnd w:id="2"/>
      <w:r w:rsidDel="00000000" w:rsidR="00000000" w:rsidRPr="00000000">
        <w:rPr>
          <w:rFonts w:ascii="Palatino Linotype" w:cs="Palatino Linotype" w:eastAsia="Palatino Linotype" w:hAnsi="Palatino Linotype"/>
          <w:b w:val="1"/>
          <w:bCs w:val="1"/>
          <w:sz w:val="22"/>
          <w:szCs w:val="22"/>
          <w:rtl w:val="0"/>
        </w:rPr>
        <w:t xml:space="preserve">Y Razones o motivos de inconformidad</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23">
      <w:pPr>
        <w:tabs>
          <w:tab w:val="left" w:leader="none" w:pos="2745"/>
        </w:tabs>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“SI BIEN ES CIERTO QUE EL SUJETO OBLIGADO NO ES LA INSTANCIA ENCARGADA DE REALIZAR EL PAGO DE LAS FACTURAS QUE ACREDITAN LA ADQUISICION DE BIENES Y SERVICIOS Y DICHA FUNCIÓN LE CORRESPONDE A LA SECRETARÍA DE FINANZAS, TAMBBIEN ES CIERTO QUE EL SUJETO OBLIGADO ACTUA COMO INSTANCIA EJECUTORA DEL GASTO, POR LO CUAL CONSERVA EN SUS ARCHIVOS LAS FACTURAS QUE SON PAGADAS POR LA SECRETARIA DE FINANZAS. POR LO ANTERIOR, SOLICITO SE REVOQUE LA RESPUESTA Y SE ORDENE LA ENTREGA DE LA INFORMACION SOLICITADA.” (sic)</w:t>
      </w:r>
    </w:p>
    <w:p w:rsidR="00000000" w:rsidDel="00000000" w:rsidP="00000000" w:rsidRDefault="00000000" w:rsidRPr="00000000" w14:paraId="00000024">
      <w:pPr>
        <w:spacing w:line="360" w:lineRule="auto"/>
        <w:ind w:right="51"/>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25">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4. 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bCs w:val="1"/>
          <w:sz w:val="22"/>
          <w:szCs w:val="22"/>
          <w:rtl w:val="0"/>
        </w:rPr>
        <w:t xml:space="preserve">Guadalupe Ramírez Peña, </w:t>
      </w:r>
      <w:r w:rsidDel="00000000" w:rsidR="00000000" w:rsidRPr="00000000">
        <w:rPr>
          <w:rFonts w:ascii="Palatino Linotype" w:cs="Palatino Linotype" w:eastAsia="Palatino Linotype" w:hAnsi="Palatino Linotype"/>
          <w:sz w:val="22"/>
          <w:szCs w:val="22"/>
          <w:rtl w:val="0"/>
        </w:rPr>
        <w:t xml:space="preserve">a efecto de que analizara sobre su admisión o su desechamiento.</w:t>
      </w:r>
    </w:p>
    <w:p w:rsidR="00000000" w:rsidDel="00000000" w:rsidP="00000000" w:rsidRDefault="00000000" w:rsidRPr="00000000" w14:paraId="00000026">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5. Admisión del Recurso de revisión.</w:t>
      </w:r>
      <w:r w:rsidDel="00000000" w:rsidR="00000000" w:rsidRPr="00000000">
        <w:rPr>
          <w:rFonts w:ascii="Palatino Linotype" w:cs="Palatino Linotype" w:eastAsia="Palatino Linotype" w:hAnsi="Palatino Linotype"/>
          <w:sz w:val="22"/>
          <w:szCs w:val="22"/>
          <w:rtl w:val="0"/>
        </w:rPr>
        <w:t xml:space="preserve"> Con fecha</w:t>
      </w:r>
      <w:r w:rsidDel="00000000" w:rsidR="00000000" w:rsidRPr="00000000">
        <w:rPr>
          <w:rFonts w:ascii="Palatino Linotype" w:cs="Palatino Linotype" w:eastAsia="Palatino Linotype" w:hAnsi="Palatino Linotype"/>
          <w:b w:val="1"/>
          <w:bCs w:val="1"/>
          <w:sz w:val="22"/>
          <w:szCs w:val="22"/>
          <w:rtl w:val="0"/>
        </w:rPr>
        <w:t xml:space="preserve"> diecisiete de diciembre de dos mil veinticinco, </w:t>
      </w:r>
      <w:r w:rsidDel="00000000" w:rsidR="00000000" w:rsidRPr="00000000">
        <w:rPr>
          <w:rFonts w:ascii="Palatino Linotype" w:cs="Palatino Linotype" w:eastAsia="Palatino Linotype" w:hAnsi="Palatino Linotype"/>
          <w:sz w:val="22"/>
          <w:szCs w:val="22"/>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presentara su informe justificado.</w:t>
      </w:r>
    </w:p>
    <w:p w:rsidR="00000000" w:rsidDel="00000000" w:rsidP="00000000" w:rsidRDefault="00000000" w:rsidRPr="00000000" w14:paraId="0000002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9">
      <w:pPr>
        <w:spacing w:line="360" w:lineRule="auto"/>
        <w:jc w:val="both"/>
        <w:rPr>
          <w:rFonts w:ascii="Palatino Linotype" w:cs="Palatino Linotype" w:eastAsia="Palatino Linotype" w:hAnsi="Palatino Linotype"/>
          <w:sz w:val="22"/>
          <w:szCs w:val="22"/>
        </w:rPr>
      </w:pPr>
      <w:bookmarkStart w:colFirst="0" w:colLast="0" w:name="_heading=h.2s8eyo1" w:id="3"/>
      <w:bookmarkEnd w:id="3"/>
      <w:r w:rsidDel="00000000" w:rsidR="00000000" w:rsidRPr="00000000">
        <w:rPr>
          <w:rFonts w:ascii="Palatino Linotype" w:cs="Palatino Linotype" w:eastAsia="Palatino Linotype" w:hAnsi="Palatino Linotype"/>
          <w:b w:val="1"/>
          <w:bCs w:val="1"/>
          <w:sz w:val="22"/>
          <w:szCs w:val="22"/>
          <w:rtl w:val="0"/>
        </w:rPr>
        <w:t xml:space="preserve">6. Manifestaciones</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bCs w:val="1"/>
          <w:sz w:val="22"/>
          <w:szCs w:val="22"/>
          <w:rtl w:val="0"/>
        </w:rPr>
        <w:t xml:space="preserve">trece de enero de dos mil veintiséis</w:t>
      </w:r>
      <w:r w:rsidDel="00000000" w:rsidR="00000000" w:rsidRPr="00000000">
        <w:rPr>
          <w:rFonts w:ascii="Palatino Linotype" w:cs="Palatino Linotype" w:eastAsia="Palatino Linotype" w:hAnsi="Palatino Linotype"/>
          <w:sz w:val="22"/>
          <w:szCs w:val="22"/>
          <w:rtl w:val="0"/>
        </w:rPr>
        <w:t xml:space="preserve"> rindió su informe justificado a través del siguiente archivo electrónico: </w:t>
      </w:r>
    </w:p>
    <w:p w:rsidR="00000000" w:rsidDel="00000000" w:rsidP="00000000" w:rsidRDefault="00000000" w:rsidRPr="00000000" w14:paraId="0000002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B">
      <w:pPr>
        <w:numPr>
          <w:ilvl w:val="0"/>
          <w:numId w:val="3"/>
        </w:numPr>
        <w:pBdr>
          <w:top w:space="0" w:sz="0" w:val="nil"/>
          <w:left w:space="0" w:sz="0" w:val="nil"/>
          <w:bottom w:space="0" w:sz="0" w:val="nil"/>
          <w:right w:space="0" w:sz="0" w:val="nil"/>
          <w:between w:space="0" w:sz="0" w:val="nil"/>
        </w:pBdr>
        <w:spacing w:line="360" w:lineRule="auto"/>
        <w:ind w:left="720"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330 - C. Xxxxx Xxxxxx Xxxxxxxx - Informe Justificado - RR - 14199 - Unidad de Transparencia - 0330.pdf</w:t>
      </w:r>
      <w:r w:rsidDel="00000000" w:rsidR="00000000" w:rsidRPr="00000000">
        <w:rPr>
          <w:rFonts w:ascii="Palatino Linotype" w:cs="Palatino Linotype" w:eastAsia="Palatino Linotype" w:hAnsi="Palatino Linotype"/>
          <w:sz w:val="22"/>
          <w:szCs w:val="22"/>
          <w:rtl w:val="0"/>
        </w:rPr>
        <w:t xml:space="preserve">: Oficio mediante el cual la Unidad de Transparencia informó que conforme a lo establecido por el artículo 5 de la Ley de Contratación Pública del Estado de México y Municipios, en el ámbito de la administración pública estatal central, corresponde a la Oficialía Mayor el tramite a los procedimientos de contratos relativos a arrendamientos, adquisiciones de inmuebles y enajenaciones de bienes muebles e inmuebles, observando al respecto las medidas de austeridad señaladas en el Presupuesto de Egresos. </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360" w:lineRule="auto"/>
        <w:ind w:left="720"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orden de ideas, a esta Secretaría conforme a lo establecido en los artículos 14 y 15 del Reglamento de la Ley de Contratación del Estado de México y Municipios, </w:t>
      </w:r>
      <w:r w:rsidDel="00000000" w:rsidR="00000000" w:rsidRPr="00000000">
        <w:rPr>
          <w:rFonts w:ascii="Palatino Linotype" w:cs="Palatino Linotype" w:eastAsia="Palatino Linotype" w:hAnsi="Palatino Linotype"/>
          <w:i w:val="1"/>
          <w:iCs w:val="1"/>
          <w:sz w:val="22"/>
          <w:szCs w:val="22"/>
          <w:rtl w:val="0"/>
        </w:rPr>
        <w:t xml:space="preserve">".... a esta dependencia le corresponde realizar las solicitudes de adquisición de bienes y contratación de servicios dentro de las dependencias se realizarán conforme a las reglas que se establezcan, siendo validadas por los titulares de las unidades administrativas de dichas dependencias, verificando en forma previa a su tramitación, que los requerimientos de bienes y servicios cuenten con disponibilidad presupuestal que ampare la totalidad de su requerimiento; corroborar las estadísticas de consumo y que no cuenten con existencias disponibles en cantidad suficiente, de tal forma que amerite la adquisición de nuevos bienes o la contratación de servicios; y obtener los dictámenes técnicos, que se requieran para la adquisición de bienes o servicios que se soliciten, en forma previa a su tramitación ..."</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360" w:lineRule="auto"/>
        <w:ind w:left="720"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conforme a lo establecido en los numerales 3 fracción III, 5.1.1, 5.2.1, 5.3, 6.3, y 6.3.2 de las REGLAS DE OPERACIÓN PARA LA SOLICITUD DE TRÁMITES ANTE LA TESORERÍA DEL GOBIERNO DEL ESTADO DE MÉXICO, publicadas en el Periódico Oficial "Gaceta del Gobierno", el 5 de enero de 2017, la Dirección General de Tesorería, por conducto de la Caja General de la Secretaría Finanzas, es la encargada de realizar los pagos a los proveedores, a través de contra recibos, realizándose las Autorizaciones de Pago deberán ser debidamente requisitadas por las Unidades Ejecutoras del Gasto, mismas que deberán ser ingresadas a la Dirección General de Inversión para su registro, análisis y validación. Además de los requisitos que señale dicha Unidad Administrativa para su trámite, deberán contener lo siguiente:</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360" w:lineRule="auto"/>
        <w:ind w:left="720"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 Nombre del Programa y/o Fuente de Financiamiento.</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360" w:lineRule="auto"/>
        <w:ind w:left="720"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 Datos de la Cuenta Bancaria asignada a efectuarse el cargo.</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360" w:lineRule="auto"/>
        <w:ind w:left="720"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lo anterior, la Tesorería procederá a realizar la programación de los mismos, a efecto de que la Caja General se encuentre en posibilidad de efectuar el pago correspondiente, asimismo, dicha programación se realizará con base en la disponibilidad de recursos con que cuente Gobierno del Estado de México (GEM), para efectuar las erogaciones correspondientes.</w:t>
        <w:br w:type="textWrapping"/>
        <w:t xml:space="preserve">Una vez hecho lo anterior, la Tesorería realizará el pago a los beneficiarios de los Contra Recibos, Autorizaciones de Pago y otros conceptos como Arrendamiento de Inmuebles, Deuda Pública y Participaciones, que se encuentren programados por parte de la Tesorería.</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360" w:lineRule="auto"/>
        <w:ind w:left="720"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antes expuesto, no se observa que esta dependencia tenga la obligación legal de contar con facturas de proveedores, respecto de procedimientos adquisitivos, de ahí que cobre vigencia lo preceptuado por los artículos 12 y 24 de la Ley de Transparencia y Acceso a la Información Pública del Estado de México y Municipios, donde sólo proporcionarán la información pública que se les requiera y que obre en sus archivos y en el estado en que ésta se encuentre. </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360" w:lineRule="auto"/>
        <w:ind w:left="720" w:right="616" w:firstLine="0"/>
        <w:jc w:val="cente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Documentos que fueron puestos a la vista de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fecha </w:t>
      </w:r>
      <w:r w:rsidDel="00000000" w:rsidR="00000000" w:rsidRPr="00000000">
        <w:rPr>
          <w:rFonts w:ascii="Palatino Linotype" w:cs="Palatino Linotype" w:eastAsia="Palatino Linotype" w:hAnsi="Palatino Linotype"/>
          <w:b w:val="1"/>
          <w:bCs w:val="1"/>
          <w:sz w:val="22"/>
          <w:szCs w:val="22"/>
          <w:rtl w:val="0"/>
        </w:rPr>
        <w:t xml:space="preserve">doce de febrero de dos mil veintiséis</w:t>
      </w:r>
      <w:r w:rsidDel="00000000" w:rsidR="00000000" w:rsidRPr="00000000">
        <w:rPr>
          <w:rFonts w:ascii="Palatino Linotype" w:cs="Palatino Linotype" w:eastAsia="Palatino Linotype" w:hAnsi="Palatino Linotype"/>
          <w:sz w:val="22"/>
          <w:szCs w:val="22"/>
          <w:rtl w:val="0"/>
        </w:rPr>
        <w:t xml:space="preserve">; misma que en fue omisa en realizar alguna manifestación al respecto. </w:t>
      </w:r>
    </w:p>
    <w:p w:rsidR="00000000" w:rsidDel="00000000" w:rsidP="00000000" w:rsidRDefault="00000000" w:rsidRPr="00000000" w14:paraId="0000003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7. Ampliación de plazo: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bCs w:val="1"/>
          <w:sz w:val="22"/>
          <w:szCs w:val="22"/>
          <w:rtl w:val="0"/>
        </w:rPr>
        <w:t xml:space="preserve">doce de febrero de dos mil veintiséis</w:t>
      </w:r>
      <w:r w:rsidDel="00000000" w:rsidR="00000000" w:rsidRPr="00000000">
        <w:rPr>
          <w:rFonts w:ascii="Palatino Linotype" w:cs="Palatino Linotype" w:eastAsia="Palatino Linotype" w:hAnsi="Palatino Linotype"/>
          <w:sz w:val="22"/>
          <w:szCs w:val="22"/>
          <w:rtl w:val="0"/>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000000" w:rsidDel="00000000" w:rsidP="00000000" w:rsidRDefault="00000000" w:rsidRPr="00000000" w14:paraId="00000036">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37">
      <w:pPr>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8. Cierre de instrucción. </w:t>
      </w:r>
      <w:r w:rsidDel="00000000" w:rsidR="00000000" w:rsidRPr="00000000">
        <w:rPr>
          <w:rFonts w:ascii="Palatino Linotype" w:cs="Palatino Linotype" w:eastAsia="Palatino Linotype" w:hAnsi="Palatino Linotype"/>
          <w:sz w:val="22"/>
          <w:szCs w:val="22"/>
          <w:rtl w:val="0"/>
        </w:rPr>
        <w:t xml:space="preserve">Una vez transcurrido el periodo otorgado a las partes para realizar sus manifestaciones y no habiendo documentos que integrar al expediente, con fecha </w:t>
      </w:r>
      <w:r w:rsidDel="00000000" w:rsidR="00000000" w:rsidRPr="00000000">
        <w:rPr>
          <w:rFonts w:ascii="Palatino Linotype" w:cs="Palatino Linotype" w:eastAsia="Palatino Linotype" w:hAnsi="Palatino Linotype"/>
          <w:b w:val="1"/>
          <w:bCs w:val="1"/>
          <w:sz w:val="22"/>
          <w:szCs w:val="22"/>
          <w:rtl w:val="0"/>
        </w:rPr>
        <w:t xml:space="preserve">dieciocho de febrero de dos mil veintiséis, </w:t>
      </w:r>
      <w:r w:rsidDel="00000000" w:rsidR="00000000" w:rsidRPr="00000000">
        <w:rPr>
          <w:rFonts w:ascii="Palatino Linotype" w:cs="Palatino Linotype" w:eastAsia="Palatino Linotype" w:hAnsi="Palatino Linotype"/>
          <w:sz w:val="22"/>
          <w:szCs w:val="22"/>
          <w:rtl w:val="0"/>
        </w:rPr>
        <w:t xml:space="preserve">la Comisionada Ponente determinó el cierre de instrucción en términos de la fracción VI del artículo 185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9">
      <w:pPr>
        <w:spacing w:line="360" w:lineRule="auto"/>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sz w:val="22"/>
          <w:szCs w:val="22"/>
          <w:rtl w:val="0"/>
        </w:rPr>
        <w:t xml:space="preserve">Por ello, este organismo garante comprometido con la tutela de los derechos humanos confiados señala que este exceso del plazo legal para resolver el presente asunto resulta de carácter excepcional.</w:t>
      </w:r>
      <w:r w:rsidDel="00000000" w:rsidR="00000000" w:rsidRPr="00000000">
        <w:rPr>
          <w:rtl w:val="0"/>
        </w:rPr>
      </w:r>
    </w:p>
    <w:p w:rsidR="00000000" w:rsidDel="00000000" w:rsidP="00000000" w:rsidRDefault="00000000" w:rsidRPr="00000000" w14:paraId="0000003A">
      <w:pPr>
        <w:widowControl w:val="0"/>
        <w:spacing w:line="360" w:lineRule="auto"/>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II. C O N S I D E R A N D O S</w:t>
      </w:r>
    </w:p>
    <w:p w:rsidR="00000000" w:rsidDel="00000000" w:rsidP="00000000" w:rsidRDefault="00000000" w:rsidRPr="00000000" w14:paraId="0000003B">
      <w:pPr>
        <w:widowControl w:val="0"/>
        <w:spacing w:line="360" w:lineRule="auto"/>
        <w:jc w:val="center"/>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3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3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E">
      <w:pPr>
        <w:spacing w:line="360" w:lineRule="auto"/>
        <w:jc w:val="both"/>
        <w:rPr>
          <w:rFonts w:ascii="Palatino Linotype" w:cs="Palatino Linotype" w:eastAsia="Palatino Linotype" w:hAnsi="Palatino Linotype"/>
          <w:sz w:val="22"/>
          <w:szCs w:val="22"/>
        </w:rPr>
      </w:pPr>
      <w:bookmarkStart w:colFirst="0" w:colLast="0" w:name="_heading=h.tyjcwt" w:id="4"/>
      <w:bookmarkEnd w:id="4"/>
      <w:r w:rsidDel="00000000" w:rsidR="00000000" w:rsidRPr="00000000">
        <w:rPr>
          <w:rFonts w:ascii="Palatino Linotype" w:cs="Palatino Linotype" w:eastAsia="Palatino Linotype" w:hAnsi="Palatino Linotype"/>
          <w:b w:val="1"/>
          <w:bCs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3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remitió la respuesta a la solicitud de información el día </w:t>
      </w:r>
      <w:r w:rsidDel="00000000" w:rsidR="00000000" w:rsidRPr="00000000">
        <w:rPr>
          <w:rFonts w:ascii="Palatino Linotype" w:cs="Palatino Linotype" w:eastAsia="Palatino Linotype" w:hAnsi="Palatino Linotype"/>
          <w:b w:val="1"/>
          <w:bCs w:val="1"/>
          <w:sz w:val="22"/>
          <w:szCs w:val="22"/>
          <w:rtl w:val="0"/>
        </w:rPr>
        <w:t xml:space="preserve">dos de diciembre de dos mil veinticinco, </w:t>
      </w:r>
      <w:r w:rsidDel="00000000" w:rsidR="00000000" w:rsidRPr="00000000">
        <w:rPr>
          <w:rFonts w:ascii="Palatino Linotype" w:cs="Palatino Linotype" w:eastAsia="Palatino Linotype" w:hAnsi="Palatino Linotype"/>
          <w:sz w:val="22"/>
          <w:szCs w:val="22"/>
          <w:rtl w:val="0"/>
        </w:rPr>
        <w:t xml:space="preserve">mientras que el recurso de revisión interpuesto por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se tuvo por presentado el día </w:t>
      </w:r>
      <w:r w:rsidDel="00000000" w:rsidR="00000000" w:rsidRPr="00000000">
        <w:rPr>
          <w:rFonts w:ascii="Palatino Linotype" w:cs="Palatino Linotype" w:eastAsia="Palatino Linotype" w:hAnsi="Palatino Linotype"/>
          <w:b w:val="1"/>
          <w:bCs w:val="1"/>
          <w:sz w:val="22"/>
          <w:szCs w:val="22"/>
          <w:rtl w:val="0"/>
        </w:rPr>
        <w:t xml:space="preserve">doce de diciembre de dos mil veinticinco</w:t>
      </w:r>
      <w:r w:rsidDel="00000000" w:rsidR="00000000" w:rsidRPr="00000000">
        <w:rPr>
          <w:rFonts w:ascii="Palatino Linotype" w:cs="Palatino Linotype" w:eastAsia="Palatino Linotype" w:hAnsi="Palatino Linotype"/>
          <w:sz w:val="22"/>
          <w:szCs w:val="22"/>
          <w:rtl w:val="0"/>
        </w:rPr>
        <w:t xml:space="preserve">, esto es, al octavo día en que tuvo conocimiento de la respuesta impugnada.</w:t>
      </w:r>
    </w:p>
    <w:p w:rsidR="00000000" w:rsidDel="00000000" w:rsidP="00000000" w:rsidRDefault="00000000" w:rsidRPr="00000000" w14:paraId="00000041">
      <w:pPr>
        <w:spacing w:line="360" w:lineRule="auto"/>
        <w:jc w:val="both"/>
        <w:rPr>
          <w:rFonts w:ascii="Palatino Linotype" w:cs="Palatino Linotype" w:eastAsia="Palatino Linotype" w:hAnsi="Palatino Linotype"/>
          <w:sz w:val="22"/>
          <w:szCs w:val="22"/>
        </w:rPr>
      </w:pPr>
      <w:bookmarkStart w:colFirst="0" w:colLast="0" w:name="_heading=h.3znysh7" w:id="5"/>
      <w:bookmarkEnd w:id="5"/>
      <w:r w:rsidDel="00000000" w:rsidR="00000000" w:rsidRPr="00000000">
        <w:rPr>
          <w:rtl w:val="0"/>
        </w:rPr>
      </w:r>
    </w:p>
    <w:p w:rsidR="00000000" w:rsidDel="00000000" w:rsidP="00000000" w:rsidRDefault="00000000" w:rsidRPr="00000000" w14:paraId="0000004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por lo que, en el presente caso, al haber sido presentado el recurso de revisión vía SAIMEX, dicho requisito resulta innecesario.</w:t>
      </w:r>
    </w:p>
    <w:p w:rsidR="00000000" w:rsidDel="00000000" w:rsidP="00000000" w:rsidRDefault="00000000" w:rsidRPr="00000000" w14:paraId="0000004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se advierte que resulta procedente la interposición del recurso, según lo manifestado por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sus motivos de inconformidad, de acuerdo al artículo 179, fracción I del ordenamiento legal citado, que a la letra dice: </w:t>
      </w:r>
    </w:p>
    <w:p w:rsidR="00000000" w:rsidDel="00000000" w:rsidP="00000000" w:rsidRDefault="00000000" w:rsidRPr="00000000" w14:paraId="0000004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6">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179.</w:t>
      </w:r>
      <w:r w:rsidDel="00000000" w:rsidR="00000000" w:rsidRPr="00000000">
        <w:rPr>
          <w:rFonts w:ascii="Palatino Linotype" w:cs="Palatino Linotype" w:eastAsia="Palatino Linotype" w:hAnsi="Palatino Linotype"/>
          <w:i w:val="1"/>
          <w:iCs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47">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 La negativa a la información solicitada</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48">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4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Tercero. Materia de la revisión. </w:t>
      </w:r>
      <w:r w:rsidDel="00000000" w:rsidR="00000000" w:rsidRPr="00000000">
        <w:rPr>
          <w:rFonts w:ascii="Palatino Linotype" w:cs="Palatino Linotype" w:eastAsia="Palatino Linotype" w:hAnsi="Palatino Linotype"/>
          <w:sz w:val="22"/>
          <w:szCs w:val="22"/>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bCs w:val="1"/>
          <w:sz w:val="22"/>
          <w:szCs w:val="22"/>
          <w:rtl w:val="0"/>
        </w:rPr>
        <w:t xml:space="preserve">verificar si la información proporcionada en respuesta como en informe justificado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sz w:val="22"/>
          <w:szCs w:val="22"/>
          <w:rtl w:val="0"/>
        </w:rPr>
        <w:t xml:space="preserve">de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o en su defecto, en caso de ser procedente, ordenar la entrega de información oportuna.</w:t>
      </w:r>
    </w:p>
    <w:p w:rsidR="00000000" w:rsidDel="00000000" w:rsidP="00000000" w:rsidRDefault="00000000" w:rsidRPr="00000000" w14:paraId="0000004A">
      <w:pPr>
        <w:spacing w:line="360" w:lineRule="auto"/>
        <w:jc w:val="both"/>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04B">
      <w:pPr>
        <w:spacing w:line="360" w:lineRule="auto"/>
        <w:jc w:val="both"/>
        <w:rPr>
          <w:rFonts w:ascii="Palatino Linotype" w:cs="Palatino Linotype" w:eastAsia="Palatino Linotype" w:hAnsi="Palatino Linotype"/>
          <w:sz w:val="22"/>
          <w:szCs w:val="22"/>
        </w:rPr>
      </w:pPr>
      <w:bookmarkStart w:colFirst="0" w:colLast="0" w:name="_heading=h.2et92p0" w:id="6"/>
      <w:bookmarkEnd w:id="6"/>
      <w:r w:rsidDel="00000000" w:rsidR="00000000" w:rsidRPr="00000000">
        <w:rPr>
          <w:rFonts w:ascii="Palatino Linotype" w:cs="Palatino Linotype" w:eastAsia="Palatino Linotype" w:hAnsi="Palatino Linotype"/>
          <w:b w:val="1"/>
          <w:bCs w:val="1"/>
          <w:sz w:val="22"/>
          <w:szCs w:val="22"/>
          <w:rtl w:val="0"/>
        </w:rPr>
        <w:t xml:space="preserve">Cuarto. Estudio del asunto. </w:t>
      </w:r>
      <w:r w:rsidDel="00000000" w:rsidR="00000000" w:rsidRPr="00000000">
        <w:rPr>
          <w:rFonts w:ascii="Palatino Linotype" w:cs="Palatino Linotype" w:eastAsia="Palatino Linotype" w:hAnsi="Palatino Linotype"/>
          <w:sz w:val="22"/>
          <w:szCs w:val="22"/>
          <w:rtl w:val="0"/>
        </w:rPr>
        <w:t xml:space="preserve">En principio, es conveniente analizar si la respuesta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000000" w:rsidDel="00000000" w:rsidP="00000000" w:rsidRDefault="00000000" w:rsidRPr="00000000" w14:paraId="0000004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D">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4</w:t>
      </w:r>
      <w:r w:rsidDel="00000000" w:rsidR="00000000" w:rsidRPr="00000000">
        <w:rPr>
          <w:rFonts w:ascii="Palatino Linotype" w:cs="Palatino Linotype" w:eastAsia="Palatino Linotype" w:hAnsi="Palatino Linotype"/>
          <w:i w:val="1"/>
          <w:iCs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4E">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iCs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4F">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5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5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3">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12.-</w:t>
      </w:r>
      <w:r w:rsidDel="00000000" w:rsidR="00000000" w:rsidRPr="00000000">
        <w:rPr>
          <w:rFonts w:ascii="Palatino Linotype" w:cs="Palatino Linotype" w:eastAsia="Palatino Linotype" w:hAnsi="Palatino Linotype"/>
          <w:i w:val="1"/>
          <w:iCs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54">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55">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 </w:t>
      </w:r>
      <w:r w:rsidDel="00000000" w:rsidR="00000000" w:rsidRPr="00000000">
        <w:rPr>
          <w:rtl w:val="0"/>
        </w:rPr>
      </w:r>
    </w:p>
    <w:p w:rsidR="00000000" w:rsidDel="00000000" w:rsidP="00000000" w:rsidRDefault="00000000" w:rsidRPr="00000000" w14:paraId="00000056">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7">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58">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9">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orientador 03-17, expuesto por el entonces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tl w:val="0"/>
        </w:rPr>
      </w:r>
    </w:p>
    <w:p w:rsidR="00000000" w:rsidDel="00000000" w:rsidP="00000000" w:rsidRDefault="00000000" w:rsidRPr="00000000" w14:paraId="0000005A">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iCs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5B">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5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E">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5F">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61">
      <w:pPr>
        <w:spacing w:line="360" w:lineRule="auto"/>
        <w:ind w:left="567"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62">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3. </w:t>
      </w:r>
      <w:r w:rsidDel="00000000" w:rsidR="00000000" w:rsidRPr="00000000">
        <w:rPr>
          <w:rFonts w:ascii="Palatino Linotype" w:cs="Palatino Linotype" w:eastAsia="Palatino Linotype" w:hAnsi="Palatino Linotype"/>
          <w:i w:val="1"/>
          <w:iCs w:val="1"/>
          <w:sz w:val="22"/>
          <w:szCs w:val="22"/>
          <w:rtl w:val="0"/>
        </w:rPr>
        <w:t xml:space="preserve">Para los efectos de la presente Ley se entenderá por:</w:t>
      </w:r>
    </w:p>
    <w:p w:rsidR="00000000" w:rsidDel="00000000" w:rsidP="00000000" w:rsidRDefault="00000000" w:rsidRPr="00000000" w14:paraId="00000063">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64">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XI. Documento:</w:t>
      </w:r>
      <w:r w:rsidDel="00000000" w:rsidR="00000000" w:rsidRPr="00000000">
        <w:rPr>
          <w:rFonts w:ascii="Palatino Linotype" w:cs="Palatino Linotype" w:eastAsia="Palatino Linotype" w:hAnsi="Palatino Linotype"/>
          <w:i w:val="1"/>
          <w:iCs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bCs w:val="1"/>
          <w:i w:val="1"/>
          <w:iCs w:val="1"/>
          <w:sz w:val="22"/>
          <w:szCs w:val="22"/>
          <w:rtl w:val="0"/>
        </w:rPr>
        <w:t xml:space="preserve">,</w:t>
      </w:r>
      <w:r w:rsidDel="00000000" w:rsidR="00000000" w:rsidRPr="00000000">
        <w:rPr>
          <w:rFonts w:ascii="Palatino Linotype" w:cs="Palatino Linotype" w:eastAsia="Palatino Linotype" w:hAnsi="Palatino Linotype"/>
          <w:i w:val="1"/>
          <w:iCs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65">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6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8">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iCs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69">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6A">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6B">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6C">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6D">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lo anterior, se procede al análisis de los agravios hechos valer por la parte Recurrente que actualizan la causal de procedencia prevista en la fracción I del artículo 179 de la Ley de Transparencia y Acceso a la Información del Estado de México y Municipios, relativa a la negativa de la información.</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principio, resulta conveniente recordar que la pretensión del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es acceder a la información consistente en lo siguiente:</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2">
      <w:pPr>
        <w:numPr>
          <w:ilvl w:val="0"/>
          <w:numId w:val="1"/>
        </w:numPr>
        <w:pBdr>
          <w:top w:space="0" w:sz="0" w:val="nil"/>
          <w:left w:space="0" w:sz="0" w:val="nil"/>
          <w:bottom w:space="0" w:sz="0" w:val="nil"/>
          <w:right w:space="0" w:sz="0" w:val="nil"/>
          <w:between w:space="0" w:sz="0" w:val="nil"/>
        </w:pBdr>
        <w:spacing w:line="360" w:lineRule="auto"/>
        <w:ind w:left="720" w:right="49"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Facturas pagadas y en proceso de pago por más de un millón de pesos generadas del 1 de enero al 10 de noviembre de 2025.</w:t>
      </w:r>
      <w:r w:rsidDel="00000000" w:rsidR="00000000" w:rsidRPr="00000000">
        <w:rPr>
          <w:rtl w:val="0"/>
        </w:rPr>
      </w:r>
    </w:p>
    <w:p w:rsidR="00000000" w:rsidDel="00000000" w:rsidP="00000000" w:rsidRDefault="00000000" w:rsidRPr="00000000" w14:paraId="00000073">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4">
      <w:pPr>
        <w:widowControl w:val="0"/>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 la Dirección de Recursos Materiales y Servicios Generales y la Dirección de Recursos Financieros, hacen del conocimiento que en atención a lo señalado en el Manual General de Organización de la Secretaría de Finanzas las unidades administrativas de la Dirección General de Tesorería y Subdirección de Cuentas por pagar, son las instancias competentes para ejecutar y tramitar el pago de facturas derivadas de los servicios contratados por la Secretaría del Bienestar, razón por la cual desconoce el estatus del proceso de pago de dichas facturas. </w:t>
      </w:r>
    </w:p>
    <w:p w:rsidR="00000000" w:rsidDel="00000000" w:rsidP="00000000" w:rsidRDefault="00000000" w:rsidRPr="00000000" w14:paraId="00000075">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6">
      <w:pPr>
        <w:widowControl w:val="0"/>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y toda vez que la solicitud referida hace mención expresa a facturas pagadas y en proceso de pago, operaciones que se reitera no son atribuciones de dicha dirección, por lo que no es posible atender la solicitud planteada por el peticionario, sugiriendo dirija su solicitud al Módulo de Información de la Secretaría de Finanzas, la cual cuenta con su página institucional donde podrá consultar mayor información de su interés, quien podrá atender en el ámbito de su competencia su requerimiento de información. </w:t>
      </w:r>
    </w:p>
    <w:p w:rsidR="00000000" w:rsidDel="00000000" w:rsidP="00000000" w:rsidRDefault="00000000" w:rsidRPr="00000000" w14:paraId="00000077">
      <w:pPr>
        <w:widowControl w:val="0"/>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no estar conforme con los términos de la respuesta otorgada a su solicitud, la persona solicitante interpuso el recurso de revisión que ahora nos ocupa, en el que señaló como motivo de inconformidad la negativa a la entrega de la información.</w:t>
      </w:r>
    </w:p>
    <w:p w:rsidR="00000000" w:rsidDel="00000000" w:rsidP="00000000" w:rsidRDefault="00000000" w:rsidRPr="00000000" w14:paraId="0000007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Durante el periodo de manifestaciones el </w:t>
      </w:r>
      <w:r w:rsidDel="00000000" w:rsidR="00000000" w:rsidRPr="00000000">
        <w:rPr>
          <w:rFonts w:ascii="Palatino Linotype" w:cs="Palatino Linotype" w:eastAsia="Palatino Linotype" w:hAnsi="Palatino Linotype"/>
          <w:b w:val="1"/>
          <w:bCs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rindió su informe justificado en el que refirió que conforme a lo establecido por el artículo 5 de la Ley de Contratación Pública del Estado de México y Municipios, en el ámbito de la administración pública estatal central, corresponde a la Oficialía Mayor el tramite a los procedimientos de contratos relativos a arrendamientos, adquisiciones de inmuebles y enajenaciones de bienes muebles e inmuebles, observando al respecto las medidas de austeridad señaladas en el Presupuesto de Egresos.</w:t>
      </w:r>
    </w:p>
    <w:p w:rsidR="00000000" w:rsidDel="00000000" w:rsidP="00000000" w:rsidRDefault="00000000" w:rsidRPr="00000000" w14:paraId="0000007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conforme a lo establecido en los numerales 3 fracción III, 5.1.1, 5.2.1, 5.3, 6.3, y 6.3.2 de las Reglas de Operación para la Solicitud de Trámites ante la Tesorería del Gobierno del Estado de México, publicadas en el Periódico Oficial "Gaceta del Gobierno", la Dirección General de Tesorería por conducto de la Caja General de la Secretaría Finanzas, es la encargada de realizar los pagos a los proveedores, a través de contra recibos, realizándose las Autorizaciones de Pago deberán ser debidamente requisitadas por las Unidades Ejecutoras del Gasto, mismas que deberán ser ingresadas a la Dirección General de Inversión para su registro, análisis y validación. Además de los requisitos que señale dicha Unidad Administrativa para su trámite, deberán contener lo siguiente:</w:t>
      </w:r>
    </w:p>
    <w:p w:rsidR="00000000" w:rsidDel="00000000" w:rsidP="00000000" w:rsidRDefault="00000000" w:rsidRPr="00000000" w14:paraId="0000007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 Nombre del Programa y/o Fuente de Financiamiento.</w:t>
      </w:r>
    </w:p>
    <w:p w:rsidR="00000000" w:rsidDel="00000000" w:rsidP="00000000" w:rsidRDefault="00000000" w:rsidRPr="00000000" w14:paraId="0000007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 Datos de la Cuenta Bancaria asignada a efectuarse el cargo.</w:t>
      </w:r>
    </w:p>
    <w:p w:rsidR="00000000" w:rsidDel="00000000" w:rsidP="00000000" w:rsidRDefault="00000000" w:rsidRPr="00000000" w14:paraId="0000008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lo anterior, la Tesorería procederá a realizar la programación de los mismos, a efecto de que la Caja General se encuentre en posibilidad de efectuar el pago correspondiente, asimismo, dicha programación se realizará con base en la disponibilidad de recursos con que cuente Gobierno del Estado de México, para efectuar las erogaciones correspondientes. Una vez hecho lo anterior, la Tesorería realizará el pago a los beneficiarios de los Contra Recibos, Autorizaciones de Pago y otros conceptos como Arrendamiento de Inmuebles, Deuda Pública y Participaciones, que se encuentren programados por parte de la Tesorería; por lo que no se observa que esta dependencia tenga la obligación legal de contar con facturas de proveedores, respecto de procedimientos adquisitivos, de ahí que cobre vigencia lo preceptuado por los artículos 12 y 24 de la Ley de Transparencia y Acceso a la Información Pública del Estado de México y Municipios, donde sólo proporcionarán la información pública que se les requiera y que obre en sus archivos y en el estado en que ésta se encuentre.</w:t>
      </w:r>
    </w:p>
    <w:p w:rsidR="00000000" w:rsidDel="00000000" w:rsidP="00000000" w:rsidRDefault="00000000" w:rsidRPr="00000000" w14:paraId="0000008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Mientras que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ratificó su inconformidad, solicitando revocar la clasificación aludida por parte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y ordenar la entrega de la información. </w:t>
      </w:r>
    </w:p>
    <w:p w:rsidR="00000000" w:rsidDel="00000000" w:rsidP="00000000" w:rsidRDefault="00000000" w:rsidRPr="00000000" w14:paraId="0000008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5">
      <w:pPr>
        <w:spacing w:line="360" w:lineRule="auto"/>
        <w:jc w:val="both"/>
        <w:rPr>
          <w:rFonts w:ascii="Palatino Linotype" w:cs="Palatino Linotype" w:eastAsia="Palatino Linotype" w:hAnsi="Palatino Linotype"/>
          <w:sz w:val="22"/>
          <w:szCs w:val="22"/>
        </w:rPr>
      </w:pPr>
      <w:bookmarkStart w:colFirst="0" w:colLast="0" w:name="_heading=h.17dp8vu" w:id="7"/>
      <w:bookmarkEnd w:id="7"/>
      <w:r w:rsidDel="00000000" w:rsidR="00000000" w:rsidRPr="00000000">
        <w:rPr>
          <w:rFonts w:ascii="Palatino Linotype" w:cs="Palatino Linotype" w:eastAsia="Palatino Linotype" w:hAnsi="Palatino Linotype"/>
          <w:sz w:val="22"/>
          <w:szCs w:val="22"/>
          <w:rtl w:val="0"/>
        </w:rPr>
        <w:t xml:space="preserve">Expuesto lo anterior, y respecto a la naturaleza de la información solicitada, resulta conveniente señalar que por cuanto hace a las facturas, el Glosario de Términos Hacendarios que emite el Instituto Hacendario del Estado de México, define el término “factura” como el documento fiscal que emite la persona física o moral para comprobar la venta o adquisición de un bien y/o servicio.</w:t>
      </w:r>
    </w:p>
    <w:p w:rsidR="00000000" w:rsidDel="00000000" w:rsidP="00000000" w:rsidRDefault="00000000" w:rsidRPr="00000000" w14:paraId="0000008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las facturas o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rsidR="00000000" w:rsidDel="00000000" w:rsidP="00000000" w:rsidRDefault="00000000" w:rsidRPr="00000000" w14:paraId="0000008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9">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Aunado a ello, los artículos 342, 343, 344 y 345 del Código Financiero del Estado de México y Municipios, disponen el sistema y las políticas que deben seguirse para llevar el registro contable y presupuestal de las operaciones financieras, en los siguientes términos:</w:t>
      </w:r>
    </w:p>
    <w:p w:rsidR="00000000" w:rsidDel="00000000" w:rsidP="00000000" w:rsidRDefault="00000000" w:rsidRPr="00000000" w14:paraId="0000008A">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B">
      <w:pPr>
        <w:spacing w:line="276" w:lineRule="auto"/>
        <w:ind w:left="862"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342.-</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El registro contable del efecto patrimonial y presupuestal de las operaciones financieras, se realizará </w:t>
      </w:r>
      <w:r w:rsidDel="00000000" w:rsidR="00000000" w:rsidRPr="00000000">
        <w:rPr>
          <w:rFonts w:ascii="Palatino Linotype" w:cs="Palatino Linotype" w:eastAsia="Palatino Linotype" w:hAnsi="Palatino Linotype"/>
          <w:i w:val="1"/>
          <w:iCs w:val="1"/>
          <w:sz w:val="22"/>
          <w:szCs w:val="22"/>
          <w:rtl w:val="0"/>
        </w:rPr>
        <w:t xml:space="preserve">conforme al sistema y a las disposiciones que se aprueben en </w:t>
      </w:r>
      <w:r w:rsidDel="00000000" w:rsidR="00000000" w:rsidRPr="00000000">
        <w:rPr>
          <w:rFonts w:ascii="Palatino Linotype" w:cs="Palatino Linotype" w:eastAsia="Palatino Linotype" w:hAnsi="Palatino Linotype"/>
          <w:b w:val="1"/>
          <w:bCs w:val="1"/>
          <w:i w:val="1"/>
          <w:iCs w:val="1"/>
          <w:sz w:val="22"/>
          <w:szCs w:val="22"/>
          <w:rtl w:val="0"/>
        </w:rPr>
        <w:t xml:space="preserve">materia de planeación, programación, presupuestación, evaluación y contabilidad gubernamental.</w:t>
      </w:r>
    </w:p>
    <w:p w:rsidR="00000000" w:rsidDel="00000000" w:rsidP="00000000" w:rsidRDefault="00000000" w:rsidRPr="00000000" w14:paraId="0000008C">
      <w:pPr>
        <w:spacing w:line="276" w:lineRule="auto"/>
        <w:ind w:left="862"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el caso de los municipios, el registro a que se refiere el párrafo anterior, se realizará conforme al sistema y a las disposiciones en materia de planeación, programación, presupuestación, evaluación y contabilidad gubernamental, que se aprueben en el marco del Sistema de Coordinación Hacendaria del Estado de México.</w:t>
      </w:r>
    </w:p>
    <w:p w:rsidR="00000000" w:rsidDel="00000000" w:rsidP="00000000" w:rsidRDefault="00000000" w:rsidRPr="00000000" w14:paraId="0000008D">
      <w:pPr>
        <w:spacing w:line="276" w:lineRule="auto"/>
        <w:ind w:left="862"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343.-</w:t>
      </w:r>
      <w:r w:rsidDel="00000000" w:rsidR="00000000" w:rsidRPr="00000000">
        <w:rPr>
          <w:rFonts w:ascii="Palatino Linotype" w:cs="Palatino Linotype" w:eastAsia="Palatino Linotype" w:hAnsi="Palatino Linotype"/>
          <w:i w:val="1"/>
          <w:iCs w:val="1"/>
          <w:sz w:val="22"/>
          <w:szCs w:val="22"/>
          <w:rtl w:val="0"/>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rsidR="00000000" w:rsidDel="00000000" w:rsidP="00000000" w:rsidRDefault="00000000" w:rsidRPr="00000000" w14:paraId="0000008E">
      <w:pPr>
        <w:spacing w:line="276" w:lineRule="auto"/>
        <w:ind w:left="862"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El sistema de contabilidad sobre base acumulativa total, se sustentará en las normas emitidas por el Consejo Nacional de Armonización Contable.</w:t>
      </w:r>
    </w:p>
    <w:p w:rsidR="00000000" w:rsidDel="00000000" w:rsidP="00000000" w:rsidRDefault="00000000" w:rsidRPr="00000000" w14:paraId="0000008F">
      <w:pPr>
        <w:spacing w:line="276" w:lineRule="auto"/>
        <w:ind w:left="862"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344.-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Los Entes Públicos</w:t>
      </w:r>
      <w:r w:rsidDel="00000000" w:rsidR="00000000" w:rsidRPr="00000000">
        <w:rPr>
          <w:rFonts w:ascii="Palatino Linotype" w:cs="Palatino Linotype" w:eastAsia="Palatino Linotype" w:hAnsi="Palatino Linotype"/>
          <w:b w:val="1"/>
          <w:bCs w:val="1"/>
          <w:i w:val="1"/>
          <w:iCs w:val="1"/>
          <w:sz w:val="22"/>
          <w:szCs w:val="22"/>
          <w:rtl w:val="0"/>
        </w:rPr>
        <w:t xml:space="preserve">, a través de cualquiera de sus unidades administrativas, de acuerdo con su naturaleza jurídica y según corresponda,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registrarán contablemente el efecto patrimonial y presupuestal de las operaciones financieras que realicen, en el momento en que ocurran, con base en el sistema y políticas de registro establecidas</w:t>
      </w:r>
      <w:r w:rsidDel="00000000" w:rsidR="00000000" w:rsidRPr="00000000">
        <w:rPr>
          <w:rFonts w:ascii="Palatino Linotype" w:cs="Palatino Linotype" w:eastAsia="Palatino Linotype" w:hAnsi="Palatino Linotype"/>
          <w:i w:val="1"/>
          <w:iCs w:val="1"/>
          <w:sz w:val="22"/>
          <w:szCs w:val="22"/>
          <w:rtl w:val="0"/>
        </w:rPr>
        <w:t xml:space="preserve">, en el caso de los Municipios, se hará por la Tesorería.</w:t>
      </w:r>
    </w:p>
    <w:p w:rsidR="00000000" w:rsidDel="00000000" w:rsidP="00000000" w:rsidRDefault="00000000" w:rsidRPr="00000000" w14:paraId="00000090">
      <w:pPr>
        <w:spacing w:line="276" w:lineRule="auto"/>
        <w:ind w:left="862"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u w:val="single"/>
          <w:rtl w:val="0"/>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w:t>
      </w:r>
      <w:r w:rsidDel="00000000" w:rsidR="00000000" w:rsidRPr="00000000">
        <w:rPr>
          <w:rFonts w:ascii="Palatino Linotype" w:cs="Palatino Linotype" w:eastAsia="Palatino Linotype" w:hAnsi="Palatino Linotype"/>
          <w:b w:val="1"/>
          <w:bCs w:val="1"/>
          <w:i w:val="1"/>
          <w:iCs w:val="1"/>
          <w:sz w:val="22"/>
          <w:szCs w:val="22"/>
          <w:rtl w:val="0"/>
        </w:rPr>
        <w:t xml:space="preserve"> y a disposición de los Órganos de Fiscalización locales y federales, </w:t>
      </w:r>
      <w:r w:rsidDel="00000000" w:rsidR="00000000" w:rsidRPr="00000000">
        <w:rPr>
          <w:rFonts w:ascii="Palatino Linotype" w:cs="Palatino Linotype" w:eastAsia="Palatino Linotype" w:hAnsi="Palatino Linotype"/>
          <w:i w:val="1"/>
          <w:iCs w:val="1"/>
          <w:sz w:val="22"/>
          <w:szCs w:val="22"/>
          <w:rtl w:val="0"/>
        </w:rPr>
        <w:t xml:space="preserve">según corresponda, así como de los órganos internos de control, </w:t>
      </w:r>
      <w:r w:rsidDel="00000000" w:rsidR="00000000" w:rsidRPr="00000000">
        <w:rPr>
          <w:rFonts w:ascii="Palatino Linotype" w:cs="Palatino Linotype" w:eastAsia="Palatino Linotype" w:hAnsi="Palatino Linotype"/>
          <w:b w:val="1"/>
          <w:bCs w:val="1"/>
          <w:i w:val="1"/>
          <w:iCs w:val="1"/>
          <w:sz w:val="22"/>
          <w:szCs w:val="22"/>
          <w:rtl w:val="0"/>
        </w:rPr>
        <w:t xml:space="preserve">por un término de cinco años,</w:t>
      </w:r>
      <w:r w:rsidDel="00000000" w:rsidR="00000000" w:rsidRPr="00000000">
        <w:rPr>
          <w:rFonts w:ascii="Palatino Linotype" w:cs="Palatino Linotype" w:eastAsia="Palatino Linotype" w:hAnsi="Palatino Linotype"/>
          <w:i w:val="1"/>
          <w:iCs w:val="1"/>
          <w:sz w:val="22"/>
          <w:szCs w:val="22"/>
          <w:rtl w:val="0"/>
        </w:rPr>
        <w:t xml:space="preserve"> contados a partir del ejercicio presupuestal siguiente al que corresponda, en el caso de los Municipios, dicha obligación corresponderá a la Tesorería.</w:t>
      </w:r>
    </w:p>
    <w:p w:rsidR="00000000" w:rsidDel="00000000" w:rsidP="00000000" w:rsidRDefault="00000000" w:rsidRPr="00000000" w14:paraId="00000091">
      <w:pPr>
        <w:spacing w:line="276" w:lineRule="auto"/>
        <w:ind w:left="862"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Tratándose de documentos de carácter histórico, se estará a lo dispuesto por la legislación de la materia.</w:t>
      </w:r>
    </w:p>
    <w:p w:rsidR="00000000" w:rsidDel="00000000" w:rsidP="00000000" w:rsidRDefault="00000000" w:rsidRPr="00000000" w14:paraId="00000092">
      <w:pPr>
        <w:spacing w:line="276" w:lineRule="auto"/>
        <w:ind w:left="862"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93">
      <w:pPr>
        <w:spacing w:line="276" w:lineRule="auto"/>
        <w:ind w:left="862"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345.-</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Tratándose de los comprobantes fiscales digitales, estos deberán estar agregados en forma electrónica a cada póliza de registro contable</w:t>
      </w:r>
      <w:r w:rsidDel="00000000" w:rsidR="00000000" w:rsidRPr="00000000">
        <w:rPr>
          <w:rFonts w:ascii="Palatino Linotype" w:cs="Palatino Linotype" w:eastAsia="Palatino Linotype" w:hAnsi="Palatino Linotype"/>
          <w:b w:val="1"/>
          <w:bCs w:val="1"/>
          <w:i w:val="1"/>
          <w:iCs w:val="1"/>
          <w:sz w:val="22"/>
          <w:szCs w:val="22"/>
          <w:rtl w:val="0"/>
        </w:rPr>
        <w:t xml:space="preserve">.</w:t>
      </w:r>
    </w:p>
    <w:p w:rsidR="00000000" w:rsidDel="00000000" w:rsidP="00000000" w:rsidRDefault="00000000" w:rsidRPr="00000000" w14:paraId="00000094">
      <w:pPr>
        <w:spacing w:line="276" w:lineRule="auto"/>
        <w:ind w:left="862"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sidDel="00000000" w:rsidR="00000000" w:rsidRPr="00000000">
        <w:rPr>
          <w:rFonts w:ascii="Palatino Linotype" w:cs="Palatino Linotype" w:eastAsia="Palatino Linotype" w:hAnsi="Palatino Linotype"/>
          <w:b w:val="1"/>
          <w:bCs w:val="1"/>
          <w:i w:val="1"/>
          <w:iCs w:val="1"/>
          <w:sz w:val="22"/>
          <w:szCs w:val="22"/>
          <w:rtl w:val="0"/>
        </w:rPr>
        <w:t xml:space="preserve">deberán estar agregados en forma electrónica a cada póliza de registro contable</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95">
      <w:pPr>
        <w:spacing w:line="276" w:lineRule="auto"/>
        <w:ind w:left="862"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El plazo señalado en este artículo empezará a contar a partir de la publicación en el Periódico Oficial, del decreto correspondiente.</w:t>
      </w:r>
      <w:r w:rsidDel="00000000" w:rsidR="00000000" w:rsidRPr="00000000">
        <w:rPr>
          <w:rFonts w:ascii="Palatino Linotype" w:cs="Palatino Linotype" w:eastAsia="Palatino Linotype" w:hAnsi="Palatino Linotype"/>
          <w:b w:val="1"/>
          <w:bCs w:val="1"/>
          <w:i w:val="1"/>
          <w:iCs w:val="1"/>
          <w:sz w:val="22"/>
          <w:szCs w:val="22"/>
          <w:rtl w:val="0"/>
        </w:rPr>
        <w:t xml:space="preserve">”</w:t>
      </w:r>
    </w:p>
    <w:p w:rsidR="00000000" w:rsidDel="00000000" w:rsidP="00000000" w:rsidRDefault="00000000" w:rsidRPr="00000000" w14:paraId="00000096">
      <w:pPr>
        <w:spacing w:line="276" w:lineRule="auto"/>
        <w:ind w:left="862"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(Énfasis Añadido)</w:t>
      </w:r>
      <w:r w:rsidDel="00000000" w:rsidR="00000000" w:rsidRPr="00000000">
        <w:rPr>
          <w:rtl w:val="0"/>
        </w:rPr>
      </w:r>
    </w:p>
    <w:p w:rsidR="00000000" w:rsidDel="00000000" w:rsidP="00000000" w:rsidRDefault="00000000" w:rsidRPr="00000000" w14:paraId="0000009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rsidR="00000000" w:rsidDel="00000000" w:rsidP="00000000" w:rsidRDefault="00000000" w:rsidRPr="00000000" w14:paraId="0000009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si bien es cierto que el Código Financiero del Estado de México y Municipios establece la obligación de llevar los registros contables y presupuestales; también lo es que, dicho ordenamiento jurídico no establece que debemos entender por registro contable y presupuestal; sin embargo, el “Glosario de Términos para el Proceso de Planeación, Programación, Presupuestación y Evaluación en la Administración Pública”</w:t>
      </w:r>
      <w:r w:rsidDel="00000000" w:rsidR="00000000" w:rsidRPr="00000000">
        <w:rPr>
          <w:rFonts w:ascii="Palatino Linotype" w:cs="Palatino Linotype" w:eastAsia="Palatino Linotype" w:hAnsi="Palatino Linotype"/>
          <w:sz w:val="22"/>
          <w:szCs w:val="22"/>
          <w:vertAlign w:val="superscript"/>
        </w:rPr>
        <w:footnoteReference w:customMarkFollows="0" w:id="0"/>
      </w:r>
      <w:r w:rsidDel="00000000" w:rsidR="00000000" w:rsidRPr="00000000">
        <w:rPr>
          <w:rFonts w:ascii="Palatino Linotype" w:cs="Palatino Linotype" w:eastAsia="Palatino Linotype" w:hAnsi="Palatino Linotype"/>
          <w:sz w:val="22"/>
          <w:szCs w:val="22"/>
          <w:rtl w:val="0"/>
        </w:rPr>
        <w:t xml:space="preserve">,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rsidR="00000000" w:rsidDel="00000000" w:rsidP="00000000" w:rsidRDefault="00000000" w:rsidRPr="00000000" w14:paraId="0000009B">
      <w:pPr>
        <w:tabs>
          <w:tab w:val="left" w:leader="none" w:pos="7655"/>
        </w:tabs>
        <w:spacing w:line="276" w:lineRule="auto"/>
        <w:ind w:left="851" w:right="616" w:hanging="9.000000000000057"/>
        <w:jc w:val="both"/>
        <w:rPr>
          <w:rFonts w:ascii="Palatino Linotype" w:cs="Palatino Linotype" w:eastAsia="Palatino Linotype" w:hAnsi="Palatino Linotype"/>
          <w:b w:val="1"/>
          <w:bCs w:val="1"/>
          <w:i w:val="1"/>
          <w:iCs w:val="1"/>
          <w:sz w:val="22"/>
          <w:szCs w:val="22"/>
        </w:rPr>
      </w:pPr>
      <w:r w:rsidDel="00000000" w:rsidR="00000000" w:rsidRPr="00000000">
        <w:rPr>
          <w:rtl w:val="0"/>
        </w:rPr>
      </w:r>
    </w:p>
    <w:p w:rsidR="00000000" w:rsidDel="00000000" w:rsidP="00000000" w:rsidRDefault="00000000" w:rsidRPr="00000000" w14:paraId="0000009C">
      <w:pPr>
        <w:tabs>
          <w:tab w:val="left" w:leader="none" w:pos="7655"/>
        </w:tabs>
        <w:spacing w:line="276" w:lineRule="auto"/>
        <w:ind w:left="851" w:right="616" w:hanging="9.000000000000057"/>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REGISTRO CONTABLE</w:t>
      </w:r>
    </w:p>
    <w:p w:rsidR="00000000" w:rsidDel="00000000" w:rsidP="00000000" w:rsidRDefault="00000000" w:rsidRPr="00000000" w14:paraId="0000009D">
      <w:pPr>
        <w:tabs>
          <w:tab w:val="left" w:leader="none" w:pos="7655"/>
        </w:tabs>
        <w:spacing w:line="276" w:lineRule="auto"/>
        <w:ind w:left="851" w:right="616" w:hanging="9.000000000000057"/>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Asiento que se realiza en los libros de contabilidad de las actividades relacionadas con el ingreso y egresos de un ente económico.”</w:t>
      </w:r>
    </w:p>
    <w:p w:rsidR="00000000" w:rsidDel="00000000" w:rsidP="00000000" w:rsidRDefault="00000000" w:rsidRPr="00000000" w14:paraId="0000009E">
      <w:pPr>
        <w:tabs>
          <w:tab w:val="left" w:leader="none" w:pos="7655"/>
        </w:tabs>
        <w:spacing w:line="276" w:lineRule="auto"/>
        <w:ind w:left="851" w:right="616" w:hanging="9.000000000000057"/>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9F">
      <w:pPr>
        <w:tabs>
          <w:tab w:val="left" w:leader="none" w:pos="7655"/>
        </w:tabs>
        <w:spacing w:line="276" w:lineRule="auto"/>
        <w:ind w:left="851" w:right="616" w:hanging="9.000000000000057"/>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REGISTRO PRESUPUESTARIO</w:t>
      </w:r>
    </w:p>
    <w:p w:rsidR="00000000" w:rsidDel="00000000" w:rsidP="00000000" w:rsidRDefault="00000000" w:rsidRPr="00000000" w14:paraId="000000A0">
      <w:pPr>
        <w:tabs>
          <w:tab w:val="left" w:leader="none" w:pos="7655"/>
        </w:tabs>
        <w:spacing w:line="276" w:lineRule="auto"/>
        <w:ind w:left="851" w:right="616" w:hanging="9.000000000000057"/>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Asiento contable de las erogaciones realizadas por las dependencias y entidades con relación a la asignación, modificación y ejercicio de los recursos presupuestarios que se les hayan autorizado.”</w:t>
      </w:r>
    </w:p>
    <w:p w:rsidR="00000000" w:rsidDel="00000000" w:rsidP="00000000" w:rsidRDefault="00000000" w:rsidRPr="00000000" w14:paraId="000000A1">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2">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bien se desprende de las definiciones, los registros contables y presupuestarios son asientos o anotaciones contables que se realizan tanto de los ingresos como de los egresos, a decir se trata de un control financiero en el que se reconoce la obligación del Tesorero de llevar dicho registro.</w:t>
      </w:r>
    </w:p>
    <w:p w:rsidR="00000000" w:rsidDel="00000000" w:rsidP="00000000" w:rsidRDefault="00000000" w:rsidRPr="00000000" w14:paraId="000000A3">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otra parte, se establece que el sistema de contabilidad sobre base acumulativa total se sustentará en los principios de contabilidad gubernamental.</w:t>
      </w:r>
    </w:p>
    <w:p w:rsidR="00000000" w:rsidDel="00000000" w:rsidP="00000000" w:rsidRDefault="00000000" w:rsidRPr="00000000" w14:paraId="000000A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rsidR="00000000" w:rsidDel="00000000" w:rsidP="00000000" w:rsidRDefault="00000000" w:rsidRPr="00000000" w14:paraId="000000A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Correlativo a lo anterior, es preciso referir una definición de </w:t>
      </w:r>
      <w:r w:rsidDel="00000000" w:rsidR="00000000" w:rsidRPr="00000000">
        <w:rPr>
          <w:rFonts w:ascii="Palatino Linotype" w:cs="Palatino Linotype" w:eastAsia="Palatino Linotype" w:hAnsi="Palatino Linotype"/>
          <w:i w:val="1"/>
          <w:iCs w:val="1"/>
          <w:sz w:val="22"/>
          <w:szCs w:val="22"/>
          <w:rtl w:val="0"/>
        </w:rPr>
        <w:t xml:space="preserve">póliza contable</w:t>
      </w:r>
      <w:r w:rsidDel="00000000" w:rsidR="00000000" w:rsidRPr="00000000">
        <w:rPr>
          <w:rFonts w:ascii="Palatino Linotype" w:cs="Palatino Linotype" w:eastAsia="Palatino Linotype" w:hAnsi="Palatino Linotype"/>
          <w:sz w:val="22"/>
          <w:szCs w:val="22"/>
          <w:rtl w:val="0"/>
        </w:rPr>
        <w:t xml:space="preserve">, la cual, primeramente, no está definida en el Código Financiero del Estado de México y Municipios; no obstante, el ya mencionado Glosario la define como:</w:t>
      </w:r>
    </w:p>
    <w:p w:rsidR="00000000" w:rsidDel="00000000" w:rsidP="00000000" w:rsidRDefault="00000000" w:rsidRPr="00000000" w14:paraId="000000A9">
      <w:pPr>
        <w:spacing w:line="276" w:lineRule="auto"/>
        <w:ind w:left="862" w:right="758"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AA">
      <w:pPr>
        <w:spacing w:line="276" w:lineRule="auto"/>
        <w:ind w:left="862"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PÓLIZA CONTABLE</w:t>
      </w:r>
    </w:p>
    <w:p w:rsidR="00000000" w:rsidDel="00000000" w:rsidP="00000000" w:rsidRDefault="00000000" w:rsidRPr="00000000" w14:paraId="000000AB">
      <w:pPr>
        <w:spacing w:line="276" w:lineRule="auto"/>
        <w:ind w:left="862"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Documento en el cual se asientan en forma individual todas y cada una de las operaciones desarrolladas por una institución, así como la información necesaria para la identificación de dichas operaciones.” </w:t>
      </w:r>
    </w:p>
    <w:p w:rsidR="00000000" w:rsidDel="00000000" w:rsidP="00000000" w:rsidRDefault="00000000" w:rsidRPr="00000000" w14:paraId="000000A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se advierte que la </w:t>
      </w:r>
      <w:r w:rsidDel="00000000" w:rsidR="00000000" w:rsidRPr="00000000">
        <w:rPr>
          <w:rFonts w:ascii="Palatino Linotype" w:cs="Palatino Linotype" w:eastAsia="Palatino Linotype" w:hAnsi="Palatino Linotype"/>
          <w:i w:val="1"/>
          <w:iCs w:val="1"/>
          <w:sz w:val="22"/>
          <w:szCs w:val="22"/>
          <w:rtl w:val="0"/>
        </w:rPr>
        <w:t xml:space="preserve">póliza contable</w:t>
      </w:r>
      <w:r w:rsidDel="00000000" w:rsidR="00000000" w:rsidRPr="00000000">
        <w:rPr>
          <w:rFonts w:ascii="Palatino Linotype" w:cs="Palatino Linotype" w:eastAsia="Palatino Linotype" w:hAnsi="Palatino Linotype"/>
          <w:sz w:val="22"/>
          <w:szCs w:val="22"/>
          <w:rtl w:val="0"/>
        </w:rPr>
        <w:t xml:space="preserve"> constituye un registro contable y presupuestal con el que cuentan los Municipios para el registro de operaciones relacionadas con ingresos y egresos y </w:t>
      </w:r>
      <w:r w:rsidDel="00000000" w:rsidR="00000000" w:rsidRPr="00000000">
        <w:rPr>
          <w:rFonts w:ascii="Palatino Linotype" w:cs="Palatino Linotype" w:eastAsia="Palatino Linotype" w:hAnsi="Palatino Linotype"/>
          <w:b w:val="1"/>
          <w:bCs w:val="1"/>
          <w:sz w:val="22"/>
          <w:szCs w:val="22"/>
          <w:u w:val="single"/>
          <w:rtl w:val="0"/>
        </w:rPr>
        <w:t xml:space="preserve">se anexan los documentos o comprobantes que justifiquen las anotaciones y cantidades en ellas registradas</w:t>
      </w:r>
      <w:r w:rsidDel="00000000" w:rsidR="00000000" w:rsidRPr="00000000">
        <w:rPr>
          <w:rFonts w:ascii="Palatino Linotype" w:cs="Palatino Linotype" w:eastAsia="Palatino Linotype" w:hAnsi="Palatino Linotype"/>
          <w:sz w:val="22"/>
          <w:szCs w:val="22"/>
          <w:rtl w:val="0"/>
        </w:rPr>
        <w:t xml:space="preserve">, lo que permite la identificación plena de dichas operaciones.</w:t>
      </w:r>
    </w:p>
    <w:p w:rsidR="00000000" w:rsidDel="00000000" w:rsidP="00000000" w:rsidRDefault="00000000" w:rsidRPr="00000000" w14:paraId="000000AE">
      <w:pPr>
        <w:spacing w:line="360" w:lineRule="auto"/>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A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sentido, existen diversos tipos de pólizas contables de acuerdo a las operaciones realizadas, dentro de las cuales, encontramos las llamadas </w:t>
      </w:r>
      <w:r w:rsidDel="00000000" w:rsidR="00000000" w:rsidRPr="00000000">
        <w:rPr>
          <w:rFonts w:ascii="Palatino Linotype" w:cs="Palatino Linotype" w:eastAsia="Palatino Linotype" w:hAnsi="Palatino Linotype"/>
          <w:i w:val="1"/>
          <w:iCs w:val="1"/>
          <w:sz w:val="22"/>
          <w:szCs w:val="22"/>
          <w:rtl w:val="0"/>
        </w:rPr>
        <w:t xml:space="preserve">pólizas de egresos</w:t>
      </w:r>
      <w:r w:rsidDel="00000000" w:rsidR="00000000" w:rsidRPr="00000000">
        <w:rPr>
          <w:rFonts w:ascii="Palatino Linotype" w:cs="Palatino Linotype" w:eastAsia="Palatino Linotype" w:hAnsi="Palatino Linotype"/>
          <w:sz w:val="22"/>
          <w:szCs w:val="22"/>
          <w:rtl w:val="0"/>
        </w:rPr>
        <w:t xml:space="preserve">, que </w:t>
      </w:r>
      <w:r w:rsidDel="00000000" w:rsidR="00000000" w:rsidRPr="00000000">
        <w:rPr>
          <w:rFonts w:ascii="Palatino Linotype" w:cs="Palatino Linotype" w:eastAsia="Palatino Linotype" w:hAnsi="Palatino Linotype"/>
          <w:b w:val="1"/>
          <w:bCs w:val="1"/>
          <w:sz w:val="22"/>
          <w:szCs w:val="22"/>
          <w:rtl w:val="0"/>
        </w:rPr>
        <w:t xml:space="preserve">son aquellas en las cuales </w:t>
      </w:r>
      <w:r w:rsidDel="00000000" w:rsidR="00000000" w:rsidRPr="00000000">
        <w:rPr>
          <w:rFonts w:ascii="Palatino Linotype" w:cs="Palatino Linotype" w:eastAsia="Palatino Linotype" w:hAnsi="Palatino Linotype"/>
          <w:b w:val="1"/>
          <w:bCs w:val="1"/>
          <w:sz w:val="22"/>
          <w:szCs w:val="22"/>
          <w:u w:val="single"/>
          <w:rtl w:val="0"/>
        </w:rPr>
        <w:t xml:space="preserve">se anotan diariamente las operaciones que representan gastos, es decir, salidas de dinero</w:t>
      </w:r>
      <w:r w:rsidDel="00000000" w:rsidR="00000000" w:rsidRPr="00000000">
        <w:rPr>
          <w:rFonts w:ascii="Palatino Linotype" w:cs="Palatino Linotype" w:eastAsia="Palatino Linotype" w:hAnsi="Palatino Linotype"/>
          <w:sz w:val="22"/>
          <w:szCs w:val="22"/>
          <w:rtl w:val="0"/>
        </w:rPr>
        <w:t xml:space="preserve"> para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las que además, </w:t>
      </w:r>
      <w:r w:rsidDel="00000000" w:rsidR="00000000" w:rsidRPr="00000000">
        <w:rPr>
          <w:rFonts w:ascii="Palatino Linotype" w:cs="Palatino Linotype" w:eastAsia="Palatino Linotype" w:hAnsi="Palatino Linotype"/>
          <w:b w:val="1"/>
          <w:bCs w:val="1"/>
          <w:sz w:val="22"/>
          <w:szCs w:val="22"/>
          <w:u w:val="single"/>
          <w:rtl w:val="0"/>
        </w:rPr>
        <w:t xml:space="preserve">deben encontrarse acompañadas de las documentales que sirven de soporte de dicho movimiento</w:t>
      </w:r>
      <w:r w:rsidDel="00000000" w:rsidR="00000000" w:rsidRPr="00000000">
        <w:rPr>
          <w:rFonts w:ascii="Palatino Linotype" w:cs="Palatino Linotype" w:eastAsia="Palatino Linotype" w:hAnsi="Palatino Linotype"/>
          <w:sz w:val="22"/>
          <w:szCs w:val="22"/>
          <w:rtl w:val="0"/>
        </w:rPr>
        <w:t xml:space="preserve">, como por ejemplo las facturas.</w:t>
      </w:r>
    </w:p>
    <w:p w:rsidR="00000000" w:rsidDel="00000000" w:rsidP="00000000" w:rsidRDefault="00000000" w:rsidRPr="00000000" w14:paraId="000000B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modo,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cuenta con facultades y atribuciones para tener registro de la expedición de las pólizas de egresos, ya que con tales documentales acredita y soporta el gasto realizado. </w:t>
      </w:r>
    </w:p>
    <w:p w:rsidR="00000000" w:rsidDel="00000000" w:rsidP="00000000" w:rsidRDefault="00000000" w:rsidRPr="00000000" w14:paraId="000000B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lo anterior, conviene recordar que en respuesta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informó que en atención a lo señalado en el Manual General de Organización de la Secretaría de Finanzas las unidades administrativas -Dirección General de Tesorería y Subdirección de Cuentas por pagar - son las instancias competentes para ejecutar y tramitar el pago de facturas derivadas de los servicios contratados por la Secretaría del Bienestar, razón por la cual desconoce el estatus del proceso de pago de dichas facturas; por lo que, oriento a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a presentar su solicitud de información ante la Secretaría de Finanzas. </w:t>
      </w:r>
    </w:p>
    <w:p w:rsidR="00000000" w:rsidDel="00000000" w:rsidP="00000000" w:rsidRDefault="00000000" w:rsidRPr="00000000" w14:paraId="000000B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en principio resulta importante traer a colación que el artículo 1 de la Ley de Contratación Pública del Estado de México y Municipios, tiene por objeto regular los actos relativos a la planeación, programación, presupuestacción, ejecución y control de la adquisición, enajenación y arrendamiento de bienes, así como la contratación de servicios de cualquier naturaleza, que realicen diversas entidades públicas, entre ellas, las secretarías y las unidades administrativas del Poder _Ejecutivo del Estado, tal como se advierte a continuación:</w:t>
      </w:r>
    </w:p>
    <w:p w:rsidR="00000000" w:rsidDel="00000000" w:rsidP="00000000" w:rsidRDefault="00000000" w:rsidRPr="00000000" w14:paraId="000000B6">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1.-</w:t>
      </w:r>
      <w:r w:rsidDel="00000000" w:rsidR="00000000" w:rsidRPr="00000000">
        <w:rPr>
          <w:rFonts w:ascii="Palatino Linotype" w:cs="Palatino Linotype" w:eastAsia="Palatino Linotype" w:hAnsi="Palatino Linotype"/>
          <w:i w:val="1"/>
          <w:iCs w:val="1"/>
          <w:sz w:val="22"/>
          <w:szCs w:val="22"/>
          <w:rtl w:val="0"/>
        </w:rPr>
        <w:t xml:space="preserve"> Esta Ley tiene por objeto regular los actos relativos a la planeación, programación, presupuestación, ejecución y control de la adquisición, enajenación y arrendamiento de bienes, y la </w:t>
      </w:r>
      <w:r w:rsidDel="00000000" w:rsidR="00000000" w:rsidRPr="00000000">
        <w:rPr>
          <w:rFonts w:ascii="Palatino Linotype" w:cs="Palatino Linotype" w:eastAsia="Palatino Linotype" w:hAnsi="Palatino Linotype"/>
          <w:b w:val="1"/>
          <w:bCs w:val="1"/>
          <w:i w:val="1"/>
          <w:iCs w:val="1"/>
          <w:sz w:val="22"/>
          <w:szCs w:val="22"/>
          <w:rtl w:val="0"/>
        </w:rPr>
        <w:t xml:space="preserve">contratación de servicios de cualquier naturaleza</w:t>
      </w:r>
      <w:r w:rsidDel="00000000" w:rsidR="00000000" w:rsidRPr="00000000">
        <w:rPr>
          <w:rFonts w:ascii="Palatino Linotype" w:cs="Palatino Linotype" w:eastAsia="Palatino Linotype" w:hAnsi="Palatino Linotype"/>
          <w:i w:val="1"/>
          <w:iCs w:val="1"/>
          <w:sz w:val="22"/>
          <w:szCs w:val="22"/>
          <w:rtl w:val="0"/>
        </w:rPr>
        <w:t xml:space="preserve">, que realicen:</w:t>
      </w:r>
    </w:p>
    <w:p w:rsidR="00000000" w:rsidDel="00000000" w:rsidP="00000000" w:rsidRDefault="00000000" w:rsidRPr="00000000" w14:paraId="000000B7">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 Las secretarías y las unidades administrativas del Poder Ejecutivo del Estado</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B8">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 La Procuraduría General de Justicia.</w:t>
      </w:r>
    </w:p>
    <w:p w:rsidR="00000000" w:rsidDel="00000000" w:rsidP="00000000" w:rsidRDefault="00000000" w:rsidRPr="00000000" w14:paraId="000000B9">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III. Los ayuntamientos de los municipios del Estado.</w:t>
      </w:r>
    </w:p>
    <w:p w:rsidR="00000000" w:rsidDel="00000000" w:rsidP="00000000" w:rsidRDefault="00000000" w:rsidRPr="00000000" w14:paraId="000000BA">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IV. Los organismos auxiliares y fideicomisos públicos, de carácter estatal o municipal.</w:t>
      </w:r>
    </w:p>
    <w:p w:rsidR="00000000" w:rsidDel="00000000" w:rsidP="00000000" w:rsidRDefault="00000000" w:rsidRPr="00000000" w14:paraId="000000BB">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V. Los tribunales administrativos</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B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mismo orden de ideas, los artículos 4, fracción VIII, 5, 13 y 14 de la Ley de Contratación Pública Estatal, precisan lo siguiente: </w:t>
      </w:r>
    </w:p>
    <w:p w:rsidR="00000000" w:rsidDel="00000000" w:rsidP="00000000" w:rsidRDefault="00000000" w:rsidRPr="00000000" w14:paraId="000000B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F">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4.-</w:t>
      </w:r>
      <w:r w:rsidDel="00000000" w:rsidR="00000000" w:rsidRPr="00000000">
        <w:rPr>
          <w:rFonts w:ascii="Palatino Linotype" w:cs="Palatino Linotype" w:eastAsia="Palatino Linotype" w:hAnsi="Palatino Linotype"/>
          <w:i w:val="1"/>
          <w:iCs w:val="1"/>
          <w:sz w:val="22"/>
          <w:szCs w:val="22"/>
          <w:rtl w:val="0"/>
        </w:rPr>
        <w:t xml:space="preserve"> Para los efectos de esta Ley, en las adquisiciones, enajenaciones, arrendamientos y servicios, quedan comprendidos:</w:t>
      </w:r>
    </w:p>
    <w:p w:rsidR="00000000" w:rsidDel="00000000" w:rsidP="00000000" w:rsidRDefault="00000000" w:rsidRPr="00000000" w14:paraId="000000C0">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La adquisición de bienes muebles.</w:t>
      </w:r>
    </w:p>
    <w:p w:rsidR="00000000" w:rsidDel="00000000" w:rsidP="00000000" w:rsidRDefault="00000000" w:rsidRPr="00000000" w14:paraId="000000C1">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La adquisición de bienes inmuebles, a través de compraventa.</w:t>
      </w:r>
    </w:p>
    <w:p w:rsidR="00000000" w:rsidDel="00000000" w:rsidP="00000000" w:rsidRDefault="00000000" w:rsidRPr="00000000" w14:paraId="000000C2">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C3">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w:t>
      </w:r>
      <w:r w:rsidDel="00000000" w:rsidR="00000000" w:rsidRPr="00000000">
        <w:rPr>
          <w:rFonts w:ascii="Palatino Linotype" w:cs="Palatino Linotype" w:eastAsia="Palatino Linotype" w:hAnsi="Palatino Linotype"/>
          <w:i w:val="1"/>
          <w:iCs w:val="1"/>
          <w:sz w:val="22"/>
          <w:szCs w:val="22"/>
          <w:rtl w:val="0"/>
        </w:rPr>
        <w:t xml:space="preserve">. La contratación de los servicios, relacionados con bienes muebles que se encuentran incorporados o adheridos a bienes inmuebles, cuya instalación o mantenimiento no implique modificación al bien inmueble.</w:t>
      </w:r>
    </w:p>
    <w:p w:rsidR="00000000" w:rsidDel="00000000" w:rsidP="00000000" w:rsidRDefault="00000000" w:rsidRPr="00000000" w14:paraId="000000C4">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VI. La contratación de los servicios de reconstrucción y mantenimiento de bienes muebles.</w:t>
      </w:r>
    </w:p>
    <w:p w:rsidR="00000000" w:rsidDel="00000000" w:rsidP="00000000" w:rsidRDefault="00000000" w:rsidRPr="00000000" w14:paraId="000000C5">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VII. La contratación de los servicios de maquila, seguros y transportación, así como de los de limpieza y vigilancia de bienes inmuebles.</w:t>
      </w:r>
    </w:p>
    <w:p w:rsidR="00000000" w:rsidDel="00000000" w:rsidP="00000000" w:rsidRDefault="00000000" w:rsidRPr="00000000" w14:paraId="000000C6">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VIII.</w:t>
      </w:r>
      <w:r w:rsidDel="00000000" w:rsidR="00000000" w:rsidRPr="00000000">
        <w:rPr>
          <w:rFonts w:ascii="Palatino Linotype" w:cs="Palatino Linotype" w:eastAsia="Palatino Linotype" w:hAnsi="Palatino Linotype"/>
          <w:i w:val="1"/>
          <w:iCs w:val="1"/>
          <w:sz w:val="22"/>
          <w:szCs w:val="22"/>
          <w:rtl w:val="0"/>
        </w:rPr>
        <w:t xml:space="preserve"> La prestación de servicios profesionales, la contratación de consultorías, asesorías y estudios e investigaciones, excepto la contratación de servicios personales de personas físicas bajo el régimen de honorarios.</w:t>
      </w:r>
    </w:p>
    <w:p w:rsidR="00000000" w:rsidDel="00000000" w:rsidP="00000000" w:rsidRDefault="00000000" w:rsidRPr="00000000" w14:paraId="000000C7">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general, otros actos que impliquen la contratación de servicios de cualquier naturaleza.</w:t>
      </w:r>
    </w:p>
    <w:p w:rsidR="00000000" w:rsidDel="00000000" w:rsidP="00000000" w:rsidRDefault="00000000" w:rsidRPr="00000000" w14:paraId="000000C8">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C9">
      <w:pPr>
        <w:spacing w:line="276" w:lineRule="auto"/>
        <w:ind w:left="851" w:right="616" w:firstLine="0"/>
        <w:jc w:val="both"/>
        <w:rPr>
          <w:rFonts w:ascii="Palatino Linotype" w:cs="Palatino Linotype" w:eastAsia="Palatino Linotype" w:hAnsi="Palatino Linotype"/>
          <w:b w:val="1"/>
          <w:bCs w:val="1"/>
          <w:i w:val="1"/>
          <w:iCs w:val="1"/>
          <w:sz w:val="22"/>
          <w:szCs w:val="22"/>
          <w:u w:val="single"/>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5.-</w:t>
      </w:r>
      <w:r w:rsidDel="00000000" w:rsidR="00000000" w:rsidRPr="00000000">
        <w:rPr>
          <w:rFonts w:ascii="Palatino Linotype" w:cs="Palatino Linotype" w:eastAsia="Palatino Linotype" w:hAnsi="Palatino Linotype"/>
          <w:i w:val="1"/>
          <w:iCs w:val="1"/>
          <w:sz w:val="22"/>
          <w:szCs w:val="22"/>
          <w:rtl w:val="0"/>
        </w:rPr>
        <w:t xml:space="preserve"> La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Secretaría llevará a cabo los procedimientos de adquisición de bienes o servicios que requieran las dependencias, conforme a sus respectivos programas de adquisiciones.</w:t>
      </w:r>
    </w:p>
    <w:p w:rsidR="00000000" w:rsidDel="00000000" w:rsidP="00000000" w:rsidRDefault="00000000" w:rsidRPr="00000000" w14:paraId="000000CA">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CB">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Las entidades, </w:t>
      </w:r>
      <w:r w:rsidDel="00000000" w:rsidR="00000000" w:rsidRPr="00000000">
        <w:rPr>
          <w:rFonts w:ascii="Palatino Linotype" w:cs="Palatino Linotype" w:eastAsia="Palatino Linotype" w:hAnsi="Palatino Linotype"/>
          <w:i w:val="1"/>
          <w:iCs w:val="1"/>
          <w:sz w:val="22"/>
          <w:szCs w:val="22"/>
          <w:rtl w:val="0"/>
        </w:rPr>
        <w:t xml:space="preserve">tribunales administrativos y ayuntamientos, en el ámbito de su respectiva competencia, t</w:t>
      </w:r>
      <w:r w:rsidDel="00000000" w:rsidR="00000000" w:rsidRPr="00000000">
        <w:rPr>
          <w:rFonts w:ascii="Palatino Linotype" w:cs="Palatino Linotype" w:eastAsia="Palatino Linotype" w:hAnsi="Palatino Linotype"/>
          <w:b w:val="1"/>
          <w:bCs w:val="1"/>
          <w:i w:val="1"/>
          <w:iCs w:val="1"/>
          <w:sz w:val="22"/>
          <w:szCs w:val="22"/>
          <w:rtl w:val="0"/>
        </w:rPr>
        <w:t xml:space="preserve">endrán a su cargo el trámite de los procedimientos de adquisición de bienes, contratación de servicios, arrendamientos y enajenaciones de bienes muebles e inmuebles.</w:t>
      </w:r>
    </w:p>
    <w:p w:rsidR="00000000" w:rsidDel="00000000" w:rsidP="00000000" w:rsidRDefault="00000000" w:rsidRPr="00000000" w14:paraId="000000CC">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CD">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el ámbito de la administración pública estatal central, corresponde a la Secretaría el trámite de los procedimientos de contratos, relativos a arrendamientos, adquisiciones de inmuebles y enajenaciones de bienes muebles e inmuebles, observando al respecto las medidas de austeridad señaladas en el Presupuesto de Egresos. </w:t>
      </w:r>
    </w:p>
    <w:p w:rsidR="00000000" w:rsidDel="00000000" w:rsidP="00000000" w:rsidRDefault="00000000" w:rsidRPr="00000000" w14:paraId="000000CE">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tl w:val="0"/>
        </w:rPr>
      </w:r>
    </w:p>
    <w:p w:rsidR="00000000" w:rsidDel="00000000" w:rsidP="00000000" w:rsidRDefault="00000000" w:rsidRPr="00000000" w14:paraId="000000CF">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13.-</w:t>
      </w:r>
      <w:r w:rsidDel="00000000" w:rsidR="00000000" w:rsidRPr="00000000">
        <w:rPr>
          <w:rFonts w:ascii="Palatino Linotype" w:cs="Palatino Linotype" w:eastAsia="Palatino Linotype" w:hAnsi="Palatino Linotype"/>
          <w:i w:val="1"/>
          <w:iCs w:val="1"/>
          <w:sz w:val="22"/>
          <w:szCs w:val="22"/>
          <w:rtl w:val="0"/>
        </w:rPr>
        <w:t xml:space="preserve"> Las </w:t>
      </w:r>
      <w:r w:rsidDel="00000000" w:rsidR="00000000" w:rsidRPr="00000000">
        <w:rPr>
          <w:rFonts w:ascii="Palatino Linotype" w:cs="Palatino Linotype" w:eastAsia="Palatino Linotype" w:hAnsi="Palatino Linotype"/>
          <w:b w:val="1"/>
          <w:bCs w:val="1"/>
          <w:i w:val="1"/>
          <w:iCs w:val="1"/>
          <w:sz w:val="22"/>
          <w:szCs w:val="22"/>
          <w:rtl w:val="0"/>
        </w:rPr>
        <w:t xml:space="preserve">dependencias y entidades deberán presentar a la Secretaría sus requerimientos de adquisiciones y servicios, a más tardar el 31 de enero del ejercicio fiscal respectivo</w:t>
      </w:r>
      <w:r w:rsidDel="00000000" w:rsidR="00000000" w:rsidRPr="00000000">
        <w:rPr>
          <w:rFonts w:ascii="Palatino Linotype" w:cs="Palatino Linotype" w:eastAsia="Palatino Linotype" w:hAnsi="Palatino Linotype"/>
          <w:i w:val="1"/>
          <w:iCs w:val="1"/>
          <w:sz w:val="22"/>
          <w:szCs w:val="22"/>
          <w:rtl w:val="0"/>
        </w:rPr>
        <w:t xml:space="preserve">, con base en el anteproyecto de presupuesto correspondiente.</w:t>
      </w:r>
    </w:p>
    <w:p w:rsidR="00000000" w:rsidDel="00000000" w:rsidP="00000000" w:rsidRDefault="00000000" w:rsidRPr="00000000" w14:paraId="000000D0">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D1">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No obstante lo anterior, </w:t>
      </w:r>
      <w:r w:rsidDel="00000000" w:rsidR="00000000" w:rsidRPr="00000000">
        <w:rPr>
          <w:rFonts w:ascii="Palatino Linotype" w:cs="Palatino Linotype" w:eastAsia="Palatino Linotype" w:hAnsi="Palatino Linotype"/>
          <w:b w:val="1"/>
          <w:bCs w:val="1"/>
          <w:i w:val="1"/>
          <w:iCs w:val="1"/>
          <w:sz w:val="22"/>
          <w:szCs w:val="22"/>
          <w:rtl w:val="0"/>
        </w:rPr>
        <w:t xml:space="preserve">previo al inicio del procedimiento adquisitivo, las dependencias y entidades deberán contar con la suficiencia presupuestal respectiva</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D2">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D3">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Tratándose de contrataciones cuya vigencia inicie en el mes de enero del ejercicio fiscal inmediato siguiente, las dependencias y entidades deberán realizar la solicitud respectiva, previo al cuarto trimestre del ejercicio fiscal en curso.</w:t>
      </w:r>
    </w:p>
    <w:p w:rsidR="00000000" w:rsidDel="00000000" w:rsidP="00000000" w:rsidRDefault="00000000" w:rsidRPr="00000000" w14:paraId="000000D4">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D5">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14.- </w:t>
      </w:r>
      <w:r w:rsidDel="00000000" w:rsidR="00000000" w:rsidRPr="00000000">
        <w:rPr>
          <w:rFonts w:ascii="Palatino Linotype" w:cs="Palatino Linotype" w:eastAsia="Palatino Linotype" w:hAnsi="Palatino Linotype"/>
          <w:i w:val="1"/>
          <w:iCs w:val="1"/>
          <w:sz w:val="22"/>
          <w:szCs w:val="22"/>
          <w:rtl w:val="0"/>
        </w:rPr>
        <w:t xml:space="preserve">Únicamente se pueden tramitar, convocar, adjudicar o llevar a cabo adquisiciones, arrendamientos y servicios, cuando las dependencias, entidades, tribunales administrativos y ayuntamientos cuenten con saldo disponible dentro de su presupuesto aprobado.”</w:t>
      </w:r>
    </w:p>
    <w:p w:rsidR="00000000" w:rsidDel="00000000" w:rsidP="00000000" w:rsidRDefault="00000000" w:rsidRPr="00000000" w14:paraId="000000D6">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(Énfasis Añadido)</w:t>
      </w:r>
      <w:r w:rsidDel="00000000" w:rsidR="00000000" w:rsidRPr="00000000">
        <w:rPr>
          <w:rtl w:val="0"/>
        </w:rPr>
      </w:r>
    </w:p>
    <w:p w:rsidR="00000000" w:rsidDel="00000000" w:rsidP="00000000" w:rsidRDefault="00000000" w:rsidRPr="00000000" w14:paraId="000000D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se colige que las secretarías podrán realizar la contratación de servicios de cualquier naturaleza, esto en relación con los bienes o servicios que hayan solicitado y requieran las dependencias conforme a sus programas de adquisición.</w:t>
      </w:r>
    </w:p>
    <w:p w:rsidR="00000000" w:rsidDel="00000000" w:rsidP="00000000" w:rsidRDefault="00000000" w:rsidRPr="00000000" w14:paraId="000000D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las dependencias que tengan requerimientos de adquisición y servicios, deberán presentar a la Secretaría de Finanzas dichos requerimientos a más tardar el treinta y uno de enero del ejercicio fiscal correspondiente, con base en el presupuesto correspondiente, además de observar que cuentan con la suficiencia presupuestal para realizar dicha adquisición.</w:t>
      </w:r>
    </w:p>
    <w:p w:rsidR="00000000" w:rsidDel="00000000" w:rsidP="00000000" w:rsidRDefault="00000000" w:rsidRPr="00000000" w14:paraId="000000D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lo anterior, resulta importante traer a colación que el Reglamento Interior de la Secretaría del Bienestar, en su artículo 21 señala lo siguiente: </w:t>
      </w:r>
    </w:p>
    <w:p w:rsidR="00000000" w:rsidDel="00000000" w:rsidP="00000000" w:rsidRDefault="00000000" w:rsidRPr="00000000" w14:paraId="000000D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E">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21. Corresponden a la Coordinación Administrativa</w:t>
      </w:r>
      <w:r w:rsidDel="00000000" w:rsidR="00000000" w:rsidRPr="00000000">
        <w:rPr>
          <w:rFonts w:ascii="Palatino Linotype" w:cs="Palatino Linotype" w:eastAsia="Palatino Linotype" w:hAnsi="Palatino Linotype"/>
          <w:i w:val="1"/>
          <w:iCs w:val="1"/>
          <w:sz w:val="22"/>
          <w:szCs w:val="22"/>
          <w:rtl w:val="0"/>
        </w:rPr>
        <w:t xml:space="preserve"> las atribuciones siguientes:</w:t>
      </w:r>
    </w:p>
    <w:p w:rsidR="00000000" w:rsidDel="00000000" w:rsidP="00000000" w:rsidRDefault="00000000" w:rsidRPr="00000000" w14:paraId="000000DF">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E0">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XXI. Administrar los recursos financieros de la Secretaría, previendo la capacidad de pago y liquidez, conforme a los programas y presupuestos aprobados;</w:t>
      </w:r>
    </w:p>
    <w:p w:rsidR="00000000" w:rsidDel="00000000" w:rsidP="00000000" w:rsidRDefault="00000000" w:rsidRPr="00000000" w14:paraId="000000E1">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XXII. </w:t>
      </w:r>
      <w:r w:rsidDel="00000000" w:rsidR="00000000" w:rsidRPr="00000000">
        <w:rPr>
          <w:rFonts w:ascii="Palatino Linotype" w:cs="Palatino Linotype" w:eastAsia="Palatino Linotype" w:hAnsi="Palatino Linotype"/>
          <w:b w:val="1"/>
          <w:bCs w:val="1"/>
          <w:i w:val="1"/>
          <w:iCs w:val="1"/>
          <w:sz w:val="22"/>
          <w:szCs w:val="22"/>
          <w:rtl w:val="0"/>
        </w:rPr>
        <w:t xml:space="preserve">Coadyuvar en la vigilancia y control de la aplicación de los recursos asignados a la Secretaría referentes al ejercicio y comprobación del gasto</w:t>
      </w:r>
      <w:r w:rsidDel="00000000" w:rsidR="00000000" w:rsidRPr="00000000">
        <w:rPr>
          <w:rFonts w:ascii="Palatino Linotype" w:cs="Palatino Linotype" w:eastAsia="Palatino Linotype" w:hAnsi="Palatino Linotype"/>
          <w:i w:val="1"/>
          <w:iCs w:val="1"/>
          <w:sz w:val="22"/>
          <w:szCs w:val="22"/>
          <w:rtl w:val="0"/>
        </w:rPr>
        <w:t xml:space="preserve">, conforme a las normas, políticas y procedimientos establecidos;</w:t>
      </w:r>
    </w:p>
    <w:p w:rsidR="00000000" w:rsidDel="00000000" w:rsidP="00000000" w:rsidRDefault="00000000" w:rsidRPr="00000000" w14:paraId="000000E2">
      <w:pPr>
        <w:spacing w:line="276" w:lineRule="auto"/>
        <w:ind w:left="851" w:right="616" w:firstLine="0"/>
        <w:jc w:val="both"/>
        <w:rPr>
          <w:rFonts w:ascii="Palatino Linotype" w:cs="Palatino Linotype" w:eastAsia="Palatino Linotype" w:hAnsi="Palatino Linotype"/>
          <w:i w:val="1"/>
          <w:iCs w:val="1"/>
          <w:sz w:val="22"/>
          <w:szCs w:val="22"/>
          <w:u w:val="single"/>
        </w:rPr>
      </w:pPr>
      <w:r w:rsidDel="00000000" w:rsidR="00000000" w:rsidRPr="00000000">
        <w:rPr>
          <w:rFonts w:ascii="Palatino Linotype" w:cs="Palatino Linotype" w:eastAsia="Palatino Linotype" w:hAnsi="Palatino Linotype"/>
          <w:b w:val="1"/>
          <w:bCs w:val="1"/>
          <w:i w:val="1"/>
          <w:iCs w:val="1"/>
          <w:sz w:val="22"/>
          <w:szCs w:val="22"/>
          <w:u w:val="single"/>
          <w:rtl w:val="0"/>
        </w:rPr>
        <w:t xml:space="preserve">XXIII. Verificar que se realicen los registros contables y presupuestales de las operaciones financieras de la dependencia</w:t>
      </w:r>
      <w:r w:rsidDel="00000000" w:rsidR="00000000" w:rsidRPr="00000000">
        <w:rPr>
          <w:rFonts w:ascii="Palatino Linotype" w:cs="Palatino Linotype" w:eastAsia="Palatino Linotype" w:hAnsi="Palatino Linotype"/>
          <w:i w:val="1"/>
          <w:iCs w:val="1"/>
          <w:sz w:val="22"/>
          <w:szCs w:val="22"/>
          <w:u w:val="single"/>
          <w:rtl w:val="0"/>
        </w:rPr>
        <w:t xml:space="preserve">;</w:t>
      </w:r>
    </w:p>
    <w:p w:rsidR="00000000" w:rsidDel="00000000" w:rsidP="00000000" w:rsidRDefault="00000000" w:rsidRPr="00000000" w14:paraId="000000E3">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E4">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XXVII. Mantener actualizados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los registros administrativos sobre recursos</w:t>
      </w:r>
      <w:r w:rsidDel="00000000" w:rsidR="00000000" w:rsidRPr="00000000">
        <w:rPr>
          <w:rFonts w:ascii="Palatino Linotype" w:cs="Palatino Linotype" w:eastAsia="Palatino Linotype" w:hAnsi="Palatino Linotype"/>
          <w:i w:val="1"/>
          <w:iCs w:val="1"/>
          <w:sz w:val="22"/>
          <w:szCs w:val="22"/>
          <w:rtl w:val="0"/>
        </w:rPr>
        <w:t xml:space="preserve"> humanos, materiales</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 financieros,</w:t>
      </w:r>
      <w:r w:rsidDel="00000000" w:rsidR="00000000" w:rsidRPr="00000000">
        <w:rPr>
          <w:rFonts w:ascii="Palatino Linotype" w:cs="Palatino Linotype" w:eastAsia="Palatino Linotype" w:hAnsi="Palatino Linotype"/>
          <w:i w:val="1"/>
          <w:iCs w:val="1"/>
          <w:sz w:val="22"/>
          <w:szCs w:val="22"/>
          <w:rtl w:val="0"/>
        </w:rPr>
        <w:t xml:space="preserve"> archivo, correspondencia, inventario de bienes muebles e inmuebles y apoyos técnicos de la Secretaría;…”</w:t>
      </w:r>
    </w:p>
    <w:p w:rsidR="00000000" w:rsidDel="00000000" w:rsidP="00000000" w:rsidRDefault="00000000" w:rsidRPr="00000000" w14:paraId="000000E5">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(Énfasis Añadido)</w:t>
      </w:r>
    </w:p>
    <w:p w:rsidR="00000000" w:rsidDel="00000000" w:rsidP="00000000" w:rsidRDefault="00000000" w:rsidRPr="00000000" w14:paraId="000000E6">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E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es de mencionar que de conformidad con lo que establece el Manual General de Organización de la Secretaría del Bienestar, la Coordinación Administrativa se auxiliara de una Dirección de Recursos Materiales y Servicios Generales, la cual tiene como objetivo coordinar el suministro oportuno de los recursos materiales y servicios generales requeridos por las unidades administrativas de la Secretaría, para el desempeño de sus funciones; asimismo se auxiliara de una Subdirección de Recursos Materiales, cuyo objetivo es realizar el suministro oportuno de los recursos materiales y servicios que requieran las unidades administrativas de la Secretaría para el desempeño de sus funciones, así como verificar que se mantengan actualizados los inventarios para el control de los bienes resguardados en el almacén y del patrimonio asignado a la dependencia. Aunado a ello contara con las siguientes funciones: </w:t>
      </w:r>
    </w:p>
    <w:p w:rsidR="00000000" w:rsidDel="00000000" w:rsidP="00000000" w:rsidRDefault="00000000" w:rsidRPr="00000000" w14:paraId="000000E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9">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22900015030000S</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Dirección de Recursos Materiales y Servicios Generales</w:t>
      </w:r>
      <w:r w:rsidDel="00000000" w:rsidR="00000000" w:rsidRPr="00000000">
        <w:rPr>
          <w:rtl w:val="0"/>
        </w:rPr>
      </w:r>
    </w:p>
    <w:p w:rsidR="00000000" w:rsidDel="00000000" w:rsidP="00000000" w:rsidRDefault="00000000" w:rsidRPr="00000000" w14:paraId="000000EA">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Funciones</w:t>
      </w:r>
      <w:r w:rsidDel="00000000" w:rsidR="00000000" w:rsidRPr="00000000">
        <w:rPr>
          <w:rFonts w:ascii="Palatino Linotype" w:cs="Palatino Linotype" w:eastAsia="Palatino Linotype" w:hAnsi="Palatino Linotype"/>
          <w:i w:val="1"/>
          <w:iCs w:val="1"/>
          <w:sz w:val="22"/>
          <w:szCs w:val="22"/>
          <w:rtl w:val="0"/>
        </w:rPr>
        <w:t xml:space="preserve">:</w:t>
        <w:br w:type="textWrapping"/>
        <w:t xml:space="preserve">10. </w:t>
      </w:r>
      <w:r w:rsidDel="00000000" w:rsidR="00000000" w:rsidRPr="00000000">
        <w:rPr>
          <w:rFonts w:ascii="Palatino Linotype" w:cs="Palatino Linotype" w:eastAsia="Palatino Linotype" w:hAnsi="Palatino Linotype"/>
          <w:b w:val="1"/>
          <w:bCs w:val="1"/>
          <w:i w:val="1"/>
          <w:iCs w:val="1"/>
          <w:sz w:val="22"/>
          <w:szCs w:val="22"/>
          <w:rtl w:val="0"/>
        </w:rPr>
        <w:t xml:space="preserve">Verificar que los conceptos y montos facturados, correspondan con las características de los bienes adquiridos o servicios contratados</w:t>
      </w:r>
      <w:r w:rsidDel="00000000" w:rsidR="00000000" w:rsidRPr="00000000">
        <w:rPr>
          <w:rFonts w:ascii="Palatino Linotype" w:cs="Palatino Linotype" w:eastAsia="Palatino Linotype" w:hAnsi="Palatino Linotype"/>
          <w:i w:val="1"/>
          <w:iCs w:val="1"/>
          <w:sz w:val="22"/>
          <w:szCs w:val="22"/>
          <w:rtl w:val="0"/>
        </w:rPr>
        <w:t xml:space="preserve">, así como el cumplimiento de las condiciones pactadas y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obtener la validación de la factura por parte de las áreas usuarias</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EB">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EC">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22900015030100S Subdirección de Recursos Materiales</w:t>
      </w:r>
    </w:p>
    <w:p w:rsidR="00000000" w:rsidDel="00000000" w:rsidP="00000000" w:rsidRDefault="00000000" w:rsidRPr="00000000" w14:paraId="000000ED">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Funciones:</w:t>
      </w:r>
    </w:p>
    <w:p w:rsidR="00000000" w:rsidDel="00000000" w:rsidP="00000000" w:rsidRDefault="00000000" w:rsidRPr="00000000" w14:paraId="000000EE">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EF">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4. Realizar las adquisiciones de bienes y servicios requeridos por las unidades administrativas de la Secretaría </w:t>
      </w:r>
      <w:r w:rsidDel="00000000" w:rsidR="00000000" w:rsidRPr="00000000">
        <w:rPr>
          <w:rFonts w:ascii="Palatino Linotype" w:cs="Palatino Linotype" w:eastAsia="Palatino Linotype" w:hAnsi="Palatino Linotype"/>
          <w:i w:val="1"/>
          <w:iCs w:val="1"/>
          <w:sz w:val="22"/>
          <w:szCs w:val="22"/>
          <w:rtl w:val="0"/>
        </w:rPr>
        <w:t xml:space="preserve">a través de las modalidades de compra solidaria, adquisición directa y por contrato pedido, de acuerdo con la normatividad vigente en la materia.</w:t>
      </w:r>
    </w:p>
    <w:p w:rsidR="00000000" w:rsidDel="00000000" w:rsidP="00000000" w:rsidRDefault="00000000" w:rsidRPr="00000000" w14:paraId="000000F0">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5.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Integrar, actualizar, resguardar y controlar los expedientes relativos a los procedimientos adquisitivos</w:t>
      </w:r>
      <w:r w:rsidDel="00000000" w:rsidR="00000000" w:rsidRPr="00000000">
        <w:rPr>
          <w:rFonts w:ascii="Palatino Linotype" w:cs="Palatino Linotype" w:eastAsia="Palatino Linotype" w:hAnsi="Palatino Linotype"/>
          <w:b w:val="1"/>
          <w:bCs w:val="1"/>
          <w:i w:val="1"/>
          <w:iCs w:val="1"/>
          <w:sz w:val="22"/>
          <w:szCs w:val="22"/>
          <w:rtl w:val="0"/>
        </w:rPr>
        <w:t xml:space="preserve"> de bienes y contratación de servicios</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F1">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F2">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7. Verificar que los conceptos y montos facturados correspondan con las características de los bienes adquiridos o servicios contratados</w:t>
      </w:r>
      <w:r w:rsidDel="00000000" w:rsidR="00000000" w:rsidRPr="00000000">
        <w:rPr>
          <w:rFonts w:ascii="Palatino Linotype" w:cs="Palatino Linotype" w:eastAsia="Palatino Linotype" w:hAnsi="Palatino Linotype"/>
          <w:i w:val="1"/>
          <w:iCs w:val="1"/>
          <w:sz w:val="22"/>
          <w:szCs w:val="22"/>
          <w:rtl w:val="0"/>
        </w:rPr>
        <w:t xml:space="preserve">, así como el cumplimiento de las condiciones pactadas y obtener la validación de la factura por parte de las unidades administrativas usuarias…</w:t>
      </w:r>
    </w:p>
    <w:p w:rsidR="00000000" w:rsidDel="00000000" w:rsidP="00000000" w:rsidRDefault="00000000" w:rsidRPr="00000000" w14:paraId="000000F3">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0F4">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22</w:t>
      </w:r>
      <w:r w:rsidDel="00000000" w:rsidR="00000000" w:rsidRPr="00000000">
        <w:rPr>
          <w:rFonts w:ascii="Palatino Linotype" w:cs="Palatino Linotype" w:eastAsia="Palatino Linotype" w:hAnsi="Palatino Linotype"/>
          <w:b w:val="1"/>
          <w:bCs w:val="1"/>
          <w:i w:val="1"/>
          <w:iCs w:val="1"/>
          <w:sz w:val="22"/>
          <w:szCs w:val="22"/>
          <w:rtl w:val="0"/>
        </w:rPr>
        <w:t xml:space="preserve">900015040000S Dirección de Recursos Financieros</w:t>
      </w:r>
      <w:r w:rsidDel="00000000" w:rsidR="00000000" w:rsidRPr="00000000">
        <w:rPr>
          <w:rtl w:val="0"/>
        </w:rPr>
      </w:r>
    </w:p>
    <w:p w:rsidR="00000000" w:rsidDel="00000000" w:rsidP="00000000" w:rsidRDefault="00000000" w:rsidRPr="00000000" w14:paraId="000000F5">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6. Verificar que se revise la documentación comprobatoria del gasto, correspondiente a los recursos autorizados a la Secretaría y cumpla con los requisitos fiscales, administrativos y con la normatividad aplicable en la materia.</w:t>
      </w:r>
    </w:p>
    <w:p w:rsidR="00000000" w:rsidDel="00000000" w:rsidP="00000000" w:rsidRDefault="00000000" w:rsidRPr="00000000" w14:paraId="000000F6">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7. Supervisar que se proporcione apoyo a las diferentes unidades administrativas de la Secretaría, para la presentación de solicitudes de reembolso de sus gastos efectuados, en cumplimiento de sus funciones.</w:t>
      </w:r>
    </w:p>
    <w:p w:rsidR="00000000" w:rsidDel="00000000" w:rsidP="00000000" w:rsidRDefault="00000000" w:rsidRPr="00000000" w14:paraId="000000F7">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F8">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11. Verificar que se resguarde la documentación comprobatoria del ejercicio de los recursos autorizados a la Secretaría</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0F9">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(Énfasis Añadido)</w:t>
      </w:r>
      <w:r w:rsidDel="00000000" w:rsidR="00000000" w:rsidRPr="00000000">
        <w:rPr>
          <w:rtl w:val="0"/>
        </w:rPr>
      </w:r>
    </w:p>
    <w:p w:rsidR="00000000" w:rsidDel="00000000" w:rsidP="00000000" w:rsidRDefault="00000000" w:rsidRPr="00000000" w14:paraId="000000F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entonces que, la Secretaría de Bienestar además de tener la facultad de realizar requerimientos de adquisición y servicios a la Secretaría de Finanzas, también se integrará por unidades administrativas que cuentan con facultades, atribuciones y competencias para conocer, administrar y poseer información relativa a integración, resguardo y control de los expedientes relativos a los procedimientos de adquisición y contratación que se lleven a cabo y que sean de su competencia, tal como: la Coordinación Administrativa y la Subdirección de Recursos Materiales dependiente de la Dirección de Recursos Materiales y Servicios Generales, a través de las unidades que los integran.</w:t>
      </w:r>
    </w:p>
    <w:p w:rsidR="00000000" w:rsidDel="00000000" w:rsidP="00000000" w:rsidRDefault="00000000" w:rsidRPr="00000000" w14:paraId="000000F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ahí que,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cuenta con las competencias, facultades y atribuciones para conocer, administrar y generar la información relacionada con las facturas pagadas por la Secretaría de Bienestar, referidas por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su solicitud de información.</w:t>
      </w:r>
    </w:p>
    <w:p w:rsidR="00000000" w:rsidDel="00000000" w:rsidP="00000000" w:rsidRDefault="00000000" w:rsidRPr="00000000" w14:paraId="000000F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en el caso que nos ocupa, derivado de las constancias que obran en el expediente en el que se actúa se advierte que la Unidad de Transparencia, en observancia de lo previsto en los artículos 53, fracciones II y IV</w:t>
      </w:r>
      <w:r w:rsidDel="00000000" w:rsidR="00000000" w:rsidRPr="00000000">
        <w:rPr>
          <w:rFonts w:ascii="Palatino Linotype" w:cs="Palatino Linotype" w:eastAsia="Palatino Linotype" w:hAnsi="Palatino Linotype"/>
          <w:sz w:val="22"/>
          <w:szCs w:val="22"/>
          <w:vertAlign w:val="superscript"/>
          <w:rtl w:val="0"/>
        </w:rPr>
        <w:t xml:space="preserve"> </w:t>
      </w:r>
      <w:r w:rsidDel="00000000" w:rsidR="00000000" w:rsidRPr="00000000">
        <w:rPr>
          <w:rFonts w:ascii="Palatino Linotype" w:cs="Palatino Linotype" w:eastAsia="Palatino Linotype" w:hAnsi="Palatino Linotype"/>
          <w:sz w:val="22"/>
          <w:szCs w:val="22"/>
          <w:vertAlign w:val="superscript"/>
        </w:rPr>
        <w:footnoteReference w:customMarkFollows="0" w:id="1"/>
      </w:r>
      <w:r w:rsidDel="00000000" w:rsidR="00000000" w:rsidRPr="00000000">
        <w:rPr>
          <w:rFonts w:ascii="Palatino Linotype" w:cs="Palatino Linotype" w:eastAsia="Palatino Linotype" w:hAnsi="Palatino Linotype"/>
          <w:sz w:val="22"/>
          <w:szCs w:val="22"/>
          <w:rtl w:val="0"/>
        </w:rPr>
        <w:t xml:space="preserve"> y 162</w:t>
      </w:r>
      <w:r w:rsidDel="00000000" w:rsidR="00000000" w:rsidRPr="00000000">
        <w:rPr>
          <w:rFonts w:ascii="Palatino Linotype" w:cs="Palatino Linotype" w:eastAsia="Palatino Linotype" w:hAnsi="Palatino Linotype"/>
          <w:sz w:val="22"/>
          <w:szCs w:val="22"/>
          <w:vertAlign w:val="superscript"/>
        </w:rPr>
        <w:footnoteReference w:customMarkFollows="0" w:id="2"/>
      </w:r>
      <w:r w:rsidDel="00000000" w:rsidR="00000000" w:rsidRPr="00000000">
        <w:rPr>
          <w:rFonts w:ascii="Palatino Linotype" w:cs="Palatino Linotype" w:eastAsia="Palatino Linotype" w:hAnsi="Palatino Linotype"/>
          <w:sz w:val="22"/>
          <w:szCs w:val="22"/>
          <w:rtl w:val="0"/>
        </w:rPr>
        <w:t xml:space="preserve"> de la Ley de Transparencia y Acceso a la Información Pública del Estado de México y Municipios, turnó la solicitud de información al área que, de acuerdo con sus facultades, competencias y funciones, cuenta con la información materia de la solicitud, esto es la Dirección de Recursos Materiales y Servicios Generales; sin embargo, a pesar de que en el caso se pronunció el servidor público habilitado competente, a consideración de este Órgano Garante no se realizó adecuadamente el proceso de búsqueda de la información, ya que no se aportaron los medios de convicción que permitan advertir que en se llevó a cabo la búsqueda de la misma, pues como se pudo advertir en párrafos que anteceden este Sujeto Obligado si cuenta con facultades para contar con el resguardo y control de los expedientes relativos a los procedimientos de adquisición y contratación que se lleven a cabo, dentro de los que puede obrar las facturas. </w:t>
      </w:r>
    </w:p>
    <w:p w:rsidR="00000000" w:rsidDel="00000000" w:rsidP="00000000" w:rsidRDefault="00000000" w:rsidRPr="00000000" w14:paraId="0000010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ya que es de recordar que la búsqueda exhaustiva de la información es considerada una actividad necesaria e indispensable para la correcta atención de las solicitudes de información que permite la localización de aquella documentación requerida por el solicitante; por lo que, el indicar los archivos en donde se efectuó la búsqueda constituye un elemento necesario que permite a este Instituto tener la certeza de que la información se trató de localizar.</w:t>
      </w:r>
    </w:p>
    <w:p w:rsidR="00000000" w:rsidDel="00000000" w:rsidP="00000000" w:rsidRDefault="00000000" w:rsidRPr="00000000" w14:paraId="0000010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ocasiona que en el caso no se cumpliera con el principio de búsqueda exhaustiva de la información requerida, cuyo alcance se encuentra establecido en el Criterio Reiterado 02/19 emitido por el Pleno de este Organismo Garante, a saber:</w:t>
      </w:r>
    </w:p>
    <w:p w:rsidR="00000000" w:rsidDel="00000000" w:rsidP="00000000" w:rsidRDefault="00000000" w:rsidRPr="00000000" w14:paraId="0000010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5">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“BÚSQUEDA EXHAUSTIVA. SU EJERCICIO PARA LOCALIZAR LA INFORMACIÓN SOLICITADA, NO CONSTITUYE UNA INVESTIGACIÓN A LA CUAL SE REFIERE EL ARTÍCULO 12 DE LA LEY DE TRANSPARENCIA Y ACCESO A LA INFORMACIÓN PÚBLICA DEL ESTADO DE MÉXICO Y MUNICIPIOS. </w:t>
      </w:r>
      <w:r w:rsidDel="00000000" w:rsidR="00000000" w:rsidRPr="00000000">
        <w:rPr>
          <w:rFonts w:ascii="Palatino Linotype" w:cs="Palatino Linotype" w:eastAsia="Palatino Linotype" w:hAnsi="Palatino Linotype"/>
          <w:i w:val="1"/>
          <w:iCs w:val="1"/>
          <w:sz w:val="22"/>
          <w:szCs w:val="22"/>
          <w:rtl w:val="0"/>
        </w:rPr>
        <w:t xml:space="preserve">De conformidad con lo establecido en el artículo 162 de la Ley de Transparencia vigente en la entidad, para atender una solicitud de acceso a la información pública, la Unidad de Transparencia del Sujeto Obligado debe turnar el requerimiento a todas las áreas competentes que pudieran haber generado, poseído o administrado la información solicitada de acuerdo a sus facultades, competencias y funciones, con la finalidad de realizar una búsqueda exhaustiva y razonable en sus archivos que lleve a la localización de los documentos donde conste la información solicitada; por tanto, esta búsqueda es una actividad necesaria e indispensable para la correcta atención de las solicitudes de información que permite la localización de aquella documentación requerida por el solicitante, sin que ello deba entenderse como una investigación de la señalada en el artículo 12, segundo párrafo de la Ley de Transparencia Local; lo anterior es así, toda vez que de acuerdo al Diccionario de la Real Academia Española, la palabra investigar hace referencia, entre otras cosas, a la realización de actividades intelectuales y experimentales de modo sistemático cuyo propósito es aumentar los conocimientos sobre una determinada materia, lo que conlleva a concluir que la investigación inmersa en el artículo 12 de la Ley de la materia se refiere a que los sujetos obligados no están constreñidos a realizar un análisis, extracción y generación de nueva información. Bajo ese tenor, la búsqueda y localización de la información que refiere el numeral 162 de la Ley de Transparencia, no implica una investigación de la señalada en el artículo 12 del mismo ordenamiento legal y, por tanto, los sujetos obligados no podrán excusarse de su ejercicio bajo el argumento de que ello conlleva una investigación.”</w:t>
      </w:r>
    </w:p>
    <w:p w:rsidR="00000000" w:rsidDel="00000000" w:rsidP="00000000" w:rsidRDefault="00000000" w:rsidRPr="00000000" w14:paraId="0000010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7">
      <w:pPr>
        <w:spacing w:line="360" w:lineRule="auto"/>
        <w:jc w:val="both"/>
        <w:rPr>
          <w:rFonts w:ascii="Palatino Linotype" w:cs="Palatino Linotype" w:eastAsia="Palatino Linotype" w:hAnsi="Palatino Linotype"/>
          <w:b w:val="1"/>
          <w:bCs w:val="1"/>
          <w:sz w:val="22"/>
          <w:szCs w:val="22"/>
          <w:u w:val="single"/>
        </w:rPr>
      </w:pPr>
      <w:r w:rsidDel="00000000" w:rsidR="00000000" w:rsidRPr="00000000">
        <w:rPr>
          <w:rFonts w:ascii="Palatino Linotype" w:cs="Palatino Linotype" w:eastAsia="Palatino Linotype" w:hAnsi="Palatino Linotype"/>
          <w:sz w:val="22"/>
          <w:szCs w:val="22"/>
          <w:rtl w:val="0"/>
        </w:rPr>
        <w:t xml:space="preserve">Asimismo, se considera que el pronunciamiento del servidor público habilitado competente, tampoco cumplió con los principios de congruencia y exhaustividad, en virtud de que la respuesta no fue clara, pues el servidor público habilitado competente se limitó a señalar que no se cuenta con información, por ser la Secretaría de Finanzas la encargada de pagar los servicios contratados por la Secretaría de Bienestar, sin que realizara una búsqueda exhaustiva y razonable dentro de sus archivos. </w:t>
      </w:r>
      <w:r w:rsidDel="00000000" w:rsidR="00000000" w:rsidRPr="00000000">
        <w:rPr>
          <w:rtl w:val="0"/>
        </w:rPr>
      </w:r>
    </w:p>
    <w:p w:rsidR="00000000" w:rsidDel="00000000" w:rsidP="00000000" w:rsidRDefault="00000000" w:rsidRPr="00000000" w14:paraId="0000010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 sentido, resulta aplicable el Criterio 02/17 emitido por el Peno del Instituto Nacional de Transparencia y Acceso a la Información y Protección de Datos Personales, de título y texto siguientes:</w:t>
      </w:r>
    </w:p>
    <w:p w:rsidR="00000000" w:rsidDel="00000000" w:rsidP="00000000" w:rsidRDefault="00000000" w:rsidRPr="00000000" w14:paraId="0000010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B">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“Congruencia y exhaustividad. Sus alcances para garantizar el derecho de acceso a la información. </w:t>
      </w:r>
      <w:r w:rsidDel="00000000" w:rsidR="00000000" w:rsidRPr="00000000">
        <w:rPr>
          <w:rFonts w:ascii="Palatino Linotype" w:cs="Palatino Linotype" w:eastAsia="Palatino Linotype" w:hAnsi="Palatino Linotype"/>
          <w:i w:val="1"/>
          <w:iCs w:val="1"/>
          <w:sz w:val="22"/>
          <w:szCs w:val="22"/>
          <w:rtl w:val="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Del="00000000" w:rsidR="00000000" w:rsidRPr="00000000">
        <w:rPr>
          <w:rFonts w:ascii="Palatino Linotype" w:cs="Palatino Linotype" w:eastAsia="Palatino Linotype" w:hAnsi="Palatino Linotype"/>
          <w:b w:val="1"/>
          <w:bCs w:val="1"/>
          <w:i w:val="1"/>
          <w:iCs w:val="1"/>
          <w:sz w:val="22"/>
          <w:szCs w:val="22"/>
          <w:rtl w:val="0"/>
        </w:rPr>
        <w:t xml:space="preserve">la congruencia implica que exista concordancia entre el requerimiento formulado por el particular y la respuesta proporcionada por el sujeto obligado</w:t>
      </w:r>
      <w:r w:rsidDel="00000000" w:rsidR="00000000" w:rsidRPr="00000000">
        <w:rPr>
          <w:rFonts w:ascii="Palatino Linotype" w:cs="Palatino Linotype" w:eastAsia="Palatino Linotype" w:hAnsi="Palatino Linotype"/>
          <w:i w:val="1"/>
          <w:iCs w:val="1"/>
          <w:sz w:val="22"/>
          <w:szCs w:val="22"/>
          <w:rtl w:val="0"/>
        </w:rPr>
        <w:t xml:space="preserve">; mientras que </w:t>
      </w:r>
      <w:r w:rsidDel="00000000" w:rsidR="00000000" w:rsidRPr="00000000">
        <w:rPr>
          <w:rFonts w:ascii="Palatino Linotype" w:cs="Palatino Linotype" w:eastAsia="Palatino Linotype" w:hAnsi="Palatino Linotype"/>
          <w:b w:val="1"/>
          <w:bCs w:val="1"/>
          <w:i w:val="1"/>
          <w:iCs w:val="1"/>
          <w:sz w:val="22"/>
          <w:szCs w:val="22"/>
          <w:rtl w:val="0"/>
        </w:rPr>
        <w:t xml:space="preserve">la exhaustividad significa que dicha respuesta se refiera expresamente a cada uno de los puntos solicitados</w:t>
      </w:r>
      <w:r w:rsidDel="00000000" w:rsidR="00000000" w:rsidRPr="00000000">
        <w:rPr>
          <w:rFonts w:ascii="Palatino Linotype" w:cs="Palatino Linotype" w:eastAsia="Palatino Linotype" w:hAnsi="Palatino Linotype"/>
          <w:i w:val="1"/>
          <w:iCs w:val="1"/>
          <w:sz w:val="22"/>
          <w:szCs w:val="22"/>
          <w:rtl w:val="0"/>
        </w:rPr>
        <w:t xml:space="preserve">.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000000" w:rsidDel="00000000" w:rsidP="00000000" w:rsidRDefault="00000000" w:rsidRPr="00000000" w14:paraId="0000010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ahí que, la respuesta proporcionada al requerimiento en análisis no cumple con los principios de búsqueda exhaustiva, congruencia y exhaustividad; por lo que, este Instituto estima que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colmó el derecho de acceso a la información de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toda vez que, como ya fue referido anteriormente, cuenta con la obligación de contar con las facturas solicitadas; sin embargo, no se realizó la correcta búsqueda de la información dentro de sus archivos. </w:t>
      </w:r>
    </w:p>
    <w:p w:rsidR="00000000" w:rsidDel="00000000" w:rsidP="00000000" w:rsidRDefault="00000000" w:rsidRPr="00000000" w14:paraId="0000010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otra parte, en relación con las erogaciones en proceso de pago, si bien podría acontecer que determinadas facturas aún no se encuentren materialmente pagadas o incluso no hayan sido integradas de manera definitiva al expediente contable, lo cierto es que, conforme a las disposiciones en materia de contabilidad gubernamental y registro presupuestal, toda operación financiera en trámite debe encontrarse soportada con documentación justificativa y comprobatoria que permita su registro, control y fiscalización, tales como comprobantes fiscales recibidos, órdenes de pago, cuentas por pagar, contra recibos o documentos equivalentes que acrediten el proceso de erogación.</w:t>
      </w:r>
    </w:p>
    <w:p w:rsidR="00000000" w:rsidDel="00000000" w:rsidP="00000000" w:rsidRDefault="00000000" w:rsidRPr="00000000" w14:paraId="0000011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consecuencia, este Órgano Garante estima que los motivos de inconformidad planteados por el particular devienen fundados; resultando procedente ordenar la entrega, de las facturas pagadas y en proceso de pago, generadas por un monto mayor a un millón de pesos generadas del primero de enero al diez de noviembre de dos mil veinticinco, en versión pública, conforme al considerando quinto. </w:t>
      </w:r>
    </w:p>
    <w:p w:rsidR="00000000" w:rsidDel="00000000" w:rsidP="00000000" w:rsidRDefault="00000000" w:rsidRPr="00000000" w14:paraId="0000011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el caso de que la información que se ordena entregar no obre en los archivos del Sujeto Obligado, por no haberse erogado recursos por dicho monto, este deberá hacerlo del conocimiento del Particular en términos del artículo 19, párrafo segundo, de la Ley de Transparencia y Acceso a la Información Pública del Estado de México y Municipios, para tenerse por colmado dicho requerimiento. </w:t>
      </w:r>
    </w:p>
    <w:p w:rsidR="00000000" w:rsidDel="00000000" w:rsidP="00000000" w:rsidRDefault="00000000" w:rsidRPr="00000000" w14:paraId="0000011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Quinto. Versión pública. </w:t>
      </w:r>
      <w:r w:rsidDel="00000000" w:rsidR="00000000" w:rsidRPr="00000000">
        <w:rPr>
          <w:rFonts w:ascii="Palatino Linotype" w:cs="Palatino Linotype" w:eastAsia="Palatino Linotype" w:hAnsi="Palatino Linotype"/>
          <w:sz w:val="22"/>
          <w:szCs w:val="22"/>
          <w:rtl w:val="0"/>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sin menoscabar el derecho a la protección de los datos personales de terceros.</w:t>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de conformidad a lo que señalan los artículos 3, fracciones IX, XX, XXXII, XLV; 6, 137 y 143 fracción I, de la Ley de Transparencia y Acceso a la Información Pública del Estado de México y Municipios vigente, que se leen como sigue:</w:t>
      </w:r>
    </w:p>
    <w:p w:rsidR="00000000" w:rsidDel="00000000" w:rsidP="00000000" w:rsidRDefault="00000000" w:rsidRPr="00000000" w14:paraId="00000118">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 “Artículo 3. Para los efectos de la presente Ley se entenderá por:</w:t>
      </w:r>
    </w:p>
    <w:p w:rsidR="00000000" w:rsidDel="00000000" w:rsidP="00000000" w:rsidRDefault="00000000" w:rsidRPr="00000000" w14:paraId="00000119">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IX. Datos personales:</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La información concerniente a una persona, identificada o identificable</w:t>
      </w:r>
      <w:r w:rsidDel="00000000" w:rsidR="00000000" w:rsidRPr="00000000">
        <w:rPr>
          <w:rFonts w:ascii="Palatino Linotype" w:cs="Palatino Linotype" w:eastAsia="Palatino Linotype" w:hAnsi="Palatino Linotype"/>
          <w:i w:val="1"/>
          <w:iCs w:val="1"/>
          <w:sz w:val="22"/>
          <w:szCs w:val="22"/>
          <w:rtl w:val="0"/>
        </w:rPr>
        <w:t xml:space="preserve"> según lo dispuesto por la Ley de Protección de Datos Personales del Estado de México;</w:t>
      </w:r>
    </w:p>
    <w:p w:rsidR="00000000" w:rsidDel="00000000" w:rsidP="00000000" w:rsidRDefault="00000000" w:rsidRPr="00000000" w14:paraId="0000011A">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XX. Información clasificada:</w:t>
      </w:r>
      <w:r w:rsidDel="00000000" w:rsidR="00000000" w:rsidRPr="00000000">
        <w:rPr>
          <w:rFonts w:ascii="Palatino Linotype" w:cs="Palatino Linotype" w:eastAsia="Palatino Linotype" w:hAnsi="Palatino Linotype"/>
          <w:i w:val="1"/>
          <w:iCs w:val="1"/>
          <w:sz w:val="22"/>
          <w:szCs w:val="22"/>
          <w:rtl w:val="0"/>
        </w:rPr>
        <w:t xml:space="preserve"> Aquella considerada por la presente Ley como reservada o confidencial;</w:t>
      </w:r>
    </w:p>
    <w:p w:rsidR="00000000" w:rsidDel="00000000" w:rsidP="00000000" w:rsidRDefault="00000000" w:rsidRPr="00000000" w14:paraId="0000011B">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XXXII. Protección de Datos Personales:</w:t>
      </w:r>
      <w:r w:rsidDel="00000000" w:rsidR="00000000" w:rsidRPr="00000000">
        <w:rPr>
          <w:rFonts w:ascii="Palatino Linotype" w:cs="Palatino Linotype" w:eastAsia="Palatino Linotype" w:hAnsi="Palatino Linotype"/>
          <w:i w:val="1"/>
          <w:iCs w:val="1"/>
          <w:sz w:val="22"/>
          <w:szCs w:val="22"/>
          <w:rtl w:val="0"/>
        </w:rPr>
        <w:t xml:space="preserve"> Derecho humano que tutela la privacidad de datos personales en poder de los sujetos obligados y sujetos particulares;</w:t>
      </w:r>
    </w:p>
    <w:p w:rsidR="00000000" w:rsidDel="00000000" w:rsidP="00000000" w:rsidRDefault="00000000" w:rsidRPr="00000000" w14:paraId="0000011C">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XLV. Versión pública</w:t>
      </w:r>
      <w:r w:rsidDel="00000000" w:rsidR="00000000" w:rsidRPr="00000000">
        <w:rPr>
          <w:rFonts w:ascii="Palatino Linotype" w:cs="Palatino Linotype" w:eastAsia="Palatino Linotype" w:hAnsi="Palatino Linotype"/>
          <w:i w:val="1"/>
          <w:iCs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11D">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6.</w:t>
      </w:r>
      <w:r w:rsidDel="00000000" w:rsidR="00000000" w:rsidRPr="00000000">
        <w:rPr>
          <w:rFonts w:ascii="Palatino Linotype" w:cs="Palatino Linotype" w:eastAsia="Palatino Linotype" w:hAnsi="Palatino Linotype"/>
          <w:i w:val="1"/>
          <w:iCs w:val="1"/>
          <w:sz w:val="22"/>
          <w:szCs w:val="22"/>
          <w:rtl w:val="0"/>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000000" w:rsidDel="00000000" w:rsidP="00000000" w:rsidRDefault="00000000" w:rsidRPr="00000000" w14:paraId="0000011E">
      <w:pPr>
        <w:spacing w:line="276" w:lineRule="auto"/>
        <w:ind w:left="851" w:right="616" w:firstLine="0"/>
        <w:jc w:val="both"/>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137.</w:t>
      </w:r>
      <w:r w:rsidDel="00000000" w:rsidR="00000000" w:rsidRPr="00000000">
        <w:rPr>
          <w:rFonts w:ascii="Palatino Linotype" w:cs="Palatino Linotype" w:eastAsia="Palatino Linotype" w:hAnsi="Palatino Linotype"/>
          <w:i w:val="1"/>
          <w:iCs w:val="1"/>
          <w:sz w:val="22"/>
          <w:szCs w:val="22"/>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r w:rsidDel="00000000" w:rsidR="00000000" w:rsidRPr="00000000">
        <w:rPr>
          <w:rtl w:val="0"/>
        </w:rPr>
      </w:r>
    </w:p>
    <w:p w:rsidR="00000000" w:rsidDel="00000000" w:rsidP="00000000" w:rsidRDefault="00000000" w:rsidRPr="00000000" w14:paraId="0000011F">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143</w:t>
      </w:r>
      <w:r w:rsidDel="00000000" w:rsidR="00000000" w:rsidRPr="00000000">
        <w:rPr>
          <w:rFonts w:ascii="Palatino Linotype" w:cs="Palatino Linotype" w:eastAsia="Palatino Linotype" w:hAnsi="Palatino Linotype"/>
          <w:i w:val="1"/>
          <w:iCs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20">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Se refiera a la información privada y los datos personales concernientes a una persona física o jurídica colectiva identificada o identificable;</w:t>
      </w:r>
    </w:p>
    <w:p w:rsidR="00000000" w:rsidDel="00000000" w:rsidP="00000000" w:rsidRDefault="00000000" w:rsidRPr="00000000" w14:paraId="00000121">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22">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III. La que presenten los particulares a los sujetos obligados, de conformidad con lo dispuesto por las leyes o los tratados internacionales.” </w:t>
      </w:r>
    </w:p>
    <w:p w:rsidR="00000000" w:rsidDel="00000000" w:rsidP="00000000" w:rsidRDefault="00000000" w:rsidRPr="00000000" w14:paraId="00000123">
      <w:pPr>
        <w:ind w:left="993" w:right="1041"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24">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deberá proceder a testar los datos personales que se encuentren contenidos en los documentos a entregar para satisfacer el derecho de acceso a la información pública de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000000" w:rsidDel="00000000" w:rsidP="00000000" w:rsidRDefault="00000000" w:rsidRPr="00000000" w14:paraId="00000125">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6">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000000" w:rsidDel="00000000" w:rsidP="00000000" w:rsidRDefault="00000000" w:rsidRPr="00000000" w14:paraId="00000127">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8">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sino que ello deberá realizarse en términos de lo que disponen los artículos 49 fracción VIII, 53, fracción X y 59, fracción V, de la Ley en consulta, cuyo sentido literal es el siguiente:</w:t>
      </w:r>
    </w:p>
    <w:p w:rsidR="00000000" w:rsidDel="00000000" w:rsidP="00000000" w:rsidRDefault="00000000" w:rsidRPr="00000000" w14:paraId="00000129">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A">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49.</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Los Comités de Transparencia</w:t>
      </w:r>
      <w:r w:rsidDel="00000000" w:rsidR="00000000" w:rsidRPr="00000000">
        <w:rPr>
          <w:rFonts w:ascii="Palatino Linotype" w:cs="Palatino Linotype" w:eastAsia="Palatino Linotype" w:hAnsi="Palatino Linotype"/>
          <w:i w:val="1"/>
          <w:iCs w:val="1"/>
          <w:sz w:val="22"/>
          <w:szCs w:val="22"/>
          <w:rtl w:val="0"/>
        </w:rPr>
        <w:t xml:space="preserve"> tendrán las siguientes atribuciones:</w:t>
      </w:r>
    </w:p>
    <w:p w:rsidR="00000000" w:rsidDel="00000000" w:rsidP="00000000" w:rsidRDefault="00000000" w:rsidRPr="00000000" w14:paraId="0000012B">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VIII. Aprobar, modificar o revocar la clasificación de la información</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12C">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53.</w:t>
      </w:r>
      <w:r w:rsidDel="00000000" w:rsidR="00000000" w:rsidRPr="00000000">
        <w:rPr>
          <w:rFonts w:ascii="Palatino Linotype" w:cs="Palatino Linotype" w:eastAsia="Palatino Linotype" w:hAnsi="Palatino Linotype"/>
          <w:i w:val="1"/>
          <w:iCs w:val="1"/>
          <w:sz w:val="22"/>
          <w:szCs w:val="22"/>
          <w:rtl w:val="0"/>
        </w:rPr>
        <w:t xml:space="preserve"> Las </w:t>
      </w:r>
      <w:r w:rsidDel="00000000" w:rsidR="00000000" w:rsidRPr="00000000">
        <w:rPr>
          <w:rFonts w:ascii="Palatino Linotype" w:cs="Palatino Linotype" w:eastAsia="Palatino Linotype" w:hAnsi="Palatino Linotype"/>
          <w:b w:val="1"/>
          <w:bCs w:val="1"/>
          <w:i w:val="1"/>
          <w:iCs w:val="1"/>
          <w:sz w:val="22"/>
          <w:szCs w:val="22"/>
          <w:rtl w:val="0"/>
        </w:rPr>
        <w:t xml:space="preserve">Unidades de Transparencia</w:t>
      </w:r>
      <w:r w:rsidDel="00000000" w:rsidR="00000000" w:rsidRPr="00000000">
        <w:rPr>
          <w:rFonts w:ascii="Palatino Linotype" w:cs="Palatino Linotype" w:eastAsia="Palatino Linotype" w:hAnsi="Palatino Linotype"/>
          <w:i w:val="1"/>
          <w:iCs w:val="1"/>
          <w:sz w:val="22"/>
          <w:szCs w:val="22"/>
          <w:rtl w:val="0"/>
        </w:rPr>
        <w:t xml:space="preserve"> tendrán las siguientes </w:t>
      </w:r>
      <w:r w:rsidDel="00000000" w:rsidR="00000000" w:rsidRPr="00000000">
        <w:rPr>
          <w:rFonts w:ascii="Palatino Linotype" w:cs="Palatino Linotype" w:eastAsia="Palatino Linotype" w:hAnsi="Palatino Linotype"/>
          <w:b w:val="1"/>
          <w:bCs w:val="1"/>
          <w:i w:val="1"/>
          <w:iCs w:val="1"/>
          <w:sz w:val="22"/>
          <w:szCs w:val="22"/>
          <w:rtl w:val="0"/>
        </w:rPr>
        <w:t xml:space="preserve">funciones</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12D">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 Presentar ante el Comité, el proyecto de clasificación de información</w:t>
      </w:r>
      <w:r w:rsidDel="00000000" w:rsidR="00000000" w:rsidRPr="00000000">
        <w:rPr>
          <w:rFonts w:ascii="Palatino Linotype" w:cs="Palatino Linotype" w:eastAsia="Palatino Linotype" w:hAnsi="Palatino Linotype"/>
          <w:i w:val="1"/>
          <w:iCs w:val="1"/>
          <w:sz w:val="22"/>
          <w:szCs w:val="22"/>
          <w:rtl w:val="0"/>
        </w:rPr>
        <w:t xml:space="preserve">…” </w:t>
      </w:r>
    </w:p>
    <w:p w:rsidR="00000000" w:rsidDel="00000000" w:rsidP="00000000" w:rsidRDefault="00000000" w:rsidRPr="00000000" w14:paraId="0000012E">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“Artículo 59.</w:t>
      </w:r>
      <w:r w:rsidDel="00000000" w:rsidR="00000000" w:rsidRPr="00000000">
        <w:rPr>
          <w:rFonts w:ascii="Palatino Linotype" w:cs="Palatino Linotype" w:eastAsia="Palatino Linotype" w:hAnsi="Palatino Linotype"/>
          <w:i w:val="1"/>
          <w:iCs w:val="1"/>
          <w:sz w:val="22"/>
          <w:szCs w:val="22"/>
          <w:rtl w:val="0"/>
        </w:rPr>
        <w:t xml:space="preserve"> Los </w:t>
      </w:r>
      <w:r w:rsidDel="00000000" w:rsidR="00000000" w:rsidRPr="00000000">
        <w:rPr>
          <w:rFonts w:ascii="Palatino Linotype" w:cs="Palatino Linotype" w:eastAsia="Palatino Linotype" w:hAnsi="Palatino Linotype"/>
          <w:b w:val="1"/>
          <w:bCs w:val="1"/>
          <w:i w:val="1"/>
          <w:iCs w:val="1"/>
          <w:sz w:val="22"/>
          <w:szCs w:val="22"/>
          <w:rtl w:val="0"/>
        </w:rPr>
        <w:t xml:space="preserve">servidores públicos habilitados</w:t>
      </w:r>
      <w:r w:rsidDel="00000000" w:rsidR="00000000" w:rsidRPr="00000000">
        <w:rPr>
          <w:rFonts w:ascii="Palatino Linotype" w:cs="Palatino Linotype" w:eastAsia="Palatino Linotype" w:hAnsi="Palatino Linotype"/>
          <w:i w:val="1"/>
          <w:iCs w:val="1"/>
          <w:sz w:val="22"/>
          <w:szCs w:val="22"/>
          <w:rtl w:val="0"/>
        </w:rPr>
        <w:t xml:space="preserve"> tendrán las </w:t>
      </w:r>
      <w:r w:rsidDel="00000000" w:rsidR="00000000" w:rsidRPr="00000000">
        <w:rPr>
          <w:rFonts w:ascii="Palatino Linotype" w:cs="Palatino Linotype" w:eastAsia="Palatino Linotype" w:hAnsi="Palatino Linotype"/>
          <w:b w:val="1"/>
          <w:bCs w:val="1"/>
          <w:i w:val="1"/>
          <w:iCs w:val="1"/>
          <w:sz w:val="22"/>
          <w:szCs w:val="22"/>
          <w:rtl w:val="0"/>
        </w:rPr>
        <w:t xml:space="preserve">funciones</w:t>
      </w:r>
      <w:r w:rsidDel="00000000" w:rsidR="00000000" w:rsidRPr="00000000">
        <w:rPr>
          <w:rFonts w:ascii="Palatino Linotype" w:cs="Palatino Linotype" w:eastAsia="Palatino Linotype" w:hAnsi="Palatino Linotype"/>
          <w:i w:val="1"/>
          <w:iCs w:val="1"/>
          <w:sz w:val="22"/>
          <w:szCs w:val="22"/>
          <w:rtl w:val="0"/>
        </w:rPr>
        <w:t xml:space="preserve"> siguientes:</w:t>
      </w:r>
    </w:p>
    <w:p w:rsidR="00000000" w:rsidDel="00000000" w:rsidP="00000000" w:rsidRDefault="00000000" w:rsidRPr="00000000" w14:paraId="0000012F">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V. Integrar y presentar al responsable de la Unidad de Transparencia la propuesta de clasificación de información</w:t>
      </w:r>
      <w:r w:rsidDel="00000000" w:rsidR="00000000" w:rsidRPr="00000000">
        <w:rPr>
          <w:rFonts w:ascii="Palatino Linotype" w:cs="Palatino Linotype" w:eastAsia="Palatino Linotype" w:hAnsi="Palatino Linotype"/>
          <w:i w:val="1"/>
          <w:iCs w:val="1"/>
          <w:sz w:val="22"/>
          <w:szCs w:val="22"/>
          <w:rtl w:val="0"/>
        </w:rPr>
        <w:t xml:space="preserve">, la cual tendrá los fundamentos y argumentos en que se basa dicha propuesta…” </w:t>
      </w:r>
    </w:p>
    <w:p w:rsidR="00000000" w:rsidDel="00000000" w:rsidP="00000000" w:rsidRDefault="00000000" w:rsidRPr="00000000" w14:paraId="00000130">
      <w:pPr>
        <w:spacing w:line="276" w:lineRule="auto"/>
        <w:ind w:left="992" w:right="1043"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3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000000" w:rsidDel="00000000" w:rsidP="00000000" w:rsidRDefault="00000000" w:rsidRPr="00000000" w14:paraId="0000013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lo cual, a su vez en el caso de información de carácter confidencial, se debe atender a lo que señala el artículo 149 de la Ley de Transparencia Local vigente, que se lee como sigue:</w:t>
      </w:r>
    </w:p>
    <w:p w:rsidR="00000000" w:rsidDel="00000000" w:rsidP="00000000" w:rsidRDefault="00000000" w:rsidRPr="00000000" w14:paraId="0000013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5">
      <w:pPr>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149.</w:t>
      </w:r>
      <w:r w:rsidDel="00000000" w:rsidR="00000000" w:rsidRPr="00000000">
        <w:rPr>
          <w:rFonts w:ascii="Palatino Linotype" w:cs="Palatino Linotype" w:eastAsia="Palatino Linotype" w:hAnsi="Palatino Linotype"/>
          <w:i w:val="1"/>
          <w:iCs w:val="1"/>
          <w:sz w:val="22"/>
          <w:szCs w:val="22"/>
          <w:rtl w:val="0"/>
        </w:rPr>
        <w:t xml:space="preserve"> El </w:t>
      </w:r>
      <w:r w:rsidDel="00000000" w:rsidR="00000000" w:rsidRPr="00000000">
        <w:rPr>
          <w:rFonts w:ascii="Palatino Linotype" w:cs="Palatino Linotype" w:eastAsia="Palatino Linotype" w:hAnsi="Palatino Linotype"/>
          <w:b w:val="1"/>
          <w:bCs w:val="1"/>
          <w:i w:val="1"/>
          <w:iCs w:val="1"/>
          <w:sz w:val="22"/>
          <w:szCs w:val="22"/>
          <w:rtl w:val="0"/>
        </w:rPr>
        <w:t xml:space="preserve">acuerdo que clasifique la información como confidencial</w:t>
      </w:r>
      <w:r w:rsidDel="00000000" w:rsidR="00000000" w:rsidRPr="00000000">
        <w:rPr>
          <w:rFonts w:ascii="Palatino Linotype" w:cs="Palatino Linotype" w:eastAsia="Palatino Linotype" w:hAnsi="Palatino Linotype"/>
          <w:i w:val="1"/>
          <w:iCs w:val="1"/>
          <w:sz w:val="22"/>
          <w:szCs w:val="22"/>
          <w:rtl w:val="0"/>
        </w:rPr>
        <w:t xml:space="preserve"> deberá contener un razonamiento lógico en el que demuestre que la información se encuentra en alguna o algunas de las hipótesis previstas en la presente Ley.”</w:t>
      </w:r>
    </w:p>
    <w:p w:rsidR="00000000" w:rsidDel="00000000" w:rsidP="00000000" w:rsidRDefault="00000000" w:rsidRPr="00000000" w14:paraId="00000136">
      <w:pPr>
        <w:spacing w:line="360" w:lineRule="auto"/>
        <w:ind w:right="51"/>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37">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el</w:t>
      </w:r>
      <w:r w:rsidDel="00000000" w:rsidR="00000000" w:rsidRPr="00000000">
        <w:rPr>
          <w:rFonts w:ascii="Palatino Linotype" w:cs="Palatino Linotype" w:eastAsia="Palatino Linotype" w:hAnsi="Palatino Linotype"/>
          <w:b w:val="1"/>
          <w:bCs w:val="1"/>
          <w:sz w:val="22"/>
          <w:szCs w:val="22"/>
          <w:rtl w:val="0"/>
        </w:rPr>
        <w:t xml:space="preserve"> Sujeto Obligado</w:t>
      </w:r>
      <w:r w:rsidDel="00000000" w:rsidR="00000000" w:rsidRPr="00000000">
        <w:rPr>
          <w:rFonts w:ascii="Palatino Linotype" w:cs="Palatino Linotype" w:eastAsia="Palatino Linotype" w:hAnsi="Palatino Linotype"/>
          <w:sz w:val="22"/>
          <w:szCs w:val="22"/>
          <w:rtl w:val="0"/>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000000" w:rsidDel="00000000" w:rsidP="00000000" w:rsidRDefault="00000000" w:rsidRPr="00000000" w14:paraId="00000138">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del </w:t>
      </w:r>
      <w:r w:rsidDel="00000000" w:rsidR="00000000" w:rsidRPr="00000000">
        <w:rPr>
          <w:rFonts w:ascii="Palatino Linotype" w:cs="Palatino Linotype" w:eastAsia="Palatino Linotype" w:hAnsi="Palatino Linotype"/>
          <w:b w:val="1"/>
          <w:bCs w:val="1"/>
          <w:sz w:val="22"/>
          <w:szCs w:val="22"/>
          <w:rtl w:val="0"/>
        </w:rPr>
        <w:t xml:space="preserve">nombre de las personas físicas</w:t>
      </w:r>
      <w:r w:rsidDel="00000000" w:rsidR="00000000" w:rsidRPr="00000000">
        <w:rPr>
          <w:rFonts w:ascii="Palatino Linotype" w:cs="Palatino Linotype" w:eastAsia="Palatino Linotype" w:hAnsi="Palatino Linotype"/>
          <w:sz w:val="22"/>
          <w:szCs w:val="22"/>
          <w:rtl w:val="0"/>
        </w:rPr>
        <w:t xml:space="preserve"> o los </w:t>
      </w:r>
      <w:r w:rsidDel="00000000" w:rsidR="00000000" w:rsidRPr="00000000">
        <w:rPr>
          <w:rFonts w:ascii="Palatino Linotype" w:cs="Palatino Linotype" w:eastAsia="Palatino Linotype" w:hAnsi="Palatino Linotype"/>
          <w:b w:val="1"/>
          <w:bCs w:val="1"/>
          <w:sz w:val="22"/>
          <w:szCs w:val="22"/>
          <w:rtl w:val="0"/>
        </w:rPr>
        <w:t xml:space="preserve">representantes legales de las personas morales</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en su calidad de proveedores, contratistas o prestadores de servicios, y la firma y rúbrica de estos</w:t>
      </w:r>
      <w:r w:rsidDel="00000000" w:rsidR="00000000" w:rsidRPr="00000000">
        <w:rPr>
          <w:rFonts w:ascii="Palatino Linotype" w:cs="Palatino Linotype" w:eastAsia="Palatino Linotype" w:hAnsi="Palatino Linotype"/>
          <w:sz w:val="22"/>
          <w:szCs w:val="22"/>
          <w:rtl w:val="0"/>
        </w:rPr>
        <w:t xml:space="preserve">, que participen en algún  proceso de adjudicación en cualquiera de sus modalidades,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Argumentación que guarda sustento en lo estipulado por el artículo 23 de la Ley de Transparencia y Acceso a la Información Pública del Estado de México y Municipios en su penúltimo párrafo, mismo que es del tenor literal siguiente:</w:t>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Artículo 23.</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w:t>
      </w: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aplicable el contenido del criterio de interpretación 01/19 emitido por el Instituto Nacional de Transparencia, Acceso a la Información, y Protección de Datos Personales, INAI, que lleva por rubro y texto los siguientes</w:t>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line="276"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“Datos de identificación del representante o apoderado legal.</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Naturaleza jurídica. El nombre, la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firma y la rúbrica</w:t>
      </w:r>
      <w:r w:rsidDel="00000000" w:rsidR="00000000" w:rsidRPr="00000000">
        <w:rPr>
          <w:rFonts w:ascii="Palatino Linotype" w:cs="Palatino Linotype" w:eastAsia="Palatino Linotype" w:hAnsi="Palatino Linotype"/>
          <w:i w:val="1"/>
          <w:iCs w:val="1"/>
          <w:sz w:val="22"/>
          <w:szCs w:val="22"/>
          <w:rtl w:val="0"/>
        </w:rPr>
        <w:t xml:space="preserve"> de una persona física, que actúe como representante o apoderado legal de un tercero que haya celebrado un acto jurídico, con algún sujeto obligado,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es información pública</w:t>
      </w:r>
      <w:r w:rsidDel="00000000" w:rsidR="00000000" w:rsidRPr="00000000">
        <w:rPr>
          <w:rFonts w:ascii="Palatino Linotype" w:cs="Palatino Linotype" w:eastAsia="Palatino Linotype" w:hAnsi="Palatino Linotype"/>
          <w:b w:val="1"/>
          <w:bCs w:val="1"/>
          <w:i w:val="1"/>
          <w:iCs w:val="1"/>
          <w:sz w:val="22"/>
          <w:szCs w:val="22"/>
          <w:rtl w:val="0"/>
        </w:rPr>
        <w:t xml:space="preserve">, en razón de que tales datos fueron proporcionados con el objeto de expresar el consentimiento obligacional del tercero y otorgar validez a dicho instrumento jurídico</w:t>
      </w: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tl w:val="0"/>
        </w:rPr>
      </w:r>
    </w:p>
    <w:p w:rsidR="00000000" w:rsidDel="00000000" w:rsidP="00000000" w:rsidRDefault="00000000" w:rsidRPr="00000000" w14:paraId="0000014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al </w:t>
      </w:r>
      <w:r w:rsidDel="00000000" w:rsidR="00000000" w:rsidRPr="00000000">
        <w:rPr>
          <w:rFonts w:ascii="Palatino Linotype" w:cs="Palatino Linotype" w:eastAsia="Palatino Linotype" w:hAnsi="Palatino Linotype"/>
          <w:b w:val="1"/>
          <w:bCs w:val="1"/>
          <w:sz w:val="22"/>
          <w:szCs w:val="22"/>
          <w:u w:val="single"/>
          <w:rtl w:val="0"/>
        </w:rPr>
        <w:t xml:space="preserve">número de cuenta bancaria</w:t>
      </w:r>
      <w:r w:rsidDel="00000000" w:rsidR="00000000" w:rsidRPr="00000000">
        <w:rPr>
          <w:rFonts w:ascii="Palatino Linotype" w:cs="Palatino Linotype" w:eastAsia="Palatino Linotype" w:hAnsi="Palatino Linotype"/>
          <w:sz w:val="22"/>
          <w:szCs w:val="22"/>
          <w:rtl w:val="0"/>
        </w:rPr>
        <w:t xml:space="preserve"> de los particulares debe ser clasificado como confidencial con fundamento en las fracciones I y II del artículo 143 de la Ley de la Materia de la Entidad; en razón de que, con su difusión se estaría poniendo en riesgo la seguridad de su titular.</w:t>
      </w:r>
    </w:p>
    <w:p w:rsidR="00000000" w:rsidDel="00000000" w:rsidP="00000000" w:rsidRDefault="00000000" w:rsidRPr="00000000" w14:paraId="00000145">
      <w:pP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6">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000000" w:rsidDel="00000000" w:rsidP="00000000" w:rsidRDefault="00000000" w:rsidRPr="00000000" w14:paraId="00000147">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8">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encuentra sustento en el criterio orientador 10/17 emitido por el entonces Instituto Nacional de Transparencia y Acceso a la Información Pública del Estado de México y Municipios, que a la letra dicen:</w:t>
      </w:r>
    </w:p>
    <w:p w:rsidR="00000000" w:rsidDel="00000000" w:rsidP="00000000" w:rsidRDefault="00000000" w:rsidRPr="00000000" w14:paraId="00000149">
      <w:pPr>
        <w:spacing w:line="276" w:lineRule="auto"/>
        <w:ind w:left="851" w:right="1134" w:firstLine="0"/>
        <w:jc w:val="both"/>
        <w:rPr>
          <w:rFonts w:ascii="Palatino Linotype" w:cs="Palatino Linotype" w:eastAsia="Palatino Linotype" w:hAnsi="Palatino Linotype"/>
          <w:b w:val="1"/>
          <w:bCs w:val="1"/>
          <w:i w:val="1"/>
          <w:iCs w:val="1"/>
          <w:sz w:val="22"/>
          <w:szCs w:val="22"/>
        </w:rPr>
      </w:pPr>
      <w:r w:rsidDel="00000000" w:rsidR="00000000" w:rsidRPr="00000000">
        <w:rPr>
          <w:rtl w:val="0"/>
        </w:rPr>
      </w:r>
    </w:p>
    <w:p w:rsidR="00000000" w:rsidDel="00000000" w:rsidP="00000000" w:rsidRDefault="00000000" w:rsidRPr="00000000" w14:paraId="0000014A">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“Cuentas bancarias y/o CLABE interbancaria de personas físicas y morales privadas.</w:t>
      </w:r>
      <w:r w:rsidDel="00000000" w:rsidR="00000000" w:rsidRPr="00000000">
        <w:rPr>
          <w:rFonts w:ascii="Palatino Linotype" w:cs="Palatino Linotype" w:eastAsia="Palatino Linotype" w:hAnsi="Palatino Linotype"/>
          <w:i w:val="1"/>
          <w:iCs w:val="1"/>
          <w:sz w:val="22"/>
          <w:szCs w:val="22"/>
          <w:rtl w:val="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000000" w:rsidDel="00000000" w:rsidP="00000000" w:rsidRDefault="00000000" w:rsidRPr="00000000" w14:paraId="0000014B">
      <w:pPr>
        <w:ind w:left="851" w:right="899" w:firstLine="0"/>
        <w:jc w:val="center"/>
        <w:rPr>
          <w:rFonts w:ascii="Palatino Linotype" w:cs="Palatino Linotype" w:eastAsia="Palatino Linotype" w:hAnsi="Palatino Linotype"/>
          <w:b w:val="1"/>
          <w:bCs w:val="1"/>
          <w:i w:val="1"/>
          <w:iCs w:val="1"/>
          <w:sz w:val="22"/>
          <w:szCs w:val="22"/>
        </w:rPr>
      </w:pPr>
      <w:r w:rsidDel="00000000" w:rsidR="00000000" w:rsidRPr="00000000">
        <w:rPr>
          <w:rtl w:val="0"/>
        </w:rPr>
      </w:r>
    </w:p>
    <w:p w:rsidR="00000000" w:rsidDel="00000000" w:rsidP="00000000" w:rsidRDefault="00000000" w:rsidRPr="00000000" w14:paraId="0000014C">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rsidR="00000000" w:rsidDel="00000000" w:rsidP="00000000" w:rsidRDefault="00000000" w:rsidRPr="00000000" w14:paraId="0000014D">
      <w:pP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E">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Cuentas bancarias y/o CLABE interbancaria de sujetos obligados que reciben y/o transfieren recursos públicos, son información pública.</w:t>
      </w:r>
      <w:r w:rsidDel="00000000" w:rsidR="00000000" w:rsidRPr="00000000">
        <w:rPr>
          <w:rFonts w:ascii="Palatino Linotype" w:cs="Palatino Linotype" w:eastAsia="Palatino Linotype" w:hAnsi="Palatino Linotype"/>
          <w:i w:val="1"/>
          <w:iCs w:val="1"/>
          <w:sz w:val="22"/>
          <w:szCs w:val="22"/>
          <w:rtl w:val="0"/>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000000" w:rsidDel="00000000" w:rsidP="00000000" w:rsidRDefault="00000000" w:rsidRPr="00000000" w14:paraId="0000014F">
      <w:pPr>
        <w:spacing w:line="360" w:lineRule="auto"/>
        <w:ind w:left="851" w:right="1134"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50">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Sobre el </w:t>
      </w:r>
      <w:r w:rsidDel="00000000" w:rsidR="00000000" w:rsidRPr="00000000">
        <w:rPr>
          <w:rFonts w:ascii="Palatino Linotype" w:cs="Palatino Linotype" w:eastAsia="Palatino Linotype" w:hAnsi="Palatino Linotype"/>
          <w:b w:val="1"/>
          <w:bCs w:val="1"/>
          <w:sz w:val="22"/>
          <w:szCs w:val="22"/>
          <w:rtl w:val="0"/>
        </w:rPr>
        <w:t xml:space="preserve">RFC</w:t>
      </w:r>
      <w:r w:rsidDel="00000000" w:rsidR="00000000" w:rsidRPr="00000000">
        <w:rPr>
          <w:rFonts w:ascii="Palatino Linotype" w:cs="Palatino Linotype" w:eastAsia="Palatino Linotype" w:hAnsi="Palatino Linotype"/>
          <w:sz w:val="22"/>
          <w:szCs w:val="22"/>
          <w:rtl w:val="0"/>
        </w:rPr>
        <w:t xml:space="preserve">, 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rsidR="00000000" w:rsidDel="00000000" w:rsidP="00000000" w:rsidRDefault="00000000" w:rsidRPr="00000000" w14:paraId="00000151">
      <w:pP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2">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rsidR="00000000" w:rsidDel="00000000" w:rsidP="00000000" w:rsidRDefault="00000000" w:rsidRPr="00000000" w14:paraId="00000153">
      <w:pP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4">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rsidR="00000000" w:rsidDel="00000000" w:rsidP="00000000" w:rsidRDefault="00000000" w:rsidRPr="00000000" w14:paraId="00000155">
      <w:pP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se destaca que la versión pública que elabore 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Del="00000000" w:rsidR="00000000" w:rsidRPr="00000000">
        <w:rPr>
          <w:rFonts w:ascii="Palatino Linotype" w:cs="Palatino Linotype" w:eastAsia="Palatino Linotype" w:hAnsi="Palatino Linotype"/>
          <w:b w:val="1"/>
          <w:bCs w:val="1"/>
          <w:sz w:val="22"/>
          <w:szCs w:val="22"/>
          <w:rtl w:val="0"/>
        </w:rPr>
        <w:t xml:space="preserve">LINEAMIENTOS GENERALES EN MATERIA DE CLASIFICACIÓN Y DESCLASIFICACIÓN DE LA INFORMACIÓN, ASÍ COMO PARA LA ELABORACIÓN DE VERSIONES PÚBLICAS</w:t>
      </w:r>
      <w:r w:rsidDel="00000000" w:rsidR="00000000" w:rsidRPr="00000000">
        <w:rPr>
          <w:rFonts w:ascii="Palatino Linotype" w:cs="Palatino Linotype" w:eastAsia="Palatino Linotype" w:hAnsi="Palatino Linotype"/>
          <w:sz w:val="22"/>
          <w:szCs w:val="22"/>
          <w:rtl w:val="0"/>
        </w:rPr>
        <w:t xml:space="preserve">,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rsidR="00000000" w:rsidDel="00000000" w:rsidP="00000000" w:rsidRDefault="00000000" w:rsidRPr="00000000" w14:paraId="00000157">
      <w:pPr>
        <w:ind w:left="709" w:right="709" w:firstLine="0"/>
        <w:jc w:val="both"/>
        <w:rPr>
          <w:rFonts w:ascii="Palatino Linotype" w:cs="Palatino Linotype" w:eastAsia="Palatino Linotype" w:hAnsi="Palatino Linotype"/>
          <w:b w:val="1"/>
          <w:bCs w:val="1"/>
          <w:i w:val="1"/>
          <w:iCs w:val="1"/>
          <w:sz w:val="22"/>
          <w:szCs w:val="22"/>
        </w:rPr>
      </w:pP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“Lineamientos Generales en materia de Clasificación y Desclasificación de la Información, así como para la elaboración de Versiones Públicas</w:t>
      </w: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Fonts w:ascii="Palatino Linotype" w:cs="Palatino Linotype" w:eastAsia="Palatino Linotype" w:hAnsi="Palatino Linotype"/>
          <w:b w:val="1"/>
          <w:bCs w:val="1"/>
          <w:i w:val="1"/>
          <w:iCs w:val="1"/>
          <w:sz w:val="22"/>
          <w:szCs w:val="22"/>
          <w:rtl w:val="0"/>
        </w:rPr>
        <w:t xml:space="preserve">Segundo.-</w:t>
      </w:r>
      <w:r w:rsidDel="00000000" w:rsidR="00000000" w:rsidRPr="00000000">
        <w:rPr>
          <w:rFonts w:ascii="Palatino Linotype" w:cs="Palatino Linotype" w:eastAsia="Palatino Linotype" w:hAnsi="Palatino Linotype"/>
          <w:i w:val="1"/>
          <w:iCs w:val="1"/>
          <w:sz w:val="22"/>
          <w:szCs w:val="22"/>
          <w:rtl w:val="0"/>
        </w:rPr>
        <w:t xml:space="preserve"> Para efectos de los presentes Lineamientos Generales, se entenderá por:</w:t>
      </w: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XVIII.</w:t>
      </w:r>
      <w:r w:rsidDel="00000000" w:rsidR="00000000" w:rsidRPr="00000000">
        <w:rPr>
          <w:rFonts w:ascii="Palatino Linotype" w:cs="Palatino Linotype" w:eastAsia="Palatino Linotype" w:hAnsi="Palatino Linotype"/>
          <w:i w:val="1"/>
          <w:iCs w:val="1"/>
          <w:sz w:val="22"/>
          <w:szCs w:val="22"/>
          <w:rtl w:val="0"/>
        </w:rPr>
        <w:t xml:space="preserve"> </w:t>
      </w:r>
      <w:r w:rsidDel="00000000" w:rsidR="00000000" w:rsidRPr="00000000">
        <w:rPr>
          <w:rFonts w:ascii="Palatino Linotype" w:cs="Palatino Linotype" w:eastAsia="Palatino Linotype" w:hAnsi="Palatino Linotype"/>
          <w:b w:val="1"/>
          <w:bCs w:val="1"/>
          <w:i w:val="1"/>
          <w:iCs w:val="1"/>
          <w:sz w:val="22"/>
          <w:szCs w:val="22"/>
          <w:rtl w:val="0"/>
        </w:rPr>
        <w:t xml:space="preserve">Versión pública:</w:t>
      </w:r>
      <w:r w:rsidDel="00000000" w:rsidR="00000000" w:rsidRPr="00000000">
        <w:rPr>
          <w:rFonts w:ascii="Palatino Linotype" w:cs="Palatino Linotype" w:eastAsia="Palatino Linotype" w:hAnsi="Palatino Linotype"/>
          <w:i w:val="1"/>
          <w:iCs w:val="1"/>
          <w:sz w:val="22"/>
          <w:szCs w:val="22"/>
          <w:rtl w:val="0"/>
        </w:rPr>
        <w:t xml:space="preserve"> El documento a partir del que se otorga acceso a la información, en el que se testan partes o secciones clasificadas, indicando el contenido de éstas de manera genérica,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fundando y motivando la</w:t>
      </w:r>
      <w:r w:rsidDel="00000000" w:rsidR="00000000" w:rsidRPr="00000000">
        <w:rPr>
          <w:rFonts w:ascii="Palatino Linotype" w:cs="Palatino Linotype" w:eastAsia="Palatino Linotype" w:hAnsi="Palatino Linotype"/>
          <w:i w:val="1"/>
          <w:iCs w:val="1"/>
          <w:sz w:val="22"/>
          <w:szCs w:val="22"/>
          <w:rtl w:val="0"/>
        </w:rPr>
        <w:t xml:space="preserve"> reserva o </w:t>
      </w:r>
      <w:r w:rsidDel="00000000" w:rsidR="00000000" w:rsidRPr="00000000">
        <w:rPr>
          <w:rFonts w:ascii="Palatino Linotype" w:cs="Palatino Linotype" w:eastAsia="Palatino Linotype" w:hAnsi="Palatino Linotype"/>
          <w:b w:val="1"/>
          <w:bCs w:val="1"/>
          <w:i w:val="1"/>
          <w:iCs w:val="1"/>
          <w:sz w:val="22"/>
          <w:szCs w:val="22"/>
          <w:u w:val="single"/>
          <w:rtl w:val="0"/>
        </w:rPr>
        <w:t xml:space="preserve">confidencialidad</w:t>
      </w:r>
      <w:r w:rsidDel="00000000" w:rsidR="00000000" w:rsidRPr="00000000">
        <w:rPr>
          <w:rFonts w:ascii="Palatino Linotype" w:cs="Palatino Linotype" w:eastAsia="Palatino Linotype" w:hAnsi="Palatino Linotype"/>
          <w:i w:val="1"/>
          <w:iCs w:val="1"/>
          <w:sz w:val="22"/>
          <w:szCs w:val="22"/>
          <w:rtl w:val="0"/>
        </w:rPr>
        <w:t xml:space="preserve">, a través de la resolución que para tal efecto emita el Comité de Transparencia.</w:t>
      </w: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Cuarto.</w:t>
      </w:r>
      <w:r w:rsidDel="00000000" w:rsidR="00000000" w:rsidRPr="00000000">
        <w:rPr>
          <w:rFonts w:ascii="Palatino Linotype" w:cs="Palatino Linotype" w:eastAsia="Palatino Linotype" w:hAnsi="Palatino Linotype"/>
          <w:i w:val="1"/>
          <w:iCs w:val="1"/>
          <w:sz w:val="22"/>
          <w:szCs w:val="22"/>
          <w:rtl w:val="0"/>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Los sujetos obligados deberán aplicar, de manera estricta, las excepciones al derecho de acceso a la información y sólo podrán invocarlas cuando acrediten su procedencia.</w:t>
      </w: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Quinto.</w:t>
      </w:r>
      <w:r w:rsidDel="00000000" w:rsidR="00000000" w:rsidRPr="00000000">
        <w:rPr>
          <w:rFonts w:ascii="Palatino Linotype" w:cs="Palatino Linotype" w:eastAsia="Palatino Linotype" w:hAnsi="Palatino Linotype"/>
          <w:i w:val="1"/>
          <w:iCs w:val="1"/>
          <w:sz w:val="22"/>
          <w:szCs w:val="22"/>
          <w:rtl w:val="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w:t>
      </w: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Séptimo.</w:t>
      </w:r>
      <w:r w:rsidDel="00000000" w:rsidR="00000000" w:rsidRPr="00000000">
        <w:rPr>
          <w:rFonts w:ascii="Palatino Linotype" w:cs="Palatino Linotype" w:eastAsia="Palatino Linotype" w:hAnsi="Palatino Linotype"/>
          <w:i w:val="1"/>
          <w:iCs w:val="1"/>
          <w:sz w:val="22"/>
          <w:szCs w:val="22"/>
          <w:rtl w:val="0"/>
        </w:rPr>
        <w:t xml:space="preserve"> La clasificación de la información se llevará a cabo en el momento en que:</w:t>
      </w: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w:t>
      </w:r>
      <w:r w:rsidDel="00000000" w:rsidR="00000000" w:rsidRPr="00000000">
        <w:rPr>
          <w:rFonts w:ascii="Palatino Linotype" w:cs="Palatino Linotype" w:eastAsia="Palatino Linotype" w:hAnsi="Palatino Linotype"/>
          <w:i w:val="1"/>
          <w:iCs w:val="1"/>
          <w:sz w:val="22"/>
          <w:szCs w:val="22"/>
          <w:rtl w:val="0"/>
        </w:rPr>
        <w:t xml:space="preserve"> Se reciba una solicitud de acceso a la información;</w:t>
      </w: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w:t>
      </w:r>
      <w:r w:rsidDel="00000000" w:rsidR="00000000" w:rsidRPr="00000000">
        <w:rPr>
          <w:rFonts w:ascii="Palatino Linotype" w:cs="Palatino Linotype" w:eastAsia="Palatino Linotype" w:hAnsi="Palatino Linotype"/>
          <w:i w:val="1"/>
          <w:iCs w:val="1"/>
          <w:sz w:val="22"/>
          <w:szCs w:val="22"/>
          <w:rtl w:val="0"/>
        </w:rPr>
        <w:t xml:space="preserve"> Se  determine mediante resolución del Comité de Transparencia, el órgano garante </w:t>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competente, o en cumplimiento a una sentencia del Poder Judicial; o</w:t>
      </w: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III.</w:t>
      </w:r>
      <w:r w:rsidDel="00000000" w:rsidR="00000000" w:rsidRPr="00000000">
        <w:rPr>
          <w:rFonts w:ascii="Palatino Linotype" w:cs="Palatino Linotype" w:eastAsia="Palatino Linotype" w:hAnsi="Palatino Linotype"/>
          <w:i w:val="1"/>
          <w:iCs w:val="1"/>
          <w:sz w:val="22"/>
          <w:szCs w:val="22"/>
          <w:rtl w:val="0"/>
        </w:rPr>
        <w:t xml:space="preserve"> Se generen versiones públicas para dar cumplimiento a las obligaciones de transparencia previstas en la Ley General, la Ley Federal y las correspondientes de las entidades federativas.</w:t>
      </w:r>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Los titulares de las áreas deberán revisar la clasificación al momento de la recepción de una solicitud de acceso a la información, para verificar si encuadra en una causal de reserva o de confidencialidad.</w:t>
      </w: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Octavo.</w:t>
      </w:r>
      <w:r w:rsidDel="00000000" w:rsidR="00000000" w:rsidRPr="00000000">
        <w:rPr>
          <w:rFonts w:ascii="Palatino Linotype" w:cs="Palatino Linotype" w:eastAsia="Palatino Linotype" w:hAnsi="Palatino Linotype"/>
          <w:i w:val="1"/>
          <w:iCs w:val="1"/>
          <w:sz w:val="22"/>
          <w:szCs w:val="22"/>
          <w:rtl w:val="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Para motivar la clasificación se deberán señalar las razones o circunstancias especiales que lo llevaron a concluir que el caso particular se ajusta al supuesto previsto por la norma legal invocada como fundamento.</w:t>
      </w: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Noveno.</w:t>
      </w:r>
      <w:r w:rsidDel="00000000" w:rsidR="00000000" w:rsidRPr="00000000">
        <w:rPr>
          <w:rFonts w:ascii="Palatino Linotype" w:cs="Palatino Linotype" w:eastAsia="Palatino Linotype" w:hAnsi="Palatino Linotype"/>
          <w:i w:val="1"/>
          <w:iCs w:val="1"/>
          <w:sz w:val="22"/>
          <w:szCs w:val="22"/>
          <w:rtl w:val="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Décimo.</w:t>
      </w:r>
      <w:r w:rsidDel="00000000" w:rsidR="00000000" w:rsidRPr="00000000">
        <w:rPr>
          <w:rFonts w:ascii="Palatino Linotype" w:cs="Palatino Linotype" w:eastAsia="Palatino Linotype" w:hAnsi="Palatino Linotype"/>
          <w:i w:val="1"/>
          <w:iCs w:val="1"/>
          <w:sz w:val="22"/>
          <w:szCs w:val="22"/>
          <w:rtl w:val="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En ausencia de los titulares de las áreas, la información será clasificada o desclasificada por la persona que lo supla, en términos de la normativa que rija la actuación del sujeto obligado.</w:t>
      </w: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Décimo primero.</w:t>
      </w:r>
      <w:r w:rsidDel="00000000" w:rsidR="00000000" w:rsidRPr="00000000">
        <w:rPr>
          <w:rFonts w:ascii="Palatino Linotype" w:cs="Palatino Linotype" w:eastAsia="Palatino Linotype" w:hAnsi="Palatino Linotype"/>
          <w:i w:val="1"/>
          <w:iCs w:val="1"/>
          <w:sz w:val="22"/>
          <w:szCs w:val="22"/>
          <w:rtl w:val="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00000" w:rsidDel="00000000" w:rsidP="00000000" w:rsidRDefault="00000000" w:rsidRPr="00000000" w14:paraId="0000016C">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w:t>
      </w: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line="276" w:lineRule="auto"/>
        <w:ind w:left="851" w:right="616" w:firstLine="0"/>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CAPÍTULO VIII</w:t>
      </w: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line="276" w:lineRule="auto"/>
        <w:ind w:left="851" w:right="616" w:firstLine="0"/>
        <w:jc w:val="center"/>
        <w:rPr>
          <w:rFonts w:ascii="Palatino Linotype" w:cs="Palatino Linotype" w:eastAsia="Palatino Linotype" w:hAnsi="Palatino Linotype"/>
          <w:b w:val="1"/>
          <w:bCs w:val="1"/>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DE LOS ELEMENTOS PARA LA CLASIFICACIÓN</w:t>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w:t>
      </w:r>
      <w:r w:rsidDel="00000000" w:rsidR="00000000" w:rsidRPr="00000000">
        <w:rPr>
          <w:rFonts w:ascii="Palatino Linotype" w:cs="Palatino Linotype" w:eastAsia="Palatino Linotype" w:hAnsi="Palatino Linotype"/>
          <w:i w:val="1"/>
          <w:iCs w:val="1"/>
          <w:sz w:val="22"/>
          <w:szCs w:val="22"/>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primero</w:t>
      </w:r>
      <w:r w:rsidDel="00000000" w:rsidR="00000000" w:rsidRPr="00000000">
        <w:rPr>
          <w:rFonts w:ascii="Palatino Linotype" w:cs="Palatino Linotype" w:eastAsia="Palatino Linotype" w:hAnsi="Palatino Linotype"/>
          <w:i w:val="1"/>
          <w:iCs w:val="1"/>
          <w:sz w:val="22"/>
          <w:szCs w:val="22"/>
          <w:rtl w:val="0"/>
        </w:rPr>
        <w:t xml:space="preserve">. Toda acta del Comité de Transparencia deberá contener:</w:t>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El número de sesión y fecha; </w:t>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 El nombre del área que solicitó la clasificación de información;</w:t>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III. La fundamentación legal y motivación correspondiente;</w:t>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IV. La resolución o resoluciones aprobadas; y</w:t>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V. La rúbrica o firma digital de cada integrante del Comité de Transparencia. </w:t>
      </w:r>
    </w:p>
    <w:p w:rsidR="00000000" w:rsidDel="00000000" w:rsidP="00000000" w:rsidRDefault="00000000" w:rsidRPr="00000000" w14:paraId="00000176">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Las resoluciones del Comité en las que se haya determinado confirmar o modificar la clasificación de información pública como reservada, deberán incluir, cuando menos:</w:t>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Los motivos y razonamientos que sustenten la confirmación o modificación de la prueba de daño;</w:t>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 Descripción de las partes o secciones reservadas, en caso de clasificación parcial;</w:t>
      </w:r>
    </w:p>
    <w:p w:rsidR="00000000" w:rsidDel="00000000" w:rsidP="00000000" w:rsidRDefault="00000000" w:rsidRPr="00000000" w14:paraId="00000179">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III. El periodo por el que mantendrá su clasificación y fecha de expiración; y</w:t>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IV. El nombre del titular y área encargada de realizar la versión pública del documento, en su caso.</w:t>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Quincuagésimo segundo</w:t>
      </w:r>
      <w:r w:rsidDel="00000000" w:rsidR="00000000" w:rsidRPr="00000000">
        <w:rPr>
          <w:rFonts w:ascii="Palatino Linotype" w:cs="Palatino Linotype" w:eastAsia="Palatino Linotype" w:hAnsi="Palatino Linotype"/>
          <w:i w:val="1"/>
          <w:iCs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el caso específico de la clasificación y elaboración de versiones públicas de documentos que contengan información confidencial, las áreas de los sujetos obligados deberán:</w:t>
      </w:r>
    </w:p>
    <w:p w:rsidR="00000000" w:rsidDel="00000000" w:rsidP="00000000" w:rsidRDefault="00000000" w:rsidRPr="00000000" w14:paraId="0000017F">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 Fijar la fecha en que se elaboró la versión pública y la fecha en la cual el Comité de Transparencia confirmó dicha versión;</w:t>
      </w:r>
    </w:p>
    <w:p w:rsidR="00000000" w:rsidDel="00000000" w:rsidP="00000000" w:rsidRDefault="00000000" w:rsidRPr="00000000" w14:paraId="00000180">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III. Señalar las personas o instancias autorizadas a acceder a la información clasificada.</w:t>
      </w:r>
    </w:p>
    <w:p w:rsidR="00000000" w:rsidDel="00000000" w:rsidP="00000000" w:rsidRDefault="00000000" w:rsidRPr="00000000" w14:paraId="00000182">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83">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i w:val="1"/>
          <w:iCs w:val="1"/>
          <w:sz w:val="22"/>
          <w:szCs w:val="22"/>
          <w:rtl w:val="0"/>
        </w:rPr>
        <w:t xml:space="preserve">…</w:t>
      </w: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iCs w:val="1"/>
          <w:sz w:val="22"/>
          <w:szCs w:val="22"/>
          <w:rtl w:val="0"/>
        </w:rPr>
        <w:t xml:space="preserve">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r w:rsidDel="00000000" w:rsidR="00000000" w:rsidRPr="00000000">
        <w:rPr>
          <w:rtl w:val="0"/>
        </w:rPr>
      </w:r>
    </w:p>
    <w:p w:rsidR="00000000" w:rsidDel="00000000" w:rsidP="00000000" w:rsidRDefault="00000000" w:rsidRPr="00000000" w14:paraId="00000186">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Efectivamente, cuando se clasifica información como confidencial es importante someterlo al Comité de Transparencia, quien debe confirmar, modificar o revocar la clasificación.</w:t>
      </w:r>
    </w:p>
    <w:p w:rsidR="00000000" w:rsidDel="00000000" w:rsidP="00000000" w:rsidRDefault="00000000" w:rsidRPr="00000000" w14:paraId="0000018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9">
      <w:pPr>
        <w:shd w:fill="ffffff" w:val="clea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18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mérito de lo expuesto en líneas anteriores resultan fundadas las razones o motivos de inconformidad que arguye la parte</w:t>
      </w:r>
      <w:r w:rsidDel="00000000" w:rsidR="00000000" w:rsidRPr="00000000">
        <w:rPr>
          <w:rFonts w:ascii="Palatino Linotype" w:cs="Palatino Linotype" w:eastAsia="Palatino Linotype" w:hAnsi="Palatino Linotype"/>
          <w:b w:val="1"/>
          <w:bCs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por ello con fundamento en el artículo 124 fracción III de la Ley de Transparencia y Acceso a la Información Pública del Estado de México y Municipios, este Instituto </w:t>
      </w:r>
      <w:r w:rsidDel="00000000" w:rsidR="00000000" w:rsidRPr="00000000">
        <w:rPr>
          <w:rFonts w:ascii="Palatino Linotype" w:cs="Palatino Linotype" w:eastAsia="Palatino Linotype" w:hAnsi="Palatino Linotype"/>
          <w:b w:val="1"/>
          <w:bCs w:val="1"/>
          <w:sz w:val="22"/>
          <w:szCs w:val="22"/>
          <w:rtl w:val="0"/>
        </w:rPr>
        <w:t xml:space="preserve">Revoca</w:t>
      </w:r>
      <w:r w:rsidDel="00000000" w:rsidR="00000000" w:rsidRPr="00000000">
        <w:rPr>
          <w:rFonts w:ascii="Palatino Linotype" w:cs="Palatino Linotype" w:eastAsia="Palatino Linotype" w:hAnsi="Palatino Linotype"/>
          <w:sz w:val="22"/>
          <w:szCs w:val="22"/>
          <w:rtl w:val="0"/>
        </w:rPr>
        <w:t xml:space="preserve"> la respuesta a la solicitud de información pública </w:t>
      </w:r>
      <w:r w:rsidDel="00000000" w:rsidR="00000000" w:rsidRPr="00000000">
        <w:rPr>
          <w:rFonts w:ascii="Palatino Linotype" w:cs="Palatino Linotype" w:eastAsia="Palatino Linotype" w:hAnsi="Palatino Linotype"/>
          <w:b w:val="1"/>
          <w:bCs w:val="1"/>
          <w:sz w:val="22"/>
          <w:szCs w:val="22"/>
          <w:rtl w:val="0"/>
        </w:rPr>
        <w:t xml:space="preserve">00330/BIENESTAR/IP/2025</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que ha sido materia del presente fallo.</w:t>
      </w:r>
    </w:p>
    <w:p w:rsidR="00000000" w:rsidDel="00000000" w:rsidP="00000000" w:rsidRDefault="00000000" w:rsidRPr="00000000" w14:paraId="0000018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de la Ley de Transparencia y Acceso a la Información Pública del Estado de México y Municipios, este Pleno:</w:t>
      </w:r>
    </w:p>
    <w:p w:rsidR="00000000" w:rsidDel="00000000" w:rsidP="00000000" w:rsidRDefault="00000000" w:rsidRPr="00000000" w14:paraId="0000018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F">
      <w:pPr>
        <w:spacing w:line="360" w:lineRule="auto"/>
        <w:jc w:val="cente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 E S U E L V E:</w:t>
      </w:r>
    </w:p>
    <w:p w:rsidR="00000000" w:rsidDel="00000000" w:rsidP="00000000" w:rsidRDefault="00000000" w:rsidRPr="00000000" w14:paraId="00000190">
      <w:pPr>
        <w:spacing w:line="360" w:lineRule="auto"/>
        <w:jc w:val="center"/>
        <w:rPr>
          <w:rFonts w:ascii="Palatino Linotype" w:cs="Palatino Linotype" w:eastAsia="Palatino Linotype" w:hAnsi="Palatino Linotype"/>
          <w:b w:val="1"/>
          <w:bCs w:val="1"/>
          <w:sz w:val="22"/>
          <w:szCs w:val="22"/>
        </w:rPr>
      </w:pPr>
      <w:r w:rsidDel="00000000" w:rsidR="00000000" w:rsidRPr="00000000">
        <w:rPr>
          <w:rtl w:val="0"/>
        </w:rPr>
      </w:r>
    </w:p>
    <w:p w:rsidR="00000000" w:rsidDel="00000000" w:rsidP="00000000" w:rsidRDefault="00000000" w:rsidRPr="00000000" w14:paraId="00000191">
      <w:pPr>
        <w:spacing w:line="360" w:lineRule="auto"/>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Resultan </w:t>
      </w:r>
      <w:r w:rsidDel="00000000" w:rsidR="00000000" w:rsidRPr="00000000">
        <w:rPr>
          <w:rFonts w:ascii="Palatino Linotype" w:cs="Palatino Linotype" w:eastAsia="Palatino Linotype" w:hAnsi="Palatino Linotype"/>
          <w:b w:val="1"/>
          <w:bCs w:val="1"/>
          <w:sz w:val="22"/>
          <w:szCs w:val="22"/>
          <w:rtl w:val="0"/>
        </w:rPr>
        <w:t xml:space="preserve">fundadas</w:t>
      </w:r>
      <w:r w:rsidDel="00000000" w:rsidR="00000000" w:rsidRPr="00000000">
        <w:rPr>
          <w:rFonts w:ascii="Palatino Linotype" w:cs="Palatino Linotype" w:eastAsia="Palatino Linotype" w:hAnsi="Palatino Linotype"/>
          <w:sz w:val="22"/>
          <w:szCs w:val="22"/>
          <w:rtl w:val="0"/>
        </w:rPr>
        <w:t xml:space="preserve"> las razones o motivos de inconformidad hechos valer por la parte</w:t>
      </w:r>
      <w:r w:rsidDel="00000000" w:rsidR="00000000" w:rsidRPr="00000000">
        <w:rPr>
          <w:rFonts w:ascii="Palatino Linotype" w:cs="Palatino Linotype" w:eastAsia="Palatino Linotype" w:hAnsi="Palatino Linotype"/>
          <w:b w:val="1"/>
          <w:bCs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el recurso de revisión </w:t>
      </w:r>
      <w:r w:rsidDel="00000000" w:rsidR="00000000" w:rsidRPr="00000000">
        <w:rPr>
          <w:rFonts w:ascii="Palatino Linotype" w:cs="Palatino Linotype" w:eastAsia="Palatino Linotype" w:hAnsi="Palatino Linotype"/>
          <w:b w:val="1"/>
          <w:bCs w:val="1"/>
          <w:sz w:val="22"/>
          <w:szCs w:val="22"/>
          <w:rtl w:val="0"/>
        </w:rPr>
        <w:t xml:space="preserve">14199/INFOEM/IP/RR/2025</w:t>
      </w:r>
      <w:r w:rsidDel="00000000" w:rsidR="00000000" w:rsidRPr="00000000">
        <w:rPr>
          <w:rFonts w:ascii="Palatino Linotype" w:cs="Palatino Linotype" w:eastAsia="Palatino Linotype" w:hAnsi="Palatino Linotype"/>
          <w:sz w:val="22"/>
          <w:szCs w:val="22"/>
          <w:rtl w:val="0"/>
        </w:rPr>
        <w:t xml:space="preserve">; por lo que, en términos del </w:t>
      </w:r>
      <w:r w:rsidDel="00000000" w:rsidR="00000000" w:rsidRPr="00000000">
        <w:rPr>
          <w:rFonts w:ascii="Palatino Linotype" w:cs="Palatino Linotype" w:eastAsia="Palatino Linotype" w:hAnsi="Palatino Linotype"/>
          <w:b w:val="1"/>
          <w:bCs w:val="1"/>
          <w:sz w:val="22"/>
          <w:szCs w:val="22"/>
          <w:rtl w:val="0"/>
        </w:rPr>
        <w:t xml:space="preserve">Considerando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esta resolución, se </w:t>
      </w:r>
      <w:r w:rsidDel="00000000" w:rsidR="00000000" w:rsidRPr="00000000">
        <w:rPr>
          <w:rFonts w:ascii="Palatino Linotype" w:cs="Palatino Linotype" w:eastAsia="Palatino Linotype" w:hAnsi="Palatino Linotype"/>
          <w:b w:val="1"/>
          <w:bCs w:val="1"/>
          <w:sz w:val="22"/>
          <w:szCs w:val="22"/>
          <w:rtl w:val="0"/>
        </w:rPr>
        <w:t xml:space="preserve">Revoca </w:t>
      </w:r>
      <w:r w:rsidDel="00000000" w:rsidR="00000000" w:rsidRPr="00000000">
        <w:rPr>
          <w:rFonts w:ascii="Palatino Linotype" w:cs="Palatino Linotype" w:eastAsia="Palatino Linotype" w:hAnsi="Palatino Linotype"/>
          <w:sz w:val="22"/>
          <w:szCs w:val="22"/>
          <w:rtl w:val="0"/>
        </w:rPr>
        <w:t xml:space="preserve">la respuesta emitida por el </w:t>
      </w:r>
      <w:r w:rsidDel="00000000" w:rsidR="00000000" w:rsidRPr="00000000">
        <w:rPr>
          <w:rFonts w:ascii="Palatino Linotype" w:cs="Palatino Linotype" w:eastAsia="Palatino Linotype" w:hAnsi="Palatino Linotype"/>
          <w:b w:val="1"/>
          <w:bCs w:val="1"/>
          <w:sz w:val="22"/>
          <w:szCs w:val="22"/>
          <w:rtl w:val="0"/>
        </w:rPr>
        <w:t xml:space="preserve">Sujeto Obligado.</w:t>
      </w:r>
    </w:p>
    <w:p w:rsidR="00000000" w:rsidDel="00000000" w:rsidP="00000000" w:rsidRDefault="00000000" w:rsidRPr="00000000" w14:paraId="0000019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3">
      <w:pPr>
        <w:spacing w:line="360" w:lineRule="auto"/>
        <w:jc w:val="both"/>
        <w:rPr>
          <w:rFonts w:ascii="Palatino Linotype" w:cs="Palatino Linotype" w:eastAsia="Palatino Linotype" w:hAnsi="Palatino Linotype"/>
          <w:sz w:val="22"/>
          <w:szCs w:val="22"/>
        </w:rPr>
      </w:pPr>
      <w:bookmarkStart w:colFirst="0" w:colLast="0" w:name="_heading=h.1fob9te" w:id="8"/>
      <w:bookmarkEnd w:id="8"/>
      <w:r w:rsidDel="00000000" w:rsidR="00000000" w:rsidRPr="00000000">
        <w:rPr>
          <w:rFonts w:ascii="Palatino Linotype" w:cs="Palatino Linotype" w:eastAsia="Palatino Linotype" w:hAnsi="Palatino Linotype"/>
          <w:b w:val="1"/>
          <w:bCs w:val="1"/>
          <w:sz w:val="22"/>
          <w:szCs w:val="22"/>
          <w:rtl w:val="0"/>
        </w:rPr>
        <w:t xml:space="preserve">Segundo. </w:t>
      </w:r>
      <w:r w:rsidDel="00000000" w:rsidR="00000000" w:rsidRPr="00000000">
        <w:rPr>
          <w:rFonts w:ascii="Palatino Linotype" w:cs="Palatino Linotype" w:eastAsia="Palatino Linotype" w:hAnsi="Palatino Linotype"/>
          <w:sz w:val="22"/>
          <w:szCs w:val="22"/>
          <w:rtl w:val="0"/>
        </w:rPr>
        <w:t xml:space="preserve">Se </w:t>
      </w:r>
      <w:r w:rsidDel="00000000" w:rsidR="00000000" w:rsidRPr="00000000">
        <w:rPr>
          <w:rFonts w:ascii="Palatino Linotype" w:cs="Palatino Linotype" w:eastAsia="Palatino Linotype" w:hAnsi="Palatino Linotype"/>
          <w:b w:val="1"/>
          <w:bCs w:val="1"/>
          <w:sz w:val="22"/>
          <w:szCs w:val="22"/>
          <w:rtl w:val="0"/>
        </w:rPr>
        <w:t xml:space="preserve">ordena </w:t>
      </w:r>
      <w:r w:rsidDel="00000000" w:rsidR="00000000" w:rsidRPr="00000000">
        <w:rPr>
          <w:rFonts w:ascii="Palatino Linotype" w:cs="Palatino Linotype" w:eastAsia="Palatino Linotype" w:hAnsi="Palatino Linotype"/>
          <w:sz w:val="22"/>
          <w:szCs w:val="22"/>
          <w:rtl w:val="0"/>
        </w:rPr>
        <w:t xml:space="preserve">al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entregue a</w:t>
      </w:r>
      <w:r w:rsidDel="00000000" w:rsidR="00000000" w:rsidRPr="00000000">
        <w:rPr>
          <w:rFonts w:ascii="Palatino Linotype" w:cs="Palatino Linotype" w:eastAsia="Palatino Linotype" w:hAnsi="Palatino Linotype"/>
          <w:b w:val="1"/>
          <w:bCs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la parte </w:t>
      </w:r>
      <w:r w:rsidDel="00000000" w:rsidR="00000000" w:rsidRPr="00000000">
        <w:rPr>
          <w:rFonts w:ascii="Palatino Linotype" w:cs="Palatino Linotype" w:eastAsia="Palatino Linotype" w:hAnsi="Palatino Linotype"/>
          <w:b w:val="1"/>
          <w:bCs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vía</w:t>
      </w:r>
      <w:r w:rsidDel="00000000" w:rsidR="00000000" w:rsidRPr="00000000">
        <w:rPr>
          <w:rFonts w:ascii="Palatino Linotype" w:cs="Palatino Linotype" w:eastAsia="Palatino Linotype" w:hAnsi="Palatino Linotype"/>
          <w:b w:val="1"/>
          <w:bCs w:val="1"/>
          <w:sz w:val="22"/>
          <w:szCs w:val="22"/>
          <w:rtl w:val="0"/>
        </w:rPr>
        <w:t xml:space="preserve"> SAIMEX, </w:t>
      </w:r>
      <w:r w:rsidDel="00000000" w:rsidR="00000000" w:rsidRPr="00000000">
        <w:rPr>
          <w:rFonts w:ascii="Palatino Linotype" w:cs="Palatino Linotype" w:eastAsia="Palatino Linotype" w:hAnsi="Palatino Linotype"/>
          <w:sz w:val="22"/>
          <w:szCs w:val="22"/>
          <w:rtl w:val="0"/>
        </w:rPr>
        <w:t xml:space="preserve">en términos de</w:t>
      </w:r>
      <w:r w:rsidDel="00000000" w:rsidR="00000000" w:rsidRPr="00000000">
        <w:rPr>
          <w:rFonts w:ascii="Palatino Linotype" w:cs="Palatino Linotype" w:eastAsia="Palatino Linotype" w:hAnsi="Palatino Linotype"/>
          <w:b w:val="1"/>
          <w:bCs w:val="1"/>
          <w:sz w:val="22"/>
          <w:szCs w:val="22"/>
          <w:rtl w:val="0"/>
        </w:rPr>
        <w:t xml:space="preserve">l Considerando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bCs w:val="1"/>
          <w:sz w:val="22"/>
          <w:szCs w:val="22"/>
          <w:rtl w:val="0"/>
        </w:rPr>
        <w:t xml:space="preserve">Cuarto y Quinto</w:t>
      </w:r>
      <w:r w:rsidDel="00000000" w:rsidR="00000000" w:rsidRPr="00000000">
        <w:rPr>
          <w:rFonts w:ascii="Palatino Linotype" w:cs="Palatino Linotype" w:eastAsia="Palatino Linotype" w:hAnsi="Palatino Linotype"/>
          <w:sz w:val="22"/>
          <w:szCs w:val="22"/>
          <w:rtl w:val="0"/>
        </w:rPr>
        <w:t xml:space="preserve">, de ser procedente en versión pública, de lo siguiente:</w:t>
      </w:r>
    </w:p>
    <w:p w:rsidR="00000000" w:rsidDel="00000000" w:rsidP="00000000" w:rsidRDefault="00000000" w:rsidRPr="00000000" w14:paraId="00000194">
      <w:pPr>
        <w:numPr>
          <w:ilvl w:val="0"/>
          <w:numId w:val="2"/>
        </w:numPr>
        <w:pBdr>
          <w:top w:space="0" w:sz="0" w:val="nil"/>
          <w:left w:space="0" w:sz="0" w:val="nil"/>
          <w:bottom w:space="0" w:sz="0" w:val="nil"/>
          <w:right w:space="0" w:sz="0" w:val="nil"/>
          <w:between w:space="0" w:sz="0" w:val="nil"/>
        </w:pBdr>
        <w:spacing w:line="360" w:lineRule="auto"/>
        <w:ind w:left="851" w:right="616" w:firstLine="0"/>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Facturas pagadas y en proceso de pago, por montos mayores a un millón de pesos, generadas del primero de enero al diez de noviembre de dos mil veinticinco.</w:t>
      </w:r>
    </w:p>
    <w:p w:rsidR="00000000" w:rsidDel="00000000" w:rsidP="00000000" w:rsidRDefault="00000000" w:rsidRPr="00000000" w14:paraId="00000195">
      <w:pPr>
        <w:spacing w:line="360" w:lineRule="auto"/>
        <w:ind w:left="851"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6">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w:t>
      </w:r>
      <w:r w:rsidDel="00000000" w:rsidR="00000000" w:rsidRPr="00000000">
        <w:rPr>
          <w:rFonts w:ascii="Palatino Linotype" w:cs="Palatino Linotype" w:eastAsia="Palatino Linotype" w:hAnsi="Palatino Linotype"/>
          <w:b w:val="1"/>
          <w:bCs w:val="1"/>
          <w:i w:val="1"/>
          <w:iCs w:val="1"/>
          <w:sz w:val="22"/>
          <w:szCs w:val="22"/>
          <w:rtl w:val="0"/>
        </w:rPr>
        <w:t xml:space="preserve">Recurrente</w:t>
      </w:r>
      <w:r w:rsidDel="00000000" w:rsidR="00000000" w:rsidRPr="00000000">
        <w:rPr>
          <w:rFonts w:ascii="Palatino Linotype" w:cs="Palatino Linotype" w:eastAsia="Palatino Linotype" w:hAnsi="Palatino Linotype"/>
          <w:i w:val="1"/>
          <w:iCs w:val="1"/>
          <w:sz w:val="22"/>
          <w:szCs w:val="22"/>
          <w:rtl w:val="0"/>
        </w:rPr>
        <w:t xml:space="preserve">.</w:t>
      </w:r>
    </w:p>
    <w:p w:rsidR="00000000" w:rsidDel="00000000" w:rsidP="00000000" w:rsidRDefault="00000000" w:rsidRPr="00000000" w14:paraId="00000197">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98">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Fonts w:ascii="Palatino Linotype" w:cs="Palatino Linotype" w:eastAsia="Palatino Linotype" w:hAnsi="Palatino Linotype"/>
          <w:i w:val="1"/>
          <w:iCs w:val="1"/>
          <w:sz w:val="22"/>
          <w:szCs w:val="22"/>
          <w:rtl w:val="0"/>
        </w:rPr>
        <w:t xml:space="preserve">Para el caso de que la información que se ordena entregar no obre en los archivos del Sujeto Obligado, por no haberse erogado recursos por dicho monto, este deberá hacerlo del conocimiento del Particular en términos del artículo 19, párrafo segundo, de la Ley de Transparencia y Acceso a la Información Pública del Estado de México y Municipios, para tenerse por colmado dicho requerimiento.</w:t>
      </w:r>
    </w:p>
    <w:p w:rsidR="00000000" w:rsidDel="00000000" w:rsidP="00000000" w:rsidRDefault="00000000" w:rsidRPr="00000000" w14:paraId="00000199">
      <w:pPr>
        <w:spacing w:line="276" w:lineRule="auto"/>
        <w:ind w:left="851" w:right="616" w:firstLine="0"/>
        <w:jc w:val="both"/>
        <w:rPr>
          <w:rFonts w:ascii="Palatino Linotype" w:cs="Palatino Linotype" w:eastAsia="Palatino Linotype" w:hAnsi="Palatino Linotype"/>
          <w:i w:val="1"/>
          <w:iCs w:val="1"/>
          <w:sz w:val="22"/>
          <w:szCs w:val="22"/>
        </w:rPr>
      </w:pPr>
      <w:r w:rsidDel="00000000" w:rsidR="00000000" w:rsidRPr="00000000">
        <w:rPr>
          <w:rtl w:val="0"/>
        </w:rPr>
      </w:r>
    </w:p>
    <w:p w:rsidR="00000000" w:rsidDel="00000000" w:rsidP="00000000" w:rsidRDefault="00000000" w:rsidRPr="00000000" w14:paraId="0000019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Tercero. Notifíquese </w:t>
      </w:r>
      <w:r w:rsidDel="00000000" w:rsidR="00000000" w:rsidRPr="00000000">
        <w:rPr>
          <w:rFonts w:ascii="Palatino Linotype" w:cs="Palatino Linotype" w:eastAsia="Palatino Linotype" w:hAnsi="Palatino Linotype"/>
          <w:sz w:val="22"/>
          <w:szCs w:val="22"/>
          <w:rtl w:val="0"/>
        </w:rPr>
        <w:t xml:space="preserve">vía</w:t>
      </w:r>
      <w:r w:rsidDel="00000000" w:rsidR="00000000" w:rsidRPr="00000000">
        <w:rPr>
          <w:rFonts w:ascii="Palatino Linotype" w:cs="Palatino Linotype" w:eastAsia="Palatino Linotype" w:hAnsi="Palatino Linotype"/>
          <w:b w:val="1"/>
          <w:bCs w:val="1"/>
          <w:sz w:val="22"/>
          <w:szCs w:val="22"/>
          <w:rtl w:val="0"/>
        </w:rPr>
        <w:t xml:space="preserve"> SAIMEX, </w:t>
      </w:r>
      <w:r w:rsidDel="00000000" w:rsidR="00000000" w:rsidRPr="00000000">
        <w:rPr>
          <w:rFonts w:ascii="Palatino Linotype" w:cs="Palatino Linotype" w:eastAsia="Palatino Linotype" w:hAnsi="Palatino Linotype"/>
          <w:sz w:val="22"/>
          <w:szCs w:val="22"/>
          <w:rtl w:val="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9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Notifíquese vía </w:t>
      </w:r>
      <w:r w:rsidDel="00000000" w:rsidR="00000000" w:rsidRPr="00000000">
        <w:rPr>
          <w:rFonts w:ascii="Palatino Linotype" w:cs="Palatino Linotype" w:eastAsia="Palatino Linotype" w:hAnsi="Palatino Linotype"/>
          <w:b w:val="1"/>
          <w:bCs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al Titular de la Unidad de Transparencia del </w:t>
      </w:r>
      <w:r w:rsidDel="00000000" w:rsidR="00000000" w:rsidRPr="00000000">
        <w:rPr>
          <w:rFonts w:ascii="Palatino Linotype" w:cs="Palatino Linotype" w:eastAsia="Palatino Linotype" w:hAnsi="Palatino Linotype"/>
          <w:b w:val="1"/>
          <w:bCs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rsidR="00000000" w:rsidDel="00000000" w:rsidP="00000000" w:rsidRDefault="00000000" w:rsidRPr="00000000" w14:paraId="0000019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bCs w:val="1"/>
          <w:sz w:val="22"/>
          <w:szCs w:val="22"/>
          <w:rtl w:val="0"/>
        </w:rPr>
        <w:t xml:space="preserve">Quinto. Notifíquese, </w:t>
      </w:r>
      <w:r w:rsidDel="00000000" w:rsidR="00000000" w:rsidRPr="00000000">
        <w:rPr>
          <w:rFonts w:ascii="Palatino Linotype" w:cs="Palatino Linotype" w:eastAsia="Palatino Linotype" w:hAnsi="Palatino Linotype"/>
          <w:sz w:val="22"/>
          <w:szCs w:val="22"/>
          <w:rtl w:val="0"/>
        </w:rPr>
        <w:t xml:space="preserve">vía </w:t>
      </w:r>
      <w:r w:rsidDel="00000000" w:rsidR="00000000" w:rsidRPr="00000000">
        <w:rPr>
          <w:rFonts w:ascii="Palatino Linotype" w:cs="Palatino Linotype" w:eastAsia="Palatino Linotype" w:hAnsi="Palatino Linotype"/>
          <w:b w:val="1"/>
          <w:bCs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 la parte</w:t>
      </w:r>
      <w:r w:rsidDel="00000000" w:rsidR="00000000" w:rsidRPr="00000000">
        <w:rPr>
          <w:rFonts w:ascii="Palatino Linotype" w:cs="Palatino Linotype" w:eastAsia="Palatino Linotype" w:hAnsi="Palatino Linotype"/>
          <w:b w:val="1"/>
          <w:bCs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19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0">
      <w:pPr>
        <w:spacing w:line="360" w:lineRule="auto"/>
        <w:jc w:val="both"/>
        <w:rPr>
          <w:rFonts w:ascii="Palatino Linotype" w:cs="Palatino Linotype" w:eastAsia="Palatino Linotype" w:hAnsi="Palatino Linotype"/>
          <w:sz w:val="22"/>
          <w:szCs w:val="22"/>
        </w:rPr>
      </w:pPr>
      <w:bookmarkStart w:colFirst="0" w:colLast="0" w:name="_heading=h.lnxbz9" w:id="9"/>
      <w:bookmarkEnd w:id="9"/>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SEXTA SESIÓN ORDINARIA, CELEBRADA EL DIECIOCHO DE FEBRERO DE DOS MIL VEINTISÉIS, ANTE EL SECRETARIO TÉCNICO DEL PLENO ALEXIS TAPIA RAMÍREZ.</w:t>
      </w:r>
    </w:p>
    <w:p w:rsidR="00000000" w:rsidDel="00000000" w:rsidP="00000000" w:rsidRDefault="00000000" w:rsidRPr="00000000" w14:paraId="000001A1">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2">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3">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4">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5">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6">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7">
      <w:pPr>
        <w:spacing w:line="360" w:lineRule="auto"/>
        <w:jc w:val="both"/>
        <w:rPr>
          <w:rFonts w:ascii="Palatino Linotype" w:cs="Palatino Linotype" w:eastAsia="Palatino Linotype" w:hAnsi="Palatino Linotype"/>
          <w:sz w:val="22"/>
          <w:szCs w:val="22"/>
        </w:rPr>
      </w:pPr>
      <w:bookmarkStart w:colFirst="0" w:colLast="0" w:name="_heading=h.3rdcrjn" w:id="10"/>
      <w:bookmarkEnd w:id="10"/>
      <w:r w:rsidDel="00000000" w:rsidR="00000000" w:rsidRPr="00000000">
        <w:rPr>
          <w:rtl w:val="0"/>
        </w:rPr>
      </w:r>
    </w:p>
    <w:p w:rsidR="00000000" w:rsidDel="00000000" w:rsidP="00000000" w:rsidRDefault="00000000" w:rsidRPr="00000000" w14:paraId="000001A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A">
      <w:pPr>
        <w:spacing w:line="360" w:lineRule="auto"/>
        <w:jc w:val="both"/>
        <w:rPr>
          <w:rFonts w:ascii="Palatino Linotype" w:cs="Palatino Linotype" w:eastAsia="Palatino Linotype" w:hAnsi="Palatino Linotype"/>
          <w:sz w:val="22"/>
          <w:szCs w:val="22"/>
        </w:rPr>
      </w:pPr>
      <w:bookmarkStart w:colFirst="0" w:colLast="0" w:name="_heading=h.1t3h5sf" w:id="11"/>
      <w:bookmarkEnd w:id="11"/>
      <w:r w:rsidDel="00000000" w:rsidR="00000000" w:rsidRPr="00000000">
        <w:rPr>
          <w:rtl w:val="0"/>
        </w:rPr>
      </w:r>
    </w:p>
    <w:p w:rsidR="00000000" w:rsidDel="00000000" w:rsidP="00000000" w:rsidRDefault="00000000" w:rsidRPr="00000000" w14:paraId="000001A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5">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E">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bCs w:val="1"/>
        <w:color w:val="000000"/>
        <w:sz w:val="20"/>
        <w:szCs w:val="20"/>
        <w:rtl w:val="0"/>
      </w:rPr>
      <w:t xml:space="preserve">Página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0">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bCs w:val="1"/>
        <w:color w:val="000000"/>
        <w:sz w:val="20"/>
        <w:szCs w:val="20"/>
        <w:rtl w:val="0"/>
      </w:rPr>
      <w:t xml:space="preserve">Página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bCs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B6">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Consultable en: </w:t>
      </w:r>
    </w:p>
    <w:p w:rsidR="00000000" w:rsidDel="00000000" w:rsidP="00000000" w:rsidRDefault="00000000" w:rsidRPr="00000000" w14:paraId="000001B7">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hyperlink r:id="rId1">
        <w:r w:rsidDel="00000000" w:rsidR="00000000" w:rsidRPr="00000000">
          <w:rPr>
            <w:rFonts w:ascii="Palatino Linotype" w:cs="Palatino Linotype" w:eastAsia="Palatino Linotype" w:hAnsi="Palatino Linotype"/>
            <w:color w:val="0000ff"/>
            <w:sz w:val="16"/>
            <w:szCs w:val="16"/>
            <w:u w:val="single"/>
            <w:rtl w:val="0"/>
          </w:rPr>
          <w:t xml:space="preserve">https://www.indetec.gob.mx/delivery?srv=0&amp;sl=3&amp;path=/biblioteca/Especiales/386_Glosario_Terminos_Proceso_Planeacion.pdf</w:t>
        </w:r>
      </w:hyperlink>
      <w:r w:rsidDel="00000000" w:rsidR="00000000" w:rsidRPr="00000000">
        <w:rPr>
          <w:rFonts w:ascii="Palatino Linotype" w:cs="Palatino Linotype" w:eastAsia="Palatino Linotype" w:hAnsi="Palatino Linotype"/>
          <w:color w:val="000000"/>
          <w:sz w:val="16"/>
          <w:szCs w:val="16"/>
          <w:rtl w:val="0"/>
        </w:rPr>
        <w:t xml:space="preserve"> </w:t>
      </w:r>
    </w:p>
  </w:footnote>
  <w:footnote w:id="1">
    <w:p w:rsidR="00000000" w:rsidDel="00000000" w:rsidP="00000000" w:rsidRDefault="00000000" w:rsidRPr="00000000" w14:paraId="000001B8">
      <w:pP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1"/>
          <w:bCs w:val="1"/>
          <w:color w:val="000000"/>
          <w:sz w:val="16"/>
          <w:szCs w:val="16"/>
          <w:rtl w:val="0"/>
        </w:rPr>
        <w:t xml:space="preserve"> Artículo 53</w:t>
      </w:r>
      <w:r w:rsidDel="00000000" w:rsidR="00000000" w:rsidRPr="00000000">
        <w:rPr>
          <w:rFonts w:ascii="Palatino Linotype" w:cs="Palatino Linotype" w:eastAsia="Palatino Linotype" w:hAnsi="Palatino Linotype"/>
          <w:color w:val="000000"/>
          <w:sz w:val="16"/>
          <w:szCs w:val="16"/>
          <w:rtl w:val="0"/>
        </w:rPr>
        <w:t xml:space="preserve">. Las Unidades de Transparencia tendrán las siguientes funciones:</w:t>
      </w:r>
    </w:p>
    <w:p w:rsidR="00000000" w:rsidDel="00000000" w:rsidP="00000000" w:rsidRDefault="00000000" w:rsidRPr="00000000" w14:paraId="000001B9">
      <w:pP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Recibir, tramitar y dar respuesta a las solicitudes de acceso a la información;</w:t>
      </w:r>
    </w:p>
    <w:p w:rsidR="00000000" w:rsidDel="00000000" w:rsidP="00000000" w:rsidRDefault="00000000" w:rsidRPr="00000000" w14:paraId="000001BA">
      <w:pP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IV. Realizar, con efectividad, los trámites internos necesarios para la atención de las solicitudes de acceso a la información;</w:t>
      </w:r>
    </w:p>
  </w:footnote>
  <w:footnote w:id="2">
    <w:p w:rsidR="00000000" w:rsidDel="00000000" w:rsidP="00000000" w:rsidRDefault="00000000" w:rsidRPr="00000000" w14:paraId="000001BB">
      <w:pP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bCs w:val="1"/>
          <w:color w:val="000000"/>
          <w:sz w:val="16"/>
          <w:szCs w:val="16"/>
          <w:rtl w:val="0"/>
        </w:rPr>
        <w:t xml:space="preserve">Artículo 162.</w:t>
      </w:r>
      <w:r w:rsidDel="00000000" w:rsidR="00000000" w:rsidRPr="00000000">
        <w:rPr>
          <w:rFonts w:ascii="Palatino Linotype" w:cs="Palatino Linotype" w:eastAsia="Palatino Linotype" w:hAnsi="Palatino Linotype"/>
          <w:color w:val="000000"/>
          <w:sz w:val="16"/>
          <w:szCs w:val="16"/>
          <w:rtl w:val="0"/>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C">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-1080114</wp:posOffset>
          </wp:positionH>
          <wp:positionV relativeFrom="paragraph">
            <wp:posOffset>-488290</wp:posOffset>
          </wp:positionV>
          <wp:extent cx="7809865" cy="10165715"/>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p w:rsidR="00000000" w:rsidDel="00000000" w:rsidP="00000000" w:rsidRDefault="00000000" w:rsidRPr="00000000" w14:paraId="000001BD">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Recurso de Revisión:</w:t>
          </w:r>
        </w:p>
      </w:tc>
      <w:tc>
        <w:tcPr>
          <w:vAlign w:val="center"/>
        </w:tcPr>
        <w:p w:rsidR="00000000" w:rsidDel="00000000" w:rsidP="00000000" w:rsidRDefault="00000000" w:rsidRPr="00000000" w14:paraId="000001BE">
          <w:pPr>
            <w:ind w:right="175"/>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14199/INFOEM/IP/RR/2025</w:t>
          </w:r>
        </w:p>
      </w:tc>
    </w:tr>
    <w:tr>
      <w:trPr>
        <w:cantSplit w:val="0"/>
        <w:trHeight w:val="228" w:hRule="atLeast"/>
        <w:tblHeader w:val="0"/>
      </w:trPr>
      <w:tc>
        <w:tcPr>
          <w:vAlign w:val="center"/>
        </w:tcPr>
        <w:p w:rsidR="00000000" w:rsidDel="00000000" w:rsidP="00000000" w:rsidRDefault="00000000" w:rsidRPr="00000000" w14:paraId="000001BF">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Sujeto Obligado:</w:t>
          </w:r>
        </w:p>
      </w:tc>
      <w:tc>
        <w:tcPr>
          <w:vAlign w:val="center"/>
        </w:tcPr>
        <w:p w:rsidR="00000000" w:rsidDel="00000000" w:rsidP="00000000" w:rsidRDefault="00000000" w:rsidRPr="00000000" w14:paraId="000001C0">
          <w:pPr>
            <w:ind w:left="-45" w:right="176"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Secretaría de Bienestar</w:t>
          </w:r>
        </w:p>
      </w:tc>
    </w:tr>
    <w:tr>
      <w:trPr>
        <w:cantSplit w:val="0"/>
        <w:tblHeader w:val="0"/>
      </w:trPr>
      <w:tc>
        <w:tcPr>
          <w:vAlign w:val="center"/>
        </w:tcPr>
        <w:p w:rsidR="00000000" w:rsidDel="00000000" w:rsidP="00000000" w:rsidRDefault="00000000" w:rsidRPr="00000000" w14:paraId="000001C1">
          <w:pPr>
            <w:ind w:right="-108"/>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Comisionada ponente:</w:t>
          </w:r>
        </w:p>
      </w:tc>
      <w:tc>
        <w:tcPr>
          <w:vAlign w:val="center"/>
        </w:tcPr>
        <w:p w:rsidR="00000000" w:rsidDel="00000000" w:rsidP="00000000" w:rsidRDefault="00000000" w:rsidRPr="00000000" w14:paraId="000001C2">
          <w:pPr>
            <w:ind w:right="175"/>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Guadalupe Ramírez Peña</w:t>
          </w:r>
        </w:p>
      </w:tc>
    </w:tr>
  </w:tbl>
  <w:p w:rsidR="00000000" w:rsidDel="00000000" w:rsidP="00000000" w:rsidRDefault="00000000" w:rsidRPr="00000000" w14:paraId="000001C3">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4">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-1080120</wp:posOffset>
          </wp:positionH>
          <wp:positionV relativeFrom="paragraph">
            <wp:posOffset>-262863</wp:posOffset>
          </wp:positionV>
          <wp:extent cx="7809865" cy="10165715"/>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670.0" w:type="dxa"/>
      <w:jc w:val="left"/>
      <w:tblInd w:w="3261.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1C5">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Recurso de Revisión:</w:t>
          </w:r>
        </w:p>
      </w:tc>
      <w:tc>
        <w:tcPr>
          <w:vAlign w:val="center"/>
        </w:tcPr>
        <w:p w:rsidR="00000000" w:rsidDel="00000000" w:rsidP="00000000" w:rsidRDefault="00000000" w:rsidRPr="00000000" w14:paraId="000001C6">
          <w:pPr>
            <w:tabs>
              <w:tab w:val="left" w:leader="none" w:pos="3153"/>
            </w:tabs>
            <w:ind w:left="-45"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14199/INFOEM/IP/RR/2025</w:t>
          </w:r>
        </w:p>
      </w:tc>
    </w:tr>
    <w:tr>
      <w:trPr>
        <w:cantSplit w:val="0"/>
        <w:trHeight w:val="130" w:hRule="atLeast"/>
        <w:tblHeader w:val="0"/>
      </w:trPr>
      <w:tc>
        <w:tcPr>
          <w:vAlign w:val="center"/>
        </w:tcPr>
        <w:p w:rsidR="00000000" w:rsidDel="00000000" w:rsidP="00000000" w:rsidRDefault="00000000" w:rsidRPr="00000000" w14:paraId="000001C7">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Recurrente:</w:t>
          </w:r>
        </w:p>
      </w:tc>
      <w:tc>
        <w:tcPr>
          <w:vAlign w:val="center"/>
        </w:tcPr>
        <w:p w:rsidR="00000000" w:rsidDel="00000000" w:rsidP="00000000" w:rsidRDefault="00000000" w:rsidRPr="00000000" w14:paraId="000001C8">
          <w:pPr>
            <w:ind w:left="-45"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XXXXX XXXXXX XXXXXXXX </w:t>
          </w:r>
        </w:p>
      </w:tc>
    </w:tr>
    <w:tr>
      <w:trPr>
        <w:cantSplit w:val="0"/>
        <w:trHeight w:val="228" w:hRule="atLeast"/>
        <w:tblHeader w:val="0"/>
      </w:trPr>
      <w:tc>
        <w:tcPr>
          <w:vAlign w:val="center"/>
        </w:tcPr>
        <w:p w:rsidR="00000000" w:rsidDel="00000000" w:rsidP="00000000" w:rsidRDefault="00000000" w:rsidRPr="00000000" w14:paraId="000001C9">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Sujeto obligado:</w:t>
          </w:r>
        </w:p>
      </w:tc>
      <w:tc>
        <w:tcPr>
          <w:vAlign w:val="center"/>
        </w:tcPr>
        <w:p w:rsidR="00000000" w:rsidDel="00000000" w:rsidP="00000000" w:rsidRDefault="00000000" w:rsidRPr="00000000" w14:paraId="000001CA">
          <w:pPr>
            <w:ind w:left="-45" w:right="176"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Secretaría de Bienestar</w:t>
          </w:r>
        </w:p>
      </w:tc>
    </w:tr>
    <w:tr>
      <w:trPr>
        <w:cantSplit w:val="0"/>
        <w:tblHeader w:val="0"/>
      </w:trPr>
      <w:tc>
        <w:tcPr>
          <w:vAlign w:val="center"/>
        </w:tcPr>
        <w:p w:rsidR="00000000" w:rsidDel="00000000" w:rsidP="00000000" w:rsidRDefault="00000000" w:rsidRPr="00000000" w14:paraId="000001CB">
          <w:pPr>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Comisionada ponente:</w:t>
          </w:r>
        </w:p>
      </w:tc>
      <w:tc>
        <w:tcPr>
          <w:vAlign w:val="center"/>
        </w:tcPr>
        <w:p w:rsidR="00000000" w:rsidDel="00000000" w:rsidP="00000000" w:rsidRDefault="00000000" w:rsidRPr="00000000" w14:paraId="000001CC">
          <w:pPr>
            <w:ind w:left="-45" w:right="-533" w:firstLine="0"/>
            <w:jc w:val="both"/>
            <w:rPr>
              <w:rFonts w:ascii="Palatino Linotype" w:cs="Palatino Linotype" w:eastAsia="Palatino Linotype" w:hAnsi="Palatino Linotype"/>
              <w:b w:val="1"/>
              <w:bCs w:val="1"/>
              <w:sz w:val="22"/>
              <w:szCs w:val="22"/>
            </w:rPr>
          </w:pPr>
          <w:r w:rsidDel="00000000" w:rsidR="00000000" w:rsidRPr="00000000">
            <w:rPr>
              <w:rFonts w:ascii="Palatino Linotype" w:cs="Palatino Linotype" w:eastAsia="Palatino Linotype" w:hAnsi="Palatino Linotype"/>
              <w:b w:val="1"/>
              <w:bCs w:val="1"/>
              <w:sz w:val="22"/>
              <w:szCs w:val="22"/>
              <w:rtl w:val="0"/>
            </w:rPr>
            <w:t xml:space="preserve">Guadalupe Ramírez Peña</w:t>
          </w:r>
        </w:p>
      </w:tc>
    </w:tr>
  </w:tbl>
  <w:p w:rsidR="00000000" w:rsidDel="00000000" w:rsidP="00000000" w:rsidRDefault="00000000" w:rsidRPr="00000000" w14:paraId="000001C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927" w:hanging="360"/>
      </w:pPr>
      <w:rPr>
        <w:rFonts w:ascii="Noto Sans Symbols" w:cs="Noto Sans Symbols" w:eastAsia="Noto Sans Symbols" w:hAnsi="Noto Sans Symbols"/>
      </w:rPr>
    </w:lvl>
    <w:lvl w:ilvl="1">
      <w:start w:val="1"/>
      <w:numFmt w:val="bullet"/>
      <w:lvlText w:val="o"/>
      <w:lvlJc w:val="left"/>
      <w:pPr>
        <w:ind w:left="1647" w:hanging="360"/>
      </w:pPr>
      <w:rPr>
        <w:rFonts w:ascii="Courier New" w:cs="Courier New" w:eastAsia="Courier New" w:hAnsi="Courier New"/>
      </w:rPr>
    </w:lvl>
    <w:lvl w:ilvl="2">
      <w:start w:val="1"/>
      <w:numFmt w:val="bullet"/>
      <w:lvlText w:val="▪"/>
      <w:lvlJc w:val="left"/>
      <w:pPr>
        <w:ind w:left="2367" w:hanging="360"/>
      </w:pPr>
      <w:rPr>
        <w:rFonts w:ascii="Noto Sans Symbols" w:cs="Noto Sans Symbols" w:eastAsia="Noto Sans Symbols" w:hAnsi="Noto Sans Symbols"/>
      </w:rPr>
    </w:lvl>
    <w:lvl w:ilvl="3">
      <w:start w:val="1"/>
      <w:numFmt w:val="bullet"/>
      <w:lvlText w:val="●"/>
      <w:lvlJc w:val="left"/>
      <w:pPr>
        <w:ind w:left="3087" w:hanging="360"/>
      </w:pPr>
      <w:rPr>
        <w:rFonts w:ascii="Noto Sans Symbols" w:cs="Noto Sans Symbols" w:eastAsia="Noto Sans Symbols" w:hAnsi="Noto Sans Symbols"/>
      </w:rPr>
    </w:lvl>
    <w:lvl w:ilvl="4">
      <w:start w:val="1"/>
      <w:numFmt w:val="bullet"/>
      <w:lvlText w:val="o"/>
      <w:lvlJc w:val="left"/>
      <w:pPr>
        <w:ind w:left="3807" w:hanging="360"/>
      </w:pPr>
      <w:rPr>
        <w:rFonts w:ascii="Courier New" w:cs="Courier New" w:eastAsia="Courier New" w:hAnsi="Courier New"/>
      </w:rPr>
    </w:lvl>
    <w:lvl w:ilvl="5">
      <w:start w:val="1"/>
      <w:numFmt w:val="bullet"/>
      <w:lvlText w:val="▪"/>
      <w:lvlJc w:val="left"/>
      <w:pPr>
        <w:ind w:left="4527" w:hanging="360"/>
      </w:pPr>
      <w:rPr>
        <w:rFonts w:ascii="Noto Sans Symbols" w:cs="Noto Sans Symbols" w:eastAsia="Noto Sans Symbols" w:hAnsi="Noto Sans Symbols"/>
      </w:rPr>
    </w:lvl>
    <w:lvl w:ilvl="6">
      <w:start w:val="1"/>
      <w:numFmt w:val="bullet"/>
      <w:lvlText w:val="●"/>
      <w:lvlJc w:val="left"/>
      <w:pPr>
        <w:ind w:left="5247" w:hanging="360"/>
      </w:pPr>
      <w:rPr>
        <w:rFonts w:ascii="Noto Sans Symbols" w:cs="Noto Sans Symbols" w:eastAsia="Noto Sans Symbols" w:hAnsi="Noto Sans Symbols"/>
      </w:rPr>
    </w:lvl>
    <w:lvl w:ilvl="7">
      <w:start w:val="1"/>
      <w:numFmt w:val="bullet"/>
      <w:lvlText w:val="o"/>
      <w:lvlJc w:val="left"/>
      <w:pPr>
        <w:ind w:left="5967" w:hanging="360"/>
      </w:pPr>
      <w:rPr>
        <w:rFonts w:ascii="Courier New" w:cs="Courier New" w:eastAsia="Courier New" w:hAnsi="Courier New"/>
      </w:rPr>
    </w:lvl>
    <w:lvl w:ilvl="8">
      <w:start w:val="1"/>
      <w:numFmt w:val="bullet"/>
      <w:lvlText w:val="▪"/>
      <w:lvlJc w:val="left"/>
      <w:pPr>
        <w:ind w:left="6687"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bCs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bCs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bCs w:val="1"/>
      <w:i w:val="1"/>
      <w:iCs w:val="1"/>
      <w:sz w:val="26"/>
      <w:szCs w:val="26"/>
    </w:rPr>
  </w:style>
  <w:style w:type="paragraph" w:styleId="Heading6">
    <w:name w:val="heading 6"/>
    <w:basedOn w:val="Normal"/>
    <w:next w:val="Normal"/>
    <w:pPr>
      <w:spacing w:after="60" w:before="240" w:lineRule="auto"/>
      <w:ind w:left="4320" w:hanging="720"/>
    </w:pPr>
    <w:rPr>
      <w:b w:val="1"/>
      <w:bCs w:val="1"/>
      <w:sz w:val="22"/>
      <w:szCs w:val="22"/>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https://www.indetec.gob.mx/delivery?srv=0&amp;sl=3&amp;path=/biblioteca/Especiales/386_Glosario_Terminos_Proceso_Planeac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sWClTWyrwXbO2JUQwkk8pIAFUg==">CgMxLjAyDmgubjExNmFwbWRwYmJjMgloLjNkeTZ2a20yCWguMzBqMHpsbDIJaC4yczhleW8xMghoLnR5amN3dDIJaC4zem55c2g3MgloLjJldDkycDAyCWguMTdkcDh2dTIJaC4xZm9iOXRlMghoLmxueGJ6OTIJaC4zcmRjcmpuMgloLjF0M2g1c2Y4AHIhMWpKSU5TQUR0M3hXRWVxVFRjWENfTDF3dl8yWHhTWnR1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