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134AB" w14:textId="19D71621" w:rsidR="009338B5" w:rsidRPr="00C043AF" w:rsidRDefault="00E0628C" w:rsidP="00EE5803">
      <w:pPr>
        <w:spacing w:after="0" w:line="360" w:lineRule="auto"/>
        <w:ind w:right="49"/>
        <w:jc w:val="both"/>
        <w:rPr>
          <w:rFonts w:ascii="Palatino Linotype" w:eastAsia="Palatino Linotype" w:hAnsi="Palatino Linotype" w:cs="Palatino Linotype"/>
        </w:rPr>
      </w:pPr>
      <w:bookmarkStart w:id="0" w:name="_GoBack"/>
      <w:bookmarkEnd w:id="0"/>
      <w:r w:rsidRPr="00C043A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C4A94" w:rsidRPr="00C043AF">
        <w:rPr>
          <w:rFonts w:ascii="Palatino Linotype" w:eastAsia="Palatino Linotype" w:hAnsi="Palatino Linotype" w:cs="Palatino Linotype"/>
        </w:rPr>
        <w:t xml:space="preserve">veinticinco </w:t>
      </w:r>
      <w:r w:rsidR="005E16E7" w:rsidRPr="00C043AF">
        <w:rPr>
          <w:rFonts w:ascii="Palatino Linotype" w:eastAsia="Palatino Linotype" w:hAnsi="Palatino Linotype" w:cs="Palatino Linotype"/>
        </w:rPr>
        <w:t>de marzo</w:t>
      </w:r>
      <w:r w:rsidR="000C4A94" w:rsidRPr="00C043AF">
        <w:rPr>
          <w:rFonts w:ascii="Palatino Linotype" w:eastAsia="Palatino Linotype" w:hAnsi="Palatino Linotype" w:cs="Palatino Linotype"/>
        </w:rPr>
        <w:t xml:space="preserve"> de dos mil veintiséis</w:t>
      </w:r>
      <w:r w:rsidRPr="00C043AF">
        <w:rPr>
          <w:rFonts w:ascii="Palatino Linotype" w:eastAsia="Palatino Linotype" w:hAnsi="Palatino Linotype" w:cs="Palatino Linotype"/>
        </w:rPr>
        <w:t xml:space="preserve">. </w:t>
      </w:r>
    </w:p>
    <w:p w14:paraId="732E6F57" w14:textId="77777777" w:rsidR="009338B5" w:rsidRPr="00C043AF" w:rsidRDefault="009338B5" w:rsidP="00EE5803">
      <w:pPr>
        <w:spacing w:after="0" w:line="360" w:lineRule="auto"/>
        <w:ind w:right="49"/>
        <w:jc w:val="center"/>
        <w:rPr>
          <w:rFonts w:ascii="Palatino Linotype" w:eastAsia="Palatino Linotype" w:hAnsi="Palatino Linotype" w:cs="Palatino Linotype"/>
        </w:rPr>
      </w:pPr>
    </w:p>
    <w:p w14:paraId="57725A1C" w14:textId="375E1527" w:rsidR="009338B5" w:rsidRPr="00C043AF" w:rsidRDefault="00E0628C"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Visto el expediente relativo al recurso de revisión </w:t>
      </w:r>
      <w:r w:rsidR="002E6B9C" w:rsidRPr="00C043AF">
        <w:rPr>
          <w:rFonts w:ascii="Palatino Linotype" w:eastAsia="Palatino Linotype" w:hAnsi="Palatino Linotype" w:cs="Palatino Linotype"/>
          <w:b/>
        </w:rPr>
        <w:t>11774</w:t>
      </w:r>
      <w:r w:rsidR="005A5FFF" w:rsidRPr="00C043AF">
        <w:rPr>
          <w:rFonts w:ascii="Palatino Linotype" w:eastAsia="Palatino Linotype" w:hAnsi="Palatino Linotype" w:cs="Palatino Linotype"/>
          <w:b/>
        </w:rPr>
        <w:t>/INFOEM/IP/RR/2025</w:t>
      </w:r>
      <w:r w:rsidRPr="00C043AF">
        <w:rPr>
          <w:rFonts w:ascii="Palatino Linotype" w:eastAsia="Palatino Linotype" w:hAnsi="Palatino Linotype" w:cs="Palatino Linotype"/>
        </w:rPr>
        <w:t xml:space="preserve">, interpuesto por </w:t>
      </w:r>
      <w:r w:rsidR="005A5FFF" w:rsidRPr="00C043AF">
        <w:rPr>
          <w:rFonts w:ascii="Palatino Linotype" w:eastAsia="Palatino Linotype" w:hAnsi="Palatino Linotype" w:cs="Palatino Linotype"/>
          <w:b/>
        </w:rPr>
        <w:t>una persona usuaria del Sistema de Acceso a la Información Mexiquense</w:t>
      </w:r>
      <w:r w:rsidRPr="00C043AF">
        <w:rPr>
          <w:rFonts w:ascii="Palatino Linotype" w:eastAsia="Palatino Linotype" w:hAnsi="Palatino Linotype" w:cs="Palatino Linotype"/>
        </w:rPr>
        <w:t xml:space="preserve">, al cual en lo sucesivo se le denominará la parte </w:t>
      </w:r>
      <w:r w:rsidR="006C1777" w:rsidRPr="00C043AF">
        <w:rPr>
          <w:rFonts w:ascii="Palatino Linotype" w:eastAsia="Palatino Linotype" w:hAnsi="Palatino Linotype" w:cs="Palatino Linotype"/>
          <w:b/>
        </w:rPr>
        <w:t>Recurrente</w:t>
      </w:r>
      <w:r w:rsidRPr="00C043AF">
        <w:rPr>
          <w:rFonts w:ascii="Palatino Linotype" w:eastAsia="Palatino Linotype" w:hAnsi="Palatino Linotype" w:cs="Palatino Linotype"/>
        </w:rPr>
        <w:t xml:space="preserve">, en contra de </w:t>
      </w:r>
      <w:r w:rsidR="00345D87" w:rsidRPr="00C043AF">
        <w:rPr>
          <w:rFonts w:ascii="Palatino Linotype" w:eastAsia="Palatino Linotype" w:hAnsi="Palatino Linotype" w:cs="Palatino Linotype"/>
        </w:rPr>
        <w:t>la</w:t>
      </w:r>
      <w:r w:rsidR="009A351A" w:rsidRPr="00C043AF">
        <w:rPr>
          <w:rFonts w:ascii="Palatino Linotype" w:eastAsia="Palatino Linotype" w:hAnsi="Palatino Linotype" w:cs="Palatino Linotype"/>
        </w:rPr>
        <w:t xml:space="preserve"> </w:t>
      </w:r>
      <w:r w:rsidRPr="00C043AF">
        <w:rPr>
          <w:rFonts w:ascii="Palatino Linotype" w:eastAsia="Palatino Linotype" w:hAnsi="Palatino Linotype" w:cs="Palatino Linotype"/>
        </w:rPr>
        <w:t xml:space="preserve">respuesta a su solicitud de información identificada con número de folio </w:t>
      </w:r>
      <w:r w:rsidR="002E6B9C" w:rsidRPr="00C043AF">
        <w:rPr>
          <w:rFonts w:ascii="Palatino Linotype" w:eastAsia="Palatino Linotype" w:hAnsi="Palatino Linotype" w:cs="Palatino Linotype"/>
          <w:b/>
        </w:rPr>
        <w:t>04632/TOLUCA/IP/2025</w:t>
      </w:r>
      <w:r w:rsidR="005E16E7" w:rsidRPr="00C043AF">
        <w:rPr>
          <w:rFonts w:ascii="Palatino Linotype" w:eastAsia="Palatino Linotype" w:hAnsi="Palatino Linotype" w:cs="Palatino Linotype"/>
        </w:rPr>
        <w:t xml:space="preserve"> proporcionada por parte del Ayuntamiento de Toluca</w:t>
      </w:r>
      <w:r w:rsidRPr="00C043AF">
        <w:rPr>
          <w:rFonts w:ascii="Palatino Linotype" w:eastAsia="Palatino Linotype" w:hAnsi="Palatino Linotype" w:cs="Palatino Linotype"/>
        </w:rPr>
        <w:t xml:space="preserve">, en lo sucesivo el </w:t>
      </w:r>
      <w:r w:rsidR="006C1777"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se procede a dictar la presente resolución, con base en los siguientes:</w:t>
      </w:r>
    </w:p>
    <w:p w14:paraId="58F7C79A" w14:textId="77777777" w:rsidR="009338B5" w:rsidRPr="00C043AF" w:rsidRDefault="009338B5" w:rsidP="00EE5803">
      <w:pPr>
        <w:spacing w:after="0" w:line="360" w:lineRule="auto"/>
        <w:ind w:right="49"/>
        <w:jc w:val="both"/>
        <w:rPr>
          <w:rFonts w:ascii="Palatino Linotype" w:eastAsia="Palatino Linotype" w:hAnsi="Palatino Linotype" w:cs="Palatino Linotype"/>
        </w:rPr>
      </w:pPr>
    </w:p>
    <w:p w14:paraId="34B13A36" w14:textId="77777777" w:rsidR="009338B5" w:rsidRPr="00C043AF" w:rsidRDefault="00E0628C" w:rsidP="00EE5803">
      <w:pPr>
        <w:spacing w:after="0" w:line="360" w:lineRule="auto"/>
        <w:ind w:right="49"/>
        <w:jc w:val="center"/>
        <w:rPr>
          <w:rFonts w:ascii="Palatino Linotype" w:eastAsia="Palatino Linotype" w:hAnsi="Palatino Linotype" w:cs="Palatino Linotype"/>
          <w:b/>
        </w:rPr>
      </w:pPr>
      <w:r w:rsidRPr="00C043AF">
        <w:rPr>
          <w:rFonts w:ascii="Palatino Linotype" w:eastAsia="Palatino Linotype" w:hAnsi="Palatino Linotype" w:cs="Palatino Linotype"/>
          <w:b/>
        </w:rPr>
        <w:t>I.</w:t>
      </w:r>
      <w:r w:rsidRPr="00C043AF">
        <w:rPr>
          <w:rFonts w:ascii="Palatino Linotype" w:eastAsia="Palatino Linotype" w:hAnsi="Palatino Linotype" w:cs="Palatino Linotype"/>
          <w:b/>
        </w:rPr>
        <w:tab/>
        <w:t>A N T E C E D E N T E S</w:t>
      </w:r>
    </w:p>
    <w:p w14:paraId="0E12E63D" w14:textId="77777777" w:rsidR="009338B5" w:rsidRPr="00C043AF" w:rsidRDefault="009338B5" w:rsidP="00EE5803">
      <w:pPr>
        <w:spacing w:after="0" w:line="360" w:lineRule="auto"/>
        <w:ind w:right="49"/>
        <w:jc w:val="both"/>
        <w:rPr>
          <w:rFonts w:ascii="Palatino Linotype" w:eastAsia="Palatino Linotype" w:hAnsi="Palatino Linotype" w:cs="Palatino Linotype"/>
        </w:rPr>
      </w:pPr>
    </w:p>
    <w:p w14:paraId="0617639E" w14:textId="5B9E9718" w:rsidR="009338B5" w:rsidRPr="00C043AF" w:rsidRDefault="00E0628C"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rPr>
        <w:t>Solicitud de acceso a la información.</w:t>
      </w:r>
      <w:r w:rsidR="00182F1C" w:rsidRPr="00C043AF">
        <w:rPr>
          <w:rFonts w:ascii="Palatino Linotype" w:eastAsia="Palatino Linotype" w:hAnsi="Palatino Linotype" w:cs="Palatino Linotype"/>
        </w:rPr>
        <w:t xml:space="preserve"> Con fecha </w:t>
      </w:r>
      <w:r w:rsidR="002E6B9C" w:rsidRPr="00C043AF">
        <w:rPr>
          <w:rFonts w:ascii="Palatino Linotype" w:eastAsia="Palatino Linotype" w:hAnsi="Palatino Linotype" w:cs="Palatino Linotype"/>
          <w:b/>
        </w:rPr>
        <w:t>doce de septiembre de dos mil veinticinco</w:t>
      </w:r>
      <w:r w:rsidR="00182F1C" w:rsidRPr="00C043AF">
        <w:rPr>
          <w:rFonts w:ascii="Palatino Linotype" w:eastAsia="Palatino Linotype" w:hAnsi="Palatino Linotype" w:cs="Palatino Linotype"/>
          <w:b/>
        </w:rPr>
        <w:t>,</w:t>
      </w:r>
      <w:r w:rsidR="00182F1C" w:rsidRPr="00C043AF">
        <w:rPr>
          <w:rFonts w:ascii="Palatino Linotype" w:eastAsia="Palatino Linotype" w:hAnsi="Palatino Linotype" w:cs="Palatino Linotype"/>
        </w:rPr>
        <w:t xml:space="preserve"> </w:t>
      </w:r>
      <w:r w:rsidR="00DF5F4D" w:rsidRPr="00C043AF">
        <w:rPr>
          <w:rFonts w:ascii="Palatino Linotype" w:eastAsia="Palatino Linotype" w:hAnsi="Palatino Linotype" w:cs="Palatino Linotype"/>
        </w:rPr>
        <w:t xml:space="preserve">la parte </w:t>
      </w:r>
      <w:r w:rsidR="00182F1C" w:rsidRPr="00C043AF">
        <w:rPr>
          <w:rFonts w:ascii="Palatino Linotype" w:eastAsia="Palatino Linotype" w:hAnsi="Palatino Linotype" w:cs="Palatino Linotype"/>
          <w:b/>
        </w:rPr>
        <w:t>Recurrente</w:t>
      </w:r>
      <w:r w:rsidR="00182F1C" w:rsidRPr="00C043AF">
        <w:rPr>
          <w:rFonts w:ascii="Palatino Linotype" w:eastAsia="Palatino Linotype" w:hAnsi="Palatino Linotype" w:cs="Palatino Linotype"/>
        </w:rPr>
        <w:t xml:space="preserve"> formuló una solicitud; </w:t>
      </w:r>
      <w:r w:rsidR="00DF5F4D" w:rsidRPr="00C043AF">
        <w:rPr>
          <w:rFonts w:ascii="Palatino Linotype" w:eastAsia="Palatino Linotype" w:hAnsi="Palatino Linotype" w:cs="Palatino Linotype"/>
        </w:rPr>
        <w:t xml:space="preserve">a </w:t>
      </w:r>
      <w:r w:rsidR="00182F1C" w:rsidRPr="00C043AF">
        <w:rPr>
          <w:rFonts w:ascii="Palatino Linotype" w:eastAsia="Palatino Linotype" w:hAnsi="Palatino Linotype" w:cs="Palatino Linotype"/>
        </w:rPr>
        <w:t xml:space="preserve">través del Sistema de Acceso a la Información Mexiquense, en lo subsecuente el SAIMEX, ante el </w:t>
      </w:r>
      <w:r w:rsidR="00DF5F4D" w:rsidRPr="00C043AF">
        <w:rPr>
          <w:rFonts w:ascii="Palatino Linotype" w:eastAsia="Palatino Linotype" w:hAnsi="Palatino Linotype" w:cs="Palatino Linotype"/>
          <w:b/>
        </w:rPr>
        <w:t>Sujeto Obligado</w:t>
      </w:r>
      <w:r w:rsidR="00182F1C" w:rsidRPr="00C043AF">
        <w:rPr>
          <w:rFonts w:ascii="Palatino Linotype" w:eastAsia="Palatino Linotype" w:hAnsi="Palatino Linotype" w:cs="Palatino Linotype"/>
        </w:rPr>
        <w:t xml:space="preserve">, la solicitud de acceso a la información pública, a la que se le asignó el número </w:t>
      </w:r>
      <w:r w:rsidR="00DF5F4D" w:rsidRPr="00C043AF">
        <w:rPr>
          <w:rFonts w:ascii="Palatino Linotype" w:eastAsia="Palatino Linotype" w:hAnsi="Palatino Linotype" w:cs="Palatino Linotype"/>
          <w:b/>
        </w:rPr>
        <w:t>04632/TOLUCA/IP/2025</w:t>
      </w:r>
      <w:r w:rsidR="00182F1C" w:rsidRPr="00C043AF">
        <w:rPr>
          <w:rFonts w:ascii="Palatino Linotype" w:eastAsia="Palatino Linotype" w:hAnsi="Palatino Linotype" w:cs="Palatino Linotype"/>
        </w:rPr>
        <w:t>, mediante la cual requirió la información siguiente:</w:t>
      </w:r>
      <w:r w:rsidRPr="00C043AF">
        <w:rPr>
          <w:rFonts w:ascii="Palatino Linotype" w:eastAsia="Palatino Linotype" w:hAnsi="Palatino Linotype" w:cs="Palatino Linotype"/>
        </w:rPr>
        <w:t xml:space="preserve"> </w:t>
      </w:r>
    </w:p>
    <w:p w14:paraId="4A555361" w14:textId="77777777" w:rsidR="009338B5" w:rsidRPr="00C043AF" w:rsidRDefault="009338B5"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6C85CE" w14:textId="0065E73C" w:rsidR="009338B5" w:rsidRPr="00C043AF" w:rsidRDefault="005A5FFF" w:rsidP="00EE5803">
      <w:pPr>
        <w:spacing w:after="0" w:line="276" w:lineRule="auto"/>
        <w:ind w:left="851" w:right="985"/>
        <w:jc w:val="both"/>
        <w:rPr>
          <w:rFonts w:ascii="Palatino Linotype" w:eastAsia="Palatino Linotype" w:hAnsi="Palatino Linotype" w:cs="Palatino Linotype"/>
          <w:i/>
        </w:rPr>
      </w:pPr>
      <w:bookmarkStart w:id="1" w:name="_heading=h.30j0zll" w:colFirst="0" w:colLast="0"/>
      <w:bookmarkEnd w:id="1"/>
      <w:r w:rsidRPr="00C043AF">
        <w:rPr>
          <w:rFonts w:ascii="Palatino Linotype" w:eastAsia="Palatino Linotype" w:hAnsi="Palatino Linotype" w:cs="Palatino Linotype"/>
          <w:i/>
        </w:rPr>
        <w:t>“</w:t>
      </w:r>
      <w:r w:rsidR="00DF5F4D" w:rsidRPr="00C043AF">
        <w:rPr>
          <w:rFonts w:ascii="Palatino Linotype" w:eastAsia="Palatino Linotype" w:hAnsi="Palatino Linotype" w:cs="Palatino Linotype"/>
          <w:i/>
        </w:rPr>
        <w:t>Los estados de Cuenta del Ayuntamiento de todas las cuentas bancarias vigente del mes de julio 2025.</w:t>
      </w:r>
      <w:r w:rsidR="00E0628C" w:rsidRPr="00C043AF">
        <w:rPr>
          <w:rFonts w:ascii="Palatino Linotype" w:eastAsia="Palatino Linotype" w:hAnsi="Palatino Linotype" w:cs="Palatino Linotype"/>
          <w:i/>
        </w:rPr>
        <w:t>”</w:t>
      </w:r>
    </w:p>
    <w:p w14:paraId="4C561A4F" w14:textId="77777777" w:rsidR="009338B5" w:rsidRPr="00C043AF" w:rsidRDefault="009338B5" w:rsidP="00EE5803">
      <w:pPr>
        <w:spacing w:after="0" w:line="360" w:lineRule="auto"/>
        <w:ind w:left="567" w:right="560"/>
        <w:jc w:val="both"/>
        <w:rPr>
          <w:rFonts w:ascii="Palatino Linotype" w:eastAsia="Palatino Linotype" w:hAnsi="Palatino Linotype" w:cs="Palatino Linotype"/>
          <w:i/>
        </w:rPr>
      </w:pPr>
    </w:p>
    <w:p w14:paraId="2BECFED4" w14:textId="19620023" w:rsidR="005E16E7" w:rsidRPr="00C043AF" w:rsidRDefault="00E0628C"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b/>
        </w:rPr>
        <w:t>Modalidad elegida para la entrega de la información:</w:t>
      </w:r>
      <w:r w:rsidRPr="00C043AF">
        <w:rPr>
          <w:rFonts w:ascii="Palatino Linotype" w:eastAsia="Palatino Linotype" w:hAnsi="Palatino Linotype" w:cs="Palatino Linotype"/>
        </w:rPr>
        <w:t xml:space="preserve"> a través del Sistema de Acceso a la Información Mexiquense (SAIMEX). </w:t>
      </w:r>
    </w:p>
    <w:p w14:paraId="612BF74A" w14:textId="77777777" w:rsidR="00DF5F4D" w:rsidRPr="00C043AF" w:rsidRDefault="00DF5F4D" w:rsidP="00EE5803">
      <w:pPr>
        <w:spacing w:after="0" w:line="360" w:lineRule="auto"/>
        <w:ind w:right="49"/>
        <w:jc w:val="both"/>
        <w:rPr>
          <w:rFonts w:ascii="Palatino Linotype" w:eastAsia="Palatino Linotype" w:hAnsi="Palatino Linotype" w:cs="Palatino Linotype"/>
        </w:rPr>
      </w:pPr>
    </w:p>
    <w:p w14:paraId="38A8E71F" w14:textId="16E80AEC" w:rsidR="009338B5" w:rsidRPr="00C043AF" w:rsidRDefault="00E0628C"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rPr>
        <w:lastRenderedPageBreak/>
        <w:t>Respuesta.</w:t>
      </w:r>
      <w:r w:rsidRPr="00C043AF">
        <w:rPr>
          <w:rFonts w:ascii="Palatino Linotype" w:eastAsia="Palatino Linotype" w:hAnsi="Palatino Linotype" w:cs="Palatino Linotype"/>
        </w:rPr>
        <w:t xml:space="preserve"> </w:t>
      </w:r>
      <w:r w:rsidR="00DF5F4D" w:rsidRPr="00C043AF">
        <w:rPr>
          <w:rFonts w:ascii="Palatino Linotype" w:eastAsia="Palatino Linotype" w:hAnsi="Palatino Linotype" w:cs="Palatino Linotype"/>
        </w:rPr>
        <w:t xml:space="preserve">El </w:t>
      </w:r>
      <w:r w:rsidR="00DF5F4D" w:rsidRPr="00C043AF">
        <w:rPr>
          <w:rFonts w:ascii="Palatino Linotype" w:eastAsia="Palatino Linotype" w:hAnsi="Palatino Linotype" w:cs="Palatino Linotype"/>
          <w:b/>
        </w:rPr>
        <w:t>veinticuatro de septiembre de dos mil veinticinco</w:t>
      </w:r>
      <w:r w:rsidR="00DF5F4D" w:rsidRPr="00C043AF">
        <w:rPr>
          <w:rFonts w:ascii="Palatino Linotype" w:eastAsia="Palatino Linotype" w:hAnsi="Palatino Linotype" w:cs="Palatino Linotype"/>
        </w:rPr>
        <w:t xml:space="preserve">, el </w:t>
      </w:r>
      <w:r w:rsidR="00DF5F4D" w:rsidRPr="00C043AF">
        <w:rPr>
          <w:rFonts w:ascii="Palatino Linotype" w:eastAsia="Palatino Linotype" w:hAnsi="Palatino Linotype" w:cs="Palatino Linotype"/>
          <w:b/>
        </w:rPr>
        <w:t>Sujeto Obligado</w:t>
      </w:r>
      <w:r w:rsidR="00DF5F4D" w:rsidRPr="00C043AF">
        <w:rPr>
          <w:rFonts w:ascii="Palatino Linotype" w:eastAsia="Palatino Linotype" w:hAnsi="Palatino Linotype" w:cs="Palatino Linotype"/>
        </w:rPr>
        <w:t xml:space="preserve"> respondió a la solicitud de acceso a la información en los términos siguientes: </w:t>
      </w:r>
    </w:p>
    <w:p w14:paraId="5EF7B1EF" w14:textId="77777777" w:rsidR="00DF5F4D" w:rsidRPr="00C043AF" w:rsidRDefault="00DF5F4D"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BED218E" w14:textId="77777777" w:rsidR="00DF5F4D" w:rsidRPr="00C043AF" w:rsidRDefault="00DF5F4D" w:rsidP="00EE5803">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2D44A4" w14:textId="77777777" w:rsidR="00DF5F4D" w:rsidRPr="00C043AF" w:rsidRDefault="00DF5F4D" w:rsidP="00EE5803">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En atención a la solicitud con folio 04632/TOLUCA/IP/2025, me permito adjuntar al presente la respuesta correspondiente, Sin más por el momento, reciba un saludo.</w:t>
      </w:r>
    </w:p>
    <w:p w14:paraId="7AAF0B63" w14:textId="77777777" w:rsidR="00DF5F4D" w:rsidRPr="00C043AF" w:rsidRDefault="00DF5F4D" w:rsidP="00EE5803">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ATENTAMENTE</w:t>
      </w:r>
    </w:p>
    <w:p w14:paraId="5F72127C" w14:textId="3AA0B3E5" w:rsidR="00DF5F4D" w:rsidRPr="00C043AF" w:rsidRDefault="00DF5F4D" w:rsidP="00EE5803">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Dr. Nahum Miguel Mendoza Morales”</w:t>
      </w:r>
    </w:p>
    <w:p w14:paraId="363C1822" w14:textId="77777777" w:rsidR="00DF5F4D" w:rsidRPr="00C043AF" w:rsidRDefault="00DF5F4D"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0086029B" w14:textId="409E574A" w:rsidR="00C05B23" w:rsidRPr="00C043AF" w:rsidRDefault="00DF5F4D"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Adjuntando a su respuesta el archivo electrónico denominado </w:t>
      </w:r>
      <w:r w:rsidRPr="00C043AF">
        <w:rPr>
          <w:rFonts w:ascii="Palatino Linotype" w:eastAsia="Palatino Linotype" w:hAnsi="Palatino Linotype" w:cs="Palatino Linotype"/>
          <w:b/>
          <w:i/>
        </w:rPr>
        <w:t>“4632.pdf”</w:t>
      </w:r>
      <w:r w:rsidRPr="00C043AF">
        <w:rPr>
          <w:rFonts w:ascii="Palatino Linotype" w:eastAsia="Palatino Linotype" w:hAnsi="Palatino Linotype" w:cs="Palatino Linotype"/>
        </w:rPr>
        <w:t xml:space="preserve">, el cual contiene el oficio número 202010000/04632/2025, </w:t>
      </w:r>
      <w:r w:rsidR="00C05B23" w:rsidRPr="00C043AF">
        <w:rPr>
          <w:rFonts w:ascii="Palatino Linotype" w:eastAsia="Palatino Linotype" w:hAnsi="Palatino Linotype" w:cs="Palatino Linotype"/>
        </w:rPr>
        <w:t>de fecha veinticuatro de septiembre de dos mil veinticinco, suscrito por el Tesorero Municipal, en el que informó que los documentos solicitados, forman parte de la integración del tercer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 En este sentido, informó la entrega del Acuerdo 7/2025 publicado por el OSFEM por el que se emiten los lineamientos, fechas de capacitación y calendarización para la integración y presentación de los informes trimestrales estatales y municipales, establecidos en el anexo 1 de este Acuerdo, del ejercicio fiscal 2025.</w:t>
      </w:r>
    </w:p>
    <w:p w14:paraId="15878C8D" w14:textId="77777777" w:rsidR="00C05B23" w:rsidRPr="00C043AF" w:rsidRDefault="00C05B23"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AC02D3" w14:textId="50F82340" w:rsidR="00182F1C" w:rsidRPr="00C043AF" w:rsidRDefault="00C05B23"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Asimismo, se anexa el link directo de la página oficial del Órgano Superior de Fiscalización del Estado de México, en el apartado de Lineamientos, componentes informes trimestrales, Acuerdo 7/2025: </w:t>
      </w:r>
      <w:hyperlink r:id="rId9" w:history="1">
        <w:r w:rsidRPr="00C043AF">
          <w:rPr>
            <w:rStyle w:val="Hipervnculo"/>
            <w:rFonts w:ascii="Palatino Linotype" w:eastAsia="Palatino Linotype" w:hAnsi="Palatino Linotype" w:cs="Palatino Linotype"/>
            <w:color w:val="auto"/>
          </w:rPr>
          <w:t xml:space="preserve">https://www.osfem.gob.mx/assets/conocenos/marco </w:t>
        </w:r>
        <w:r w:rsidRPr="00C043AF">
          <w:rPr>
            <w:rStyle w:val="Hipervnculo"/>
            <w:rFonts w:ascii="Palatino Linotype" w:eastAsia="Palatino Linotype" w:hAnsi="Palatino Linotype" w:cs="Palatino Linotype"/>
            <w:color w:val="auto"/>
          </w:rPr>
          <w:lastRenderedPageBreak/>
          <w:t>normativo/acuerdos/2025/acuerdo 07 2025.pdf</w:t>
        </w:r>
      </w:hyperlink>
      <w:r w:rsidRPr="00C043AF">
        <w:rPr>
          <w:rFonts w:ascii="Palatino Linotype" w:eastAsia="Palatino Linotype" w:hAnsi="Palatino Linotype" w:cs="Palatino Linotype"/>
        </w:rPr>
        <w:t xml:space="preserve"> </w:t>
      </w:r>
      <w:r w:rsidRPr="00C043AF">
        <w:rPr>
          <w:rFonts w:ascii="Palatino Linotype" w:eastAsia="Palatino Linotype" w:hAnsi="Palatino Linotype" w:cs="Palatino Linotype"/>
        </w:rPr>
        <w:cr/>
      </w:r>
    </w:p>
    <w:p w14:paraId="42B77258" w14:textId="41ACDDFC" w:rsidR="009338B5" w:rsidRPr="00C043AF" w:rsidRDefault="00E0628C"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rPr>
        <w:t xml:space="preserve">Recurso de Revisión. </w:t>
      </w:r>
      <w:r w:rsidRPr="00C043AF">
        <w:rPr>
          <w:rFonts w:ascii="Palatino Linotype" w:eastAsia="Palatino Linotype" w:hAnsi="Palatino Linotype" w:cs="Palatino Linotype"/>
        </w:rPr>
        <w:t xml:space="preserve">La persona solicitante, derivado de </w:t>
      </w:r>
      <w:r w:rsidR="00345D87" w:rsidRPr="00C043AF">
        <w:rPr>
          <w:rFonts w:ascii="Palatino Linotype" w:eastAsia="Palatino Linotype" w:hAnsi="Palatino Linotype" w:cs="Palatino Linotype"/>
        </w:rPr>
        <w:t>la</w:t>
      </w:r>
      <w:r w:rsidR="009A351A" w:rsidRPr="00C043AF">
        <w:rPr>
          <w:rFonts w:ascii="Palatino Linotype" w:eastAsia="Palatino Linotype" w:hAnsi="Palatino Linotype" w:cs="Palatino Linotype"/>
        </w:rPr>
        <w:t xml:space="preserve"> </w:t>
      </w:r>
      <w:r w:rsidRPr="00C043AF">
        <w:rPr>
          <w:rFonts w:ascii="Palatino Linotype" w:eastAsia="Palatino Linotype" w:hAnsi="Palatino Linotype" w:cs="Palatino Linotype"/>
        </w:rPr>
        <w:t xml:space="preserve">respuesta del </w:t>
      </w:r>
      <w:r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xml:space="preserve"> interpuso Recurso de Revisión a través del </w:t>
      </w:r>
      <w:r w:rsidRPr="00C043AF">
        <w:rPr>
          <w:rFonts w:ascii="Palatino Linotype" w:eastAsia="Palatino Linotype" w:hAnsi="Palatino Linotype" w:cs="Palatino Linotype"/>
          <w:b/>
        </w:rPr>
        <w:t>SAIMEX</w:t>
      </w:r>
      <w:r w:rsidRPr="00C043AF">
        <w:rPr>
          <w:rFonts w:ascii="Palatino Linotype" w:eastAsia="Palatino Linotype" w:hAnsi="Palatino Linotype" w:cs="Palatino Linotype"/>
        </w:rPr>
        <w:t xml:space="preserve"> en fecha </w:t>
      </w:r>
      <w:r w:rsidR="00C05B23" w:rsidRPr="00C043AF">
        <w:rPr>
          <w:rFonts w:ascii="Palatino Linotype" w:eastAsia="Palatino Linotype" w:hAnsi="Palatino Linotype" w:cs="Palatino Linotype"/>
          <w:b/>
        </w:rPr>
        <w:t xml:space="preserve">trece de octubre </w:t>
      </w:r>
      <w:r w:rsidR="005E16E7" w:rsidRPr="00C043AF">
        <w:rPr>
          <w:rFonts w:ascii="Palatino Linotype" w:eastAsia="Palatino Linotype" w:hAnsi="Palatino Linotype" w:cs="Palatino Linotype"/>
          <w:b/>
        </w:rPr>
        <w:t>de dos mil veinticinco</w:t>
      </w:r>
      <w:r w:rsidRPr="00C043AF">
        <w:rPr>
          <w:rFonts w:ascii="Palatino Linotype" w:eastAsia="Palatino Linotype" w:hAnsi="Palatino Linotype" w:cs="Palatino Linotype"/>
        </w:rPr>
        <w:t>, a través del cual expresó lo siguiente:</w:t>
      </w:r>
    </w:p>
    <w:p w14:paraId="12AA6AE5" w14:textId="77777777" w:rsidR="0004412B" w:rsidRPr="00C043AF" w:rsidRDefault="0004412B"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D38D43" w14:textId="5E81A23E" w:rsidR="009338B5" w:rsidRPr="00C043AF" w:rsidRDefault="00E0628C" w:rsidP="00782FF6">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b/>
        </w:rPr>
      </w:pPr>
      <w:r w:rsidRPr="00C043AF">
        <w:rPr>
          <w:rFonts w:ascii="Palatino Linotype" w:eastAsia="Palatino Linotype" w:hAnsi="Palatino Linotype" w:cs="Palatino Linotype"/>
          <w:b/>
        </w:rPr>
        <w:t xml:space="preserve">Acto impugnado. </w:t>
      </w:r>
      <w:r w:rsidRPr="00C043AF">
        <w:rPr>
          <w:rFonts w:ascii="Palatino Linotype" w:eastAsia="Palatino Linotype" w:hAnsi="Palatino Linotype" w:cs="Palatino Linotype"/>
          <w:i/>
        </w:rPr>
        <w:t>“</w:t>
      </w:r>
      <w:r w:rsidR="00C05B23" w:rsidRPr="00C043AF">
        <w:rPr>
          <w:rFonts w:ascii="Palatino Linotype" w:eastAsia="Palatino Linotype" w:hAnsi="Palatino Linotype" w:cs="Palatino Linotype"/>
          <w:i/>
        </w:rPr>
        <w:t xml:space="preserve">No entregaron la información solicitada que se entregue por </w:t>
      </w:r>
      <w:proofErr w:type="spellStart"/>
      <w:r w:rsidR="00C05B23" w:rsidRPr="00C043AF">
        <w:rPr>
          <w:rFonts w:ascii="Palatino Linotype" w:eastAsia="Palatino Linotype" w:hAnsi="Palatino Linotype" w:cs="Palatino Linotype"/>
          <w:i/>
        </w:rPr>
        <w:t>saimex</w:t>
      </w:r>
      <w:proofErr w:type="spellEnd"/>
      <w:r w:rsidRPr="00C043AF">
        <w:rPr>
          <w:rFonts w:ascii="Palatino Linotype" w:eastAsia="Palatino Linotype" w:hAnsi="Palatino Linotype" w:cs="Palatino Linotype"/>
          <w:i/>
        </w:rPr>
        <w:t>”.</w:t>
      </w:r>
    </w:p>
    <w:p w14:paraId="04DF146B" w14:textId="77777777" w:rsidR="009338B5" w:rsidRPr="00C043AF" w:rsidRDefault="009338B5" w:rsidP="00782FF6">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b/>
        </w:rPr>
      </w:pPr>
    </w:p>
    <w:p w14:paraId="7D1EEE83" w14:textId="2635DDC2" w:rsidR="009338B5" w:rsidRPr="00C043AF" w:rsidRDefault="00E0628C" w:rsidP="00782FF6">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b/>
          <w:i/>
        </w:rPr>
      </w:pPr>
      <w:r w:rsidRPr="00C043AF">
        <w:rPr>
          <w:rFonts w:ascii="Palatino Linotype" w:eastAsia="Palatino Linotype" w:hAnsi="Palatino Linotype" w:cs="Palatino Linotype"/>
          <w:b/>
        </w:rPr>
        <w:t xml:space="preserve">Razones o motivos de la inconformidad: </w:t>
      </w:r>
      <w:r w:rsidRPr="00C043AF">
        <w:rPr>
          <w:rFonts w:ascii="Palatino Linotype" w:eastAsia="Palatino Linotype" w:hAnsi="Palatino Linotype" w:cs="Palatino Linotype"/>
          <w:i/>
        </w:rPr>
        <w:t>“</w:t>
      </w:r>
      <w:r w:rsidR="00C05B23" w:rsidRPr="00C043AF">
        <w:rPr>
          <w:rFonts w:ascii="Palatino Linotype" w:eastAsia="Palatino Linotype" w:hAnsi="Palatino Linotype" w:cs="Palatino Linotype"/>
          <w:i/>
        </w:rPr>
        <w:t xml:space="preserve">No entregaron la información solicitada que se entregue por </w:t>
      </w:r>
      <w:proofErr w:type="spellStart"/>
      <w:r w:rsidR="00C05B23" w:rsidRPr="00C043AF">
        <w:rPr>
          <w:rFonts w:ascii="Palatino Linotype" w:eastAsia="Palatino Linotype" w:hAnsi="Palatino Linotype" w:cs="Palatino Linotype"/>
          <w:i/>
        </w:rPr>
        <w:t>saimex</w:t>
      </w:r>
      <w:proofErr w:type="spellEnd"/>
      <w:r w:rsidRPr="00C043AF">
        <w:rPr>
          <w:rFonts w:ascii="Palatino Linotype" w:eastAsia="Palatino Linotype" w:hAnsi="Palatino Linotype" w:cs="Palatino Linotype"/>
          <w:i/>
        </w:rPr>
        <w:t>”.</w:t>
      </w:r>
    </w:p>
    <w:p w14:paraId="26B106C9" w14:textId="77777777" w:rsidR="009338B5" w:rsidRPr="00C043AF" w:rsidRDefault="009338B5" w:rsidP="00EE5803">
      <w:pPr>
        <w:spacing w:after="0" w:line="360" w:lineRule="auto"/>
        <w:ind w:right="49"/>
        <w:jc w:val="both"/>
        <w:rPr>
          <w:rFonts w:ascii="Palatino Linotype" w:eastAsia="Palatino Linotype" w:hAnsi="Palatino Linotype" w:cs="Palatino Linotype"/>
        </w:rPr>
      </w:pPr>
    </w:p>
    <w:p w14:paraId="705E15C6" w14:textId="1833E400" w:rsidR="009338B5" w:rsidRPr="00C043AF" w:rsidRDefault="00E0628C"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rPr>
        <w:t>Turno.</w:t>
      </w:r>
      <w:r w:rsidRPr="00C043AF">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C05B23" w:rsidRPr="00C043AF">
        <w:rPr>
          <w:rFonts w:ascii="Palatino Linotype" w:eastAsia="Palatino Linotype" w:hAnsi="Palatino Linotype" w:cs="Palatino Linotype"/>
          <w:b/>
        </w:rPr>
        <w:t>11174</w:t>
      </w:r>
      <w:r w:rsidR="005A5FFF" w:rsidRPr="00C043AF">
        <w:rPr>
          <w:rFonts w:ascii="Palatino Linotype" w:eastAsia="Palatino Linotype" w:hAnsi="Palatino Linotype" w:cs="Palatino Linotype"/>
          <w:b/>
        </w:rPr>
        <w:t>/INFOEM/IP/RR/2025</w:t>
      </w:r>
      <w:r w:rsidRPr="00C043AF">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4763514" w14:textId="77777777" w:rsidR="009338B5" w:rsidRPr="00C043AF" w:rsidRDefault="009338B5"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DF2CB0" w14:textId="7CFC6F3D" w:rsidR="009338B5" w:rsidRPr="00C043AF" w:rsidRDefault="00E0628C"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rPr>
        <w:t>Admisión del recurso de revisión</w:t>
      </w:r>
      <w:r w:rsidRPr="00C043AF">
        <w:rPr>
          <w:rFonts w:ascii="Palatino Linotype" w:eastAsia="Palatino Linotype" w:hAnsi="Palatino Linotype" w:cs="Palatino Linotype"/>
        </w:rPr>
        <w:t xml:space="preserve">: En fecha </w:t>
      </w:r>
      <w:r w:rsidR="001C6C8A" w:rsidRPr="00C043AF">
        <w:rPr>
          <w:rFonts w:ascii="Palatino Linotype" w:eastAsia="Palatino Linotype" w:hAnsi="Palatino Linotype" w:cs="Palatino Linotype"/>
          <w:b/>
        </w:rPr>
        <w:t xml:space="preserve">dieciséis de octubre </w:t>
      </w:r>
      <w:r w:rsidR="005A5FFF" w:rsidRPr="00C043AF">
        <w:rPr>
          <w:rFonts w:ascii="Palatino Linotype" w:eastAsia="Palatino Linotype" w:hAnsi="Palatino Linotype" w:cs="Palatino Linotype"/>
          <w:b/>
        </w:rPr>
        <w:t>de dos mil veinticinco</w:t>
      </w:r>
      <w:r w:rsidRPr="00C043A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DC22F67" w14:textId="77777777" w:rsidR="005A5FFF" w:rsidRPr="00C043AF" w:rsidRDefault="005A5FFF"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A18FF6" w14:textId="531AF91D" w:rsidR="00363513" w:rsidRPr="00C043AF" w:rsidRDefault="005A5FFF"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rPr>
        <w:t>Manifestaciones</w:t>
      </w:r>
      <w:r w:rsidRPr="00C043AF">
        <w:rPr>
          <w:rFonts w:ascii="Palatino Linotype" w:eastAsia="Palatino Linotype" w:hAnsi="Palatino Linotype" w:cs="Palatino Linotype"/>
        </w:rPr>
        <w:t xml:space="preserve">. </w:t>
      </w:r>
      <w:r w:rsidR="00363513" w:rsidRPr="00C043AF">
        <w:rPr>
          <w:rFonts w:ascii="Palatino Linotype" w:eastAsia="Palatino Linotype" w:hAnsi="Palatino Linotype" w:cs="Palatino Linotype"/>
        </w:rPr>
        <w:t xml:space="preserve">En fecha </w:t>
      </w:r>
      <w:r w:rsidR="00C05B23" w:rsidRPr="00C043AF">
        <w:rPr>
          <w:rFonts w:ascii="Palatino Linotype" w:eastAsia="Palatino Linotype" w:hAnsi="Palatino Linotype" w:cs="Palatino Linotype"/>
          <w:b/>
        </w:rPr>
        <w:t xml:space="preserve">veintisiete de octubre </w:t>
      </w:r>
      <w:r w:rsidR="00363513" w:rsidRPr="00C043AF">
        <w:rPr>
          <w:rFonts w:ascii="Palatino Linotype" w:eastAsia="Palatino Linotype" w:hAnsi="Palatino Linotype" w:cs="Palatino Linotype"/>
          <w:b/>
        </w:rPr>
        <w:t>de dos mil veinticinco</w:t>
      </w:r>
      <w:r w:rsidR="00C05B23" w:rsidRPr="00C043AF">
        <w:rPr>
          <w:rFonts w:ascii="Palatino Linotype" w:eastAsia="Palatino Linotype" w:hAnsi="Palatino Linotype" w:cs="Palatino Linotype"/>
        </w:rPr>
        <w:t xml:space="preserve">, </w:t>
      </w:r>
      <w:r w:rsidR="00363513" w:rsidRPr="00C043AF">
        <w:rPr>
          <w:rFonts w:ascii="Palatino Linotype" w:eastAsia="Palatino Linotype" w:hAnsi="Palatino Linotype" w:cs="Palatino Linotype"/>
        </w:rPr>
        <w:t xml:space="preserve">el </w:t>
      </w:r>
      <w:r w:rsidR="00C05B23" w:rsidRPr="00C043AF">
        <w:rPr>
          <w:rFonts w:ascii="Palatino Linotype" w:eastAsia="Palatino Linotype" w:hAnsi="Palatino Linotype" w:cs="Palatino Linotype"/>
          <w:b/>
        </w:rPr>
        <w:t>Sujeto Obligado</w:t>
      </w:r>
      <w:r w:rsidR="00363513" w:rsidRPr="00C043AF">
        <w:rPr>
          <w:rFonts w:ascii="Palatino Linotype" w:eastAsia="Palatino Linotype" w:hAnsi="Palatino Linotype" w:cs="Palatino Linotype"/>
          <w:b/>
        </w:rPr>
        <w:t xml:space="preserve"> </w:t>
      </w:r>
      <w:r w:rsidR="00363513" w:rsidRPr="00C043AF">
        <w:rPr>
          <w:rFonts w:ascii="Palatino Linotype" w:eastAsia="Palatino Linotype" w:hAnsi="Palatino Linotype" w:cs="Palatino Linotype"/>
        </w:rPr>
        <w:t>rindió su informe justificado al tenor de lo siguiente:</w:t>
      </w:r>
    </w:p>
    <w:p w14:paraId="5A1C887D" w14:textId="77777777" w:rsidR="00363513" w:rsidRPr="00C043AF" w:rsidRDefault="00363513"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5DA5971" w14:textId="77777777" w:rsidR="004D2E76" w:rsidRPr="00C043AF" w:rsidRDefault="00363513" w:rsidP="00EE5803">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Oficio de fecha </w:t>
      </w:r>
      <w:r w:rsidR="004D2E76" w:rsidRPr="00C043AF">
        <w:rPr>
          <w:rFonts w:ascii="Palatino Linotype" w:eastAsia="Palatino Linotype" w:hAnsi="Palatino Linotype" w:cs="Palatino Linotype"/>
        </w:rPr>
        <w:t>veintisiete de octubre</w:t>
      </w:r>
      <w:r w:rsidR="005E16E7" w:rsidRPr="00C043AF">
        <w:rPr>
          <w:rFonts w:ascii="Palatino Linotype" w:eastAsia="Palatino Linotype" w:hAnsi="Palatino Linotype" w:cs="Palatino Linotype"/>
        </w:rPr>
        <w:t xml:space="preserve"> de dos mil veinticinco</w:t>
      </w:r>
      <w:r w:rsidR="00687210" w:rsidRPr="00C043AF">
        <w:rPr>
          <w:rFonts w:ascii="Palatino Linotype" w:eastAsia="Palatino Linotype" w:hAnsi="Palatino Linotype" w:cs="Palatino Linotype"/>
        </w:rPr>
        <w:t>, signado por el Titular de la Unidad de Transparenci</w:t>
      </w:r>
      <w:r w:rsidR="004D2E76" w:rsidRPr="00C043AF">
        <w:rPr>
          <w:rFonts w:ascii="Palatino Linotype" w:eastAsia="Palatino Linotype" w:hAnsi="Palatino Linotype" w:cs="Palatino Linotype"/>
        </w:rPr>
        <w:t xml:space="preserve">a mediante el cual ratifica la respuesta emitida por la Tesorería Municipal. </w:t>
      </w:r>
    </w:p>
    <w:p w14:paraId="2E122883" w14:textId="4EC629D9" w:rsidR="00687210" w:rsidRPr="00C043AF" w:rsidRDefault="00687210" w:rsidP="00EE5803">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Oficio </w:t>
      </w:r>
      <w:r w:rsidR="009250B5" w:rsidRPr="00C043AF">
        <w:rPr>
          <w:rFonts w:ascii="Palatino Linotype" w:eastAsia="Palatino Linotype" w:hAnsi="Palatino Linotype" w:cs="Palatino Linotype"/>
        </w:rPr>
        <w:t xml:space="preserve">número 202010000/3501/2025 </w:t>
      </w:r>
      <w:r w:rsidRPr="00C043AF">
        <w:rPr>
          <w:rFonts w:ascii="Palatino Linotype" w:eastAsia="Palatino Linotype" w:hAnsi="Palatino Linotype" w:cs="Palatino Linotype"/>
        </w:rPr>
        <w:t>de fecha dieci</w:t>
      </w:r>
      <w:r w:rsidR="009250B5" w:rsidRPr="00C043AF">
        <w:rPr>
          <w:rFonts w:ascii="Palatino Linotype" w:eastAsia="Palatino Linotype" w:hAnsi="Palatino Linotype" w:cs="Palatino Linotype"/>
        </w:rPr>
        <w:t xml:space="preserve">siete de octubre </w:t>
      </w:r>
      <w:r w:rsidRPr="00C043AF">
        <w:rPr>
          <w:rFonts w:ascii="Palatino Linotype" w:eastAsia="Palatino Linotype" w:hAnsi="Palatino Linotype" w:cs="Palatino Linotype"/>
        </w:rPr>
        <w:t xml:space="preserve">de dos mil veinticinco, signado por el </w:t>
      </w:r>
      <w:r w:rsidR="009250B5" w:rsidRPr="00C043AF">
        <w:rPr>
          <w:rFonts w:ascii="Palatino Linotype" w:eastAsia="Palatino Linotype" w:hAnsi="Palatino Linotype" w:cs="Palatino Linotype"/>
        </w:rPr>
        <w:t>Tesorero Municipal</w:t>
      </w:r>
      <w:r w:rsidRPr="00C043AF">
        <w:rPr>
          <w:rFonts w:ascii="Palatino Linotype" w:eastAsia="Palatino Linotype" w:hAnsi="Palatino Linotype" w:cs="Palatino Linotype"/>
        </w:rPr>
        <w:t xml:space="preserve">, mediante el cual </w:t>
      </w:r>
      <w:r w:rsidR="009250B5" w:rsidRPr="00C043AF">
        <w:rPr>
          <w:rFonts w:ascii="Palatino Linotype" w:eastAsia="Palatino Linotype" w:hAnsi="Palatino Linotype" w:cs="Palatino Linotype"/>
        </w:rPr>
        <w:t>ratifica su respuesta inicial</w:t>
      </w:r>
      <w:r w:rsidRPr="00C043AF">
        <w:rPr>
          <w:rFonts w:ascii="Palatino Linotype" w:eastAsia="Palatino Linotype" w:hAnsi="Palatino Linotype" w:cs="Palatino Linotype"/>
        </w:rPr>
        <w:t xml:space="preserve">. </w:t>
      </w:r>
    </w:p>
    <w:p w14:paraId="6EC42EB0" w14:textId="77777777" w:rsidR="00363513" w:rsidRPr="00C043AF" w:rsidRDefault="00363513"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73FFB63" w14:textId="2A9B40AA" w:rsidR="00363513" w:rsidRPr="00C043AF" w:rsidRDefault="00363513"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C043AF">
        <w:rPr>
          <w:rFonts w:ascii="Palatino Linotype" w:eastAsia="Palatino Linotype" w:hAnsi="Palatino Linotype" w:cs="Palatino Linotype"/>
        </w:rPr>
        <w:t xml:space="preserve">Documento que se hizo del conocimiento de la parte </w:t>
      </w:r>
      <w:r w:rsidRPr="00C043AF">
        <w:rPr>
          <w:rFonts w:ascii="Palatino Linotype" w:eastAsia="Palatino Linotype" w:hAnsi="Palatino Linotype" w:cs="Palatino Linotype"/>
          <w:b/>
        </w:rPr>
        <w:t>Recurrente</w:t>
      </w:r>
      <w:r w:rsidRPr="00C043AF">
        <w:rPr>
          <w:rFonts w:ascii="Palatino Linotype" w:eastAsia="Palatino Linotype" w:hAnsi="Palatino Linotype" w:cs="Palatino Linotype"/>
        </w:rPr>
        <w:t xml:space="preserve"> en fecha </w:t>
      </w:r>
      <w:r w:rsidR="003C3979" w:rsidRPr="00C043AF">
        <w:rPr>
          <w:rFonts w:ascii="Palatino Linotype" w:eastAsia="Palatino Linotype" w:hAnsi="Palatino Linotype" w:cs="Palatino Linotype"/>
          <w:b/>
        </w:rPr>
        <w:t>dieciocho de marzo de dos mil veinticinco.</w:t>
      </w:r>
    </w:p>
    <w:p w14:paraId="6C9C0311" w14:textId="77777777" w:rsidR="00363513" w:rsidRPr="00C043AF" w:rsidRDefault="00363513"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2E97FD" w14:textId="77777777" w:rsidR="009338B5" w:rsidRPr="00C043AF" w:rsidRDefault="00363513"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La parte </w:t>
      </w:r>
      <w:r w:rsidRPr="00C043AF">
        <w:rPr>
          <w:rFonts w:ascii="Palatino Linotype" w:eastAsia="Palatino Linotype" w:hAnsi="Palatino Linotype" w:cs="Palatino Linotype"/>
          <w:b/>
        </w:rPr>
        <w:t>Recurrente</w:t>
      </w:r>
      <w:r w:rsidRPr="00C043AF">
        <w:rPr>
          <w:rFonts w:ascii="Palatino Linotype" w:eastAsia="Palatino Linotype" w:hAnsi="Palatino Linotype" w:cs="Palatino Linotype"/>
        </w:rPr>
        <w:t xml:space="preserve"> fue omisa en rendir manifestaciones.</w:t>
      </w:r>
      <w:r w:rsidR="005A5FFF" w:rsidRPr="00C043AF">
        <w:rPr>
          <w:rFonts w:ascii="Palatino Linotype" w:eastAsia="Palatino Linotype" w:hAnsi="Palatino Linotype" w:cs="Palatino Linotype"/>
        </w:rPr>
        <w:t xml:space="preserve"> </w:t>
      </w:r>
    </w:p>
    <w:p w14:paraId="6E89A5A4" w14:textId="77777777" w:rsidR="005A5FFF" w:rsidRPr="00C043AF" w:rsidRDefault="005A5FFF"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3CCBF3" w14:textId="11B6EC21" w:rsidR="00BF2E1D" w:rsidRPr="00C043AF" w:rsidRDefault="00BF2E1D"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bCs/>
        </w:rPr>
        <w:t>Ampliación del término para resolver</w:t>
      </w:r>
      <w:r w:rsidRPr="00C043AF">
        <w:rPr>
          <w:rFonts w:ascii="Palatino Linotype" w:eastAsia="Palatino Linotype" w:hAnsi="Palatino Linotype" w:cs="Palatino Linotype"/>
        </w:rPr>
        <w:t xml:space="preserve">. El </w:t>
      </w:r>
      <w:r w:rsidRPr="00C043AF">
        <w:rPr>
          <w:rFonts w:ascii="Palatino Linotype" w:eastAsia="Palatino Linotype" w:hAnsi="Palatino Linotype" w:cs="Palatino Linotype"/>
          <w:b/>
          <w:bCs/>
        </w:rPr>
        <w:t>dieciocho de marzo de dos mil veintiséis</w:t>
      </w:r>
      <w:r w:rsidRPr="00C043AF">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A68D02B"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1206BF84"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7EDDFC8"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6BAEB14D"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7D4D946"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2BA0277A"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172D04"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2626C70D"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AEF3F9"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2AD25E6A"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7CE2DF"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49186119"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a)</w:t>
      </w:r>
      <w:r w:rsidRPr="00C043AF">
        <w:rPr>
          <w:rFonts w:ascii="Palatino Linotype" w:eastAsia="Palatino Linotype" w:hAnsi="Palatino Linotype" w:cs="Palatino Linotype"/>
        </w:rPr>
        <w:tab/>
        <w:t xml:space="preserve">Complejidad del Asunto: La complejidad de la prueba, la pluralidad de sujetos procesales, el tiempo transcurrido, las características y contexto del recurso. </w:t>
      </w:r>
    </w:p>
    <w:p w14:paraId="4751DEFD"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b)</w:t>
      </w:r>
      <w:r w:rsidRPr="00C043AF">
        <w:rPr>
          <w:rFonts w:ascii="Palatino Linotype" w:eastAsia="Palatino Linotype" w:hAnsi="Palatino Linotype" w:cs="Palatino Linotype"/>
        </w:rPr>
        <w:tab/>
        <w:t>Actividad Procesal del interesado. Acciones u omisiones del interesado.</w:t>
      </w:r>
    </w:p>
    <w:p w14:paraId="2AE460C2"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c)</w:t>
      </w:r>
      <w:r w:rsidRPr="00C043AF">
        <w:rPr>
          <w:rFonts w:ascii="Palatino Linotype" w:eastAsia="Palatino Linotype" w:hAnsi="Palatino Linotype" w:cs="Palatino Linotype"/>
        </w:rPr>
        <w:tab/>
        <w:t>Conducta de la Autoridad: Las Acciones u omisiones realizadas en el procedimiento. Así como si la autoridad actuó con la debida diligencia.</w:t>
      </w:r>
    </w:p>
    <w:p w14:paraId="1660CBF2"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d) La afectación generada en la situación jurídica de la persona involucrada en el proceso: Violación a sus derechos humanos.</w:t>
      </w:r>
    </w:p>
    <w:p w14:paraId="1A7CB1BF"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3CBBB405"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F5F02C"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010B7EFC"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134976"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4BF60B62"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1F99F0"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0C615A91"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DDC2001"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50C48A19"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 “PLAZO RAZONABLE PARA RESOLVER. DIMENSIÓN Y EFECTOS DE ESTE CONCEPTO CUANDO SE ADUCE EXCESIVA CARGA DE TRABAJO.” consultable en el Seminario Judicial de la Federación y su gaceta, con el registro digital 2002351.</w:t>
      </w:r>
    </w:p>
    <w:p w14:paraId="1EF2C2B7"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6224B3F4"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351890CD" w14:textId="77777777" w:rsidR="00BF2E1D" w:rsidRPr="00C043AF" w:rsidRDefault="00BF2E1D" w:rsidP="00EE5803">
      <w:pPr>
        <w:spacing w:after="0" w:line="360" w:lineRule="auto"/>
        <w:jc w:val="both"/>
        <w:rPr>
          <w:rFonts w:ascii="Palatino Linotype" w:eastAsia="Palatino Linotype" w:hAnsi="Palatino Linotype" w:cs="Palatino Linotype"/>
        </w:rPr>
      </w:pPr>
    </w:p>
    <w:p w14:paraId="0A77D74D" w14:textId="77777777" w:rsidR="00BF2E1D" w:rsidRPr="00C043AF" w:rsidRDefault="00BF2E1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5F47BC4" w14:textId="77777777" w:rsidR="00BF2E1D" w:rsidRPr="00C043AF" w:rsidRDefault="00BF2E1D"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1A47186" w14:textId="269C5E09" w:rsidR="009338B5" w:rsidRPr="00C043AF" w:rsidRDefault="00E0628C" w:rsidP="00EE580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43AF">
        <w:rPr>
          <w:rFonts w:ascii="Palatino Linotype" w:eastAsia="Palatino Linotype" w:hAnsi="Palatino Linotype" w:cs="Palatino Linotype"/>
          <w:b/>
        </w:rPr>
        <w:t>Cierre de instrucción</w:t>
      </w:r>
      <w:r w:rsidRPr="00C043AF">
        <w:rPr>
          <w:rFonts w:ascii="Palatino Linotype" w:eastAsia="Palatino Linotype" w:hAnsi="Palatino Linotype" w:cs="Palatino Linotype"/>
        </w:rPr>
        <w:t xml:space="preserve">. En fecha </w:t>
      </w:r>
      <w:r w:rsidR="00B87523" w:rsidRPr="00C043AF">
        <w:rPr>
          <w:rFonts w:ascii="Palatino Linotype" w:eastAsia="Palatino Linotype" w:hAnsi="Palatino Linotype" w:cs="Palatino Linotype"/>
          <w:b/>
        </w:rPr>
        <w:t>veintic</w:t>
      </w:r>
      <w:r w:rsidR="00FB560C" w:rsidRPr="00C043AF">
        <w:rPr>
          <w:rFonts w:ascii="Palatino Linotype" w:eastAsia="Palatino Linotype" w:hAnsi="Palatino Linotype" w:cs="Palatino Linotype"/>
          <w:b/>
        </w:rPr>
        <w:t>inco</w:t>
      </w:r>
      <w:r w:rsidR="00B87523" w:rsidRPr="00C043AF">
        <w:rPr>
          <w:rFonts w:ascii="Palatino Linotype" w:eastAsia="Palatino Linotype" w:hAnsi="Palatino Linotype" w:cs="Palatino Linotype"/>
          <w:b/>
        </w:rPr>
        <w:t xml:space="preserve"> </w:t>
      </w:r>
      <w:r w:rsidR="0087620B" w:rsidRPr="00C043AF">
        <w:rPr>
          <w:rFonts w:ascii="Palatino Linotype" w:eastAsia="Palatino Linotype" w:hAnsi="Palatino Linotype" w:cs="Palatino Linotype"/>
          <w:b/>
        </w:rPr>
        <w:t>de marzo</w:t>
      </w:r>
      <w:r w:rsidR="006516C6" w:rsidRPr="00C043AF">
        <w:rPr>
          <w:rFonts w:ascii="Palatino Linotype" w:eastAsia="Palatino Linotype" w:hAnsi="Palatino Linotype" w:cs="Palatino Linotype"/>
          <w:b/>
        </w:rPr>
        <w:t xml:space="preserve"> </w:t>
      </w:r>
      <w:r w:rsidR="005A5FFF" w:rsidRPr="00C043AF">
        <w:rPr>
          <w:rFonts w:ascii="Palatino Linotype" w:eastAsia="Palatino Linotype" w:hAnsi="Palatino Linotype" w:cs="Palatino Linotype"/>
          <w:b/>
        </w:rPr>
        <w:t xml:space="preserve">de dos mil </w:t>
      </w:r>
      <w:r w:rsidR="00B87523" w:rsidRPr="00C043AF">
        <w:rPr>
          <w:rFonts w:ascii="Palatino Linotype" w:eastAsia="Palatino Linotype" w:hAnsi="Palatino Linotype" w:cs="Palatino Linotype"/>
          <w:b/>
        </w:rPr>
        <w:t>veintiséis</w:t>
      </w:r>
      <w:r w:rsidRPr="00C043A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CA3FFB8" w14:textId="77777777" w:rsidR="005A5FFF" w:rsidRPr="00C043AF" w:rsidRDefault="005A5FFF"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95E7C0" w14:textId="77777777" w:rsidR="009338B5" w:rsidRPr="00C043AF" w:rsidRDefault="00E0628C"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3E8632E" w14:textId="77777777" w:rsidR="009338B5" w:rsidRPr="00C043AF" w:rsidRDefault="009338B5" w:rsidP="00EE5803">
      <w:pPr>
        <w:spacing w:after="0" w:line="360" w:lineRule="auto"/>
        <w:ind w:right="49"/>
        <w:jc w:val="both"/>
        <w:rPr>
          <w:rFonts w:ascii="Palatino Linotype" w:eastAsia="Palatino Linotype" w:hAnsi="Palatino Linotype" w:cs="Palatino Linotype"/>
        </w:rPr>
      </w:pPr>
    </w:p>
    <w:p w14:paraId="7531988D" w14:textId="77777777" w:rsidR="009338B5" w:rsidRPr="00C043AF" w:rsidRDefault="00E0628C" w:rsidP="00EE5803">
      <w:pPr>
        <w:spacing w:after="0" w:line="360" w:lineRule="auto"/>
        <w:ind w:right="49"/>
        <w:jc w:val="center"/>
        <w:rPr>
          <w:rFonts w:ascii="Palatino Linotype" w:eastAsia="Palatino Linotype" w:hAnsi="Palatino Linotype" w:cs="Palatino Linotype"/>
          <w:b/>
        </w:rPr>
      </w:pPr>
      <w:r w:rsidRPr="00C043AF">
        <w:rPr>
          <w:rFonts w:ascii="Palatino Linotype" w:eastAsia="Palatino Linotype" w:hAnsi="Palatino Linotype" w:cs="Palatino Linotype"/>
          <w:b/>
        </w:rPr>
        <w:t>II.</w:t>
      </w:r>
      <w:r w:rsidRPr="00C043AF">
        <w:rPr>
          <w:rFonts w:ascii="Palatino Linotype" w:eastAsia="Palatino Linotype" w:hAnsi="Palatino Linotype" w:cs="Palatino Linotype"/>
          <w:b/>
        </w:rPr>
        <w:tab/>
        <w:t>C O N S I D E R A N D O:</w:t>
      </w:r>
    </w:p>
    <w:p w14:paraId="0AB645F2" w14:textId="77777777" w:rsidR="009338B5" w:rsidRPr="00C043AF" w:rsidRDefault="009338B5" w:rsidP="00EE5803">
      <w:pPr>
        <w:spacing w:after="0" w:line="360" w:lineRule="auto"/>
        <w:ind w:right="49"/>
        <w:jc w:val="both"/>
        <w:rPr>
          <w:rFonts w:ascii="Palatino Linotype" w:eastAsia="Palatino Linotype" w:hAnsi="Palatino Linotype" w:cs="Palatino Linotype"/>
        </w:rPr>
      </w:pPr>
    </w:p>
    <w:p w14:paraId="0DA61DF9" w14:textId="3A8BCC04" w:rsidR="009338B5" w:rsidRPr="00C043AF" w:rsidRDefault="00E0628C"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b/>
        </w:rPr>
        <w:t>Primero. Competencia.</w:t>
      </w:r>
      <w:r w:rsidRPr="00C043A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36E9D" w:rsidRPr="00C043AF">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del Decreto número 198 de la “LXII” Legislatura del Estado de México</w:t>
      </w:r>
      <w:r w:rsidRPr="00C043AF">
        <w:rPr>
          <w:rFonts w:ascii="Palatino Linotype" w:eastAsia="Palatino Linotype" w:hAnsi="Palatino Linotype" w:cs="Palatino Linotype"/>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8D890C1" w14:textId="77777777" w:rsidR="009338B5" w:rsidRPr="00C043AF" w:rsidRDefault="009338B5" w:rsidP="00EE5803">
      <w:pPr>
        <w:spacing w:after="0" w:line="360" w:lineRule="auto"/>
        <w:ind w:right="49"/>
        <w:jc w:val="both"/>
        <w:rPr>
          <w:rFonts w:ascii="Palatino Linotype" w:eastAsia="Palatino Linotype" w:hAnsi="Palatino Linotype" w:cs="Palatino Linotype"/>
        </w:rPr>
      </w:pPr>
    </w:p>
    <w:p w14:paraId="6525365D" w14:textId="77777777" w:rsidR="00036E9D" w:rsidRPr="00C043AF" w:rsidRDefault="00036E9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b/>
        </w:rPr>
        <w:t>Segundo. Oportunidad y Procedibilidad del Recurso de Revisión</w:t>
      </w:r>
      <w:r w:rsidRPr="00C043A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AEBE5B" w14:textId="77777777" w:rsidR="00782FF6" w:rsidRPr="00C043AF" w:rsidRDefault="00782FF6" w:rsidP="00EE5803">
      <w:pPr>
        <w:spacing w:after="0" w:line="360" w:lineRule="auto"/>
        <w:jc w:val="both"/>
        <w:rPr>
          <w:rFonts w:ascii="Palatino Linotype" w:eastAsia="Palatino Linotype" w:hAnsi="Palatino Linotype" w:cs="Palatino Linotype"/>
        </w:rPr>
      </w:pPr>
    </w:p>
    <w:p w14:paraId="5FA38B5D" w14:textId="2294297C" w:rsidR="00036E9D" w:rsidRPr="00C043AF" w:rsidRDefault="00036E9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xml:space="preserve"> respondió a la solicitud de información el </w:t>
      </w:r>
      <w:r w:rsidRPr="00C043AF">
        <w:rPr>
          <w:rFonts w:ascii="Palatino Linotype" w:eastAsia="Palatino Linotype" w:hAnsi="Palatino Linotype" w:cs="Palatino Linotype"/>
          <w:b/>
        </w:rPr>
        <w:t xml:space="preserve">tres de octubre de dos mil veinticinco, </w:t>
      </w:r>
      <w:r w:rsidRPr="00C043AF">
        <w:rPr>
          <w:rFonts w:ascii="Palatino Linotype" w:eastAsia="Palatino Linotype" w:hAnsi="Palatino Linotype" w:cs="Palatino Linotype"/>
        </w:rPr>
        <w:t xml:space="preserve">mientras que el recurso de revisión se interpuso el </w:t>
      </w:r>
      <w:r w:rsidRPr="00C043AF">
        <w:rPr>
          <w:rFonts w:ascii="Palatino Linotype" w:eastAsia="Palatino Linotype" w:hAnsi="Palatino Linotype" w:cs="Palatino Linotype"/>
          <w:b/>
        </w:rPr>
        <w:t>trece de octubre de dos mil veinticinco</w:t>
      </w:r>
      <w:r w:rsidRPr="00C043AF">
        <w:rPr>
          <w:rFonts w:ascii="Palatino Linotype" w:eastAsia="Palatino Linotype" w:hAnsi="Palatino Linotype" w:cs="Palatino Linotype"/>
        </w:rPr>
        <w:t xml:space="preserve">, esto es, el </w:t>
      </w:r>
      <w:r w:rsidRPr="00C043AF">
        <w:rPr>
          <w:rFonts w:ascii="Palatino Linotype" w:eastAsia="Palatino Linotype" w:hAnsi="Palatino Linotype" w:cs="Palatino Linotype"/>
          <w:b/>
        </w:rPr>
        <w:t>sexto día hábil</w:t>
      </w:r>
      <w:r w:rsidRPr="00C043AF">
        <w:rPr>
          <w:rFonts w:ascii="Palatino Linotype" w:eastAsia="Palatino Linotype" w:hAnsi="Palatino Linotype" w:cs="Palatino Linotype"/>
        </w:rPr>
        <w:t xml:space="preserve"> posterior en que tuvo conocimiento de la respuesta impugnada.</w:t>
      </w:r>
    </w:p>
    <w:p w14:paraId="2026591C" w14:textId="77777777" w:rsidR="00036E9D" w:rsidRPr="00C043AF" w:rsidRDefault="00036E9D" w:rsidP="00EE5803">
      <w:pPr>
        <w:spacing w:after="0" w:line="360" w:lineRule="auto"/>
        <w:jc w:val="both"/>
        <w:rPr>
          <w:rFonts w:ascii="Palatino Linotype" w:eastAsia="Palatino Linotype" w:hAnsi="Palatino Linotype" w:cs="Palatino Linotype"/>
        </w:rPr>
      </w:pPr>
    </w:p>
    <w:p w14:paraId="7A355758" w14:textId="7D3356B0" w:rsidR="00036E9D" w:rsidRPr="00C043AF" w:rsidRDefault="00036E9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Asimismo, por cuanto hace a la procedibilidad del recurso de revisión, es de suma importancia señalar que </w:t>
      </w:r>
      <w:r w:rsidRPr="00C043AF">
        <w:rPr>
          <w:rFonts w:ascii="Palatino Linotype" w:eastAsia="Palatino Linotype" w:hAnsi="Palatino Linotype" w:cs="Palatino Linotype"/>
          <w:bCs/>
        </w:rPr>
        <w:t>la parte</w:t>
      </w:r>
      <w:r w:rsidRPr="00C043AF">
        <w:rPr>
          <w:rFonts w:ascii="Palatino Linotype" w:eastAsia="Palatino Linotype" w:hAnsi="Palatino Linotype" w:cs="Palatino Linotype"/>
          <w:b/>
        </w:rPr>
        <w:t xml:space="preserve"> Recurrente</w:t>
      </w:r>
      <w:r w:rsidRPr="00C043AF">
        <w:rPr>
          <w:rFonts w:ascii="Palatino Linotype" w:eastAsia="Palatino Linotype" w:hAnsi="Palatino Linotype" w:cs="Palatino Linotype"/>
        </w:rPr>
        <w:t>, no señaló nombre con el que pueda ser identificado, tal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B64B271" w14:textId="77777777" w:rsidR="00036E9D" w:rsidRPr="00C043AF" w:rsidRDefault="00036E9D" w:rsidP="00EE5803">
      <w:pPr>
        <w:spacing w:after="0" w:line="360" w:lineRule="auto"/>
        <w:jc w:val="both"/>
        <w:rPr>
          <w:rFonts w:ascii="Palatino Linotype" w:eastAsia="Palatino Linotype" w:hAnsi="Palatino Linotype" w:cs="Palatino Linotype"/>
        </w:rPr>
      </w:pPr>
    </w:p>
    <w:p w14:paraId="111E9369" w14:textId="77777777" w:rsidR="00036E9D" w:rsidRPr="00C043AF" w:rsidRDefault="00036E9D" w:rsidP="00EE5803">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"Las </w:t>
      </w:r>
      <w:r w:rsidRPr="00C043AF">
        <w:rPr>
          <w:rFonts w:ascii="Palatino Linotype" w:eastAsia="Palatino Linotype" w:hAnsi="Palatino Linotype" w:cs="Palatino Linotype"/>
          <w:b/>
          <w:bCs/>
          <w:i/>
        </w:rPr>
        <w:t>solicitudes anónimas</w:t>
      </w:r>
      <w:r w:rsidRPr="00C043AF">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5D09EE72" w14:textId="77777777" w:rsidR="00036E9D" w:rsidRPr="00C043AF" w:rsidRDefault="00036E9D" w:rsidP="00EE5803">
      <w:pPr>
        <w:spacing w:after="0" w:line="360" w:lineRule="auto"/>
        <w:jc w:val="both"/>
        <w:rPr>
          <w:rFonts w:ascii="Palatino Linotype" w:eastAsia="Palatino Linotype" w:hAnsi="Palatino Linotype" w:cs="Palatino Linotype"/>
        </w:rPr>
      </w:pPr>
    </w:p>
    <w:p w14:paraId="610D7A4E" w14:textId="77777777" w:rsidR="00036E9D" w:rsidRPr="00C043AF" w:rsidRDefault="00036E9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Por ello,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19FBF1" w14:textId="77777777" w:rsidR="00036E9D" w:rsidRPr="00C043AF" w:rsidRDefault="00036E9D" w:rsidP="00EE5803">
      <w:pPr>
        <w:spacing w:after="0" w:line="360" w:lineRule="auto"/>
        <w:jc w:val="both"/>
        <w:rPr>
          <w:rFonts w:ascii="Palatino Linotype" w:eastAsia="Palatino Linotype" w:hAnsi="Palatino Linotype" w:cs="Palatino Linotype"/>
        </w:rPr>
      </w:pPr>
    </w:p>
    <w:p w14:paraId="48E3452F" w14:textId="359781E7" w:rsidR="00036E9D" w:rsidRPr="00C043AF" w:rsidRDefault="00036E9D"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al artículo 179, fracción </w:t>
      </w:r>
      <w:r w:rsidR="000A7693" w:rsidRPr="00C043AF">
        <w:rPr>
          <w:rFonts w:ascii="Palatino Linotype" w:eastAsia="Palatino Linotype" w:hAnsi="Palatino Linotype" w:cs="Palatino Linotype"/>
        </w:rPr>
        <w:t>I</w:t>
      </w:r>
      <w:r w:rsidRPr="00C043AF">
        <w:rPr>
          <w:rFonts w:ascii="Palatino Linotype" w:eastAsia="Palatino Linotype" w:hAnsi="Palatino Linotype" w:cs="Palatino Linotype"/>
        </w:rPr>
        <w:t xml:space="preserve"> del ordenamiento legal citado, que a la letra dice: </w:t>
      </w:r>
    </w:p>
    <w:p w14:paraId="51E206D9" w14:textId="77777777" w:rsidR="00036E9D" w:rsidRPr="00C043AF" w:rsidRDefault="00036E9D" w:rsidP="00EE5803">
      <w:pPr>
        <w:tabs>
          <w:tab w:val="left" w:pos="7088"/>
        </w:tabs>
        <w:spacing w:after="0" w:line="276" w:lineRule="auto"/>
        <w:ind w:left="851" w:right="616"/>
        <w:jc w:val="both"/>
        <w:rPr>
          <w:rFonts w:ascii="Palatino Linotype" w:eastAsia="Palatino Linotype" w:hAnsi="Palatino Linotype" w:cs="Palatino Linotype"/>
          <w:i/>
        </w:rPr>
      </w:pPr>
    </w:p>
    <w:p w14:paraId="672D8673" w14:textId="77777777" w:rsidR="00036E9D" w:rsidRPr="00C043AF" w:rsidRDefault="00036E9D" w:rsidP="00782FF6">
      <w:pPr>
        <w:tabs>
          <w:tab w:val="left" w:pos="7088"/>
        </w:tabs>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Artículo 179.</w:t>
      </w:r>
      <w:r w:rsidRPr="00C043A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8F2A700" w14:textId="282D7769" w:rsidR="00036E9D" w:rsidRPr="00C043AF" w:rsidRDefault="000A7693" w:rsidP="00782FF6">
      <w:pPr>
        <w:tabs>
          <w:tab w:val="left" w:pos="7088"/>
        </w:tabs>
        <w:spacing w:after="0" w:line="276" w:lineRule="auto"/>
        <w:ind w:left="851" w:right="843"/>
        <w:jc w:val="both"/>
        <w:rPr>
          <w:rFonts w:ascii="Palatino Linotype" w:eastAsia="Palatino Linotype" w:hAnsi="Palatino Linotype" w:cs="Palatino Linotype"/>
          <w:b/>
          <w:i/>
        </w:rPr>
      </w:pPr>
      <w:r w:rsidRPr="00C043AF">
        <w:rPr>
          <w:rFonts w:ascii="Palatino Linotype" w:eastAsia="Palatino Linotype" w:hAnsi="Palatino Linotype" w:cs="Palatino Linotype"/>
          <w:b/>
          <w:i/>
        </w:rPr>
        <w:t>I. La negativa a la información solicitada</w:t>
      </w:r>
      <w:r w:rsidR="00036E9D" w:rsidRPr="00C043AF">
        <w:rPr>
          <w:rFonts w:ascii="Palatino Linotype" w:eastAsia="Palatino Linotype" w:hAnsi="Palatino Linotype" w:cs="Palatino Linotype"/>
          <w:b/>
          <w:i/>
        </w:rPr>
        <w:t>;</w:t>
      </w:r>
    </w:p>
    <w:p w14:paraId="5FFD5A21" w14:textId="77777777" w:rsidR="00036E9D" w:rsidRPr="00C043AF" w:rsidRDefault="00036E9D" w:rsidP="00782FF6">
      <w:pPr>
        <w:tabs>
          <w:tab w:val="left" w:pos="7088"/>
        </w:tabs>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w:t>
      </w:r>
      <w:r w:rsidRPr="00C043AF">
        <w:rPr>
          <w:rFonts w:ascii="Palatino Linotype" w:eastAsia="Palatino Linotype" w:hAnsi="Palatino Linotype" w:cs="Palatino Linotype"/>
          <w:i/>
        </w:rPr>
        <w:t>”</w:t>
      </w:r>
    </w:p>
    <w:p w14:paraId="46355868" w14:textId="77777777" w:rsidR="0087620B" w:rsidRPr="00C043AF" w:rsidRDefault="0087620B" w:rsidP="00EE5803">
      <w:pPr>
        <w:spacing w:after="0" w:line="360" w:lineRule="auto"/>
        <w:jc w:val="both"/>
        <w:rPr>
          <w:rFonts w:ascii="Palatino Linotype" w:eastAsia="Palatino Linotype" w:hAnsi="Palatino Linotype" w:cs="Palatino Linotype"/>
        </w:rPr>
      </w:pPr>
    </w:p>
    <w:p w14:paraId="10A0B797" w14:textId="5C32C93D" w:rsidR="009338B5" w:rsidRPr="00C043AF" w:rsidRDefault="00E0628C"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b/>
        </w:rPr>
        <w:t>Tercero. Materia de la revisión</w:t>
      </w:r>
      <w:r w:rsidRPr="00C043AF">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w:t>
      </w:r>
      <w:r w:rsidR="005A5FFF" w:rsidRPr="00C043AF">
        <w:rPr>
          <w:rFonts w:ascii="Palatino Linotype" w:eastAsia="Palatino Linotype" w:hAnsi="Palatino Linotype" w:cs="Palatino Linotype"/>
        </w:rPr>
        <w:t>I</w:t>
      </w:r>
      <w:r w:rsidRPr="00C043AF">
        <w:rPr>
          <w:rFonts w:ascii="Palatino Linotype" w:eastAsia="Palatino Linotype" w:hAnsi="Palatino Linotype" w:cs="Palatino Linotype"/>
        </w:rPr>
        <w:t xml:space="preserve"> del artículo 179 de la Ley en la materia. </w:t>
      </w:r>
    </w:p>
    <w:p w14:paraId="14AE0E59" w14:textId="77777777" w:rsidR="000A7693" w:rsidRPr="00C043AF" w:rsidRDefault="000A7693" w:rsidP="00EE5803">
      <w:pPr>
        <w:spacing w:after="0" w:line="360" w:lineRule="auto"/>
        <w:ind w:right="49"/>
        <w:jc w:val="both"/>
        <w:rPr>
          <w:rFonts w:ascii="Palatino Linotype" w:eastAsia="Palatino Linotype" w:hAnsi="Palatino Linotype" w:cs="Palatino Linotype"/>
        </w:rPr>
      </w:pPr>
    </w:p>
    <w:p w14:paraId="411DF9EA" w14:textId="34D948C2" w:rsidR="00AC1472" w:rsidRPr="00C043AF" w:rsidRDefault="00E0628C" w:rsidP="00EE5803">
      <w:pPr>
        <w:spacing w:after="0" w:line="360" w:lineRule="auto"/>
        <w:ind w:right="49"/>
        <w:jc w:val="both"/>
        <w:rPr>
          <w:rFonts w:ascii="Palatino Linotype" w:hAnsi="Palatino Linotype"/>
        </w:rPr>
      </w:pPr>
      <w:r w:rsidRPr="00C043AF">
        <w:rPr>
          <w:rFonts w:ascii="Palatino Linotype" w:eastAsia="Palatino Linotype" w:hAnsi="Palatino Linotype" w:cs="Palatino Linotype"/>
          <w:b/>
        </w:rPr>
        <w:t>Cuarto.</w:t>
      </w:r>
      <w:r w:rsidRPr="00C043AF">
        <w:rPr>
          <w:rFonts w:ascii="Palatino Linotype" w:eastAsia="Palatino Linotype" w:hAnsi="Palatino Linotype" w:cs="Palatino Linotype"/>
        </w:rPr>
        <w:t xml:space="preserve"> </w:t>
      </w:r>
      <w:r w:rsidR="00AC1472" w:rsidRPr="00C043AF">
        <w:rPr>
          <w:rFonts w:ascii="Palatino Linotype" w:eastAsia="Palatino Linotype" w:hAnsi="Palatino Linotype" w:cs="Palatino Linotype"/>
          <w:b/>
        </w:rPr>
        <w:t xml:space="preserve">Estudio del asunto. </w:t>
      </w:r>
      <w:r w:rsidR="00AC1472" w:rsidRPr="00C043AF">
        <w:rPr>
          <w:rFonts w:ascii="Palatino Linotype" w:eastAsia="Palatino Linotype" w:hAnsi="Palatino Linotype" w:cs="Palatino Linotype"/>
        </w:rPr>
        <w:t xml:space="preserve">Antes de entrar al análisis de los pronunciamientos del </w:t>
      </w:r>
      <w:r w:rsidR="00AC1472" w:rsidRPr="00C043AF">
        <w:rPr>
          <w:rFonts w:ascii="Palatino Linotype" w:eastAsia="Palatino Linotype" w:hAnsi="Palatino Linotype" w:cs="Palatino Linotype"/>
          <w:b/>
        </w:rPr>
        <w:t>Sujeto Obligado</w:t>
      </w:r>
      <w:r w:rsidR="00AC1472" w:rsidRPr="00C043AF">
        <w:rPr>
          <w:rFonts w:ascii="Palatino Linotype" w:eastAsia="Palatino Linotype" w:hAnsi="Palatino Linotype" w:cs="Palatino Linotype"/>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6095309" w14:textId="77777777" w:rsidR="00AC1472" w:rsidRPr="00C043AF" w:rsidRDefault="00AC1472" w:rsidP="00EE5803">
      <w:pPr>
        <w:pBdr>
          <w:top w:val="nil"/>
          <w:left w:val="nil"/>
          <w:bottom w:val="nil"/>
          <w:right w:val="nil"/>
          <w:between w:val="nil"/>
        </w:pBdr>
        <w:spacing w:after="0" w:line="276" w:lineRule="auto"/>
        <w:ind w:left="709" w:right="760"/>
        <w:jc w:val="both"/>
        <w:rPr>
          <w:rFonts w:ascii="Palatino Linotype" w:eastAsia="Palatino Linotype" w:hAnsi="Palatino Linotype" w:cs="Palatino Linotype"/>
          <w:i/>
        </w:rPr>
      </w:pPr>
    </w:p>
    <w:p w14:paraId="1EC34F9F"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Artículo 4</w:t>
      </w:r>
      <w:r w:rsidRPr="00C043AF">
        <w:rPr>
          <w:rFonts w:ascii="Palatino Linotype" w:eastAsia="Palatino Linotype" w:hAnsi="Palatino Linotype" w:cs="Palatino Linotype"/>
          <w:i/>
        </w:rPr>
        <w:t>. El derecho humano de acceso a la información pública es la prerrogativa de las personas para buscar, difundir, investigar, recabar, recibir y solicitar información pública, sin necesidad de acreditar personalidad ni interés jurídico. </w:t>
      </w:r>
    </w:p>
    <w:p w14:paraId="45D247F3"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F1F102B"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solicitantes.”(Sic)</w:t>
      </w:r>
    </w:p>
    <w:p w14:paraId="55BC01C2" w14:textId="77777777"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89C5BE6" w14:textId="77777777" w:rsidR="00AC1472" w:rsidRPr="00C043AF" w:rsidRDefault="00AC1472" w:rsidP="00EE5803">
      <w:pPr>
        <w:pBdr>
          <w:top w:val="nil"/>
          <w:left w:val="nil"/>
          <w:bottom w:val="nil"/>
          <w:right w:val="nil"/>
          <w:between w:val="nil"/>
        </w:pBdr>
        <w:spacing w:after="0" w:line="360" w:lineRule="auto"/>
        <w:jc w:val="both"/>
        <w:rPr>
          <w:rFonts w:ascii="Palatino Linotype" w:hAnsi="Palatino Linotype"/>
        </w:rPr>
      </w:pPr>
      <w:r w:rsidRPr="00C043AF">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17E5A07" w14:textId="77777777" w:rsidR="00AC1472" w:rsidRPr="00C043AF" w:rsidRDefault="00AC1472" w:rsidP="00EE5803">
      <w:pPr>
        <w:pBdr>
          <w:top w:val="nil"/>
          <w:left w:val="nil"/>
          <w:bottom w:val="nil"/>
          <w:right w:val="nil"/>
          <w:between w:val="nil"/>
        </w:pBdr>
        <w:spacing w:after="0" w:line="276" w:lineRule="auto"/>
        <w:ind w:left="567" w:right="758"/>
        <w:jc w:val="both"/>
        <w:rPr>
          <w:rFonts w:ascii="Palatino Linotype" w:eastAsia="Palatino Linotype" w:hAnsi="Palatino Linotype" w:cs="Palatino Linotype"/>
          <w:i/>
        </w:rPr>
      </w:pPr>
    </w:p>
    <w:p w14:paraId="37507F5B" w14:textId="31E0CE94" w:rsidR="00AC1472" w:rsidRPr="00C043AF" w:rsidRDefault="00AC1472" w:rsidP="00782FF6">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Artículo 12</w:t>
      </w:r>
      <w:r w:rsidRPr="00C043A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w:t>
      </w:r>
      <w:r w:rsidR="00782FF6" w:rsidRPr="00C043AF">
        <w:rPr>
          <w:rFonts w:ascii="Palatino Linotype" w:eastAsia="Palatino Linotype" w:hAnsi="Palatino Linotype" w:cs="Palatino Linotype"/>
          <w:i/>
        </w:rPr>
        <w:t>aplicables.</w:t>
      </w:r>
    </w:p>
    <w:p w14:paraId="1861D5D1" w14:textId="77777777" w:rsidR="00782FF6" w:rsidRPr="00C043AF" w:rsidRDefault="00782FF6" w:rsidP="00782FF6">
      <w:pPr>
        <w:pBdr>
          <w:top w:val="nil"/>
          <w:left w:val="nil"/>
          <w:bottom w:val="nil"/>
          <w:right w:val="nil"/>
          <w:between w:val="nil"/>
        </w:pBdr>
        <w:spacing w:after="0" w:line="276" w:lineRule="auto"/>
        <w:ind w:left="851" w:right="843"/>
        <w:jc w:val="both"/>
        <w:rPr>
          <w:rFonts w:ascii="Palatino Linotype" w:hAnsi="Palatino Linotype"/>
        </w:rPr>
      </w:pPr>
    </w:p>
    <w:p w14:paraId="2632A478"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FDC6456" w14:textId="77777777"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50221CA" w14:textId="77777777" w:rsidR="00AC1472" w:rsidRPr="00C043AF" w:rsidRDefault="00AC1472" w:rsidP="00EE5803">
      <w:pPr>
        <w:pBdr>
          <w:top w:val="nil"/>
          <w:left w:val="nil"/>
          <w:bottom w:val="nil"/>
          <w:right w:val="nil"/>
          <w:between w:val="nil"/>
        </w:pBdr>
        <w:spacing w:after="0" w:line="360" w:lineRule="auto"/>
        <w:jc w:val="both"/>
        <w:rPr>
          <w:rFonts w:ascii="Palatino Linotype" w:hAnsi="Palatino Linotype"/>
        </w:rPr>
      </w:pPr>
      <w:r w:rsidRPr="00C043AF">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C043AF">
        <w:rPr>
          <w:rFonts w:ascii="Palatino Linotype" w:eastAsia="Palatino Linotype" w:hAnsi="Palatino Linotype" w:cs="Palatino Linotype"/>
          <w:b/>
        </w:rPr>
        <w:t xml:space="preserve"> </w:t>
      </w:r>
      <w:r w:rsidRPr="00C043AF">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C043AF">
        <w:rPr>
          <w:rFonts w:ascii="Palatino Linotype" w:eastAsia="Palatino Linotype" w:hAnsi="Palatino Linotype" w:cs="Palatino Linotype"/>
          <w:i/>
        </w:rPr>
        <w:t>ad hoc</w:t>
      </w:r>
      <w:r w:rsidRPr="00C043AF">
        <w:rPr>
          <w:rFonts w:ascii="Palatino Linotype" w:eastAsia="Palatino Linotype" w:hAnsi="Palatino Linotype" w:cs="Palatino Linotype"/>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7DD7279C" w14:textId="77777777" w:rsidR="00AC1472" w:rsidRPr="00C043AF" w:rsidRDefault="00AC1472" w:rsidP="00EE5803">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b/>
          <w:i/>
        </w:rPr>
      </w:pPr>
    </w:p>
    <w:p w14:paraId="421774B9"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b/>
          <w:i/>
        </w:rPr>
        <w:t>03/17</w:t>
      </w:r>
    </w:p>
    <w:p w14:paraId="18E5AA29"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b/>
          <w:i/>
        </w:rPr>
        <w:t>“NO EXISTE OBLIGACIÓN DE ELABORAR DOCUMENTOS AD HOC PARA ATENDER LAS SOLICITUDES DE ACCESO A LA INFORMACIÓN.</w:t>
      </w:r>
    </w:p>
    <w:p w14:paraId="3DBDAF47"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0F9FC1A" w14:textId="77777777"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1494BF6" w14:textId="3591A735"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C86D1A" w14:textId="77777777" w:rsidR="00345D87" w:rsidRPr="00C043AF" w:rsidRDefault="00345D87" w:rsidP="00EE5803">
      <w:pPr>
        <w:pBdr>
          <w:top w:val="nil"/>
          <w:left w:val="nil"/>
          <w:bottom w:val="nil"/>
          <w:right w:val="nil"/>
          <w:between w:val="nil"/>
        </w:pBdr>
        <w:spacing w:after="0" w:line="360" w:lineRule="auto"/>
        <w:jc w:val="both"/>
        <w:rPr>
          <w:rFonts w:ascii="Palatino Linotype" w:hAnsi="Palatino Linotype"/>
        </w:rPr>
      </w:pPr>
    </w:p>
    <w:p w14:paraId="73F3E006" w14:textId="77777777" w:rsidR="00AC1472" w:rsidRPr="00C043AF" w:rsidRDefault="00AC1472"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DE64734" w14:textId="77777777" w:rsidR="00AC1472" w:rsidRPr="00C043AF" w:rsidRDefault="00AC1472" w:rsidP="00EE5803">
      <w:pPr>
        <w:pBdr>
          <w:top w:val="nil"/>
          <w:left w:val="nil"/>
          <w:bottom w:val="nil"/>
          <w:right w:val="nil"/>
          <w:between w:val="nil"/>
        </w:pBdr>
        <w:spacing w:after="0" w:line="360" w:lineRule="auto"/>
        <w:ind w:right="49"/>
        <w:jc w:val="both"/>
        <w:rPr>
          <w:rFonts w:ascii="Palatino Linotype" w:hAnsi="Palatino Linotype"/>
        </w:rPr>
      </w:pPr>
    </w:p>
    <w:p w14:paraId="36469964" w14:textId="77777777"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7762C6" w14:textId="77777777" w:rsidR="00AC1472" w:rsidRPr="00C043AF" w:rsidRDefault="00AC1472" w:rsidP="00EE5803">
      <w:pPr>
        <w:pBdr>
          <w:top w:val="nil"/>
          <w:left w:val="nil"/>
          <w:bottom w:val="nil"/>
          <w:right w:val="nil"/>
          <w:between w:val="nil"/>
        </w:pBdr>
        <w:spacing w:after="0" w:line="360" w:lineRule="auto"/>
        <w:jc w:val="both"/>
        <w:rPr>
          <w:rFonts w:ascii="Palatino Linotype" w:hAnsi="Palatino Linotype"/>
        </w:rPr>
      </w:pPr>
    </w:p>
    <w:p w14:paraId="781530C6"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 xml:space="preserve">Artículo 3. </w:t>
      </w:r>
      <w:r w:rsidRPr="00C043AF">
        <w:rPr>
          <w:rFonts w:ascii="Palatino Linotype" w:eastAsia="Palatino Linotype" w:hAnsi="Palatino Linotype" w:cs="Palatino Linotype"/>
          <w:i/>
        </w:rPr>
        <w:t>Para los efectos de la presente Ley se entenderá por:</w:t>
      </w:r>
    </w:p>
    <w:p w14:paraId="5FFD1CE1"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w:t>
      </w:r>
    </w:p>
    <w:p w14:paraId="0C49D4CF"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b/>
          <w:i/>
        </w:rPr>
        <w:t>XI. Documento:</w:t>
      </w:r>
      <w:r w:rsidRPr="00C043AF">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043AF">
        <w:rPr>
          <w:rFonts w:ascii="Palatino Linotype" w:eastAsia="Palatino Linotype" w:hAnsi="Palatino Linotype" w:cs="Palatino Linotype"/>
          <w:b/>
          <w:i/>
        </w:rPr>
        <w:t>…</w:t>
      </w:r>
      <w:r w:rsidRPr="00C043AF">
        <w:rPr>
          <w:rFonts w:ascii="Palatino Linotype" w:eastAsia="Palatino Linotype" w:hAnsi="Palatino Linotype" w:cs="Palatino Linotype"/>
          <w:i/>
        </w:rPr>
        <w:t>” (Sic)</w:t>
      </w:r>
    </w:p>
    <w:p w14:paraId="0775C05A" w14:textId="77777777"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B60E42F" w14:textId="77777777" w:rsidR="00AC1472" w:rsidRPr="00C043AF" w:rsidRDefault="00AC1472" w:rsidP="00EE5803">
      <w:pPr>
        <w:pBdr>
          <w:top w:val="nil"/>
          <w:left w:val="nil"/>
          <w:bottom w:val="nil"/>
          <w:right w:val="nil"/>
          <w:between w:val="nil"/>
        </w:pBdr>
        <w:spacing w:after="0" w:line="360" w:lineRule="auto"/>
        <w:jc w:val="both"/>
        <w:rPr>
          <w:rFonts w:ascii="Palatino Linotype" w:hAnsi="Palatino Linotype"/>
        </w:rPr>
      </w:pPr>
      <w:r w:rsidRPr="00C043A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1EAE59" w14:textId="77777777" w:rsidR="00AC1472" w:rsidRPr="00C043AF" w:rsidRDefault="00AC1472" w:rsidP="00EE5803">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b/>
        </w:rPr>
      </w:pPr>
    </w:p>
    <w:p w14:paraId="37136CEA"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b/>
        </w:rPr>
        <w:t>“</w:t>
      </w:r>
      <w:r w:rsidRPr="00C043AF">
        <w:rPr>
          <w:rFonts w:ascii="Palatino Linotype" w:eastAsia="Palatino Linotype" w:hAnsi="Palatino Linotype" w:cs="Palatino Linotype"/>
          <w:b/>
          <w:i/>
        </w:rPr>
        <w:t>CRITERIO 0002-11</w:t>
      </w:r>
    </w:p>
    <w:p w14:paraId="7F462C03"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043A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137B95"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En consecuencia el acceso a la información se refiere a que se cumplan cualquiera de los siguientes tres supuestos:</w:t>
      </w:r>
    </w:p>
    <w:p w14:paraId="0078CCCA" w14:textId="77777777" w:rsidR="00AC1472" w:rsidRPr="00C043AF" w:rsidRDefault="00AC1472" w:rsidP="00782FF6">
      <w:pPr>
        <w:numPr>
          <w:ilvl w:val="0"/>
          <w:numId w:val="15"/>
        </w:numPr>
        <w:pBdr>
          <w:top w:val="nil"/>
          <w:left w:val="nil"/>
          <w:bottom w:val="nil"/>
          <w:right w:val="nil"/>
          <w:between w:val="nil"/>
        </w:pBdr>
        <w:spacing w:after="0" w:line="276" w:lineRule="auto"/>
        <w:ind w:left="851" w:right="843" w:firstLine="0"/>
        <w:jc w:val="both"/>
        <w:rPr>
          <w:rFonts w:ascii="Palatino Linotype" w:eastAsia="Palatino Linotype" w:hAnsi="Palatino Linotype" w:cs="Palatino Linotype"/>
          <w:i/>
        </w:rPr>
      </w:pPr>
      <w:r w:rsidRPr="00C043AF">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355503B3" w14:textId="77777777" w:rsidR="00AC1472" w:rsidRPr="00C043AF" w:rsidRDefault="00AC1472" w:rsidP="00782FF6">
      <w:pPr>
        <w:numPr>
          <w:ilvl w:val="0"/>
          <w:numId w:val="15"/>
        </w:numPr>
        <w:pBdr>
          <w:top w:val="nil"/>
          <w:left w:val="nil"/>
          <w:bottom w:val="nil"/>
          <w:right w:val="nil"/>
          <w:between w:val="nil"/>
        </w:pBdr>
        <w:spacing w:after="0" w:line="276" w:lineRule="auto"/>
        <w:ind w:left="851" w:right="843" w:firstLine="0"/>
        <w:jc w:val="both"/>
        <w:rPr>
          <w:rFonts w:ascii="Palatino Linotype" w:eastAsia="Palatino Linotype" w:hAnsi="Palatino Linotype" w:cs="Palatino Linotype"/>
          <w:i/>
        </w:rPr>
      </w:pPr>
      <w:r w:rsidRPr="00C043AF">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197BCB37" w14:textId="77777777" w:rsidR="00AC1472" w:rsidRPr="00C043AF" w:rsidRDefault="00AC1472" w:rsidP="00782FF6">
      <w:pPr>
        <w:pBdr>
          <w:top w:val="nil"/>
          <w:left w:val="nil"/>
          <w:bottom w:val="nil"/>
          <w:right w:val="nil"/>
          <w:between w:val="nil"/>
        </w:pBdr>
        <w:spacing w:after="0" w:line="276" w:lineRule="auto"/>
        <w:ind w:left="851" w:right="843"/>
        <w:jc w:val="both"/>
        <w:rPr>
          <w:rFonts w:ascii="Palatino Linotype" w:hAnsi="Palatino Linotype"/>
        </w:rPr>
      </w:pPr>
      <w:r w:rsidRPr="00C043AF">
        <w:rPr>
          <w:rFonts w:ascii="Palatino Linotype" w:eastAsia="Palatino Linotype" w:hAnsi="Palatino Linotype" w:cs="Palatino Linotype"/>
          <w:i/>
        </w:rPr>
        <w:t xml:space="preserve">3. </w:t>
      </w:r>
      <w:r w:rsidRPr="00C043AF">
        <w:rPr>
          <w:rFonts w:ascii="Palatino Linotype" w:eastAsia="Palatino Linotype" w:hAnsi="Palatino Linotype" w:cs="Palatino Linotype"/>
          <w:b/>
          <w:i/>
        </w:rPr>
        <w:t>Que se trate de información registrada en cualquier soporte documental, que en ejercicio de las atribuciones conferidas, se encuentre en posesión de los Sujetos Obligados.” (Sic)</w:t>
      </w:r>
    </w:p>
    <w:p w14:paraId="3D2FAC26" w14:textId="77777777"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8EC019C" w14:textId="77777777" w:rsidR="00AC1472"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De ahí que el </w:t>
      </w:r>
      <w:r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4106B110" w14:textId="77777777" w:rsidR="00AC1472" w:rsidRPr="00C043AF" w:rsidRDefault="00AC1472" w:rsidP="00EE5803">
      <w:pPr>
        <w:pBdr>
          <w:top w:val="nil"/>
          <w:left w:val="nil"/>
          <w:bottom w:val="nil"/>
          <w:right w:val="nil"/>
          <w:between w:val="nil"/>
        </w:pBdr>
        <w:spacing w:after="0" w:line="360" w:lineRule="auto"/>
        <w:jc w:val="both"/>
        <w:rPr>
          <w:rFonts w:ascii="Palatino Linotype" w:hAnsi="Palatino Linotype"/>
        </w:rPr>
      </w:pPr>
    </w:p>
    <w:p w14:paraId="2733728C" w14:textId="4E12754B" w:rsidR="0004412B" w:rsidRPr="00C043AF" w:rsidRDefault="00AC1472"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Ahora bien, para profundizar en el estudio del presente asunto, es conveniente recordar que la parte solicitante requirió al </w:t>
      </w:r>
      <w:r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xml:space="preserve">, le proporcionara </w:t>
      </w:r>
      <w:r w:rsidR="0087620B" w:rsidRPr="00C043AF">
        <w:rPr>
          <w:rFonts w:ascii="Palatino Linotype" w:eastAsia="Palatino Linotype" w:hAnsi="Palatino Linotype" w:cs="Palatino Linotype"/>
          <w:b/>
        </w:rPr>
        <w:t xml:space="preserve">los estados de cuenta de las cuentas bancarias del </w:t>
      </w:r>
      <w:r w:rsidR="009A351A" w:rsidRPr="00C043AF">
        <w:rPr>
          <w:rFonts w:ascii="Palatino Linotype" w:eastAsia="Palatino Linotype" w:hAnsi="Palatino Linotype" w:cs="Palatino Linotype"/>
          <w:b/>
        </w:rPr>
        <w:t>A</w:t>
      </w:r>
      <w:r w:rsidRPr="00C043AF">
        <w:rPr>
          <w:rFonts w:ascii="Palatino Linotype" w:eastAsia="Palatino Linotype" w:hAnsi="Palatino Linotype" w:cs="Palatino Linotype"/>
          <w:b/>
        </w:rPr>
        <w:t>yuntamiento, vigentes al treinta y uno de julio de dos mil veinticinco</w:t>
      </w:r>
      <w:r w:rsidR="0087620B" w:rsidRPr="00C043AF">
        <w:rPr>
          <w:rFonts w:ascii="Palatino Linotype" w:eastAsia="Palatino Linotype" w:hAnsi="Palatino Linotype" w:cs="Palatino Linotype"/>
        </w:rPr>
        <w:t>.</w:t>
      </w:r>
    </w:p>
    <w:p w14:paraId="7BBE3002" w14:textId="77777777" w:rsidR="0004412B" w:rsidRPr="00C043AF" w:rsidRDefault="0004412B" w:rsidP="00EE5803">
      <w:pPr>
        <w:spacing w:after="0" w:line="360" w:lineRule="auto"/>
        <w:ind w:left="567" w:right="560"/>
        <w:jc w:val="both"/>
        <w:rPr>
          <w:rFonts w:ascii="Palatino Linotype" w:eastAsia="Palatino Linotype" w:hAnsi="Palatino Linotype" w:cs="Palatino Linotype"/>
          <w:i/>
        </w:rPr>
      </w:pPr>
    </w:p>
    <w:p w14:paraId="013A59D5" w14:textId="3011DD3E" w:rsidR="00F26C86" w:rsidRPr="00C043AF" w:rsidRDefault="00F26C86"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En respuesta, el </w:t>
      </w:r>
      <w:r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xml:space="preserve"> por conducto del Tesorero Municipal informó que los documentos solicitados, forman parte de la integración del tercer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 por lo que, </w:t>
      </w:r>
      <w:r w:rsidR="00930172" w:rsidRPr="00C043AF">
        <w:rPr>
          <w:rFonts w:ascii="Palatino Linotype" w:eastAsia="Palatino Linotype" w:hAnsi="Palatino Linotype" w:cs="Palatino Linotype"/>
        </w:rPr>
        <w:t xml:space="preserve">refirió </w:t>
      </w:r>
      <w:r w:rsidRPr="00C043AF">
        <w:rPr>
          <w:rFonts w:ascii="Palatino Linotype" w:eastAsia="Palatino Linotype" w:hAnsi="Palatino Linotype" w:cs="Palatino Linotype"/>
        </w:rPr>
        <w:t>la entrega del Acuerdo 7/2025 publicado por el OSFEM por el que se emiten los lineamientos, fechas de capacitación y calendarización para la integración y presentación de los informes trimestrales estatales y municipales, establecidos en el anexo 1 de este Acuerdo, del ejercicio fiscal 2025.</w:t>
      </w:r>
    </w:p>
    <w:p w14:paraId="3694F547" w14:textId="77777777" w:rsidR="00F26C86" w:rsidRPr="00C043AF" w:rsidRDefault="00F26C86" w:rsidP="00EE5803">
      <w:pPr>
        <w:spacing w:after="0" w:line="360" w:lineRule="auto"/>
        <w:ind w:right="49"/>
        <w:jc w:val="both"/>
        <w:rPr>
          <w:rFonts w:ascii="Palatino Linotype" w:eastAsia="Palatino Linotype" w:hAnsi="Palatino Linotype" w:cs="Palatino Linotype"/>
        </w:rPr>
      </w:pPr>
    </w:p>
    <w:p w14:paraId="4FC71C57" w14:textId="2F306020" w:rsidR="00F26C86" w:rsidRPr="00C043AF" w:rsidRDefault="00930172"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Asimismo, anexó el link</w:t>
      </w:r>
      <w:r w:rsidR="00F26C86" w:rsidRPr="00C043AF">
        <w:rPr>
          <w:rFonts w:ascii="Palatino Linotype" w:eastAsia="Palatino Linotype" w:hAnsi="Palatino Linotype" w:cs="Palatino Linotype"/>
        </w:rPr>
        <w:t xml:space="preserve"> de la página oficial del Órgano Superior de Fiscalización del Estado de México, en el apartado de Lineamientos, componentes informes trimestrales, Acuerdo 7/2025: </w:t>
      </w:r>
      <w:hyperlink r:id="rId10" w:history="1">
        <w:r w:rsidR="00F26C86" w:rsidRPr="00C043AF">
          <w:rPr>
            <w:rStyle w:val="Hipervnculo"/>
            <w:rFonts w:ascii="Palatino Linotype" w:eastAsia="Palatino Linotype" w:hAnsi="Palatino Linotype" w:cs="Palatino Linotype"/>
            <w:color w:val="auto"/>
            <w:spacing w:val="-20"/>
          </w:rPr>
          <w:t>https://www.osfem.gob.mx/assets/conocenos/marco normativo/acuerdos/2025/acuerdo 07 2025.pd</w:t>
        </w:r>
        <w:r w:rsidR="00F26C86" w:rsidRPr="00C043AF">
          <w:rPr>
            <w:rStyle w:val="Hipervnculo"/>
            <w:rFonts w:ascii="Palatino Linotype" w:eastAsia="Palatino Linotype" w:hAnsi="Palatino Linotype" w:cs="Palatino Linotype"/>
            <w:color w:val="auto"/>
          </w:rPr>
          <w:t>f</w:t>
        </w:r>
      </w:hyperlink>
      <w:r w:rsidR="00F26C86" w:rsidRPr="00C043AF">
        <w:rPr>
          <w:rFonts w:ascii="Palatino Linotype" w:eastAsia="Palatino Linotype" w:hAnsi="Palatino Linotype" w:cs="Palatino Linotype"/>
        </w:rPr>
        <w:t xml:space="preserve">. </w:t>
      </w:r>
    </w:p>
    <w:p w14:paraId="5243D991" w14:textId="77777777" w:rsidR="00F26C86" w:rsidRPr="00C043AF" w:rsidRDefault="00F26C86" w:rsidP="00EE5803">
      <w:pPr>
        <w:spacing w:after="0" w:line="360" w:lineRule="auto"/>
        <w:ind w:right="49"/>
        <w:jc w:val="both"/>
        <w:rPr>
          <w:rFonts w:ascii="Palatino Linotype" w:eastAsia="Palatino Linotype" w:hAnsi="Palatino Linotype" w:cs="Palatino Linotype"/>
        </w:rPr>
      </w:pPr>
    </w:p>
    <w:p w14:paraId="6D01A518" w14:textId="6D9CAD46" w:rsidR="0004412B" w:rsidRPr="00C043AF" w:rsidRDefault="00117754"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Derivado de ello, la parte </w:t>
      </w:r>
      <w:r w:rsidRPr="00C043AF">
        <w:rPr>
          <w:rFonts w:ascii="Palatino Linotype" w:eastAsia="Palatino Linotype" w:hAnsi="Palatino Linotype" w:cs="Palatino Linotype"/>
          <w:b/>
        </w:rPr>
        <w:t>Recurrente</w:t>
      </w:r>
      <w:r w:rsidRPr="00C043AF">
        <w:rPr>
          <w:rFonts w:ascii="Palatino Linotype" w:eastAsia="Palatino Linotype" w:hAnsi="Palatino Linotype" w:cs="Palatino Linotype"/>
        </w:rPr>
        <w:t xml:space="preserve"> se inconformó </w:t>
      </w:r>
      <w:r w:rsidR="0087620B" w:rsidRPr="00C043AF">
        <w:rPr>
          <w:rFonts w:ascii="Palatino Linotype" w:eastAsia="Palatino Linotype" w:hAnsi="Palatino Linotype" w:cs="Palatino Linotype"/>
        </w:rPr>
        <w:t xml:space="preserve">arguyendo la </w:t>
      </w:r>
      <w:r w:rsidR="00930172" w:rsidRPr="00C043AF">
        <w:rPr>
          <w:rFonts w:ascii="Palatino Linotype" w:eastAsia="Palatino Linotype" w:hAnsi="Palatino Linotype" w:cs="Palatino Linotype"/>
        </w:rPr>
        <w:t>negativa a la información solicitada</w:t>
      </w:r>
      <w:r w:rsidR="0087620B" w:rsidRPr="00C043AF">
        <w:rPr>
          <w:rFonts w:ascii="Palatino Linotype" w:eastAsia="Palatino Linotype" w:hAnsi="Palatino Linotype" w:cs="Palatino Linotype"/>
        </w:rPr>
        <w:t xml:space="preserve">. </w:t>
      </w:r>
    </w:p>
    <w:p w14:paraId="56E57C14" w14:textId="77777777" w:rsidR="0087620B" w:rsidRPr="00C043AF" w:rsidRDefault="0087620B"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D57E972" w14:textId="06B4FF53" w:rsidR="00CC2635" w:rsidRPr="00C043AF" w:rsidRDefault="0087620B"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Es así que, mediante informe justificado, el </w:t>
      </w:r>
      <w:r w:rsidRPr="00C043AF">
        <w:rPr>
          <w:rFonts w:ascii="Palatino Linotype" w:eastAsia="Palatino Linotype" w:hAnsi="Palatino Linotype" w:cs="Palatino Linotype"/>
          <w:b/>
        </w:rPr>
        <w:t>Sujeto Obligado</w:t>
      </w:r>
      <w:r w:rsidR="00CC2635" w:rsidRPr="00C043AF">
        <w:rPr>
          <w:rFonts w:ascii="Palatino Linotype" w:eastAsia="Palatino Linotype" w:hAnsi="Palatino Linotype" w:cs="Palatino Linotype"/>
        </w:rPr>
        <w:t xml:space="preserve"> a </w:t>
      </w:r>
      <w:r w:rsidR="008A4FBE" w:rsidRPr="00C043AF">
        <w:rPr>
          <w:rFonts w:ascii="Palatino Linotype" w:eastAsia="Palatino Linotype" w:hAnsi="Palatino Linotype" w:cs="Palatino Linotype"/>
        </w:rPr>
        <w:t xml:space="preserve">través </w:t>
      </w:r>
      <w:r w:rsidR="00CC2635" w:rsidRPr="00C043AF">
        <w:rPr>
          <w:rFonts w:ascii="Palatino Linotype" w:eastAsia="Palatino Linotype" w:hAnsi="Palatino Linotype" w:cs="Palatino Linotype"/>
        </w:rPr>
        <w:t xml:space="preserve">del Tesorero Municipal ratificó su respuesta inicial. </w:t>
      </w:r>
    </w:p>
    <w:p w14:paraId="5CB90822" w14:textId="77777777" w:rsidR="006516C6" w:rsidRPr="00C043AF" w:rsidRDefault="006516C6" w:rsidP="00EE580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05DF72" w14:textId="6B5477D0" w:rsidR="0087620B" w:rsidRPr="00C043AF" w:rsidRDefault="008104EC" w:rsidP="00EE5803">
      <w:pPr>
        <w:pBdr>
          <w:top w:val="nil"/>
          <w:left w:val="nil"/>
          <w:bottom w:val="nil"/>
          <w:right w:val="nil"/>
          <w:between w:val="nil"/>
        </w:pBdr>
        <w:spacing w:after="0" w:line="360" w:lineRule="auto"/>
        <w:ind w:right="49"/>
        <w:jc w:val="both"/>
        <w:rPr>
          <w:rFonts w:ascii="Palatino Linotype" w:eastAsia="Times New Roman" w:hAnsi="Palatino Linotype" w:cs="Tahoma"/>
          <w:bCs/>
          <w:lang w:eastAsia="es-ES"/>
        </w:rPr>
      </w:pPr>
      <w:r w:rsidRPr="00C043AF">
        <w:rPr>
          <w:rFonts w:ascii="Palatino Linotype" w:eastAsia="Palatino Linotype" w:hAnsi="Palatino Linotype" w:cs="Palatino Linotype"/>
        </w:rPr>
        <w:t>En atención a ello, se procede a contextualizar la información requerida, para esto,</w:t>
      </w:r>
      <w:r w:rsidR="00771DC0" w:rsidRPr="00C043AF">
        <w:rPr>
          <w:rFonts w:ascii="Palatino Linotype" w:eastAsia="Palatino Linotype" w:hAnsi="Palatino Linotype" w:cs="Palatino Linotype"/>
        </w:rPr>
        <w:t xml:space="preserve"> en</w:t>
      </w:r>
      <w:r w:rsidR="00E57132" w:rsidRPr="00C043AF">
        <w:rPr>
          <w:rFonts w:ascii="Palatino Linotype" w:eastAsia="Palatino Linotype" w:hAnsi="Palatino Linotype" w:cs="Palatino Linotype"/>
        </w:rPr>
        <w:t xml:space="preserve"> principio es menester referir </w:t>
      </w:r>
      <w:r w:rsidR="00E57132" w:rsidRPr="00C043AF">
        <w:rPr>
          <w:rFonts w:ascii="Palatino Linotype" w:eastAsia="Times New Roman" w:hAnsi="Palatino Linotype" w:cs="Tahoma"/>
          <w:bCs/>
          <w:lang w:eastAsia="es-ES"/>
        </w:rPr>
        <w:t xml:space="preserve">que </w:t>
      </w:r>
      <w:r w:rsidR="0087620B" w:rsidRPr="00C043AF">
        <w:rPr>
          <w:rFonts w:ascii="Palatino Linotype" w:hAnsi="Palatino Linotype" w:cs="Tahoma"/>
          <w:bCs/>
        </w:rPr>
        <w:t xml:space="preserve">los estados de cuenta bancarios </w:t>
      </w:r>
      <w:r w:rsidR="00E57132" w:rsidRPr="00C043AF">
        <w:rPr>
          <w:rFonts w:ascii="Palatino Linotype" w:hAnsi="Palatino Linotype" w:cs="Tahoma"/>
          <w:bCs/>
        </w:rPr>
        <w:t xml:space="preserve">que </w:t>
      </w:r>
      <w:r w:rsidR="00147519" w:rsidRPr="00C043AF">
        <w:rPr>
          <w:rFonts w:ascii="Palatino Linotype" w:hAnsi="Palatino Linotype" w:cs="Tahoma"/>
          <w:bCs/>
        </w:rPr>
        <w:t>da</w:t>
      </w:r>
      <w:r w:rsidR="00E57132" w:rsidRPr="00C043AF">
        <w:rPr>
          <w:rFonts w:ascii="Palatino Linotype" w:hAnsi="Palatino Linotype" w:cs="Tahoma"/>
          <w:bCs/>
        </w:rPr>
        <w:t>n</w:t>
      </w:r>
      <w:r w:rsidR="00147519" w:rsidRPr="00C043AF">
        <w:rPr>
          <w:rFonts w:ascii="Palatino Linotype" w:hAnsi="Palatino Linotype" w:cs="Tahoma"/>
          <w:bCs/>
        </w:rPr>
        <w:t xml:space="preserve"> cuenta de la transferencia o </w:t>
      </w:r>
      <w:r w:rsidR="009A351A" w:rsidRPr="00C043AF">
        <w:rPr>
          <w:rFonts w:ascii="Palatino Linotype" w:hAnsi="Palatino Linotype" w:cs="Tahoma"/>
          <w:bCs/>
        </w:rPr>
        <w:t>a</w:t>
      </w:r>
      <w:r w:rsidR="00147519" w:rsidRPr="00C043AF">
        <w:rPr>
          <w:rFonts w:ascii="Palatino Linotype" w:hAnsi="Palatino Linotype" w:cs="Tahoma"/>
          <w:bCs/>
        </w:rPr>
        <w:t xml:space="preserve">l </w:t>
      </w:r>
      <w:r w:rsidR="00E57132" w:rsidRPr="00C043AF">
        <w:rPr>
          <w:rFonts w:ascii="Palatino Linotype" w:hAnsi="Palatino Linotype" w:cs="Tahoma"/>
          <w:bCs/>
        </w:rPr>
        <w:t>depósito</w:t>
      </w:r>
      <w:r w:rsidR="00147519" w:rsidRPr="00C043AF">
        <w:rPr>
          <w:rFonts w:ascii="Palatino Linotype" w:hAnsi="Palatino Linotype" w:cs="Tahoma"/>
          <w:bCs/>
        </w:rPr>
        <w:t xml:space="preserve"> de recurso</w:t>
      </w:r>
      <w:r w:rsidR="009A351A" w:rsidRPr="00C043AF">
        <w:rPr>
          <w:rFonts w:ascii="Palatino Linotype" w:hAnsi="Palatino Linotype" w:cs="Tahoma"/>
          <w:bCs/>
        </w:rPr>
        <w:t xml:space="preserve"> </w:t>
      </w:r>
      <w:r w:rsidR="00E57132" w:rsidRPr="00C043AF">
        <w:rPr>
          <w:rFonts w:ascii="Palatino Linotype" w:hAnsi="Palatino Linotype" w:cs="Tahoma"/>
          <w:bCs/>
        </w:rPr>
        <w:t>que llegan a las cuentas de instituciones pública</w:t>
      </w:r>
      <w:r w:rsidR="0087620B" w:rsidRPr="00C043AF">
        <w:rPr>
          <w:rFonts w:ascii="Palatino Linotype" w:eastAsia="Times New Roman" w:hAnsi="Palatino Linotype" w:cs="Times New Roman"/>
          <w:lang w:val="es-ES" w:eastAsia="es-ES"/>
        </w:rPr>
        <w:t xml:space="preserve">, son considerados como información pública, pues su difusión favorece la rendición de cuentas al transparentar la forma en que se administrar los recursos públicos; situación que se robustece con el Criterio </w:t>
      </w:r>
      <w:r w:rsidR="00B91366" w:rsidRPr="00C043AF">
        <w:rPr>
          <w:rFonts w:ascii="Palatino Linotype" w:eastAsia="Times New Roman" w:hAnsi="Palatino Linotype" w:cs="Times New Roman"/>
          <w:lang w:val="es-ES" w:eastAsia="es-ES"/>
        </w:rPr>
        <w:t xml:space="preserve">orientador </w:t>
      </w:r>
      <w:r w:rsidR="0087620B" w:rsidRPr="00C043AF">
        <w:rPr>
          <w:rFonts w:ascii="Palatino Linotype" w:eastAsia="Times New Roman" w:hAnsi="Palatino Linotype" w:cs="Times New Roman"/>
          <w:lang w:val="es-ES" w:eastAsia="es-ES"/>
        </w:rPr>
        <w:t xml:space="preserve">11/17, del </w:t>
      </w:r>
      <w:r w:rsidR="00B91366" w:rsidRPr="00C043AF">
        <w:rPr>
          <w:rFonts w:ascii="Palatino Linotype" w:eastAsia="Times New Roman" w:hAnsi="Palatino Linotype" w:cs="Times New Roman"/>
          <w:lang w:val="es-ES" w:eastAsia="es-ES"/>
        </w:rPr>
        <w:t xml:space="preserve">entonces </w:t>
      </w:r>
      <w:r w:rsidR="0087620B" w:rsidRPr="00C043AF">
        <w:rPr>
          <w:rFonts w:ascii="Palatino Linotype" w:eastAsia="Times New Roman" w:hAnsi="Palatino Linotype" w:cs="Times New Roman"/>
          <w:lang w:val="es-ES" w:eastAsia="es-ES"/>
        </w:rPr>
        <w:t>Instituto Nacional de Transparencia, Acceso a la Información y Protección de Datos Personales, que a la letra precisa:</w:t>
      </w:r>
    </w:p>
    <w:p w14:paraId="7759E1FE" w14:textId="77777777" w:rsidR="0087620B" w:rsidRPr="00C043AF" w:rsidRDefault="0087620B" w:rsidP="00EE5803">
      <w:pPr>
        <w:spacing w:after="0" w:line="360" w:lineRule="auto"/>
        <w:jc w:val="both"/>
        <w:rPr>
          <w:rFonts w:ascii="Palatino Linotype" w:eastAsia="Times New Roman" w:hAnsi="Palatino Linotype" w:cs="Times New Roman"/>
          <w:lang w:val="es-ES" w:eastAsia="es-ES"/>
        </w:rPr>
      </w:pPr>
    </w:p>
    <w:p w14:paraId="4E3FB559" w14:textId="172FA710" w:rsidR="0087620B" w:rsidRPr="00C043AF" w:rsidRDefault="0087620B" w:rsidP="00EE5803">
      <w:pPr>
        <w:tabs>
          <w:tab w:val="left" w:pos="7938"/>
        </w:tabs>
        <w:spacing w:after="0" w:line="276" w:lineRule="auto"/>
        <w:ind w:left="851" w:right="843"/>
        <w:jc w:val="both"/>
        <w:rPr>
          <w:rFonts w:ascii="Palatino Linotype" w:hAnsi="Palatino Linotype" w:cs="Arial"/>
          <w:i/>
        </w:rPr>
      </w:pPr>
      <w:r w:rsidRPr="00C043AF">
        <w:rPr>
          <w:rFonts w:ascii="Palatino Linotype" w:hAnsi="Palatino Linotype" w:cs="Arial"/>
          <w:i/>
        </w:rPr>
        <w:t>“</w:t>
      </w:r>
      <w:r w:rsidRPr="00C043AF">
        <w:rPr>
          <w:rFonts w:ascii="Palatino Linotype" w:hAnsi="Palatino Linotype" w:cs="Arial"/>
          <w:b/>
          <w:i/>
        </w:rPr>
        <w:t>Cuentas bancarias y/o CLABE interbancaria de sujetos obligados que reciben y/o transfieren recursos públicos, son información pública</w:t>
      </w:r>
      <w:r w:rsidRPr="00C043AF">
        <w:rPr>
          <w:rFonts w:ascii="Palatino Linotype" w:hAnsi="Palatino Linotype" w:cs="Arial"/>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r w:rsidR="00147519" w:rsidRPr="00C043AF">
        <w:rPr>
          <w:rFonts w:ascii="Palatino Linotype" w:hAnsi="Palatino Linotype" w:cs="Arial"/>
          <w:i/>
        </w:rPr>
        <w:t xml:space="preserve"> </w:t>
      </w:r>
    </w:p>
    <w:p w14:paraId="4DF1ED54" w14:textId="77777777" w:rsidR="0087620B" w:rsidRPr="00C043AF" w:rsidRDefault="0087620B" w:rsidP="00EE5803">
      <w:pPr>
        <w:spacing w:after="0" w:line="360" w:lineRule="auto"/>
        <w:jc w:val="both"/>
        <w:rPr>
          <w:rFonts w:ascii="Palatino Linotype" w:hAnsi="Palatino Linotype" w:cs="Times New Roman"/>
        </w:rPr>
      </w:pPr>
    </w:p>
    <w:p w14:paraId="552A902C" w14:textId="0B39D1B1" w:rsidR="0087620B" w:rsidRPr="00C043AF" w:rsidRDefault="0087620B" w:rsidP="00EE5803">
      <w:pPr>
        <w:spacing w:after="0" w:line="360" w:lineRule="auto"/>
        <w:jc w:val="both"/>
        <w:rPr>
          <w:rFonts w:ascii="Palatino Linotype" w:hAnsi="Palatino Linotype" w:cs="Times New Roman"/>
        </w:rPr>
      </w:pPr>
      <w:r w:rsidRPr="00C043AF">
        <w:rPr>
          <w:rFonts w:ascii="Palatino Linotype" w:hAnsi="Palatino Linotype" w:cs="Times New Roman"/>
        </w:rPr>
        <w:t xml:space="preserve">Asimismo, el artículo 2°, fracción III, de la Ley General de Títulos y Operaciones de Crédito establece que los actos y las operaciones que regula esta Ley General, se regirán por los </w:t>
      </w:r>
      <w:r w:rsidRPr="00C043AF">
        <w:rPr>
          <w:rFonts w:ascii="Palatino Linotype" w:hAnsi="Palatino Linotype" w:cs="Times New Roman"/>
          <w:b/>
          <w:bCs/>
        </w:rPr>
        <w:t xml:space="preserve">usos </w:t>
      </w:r>
      <w:r w:rsidRPr="00C043AF">
        <w:rPr>
          <w:rFonts w:ascii="Palatino Linotype" w:hAnsi="Palatino Linotype" w:cs="Times New Roman"/>
        </w:rPr>
        <w:t>bancarios y mercantiles, es así que</w:t>
      </w:r>
      <w:r w:rsidR="009A351A" w:rsidRPr="00C043AF">
        <w:rPr>
          <w:rFonts w:ascii="Palatino Linotype" w:hAnsi="Palatino Linotype" w:cs="Times New Roman"/>
        </w:rPr>
        <w:t>,</w:t>
      </w:r>
      <w:r w:rsidRPr="00C043AF">
        <w:rPr>
          <w:rFonts w:ascii="Palatino Linotype" w:hAnsi="Palatino Linotype" w:cs="Times New Roman"/>
        </w:rPr>
        <w:t xml:space="preserve"> la cuenta bancaria y estado de cuenta se definen como: </w:t>
      </w:r>
    </w:p>
    <w:p w14:paraId="5CE9CDF6" w14:textId="77777777" w:rsidR="0087620B" w:rsidRPr="00C043AF" w:rsidRDefault="0087620B" w:rsidP="00EE5803">
      <w:pPr>
        <w:spacing w:after="0" w:line="360" w:lineRule="auto"/>
        <w:jc w:val="both"/>
        <w:rPr>
          <w:rFonts w:ascii="Palatino Linotype" w:hAnsi="Palatino Linotype" w:cs="Times New Roman"/>
        </w:rPr>
      </w:pPr>
    </w:p>
    <w:p w14:paraId="108F3860" w14:textId="77777777" w:rsidR="0087620B" w:rsidRPr="00C043AF" w:rsidRDefault="0087620B" w:rsidP="00EE5803">
      <w:pPr>
        <w:numPr>
          <w:ilvl w:val="0"/>
          <w:numId w:val="13"/>
        </w:numPr>
        <w:spacing w:after="0" w:line="360" w:lineRule="auto"/>
        <w:contextualSpacing/>
        <w:jc w:val="both"/>
        <w:rPr>
          <w:rFonts w:ascii="Palatino Linotype" w:eastAsia="Times New Roman" w:hAnsi="Palatino Linotype" w:cs="Times New Roman"/>
          <w:lang w:eastAsia="es-ES"/>
        </w:rPr>
      </w:pPr>
      <w:r w:rsidRPr="00C043AF">
        <w:rPr>
          <w:rFonts w:ascii="Palatino Linotype" w:eastAsia="Times New Roman" w:hAnsi="Palatino Linotype" w:cs="Times New Roman"/>
          <w:b/>
          <w:bCs/>
          <w:lang w:eastAsia="es-ES"/>
        </w:rPr>
        <w:t>Cuenta bancaria:</w:t>
      </w:r>
      <w:r w:rsidRPr="00C043AF">
        <w:rPr>
          <w:rFonts w:ascii="Palatino Linotype" w:eastAsia="Times New Roman" w:hAnsi="Palatino Linotype" w:cs="Times New Roman"/>
          <w:lang w:eastAsia="es-ES"/>
        </w:rPr>
        <w:t xml:space="preserve"> Una cuenta bancaria es un registro que mantiene un banco, en el que guarda dinero y contabiliza todas las entradas y salidas de efectivo, así como los créditos en curso, inversiones y productos relacionados.</w:t>
      </w:r>
    </w:p>
    <w:p w14:paraId="617284D4" w14:textId="77777777" w:rsidR="0087620B" w:rsidRPr="00C043AF" w:rsidRDefault="0087620B" w:rsidP="00EE5803">
      <w:pPr>
        <w:spacing w:after="0" w:line="360" w:lineRule="auto"/>
        <w:ind w:left="720"/>
        <w:contextualSpacing/>
        <w:jc w:val="both"/>
        <w:rPr>
          <w:rFonts w:ascii="Palatino Linotype" w:eastAsia="Times New Roman" w:hAnsi="Palatino Linotype" w:cs="Times New Roman"/>
          <w:lang w:eastAsia="es-ES"/>
        </w:rPr>
      </w:pPr>
    </w:p>
    <w:p w14:paraId="015E9D93" w14:textId="77777777" w:rsidR="0087620B" w:rsidRPr="00C043AF" w:rsidRDefault="0087620B" w:rsidP="00EE5803">
      <w:pPr>
        <w:numPr>
          <w:ilvl w:val="0"/>
          <w:numId w:val="13"/>
        </w:numPr>
        <w:spacing w:after="0" w:line="360" w:lineRule="auto"/>
        <w:contextualSpacing/>
        <w:jc w:val="both"/>
        <w:rPr>
          <w:rFonts w:ascii="Palatino Linotype" w:eastAsia="Times New Roman" w:hAnsi="Palatino Linotype" w:cs="Times New Roman"/>
          <w:lang w:eastAsia="es-ES"/>
        </w:rPr>
      </w:pPr>
      <w:r w:rsidRPr="00C043AF">
        <w:rPr>
          <w:rFonts w:ascii="Palatino Linotype" w:eastAsia="Times New Roman" w:hAnsi="Palatino Linotype" w:cs="Times New Roman"/>
          <w:b/>
          <w:bCs/>
          <w:lang w:eastAsia="es-ES"/>
        </w:rPr>
        <w:t>Estado de cuenta:</w:t>
      </w:r>
      <w:r w:rsidRPr="00C043AF">
        <w:rPr>
          <w:rFonts w:ascii="Palatino Linotype" w:eastAsia="Times New Roman" w:hAnsi="Palatino Linotype" w:cs="Times New Roman"/>
          <w:lang w:eastAsia="es-ES"/>
        </w:rPr>
        <w:t xml:space="preserve"> 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25CFBABD"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p>
    <w:p w14:paraId="659257B7" w14:textId="2F492D0D" w:rsidR="00E57132"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rPr>
        <w:t xml:space="preserve">Ahora bien, </w:t>
      </w:r>
      <w:r w:rsidR="009A351A" w:rsidRPr="00C043AF">
        <w:rPr>
          <w:rFonts w:ascii="Palatino Linotype" w:eastAsia="Arial Unicode MS" w:hAnsi="Palatino Linotype" w:cs="Arial"/>
        </w:rPr>
        <w:t xml:space="preserve">de lo anterior, se colige que el estado de cuenta es un documento emitido por una institución bancaria en el que se advierten los movimientos realizados -en este caso- por la autoridad pública y, mediante el cual se puede obtener información como el </w:t>
      </w:r>
      <w:r w:rsidRPr="00C043AF">
        <w:rPr>
          <w:rFonts w:ascii="Palatino Linotype" w:eastAsia="Arial Unicode MS" w:hAnsi="Palatino Linotype" w:cs="Arial"/>
        </w:rPr>
        <w:t>número de cuent</w:t>
      </w:r>
      <w:r w:rsidR="009A351A" w:rsidRPr="00C043AF">
        <w:rPr>
          <w:rFonts w:ascii="Palatino Linotype" w:eastAsia="Arial Unicode MS" w:hAnsi="Palatino Linotype" w:cs="Arial"/>
        </w:rPr>
        <w:t xml:space="preserve">a, el cual es definido como </w:t>
      </w:r>
      <w:r w:rsidRPr="00C043AF">
        <w:rPr>
          <w:rFonts w:ascii="Palatino Linotype" w:eastAsia="Arial Unicode MS" w:hAnsi="Palatino Linotype" w:cs="Arial"/>
        </w:rPr>
        <w:t xml:space="preserve">un conjunto de caracteres numéricos utilizado por los grupos financieros para identificar a los clientes. Dicho número es único e irrepetible, establecido a cada cuenta bancaria que avala que los recursos enviados a las órdenes de cargo, pago de nómina o a las transferencias electrónicas de fondos interbancarios se utilicen exclusivamente en la cuenta señalada por el cliente. </w:t>
      </w:r>
    </w:p>
    <w:p w14:paraId="5A91E154" w14:textId="77777777" w:rsidR="009A351A" w:rsidRPr="00C043AF" w:rsidRDefault="009A351A" w:rsidP="00EE5803">
      <w:pPr>
        <w:tabs>
          <w:tab w:val="left" w:pos="7938"/>
        </w:tabs>
        <w:spacing w:after="0" w:line="360" w:lineRule="auto"/>
        <w:jc w:val="both"/>
        <w:rPr>
          <w:rFonts w:ascii="Palatino Linotype" w:eastAsia="Arial Unicode MS" w:hAnsi="Palatino Linotype" w:cs="Arial"/>
        </w:rPr>
      </w:pPr>
    </w:p>
    <w:p w14:paraId="5211DA68" w14:textId="3D39983E"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rPr>
        <w:t>Dicha clave se compone de 18 dígitos numéricos que corresponden a los siguientes datos:</w:t>
      </w:r>
    </w:p>
    <w:p w14:paraId="11F49B8E"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p>
    <w:p w14:paraId="70004CE8"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b/>
        </w:rPr>
        <w:t>CÓDIGO DE BANCO</w:t>
      </w:r>
      <w:r w:rsidRPr="00C043AF">
        <w:rPr>
          <w:rFonts w:ascii="Palatino Linotype" w:eastAsia="Arial Unicode MS" w:hAnsi="Palatino Linotype" w:cs="Arial"/>
        </w:rPr>
        <w:t>: Donde radica la cuenta, de acuerdo con los números asignados a las Instituciones de Crédito Asociación de Bancos de México (tres dígitos).</w:t>
      </w:r>
    </w:p>
    <w:p w14:paraId="56935492"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b/>
        </w:rPr>
        <w:t>CÓDIGO DE PLAZA</w:t>
      </w:r>
      <w:r w:rsidRPr="00C043AF">
        <w:rPr>
          <w:rFonts w:ascii="Palatino Linotype" w:eastAsia="Arial Unicode MS" w:hAnsi="Palatino Linotype" w:cs="Arial"/>
        </w:rPr>
        <w:t xml:space="preserve">: Ciudad o región donde el cliente mantiene su cuenta, de acuerdo con la definición de claves de plaza definida para el servicio de cheques (tres dígitos). </w:t>
      </w:r>
    </w:p>
    <w:p w14:paraId="6D203B47"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b/>
        </w:rPr>
        <w:t>NUMERO DE CUENTA</w:t>
      </w:r>
      <w:r w:rsidRPr="00C043AF">
        <w:rPr>
          <w:rFonts w:ascii="Palatino Linotype" w:eastAsia="Arial Unicode MS" w:hAnsi="Palatino Linotype" w:cs="Arial"/>
        </w:rPr>
        <w:t xml:space="preserve">: Campo en donde se incluye la información que cada banco para individualizar la cuenta de sus clientes (once dígitos), y </w:t>
      </w:r>
    </w:p>
    <w:p w14:paraId="088F159F"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b/>
        </w:rPr>
        <w:t>DÍGITO DE CONTROL.</w:t>
      </w:r>
      <w:r w:rsidRPr="00C043AF">
        <w:rPr>
          <w:rFonts w:ascii="Palatino Linotype" w:eastAsia="Arial Unicode MS" w:hAnsi="Palatino Linotype" w:cs="Arial"/>
        </w:rPr>
        <w:t xml:space="preserve"> Es un dígito que se obtiene a través de aplicar un algoritmo que permite validar que la estructura de los datos contenidos en la CLABE sean correctos (un dígito).</w:t>
      </w:r>
    </w:p>
    <w:p w14:paraId="743D2DEE"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p>
    <w:p w14:paraId="6A17F400"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b/>
          <w:bCs/>
          <w:u w:val="single"/>
        </w:rPr>
        <w:t>Así las cuentas bancarias otorgadas al municipio y su CLABE es única e irrepetible, estableciendo con ello una relación que avala que los cargos efectuados, las transferencias electrónicas realizadas o los abonos efectuados corresponden, exclusivamente a la cuenta proporcionada a su titular</w:t>
      </w:r>
      <w:r w:rsidRPr="00C043AF">
        <w:rPr>
          <w:rFonts w:ascii="Palatino Linotype" w:eastAsia="Arial Unicode MS" w:hAnsi="Palatino Linotype" w:cs="Arial"/>
        </w:rPr>
        <w:t xml:space="preserve">, creando con ello una relación entre el municipio y la institución encargada de prestar servicios de carácter financiero, mismo que se encuentra estrechamente relacionada con el patrimonio municipal a la que se asignó el número. </w:t>
      </w:r>
    </w:p>
    <w:p w14:paraId="33F89D9C"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p>
    <w:p w14:paraId="63C33BF1" w14:textId="37823C88"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rPr>
        <w:t>Derivado de lo anterior, se considera que el estado de cuenta bancaria y la CLABE interbancaria</w:t>
      </w:r>
      <w:r w:rsidR="009A351A" w:rsidRPr="00C043AF">
        <w:rPr>
          <w:rFonts w:ascii="Palatino Linotype" w:eastAsia="Arial Unicode MS" w:hAnsi="Palatino Linotype" w:cs="Arial"/>
        </w:rPr>
        <w:t xml:space="preserve"> </w:t>
      </w:r>
      <w:r w:rsidRPr="00C043AF">
        <w:rPr>
          <w:rFonts w:ascii="Palatino Linotype" w:eastAsia="Arial Unicode MS" w:hAnsi="Palatino Linotype" w:cs="Arial"/>
        </w:rPr>
        <w:t>del Municipio se encuentra asociado a su patrimonio, entendiendo éste como el conjunto de bienes, fondos, derechos, obligaciones</w:t>
      </w:r>
      <w:r w:rsidR="009A351A" w:rsidRPr="00C043AF">
        <w:rPr>
          <w:rFonts w:ascii="Palatino Linotype" w:eastAsia="Arial Unicode MS" w:hAnsi="Palatino Linotype" w:cs="Arial"/>
        </w:rPr>
        <w:t xml:space="preserve">; </w:t>
      </w:r>
      <w:r w:rsidRPr="00C043AF">
        <w:rPr>
          <w:rFonts w:ascii="Palatino Linotype" w:eastAsia="Arial Unicode MS" w:hAnsi="Palatino Linotype" w:cs="Arial"/>
        </w:rPr>
        <w:t>por tanto, se trata de información de dominio público,</w:t>
      </w:r>
      <w:r w:rsidR="00E57132" w:rsidRPr="00C043AF">
        <w:rPr>
          <w:rFonts w:ascii="Palatino Linotype" w:eastAsia="Arial Unicode MS" w:hAnsi="Palatino Linotype" w:cs="Arial"/>
        </w:rPr>
        <w:t xml:space="preserve"> además de que el Municipio de Toluca </w:t>
      </w:r>
      <w:r w:rsidRPr="00C043AF">
        <w:rPr>
          <w:rFonts w:ascii="Palatino Linotype" w:eastAsia="Arial Unicode MS" w:hAnsi="Palatino Linotype" w:cs="Arial"/>
        </w:rPr>
        <w:t>cuenta con personalidad jurídica y patrimonio propios, autonomía de decisión técnica, operativa y administrativa en términos de la Ley Orgánica Municipal.</w:t>
      </w:r>
    </w:p>
    <w:p w14:paraId="53DF7753"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p>
    <w:p w14:paraId="3EF17EC6" w14:textId="4B4D710A" w:rsidR="0087620B"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rPr>
        <w:t xml:space="preserve">Por su parte los </w:t>
      </w:r>
      <w:r w:rsidR="00C07056" w:rsidRPr="00C043AF">
        <w:rPr>
          <w:rFonts w:ascii="Palatino Linotype" w:eastAsia="Arial Unicode MS" w:hAnsi="Palatino Linotype" w:cs="Arial"/>
          <w:b/>
        </w:rPr>
        <w:t>Lineamientos de Control Financiero y Administrativo para las Entidades Fiscalizables Municipales del Estado de México</w:t>
      </w:r>
      <w:r w:rsidRPr="00C043AF">
        <w:rPr>
          <w:rFonts w:ascii="Palatino Linotype" w:eastAsia="Arial Unicode MS" w:hAnsi="Palatino Linotype" w:cs="Arial"/>
        </w:rPr>
        <w:t>, publicados en la Ga</w:t>
      </w:r>
      <w:r w:rsidR="00C07056" w:rsidRPr="00C043AF">
        <w:rPr>
          <w:rFonts w:ascii="Palatino Linotype" w:eastAsia="Arial Unicode MS" w:hAnsi="Palatino Linotype" w:cs="Arial"/>
        </w:rPr>
        <w:t xml:space="preserve">ceta de Gobierno en fecha once </w:t>
      </w:r>
      <w:r w:rsidRPr="00C043AF">
        <w:rPr>
          <w:rFonts w:ascii="Palatino Linotype" w:eastAsia="Arial Unicode MS" w:hAnsi="Palatino Linotype" w:cs="Arial"/>
        </w:rPr>
        <w:t xml:space="preserve">de julio de </w:t>
      </w:r>
      <w:r w:rsidR="00C07056" w:rsidRPr="00C043AF">
        <w:rPr>
          <w:rFonts w:ascii="Palatino Linotype" w:eastAsia="Arial Unicode MS" w:hAnsi="Palatino Linotype" w:cs="Arial"/>
        </w:rPr>
        <w:t xml:space="preserve">dos mil trece, </w:t>
      </w:r>
      <w:r w:rsidRPr="00C043AF">
        <w:rPr>
          <w:rFonts w:ascii="Palatino Linotype" w:eastAsia="Arial Unicode MS" w:hAnsi="Palatino Linotype" w:cs="Arial"/>
        </w:rPr>
        <w:t>establecen lo siguiente:</w:t>
      </w:r>
    </w:p>
    <w:p w14:paraId="519940AE"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p>
    <w:p w14:paraId="7F532960"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rPr>
        <w:t>“</w:t>
      </w:r>
      <w:r w:rsidRPr="00C043AF">
        <w:rPr>
          <w:rFonts w:ascii="Palatino Linotype" w:eastAsia="Arial Unicode MS" w:hAnsi="Palatino Linotype" w:cs="Arial"/>
          <w:i/>
        </w:rPr>
        <w:t xml:space="preserve">DÉCIMO QUINTO: El tesorero deberá identificar y verificar los cálculos y registrar en el periodo correspondiente los intereses generados </w:t>
      </w:r>
      <w:r w:rsidRPr="00C043AF">
        <w:rPr>
          <w:rFonts w:ascii="Palatino Linotype" w:eastAsia="Arial Unicode MS" w:hAnsi="Palatino Linotype" w:cs="Arial"/>
          <w:b/>
          <w:i/>
          <w:u w:val="single"/>
        </w:rPr>
        <w:t>en cada una de las cuentas bancarias</w:t>
      </w:r>
      <w:r w:rsidRPr="00C043AF">
        <w:rPr>
          <w:rFonts w:ascii="Palatino Linotype" w:eastAsia="Arial Unicode MS" w:hAnsi="Palatino Linotype" w:cs="Arial"/>
          <w:i/>
        </w:rPr>
        <w:t>.</w:t>
      </w:r>
    </w:p>
    <w:p w14:paraId="346743BC"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789E4083" w14:textId="77777777" w:rsidR="0087620B" w:rsidRPr="00C043AF" w:rsidRDefault="0087620B" w:rsidP="00EE5803">
      <w:pPr>
        <w:tabs>
          <w:tab w:val="left" w:pos="7938"/>
        </w:tabs>
        <w:spacing w:after="0" w:line="276" w:lineRule="auto"/>
        <w:ind w:left="851" w:right="850"/>
        <w:jc w:val="center"/>
        <w:rPr>
          <w:rFonts w:ascii="Palatino Linotype" w:eastAsia="Arial Unicode MS" w:hAnsi="Palatino Linotype" w:cs="Arial"/>
          <w:b/>
          <w:i/>
        </w:rPr>
      </w:pPr>
      <w:r w:rsidRPr="00C043AF">
        <w:rPr>
          <w:rFonts w:ascii="Palatino Linotype" w:eastAsia="Arial Unicode MS" w:hAnsi="Palatino Linotype" w:cs="Arial"/>
          <w:b/>
          <w:i/>
        </w:rPr>
        <w:t>TÍTULO SEGUNDO</w:t>
      </w:r>
    </w:p>
    <w:p w14:paraId="6A1DCAC9" w14:textId="77777777" w:rsidR="0087620B" w:rsidRPr="00C043AF" w:rsidRDefault="0087620B" w:rsidP="00EE5803">
      <w:pPr>
        <w:tabs>
          <w:tab w:val="left" w:pos="7938"/>
        </w:tabs>
        <w:spacing w:after="0" w:line="276" w:lineRule="auto"/>
        <w:ind w:left="851" w:right="850"/>
        <w:jc w:val="center"/>
        <w:rPr>
          <w:rFonts w:ascii="Palatino Linotype" w:eastAsia="Arial Unicode MS" w:hAnsi="Palatino Linotype" w:cs="Arial"/>
          <w:b/>
          <w:i/>
        </w:rPr>
      </w:pPr>
      <w:r w:rsidRPr="00C043AF">
        <w:rPr>
          <w:rFonts w:ascii="Palatino Linotype" w:eastAsia="Arial Unicode MS" w:hAnsi="Palatino Linotype" w:cs="Arial"/>
          <w:b/>
          <w:i/>
        </w:rPr>
        <w:t>LINEAMIENTOS DE CONTROL</w:t>
      </w:r>
    </w:p>
    <w:p w14:paraId="13F98220" w14:textId="77777777" w:rsidR="0087620B" w:rsidRPr="00C043AF" w:rsidRDefault="0087620B" w:rsidP="00EE5803">
      <w:pPr>
        <w:tabs>
          <w:tab w:val="left" w:pos="7938"/>
        </w:tabs>
        <w:spacing w:after="0" w:line="276" w:lineRule="auto"/>
        <w:ind w:left="851" w:right="850"/>
        <w:jc w:val="center"/>
        <w:rPr>
          <w:rFonts w:ascii="Palatino Linotype" w:eastAsia="Arial Unicode MS" w:hAnsi="Palatino Linotype" w:cs="Arial"/>
          <w:b/>
          <w:i/>
        </w:rPr>
      </w:pPr>
      <w:r w:rsidRPr="00C043AF">
        <w:rPr>
          <w:rFonts w:ascii="Palatino Linotype" w:eastAsia="Arial Unicode MS" w:hAnsi="Palatino Linotype" w:cs="Arial"/>
          <w:b/>
          <w:i/>
        </w:rPr>
        <w:t>FINANCIERO Y ADMINISTRATIVO</w:t>
      </w:r>
    </w:p>
    <w:p w14:paraId="6601B7D3"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p>
    <w:p w14:paraId="6AF60E50"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INGRESOS</w:t>
      </w:r>
    </w:p>
    <w:p w14:paraId="7C900C25"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EFECTIVO</w:t>
      </w:r>
    </w:p>
    <w:p w14:paraId="3D2ED5A9"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Son obligaciones a cargo del Tesorero:</w:t>
      </w:r>
    </w:p>
    <w:p w14:paraId="48C795BA"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2BC7D88A"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 xml:space="preserve">2. Depositar íntegra y diariamente los ingresos recaudados de la entidad fiscalizable municipal, </w:t>
      </w:r>
      <w:r w:rsidRPr="00C043AF">
        <w:rPr>
          <w:rFonts w:ascii="Palatino Linotype" w:eastAsia="Arial Unicode MS" w:hAnsi="Palatino Linotype" w:cs="Arial"/>
          <w:b/>
          <w:i/>
          <w:u w:val="single"/>
        </w:rPr>
        <w:t>en la cuenta bancaria de recursos propios correspondiente</w:t>
      </w:r>
      <w:r w:rsidRPr="00C043AF">
        <w:rPr>
          <w:rFonts w:ascii="Palatino Linotype" w:eastAsia="Arial Unicode MS" w:hAnsi="Palatino Linotype" w:cs="Arial"/>
          <w:i/>
        </w:rPr>
        <w:t>, cuando se cuente con institución bancaria en la localidad. En caso de no contar con ésta, el depósito deberá realizarse a más tardar al tercer día hábil de aquel en que se recaudó.</w:t>
      </w:r>
    </w:p>
    <w:p w14:paraId="2CCAE30D"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7E75370C"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BANCOS</w:t>
      </w:r>
    </w:p>
    <w:p w14:paraId="71CDB294"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w:t>
      </w:r>
    </w:p>
    <w:p w14:paraId="7B48D544"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Son obligaciones del Presidente y Tesorero:</w:t>
      </w:r>
    </w:p>
    <w:p w14:paraId="342A9B7F"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 xml:space="preserve">23. </w:t>
      </w:r>
      <w:r w:rsidRPr="00C043AF">
        <w:rPr>
          <w:rFonts w:ascii="Palatino Linotype" w:eastAsia="Arial Unicode MS" w:hAnsi="Palatino Linotype" w:cs="Arial"/>
          <w:b/>
          <w:i/>
          <w:u w:val="single"/>
        </w:rPr>
        <w:t xml:space="preserve">El presidente y tesorero o equivalente deberán </w:t>
      </w:r>
      <w:proofErr w:type="spellStart"/>
      <w:r w:rsidRPr="00C043AF">
        <w:rPr>
          <w:rFonts w:ascii="Palatino Linotype" w:eastAsia="Arial Unicode MS" w:hAnsi="Palatino Linotype" w:cs="Arial"/>
          <w:b/>
          <w:i/>
          <w:u w:val="single"/>
        </w:rPr>
        <w:t>aperturar</w:t>
      </w:r>
      <w:proofErr w:type="spellEnd"/>
      <w:r w:rsidRPr="00C043AF">
        <w:rPr>
          <w:rFonts w:ascii="Palatino Linotype" w:eastAsia="Arial Unicode MS" w:hAnsi="Palatino Linotype" w:cs="Arial"/>
          <w:b/>
          <w:i/>
          <w:u w:val="single"/>
        </w:rPr>
        <w:t xml:space="preserve"> las cuentas bancarias</w:t>
      </w:r>
      <w:r w:rsidRPr="00C043AF">
        <w:rPr>
          <w:rFonts w:ascii="Palatino Linotype" w:eastAsia="Arial Unicode MS" w:hAnsi="Palatino Linotype" w:cs="Arial"/>
          <w:i/>
        </w:rPr>
        <w:t xml:space="preserve"> como personas jurídicas colectivas con fines no lucrativos o entes gubernamentales con firmas mancomunadas, a nombre de la entidad fiscalizable municipal, con el nombre del programa o recurso y el contrato respectivo por cada uno de los recursos federales, estatales o municipales.</w:t>
      </w:r>
    </w:p>
    <w:p w14:paraId="619C3279"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404935E8"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 xml:space="preserve">24. Abstenerse de mezclar tanto </w:t>
      </w:r>
      <w:r w:rsidRPr="00C043AF">
        <w:rPr>
          <w:rFonts w:ascii="Palatino Linotype" w:eastAsia="Arial Unicode MS" w:hAnsi="Palatino Linotype" w:cs="Arial"/>
          <w:b/>
          <w:i/>
          <w:u w:val="single"/>
        </w:rPr>
        <w:t>en las cuentas bancarias</w:t>
      </w:r>
      <w:r w:rsidRPr="00C043AF">
        <w:rPr>
          <w:rFonts w:ascii="Palatino Linotype" w:eastAsia="Arial Unicode MS" w:hAnsi="Palatino Linotype" w:cs="Arial"/>
          <w:i/>
        </w:rPr>
        <w:t xml:space="preserve"> como en sus registros contables, los ingresos provenientes de recursos federales, estatales o municipales entre sí, incluyendo los de financiamiento a corto y largo plazo y </w:t>
      </w:r>
      <w:r w:rsidRPr="00C043AF">
        <w:rPr>
          <w:rFonts w:ascii="Palatino Linotype" w:eastAsia="Arial Unicode MS" w:hAnsi="Palatino Linotype" w:cs="Arial"/>
          <w:b/>
          <w:i/>
          <w:u w:val="single"/>
        </w:rPr>
        <w:t>deberán contabilizar individualmente en una cuenta específica cada uno de ellos</w:t>
      </w:r>
      <w:r w:rsidRPr="00C043AF">
        <w:rPr>
          <w:rFonts w:ascii="Palatino Linotype" w:eastAsia="Arial Unicode MS" w:hAnsi="Palatino Linotype" w:cs="Arial"/>
          <w:i/>
        </w:rPr>
        <w:t>.</w:t>
      </w:r>
    </w:p>
    <w:p w14:paraId="53A5D8FA"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1C81C48A"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b/>
          <w:i/>
        </w:rPr>
        <w:t>CONSTRUCCIONES EN PROCESO EN BIENES DEL DOMINIO PÚBLICO</w:t>
      </w:r>
    </w:p>
    <w:p w14:paraId="395DB42E"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5AD61E94"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 xml:space="preserve">51. Tratándose de la realización de obras que cuenten con aportaciones comunitarias, independientemente de que se ejecuten con recursos federales, estatales o municipales, el tesorero deberá llevar a cabo el seguimiento, ejecución y control de dichas aportaciones, </w:t>
      </w:r>
      <w:r w:rsidRPr="00C043AF">
        <w:rPr>
          <w:rFonts w:ascii="Palatino Linotype" w:eastAsia="Arial Unicode MS" w:hAnsi="Palatino Linotype" w:cs="Arial"/>
          <w:b/>
          <w:i/>
          <w:u w:val="single"/>
        </w:rPr>
        <w:t>debiendo depositarlas en la cuenta bancaria específica del fondo de donde provengan los recursos</w:t>
      </w:r>
      <w:r w:rsidRPr="00C043AF">
        <w:rPr>
          <w:rFonts w:ascii="Palatino Linotype" w:eastAsia="Arial Unicode MS" w:hAnsi="Palatino Linotype" w:cs="Arial"/>
          <w:i/>
        </w:rPr>
        <w:t>, así mismo, deberá elaborar el recibo oficial de ingresos correspondiente con copia al comité comunitario.</w:t>
      </w:r>
    </w:p>
    <w:p w14:paraId="635FF3BF"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7316DA5F"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SUELDOS Y SALARIOS POR PAGAR</w:t>
      </w:r>
    </w:p>
    <w:p w14:paraId="4EC4759B"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b/>
          <w:i/>
        </w:rPr>
      </w:pPr>
      <w:r w:rsidRPr="00C043AF">
        <w:rPr>
          <w:rFonts w:ascii="Palatino Linotype" w:eastAsia="Arial Unicode MS" w:hAnsi="Palatino Linotype" w:cs="Arial"/>
          <w:b/>
          <w:i/>
        </w:rPr>
        <w:t>Son obligaciones del Tesorero:</w:t>
      </w:r>
    </w:p>
    <w:p w14:paraId="61E0A854"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w:t>
      </w:r>
    </w:p>
    <w:p w14:paraId="02A68360" w14:textId="77777777" w:rsidR="0087620B" w:rsidRPr="00C043AF" w:rsidRDefault="0087620B" w:rsidP="00EE5803">
      <w:pPr>
        <w:tabs>
          <w:tab w:val="left" w:pos="7938"/>
        </w:tabs>
        <w:spacing w:after="0" w:line="276" w:lineRule="auto"/>
        <w:ind w:left="851" w:right="850"/>
        <w:jc w:val="both"/>
        <w:rPr>
          <w:rFonts w:ascii="Palatino Linotype" w:eastAsia="Arial Unicode MS" w:hAnsi="Palatino Linotype" w:cs="Arial"/>
          <w:i/>
        </w:rPr>
      </w:pPr>
      <w:r w:rsidRPr="00C043AF">
        <w:rPr>
          <w:rFonts w:ascii="Palatino Linotype" w:eastAsia="Arial Unicode MS" w:hAnsi="Palatino Linotype" w:cs="Arial"/>
          <w:i/>
        </w:rPr>
        <w:t xml:space="preserve">66. Depositar los sueldos y salarios no cobrados en un plazo no mayor a cinco días hábiles siguientes a la fecha en que debió hacerse el pago, </w:t>
      </w:r>
      <w:r w:rsidRPr="00C043AF">
        <w:rPr>
          <w:rFonts w:ascii="Palatino Linotype" w:eastAsia="Arial Unicode MS" w:hAnsi="Palatino Linotype" w:cs="Arial"/>
          <w:b/>
          <w:i/>
          <w:u w:val="single"/>
        </w:rPr>
        <w:t>en la cuenta bancaria de la cual salió el recurso</w:t>
      </w:r>
      <w:r w:rsidRPr="00C043AF">
        <w:rPr>
          <w:rFonts w:ascii="Palatino Linotype" w:eastAsia="Arial Unicode MS" w:hAnsi="Palatino Linotype" w:cs="Arial"/>
          <w:i/>
        </w:rPr>
        <w:t>.”</w:t>
      </w:r>
    </w:p>
    <w:p w14:paraId="4D47D230" w14:textId="77777777" w:rsidR="0087620B" w:rsidRPr="00C043AF" w:rsidRDefault="0087620B" w:rsidP="00EE5803">
      <w:pPr>
        <w:tabs>
          <w:tab w:val="left" w:pos="7938"/>
        </w:tabs>
        <w:spacing w:after="0" w:line="360" w:lineRule="auto"/>
        <w:jc w:val="both"/>
        <w:rPr>
          <w:rFonts w:ascii="Palatino Linotype" w:eastAsia="Arial Unicode MS" w:hAnsi="Palatino Linotype" w:cs="Arial"/>
        </w:rPr>
      </w:pPr>
    </w:p>
    <w:p w14:paraId="59389CF0" w14:textId="6BE9900E" w:rsidR="00C07056" w:rsidRPr="00C043AF" w:rsidRDefault="0087620B" w:rsidP="00EE5803">
      <w:pPr>
        <w:tabs>
          <w:tab w:val="left" w:pos="7938"/>
        </w:tabs>
        <w:spacing w:after="0" w:line="360" w:lineRule="auto"/>
        <w:jc w:val="both"/>
        <w:rPr>
          <w:rFonts w:ascii="Palatino Linotype" w:eastAsia="Arial Unicode MS" w:hAnsi="Palatino Linotype" w:cs="Arial"/>
        </w:rPr>
      </w:pPr>
      <w:r w:rsidRPr="00C043AF">
        <w:rPr>
          <w:rFonts w:ascii="Palatino Linotype" w:eastAsia="Arial Unicode MS" w:hAnsi="Palatino Linotype" w:cs="Arial"/>
        </w:rPr>
        <w:t>Ahora bien, del Informe Trimestral Municipal que se entrega al Órgano Superior de Fiscalización del Estado de México (OSFEM), en su instructivo de llenado del Módulo 1 se establece:</w:t>
      </w:r>
    </w:p>
    <w:p w14:paraId="7A48665D" w14:textId="77777777" w:rsidR="00C07056" w:rsidRPr="00C043AF" w:rsidRDefault="00C07056" w:rsidP="00EE5803">
      <w:pPr>
        <w:tabs>
          <w:tab w:val="left" w:pos="7938"/>
        </w:tabs>
        <w:spacing w:after="0" w:line="360" w:lineRule="auto"/>
        <w:jc w:val="both"/>
        <w:rPr>
          <w:rFonts w:ascii="Palatino Linotype" w:eastAsia="Arial Unicode MS" w:hAnsi="Palatino Linotype" w:cs="Arial"/>
        </w:rPr>
      </w:pPr>
    </w:p>
    <w:p w14:paraId="468BF299" w14:textId="3DC202FE" w:rsidR="00C07056" w:rsidRPr="00C043AF" w:rsidRDefault="00732449" w:rsidP="00EE5803">
      <w:pPr>
        <w:tabs>
          <w:tab w:val="left" w:pos="7938"/>
        </w:tabs>
        <w:spacing w:after="0" w:line="360" w:lineRule="auto"/>
        <w:jc w:val="both"/>
        <w:rPr>
          <w:rFonts w:ascii="Palatino Linotype" w:eastAsia="Arial Unicode MS" w:hAnsi="Palatino Linotype" w:cs="Arial"/>
        </w:rPr>
      </w:pPr>
      <w:r w:rsidRPr="00C043AF">
        <w:rPr>
          <w:rFonts w:ascii="Palatino Linotype" w:hAnsi="Palatino Linotype"/>
          <w:noProof/>
        </w:rPr>
        <mc:AlternateContent>
          <mc:Choice Requires="wps">
            <w:drawing>
              <wp:anchor distT="0" distB="0" distL="114300" distR="114300" simplePos="0" relativeHeight="251663360" behindDoc="0" locked="0" layoutInCell="1" allowOverlap="1" wp14:anchorId="26567A2D" wp14:editId="72A9DBDA">
                <wp:simplePos x="0" y="0"/>
                <wp:positionH relativeFrom="margin">
                  <wp:posOffset>15240</wp:posOffset>
                </wp:positionH>
                <wp:positionV relativeFrom="paragraph">
                  <wp:posOffset>1922144</wp:posOffset>
                </wp:positionV>
                <wp:extent cx="419100" cy="0"/>
                <wp:effectExtent l="0" t="19050" r="19050" b="19050"/>
                <wp:wrapNone/>
                <wp:docPr id="6" name="Conector recto 6"/>
                <wp:cNvGraphicFramePr/>
                <a:graphic xmlns:a="http://schemas.openxmlformats.org/drawingml/2006/main">
                  <a:graphicData uri="http://schemas.microsoft.com/office/word/2010/wordprocessingShape">
                    <wps:wsp>
                      <wps:cNvCnPr/>
                      <wps:spPr>
                        <a:xfrm flipV="1">
                          <a:off x="0" y="0"/>
                          <a:ext cx="4191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99A0D54"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51.35pt" to="34.2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" strokecolor="red" strokeweight="2.25pt">
                <v:stroke joinstyle="miter"/>
                <w10:wrap anchorx="margin"/>
              </v:line>
            </w:pict>
          </mc:Fallback>
        </mc:AlternateContent>
      </w:r>
      <w:r w:rsidR="00C07056" w:rsidRPr="00C043AF">
        <w:rPr>
          <w:rFonts w:ascii="Palatino Linotype" w:hAnsi="Palatino Linotype"/>
          <w:noProof/>
        </w:rPr>
        <mc:AlternateContent>
          <mc:Choice Requires="wps">
            <w:drawing>
              <wp:anchor distT="0" distB="0" distL="114300" distR="114300" simplePos="0" relativeHeight="251661312" behindDoc="0" locked="0" layoutInCell="1" allowOverlap="1" wp14:anchorId="65EFB39A" wp14:editId="56F9AEAD">
                <wp:simplePos x="0" y="0"/>
                <wp:positionH relativeFrom="column">
                  <wp:posOffset>1605915</wp:posOffset>
                </wp:positionH>
                <wp:positionV relativeFrom="paragraph">
                  <wp:posOffset>2281555</wp:posOffset>
                </wp:positionV>
                <wp:extent cx="3028950" cy="9525"/>
                <wp:effectExtent l="19050" t="19050" r="19050" b="28575"/>
                <wp:wrapNone/>
                <wp:docPr id="10" name="Conector recto 10"/>
                <wp:cNvGraphicFramePr/>
                <a:graphic xmlns:a="http://schemas.openxmlformats.org/drawingml/2006/main">
                  <a:graphicData uri="http://schemas.microsoft.com/office/word/2010/wordprocessingShape">
                    <wps:wsp>
                      <wps:cNvCnPr/>
                      <wps:spPr>
                        <a:xfrm flipV="1">
                          <a:off x="0" y="0"/>
                          <a:ext cx="302895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E68DBFB" id="Conector recto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6.45pt,179.65pt" to="364.9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" strokecolor="red" strokeweight="2.25pt">
                <v:stroke joinstyle="miter"/>
              </v:line>
            </w:pict>
          </mc:Fallback>
        </mc:AlternateContent>
      </w:r>
      <w:r w:rsidR="00C07056" w:rsidRPr="00C043AF">
        <w:rPr>
          <w:rFonts w:ascii="Palatino Linotype" w:eastAsia="Arial Unicode MS" w:hAnsi="Palatino Linotype" w:cs="Arial"/>
          <w:noProof/>
        </w:rPr>
        <w:drawing>
          <wp:inline distT="0" distB="0" distL="0" distR="0" wp14:anchorId="4A92EFAA" wp14:editId="281319F7">
            <wp:extent cx="5756275" cy="2407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2407285"/>
                    </a:xfrm>
                    <a:prstGeom prst="rect">
                      <a:avLst/>
                    </a:prstGeom>
                  </pic:spPr>
                </pic:pic>
              </a:graphicData>
            </a:graphic>
          </wp:inline>
        </w:drawing>
      </w:r>
    </w:p>
    <w:p w14:paraId="7F46E304" w14:textId="77777777" w:rsidR="0087620B" w:rsidRPr="00C043AF" w:rsidRDefault="0087620B" w:rsidP="00EE5803">
      <w:pPr>
        <w:tabs>
          <w:tab w:val="left" w:pos="7938"/>
        </w:tabs>
        <w:spacing w:after="0" w:line="240" w:lineRule="auto"/>
        <w:ind w:left="851" w:right="851"/>
        <w:jc w:val="both"/>
        <w:rPr>
          <w:rFonts w:ascii="Palatino Linotype" w:eastAsia="Arial Unicode MS" w:hAnsi="Palatino Linotype" w:cs="Arial"/>
          <w:i/>
        </w:rPr>
      </w:pPr>
    </w:p>
    <w:p w14:paraId="382E94CB" w14:textId="7CEE10CE" w:rsidR="0087620B" w:rsidRPr="00C043AF" w:rsidRDefault="0087620B" w:rsidP="00EE5803">
      <w:pPr>
        <w:tabs>
          <w:tab w:val="left" w:pos="7938"/>
        </w:tabs>
        <w:spacing w:after="0" w:line="360" w:lineRule="auto"/>
        <w:jc w:val="both"/>
        <w:rPr>
          <w:rFonts w:ascii="Palatino Linotype" w:eastAsiaTheme="minorEastAsia" w:hAnsi="Palatino Linotype" w:cs="Arial"/>
          <w:lang w:val="es-ES_tradnl" w:eastAsia="es-ES"/>
        </w:rPr>
      </w:pPr>
      <w:r w:rsidRPr="00C043AF">
        <w:rPr>
          <w:rFonts w:ascii="Palatino Linotype" w:eastAsia="Arial Unicode MS" w:hAnsi="Palatino Linotype" w:cs="Arial"/>
        </w:rPr>
        <w:t xml:space="preserve">Consecuentemente, este Instituto concluye que la información correspondiente a los Estados de Cuenta Bancaria </w:t>
      </w:r>
      <w:r w:rsidR="00C07056" w:rsidRPr="00C043AF">
        <w:rPr>
          <w:rFonts w:ascii="Palatino Linotype" w:eastAsia="Arial Unicode MS" w:hAnsi="Palatino Linotype" w:cs="Arial"/>
        </w:rPr>
        <w:t xml:space="preserve">es información pública que posee el </w:t>
      </w:r>
      <w:r w:rsidR="00C07056" w:rsidRPr="00C043AF">
        <w:rPr>
          <w:rFonts w:ascii="Palatino Linotype" w:eastAsia="Arial Unicode MS" w:hAnsi="Palatino Linotype" w:cs="Arial"/>
          <w:b/>
        </w:rPr>
        <w:t>Sujeto Obligado</w:t>
      </w:r>
      <w:r w:rsidRPr="00C043AF">
        <w:rPr>
          <w:rFonts w:ascii="Palatino Linotype" w:eastAsia="Arial Unicode MS" w:hAnsi="Palatino Linotype" w:cs="Arial"/>
        </w:rPr>
        <w:t>, en los términos que han quedado expuestos</w:t>
      </w:r>
      <w:r w:rsidR="00C07056" w:rsidRPr="00C043AF">
        <w:rPr>
          <w:rFonts w:ascii="Palatino Linotype" w:eastAsia="Arial Unicode MS" w:hAnsi="Palatino Linotype" w:cs="Arial"/>
        </w:rPr>
        <w:t xml:space="preserve">; aunado a que, </w:t>
      </w:r>
      <w:r w:rsidRPr="00C043AF">
        <w:rPr>
          <w:rFonts w:ascii="Palatino Linotype" w:eastAsiaTheme="minorEastAsia" w:hAnsi="Palatino Linotype" w:cs="Arial"/>
          <w:lang w:val="es-ES_tradnl" w:eastAsia="es-ES"/>
        </w:rPr>
        <w:t>su publicidad favorece la rendición de cuentas.</w:t>
      </w:r>
    </w:p>
    <w:p w14:paraId="5407A570" w14:textId="77777777" w:rsidR="00C07056" w:rsidRPr="00C043AF" w:rsidRDefault="00C07056" w:rsidP="00EE5803">
      <w:pPr>
        <w:tabs>
          <w:tab w:val="left" w:pos="7938"/>
        </w:tabs>
        <w:spacing w:after="0" w:line="360" w:lineRule="auto"/>
        <w:jc w:val="both"/>
        <w:rPr>
          <w:rFonts w:ascii="Palatino Linotype" w:eastAsiaTheme="minorEastAsia" w:hAnsi="Palatino Linotype" w:cs="Arial"/>
          <w:lang w:val="es-ES_tradnl" w:eastAsia="es-ES"/>
        </w:rPr>
      </w:pPr>
    </w:p>
    <w:p w14:paraId="44DB08BD" w14:textId="6D05F6FD" w:rsidR="00CB4614" w:rsidRPr="00C043AF" w:rsidRDefault="00AB5D56" w:rsidP="00EE5803">
      <w:pPr>
        <w:tabs>
          <w:tab w:val="left" w:pos="7938"/>
        </w:tabs>
        <w:spacing w:after="0" w:line="360" w:lineRule="auto"/>
        <w:jc w:val="both"/>
        <w:rPr>
          <w:rFonts w:ascii="Palatino Linotype" w:eastAsiaTheme="minorEastAsia" w:hAnsi="Palatino Linotype" w:cs="Arial"/>
          <w:lang w:val="es-ES_tradnl" w:eastAsia="es-ES"/>
        </w:rPr>
      </w:pPr>
      <w:r w:rsidRPr="00C043AF">
        <w:rPr>
          <w:rFonts w:ascii="Palatino Linotype" w:eastAsiaTheme="minorEastAsia" w:hAnsi="Palatino Linotype" w:cs="Arial"/>
          <w:lang w:val="es-ES_tradnl" w:eastAsia="es-ES"/>
        </w:rPr>
        <w:t xml:space="preserve">Lo anterior guarda sentido con lo manifestado por el </w:t>
      </w:r>
      <w:r w:rsidRPr="00C043AF">
        <w:rPr>
          <w:rFonts w:ascii="Palatino Linotype" w:eastAsiaTheme="minorEastAsia" w:hAnsi="Palatino Linotype" w:cs="Arial"/>
          <w:b/>
          <w:lang w:val="es-ES_tradnl" w:eastAsia="es-ES"/>
        </w:rPr>
        <w:t>Sujeto Obligado</w:t>
      </w:r>
      <w:r w:rsidRPr="00C043AF">
        <w:rPr>
          <w:rFonts w:ascii="Palatino Linotype" w:eastAsiaTheme="minorEastAsia" w:hAnsi="Palatino Linotype" w:cs="Arial"/>
          <w:lang w:val="es-ES_tradnl" w:eastAsia="es-ES"/>
        </w:rPr>
        <w:t xml:space="preserve"> en respuesta, en la que asume que </w:t>
      </w:r>
      <w:r w:rsidR="00076802" w:rsidRPr="00C043AF">
        <w:rPr>
          <w:rFonts w:ascii="Palatino Linotype" w:eastAsiaTheme="minorEastAsia" w:hAnsi="Palatino Linotype" w:cs="Arial"/>
          <w:lang w:val="es-ES_tradnl" w:eastAsia="es-ES"/>
        </w:rPr>
        <w:t>cuenta con la información al señalar que los documentos solicitados, forman parte de la integración del</w:t>
      </w:r>
      <w:r w:rsidR="0054660E" w:rsidRPr="00C043AF">
        <w:rPr>
          <w:rFonts w:ascii="Palatino Linotype" w:eastAsiaTheme="minorEastAsia" w:hAnsi="Palatino Linotype" w:cs="Arial"/>
          <w:lang w:val="es-ES_tradnl" w:eastAsia="es-ES"/>
        </w:rPr>
        <w:t xml:space="preserve"> tercer </w:t>
      </w:r>
      <w:r w:rsidR="00076802" w:rsidRPr="00C043AF">
        <w:rPr>
          <w:rFonts w:ascii="Palatino Linotype" w:eastAsiaTheme="minorEastAsia" w:hAnsi="Palatino Linotype" w:cs="Arial"/>
          <w:lang w:val="es-ES_tradnl" w:eastAsia="es-ES"/>
        </w:rPr>
        <w:t>informe trimestral de dos mil veinticinco,</w:t>
      </w:r>
      <w:r w:rsidR="00CB4614" w:rsidRPr="00C043AF">
        <w:rPr>
          <w:rFonts w:ascii="Palatino Linotype" w:eastAsiaTheme="minorEastAsia" w:hAnsi="Palatino Linotype" w:cs="Arial"/>
          <w:lang w:val="es-ES_tradnl" w:eastAsia="es-ES"/>
        </w:rPr>
        <w:t xml:space="preserve"> la cual es </w:t>
      </w:r>
      <w:r w:rsidR="00076802" w:rsidRPr="00C043AF">
        <w:rPr>
          <w:rFonts w:ascii="Palatino Linotype" w:eastAsiaTheme="minorEastAsia" w:hAnsi="Palatino Linotype" w:cs="Arial"/>
          <w:lang w:val="es-ES_tradnl" w:eastAsia="es-ES"/>
        </w:rPr>
        <w:t>normada por los Lineamientos del Órgano Superior de Fiscalización del Estado de México en materia de integración, presentación y envío de los informes trimestrales del ejercicio fiscal 2025, de las entidades fis</w:t>
      </w:r>
      <w:r w:rsidR="00CB4614" w:rsidRPr="00C043AF">
        <w:rPr>
          <w:rFonts w:ascii="Palatino Linotype" w:eastAsiaTheme="minorEastAsia" w:hAnsi="Palatino Linotype" w:cs="Arial"/>
          <w:lang w:val="es-ES_tradnl" w:eastAsia="es-ES"/>
        </w:rPr>
        <w:t>calizables del Estado de México</w:t>
      </w:r>
      <w:r w:rsidR="00076802" w:rsidRPr="00C043AF">
        <w:rPr>
          <w:rFonts w:ascii="Palatino Linotype" w:eastAsiaTheme="minorEastAsia" w:hAnsi="Palatino Linotype" w:cs="Arial"/>
          <w:lang w:val="es-ES_tradnl" w:eastAsia="es-ES"/>
        </w:rPr>
        <w:t>.</w:t>
      </w:r>
    </w:p>
    <w:p w14:paraId="01516FDC" w14:textId="77777777" w:rsidR="00CB4614" w:rsidRPr="00C043AF" w:rsidRDefault="00CB4614" w:rsidP="00EE5803">
      <w:pPr>
        <w:tabs>
          <w:tab w:val="left" w:pos="7938"/>
        </w:tabs>
        <w:spacing w:after="0" w:line="360" w:lineRule="auto"/>
        <w:jc w:val="both"/>
        <w:rPr>
          <w:rFonts w:ascii="Palatino Linotype" w:eastAsiaTheme="minorEastAsia" w:hAnsi="Palatino Linotype" w:cs="Arial"/>
          <w:lang w:val="es-ES_tradnl" w:eastAsia="es-ES"/>
        </w:rPr>
      </w:pPr>
    </w:p>
    <w:p w14:paraId="4AD9E1F5" w14:textId="3DAA6932" w:rsidR="00AB5D56" w:rsidRPr="00C043AF" w:rsidRDefault="0054660E" w:rsidP="00EE5803">
      <w:pPr>
        <w:tabs>
          <w:tab w:val="left" w:pos="7938"/>
        </w:tabs>
        <w:spacing w:after="0" w:line="360" w:lineRule="auto"/>
        <w:jc w:val="both"/>
        <w:rPr>
          <w:rFonts w:ascii="Palatino Linotype" w:eastAsiaTheme="minorEastAsia" w:hAnsi="Palatino Linotype" w:cs="Arial"/>
          <w:lang w:val="es-ES_tradnl" w:eastAsia="es-ES"/>
        </w:rPr>
      </w:pPr>
      <w:r w:rsidRPr="00C043AF">
        <w:rPr>
          <w:rFonts w:ascii="Palatino Linotype" w:eastAsiaTheme="minorEastAsia" w:hAnsi="Palatino Linotype" w:cs="Arial"/>
          <w:lang w:val="es-ES_tradnl" w:eastAsia="es-ES"/>
        </w:rPr>
        <w:t xml:space="preserve">Aunado a ello, señaló que el </w:t>
      </w:r>
      <w:r w:rsidR="00076802" w:rsidRPr="00C043AF">
        <w:rPr>
          <w:rFonts w:ascii="Palatino Linotype" w:eastAsiaTheme="minorEastAsia" w:hAnsi="Palatino Linotype" w:cs="Arial"/>
          <w:lang w:val="es-ES_tradnl" w:eastAsia="es-ES"/>
        </w:rPr>
        <w:t>Acuerdo 7/2025 publicado por el OSFEM por el que se emiten los lineamientos, fechas de capacitación y calendarización para la integración y presentación de los informes trimestrales estatales y municipa</w:t>
      </w:r>
      <w:r w:rsidR="00CB4614" w:rsidRPr="00C043AF">
        <w:rPr>
          <w:rFonts w:ascii="Palatino Linotype" w:eastAsiaTheme="minorEastAsia" w:hAnsi="Palatino Linotype" w:cs="Arial"/>
          <w:lang w:val="es-ES_tradnl" w:eastAsia="es-ES"/>
        </w:rPr>
        <w:t>les, establecidos en el anexo 1</w:t>
      </w:r>
      <w:r w:rsidR="00AB5D56" w:rsidRPr="00C043AF">
        <w:rPr>
          <w:rFonts w:ascii="Palatino Linotype" w:eastAsiaTheme="minorEastAsia" w:hAnsi="Palatino Linotype" w:cs="Arial"/>
          <w:lang w:val="es-ES_tradnl" w:eastAsia="es-ES"/>
        </w:rPr>
        <w:t xml:space="preserve">; </w:t>
      </w:r>
      <w:r w:rsidRPr="00C043AF">
        <w:rPr>
          <w:rFonts w:ascii="Palatino Linotype" w:eastAsiaTheme="minorEastAsia" w:hAnsi="Palatino Linotype" w:cs="Arial"/>
          <w:lang w:val="es-ES_tradnl" w:eastAsia="es-ES"/>
        </w:rPr>
        <w:t xml:space="preserve">puede ser consultable en el siguiente </w:t>
      </w:r>
      <w:r w:rsidR="00076802" w:rsidRPr="00C043AF">
        <w:rPr>
          <w:rFonts w:ascii="Palatino Linotype" w:eastAsiaTheme="minorEastAsia" w:hAnsi="Palatino Linotype" w:cs="Arial"/>
          <w:lang w:val="es-ES_tradnl" w:eastAsia="es-ES"/>
        </w:rPr>
        <w:t xml:space="preserve">link: </w:t>
      </w:r>
      <w:hyperlink r:id="rId12" w:history="1">
        <w:r w:rsidRPr="00C043AF">
          <w:rPr>
            <w:rStyle w:val="Hipervnculo"/>
            <w:rFonts w:ascii="Palatino Linotype" w:eastAsiaTheme="minorEastAsia" w:hAnsi="Palatino Linotype" w:cs="Arial"/>
            <w:color w:val="auto"/>
            <w:lang w:val="es-ES_tradnl" w:eastAsia="es-ES"/>
          </w:rPr>
          <w:t>https://www.osfem.gob.mx/assets/conocenos/marco_normativo/acuerdos/2025/acuerdo_07_2025.pdf</w:t>
        </w:r>
      </w:hyperlink>
      <w:r w:rsidRPr="00C043AF">
        <w:rPr>
          <w:rFonts w:ascii="Palatino Linotype" w:eastAsiaTheme="minorEastAsia" w:hAnsi="Palatino Linotype" w:cs="Arial"/>
          <w:lang w:val="es-ES_tradnl" w:eastAsia="es-ES"/>
        </w:rPr>
        <w:t xml:space="preserve">. </w:t>
      </w:r>
    </w:p>
    <w:p w14:paraId="2DBFE500" w14:textId="77777777" w:rsidR="00EE4388" w:rsidRPr="00C043AF" w:rsidRDefault="00EE4388" w:rsidP="00EE5803">
      <w:pPr>
        <w:tabs>
          <w:tab w:val="left" w:pos="7938"/>
        </w:tabs>
        <w:spacing w:after="0" w:line="360" w:lineRule="auto"/>
        <w:jc w:val="both"/>
        <w:rPr>
          <w:rFonts w:ascii="Palatino Linotype" w:eastAsiaTheme="minorEastAsia" w:hAnsi="Palatino Linotype" w:cs="Arial"/>
          <w:lang w:val="es-ES_tradnl" w:eastAsia="es-ES"/>
        </w:rPr>
      </w:pPr>
    </w:p>
    <w:p w14:paraId="5F78CEA1" w14:textId="4514C8F9" w:rsidR="007E4A0E" w:rsidRPr="00C043AF" w:rsidRDefault="0054660E" w:rsidP="00EE5803">
      <w:pPr>
        <w:spacing w:after="0" w:line="360" w:lineRule="auto"/>
        <w:jc w:val="both"/>
        <w:rPr>
          <w:rFonts w:ascii="Palatino Linotype" w:eastAsia="Palatino Linotype" w:hAnsi="Palatino Linotype" w:cs="Palatino Linotype"/>
          <w:b/>
          <w:u w:val="single"/>
        </w:rPr>
      </w:pPr>
      <w:r w:rsidRPr="00C043AF">
        <w:rPr>
          <w:rFonts w:ascii="Palatino Linotype" w:eastAsiaTheme="minorEastAsia" w:hAnsi="Palatino Linotype" w:cs="Arial"/>
          <w:lang w:val="es-ES_tradnl" w:eastAsia="es-ES"/>
        </w:rPr>
        <w:t xml:space="preserve">Sin embargo, </w:t>
      </w:r>
      <w:r w:rsidR="007E4A0E" w:rsidRPr="00C043AF">
        <w:rPr>
          <w:rFonts w:ascii="Palatino Linotype" w:eastAsia="Palatino Linotype" w:hAnsi="Palatino Linotype" w:cs="Palatino Linotype"/>
        </w:rPr>
        <w:t xml:space="preserve">no escapa de la óptica de este Organismo Garante que el </w:t>
      </w:r>
      <w:r w:rsidR="007E4A0E" w:rsidRPr="00C043AF">
        <w:rPr>
          <w:rFonts w:ascii="Palatino Linotype" w:eastAsia="Palatino Linotype" w:hAnsi="Palatino Linotype" w:cs="Palatino Linotype"/>
          <w:b/>
        </w:rPr>
        <w:t xml:space="preserve">Sujeto Obligado </w:t>
      </w:r>
      <w:r w:rsidR="007E4A0E" w:rsidRPr="00C043AF">
        <w:rPr>
          <w:rFonts w:ascii="Palatino Linotype" w:eastAsia="Palatino Linotype" w:hAnsi="Palatino Linotype" w:cs="Palatino Linotype"/>
        </w:rPr>
        <w:t>justificó la restricción al Derecho de acceso a la información bajo el argumento de que</w:t>
      </w:r>
      <w:r w:rsidR="00FE2E4E" w:rsidRPr="00C043AF">
        <w:rPr>
          <w:rFonts w:ascii="Palatino Linotype" w:eastAsia="Palatino Linotype" w:hAnsi="Palatino Linotype" w:cs="Palatino Linotype"/>
        </w:rPr>
        <w:t xml:space="preserve"> la información solicitada forma parte de la integración del tercer informe trimestral, </w:t>
      </w:r>
      <w:r w:rsidR="007E4A0E" w:rsidRPr="00C043AF">
        <w:rPr>
          <w:rFonts w:ascii="Palatino Linotype" w:eastAsia="Palatino Linotype" w:hAnsi="Palatino Linotype" w:cs="Palatino Linotype"/>
        </w:rPr>
        <w:t xml:space="preserve">no obstante, la solicitud de información se tuvo por presentada el </w:t>
      </w:r>
      <w:r w:rsidR="00FE2E4E" w:rsidRPr="00C043AF">
        <w:rPr>
          <w:rFonts w:ascii="Palatino Linotype" w:eastAsia="Palatino Linotype" w:hAnsi="Palatino Linotype" w:cs="Palatino Linotype"/>
        </w:rPr>
        <w:t>doce de septiembre de dos mil veinticinco</w:t>
      </w:r>
      <w:r w:rsidR="007E4A0E" w:rsidRPr="00C043AF">
        <w:rPr>
          <w:rFonts w:ascii="Palatino Linotype" w:eastAsia="Palatino Linotype" w:hAnsi="Palatino Linotype" w:cs="Palatino Linotype"/>
        </w:rPr>
        <w:t xml:space="preserve">, por lo que se estima necesario precisar que si bien, los entes fiscalizables se encuentran constreñidos para cumplir con sus obligaciones fiscales en términos y periodicidad dispuesta por la normatividad correspondiente, ello </w:t>
      </w:r>
      <w:r w:rsidR="007E4A0E" w:rsidRPr="00C043AF">
        <w:rPr>
          <w:rFonts w:ascii="Palatino Linotype" w:eastAsia="Palatino Linotype" w:hAnsi="Palatino Linotype" w:cs="Palatino Linotype"/>
          <w:b/>
          <w:u w:val="single"/>
        </w:rPr>
        <w:t xml:space="preserve">no significa que los sujetos obligados no permitan el acceso a la información que por su naturaleza deben generar de manera diaria, semanal o mensual, cuando ello se solicite en el ejercicio del derecho de acceso a la información. </w:t>
      </w:r>
    </w:p>
    <w:p w14:paraId="35C0E9A6" w14:textId="77777777" w:rsidR="00EE4388" w:rsidRPr="00C043AF" w:rsidRDefault="00EE4388" w:rsidP="00EE5803">
      <w:pPr>
        <w:spacing w:after="0" w:line="360" w:lineRule="auto"/>
        <w:jc w:val="both"/>
        <w:rPr>
          <w:rFonts w:ascii="Palatino Linotype" w:eastAsia="Palatino Linotype" w:hAnsi="Palatino Linotype" w:cs="Palatino Linotype"/>
        </w:rPr>
      </w:pPr>
    </w:p>
    <w:p w14:paraId="389BE6A8" w14:textId="77777777" w:rsidR="007E4A0E" w:rsidRPr="00C043AF" w:rsidRDefault="007E4A0E" w:rsidP="00EE5803">
      <w:pPr>
        <w:pBdr>
          <w:top w:val="nil"/>
          <w:left w:val="nil"/>
          <w:bottom w:val="nil"/>
          <w:right w:val="nil"/>
          <w:between w:val="nil"/>
        </w:pBd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En el caso particular, si bien es cierto, los entes fiscalizables entregan sus informes trimestralmente en cumplimiento de sus obligaciones fiscales, también lo es que estos </w:t>
      </w:r>
      <w:r w:rsidRPr="00C043AF">
        <w:rPr>
          <w:rFonts w:ascii="Palatino Linotype" w:eastAsia="Palatino Linotype" w:hAnsi="Palatino Linotype" w:cs="Palatino Linotype"/>
          <w:b/>
          <w:u w:val="single"/>
        </w:rPr>
        <w:t>se integran de información que ha sido obtenida de forma consecutiva</w:t>
      </w:r>
      <w:r w:rsidRPr="00C043AF">
        <w:rPr>
          <w:rFonts w:ascii="Palatino Linotype" w:eastAsia="Palatino Linotype" w:hAnsi="Palatino Linotype" w:cs="Palatino Linotype"/>
        </w:rPr>
        <w:t>, por lo que, en el caso de que un particular solicite información antes del trimestre, los Sujetos Obligados no pueden impedir acceso a los documentos que hasta el momento se han generado, sino que deben proporcionar la información que obre en sus archivos ya sea del periodo solicitado o, a la fecha de la solicitud de información. </w:t>
      </w:r>
    </w:p>
    <w:p w14:paraId="44D04512" w14:textId="77777777" w:rsidR="00EE4388" w:rsidRPr="00C043AF" w:rsidRDefault="00EE4388" w:rsidP="00EE5803">
      <w:pPr>
        <w:pBdr>
          <w:top w:val="nil"/>
          <w:left w:val="nil"/>
          <w:bottom w:val="nil"/>
          <w:right w:val="nil"/>
          <w:between w:val="nil"/>
        </w:pBdr>
        <w:spacing w:after="0" w:line="360" w:lineRule="auto"/>
        <w:jc w:val="both"/>
        <w:rPr>
          <w:rFonts w:ascii="Palatino Linotype" w:hAnsi="Palatino Linotype"/>
        </w:rPr>
      </w:pPr>
    </w:p>
    <w:p w14:paraId="13F6F876" w14:textId="7E9D1734" w:rsidR="004A745B" w:rsidRPr="00C043AF" w:rsidRDefault="004A745B" w:rsidP="00EE5803">
      <w:pPr>
        <w:pBdr>
          <w:top w:val="nil"/>
          <w:left w:val="nil"/>
          <w:bottom w:val="nil"/>
          <w:right w:val="nil"/>
          <w:between w:val="nil"/>
        </w:pBdr>
        <w:spacing w:after="0" w:line="360" w:lineRule="auto"/>
        <w:jc w:val="both"/>
        <w:rPr>
          <w:rFonts w:ascii="Palatino Linotype" w:hAnsi="Palatino Linotype"/>
        </w:rPr>
      </w:pPr>
      <w:r w:rsidRPr="00C043AF">
        <w:rPr>
          <w:rFonts w:ascii="Palatino Linotype" w:eastAsia="Palatino Linotype" w:hAnsi="Palatino Linotype" w:cs="Palatino Linotype"/>
        </w:rPr>
        <w:t>En ese sentido, se le invita al Sujeto Obligado que tenga a bien proporcionar toda la información que genere, administre y posee en congruencia con sus facultades, atribuciones y competencias, a la fecha en que los particulares lo solicitan o, del periodo que refieran, independientemente si esta está sujeta a plazos para cumplir con obligaciones en materia de fiscalización o, incluso, en materia de transparencia, toda vez que el derecho de acceso a la información es una prerrogativa constitucional que los ciudadanos gozan y debe ser garantizada por cualquier autoridad pública. </w:t>
      </w:r>
    </w:p>
    <w:p w14:paraId="00AEA5F9" w14:textId="77777777" w:rsidR="00CC2B3B" w:rsidRPr="00C043AF" w:rsidRDefault="00CC2B3B" w:rsidP="00EE5803">
      <w:pPr>
        <w:spacing w:after="0" w:line="360" w:lineRule="auto"/>
        <w:ind w:right="51"/>
        <w:jc w:val="both"/>
        <w:rPr>
          <w:rFonts w:ascii="Palatino Linotype" w:eastAsiaTheme="minorEastAsia" w:hAnsi="Palatino Linotype" w:cs="Arial"/>
          <w:lang w:val="es-ES_tradnl" w:eastAsia="es-ES"/>
        </w:rPr>
      </w:pPr>
    </w:p>
    <w:p w14:paraId="6ACCC534" w14:textId="51CC56D1" w:rsidR="00CF1000" w:rsidRPr="00C043AF" w:rsidRDefault="00CC2B3B"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004A745B" w:rsidRPr="00C043AF">
        <w:rPr>
          <w:rFonts w:ascii="Palatino Linotype" w:eastAsia="Palatino Linotype" w:hAnsi="Palatino Linotype" w:cs="Palatino Linotype"/>
          <w:b/>
        </w:rPr>
        <w:t>Recurrente</w:t>
      </w:r>
      <w:r w:rsidR="004A745B" w:rsidRPr="00C043AF">
        <w:rPr>
          <w:rFonts w:ascii="Palatino Linotype" w:eastAsia="Palatino Linotype" w:hAnsi="Palatino Linotype" w:cs="Palatino Linotype"/>
        </w:rPr>
        <w:t xml:space="preserve"> </w:t>
      </w:r>
      <w:r w:rsidRPr="00C043AF">
        <w:rPr>
          <w:rFonts w:ascii="Palatino Linotype" w:eastAsia="Palatino Linotype" w:hAnsi="Palatino Linotype" w:cs="Palatino Linotype"/>
        </w:rPr>
        <w:t xml:space="preserve">dentro del recurso de revisión </w:t>
      </w:r>
      <w:r w:rsidR="00732449" w:rsidRPr="00C043AF">
        <w:rPr>
          <w:rFonts w:ascii="Palatino Linotype" w:eastAsia="Palatino Linotype" w:hAnsi="Palatino Linotype" w:cs="Palatino Linotype"/>
          <w:b/>
        </w:rPr>
        <w:t>11774</w:t>
      </w:r>
      <w:r w:rsidR="00CF1000" w:rsidRPr="00C043AF">
        <w:rPr>
          <w:rFonts w:ascii="Palatino Linotype" w:eastAsia="Palatino Linotype" w:hAnsi="Palatino Linotype" w:cs="Palatino Linotype"/>
          <w:b/>
        </w:rPr>
        <w:t>/INFOEM/IP/RR/2025</w:t>
      </w:r>
      <w:r w:rsidRPr="00C043AF">
        <w:rPr>
          <w:rFonts w:ascii="Palatino Linotype" w:eastAsia="Palatino Linotype" w:hAnsi="Palatino Linotype" w:cs="Palatino Linotype"/>
        </w:rPr>
        <w:t xml:space="preserve">, por lo que, resulta procedente </w:t>
      </w:r>
      <w:r w:rsidR="004A745B" w:rsidRPr="00C043AF">
        <w:rPr>
          <w:rFonts w:ascii="Palatino Linotype" w:eastAsia="Palatino Linotype" w:hAnsi="Palatino Linotype" w:cs="Palatino Linotype"/>
          <w:b/>
        </w:rPr>
        <w:t>ordenar</w:t>
      </w:r>
      <w:r w:rsidR="004A745B" w:rsidRPr="00C043AF">
        <w:rPr>
          <w:rFonts w:ascii="Palatino Linotype" w:eastAsia="Palatino Linotype" w:hAnsi="Palatino Linotype" w:cs="Palatino Linotype"/>
        </w:rPr>
        <w:t xml:space="preserve"> </w:t>
      </w:r>
      <w:r w:rsidR="00CF1000" w:rsidRPr="00C043AF">
        <w:rPr>
          <w:rFonts w:ascii="Palatino Linotype" w:eastAsia="Palatino Linotype" w:hAnsi="Palatino Linotype" w:cs="Palatino Linotype"/>
        </w:rPr>
        <w:t xml:space="preserve">al </w:t>
      </w:r>
      <w:r w:rsidR="004A745B" w:rsidRPr="00C043AF">
        <w:rPr>
          <w:rFonts w:ascii="Palatino Linotype" w:eastAsia="Palatino Linotype" w:hAnsi="Palatino Linotype" w:cs="Palatino Linotype"/>
          <w:b/>
        </w:rPr>
        <w:t xml:space="preserve">Sujeto Obligado </w:t>
      </w:r>
      <w:r w:rsidRPr="00C043AF">
        <w:rPr>
          <w:rFonts w:ascii="Palatino Linotype" w:eastAsia="Palatino Linotype" w:hAnsi="Palatino Linotype" w:cs="Palatino Linotype"/>
        </w:rPr>
        <w:t>la entrega, vía Sistema de Acceso a la Información Mexiquense, de ser el caso, en versión pública,  lo siguiente:</w:t>
      </w:r>
    </w:p>
    <w:p w14:paraId="4CAE64B7" w14:textId="77777777" w:rsidR="00C07056" w:rsidRPr="00C043AF" w:rsidRDefault="00C07056" w:rsidP="00EE5803">
      <w:pPr>
        <w:spacing w:after="0" w:line="360" w:lineRule="auto"/>
        <w:ind w:right="49"/>
        <w:jc w:val="both"/>
        <w:rPr>
          <w:rFonts w:ascii="Palatino Linotype" w:eastAsia="Palatino Linotype" w:hAnsi="Palatino Linotype" w:cs="Palatino Linotype"/>
        </w:rPr>
      </w:pPr>
    </w:p>
    <w:p w14:paraId="06B3234E" w14:textId="2DCD3446" w:rsidR="00CC2B3B" w:rsidRPr="00C043AF" w:rsidRDefault="0035418C" w:rsidP="00EE5803">
      <w:pPr>
        <w:pStyle w:val="Prrafodelista"/>
        <w:numPr>
          <w:ilvl w:val="0"/>
          <w:numId w:val="14"/>
        </w:numPr>
        <w:spacing w:after="0" w:line="360" w:lineRule="auto"/>
        <w:ind w:right="418"/>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Los estados de cuenta bancarios del sujeto obligado, </w:t>
      </w:r>
      <w:r w:rsidR="001C6C8A" w:rsidRPr="00C043AF">
        <w:rPr>
          <w:rFonts w:ascii="Palatino Linotype" w:eastAsia="Palatino Linotype" w:hAnsi="Palatino Linotype" w:cs="Palatino Linotype"/>
        </w:rPr>
        <w:t>de</w:t>
      </w:r>
      <w:r w:rsidR="00345D87" w:rsidRPr="00C043AF">
        <w:rPr>
          <w:rFonts w:ascii="Palatino Linotype" w:eastAsia="Palatino Linotype" w:hAnsi="Palatino Linotype" w:cs="Palatino Linotype"/>
        </w:rPr>
        <w:t xml:space="preserve">l mes de </w:t>
      </w:r>
      <w:r w:rsidR="00DD792A" w:rsidRPr="00C043AF">
        <w:rPr>
          <w:rFonts w:ascii="Palatino Linotype" w:eastAsia="Palatino Linotype" w:hAnsi="Palatino Linotype" w:cs="Palatino Linotype"/>
        </w:rPr>
        <w:t xml:space="preserve"> julio</w:t>
      </w:r>
      <w:r w:rsidR="00097931" w:rsidRPr="00C043AF">
        <w:rPr>
          <w:rFonts w:ascii="Palatino Linotype" w:eastAsia="Palatino Linotype" w:hAnsi="Palatino Linotype" w:cs="Palatino Linotype"/>
        </w:rPr>
        <w:t xml:space="preserve"> de dos mil veintic</w:t>
      </w:r>
      <w:r w:rsidR="00DD792A" w:rsidRPr="00C043AF">
        <w:rPr>
          <w:rFonts w:ascii="Palatino Linotype" w:eastAsia="Palatino Linotype" w:hAnsi="Palatino Linotype" w:cs="Palatino Linotype"/>
        </w:rPr>
        <w:t>inco</w:t>
      </w:r>
      <w:r w:rsidR="00097931" w:rsidRPr="00C043AF">
        <w:rPr>
          <w:rFonts w:ascii="Palatino Linotype" w:eastAsia="Palatino Linotype" w:hAnsi="Palatino Linotype" w:cs="Palatino Linotype"/>
        </w:rPr>
        <w:t xml:space="preserve">. </w:t>
      </w:r>
    </w:p>
    <w:p w14:paraId="6AB037B9" w14:textId="77777777" w:rsidR="00CF1000" w:rsidRPr="00C043AF" w:rsidRDefault="00CF1000" w:rsidP="00EE5803">
      <w:pPr>
        <w:pStyle w:val="Prrafodelista"/>
        <w:spacing w:after="0" w:line="360" w:lineRule="auto"/>
        <w:ind w:right="49"/>
        <w:jc w:val="both"/>
        <w:rPr>
          <w:rFonts w:ascii="Palatino Linotype" w:eastAsia="Palatino Linotype" w:hAnsi="Palatino Linotype" w:cs="Palatino Linotype"/>
        </w:rPr>
      </w:pPr>
    </w:p>
    <w:p w14:paraId="4721F8E7" w14:textId="4C505D52" w:rsidR="00CC2B3B" w:rsidRPr="00C043AF" w:rsidRDefault="00CC2B3B" w:rsidP="00EE5803">
      <w:pPr>
        <w:spacing w:after="0" w:line="276" w:lineRule="auto"/>
        <w:ind w:left="567" w:right="560"/>
        <w:jc w:val="both"/>
        <w:rPr>
          <w:rFonts w:ascii="Palatino Linotype" w:eastAsia="Palatino Linotype" w:hAnsi="Palatino Linotype" w:cs="Palatino Linotype"/>
          <w:b/>
        </w:rPr>
      </w:pPr>
      <w:r w:rsidRPr="00C043AF">
        <w:rPr>
          <w:rFonts w:ascii="Palatino Linotype" w:eastAsia="Palatino Linotype" w:hAnsi="Palatino Linotype" w:cs="Palatino Linotype"/>
          <w:i/>
        </w:rPr>
        <w:t>De ser el caso, deberá remitir el Acuerdo emitido por el Comité de Transparencia, en donde de manera fundada y motivada, se confirme la versión pública de las Evaluaciones Técnicas de Impacto en materia Vial, en términos de los artículos 49, fracción II, 132, fracción II, 143, fracción I, y 149 de la Ley de Transparencia y Acceso a la Información Pública del Estado de México y Municipios.</w:t>
      </w:r>
    </w:p>
    <w:p w14:paraId="73E5692A" w14:textId="77777777" w:rsidR="00265768" w:rsidRPr="00C043AF" w:rsidRDefault="00265768" w:rsidP="00EE5803">
      <w:pPr>
        <w:spacing w:after="0" w:line="360" w:lineRule="auto"/>
        <w:jc w:val="both"/>
        <w:rPr>
          <w:rFonts w:ascii="Palatino Linotype" w:eastAsiaTheme="minorEastAsia" w:hAnsi="Palatino Linotype" w:cs="Arial"/>
          <w:lang w:val="es-ES_tradnl" w:eastAsia="es-ES"/>
        </w:rPr>
      </w:pPr>
    </w:p>
    <w:p w14:paraId="1110FA4A" w14:textId="77777777" w:rsidR="00265768" w:rsidRPr="00C043AF" w:rsidRDefault="00265768"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b/>
        </w:rPr>
        <w:t xml:space="preserve">Quinto. Versión Pública. </w:t>
      </w:r>
      <w:r w:rsidRPr="00C043AF">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35EA5F3" w14:textId="77777777" w:rsidR="00265768" w:rsidRPr="00C043AF" w:rsidRDefault="00265768" w:rsidP="00EE5803">
      <w:pPr>
        <w:spacing w:after="0" w:line="360" w:lineRule="auto"/>
        <w:jc w:val="both"/>
        <w:rPr>
          <w:rFonts w:ascii="Palatino Linotype" w:eastAsia="Palatino Linotype" w:hAnsi="Palatino Linotype" w:cs="Palatino Linotype"/>
        </w:rPr>
      </w:pPr>
    </w:p>
    <w:p w14:paraId="7111368A" w14:textId="77777777" w:rsidR="00265768" w:rsidRPr="00C043AF" w:rsidRDefault="00265768"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3C662F1D" w14:textId="77777777" w:rsidR="00265768" w:rsidRPr="00C043AF" w:rsidRDefault="00265768" w:rsidP="00EE5803">
      <w:pPr>
        <w:spacing w:after="0" w:line="360" w:lineRule="auto"/>
        <w:jc w:val="both"/>
        <w:rPr>
          <w:rFonts w:ascii="Palatino Linotype" w:eastAsia="Palatino Linotype" w:hAnsi="Palatino Linotype" w:cs="Palatino Linotype"/>
        </w:rPr>
      </w:pPr>
    </w:p>
    <w:p w14:paraId="5BFC669D" w14:textId="77777777" w:rsidR="001C6C8A" w:rsidRPr="00C043AF" w:rsidRDefault="001C6C8A" w:rsidP="001C6C8A">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7CF96F05" w14:textId="77777777" w:rsidR="001C6C8A" w:rsidRPr="00C043AF" w:rsidRDefault="001C6C8A" w:rsidP="001C6C8A">
      <w:pPr>
        <w:spacing w:after="0" w:line="360" w:lineRule="auto"/>
        <w:ind w:right="50"/>
        <w:jc w:val="both"/>
        <w:rPr>
          <w:rFonts w:ascii="Palatino Linotype" w:eastAsia="Palatino Linotype" w:hAnsi="Palatino Linotype" w:cs="Palatino Linotype"/>
        </w:rPr>
      </w:pPr>
    </w:p>
    <w:p w14:paraId="082518CB" w14:textId="77777777" w:rsidR="001C6C8A" w:rsidRPr="00C043AF" w:rsidRDefault="001C6C8A" w:rsidP="001C6C8A">
      <w:pPr>
        <w:spacing w:after="0" w:line="360" w:lineRule="auto"/>
        <w:ind w:right="51"/>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234CE89" w14:textId="77777777" w:rsidR="001C6C8A" w:rsidRPr="00C043AF" w:rsidRDefault="001C6C8A" w:rsidP="001C6C8A">
      <w:pPr>
        <w:spacing w:after="0" w:line="360" w:lineRule="auto"/>
        <w:ind w:right="51"/>
        <w:jc w:val="both"/>
        <w:rPr>
          <w:rFonts w:ascii="Palatino Linotype" w:eastAsia="Palatino Linotype" w:hAnsi="Palatino Linotype" w:cs="Palatino Linotype"/>
        </w:rPr>
      </w:pPr>
    </w:p>
    <w:p w14:paraId="0EE40662" w14:textId="77777777" w:rsidR="001C6C8A" w:rsidRPr="00C043AF" w:rsidRDefault="001C6C8A" w:rsidP="001C6C8A">
      <w:pPr>
        <w:spacing w:after="0" w:line="360" w:lineRule="auto"/>
        <w:ind w:right="50"/>
        <w:jc w:val="both"/>
        <w:rPr>
          <w:rFonts w:ascii="Palatino Linotype" w:eastAsia="Palatino Linotype" w:hAnsi="Palatino Linotype" w:cs="Palatino Linotype"/>
        </w:rPr>
      </w:pPr>
      <w:r w:rsidRPr="00C043AF">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5CD5A24F" w14:textId="77777777" w:rsidR="001C6C8A" w:rsidRPr="00C043AF" w:rsidRDefault="001C6C8A" w:rsidP="001C6C8A">
      <w:pPr>
        <w:spacing w:after="0" w:line="276" w:lineRule="auto"/>
        <w:ind w:left="851" w:right="1134"/>
        <w:jc w:val="both"/>
        <w:rPr>
          <w:rFonts w:ascii="Palatino Linotype" w:eastAsia="Palatino Linotype" w:hAnsi="Palatino Linotype" w:cs="Palatino Linotype"/>
          <w:b/>
          <w:i/>
        </w:rPr>
      </w:pPr>
    </w:p>
    <w:p w14:paraId="0AC0A032" w14:textId="77777777" w:rsidR="001C6C8A" w:rsidRPr="00C043AF" w:rsidRDefault="001C6C8A" w:rsidP="001C6C8A">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Cuentas bancarias y/o CLABE interbancaria de personas físicas y morales privadas.</w:t>
      </w:r>
      <w:r w:rsidRPr="00C043AF">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CE5C6F" w14:textId="77777777" w:rsidR="001C6C8A" w:rsidRPr="00C043AF" w:rsidRDefault="001C6C8A" w:rsidP="001C6C8A">
      <w:pPr>
        <w:spacing w:after="0"/>
        <w:ind w:left="851" w:right="899"/>
        <w:jc w:val="center"/>
        <w:rPr>
          <w:rFonts w:ascii="Palatino Linotype" w:eastAsia="Palatino Linotype" w:hAnsi="Palatino Linotype" w:cs="Palatino Linotype"/>
          <w:b/>
          <w:i/>
        </w:rPr>
      </w:pPr>
    </w:p>
    <w:p w14:paraId="79BCBFA0" w14:textId="77777777" w:rsidR="001C6C8A" w:rsidRPr="00C043AF" w:rsidRDefault="001C6C8A" w:rsidP="001C6C8A">
      <w:pPr>
        <w:spacing w:after="0" w:line="360" w:lineRule="auto"/>
        <w:ind w:right="50"/>
        <w:jc w:val="both"/>
        <w:rPr>
          <w:rFonts w:ascii="Palatino Linotype" w:eastAsia="Palatino Linotype" w:hAnsi="Palatino Linotype" w:cs="Palatino Linotype"/>
        </w:rPr>
      </w:pPr>
      <w:r w:rsidRPr="00C043AF">
        <w:rPr>
          <w:rFonts w:ascii="Palatino Linotype" w:eastAsia="Palatino Linotype" w:hAnsi="Palatino Linotype" w:cs="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59104AE5" w14:textId="77777777" w:rsidR="001C6C8A" w:rsidRPr="00C043AF" w:rsidRDefault="001C6C8A" w:rsidP="001C6C8A">
      <w:pPr>
        <w:spacing w:after="0" w:line="360" w:lineRule="auto"/>
        <w:ind w:right="50"/>
        <w:jc w:val="both"/>
        <w:rPr>
          <w:rFonts w:ascii="Palatino Linotype" w:eastAsia="Palatino Linotype" w:hAnsi="Palatino Linotype" w:cs="Palatino Linotype"/>
        </w:rPr>
      </w:pPr>
    </w:p>
    <w:p w14:paraId="61161113" w14:textId="77777777" w:rsidR="001C6C8A" w:rsidRPr="00C043AF" w:rsidRDefault="001C6C8A" w:rsidP="001C6C8A">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Cuentas bancarias y/o CLABE interbancaria de sujetos obligados que reciben y/o transfieren recursos públicos, son información pública.</w:t>
      </w:r>
      <w:r w:rsidRPr="00C043AF">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9D42E2D" w14:textId="77777777" w:rsidR="001C6C8A" w:rsidRPr="00C043AF" w:rsidRDefault="001C6C8A" w:rsidP="00EE5803">
      <w:pPr>
        <w:spacing w:after="0" w:line="360" w:lineRule="auto"/>
        <w:jc w:val="both"/>
        <w:rPr>
          <w:rFonts w:ascii="Palatino Linotype" w:eastAsia="Palatino Linotype" w:hAnsi="Palatino Linotype" w:cs="Palatino Linotype"/>
        </w:rPr>
      </w:pPr>
    </w:p>
    <w:p w14:paraId="372A436D" w14:textId="77777777" w:rsidR="00265768" w:rsidRPr="00C043AF" w:rsidRDefault="00265768" w:rsidP="00EE5803">
      <w:pPr>
        <w:spacing w:after="0" w:line="360" w:lineRule="auto"/>
        <w:ind w:right="50"/>
        <w:jc w:val="both"/>
        <w:rPr>
          <w:rFonts w:ascii="Palatino Linotype" w:eastAsia="Palatino Linotype" w:hAnsi="Palatino Linotype" w:cs="Palatino Linotype"/>
        </w:rPr>
      </w:pPr>
      <w:r w:rsidRPr="00C043AF">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B6988E8" w14:textId="77777777" w:rsidR="00265768" w:rsidRPr="00C043AF" w:rsidRDefault="00265768" w:rsidP="00EE5803">
      <w:pPr>
        <w:spacing w:after="0" w:line="360" w:lineRule="auto"/>
        <w:ind w:right="50"/>
        <w:jc w:val="both"/>
        <w:rPr>
          <w:rFonts w:ascii="Palatino Linotype" w:eastAsia="Palatino Linotype" w:hAnsi="Palatino Linotype" w:cs="Palatino Linotype"/>
        </w:rPr>
      </w:pPr>
    </w:p>
    <w:p w14:paraId="4AB62417"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Artículo 3.</w:t>
      </w:r>
      <w:r w:rsidRPr="00C043AF">
        <w:rPr>
          <w:rFonts w:ascii="Palatino Linotype" w:eastAsia="Palatino Linotype" w:hAnsi="Palatino Linotype" w:cs="Palatino Linotype"/>
          <w:i/>
        </w:rPr>
        <w:t xml:space="preserve"> Para los efectos de la presente Ley se entenderá por:</w:t>
      </w:r>
    </w:p>
    <w:p w14:paraId="48937147"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p>
    <w:p w14:paraId="5B6D9259"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5944D35"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XX. Información clasificada: Aquella considerada por la presente Ley como reservada o confidencial;</w:t>
      </w:r>
    </w:p>
    <w:p w14:paraId="75629ACE"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D9C5A6"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7805209"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p>
    <w:p w14:paraId="70D81036"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Artículo 91.</w:t>
      </w:r>
      <w:r w:rsidRPr="00C043A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BF2EBDE"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Artículo 132.</w:t>
      </w:r>
      <w:r w:rsidRPr="00C043AF">
        <w:rPr>
          <w:rFonts w:ascii="Palatino Linotype" w:eastAsia="Palatino Linotype" w:hAnsi="Palatino Linotype" w:cs="Palatino Linotype"/>
          <w:i/>
        </w:rPr>
        <w:t xml:space="preserve"> La clasificación de la información se llevará a cabo en el momento en que:</w:t>
      </w:r>
    </w:p>
    <w:p w14:paraId="214F6E0E" w14:textId="77777777" w:rsidR="00265768" w:rsidRPr="00C043AF" w:rsidRDefault="00265768" w:rsidP="00EE4388">
      <w:pPr>
        <w:tabs>
          <w:tab w:val="left" w:pos="1134"/>
        </w:tabs>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 Se reciba una solicitud de acceso a la información;</w:t>
      </w:r>
    </w:p>
    <w:p w14:paraId="7F3DD0B8" w14:textId="77777777" w:rsidR="00265768" w:rsidRPr="00C043AF" w:rsidRDefault="00265768" w:rsidP="00EE4388">
      <w:pPr>
        <w:tabs>
          <w:tab w:val="left" w:pos="1134"/>
        </w:tabs>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II. Se determine mediante resolución de autoridad competente; o</w:t>
      </w:r>
    </w:p>
    <w:p w14:paraId="017D278C" w14:textId="77777777" w:rsidR="00265768" w:rsidRPr="00C043AF" w:rsidRDefault="00265768" w:rsidP="00EE4388">
      <w:pPr>
        <w:tabs>
          <w:tab w:val="left" w:pos="1134"/>
        </w:tabs>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III. Se generen versiones públicas para dar cumplimiento a las obligaciones de transparencia previstas en esta Ley.</w:t>
      </w:r>
    </w:p>
    <w:p w14:paraId="3962CD59"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p>
    <w:p w14:paraId="1E6C9E9C"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Artículo 143</w:t>
      </w:r>
      <w:r w:rsidRPr="00C043A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80D8C5B"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4ACE560D"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8C80624"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CA06F9D"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1E6C064"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C6F7473" w14:textId="77777777" w:rsidR="00265768" w:rsidRPr="00C043AF" w:rsidRDefault="00265768" w:rsidP="00EE5803">
      <w:pPr>
        <w:spacing w:after="0"/>
        <w:ind w:left="567" w:right="616"/>
        <w:jc w:val="both"/>
        <w:rPr>
          <w:rFonts w:ascii="Palatino Linotype" w:eastAsia="Palatino Linotype" w:hAnsi="Palatino Linotype" w:cs="Palatino Linotype"/>
          <w:i/>
        </w:rPr>
      </w:pPr>
    </w:p>
    <w:p w14:paraId="3AD33B7D" w14:textId="77777777" w:rsidR="00265768" w:rsidRPr="00C043AF" w:rsidRDefault="00265768"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9E10D6" w14:textId="77777777" w:rsidR="00265768" w:rsidRPr="00C043AF" w:rsidRDefault="00265768" w:rsidP="00EE5803">
      <w:pPr>
        <w:spacing w:after="0"/>
        <w:jc w:val="both"/>
        <w:rPr>
          <w:rFonts w:ascii="Palatino Linotype" w:eastAsia="Palatino Linotype" w:hAnsi="Palatino Linotype" w:cs="Palatino Linotype"/>
        </w:rPr>
      </w:pPr>
    </w:p>
    <w:p w14:paraId="4EF8C732" w14:textId="77777777" w:rsidR="00265768" w:rsidRPr="00C043AF" w:rsidRDefault="00265768"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55AE82B" w14:textId="77777777" w:rsidR="00265768" w:rsidRPr="00C043AF" w:rsidRDefault="00265768" w:rsidP="00EE5803">
      <w:pPr>
        <w:spacing w:after="0" w:line="360" w:lineRule="auto"/>
        <w:jc w:val="both"/>
        <w:rPr>
          <w:rFonts w:ascii="Palatino Linotype" w:eastAsia="Palatino Linotype" w:hAnsi="Palatino Linotype" w:cs="Palatino Linotype"/>
        </w:rPr>
      </w:pPr>
    </w:p>
    <w:p w14:paraId="38FEA0C2"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 “</w:t>
      </w:r>
      <w:r w:rsidRPr="00C043AF">
        <w:rPr>
          <w:rFonts w:ascii="Palatino Linotype" w:eastAsia="Palatino Linotype" w:hAnsi="Palatino Linotype" w:cs="Palatino Linotype"/>
          <w:b/>
          <w:i/>
        </w:rPr>
        <w:t>Quincuagésimo</w:t>
      </w:r>
      <w:r w:rsidRPr="00C043AF">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B69F2EB"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Quincuagésimo primero.</w:t>
      </w:r>
      <w:r w:rsidRPr="00C043AF">
        <w:rPr>
          <w:rFonts w:ascii="Palatino Linotype" w:eastAsia="Palatino Linotype" w:hAnsi="Palatino Linotype" w:cs="Palatino Linotype"/>
          <w:i/>
        </w:rPr>
        <w:t xml:space="preserve"> Toda acta del Comité de Transparencia deberá contener: </w:t>
      </w:r>
    </w:p>
    <w:p w14:paraId="4A98DCF0"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 El número de sesión y fecha; </w:t>
      </w:r>
    </w:p>
    <w:p w14:paraId="6560CC89"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II. El nombre del área que solicitó la clasificación de información; </w:t>
      </w:r>
    </w:p>
    <w:p w14:paraId="4D938C72"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III. La fundamentación legal y motivación correspondiente; </w:t>
      </w:r>
    </w:p>
    <w:p w14:paraId="307FC1BD"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IV. La resolución o resoluciones aprobadas; y </w:t>
      </w:r>
    </w:p>
    <w:p w14:paraId="30383EB6"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V. La rúbrica o firma digital de cada integrante del Comité de Transparencia. </w:t>
      </w:r>
    </w:p>
    <w:p w14:paraId="78CA97CB"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F2E321F"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 Los motivos y razonamientos que sustenten la confirmación o modificación de la prueba de daño;</w:t>
      </w:r>
    </w:p>
    <w:p w14:paraId="7A458DF9"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II. Descripción de las partes o secciones reservadas, en caso de clasificación parcial; </w:t>
      </w:r>
    </w:p>
    <w:p w14:paraId="59648AEF"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III. El periodo por el que mantendrá su clasificación y fecha de expiración; y </w:t>
      </w:r>
    </w:p>
    <w:p w14:paraId="0132C7DF"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IV. El nombre del titular y área encargada de realizar la versión pública del documento, en su caso. </w:t>
      </w:r>
    </w:p>
    <w:p w14:paraId="142A6FB6"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B0C475A"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11A0971"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Quincuagésimo segundo.</w:t>
      </w:r>
      <w:r w:rsidRPr="00C043AF">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EE92FFC"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2E29AA9"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 Fijar la fecha en que se elaboró la versión pública y la fecha en la cual el Comité de Transparencia confirmó dicha versión;</w:t>
      </w:r>
    </w:p>
    <w:p w14:paraId="1A53FD25"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3232D50"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III. Señalar las personas o instancias autorizadas a acceder a la información clasificada.</w:t>
      </w:r>
    </w:p>
    <w:p w14:paraId="178E2ABC"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40A2B83" w14:textId="77777777" w:rsidR="00265768" w:rsidRPr="00C043AF" w:rsidRDefault="00265768" w:rsidP="00EE5803">
      <w:pPr>
        <w:spacing w:after="0" w:line="360" w:lineRule="auto"/>
        <w:jc w:val="both"/>
        <w:rPr>
          <w:rFonts w:ascii="Palatino Linotype" w:eastAsia="Palatino Linotype" w:hAnsi="Palatino Linotype" w:cs="Palatino Linotype"/>
        </w:rPr>
      </w:pPr>
    </w:p>
    <w:p w14:paraId="4D34051F" w14:textId="5B4F1EBC" w:rsidR="00265768" w:rsidRPr="00C043AF" w:rsidRDefault="00265768"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B89733F" w14:textId="77777777" w:rsidR="00265768" w:rsidRPr="00C043AF" w:rsidRDefault="00265768" w:rsidP="00EE5803">
      <w:pPr>
        <w:spacing w:after="0" w:line="360" w:lineRule="auto"/>
        <w:jc w:val="both"/>
        <w:rPr>
          <w:rFonts w:ascii="Palatino Linotype" w:eastAsia="Palatino Linotype" w:hAnsi="Palatino Linotype" w:cs="Palatino Linotype"/>
        </w:rPr>
      </w:pPr>
    </w:p>
    <w:p w14:paraId="5FB54ED3" w14:textId="77777777" w:rsidR="00265768" w:rsidRPr="00C043AF" w:rsidRDefault="00265768" w:rsidP="00EE4388">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r w:rsidRPr="00C043AF">
        <w:rPr>
          <w:rFonts w:ascii="Palatino Linotype" w:eastAsia="Palatino Linotype" w:hAnsi="Palatino Linotype" w:cs="Palatino Linotype"/>
          <w:b/>
          <w:i/>
        </w:rPr>
        <w:t>Quincuagésimo cuarto.</w:t>
      </w:r>
      <w:r w:rsidRPr="00C043AF">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9DE951"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Quincuagésimo quinto.</w:t>
      </w:r>
      <w:r w:rsidRPr="00C043AF">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C043AF">
        <w:rPr>
          <w:rFonts w:ascii="Palatino Linotype" w:eastAsia="Palatino Linotype" w:hAnsi="Palatino Linotype" w:cs="Palatino Linotype"/>
          <w:i/>
        </w:rPr>
        <w:t>testado</w:t>
      </w:r>
      <w:proofErr w:type="spellEnd"/>
      <w:r w:rsidRPr="00C043AF">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A0C9B25"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w:t>
      </w:r>
    </w:p>
    <w:p w14:paraId="60A8C8A9"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b/>
          <w:i/>
        </w:rPr>
        <w:t>Quincuagésimo séptimo.</w:t>
      </w:r>
      <w:r w:rsidRPr="00C043AF">
        <w:rPr>
          <w:rFonts w:ascii="Palatino Linotype" w:eastAsia="Palatino Linotype" w:hAnsi="Palatino Linotype" w:cs="Palatino Linotype"/>
          <w:i/>
        </w:rPr>
        <w:t xml:space="preserve"> Se considera, en principio, como información pública y no podrá omitirse de las versiones públicas la siguiente: </w:t>
      </w:r>
    </w:p>
    <w:p w14:paraId="4626DCA7"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BEBC3AA"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EBE3828"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7D49D8"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B86D249" w14:textId="77777777" w:rsidR="00265768" w:rsidRPr="00C043AF" w:rsidRDefault="00265768"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2575470" w14:textId="77777777" w:rsidR="00265768" w:rsidRPr="00C043AF" w:rsidRDefault="00265768" w:rsidP="00EE5803">
      <w:pPr>
        <w:spacing w:after="0" w:line="360" w:lineRule="auto"/>
        <w:jc w:val="both"/>
        <w:rPr>
          <w:rFonts w:ascii="Palatino Linotype" w:eastAsia="Palatino Linotype" w:hAnsi="Palatino Linotype" w:cs="Palatino Linotype"/>
        </w:rPr>
      </w:pPr>
    </w:p>
    <w:p w14:paraId="6683DF8F" w14:textId="1BA7EED0" w:rsidR="00CC2B3B" w:rsidRPr="00C043AF" w:rsidRDefault="00265768"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w:t>
      </w:r>
      <w:r w:rsidR="009079DF" w:rsidRPr="00C043AF">
        <w:rPr>
          <w:rFonts w:ascii="Palatino Linotype" w:eastAsia="Palatino Linotype" w:hAnsi="Palatino Linotype" w:cs="Palatino Linotype"/>
        </w:rPr>
        <w:t>en la documentación respectiva.</w:t>
      </w:r>
    </w:p>
    <w:p w14:paraId="5EFC7995" w14:textId="77777777" w:rsidR="006516C6" w:rsidRPr="00C043AF" w:rsidRDefault="006516C6" w:rsidP="00EE5803">
      <w:pPr>
        <w:spacing w:after="0" w:line="360" w:lineRule="auto"/>
        <w:ind w:right="49"/>
        <w:jc w:val="both"/>
        <w:rPr>
          <w:rFonts w:ascii="Palatino Linotype" w:eastAsia="Palatino Linotype" w:hAnsi="Palatino Linotype" w:cs="Palatino Linotype"/>
          <w:b/>
        </w:rPr>
      </w:pPr>
    </w:p>
    <w:p w14:paraId="16D12D89" w14:textId="6F8AF69B" w:rsidR="009338B5" w:rsidRPr="00C043AF" w:rsidRDefault="00E0628C"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Así, con fundamento en lo prescrito en los artículos 5 párrafos </w:t>
      </w:r>
      <w:r w:rsidR="009079DF" w:rsidRPr="00C043AF">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043AF">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0351BD07" w14:textId="77777777" w:rsidR="009079DF" w:rsidRPr="00C043AF" w:rsidRDefault="009079DF" w:rsidP="00EE5803">
      <w:pPr>
        <w:spacing w:after="0" w:line="360" w:lineRule="auto"/>
        <w:ind w:right="49"/>
        <w:jc w:val="both"/>
        <w:rPr>
          <w:rFonts w:ascii="Palatino Linotype" w:eastAsia="Palatino Linotype" w:hAnsi="Palatino Linotype" w:cs="Palatino Linotype"/>
        </w:rPr>
      </w:pPr>
    </w:p>
    <w:p w14:paraId="71CCA387" w14:textId="77777777" w:rsidR="009338B5" w:rsidRPr="00C043AF" w:rsidRDefault="00E0628C" w:rsidP="00EE5803">
      <w:pPr>
        <w:spacing w:after="0" w:line="360" w:lineRule="auto"/>
        <w:ind w:right="49"/>
        <w:jc w:val="center"/>
        <w:rPr>
          <w:rFonts w:ascii="Palatino Linotype" w:eastAsia="Palatino Linotype" w:hAnsi="Palatino Linotype" w:cs="Palatino Linotype"/>
          <w:b/>
        </w:rPr>
      </w:pPr>
      <w:r w:rsidRPr="00C043AF">
        <w:rPr>
          <w:rFonts w:ascii="Palatino Linotype" w:eastAsia="Palatino Linotype" w:hAnsi="Palatino Linotype" w:cs="Palatino Linotype"/>
          <w:b/>
        </w:rPr>
        <w:t>III.</w:t>
      </w:r>
      <w:r w:rsidRPr="00C043AF">
        <w:rPr>
          <w:rFonts w:ascii="Palatino Linotype" w:eastAsia="Palatino Linotype" w:hAnsi="Palatino Linotype" w:cs="Palatino Linotype"/>
          <w:b/>
        </w:rPr>
        <w:tab/>
        <w:t>R E S U E L V E:</w:t>
      </w:r>
    </w:p>
    <w:p w14:paraId="52AA6C2D" w14:textId="77777777" w:rsidR="009338B5" w:rsidRPr="00C043AF" w:rsidRDefault="009338B5" w:rsidP="00EE5803">
      <w:pPr>
        <w:spacing w:after="0" w:line="360" w:lineRule="auto"/>
        <w:ind w:right="49"/>
        <w:jc w:val="both"/>
        <w:rPr>
          <w:rFonts w:ascii="Palatino Linotype" w:eastAsia="Palatino Linotype" w:hAnsi="Palatino Linotype" w:cs="Palatino Linotype"/>
        </w:rPr>
      </w:pPr>
    </w:p>
    <w:p w14:paraId="240EB5FB" w14:textId="0C94B44C" w:rsidR="00097931" w:rsidRPr="00C043AF" w:rsidRDefault="00097931"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b/>
        </w:rPr>
        <w:t xml:space="preserve">Primero. </w:t>
      </w:r>
      <w:r w:rsidRPr="00C043AF">
        <w:rPr>
          <w:rFonts w:ascii="Palatino Linotype" w:eastAsia="Palatino Linotype" w:hAnsi="Palatino Linotype" w:cs="Palatino Linotype"/>
        </w:rPr>
        <w:t>Resultan</w:t>
      </w:r>
      <w:r w:rsidRPr="00C043AF">
        <w:rPr>
          <w:rFonts w:ascii="Palatino Linotype" w:eastAsia="Palatino Linotype" w:hAnsi="Palatino Linotype" w:cs="Palatino Linotype"/>
          <w:b/>
        </w:rPr>
        <w:t xml:space="preserve"> </w:t>
      </w:r>
      <w:r w:rsidR="003C1EBD" w:rsidRPr="00C043AF">
        <w:rPr>
          <w:rFonts w:ascii="Palatino Linotype" w:eastAsia="Palatino Linotype" w:hAnsi="Palatino Linotype" w:cs="Palatino Linotype"/>
          <w:b/>
        </w:rPr>
        <w:t>fundada</w:t>
      </w:r>
      <w:r w:rsidR="009079DF" w:rsidRPr="00C043AF">
        <w:rPr>
          <w:rFonts w:ascii="Palatino Linotype" w:eastAsia="Palatino Linotype" w:hAnsi="Palatino Linotype" w:cs="Palatino Linotype"/>
          <w:b/>
        </w:rPr>
        <w:t xml:space="preserve">s </w:t>
      </w:r>
      <w:r w:rsidRPr="00C043AF">
        <w:rPr>
          <w:rFonts w:ascii="Palatino Linotype" w:eastAsia="Palatino Linotype" w:hAnsi="Palatino Linotype" w:cs="Palatino Linotype"/>
        </w:rPr>
        <w:t>l</w:t>
      </w:r>
      <w:r w:rsidR="009079DF" w:rsidRPr="00C043AF">
        <w:rPr>
          <w:rFonts w:ascii="Palatino Linotype" w:eastAsia="Palatino Linotype" w:hAnsi="Palatino Linotype" w:cs="Palatino Linotype"/>
        </w:rPr>
        <w:t xml:space="preserve">as razones </w:t>
      </w:r>
      <w:r w:rsidRPr="00C043AF">
        <w:rPr>
          <w:rFonts w:ascii="Palatino Linotype" w:eastAsia="Palatino Linotype" w:hAnsi="Palatino Linotype" w:cs="Palatino Linotype"/>
        </w:rPr>
        <w:t xml:space="preserve">o motivos de inconformidad </w:t>
      </w:r>
      <w:r w:rsidR="009079DF" w:rsidRPr="00C043AF">
        <w:rPr>
          <w:rFonts w:ascii="Palatino Linotype" w:eastAsia="Palatino Linotype" w:hAnsi="Palatino Linotype" w:cs="Palatino Linotype"/>
        </w:rPr>
        <w:t xml:space="preserve">hechos valer por la </w:t>
      </w:r>
      <w:r w:rsidRPr="00C043AF">
        <w:rPr>
          <w:rFonts w:ascii="Palatino Linotype" w:eastAsia="Palatino Linotype" w:hAnsi="Palatino Linotype" w:cs="Palatino Linotype"/>
        </w:rPr>
        <w:t xml:space="preserve">parte </w:t>
      </w:r>
      <w:r w:rsidRPr="00C043AF">
        <w:rPr>
          <w:rFonts w:ascii="Palatino Linotype" w:eastAsia="Palatino Linotype" w:hAnsi="Palatino Linotype" w:cs="Palatino Linotype"/>
          <w:b/>
        </w:rPr>
        <w:t>Recurrente</w:t>
      </w:r>
      <w:r w:rsidRPr="00C043AF">
        <w:rPr>
          <w:rFonts w:ascii="Palatino Linotype" w:eastAsia="Palatino Linotype" w:hAnsi="Palatino Linotype" w:cs="Palatino Linotype"/>
        </w:rPr>
        <w:t xml:space="preserve">, en el Recurso de Revisión </w:t>
      </w:r>
      <w:r w:rsidR="00D923AF" w:rsidRPr="00C043AF">
        <w:rPr>
          <w:rFonts w:ascii="Palatino Linotype" w:eastAsia="Palatino Linotype" w:hAnsi="Palatino Linotype" w:cs="Palatino Linotype"/>
          <w:b/>
        </w:rPr>
        <w:t>11774</w:t>
      </w:r>
      <w:r w:rsidRPr="00C043AF">
        <w:rPr>
          <w:rFonts w:ascii="Palatino Linotype" w:eastAsia="Palatino Linotype" w:hAnsi="Palatino Linotype" w:cs="Palatino Linotype"/>
          <w:b/>
        </w:rPr>
        <w:t>/INFOEM/IP/RR/2025</w:t>
      </w:r>
      <w:r w:rsidRPr="00C043AF">
        <w:rPr>
          <w:rFonts w:ascii="Palatino Linotype" w:eastAsia="Palatino Linotype" w:hAnsi="Palatino Linotype" w:cs="Palatino Linotype"/>
        </w:rPr>
        <w:t xml:space="preserve">, </w:t>
      </w:r>
      <w:r w:rsidR="00D923AF" w:rsidRPr="00C043AF">
        <w:rPr>
          <w:rFonts w:ascii="Palatino Linotype" w:eastAsia="Palatino Linotype" w:hAnsi="Palatino Linotype" w:cs="Palatino Linotype"/>
        </w:rPr>
        <w:t xml:space="preserve">por lo que, en términos del </w:t>
      </w:r>
      <w:r w:rsidR="00D923AF" w:rsidRPr="00C043AF">
        <w:rPr>
          <w:rFonts w:ascii="Palatino Linotype" w:eastAsia="Palatino Linotype" w:hAnsi="Palatino Linotype" w:cs="Palatino Linotype"/>
          <w:b/>
        </w:rPr>
        <w:t>Considerando Cuarto</w:t>
      </w:r>
      <w:r w:rsidR="00D923AF" w:rsidRPr="00C043AF">
        <w:rPr>
          <w:rFonts w:ascii="Palatino Linotype" w:eastAsia="Palatino Linotype" w:hAnsi="Palatino Linotype" w:cs="Palatino Linotype"/>
        </w:rPr>
        <w:t xml:space="preserve"> de esta resolución, se </w:t>
      </w:r>
      <w:r w:rsidR="00D923AF" w:rsidRPr="00C043AF">
        <w:rPr>
          <w:rFonts w:ascii="Palatino Linotype" w:eastAsia="Palatino Linotype" w:hAnsi="Palatino Linotype" w:cs="Palatino Linotype"/>
          <w:b/>
        </w:rPr>
        <w:t>Revoca</w:t>
      </w:r>
      <w:r w:rsidR="00D923AF" w:rsidRPr="00C043AF">
        <w:rPr>
          <w:rFonts w:ascii="Palatino Linotype" w:eastAsia="Palatino Linotype" w:hAnsi="Palatino Linotype" w:cs="Palatino Linotype"/>
        </w:rPr>
        <w:t xml:space="preserve"> la respuesta emitida por el Sujeto Obligado.</w:t>
      </w:r>
    </w:p>
    <w:p w14:paraId="71CD74DB" w14:textId="77777777" w:rsidR="009079DF" w:rsidRPr="00C043AF" w:rsidRDefault="009079DF" w:rsidP="00EE5803">
      <w:pPr>
        <w:spacing w:after="0" w:line="360" w:lineRule="auto"/>
        <w:ind w:right="49"/>
        <w:jc w:val="both"/>
        <w:rPr>
          <w:rFonts w:ascii="Palatino Linotype" w:eastAsia="Palatino Linotype" w:hAnsi="Palatino Linotype" w:cs="Palatino Linotype"/>
        </w:rPr>
      </w:pPr>
    </w:p>
    <w:p w14:paraId="6368219E" w14:textId="3B24105A" w:rsidR="00097931" w:rsidRPr="00C043AF" w:rsidRDefault="00097931" w:rsidP="00EE5803">
      <w:pPr>
        <w:pBdr>
          <w:top w:val="nil"/>
          <w:left w:val="nil"/>
          <w:bottom w:val="nil"/>
          <w:right w:val="nil"/>
          <w:between w:val="nil"/>
        </w:pBdr>
        <w:spacing w:after="0" w:line="360" w:lineRule="auto"/>
        <w:jc w:val="both"/>
        <w:rPr>
          <w:rFonts w:ascii="Palatino Linotype" w:hAnsi="Palatino Linotype" w:cs="Tahoma"/>
          <w:bCs/>
        </w:rPr>
      </w:pPr>
      <w:r w:rsidRPr="00C043AF">
        <w:rPr>
          <w:rFonts w:ascii="Palatino Linotype" w:eastAsia="Palatino Linotype" w:hAnsi="Palatino Linotype" w:cs="Palatino Linotype"/>
          <w:b/>
        </w:rPr>
        <w:t xml:space="preserve">Segundo. </w:t>
      </w:r>
      <w:r w:rsidRPr="00C043AF">
        <w:rPr>
          <w:rFonts w:ascii="Palatino Linotype" w:eastAsia="Palatino Linotype" w:hAnsi="Palatino Linotype" w:cs="Palatino Linotype"/>
        </w:rPr>
        <w:t>Se</w:t>
      </w:r>
      <w:r w:rsidRPr="00C043AF">
        <w:rPr>
          <w:rFonts w:ascii="Palatino Linotype" w:eastAsia="Palatino Linotype" w:hAnsi="Palatino Linotype" w:cs="Palatino Linotype"/>
          <w:b/>
        </w:rPr>
        <w:t xml:space="preserve"> </w:t>
      </w:r>
      <w:r w:rsidR="00D923AF" w:rsidRPr="00C043AF">
        <w:rPr>
          <w:rFonts w:ascii="Palatino Linotype" w:eastAsia="Palatino Linotype" w:hAnsi="Palatino Linotype" w:cs="Palatino Linotype"/>
          <w:b/>
        </w:rPr>
        <w:t xml:space="preserve">ordena </w:t>
      </w:r>
      <w:r w:rsidRPr="00C043AF">
        <w:rPr>
          <w:rFonts w:ascii="Palatino Linotype" w:eastAsia="Palatino Linotype" w:hAnsi="Palatino Linotype" w:cs="Palatino Linotype"/>
        </w:rPr>
        <w:t xml:space="preserve">al </w:t>
      </w:r>
      <w:r w:rsidR="00D923AF" w:rsidRPr="00C043AF">
        <w:rPr>
          <w:rFonts w:ascii="Palatino Linotype" w:eastAsia="Palatino Linotype" w:hAnsi="Palatino Linotype" w:cs="Palatino Linotype"/>
          <w:b/>
        </w:rPr>
        <w:t>Sujeto Obligado</w:t>
      </w:r>
      <w:r w:rsidR="00D923AF" w:rsidRPr="00C043AF">
        <w:rPr>
          <w:rFonts w:ascii="Palatino Linotype" w:eastAsia="Palatino Linotype" w:hAnsi="Palatino Linotype" w:cs="Palatino Linotype"/>
        </w:rPr>
        <w:t xml:space="preserve"> entregue a la parte </w:t>
      </w:r>
      <w:r w:rsidR="00D923AF" w:rsidRPr="00C043AF">
        <w:rPr>
          <w:rFonts w:ascii="Palatino Linotype" w:eastAsia="Palatino Linotype" w:hAnsi="Palatino Linotype" w:cs="Palatino Linotype"/>
          <w:b/>
        </w:rPr>
        <w:t>Recurrente</w:t>
      </w:r>
      <w:r w:rsidR="00D923AF" w:rsidRPr="00C043AF">
        <w:rPr>
          <w:rFonts w:ascii="Palatino Linotype" w:eastAsia="Palatino Linotype" w:hAnsi="Palatino Linotype" w:cs="Palatino Linotype"/>
        </w:rPr>
        <w:t xml:space="preserve">, vía SAIMEX, en términos del </w:t>
      </w:r>
      <w:r w:rsidR="00D923AF" w:rsidRPr="00C043AF">
        <w:rPr>
          <w:rFonts w:ascii="Palatino Linotype" w:eastAsia="Palatino Linotype" w:hAnsi="Palatino Linotype" w:cs="Palatino Linotype"/>
          <w:b/>
        </w:rPr>
        <w:t>Considerando Cuarto y Quinto</w:t>
      </w:r>
      <w:r w:rsidR="00D923AF" w:rsidRPr="00C043AF">
        <w:rPr>
          <w:rFonts w:ascii="Palatino Linotype" w:eastAsia="Palatino Linotype" w:hAnsi="Palatino Linotype" w:cs="Palatino Linotype"/>
        </w:rPr>
        <w:t>, de ser procedente en versión pública, lo siguiente:</w:t>
      </w:r>
    </w:p>
    <w:p w14:paraId="2CDE9685" w14:textId="77777777" w:rsidR="00097931" w:rsidRPr="00C043AF" w:rsidRDefault="00097931" w:rsidP="00EE5803">
      <w:pPr>
        <w:spacing w:after="0" w:line="360" w:lineRule="auto"/>
        <w:ind w:left="567" w:right="560"/>
        <w:jc w:val="both"/>
        <w:rPr>
          <w:rFonts w:ascii="Palatino Linotype" w:eastAsia="Palatino Linotype" w:hAnsi="Palatino Linotype" w:cs="Palatino Linotype"/>
          <w:bCs/>
        </w:rPr>
      </w:pPr>
    </w:p>
    <w:p w14:paraId="11E531AF" w14:textId="5908CB07" w:rsidR="00097931" w:rsidRPr="00C043AF" w:rsidRDefault="009079DF" w:rsidP="00EE4388">
      <w:pPr>
        <w:pStyle w:val="Prrafodelista"/>
        <w:numPr>
          <w:ilvl w:val="0"/>
          <w:numId w:val="14"/>
        </w:numPr>
        <w:spacing w:after="0" w:line="360" w:lineRule="auto"/>
        <w:ind w:left="851" w:right="843"/>
        <w:jc w:val="both"/>
        <w:rPr>
          <w:rFonts w:ascii="Palatino Linotype" w:eastAsia="Palatino Linotype" w:hAnsi="Palatino Linotype" w:cs="Palatino Linotype"/>
          <w:b/>
        </w:rPr>
      </w:pPr>
      <w:r w:rsidRPr="00C043AF">
        <w:rPr>
          <w:rFonts w:ascii="Palatino Linotype" w:eastAsia="Palatino Linotype" w:hAnsi="Palatino Linotype" w:cs="Palatino Linotype"/>
          <w:b/>
        </w:rPr>
        <w:t xml:space="preserve">Los estados de cuenta bancarios del </w:t>
      </w:r>
      <w:r w:rsidR="00D923AF"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b/>
        </w:rPr>
        <w:t>,</w:t>
      </w:r>
      <w:r w:rsidR="006430FB" w:rsidRPr="00C043AF">
        <w:rPr>
          <w:rFonts w:ascii="Palatino Linotype" w:eastAsia="Palatino Linotype" w:hAnsi="Palatino Linotype" w:cs="Palatino Linotype"/>
          <w:b/>
        </w:rPr>
        <w:t xml:space="preserve"> del mes de</w:t>
      </w:r>
      <w:r w:rsidRPr="00C043AF">
        <w:rPr>
          <w:rFonts w:ascii="Palatino Linotype" w:eastAsia="Palatino Linotype" w:hAnsi="Palatino Linotype" w:cs="Palatino Linotype"/>
          <w:b/>
        </w:rPr>
        <w:t xml:space="preserve"> julio de dos mil veinticinco. </w:t>
      </w:r>
    </w:p>
    <w:p w14:paraId="586ADAA3" w14:textId="77777777" w:rsidR="00097931" w:rsidRPr="00C043AF" w:rsidRDefault="00097931" w:rsidP="00EE4388">
      <w:pPr>
        <w:spacing w:after="0" w:line="360" w:lineRule="auto"/>
        <w:ind w:left="851" w:right="843"/>
        <w:jc w:val="both"/>
        <w:rPr>
          <w:rFonts w:ascii="Palatino Linotype" w:eastAsia="Palatino Linotype" w:hAnsi="Palatino Linotype" w:cs="Palatino Linotype"/>
          <w:bCs/>
        </w:rPr>
      </w:pPr>
    </w:p>
    <w:p w14:paraId="1EAD5C8B" w14:textId="77777777" w:rsidR="00097931" w:rsidRPr="00C043AF" w:rsidRDefault="00097931" w:rsidP="00EE4388">
      <w:pPr>
        <w:spacing w:after="0" w:line="276" w:lineRule="auto"/>
        <w:ind w:left="851" w:right="843"/>
        <w:jc w:val="both"/>
        <w:rPr>
          <w:rFonts w:ascii="Palatino Linotype" w:eastAsia="Palatino Linotype" w:hAnsi="Palatino Linotype" w:cs="Palatino Linotype"/>
          <w:i/>
        </w:rPr>
      </w:pPr>
      <w:r w:rsidRPr="00C043AF">
        <w:rPr>
          <w:rFonts w:ascii="Palatino Linotype" w:eastAsia="Palatino Linotype" w:hAnsi="Palatino Linotype" w:cs="Palatino Linotype"/>
          <w:i/>
        </w:rPr>
        <w:t xml:space="preserve">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C043AF">
        <w:rPr>
          <w:rFonts w:ascii="Palatino Linotype" w:eastAsia="Palatino Linotype" w:hAnsi="Palatino Linotype" w:cs="Palatino Linotype"/>
          <w:b/>
          <w:i/>
        </w:rPr>
        <w:t>Recurrente</w:t>
      </w:r>
      <w:r w:rsidRPr="00C043AF">
        <w:rPr>
          <w:rFonts w:ascii="Palatino Linotype" w:eastAsia="Palatino Linotype" w:hAnsi="Palatino Linotype" w:cs="Palatino Linotype"/>
          <w:i/>
        </w:rPr>
        <w:t>, mismo que igualmente hará de su conocimiento.</w:t>
      </w:r>
    </w:p>
    <w:p w14:paraId="18964892" w14:textId="77777777" w:rsidR="00097931" w:rsidRPr="00C043AF" w:rsidRDefault="00097931" w:rsidP="00EE5803">
      <w:pPr>
        <w:spacing w:after="0" w:line="360" w:lineRule="auto"/>
        <w:ind w:right="49"/>
        <w:jc w:val="both"/>
        <w:rPr>
          <w:rFonts w:ascii="Palatino Linotype" w:eastAsia="Palatino Linotype" w:hAnsi="Palatino Linotype" w:cs="Palatino Linotype"/>
          <w:b/>
        </w:rPr>
      </w:pPr>
    </w:p>
    <w:p w14:paraId="528DD28F" w14:textId="69E805BF" w:rsidR="00097931" w:rsidRPr="00C043AF" w:rsidRDefault="00097931"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b/>
        </w:rPr>
        <w:t>Tercero.</w:t>
      </w:r>
      <w:r w:rsidRPr="00C043AF">
        <w:rPr>
          <w:rFonts w:ascii="Palatino Linotype" w:eastAsia="Palatino Linotype" w:hAnsi="Palatino Linotype" w:cs="Palatino Linotype"/>
        </w:rPr>
        <w:t xml:space="preserve"> </w:t>
      </w:r>
      <w:r w:rsidRPr="00C043AF">
        <w:rPr>
          <w:rFonts w:ascii="Palatino Linotype" w:eastAsia="Palatino Linotype" w:hAnsi="Palatino Linotype" w:cs="Palatino Linotype"/>
          <w:b/>
        </w:rPr>
        <w:t xml:space="preserve">Notifíquese vía SAIMEX </w:t>
      </w:r>
      <w:r w:rsidRPr="00C043AF">
        <w:rPr>
          <w:rFonts w:ascii="Palatino Linotype" w:eastAsia="Palatino Linotype" w:hAnsi="Palatino Linotype" w:cs="Palatino Linotype"/>
        </w:rPr>
        <w:t>la presente resolución al T</w:t>
      </w:r>
      <w:r w:rsidRPr="00C043AF">
        <w:rPr>
          <w:rFonts w:ascii="Palatino Linotype" w:eastAsia="Palatino Linotype" w:hAnsi="Palatino Linotype" w:cs="Palatino Linotype"/>
          <w:b/>
        </w:rPr>
        <w:t xml:space="preserve">itular de la Unidad de Transparencia </w:t>
      </w:r>
      <w:r w:rsidRPr="00C043AF">
        <w:rPr>
          <w:rFonts w:ascii="Palatino Linotype" w:eastAsia="Palatino Linotype" w:hAnsi="Palatino Linotype" w:cs="Palatino Linotype"/>
        </w:rPr>
        <w:t xml:space="preserve">del </w:t>
      </w:r>
      <w:r w:rsidR="00D923AF"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5D39C6E" w14:textId="77777777" w:rsidR="00097931" w:rsidRPr="00C043AF" w:rsidRDefault="00097931" w:rsidP="00EE5803">
      <w:pPr>
        <w:spacing w:after="0" w:line="360" w:lineRule="auto"/>
        <w:ind w:right="49"/>
        <w:jc w:val="both"/>
        <w:rPr>
          <w:rFonts w:ascii="Palatino Linotype" w:eastAsia="Palatino Linotype" w:hAnsi="Palatino Linotype" w:cs="Palatino Linotype"/>
        </w:rPr>
      </w:pPr>
    </w:p>
    <w:p w14:paraId="11AFF528" w14:textId="77777777" w:rsidR="00D923AF" w:rsidRPr="00C043AF" w:rsidRDefault="00D923AF"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b/>
        </w:rPr>
        <w:t xml:space="preserve">Cuarto. </w:t>
      </w:r>
      <w:r w:rsidRPr="00C043AF">
        <w:rPr>
          <w:rFonts w:ascii="Palatino Linotype" w:eastAsia="Palatino Linotype" w:hAnsi="Palatino Linotype" w:cs="Palatino Linotype"/>
        </w:rPr>
        <w:t xml:space="preserve">Notifíquese vía </w:t>
      </w:r>
      <w:r w:rsidRPr="00C043AF">
        <w:rPr>
          <w:rFonts w:ascii="Palatino Linotype" w:eastAsia="Palatino Linotype" w:hAnsi="Palatino Linotype" w:cs="Palatino Linotype"/>
          <w:b/>
        </w:rPr>
        <w:t>SAIMEX</w:t>
      </w:r>
      <w:r w:rsidRPr="00C043AF">
        <w:rPr>
          <w:rFonts w:ascii="Palatino Linotype" w:eastAsia="Palatino Linotype" w:hAnsi="Palatino Linotype" w:cs="Palatino Linotype"/>
        </w:rPr>
        <w:t xml:space="preserve">, al Titular de la Unidad de Transparencia del </w:t>
      </w:r>
      <w:r w:rsidRPr="00C043AF">
        <w:rPr>
          <w:rFonts w:ascii="Palatino Linotype" w:eastAsia="Palatino Linotype" w:hAnsi="Palatino Linotype" w:cs="Palatino Linotype"/>
          <w:b/>
        </w:rPr>
        <w:t>Sujeto Obligado</w:t>
      </w:r>
      <w:r w:rsidRPr="00C043AF">
        <w:rPr>
          <w:rFonts w:ascii="Palatino Linotype" w:eastAsia="Palatino Linotype" w:hAnsi="Palatino Linotype" w:cs="Palatino Linotype"/>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65CAAD7" w14:textId="77777777" w:rsidR="00D923AF" w:rsidRPr="00C043AF" w:rsidRDefault="00D923AF" w:rsidP="00EE5803">
      <w:pPr>
        <w:spacing w:after="0" w:line="360" w:lineRule="auto"/>
        <w:jc w:val="both"/>
        <w:rPr>
          <w:rFonts w:ascii="Palatino Linotype" w:eastAsia="Palatino Linotype" w:hAnsi="Palatino Linotype" w:cs="Palatino Linotype"/>
        </w:rPr>
      </w:pPr>
    </w:p>
    <w:p w14:paraId="53076156" w14:textId="781EB9D2" w:rsidR="00097931" w:rsidRPr="00C043AF" w:rsidRDefault="00D923AF" w:rsidP="00EE5803">
      <w:pPr>
        <w:spacing w:after="0" w:line="360" w:lineRule="auto"/>
        <w:jc w:val="both"/>
        <w:rPr>
          <w:rFonts w:ascii="Palatino Linotype" w:eastAsia="Palatino Linotype" w:hAnsi="Palatino Linotype" w:cs="Palatino Linotype"/>
        </w:rPr>
      </w:pPr>
      <w:r w:rsidRPr="00C043AF">
        <w:rPr>
          <w:rFonts w:ascii="Palatino Linotype" w:eastAsia="Palatino Linotype" w:hAnsi="Palatino Linotype" w:cs="Palatino Linotype"/>
          <w:b/>
        </w:rPr>
        <w:t xml:space="preserve">Quinto. Notifíquese, </w:t>
      </w:r>
      <w:r w:rsidRPr="00C043AF">
        <w:rPr>
          <w:rFonts w:ascii="Palatino Linotype" w:eastAsia="Palatino Linotype" w:hAnsi="Palatino Linotype" w:cs="Palatino Linotype"/>
        </w:rPr>
        <w:t xml:space="preserve">vía </w:t>
      </w:r>
      <w:r w:rsidRPr="00C043AF">
        <w:rPr>
          <w:rFonts w:ascii="Palatino Linotype" w:eastAsia="Palatino Linotype" w:hAnsi="Palatino Linotype" w:cs="Palatino Linotype"/>
          <w:b/>
        </w:rPr>
        <w:t>SAIMEX</w:t>
      </w:r>
      <w:r w:rsidRPr="00C043AF">
        <w:rPr>
          <w:rFonts w:ascii="Palatino Linotype" w:eastAsia="Palatino Linotype" w:hAnsi="Palatino Linotype" w:cs="Palatino Linotype"/>
        </w:rPr>
        <w:t>, a la parte</w:t>
      </w:r>
      <w:r w:rsidRPr="00C043AF">
        <w:rPr>
          <w:rFonts w:ascii="Palatino Linotype" w:eastAsia="Palatino Linotype" w:hAnsi="Palatino Linotype" w:cs="Palatino Linotype"/>
          <w:b/>
        </w:rPr>
        <w:t xml:space="preserve"> Recurrente</w:t>
      </w:r>
      <w:r w:rsidRPr="00C043A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D2E1102" w14:textId="77777777" w:rsidR="00097931" w:rsidRPr="00C043AF" w:rsidRDefault="00097931" w:rsidP="00EE5803">
      <w:pPr>
        <w:spacing w:after="0" w:line="360" w:lineRule="auto"/>
        <w:jc w:val="both"/>
        <w:rPr>
          <w:rFonts w:ascii="Palatino Linotype" w:eastAsia="Palatino Linotype" w:hAnsi="Palatino Linotype" w:cs="Palatino Linotype"/>
          <w:b/>
        </w:rPr>
      </w:pPr>
    </w:p>
    <w:p w14:paraId="5A1582F0" w14:textId="16C36FFF" w:rsidR="009338B5" w:rsidRPr="00FB560C" w:rsidRDefault="00E0628C" w:rsidP="00EE5803">
      <w:pPr>
        <w:spacing w:after="0" w:line="360" w:lineRule="auto"/>
        <w:ind w:right="49"/>
        <w:jc w:val="both"/>
        <w:rPr>
          <w:rFonts w:ascii="Palatino Linotype" w:eastAsia="Palatino Linotype" w:hAnsi="Palatino Linotype" w:cs="Palatino Linotype"/>
        </w:rPr>
      </w:pPr>
      <w:r w:rsidRPr="00C043A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923AF" w:rsidRPr="00C043AF">
        <w:rPr>
          <w:rFonts w:ascii="Palatino Linotype" w:eastAsia="Palatino Linotype" w:hAnsi="Palatino Linotype" w:cs="Palatino Linotype"/>
        </w:rPr>
        <w:t xml:space="preserve">DÉCIMA PRIMERA </w:t>
      </w:r>
      <w:r w:rsidRPr="00C043AF">
        <w:rPr>
          <w:rFonts w:ascii="Palatino Linotype" w:eastAsia="Palatino Linotype" w:hAnsi="Palatino Linotype" w:cs="Palatino Linotype"/>
        </w:rPr>
        <w:t xml:space="preserve">SESIÓN ORDINARIA CELEBRADA EL </w:t>
      </w:r>
      <w:r w:rsidR="00D923AF" w:rsidRPr="00C043AF">
        <w:rPr>
          <w:rFonts w:ascii="Palatino Linotype" w:eastAsia="Palatino Linotype" w:hAnsi="Palatino Linotype" w:cs="Palatino Linotype"/>
        </w:rPr>
        <w:t xml:space="preserve">VEINTICINCO </w:t>
      </w:r>
      <w:r w:rsidR="00097931" w:rsidRPr="00C043AF">
        <w:rPr>
          <w:rFonts w:ascii="Palatino Linotype" w:eastAsia="Palatino Linotype" w:hAnsi="Palatino Linotype" w:cs="Palatino Linotype"/>
        </w:rPr>
        <w:t xml:space="preserve">DE MARZO </w:t>
      </w:r>
      <w:r w:rsidR="00125890" w:rsidRPr="00C043AF">
        <w:rPr>
          <w:rFonts w:ascii="Palatino Linotype" w:eastAsia="Palatino Linotype" w:hAnsi="Palatino Linotype" w:cs="Palatino Linotype"/>
        </w:rPr>
        <w:t xml:space="preserve">DE DOS MIL </w:t>
      </w:r>
      <w:r w:rsidR="00D923AF" w:rsidRPr="00C043AF">
        <w:rPr>
          <w:rFonts w:ascii="Palatino Linotype" w:eastAsia="Palatino Linotype" w:hAnsi="Palatino Linotype" w:cs="Palatino Linotype"/>
        </w:rPr>
        <w:t>VEINTISÉIS</w:t>
      </w:r>
      <w:r w:rsidRPr="00C043AF">
        <w:rPr>
          <w:rFonts w:ascii="Palatino Linotype" w:eastAsia="Palatino Linotype" w:hAnsi="Palatino Linotype" w:cs="Palatino Linotype"/>
        </w:rPr>
        <w:t>, ANTE EL SECRETARIO TÉCNICO DEL PLENO ALEXIS TAPIA RAMÍREZ.</w:t>
      </w:r>
      <w:r w:rsidRPr="00FB560C">
        <w:rPr>
          <w:rFonts w:ascii="Palatino Linotype" w:eastAsia="Palatino Linotype" w:hAnsi="Palatino Linotype" w:cs="Palatino Linotype"/>
        </w:rPr>
        <w:t xml:space="preserve"> </w:t>
      </w:r>
    </w:p>
    <w:p w14:paraId="064D1538" w14:textId="280A5F65" w:rsidR="009338B5" w:rsidRPr="00FB560C" w:rsidRDefault="009338B5" w:rsidP="00EE5803">
      <w:pPr>
        <w:spacing w:after="0" w:line="360" w:lineRule="auto"/>
        <w:ind w:right="49"/>
        <w:jc w:val="both"/>
        <w:rPr>
          <w:rFonts w:ascii="Palatino Linotype" w:eastAsia="Palatino Linotype" w:hAnsi="Palatino Linotype" w:cs="Palatino Linotype"/>
        </w:rPr>
      </w:pPr>
    </w:p>
    <w:p w14:paraId="30FA6083" w14:textId="10554B9F" w:rsidR="000C6A42" w:rsidRPr="00FB560C" w:rsidRDefault="000C6A42" w:rsidP="00EE5803">
      <w:pPr>
        <w:spacing w:after="0" w:line="360" w:lineRule="auto"/>
        <w:ind w:right="49"/>
        <w:jc w:val="both"/>
        <w:rPr>
          <w:rFonts w:ascii="Palatino Linotype" w:eastAsia="Palatino Linotype" w:hAnsi="Palatino Linotype" w:cs="Palatino Linotype"/>
        </w:rPr>
      </w:pPr>
    </w:p>
    <w:p w14:paraId="3342D7EC" w14:textId="26624550" w:rsidR="000C6A42" w:rsidRPr="00FB560C" w:rsidRDefault="000C6A42" w:rsidP="00EE5803">
      <w:pPr>
        <w:spacing w:after="0" w:line="360" w:lineRule="auto"/>
        <w:ind w:right="49"/>
        <w:jc w:val="both"/>
        <w:rPr>
          <w:rFonts w:ascii="Palatino Linotype" w:eastAsia="Palatino Linotype" w:hAnsi="Palatino Linotype" w:cs="Palatino Linotype"/>
        </w:rPr>
      </w:pPr>
    </w:p>
    <w:p w14:paraId="2309D9F8" w14:textId="4BFBB2A5" w:rsidR="000C6A42" w:rsidRPr="00FB560C" w:rsidRDefault="000C6A42" w:rsidP="00EE5803">
      <w:pPr>
        <w:spacing w:after="0" w:line="360" w:lineRule="auto"/>
        <w:ind w:right="49"/>
        <w:jc w:val="both"/>
        <w:rPr>
          <w:rFonts w:ascii="Palatino Linotype" w:eastAsia="Palatino Linotype" w:hAnsi="Palatino Linotype" w:cs="Palatino Linotype"/>
        </w:rPr>
      </w:pPr>
    </w:p>
    <w:p w14:paraId="12013C96" w14:textId="547DF565" w:rsidR="000C6A42" w:rsidRPr="00FB560C" w:rsidRDefault="000C6A42" w:rsidP="00EE5803">
      <w:pPr>
        <w:spacing w:after="0" w:line="360" w:lineRule="auto"/>
        <w:ind w:right="49"/>
        <w:jc w:val="both"/>
        <w:rPr>
          <w:rFonts w:ascii="Palatino Linotype" w:eastAsia="Palatino Linotype" w:hAnsi="Palatino Linotype" w:cs="Palatino Linotype"/>
        </w:rPr>
      </w:pPr>
    </w:p>
    <w:p w14:paraId="7F3C18A7" w14:textId="3F8AAD43" w:rsidR="000C6A42" w:rsidRPr="00FB560C" w:rsidRDefault="000C6A42" w:rsidP="00EE5803">
      <w:pPr>
        <w:spacing w:after="0" w:line="360" w:lineRule="auto"/>
        <w:ind w:right="49"/>
        <w:jc w:val="both"/>
        <w:rPr>
          <w:rFonts w:ascii="Palatino Linotype" w:eastAsia="Palatino Linotype" w:hAnsi="Palatino Linotype" w:cs="Palatino Linotype"/>
        </w:rPr>
      </w:pPr>
    </w:p>
    <w:p w14:paraId="4625C113" w14:textId="316CD8A9" w:rsidR="000C6A42" w:rsidRPr="00FB560C" w:rsidRDefault="000C6A42" w:rsidP="00EE5803">
      <w:pPr>
        <w:spacing w:after="0" w:line="360" w:lineRule="auto"/>
        <w:ind w:right="49"/>
        <w:jc w:val="both"/>
        <w:rPr>
          <w:rFonts w:ascii="Palatino Linotype" w:eastAsia="Palatino Linotype" w:hAnsi="Palatino Linotype" w:cs="Palatino Linotype"/>
        </w:rPr>
      </w:pPr>
    </w:p>
    <w:p w14:paraId="37C08E4E" w14:textId="7120280A" w:rsidR="000C6A42" w:rsidRPr="00FB560C" w:rsidRDefault="000C6A42" w:rsidP="00EE5803">
      <w:pPr>
        <w:spacing w:after="0" w:line="360" w:lineRule="auto"/>
        <w:ind w:right="49"/>
        <w:jc w:val="both"/>
        <w:rPr>
          <w:rFonts w:ascii="Palatino Linotype" w:eastAsia="Palatino Linotype" w:hAnsi="Palatino Linotype" w:cs="Palatino Linotype"/>
        </w:rPr>
      </w:pPr>
    </w:p>
    <w:p w14:paraId="491AAA66"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1F07E199"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0C667C8F"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52C5227C"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6FC8D326"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06594C6C"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2AD58934"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5CFD4BAF"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7C4D5076"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3D14C18B"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6051C2F1"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3BB08266" w14:textId="77777777" w:rsidR="00EE5803" w:rsidRPr="00FB560C" w:rsidRDefault="00EE5803" w:rsidP="00EE5803">
      <w:pPr>
        <w:spacing w:after="0" w:line="360" w:lineRule="auto"/>
        <w:ind w:right="49"/>
        <w:jc w:val="both"/>
        <w:rPr>
          <w:rFonts w:ascii="Palatino Linotype" w:eastAsia="Palatino Linotype" w:hAnsi="Palatino Linotype" w:cs="Palatino Linotype"/>
        </w:rPr>
      </w:pPr>
    </w:p>
    <w:p w14:paraId="79AD0270" w14:textId="77777777" w:rsidR="000C6A42" w:rsidRPr="00FB560C" w:rsidRDefault="000C6A42" w:rsidP="00EE5803">
      <w:pPr>
        <w:spacing w:after="0" w:line="360" w:lineRule="auto"/>
        <w:ind w:right="49"/>
        <w:jc w:val="both"/>
        <w:rPr>
          <w:rFonts w:ascii="Palatino Linotype" w:eastAsia="Palatino Linotype" w:hAnsi="Palatino Linotype" w:cs="Palatino Linotype"/>
        </w:rPr>
      </w:pPr>
    </w:p>
    <w:sectPr w:rsidR="000C6A42" w:rsidRPr="00FB560C">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06A0E" w14:textId="77777777" w:rsidR="00DC556B" w:rsidRDefault="00DC556B">
      <w:pPr>
        <w:spacing w:after="0" w:line="240" w:lineRule="auto"/>
      </w:pPr>
      <w:r>
        <w:separator/>
      </w:r>
    </w:p>
  </w:endnote>
  <w:endnote w:type="continuationSeparator" w:id="0">
    <w:p w14:paraId="51497FDD" w14:textId="77777777" w:rsidR="00DC556B" w:rsidRDefault="00DC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993E" w14:textId="48D1E29C" w:rsidR="004D2E76" w:rsidRDefault="004D2E7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10D8">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10D8">
      <w:rPr>
        <w:b/>
        <w:noProof/>
        <w:color w:val="000000"/>
        <w:sz w:val="24"/>
        <w:szCs w:val="24"/>
      </w:rPr>
      <w:t>32</w:t>
    </w:r>
    <w:r>
      <w:rPr>
        <w:b/>
        <w:color w:val="000000"/>
        <w:sz w:val="24"/>
        <w:szCs w:val="24"/>
      </w:rPr>
      <w:fldChar w:fldCharType="end"/>
    </w:r>
  </w:p>
  <w:p w14:paraId="085FA270" w14:textId="77777777" w:rsidR="004D2E76" w:rsidRDefault="004D2E7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B7A1" w14:textId="73E61348" w:rsidR="004D2E76" w:rsidRDefault="004D2E7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10D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10D8">
      <w:rPr>
        <w:b/>
        <w:noProof/>
        <w:color w:val="000000"/>
        <w:sz w:val="24"/>
        <w:szCs w:val="24"/>
      </w:rPr>
      <w:t>32</w:t>
    </w:r>
    <w:r>
      <w:rPr>
        <w:b/>
        <w:color w:val="000000"/>
        <w:sz w:val="24"/>
        <w:szCs w:val="24"/>
      </w:rPr>
      <w:fldChar w:fldCharType="end"/>
    </w:r>
  </w:p>
  <w:p w14:paraId="65CF5E8C" w14:textId="77777777" w:rsidR="004D2E76" w:rsidRDefault="004D2E7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5374E" w14:textId="77777777" w:rsidR="00DC556B" w:rsidRDefault="00DC556B">
      <w:pPr>
        <w:spacing w:after="0" w:line="240" w:lineRule="auto"/>
      </w:pPr>
      <w:r>
        <w:separator/>
      </w:r>
    </w:p>
  </w:footnote>
  <w:footnote w:type="continuationSeparator" w:id="0">
    <w:p w14:paraId="600F1900" w14:textId="77777777" w:rsidR="00DC556B" w:rsidRDefault="00DC5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F80C" w14:textId="77777777" w:rsidR="004D2E76" w:rsidRDefault="004D2E7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080E89A" wp14:editId="0C68241B">
          <wp:simplePos x="0" y="0"/>
          <wp:positionH relativeFrom="column">
            <wp:posOffset>-774699</wp:posOffset>
          </wp:positionH>
          <wp:positionV relativeFrom="paragraph">
            <wp:posOffset>-345439</wp:posOffset>
          </wp:positionV>
          <wp:extent cx="7809876" cy="10165823"/>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4D2E76" w14:paraId="3E42C09E" w14:textId="77777777">
      <w:tc>
        <w:tcPr>
          <w:tcW w:w="2551" w:type="dxa"/>
          <w:vAlign w:val="center"/>
        </w:tcPr>
        <w:p w14:paraId="3294BAFA" w14:textId="77777777"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ED5E1C3" w14:textId="74CACCE2" w:rsidR="004D2E76" w:rsidRDefault="004D2E76" w:rsidP="000C4A9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11174/INFOEM/IP/RR/2025</w:t>
          </w:r>
        </w:p>
      </w:tc>
    </w:tr>
    <w:tr w:rsidR="004D2E76" w14:paraId="0FB3790D" w14:textId="77777777">
      <w:trPr>
        <w:trHeight w:val="643"/>
      </w:trPr>
      <w:tc>
        <w:tcPr>
          <w:tcW w:w="2551" w:type="dxa"/>
          <w:vAlign w:val="center"/>
        </w:tcPr>
        <w:p w14:paraId="7D3A413D" w14:textId="0FEA3A30"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EE5C496" w14:textId="2521774B" w:rsidR="004D2E76" w:rsidRDefault="004D2E7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D2E76" w14:paraId="207063F9" w14:textId="77777777">
      <w:tc>
        <w:tcPr>
          <w:tcW w:w="2551" w:type="dxa"/>
          <w:vAlign w:val="center"/>
        </w:tcPr>
        <w:p w14:paraId="733790EE" w14:textId="77777777"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5BFF6EB" w14:textId="77777777"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2B80FB1" w14:textId="77777777" w:rsidR="004D2E76" w:rsidRDefault="004D2E7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2D59" w14:textId="77777777" w:rsidR="004D2E76" w:rsidRDefault="004D2E7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3DD037" wp14:editId="68698E7E">
          <wp:simplePos x="0" y="0"/>
          <wp:positionH relativeFrom="column">
            <wp:posOffset>-761364</wp:posOffset>
          </wp:positionH>
          <wp:positionV relativeFrom="paragraph">
            <wp:posOffset>5080</wp:posOffset>
          </wp:positionV>
          <wp:extent cx="7809876" cy="10165823"/>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4D2E76" w14:paraId="7A14E2CE" w14:textId="77777777">
      <w:tc>
        <w:tcPr>
          <w:tcW w:w="2551" w:type="dxa"/>
          <w:vAlign w:val="center"/>
        </w:tcPr>
        <w:p w14:paraId="7B4BA45E" w14:textId="77777777"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FED9FB7" w14:textId="6465D265" w:rsidR="004D2E76" w:rsidRDefault="004D2E76" w:rsidP="000C4A9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11774/INFOEM/IP/RR/2025</w:t>
          </w:r>
        </w:p>
      </w:tc>
    </w:tr>
    <w:tr w:rsidR="004D2E76" w14:paraId="0F3B71FC" w14:textId="77777777">
      <w:tc>
        <w:tcPr>
          <w:tcW w:w="2551" w:type="dxa"/>
          <w:vAlign w:val="center"/>
        </w:tcPr>
        <w:p w14:paraId="0E4DE2F0" w14:textId="77777777"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D07CC74" w14:textId="77777777" w:rsidR="004D2E76" w:rsidRDefault="004D2E7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4D2E76" w14:paraId="361F6CE9" w14:textId="77777777">
      <w:trPr>
        <w:trHeight w:val="743"/>
      </w:trPr>
      <w:tc>
        <w:tcPr>
          <w:tcW w:w="2551" w:type="dxa"/>
          <w:vAlign w:val="center"/>
        </w:tcPr>
        <w:p w14:paraId="3F63C1DD" w14:textId="1D6EEC64"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1110CA8" w14:textId="63EBB875" w:rsidR="004D2E76" w:rsidRDefault="004D2E7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D2E76" w14:paraId="040DC705" w14:textId="77777777">
      <w:tc>
        <w:tcPr>
          <w:tcW w:w="2551" w:type="dxa"/>
          <w:vAlign w:val="center"/>
        </w:tcPr>
        <w:p w14:paraId="6EA2056D" w14:textId="77777777"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8B71E2F" w14:textId="77777777" w:rsidR="004D2E76" w:rsidRDefault="004D2E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F98CB68" w14:textId="77777777" w:rsidR="004D2E76" w:rsidRDefault="004D2E7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A82E8D"/>
    <w:multiLevelType w:val="multilevel"/>
    <w:tmpl w:val="25826F5E"/>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752418"/>
    <w:multiLevelType w:val="multilevel"/>
    <w:tmpl w:val="CE10E8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D1830"/>
    <w:multiLevelType w:val="multilevel"/>
    <w:tmpl w:val="1EB8004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BB7252"/>
    <w:multiLevelType w:val="multilevel"/>
    <w:tmpl w:val="E504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4F79F5"/>
    <w:multiLevelType w:val="multilevel"/>
    <w:tmpl w:val="2BFCECF6"/>
    <w:lvl w:ilvl="0">
      <w:start w:val="1"/>
      <w:numFmt w:val="lowerLetter"/>
      <w:lvlText w:val="%1)"/>
      <w:lvlJc w:val="left"/>
      <w:pPr>
        <w:ind w:left="720" w:hanging="360"/>
      </w:pPr>
      <w:rPr>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295DE4"/>
    <w:multiLevelType w:val="multilevel"/>
    <w:tmpl w:val="7714BB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52EF5552"/>
    <w:multiLevelType w:val="hybridMultilevel"/>
    <w:tmpl w:val="3622170E"/>
    <w:lvl w:ilvl="0" w:tplc="A9F003C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445913"/>
    <w:multiLevelType w:val="multilevel"/>
    <w:tmpl w:val="DB1E97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096272C"/>
    <w:multiLevelType w:val="multilevel"/>
    <w:tmpl w:val="E318BFC0"/>
    <w:lvl w:ilvl="0">
      <w:start w:val="1"/>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61751680"/>
    <w:multiLevelType w:val="multilevel"/>
    <w:tmpl w:val="E49AA00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54F60CC"/>
    <w:multiLevelType w:val="hybridMultilevel"/>
    <w:tmpl w:val="73BC5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1"/>
  </w:num>
  <w:num w:numId="5">
    <w:abstractNumId w:val="10"/>
  </w:num>
  <w:num w:numId="6">
    <w:abstractNumId w:val="4"/>
  </w:num>
  <w:num w:numId="7">
    <w:abstractNumId w:val="1"/>
  </w:num>
  <w:num w:numId="8">
    <w:abstractNumId w:val="3"/>
  </w:num>
  <w:num w:numId="9">
    <w:abstractNumId w:val="8"/>
  </w:num>
  <w:num w:numId="10">
    <w:abstractNumId w:val="7"/>
  </w:num>
  <w:num w:numId="11">
    <w:abstractNumId w:val="14"/>
  </w:num>
  <w:num w:numId="12">
    <w:abstractNumId w:val="9"/>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B5"/>
    <w:rsid w:val="00036E9D"/>
    <w:rsid w:val="0004412B"/>
    <w:rsid w:val="00076802"/>
    <w:rsid w:val="00076C9D"/>
    <w:rsid w:val="00097931"/>
    <w:rsid w:val="000A7693"/>
    <w:rsid w:val="000C4A94"/>
    <w:rsid w:val="000C6A42"/>
    <w:rsid w:val="000D4077"/>
    <w:rsid w:val="00101268"/>
    <w:rsid w:val="00117754"/>
    <w:rsid w:val="00121196"/>
    <w:rsid w:val="00125890"/>
    <w:rsid w:val="00147519"/>
    <w:rsid w:val="00182F1C"/>
    <w:rsid w:val="001A7375"/>
    <w:rsid w:val="001C6C8A"/>
    <w:rsid w:val="00263CD7"/>
    <w:rsid w:val="00265768"/>
    <w:rsid w:val="002E6B9C"/>
    <w:rsid w:val="002F2962"/>
    <w:rsid w:val="003212AA"/>
    <w:rsid w:val="00345D87"/>
    <w:rsid w:val="0035418C"/>
    <w:rsid w:val="00363513"/>
    <w:rsid w:val="00381DFA"/>
    <w:rsid w:val="00382E46"/>
    <w:rsid w:val="003C1EBD"/>
    <w:rsid w:val="003C3979"/>
    <w:rsid w:val="004355DC"/>
    <w:rsid w:val="0045466C"/>
    <w:rsid w:val="004A745B"/>
    <w:rsid w:val="004B2415"/>
    <w:rsid w:val="004D2E76"/>
    <w:rsid w:val="0054660E"/>
    <w:rsid w:val="005A5FFF"/>
    <w:rsid w:val="005E16E7"/>
    <w:rsid w:val="005F1D08"/>
    <w:rsid w:val="006424D5"/>
    <w:rsid w:val="006430FB"/>
    <w:rsid w:val="006516C6"/>
    <w:rsid w:val="00687210"/>
    <w:rsid w:val="006C1777"/>
    <w:rsid w:val="006C6D42"/>
    <w:rsid w:val="00732449"/>
    <w:rsid w:val="00771DC0"/>
    <w:rsid w:val="00782FF6"/>
    <w:rsid w:val="007860B2"/>
    <w:rsid w:val="007B5237"/>
    <w:rsid w:val="007E4A0E"/>
    <w:rsid w:val="008104EC"/>
    <w:rsid w:val="0081084C"/>
    <w:rsid w:val="00847968"/>
    <w:rsid w:val="0087620B"/>
    <w:rsid w:val="00893D9C"/>
    <w:rsid w:val="008A4FBE"/>
    <w:rsid w:val="008F63F2"/>
    <w:rsid w:val="009079DF"/>
    <w:rsid w:val="009250B5"/>
    <w:rsid w:val="00930172"/>
    <w:rsid w:val="009338B5"/>
    <w:rsid w:val="00940CD8"/>
    <w:rsid w:val="00960B1A"/>
    <w:rsid w:val="00992852"/>
    <w:rsid w:val="009A2163"/>
    <w:rsid w:val="009A351A"/>
    <w:rsid w:val="009D4781"/>
    <w:rsid w:val="009E5859"/>
    <w:rsid w:val="00A06D68"/>
    <w:rsid w:val="00A70F3C"/>
    <w:rsid w:val="00AB5D56"/>
    <w:rsid w:val="00AC1472"/>
    <w:rsid w:val="00AD339B"/>
    <w:rsid w:val="00AE1C2A"/>
    <w:rsid w:val="00B41CB7"/>
    <w:rsid w:val="00B87523"/>
    <w:rsid w:val="00B91366"/>
    <w:rsid w:val="00BF2E1D"/>
    <w:rsid w:val="00C043AF"/>
    <w:rsid w:val="00C05B23"/>
    <w:rsid w:val="00C07056"/>
    <w:rsid w:val="00CB4614"/>
    <w:rsid w:val="00CC2635"/>
    <w:rsid w:val="00CC2B3B"/>
    <w:rsid w:val="00CF1000"/>
    <w:rsid w:val="00D105C1"/>
    <w:rsid w:val="00D10633"/>
    <w:rsid w:val="00D923AF"/>
    <w:rsid w:val="00DC556B"/>
    <w:rsid w:val="00DD18DF"/>
    <w:rsid w:val="00DD792A"/>
    <w:rsid w:val="00DE360B"/>
    <w:rsid w:val="00DF5F4D"/>
    <w:rsid w:val="00E0628C"/>
    <w:rsid w:val="00E538A4"/>
    <w:rsid w:val="00E57132"/>
    <w:rsid w:val="00E8421E"/>
    <w:rsid w:val="00EA10D8"/>
    <w:rsid w:val="00EB5E99"/>
    <w:rsid w:val="00ED329C"/>
    <w:rsid w:val="00EE4388"/>
    <w:rsid w:val="00EE5803"/>
    <w:rsid w:val="00F231DC"/>
    <w:rsid w:val="00F26C86"/>
    <w:rsid w:val="00F302EA"/>
    <w:rsid w:val="00F71A3C"/>
    <w:rsid w:val="00FB560C"/>
    <w:rsid w:val="00FE2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8BB7"/>
  <w15:docId w15:val="{D5A2C9A5-E988-4A10-A30F-51F0A656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AC1472"/>
    <w:pPr>
      <w:numPr>
        <w:numId w:val="15"/>
      </w:numPr>
      <w:spacing w:after="0" w:line="240" w:lineRule="auto"/>
      <w:contextualSpacing/>
    </w:pPr>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5718">
      <w:bodyDiv w:val="1"/>
      <w:marLeft w:val="0"/>
      <w:marRight w:val="0"/>
      <w:marTop w:val="0"/>
      <w:marBottom w:val="0"/>
      <w:divBdr>
        <w:top w:val="none" w:sz="0" w:space="0" w:color="auto"/>
        <w:left w:val="none" w:sz="0" w:space="0" w:color="auto"/>
        <w:bottom w:val="none" w:sz="0" w:space="0" w:color="auto"/>
        <w:right w:val="none" w:sz="0" w:space="0" w:color="auto"/>
      </w:divBdr>
    </w:div>
    <w:div w:id="632563563">
      <w:bodyDiv w:val="1"/>
      <w:marLeft w:val="0"/>
      <w:marRight w:val="0"/>
      <w:marTop w:val="0"/>
      <w:marBottom w:val="0"/>
      <w:divBdr>
        <w:top w:val="none" w:sz="0" w:space="0" w:color="auto"/>
        <w:left w:val="none" w:sz="0" w:space="0" w:color="auto"/>
        <w:bottom w:val="none" w:sz="0" w:space="0" w:color="auto"/>
        <w:right w:val="none" w:sz="0" w:space="0" w:color="auto"/>
      </w:divBdr>
    </w:div>
    <w:div w:id="676930448">
      <w:bodyDiv w:val="1"/>
      <w:marLeft w:val="0"/>
      <w:marRight w:val="0"/>
      <w:marTop w:val="0"/>
      <w:marBottom w:val="0"/>
      <w:divBdr>
        <w:top w:val="none" w:sz="0" w:space="0" w:color="auto"/>
        <w:left w:val="none" w:sz="0" w:space="0" w:color="auto"/>
        <w:bottom w:val="none" w:sz="0" w:space="0" w:color="auto"/>
        <w:right w:val="none" w:sz="0" w:space="0" w:color="auto"/>
      </w:divBdr>
    </w:div>
    <w:div w:id="764301545">
      <w:bodyDiv w:val="1"/>
      <w:marLeft w:val="0"/>
      <w:marRight w:val="0"/>
      <w:marTop w:val="0"/>
      <w:marBottom w:val="0"/>
      <w:divBdr>
        <w:top w:val="none" w:sz="0" w:space="0" w:color="auto"/>
        <w:left w:val="none" w:sz="0" w:space="0" w:color="auto"/>
        <w:bottom w:val="none" w:sz="0" w:space="0" w:color="auto"/>
        <w:right w:val="none" w:sz="0" w:space="0" w:color="auto"/>
      </w:divBdr>
    </w:div>
    <w:div w:id="792674451">
      <w:bodyDiv w:val="1"/>
      <w:marLeft w:val="0"/>
      <w:marRight w:val="0"/>
      <w:marTop w:val="0"/>
      <w:marBottom w:val="0"/>
      <w:divBdr>
        <w:top w:val="none" w:sz="0" w:space="0" w:color="auto"/>
        <w:left w:val="none" w:sz="0" w:space="0" w:color="auto"/>
        <w:bottom w:val="none" w:sz="0" w:space="0" w:color="auto"/>
        <w:right w:val="none" w:sz="0" w:space="0" w:color="auto"/>
      </w:divBdr>
    </w:div>
    <w:div w:id="914363394">
      <w:bodyDiv w:val="1"/>
      <w:marLeft w:val="0"/>
      <w:marRight w:val="0"/>
      <w:marTop w:val="0"/>
      <w:marBottom w:val="0"/>
      <w:divBdr>
        <w:top w:val="none" w:sz="0" w:space="0" w:color="auto"/>
        <w:left w:val="none" w:sz="0" w:space="0" w:color="auto"/>
        <w:bottom w:val="none" w:sz="0" w:space="0" w:color="auto"/>
        <w:right w:val="none" w:sz="0" w:space="0" w:color="auto"/>
      </w:divBdr>
    </w:div>
    <w:div w:id="1741713049">
      <w:bodyDiv w:val="1"/>
      <w:marLeft w:val="0"/>
      <w:marRight w:val="0"/>
      <w:marTop w:val="0"/>
      <w:marBottom w:val="0"/>
      <w:divBdr>
        <w:top w:val="none" w:sz="0" w:space="0" w:color="auto"/>
        <w:left w:val="none" w:sz="0" w:space="0" w:color="auto"/>
        <w:bottom w:val="none" w:sz="0" w:space="0" w:color="auto"/>
        <w:right w:val="none" w:sz="0" w:space="0" w:color="auto"/>
      </w:divBdr>
    </w:div>
    <w:div w:id="1776250587">
      <w:bodyDiv w:val="1"/>
      <w:marLeft w:val="0"/>
      <w:marRight w:val="0"/>
      <w:marTop w:val="0"/>
      <w:marBottom w:val="0"/>
      <w:divBdr>
        <w:top w:val="none" w:sz="0" w:space="0" w:color="auto"/>
        <w:left w:val="none" w:sz="0" w:space="0" w:color="auto"/>
        <w:bottom w:val="none" w:sz="0" w:space="0" w:color="auto"/>
        <w:right w:val="none" w:sz="0" w:space="0" w:color="auto"/>
      </w:divBdr>
    </w:div>
    <w:div w:id="1886210095">
      <w:bodyDiv w:val="1"/>
      <w:marLeft w:val="0"/>
      <w:marRight w:val="0"/>
      <w:marTop w:val="0"/>
      <w:marBottom w:val="0"/>
      <w:divBdr>
        <w:top w:val="none" w:sz="0" w:space="0" w:color="auto"/>
        <w:left w:val="none" w:sz="0" w:space="0" w:color="auto"/>
        <w:bottom w:val="none" w:sz="0" w:space="0" w:color="auto"/>
        <w:right w:val="none" w:sz="0" w:space="0" w:color="auto"/>
      </w:divBdr>
    </w:div>
    <w:div w:id="192999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sfem.gob.mx/assets/conocenos/marco_normativo/acuerdos/2025/acuerdo_07_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osfem.gob.mx/assets/conocenos/marco%20normativo/acuerdos/2025/acuerdo%2007%202025.pdf" TargetMode="External"/><Relationship Id="rId4" Type="http://schemas.openxmlformats.org/officeDocument/2006/relationships/styles" Target="styles.xml"/><Relationship Id="rId9" Type="http://schemas.openxmlformats.org/officeDocument/2006/relationships/hyperlink" Target="https://www.osfem.gob.mx/assets/conocenos/marco%20normativo/acuerdos/2025/acuerdo%2007%20202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wJ17nQ1ZZtb5wc15PFi/Us2Q==">CgMxLjAyCWguMzBqMHpsbDIIaC5namRneHMyCWguMXQzaDVzZjIJaC4xZm9iOXRlOAByITFVQk02RWFrSGthYXpuR0wtcmx1U2tjaWxFcWdzSGNXMQ==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4EF183-9BA2-4264-87CF-94E3FD71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8130</Words>
  <Characters>44718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2026-03-27T18:29:00Z</cp:lastPrinted>
  <dcterms:created xsi:type="dcterms:W3CDTF">2026-04-09T18:54:00Z</dcterms:created>
  <dcterms:modified xsi:type="dcterms:W3CDTF">2026-04-09T18:54:00Z</dcterms:modified>
</cp:coreProperties>
</file>