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E38" w:rsidRDefault="00344F70">
      <w:pPr>
        <w:tabs>
          <w:tab w:val="left" w:pos="3465"/>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Pr>
          <w:rFonts w:ascii="Palatino Linotype" w:eastAsia="Palatino Linotype" w:hAnsi="Palatino Linotype" w:cs="Palatino Linotype"/>
          <w:b/>
          <w:bCs/>
        </w:rPr>
        <w:t>de fecha veinte (20) de mayo de dos mil veintiséis.</w:t>
      </w:r>
    </w:p>
    <w:p w:rsidR="00862E38" w:rsidRDefault="00862E38">
      <w:pPr>
        <w:tabs>
          <w:tab w:val="left" w:pos="3465"/>
        </w:tabs>
        <w:spacing w:line="360" w:lineRule="auto"/>
        <w:ind w:right="-787"/>
        <w:jc w:val="both"/>
        <w:rPr>
          <w:rFonts w:ascii="Palatino Linotype" w:eastAsia="Palatino Linotype" w:hAnsi="Palatino Linotype" w:cs="Palatino Linotype"/>
        </w:rPr>
      </w:pPr>
    </w:p>
    <w:p w:rsidR="00862E38" w:rsidRDefault="00344F70">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13408/INFOEM/IP/RR/2025</w:t>
      </w:r>
      <w:r>
        <w:rPr>
          <w:rFonts w:ascii="Palatino Linotype" w:eastAsia="Palatino Linotype" w:hAnsi="Palatino Linotype" w:cs="Palatino Linotype"/>
          <w:color w:val="000000"/>
        </w:rPr>
        <w:t xml:space="preserve">, promovido </w:t>
      </w:r>
      <w:r>
        <w:rPr>
          <w:rFonts w:ascii="Palatino Linotype" w:eastAsia="Palatino Linotype" w:hAnsi="Palatino Linotype" w:cs="Palatino Linotype"/>
        </w:rPr>
        <w:t>por</w:t>
      </w:r>
      <w:r>
        <w:rPr>
          <w:rFonts w:ascii="Palatino Linotype" w:eastAsia="Palatino Linotype" w:hAnsi="Palatino Linotype" w:cs="Palatino Linotype"/>
          <w:b/>
          <w:bCs/>
        </w:rPr>
        <w:t xml:space="preserve"> </w:t>
      </w:r>
      <w:r w:rsidR="00C53C44">
        <w:rPr>
          <w:rFonts w:ascii="Palatino Linotype" w:eastAsia="Palatino Linotype" w:hAnsi="Palatino Linotype" w:cs="Palatino Linotype"/>
          <w:b/>
          <w:bCs/>
        </w:rPr>
        <w:t>XXXX</w:t>
      </w:r>
      <w:r>
        <w:rPr>
          <w:rFonts w:ascii="Palatino Linotype" w:eastAsia="Palatino Linotype" w:hAnsi="Palatino Linotype" w:cs="Palatino Linotype"/>
          <w:color w:val="000000"/>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 quien en lo sucesivo se denominará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00154/ELORO/IP/2025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El Oro,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se emite la presente resolución con base en los siguientes:</w:t>
      </w:r>
    </w:p>
    <w:p w:rsidR="00862E38" w:rsidRDefault="00862E38">
      <w:pPr>
        <w:spacing w:line="360" w:lineRule="auto"/>
        <w:ind w:right="-787"/>
        <w:jc w:val="both"/>
        <w:rPr>
          <w:rFonts w:ascii="Palatino Linotype" w:eastAsia="Palatino Linotype" w:hAnsi="Palatino Linotype" w:cs="Palatino Linotype"/>
        </w:rPr>
      </w:pPr>
    </w:p>
    <w:p w:rsidR="00862E38" w:rsidRDefault="00344F70">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0" w:name="_heading=h.gjdgxs" w:colFirst="0" w:colLast="0"/>
      <w:bookmarkEnd w:id="0"/>
      <w:r>
        <w:rPr>
          <w:rFonts w:ascii="Palatino Linotype" w:eastAsia="Palatino Linotype" w:hAnsi="Palatino Linotype" w:cs="Palatino Linotype"/>
          <w:b/>
          <w:bCs/>
          <w:color w:val="000000"/>
          <w:sz w:val="24"/>
          <w:szCs w:val="24"/>
        </w:rPr>
        <w:t>A N T E C E D E N T E S</w:t>
      </w:r>
    </w:p>
    <w:p w:rsidR="00862E38" w:rsidRDefault="00862E38">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862E38" w:rsidRDefault="00344F70">
      <w:pPr>
        <w:numPr>
          <w:ilvl w:val="0"/>
          <w:numId w:val="2"/>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catorce de noviembre de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 presentó ante el Sujeto Obligado a través del Sistema de Acceso a la Información Mexiquense (SAIMEX), la siguiente solicitud de información pública:</w:t>
      </w:r>
    </w:p>
    <w:p w:rsidR="00862E38" w:rsidRDefault="00862E38">
      <w:pPr>
        <w:pBdr>
          <w:top w:val="nil"/>
          <w:left w:val="nil"/>
          <w:bottom w:val="nil"/>
          <w:right w:val="nil"/>
          <w:between w:val="nil"/>
        </w:pBdr>
        <w:ind w:right="-787"/>
        <w:jc w:val="both"/>
        <w:rPr>
          <w:rFonts w:ascii="Palatino Linotype" w:eastAsia="Palatino Linotype" w:hAnsi="Palatino Linotype" w:cs="Palatino Linotype"/>
          <w:color w:val="000000"/>
        </w:rPr>
      </w:pPr>
    </w:p>
    <w:p w:rsidR="00862E38" w:rsidRDefault="00344F70">
      <w:pPr>
        <w:pBdr>
          <w:top w:val="nil"/>
          <w:left w:val="nil"/>
          <w:bottom w:val="nil"/>
          <w:right w:val="nil"/>
          <w:between w:val="nil"/>
        </w:pBdr>
        <w:ind w:left="567"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EL PADRON DE LAS EMPRESAS QUE SE ENCUENTRAN EN LA JURISDICCION DEL MUNICIPIO QUE SE DEDIQUEN A LA FABRICACION DE PRODUCTOS M</w:t>
      </w:r>
      <w:bookmarkStart w:id="1" w:name="_GoBack"/>
      <w:bookmarkEnd w:id="1"/>
      <w:r>
        <w:rPr>
          <w:rFonts w:ascii="Palatino Linotype" w:eastAsia="Palatino Linotype" w:hAnsi="Palatino Linotype" w:cs="Palatino Linotype"/>
          <w:i/>
          <w:iCs/>
          <w:color w:val="000000"/>
        </w:rPr>
        <w:t>ETALICOS EN DONDE SE INFORME LA RAZÓN SOCIAL, DOMICILIO Y NUMERO TELEFONICO, CORREO ELECTRONICO, SOY UN EMPRENDEDOR QUE BUSCA OFERCER ACERO CON EL OBJETO DE GENERAR NUEVOS EMPLEOS.” (Sic)</w:t>
      </w:r>
    </w:p>
    <w:p w:rsidR="00862E38" w:rsidRDefault="00862E38">
      <w:pPr>
        <w:spacing w:line="360" w:lineRule="auto"/>
        <w:ind w:right="-787"/>
        <w:jc w:val="both"/>
        <w:rPr>
          <w:rFonts w:ascii="Palatino Linotype" w:eastAsia="Palatino Linotype" w:hAnsi="Palatino Linotype" w:cs="Palatino Linotype"/>
        </w:rPr>
      </w:pPr>
    </w:p>
    <w:p w:rsidR="00862E38" w:rsidRDefault="00862E38">
      <w:pPr>
        <w:spacing w:line="360" w:lineRule="auto"/>
        <w:ind w:right="-787"/>
        <w:jc w:val="both"/>
        <w:rPr>
          <w:rFonts w:ascii="Palatino Linotype" w:eastAsia="Palatino Linotype" w:hAnsi="Palatino Linotype" w:cs="Palatino Linotype"/>
        </w:rPr>
      </w:pPr>
    </w:p>
    <w:p w:rsidR="00862E38" w:rsidRDefault="00344F70">
      <w:pPr>
        <w:numPr>
          <w:ilvl w:val="0"/>
          <w:numId w:val="8"/>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862E38" w:rsidRDefault="00862E38">
      <w:p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p>
    <w:p w:rsidR="00862E38" w:rsidRDefault="00344F70">
      <w:pPr>
        <w:numPr>
          <w:ilvl w:val="0"/>
          <w:numId w:val="2"/>
        </w:numPr>
        <w:pBdr>
          <w:top w:val="nil"/>
          <w:left w:val="nil"/>
          <w:bottom w:val="nil"/>
          <w:right w:val="nil"/>
          <w:between w:val="nil"/>
        </w:pBdr>
        <w:tabs>
          <w:tab w:val="left" w:pos="0"/>
        </w:tabs>
        <w:spacing w:line="360" w:lineRule="auto"/>
        <w:ind w:left="0" w:right="-788" w:firstLine="0"/>
        <w:jc w:val="both"/>
        <w:rPr>
          <w:color w:val="000000"/>
        </w:rPr>
      </w:pPr>
      <w:r>
        <w:rPr>
          <w:rFonts w:ascii="Palatino Linotype" w:eastAsia="Palatino Linotype" w:hAnsi="Palatino Linotype" w:cs="Palatino Linotype"/>
          <w:color w:val="000000"/>
        </w:rPr>
        <w:lastRenderedPageBreak/>
        <w:t>El</w:t>
      </w:r>
      <w:r>
        <w:rPr>
          <w:rFonts w:ascii="Palatino Linotype" w:eastAsia="Palatino Linotype" w:hAnsi="Palatino Linotype" w:cs="Palatino Linotype"/>
          <w:b/>
          <w:bCs/>
          <w:color w:val="000000"/>
        </w:rPr>
        <w:t xml:space="preserve"> tres de diciembre de dos mil veinticinco</w:t>
      </w:r>
      <w:r>
        <w:rPr>
          <w:rFonts w:ascii="Palatino Linotype" w:eastAsia="Palatino Linotype" w:hAnsi="Palatino Linotype" w:cs="Palatino Linotype"/>
          <w:color w:val="000000"/>
        </w:rPr>
        <w:t>, el Sujeto Obligado</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dio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través del archivo digital siguiente:</w:t>
      </w:r>
    </w:p>
    <w:p w:rsidR="00862E38" w:rsidRDefault="00344F70">
      <w:pPr>
        <w:pBdr>
          <w:top w:val="nil"/>
          <w:left w:val="nil"/>
          <w:bottom w:val="nil"/>
          <w:right w:val="nil"/>
          <w:between w:val="nil"/>
        </w:pBdr>
        <w:tabs>
          <w:tab w:val="left" w:pos="567"/>
        </w:tabs>
        <w:ind w:left="426"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00154.PDF</w:t>
      </w:r>
    </w:p>
    <w:p w:rsidR="00862E38" w:rsidRDefault="00344F70">
      <w:pPr>
        <w:pBdr>
          <w:top w:val="nil"/>
          <w:left w:val="nil"/>
          <w:bottom w:val="nil"/>
          <w:right w:val="nil"/>
          <w:between w:val="nil"/>
        </w:pBdr>
        <w:tabs>
          <w:tab w:val="left" w:pos="567"/>
        </w:tabs>
        <w:ind w:left="426"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DDE/169/2025 de fecha 01 de diciembre de 2025, firmado por la Directora de Desarrollo Económico, a través del cual refiere lo siguiente:</w:t>
      </w:r>
    </w:p>
    <w:p w:rsidR="00862E38" w:rsidRDefault="00862E38">
      <w:pPr>
        <w:pBdr>
          <w:top w:val="nil"/>
          <w:left w:val="nil"/>
          <w:bottom w:val="nil"/>
          <w:right w:val="nil"/>
          <w:between w:val="nil"/>
        </w:pBdr>
        <w:tabs>
          <w:tab w:val="left" w:pos="567"/>
        </w:tabs>
        <w:ind w:left="426" w:right="-788"/>
        <w:jc w:val="both"/>
        <w:rPr>
          <w:rFonts w:ascii="Palatino Linotype" w:eastAsia="Palatino Linotype" w:hAnsi="Palatino Linotype" w:cs="Palatino Linotype"/>
          <w:color w:val="000000"/>
        </w:rPr>
      </w:pPr>
    </w:p>
    <w:p w:rsidR="00862E38" w:rsidRDefault="00344F70">
      <w:pPr>
        <w:pBdr>
          <w:top w:val="nil"/>
          <w:left w:val="nil"/>
          <w:bottom w:val="nil"/>
          <w:right w:val="nil"/>
          <w:between w:val="nil"/>
        </w:pBdr>
        <w:tabs>
          <w:tab w:val="left" w:pos="567"/>
        </w:tabs>
        <w:ind w:left="426"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“Después de realizar una búsqueda exhaustiva en los archivos físicos y digitales que obran en esta Dirección, correspondientes al periodo de enero a la fecha de la actual administración, se verificó lo siguiente: </w:t>
      </w:r>
    </w:p>
    <w:p w:rsidR="00862E38" w:rsidRDefault="00862E38">
      <w:pPr>
        <w:pBdr>
          <w:top w:val="nil"/>
          <w:left w:val="nil"/>
          <w:bottom w:val="nil"/>
          <w:right w:val="nil"/>
          <w:between w:val="nil"/>
        </w:pBdr>
        <w:tabs>
          <w:tab w:val="left" w:pos="567"/>
        </w:tabs>
        <w:ind w:left="426" w:right="-788"/>
        <w:jc w:val="both"/>
        <w:rPr>
          <w:rFonts w:ascii="Palatino Linotype" w:eastAsia="Palatino Linotype" w:hAnsi="Palatino Linotype" w:cs="Palatino Linotype"/>
          <w:i/>
          <w:iCs/>
          <w:color w:val="000000"/>
        </w:rPr>
      </w:pPr>
    </w:p>
    <w:p w:rsidR="00862E38" w:rsidRDefault="00344F70">
      <w:pPr>
        <w:pBdr>
          <w:top w:val="nil"/>
          <w:left w:val="nil"/>
          <w:bottom w:val="nil"/>
          <w:right w:val="nil"/>
          <w:between w:val="nil"/>
        </w:pBdr>
        <w:tabs>
          <w:tab w:val="left" w:pos="567"/>
        </w:tabs>
        <w:ind w:left="426"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 Padrón de comercios municipales. </w:t>
      </w:r>
    </w:p>
    <w:p w:rsidR="00862E38" w:rsidRDefault="00344F70">
      <w:pPr>
        <w:pBdr>
          <w:top w:val="nil"/>
          <w:left w:val="nil"/>
          <w:bottom w:val="nil"/>
          <w:right w:val="nil"/>
          <w:between w:val="nil"/>
        </w:pBdr>
        <w:tabs>
          <w:tab w:val="left" w:pos="567"/>
        </w:tabs>
        <w:ind w:left="426"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2. Archivo físico de Licencias de Funcionamiento. </w:t>
      </w:r>
    </w:p>
    <w:p w:rsidR="00862E38" w:rsidRDefault="00344F70">
      <w:pPr>
        <w:pBdr>
          <w:top w:val="nil"/>
          <w:left w:val="nil"/>
          <w:bottom w:val="nil"/>
          <w:right w:val="nil"/>
          <w:between w:val="nil"/>
        </w:pBdr>
        <w:tabs>
          <w:tab w:val="left" w:pos="567"/>
        </w:tabs>
        <w:ind w:left="426"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3. Expedientes disponibles en esta Dirección. </w:t>
      </w:r>
    </w:p>
    <w:p w:rsidR="00862E38" w:rsidRDefault="00862E38">
      <w:pPr>
        <w:pBdr>
          <w:top w:val="nil"/>
          <w:left w:val="nil"/>
          <w:bottom w:val="nil"/>
          <w:right w:val="nil"/>
          <w:between w:val="nil"/>
        </w:pBdr>
        <w:tabs>
          <w:tab w:val="left" w:pos="567"/>
        </w:tabs>
        <w:ind w:left="426" w:right="-788"/>
        <w:jc w:val="both"/>
        <w:rPr>
          <w:rFonts w:ascii="Palatino Linotype" w:eastAsia="Palatino Linotype" w:hAnsi="Palatino Linotype" w:cs="Palatino Linotype"/>
          <w:i/>
          <w:iCs/>
          <w:color w:val="000000"/>
        </w:rPr>
      </w:pPr>
    </w:p>
    <w:p w:rsidR="00862E38" w:rsidRDefault="00344F70">
      <w:pPr>
        <w:pBdr>
          <w:top w:val="nil"/>
          <w:left w:val="nil"/>
          <w:bottom w:val="nil"/>
          <w:right w:val="nil"/>
          <w:between w:val="nil"/>
        </w:pBdr>
        <w:tabs>
          <w:tab w:val="left" w:pos="567"/>
        </w:tabs>
        <w:ind w:left="426"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Derivado de dicha revisión, se concluye que esta Dirección </w:t>
      </w:r>
      <w:r>
        <w:rPr>
          <w:rFonts w:ascii="Palatino Linotype" w:eastAsia="Palatino Linotype" w:hAnsi="Palatino Linotype" w:cs="Palatino Linotype"/>
          <w:b/>
          <w:bCs/>
          <w:i/>
          <w:iCs/>
          <w:color w:val="000000"/>
        </w:rPr>
        <w:t>NO cuenta con información correspondiente a empresas formalmente establecidas que se dediquen a la fabricación o producción de artículos de acero dentro del municipio, durante el periodo referido</w:t>
      </w:r>
      <w:r>
        <w:rPr>
          <w:rFonts w:ascii="Palatino Linotype" w:eastAsia="Palatino Linotype" w:hAnsi="Palatino Linotype" w:cs="Palatino Linotype"/>
          <w:i/>
          <w:iCs/>
          <w:color w:val="000000"/>
        </w:rPr>
        <w:t>.” (Sic)</w:t>
      </w:r>
    </w:p>
    <w:p w:rsidR="00862E38" w:rsidRDefault="00862E38">
      <w:pPr>
        <w:pBdr>
          <w:top w:val="nil"/>
          <w:left w:val="nil"/>
          <w:bottom w:val="nil"/>
          <w:right w:val="nil"/>
          <w:between w:val="nil"/>
        </w:pBdr>
        <w:tabs>
          <w:tab w:val="left" w:pos="567"/>
        </w:tabs>
        <w:ind w:left="426" w:right="-788"/>
        <w:jc w:val="both"/>
        <w:rPr>
          <w:rFonts w:ascii="Palatino Linotype" w:eastAsia="Palatino Linotype" w:hAnsi="Palatino Linotype" w:cs="Palatino Linotype"/>
          <w:color w:val="000000"/>
        </w:rPr>
      </w:pPr>
    </w:p>
    <w:p w:rsidR="00862E38" w:rsidRDefault="00862E38">
      <w:pPr>
        <w:pBdr>
          <w:top w:val="nil"/>
          <w:left w:val="nil"/>
          <w:bottom w:val="nil"/>
          <w:right w:val="nil"/>
          <w:between w:val="nil"/>
        </w:pBdr>
        <w:tabs>
          <w:tab w:val="left" w:pos="1591"/>
        </w:tabs>
        <w:ind w:right="-787"/>
        <w:jc w:val="both"/>
        <w:rPr>
          <w:rFonts w:ascii="Palatino Linotype" w:eastAsia="Palatino Linotype" w:hAnsi="Palatino Linotype" w:cs="Palatino Linotype"/>
          <w:b/>
          <w:bCs/>
          <w:color w:val="000000"/>
        </w:rPr>
      </w:pPr>
    </w:p>
    <w:p w:rsidR="00862E38" w:rsidRDefault="00344F70">
      <w:pPr>
        <w:numPr>
          <w:ilvl w:val="0"/>
          <w:numId w:val="2"/>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tres de diciembre de dos mil veinticinco</w:t>
      </w:r>
      <w:r>
        <w:rPr>
          <w:rFonts w:ascii="Palatino Linotype" w:eastAsia="Palatino Linotype" w:hAnsi="Palatino Linotype" w:cs="Palatino Linotype"/>
          <w:color w:val="000000"/>
        </w:rPr>
        <w:t xml:space="preserve">, el particular interpuso el </w:t>
      </w:r>
      <w:r>
        <w:rPr>
          <w:rFonts w:ascii="Palatino Linotype" w:eastAsia="Palatino Linotype" w:hAnsi="Palatino Linotype" w:cs="Palatino Linotype"/>
          <w:b/>
          <w:bCs/>
          <w:color w:val="000000"/>
        </w:rPr>
        <w:t>recurso de revisión</w:t>
      </w:r>
      <w:r>
        <w:rPr>
          <w:rFonts w:ascii="Palatino Linotype" w:eastAsia="Palatino Linotype" w:hAnsi="Palatino Linotype" w:cs="Palatino Linotype"/>
          <w:color w:val="000000"/>
        </w:rPr>
        <w:t xml:space="preserve"> en contra de la respuesta otorgada por el Sujeto Obligado, realizando las siguientes manifestaciones:</w:t>
      </w:r>
    </w:p>
    <w:p w:rsidR="00862E38" w:rsidRDefault="00344F70">
      <w:pPr>
        <w:numPr>
          <w:ilvl w:val="0"/>
          <w:numId w:val="9"/>
        </w:numPr>
        <w:pBdr>
          <w:top w:val="nil"/>
          <w:left w:val="nil"/>
          <w:bottom w:val="nil"/>
          <w:right w:val="nil"/>
          <w:between w:val="nil"/>
        </w:pBdr>
        <w:ind w:right="-518"/>
        <w:jc w:val="both"/>
        <w:rPr>
          <w:rFonts w:ascii="Palatino Linotype" w:eastAsia="Palatino Linotype" w:hAnsi="Palatino Linotype" w:cs="Palatino Linotype"/>
          <w:b/>
          <w:bCs/>
          <w:color w:val="000000"/>
        </w:rPr>
      </w:pPr>
      <w:bookmarkStart w:id="2" w:name="_heading=h.30j0zll" w:colFirst="0" w:colLast="0"/>
      <w:bookmarkEnd w:id="2"/>
      <w:r>
        <w:rPr>
          <w:rFonts w:ascii="Palatino Linotype" w:eastAsia="Palatino Linotype" w:hAnsi="Palatino Linotype" w:cs="Palatino Linotype"/>
          <w:b/>
          <w:bCs/>
          <w:color w:val="000000"/>
        </w:rPr>
        <w:t xml:space="preserve">Acto impugnado: </w:t>
      </w:r>
    </w:p>
    <w:p w:rsidR="00862E38" w:rsidRDefault="00344F70">
      <w:pPr>
        <w:pBdr>
          <w:top w:val="nil"/>
          <w:left w:val="nil"/>
          <w:bottom w:val="nil"/>
          <w:right w:val="nil"/>
          <w:between w:val="nil"/>
        </w:pBdr>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“Oficio DDE/169/2025” (Sic)</w:t>
      </w:r>
    </w:p>
    <w:p w:rsidR="00862E38" w:rsidRDefault="00862E38">
      <w:pPr>
        <w:pBdr>
          <w:top w:val="nil"/>
          <w:left w:val="nil"/>
          <w:bottom w:val="nil"/>
          <w:right w:val="nil"/>
          <w:between w:val="nil"/>
        </w:pBdr>
        <w:ind w:left="567" w:right="-518"/>
        <w:jc w:val="both"/>
        <w:rPr>
          <w:rFonts w:ascii="Palatino Linotype" w:eastAsia="Palatino Linotype" w:hAnsi="Palatino Linotype" w:cs="Palatino Linotype"/>
          <w:i/>
          <w:iCs/>
          <w:color w:val="000000"/>
        </w:rPr>
      </w:pPr>
    </w:p>
    <w:p w:rsidR="00862E38" w:rsidRDefault="00344F70">
      <w:pPr>
        <w:numPr>
          <w:ilvl w:val="0"/>
          <w:numId w:val="1"/>
        </w:numPr>
        <w:pBdr>
          <w:top w:val="nil"/>
          <w:left w:val="nil"/>
          <w:bottom w:val="nil"/>
          <w:right w:val="nil"/>
          <w:between w:val="nil"/>
        </w:pBdr>
        <w:ind w:right="-518"/>
        <w:jc w:val="both"/>
        <w:rPr>
          <w:rFonts w:ascii="Palatino Linotype" w:eastAsia="Palatino Linotype" w:hAnsi="Palatino Linotype" w:cs="Palatino Linotype"/>
          <w:b/>
          <w:bCs/>
          <w:color w:val="000000"/>
        </w:rPr>
      </w:pPr>
      <w:bookmarkStart w:id="3" w:name="_heading=h.1fob9te" w:colFirst="0" w:colLast="0"/>
      <w:bookmarkEnd w:id="3"/>
      <w:r>
        <w:rPr>
          <w:rFonts w:ascii="Palatino Linotype" w:eastAsia="Palatino Linotype" w:hAnsi="Palatino Linotype" w:cs="Palatino Linotype"/>
          <w:b/>
          <w:bCs/>
          <w:color w:val="000000"/>
        </w:rPr>
        <w:t>Razones o Motivos de inconformidad:</w:t>
      </w:r>
    </w:p>
    <w:p w:rsidR="00862E38" w:rsidRDefault="00344F70">
      <w:pPr>
        <w:pBdr>
          <w:top w:val="nil"/>
          <w:left w:val="nil"/>
          <w:bottom w:val="nil"/>
          <w:right w:val="nil"/>
          <w:between w:val="nil"/>
        </w:pBdr>
        <w:ind w:left="567" w:right="-51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“La resolución resulta ilegal a derecho, toda vez que la autoridad únicamente afirma que no se cuenta con información correspondiente a empresas formalmente establecidas que se dediquen a la fabricación o producción de artículos de acero en el municipio, sin entregar la información solicitada relativa a razón social, domicilio, correo electrónico y teléfono, y sin cumplir con el procedimiento legal aplicable a las declaraciones de inexistencia, de conformidad con la Ley de Transparencia y Acceso a la Información Pública del Estado de México y Municipios. Primera consideración. La autoridad no satisface la solicitud de </w:t>
      </w:r>
      <w:r>
        <w:rPr>
          <w:rFonts w:ascii="Palatino Linotype" w:eastAsia="Palatino Linotype" w:hAnsi="Palatino Linotype" w:cs="Palatino Linotype"/>
          <w:i/>
          <w:iCs/>
          <w:color w:val="000000"/>
        </w:rPr>
        <w:lastRenderedPageBreak/>
        <w:t xml:space="preserve">información. La Dirección de Desarrollo Económico afirma haber realizado una “búsqueda exhaustiva” en el padrón municipal, archivo de licencias y expedientes, concluyendo que no existen empresas del giro solicitado, según se aprecia en la página 1 del oficio. Sin embargo, la respuesta no entrega ningún documento probatorio, no proporciona lista de resultados negativos, no expone filtros aplicados para determinar el giro y no acredita el alcance real de dicha búsqueda. La sola afirmación “NO cuenta con información” no cumple con la carga legal de respuesta completa, adecuada y congruente con lo solicitado. Segunda consideración. La conducta de la autoridad vulnera el artículo 18 de la Ley de Transparencia y Acceso a la Información Pública del Estado de México y Municipios, que obliga al Ayuntamiento a documentar el ejercicio de sus atribuciones, particularmente las relacionadas con control y regulación de establecimientos y licencias de funcionamiento. Si realmente no existen empresas del giro solicitado, ello implica que el municipio debió acreditar que revisó la totalidad del padrón vigente, registros históricos, licencias activas e inactivas y bases de datos municipales, lo cual no ocurre en la respuesta. Tercera consideración. La inexistencia declarada es jurídicamente inválida porque no fue emitida por el órgano competente. El artículo 19 de la Ley de Transparencia y Acceso a la Información Pública del Estado de México y Municipios establece que cuando la información debió generarse, poseerse o administrarse pero no se encuentra, únicamente el Comité de Transparencia puede declararla inexistente mediante acuerdo formal debidamente fundado y motivado. En este caso no existe intervención del Comité, no hay acuerdo ni fundamentos legales, por lo que la inexistencia manifestada por la Directora no tiene validez jurídica. Cuarta consideración. La autoridad omitió el cumplimiento del procedimiento legal exigido en el artículo 169 de la misma Ley, pues el Comité debió valorar si la información debió existir, determinar si la ausencia constituye una omisión administrativa por parte del sujeto obligado y, en su caso, ordenar la generación, actualización o reposición de la información faltante. Nada de esto se acredita. La autoridad se limitó a negar la existencia sin cumplir el análisis normativo obligatorio. Quinta consideración. La respuesta es contraria al artículo 170 de la Ley de Transparencia y Acceso a la Información Pública del Estado de México y Municipios, el cual exige que toda inexistencia se funde en una búsqueda exhaustiva que precise tiempo, modo, lugar, archivos revisados, bases de datos consultadas y áreas involucradas. En la respuesta únicamente se menciona una búsqueda “en archivos físicos y digitales”, sin explicar el alcance, metodología, fecha de actualización del padrón, o si se verificaron registros proporcionados por otras dependencias municipales. La afirmación genérica carece de valor probatorio. Sexta consideración. La ausencia total de fundamentación y motivación configura la causal de impugnación prevista en el artículo 179 de la Ley de Transparencia y Acceso a la Información Pública del Estado de México y Municipios. La autoridad no expone razones </w:t>
      </w:r>
      <w:r>
        <w:rPr>
          <w:rFonts w:ascii="Palatino Linotype" w:eastAsia="Palatino Linotype" w:hAnsi="Palatino Linotype" w:cs="Palatino Linotype"/>
          <w:i/>
          <w:iCs/>
          <w:color w:val="000000"/>
        </w:rPr>
        <w:lastRenderedPageBreak/>
        <w:t>jurídicas que la faculten para negar la información, no cita la norma aplicable ni detalla los motivos fácticos detrás de la supuesta inexistencia. Es una respuesta incompleta, carente de argumentación legal y que vulnera derechos de acceso a la información.” (Sic)</w:t>
      </w:r>
    </w:p>
    <w:p w:rsidR="00862E38" w:rsidRDefault="00862E38">
      <w:pPr>
        <w:pBdr>
          <w:top w:val="nil"/>
          <w:left w:val="nil"/>
          <w:bottom w:val="nil"/>
          <w:right w:val="nil"/>
          <w:between w:val="nil"/>
        </w:pBdr>
        <w:ind w:left="567" w:right="-518"/>
        <w:jc w:val="both"/>
        <w:rPr>
          <w:rFonts w:ascii="Palatino Linotype" w:eastAsia="Palatino Linotype" w:hAnsi="Palatino Linotype" w:cs="Palatino Linotype"/>
          <w:i/>
          <w:iCs/>
          <w:color w:val="000000"/>
        </w:rPr>
      </w:pPr>
    </w:p>
    <w:p w:rsidR="00862E38" w:rsidRDefault="00344F70">
      <w:pPr>
        <w:pBdr>
          <w:top w:val="nil"/>
          <w:left w:val="nil"/>
          <w:bottom w:val="nil"/>
          <w:right w:val="nil"/>
          <w:between w:val="nil"/>
        </w:pBdr>
        <w:ind w:left="567" w:right="-51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recurrente adjuntó el archivo entregado en respuesta por el Sujeto Obligado.</w:t>
      </w:r>
    </w:p>
    <w:p w:rsidR="00862E38" w:rsidRDefault="00862E3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862E38" w:rsidRDefault="00344F70">
      <w:pPr>
        <w:numPr>
          <w:ilvl w:val="0"/>
          <w:numId w:val="2"/>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cuatro de diciembre de dos mil veinticinco,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862E38" w:rsidRDefault="00862E3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862E38" w:rsidRDefault="00344F7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El Recurrente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dejó de realizar manifestaciones que a su derecho conviniera y asistiera. Por su parte, el Sujeto 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color w:val="000000"/>
        </w:rPr>
        <w:t xml:space="preserve">once de diciembre de dos mil veinticinco </w:t>
      </w:r>
      <w:r>
        <w:rPr>
          <w:rFonts w:ascii="Palatino Linotype" w:eastAsia="Palatino Linotype" w:hAnsi="Palatino Linotype" w:cs="Palatino Linotype"/>
          <w:color w:val="000000"/>
        </w:rPr>
        <w:t>presentó informe justificado, a través del siguiente archivo electrónico:</w:t>
      </w:r>
    </w:p>
    <w:p w:rsidR="00862E38" w:rsidRDefault="00344F70">
      <w:pPr>
        <w:pBdr>
          <w:top w:val="nil"/>
          <w:left w:val="nil"/>
          <w:bottom w:val="nil"/>
          <w:right w:val="nil"/>
          <w:between w:val="nil"/>
        </w:pBdr>
        <w:ind w:left="567"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DDE-174-2025.PDF</w:t>
      </w:r>
    </w:p>
    <w:p w:rsidR="00862E38" w:rsidRDefault="00862E38">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862E38" w:rsidRDefault="00344F70">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Oficio DDE/174/2025 de fecha 11 de diciembre de 2025, firmado por la </w:t>
      </w:r>
      <w:r>
        <w:rPr>
          <w:rFonts w:ascii="Palatino Linotype" w:eastAsia="Palatino Linotype" w:hAnsi="Palatino Linotype" w:cs="Palatino Linotype"/>
          <w:b/>
          <w:bCs/>
          <w:color w:val="000000"/>
        </w:rPr>
        <w:t>Directora de Desarrollo Económico</w:t>
      </w:r>
      <w:r>
        <w:rPr>
          <w:rFonts w:ascii="Palatino Linotype" w:eastAsia="Palatino Linotype" w:hAnsi="Palatino Linotype" w:cs="Palatino Linotype"/>
          <w:color w:val="000000"/>
        </w:rPr>
        <w:t xml:space="preserve"> a través del cual amplía su respuesta refiriendo los métodos empleados en la búsqueda exhaustiva de la información, señalando los registros y bases documentales consultadas, el método de búsqueda y el resultado de la misma, concluyendo que NO cuenta con información de alguna empresa dedicada a la fabricación o producción de artículos de acero, dentro de la administración.</w:t>
      </w:r>
    </w:p>
    <w:p w:rsidR="00862E38" w:rsidRDefault="00862E38">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862E38" w:rsidRDefault="00344F70">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Asimismo refiere en relación al motivo de inconformidad relativo al acuerdo de inexistencia, que la declaración de inexistencia no aplica sobre los datos contenidos en los documentos o expedientes existentes de acuerdo a la normatividad aplicable, ya que resulta suficiente el hecho de informar que los datos requeridos no obran en los archivos en posesión de este Sujeto Obligado.</w:t>
      </w:r>
    </w:p>
    <w:p w:rsidR="00862E38" w:rsidRDefault="00862E38">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862E38" w:rsidRDefault="00344F70">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lastRenderedPageBreak/>
        <w:t>- Oficio SA/909/ 12/2025 de fecha 10 de diciembre de 2025, firmado por el Secretario del Ayuntamiento, dirigido a la Directora de Desarrollo Económico a través del cual refiere que “…</w:t>
      </w:r>
      <w:r>
        <w:rPr>
          <w:rFonts w:ascii="Palatino Linotype" w:eastAsia="Palatino Linotype" w:hAnsi="Palatino Linotype" w:cs="Palatino Linotype"/>
          <w:i/>
          <w:iCs/>
          <w:color w:val="000000"/>
        </w:rPr>
        <w:t>después de una búsqueda exhaustiva en el área de Archivo, no se encontró ningún registro relacionado con el giro de Licencias del rubro de Paileria (fabricación o producción de artículos de acero) de los años 2016-2018, la información requerida respecto a los años 2019-2025 del mismo rubro, se encuentra en el archivo de trámite de la Dirección de Desarrollo Económico.” (Sic)</w:t>
      </w:r>
    </w:p>
    <w:p w:rsidR="00862E38" w:rsidRDefault="00862E38">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862E38" w:rsidRDefault="00344F70">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Capturas de pantalla del buscador de la página web del INEGI.</w:t>
      </w:r>
    </w:p>
    <w:p w:rsidR="00862E38" w:rsidRDefault="00862E38">
      <w:pPr>
        <w:pBdr>
          <w:top w:val="nil"/>
          <w:left w:val="nil"/>
          <w:bottom w:val="nil"/>
          <w:right w:val="nil"/>
          <w:between w:val="nil"/>
        </w:pBdr>
        <w:spacing w:line="360" w:lineRule="auto"/>
        <w:ind w:right="-788"/>
        <w:jc w:val="both"/>
        <w:rPr>
          <w:rFonts w:ascii="Palatino Linotype" w:eastAsia="Palatino Linotype" w:hAnsi="Palatino Linotype" w:cs="Palatino Linotype"/>
          <w:b/>
          <w:bCs/>
          <w:i/>
          <w:iCs/>
          <w:color w:val="000000"/>
        </w:rPr>
      </w:pPr>
    </w:p>
    <w:p w:rsidR="00862E38" w:rsidRDefault="00344F7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nueve de febrero de dos mil veintiséis</w:t>
      </w:r>
      <w:r>
        <w:rPr>
          <w:rFonts w:ascii="Palatino Linotype" w:eastAsia="Palatino Linotype" w:hAnsi="Palatino Linotype" w:cs="Palatino Linotype"/>
          <w:color w:val="000000"/>
        </w:rPr>
        <w:t xml:space="preserve">, se acordó ampliar el </w:t>
      </w:r>
      <w:r>
        <w:rPr>
          <w:rFonts w:ascii="Palatino Linotype" w:eastAsia="Palatino Linotype" w:hAnsi="Palatino Linotype" w:cs="Palatino Linotype"/>
        </w:rPr>
        <w:t>plazo</w:t>
      </w:r>
      <w:r>
        <w:rPr>
          <w:rFonts w:ascii="Palatino Linotype" w:eastAsia="Palatino Linotype" w:hAnsi="Palatino Linotype" w:cs="Palatino Linotype"/>
          <w:color w:val="000000"/>
        </w:rPr>
        <w:t xml:space="preserve"> para resolver el presente Recurso de Revisión.</w:t>
      </w:r>
    </w:p>
    <w:p w:rsidR="00862E38" w:rsidRDefault="00862E38">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862E38" w:rsidRDefault="00344F7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diecinueve de mayo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p>
    <w:p w:rsidR="00862E38" w:rsidRDefault="00862E38">
      <w:pPr>
        <w:pBdr>
          <w:top w:val="nil"/>
          <w:left w:val="nil"/>
          <w:bottom w:val="nil"/>
          <w:right w:val="nil"/>
          <w:between w:val="nil"/>
        </w:pBdr>
        <w:ind w:left="720" w:right="-787"/>
        <w:rPr>
          <w:rFonts w:ascii="Palatino Linotype" w:eastAsia="Palatino Linotype" w:hAnsi="Palatino Linotype" w:cs="Palatino Linotype"/>
          <w:b/>
          <w:bCs/>
          <w:color w:val="000000"/>
        </w:rPr>
      </w:pPr>
    </w:p>
    <w:p w:rsidR="00862E38" w:rsidRDefault="00344F70">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rsidR="00862E38" w:rsidRDefault="00862E38">
      <w:pPr>
        <w:spacing w:line="360" w:lineRule="auto"/>
        <w:rPr>
          <w:rFonts w:ascii="Palatino Linotype" w:eastAsia="Palatino Linotype" w:hAnsi="Palatino Linotype" w:cs="Palatino Linotype"/>
        </w:rPr>
      </w:pPr>
    </w:p>
    <w:p w:rsidR="00862E38" w:rsidRDefault="00344F70">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862E38" w:rsidRDefault="00344F7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w:t>
      </w:r>
      <w:r>
        <w:rPr>
          <w:rFonts w:ascii="Palatino Linotype" w:eastAsia="Palatino Linotype" w:hAnsi="Palatino Linotype" w:cs="Palatino Linotype"/>
          <w:color w:val="000000"/>
        </w:rPr>
        <w:lastRenderedPageBreak/>
        <w:t>fracciones I y XXIII, y 11 del Reglamento Interior del Instituto de Transparencia, Acceso a la Información Pública y Protección de Datos Personales del Estado de México y Municipios.</w:t>
      </w:r>
    </w:p>
    <w:p w:rsidR="00862E38" w:rsidRDefault="00862E38">
      <w:pPr>
        <w:tabs>
          <w:tab w:val="left" w:pos="426"/>
        </w:tabs>
        <w:spacing w:line="360" w:lineRule="auto"/>
        <w:jc w:val="both"/>
        <w:rPr>
          <w:rFonts w:ascii="Palatino Linotype" w:eastAsia="Palatino Linotype" w:hAnsi="Palatino Linotype" w:cs="Palatino Linotype"/>
          <w:color w:val="000000"/>
        </w:rPr>
      </w:pPr>
    </w:p>
    <w:p w:rsidR="00862E38" w:rsidRDefault="00344F70">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862E38" w:rsidRDefault="00344F7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medio</w:t>
      </w:r>
      <w:r>
        <w:rPr>
          <w:rFonts w:ascii="Palatino Linotype" w:eastAsia="Palatino Linotype" w:hAnsi="Palatino Linotype" w:cs="Palatino Linotype"/>
        </w:rPr>
        <w:t xml:space="preserve">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tres de diciembre de dos mil veinticinco</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cuatro de diciembre de dos mil veinticinco al catorce de enero de dos mil veintiséis,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tres de diciembre de dos mil veinticinco</w:t>
      </w:r>
      <w:r>
        <w:rPr>
          <w:rFonts w:ascii="Palatino Linotype" w:eastAsia="Palatino Linotype" w:hAnsi="Palatino Linotype" w:cs="Palatino Linotype"/>
        </w:rPr>
        <w:t xml:space="preserve">, este  se encuentra dentro de los márgenes temporales previstos en el </w:t>
      </w:r>
      <w:r>
        <w:rPr>
          <w:rFonts w:ascii="Palatino Linotype" w:eastAsia="Palatino Linotype" w:hAnsi="Palatino Linotype" w:cs="Palatino Linotype"/>
          <w:b/>
          <w:bCs/>
        </w:rPr>
        <w:t>artículo 178</w:t>
      </w:r>
      <w:r>
        <w:rPr>
          <w:rFonts w:ascii="Palatino Linotype" w:eastAsia="Palatino Linotype" w:hAnsi="Palatino Linotype" w:cs="Palatino Linotype"/>
        </w:rPr>
        <w:t xml:space="preserve">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862E38" w:rsidRDefault="00862E38">
      <w:pPr>
        <w:spacing w:line="360" w:lineRule="auto"/>
        <w:ind w:right="49"/>
        <w:jc w:val="both"/>
        <w:rPr>
          <w:rFonts w:ascii="Palatino Linotype" w:eastAsia="Palatino Linotype" w:hAnsi="Palatino Linotype" w:cs="Palatino Linotype"/>
        </w:rPr>
      </w:pPr>
      <w:bookmarkStart w:id="4" w:name="_heading=h.2et92p0" w:colFirst="0" w:colLast="0"/>
      <w:bookmarkEnd w:id="4"/>
    </w:p>
    <w:p w:rsidR="00862E38" w:rsidRDefault="00344F70">
      <w:pPr>
        <w:pStyle w:val="Ttulo2"/>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862E38" w:rsidRDefault="00344F7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solicitó</w:t>
      </w:r>
      <w:r>
        <w:rPr>
          <w:rFonts w:ascii="Palatino Linotype" w:eastAsia="Palatino Linotype" w:hAnsi="Palatino Linotype" w:cs="Palatino Linotype"/>
          <w:color w:val="000000"/>
        </w:rPr>
        <w:t xml:space="preserve"> tener acceso, a la información que a continuación se simplifica:</w:t>
      </w:r>
    </w:p>
    <w:p w:rsidR="00862E38" w:rsidRDefault="00344F70">
      <w:pPr>
        <w:numPr>
          <w:ilvl w:val="0"/>
          <w:numId w:val="3"/>
        </w:numPr>
        <w:pBdr>
          <w:top w:val="nil"/>
          <w:left w:val="nil"/>
          <w:bottom w:val="nil"/>
          <w:right w:val="nil"/>
          <w:between w:val="nil"/>
        </w:pBdr>
        <w:jc w:val="both"/>
      </w:pPr>
      <w:r>
        <w:rPr>
          <w:rFonts w:ascii="Palatino Linotype" w:eastAsia="Palatino Linotype" w:hAnsi="Palatino Linotype" w:cs="Palatino Linotype"/>
          <w:i/>
          <w:iCs/>
          <w:color w:val="000000"/>
        </w:rPr>
        <w:t>Padrón de las empresas que se dediquen a la fabricación de productos metálicos, en donde se informe la razón social, domicilio, número telefónico y correo electrónico.</w:t>
      </w:r>
    </w:p>
    <w:p w:rsidR="00862E38" w:rsidRDefault="00862E38">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862E38" w:rsidRDefault="00862E38">
      <w:pPr>
        <w:pBdr>
          <w:top w:val="nil"/>
          <w:left w:val="nil"/>
          <w:bottom w:val="nil"/>
          <w:right w:val="nil"/>
          <w:between w:val="nil"/>
        </w:pBdr>
        <w:ind w:left="851" w:right="-788"/>
        <w:jc w:val="both"/>
        <w:rPr>
          <w:rFonts w:ascii="Palatino Linotype" w:eastAsia="Palatino Linotype" w:hAnsi="Palatino Linotype" w:cs="Palatino Linotype"/>
          <w:color w:val="000000"/>
        </w:rPr>
      </w:pPr>
    </w:p>
    <w:p w:rsidR="00862E38" w:rsidRDefault="00344F7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el archivo ya descrito en el párrafo 2, inconforme con la respuesta, se interpuso recurso de revisión argumentando sustancialmente la negativa a la información solicitada.</w:t>
      </w:r>
    </w:p>
    <w:p w:rsidR="00862E38" w:rsidRDefault="00862E38">
      <w:pPr>
        <w:ind w:left="720" w:right="-788"/>
        <w:jc w:val="both"/>
        <w:rPr>
          <w:rFonts w:ascii="Palatino Linotype" w:eastAsia="Palatino Linotype" w:hAnsi="Palatino Linotype" w:cs="Palatino Linotype"/>
          <w:i/>
          <w:iCs/>
          <w:color w:val="000000"/>
        </w:rPr>
      </w:pPr>
    </w:p>
    <w:p w:rsidR="00862E38" w:rsidRDefault="00344F7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Pr>
          <w:rFonts w:ascii="Palatino Linotype" w:eastAsia="Palatino Linotype" w:hAnsi="Palatino Linotype" w:cs="Palatino Linotype"/>
          <w:b/>
          <w:bCs/>
        </w:rPr>
        <w:t xml:space="preserve">artículo 179, </w:t>
      </w:r>
      <w:r>
        <w:rPr>
          <w:rFonts w:ascii="Palatino Linotype" w:eastAsia="Palatino Linotype" w:hAnsi="Palatino Linotype" w:cs="Palatino Linotype"/>
          <w:b/>
          <w:bCs/>
        </w:rPr>
        <w:lastRenderedPageBreak/>
        <w:t>fracción I,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las hipótesis relativa a </w:t>
      </w:r>
      <w:r>
        <w:rPr>
          <w:rFonts w:ascii="Palatino Linotype" w:eastAsia="Palatino Linotype" w:hAnsi="Palatino Linotype" w:cs="Palatino Linotype"/>
          <w:b/>
          <w:bCs/>
          <w:color w:val="000000"/>
        </w:rPr>
        <w:t>la negativa  la información solicitada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señalada.</w:t>
      </w:r>
    </w:p>
    <w:p w:rsidR="00862E38" w:rsidRDefault="00862E38">
      <w:pPr>
        <w:spacing w:line="360" w:lineRule="auto"/>
        <w:ind w:right="-787"/>
        <w:rPr>
          <w:rFonts w:ascii="Palatino Linotype" w:eastAsia="Palatino Linotype" w:hAnsi="Palatino Linotype" w:cs="Palatino Linotype"/>
        </w:rPr>
      </w:pPr>
    </w:p>
    <w:p w:rsidR="00862E38" w:rsidRDefault="00344F70">
      <w:pPr>
        <w:pStyle w:val="Ttulo2"/>
        <w:rPr>
          <w:rFonts w:ascii="Palatino Linotype" w:eastAsia="Palatino Linotype" w:hAnsi="Palatino Linotype" w:cs="Palatino Linotype"/>
          <w:b/>
          <w:bCs/>
          <w:color w:val="000000"/>
          <w:sz w:val="24"/>
          <w:szCs w:val="24"/>
        </w:rPr>
      </w:pPr>
      <w:bookmarkStart w:id="5" w:name="_heading=h.1t3h5sf" w:colFirst="0" w:colLast="0"/>
      <w:bookmarkEnd w:id="5"/>
      <w:r>
        <w:rPr>
          <w:rFonts w:ascii="Palatino Linotype" w:eastAsia="Palatino Linotype" w:hAnsi="Palatino Linotype" w:cs="Palatino Linotype"/>
          <w:b/>
          <w:bCs/>
          <w:color w:val="000000"/>
          <w:sz w:val="24"/>
          <w:szCs w:val="24"/>
        </w:rPr>
        <w:t>CUARTO. Del estudio y resolución del asunto.</w:t>
      </w:r>
    </w:p>
    <w:p w:rsidR="00862E38" w:rsidRDefault="00344F7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862E38" w:rsidRDefault="00862E38">
      <w:pPr>
        <w:spacing w:line="360" w:lineRule="auto"/>
        <w:ind w:right="-787"/>
        <w:jc w:val="both"/>
        <w:rPr>
          <w:rFonts w:ascii="Palatino Linotype" w:eastAsia="Palatino Linotype" w:hAnsi="Palatino Linotype" w:cs="Palatino Linotype"/>
        </w:rPr>
      </w:pPr>
    </w:p>
    <w:p w:rsidR="00862E38" w:rsidRDefault="00344F7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862E38" w:rsidRDefault="00862E38">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862E38" w:rsidRDefault="00344F70">
      <w:pPr>
        <w:numPr>
          <w:ilvl w:val="0"/>
          <w:numId w:val="2"/>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862E38" w:rsidRDefault="00862E38">
      <w:pPr>
        <w:pBdr>
          <w:top w:val="nil"/>
          <w:left w:val="nil"/>
          <w:bottom w:val="nil"/>
          <w:right w:val="nil"/>
          <w:between w:val="nil"/>
        </w:pBdr>
        <w:spacing w:line="360" w:lineRule="auto"/>
        <w:ind w:right="-788"/>
        <w:jc w:val="both"/>
        <w:rPr>
          <w:rFonts w:ascii="Palatino Linotype" w:eastAsia="Palatino Linotype" w:hAnsi="Palatino Linotype" w:cs="Palatino Linotype"/>
        </w:rPr>
      </w:pPr>
    </w:p>
    <w:p w:rsidR="00862E38" w:rsidRDefault="00344F70">
      <w:pPr>
        <w:numPr>
          <w:ilvl w:val="0"/>
          <w:numId w:val="7"/>
        </w:numPr>
        <w:pBdr>
          <w:top w:val="nil"/>
          <w:left w:val="nil"/>
          <w:bottom w:val="nil"/>
          <w:right w:val="nil"/>
          <w:between w:val="nil"/>
        </w:pBdr>
        <w:spacing w:line="360" w:lineRule="auto"/>
        <w:ind w:right="-788"/>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rsidR="00862E38" w:rsidRDefault="00344F70">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Para el ejercicio y despacho de sus atribuciones y responsabilidades ejecutivas, el Ayuntamiento se auxilia con las dependencias, direcciones, coordinaciones y departamentos de la Administración Pública Municipal, que en cada caso acuerde el Cabildo, a propuesta de la Presidenta Municipal, las cuales están subordinadas a la misma Presidenta, entre ellas encontrándose la </w:t>
      </w:r>
      <w:r>
        <w:rPr>
          <w:rFonts w:ascii="Palatino Linotype" w:eastAsia="Palatino Linotype" w:hAnsi="Palatino Linotype" w:cs="Palatino Linotype"/>
          <w:b/>
          <w:bCs/>
        </w:rPr>
        <w:t>Dirección de Desarrollo Económico</w:t>
      </w:r>
      <w:r>
        <w:rPr>
          <w:rFonts w:ascii="Palatino Linotype" w:eastAsia="Palatino Linotype" w:hAnsi="Palatino Linotype" w:cs="Palatino Linotype"/>
        </w:rPr>
        <w:t>, de conformidad con su organigrama, tal como se muestra en la imagen siguiente:</w:t>
      </w:r>
    </w:p>
    <w:p w:rsidR="00862E38" w:rsidRDefault="00344F70">
      <w:pPr>
        <w:spacing w:line="360" w:lineRule="auto"/>
        <w:ind w:right="-787"/>
        <w:jc w:val="both"/>
        <w:rPr>
          <w:rFonts w:ascii="Palatino Linotype" w:eastAsia="Palatino Linotype" w:hAnsi="Palatino Linotype" w:cs="Palatino Linotype"/>
        </w:rPr>
      </w:pPr>
      <w:r>
        <w:rPr>
          <w:noProof/>
          <w:lang w:val="es-MX"/>
        </w:rPr>
        <w:lastRenderedPageBreak/>
        <w:drawing>
          <wp:anchor distT="0" distB="0" distL="114300" distR="114300" simplePos="0" relativeHeight="251658240" behindDoc="0" locked="0" layoutInCell="1" hidden="0" allowOverlap="1">
            <wp:simplePos x="0" y="0"/>
            <wp:positionH relativeFrom="column">
              <wp:posOffset>1046036</wp:posOffset>
            </wp:positionH>
            <wp:positionV relativeFrom="paragraph">
              <wp:posOffset>289885</wp:posOffset>
            </wp:positionV>
            <wp:extent cx="3505422" cy="2296656"/>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505422" cy="2296656"/>
                    </a:xfrm>
                    <a:prstGeom prst="rect">
                      <a:avLst/>
                    </a:prstGeom>
                    <a:ln/>
                  </pic:spPr>
                </pic:pic>
              </a:graphicData>
            </a:graphic>
          </wp:anchor>
        </w:drawing>
      </w:r>
    </w:p>
    <w:p w:rsidR="00862E38" w:rsidRDefault="00862E38">
      <w:pPr>
        <w:spacing w:line="360" w:lineRule="auto"/>
        <w:ind w:right="-787"/>
        <w:jc w:val="both"/>
        <w:rPr>
          <w:rFonts w:ascii="Palatino Linotype" w:eastAsia="Palatino Linotype" w:hAnsi="Palatino Linotype" w:cs="Palatino Linotype"/>
        </w:rPr>
      </w:pPr>
    </w:p>
    <w:p w:rsidR="00862E38" w:rsidRDefault="00862E38">
      <w:pPr>
        <w:spacing w:line="360" w:lineRule="auto"/>
        <w:ind w:right="-787"/>
        <w:jc w:val="both"/>
        <w:rPr>
          <w:rFonts w:ascii="Palatino Linotype" w:eastAsia="Palatino Linotype" w:hAnsi="Palatino Linotype" w:cs="Palatino Linotype"/>
        </w:rPr>
      </w:pPr>
    </w:p>
    <w:p w:rsidR="00862E38" w:rsidRDefault="00862E38">
      <w:pPr>
        <w:spacing w:line="360" w:lineRule="auto"/>
        <w:ind w:right="-787"/>
        <w:jc w:val="both"/>
        <w:rPr>
          <w:rFonts w:ascii="Palatino Linotype" w:eastAsia="Palatino Linotype" w:hAnsi="Palatino Linotype" w:cs="Palatino Linotype"/>
        </w:rPr>
      </w:pPr>
    </w:p>
    <w:p w:rsidR="00862E38" w:rsidRDefault="00862E38">
      <w:pPr>
        <w:spacing w:line="360" w:lineRule="auto"/>
        <w:ind w:right="-787"/>
        <w:jc w:val="both"/>
        <w:rPr>
          <w:rFonts w:ascii="Palatino Linotype" w:eastAsia="Palatino Linotype" w:hAnsi="Palatino Linotype" w:cs="Palatino Linotype"/>
        </w:rPr>
      </w:pPr>
    </w:p>
    <w:p w:rsidR="00862E38" w:rsidRDefault="00862E38">
      <w:pPr>
        <w:spacing w:line="360" w:lineRule="auto"/>
        <w:ind w:right="-787"/>
        <w:jc w:val="both"/>
        <w:rPr>
          <w:rFonts w:ascii="Palatino Linotype" w:eastAsia="Palatino Linotype" w:hAnsi="Palatino Linotype" w:cs="Palatino Linotype"/>
        </w:rPr>
      </w:pPr>
    </w:p>
    <w:p w:rsidR="00862E38" w:rsidRDefault="00862E38">
      <w:pPr>
        <w:spacing w:line="360" w:lineRule="auto"/>
        <w:ind w:right="-787"/>
        <w:jc w:val="both"/>
        <w:rPr>
          <w:rFonts w:ascii="Palatino Linotype" w:eastAsia="Palatino Linotype" w:hAnsi="Palatino Linotype" w:cs="Palatino Linotype"/>
        </w:rPr>
      </w:pPr>
    </w:p>
    <w:p w:rsidR="00862E38" w:rsidRDefault="00862E38">
      <w:pPr>
        <w:spacing w:line="360" w:lineRule="auto"/>
        <w:ind w:right="-787"/>
        <w:jc w:val="both"/>
        <w:rPr>
          <w:rFonts w:ascii="Palatino Linotype" w:eastAsia="Palatino Linotype" w:hAnsi="Palatino Linotype" w:cs="Palatino Linotype"/>
        </w:rPr>
      </w:pPr>
    </w:p>
    <w:p w:rsidR="00862E38" w:rsidRDefault="00862E38">
      <w:pPr>
        <w:spacing w:line="360" w:lineRule="auto"/>
        <w:ind w:right="-787"/>
        <w:jc w:val="both"/>
        <w:rPr>
          <w:rFonts w:ascii="Palatino Linotype" w:eastAsia="Palatino Linotype" w:hAnsi="Palatino Linotype" w:cs="Palatino Linotype"/>
        </w:rPr>
      </w:pPr>
    </w:p>
    <w:p w:rsidR="00862E38" w:rsidRDefault="00862E38">
      <w:pPr>
        <w:spacing w:line="360" w:lineRule="auto"/>
        <w:ind w:right="-787"/>
        <w:jc w:val="both"/>
        <w:rPr>
          <w:rFonts w:ascii="Palatino Linotype" w:eastAsia="Palatino Linotype" w:hAnsi="Palatino Linotype" w:cs="Palatino Linotype"/>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Toda actividad comercial, industrial, de servicios, turística, artesanal, profesional, de espectáculos y diversiones públicas, que realicen las personas físicas o jurídicas colectivas, únicamente pueden ejercerlo con el otorgamiento previo autorización de Licencia o permiso respectivo, sujetándose a los Reglamentos. Las Licencias, permisos o autorizaciones que otorgue el Ayuntamiento, será a través de la </w:t>
      </w:r>
      <w:r>
        <w:rPr>
          <w:rFonts w:ascii="Palatino Linotype" w:eastAsia="Palatino Linotype" w:hAnsi="Palatino Linotype" w:cs="Palatino Linotype"/>
          <w:b/>
          <w:bCs/>
        </w:rPr>
        <w:t>Dirección de Desarrollo Económico</w:t>
      </w:r>
      <w:r>
        <w:rPr>
          <w:rFonts w:ascii="Palatino Linotype" w:eastAsia="Palatino Linotype" w:hAnsi="Palatino Linotype" w:cs="Palatino Linotype"/>
        </w:rPr>
        <w:t>.</w:t>
      </w:r>
    </w:p>
    <w:p w:rsidR="00862E38" w:rsidRDefault="00862E38">
      <w:pPr>
        <w:spacing w:line="360" w:lineRule="auto"/>
        <w:ind w:right="-787"/>
        <w:jc w:val="both"/>
        <w:rPr>
          <w:rFonts w:ascii="Palatino Linotype" w:eastAsia="Palatino Linotype" w:hAnsi="Palatino Linotype" w:cs="Palatino Linotype"/>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conformidad con la Ley Orgánica Municipal del Estado de México para el despacho, estudio y planeación de los diversos asuntos de la administración municipal, el ayuntamiento contará por lo menos con las siguientes Dependencias:</w:t>
      </w:r>
    </w:p>
    <w:p w:rsidR="00862E38" w:rsidRDefault="00344F70">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87.- Para el despacho, estudio y planeación de los diversos asuntos de la administración municipal, el ayuntamiento contará por lo menos con las siguientes Dependencias: </w:t>
      </w:r>
    </w:p>
    <w:p w:rsidR="00862E38" w:rsidRDefault="00344F70">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La secretaría del ayuntamiento; </w:t>
      </w:r>
    </w:p>
    <w:p w:rsidR="00862E38" w:rsidRDefault="00344F70">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La tesorería municipal. </w:t>
      </w:r>
    </w:p>
    <w:p w:rsidR="00862E38" w:rsidRDefault="00344F70">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III. La Dirección de Obras Públicas o equivalente.</w:t>
      </w:r>
    </w:p>
    <w:p w:rsidR="00862E38" w:rsidRDefault="00344F70">
      <w:pPr>
        <w:ind w:left="708"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IV. La Dirección de Desarrollo Económico o equivalente. </w:t>
      </w:r>
    </w:p>
    <w:p w:rsidR="00862E38" w:rsidRDefault="00344F70">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La Dirección de Desarrollo Urbano o equivalente; </w:t>
      </w:r>
    </w:p>
    <w:p w:rsidR="00862E38" w:rsidRDefault="00344F70">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VI. La Dirección de Ecología o equivalente. </w:t>
      </w:r>
    </w:p>
    <w:p w:rsidR="00862E38" w:rsidRDefault="00344F70">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La Dirección de Desarrollo Social o equivalente. </w:t>
      </w:r>
    </w:p>
    <w:p w:rsidR="00862E38" w:rsidRDefault="00344F70">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La Coordinación Municipal de Protección Civil o equivalente. </w:t>
      </w:r>
    </w:p>
    <w:p w:rsidR="00862E38" w:rsidRDefault="00344F70">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IX. La Dirección de las Mujeres o equivalente. </w:t>
      </w:r>
    </w:p>
    <w:p w:rsidR="00862E38" w:rsidRDefault="00344F70">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X. Dirección del Campo o equivalente, preferentemente en los municipios cuyas características geográficas, territoriales, sociales, culturales, políticas y económicas sean predominantemente inherentes al ámbito rural.</w:t>
      </w:r>
    </w:p>
    <w:p w:rsidR="00862E38" w:rsidRDefault="00862E38">
      <w:pPr>
        <w:spacing w:line="360" w:lineRule="auto"/>
        <w:ind w:right="-787"/>
        <w:jc w:val="both"/>
        <w:rPr>
          <w:rFonts w:ascii="Palatino Linotype" w:eastAsia="Palatino Linotype" w:hAnsi="Palatino Linotype" w:cs="Palatino Linotype"/>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Titular de la </w:t>
      </w:r>
      <w:r>
        <w:rPr>
          <w:rFonts w:ascii="Palatino Linotype" w:eastAsia="Palatino Linotype" w:hAnsi="Palatino Linotype" w:cs="Palatino Linotype"/>
          <w:b/>
          <w:bCs/>
        </w:rPr>
        <w:t>Dirección de Desarrollo Económico Municipal o el Titular de la Unidad Administrativa equivalente</w:t>
      </w:r>
      <w:r>
        <w:rPr>
          <w:rFonts w:ascii="Palatino Linotype" w:eastAsia="Palatino Linotype" w:hAnsi="Palatino Linotype" w:cs="Palatino Linotype"/>
        </w:rPr>
        <w:t xml:space="preserve">, tiene las siguientes atribuciones las establecidas en el artículo 96 Quáter de la Ley Orgánica Municipal del Estado de México, entre las cuales se encuentran las de </w:t>
      </w:r>
      <w:r>
        <w:rPr>
          <w:rFonts w:ascii="Palatino Linotype" w:eastAsia="Palatino Linotype" w:hAnsi="Palatino Linotype" w:cs="Palatino Linotype"/>
          <w:u w:val="single"/>
        </w:rPr>
        <w:t>Operar y actualizar el Registro Municipal de Unidades Económicas de los permisos o licencias de funcionamiento otorgadas a las unidades económicas respectivas</w:t>
      </w:r>
      <w:r>
        <w:rPr>
          <w:rFonts w:ascii="Palatino Linotype" w:eastAsia="Palatino Linotype" w:hAnsi="Palatino Linotype" w:cs="Palatino Linotype"/>
        </w:rPr>
        <w:t xml:space="preserve">; y </w:t>
      </w:r>
      <w:r>
        <w:rPr>
          <w:rFonts w:ascii="Palatino Linotype" w:eastAsia="Palatino Linotype" w:hAnsi="Palatino Linotype" w:cs="Palatino Linotype"/>
          <w:u w:val="single"/>
        </w:rPr>
        <w:t>Crear y actualizar el Registro de las Unidades Económicas que cuenten con el Dictamen de Giro, para la solicitud o refrendo de las licencias de funcionamiento</w:t>
      </w:r>
      <w:r>
        <w:rPr>
          <w:rFonts w:ascii="Palatino Linotype" w:eastAsia="Palatino Linotype" w:hAnsi="Palatino Linotype" w:cs="Palatino Linotype"/>
        </w:rPr>
        <w:t xml:space="preserve">. </w:t>
      </w:r>
    </w:p>
    <w:p w:rsidR="00862E38" w:rsidRDefault="00862E38">
      <w:pPr>
        <w:spacing w:line="360" w:lineRule="auto"/>
        <w:ind w:right="-787"/>
        <w:jc w:val="both"/>
        <w:rPr>
          <w:rFonts w:ascii="Palatino Linotype" w:eastAsia="Palatino Linotype" w:hAnsi="Palatino Linotype" w:cs="Palatino Linotype"/>
          <w:color w:val="000000"/>
        </w:rPr>
      </w:pPr>
    </w:p>
    <w:p w:rsidR="00862E38" w:rsidRDefault="00344F70">
      <w:pPr>
        <w:numPr>
          <w:ilvl w:val="0"/>
          <w:numId w:val="2"/>
        </w:numPr>
        <w:spacing w:line="360" w:lineRule="auto"/>
        <w:ind w:left="0" w:right="-787" w:firstLine="0"/>
        <w:jc w:val="both"/>
      </w:pPr>
      <w:r>
        <w:rPr>
          <w:rFonts w:ascii="Palatino Linotype" w:eastAsia="Palatino Linotype" w:hAnsi="Palatino Linotype" w:cs="Palatino Linotype"/>
        </w:rPr>
        <w:t xml:space="preserve">De lo expuesto es de precisar que la respuesta fue emitida por la </w:t>
      </w:r>
      <w:r>
        <w:rPr>
          <w:rFonts w:ascii="Palatino Linotype" w:eastAsia="Palatino Linotype" w:hAnsi="Palatino Linotype" w:cs="Palatino Linotype"/>
          <w:b/>
          <w:bCs/>
        </w:rPr>
        <w:t>Dirección de Desarrollo Económico</w:t>
      </w:r>
      <w:r>
        <w:rPr>
          <w:rFonts w:ascii="Palatino Linotype" w:eastAsia="Palatino Linotype" w:hAnsi="Palatino Linotype" w:cs="Palatino Linotype"/>
        </w:rPr>
        <w:t xml:space="preserve">, por lo que podemos advertir que </w:t>
      </w:r>
      <w:r>
        <w:rPr>
          <w:rFonts w:ascii="Palatino Linotype" w:eastAsia="Palatino Linotype" w:hAnsi="Palatino Linotype" w:cs="Palatino Linotype"/>
          <w:b/>
          <w:bCs/>
        </w:rPr>
        <w:t xml:space="preserve">EL SUJETO OBLIGADO </w:t>
      </w:r>
      <w:r>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862E38" w:rsidRDefault="00344F70">
      <w:pPr>
        <w:ind w:left="567" w:right="62"/>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xml:space="preserve">: Persona encargada dentro de las diversas unidades administrativas o áreas del sujeto obligado, de apoyar, gestionar y entregar la información o datos personales que se ubiquen en la misma, a sus respectivas </w:t>
      </w:r>
      <w:r>
        <w:rPr>
          <w:rFonts w:ascii="Palatino Linotype" w:eastAsia="Palatino Linotype" w:hAnsi="Palatino Linotype" w:cs="Palatino Linotype"/>
          <w:i/>
          <w:iCs/>
        </w:rPr>
        <w:lastRenderedPageBreak/>
        <w:t>unidades de transparencia; respecto de las solicitudes presentadas y aportar en primera instancia el fundamento y motivación de la clasificación de la información.</w:t>
      </w:r>
    </w:p>
    <w:p w:rsidR="00862E38" w:rsidRDefault="00862E38">
      <w:pPr>
        <w:spacing w:line="360" w:lineRule="auto"/>
        <w:ind w:left="708" w:right="62"/>
        <w:jc w:val="both"/>
        <w:rPr>
          <w:rFonts w:ascii="Palatino Linotype" w:eastAsia="Palatino Linotype" w:hAnsi="Palatino Linotype" w:cs="Palatino Linotype"/>
        </w:rPr>
      </w:pPr>
    </w:p>
    <w:p w:rsidR="00862E38" w:rsidRDefault="00344F70">
      <w:pPr>
        <w:numPr>
          <w:ilvl w:val="0"/>
          <w:numId w:val="2"/>
        </w:numPr>
        <w:spacing w:line="360" w:lineRule="auto"/>
        <w:ind w:left="0" w:right="-787" w:firstLine="0"/>
        <w:jc w:val="both"/>
      </w:pPr>
      <w:r>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862E38" w:rsidRDefault="00344F70">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862E38" w:rsidRDefault="00862E38">
      <w:pPr>
        <w:spacing w:line="360" w:lineRule="auto"/>
        <w:ind w:right="-787"/>
        <w:jc w:val="both"/>
        <w:rPr>
          <w:rFonts w:ascii="Palatino Linotype" w:eastAsia="Palatino Linotype" w:hAnsi="Palatino Linotype" w:cs="Palatino Linotype"/>
          <w:color w:val="000000"/>
        </w:rPr>
      </w:pPr>
    </w:p>
    <w:p w:rsidR="00862E38" w:rsidRDefault="00344F70">
      <w:pPr>
        <w:numPr>
          <w:ilvl w:val="0"/>
          <w:numId w:val="2"/>
        </w:numPr>
        <w:spacing w:line="360" w:lineRule="auto"/>
        <w:ind w:left="0" w:right="-787" w:firstLine="0"/>
        <w:jc w:val="both"/>
        <w:rPr>
          <w:color w:val="000000"/>
        </w:rPr>
      </w:pPr>
      <w:r>
        <w:rPr>
          <w:rFonts w:ascii="Palatino Linotype" w:eastAsia="Palatino Linotype" w:hAnsi="Palatino Linotype" w:cs="Palatino Linotype"/>
        </w:rPr>
        <w:t>Es</w:t>
      </w:r>
      <w:r>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w:t>
      </w:r>
      <w:r>
        <w:rPr>
          <w:rFonts w:ascii="Palatino Linotype" w:eastAsia="Palatino Linotype" w:hAnsi="Palatino Linotype" w:cs="Palatino Linotype"/>
        </w:rPr>
        <w:t>directrices</w:t>
      </w:r>
      <w:r>
        <w:rPr>
          <w:rFonts w:ascii="Palatino Linotype" w:eastAsia="Palatino Linotype" w:hAnsi="Palatino Linotype" w:cs="Palatino Linotype"/>
          <w:color w:val="000000"/>
        </w:rPr>
        <w:t xml:space="preserve">,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862E38" w:rsidRDefault="00344F70">
      <w:pP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862E38" w:rsidRDefault="00344F70">
      <w:pP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862E38" w:rsidRDefault="00344F70">
      <w:pP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862E38" w:rsidRDefault="00344F70">
      <w:pPr>
        <w:spacing w:line="360" w:lineRule="auto"/>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w:t>
      </w:r>
    </w:p>
    <w:p w:rsidR="00862E38" w:rsidRDefault="00862E38">
      <w:pPr>
        <w:ind w:right="-787"/>
        <w:jc w:val="both"/>
        <w:rPr>
          <w:rFonts w:ascii="Palatino Linotype" w:eastAsia="Palatino Linotype" w:hAnsi="Palatino Linotype" w:cs="Palatino Linotype"/>
        </w:rPr>
      </w:pPr>
    </w:p>
    <w:p w:rsidR="00862E38" w:rsidRDefault="00344F70">
      <w:pPr>
        <w:numPr>
          <w:ilvl w:val="0"/>
          <w:numId w:val="2"/>
        </w:numPr>
        <w:spacing w:line="360" w:lineRule="auto"/>
        <w:ind w:left="0" w:right="-787" w:firstLine="0"/>
        <w:jc w:val="both"/>
        <w:rPr>
          <w:color w:val="000000"/>
        </w:rPr>
      </w:pPr>
      <w:r>
        <w:rPr>
          <w:rFonts w:ascii="Palatino Linotype" w:eastAsia="Palatino Linotype" w:hAnsi="Palatino Linotype" w:cs="Palatino Linotype"/>
          <w:color w:val="000000"/>
        </w:rPr>
        <w:t xml:space="preserve">Siendo </w:t>
      </w:r>
      <w:r>
        <w:rPr>
          <w:rFonts w:ascii="Palatino Linotype" w:eastAsia="Palatino Linotype" w:hAnsi="Palatino Linotype" w:cs="Palatino Linotype"/>
        </w:rPr>
        <w:t>aplicable</w:t>
      </w:r>
      <w:r>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862E38" w:rsidRDefault="00344F70">
      <w:pPr>
        <w:ind w:left="850"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862E38" w:rsidRDefault="00344F70">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862E38" w:rsidRDefault="00344F70">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862E38" w:rsidRDefault="00344F70">
      <w:pPr>
        <w:ind w:left="850"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862E38" w:rsidRDefault="00344F70">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862E38" w:rsidRDefault="00344F70">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862E38" w:rsidRDefault="00344F70">
      <w:pPr>
        <w:tabs>
          <w:tab w:val="left" w:pos="851"/>
        </w:tabs>
        <w:spacing w:line="360" w:lineRule="auto"/>
        <w:ind w:left="850" w:right="-220"/>
        <w:rPr>
          <w:rFonts w:ascii="Palatino Linotype" w:eastAsia="Palatino Linotype" w:hAnsi="Palatino Linotype" w:cs="Palatino Linotype"/>
        </w:rPr>
      </w:pPr>
      <w:r>
        <w:rPr>
          <w:rFonts w:ascii="Palatino Linotype" w:eastAsia="Palatino Linotype" w:hAnsi="Palatino Linotype" w:cs="Palatino Linotype"/>
        </w:rPr>
        <w:t>(Énfasis Añadido)</w:t>
      </w:r>
    </w:p>
    <w:p w:rsidR="00862E38" w:rsidRDefault="00862E38">
      <w:pPr>
        <w:pBdr>
          <w:top w:val="nil"/>
          <w:left w:val="nil"/>
          <w:bottom w:val="nil"/>
          <w:right w:val="nil"/>
          <w:between w:val="nil"/>
        </w:pBdr>
        <w:ind w:right="-787"/>
        <w:jc w:val="both"/>
        <w:rPr>
          <w:rFonts w:ascii="Palatino Linotype" w:eastAsia="Palatino Linotype" w:hAnsi="Palatino Linotype" w:cs="Palatino Linotype"/>
          <w:color w:val="000000"/>
        </w:rPr>
      </w:pPr>
    </w:p>
    <w:p w:rsidR="00862E38" w:rsidRDefault="00344F70">
      <w:pPr>
        <w:numPr>
          <w:ilvl w:val="0"/>
          <w:numId w:val="2"/>
        </w:numPr>
        <w:spacing w:line="360" w:lineRule="auto"/>
        <w:ind w:left="0" w:right="-787" w:firstLine="0"/>
        <w:jc w:val="both"/>
        <w:rPr>
          <w:color w:val="000000"/>
        </w:rPr>
      </w:pPr>
      <w:r>
        <w:rPr>
          <w:rFonts w:ascii="Palatino Linotype" w:eastAsia="Palatino Linotype" w:hAnsi="Palatino Linotype" w:cs="Palatino Linotype"/>
          <w:color w:val="000000"/>
        </w:rPr>
        <w:t>Por su parte los artículos 160 y 166, de la Ley local en la materia, que se reproduce de la siguiente forma:</w:t>
      </w:r>
    </w:p>
    <w:p w:rsidR="00862E38" w:rsidRDefault="00344F70">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 xml:space="preserve">Los sujetos obligados deberán otorgar acceso a los documentos que se encuentren en sus archivos o que estén obligados a documentar de acuerdo con sus </w:t>
      </w:r>
      <w:r>
        <w:rPr>
          <w:rFonts w:ascii="Palatino Linotype" w:eastAsia="Palatino Linotype" w:hAnsi="Palatino Linotype" w:cs="Palatino Linotype"/>
          <w:i/>
          <w:iCs/>
          <w:u w:val="single"/>
        </w:rPr>
        <w:lastRenderedPageBreak/>
        <w:t>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862E38" w:rsidRDefault="00862E38">
      <w:pPr>
        <w:ind w:left="566" w:right="-220"/>
        <w:jc w:val="both"/>
        <w:rPr>
          <w:rFonts w:ascii="Palatino Linotype" w:eastAsia="Palatino Linotype" w:hAnsi="Palatino Linotype" w:cs="Palatino Linotype"/>
          <w:i/>
          <w:iCs/>
        </w:rPr>
      </w:pPr>
    </w:p>
    <w:p w:rsidR="00862E38" w:rsidRDefault="00344F70">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862E38" w:rsidRDefault="00344F70">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862E38" w:rsidRDefault="00344F70">
      <w:pPr>
        <w:spacing w:line="360" w:lineRule="auto"/>
        <w:ind w:left="566" w:right="-220"/>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862E38" w:rsidRDefault="00862E38">
      <w:pPr>
        <w:ind w:right="-787"/>
        <w:jc w:val="both"/>
        <w:rPr>
          <w:rFonts w:ascii="Palatino Linotype" w:eastAsia="Palatino Linotype" w:hAnsi="Palatino Linotype" w:cs="Palatino Linotype"/>
        </w:rPr>
      </w:pPr>
    </w:p>
    <w:p w:rsidR="00862E38" w:rsidRDefault="00344F70">
      <w:pPr>
        <w:numPr>
          <w:ilvl w:val="0"/>
          <w:numId w:val="2"/>
        </w:numPr>
        <w:spacing w:line="360" w:lineRule="auto"/>
        <w:ind w:left="0" w:right="-787" w:firstLine="0"/>
        <w:jc w:val="both"/>
        <w:rPr>
          <w:color w:val="000000"/>
        </w:rPr>
      </w:pPr>
      <w:r>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862E38" w:rsidRDefault="00862E38">
      <w:pPr>
        <w:spacing w:line="360" w:lineRule="auto"/>
        <w:ind w:right="-787"/>
        <w:jc w:val="both"/>
        <w:rPr>
          <w:rFonts w:ascii="Palatino Linotype" w:eastAsia="Palatino Linotype" w:hAnsi="Palatino Linotype" w:cs="Palatino Linotype"/>
          <w:color w:val="000000"/>
        </w:rPr>
      </w:pPr>
    </w:p>
    <w:p w:rsidR="00862E38" w:rsidRDefault="00344F70">
      <w:pPr>
        <w:numPr>
          <w:ilvl w:val="0"/>
          <w:numId w:val="4"/>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De la naturaleza de la información solicitada. </w:t>
      </w:r>
    </w:p>
    <w:p w:rsidR="00862E38" w:rsidRDefault="00344F70">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w:t>
      </w:r>
      <w:r>
        <w:rPr>
          <w:rFonts w:ascii="Palatino Linotype" w:eastAsia="Palatino Linotype" w:hAnsi="Palatino Linotype" w:cs="Palatino Linotype"/>
          <w:color w:val="000000"/>
        </w:rPr>
        <w:t>precisa</w:t>
      </w:r>
      <w:r>
        <w:rPr>
          <w:rFonts w:ascii="Palatino Linotype" w:eastAsia="Palatino Linotype" w:hAnsi="Palatino Linotype" w:cs="Palatino Linotype"/>
        </w:rPr>
        <w:t xml:space="preserve"> que 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generar, administrar o poseer la información solicitada, dado que éste ha asumido la </w:t>
      </w:r>
      <w:r>
        <w:rPr>
          <w:rFonts w:ascii="Palatino Linotype" w:eastAsia="Palatino Linotype" w:hAnsi="Palatino Linotype" w:cs="Palatino Linotype"/>
          <w:color w:val="000000"/>
        </w:rPr>
        <w:t>misma</w:t>
      </w:r>
      <w:r>
        <w:rPr>
          <w:rFonts w:ascii="Palatino Linotype" w:eastAsia="Palatino Linotype" w:hAnsi="Palatino Linotype" w:cs="Palatino Linotype"/>
        </w:rPr>
        <w:t>, en razón que otorgó respuesta admitiendo contar con dicha información, tan es así que se remitió un documento con el pronunciamiento acerca de la información requerida.</w:t>
      </w:r>
    </w:p>
    <w:p w:rsidR="00862E38" w:rsidRDefault="00862E38">
      <w:pPr>
        <w:spacing w:line="360" w:lineRule="auto"/>
        <w:ind w:right="-879"/>
        <w:jc w:val="both"/>
        <w:rPr>
          <w:rFonts w:ascii="Palatino Linotype" w:eastAsia="Palatino Linotype" w:hAnsi="Palatino Linotype" w:cs="Palatino Linotype"/>
        </w:rPr>
      </w:pPr>
    </w:p>
    <w:p w:rsidR="00862E38" w:rsidRDefault="00344F70">
      <w:pPr>
        <w:numPr>
          <w:ilvl w:val="0"/>
          <w:numId w:val="2"/>
        </w:numPr>
        <w:spacing w:line="360" w:lineRule="auto"/>
        <w:ind w:left="0" w:right="-787" w:firstLine="0"/>
        <w:jc w:val="both"/>
      </w:pPr>
      <w:bookmarkStart w:id="6" w:name="_heading=h.2s8eyo1" w:colFirst="0" w:colLast="0"/>
      <w:bookmarkEnd w:id="6"/>
      <w:r>
        <w:rPr>
          <w:rFonts w:ascii="Palatino Linotype" w:eastAsia="Palatino Linotype" w:hAnsi="Palatino Linotype" w:cs="Palatino Linotype"/>
        </w:rPr>
        <w:t xml:space="preserve">En efecto, el hecho de que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w:t>
      </w:r>
      <w:r>
        <w:rPr>
          <w:rFonts w:ascii="Palatino Linotype" w:eastAsia="Palatino Linotype" w:hAnsi="Palatino Linotype" w:cs="Palatino Linotype"/>
        </w:rPr>
        <w:lastRenderedPageBreak/>
        <w:t>en el artículo 12 de la Ley de Transparencia y Acceso a la Información Pública del Estado de México y Municipios.</w:t>
      </w:r>
    </w:p>
    <w:p w:rsidR="00862E38" w:rsidRDefault="00344F70">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862E38" w:rsidRDefault="00862E38">
      <w:pPr>
        <w:tabs>
          <w:tab w:val="left" w:pos="8505"/>
        </w:tabs>
        <w:ind w:left="709" w:right="-858"/>
        <w:jc w:val="both"/>
        <w:rPr>
          <w:rFonts w:ascii="Palatino Linotype" w:eastAsia="Palatino Linotype" w:hAnsi="Palatino Linotype" w:cs="Palatino Linotype"/>
          <w:i/>
          <w:iCs/>
        </w:rPr>
      </w:pPr>
    </w:p>
    <w:p w:rsidR="00862E38" w:rsidRDefault="00344F70">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862E38" w:rsidRDefault="00862E38">
      <w:pPr>
        <w:tabs>
          <w:tab w:val="left" w:pos="8505"/>
        </w:tabs>
        <w:ind w:left="709" w:right="-858"/>
        <w:jc w:val="both"/>
        <w:rPr>
          <w:rFonts w:ascii="Palatino Linotype" w:eastAsia="Palatino Linotype" w:hAnsi="Palatino Linotype" w:cs="Palatino Linotype"/>
          <w:i/>
          <w:iCs/>
        </w:rPr>
      </w:pPr>
    </w:p>
    <w:p w:rsidR="00862E38" w:rsidRDefault="00862E38">
      <w:pPr>
        <w:pBdr>
          <w:top w:val="nil"/>
          <w:left w:val="nil"/>
          <w:bottom w:val="nil"/>
          <w:right w:val="nil"/>
          <w:between w:val="nil"/>
        </w:pBdr>
        <w:ind w:left="-566" w:right="-787"/>
        <w:rPr>
          <w:rFonts w:ascii="Palatino Linotype" w:eastAsia="Palatino Linotype" w:hAnsi="Palatino Linotype" w:cs="Palatino Linotype"/>
          <w:color w:val="000000"/>
        </w:rPr>
      </w:pPr>
    </w:p>
    <w:p w:rsidR="00862E38" w:rsidRDefault="00344F70">
      <w:pPr>
        <w:numPr>
          <w:ilvl w:val="0"/>
          <w:numId w:val="2"/>
        </w:numPr>
        <w:spacing w:line="360" w:lineRule="auto"/>
        <w:ind w:left="0" w:right="-787" w:firstLine="0"/>
        <w:jc w:val="both"/>
        <w:rPr>
          <w:color w:val="000000"/>
        </w:rPr>
      </w:pPr>
      <w:r>
        <w:rPr>
          <w:rFonts w:ascii="Palatino Linotype" w:eastAsia="Palatino Linotype" w:hAnsi="Palatino Linotype" w:cs="Palatino Linotype"/>
        </w:rPr>
        <w:t xml:space="preserve">Así, el estudio de </w:t>
      </w:r>
      <w:r>
        <w:rPr>
          <w:rFonts w:ascii="Palatino Linotype" w:eastAsia="Palatino Linotype" w:hAnsi="Palatino Linotype" w:cs="Palatino Linotype"/>
          <w:color w:val="000000"/>
        </w:rPr>
        <w:t>la</w:t>
      </w:r>
      <w:r>
        <w:rPr>
          <w:rFonts w:ascii="Palatino Linotype" w:eastAsia="Palatino Linotype" w:hAnsi="Palatino Linotype" w:cs="Palatino Linotype"/>
        </w:rPr>
        <w:t xml:space="preserve"> naturaleza jurídica de la información pública solicitada, tiene por objeto determinar si ésta la genera, posee o administra </w:t>
      </w:r>
      <w:r>
        <w:rPr>
          <w:rFonts w:ascii="Palatino Linotype" w:eastAsia="Palatino Linotype" w:hAnsi="Palatino Linotype" w:cs="Palatino Linotype"/>
          <w:b/>
          <w:bCs/>
        </w:rPr>
        <w:t>EL SUJETO OBLIGADO</w:t>
      </w:r>
      <w:r>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862E38" w:rsidRDefault="00862E38">
      <w:pPr>
        <w:spacing w:line="360" w:lineRule="auto"/>
        <w:ind w:right="-787"/>
        <w:jc w:val="both"/>
        <w:rPr>
          <w:rFonts w:ascii="Palatino Linotype" w:eastAsia="Palatino Linotype" w:hAnsi="Palatino Linotype" w:cs="Palatino Linotype"/>
          <w:color w:val="000000"/>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Ahora</w:t>
      </w:r>
      <w:r>
        <w:rPr>
          <w:rFonts w:ascii="Palatino Linotype" w:eastAsia="Palatino Linotype" w:hAnsi="Palatino Linotype" w:cs="Palatino Linotype"/>
        </w:rPr>
        <w:t xml:space="preserve"> bien, es de precisar que el particular requirió </w:t>
      </w:r>
      <w:r>
        <w:rPr>
          <w:rFonts w:ascii="Palatino Linotype" w:eastAsia="Palatino Linotype" w:hAnsi="Palatino Linotype" w:cs="Palatino Linotype"/>
          <w:color w:val="000000"/>
        </w:rPr>
        <w:t xml:space="preserve">tener acceso, a la siguiente información: </w:t>
      </w:r>
      <w:r>
        <w:rPr>
          <w:rFonts w:ascii="Palatino Linotype" w:eastAsia="Palatino Linotype" w:hAnsi="Palatino Linotype" w:cs="Palatino Linotype"/>
          <w:i/>
          <w:iCs/>
          <w:color w:val="000000"/>
          <w:u w:val="single"/>
        </w:rPr>
        <w:t>Padrón de las empresas que se dediquen a la fabricación de productos metálicos, en donde se informe la razón social, domicilio, número telefónico y correo electrónico,</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en respuesta el Sujeto Obligado a través de la </w:t>
      </w:r>
      <w:r>
        <w:rPr>
          <w:rFonts w:ascii="Palatino Linotype" w:eastAsia="Palatino Linotype" w:hAnsi="Palatino Linotype" w:cs="Palatino Linotype"/>
          <w:b/>
          <w:bCs/>
          <w:color w:val="000000"/>
        </w:rPr>
        <w:t>Dirección de Desarrollo Económico</w:t>
      </w:r>
      <w:r>
        <w:rPr>
          <w:rFonts w:ascii="Palatino Linotype" w:eastAsia="Palatino Linotype" w:hAnsi="Palatino Linotype" w:cs="Palatino Linotype"/>
          <w:color w:val="000000"/>
        </w:rPr>
        <w:t xml:space="preserve">, refirió que </w:t>
      </w:r>
      <w:r>
        <w:rPr>
          <w:rFonts w:ascii="Palatino Linotype" w:eastAsia="Palatino Linotype" w:hAnsi="Palatino Linotype" w:cs="Palatino Linotype"/>
          <w:i/>
          <w:iCs/>
          <w:color w:val="000000"/>
        </w:rPr>
        <w:t xml:space="preserve">Después de realizar una búsqueda exhaustiva en los archivos físicos y digitales que obran en esa Dirección, correspondientes al periodo de enero a la fecha de la actual administración, se verificó lo siguiente: 1. Padrón de comercios municipales. 2. Archivo físico de Licencias de Funcionamiento. 3. Expedientes </w:t>
      </w:r>
      <w:r>
        <w:rPr>
          <w:rFonts w:ascii="Palatino Linotype" w:eastAsia="Palatino Linotype" w:hAnsi="Palatino Linotype" w:cs="Palatino Linotype"/>
          <w:i/>
          <w:iCs/>
          <w:color w:val="000000"/>
        </w:rPr>
        <w:lastRenderedPageBreak/>
        <w:t xml:space="preserve">disponibles en esta Dirección. Derivado de dicha revisión, se concluye que dicha Dirección </w:t>
      </w:r>
      <w:r>
        <w:rPr>
          <w:rFonts w:ascii="Palatino Linotype" w:eastAsia="Palatino Linotype" w:hAnsi="Palatino Linotype" w:cs="Palatino Linotype"/>
          <w:b/>
          <w:bCs/>
          <w:i/>
          <w:iCs/>
          <w:color w:val="000000"/>
        </w:rPr>
        <w:t>NO cuenta con información correspondiente a empresas formalmente establecidas que se dediquen a la fabricación o producción de artículos de acero dentro del municipio, durante el periodo referido</w:t>
      </w:r>
      <w:r>
        <w:rPr>
          <w:rFonts w:ascii="Palatino Linotype" w:eastAsia="Palatino Linotype" w:hAnsi="Palatino Linotype" w:cs="Palatino Linotype"/>
          <w:color w:val="000000"/>
        </w:rPr>
        <w:t>; circunstancia de la cual se dolió el recurrente al señalar la negativa de la entrega de información.</w:t>
      </w:r>
    </w:p>
    <w:p w:rsidR="00862E38" w:rsidRDefault="00862E38">
      <w:pPr>
        <w:spacing w:line="360" w:lineRule="auto"/>
        <w:ind w:right="-787"/>
        <w:jc w:val="both"/>
        <w:rPr>
          <w:rFonts w:ascii="Palatino Linotype" w:eastAsia="Palatino Linotype" w:hAnsi="Palatino Linotype" w:cs="Palatino Linotype"/>
          <w:i/>
          <w:iCs/>
          <w:color w:val="000000"/>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Posteriormente</w:t>
      </w:r>
      <w:r>
        <w:rPr>
          <w:rFonts w:ascii="Palatino Linotype" w:eastAsia="Palatino Linotype" w:hAnsi="Palatino Linotype" w:cs="Palatino Linotype"/>
          <w:color w:val="000000"/>
        </w:rPr>
        <w:t xml:space="preserve"> a través de informe justificado el Sujeto Obligado amplía su respuesta manifestando de manera detallada los métodos empleados en la búsqueda exhaustiva de la información, señalando los registros y bases documentales consultadas, el método de búsqueda y el resultado de la misma, concluyendo que </w:t>
      </w:r>
      <w:r>
        <w:rPr>
          <w:rFonts w:ascii="Palatino Linotype" w:eastAsia="Palatino Linotype" w:hAnsi="Palatino Linotype" w:cs="Palatino Linotype"/>
          <w:b/>
          <w:bCs/>
          <w:color w:val="000000"/>
        </w:rPr>
        <w:t>NO cuenta con información de alguna empresa dedicada a la fabricación o producción de artículos de acero, dentro de la administración</w:t>
      </w:r>
      <w:r>
        <w:rPr>
          <w:rFonts w:ascii="Palatino Linotype" w:eastAsia="Palatino Linotype" w:hAnsi="Palatino Linotype" w:cs="Palatino Linotype"/>
          <w:color w:val="000000"/>
        </w:rPr>
        <w:t xml:space="preserve">, remitiendo también el oficio a través del cual el Secretario del Ayuntamiento responde que </w:t>
      </w:r>
      <w:r>
        <w:rPr>
          <w:rFonts w:ascii="Palatino Linotype" w:eastAsia="Palatino Linotype" w:hAnsi="Palatino Linotype" w:cs="Palatino Linotype"/>
          <w:i/>
          <w:iCs/>
          <w:color w:val="000000"/>
        </w:rPr>
        <w:t>no se encontró ningún registro relacionado con el giro de Licencias del rubro de Paileria (fabricación o producción de artículos de acero) de los años 2016-2018, la información requerida respecto a los años 2019-2025 del mismo rubro, se encuentra en el archivo de trámite de la Dirección de Desarrollo Económico</w:t>
      </w:r>
      <w:r>
        <w:rPr>
          <w:rFonts w:ascii="Palatino Linotype" w:eastAsia="Palatino Linotype" w:hAnsi="Palatino Linotype" w:cs="Palatino Linotype"/>
          <w:color w:val="000000"/>
        </w:rPr>
        <w:t xml:space="preserve">; así como remitió capturas de pantalla de búsqueda en la página oficial del INEGI. </w:t>
      </w:r>
    </w:p>
    <w:p w:rsidR="00862E38" w:rsidRDefault="00862E38">
      <w:pPr>
        <w:spacing w:line="360" w:lineRule="auto"/>
        <w:ind w:right="-787"/>
        <w:jc w:val="both"/>
        <w:rPr>
          <w:rFonts w:ascii="Palatino Linotype" w:eastAsia="Palatino Linotype" w:hAnsi="Palatino Linotype" w:cs="Palatino Linotype"/>
          <w:b/>
          <w:bCs/>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Por lo que es de referir que nos encontramos ante un</w:t>
      </w:r>
      <w:r>
        <w:rPr>
          <w:rFonts w:ascii="Palatino Linotype" w:eastAsia="Palatino Linotype" w:hAnsi="Palatino Linotype" w:cs="Palatino Linotype"/>
          <w:b/>
          <w:bCs/>
        </w:rPr>
        <w:t xml:space="preserve"> hecho negativo</w:t>
      </w:r>
      <w:r>
        <w:rPr>
          <w:rFonts w:ascii="Palatino Linotype" w:eastAsia="Palatino Linotype" w:hAnsi="Palatino Linotype" w:cs="Palatino Linotype"/>
        </w:rPr>
        <w:t xml:space="preserve">, por lo que no resulta aplicable el artículo 19, de la Ley de la materia que nos constriñe a la emisión de un acuerdo de inexistencia, resultando aplicable la siguiente tesis: </w:t>
      </w:r>
    </w:p>
    <w:p w:rsidR="00862E38" w:rsidRDefault="00344F70">
      <w:pPr>
        <w:pBdr>
          <w:top w:val="nil"/>
          <w:left w:val="nil"/>
          <w:bottom w:val="nil"/>
          <w:right w:val="nil"/>
          <w:between w:val="nil"/>
        </w:pBdr>
        <w:ind w:left="1134" w:right="4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HECHOS NEGATIVOS, NO SON SUSCEPTIBLES DE DEMOSTRACIÓN.</w:t>
      </w:r>
    </w:p>
    <w:p w:rsidR="00862E38" w:rsidRDefault="00344F70">
      <w:pPr>
        <w:pBdr>
          <w:top w:val="nil"/>
          <w:left w:val="nil"/>
          <w:bottom w:val="nil"/>
          <w:right w:val="nil"/>
          <w:between w:val="nil"/>
        </w:pBdr>
        <w:ind w:left="1134" w:right="4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Tratándose de un hecho negativo, el Juez no tiene por qué invocar prueba alguna de la que se desprenda, ya que es bien sabido que esta clase de hechos no son susceptibles de demostración.</w:t>
      </w:r>
    </w:p>
    <w:p w:rsidR="00862E38" w:rsidRDefault="00862E38">
      <w:pPr>
        <w:pBdr>
          <w:top w:val="nil"/>
          <w:left w:val="nil"/>
          <w:bottom w:val="nil"/>
          <w:right w:val="nil"/>
          <w:between w:val="nil"/>
        </w:pBdr>
        <w:ind w:left="1134" w:right="49"/>
        <w:jc w:val="both"/>
        <w:rPr>
          <w:rFonts w:ascii="Palatino Linotype" w:eastAsia="Palatino Linotype" w:hAnsi="Palatino Linotype" w:cs="Palatino Linotype"/>
          <w:i/>
          <w:iCs/>
          <w:color w:val="000000"/>
        </w:rPr>
      </w:pPr>
    </w:p>
    <w:p w:rsidR="00862E38" w:rsidRDefault="00344F70">
      <w:pPr>
        <w:pBdr>
          <w:top w:val="nil"/>
          <w:left w:val="nil"/>
          <w:bottom w:val="nil"/>
          <w:right w:val="nil"/>
          <w:between w:val="nil"/>
        </w:pBdr>
        <w:ind w:left="1134" w:right="4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Amparo en revisión 2022/61. José García Florín (Menor). 9 de octubre de 1961. Cinco votos. Ponente: José Rivera Pérez Campos</w:t>
      </w:r>
    </w:p>
    <w:p w:rsidR="00862E38" w:rsidRDefault="00862E38">
      <w:pPr>
        <w:spacing w:line="360" w:lineRule="auto"/>
        <w:ind w:right="49"/>
        <w:jc w:val="both"/>
        <w:rPr>
          <w:rFonts w:ascii="Palatino Linotype" w:eastAsia="Palatino Linotype" w:hAnsi="Palatino Linotype" w:cs="Palatino Linotype"/>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De lo que se desprende </w:t>
      </w:r>
      <w:r>
        <w:rPr>
          <w:rFonts w:ascii="Palatino Linotype" w:eastAsia="Palatino Linotype" w:hAnsi="Palatino Linotype" w:cs="Palatino Linotype"/>
          <w:color w:val="000000"/>
        </w:rPr>
        <w:t>que</w:t>
      </w:r>
      <w:r>
        <w:rPr>
          <w:rFonts w:ascii="Palatino Linotype" w:eastAsia="Palatino Linotype" w:hAnsi="Palatino Linotype" w:cs="Palatino Linotype"/>
        </w:rPr>
        <w:t xml:space="preserve"> es materialmente imposible realizar la entrega de algún documental que no ha generado el </w:t>
      </w:r>
      <w:r>
        <w:rPr>
          <w:rFonts w:ascii="Palatino Linotype" w:eastAsia="Palatino Linotype" w:hAnsi="Palatino Linotype" w:cs="Palatino Linotype"/>
          <w:b/>
          <w:bCs/>
        </w:rPr>
        <w:t>sujeto OBLIGADO</w:t>
      </w:r>
      <w:r>
        <w:rPr>
          <w:rFonts w:ascii="Palatino Linotype" w:eastAsia="Palatino Linotype" w:hAnsi="Palatino Linotype" w:cs="Palatino Linotype"/>
        </w:rPr>
        <w:t>.</w:t>
      </w:r>
    </w:p>
    <w:p w:rsidR="00862E38" w:rsidRDefault="00862E38">
      <w:pPr>
        <w:spacing w:line="360" w:lineRule="auto"/>
        <w:ind w:right="49"/>
        <w:jc w:val="both"/>
        <w:rPr>
          <w:rFonts w:ascii="Palatino Linotype" w:eastAsia="Palatino Linotype" w:hAnsi="Palatino Linotype" w:cs="Palatino Linotype"/>
          <w:b/>
          <w:bCs/>
          <w:color w:val="000000"/>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Por lo anterior  resulta necesario puntualizar con claridad que éste Órgano Protector del Derecho de Acceso a la Información no está facultado para pronunciarse sobre la veracidad de la información </w:t>
      </w:r>
      <w:r>
        <w:rPr>
          <w:rFonts w:ascii="Palatino Linotype" w:eastAsia="Palatino Linotype" w:hAnsi="Palatino Linotype" w:cs="Palatino Linotype"/>
          <w:color w:val="000000"/>
        </w:rPr>
        <w:t>que</w:t>
      </w:r>
      <w:r>
        <w:rPr>
          <w:rFonts w:ascii="Palatino Linotype" w:eastAsia="Palatino Linotype" w:hAnsi="Palatino Linotype" w:cs="Palatino Linotype"/>
        </w:rPr>
        <w:t xml:space="preserve"> los Sujetos Obligados ponen a disposición de los solicitantes; situación que se aleja de las atribuciones de este Instituto.</w:t>
      </w:r>
    </w:p>
    <w:p w:rsidR="00862E38" w:rsidRDefault="00862E38">
      <w:pPr>
        <w:pBdr>
          <w:top w:val="nil"/>
          <w:left w:val="nil"/>
          <w:bottom w:val="nil"/>
          <w:right w:val="nil"/>
          <w:between w:val="nil"/>
        </w:pBdr>
        <w:spacing w:line="360" w:lineRule="auto"/>
        <w:ind w:left="851" w:right="49"/>
        <w:jc w:val="both"/>
        <w:rPr>
          <w:rFonts w:ascii="Palatino Linotype" w:eastAsia="Palatino Linotype" w:hAnsi="Palatino Linotype" w:cs="Palatino Linotype"/>
          <w:i/>
          <w:iCs/>
          <w:color w:val="000000"/>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mismo,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Pr>
          <w:rFonts w:ascii="Palatino Linotype" w:eastAsia="Palatino Linotype" w:hAnsi="Palatino Linotype" w:cs="Palatino Linotype"/>
          <w:b/>
          <w:bCs/>
        </w:rPr>
        <w:t>veracidad</w:t>
      </w:r>
      <w:r>
        <w:rPr>
          <w:rFonts w:ascii="Palatino Linotype" w:eastAsia="Palatino Linotype" w:hAnsi="Palatino Linotype" w:cs="Palatino Linotype"/>
        </w:rPr>
        <w:t>, oportunidad entre otros, numeral en comento que a la letra señala:</w:t>
      </w:r>
    </w:p>
    <w:p w:rsidR="00862E38" w:rsidRDefault="00344F70">
      <w:pPr>
        <w:pBdr>
          <w:top w:val="nil"/>
          <w:left w:val="nil"/>
          <w:bottom w:val="nil"/>
          <w:right w:val="nil"/>
          <w:between w:val="nil"/>
        </w:pBdr>
        <w:ind w:left="646" w:right="4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862E38" w:rsidRDefault="00862E38">
      <w:pPr>
        <w:spacing w:line="360" w:lineRule="auto"/>
        <w:ind w:right="49"/>
        <w:jc w:val="both"/>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anterior, éste </w:t>
      </w:r>
      <w:r>
        <w:rPr>
          <w:rFonts w:ascii="Palatino Linotype" w:eastAsia="Palatino Linotype" w:hAnsi="Palatino Linotype" w:cs="Palatino Linotype"/>
          <w:color w:val="000000"/>
        </w:rPr>
        <w:t>Órgano</w:t>
      </w:r>
      <w:r>
        <w:rPr>
          <w:rFonts w:ascii="Palatino Linotype" w:eastAsia="Palatino Linotype" w:hAnsi="Palatino Linotype" w:cs="Palatino Linotype"/>
        </w:rPr>
        <w:t xml:space="preserve"> Protector del Derecho de Acceso a la Información no está facultado para pronunciarse sobre la veracidad de la información que los Sujetos Obligados </w:t>
      </w:r>
      <w:r>
        <w:rPr>
          <w:rFonts w:ascii="Palatino Linotype" w:eastAsia="Palatino Linotype" w:hAnsi="Palatino Linotype" w:cs="Palatino Linotype"/>
        </w:rPr>
        <w:lastRenderedPageBreak/>
        <w:t>ponen a disposición de los solicitantes; situación que se aleja de las atribuciones de este Instituto.</w:t>
      </w:r>
    </w:p>
    <w:p w:rsidR="00862E38" w:rsidRDefault="00862E38">
      <w:pPr>
        <w:spacing w:line="360" w:lineRule="auto"/>
        <w:ind w:right="-787"/>
        <w:jc w:val="both"/>
        <w:rPr>
          <w:rFonts w:ascii="Palatino Linotype" w:eastAsia="Palatino Linotype" w:hAnsi="Palatino Linotype" w:cs="Palatino Linotype"/>
          <w:color w:val="000000"/>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Luego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entonces</w:t>
      </w:r>
      <w:r>
        <w:rPr>
          <w:rFonts w:ascii="Palatino Linotype" w:eastAsia="Palatino Linotype" w:hAnsi="Palatino Linotype" w:cs="Palatino Linotype"/>
          <w:color w:val="000000"/>
        </w:rPr>
        <w:t xml:space="preserve"> si bien desde la respuesta primigenia se acreditó que el Sujeto Obligado no genera, posee o administra la información solicitada, lo cierto es que con la finalidad de garantizar al particular que se realizó una búsqueda exhaustiva y razonable de la información solicitada, a través de informe justificado </w:t>
      </w:r>
      <w:r>
        <w:rPr>
          <w:rFonts w:ascii="Palatino Linotype" w:eastAsia="Palatino Linotype" w:hAnsi="Palatino Linotype" w:cs="Palatino Linotype"/>
          <w:b/>
          <w:bCs/>
          <w:color w:val="000000"/>
        </w:rPr>
        <w:t>amplió su respuesta</w:t>
      </w:r>
      <w:r>
        <w:rPr>
          <w:rFonts w:ascii="Palatino Linotype" w:eastAsia="Palatino Linotype" w:hAnsi="Palatino Linotype" w:cs="Palatino Linotype"/>
          <w:color w:val="000000"/>
        </w:rPr>
        <w:t xml:space="preserve"> a fin de dar certeza al recurrente que se utilizó un criterio de búsqueda exhaustivo, se </w:t>
      </w:r>
      <w:r>
        <w:rPr>
          <w:rFonts w:ascii="Palatino Linotype" w:eastAsia="Palatino Linotype" w:hAnsi="Palatino Linotype" w:cs="Palatino Linotype"/>
        </w:rPr>
        <w:t>mencionan</w:t>
      </w:r>
      <w:r>
        <w:rPr>
          <w:rFonts w:ascii="Palatino Linotype" w:eastAsia="Palatino Linotype" w:hAnsi="Palatino Linotype" w:cs="Palatino Linotype"/>
          <w:color w:val="000000"/>
        </w:rPr>
        <w:t xml:space="preserve"> los elementos relativos a los métodos empleados en la búsqueda exhaustiva de la información, señalando los registros y bases documentales consultadas, el método de búsqueda y el resultado de la misma.</w:t>
      </w:r>
    </w:p>
    <w:p w:rsidR="00862E38" w:rsidRDefault="00862E38">
      <w:pPr>
        <w:spacing w:line="360" w:lineRule="auto"/>
        <w:ind w:right="-787"/>
        <w:jc w:val="both"/>
        <w:rPr>
          <w:rFonts w:ascii="Palatino Linotype" w:eastAsia="Palatino Linotype" w:hAnsi="Palatino Linotype" w:cs="Palatino Linotype"/>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De todo lo </w:t>
      </w:r>
      <w:r>
        <w:rPr>
          <w:rFonts w:ascii="Palatino Linotype" w:eastAsia="Palatino Linotype" w:hAnsi="Palatino Linotype" w:cs="Palatino Linotype"/>
          <w:color w:val="000000"/>
        </w:rPr>
        <w:t>expuesto</w:t>
      </w:r>
      <w:r>
        <w:rPr>
          <w:rFonts w:ascii="Palatino Linotype" w:eastAsia="Palatino Linotype" w:hAnsi="Palatino Linotype" w:cs="Palatino Linotype"/>
        </w:rPr>
        <w:t xml:space="preserve">, se advierte que el </w:t>
      </w:r>
      <w:r>
        <w:rPr>
          <w:rFonts w:ascii="Palatino Linotype" w:eastAsia="Palatino Linotype" w:hAnsi="Palatino Linotype" w:cs="Palatino Linotype"/>
          <w:b/>
          <w:bCs/>
        </w:rPr>
        <w:t xml:space="preserve">SUJETO OBLIGADO modificó su acto al complementar su respuesta en informe justificado, </w:t>
      </w:r>
      <w:r>
        <w:rPr>
          <w:rFonts w:ascii="Palatino Linotype" w:eastAsia="Palatino Linotype" w:hAnsi="Palatino Linotype" w:cs="Palatino Linotype"/>
        </w:rPr>
        <w:t>dando certeza al solicitante que el Sujeto Obligado colmó los parámetros establecidos en la norma para la búsqueda de información, concluyendo en la no localización de la misma, por no haberse generado, poseído o administrado.</w:t>
      </w:r>
    </w:p>
    <w:p w:rsidR="00862E38" w:rsidRDefault="00862E38">
      <w:p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color w:val="000000"/>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Luego </w:t>
      </w:r>
      <w:r>
        <w:rPr>
          <w:rFonts w:ascii="Palatino Linotype" w:eastAsia="Palatino Linotype" w:hAnsi="Palatino Linotype" w:cs="Palatino Linotype"/>
        </w:rPr>
        <w:t>entonces</w:t>
      </w:r>
      <w:r>
        <w:rPr>
          <w:rFonts w:ascii="Palatino Linotype" w:eastAsia="Palatino Linotype" w:hAnsi="Palatino Linotype" w:cs="Palatino Linotype"/>
          <w:color w:val="000000"/>
        </w:rPr>
        <w:t xml:space="preserve">, al haberse modificado la respuesta inicial, resulta necesario invocar la fracción III, del artículo 192,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xml:space="preserve">, por contener la causal de sobreseimiento relativa a que el Sujeto Obligado </w:t>
      </w:r>
      <w:r>
        <w:rPr>
          <w:rFonts w:ascii="Palatino Linotype" w:eastAsia="Palatino Linotype" w:hAnsi="Palatino Linotype" w:cs="Palatino Linotype"/>
          <w:b/>
          <w:bCs/>
          <w:color w:val="000000"/>
          <w:u w:val="single"/>
        </w:rPr>
        <w:t>modifique o revoque el acto</w:t>
      </w:r>
      <w:r>
        <w:rPr>
          <w:rFonts w:ascii="Palatino Linotype" w:eastAsia="Palatino Linotype" w:hAnsi="Palatino Linotype" w:cs="Palatino Linotype"/>
          <w:color w:val="000000"/>
        </w:rPr>
        <w:t>; de ahí que la actualización de alguno de éstos trae como consecuencia que el medio de impugnación se concluya sin que se analice el objeto de estudio planteado, es decir se sobresea.</w:t>
      </w:r>
    </w:p>
    <w:p w:rsidR="00862E38" w:rsidRDefault="00344F70">
      <w:pPr>
        <w:numPr>
          <w:ilvl w:val="0"/>
          <w:numId w:val="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Para los </w:t>
      </w:r>
      <w:r>
        <w:rPr>
          <w:rFonts w:ascii="Palatino Linotype" w:eastAsia="Palatino Linotype" w:hAnsi="Palatino Linotype" w:cs="Palatino Linotype"/>
        </w:rPr>
        <w:t>efectos</w:t>
      </w:r>
      <w:r>
        <w:rPr>
          <w:rFonts w:ascii="Palatino Linotype" w:eastAsia="Palatino Linotype" w:hAnsi="Palatino Linotype" w:cs="Palatino Linotype"/>
          <w:color w:val="000000"/>
        </w:rPr>
        <w:t xml:space="preserve"> de esta resolución, es oportuno precisar los alcances jurídicos de la fracción III de </w:t>
      </w:r>
      <w:r>
        <w:rPr>
          <w:rFonts w:ascii="Palatino Linotype" w:eastAsia="Palatino Linotype" w:hAnsi="Palatino Linotype" w:cs="Palatino Linotype"/>
        </w:rPr>
        <w:t>referencia</w:t>
      </w:r>
      <w:r>
        <w:rPr>
          <w:rFonts w:ascii="Palatino Linotype" w:eastAsia="Palatino Linotype" w:hAnsi="Palatino Linotype" w:cs="Palatino Linotype"/>
          <w:color w:val="000000"/>
        </w:rPr>
        <w:t>, a saber:</w:t>
      </w:r>
    </w:p>
    <w:p w:rsidR="00862E38" w:rsidRDefault="00344F70">
      <w:pPr>
        <w:numPr>
          <w:ilvl w:val="0"/>
          <w:numId w:val="5"/>
        </w:numPr>
        <w:spacing w:line="360" w:lineRule="auto"/>
        <w:ind w:left="1134" w:right="616" w:firstLine="0"/>
        <w:jc w:val="both"/>
        <w:rPr>
          <w:rFonts w:ascii="Palatino Linotype" w:eastAsia="Palatino Linotype" w:hAnsi="Palatino Linotype" w:cs="Palatino Linotype"/>
        </w:rPr>
      </w:pPr>
      <w:r>
        <w:rPr>
          <w:rFonts w:ascii="Palatino Linotype" w:eastAsia="Palatino Linotype" w:hAnsi="Palatino Linotype" w:cs="Palatino Linotype"/>
          <w:b/>
          <w:bCs/>
        </w:rPr>
        <w:t>Modifique el acto impugnado:</w:t>
      </w:r>
      <w:r>
        <w:rPr>
          <w:rFonts w:ascii="Palatino Linotype" w:eastAsia="Palatino Linotype" w:hAnsi="Palatino Linotype" w:cs="Palatino Linotype"/>
        </w:rPr>
        <w:t xml:space="preserve"> Se actualiza cuando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rsidR="00862E38" w:rsidRDefault="00344F70">
      <w:pPr>
        <w:numPr>
          <w:ilvl w:val="0"/>
          <w:numId w:val="5"/>
        </w:numPr>
        <w:spacing w:line="360" w:lineRule="auto"/>
        <w:ind w:left="1134" w:right="616" w:firstLine="0"/>
        <w:jc w:val="both"/>
        <w:rPr>
          <w:rFonts w:ascii="Palatino Linotype" w:eastAsia="Palatino Linotype" w:hAnsi="Palatino Linotype" w:cs="Palatino Linotype"/>
        </w:rPr>
      </w:pPr>
      <w:r>
        <w:rPr>
          <w:rFonts w:ascii="Palatino Linotype" w:eastAsia="Palatino Linotype" w:hAnsi="Palatino Linotype" w:cs="Palatino Linotype"/>
          <w:b/>
          <w:bCs/>
        </w:rPr>
        <w:t>Revoque el acto impugnado:</w:t>
      </w:r>
      <w:r>
        <w:rPr>
          <w:rFonts w:ascii="Palatino Linotype" w:eastAsia="Palatino Linotype" w:hAnsi="Palatino Linotype" w:cs="Palatino Linotype"/>
        </w:rPr>
        <w:t xml:space="preserve"> En este supuesto,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862E38" w:rsidRDefault="00862E38">
      <w:pPr>
        <w:pBdr>
          <w:top w:val="nil"/>
          <w:left w:val="nil"/>
          <w:bottom w:val="nil"/>
          <w:right w:val="nil"/>
          <w:between w:val="nil"/>
        </w:pBdr>
        <w:spacing w:line="360" w:lineRule="auto"/>
        <w:rPr>
          <w:rFonts w:ascii="Palatino Linotype" w:eastAsia="Palatino Linotype" w:hAnsi="Palatino Linotype" w:cs="Palatino Linotype"/>
          <w:color w:val="000000"/>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Las </w:t>
      </w:r>
      <w:r>
        <w:rPr>
          <w:rFonts w:ascii="Palatino Linotype" w:eastAsia="Palatino Linotype" w:hAnsi="Palatino Linotype" w:cs="Palatino Linotype"/>
        </w:rPr>
        <w:t>consecuencias</w:t>
      </w:r>
      <w:r>
        <w:rPr>
          <w:rFonts w:ascii="Palatino Linotype" w:eastAsia="Palatino Linotype" w:hAnsi="Palatino Linotype" w:cs="Palatino Linotype"/>
          <w:color w:val="000000"/>
        </w:rPr>
        <w:t xml:space="preserve">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rsidR="00862E38" w:rsidRDefault="00862E38">
      <w:pPr>
        <w:spacing w:line="360" w:lineRule="auto"/>
        <w:jc w:val="both"/>
        <w:rPr>
          <w:rFonts w:ascii="Palatino Linotype" w:eastAsia="Palatino Linotype" w:hAnsi="Palatino Linotype" w:cs="Palatino Linotype"/>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w:t>
      </w:r>
      <w:r>
        <w:rPr>
          <w:rFonts w:ascii="Palatino Linotype" w:eastAsia="Palatino Linotype" w:hAnsi="Palatino Linotype" w:cs="Palatino Linotype"/>
        </w:rPr>
        <w:t>presente</w:t>
      </w:r>
      <w:r>
        <w:rPr>
          <w:rFonts w:ascii="Palatino Linotype" w:eastAsia="Palatino Linotype" w:hAnsi="Palatino Linotype" w:cs="Palatino Linotype"/>
          <w:color w:val="000000"/>
        </w:rPr>
        <w:t xml:space="preserve"> asunto, este Pleno advierte que el Sujeto Obligado con la información precisada a través del informe de justificado, </w:t>
      </w:r>
      <w:r>
        <w:rPr>
          <w:rFonts w:ascii="Palatino Linotype" w:eastAsia="Palatino Linotype" w:hAnsi="Palatino Linotype" w:cs="Palatino Linotype"/>
          <w:b/>
          <w:bCs/>
          <w:color w:val="000000"/>
        </w:rPr>
        <w:t>modifica</w:t>
      </w:r>
      <w:r>
        <w:rPr>
          <w:rFonts w:ascii="Palatino Linotype" w:eastAsia="Palatino Linotype" w:hAnsi="Palatino Linotype" w:cs="Palatino Linotype"/>
          <w:color w:val="000000"/>
        </w:rPr>
        <w:t xml:space="preserve"> el acto que le dio origen al recurso de revisión, lo que trae como consecuencia que el mismo quede sin materia, actualizándose de este modo, la hipótesis jurídica contenida en la fracción III, del citado artículo 192.</w:t>
      </w:r>
    </w:p>
    <w:p w:rsidR="00862E38" w:rsidRDefault="00862E38">
      <w:pPr>
        <w:spacing w:line="360" w:lineRule="auto"/>
        <w:rPr>
          <w:rFonts w:ascii="Palatino Linotype" w:eastAsia="Palatino Linotype" w:hAnsi="Palatino Linotype" w:cs="Palatino Linotype"/>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w:t>
      </w:r>
      <w:r>
        <w:rPr>
          <w:rFonts w:ascii="Palatino Linotype" w:eastAsia="Palatino Linotype" w:hAnsi="Palatino Linotype" w:cs="Palatino Linotype"/>
        </w:rPr>
        <w:t>este</w:t>
      </w:r>
      <w:r>
        <w:rPr>
          <w:rFonts w:ascii="Palatino Linotype" w:eastAsia="Palatino Linotype" w:hAnsi="Palatino Linotype" w:cs="Palatino Linotype"/>
          <w:color w:val="000000"/>
        </w:rPr>
        <w:t xml:space="preserve"> modo, cuando el Sujeto 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antes de que se dicte resolución definitiva, entrega la información solicitada o completa la información que en un primer momento fue </w:t>
      </w:r>
      <w:r>
        <w:rPr>
          <w:rFonts w:ascii="Palatino Linotype" w:eastAsia="Palatino Linotype" w:hAnsi="Palatino Linotype" w:cs="Palatino Linotype"/>
          <w:color w:val="000000"/>
        </w:rPr>
        <w:lastRenderedPageBreak/>
        <w:t>incompleta o no correspondió con lo solicitado; el recurso de revisión que al efecto se haya interpuesto queda sin materia lo que imposibilita el estudio de fondo de la controversia planteada, debido a que la afectación en su esfera de derechos fue restituida por la propia autoridad que emitió el acto motivo de impugnación.</w:t>
      </w:r>
    </w:p>
    <w:p w:rsidR="00862E38" w:rsidRDefault="00862E38">
      <w:pPr>
        <w:spacing w:line="360" w:lineRule="auto"/>
        <w:rPr>
          <w:rFonts w:ascii="Palatino Linotype" w:eastAsia="Palatino Linotype" w:hAnsi="Palatino Linotype" w:cs="Palatino Linotype"/>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Sirve de sustento a lo anterior la siguiente jurisprudencia por contradicción, cuyo rubro, texto y </w:t>
      </w:r>
      <w:r>
        <w:rPr>
          <w:rFonts w:ascii="Palatino Linotype" w:eastAsia="Palatino Linotype" w:hAnsi="Palatino Linotype" w:cs="Palatino Linotype"/>
        </w:rPr>
        <w:t>datos</w:t>
      </w:r>
      <w:r>
        <w:rPr>
          <w:rFonts w:ascii="Palatino Linotype" w:eastAsia="Palatino Linotype" w:hAnsi="Palatino Linotype" w:cs="Palatino Linotype"/>
          <w:color w:val="000000"/>
        </w:rPr>
        <w:t xml:space="preserve"> de identificación son los siguientes:</w:t>
      </w:r>
    </w:p>
    <w:p w:rsidR="00862E38" w:rsidRDefault="00344F70">
      <w:pPr>
        <w:ind w:left="567" w:right="-291"/>
        <w:jc w:val="both"/>
        <w:rPr>
          <w:rFonts w:ascii="Palatino Linotype" w:eastAsia="Palatino Linotype" w:hAnsi="Palatino Linotype" w:cs="Palatino Linotype"/>
          <w:i/>
          <w:iCs/>
        </w:rPr>
      </w:pPr>
      <w:r>
        <w:rPr>
          <w:rFonts w:ascii="Palatino Linotype" w:eastAsia="Palatino Linotype" w:hAnsi="Palatino Linotype" w:cs="Palatino Linotype"/>
          <w:b/>
          <w:bCs/>
          <w:i/>
          <w:iCs/>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Pr>
          <w:rFonts w:ascii="Palatino Linotype" w:eastAsia="Palatino Linotype" w:hAnsi="Palatino Linotype" w:cs="Palatino Linotype"/>
          <w:i/>
          <w:iCs/>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862E38" w:rsidRDefault="00862E38">
      <w:pPr>
        <w:spacing w:line="360" w:lineRule="auto"/>
        <w:ind w:right="618"/>
        <w:jc w:val="both"/>
        <w:rPr>
          <w:rFonts w:ascii="Palatino Linotype" w:eastAsia="Palatino Linotype" w:hAnsi="Palatino Linotype" w:cs="Palatino Linotype"/>
          <w:i/>
          <w:iCs/>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anterior </w:t>
      </w:r>
      <w:r>
        <w:rPr>
          <w:rFonts w:ascii="Palatino Linotype" w:eastAsia="Palatino Linotype" w:hAnsi="Palatino Linotype" w:cs="Palatino Linotype"/>
        </w:rPr>
        <w:t>jurisprudencia</w:t>
      </w:r>
      <w:r>
        <w:rPr>
          <w:rFonts w:ascii="Palatino Linotype" w:eastAsia="Palatino Linotype" w:hAnsi="Palatino Linotype" w:cs="Palatino Linotype"/>
          <w:color w:val="000000"/>
        </w:rPr>
        <w:t xml:space="preserve"> resulta aplicable al presente asunto, en dos aspectos:</w:t>
      </w:r>
    </w:p>
    <w:p w:rsidR="00862E38" w:rsidRDefault="00344F70">
      <w:pPr>
        <w:numPr>
          <w:ilvl w:val="0"/>
          <w:numId w:val="6"/>
        </w:numPr>
        <w:spacing w:line="360" w:lineRule="auto"/>
        <w:ind w:left="1134" w:right="618" w:firstLine="0"/>
        <w:jc w:val="both"/>
        <w:rPr>
          <w:rFonts w:ascii="Palatino Linotype" w:eastAsia="Palatino Linotype" w:hAnsi="Palatino Linotype" w:cs="Palatino Linotype"/>
        </w:rPr>
      </w:pPr>
      <w:r>
        <w:rPr>
          <w:rFonts w:ascii="Palatino Linotype" w:eastAsia="Palatino Linotype" w:hAnsi="Palatino Linotype" w:cs="Palatino Linotype"/>
          <w:b/>
          <w:bCs/>
        </w:rPr>
        <w:t>La cesación de los efectos perniciosos del acto de autoridad:</w:t>
      </w:r>
      <w:r>
        <w:rPr>
          <w:rFonts w:ascii="Palatino Linotype" w:eastAsia="Palatino Linotype" w:hAnsi="Palatino Linotype" w:cs="Palatino Linotype"/>
        </w:rPr>
        <w:t xml:space="preserve"> Al respecto, la Ley de Transparencia contempla la figura jurídica del </w:t>
      </w:r>
      <w:r>
        <w:rPr>
          <w:rFonts w:ascii="Palatino Linotype" w:eastAsia="Palatino Linotype" w:hAnsi="Palatino Linotype" w:cs="Palatino Linotype"/>
        </w:rPr>
        <w:lastRenderedPageBreak/>
        <w:t xml:space="preserve">sobreseimiento cuando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w:t>
      </w:r>
      <w:r>
        <w:rPr>
          <w:rFonts w:ascii="Palatino Linotype" w:eastAsia="Palatino Linotype" w:hAnsi="Palatino Linotype" w:cs="Palatino Linotype"/>
          <w:i/>
          <w:iCs/>
        </w:rPr>
        <w:t>motu proprio</w:t>
      </w:r>
      <w:r>
        <w:rPr>
          <w:rFonts w:ascii="Palatino Linotype" w:eastAsia="Palatino Linotype" w:hAnsi="Palatino Linotype" w:cs="Palatino Linotype"/>
        </w:rPr>
        <w:t xml:space="preserve"> modifica o revoca de tal manera el acto motivo de la impugnación que lo deja sin materia; es decir, cesan los efectos de éste y el derecho de acceso a la información pública se encuentra satisfecho.</w:t>
      </w:r>
    </w:p>
    <w:p w:rsidR="00862E38" w:rsidRDefault="00344F70">
      <w:pPr>
        <w:numPr>
          <w:ilvl w:val="0"/>
          <w:numId w:val="6"/>
        </w:numPr>
        <w:spacing w:line="360" w:lineRule="auto"/>
        <w:ind w:left="1134" w:right="618" w:firstLine="0"/>
        <w:jc w:val="both"/>
        <w:rPr>
          <w:rFonts w:ascii="Palatino Linotype" w:eastAsia="Palatino Linotype" w:hAnsi="Palatino Linotype" w:cs="Palatino Linotype"/>
        </w:rPr>
      </w:pPr>
      <w:r>
        <w:rPr>
          <w:rFonts w:ascii="Palatino Linotype" w:eastAsia="Palatino Linotype" w:hAnsi="Palatino Linotype" w:cs="Palatino Linotype"/>
          <w:b/>
          <w:bCs/>
        </w:rPr>
        <w:t>El momento procesal para modificar el acto impugnado:</w:t>
      </w:r>
      <w:r>
        <w:rPr>
          <w:rFonts w:ascii="Palatino Linotype" w:eastAsia="Palatino Linotype" w:hAnsi="Palatino Linotype" w:cs="Palatino Linotype"/>
        </w:rPr>
        <w:t xml:space="preserve"> Para que se actualice el sobreseimiento de un recurso de revisión,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puede entregar o completar la información al momento de rendir su informe de justificación o </w:t>
      </w:r>
      <w:r>
        <w:rPr>
          <w:rFonts w:ascii="Palatino Linotype" w:eastAsia="Palatino Linotype" w:hAnsi="Palatino Linotype" w:cs="Palatino Linotype"/>
          <w:b/>
          <w:bCs/>
          <w:u w:val="single"/>
        </w:rPr>
        <w:t>posteriormente</w:t>
      </w:r>
      <w:r>
        <w:rPr>
          <w:rFonts w:ascii="Palatino Linotype" w:eastAsia="Palatino Linotype" w:hAnsi="Palatino Linotype" w:cs="Palatino Linotype"/>
        </w:rPr>
        <w:t xml:space="preserve"> a éste, siempre y cuando el Pleno del Instituto no haya dictado resolución definitiva.</w:t>
      </w:r>
    </w:p>
    <w:p w:rsidR="00862E38" w:rsidRDefault="00862E38">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rsidR="00862E38" w:rsidRPr="00156CB4" w:rsidRDefault="00344F70">
      <w:pPr>
        <w:numPr>
          <w:ilvl w:val="0"/>
          <w:numId w:val="2"/>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Bajo</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ese</w:t>
      </w:r>
      <w:r>
        <w:rPr>
          <w:rFonts w:ascii="Palatino Linotype" w:eastAsia="Palatino Linotype" w:hAnsi="Palatino Linotype" w:cs="Palatino Linotype"/>
        </w:rPr>
        <w:t xml:space="preserve"> tenor con fundamento en la segunda hipótesis de la fracción I, del artículo 186, de la Ley de Transparencia y Acceso a la Información Pública del Estado de México y Municipios, se </w:t>
      </w:r>
      <w:r>
        <w:rPr>
          <w:rFonts w:ascii="Palatino Linotype" w:eastAsia="Palatino Linotype" w:hAnsi="Palatino Linotype" w:cs="Palatino Linotype"/>
          <w:b/>
          <w:bCs/>
        </w:rPr>
        <w:t xml:space="preserve">SOBRESEE </w:t>
      </w:r>
      <w:r>
        <w:rPr>
          <w:rFonts w:ascii="Palatino Linotype" w:eastAsia="Palatino Linotype" w:hAnsi="Palatino Linotype" w:cs="Palatino Linotype"/>
        </w:rPr>
        <w:t xml:space="preserve">el recurso de revisión </w:t>
      </w:r>
      <w:r>
        <w:rPr>
          <w:rFonts w:ascii="Palatino Linotype" w:eastAsia="Palatino Linotype" w:hAnsi="Palatino Linotype" w:cs="Palatino Linotype"/>
          <w:b/>
          <w:bCs/>
          <w:color w:val="000000"/>
        </w:rPr>
        <w:t>13408/INFOEM/IP/RR/2025</w:t>
      </w:r>
      <w:r>
        <w:rPr>
          <w:rFonts w:ascii="Palatino Linotype" w:eastAsia="Palatino Linotype" w:hAnsi="Palatino Linotype" w:cs="Palatino Linotype"/>
        </w:rPr>
        <w:t>, que ha sido materia del presente fallo.</w:t>
      </w:r>
    </w:p>
    <w:p w:rsidR="00156CB4" w:rsidRDefault="00156CB4" w:rsidP="00156CB4">
      <w:pPr>
        <w:spacing w:line="360" w:lineRule="auto"/>
        <w:ind w:right="-787"/>
        <w:jc w:val="both"/>
        <w:rPr>
          <w:rFonts w:ascii="Palatino Linotype" w:eastAsia="Palatino Linotype" w:hAnsi="Palatino Linotype" w:cs="Palatino Linotype"/>
          <w:b/>
          <w:bCs/>
        </w:rPr>
      </w:pPr>
    </w:p>
    <w:p w:rsidR="00862E38" w:rsidRDefault="00344F70">
      <w:pPr>
        <w:numPr>
          <w:ilvl w:val="0"/>
          <w:numId w:val="2"/>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expuesto, y con fundamento en lo prescrito en los artículos </w:t>
      </w:r>
      <w:r>
        <w:rPr>
          <w:rFonts w:ascii="Palatino Linotype" w:eastAsia="Palatino Linotype" w:hAnsi="Palatino Linotype" w:cs="Palatino Linotype"/>
          <w:color w:val="000000"/>
        </w:rPr>
        <w:t xml:space="preserve">5, párrafos cuadragésimo cuarto, </w:t>
      </w:r>
      <w:r>
        <w:rPr>
          <w:rFonts w:ascii="Palatino Linotype" w:eastAsia="Palatino Linotype" w:hAnsi="Palatino Linotype" w:cs="Palatino Linotype"/>
        </w:rPr>
        <w:t>cuadragésimo</w:t>
      </w:r>
      <w:r>
        <w:rPr>
          <w:rFonts w:ascii="Palatino Linotype" w:eastAsia="Palatino Linotype" w:hAnsi="Palatino Linotype" w:cs="Palatino Linotype"/>
          <w:color w:val="000000"/>
        </w:rPr>
        <w:t xml:space="preserve"> quinto y cuadragésimo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r w:rsidR="00156CB4">
        <w:rPr>
          <w:rFonts w:ascii="Palatino Linotype" w:eastAsia="Palatino Linotype" w:hAnsi="Palatino Linotype" w:cs="Palatino Linotype"/>
        </w:rPr>
        <w:t xml:space="preserve"> ---------------------------------------------------------</w:t>
      </w:r>
    </w:p>
    <w:p w:rsidR="00156CB4" w:rsidRDefault="00156CB4" w:rsidP="00156CB4">
      <w:pPr>
        <w:pStyle w:val="Prrafodelista"/>
        <w:rPr>
          <w:rFonts w:ascii="Palatino Linotype" w:eastAsia="Palatino Linotype" w:hAnsi="Palatino Linotype" w:cs="Palatino Linotype"/>
        </w:rPr>
      </w:pPr>
    </w:p>
    <w:p w:rsidR="00156CB4" w:rsidRDefault="00156CB4" w:rsidP="00156CB4">
      <w:pPr>
        <w:spacing w:line="360" w:lineRule="auto"/>
        <w:ind w:right="-787"/>
        <w:jc w:val="both"/>
        <w:rPr>
          <w:rFonts w:ascii="Palatino Linotype" w:eastAsia="Palatino Linotype" w:hAnsi="Palatino Linotype" w:cs="Palatino Linotype"/>
        </w:rPr>
      </w:pPr>
    </w:p>
    <w:p w:rsidR="00156CB4" w:rsidRDefault="00156CB4" w:rsidP="00156CB4">
      <w:pPr>
        <w:spacing w:line="360" w:lineRule="auto"/>
        <w:ind w:right="-787"/>
        <w:jc w:val="both"/>
        <w:rPr>
          <w:rFonts w:ascii="Palatino Linotype" w:eastAsia="Palatino Linotype" w:hAnsi="Palatino Linotype" w:cs="Palatino Linotype"/>
        </w:rPr>
      </w:pPr>
    </w:p>
    <w:p w:rsidR="00862E38" w:rsidRDefault="00344F70">
      <w:pPr>
        <w:spacing w:line="360" w:lineRule="auto"/>
        <w:ind w:right="-858"/>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R E S U E L V E</w:t>
      </w:r>
    </w:p>
    <w:p w:rsidR="00862E38" w:rsidRDefault="00862E38">
      <w:pPr>
        <w:spacing w:line="360" w:lineRule="auto"/>
        <w:ind w:right="-787"/>
        <w:jc w:val="center"/>
        <w:rPr>
          <w:rFonts w:ascii="Palatino Linotype" w:eastAsia="Palatino Linotype" w:hAnsi="Palatino Linotype" w:cs="Palatino Linotype"/>
          <w:b/>
          <w:bCs/>
        </w:rPr>
      </w:pPr>
    </w:p>
    <w:p w:rsidR="00862E38" w:rsidRDefault="00344F70">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Se </w:t>
      </w:r>
      <w:r>
        <w:rPr>
          <w:rFonts w:ascii="Palatino Linotype" w:eastAsia="Palatino Linotype" w:hAnsi="Palatino Linotype" w:cs="Palatino Linotype"/>
          <w:b/>
          <w:bCs/>
        </w:rPr>
        <w:t>SOBRESEE</w:t>
      </w:r>
      <w:r>
        <w:rPr>
          <w:rFonts w:ascii="Palatino Linotype" w:eastAsia="Palatino Linotype" w:hAnsi="Palatino Linotype" w:cs="Palatino Linotype"/>
        </w:rPr>
        <w:t xml:space="preserve"> el Recurso de Revisión número </w:t>
      </w:r>
      <w:r>
        <w:rPr>
          <w:rFonts w:ascii="Palatino Linotype" w:eastAsia="Palatino Linotype" w:hAnsi="Palatino Linotype" w:cs="Palatino Linotype"/>
          <w:b/>
          <w:bCs/>
          <w:color w:val="000000"/>
        </w:rPr>
        <w:t>13408/INFOEM/IP/RR/2025</w:t>
      </w:r>
      <w:r>
        <w:rPr>
          <w:rFonts w:ascii="Palatino Linotype" w:eastAsia="Palatino Linotype" w:hAnsi="Palatino Linotype" w:cs="Palatino Linotype"/>
        </w:rPr>
        <w:t xml:space="preserve">, conforme al artículo 192, fracción III, de la Ley de la Materia, porque al modificar la respuesta, el Recurso de Revisión quedó sin materia en términos del  </w:t>
      </w:r>
      <w:r>
        <w:rPr>
          <w:rFonts w:ascii="Palatino Linotype" w:eastAsia="Palatino Linotype" w:hAnsi="Palatino Linotype" w:cs="Palatino Linotype"/>
          <w:b/>
          <w:bCs/>
        </w:rPr>
        <w:t>Considerando Cuarto</w:t>
      </w:r>
      <w:r>
        <w:rPr>
          <w:rFonts w:ascii="Palatino Linotype" w:eastAsia="Palatino Linotype" w:hAnsi="Palatino Linotype" w:cs="Palatino Linotype"/>
        </w:rPr>
        <w:t xml:space="preserve"> de la presente resolución.</w:t>
      </w:r>
    </w:p>
    <w:p w:rsidR="00862E38" w:rsidRDefault="00862E38">
      <w:pPr>
        <w:spacing w:line="360" w:lineRule="auto"/>
        <w:jc w:val="both"/>
        <w:rPr>
          <w:rFonts w:ascii="Palatino Linotype" w:eastAsia="Palatino Linotype" w:hAnsi="Palatino Linotype" w:cs="Palatino Linotype"/>
          <w:b/>
          <w:bCs/>
        </w:rPr>
      </w:pPr>
    </w:p>
    <w:p w:rsidR="00862E38" w:rsidRDefault="00344F70">
      <w:pPr>
        <w:spacing w:line="360" w:lineRule="auto"/>
        <w:ind w:right="-787"/>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b/>
          <w:bCs/>
        </w:rPr>
        <w:t xml:space="preserve">SEGUNDO. Notifíquese </w:t>
      </w:r>
      <w:r>
        <w:rPr>
          <w:rFonts w:ascii="Palatino Linotype" w:eastAsia="Palatino Linotype" w:hAnsi="Palatino Linotype" w:cs="Palatino Linotype"/>
        </w:rPr>
        <w:t xml:space="preserve">al Titular de la Unidad de Transparencia del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vía SAIMEX, para su conocimiento</w:t>
      </w:r>
      <w:r>
        <w:rPr>
          <w:rFonts w:ascii="Palatino Linotype" w:eastAsia="Palatino Linotype" w:hAnsi="Palatino Linotype" w:cs="Palatino Linotype"/>
          <w:color w:val="000000"/>
          <w:highlight w:val="white"/>
        </w:rPr>
        <w:t>.</w:t>
      </w:r>
    </w:p>
    <w:p w:rsidR="00862E38" w:rsidRDefault="00862E38">
      <w:pPr>
        <w:shd w:val="clear" w:color="auto" w:fill="FFFFFF"/>
        <w:spacing w:line="360" w:lineRule="auto"/>
        <w:jc w:val="both"/>
        <w:rPr>
          <w:rFonts w:ascii="Palatino Linotype" w:eastAsia="Palatino Linotype" w:hAnsi="Palatino Linotype" w:cs="Palatino Linotype"/>
          <w:color w:val="000000"/>
          <w:highlight w:val="white"/>
        </w:rPr>
      </w:pPr>
    </w:p>
    <w:p w:rsidR="00862E38" w:rsidRDefault="00344F70">
      <w:pPr>
        <w:spacing w:line="360" w:lineRule="auto"/>
        <w:ind w:right="-787"/>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b/>
          <w:bCs/>
          <w:color w:val="000000"/>
        </w:rPr>
        <w:t>TERCERO</w:t>
      </w:r>
      <w:r>
        <w:rPr>
          <w:rFonts w:ascii="Palatino Linotype" w:eastAsia="Palatino Linotype" w:hAnsi="Palatino Linotype" w:cs="Palatino Linotype"/>
          <w:b/>
          <w:bCs/>
          <w:color w:val="222222"/>
        </w:rPr>
        <w:t xml:space="preserve">. Notifíquese </w:t>
      </w:r>
      <w:r>
        <w:rPr>
          <w:rFonts w:ascii="Palatino Linotype" w:eastAsia="Palatino Linotype" w:hAnsi="Palatino Linotype" w:cs="Palatino Linotype"/>
          <w:color w:val="222222"/>
        </w:rPr>
        <w:t xml:space="preserve">a </w:t>
      </w:r>
      <w:r>
        <w:rPr>
          <w:rFonts w:ascii="Palatino Linotype" w:eastAsia="Palatino Linotype" w:hAnsi="Palatino Linotype" w:cs="Palatino Linotype"/>
          <w:b/>
          <w:bCs/>
          <w:color w:val="222222"/>
        </w:rPr>
        <w:t>EL RECURRENTE</w:t>
      </w:r>
      <w:r>
        <w:rPr>
          <w:rFonts w:ascii="Palatino Linotype" w:eastAsia="Palatino Linotype" w:hAnsi="Palatino Linotype" w:cs="Palatino Linotype"/>
          <w:color w:val="222222"/>
        </w:rPr>
        <w:t xml:space="preserve"> la presente resolución vía SAIMEX</w:t>
      </w:r>
      <w:r>
        <w:rPr>
          <w:rFonts w:ascii="Palatino Linotype" w:eastAsia="Palatino Linotype" w:hAnsi="Palatino Linotype" w:cs="Palatino Linotype"/>
          <w:color w:val="000000"/>
          <w:highlight w:val="white"/>
        </w:rPr>
        <w:t>.</w:t>
      </w:r>
    </w:p>
    <w:p w:rsidR="00862E38" w:rsidRDefault="00862E38">
      <w:pPr>
        <w:spacing w:line="360" w:lineRule="auto"/>
        <w:ind w:right="-787"/>
        <w:jc w:val="both"/>
        <w:rPr>
          <w:rFonts w:ascii="Palatino Linotype" w:eastAsia="Palatino Linotype" w:hAnsi="Palatino Linotype" w:cs="Palatino Linotype"/>
          <w:color w:val="000000"/>
          <w:highlight w:val="white"/>
        </w:rPr>
      </w:pPr>
    </w:p>
    <w:p w:rsidR="00862E38" w:rsidRDefault="00344F70">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222222"/>
        </w:rPr>
        <w:t xml:space="preserve">CUARTO. </w:t>
      </w:r>
      <w:r>
        <w:rPr>
          <w:rFonts w:ascii="Palatino Linotype" w:eastAsia="Palatino Linotype" w:hAnsi="Palatino Linotype" w:cs="Palatino Linotype"/>
          <w:color w:val="000000"/>
        </w:rPr>
        <w:t xml:space="preserve">Se hace del conocimiento de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rsidR="00862E38" w:rsidRDefault="00862E38">
      <w:pPr>
        <w:spacing w:line="360" w:lineRule="auto"/>
        <w:ind w:right="-787"/>
        <w:jc w:val="both"/>
        <w:rPr>
          <w:rFonts w:ascii="Palatino Linotype" w:eastAsia="Palatino Linotype" w:hAnsi="Palatino Linotype" w:cs="Palatino Linotype"/>
          <w:b/>
          <w:bCs/>
        </w:rPr>
      </w:pPr>
    </w:p>
    <w:p w:rsidR="0046649F" w:rsidRPr="003E2295" w:rsidRDefault="0046649F" w:rsidP="0046649F">
      <w:pPr>
        <w:spacing w:before="240" w:after="240" w:line="360" w:lineRule="auto"/>
        <w:ind w:right="-801" w:firstLine="1"/>
        <w:jc w:val="both"/>
        <w:rPr>
          <w:rFonts w:ascii="Palatino Linotype" w:hAnsi="Palatino Linotype"/>
        </w:rPr>
      </w:pPr>
      <w:bookmarkStart w:id="7" w:name="_heading=h.3vpo31xfpc3" w:colFirst="0" w:colLast="0"/>
      <w:bookmarkStart w:id="8" w:name="_Hlk99014733"/>
      <w:bookmarkEnd w:id="7"/>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 xml:space="preserve">SESIÓN </w:t>
      </w:r>
      <w:r w:rsidRPr="003E2295">
        <w:rPr>
          <w:rFonts w:ascii="Palatino Linotype" w:hAnsi="Palatino Linotype" w:cs="Palatino Linotype"/>
        </w:rPr>
        <w:lastRenderedPageBreak/>
        <w:t>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8"/>
    <w:p w:rsidR="00862E38" w:rsidRDefault="00862E38" w:rsidP="0046649F">
      <w:pPr>
        <w:spacing w:line="360" w:lineRule="auto"/>
        <w:ind w:right="-801"/>
        <w:jc w:val="both"/>
        <w:rPr>
          <w:rFonts w:ascii="Palatino Linotype" w:eastAsia="Palatino Linotype" w:hAnsi="Palatino Linotype" w:cs="Palatino Linotype"/>
        </w:rPr>
      </w:pPr>
    </w:p>
    <w:p w:rsidR="00862E38" w:rsidRDefault="00862E38" w:rsidP="0046649F">
      <w:pPr>
        <w:ind w:right="-801"/>
        <w:rPr>
          <w:rFonts w:ascii="Palatino Linotype" w:eastAsia="Palatino Linotype" w:hAnsi="Palatino Linotype" w:cs="Palatino Linotype"/>
        </w:rPr>
      </w:pPr>
    </w:p>
    <w:p w:rsidR="00862E38" w:rsidRDefault="00862E38">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p w:rsidR="002E162F" w:rsidRDefault="002E162F">
      <w:pPr>
        <w:tabs>
          <w:tab w:val="left" w:pos="3374"/>
        </w:tabs>
        <w:spacing w:line="360" w:lineRule="auto"/>
        <w:ind w:right="-787"/>
        <w:rPr>
          <w:rFonts w:ascii="Palatino Linotype" w:eastAsia="Palatino Linotype" w:hAnsi="Palatino Linotype" w:cs="Palatino Linotype"/>
        </w:rPr>
      </w:pPr>
    </w:p>
    <w:sectPr w:rsidR="002E162F">
      <w:headerReference w:type="even" r:id="rId9"/>
      <w:headerReference w:type="default" r:id="rId10"/>
      <w:footerReference w:type="default" r:id="rId11"/>
      <w:headerReference w:type="first" r:id="rId12"/>
      <w:footerReference w:type="first" r:id="rId13"/>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7E0" w:rsidRDefault="00DA67E0">
      <w:r>
        <w:separator/>
      </w:r>
    </w:p>
  </w:endnote>
  <w:endnote w:type="continuationSeparator" w:id="0">
    <w:p w:rsidR="00DA67E0" w:rsidRDefault="00DA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7A68F88A-3D6E-4747-8C71-1419C80ED59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BA521B51-FAFC-4E48-B9B2-A3EEEB6B0A10}"/>
    <w:embedBold r:id="rId3" w:fontKey="{062B6035-BF4F-4FA7-8D3E-494EAC9C67CF}"/>
    <w:embedItalic r:id="rId4" w:fontKey="{82FCE030-75F0-49B2-89BA-17169658D7A6}"/>
    <w:embedBoldItalic r:id="rId5" w:fontKey="{AC98F04C-A07E-4444-8212-D4DE3D8C746A}"/>
  </w:font>
  <w:font w:name="Calibri">
    <w:panose1 w:val="020F0502020204030204"/>
    <w:charset w:val="00"/>
    <w:family w:val="swiss"/>
    <w:pitch w:val="variable"/>
    <w:sig w:usb0="E4002EFF" w:usb1="C200247B" w:usb2="00000009" w:usb3="00000000" w:csb0="000001FF" w:csb1="00000000"/>
    <w:embedRegular r:id="rId6" w:fontKey="{9CFE58A0-2977-4369-BD02-6C00EACE472B}"/>
    <w:embedBold r:id="rId7" w:fontKey="{3857F6FC-F692-419C-B234-EF4F8E4EE88F}"/>
  </w:font>
  <w:font w:name="Georgia">
    <w:panose1 w:val="02040502050405020303"/>
    <w:charset w:val="00"/>
    <w:family w:val="roman"/>
    <w:pitch w:val="variable"/>
    <w:sig w:usb0="00000287" w:usb1="00000000" w:usb2="00000000" w:usb3="00000000" w:csb0="0000009F" w:csb1="00000000"/>
    <w:embedItalic r:id="rId8" w:fontKey="{2A15CD9D-AF8F-4A5A-872F-F83F2520DEAA}"/>
  </w:font>
  <w:font w:name="Cambria">
    <w:panose1 w:val="02040503050406030204"/>
    <w:charset w:val="00"/>
    <w:family w:val="roman"/>
    <w:pitch w:val="variable"/>
    <w:sig w:usb0="E00006FF" w:usb1="420024FF" w:usb2="02000000" w:usb3="00000000" w:csb0="0000019F" w:csb1="00000000"/>
    <w:embedRegular r:id="rId9" w:fontKey="{6044EB80-2902-4200-96B1-2569062C89D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E38" w:rsidRDefault="00344F7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C53C44">
      <w:rPr>
        <w:rFonts w:ascii="Palatino Linotype" w:eastAsia="Palatino Linotype" w:hAnsi="Palatino Linotype" w:cs="Palatino Linotype"/>
        <w:noProof/>
        <w:color w:val="000000"/>
        <w:sz w:val="22"/>
        <w:szCs w:val="22"/>
      </w:rPr>
      <w:t>22</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C53C44">
      <w:rPr>
        <w:rFonts w:ascii="Palatino Linotype" w:eastAsia="Palatino Linotype" w:hAnsi="Palatino Linotype" w:cs="Palatino Linotype"/>
        <w:noProof/>
        <w:color w:val="000000"/>
        <w:sz w:val="22"/>
        <w:szCs w:val="22"/>
      </w:rPr>
      <w:t>23</w:t>
    </w:r>
    <w:r>
      <w:rPr>
        <w:rFonts w:ascii="Palatino Linotype" w:eastAsia="Palatino Linotype" w:hAnsi="Palatino Linotype" w:cs="Palatino Linotype"/>
        <w:color w:val="000000"/>
        <w:sz w:val="22"/>
        <w:szCs w:val="22"/>
      </w:rPr>
      <w:fldChar w:fldCharType="end"/>
    </w:r>
  </w:p>
  <w:p w:rsidR="00862E38" w:rsidRDefault="00862E3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E38" w:rsidRDefault="00344F7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C53C44">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C53C44">
      <w:rPr>
        <w:rFonts w:ascii="Palatino Linotype" w:eastAsia="Palatino Linotype" w:hAnsi="Palatino Linotype" w:cs="Palatino Linotype"/>
        <w:noProof/>
        <w:color w:val="000000"/>
        <w:sz w:val="22"/>
        <w:szCs w:val="22"/>
      </w:rPr>
      <w:t>23</w:t>
    </w:r>
    <w:r>
      <w:rPr>
        <w:rFonts w:ascii="Palatino Linotype" w:eastAsia="Palatino Linotype" w:hAnsi="Palatino Linotype" w:cs="Palatino Linotype"/>
        <w:color w:val="000000"/>
        <w:sz w:val="22"/>
        <w:szCs w:val="22"/>
      </w:rPr>
      <w:fldChar w:fldCharType="end"/>
    </w:r>
  </w:p>
  <w:p w:rsidR="00862E38" w:rsidRDefault="00862E3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7E0" w:rsidRDefault="00DA67E0">
      <w:r>
        <w:separator/>
      </w:r>
    </w:p>
  </w:footnote>
  <w:footnote w:type="continuationSeparator" w:id="0">
    <w:p w:rsidR="00DA67E0" w:rsidRDefault="00DA67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E38" w:rsidRDefault="00DA67E0">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890" w:type="dxa"/>
      <w:tblInd w:w="2552" w:type="dxa"/>
      <w:tblLayout w:type="fixed"/>
      <w:tblLook w:val="0400" w:firstRow="0" w:lastRow="0" w:firstColumn="0" w:lastColumn="0" w:noHBand="0" w:noVBand="1"/>
    </w:tblPr>
    <w:tblGrid>
      <w:gridCol w:w="3744"/>
      <w:gridCol w:w="4146"/>
    </w:tblGrid>
    <w:tr w:rsidR="00862E38">
      <w:trPr>
        <w:trHeight w:val="281"/>
      </w:trPr>
      <w:tc>
        <w:tcPr>
          <w:tcW w:w="3744" w:type="dxa"/>
          <w:vAlign w:val="center"/>
        </w:tcPr>
        <w:p w:rsidR="00862E38" w:rsidRDefault="00344F70">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46" w:type="dxa"/>
          <w:vAlign w:val="center"/>
        </w:tcPr>
        <w:p w:rsidR="00862E38" w:rsidRDefault="00344F70">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13408/INFOEM/IP/RR/2025</w:t>
          </w:r>
        </w:p>
      </w:tc>
    </w:tr>
    <w:tr w:rsidR="00862E38">
      <w:trPr>
        <w:trHeight w:val="342"/>
      </w:trPr>
      <w:tc>
        <w:tcPr>
          <w:tcW w:w="3744" w:type="dxa"/>
        </w:tcPr>
        <w:p w:rsidR="00862E38" w:rsidRDefault="00344F70">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46" w:type="dxa"/>
          <w:vAlign w:val="center"/>
        </w:tcPr>
        <w:p w:rsidR="00862E38" w:rsidRDefault="00344F70">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el Oro</w:t>
          </w:r>
        </w:p>
      </w:tc>
    </w:tr>
    <w:tr w:rsidR="00862E38">
      <w:trPr>
        <w:trHeight w:val="342"/>
      </w:trPr>
      <w:tc>
        <w:tcPr>
          <w:tcW w:w="3744" w:type="dxa"/>
          <w:vAlign w:val="center"/>
        </w:tcPr>
        <w:p w:rsidR="00862E38" w:rsidRDefault="00344F70">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46" w:type="dxa"/>
          <w:vAlign w:val="center"/>
        </w:tcPr>
        <w:p w:rsidR="00862E38" w:rsidRDefault="00344F70">
          <w:pPr>
            <w:pBdr>
              <w:top w:val="nil"/>
              <w:left w:val="nil"/>
              <w:bottom w:val="nil"/>
              <w:right w:val="nil"/>
              <w:between w:val="nil"/>
            </w:pBdr>
            <w:tabs>
              <w:tab w:val="right" w:pos="8838"/>
            </w:tabs>
            <w:ind w:right="-19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862E38" w:rsidRDefault="00DA67E0">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890" w:type="dxa"/>
      <w:tblInd w:w="2552" w:type="dxa"/>
      <w:tblLayout w:type="fixed"/>
      <w:tblLook w:val="0400" w:firstRow="0" w:lastRow="0" w:firstColumn="0" w:lastColumn="0" w:noHBand="0" w:noVBand="1"/>
    </w:tblPr>
    <w:tblGrid>
      <w:gridCol w:w="3744"/>
      <w:gridCol w:w="4146"/>
    </w:tblGrid>
    <w:tr w:rsidR="00862E38">
      <w:trPr>
        <w:trHeight w:val="281"/>
      </w:trPr>
      <w:tc>
        <w:tcPr>
          <w:tcW w:w="3744" w:type="dxa"/>
          <w:vAlign w:val="center"/>
        </w:tcPr>
        <w:p w:rsidR="00862E38" w:rsidRDefault="00344F70">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46" w:type="dxa"/>
          <w:vAlign w:val="center"/>
        </w:tcPr>
        <w:p w:rsidR="00862E38" w:rsidRDefault="00344F70">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13408/INFOEM/IP/RR/2025</w:t>
          </w:r>
        </w:p>
      </w:tc>
    </w:tr>
    <w:tr w:rsidR="00862E38">
      <w:trPr>
        <w:trHeight w:val="242"/>
      </w:trPr>
      <w:tc>
        <w:tcPr>
          <w:tcW w:w="3744" w:type="dxa"/>
          <w:vAlign w:val="center"/>
        </w:tcPr>
        <w:p w:rsidR="00862E38" w:rsidRDefault="00344F70">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146" w:type="dxa"/>
        </w:tcPr>
        <w:p w:rsidR="00862E38" w:rsidRDefault="00C53C44">
          <w:pPr>
            <w:pBdr>
              <w:top w:val="nil"/>
              <w:left w:val="nil"/>
              <w:bottom w:val="nil"/>
              <w:right w:val="nil"/>
              <w:between w:val="nil"/>
            </w:pBdr>
            <w:tabs>
              <w:tab w:val="right" w:pos="8838"/>
              <w:tab w:val="left" w:pos="521"/>
            </w:tabs>
            <w:ind w:right="-190"/>
            <w:rPr>
              <w:rFonts w:ascii="Palatino Linotype" w:eastAsia="Palatino Linotype" w:hAnsi="Palatino Linotype" w:cs="Palatino Linotype"/>
              <w:color w:val="000000"/>
            </w:rPr>
          </w:pPr>
          <w:r>
            <w:rPr>
              <w:rFonts w:ascii="Palatino Linotype" w:eastAsia="Palatino Linotype" w:hAnsi="Palatino Linotype" w:cs="Palatino Linotype"/>
              <w:color w:val="000000"/>
            </w:rPr>
            <w:t>XXXX</w:t>
          </w:r>
        </w:p>
      </w:tc>
    </w:tr>
    <w:tr w:rsidR="00862E38">
      <w:trPr>
        <w:trHeight w:val="342"/>
      </w:trPr>
      <w:tc>
        <w:tcPr>
          <w:tcW w:w="3744" w:type="dxa"/>
        </w:tcPr>
        <w:p w:rsidR="00862E38" w:rsidRDefault="00344F70">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46" w:type="dxa"/>
          <w:vAlign w:val="center"/>
        </w:tcPr>
        <w:p w:rsidR="00862E38" w:rsidRDefault="00344F70">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el Oro</w:t>
          </w:r>
        </w:p>
      </w:tc>
    </w:tr>
    <w:tr w:rsidR="00862E38">
      <w:trPr>
        <w:trHeight w:val="342"/>
      </w:trPr>
      <w:tc>
        <w:tcPr>
          <w:tcW w:w="3744" w:type="dxa"/>
          <w:vAlign w:val="center"/>
        </w:tcPr>
        <w:p w:rsidR="00862E38" w:rsidRDefault="00344F70">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46" w:type="dxa"/>
          <w:vAlign w:val="center"/>
        </w:tcPr>
        <w:p w:rsidR="00862E38" w:rsidRDefault="00344F70">
          <w:pPr>
            <w:pBdr>
              <w:top w:val="nil"/>
              <w:left w:val="nil"/>
              <w:bottom w:val="nil"/>
              <w:right w:val="nil"/>
              <w:between w:val="nil"/>
            </w:pBdr>
            <w:tabs>
              <w:tab w:val="right" w:pos="8838"/>
            </w:tabs>
            <w:ind w:right="-19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862E38" w:rsidRDefault="00DA67E0">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3E1F"/>
    <w:multiLevelType w:val="multilevel"/>
    <w:tmpl w:val="C3AC2E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E53A31"/>
    <w:multiLevelType w:val="multilevel"/>
    <w:tmpl w:val="38184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C1F40CF"/>
    <w:multiLevelType w:val="multilevel"/>
    <w:tmpl w:val="FFEC996A"/>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3EF87A09"/>
    <w:multiLevelType w:val="multilevel"/>
    <w:tmpl w:val="0B24B0C2"/>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 w15:restartNumberingAfterBreak="0">
    <w:nsid w:val="407D43BB"/>
    <w:multiLevelType w:val="multilevel"/>
    <w:tmpl w:val="22240C2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4DBB4A63"/>
    <w:multiLevelType w:val="multilevel"/>
    <w:tmpl w:val="FD486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E5F5147"/>
    <w:multiLevelType w:val="multilevel"/>
    <w:tmpl w:val="C6289D92"/>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0F5081"/>
    <w:multiLevelType w:val="multilevel"/>
    <w:tmpl w:val="5FC6B126"/>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8" w15:restartNumberingAfterBreak="0">
    <w:nsid w:val="5D0601C5"/>
    <w:multiLevelType w:val="multilevel"/>
    <w:tmpl w:val="2BAAA118"/>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num w:numId="1">
    <w:abstractNumId w:val="1"/>
  </w:num>
  <w:num w:numId="2">
    <w:abstractNumId w:val="6"/>
  </w:num>
  <w:num w:numId="3">
    <w:abstractNumId w:val="2"/>
  </w:num>
  <w:num w:numId="4">
    <w:abstractNumId w:val="0"/>
  </w:num>
  <w:num w:numId="5">
    <w:abstractNumId w:val="8"/>
  </w:num>
  <w:num w:numId="6">
    <w:abstractNumId w:val="4"/>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E38"/>
    <w:rsid w:val="00140BF6"/>
    <w:rsid w:val="00156CB4"/>
    <w:rsid w:val="002E162F"/>
    <w:rsid w:val="00344F70"/>
    <w:rsid w:val="0046649F"/>
    <w:rsid w:val="00862E38"/>
    <w:rsid w:val="00B13042"/>
    <w:rsid w:val="00C35A8D"/>
    <w:rsid w:val="00C53C44"/>
    <w:rsid w:val="00CB4BF0"/>
    <w:rsid w:val="00D536DD"/>
    <w:rsid w:val="00DA67E0"/>
    <w:rsid w:val="00FA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82C2F55-5AC9-4785-A3DB-4F67E8E1E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156CB4"/>
    <w:pPr>
      <w:tabs>
        <w:tab w:val="center" w:pos="4419"/>
        <w:tab w:val="right" w:pos="8838"/>
      </w:tabs>
    </w:pPr>
  </w:style>
  <w:style w:type="character" w:customStyle="1" w:styleId="PiedepginaCar">
    <w:name w:val="Pie de página Car"/>
    <w:basedOn w:val="Fuentedeprrafopredeter"/>
    <w:link w:val="Piedepgina"/>
    <w:uiPriority w:val="99"/>
    <w:rsid w:val="00156CB4"/>
  </w:style>
  <w:style w:type="paragraph" w:styleId="Prrafodelista">
    <w:name w:val="List Paragraph"/>
    <w:basedOn w:val="Normal"/>
    <w:uiPriority w:val="34"/>
    <w:qFormat/>
    <w:rsid w:val="00156C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F9CXSmViyp23d/JALFzIGQB5dQ==">CgMxLjAyCGguZ2pkZ3hzMgloLjMwajB6bGwyCWguMWZvYjl0ZTIJaC4yZXQ5MnAwMgloLjF0M2g1c2YyCWguMnM4ZXlvMTINaC4zdnBvMzF4ZnBjMzgAciExUU1SRWRSaW9uMm9iT0VXLVdVU2l4SjdXNDBOMktnOGM=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5648</Words>
  <Characters>31068</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2026-05-21T23:24:00Z</cp:lastPrinted>
  <dcterms:created xsi:type="dcterms:W3CDTF">2026-05-21T23:24:00Z</dcterms:created>
  <dcterms:modified xsi:type="dcterms:W3CDTF">2026-05-29T00:13:00Z</dcterms:modified>
</cp:coreProperties>
</file>