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48B" w:rsidRPr="006078F5" w:rsidRDefault="0072148B">
      <w:pPr>
        <w:widowControl w:val="0"/>
        <w:pBdr>
          <w:top w:val="nil"/>
          <w:left w:val="nil"/>
          <w:bottom w:val="nil"/>
          <w:right w:val="nil"/>
          <w:between w:val="nil"/>
        </w:pBdr>
        <w:spacing w:line="276" w:lineRule="auto"/>
      </w:pPr>
    </w:p>
    <w:p w:rsidR="00055543" w:rsidRPr="006078F5" w:rsidRDefault="00055543" w:rsidP="00055543">
      <w:pPr>
        <w:tabs>
          <w:tab w:val="left" w:pos="3465"/>
        </w:tabs>
        <w:spacing w:line="360" w:lineRule="auto"/>
        <w:ind w:right="-787"/>
        <w:jc w:val="both"/>
        <w:rPr>
          <w:rFonts w:ascii="Palatino Linotype" w:eastAsia="Palatino Linotype" w:hAnsi="Palatino Linotype" w:cs="Palatino Linotype"/>
          <w:b/>
        </w:rPr>
      </w:pPr>
      <w:r w:rsidRPr="006078F5">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6078F5">
        <w:rPr>
          <w:rFonts w:ascii="Palatino Linotype" w:eastAsia="Palatino Linotype" w:hAnsi="Palatino Linotype" w:cs="Palatino Linotype"/>
          <w:b/>
        </w:rPr>
        <w:t xml:space="preserve">fecha </w:t>
      </w:r>
      <w:r w:rsidR="00AC2D40" w:rsidRPr="006078F5">
        <w:rPr>
          <w:rFonts w:ascii="Palatino Linotype" w:eastAsia="Palatino Linotype" w:hAnsi="Palatino Linotype" w:cs="Palatino Linotype"/>
          <w:b/>
        </w:rPr>
        <w:t>tres</w:t>
      </w:r>
      <w:r w:rsidR="006078F5" w:rsidRPr="006078F5">
        <w:rPr>
          <w:rFonts w:ascii="Palatino Linotype" w:eastAsia="Palatino Linotype" w:hAnsi="Palatino Linotype" w:cs="Palatino Linotype"/>
          <w:b/>
        </w:rPr>
        <w:t xml:space="preserve"> (03)</w:t>
      </w:r>
      <w:r w:rsidR="00AC2D40" w:rsidRPr="006078F5">
        <w:rPr>
          <w:rFonts w:ascii="Palatino Linotype" w:eastAsia="Palatino Linotype" w:hAnsi="Palatino Linotype" w:cs="Palatino Linotype"/>
          <w:b/>
        </w:rPr>
        <w:t xml:space="preserve"> de junio</w:t>
      </w:r>
      <w:r w:rsidRPr="006078F5">
        <w:rPr>
          <w:rFonts w:ascii="Palatino Linotype" w:eastAsia="Palatino Linotype" w:hAnsi="Palatino Linotype" w:cs="Palatino Linotype"/>
          <w:b/>
        </w:rPr>
        <w:t xml:space="preserve"> de dos mil veintiséis.</w:t>
      </w:r>
    </w:p>
    <w:p w:rsidR="0094714F" w:rsidRPr="006078F5" w:rsidRDefault="0094714F" w:rsidP="0094714F">
      <w:pPr>
        <w:tabs>
          <w:tab w:val="left" w:pos="3465"/>
        </w:tabs>
        <w:spacing w:line="360" w:lineRule="auto"/>
        <w:ind w:right="-787"/>
        <w:jc w:val="both"/>
        <w:rPr>
          <w:rFonts w:ascii="Palatino Linotype" w:eastAsia="Palatino Linotype" w:hAnsi="Palatino Linotype" w:cs="Palatino Linotype"/>
        </w:rPr>
      </w:pPr>
    </w:p>
    <w:p w:rsidR="0094714F" w:rsidRPr="006078F5" w:rsidRDefault="0094714F" w:rsidP="0094714F">
      <w:pPr>
        <w:spacing w:line="360" w:lineRule="auto"/>
        <w:ind w:right="-787"/>
        <w:jc w:val="both"/>
        <w:rPr>
          <w:rFonts w:ascii="Palatino Linotype" w:eastAsia="Palatino Linotype" w:hAnsi="Palatino Linotype" w:cs="Palatino Linotype"/>
          <w:b/>
          <w:color w:val="000000"/>
        </w:rPr>
      </w:pPr>
      <w:r w:rsidRPr="006078F5">
        <w:rPr>
          <w:rFonts w:ascii="Palatino Linotype" w:eastAsia="Palatino Linotype" w:hAnsi="Palatino Linotype" w:cs="Palatino Linotype"/>
          <w:b/>
        </w:rPr>
        <w:t xml:space="preserve">VISTAS </w:t>
      </w:r>
      <w:r w:rsidRPr="006078F5">
        <w:rPr>
          <w:rFonts w:ascii="Palatino Linotype" w:eastAsia="Palatino Linotype" w:hAnsi="Palatino Linotype" w:cs="Palatino Linotype"/>
        </w:rPr>
        <w:t xml:space="preserve">las constancias para resolver </w:t>
      </w:r>
      <w:r w:rsidRPr="006078F5">
        <w:rPr>
          <w:rFonts w:ascii="Palatino Linotype" w:eastAsia="Palatino Linotype" w:hAnsi="Palatino Linotype" w:cs="Palatino Linotype"/>
          <w:color w:val="000000"/>
        </w:rPr>
        <w:t xml:space="preserve">el Recurso de Revisión </w:t>
      </w:r>
      <w:r w:rsidR="005A44F8" w:rsidRPr="006078F5">
        <w:rPr>
          <w:rFonts w:ascii="Palatino Linotype" w:eastAsia="Palatino Linotype" w:hAnsi="Palatino Linotype" w:cs="Palatino Linotype"/>
          <w:b/>
          <w:color w:val="000000"/>
        </w:rPr>
        <w:t>14198</w:t>
      </w:r>
      <w:r w:rsidR="00195B7E" w:rsidRPr="006078F5">
        <w:rPr>
          <w:rFonts w:ascii="Palatino Linotype" w:eastAsia="Palatino Linotype" w:hAnsi="Palatino Linotype" w:cs="Palatino Linotype"/>
          <w:b/>
          <w:color w:val="000000"/>
        </w:rPr>
        <w:t>/INFOEM/IP/RR/2025</w:t>
      </w:r>
      <w:r w:rsidRPr="006078F5">
        <w:rPr>
          <w:rFonts w:ascii="Palatino Linotype" w:eastAsia="Palatino Linotype" w:hAnsi="Palatino Linotype" w:cs="Palatino Linotype"/>
          <w:color w:val="000000"/>
        </w:rPr>
        <w:t xml:space="preserve">, promovido </w:t>
      </w:r>
      <w:r w:rsidR="005A44F8" w:rsidRPr="006078F5">
        <w:rPr>
          <w:rFonts w:ascii="Palatino Linotype" w:eastAsia="Palatino Linotype" w:hAnsi="Palatino Linotype" w:cs="Palatino Linotype"/>
          <w:bCs/>
          <w:color w:val="000000"/>
        </w:rPr>
        <w:t xml:space="preserve">por </w:t>
      </w:r>
      <w:r w:rsidR="005812F7">
        <w:rPr>
          <w:rFonts w:ascii="Palatino Linotype" w:eastAsia="Palatino Linotype" w:hAnsi="Palatino Linotype" w:cs="Palatino Linotype"/>
          <w:b/>
          <w:bCs/>
          <w:color w:val="000000"/>
        </w:rPr>
        <w:t>XXXX</w:t>
      </w:r>
      <w:r w:rsidRPr="006078F5">
        <w:rPr>
          <w:rFonts w:ascii="Palatino Linotype" w:eastAsia="Palatino Linotype" w:hAnsi="Palatino Linotype" w:cs="Palatino Linotype"/>
          <w:color w:val="000000"/>
        </w:rPr>
        <w:t>,</w:t>
      </w:r>
      <w:r w:rsidRPr="006078F5">
        <w:rPr>
          <w:rFonts w:ascii="Palatino Linotype" w:eastAsia="Palatino Linotype" w:hAnsi="Palatino Linotype" w:cs="Palatino Linotype"/>
        </w:rPr>
        <w:t xml:space="preserve"> en lo sucesivo </w:t>
      </w:r>
      <w:r w:rsidRPr="006078F5">
        <w:rPr>
          <w:rFonts w:ascii="Palatino Linotype" w:eastAsia="Palatino Linotype" w:hAnsi="Palatino Linotype" w:cs="Palatino Linotype"/>
          <w:b/>
        </w:rPr>
        <w:t>EL RECURRENTE</w:t>
      </w:r>
      <w:r w:rsidRPr="006078F5">
        <w:rPr>
          <w:rFonts w:ascii="Palatino Linotype" w:eastAsia="Palatino Linotype" w:hAnsi="Palatino Linotype" w:cs="Palatino Linotype"/>
        </w:rPr>
        <w:t xml:space="preserve">, en contra de la respuesta otorgada a la solicitud de información </w:t>
      </w:r>
      <w:r w:rsidR="005A44F8" w:rsidRPr="006078F5">
        <w:rPr>
          <w:rFonts w:ascii="Palatino Linotype" w:eastAsia="Palatino Linotype" w:hAnsi="Palatino Linotype" w:cs="Palatino Linotype"/>
          <w:b/>
        </w:rPr>
        <w:t>01012/TLALNEPA/IP/2025</w:t>
      </w:r>
      <w:r w:rsidRPr="006078F5">
        <w:rPr>
          <w:rFonts w:ascii="Palatino Linotype" w:eastAsia="Palatino Linotype" w:hAnsi="Palatino Linotype" w:cs="Palatino Linotype"/>
        </w:rPr>
        <w:t xml:space="preserve">, por parte del </w:t>
      </w:r>
      <w:r w:rsidR="005D691D" w:rsidRPr="006078F5">
        <w:rPr>
          <w:rFonts w:ascii="Palatino Linotype" w:eastAsia="Palatino Linotype" w:hAnsi="Palatino Linotype" w:cs="Palatino Linotype"/>
          <w:b/>
          <w:bCs/>
        </w:rPr>
        <w:t xml:space="preserve">Ayuntamiento de </w:t>
      </w:r>
      <w:r w:rsidR="005A44F8" w:rsidRPr="006078F5">
        <w:rPr>
          <w:rFonts w:ascii="Palatino Linotype" w:eastAsia="Palatino Linotype" w:hAnsi="Palatino Linotype" w:cs="Palatino Linotype"/>
          <w:b/>
          <w:bCs/>
        </w:rPr>
        <w:t>Tlalnepantla de Baz</w:t>
      </w:r>
      <w:r w:rsidRP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rPr>
        <w:t xml:space="preserve">en adelante el </w:t>
      </w:r>
      <w:r w:rsidRPr="006078F5">
        <w:rPr>
          <w:rFonts w:ascii="Palatino Linotype" w:eastAsia="Palatino Linotype" w:hAnsi="Palatino Linotype" w:cs="Palatino Linotype"/>
          <w:b/>
        </w:rPr>
        <w:t>SUJETO OBLIGADO</w:t>
      </w:r>
      <w:r w:rsidRPr="006078F5">
        <w:rPr>
          <w:rFonts w:ascii="Palatino Linotype" w:eastAsia="Palatino Linotype" w:hAnsi="Palatino Linotype" w:cs="Palatino Linotype"/>
        </w:rPr>
        <w:t xml:space="preserve">, se emite la presente resolución con base en los siguientes: </w:t>
      </w:r>
    </w:p>
    <w:p w:rsidR="0094714F" w:rsidRPr="006078F5" w:rsidRDefault="0094714F" w:rsidP="0094714F">
      <w:pPr>
        <w:ind w:right="-788"/>
        <w:jc w:val="both"/>
        <w:rPr>
          <w:rFonts w:ascii="Palatino Linotype" w:eastAsia="Palatino Linotype" w:hAnsi="Palatino Linotype" w:cs="Palatino Linotype"/>
        </w:rPr>
      </w:pPr>
    </w:p>
    <w:p w:rsidR="0094714F" w:rsidRPr="006078F5" w:rsidRDefault="0094714F" w:rsidP="0094714F">
      <w:pPr>
        <w:pStyle w:val="Ttulo1"/>
        <w:spacing w:before="0" w:line="360" w:lineRule="auto"/>
        <w:ind w:right="-787"/>
        <w:jc w:val="center"/>
        <w:rPr>
          <w:rFonts w:ascii="Palatino Linotype" w:eastAsia="Palatino Linotype" w:hAnsi="Palatino Linotype" w:cs="Palatino Linotype"/>
          <w:b/>
          <w:color w:val="000000"/>
          <w:sz w:val="24"/>
          <w:szCs w:val="24"/>
        </w:rPr>
      </w:pPr>
      <w:bookmarkStart w:id="0" w:name="_heading=h.gjdgxs" w:colFirst="0" w:colLast="0"/>
      <w:bookmarkEnd w:id="0"/>
      <w:r w:rsidRPr="006078F5">
        <w:rPr>
          <w:rFonts w:ascii="Palatino Linotype" w:eastAsia="Palatino Linotype" w:hAnsi="Palatino Linotype" w:cs="Palatino Linotype"/>
          <w:b/>
          <w:color w:val="000000"/>
          <w:sz w:val="24"/>
          <w:szCs w:val="24"/>
        </w:rPr>
        <w:t>A N T E C E D E N T E S</w:t>
      </w:r>
    </w:p>
    <w:p w:rsidR="0094714F" w:rsidRPr="006078F5" w:rsidRDefault="0094714F" w:rsidP="0094714F">
      <w:pPr>
        <w:pBdr>
          <w:top w:val="nil"/>
          <w:left w:val="nil"/>
          <w:bottom w:val="nil"/>
          <w:right w:val="nil"/>
          <w:between w:val="nil"/>
        </w:pBdr>
        <w:ind w:right="-788"/>
        <w:jc w:val="both"/>
        <w:rPr>
          <w:rFonts w:ascii="Palatino Linotype" w:eastAsia="Palatino Linotype" w:hAnsi="Palatino Linotype" w:cs="Palatino Linotype"/>
          <w:b/>
          <w:color w:val="000000"/>
          <w:u w:val="single"/>
        </w:rPr>
      </w:pPr>
    </w:p>
    <w:p w:rsidR="0094714F" w:rsidRPr="006078F5" w:rsidRDefault="0094714F" w:rsidP="005B1F2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 xml:space="preserve">El </w:t>
      </w:r>
      <w:r w:rsidR="00EA2797" w:rsidRPr="006078F5">
        <w:rPr>
          <w:rFonts w:ascii="Palatino Linotype" w:eastAsia="Palatino Linotype" w:hAnsi="Palatino Linotype" w:cs="Palatino Linotype"/>
          <w:b/>
          <w:color w:val="000000"/>
        </w:rPr>
        <w:t>once</w:t>
      </w:r>
      <w:r w:rsidR="00A80ECA" w:rsidRPr="006078F5">
        <w:rPr>
          <w:rFonts w:ascii="Palatino Linotype" w:eastAsia="Palatino Linotype" w:hAnsi="Palatino Linotype" w:cs="Palatino Linotype"/>
          <w:b/>
          <w:color w:val="000000"/>
        </w:rPr>
        <w:t xml:space="preserve"> de noviembre</w:t>
      </w:r>
      <w:r w:rsidRPr="006078F5">
        <w:rPr>
          <w:rFonts w:ascii="Palatino Linotype" w:eastAsia="Palatino Linotype" w:hAnsi="Palatino Linotype" w:cs="Palatino Linotype"/>
          <w:b/>
          <w:color w:val="000000"/>
        </w:rPr>
        <w:t xml:space="preserve"> de dos mil veinticinco</w:t>
      </w:r>
      <w:r w:rsidRPr="006078F5">
        <w:rPr>
          <w:rFonts w:ascii="Palatino Linotype" w:eastAsia="Palatino Linotype" w:hAnsi="Palatino Linotype" w:cs="Palatino Linotype"/>
          <w:color w:val="000000"/>
        </w:rPr>
        <w:t>,</w:t>
      </w:r>
      <w:r w:rsidRPr="006078F5">
        <w:rPr>
          <w:rFonts w:ascii="Palatino Linotype" w:eastAsia="Palatino Linotype" w:hAnsi="Palatino Linotype" w:cs="Palatino Linotype"/>
          <w:b/>
          <w:color w:val="000000"/>
        </w:rPr>
        <w:t xml:space="preserve"> </w:t>
      </w:r>
      <w:r w:rsidRPr="006078F5">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6078F5">
        <w:rPr>
          <w:rFonts w:ascii="Palatino Linotype" w:eastAsia="Palatino Linotype" w:hAnsi="Palatino Linotype" w:cs="Palatino Linotype"/>
          <w:b/>
          <w:color w:val="000000"/>
        </w:rPr>
        <w:t>solicitud de información</w:t>
      </w:r>
      <w:r w:rsidRPr="006078F5">
        <w:rPr>
          <w:rFonts w:ascii="Palatino Linotype" w:eastAsia="Palatino Linotype" w:hAnsi="Palatino Linotype" w:cs="Palatino Linotype"/>
          <w:color w:val="000000"/>
        </w:rPr>
        <w:t xml:space="preserve"> pública:</w:t>
      </w:r>
    </w:p>
    <w:p w:rsidR="0094714F" w:rsidRPr="006078F5" w:rsidRDefault="0094714F" w:rsidP="0094714F">
      <w:pPr>
        <w:pBdr>
          <w:top w:val="nil"/>
          <w:left w:val="nil"/>
          <w:bottom w:val="nil"/>
          <w:right w:val="nil"/>
          <w:between w:val="nil"/>
        </w:pBdr>
        <w:ind w:right="-788"/>
        <w:jc w:val="both"/>
        <w:rPr>
          <w:rFonts w:ascii="Palatino Linotype" w:eastAsia="Palatino Linotype" w:hAnsi="Palatino Linotype" w:cs="Palatino Linotype"/>
          <w:color w:val="000000"/>
        </w:rPr>
      </w:pPr>
    </w:p>
    <w:p w:rsidR="0094714F" w:rsidRPr="006078F5" w:rsidRDefault="0094714F" w:rsidP="0094714F">
      <w:pPr>
        <w:pBdr>
          <w:top w:val="nil"/>
          <w:left w:val="nil"/>
          <w:bottom w:val="nil"/>
          <w:right w:val="nil"/>
          <w:between w:val="nil"/>
        </w:pBdr>
        <w:ind w:left="567" w:right="-220"/>
        <w:jc w:val="both"/>
        <w:rPr>
          <w:rFonts w:ascii="Palatino Linotype" w:eastAsia="Palatino Linotype" w:hAnsi="Palatino Linotype" w:cs="Palatino Linotype"/>
          <w:i/>
          <w:color w:val="000000"/>
        </w:rPr>
      </w:pPr>
      <w:r w:rsidRPr="006078F5">
        <w:rPr>
          <w:rFonts w:ascii="Palatino Linotype" w:eastAsia="Palatino Linotype" w:hAnsi="Palatino Linotype" w:cs="Palatino Linotype"/>
          <w:i/>
          <w:color w:val="000000"/>
        </w:rPr>
        <w:t xml:space="preserve"> “</w:t>
      </w:r>
      <w:r w:rsidR="00EA2797" w:rsidRPr="006078F5">
        <w:rPr>
          <w:rFonts w:ascii="Palatino Linotype" w:eastAsia="Palatino Linotype" w:hAnsi="Palatino Linotype" w:cs="Palatino Linotype"/>
          <w:i/>
          <w:color w:val="000000"/>
        </w:rPr>
        <w:t>SOLICITO COPIA SIMPLE DIGITALIZADA A TRAVÉS DEL SISTEMA ELECTRÓNICO SAIMEX DE TODAS LAS FACTURAS PAGADAS Y EN PROCESO DE PAGO POR MÁS DE UN MILLÓN DE PESOS GENERADAS ENTRE EL 1 DE ENERO Y EL 10 DE NOVIEMBRE DE 2025</w:t>
      </w:r>
      <w:r w:rsidR="002F5C3E" w:rsidRPr="006078F5">
        <w:rPr>
          <w:rFonts w:ascii="Palatino Linotype" w:eastAsia="Palatino Linotype" w:hAnsi="Palatino Linotype" w:cs="Palatino Linotype"/>
          <w:i/>
          <w:color w:val="000000"/>
        </w:rPr>
        <w:t>.</w:t>
      </w:r>
      <w:r w:rsidRPr="006078F5">
        <w:rPr>
          <w:rFonts w:ascii="Palatino Linotype" w:eastAsia="Palatino Linotype" w:hAnsi="Palatino Linotype" w:cs="Palatino Linotype"/>
          <w:i/>
          <w:color w:val="000000"/>
        </w:rPr>
        <w:t>” (Sic)</w:t>
      </w:r>
      <w:bookmarkStart w:id="1" w:name="_GoBack"/>
      <w:bookmarkEnd w:id="1"/>
    </w:p>
    <w:p w:rsidR="006078F5" w:rsidRPr="006078F5" w:rsidRDefault="006078F5" w:rsidP="0098003E">
      <w:pPr>
        <w:pBdr>
          <w:top w:val="nil"/>
          <w:left w:val="nil"/>
          <w:bottom w:val="nil"/>
          <w:right w:val="nil"/>
          <w:between w:val="nil"/>
        </w:pBdr>
        <w:tabs>
          <w:tab w:val="left" w:pos="3217"/>
        </w:tabs>
        <w:ind w:right="-788"/>
        <w:jc w:val="both"/>
        <w:rPr>
          <w:rFonts w:ascii="Palatino Linotype" w:eastAsia="Palatino Linotype" w:hAnsi="Palatino Linotype" w:cs="Palatino Linotype"/>
          <w:color w:val="000000"/>
        </w:rPr>
      </w:pPr>
    </w:p>
    <w:p w:rsidR="0094714F" w:rsidRPr="006078F5" w:rsidRDefault="0098003E" w:rsidP="0098003E">
      <w:pPr>
        <w:pBdr>
          <w:top w:val="nil"/>
          <w:left w:val="nil"/>
          <w:bottom w:val="nil"/>
          <w:right w:val="nil"/>
          <w:between w:val="nil"/>
        </w:pBdr>
        <w:tabs>
          <w:tab w:val="left" w:pos="3217"/>
        </w:tabs>
        <w:ind w:right="-788"/>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ab/>
      </w:r>
    </w:p>
    <w:p w:rsidR="0094714F" w:rsidRPr="006078F5" w:rsidRDefault="0094714F" w:rsidP="0094714F">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 xml:space="preserve">Se eligió como modalidad de entrega de la información: A través del </w:t>
      </w:r>
      <w:r w:rsidRPr="006078F5">
        <w:rPr>
          <w:rFonts w:ascii="Palatino Linotype" w:eastAsia="Palatino Linotype" w:hAnsi="Palatino Linotype" w:cs="Palatino Linotype"/>
          <w:b/>
          <w:color w:val="000000"/>
        </w:rPr>
        <w:t>SAIMEX.</w:t>
      </w:r>
    </w:p>
    <w:p w:rsidR="00D75BB9" w:rsidRPr="006078F5" w:rsidRDefault="00D75BB9" w:rsidP="00D75BB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i/>
          <w:color w:val="000000"/>
        </w:rPr>
      </w:pPr>
    </w:p>
    <w:p w:rsidR="003B6443" w:rsidRPr="006078F5" w:rsidRDefault="003B6443" w:rsidP="005B1F2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color w:val="000000"/>
        </w:rPr>
        <w:t>En fecha</w:t>
      </w:r>
      <w:r w:rsidRPr="006078F5">
        <w:rPr>
          <w:rFonts w:ascii="Palatino Linotype" w:eastAsia="Palatino Linotype" w:hAnsi="Palatino Linotype" w:cs="Palatino Linotype"/>
          <w:b/>
          <w:color w:val="000000"/>
        </w:rPr>
        <w:t xml:space="preserve"> tres de diciembre de dos mil veinticinco</w:t>
      </w:r>
      <w:r w:rsidRPr="006078F5">
        <w:rPr>
          <w:rFonts w:ascii="Palatino Linotype" w:eastAsia="Palatino Linotype" w:hAnsi="Palatino Linotype" w:cs="Palatino Linotype"/>
          <w:color w:val="000000"/>
        </w:rPr>
        <w:t>, el Sujeto Obligado notificó prórroga por siete días para atender la solicitud de información, adjuntando el Acuerdo de prórroga 04/CT/45-ORD/2025, Cuadragésima Quinta Sesión Ordinaria.</w:t>
      </w:r>
    </w:p>
    <w:p w:rsidR="009A3600" w:rsidRPr="006078F5" w:rsidRDefault="00424FD7" w:rsidP="005B1F2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color w:val="000000"/>
        </w:rPr>
        <w:lastRenderedPageBreak/>
        <w:t>El</w:t>
      </w:r>
      <w:r w:rsidRPr="006078F5">
        <w:rPr>
          <w:rFonts w:ascii="Palatino Linotype" w:eastAsia="Palatino Linotype" w:hAnsi="Palatino Linotype" w:cs="Palatino Linotype"/>
          <w:b/>
          <w:color w:val="000000"/>
        </w:rPr>
        <w:t xml:space="preserve"> </w:t>
      </w:r>
      <w:r w:rsidR="003B6443" w:rsidRPr="006078F5">
        <w:rPr>
          <w:rFonts w:ascii="Palatino Linotype" w:eastAsia="Palatino Linotype" w:hAnsi="Palatino Linotype" w:cs="Palatino Linotype"/>
          <w:b/>
          <w:color w:val="000000"/>
        </w:rPr>
        <w:t>ocho de diciembre</w:t>
      </w:r>
      <w:r w:rsidR="00B3687B" w:rsidRPr="006078F5">
        <w:rPr>
          <w:rFonts w:ascii="Palatino Linotype" w:eastAsia="Palatino Linotype" w:hAnsi="Palatino Linotype" w:cs="Palatino Linotype"/>
          <w:b/>
          <w:color w:val="000000"/>
        </w:rPr>
        <w:t xml:space="preserve"> </w:t>
      </w:r>
      <w:r w:rsidRPr="006078F5">
        <w:rPr>
          <w:rFonts w:ascii="Palatino Linotype" w:eastAsia="Palatino Linotype" w:hAnsi="Palatino Linotype" w:cs="Palatino Linotype"/>
          <w:b/>
          <w:color w:val="000000"/>
        </w:rPr>
        <w:t>de dos mil veinticinco</w:t>
      </w:r>
      <w:r w:rsidRPr="006078F5">
        <w:rPr>
          <w:rFonts w:ascii="Palatino Linotype" w:eastAsia="Palatino Linotype" w:hAnsi="Palatino Linotype" w:cs="Palatino Linotype"/>
          <w:color w:val="000000"/>
        </w:rPr>
        <w:t>, el Sujeto Obligado</w:t>
      </w:r>
      <w:r w:rsidRPr="006078F5">
        <w:rPr>
          <w:rFonts w:ascii="Palatino Linotype" w:eastAsia="Palatino Linotype" w:hAnsi="Palatino Linotype" w:cs="Palatino Linotype"/>
          <w:b/>
          <w:color w:val="000000"/>
        </w:rPr>
        <w:t>,</w:t>
      </w:r>
      <w:r w:rsidRPr="006078F5">
        <w:rPr>
          <w:rFonts w:ascii="Palatino Linotype" w:eastAsia="Palatino Linotype" w:hAnsi="Palatino Linotype" w:cs="Palatino Linotype"/>
          <w:color w:val="000000"/>
        </w:rPr>
        <w:t xml:space="preserve"> dio </w:t>
      </w:r>
      <w:r w:rsidRPr="006078F5">
        <w:rPr>
          <w:rFonts w:ascii="Palatino Linotype" w:eastAsia="Palatino Linotype" w:hAnsi="Palatino Linotype" w:cs="Palatino Linotype"/>
          <w:b/>
          <w:color w:val="000000"/>
        </w:rPr>
        <w:t>respuesta</w:t>
      </w:r>
      <w:r w:rsidR="00E31C25" w:rsidRPr="006078F5">
        <w:rPr>
          <w:rFonts w:ascii="Palatino Linotype" w:eastAsia="Palatino Linotype" w:hAnsi="Palatino Linotype" w:cs="Palatino Linotype"/>
          <w:color w:val="000000"/>
        </w:rPr>
        <w:t xml:space="preserve"> adjuntando </w:t>
      </w:r>
      <w:r w:rsidR="00FF5EC8" w:rsidRPr="006078F5">
        <w:rPr>
          <w:rFonts w:ascii="Palatino Linotype" w:eastAsia="Palatino Linotype" w:hAnsi="Palatino Linotype" w:cs="Palatino Linotype"/>
          <w:color w:val="000000"/>
        </w:rPr>
        <w:t>los archivos digitales siguientes</w:t>
      </w:r>
      <w:r w:rsidRPr="006078F5">
        <w:rPr>
          <w:rFonts w:ascii="Palatino Linotype" w:eastAsia="Palatino Linotype" w:hAnsi="Palatino Linotype" w:cs="Palatino Linotype"/>
          <w:b/>
          <w:i/>
          <w:color w:val="000000"/>
        </w:rPr>
        <w:t>:</w:t>
      </w:r>
    </w:p>
    <w:p w:rsidR="005657A8" w:rsidRPr="006078F5" w:rsidRDefault="005657A8" w:rsidP="005657A8">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p>
    <w:p w:rsidR="003B6443" w:rsidRPr="006078F5" w:rsidRDefault="003B6443" w:rsidP="00614BE7">
      <w:pPr>
        <w:pStyle w:val="Prrafodelista"/>
        <w:numPr>
          <w:ilvl w:val="0"/>
          <w:numId w:val="22"/>
        </w:numPr>
        <w:pBdr>
          <w:top w:val="nil"/>
          <w:left w:val="nil"/>
          <w:bottom w:val="nil"/>
          <w:right w:val="nil"/>
          <w:between w:val="nil"/>
        </w:pBdr>
        <w:ind w:right="-788"/>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b/>
          <w:i/>
          <w:color w:val="000000"/>
        </w:rPr>
        <w:t>RESPUESTA SAIMEX 1012 1-2.zip</w:t>
      </w:r>
    </w:p>
    <w:p w:rsidR="003B6443" w:rsidRPr="006078F5" w:rsidRDefault="003B6443" w:rsidP="003B6443">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Carpeta que contiene los archivos siguientes:</w:t>
      </w:r>
    </w:p>
    <w:p w:rsidR="003B6443" w:rsidRPr="006078F5" w:rsidRDefault="003B6443" w:rsidP="003B6443">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3B6443" w:rsidRPr="006078F5" w:rsidRDefault="003B6443" w:rsidP="003B6443">
      <w:pPr>
        <w:pBdr>
          <w:top w:val="nil"/>
          <w:left w:val="nil"/>
          <w:bottom w:val="nil"/>
          <w:right w:val="nil"/>
          <w:between w:val="nil"/>
        </w:pBdr>
        <w:ind w:left="851" w:right="-788"/>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b/>
          <w:i/>
          <w:color w:val="000000"/>
        </w:rPr>
        <w:t>FACTURAS 1 DE 2.pdf</w:t>
      </w:r>
    </w:p>
    <w:p w:rsidR="003B6443" w:rsidRPr="006078F5" w:rsidRDefault="00C02392" w:rsidP="003B6443">
      <w:pPr>
        <w:pBdr>
          <w:top w:val="nil"/>
          <w:left w:val="nil"/>
          <w:bottom w:val="nil"/>
          <w:right w:val="nil"/>
          <w:between w:val="nil"/>
        </w:pBdr>
        <w:ind w:left="851" w:right="-788"/>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Archivo</w:t>
      </w:r>
      <w:r w:rsidR="003B6443" w:rsidRPr="006078F5">
        <w:rPr>
          <w:rFonts w:ascii="Palatino Linotype" w:eastAsia="Palatino Linotype" w:hAnsi="Palatino Linotype" w:cs="Palatino Linotype"/>
          <w:color w:val="000000"/>
        </w:rPr>
        <w:t xml:space="preserve"> q</w:t>
      </w:r>
      <w:r w:rsidR="00614BE7" w:rsidRPr="006078F5">
        <w:rPr>
          <w:rFonts w:ascii="Palatino Linotype" w:eastAsia="Palatino Linotype" w:hAnsi="Palatino Linotype" w:cs="Palatino Linotype"/>
          <w:color w:val="000000"/>
        </w:rPr>
        <w:t>ue contiene diversas facturas con montos superiores a un millón de pesos, de la temporalidad del 31 de marzo al 31 de agosto de 2025.</w:t>
      </w:r>
    </w:p>
    <w:p w:rsidR="00614BE7" w:rsidRPr="006078F5" w:rsidRDefault="00614BE7" w:rsidP="003B6443">
      <w:pPr>
        <w:pBdr>
          <w:top w:val="nil"/>
          <w:left w:val="nil"/>
          <w:bottom w:val="nil"/>
          <w:right w:val="nil"/>
          <w:between w:val="nil"/>
        </w:pBdr>
        <w:ind w:left="851" w:right="-788"/>
        <w:jc w:val="both"/>
        <w:rPr>
          <w:rFonts w:ascii="Palatino Linotype" w:eastAsia="Palatino Linotype" w:hAnsi="Palatino Linotype" w:cs="Palatino Linotype"/>
          <w:color w:val="000000"/>
        </w:rPr>
      </w:pPr>
    </w:p>
    <w:p w:rsidR="003B6443" w:rsidRPr="006078F5" w:rsidRDefault="003B6443" w:rsidP="003B6443">
      <w:pPr>
        <w:pBdr>
          <w:top w:val="nil"/>
          <w:left w:val="nil"/>
          <w:bottom w:val="nil"/>
          <w:right w:val="nil"/>
          <w:between w:val="nil"/>
        </w:pBdr>
        <w:ind w:left="851" w:right="-788"/>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b/>
          <w:i/>
          <w:color w:val="000000"/>
        </w:rPr>
        <w:t>RESPUESTA TM 1012.pdf</w:t>
      </w:r>
    </w:p>
    <w:p w:rsidR="00614BE7" w:rsidRPr="006078F5" w:rsidRDefault="00614BE7" w:rsidP="003B6443">
      <w:pPr>
        <w:pBdr>
          <w:top w:val="nil"/>
          <w:left w:val="nil"/>
          <w:bottom w:val="nil"/>
          <w:right w:val="nil"/>
          <w:between w:val="nil"/>
        </w:pBdr>
        <w:ind w:left="851" w:right="-788"/>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Oficio TM/5341/2025, firmado por el Tesorero Municipal, a través del cual refiere remitir 282 documentos, en los cuales se incluyen las facturas con las características solicitadas.</w:t>
      </w:r>
    </w:p>
    <w:p w:rsidR="003B6443" w:rsidRPr="006078F5" w:rsidRDefault="003B6443" w:rsidP="003B6443">
      <w:pPr>
        <w:pBdr>
          <w:top w:val="nil"/>
          <w:left w:val="nil"/>
          <w:bottom w:val="nil"/>
          <w:right w:val="nil"/>
          <w:between w:val="nil"/>
        </w:pBdr>
        <w:ind w:left="851" w:right="-788"/>
        <w:jc w:val="both"/>
        <w:rPr>
          <w:rFonts w:ascii="Palatino Linotype" w:eastAsia="Palatino Linotype" w:hAnsi="Palatino Linotype" w:cs="Palatino Linotype"/>
          <w:b/>
          <w:i/>
          <w:color w:val="000000"/>
        </w:rPr>
      </w:pPr>
    </w:p>
    <w:p w:rsidR="003B6443" w:rsidRPr="006078F5" w:rsidRDefault="003B6443" w:rsidP="003B6443">
      <w:pPr>
        <w:pBdr>
          <w:top w:val="nil"/>
          <w:left w:val="nil"/>
          <w:bottom w:val="nil"/>
          <w:right w:val="nil"/>
          <w:between w:val="nil"/>
        </w:pBdr>
        <w:ind w:left="851" w:right="-788"/>
        <w:jc w:val="both"/>
        <w:rPr>
          <w:rFonts w:ascii="Palatino Linotype" w:eastAsia="Palatino Linotype" w:hAnsi="Palatino Linotype" w:cs="Palatino Linotype"/>
          <w:b/>
          <w:i/>
          <w:color w:val="000000"/>
        </w:rPr>
      </w:pPr>
    </w:p>
    <w:p w:rsidR="009533D9" w:rsidRPr="006078F5" w:rsidRDefault="003B6443" w:rsidP="00614BE7">
      <w:pPr>
        <w:pStyle w:val="Prrafodelista"/>
        <w:numPr>
          <w:ilvl w:val="0"/>
          <w:numId w:val="22"/>
        </w:numPr>
        <w:pBdr>
          <w:top w:val="nil"/>
          <w:left w:val="nil"/>
          <w:bottom w:val="nil"/>
          <w:right w:val="nil"/>
          <w:between w:val="nil"/>
        </w:pBdr>
        <w:ind w:right="-788"/>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b/>
          <w:i/>
          <w:color w:val="000000"/>
        </w:rPr>
        <w:t>RESPUESTA SAIMEX 1012 2-2.zip</w:t>
      </w:r>
    </w:p>
    <w:p w:rsidR="00614BE7" w:rsidRPr="006078F5" w:rsidRDefault="00614BE7" w:rsidP="00614BE7">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Carpeta que contiene el archivo siguiente:</w:t>
      </w:r>
    </w:p>
    <w:p w:rsidR="00614BE7" w:rsidRPr="006078F5" w:rsidRDefault="00614BE7" w:rsidP="00614BE7">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614BE7" w:rsidRPr="006078F5" w:rsidRDefault="00614BE7" w:rsidP="00614BE7">
      <w:pPr>
        <w:pBdr>
          <w:top w:val="nil"/>
          <w:left w:val="nil"/>
          <w:bottom w:val="nil"/>
          <w:right w:val="nil"/>
          <w:between w:val="nil"/>
        </w:pBdr>
        <w:ind w:left="851" w:right="-788"/>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b/>
          <w:i/>
          <w:color w:val="000000"/>
        </w:rPr>
        <w:t>FACTURAS 2 DE 2.pdf</w:t>
      </w:r>
    </w:p>
    <w:p w:rsidR="00C02392" w:rsidRPr="006078F5" w:rsidRDefault="00C02392" w:rsidP="00C02392">
      <w:pPr>
        <w:pBdr>
          <w:top w:val="nil"/>
          <w:left w:val="nil"/>
          <w:bottom w:val="nil"/>
          <w:right w:val="nil"/>
          <w:between w:val="nil"/>
        </w:pBdr>
        <w:ind w:left="851" w:right="-788"/>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 xml:space="preserve">Archivo que contiene diversas facturas con montos superiores a un millón de pesos, de la temporalidad del 31 de agosto al </w:t>
      </w:r>
      <w:r w:rsidR="0031695B" w:rsidRPr="006078F5">
        <w:rPr>
          <w:rFonts w:ascii="Palatino Linotype" w:eastAsia="Palatino Linotype" w:hAnsi="Palatino Linotype" w:cs="Palatino Linotype"/>
          <w:color w:val="000000"/>
        </w:rPr>
        <w:t>07 de noviembre de 2025.</w:t>
      </w:r>
    </w:p>
    <w:p w:rsidR="0043231A" w:rsidRPr="006078F5" w:rsidRDefault="0043231A" w:rsidP="0098373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D80BFC" w:rsidRPr="006078F5" w:rsidRDefault="00A077F4" w:rsidP="005B1F2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El</w:t>
      </w:r>
      <w:r w:rsidRPr="006078F5">
        <w:rPr>
          <w:rFonts w:ascii="Palatino Linotype" w:eastAsia="Palatino Linotype" w:hAnsi="Palatino Linotype" w:cs="Palatino Linotype"/>
          <w:b/>
          <w:color w:val="000000"/>
        </w:rPr>
        <w:t xml:space="preserve"> </w:t>
      </w:r>
      <w:r w:rsidR="003B6443" w:rsidRPr="006078F5">
        <w:rPr>
          <w:rFonts w:ascii="Palatino Linotype" w:eastAsia="Palatino Linotype" w:hAnsi="Palatino Linotype" w:cs="Palatino Linotype"/>
          <w:b/>
          <w:color w:val="000000"/>
        </w:rPr>
        <w:t>doce</w:t>
      </w:r>
      <w:r w:rsidR="00022816" w:rsidRPr="006078F5">
        <w:rPr>
          <w:rFonts w:ascii="Palatino Linotype" w:eastAsia="Palatino Linotype" w:hAnsi="Palatino Linotype" w:cs="Palatino Linotype"/>
          <w:b/>
          <w:color w:val="000000"/>
        </w:rPr>
        <w:t xml:space="preserve"> de diciembre</w:t>
      </w:r>
      <w:r w:rsidRPr="006078F5">
        <w:rPr>
          <w:rFonts w:ascii="Palatino Linotype" w:eastAsia="Palatino Linotype" w:hAnsi="Palatino Linotype" w:cs="Palatino Linotype"/>
          <w:b/>
          <w:color w:val="000000"/>
        </w:rPr>
        <w:t xml:space="preserve"> de dos mil veinticinco</w:t>
      </w:r>
      <w:r w:rsidRPr="006078F5">
        <w:rPr>
          <w:rFonts w:ascii="Palatino Linotype" w:eastAsia="Palatino Linotype" w:hAnsi="Palatino Linotype" w:cs="Palatino Linotype"/>
          <w:color w:val="000000"/>
        </w:rPr>
        <w:t xml:space="preserve">, el particular interpuso </w:t>
      </w:r>
      <w:r w:rsidR="00C72A3B" w:rsidRPr="006078F5">
        <w:rPr>
          <w:rFonts w:ascii="Palatino Linotype" w:eastAsia="Palatino Linotype" w:hAnsi="Palatino Linotype" w:cs="Palatino Linotype"/>
          <w:b/>
          <w:color w:val="000000"/>
        </w:rPr>
        <w:t>recurso</w:t>
      </w:r>
      <w:r w:rsidRPr="006078F5">
        <w:rPr>
          <w:rFonts w:ascii="Palatino Linotype" w:eastAsia="Palatino Linotype" w:hAnsi="Palatino Linotype" w:cs="Palatino Linotype"/>
          <w:b/>
          <w:color w:val="000000"/>
        </w:rPr>
        <w:t xml:space="preserve"> de revisión</w:t>
      </w:r>
      <w:r w:rsidRPr="006078F5">
        <w:rPr>
          <w:rFonts w:ascii="Palatino Linotype" w:eastAsia="Palatino Linotype" w:hAnsi="Palatino Linotype" w:cs="Palatino Linotype"/>
          <w:color w:val="000000"/>
        </w:rPr>
        <w:t xml:space="preserve"> a</w:t>
      </w:r>
      <w:r w:rsidR="00C72A3B" w:rsidRPr="006078F5">
        <w:rPr>
          <w:rFonts w:ascii="Palatino Linotype" w:eastAsia="Palatino Linotype" w:hAnsi="Palatino Linotype" w:cs="Palatino Linotype"/>
          <w:color w:val="000000"/>
        </w:rPr>
        <w:t>l</w:t>
      </w:r>
      <w:r w:rsidRPr="006078F5">
        <w:rPr>
          <w:rFonts w:ascii="Palatino Linotype" w:eastAsia="Palatino Linotype" w:hAnsi="Palatino Linotype" w:cs="Palatino Linotype"/>
          <w:color w:val="000000"/>
        </w:rPr>
        <w:t xml:space="preserve"> </w:t>
      </w:r>
      <w:r w:rsidR="00C72A3B" w:rsidRPr="006078F5">
        <w:rPr>
          <w:rFonts w:ascii="Palatino Linotype" w:eastAsia="Palatino Linotype" w:hAnsi="Palatino Linotype" w:cs="Palatino Linotype"/>
          <w:color w:val="000000"/>
        </w:rPr>
        <w:t>que se le</w:t>
      </w:r>
      <w:r w:rsidRPr="006078F5">
        <w:rPr>
          <w:rFonts w:ascii="Palatino Linotype" w:eastAsia="Palatino Linotype" w:hAnsi="Palatino Linotype" w:cs="Palatino Linotype"/>
          <w:color w:val="000000"/>
        </w:rPr>
        <w:t xml:space="preserve"> </w:t>
      </w:r>
      <w:r w:rsidR="00C72A3B" w:rsidRPr="006078F5">
        <w:rPr>
          <w:rFonts w:ascii="Palatino Linotype" w:eastAsia="Palatino Linotype" w:hAnsi="Palatino Linotype" w:cs="Palatino Linotype"/>
          <w:color w:val="000000"/>
        </w:rPr>
        <w:t>asignó el folio</w:t>
      </w:r>
      <w:r w:rsidRPr="006078F5">
        <w:rPr>
          <w:rFonts w:ascii="Palatino Linotype" w:eastAsia="Palatino Linotype" w:hAnsi="Palatino Linotype" w:cs="Palatino Linotype"/>
          <w:color w:val="000000"/>
        </w:rPr>
        <w:t xml:space="preserve"> </w:t>
      </w:r>
      <w:r w:rsidR="003B6443" w:rsidRPr="006078F5">
        <w:rPr>
          <w:rFonts w:ascii="Palatino Linotype" w:eastAsia="Palatino Linotype" w:hAnsi="Palatino Linotype" w:cs="Palatino Linotype"/>
          <w:b/>
          <w:color w:val="000000"/>
        </w:rPr>
        <w:t>14198</w:t>
      </w:r>
      <w:r w:rsidR="005476ED" w:rsidRPr="006078F5">
        <w:rPr>
          <w:rFonts w:ascii="Palatino Linotype" w:eastAsia="Palatino Linotype" w:hAnsi="Palatino Linotype" w:cs="Palatino Linotype"/>
          <w:b/>
          <w:color w:val="000000"/>
        </w:rPr>
        <w:t>/INFOEM/IP/RR/2025</w:t>
      </w:r>
      <w:r w:rsidR="00C72A3B" w:rsidRPr="006078F5">
        <w:rPr>
          <w:rFonts w:ascii="Palatino Linotype" w:eastAsia="Palatino Linotype" w:hAnsi="Palatino Linotype" w:cs="Palatino Linotype"/>
          <w:b/>
          <w:color w:val="000000"/>
        </w:rPr>
        <w:t xml:space="preserve">, </w:t>
      </w:r>
      <w:r w:rsidR="00C72A3B" w:rsidRPr="006078F5">
        <w:rPr>
          <w:rFonts w:ascii="Palatino Linotype" w:eastAsia="Palatino Linotype" w:hAnsi="Palatino Linotype" w:cs="Palatino Linotype"/>
          <w:color w:val="000000"/>
        </w:rPr>
        <w:t>en contra de la respuesta emitida</w:t>
      </w:r>
      <w:r w:rsidRPr="006078F5">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rsidR="008721B7" w:rsidRPr="006078F5" w:rsidRDefault="008721B7" w:rsidP="005476ED">
      <w:pPr>
        <w:pBdr>
          <w:top w:val="nil"/>
          <w:left w:val="nil"/>
          <w:bottom w:val="nil"/>
          <w:right w:val="nil"/>
          <w:between w:val="nil"/>
        </w:pBdr>
        <w:tabs>
          <w:tab w:val="left" w:pos="0"/>
        </w:tabs>
        <w:ind w:right="-788"/>
        <w:jc w:val="both"/>
        <w:rPr>
          <w:rFonts w:ascii="Palatino Linotype" w:eastAsia="Palatino Linotype" w:hAnsi="Palatino Linotype" w:cs="Palatino Linotype"/>
          <w:color w:val="000000"/>
        </w:rPr>
      </w:pPr>
    </w:p>
    <w:p w:rsidR="00772239" w:rsidRPr="006078F5" w:rsidRDefault="00A077F4" w:rsidP="006078F5">
      <w:pPr>
        <w:pStyle w:val="Prrafodelista"/>
        <w:numPr>
          <w:ilvl w:val="0"/>
          <w:numId w:val="22"/>
        </w:numPr>
        <w:pBdr>
          <w:top w:val="nil"/>
          <w:left w:val="nil"/>
          <w:bottom w:val="nil"/>
          <w:right w:val="nil"/>
          <w:between w:val="nil"/>
        </w:pBdr>
        <w:ind w:right="-787"/>
        <w:jc w:val="both"/>
        <w:rPr>
          <w:rFonts w:ascii="Palatino Linotype" w:eastAsia="Palatino Linotype" w:hAnsi="Palatino Linotype" w:cs="Palatino Linotype"/>
          <w:i/>
          <w:color w:val="000000"/>
        </w:rPr>
      </w:pPr>
      <w:bookmarkStart w:id="2" w:name="_heading=h.30j0zll" w:colFirst="0" w:colLast="0"/>
      <w:bookmarkEnd w:id="2"/>
      <w:r w:rsidRPr="006078F5">
        <w:rPr>
          <w:rFonts w:ascii="Palatino Linotype" w:eastAsia="Palatino Linotype" w:hAnsi="Palatino Linotype" w:cs="Palatino Linotype"/>
          <w:b/>
          <w:color w:val="000000"/>
        </w:rPr>
        <w:t>Acto impugnado</w:t>
      </w:r>
      <w:r w:rsidR="00772239" w:rsidRPr="006078F5">
        <w:rPr>
          <w:rFonts w:ascii="Palatino Linotype" w:eastAsia="Palatino Linotype" w:hAnsi="Palatino Linotype" w:cs="Palatino Linotype"/>
          <w:b/>
          <w:color w:val="000000"/>
        </w:rPr>
        <w:t xml:space="preserve">: </w:t>
      </w:r>
      <w:r w:rsidR="00772239" w:rsidRPr="006078F5">
        <w:rPr>
          <w:rFonts w:ascii="Palatino Linotype" w:eastAsia="Palatino Linotype" w:hAnsi="Palatino Linotype" w:cs="Palatino Linotype"/>
          <w:i/>
          <w:color w:val="000000"/>
        </w:rPr>
        <w:t>“</w:t>
      </w:r>
      <w:r w:rsidR="003B6443" w:rsidRPr="006078F5">
        <w:rPr>
          <w:rFonts w:ascii="Palatino Linotype" w:eastAsia="Palatino Linotype" w:hAnsi="Palatino Linotype" w:cs="Palatino Linotype"/>
          <w:i/>
          <w:color w:val="000000"/>
        </w:rPr>
        <w:t>RESPUESTA A LA SOLICITUD 01012/TLALNEPA/IP/2025</w:t>
      </w:r>
      <w:r w:rsidR="00772239" w:rsidRPr="006078F5">
        <w:rPr>
          <w:rFonts w:ascii="Palatino Linotype" w:eastAsia="Palatino Linotype" w:hAnsi="Palatino Linotype" w:cs="Palatino Linotype"/>
          <w:i/>
          <w:color w:val="000000"/>
        </w:rPr>
        <w:t>” (Sic)</w:t>
      </w:r>
      <w:bookmarkStart w:id="3" w:name="_heading=h.1fob9te" w:colFirst="0" w:colLast="0"/>
      <w:bookmarkEnd w:id="3"/>
    </w:p>
    <w:p w:rsidR="00772239" w:rsidRPr="006078F5" w:rsidRDefault="00772239" w:rsidP="0050161B">
      <w:pPr>
        <w:pBdr>
          <w:top w:val="nil"/>
          <w:left w:val="nil"/>
          <w:bottom w:val="nil"/>
          <w:right w:val="nil"/>
          <w:between w:val="nil"/>
        </w:pBdr>
        <w:ind w:left="567" w:right="-787"/>
        <w:jc w:val="both"/>
        <w:rPr>
          <w:rFonts w:ascii="Palatino Linotype" w:eastAsia="Palatino Linotype" w:hAnsi="Palatino Linotype" w:cs="Palatino Linotype"/>
          <w:b/>
          <w:color w:val="000000"/>
        </w:rPr>
      </w:pPr>
    </w:p>
    <w:p w:rsidR="00772239" w:rsidRPr="006078F5" w:rsidRDefault="007A4327" w:rsidP="006078F5">
      <w:pPr>
        <w:pStyle w:val="Prrafodelista"/>
        <w:numPr>
          <w:ilvl w:val="0"/>
          <w:numId w:val="22"/>
        </w:numPr>
        <w:pBdr>
          <w:top w:val="nil"/>
          <w:left w:val="nil"/>
          <w:bottom w:val="nil"/>
          <w:right w:val="nil"/>
          <w:between w:val="nil"/>
        </w:pBdr>
        <w:ind w:right="-787"/>
        <w:jc w:val="both"/>
        <w:rPr>
          <w:rFonts w:ascii="Palatino Linotype" w:eastAsia="Palatino Linotype" w:hAnsi="Palatino Linotype" w:cs="Palatino Linotype"/>
          <w:i/>
          <w:color w:val="000000"/>
        </w:rPr>
      </w:pPr>
      <w:r w:rsidRPr="006078F5">
        <w:rPr>
          <w:rFonts w:ascii="Palatino Linotype" w:eastAsia="Palatino Linotype" w:hAnsi="Palatino Linotype" w:cs="Palatino Linotype"/>
          <w:b/>
          <w:color w:val="000000"/>
        </w:rPr>
        <w:t xml:space="preserve">Razones o Motivos de </w:t>
      </w:r>
      <w:r w:rsidR="00386CEB" w:rsidRPr="006078F5">
        <w:rPr>
          <w:rFonts w:ascii="Palatino Linotype" w:eastAsia="Palatino Linotype" w:hAnsi="Palatino Linotype" w:cs="Palatino Linotype"/>
          <w:b/>
          <w:color w:val="000000"/>
        </w:rPr>
        <w:t>inconformidad:</w:t>
      </w:r>
      <w:r w:rsidR="00A077F4" w:rsidRPr="006078F5">
        <w:rPr>
          <w:rFonts w:ascii="Palatino Linotype" w:eastAsia="Palatino Linotype" w:hAnsi="Palatino Linotype" w:cs="Palatino Linotype"/>
          <w:b/>
          <w:color w:val="000000"/>
        </w:rPr>
        <w:t xml:space="preserve"> </w:t>
      </w:r>
      <w:r w:rsidR="00772239" w:rsidRPr="006078F5">
        <w:rPr>
          <w:rFonts w:ascii="Palatino Linotype" w:eastAsia="Palatino Linotype" w:hAnsi="Palatino Linotype" w:cs="Palatino Linotype"/>
          <w:i/>
          <w:color w:val="000000"/>
        </w:rPr>
        <w:t>“</w:t>
      </w:r>
      <w:r w:rsidR="003B6443" w:rsidRPr="006078F5">
        <w:rPr>
          <w:rFonts w:ascii="Palatino Linotype" w:eastAsia="Palatino Linotype" w:hAnsi="Palatino Linotype" w:cs="Palatino Linotype"/>
          <w:i/>
          <w:color w:val="000000"/>
        </w:rPr>
        <w:t xml:space="preserve">EL SUJETO OBLIGADO REMITE LA INFORMACION INCOMPLETA YA QUE SOLO ANEXA 1 DE 2 ARCHIVOS PDF </w:t>
      </w:r>
      <w:r w:rsidR="003B6443" w:rsidRPr="006078F5">
        <w:rPr>
          <w:rFonts w:ascii="Palatino Linotype" w:eastAsia="Palatino Linotype" w:hAnsi="Palatino Linotype" w:cs="Palatino Linotype"/>
          <w:i/>
          <w:color w:val="000000"/>
        </w:rPr>
        <w:lastRenderedPageBreak/>
        <w:t>QUE CONTIENEN LA INFORMACION COMPLETA SOLICITADA. EL ARCHIVO ENTREGADO SOLO INCLUYE FACTURAS FECHADAS HASTA EL 31 DE AGOSTO DE 2025.</w:t>
      </w:r>
      <w:r w:rsidR="002A6586" w:rsidRPr="006078F5">
        <w:rPr>
          <w:rFonts w:ascii="Palatino Linotype" w:eastAsia="Palatino Linotype" w:hAnsi="Palatino Linotype" w:cs="Palatino Linotype"/>
          <w:i/>
          <w:color w:val="000000"/>
        </w:rPr>
        <w:t xml:space="preserve">” </w:t>
      </w:r>
      <w:r w:rsidR="00772239" w:rsidRPr="006078F5">
        <w:rPr>
          <w:rFonts w:ascii="Palatino Linotype" w:eastAsia="Palatino Linotype" w:hAnsi="Palatino Linotype" w:cs="Palatino Linotype"/>
          <w:i/>
          <w:color w:val="000000"/>
        </w:rPr>
        <w:t>(Sic)</w:t>
      </w:r>
    </w:p>
    <w:p w:rsidR="00386CEB" w:rsidRPr="006078F5" w:rsidRDefault="00541228" w:rsidP="00541228">
      <w:pPr>
        <w:pBdr>
          <w:top w:val="nil"/>
          <w:left w:val="nil"/>
          <w:bottom w:val="nil"/>
          <w:right w:val="nil"/>
          <w:between w:val="nil"/>
        </w:pBdr>
        <w:tabs>
          <w:tab w:val="left" w:pos="3416"/>
        </w:tabs>
        <w:ind w:right="-788"/>
        <w:jc w:val="both"/>
        <w:rPr>
          <w:rFonts w:ascii="Palatino Linotype" w:eastAsia="Palatino Linotype" w:hAnsi="Palatino Linotype" w:cs="Palatino Linotype"/>
          <w:b/>
          <w:color w:val="000000"/>
        </w:rPr>
      </w:pPr>
      <w:r w:rsidRPr="006078F5">
        <w:rPr>
          <w:rFonts w:ascii="Palatino Linotype" w:eastAsia="Palatino Linotype" w:hAnsi="Palatino Linotype" w:cs="Palatino Linotype"/>
          <w:b/>
          <w:color w:val="000000"/>
        </w:rPr>
        <w:tab/>
      </w:r>
    </w:p>
    <w:p w:rsidR="0072148B" w:rsidRPr="006078F5" w:rsidRDefault="0072148B" w:rsidP="00723384">
      <w:pPr>
        <w:pBdr>
          <w:top w:val="nil"/>
          <w:left w:val="nil"/>
          <w:bottom w:val="nil"/>
          <w:right w:val="nil"/>
          <w:between w:val="nil"/>
        </w:pBdr>
        <w:tabs>
          <w:tab w:val="left" w:pos="0"/>
        </w:tabs>
        <w:ind w:right="-788"/>
        <w:jc w:val="both"/>
        <w:rPr>
          <w:rFonts w:ascii="Palatino Linotype" w:eastAsia="Palatino Linotype" w:hAnsi="Palatino Linotype" w:cs="Palatino Linotype"/>
          <w:i/>
          <w:color w:val="000000"/>
          <w:u w:val="single"/>
        </w:rPr>
      </w:pPr>
    </w:p>
    <w:p w:rsidR="005845B2" w:rsidRPr="006078F5" w:rsidRDefault="005845B2" w:rsidP="005B1F22">
      <w:pPr>
        <w:numPr>
          <w:ilvl w:val="0"/>
          <w:numId w:val="2"/>
        </w:numPr>
        <w:pBdr>
          <w:top w:val="nil"/>
          <w:left w:val="nil"/>
          <w:bottom w:val="nil"/>
          <w:right w:val="nil"/>
          <w:between w:val="nil"/>
        </w:pBdr>
        <w:tabs>
          <w:tab w:val="left" w:pos="0"/>
        </w:tabs>
        <w:spacing w:line="360" w:lineRule="auto"/>
        <w:ind w:left="0" w:right="-787" w:firstLine="0"/>
        <w:jc w:val="both"/>
        <w:rPr>
          <w:color w:val="000000"/>
        </w:rPr>
      </w:pPr>
      <w:r w:rsidRPr="006078F5">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6078F5">
        <w:rPr>
          <w:rFonts w:ascii="Palatino Linotype" w:eastAsia="Palatino Linotype" w:hAnsi="Palatino Linotype" w:cs="Palatino Linotype"/>
          <w:b/>
          <w:color w:val="000000"/>
        </w:rPr>
        <w:t xml:space="preserve">acuerdo de admisión </w:t>
      </w:r>
      <w:r w:rsidRPr="006078F5">
        <w:rPr>
          <w:rFonts w:ascii="Palatino Linotype" w:eastAsia="Palatino Linotype" w:hAnsi="Palatino Linotype" w:cs="Palatino Linotype"/>
          <w:color w:val="000000"/>
        </w:rPr>
        <w:t xml:space="preserve">de fecha </w:t>
      </w:r>
      <w:r w:rsidR="00157D84" w:rsidRPr="006078F5">
        <w:rPr>
          <w:rFonts w:ascii="Palatino Linotype" w:eastAsia="Palatino Linotype" w:hAnsi="Palatino Linotype" w:cs="Palatino Linotype"/>
          <w:b/>
          <w:color w:val="000000"/>
        </w:rPr>
        <w:t xml:space="preserve">dieciséis de </w:t>
      </w:r>
      <w:r w:rsidR="00022816" w:rsidRPr="006078F5">
        <w:rPr>
          <w:rFonts w:ascii="Palatino Linotype" w:eastAsia="Palatino Linotype" w:hAnsi="Palatino Linotype" w:cs="Palatino Linotype"/>
          <w:b/>
          <w:color w:val="000000"/>
        </w:rPr>
        <w:t>diciembre</w:t>
      </w:r>
      <w:r w:rsidR="00DC7B42" w:rsidRPr="006078F5">
        <w:rPr>
          <w:rFonts w:ascii="Palatino Linotype" w:eastAsia="Palatino Linotype" w:hAnsi="Palatino Linotype" w:cs="Palatino Linotype"/>
          <w:b/>
          <w:color w:val="000000"/>
        </w:rPr>
        <w:t xml:space="preserve"> de</w:t>
      </w:r>
      <w:r w:rsidRPr="006078F5">
        <w:rPr>
          <w:rFonts w:ascii="Palatino Linotype" w:eastAsia="Palatino Linotype" w:hAnsi="Palatino Linotype" w:cs="Palatino Linotype"/>
          <w:b/>
          <w:color w:val="000000"/>
        </w:rPr>
        <w:t xml:space="preserve"> dos mil veinticinco, </w:t>
      </w:r>
      <w:r w:rsidRPr="006078F5">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6078F5">
        <w:rPr>
          <w:rFonts w:ascii="Palatino Linotype" w:eastAsia="Palatino Linotype" w:hAnsi="Palatino Linotype" w:cs="Palatino Linotype"/>
        </w:rPr>
        <w:t>manifestara</w:t>
      </w:r>
      <w:r w:rsidRPr="006078F5">
        <w:rPr>
          <w:rFonts w:ascii="Palatino Linotype" w:eastAsia="Palatino Linotype" w:hAnsi="Palatino Linotype" w:cs="Palatino Linotype"/>
          <w:color w:val="000000"/>
        </w:rPr>
        <w:t xml:space="preserve"> lo que a su derecho conviniera, </w:t>
      </w:r>
      <w:r w:rsidRPr="006078F5">
        <w:rPr>
          <w:rFonts w:ascii="Palatino Linotype" w:eastAsia="Palatino Linotype" w:hAnsi="Palatino Linotype" w:cs="Palatino Linotype"/>
        </w:rPr>
        <w:t>ofreciera</w:t>
      </w:r>
      <w:r w:rsidRPr="006078F5">
        <w:rPr>
          <w:rFonts w:ascii="Palatino Linotype" w:eastAsia="Palatino Linotype" w:hAnsi="Palatino Linotype" w:cs="Palatino Linotype"/>
          <w:color w:val="000000"/>
        </w:rPr>
        <w:t xml:space="preserve"> pruebas y alegatos según corresponda al caso concreto, de esta forma para que el </w:t>
      </w:r>
      <w:r w:rsidRPr="006078F5">
        <w:rPr>
          <w:rFonts w:ascii="Palatino Linotype" w:eastAsia="Palatino Linotype" w:hAnsi="Palatino Linotype" w:cs="Palatino Linotype"/>
          <w:b/>
          <w:color w:val="000000"/>
        </w:rPr>
        <w:t xml:space="preserve">SUJETO OBLIGADO </w:t>
      </w:r>
      <w:r w:rsidRPr="006078F5">
        <w:rPr>
          <w:rFonts w:ascii="Palatino Linotype" w:eastAsia="Palatino Linotype" w:hAnsi="Palatino Linotype" w:cs="Palatino Linotype"/>
        </w:rPr>
        <w:t>presentará</w:t>
      </w:r>
      <w:r w:rsidRPr="006078F5">
        <w:rPr>
          <w:rFonts w:ascii="Palatino Linotype" w:eastAsia="Palatino Linotype" w:hAnsi="Palatino Linotype" w:cs="Palatino Linotype"/>
          <w:color w:val="000000"/>
        </w:rPr>
        <w:t xml:space="preserve"> el Informe Justificado procedente.</w:t>
      </w:r>
    </w:p>
    <w:p w:rsidR="005845B2" w:rsidRPr="006078F5" w:rsidRDefault="005845B2" w:rsidP="005845B2">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5845B2" w:rsidRPr="006078F5" w:rsidRDefault="005845B2" w:rsidP="00DB33A3">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El Recurrente</w:t>
      </w:r>
      <w:r w:rsidRPr="006078F5">
        <w:rPr>
          <w:rFonts w:ascii="Palatino Linotype" w:eastAsia="Palatino Linotype" w:hAnsi="Palatino Linotype" w:cs="Palatino Linotype"/>
          <w:b/>
          <w:color w:val="000000"/>
        </w:rPr>
        <w:t xml:space="preserve"> </w:t>
      </w:r>
      <w:r w:rsidR="00DB33A3" w:rsidRPr="006078F5">
        <w:rPr>
          <w:rFonts w:ascii="Palatino Linotype" w:eastAsia="Palatino Linotype" w:hAnsi="Palatino Linotype" w:cs="Palatino Linotype"/>
          <w:color w:val="000000"/>
        </w:rPr>
        <w:t xml:space="preserve">dejó de realizar manifestaciones que a su derecho conviniera y asistiera. </w:t>
      </w:r>
      <w:r w:rsidR="009163DD" w:rsidRPr="006078F5">
        <w:rPr>
          <w:rFonts w:ascii="Palatino Linotype" w:eastAsia="Palatino Linotype" w:hAnsi="Palatino Linotype" w:cs="Palatino Linotype"/>
          <w:color w:val="000000"/>
        </w:rPr>
        <w:t xml:space="preserve">Por </w:t>
      </w:r>
      <w:r w:rsidR="00A8169A" w:rsidRPr="006078F5">
        <w:rPr>
          <w:rFonts w:ascii="Palatino Linotype" w:eastAsia="Palatino Linotype" w:hAnsi="Palatino Linotype" w:cs="Palatino Linotype"/>
          <w:color w:val="000000"/>
        </w:rPr>
        <w:t xml:space="preserve">su parte, el Sujeto Obligado </w:t>
      </w:r>
      <w:r w:rsidR="00D44757" w:rsidRPr="006078F5">
        <w:rPr>
          <w:rFonts w:ascii="Palatino Linotype" w:eastAsia="Palatino Linotype" w:hAnsi="Palatino Linotype" w:cs="Palatino Linotype"/>
          <w:color w:val="000000"/>
        </w:rPr>
        <w:t>en fecha</w:t>
      </w:r>
      <w:r w:rsidR="00022816" w:rsidRPr="006078F5">
        <w:rPr>
          <w:rFonts w:ascii="Palatino Linotype" w:eastAsia="Palatino Linotype" w:hAnsi="Palatino Linotype" w:cs="Palatino Linotype"/>
          <w:color w:val="000000"/>
        </w:rPr>
        <w:t>s</w:t>
      </w:r>
      <w:r w:rsidR="00D44757" w:rsidRPr="006078F5">
        <w:rPr>
          <w:rFonts w:ascii="Palatino Linotype" w:eastAsia="Palatino Linotype" w:hAnsi="Palatino Linotype" w:cs="Palatino Linotype"/>
          <w:color w:val="000000"/>
        </w:rPr>
        <w:t xml:space="preserve"> </w:t>
      </w:r>
      <w:r w:rsidR="0098373C" w:rsidRPr="006078F5">
        <w:rPr>
          <w:rFonts w:ascii="Palatino Linotype" w:eastAsia="Palatino Linotype" w:hAnsi="Palatino Linotype" w:cs="Palatino Linotype"/>
          <w:b/>
          <w:color w:val="000000"/>
        </w:rPr>
        <w:t>dieciséis de diciembre de dos mil veinticinco</w:t>
      </w:r>
      <w:r w:rsidR="006C7D10" w:rsidRPr="006078F5">
        <w:rPr>
          <w:rFonts w:ascii="Palatino Linotype" w:eastAsia="Palatino Linotype" w:hAnsi="Palatino Linotype" w:cs="Palatino Linotype"/>
          <w:b/>
          <w:color w:val="000000"/>
        </w:rPr>
        <w:t>,</w:t>
      </w:r>
      <w:r w:rsidR="00D44757" w:rsidRPr="006078F5">
        <w:rPr>
          <w:b/>
        </w:rPr>
        <w:t xml:space="preserve"> </w:t>
      </w:r>
      <w:r w:rsidR="00A8169A" w:rsidRPr="006078F5">
        <w:rPr>
          <w:rFonts w:ascii="Palatino Linotype" w:eastAsia="Palatino Linotype" w:hAnsi="Palatino Linotype" w:cs="Palatino Linotype"/>
          <w:color w:val="000000"/>
        </w:rPr>
        <w:t xml:space="preserve">rindió el </w:t>
      </w:r>
      <w:r w:rsidR="00A8169A" w:rsidRPr="006078F5">
        <w:rPr>
          <w:rFonts w:ascii="Palatino Linotype" w:eastAsia="Palatino Linotype" w:hAnsi="Palatino Linotype" w:cs="Palatino Linotype"/>
          <w:b/>
          <w:color w:val="000000"/>
        </w:rPr>
        <w:t>Informe Justificado</w:t>
      </w:r>
      <w:r w:rsidR="00A8169A" w:rsidRPr="006078F5">
        <w:rPr>
          <w:rFonts w:ascii="Palatino Linotype" w:eastAsia="Palatino Linotype" w:hAnsi="Palatino Linotype" w:cs="Palatino Linotype"/>
          <w:color w:val="000000"/>
        </w:rPr>
        <w:t xml:space="preserve"> </w:t>
      </w:r>
      <w:r w:rsidR="00D44757" w:rsidRPr="006078F5">
        <w:rPr>
          <w:rFonts w:ascii="Palatino Linotype" w:eastAsia="Palatino Linotype" w:hAnsi="Palatino Linotype" w:cs="Palatino Linotype"/>
          <w:color w:val="000000"/>
        </w:rPr>
        <w:t xml:space="preserve">a través </w:t>
      </w:r>
      <w:r w:rsidR="006C7D10" w:rsidRPr="006078F5">
        <w:rPr>
          <w:rFonts w:ascii="Palatino Linotype" w:eastAsia="Palatino Linotype" w:hAnsi="Palatino Linotype" w:cs="Palatino Linotype"/>
          <w:color w:val="000000"/>
        </w:rPr>
        <w:t>de los</w:t>
      </w:r>
      <w:r w:rsidR="00D44757" w:rsidRPr="006078F5">
        <w:rPr>
          <w:rFonts w:ascii="Palatino Linotype" w:eastAsia="Palatino Linotype" w:hAnsi="Palatino Linotype" w:cs="Palatino Linotype"/>
          <w:color w:val="000000"/>
        </w:rPr>
        <w:t xml:space="preserve"> siguiente</w:t>
      </w:r>
      <w:r w:rsidR="006C7D10" w:rsidRPr="006078F5">
        <w:rPr>
          <w:rFonts w:ascii="Palatino Linotype" w:eastAsia="Palatino Linotype" w:hAnsi="Palatino Linotype" w:cs="Palatino Linotype"/>
          <w:color w:val="000000"/>
        </w:rPr>
        <w:t>s</w:t>
      </w:r>
      <w:r w:rsidR="00D44757" w:rsidRPr="006078F5">
        <w:rPr>
          <w:rFonts w:ascii="Palatino Linotype" w:eastAsia="Palatino Linotype" w:hAnsi="Palatino Linotype" w:cs="Palatino Linotype"/>
          <w:color w:val="000000"/>
        </w:rPr>
        <w:t xml:space="preserve"> archivo</w:t>
      </w:r>
      <w:r w:rsidR="006C7D10" w:rsidRPr="006078F5">
        <w:rPr>
          <w:rFonts w:ascii="Palatino Linotype" w:eastAsia="Palatino Linotype" w:hAnsi="Palatino Linotype" w:cs="Palatino Linotype"/>
          <w:color w:val="000000"/>
        </w:rPr>
        <w:t>s</w:t>
      </w:r>
      <w:r w:rsidR="00D44757" w:rsidRPr="006078F5">
        <w:rPr>
          <w:rFonts w:ascii="Palatino Linotype" w:eastAsia="Palatino Linotype" w:hAnsi="Palatino Linotype" w:cs="Palatino Linotype"/>
          <w:color w:val="000000"/>
        </w:rPr>
        <w:t xml:space="preserve"> electrónico</w:t>
      </w:r>
      <w:r w:rsidR="00157D84" w:rsidRPr="006078F5">
        <w:rPr>
          <w:rFonts w:ascii="Palatino Linotype" w:eastAsia="Palatino Linotype" w:hAnsi="Palatino Linotype" w:cs="Palatino Linotype"/>
          <w:color w:val="000000"/>
        </w:rPr>
        <w:t>s</w:t>
      </w:r>
      <w:r w:rsidR="006C7CBE" w:rsidRPr="006078F5">
        <w:rPr>
          <w:rFonts w:ascii="Palatino Linotype" w:eastAsia="Palatino Linotype" w:hAnsi="Palatino Linotype" w:cs="Palatino Linotype"/>
          <w:color w:val="000000"/>
        </w:rPr>
        <w:t>:</w:t>
      </w:r>
    </w:p>
    <w:p w:rsidR="009E1CF2" w:rsidRPr="006078F5" w:rsidRDefault="001C4319" w:rsidP="006C46C8">
      <w:pPr>
        <w:pBdr>
          <w:top w:val="nil"/>
          <w:left w:val="nil"/>
          <w:bottom w:val="nil"/>
          <w:right w:val="nil"/>
          <w:between w:val="nil"/>
        </w:pBdr>
        <w:ind w:left="567" w:right="-787"/>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b/>
          <w:i/>
          <w:color w:val="000000"/>
        </w:rPr>
        <w:t>MANIFESTACIONES R.R. 14198.zip</w:t>
      </w:r>
    </w:p>
    <w:p w:rsidR="00BA790D" w:rsidRPr="006078F5" w:rsidRDefault="00BA790D" w:rsidP="006C46C8">
      <w:pPr>
        <w:pBdr>
          <w:top w:val="nil"/>
          <w:left w:val="nil"/>
          <w:bottom w:val="nil"/>
          <w:right w:val="nil"/>
          <w:between w:val="nil"/>
        </w:pBdr>
        <w:ind w:left="567" w:right="-787"/>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Carpeta que contiene el archivo siguiente:</w:t>
      </w:r>
    </w:p>
    <w:p w:rsidR="00BA790D" w:rsidRPr="006078F5" w:rsidRDefault="00BA790D" w:rsidP="00BA790D">
      <w:pPr>
        <w:pBdr>
          <w:top w:val="nil"/>
          <w:left w:val="nil"/>
          <w:bottom w:val="nil"/>
          <w:right w:val="nil"/>
          <w:between w:val="nil"/>
        </w:pBdr>
        <w:ind w:left="851" w:right="-787"/>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b/>
          <w:i/>
          <w:color w:val="000000"/>
        </w:rPr>
        <w:t>MANIFESTACIONES TM 14198.pdf</w:t>
      </w:r>
    </w:p>
    <w:p w:rsidR="00BA790D" w:rsidRPr="006078F5" w:rsidRDefault="00BA790D" w:rsidP="00BA790D">
      <w:pPr>
        <w:pBdr>
          <w:top w:val="nil"/>
          <w:left w:val="nil"/>
          <w:bottom w:val="nil"/>
          <w:right w:val="nil"/>
          <w:between w:val="nil"/>
        </w:pBdr>
        <w:ind w:left="851" w:right="-787"/>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 xml:space="preserve">Oficio TM/5490/2025, firmado por el </w:t>
      </w:r>
      <w:r w:rsidRPr="006078F5">
        <w:rPr>
          <w:rFonts w:ascii="Palatino Linotype" w:eastAsia="Palatino Linotype" w:hAnsi="Palatino Linotype" w:cs="Palatino Linotype"/>
          <w:b/>
          <w:color w:val="000000"/>
        </w:rPr>
        <w:t>Tesorero Municipal</w:t>
      </w:r>
      <w:r w:rsidRPr="006078F5">
        <w:rPr>
          <w:rFonts w:ascii="Palatino Linotype" w:eastAsia="Palatino Linotype" w:hAnsi="Palatino Linotype" w:cs="Palatino Linotype"/>
          <w:color w:val="000000"/>
        </w:rPr>
        <w:t xml:space="preserve">, </w:t>
      </w:r>
      <w:r w:rsidRPr="006078F5">
        <w:rPr>
          <w:rFonts w:ascii="Palatino Linotype" w:eastAsia="Palatino Linotype" w:hAnsi="Palatino Linotype" w:cs="Palatino Linotype"/>
          <w:b/>
          <w:color w:val="000000"/>
        </w:rPr>
        <w:t>ratifica la respuesta</w:t>
      </w:r>
      <w:r w:rsidRPr="006078F5">
        <w:rPr>
          <w:rFonts w:ascii="Palatino Linotype" w:eastAsia="Palatino Linotype" w:hAnsi="Palatino Linotype" w:cs="Palatino Linotype"/>
          <w:color w:val="000000"/>
        </w:rPr>
        <w:t xml:space="preserve"> primigenia.</w:t>
      </w:r>
    </w:p>
    <w:p w:rsidR="00BA790D" w:rsidRPr="006078F5" w:rsidRDefault="00BA790D" w:rsidP="006C46C8">
      <w:pPr>
        <w:pBdr>
          <w:top w:val="nil"/>
          <w:left w:val="nil"/>
          <w:bottom w:val="nil"/>
          <w:right w:val="nil"/>
          <w:between w:val="nil"/>
        </w:pBdr>
        <w:ind w:left="567" w:right="-787"/>
        <w:jc w:val="both"/>
        <w:rPr>
          <w:rFonts w:ascii="Palatino Linotype" w:eastAsia="Palatino Linotype" w:hAnsi="Palatino Linotype" w:cs="Palatino Linotype"/>
          <w:color w:val="000000"/>
        </w:rPr>
      </w:pPr>
    </w:p>
    <w:p w:rsidR="001C4319" w:rsidRPr="006078F5" w:rsidRDefault="001C4319" w:rsidP="006C46C8">
      <w:pPr>
        <w:pBdr>
          <w:top w:val="nil"/>
          <w:left w:val="nil"/>
          <w:bottom w:val="nil"/>
          <w:right w:val="nil"/>
          <w:between w:val="nil"/>
        </w:pBdr>
        <w:ind w:left="567" w:right="-787"/>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b/>
          <w:i/>
          <w:color w:val="000000"/>
        </w:rPr>
        <w:t>RESPUESTA SAIMEX 1012 1-2.zip</w:t>
      </w:r>
    </w:p>
    <w:p w:rsidR="00A9514C" w:rsidRPr="006078F5" w:rsidRDefault="00A9514C" w:rsidP="006C46C8">
      <w:pPr>
        <w:pBdr>
          <w:top w:val="nil"/>
          <w:left w:val="nil"/>
          <w:bottom w:val="nil"/>
          <w:right w:val="nil"/>
          <w:between w:val="nil"/>
        </w:pBdr>
        <w:ind w:left="567" w:right="-787"/>
        <w:jc w:val="both"/>
        <w:rPr>
          <w:rFonts w:ascii="Palatino Linotype" w:eastAsia="Palatino Linotype" w:hAnsi="Palatino Linotype" w:cs="Palatino Linotype"/>
          <w:bCs/>
          <w:iCs/>
          <w:color w:val="000000"/>
        </w:rPr>
      </w:pPr>
      <w:r w:rsidRPr="006078F5">
        <w:rPr>
          <w:rFonts w:ascii="Palatino Linotype" w:eastAsia="Palatino Linotype" w:hAnsi="Palatino Linotype" w:cs="Palatino Linotype"/>
          <w:color w:val="000000"/>
        </w:rPr>
        <w:t xml:space="preserve">Mismo documento remitido en respuesta, no se pone a la vista por contener </w:t>
      </w:r>
      <w:r w:rsidR="004249A0" w:rsidRPr="006078F5">
        <w:rPr>
          <w:rFonts w:ascii="Palatino Linotype" w:eastAsia="Palatino Linotype" w:hAnsi="Palatino Linotype" w:cs="Palatino Linotype"/>
          <w:color w:val="000000"/>
        </w:rPr>
        <w:t xml:space="preserve">información </w:t>
      </w:r>
      <w:r w:rsidR="004249A0" w:rsidRPr="006078F5">
        <w:rPr>
          <w:rFonts w:ascii="Palatino Linotype" w:eastAsia="Palatino Linotype" w:hAnsi="Palatino Linotype" w:cs="Palatino Linotype"/>
          <w:b/>
          <w:color w:val="000000"/>
        </w:rPr>
        <w:t>relacionada con las características del equipamiento de vehículos de seguridad pública</w:t>
      </w:r>
      <w:r w:rsidR="004249A0" w:rsidRPr="006078F5">
        <w:rPr>
          <w:rFonts w:ascii="Palatino Linotype" w:eastAsia="Palatino Linotype" w:hAnsi="Palatino Linotype" w:cs="Palatino Linotype"/>
          <w:color w:val="000000"/>
        </w:rPr>
        <w:t xml:space="preserve">, </w:t>
      </w:r>
      <w:r w:rsidR="004249A0" w:rsidRPr="006078F5">
        <w:rPr>
          <w:rFonts w:ascii="Palatino Linotype" w:eastAsia="Palatino Linotype" w:hAnsi="Palatino Linotype" w:cs="Palatino Linotype"/>
          <w:color w:val="000000"/>
          <w:u w:val="single"/>
        </w:rPr>
        <w:t xml:space="preserve">información que </w:t>
      </w:r>
      <w:r w:rsidR="001F2F8B" w:rsidRPr="006078F5">
        <w:rPr>
          <w:rFonts w:ascii="Palatino Linotype" w:eastAsia="Palatino Linotype" w:hAnsi="Palatino Linotype" w:cs="Palatino Linotype"/>
          <w:bCs/>
          <w:iCs/>
          <w:color w:val="000000"/>
          <w:u w:val="single"/>
        </w:rPr>
        <w:t>no se debe entregar</w:t>
      </w:r>
      <w:r w:rsidR="004249A0" w:rsidRPr="006078F5">
        <w:rPr>
          <w:rFonts w:ascii="Palatino Linotype" w:eastAsia="Palatino Linotype" w:hAnsi="Palatino Linotype" w:cs="Palatino Linotype"/>
          <w:bCs/>
          <w:iCs/>
          <w:color w:val="000000"/>
          <w:u w:val="single"/>
        </w:rPr>
        <w:t xml:space="preserve"> al tratarse de información susceptible de ser clasificada, al </w:t>
      </w:r>
      <w:r w:rsidR="001F2F8B" w:rsidRPr="006078F5">
        <w:rPr>
          <w:rFonts w:ascii="Palatino Linotype" w:eastAsia="Palatino Linotype" w:hAnsi="Palatino Linotype" w:cs="Palatino Linotype"/>
          <w:bCs/>
          <w:iCs/>
          <w:color w:val="000000"/>
          <w:u w:val="single"/>
        </w:rPr>
        <w:t>contener</w:t>
      </w:r>
      <w:r w:rsidR="004249A0" w:rsidRPr="006078F5">
        <w:rPr>
          <w:rFonts w:ascii="Palatino Linotype" w:eastAsia="Palatino Linotype" w:hAnsi="Palatino Linotype" w:cs="Palatino Linotype"/>
          <w:bCs/>
          <w:iCs/>
          <w:color w:val="000000"/>
          <w:u w:val="single"/>
        </w:rPr>
        <w:t xml:space="preserve"> detalles técnicos de los equipos de seguridad</w:t>
      </w:r>
      <w:r w:rsidR="004249A0" w:rsidRPr="006078F5">
        <w:rPr>
          <w:rFonts w:ascii="Palatino Linotype" w:eastAsia="Palatino Linotype" w:hAnsi="Palatino Linotype" w:cs="Palatino Linotype"/>
          <w:bCs/>
          <w:iCs/>
          <w:color w:val="000000"/>
        </w:rPr>
        <w:t>, por lo que, dicha información debe ser clasificada como reservada.</w:t>
      </w:r>
    </w:p>
    <w:p w:rsidR="004249A0" w:rsidRPr="006078F5" w:rsidRDefault="004249A0" w:rsidP="006C46C8">
      <w:pPr>
        <w:pBdr>
          <w:top w:val="nil"/>
          <w:left w:val="nil"/>
          <w:bottom w:val="nil"/>
          <w:right w:val="nil"/>
          <w:between w:val="nil"/>
        </w:pBdr>
        <w:ind w:left="567" w:right="-787"/>
        <w:jc w:val="both"/>
        <w:rPr>
          <w:rFonts w:ascii="Palatino Linotype" w:eastAsia="Palatino Linotype" w:hAnsi="Palatino Linotype" w:cs="Palatino Linotype"/>
          <w:color w:val="000000"/>
        </w:rPr>
      </w:pPr>
    </w:p>
    <w:p w:rsidR="001C4319" w:rsidRPr="006078F5" w:rsidRDefault="001C4319" w:rsidP="006C46C8">
      <w:pPr>
        <w:pBdr>
          <w:top w:val="nil"/>
          <w:left w:val="nil"/>
          <w:bottom w:val="nil"/>
          <w:right w:val="nil"/>
          <w:between w:val="nil"/>
        </w:pBdr>
        <w:ind w:left="567" w:right="-787"/>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b/>
          <w:i/>
          <w:color w:val="000000"/>
        </w:rPr>
        <w:t>RESPUESTA SAIMEX 1012 2-2.zip</w:t>
      </w:r>
    </w:p>
    <w:p w:rsidR="005E2805" w:rsidRPr="006078F5" w:rsidRDefault="005E2805" w:rsidP="006C46C8">
      <w:pPr>
        <w:pBdr>
          <w:top w:val="nil"/>
          <w:left w:val="nil"/>
          <w:bottom w:val="nil"/>
          <w:right w:val="nil"/>
          <w:between w:val="nil"/>
        </w:pBdr>
        <w:ind w:left="567" w:right="-787"/>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Mismo documento remitido en respuesta.</w:t>
      </w:r>
    </w:p>
    <w:p w:rsidR="00F25AAF" w:rsidRPr="006078F5" w:rsidRDefault="00F25AAF" w:rsidP="007C1673">
      <w:pPr>
        <w:pBdr>
          <w:top w:val="nil"/>
          <w:left w:val="nil"/>
          <w:bottom w:val="nil"/>
          <w:right w:val="nil"/>
          <w:between w:val="nil"/>
        </w:pBdr>
        <w:ind w:left="567" w:right="-787"/>
        <w:jc w:val="both"/>
        <w:rPr>
          <w:color w:val="000000"/>
        </w:rPr>
      </w:pPr>
    </w:p>
    <w:p w:rsidR="005845B2" w:rsidRPr="006078F5" w:rsidRDefault="00E32EAC" w:rsidP="00294CA4">
      <w:pPr>
        <w:numPr>
          <w:ilvl w:val="0"/>
          <w:numId w:val="2"/>
        </w:numPr>
        <w:pBdr>
          <w:top w:val="nil"/>
          <w:left w:val="nil"/>
          <w:bottom w:val="nil"/>
          <w:right w:val="nil"/>
          <w:between w:val="nil"/>
        </w:pBdr>
        <w:tabs>
          <w:tab w:val="left" w:pos="0"/>
        </w:tabs>
        <w:spacing w:line="360" w:lineRule="auto"/>
        <w:ind w:left="0" w:right="-787" w:firstLine="0"/>
        <w:jc w:val="both"/>
        <w:rPr>
          <w:color w:val="000000"/>
        </w:rPr>
      </w:pPr>
      <w:r w:rsidRPr="006078F5">
        <w:rPr>
          <w:rFonts w:ascii="Palatino Linotype" w:eastAsia="Palatino Linotype" w:hAnsi="Palatino Linotype" w:cs="Palatino Linotype"/>
          <w:color w:val="000000"/>
        </w:rPr>
        <w:lastRenderedPageBreak/>
        <w:t>El</w:t>
      </w:r>
      <w:r w:rsidRPr="006078F5">
        <w:rPr>
          <w:rFonts w:ascii="Palatino Linotype" w:eastAsia="Palatino Linotype" w:hAnsi="Palatino Linotype" w:cs="Palatino Linotype"/>
          <w:b/>
          <w:color w:val="000000"/>
        </w:rPr>
        <w:t xml:space="preserve"> </w:t>
      </w:r>
      <w:r w:rsidR="006C278E" w:rsidRPr="006078F5">
        <w:rPr>
          <w:rFonts w:ascii="Palatino Linotype" w:eastAsia="Palatino Linotype" w:hAnsi="Palatino Linotype" w:cs="Palatino Linotype"/>
          <w:b/>
          <w:color w:val="000000"/>
        </w:rPr>
        <w:t>veintitrés de febrero de dos mil veintiséis</w:t>
      </w:r>
      <w:r w:rsidR="005845B2" w:rsidRPr="006078F5">
        <w:rPr>
          <w:rFonts w:ascii="Palatino Linotype" w:eastAsia="Palatino Linotype" w:hAnsi="Palatino Linotype" w:cs="Palatino Linotype"/>
          <w:color w:val="000000"/>
        </w:rPr>
        <w:t xml:space="preserve"> se acordó </w:t>
      </w:r>
      <w:r w:rsidR="005845B2" w:rsidRPr="006078F5">
        <w:rPr>
          <w:rFonts w:ascii="Palatino Linotype" w:eastAsia="Palatino Linotype" w:hAnsi="Palatino Linotype" w:cs="Palatino Linotype"/>
          <w:b/>
          <w:color w:val="000000"/>
        </w:rPr>
        <w:t>ampliar el término para resolver</w:t>
      </w:r>
      <w:r w:rsidR="005845B2" w:rsidRPr="006078F5">
        <w:rPr>
          <w:rFonts w:ascii="Palatino Linotype" w:eastAsia="Palatino Linotype" w:hAnsi="Palatino Linotype" w:cs="Palatino Linotype"/>
          <w:color w:val="000000"/>
        </w:rPr>
        <w:t xml:space="preserve"> el presente asunto.</w:t>
      </w:r>
    </w:p>
    <w:p w:rsidR="005845B2" w:rsidRPr="006078F5" w:rsidRDefault="005845B2" w:rsidP="00294CA4">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5845B2" w:rsidRPr="006078F5" w:rsidRDefault="005845B2" w:rsidP="005B1F2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6078F5">
        <w:rPr>
          <w:rFonts w:ascii="Palatino Linotype" w:eastAsia="Palatino Linotype" w:hAnsi="Palatino Linotype" w:cs="Palatino Linotype"/>
          <w:color w:val="000000"/>
        </w:rPr>
        <w:t xml:space="preserve">Seguidamente, en fecha </w:t>
      </w:r>
      <w:r w:rsidR="00ED6AC9" w:rsidRPr="006078F5">
        <w:rPr>
          <w:rFonts w:ascii="Palatino Linotype" w:eastAsia="Palatino Linotype" w:hAnsi="Palatino Linotype" w:cs="Palatino Linotype"/>
          <w:b/>
          <w:color w:val="000000"/>
        </w:rPr>
        <w:t>veintiséis de mayo</w:t>
      </w:r>
      <w:r w:rsidR="00332FEF" w:rsidRPr="006078F5">
        <w:rPr>
          <w:rFonts w:ascii="Palatino Linotype" w:eastAsia="Palatino Linotype" w:hAnsi="Palatino Linotype" w:cs="Palatino Linotype"/>
          <w:b/>
          <w:color w:val="000000"/>
        </w:rPr>
        <w:t xml:space="preserve"> de dos mil veintiséis</w:t>
      </w:r>
      <w:r w:rsidRPr="006078F5">
        <w:rPr>
          <w:rFonts w:ascii="Palatino Linotype" w:eastAsia="Palatino Linotype" w:hAnsi="Palatino Linotype" w:cs="Palatino Linotype"/>
          <w:color w:val="000000"/>
        </w:rPr>
        <w:t xml:space="preserve">, la Comisionada Ponente dictó el </w:t>
      </w:r>
      <w:r w:rsidRPr="006078F5">
        <w:rPr>
          <w:rFonts w:ascii="Palatino Linotype" w:eastAsia="Palatino Linotype" w:hAnsi="Palatino Linotype" w:cs="Palatino Linotype"/>
          <w:b/>
          <w:color w:val="000000"/>
        </w:rPr>
        <w:t>cierre del periodo de instrucción</w:t>
      </w:r>
      <w:r w:rsidRPr="006078F5">
        <w:rPr>
          <w:rFonts w:ascii="Palatino Linotype" w:eastAsia="Palatino Linotype" w:hAnsi="Palatino Linotype" w:cs="Palatino Linotype"/>
          <w:color w:val="000000"/>
        </w:rPr>
        <w:t xml:space="preserve"> y, ordenó la resolución que conforme a Derecho proceda</w:t>
      </w:r>
      <w:r w:rsidR="001D7E2A" w:rsidRPr="006078F5">
        <w:rPr>
          <w:rFonts w:ascii="Palatino Linotype" w:eastAsia="Palatino Linotype" w:hAnsi="Palatino Linotype" w:cs="Palatino Linotype"/>
          <w:color w:val="000000"/>
        </w:rPr>
        <w:t>:</w:t>
      </w:r>
    </w:p>
    <w:p w:rsidR="0072148B" w:rsidRPr="006078F5" w:rsidRDefault="0072148B" w:rsidP="00723384">
      <w:pPr>
        <w:pBdr>
          <w:top w:val="nil"/>
          <w:left w:val="nil"/>
          <w:bottom w:val="nil"/>
          <w:right w:val="nil"/>
          <w:between w:val="nil"/>
        </w:pBdr>
        <w:ind w:right="-788"/>
        <w:jc w:val="both"/>
        <w:rPr>
          <w:rFonts w:ascii="Palatino Linotype" w:eastAsia="Palatino Linotype" w:hAnsi="Palatino Linotype" w:cs="Palatino Linotype"/>
          <w:b/>
          <w:color w:val="000000"/>
        </w:rPr>
      </w:pPr>
    </w:p>
    <w:p w:rsidR="001D7E2A" w:rsidRPr="006078F5" w:rsidRDefault="001D7E2A" w:rsidP="001D7E2A">
      <w:pPr>
        <w:keepNext/>
        <w:keepLines/>
        <w:spacing w:line="360" w:lineRule="auto"/>
        <w:jc w:val="center"/>
        <w:rPr>
          <w:rFonts w:ascii="Palatino Linotype" w:eastAsia="Palatino Linotype" w:hAnsi="Palatino Linotype" w:cs="Palatino Linotype"/>
          <w:b/>
        </w:rPr>
      </w:pPr>
      <w:r w:rsidRPr="006078F5">
        <w:rPr>
          <w:rFonts w:ascii="Palatino Linotype" w:eastAsia="Palatino Linotype" w:hAnsi="Palatino Linotype" w:cs="Palatino Linotype"/>
          <w:b/>
        </w:rPr>
        <w:t>C</w:t>
      </w:r>
      <w:r w:rsid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b/>
        </w:rPr>
        <w:t>O</w:t>
      </w:r>
      <w:r w:rsid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b/>
        </w:rPr>
        <w:t>N</w:t>
      </w:r>
      <w:r w:rsid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b/>
        </w:rPr>
        <w:t>S</w:t>
      </w:r>
      <w:r w:rsid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b/>
        </w:rPr>
        <w:t>I</w:t>
      </w:r>
      <w:r w:rsid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b/>
        </w:rPr>
        <w:t>D</w:t>
      </w:r>
      <w:r w:rsid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b/>
        </w:rPr>
        <w:t>E</w:t>
      </w:r>
      <w:r w:rsid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b/>
        </w:rPr>
        <w:t>R</w:t>
      </w:r>
      <w:r w:rsid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b/>
        </w:rPr>
        <w:t>A</w:t>
      </w:r>
      <w:r w:rsid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b/>
        </w:rPr>
        <w:t>N</w:t>
      </w:r>
      <w:r w:rsid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b/>
        </w:rPr>
        <w:t>D</w:t>
      </w:r>
      <w:r w:rsid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b/>
        </w:rPr>
        <w:t xml:space="preserve">O </w:t>
      </w:r>
    </w:p>
    <w:p w:rsidR="001D7E2A" w:rsidRPr="006078F5" w:rsidRDefault="001D7E2A" w:rsidP="001D7E2A">
      <w:pPr>
        <w:spacing w:line="360" w:lineRule="auto"/>
        <w:rPr>
          <w:rFonts w:ascii="Palatino Linotype" w:eastAsia="Palatino Linotype" w:hAnsi="Palatino Linotype" w:cs="Palatino Linotype"/>
        </w:rPr>
      </w:pPr>
    </w:p>
    <w:p w:rsidR="001D7E2A" w:rsidRPr="006078F5" w:rsidRDefault="001D7E2A" w:rsidP="001D7E2A">
      <w:pPr>
        <w:keepNext/>
        <w:keepLines/>
        <w:spacing w:line="360" w:lineRule="auto"/>
        <w:rPr>
          <w:rFonts w:ascii="Palatino Linotype" w:eastAsia="Palatino Linotype" w:hAnsi="Palatino Linotype" w:cs="Palatino Linotype"/>
          <w:b/>
        </w:rPr>
      </w:pPr>
      <w:r w:rsidRPr="006078F5">
        <w:rPr>
          <w:rFonts w:ascii="Palatino Linotype" w:eastAsia="Palatino Linotype" w:hAnsi="Palatino Linotype" w:cs="Palatino Linotype"/>
          <w:b/>
        </w:rPr>
        <w:t>PRIMERO. De la competencia</w:t>
      </w:r>
    </w:p>
    <w:p w:rsidR="00055543" w:rsidRPr="006078F5" w:rsidRDefault="00055543" w:rsidP="00055543">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1D7E2A" w:rsidRPr="006078F5" w:rsidRDefault="001D7E2A" w:rsidP="001D7E2A">
      <w:pPr>
        <w:tabs>
          <w:tab w:val="left" w:pos="426"/>
        </w:tabs>
        <w:spacing w:line="360" w:lineRule="auto"/>
        <w:jc w:val="both"/>
        <w:rPr>
          <w:rFonts w:ascii="Palatino Linotype" w:eastAsia="Palatino Linotype" w:hAnsi="Palatino Linotype" w:cs="Palatino Linotype"/>
          <w:color w:val="000000"/>
        </w:rPr>
      </w:pPr>
    </w:p>
    <w:p w:rsidR="001D7E2A" w:rsidRPr="006078F5" w:rsidRDefault="001D7E2A" w:rsidP="001D7E2A">
      <w:pPr>
        <w:keepNext/>
        <w:keepLines/>
        <w:spacing w:line="360" w:lineRule="auto"/>
        <w:rPr>
          <w:rFonts w:ascii="Palatino Linotype" w:eastAsia="Palatino Linotype" w:hAnsi="Palatino Linotype" w:cs="Palatino Linotype"/>
          <w:b/>
        </w:rPr>
      </w:pPr>
      <w:r w:rsidRPr="006078F5">
        <w:rPr>
          <w:rFonts w:ascii="Palatino Linotype" w:eastAsia="Palatino Linotype" w:hAnsi="Palatino Linotype" w:cs="Palatino Linotype"/>
          <w:b/>
        </w:rPr>
        <w:t>SEGUNDO. De la oportunidad y procedencia.</w:t>
      </w:r>
    </w:p>
    <w:p w:rsidR="00D556B5" w:rsidRPr="006078F5" w:rsidRDefault="00AC35DC" w:rsidP="00D556B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bookmarkStart w:id="5" w:name="_heading=h.2et92p0" w:colFirst="0" w:colLast="0"/>
      <w:bookmarkEnd w:id="5"/>
      <w:r w:rsidRPr="006078F5">
        <w:rPr>
          <w:rFonts w:ascii="Palatino Linotype" w:eastAsia="Palatino Linotype" w:hAnsi="Palatino Linotype" w:cs="Palatino Linotype"/>
        </w:rPr>
        <w:t xml:space="preserve">El medio de impugnación fue presentado a través del </w:t>
      </w:r>
      <w:r w:rsidRPr="006078F5">
        <w:rPr>
          <w:rFonts w:ascii="Palatino Linotype" w:eastAsia="Palatino Linotype" w:hAnsi="Palatino Linotype" w:cs="Palatino Linotype"/>
          <w:b/>
        </w:rPr>
        <w:t>SAIMEX,</w:t>
      </w:r>
      <w:r w:rsidRPr="006078F5">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6078F5">
        <w:rPr>
          <w:rFonts w:ascii="Palatino Linotype" w:eastAsia="Palatino Linotype" w:hAnsi="Palatino Linotype" w:cs="Palatino Linotype"/>
          <w:b/>
        </w:rPr>
        <w:t>SUJETO OBLIGADO</w:t>
      </w:r>
      <w:r w:rsidRPr="006078F5">
        <w:rPr>
          <w:rFonts w:ascii="Palatino Linotype" w:eastAsia="Palatino Linotype" w:hAnsi="Palatino Linotype" w:cs="Palatino Linotype"/>
        </w:rPr>
        <w:t xml:space="preserve"> entregó </w:t>
      </w:r>
      <w:r w:rsidRPr="006078F5">
        <w:rPr>
          <w:rFonts w:ascii="Palatino Linotype" w:eastAsia="Palatino Linotype" w:hAnsi="Palatino Linotype" w:cs="Palatino Linotype"/>
        </w:rPr>
        <w:lastRenderedPageBreak/>
        <w:t xml:space="preserve">respuesta el </w:t>
      </w:r>
      <w:r w:rsidR="00660693" w:rsidRPr="006078F5">
        <w:rPr>
          <w:rFonts w:ascii="Palatino Linotype" w:eastAsia="Palatino Linotype" w:hAnsi="Palatino Linotype" w:cs="Palatino Linotype"/>
          <w:b/>
        </w:rPr>
        <w:t>ocho de diciembre</w:t>
      </w:r>
      <w:r w:rsidR="00ED6AC9" w:rsidRPr="006078F5">
        <w:rPr>
          <w:rFonts w:ascii="Palatino Linotype" w:eastAsia="Palatino Linotype" w:hAnsi="Palatino Linotype" w:cs="Palatino Linotype"/>
          <w:b/>
        </w:rPr>
        <w:t xml:space="preserve"> de</w:t>
      </w:r>
      <w:r w:rsidRPr="006078F5">
        <w:rPr>
          <w:rFonts w:ascii="Palatino Linotype" w:eastAsia="Palatino Linotype" w:hAnsi="Palatino Linotype" w:cs="Palatino Linotype"/>
          <w:b/>
        </w:rPr>
        <w:t xml:space="preserve"> dos mil veinticinco</w:t>
      </w:r>
      <w:r w:rsidRPr="006078F5">
        <w:rPr>
          <w:rFonts w:ascii="Palatino Linotype" w:eastAsia="Palatino Linotype" w:hAnsi="Palatino Linotype" w:cs="Palatino Linotype"/>
        </w:rPr>
        <w:t xml:space="preserve">, de tal forma que el plazo para interponer el recurso transcurrió del </w:t>
      </w:r>
      <w:r w:rsidR="00660693" w:rsidRPr="006078F5">
        <w:rPr>
          <w:rFonts w:ascii="Palatino Linotype" w:eastAsia="Palatino Linotype" w:hAnsi="Palatino Linotype" w:cs="Palatino Linotype"/>
          <w:b/>
        </w:rPr>
        <w:t>nueve</w:t>
      </w:r>
      <w:r w:rsidR="00ED6AC9" w:rsidRPr="006078F5">
        <w:rPr>
          <w:rFonts w:ascii="Palatino Linotype" w:eastAsia="Palatino Linotype" w:hAnsi="Palatino Linotype" w:cs="Palatino Linotype"/>
          <w:b/>
        </w:rPr>
        <w:t xml:space="preserve"> de diciembre de dos mil veinticinco</w:t>
      </w:r>
      <w:r w:rsidR="00660693" w:rsidRPr="006078F5">
        <w:rPr>
          <w:rFonts w:ascii="Palatino Linotype" w:eastAsia="Palatino Linotype" w:hAnsi="Palatino Linotype" w:cs="Palatino Linotype"/>
          <w:b/>
        </w:rPr>
        <w:t xml:space="preserve"> al dieciocho de enero de dos mil veintiséis</w:t>
      </w:r>
      <w:r w:rsidRP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rPr>
        <w:t xml:space="preserve">en consecuencia, si el </w:t>
      </w:r>
      <w:r w:rsidRPr="006078F5">
        <w:rPr>
          <w:rFonts w:ascii="Palatino Linotype" w:eastAsia="Palatino Linotype" w:hAnsi="Palatino Linotype" w:cs="Palatino Linotype"/>
          <w:b/>
        </w:rPr>
        <w:t>PARTICULAR</w:t>
      </w:r>
      <w:r w:rsidRPr="006078F5">
        <w:rPr>
          <w:rFonts w:ascii="Palatino Linotype" w:eastAsia="Palatino Linotype" w:hAnsi="Palatino Linotype" w:cs="Palatino Linotype"/>
        </w:rPr>
        <w:t xml:space="preserve"> presentó su inconformidad el </w:t>
      </w:r>
      <w:r w:rsidR="00660693" w:rsidRPr="006078F5">
        <w:rPr>
          <w:rFonts w:ascii="Palatino Linotype" w:eastAsia="Palatino Linotype" w:hAnsi="Palatino Linotype" w:cs="Palatino Linotype"/>
          <w:b/>
        </w:rPr>
        <w:t>doce</w:t>
      </w:r>
      <w:r w:rsidR="00ED6AC9" w:rsidRPr="006078F5">
        <w:rPr>
          <w:rFonts w:ascii="Palatino Linotype" w:eastAsia="Palatino Linotype" w:hAnsi="Palatino Linotype" w:cs="Palatino Linotype"/>
          <w:b/>
        </w:rPr>
        <w:t xml:space="preserve"> de diciembre</w:t>
      </w:r>
      <w:r w:rsidRPr="006078F5">
        <w:rPr>
          <w:rFonts w:ascii="Palatino Linotype" w:eastAsia="Palatino Linotype" w:hAnsi="Palatino Linotype" w:cs="Palatino Linotype"/>
          <w:b/>
        </w:rPr>
        <w:t xml:space="preserve"> de dos mil veinticinco</w:t>
      </w:r>
      <w:r w:rsidRPr="006078F5">
        <w:rPr>
          <w:rFonts w:ascii="Palatino Linotype" w:eastAsia="Palatino Linotype" w:hAnsi="Palatino Linotype" w:cs="Palatino Linotype"/>
        </w:rPr>
        <w:t xml:space="preserve">, este  se encuentra dentro de los márgenes temporales previstos en el artículo 178 de la </w:t>
      </w:r>
      <w:r w:rsidRPr="006078F5">
        <w:rPr>
          <w:rFonts w:ascii="Palatino Linotype" w:eastAsia="Palatino Linotype" w:hAnsi="Palatino Linotype" w:cs="Palatino Linotype"/>
          <w:b/>
        </w:rPr>
        <w:t xml:space="preserve">Ley de Transparencia y Acceso a la Información Pública del Estado de México y Municipios </w:t>
      </w:r>
      <w:r w:rsidRPr="006078F5">
        <w:rPr>
          <w:rFonts w:ascii="Palatino Linotype" w:eastAsia="Palatino Linotype" w:hAnsi="Palatino Linotype" w:cs="Palatino Linotype"/>
        </w:rPr>
        <w:t xml:space="preserve">vigente. </w:t>
      </w:r>
    </w:p>
    <w:p w:rsidR="001D7E2A" w:rsidRPr="006078F5" w:rsidRDefault="001D7E2A" w:rsidP="001D7E2A">
      <w:pPr>
        <w:spacing w:line="360" w:lineRule="auto"/>
        <w:ind w:right="49"/>
        <w:jc w:val="both"/>
        <w:rPr>
          <w:rFonts w:ascii="Palatino Linotype" w:eastAsia="Palatino Linotype" w:hAnsi="Palatino Linotype" w:cs="Palatino Linotype"/>
        </w:rPr>
      </w:pPr>
    </w:p>
    <w:p w:rsidR="001D7E2A" w:rsidRPr="006078F5" w:rsidRDefault="001D7E2A" w:rsidP="001D7E2A">
      <w:pPr>
        <w:pStyle w:val="Ttulo2"/>
        <w:rPr>
          <w:rFonts w:ascii="Palatino Linotype" w:eastAsia="Palatino Linotype" w:hAnsi="Palatino Linotype" w:cs="Palatino Linotype"/>
          <w:b/>
          <w:i/>
          <w:color w:val="000000"/>
          <w:sz w:val="24"/>
          <w:szCs w:val="24"/>
        </w:rPr>
      </w:pPr>
      <w:r w:rsidRPr="006078F5">
        <w:rPr>
          <w:rFonts w:ascii="Palatino Linotype" w:eastAsia="Palatino Linotype" w:hAnsi="Palatino Linotype" w:cs="Palatino Linotype"/>
          <w:b/>
          <w:color w:val="000000"/>
          <w:sz w:val="24"/>
          <w:szCs w:val="24"/>
        </w:rPr>
        <w:t xml:space="preserve">TERCERO. Del planteamiento de la </w:t>
      </w:r>
      <w:r w:rsidRPr="006078F5">
        <w:rPr>
          <w:rFonts w:ascii="Palatino Linotype" w:eastAsia="Palatino Linotype" w:hAnsi="Palatino Linotype" w:cs="Palatino Linotype"/>
          <w:b/>
          <w:i/>
          <w:color w:val="000000"/>
          <w:sz w:val="24"/>
          <w:szCs w:val="24"/>
        </w:rPr>
        <w:t>Litis.</w:t>
      </w:r>
    </w:p>
    <w:p w:rsidR="0072148B" w:rsidRPr="006078F5" w:rsidRDefault="00A077F4" w:rsidP="001D7E2A">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Se solicitó tener acceso, a la información que a continuación se simplifica:</w:t>
      </w:r>
    </w:p>
    <w:p w:rsidR="003E60A6" w:rsidRPr="006078F5" w:rsidRDefault="003E60A6" w:rsidP="003E60A6">
      <w:pPr>
        <w:pBdr>
          <w:top w:val="nil"/>
          <w:left w:val="nil"/>
          <w:bottom w:val="nil"/>
          <w:right w:val="nil"/>
          <w:between w:val="nil"/>
        </w:pBdr>
        <w:ind w:left="567" w:right="-220"/>
        <w:jc w:val="both"/>
        <w:rPr>
          <w:rFonts w:ascii="Palatino Linotype" w:eastAsia="Palatino Linotype" w:hAnsi="Palatino Linotype" w:cs="Palatino Linotype"/>
          <w:i/>
          <w:color w:val="000000"/>
        </w:rPr>
      </w:pPr>
    </w:p>
    <w:p w:rsidR="002D2F4D" w:rsidRPr="006078F5" w:rsidRDefault="00660693" w:rsidP="00660693">
      <w:pPr>
        <w:pStyle w:val="Prrafodelista"/>
        <w:numPr>
          <w:ilvl w:val="0"/>
          <w:numId w:val="23"/>
        </w:numPr>
        <w:ind w:left="851" w:right="-788"/>
        <w:jc w:val="both"/>
        <w:rPr>
          <w:rFonts w:ascii="Palatino Linotype" w:eastAsia="Palatino Linotype" w:hAnsi="Palatino Linotype" w:cs="Palatino Linotype"/>
          <w:i/>
          <w:color w:val="000000"/>
        </w:rPr>
      </w:pPr>
      <w:r w:rsidRPr="006078F5">
        <w:rPr>
          <w:rFonts w:ascii="Palatino Linotype" w:eastAsia="Palatino Linotype" w:hAnsi="Palatino Linotype" w:cs="Palatino Linotype"/>
          <w:i/>
          <w:color w:val="000000"/>
        </w:rPr>
        <w:t>Facturas pagadas y en proceso de pago por más de un millón de pesos, generadas entre el 1 de enero y el 10 de noviembre de 2025.</w:t>
      </w:r>
    </w:p>
    <w:p w:rsidR="00660693" w:rsidRPr="006078F5" w:rsidRDefault="00660693" w:rsidP="002D2F4D">
      <w:pPr>
        <w:ind w:left="709" w:right="-788"/>
        <w:jc w:val="both"/>
        <w:rPr>
          <w:rFonts w:ascii="Palatino Linotype" w:eastAsia="Palatino Linotype" w:hAnsi="Palatino Linotype" w:cs="Palatino Linotype"/>
          <w:b/>
        </w:rPr>
      </w:pPr>
    </w:p>
    <w:p w:rsidR="00AD44D9" w:rsidRPr="006078F5" w:rsidRDefault="00AD44D9" w:rsidP="005B1F22">
      <w:pPr>
        <w:numPr>
          <w:ilvl w:val="0"/>
          <w:numId w:val="2"/>
        </w:numPr>
        <w:spacing w:line="360" w:lineRule="auto"/>
        <w:ind w:left="0" w:right="-787" w:firstLine="0"/>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rPr>
        <w:t>En respuesta, el Sujeto Obligado</w:t>
      </w:r>
      <w:r w:rsidRP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rPr>
        <w:t xml:space="preserve">remitió </w:t>
      </w:r>
      <w:r w:rsidR="00347692" w:rsidRPr="006078F5">
        <w:rPr>
          <w:rFonts w:ascii="Palatino Linotype" w:eastAsia="Palatino Linotype" w:hAnsi="Palatino Linotype" w:cs="Palatino Linotype"/>
        </w:rPr>
        <w:t>el</w:t>
      </w:r>
      <w:r w:rsidRPr="006078F5">
        <w:rPr>
          <w:rFonts w:ascii="Palatino Linotype" w:eastAsia="Palatino Linotype" w:hAnsi="Palatino Linotype" w:cs="Palatino Linotype"/>
        </w:rPr>
        <w:t xml:space="preserve"> archivo ya d</w:t>
      </w:r>
      <w:r w:rsidR="008B7EF7" w:rsidRPr="006078F5">
        <w:rPr>
          <w:rFonts w:ascii="Palatino Linotype" w:eastAsia="Palatino Linotype" w:hAnsi="Palatino Linotype" w:cs="Palatino Linotype"/>
        </w:rPr>
        <w:t>escrito en el anterior párrafo 2</w:t>
      </w:r>
      <w:r w:rsidRPr="006078F5">
        <w:rPr>
          <w:rFonts w:ascii="Palatino Linotype" w:eastAsia="Palatino Linotype" w:hAnsi="Palatino Linotype" w:cs="Palatino Linotype"/>
        </w:rPr>
        <w:t xml:space="preserve">, inconforme con la respuesta, se interpuso recurso de revisión argumentando sustancialmente </w:t>
      </w:r>
      <w:r w:rsidR="008B7EF7" w:rsidRPr="006078F5">
        <w:rPr>
          <w:rFonts w:ascii="Palatino Linotype" w:eastAsia="Palatino Linotype" w:hAnsi="Palatino Linotype" w:cs="Palatino Linotype"/>
        </w:rPr>
        <w:t xml:space="preserve">la </w:t>
      </w:r>
      <w:r w:rsidR="008622F9" w:rsidRPr="006078F5">
        <w:rPr>
          <w:rFonts w:ascii="Palatino Linotype" w:eastAsia="Palatino Linotype" w:hAnsi="Palatino Linotype" w:cs="Palatino Linotype"/>
        </w:rPr>
        <w:t>entrega de información incompleta</w:t>
      </w:r>
      <w:r w:rsidR="00870927" w:rsidRPr="006078F5">
        <w:rPr>
          <w:rFonts w:ascii="Palatino Linotype" w:eastAsia="Palatino Linotype" w:hAnsi="Palatino Linotype" w:cs="Palatino Linotype"/>
        </w:rPr>
        <w:t>.</w:t>
      </w:r>
    </w:p>
    <w:p w:rsidR="0072148B" w:rsidRPr="006078F5" w:rsidRDefault="0072148B">
      <w:pPr>
        <w:spacing w:line="360" w:lineRule="auto"/>
        <w:ind w:right="-787"/>
        <w:jc w:val="both"/>
        <w:rPr>
          <w:rFonts w:ascii="Palatino Linotype" w:eastAsia="Palatino Linotype" w:hAnsi="Palatino Linotype" w:cs="Palatino Linotype"/>
          <w:i/>
          <w:color w:val="000000"/>
        </w:rPr>
      </w:pPr>
    </w:p>
    <w:p w:rsidR="0072148B" w:rsidRPr="006078F5" w:rsidRDefault="00A077F4" w:rsidP="005B1F22">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6078F5">
        <w:rPr>
          <w:rFonts w:ascii="Palatino Linotype" w:eastAsia="Palatino Linotype" w:hAnsi="Palatino Linotype" w:cs="Palatino Linotype"/>
          <w:b/>
        </w:rPr>
        <w:t xml:space="preserve">179, </w:t>
      </w:r>
      <w:r w:rsidR="00974D11" w:rsidRPr="006078F5">
        <w:rPr>
          <w:rFonts w:ascii="Palatino Linotype" w:eastAsia="Palatino Linotype" w:hAnsi="Palatino Linotype" w:cs="Palatino Linotype"/>
          <w:b/>
        </w:rPr>
        <w:t>fracción</w:t>
      </w:r>
      <w:r w:rsidR="008622F9" w:rsidRPr="006078F5">
        <w:rPr>
          <w:rFonts w:ascii="Palatino Linotype" w:eastAsia="Palatino Linotype" w:hAnsi="Palatino Linotype" w:cs="Palatino Linotype"/>
          <w:b/>
        </w:rPr>
        <w:t xml:space="preserve"> V</w:t>
      </w:r>
      <w:r w:rsidRPr="006078F5">
        <w:rPr>
          <w:rFonts w:ascii="Palatino Linotype" w:eastAsia="Palatino Linotype" w:hAnsi="Palatino Linotype" w:cs="Palatino Linotype"/>
          <w:b/>
        </w:rPr>
        <w:t>, de la Ley de Transparencia y Acceso a la Información Pública del Estado de México y Municipios</w:t>
      </w:r>
      <w:r w:rsidRPr="006078F5">
        <w:rPr>
          <w:rFonts w:ascii="Palatino Linotype" w:eastAsia="Palatino Linotype" w:hAnsi="Palatino Linotype" w:cs="Palatino Linotype"/>
        </w:rPr>
        <w:t xml:space="preserve">; </w:t>
      </w:r>
      <w:r w:rsidR="00870927" w:rsidRPr="006078F5">
        <w:rPr>
          <w:rFonts w:ascii="Palatino Linotype" w:eastAsia="Palatino Linotype" w:hAnsi="Palatino Linotype" w:cs="Palatino Linotype"/>
          <w:color w:val="000000"/>
        </w:rPr>
        <w:t>fracción que determina</w:t>
      </w:r>
      <w:r w:rsidRPr="006078F5">
        <w:rPr>
          <w:rFonts w:ascii="Palatino Linotype" w:eastAsia="Palatino Linotype" w:hAnsi="Palatino Linotype" w:cs="Palatino Linotype"/>
          <w:color w:val="000000"/>
        </w:rPr>
        <w:t xml:space="preserve"> la hipótesis relativa a </w:t>
      </w:r>
      <w:r w:rsidR="00C81A60" w:rsidRPr="006078F5">
        <w:rPr>
          <w:rFonts w:ascii="Palatino Linotype" w:eastAsia="Palatino Linotype" w:hAnsi="Palatino Linotype" w:cs="Palatino Linotype"/>
          <w:b/>
          <w:color w:val="000000"/>
        </w:rPr>
        <w:t xml:space="preserve">la </w:t>
      </w:r>
      <w:r w:rsidR="008622F9" w:rsidRPr="006078F5">
        <w:rPr>
          <w:rFonts w:ascii="Palatino Linotype" w:eastAsia="Palatino Linotype" w:hAnsi="Palatino Linotype" w:cs="Palatino Linotype"/>
          <w:b/>
          <w:color w:val="000000"/>
        </w:rPr>
        <w:t>entrega de información incompleta,</w:t>
      </w:r>
      <w:r w:rsidRPr="006078F5">
        <w:rPr>
          <w:rFonts w:ascii="Palatino Linotype" w:eastAsia="Palatino Linotype" w:hAnsi="Palatino Linotype" w:cs="Palatino Linotype"/>
          <w:color w:val="000000"/>
        </w:rPr>
        <w:t xml:space="preserve"> </w:t>
      </w:r>
      <w:r w:rsidRPr="006078F5">
        <w:rPr>
          <w:rFonts w:ascii="Palatino Linotype" w:eastAsia="Palatino Linotype" w:hAnsi="Palatino Linotype" w:cs="Palatino Linotype"/>
        </w:rPr>
        <w:t>contexto del cual se dolió el Recurrente al momento de interponer su inconformidad.</w:t>
      </w:r>
      <w:r w:rsidRPr="006078F5">
        <w:rPr>
          <w:rFonts w:ascii="Palatino Linotype" w:eastAsia="Palatino Linotype" w:hAnsi="Palatino Linotype" w:cs="Palatino Linotype"/>
          <w:color w:val="000000"/>
        </w:rPr>
        <w:t xml:space="preserve"> De modo tal que el presente recurso de revisión se </w:t>
      </w:r>
      <w:r w:rsidRPr="006078F5">
        <w:rPr>
          <w:rFonts w:ascii="Palatino Linotype" w:eastAsia="Palatino Linotype" w:hAnsi="Palatino Linotype" w:cs="Palatino Linotype"/>
        </w:rPr>
        <w:t>abocará</w:t>
      </w:r>
      <w:r w:rsidRPr="006078F5">
        <w:rPr>
          <w:rFonts w:ascii="Palatino Linotype" w:eastAsia="Palatino Linotype" w:hAnsi="Palatino Linotype" w:cs="Palatino Linotype"/>
          <w:color w:val="000000"/>
        </w:rPr>
        <w:t xml:space="preserve"> en determinar si el Sujeto Obligado con su respuesta ciertamente actualiza la causal de procedencia</w:t>
      </w:r>
      <w:r w:rsidRPr="006078F5">
        <w:rPr>
          <w:rFonts w:ascii="Palatino Linotype" w:eastAsia="Palatino Linotype" w:hAnsi="Palatino Linotype" w:cs="Palatino Linotype"/>
          <w:b/>
          <w:color w:val="000000"/>
        </w:rPr>
        <w:t xml:space="preserve"> </w:t>
      </w:r>
      <w:r w:rsidRPr="006078F5">
        <w:rPr>
          <w:rFonts w:ascii="Palatino Linotype" w:eastAsia="Palatino Linotype" w:hAnsi="Palatino Linotype" w:cs="Palatino Linotype"/>
          <w:color w:val="000000"/>
        </w:rPr>
        <w:t xml:space="preserve">señalada. </w:t>
      </w:r>
    </w:p>
    <w:p w:rsidR="0072148B" w:rsidRPr="006078F5" w:rsidRDefault="0072148B">
      <w:pPr>
        <w:spacing w:line="360" w:lineRule="auto"/>
        <w:ind w:right="-787"/>
        <w:rPr>
          <w:rFonts w:ascii="Palatino Linotype" w:eastAsia="Palatino Linotype" w:hAnsi="Palatino Linotype" w:cs="Palatino Linotype"/>
        </w:rPr>
      </w:pPr>
    </w:p>
    <w:p w:rsidR="004C3113" w:rsidRPr="006078F5" w:rsidRDefault="004C3113" w:rsidP="004C3113">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6078F5">
        <w:rPr>
          <w:rFonts w:ascii="Palatino Linotype" w:eastAsia="Palatino Linotype" w:hAnsi="Palatino Linotype" w:cs="Palatino Linotype"/>
          <w:b/>
          <w:color w:val="000000"/>
          <w:sz w:val="24"/>
          <w:szCs w:val="24"/>
        </w:rPr>
        <w:lastRenderedPageBreak/>
        <w:t>CUARTO. Del estudio y resolución del asunto.</w:t>
      </w:r>
    </w:p>
    <w:p w:rsidR="0072148B" w:rsidRPr="006078F5" w:rsidRDefault="00A077F4" w:rsidP="005B1F22">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72148B" w:rsidRPr="006078F5" w:rsidRDefault="0072148B">
      <w:pPr>
        <w:spacing w:line="360" w:lineRule="auto"/>
        <w:ind w:right="-787"/>
        <w:jc w:val="both"/>
        <w:rPr>
          <w:rFonts w:ascii="Palatino Linotype" w:eastAsia="Palatino Linotype" w:hAnsi="Palatino Linotype" w:cs="Palatino Linotype"/>
        </w:rPr>
      </w:pPr>
    </w:p>
    <w:p w:rsidR="0072148B" w:rsidRPr="006078F5" w:rsidRDefault="00A077F4" w:rsidP="005B1F22">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72148B" w:rsidRPr="006078F5" w:rsidRDefault="0072148B">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8C32F3" w:rsidRPr="006078F5" w:rsidRDefault="00A077F4" w:rsidP="008C32F3">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sidRPr="006078F5">
        <w:rPr>
          <w:rFonts w:ascii="Palatino Linotype" w:eastAsia="Palatino Linotype" w:hAnsi="Palatino Linotype" w:cs="Palatino Linotype"/>
        </w:rPr>
        <w:lastRenderedPageBreak/>
        <w:t>información, siempre y cuando no encuadre en una de las excepciones contempladas por la ley.</w:t>
      </w:r>
    </w:p>
    <w:p w:rsidR="00A05A27" w:rsidRPr="006078F5" w:rsidRDefault="00A05A27" w:rsidP="00A05A27">
      <w:pPr>
        <w:spacing w:line="360" w:lineRule="auto"/>
        <w:ind w:right="-787"/>
        <w:jc w:val="both"/>
        <w:rPr>
          <w:rFonts w:ascii="Palatino Linotype" w:eastAsia="Palatino Linotype" w:hAnsi="Palatino Linotype" w:cs="Palatino Linotype"/>
        </w:rPr>
      </w:pPr>
    </w:p>
    <w:p w:rsidR="0072148B" w:rsidRPr="006078F5" w:rsidRDefault="00A077F4" w:rsidP="005B1F22">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6078F5">
        <w:rPr>
          <w:rFonts w:ascii="Palatino Linotype" w:eastAsia="Palatino Linotype" w:hAnsi="Palatino Linotype" w:cs="Palatino Linotype"/>
          <w:b/>
          <w:color w:val="000000"/>
        </w:rPr>
        <w:t>Del Sujeto Obligado.</w:t>
      </w:r>
    </w:p>
    <w:p w:rsidR="00710E25" w:rsidRPr="006078F5" w:rsidRDefault="00B65FE1" w:rsidP="003F736E">
      <w:pPr>
        <w:numPr>
          <w:ilvl w:val="0"/>
          <w:numId w:val="2"/>
        </w:numPr>
        <w:spacing w:line="360" w:lineRule="auto"/>
        <w:ind w:left="0" w:right="-787" w:firstLine="0"/>
        <w:jc w:val="both"/>
      </w:pPr>
      <w:r w:rsidRPr="006078F5">
        <w:rPr>
          <w:rFonts w:ascii="Palatino Linotype" w:eastAsia="Palatino Linotype" w:hAnsi="Palatino Linotype" w:cs="Palatino Linotype"/>
        </w:rPr>
        <w:t xml:space="preserve">Para el despacho, estudio y planeación de los diversos asuntos de la administración municipal, el ayuntamiento contará por lo menos </w:t>
      </w:r>
      <w:r w:rsidR="00710E25" w:rsidRPr="006078F5">
        <w:rPr>
          <w:rFonts w:ascii="Palatino Linotype" w:eastAsia="Palatino Linotype" w:hAnsi="Palatino Linotype" w:cs="Palatino Linotype"/>
        </w:rPr>
        <w:t>con las siguientes Dependencias, de conformidad con el artículo 87 de la Ley Orgánica Municipal del Estado de México:</w:t>
      </w:r>
    </w:p>
    <w:p w:rsidR="003F736E" w:rsidRPr="006078F5" w:rsidRDefault="00710E25" w:rsidP="00375D69">
      <w:pPr>
        <w:ind w:left="567" w:right="-220"/>
        <w:jc w:val="center"/>
        <w:rPr>
          <w:rFonts w:ascii="Palatino Linotype" w:eastAsia="Palatino Linotype" w:hAnsi="Palatino Linotype" w:cs="Palatino Linotype"/>
          <w:b/>
          <w:i/>
        </w:rPr>
      </w:pPr>
      <w:r w:rsidRPr="006078F5">
        <w:rPr>
          <w:rFonts w:ascii="Palatino Linotype" w:eastAsia="Palatino Linotype" w:hAnsi="Palatino Linotype" w:cs="Palatino Linotype"/>
          <w:b/>
          <w:i/>
        </w:rPr>
        <w:t>Ley Orgánica Municipal del Estado de México</w:t>
      </w:r>
    </w:p>
    <w:p w:rsidR="00710E25" w:rsidRPr="006078F5" w:rsidRDefault="00710E25" w:rsidP="00375D69">
      <w:pPr>
        <w:ind w:left="567" w:right="-220"/>
        <w:jc w:val="center"/>
        <w:rPr>
          <w:rFonts w:ascii="Palatino Linotype" w:eastAsia="Palatino Linotype" w:hAnsi="Palatino Linotype" w:cs="Palatino Linotype"/>
          <w:b/>
          <w:i/>
        </w:rPr>
      </w:pP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Artículo 87.- Para el despacho, estudio y planeación de los diversos asuntos de la administración municipal, el ayuntamiento contará por lo menos con las siguientes Dependencias:</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II. La tesorería municipal.</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w:t>
      </w:r>
    </w:p>
    <w:p w:rsidR="00710E25" w:rsidRPr="006078F5" w:rsidRDefault="00710E25" w:rsidP="00710E25">
      <w:pPr>
        <w:ind w:left="567" w:right="-220"/>
        <w:jc w:val="both"/>
        <w:rPr>
          <w:rFonts w:ascii="Palatino Linotype" w:eastAsia="Palatino Linotype" w:hAnsi="Palatino Linotype" w:cs="Palatino Linotype"/>
          <w:i/>
        </w:rPr>
      </w:pPr>
    </w:p>
    <w:p w:rsidR="00710E25" w:rsidRPr="006078F5" w:rsidRDefault="00710E25" w:rsidP="00710E25">
      <w:pPr>
        <w:ind w:left="567" w:right="-220"/>
        <w:jc w:val="center"/>
        <w:rPr>
          <w:rFonts w:ascii="Palatino Linotype" w:eastAsia="Palatino Linotype" w:hAnsi="Palatino Linotype" w:cs="Palatino Linotype"/>
          <w:b/>
          <w:i/>
        </w:rPr>
      </w:pPr>
      <w:r w:rsidRPr="006078F5">
        <w:rPr>
          <w:rFonts w:ascii="Palatino Linotype" w:eastAsia="Palatino Linotype" w:hAnsi="Palatino Linotype" w:cs="Palatino Linotype"/>
          <w:b/>
          <w:i/>
        </w:rPr>
        <w:t>CAPITULO SEGUNDO</w:t>
      </w:r>
    </w:p>
    <w:p w:rsidR="00710E25" w:rsidRPr="006078F5" w:rsidRDefault="00710E25" w:rsidP="00710E25">
      <w:pPr>
        <w:ind w:left="567" w:right="-220"/>
        <w:jc w:val="center"/>
        <w:rPr>
          <w:rFonts w:ascii="Palatino Linotype" w:eastAsia="Palatino Linotype" w:hAnsi="Palatino Linotype" w:cs="Palatino Linotype"/>
          <w:b/>
          <w:i/>
        </w:rPr>
      </w:pPr>
      <w:r w:rsidRPr="006078F5">
        <w:rPr>
          <w:rFonts w:ascii="Palatino Linotype" w:eastAsia="Palatino Linotype" w:hAnsi="Palatino Linotype" w:cs="Palatino Linotype"/>
          <w:b/>
          <w:i/>
        </w:rPr>
        <w:t>De la Tesorería Municipal</w:t>
      </w:r>
    </w:p>
    <w:p w:rsidR="00710E25" w:rsidRPr="006078F5" w:rsidRDefault="00710E25" w:rsidP="00710E25">
      <w:pPr>
        <w:ind w:left="567" w:right="-220"/>
        <w:jc w:val="both"/>
        <w:rPr>
          <w:rFonts w:ascii="Palatino Linotype" w:eastAsia="Palatino Linotype" w:hAnsi="Palatino Linotype" w:cs="Palatino Linotype"/>
          <w:i/>
        </w:rPr>
      </w:pP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b/>
          <w:i/>
        </w:rPr>
        <w:t>Artículo 93</w:t>
      </w:r>
      <w:r w:rsidRPr="006078F5">
        <w:rPr>
          <w:rFonts w:ascii="Palatino Linotype" w:eastAsia="Palatino Linotype" w:hAnsi="Palatino Linotype" w:cs="Palatino Linotype"/>
          <w:i/>
        </w:rPr>
        <w:t>.- La tesorería municipal es el órgano encargado de la recaudación de los ingresos municipales y responsable de realizar las erogaciones que haga el ayuntamiento.</w:t>
      </w:r>
    </w:p>
    <w:p w:rsidR="00710E25" w:rsidRPr="006078F5" w:rsidRDefault="00710E25" w:rsidP="00710E25">
      <w:pPr>
        <w:ind w:left="567" w:right="-220"/>
        <w:jc w:val="both"/>
        <w:rPr>
          <w:rFonts w:ascii="Palatino Linotype" w:eastAsia="Palatino Linotype" w:hAnsi="Palatino Linotype" w:cs="Palatino Linotype"/>
          <w:i/>
        </w:rPr>
      </w:pP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b/>
          <w:i/>
        </w:rPr>
        <w:t>Artículo 95</w:t>
      </w:r>
      <w:r w:rsidRPr="006078F5">
        <w:rPr>
          <w:rFonts w:ascii="Palatino Linotype" w:eastAsia="Palatino Linotype" w:hAnsi="Palatino Linotype" w:cs="Palatino Linotype"/>
          <w:i/>
        </w:rPr>
        <w:t xml:space="preserve">.- Son atribuciones del tesorero municipal: </w:t>
      </w:r>
    </w:p>
    <w:p w:rsidR="00710E25" w:rsidRPr="006078F5" w:rsidRDefault="00710E25" w:rsidP="00710E25">
      <w:pPr>
        <w:ind w:left="567" w:right="-220"/>
        <w:jc w:val="both"/>
        <w:rPr>
          <w:rFonts w:ascii="Palatino Linotype" w:eastAsia="Palatino Linotype" w:hAnsi="Palatino Linotype" w:cs="Palatino Linotype"/>
          <w:i/>
        </w:rPr>
      </w:pP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I. Administrar la hacienda pública municipal, de conformidad con las disposiciones legales aplicables;</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IV. Llevar los registros contables, financieros y administrativos de los ingresos, egresos, e inventarios;</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w:t>
      </w:r>
    </w:p>
    <w:p w:rsidR="00710E25" w:rsidRPr="006078F5" w:rsidRDefault="00710E25" w:rsidP="00710E25">
      <w:pPr>
        <w:ind w:left="567" w:right="-220"/>
        <w:jc w:val="both"/>
        <w:rPr>
          <w:rFonts w:ascii="Palatino Linotype" w:eastAsia="Palatino Linotype" w:hAnsi="Palatino Linotype" w:cs="Palatino Linotype"/>
          <w:i/>
        </w:rPr>
      </w:pPr>
    </w:p>
    <w:p w:rsidR="00710E25" w:rsidRPr="006078F5" w:rsidRDefault="00710E25" w:rsidP="00710E25">
      <w:pPr>
        <w:ind w:left="567" w:right="-220"/>
        <w:jc w:val="both"/>
        <w:rPr>
          <w:rFonts w:ascii="Palatino Linotype" w:eastAsia="Palatino Linotype" w:hAnsi="Palatino Linotype" w:cs="Palatino Linotype"/>
          <w:i/>
        </w:rPr>
      </w:pPr>
    </w:p>
    <w:p w:rsidR="00710E25" w:rsidRPr="006078F5" w:rsidRDefault="00710E25" w:rsidP="00710E25">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rPr>
        <w:lastRenderedPageBreak/>
        <w:t>La Administración Pública Municipal centralizada estará integrada por las siguientes Dependencias administrativas, de conformidad con el artículo 32 del Bando Municipal 2025:</w:t>
      </w:r>
    </w:p>
    <w:p w:rsidR="00710E25" w:rsidRPr="006078F5" w:rsidRDefault="00710E25" w:rsidP="00710E25">
      <w:pPr>
        <w:ind w:left="567" w:right="-220"/>
        <w:jc w:val="center"/>
        <w:rPr>
          <w:rFonts w:ascii="Palatino Linotype" w:eastAsia="Palatino Linotype" w:hAnsi="Palatino Linotype" w:cs="Palatino Linotype"/>
          <w:b/>
          <w:i/>
        </w:rPr>
      </w:pPr>
      <w:r w:rsidRPr="006078F5">
        <w:rPr>
          <w:rFonts w:ascii="Palatino Linotype" w:eastAsia="Palatino Linotype" w:hAnsi="Palatino Linotype" w:cs="Palatino Linotype"/>
          <w:b/>
          <w:i/>
        </w:rPr>
        <w:t>Bando Municipal 2025</w:t>
      </w:r>
    </w:p>
    <w:p w:rsidR="00710E25" w:rsidRPr="006078F5" w:rsidRDefault="00710E25" w:rsidP="00710E25">
      <w:pPr>
        <w:spacing w:line="360" w:lineRule="auto"/>
        <w:ind w:right="-787"/>
        <w:jc w:val="both"/>
        <w:rPr>
          <w:rFonts w:ascii="Palatino Linotype" w:eastAsia="Palatino Linotype" w:hAnsi="Palatino Linotype" w:cs="Palatino Linotype"/>
        </w:rPr>
      </w:pP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Artículo 32. La Administración Pública Municipal centralizada estará integrada por las siguientes Dependencias administrativas: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I. Presidencia Municipal;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II. Secretaría del Ayuntamiento;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III. Secretaría de Integración Territorial; </w:t>
      </w:r>
    </w:p>
    <w:p w:rsidR="00710E25" w:rsidRPr="006078F5" w:rsidRDefault="00710E25" w:rsidP="00710E25">
      <w:pPr>
        <w:ind w:left="567" w:right="-220"/>
        <w:jc w:val="both"/>
        <w:rPr>
          <w:rFonts w:ascii="Palatino Linotype" w:eastAsia="Palatino Linotype" w:hAnsi="Palatino Linotype" w:cs="Palatino Linotype"/>
          <w:b/>
          <w:i/>
        </w:rPr>
      </w:pPr>
      <w:r w:rsidRPr="006078F5">
        <w:rPr>
          <w:rFonts w:ascii="Palatino Linotype" w:eastAsia="Palatino Linotype" w:hAnsi="Palatino Linotype" w:cs="Palatino Linotype"/>
          <w:b/>
          <w:i/>
        </w:rPr>
        <w:t xml:space="preserve">IV. Tesorería Municipal;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V. Contraloría Interna Municipal;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VI. Oficialía Mayor;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VII. Dirección de Gobierno;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VIII. Dirección de Promoción Económica;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IX. Dirección de Bienestar;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X. Dirección de Transformación Urbana;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XI. Dirección de Desarrollo Metropolitano y Movilidad;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XII. Dirección de Servicios Públicos y Mantenimiento Urbano;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XIII. Dirección de Infraestructura Urbana;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XIV. Dirección de Sustentabilidad Ambiental;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XV. Dirección de las Mujeres;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XVI. Dirección de Información, Planeación, Programación y Evaluación; </w:t>
      </w:r>
    </w:p>
    <w:p w:rsidR="00710E25"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 xml:space="preserve">XVII. Dirección Municipal de Protección Civil y Gestión Integral de Riesgos y, </w:t>
      </w:r>
    </w:p>
    <w:p w:rsidR="003F736E" w:rsidRPr="006078F5" w:rsidRDefault="00710E25" w:rsidP="00710E25">
      <w:pPr>
        <w:ind w:left="567"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XVIII. Comisaría General de Proximidad y Seguridad Ciudadana;</w:t>
      </w:r>
    </w:p>
    <w:p w:rsidR="00710E25" w:rsidRPr="006078F5" w:rsidRDefault="00710E25" w:rsidP="00710E25">
      <w:pPr>
        <w:ind w:left="567" w:right="-220"/>
        <w:jc w:val="both"/>
        <w:rPr>
          <w:rFonts w:ascii="Palatino Linotype" w:eastAsia="Palatino Linotype" w:hAnsi="Palatino Linotype" w:cs="Palatino Linotype"/>
          <w:i/>
        </w:rPr>
      </w:pPr>
    </w:p>
    <w:p w:rsidR="00710E25" w:rsidRPr="006078F5" w:rsidRDefault="00710E25" w:rsidP="00710E25">
      <w:pPr>
        <w:ind w:left="567" w:right="-220"/>
        <w:jc w:val="both"/>
        <w:rPr>
          <w:rFonts w:ascii="Palatino Linotype" w:eastAsia="Palatino Linotype" w:hAnsi="Palatino Linotype" w:cs="Palatino Linotype"/>
          <w:i/>
        </w:rPr>
      </w:pPr>
    </w:p>
    <w:p w:rsidR="003F736E" w:rsidRPr="006078F5" w:rsidRDefault="003F736E" w:rsidP="003F736E">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rPr>
        <w:t xml:space="preserve">La </w:t>
      </w:r>
      <w:r w:rsidRPr="006078F5">
        <w:rPr>
          <w:rFonts w:ascii="Palatino Linotype" w:eastAsia="Palatino Linotype" w:hAnsi="Palatino Linotype" w:cs="Palatino Linotype"/>
          <w:b/>
        </w:rPr>
        <w:t xml:space="preserve">Tesorería Municipal </w:t>
      </w:r>
      <w:r w:rsidRPr="006078F5">
        <w:rPr>
          <w:rFonts w:ascii="Palatino Linotype" w:eastAsia="Palatino Linotype" w:hAnsi="Palatino Linotype" w:cs="Palatino Linotype"/>
        </w:rPr>
        <w:t xml:space="preserve">es responsable de </w:t>
      </w:r>
      <w:r w:rsidR="00710E25" w:rsidRPr="006078F5">
        <w:rPr>
          <w:rFonts w:ascii="Palatino Linotype" w:eastAsia="Palatino Linotype" w:hAnsi="Palatino Linotype" w:cs="Palatino Linotype"/>
        </w:rPr>
        <w:t>la recaudación de los ingresos municipales y responsable de realizar las erogaciones que haga el ayuntamiento.</w:t>
      </w:r>
    </w:p>
    <w:p w:rsidR="00BF5B47" w:rsidRPr="006078F5" w:rsidRDefault="00BF5B47" w:rsidP="00BF5B47">
      <w:pPr>
        <w:spacing w:line="360" w:lineRule="auto"/>
        <w:ind w:right="-787"/>
        <w:jc w:val="both"/>
        <w:rPr>
          <w:rFonts w:ascii="Palatino Linotype" w:eastAsia="Palatino Linotype" w:hAnsi="Palatino Linotype" w:cs="Palatino Linotype"/>
        </w:rPr>
      </w:pPr>
    </w:p>
    <w:p w:rsidR="006256AB" w:rsidRPr="006078F5" w:rsidRDefault="006256AB" w:rsidP="006256AB">
      <w:pPr>
        <w:numPr>
          <w:ilvl w:val="0"/>
          <w:numId w:val="2"/>
        </w:numPr>
        <w:spacing w:line="360" w:lineRule="auto"/>
        <w:ind w:left="0" w:right="-787" w:firstLine="0"/>
        <w:jc w:val="both"/>
      </w:pPr>
      <w:r w:rsidRPr="006078F5">
        <w:rPr>
          <w:rFonts w:ascii="Palatino Linotype" w:eastAsia="Palatino Linotype" w:hAnsi="Palatino Linotype" w:cs="Palatino Linotype"/>
        </w:rPr>
        <w:t xml:space="preserve">De lo expuesto es de precisar que la respuesta fue emitida por la </w:t>
      </w:r>
      <w:r w:rsidRPr="006078F5">
        <w:rPr>
          <w:rFonts w:ascii="Palatino Linotype" w:eastAsia="Palatino Linotype" w:hAnsi="Palatino Linotype" w:cs="Palatino Linotype"/>
          <w:b/>
        </w:rPr>
        <w:t>Tesorería Municipal</w:t>
      </w:r>
      <w:r w:rsidRPr="006078F5">
        <w:rPr>
          <w:rFonts w:ascii="Palatino Linotype" w:eastAsia="Palatino Linotype" w:hAnsi="Palatino Linotype" w:cs="Palatino Linotype"/>
        </w:rPr>
        <w:t xml:space="preserve">, por lo que podemos advertir que </w:t>
      </w:r>
      <w:r w:rsidRPr="006078F5">
        <w:rPr>
          <w:rFonts w:ascii="Palatino Linotype" w:eastAsia="Palatino Linotype" w:hAnsi="Palatino Linotype" w:cs="Palatino Linotype"/>
          <w:b/>
        </w:rPr>
        <w:t xml:space="preserve">EL SUJETO OBLIGADO </w:t>
      </w:r>
      <w:r w:rsidRPr="006078F5">
        <w:rPr>
          <w:rFonts w:ascii="Palatino Linotype" w:eastAsia="Palatino Linotype" w:hAnsi="Palatino Linotype" w:cs="Palatino Linotype"/>
        </w:rPr>
        <w:t xml:space="preserve">siguió el procedimiento inmerso en la normatividad aplicable, ya que turnó el requerimiento de información a la unidad </w:t>
      </w:r>
      <w:r w:rsidRPr="006078F5">
        <w:rPr>
          <w:rFonts w:ascii="Palatino Linotype" w:eastAsia="Palatino Linotype" w:hAnsi="Palatino Linotype" w:cs="Palatino Linotype"/>
        </w:rPr>
        <w:lastRenderedPageBreak/>
        <w:t>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311F00" w:rsidRPr="006078F5" w:rsidRDefault="00311F00" w:rsidP="00311F00">
      <w:pPr>
        <w:ind w:left="708" w:right="62"/>
        <w:jc w:val="both"/>
        <w:rPr>
          <w:rFonts w:ascii="Palatino Linotype" w:eastAsia="Palatino Linotype" w:hAnsi="Palatino Linotype" w:cs="Palatino Linotype"/>
          <w:i/>
        </w:rPr>
      </w:pPr>
      <w:r w:rsidRPr="006078F5">
        <w:rPr>
          <w:rFonts w:ascii="Palatino Linotype" w:eastAsia="Palatino Linotype" w:hAnsi="Palatino Linotype" w:cs="Palatino Linotype"/>
          <w:b/>
          <w:i/>
        </w:rPr>
        <w:t>XXXIX.</w:t>
      </w:r>
      <w:r w:rsidRPr="006078F5">
        <w:rPr>
          <w:rFonts w:ascii="Palatino Linotype" w:eastAsia="Palatino Linotype" w:hAnsi="Palatino Linotype" w:cs="Palatino Linotype"/>
          <w:i/>
        </w:rPr>
        <w:t xml:space="preserve"> </w:t>
      </w:r>
      <w:r w:rsidRPr="006078F5">
        <w:rPr>
          <w:rFonts w:ascii="Palatino Linotype" w:eastAsia="Palatino Linotype" w:hAnsi="Palatino Linotype" w:cs="Palatino Linotype"/>
          <w:b/>
          <w:i/>
        </w:rPr>
        <w:t>Servidor público habilitado</w:t>
      </w:r>
      <w:r w:rsidRPr="006078F5">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311F00" w:rsidRPr="006078F5" w:rsidRDefault="00311F00" w:rsidP="00311F00">
      <w:pPr>
        <w:spacing w:line="360" w:lineRule="auto"/>
        <w:ind w:left="708" w:right="62"/>
        <w:jc w:val="both"/>
        <w:rPr>
          <w:rFonts w:ascii="Palatino Linotype" w:eastAsia="Palatino Linotype" w:hAnsi="Palatino Linotype" w:cs="Palatino Linotype"/>
        </w:rPr>
      </w:pPr>
    </w:p>
    <w:p w:rsidR="00311F00" w:rsidRPr="006078F5" w:rsidRDefault="00311F00" w:rsidP="00EB6113">
      <w:pPr>
        <w:numPr>
          <w:ilvl w:val="0"/>
          <w:numId w:val="2"/>
        </w:numPr>
        <w:spacing w:line="360" w:lineRule="auto"/>
        <w:ind w:left="0" w:right="-787" w:firstLine="0"/>
        <w:jc w:val="both"/>
      </w:pPr>
      <w:r w:rsidRPr="006078F5">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311F00" w:rsidRPr="006078F5" w:rsidRDefault="00311F00" w:rsidP="00311F00">
      <w:pPr>
        <w:ind w:left="425"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w:t>
      </w:r>
      <w:r w:rsidRPr="006078F5">
        <w:rPr>
          <w:rFonts w:ascii="Palatino Linotype" w:eastAsia="Palatino Linotype" w:hAnsi="Palatino Linotype" w:cs="Palatino Linotype"/>
          <w:b/>
          <w:i/>
        </w:rPr>
        <w:t>Artículo 162.</w:t>
      </w:r>
      <w:r w:rsidRPr="006078F5">
        <w:rPr>
          <w:rFonts w:ascii="Palatino Linotype" w:eastAsia="Palatino Linotype" w:hAnsi="Palatino Linotype" w:cs="Palatino Linotype"/>
          <w:i/>
        </w:rPr>
        <w:t xml:space="preserve"> Las unidades de transparencia deberán garantizar que las solicitudes se turnen a </w:t>
      </w:r>
      <w:r w:rsidRPr="006078F5">
        <w:rPr>
          <w:rFonts w:ascii="Palatino Linotype" w:eastAsia="Palatino Linotype" w:hAnsi="Palatino Linotype" w:cs="Palatino Linotype"/>
          <w:b/>
          <w:i/>
        </w:rPr>
        <w:t>todas las Áreas competentes</w:t>
      </w:r>
      <w:r w:rsidRPr="006078F5">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311F00" w:rsidRPr="006078F5" w:rsidRDefault="00311F00" w:rsidP="00311F00">
      <w:pPr>
        <w:spacing w:line="360" w:lineRule="auto"/>
        <w:ind w:right="-787"/>
        <w:jc w:val="both"/>
        <w:rPr>
          <w:rFonts w:ascii="Palatino Linotype" w:eastAsia="Palatino Linotype" w:hAnsi="Palatino Linotype" w:cs="Palatino Linotype"/>
          <w:color w:val="000000"/>
        </w:rPr>
      </w:pPr>
    </w:p>
    <w:p w:rsidR="00311F00" w:rsidRPr="006078F5" w:rsidRDefault="00311F00" w:rsidP="00EB6113">
      <w:pPr>
        <w:numPr>
          <w:ilvl w:val="0"/>
          <w:numId w:val="2"/>
        </w:numPr>
        <w:spacing w:line="360" w:lineRule="auto"/>
        <w:ind w:left="0" w:right="-787" w:firstLine="0"/>
        <w:jc w:val="both"/>
        <w:rPr>
          <w:color w:val="000000"/>
        </w:rPr>
      </w:pPr>
      <w:r w:rsidRPr="006078F5">
        <w:rPr>
          <w:rFonts w:ascii="Palatino Linotype" w:eastAsia="Palatino Linotype" w:hAnsi="Palatino Linotype" w:cs="Palatino Linotype"/>
          <w:color w:val="000000"/>
        </w:rPr>
        <w:t xml:space="preserve">Es de subrayar que el derecho de acceso a la información pública, consiste en que la información </w:t>
      </w:r>
      <w:r w:rsidRPr="006078F5">
        <w:rPr>
          <w:rFonts w:ascii="Palatino Linotype" w:eastAsia="Palatino Linotype" w:hAnsi="Palatino Linotype" w:cs="Palatino Linotype"/>
        </w:rPr>
        <w:t>solicitada</w:t>
      </w:r>
      <w:r w:rsidRPr="006078F5">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311F00" w:rsidRPr="006078F5" w:rsidRDefault="00311F00" w:rsidP="00311F00">
      <w:pPr>
        <w:ind w:left="1134" w:right="-220"/>
        <w:jc w:val="both"/>
        <w:rPr>
          <w:rFonts w:ascii="Palatino Linotype" w:eastAsia="Palatino Linotype" w:hAnsi="Palatino Linotype" w:cs="Palatino Linotype"/>
          <w:i/>
          <w:color w:val="000000"/>
        </w:rPr>
      </w:pPr>
      <w:r w:rsidRPr="006078F5">
        <w:rPr>
          <w:rFonts w:ascii="Palatino Linotype" w:eastAsia="Palatino Linotype" w:hAnsi="Palatino Linotype" w:cs="Palatino Linotype"/>
          <w:i/>
          <w:color w:val="000000"/>
        </w:rPr>
        <w:lastRenderedPageBreak/>
        <w:t>“</w:t>
      </w:r>
      <w:r w:rsidRPr="006078F5">
        <w:rPr>
          <w:rFonts w:ascii="Palatino Linotype" w:eastAsia="Palatino Linotype" w:hAnsi="Palatino Linotype" w:cs="Palatino Linotype"/>
          <w:b/>
          <w:i/>
          <w:color w:val="000000"/>
        </w:rPr>
        <w:t xml:space="preserve">Artículo 3. </w:t>
      </w:r>
      <w:r w:rsidRPr="006078F5">
        <w:rPr>
          <w:rFonts w:ascii="Palatino Linotype" w:eastAsia="Palatino Linotype" w:hAnsi="Palatino Linotype" w:cs="Palatino Linotype"/>
          <w:i/>
          <w:color w:val="000000"/>
        </w:rPr>
        <w:t>Para los efectos de la presente Ley se entenderá por:</w:t>
      </w:r>
    </w:p>
    <w:p w:rsidR="00311F00" w:rsidRPr="006078F5" w:rsidRDefault="00311F00" w:rsidP="00311F00">
      <w:pPr>
        <w:ind w:left="1134" w:right="-220"/>
        <w:jc w:val="both"/>
        <w:rPr>
          <w:rFonts w:ascii="Palatino Linotype" w:eastAsia="Palatino Linotype" w:hAnsi="Palatino Linotype" w:cs="Palatino Linotype"/>
          <w:i/>
          <w:color w:val="000000"/>
        </w:rPr>
      </w:pPr>
      <w:r w:rsidRPr="006078F5">
        <w:rPr>
          <w:rFonts w:ascii="Palatino Linotype" w:eastAsia="Palatino Linotype" w:hAnsi="Palatino Linotype" w:cs="Palatino Linotype"/>
          <w:i/>
          <w:color w:val="000000"/>
        </w:rPr>
        <w:t>(…)</w:t>
      </w:r>
    </w:p>
    <w:p w:rsidR="00311F00" w:rsidRPr="006078F5" w:rsidRDefault="00311F00" w:rsidP="00311F00">
      <w:pPr>
        <w:ind w:left="1134" w:right="-220"/>
        <w:jc w:val="both"/>
        <w:rPr>
          <w:rFonts w:ascii="Palatino Linotype" w:eastAsia="Palatino Linotype" w:hAnsi="Palatino Linotype" w:cs="Palatino Linotype"/>
          <w:i/>
          <w:color w:val="000000"/>
        </w:rPr>
      </w:pPr>
      <w:r w:rsidRPr="006078F5">
        <w:rPr>
          <w:rFonts w:ascii="Palatino Linotype" w:eastAsia="Palatino Linotype" w:hAnsi="Palatino Linotype" w:cs="Palatino Linotype"/>
          <w:b/>
          <w:i/>
          <w:color w:val="000000"/>
        </w:rPr>
        <w:t>XI. Documento:</w:t>
      </w:r>
      <w:r w:rsidRPr="006078F5">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311F00" w:rsidRPr="006078F5" w:rsidRDefault="00311F00" w:rsidP="00311F00">
      <w:pPr>
        <w:spacing w:line="360" w:lineRule="auto"/>
        <w:ind w:left="1134" w:right="-220"/>
        <w:jc w:val="both"/>
        <w:rPr>
          <w:rFonts w:ascii="Palatino Linotype" w:eastAsia="Palatino Linotype" w:hAnsi="Palatino Linotype" w:cs="Palatino Linotype"/>
          <w:i/>
          <w:color w:val="000000"/>
        </w:rPr>
      </w:pPr>
      <w:r w:rsidRPr="006078F5">
        <w:rPr>
          <w:rFonts w:ascii="Palatino Linotype" w:eastAsia="Palatino Linotype" w:hAnsi="Palatino Linotype" w:cs="Palatino Linotype"/>
          <w:i/>
          <w:color w:val="000000"/>
        </w:rPr>
        <w:t>(…)”</w:t>
      </w:r>
    </w:p>
    <w:p w:rsidR="00311F00" w:rsidRPr="006078F5" w:rsidRDefault="00311F00" w:rsidP="00311F00">
      <w:pPr>
        <w:ind w:right="-787"/>
        <w:jc w:val="both"/>
        <w:rPr>
          <w:rFonts w:ascii="Palatino Linotype" w:eastAsia="Palatino Linotype" w:hAnsi="Palatino Linotype" w:cs="Palatino Linotype"/>
        </w:rPr>
      </w:pPr>
    </w:p>
    <w:p w:rsidR="00311F00" w:rsidRPr="006078F5" w:rsidRDefault="00311F00" w:rsidP="00EB6113">
      <w:pPr>
        <w:numPr>
          <w:ilvl w:val="0"/>
          <w:numId w:val="2"/>
        </w:numPr>
        <w:spacing w:line="360" w:lineRule="auto"/>
        <w:ind w:left="0" w:right="-787" w:firstLine="0"/>
        <w:jc w:val="both"/>
        <w:rPr>
          <w:color w:val="000000"/>
        </w:rPr>
      </w:pPr>
      <w:r w:rsidRPr="006078F5">
        <w:rPr>
          <w:rFonts w:ascii="Palatino Linotype" w:eastAsia="Palatino Linotype" w:hAnsi="Palatino Linotype" w:cs="Palatino Linotype"/>
          <w:color w:val="000000"/>
        </w:rPr>
        <w:t xml:space="preserve">Siendo aplicable el Criterio de interpretación en el orden administrativo número 0002-11, emitido por </w:t>
      </w:r>
      <w:r w:rsidRPr="006078F5">
        <w:rPr>
          <w:rFonts w:ascii="Palatino Linotype" w:eastAsia="Palatino Linotype" w:hAnsi="Palatino Linotype" w:cs="Palatino Linotype"/>
        </w:rPr>
        <w:t>Acuerdo</w:t>
      </w:r>
      <w:r w:rsidRPr="006078F5">
        <w:rPr>
          <w:rFonts w:ascii="Palatino Linotype" w:eastAsia="Palatino Linotype" w:hAnsi="Palatino Linotype" w:cs="Palatino Linotype"/>
          <w:color w:val="000000"/>
        </w:rPr>
        <w:t xml:space="preserve">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311F00" w:rsidRPr="006078F5" w:rsidRDefault="00311F00" w:rsidP="00311F00">
      <w:pPr>
        <w:ind w:left="850" w:right="-220"/>
        <w:jc w:val="both"/>
        <w:rPr>
          <w:rFonts w:ascii="Palatino Linotype" w:eastAsia="Palatino Linotype" w:hAnsi="Palatino Linotype" w:cs="Palatino Linotype"/>
          <w:b/>
          <w:i/>
        </w:rPr>
      </w:pPr>
      <w:r w:rsidRPr="006078F5">
        <w:rPr>
          <w:rFonts w:ascii="Palatino Linotype" w:eastAsia="Palatino Linotype" w:hAnsi="Palatino Linotype" w:cs="Palatino Linotype"/>
          <w:b/>
        </w:rPr>
        <w:t>“</w:t>
      </w:r>
      <w:r w:rsidRPr="006078F5">
        <w:rPr>
          <w:rFonts w:ascii="Palatino Linotype" w:eastAsia="Palatino Linotype" w:hAnsi="Palatino Linotype" w:cs="Palatino Linotype"/>
          <w:b/>
          <w:i/>
        </w:rPr>
        <w:t>CRITERIO 0002-11</w:t>
      </w:r>
    </w:p>
    <w:p w:rsidR="00311F00" w:rsidRPr="006078F5" w:rsidRDefault="00311F00" w:rsidP="00311F00">
      <w:pPr>
        <w:ind w:left="850" w:right="-220"/>
        <w:jc w:val="both"/>
        <w:rPr>
          <w:rFonts w:ascii="Palatino Linotype" w:eastAsia="Palatino Linotype" w:hAnsi="Palatino Linotype" w:cs="Palatino Linotype"/>
          <w:i/>
        </w:rPr>
      </w:pPr>
      <w:r w:rsidRPr="006078F5">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6078F5">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311F00" w:rsidRPr="006078F5" w:rsidRDefault="00311F00" w:rsidP="00311F00">
      <w:pPr>
        <w:ind w:left="850"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En consecuencia el acceso a la información se refiere a que se cumplan cualquiera de los siguientes tres supuestos:</w:t>
      </w:r>
    </w:p>
    <w:p w:rsidR="00311F00" w:rsidRPr="006078F5" w:rsidRDefault="00311F00" w:rsidP="00311F00">
      <w:pPr>
        <w:ind w:left="850" w:right="-220"/>
        <w:jc w:val="both"/>
        <w:rPr>
          <w:rFonts w:ascii="Palatino Linotype" w:eastAsia="Palatino Linotype" w:hAnsi="Palatino Linotype" w:cs="Palatino Linotype"/>
          <w:b/>
          <w:i/>
        </w:rPr>
      </w:pPr>
      <w:r w:rsidRPr="006078F5">
        <w:rPr>
          <w:rFonts w:ascii="Palatino Linotype" w:eastAsia="Palatino Linotype" w:hAnsi="Palatino Linotype" w:cs="Palatino Linotype"/>
          <w:b/>
          <w:i/>
        </w:rPr>
        <w:t xml:space="preserve">1) </w:t>
      </w:r>
      <w:r w:rsidRPr="006078F5">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311F00" w:rsidRPr="006078F5" w:rsidRDefault="00311F00" w:rsidP="00311F00">
      <w:pPr>
        <w:ind w:left="850"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311F00" w:rsidRPr="006078F5" w:rsidRDefault="00311F00" w:rsidP="00311F00">
      <w:pPr>
        <w:ind w:left="850"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lastRenderedPageBreak/>
        <w:t>3) Que se trate de información registrada en cualquier soporte documental, que en ejercicio de las atribuciones conferidas, se encuentre en posesión de los Sujetos Obligados.”</w:t>
      </w:r>
    </w:p>
    <w:p w:rsidR="00311F00" w:rsidRPr="006078F5" w:rsidRDefault="00311F00" w:rsidP="00311F00">
      <w:pPr>
        <w:tabs>
          <w:tab w:val="left" w:pos="851"/>
        </w:tabs>
        <w:spacing w:line="360" w:lineRule="auto"/>
        <w:ind w:left="850" w:right="-220"/>
        <w:rPr>
          <w:rFonts w:ascii="Palatino Linotype" w:eastAsia="Palatino Linotype" w:hAnsi="Palatino Linotype" w:cs="Palatino Linotype"/>
        </w:rPr>
      </w:pPr>
      <w:r w:rsidRPr="006078F5">
        <w:rPr>
          <w:rFonts w:ascii="Palatino Linotype" w:eastAsia="Palatino Linotype" w:hAnsi="Palatino Linotype" w:cs="Palatino Linotype"/>
        </w:rPr>
        <w:t>(Énfasis Añadido)</w:t>
      </w:r>
    </w:p>
    <w:p w:rsidR="00311F00" w:rsidRPr="006078F5" w:rsidRDefault="00311F00" w:rsidP="00311F00">
      <w:pPr>
        <w:pBdr>
          <w:top w:val="nil"/>
          <w:left w:val="nil"/>
          <w:bottom w:val="nil"/>
          <w:right w:val="nil"/>
          <w:between w:val="nil"/>
        </w:pBdr>
        <w:ind w:right="-787"/>
        <w:jc w:val="both"/>
        <w:rPr>
          <w:rFonts w:ascii="Palatino Linotype" w:eastAsia="Palatino Linotype" w:hAnsi="Palatino Linotype" w:cs="Palatino Linotype"/>
          <w:color w:val="000000"/>
        </w:rPr>
      </w:pPr>
    </w:p>
    <w:p w:rsidR="00311F00" w:rsidRPr="006078F5" w:rsidRDefault="00311F00" w:rsidP="00EB6113">
      <w:pPr>
        <w:numPr>
          <w:ilvl w:val="0"/>
          <w:numId w:val="2"/>
        </w:numPr>
        <w:spacing w:line="360" w:lineRule="auto"/>
        <w:ind w:left="0" w:right="-787" w:firstLine="0"/>
        <w:jc w:val="both"/>
        <w:rPr>
          <w:color w:val="000000"/>
        </w:rPr>
      </w:pPr>
      <w:r w:rsidRPr="006078F5">
        <w:rPr>
          <w:rFonts w:ascii="Palatino Linotype" w:eastAsia="Palatino Linotype" w:hAnsi="Palatino Linotype" w:cs="Palatino Linotype"/>
          <w:color w:val="000000"/>
        </w:rPr>
        <w:t xml:space="preserve">Por su parte </w:t>
      </w:r>
      <w:r w:rsidRPr="006078F5">
        <w:rPr>
          <w:rFonts w:ascii="Palatino Linotype" w:eastAsia="Palatino Linotype" w:hAnsi="Palatino Linotype" w:cs="Palatino Linotype"/>
        </w:rPr>
        <w:t>los</w:t>
      </w:r>
      <w:r w:rsidRPr="006078F5">
        <w:rPr>
          <w:rFonts w:ascii="Palatino Linotype" w:eastAsia="Palatino Linotype" w:hAnsi="Palatino Linotype" w:cs="Palatino Linotype"/>
          <w:color w:val="000000"/>
        </w:rPr>
        <w:t xml:space="preserve"> artículos 160 y 166, de la Ley local en la materia, que se reproduce de la siguiente forma:</w:t>
      </w:r>
    </w:p>
    <w:p w:rsidR="00311F00" w:rsidRPr="006078F5" w:rsidRDefault="00311F00" w:rsidP="00311F00">
      <w:pPr>
        <w:ind w:left="566"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w:t>
      </w:r>
      <w:r w:rsidRPr="006078F5">
        <w:rPr>
          <w:rFonts w:ascii="Palatino Linotype" w:eastAsia="Palatino Linotype" w:hAnsi="Palatino Linotype" w:cs="Palatino Linotype"/>
          <w:b/>
          <w:i/>
        </w:rPr>
        <w:t>Artículo 160.</w:t>
      </w:r>
      <w:r w:rsidRPr="006078F5">
        <w:rPr>
          <w:rFonts w:ascii="Palatino Linotype" w:eastAsia="Palatino Linotype" w:hAnsi="Palatino Linotype" w:cs="Palatino Linotype"/>
          <w:i/>
        </w:rPr>
        <w:t xml:space="preserve"> </w:t>
      </w:r>
      <w:r w:rsidRPr="006078F5">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6078F5">
        <w:rPr>
          <w:rFonts w:ascii="Palatino Linotype" w:eastAsia="Palatino Linotype" w:hAnsi="Palatino Linotype" w:cs="Palatino Linotype"/>
          <w:i/>
        </w:rPr>
        <w:t>.</w:t>
      </w:r>
    </w:p>
    <w:p w:rsidR="00311F00" w:rsidRPr="006078F5" w:rsidRDefault="00311F00" w:rsidP="00311F00">
      <w:pPr>
        <w:ind w:left="566" w:right="-220"/>
        <w:jc w:val="both"/>
        <w:rPr>
          <w:rFonts w:ascii="Palatino Linotype" w:eastAsia="Palatino Linotype" w:hAnsi="Palatino Linotype" w:cs="Palatino Linotype"/>
          <w:i/>
        </w:rPr>
      </w:pPr>
    </w:p>
    <w:p w:rsidR="00311F00" w:rsidRPr="006078F5" w:rsidRDefault="00311F00" w:rsidP="00311F00">
      <w:pPr>
        <w:ind w:left="566" w:right="-220"/>
        <w:jc w:val="both"/>
        <w:rPr>
          <w:rFonts w:ascii="Palatino Linotype" w:eastAsia="Palatino Linotype" w:hAnsi="Palatino Linotype" w:cs="Palatino Linotype"/>
          <w:i/>
        </w:rPr>
      </w:pPr>
      <w:r w:rsidRPr="006078F5">
        <w:rPr>
          <w:rFonts w:ascii="Palatino Linotype" w:eastAsia="Palatino Linotype" w:hAnsi="Palatino Linotype" w:cs="Palatino Linotype"/>
          <w:i/>
        </w:rPr>
        <w:t>En caso que la información solicitada consista en bases de datos se deberá privilegiar la entrega de la misma en formatos abiertos.</w:t>
      </w:r>
    </w:p>
    <w:p w:rsidR="00311F00" w:rsidRPr="006078F5" w:rsidRDefault="00311F00" w:rsidP="00311F00">
      <w:pPr>
        <w:ind w:left="566" w:right="-220"/>
        <w:jc w:val="both"/>
        <w:rPr>
          <w:rFonts w:ascii="Palatino Linotype" w:eastAsia="Palatino Linotype" w:hAnsi="Palatino Linotype" w:cs="Palatino Linotype"/>
          <w:i/>
          <w:u w:val="single"/>
        </w:rPr>
      </w:pPr>
      <w:r w:rsidRPr="006078F5">
        <w:rPr>
          <w:rFonts w:ascii="Palatino Linotype" w:eastAsia="Palatino Linotype" w:hAnsi="Palatino Linotype" w:cs="Palatino Linotype"/>
          <w:b/>
          <w:i/>
        </w:rPr>
        <w:t>Artículo 166.</w:t>
      </w:r>
      <w:r w:rsidRPr="006078F5">
        <w:rPr>
          <w:rFonts w:ascii="Palatino Linotype" w:eastAsia="Palatino Linotype" w:hAnsi="Palatino Linotype" w:cs="Palatino Linotype"/>
          <w:i/>
        </w:rPr>
        <w:t xml:space="preserve"> </w:t>
      </w:r>
      <w:r w:rsidRPr="006078F5">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311F00" w:rsidRPr="006078F5" w:rsidRDefault="00311F00" w:rsidP="00311F00">
      <w:pPr>
        <w:spacing w:line="360" w:lineRule="auto"/>
        <w:ind w:left="566" w:right="-220"/>
        <w:jc w:val="both"/>
        <w:rPr>
          <w:rFonts w:ascii="Palatino Linotype" w:eastAsia="Palatino Linotype" w:hAnsi="Palatino Linotype" w:cs="Palatino Linotype"/>
        </w:rPr>
      </w:pPr>
      <w:r w:rsidRPr="006078F5">
        <w:rPr>
          <w:rFonts w:ascii="Palatino Linotype" w:eastAsia="Palatino Linotype" w:hAnsi="Palatino Linotype" w:cs="Palatino Linotype"/>
        </w:rPr>
        <w:t>(Énfasis añadido)</w:t>
      </w:r>
    </w:p>
    <w:p w:rsidR="00311F00" w:rsidRPr="006078F5" w:rsidRDefault="00311F00" w:rsidP="00311F00">
      <w:pPr>
        <w:ind w:right="-787"/>
        <w:jc w:val="both"/>
        <w:rPr>
          <w:rFonts w:ascii="Palatino Linotype" w:eastAsia="Palatino Linotype" w:hAnsi="Palatino Linotype" w:cs="Palatino Linotype"/>
        </w:rPr>
      </w:pPr>
    </w:p>
    <w:p w:rsidR="00B06265" w:rsidRPr="006078F5" w:rsidRDefault="00311F00" w:rsidP="00EB6113">
      <w:pPr>
        <w:numPr>
          <w:ilvl w:val="0"/>
          <w:numId w:val="2"/>
        </w:numPr>
        <w:spacing w:line="360" w:lineRule="auto"/>
        <w:ind w:left="0" w:right="-787" w:firstLine="0"/>
        <w:jc w:val="both"/>
        <w:rPr>
          <w:color w:val="000000"/>
        </w:rPr>
      </w:pPr>
      <w:r w:rsidRPr="006078F5">
        <w:rPr>
          <w:rFonts w:ascii="Palatino Linotype" w:eastAsia="Palatino Linotype" w:hAnsi="Palatino Linotype" w:cs="Palatino Linotype"/>
          <w:color w:val="000000"/>
        </w:rPr>
        <w:t xml:space="preserve">Así que la obligación de los Sujetos Obligados de dar acceso a la información pública que generen, </w:t>
      </w:r>
      <w:r w:rsidRPr="006078F5">
        <w:rPr>
          <w:rFonts w:ascii="Palatino Linotype" w:eastAsia="Palatino Linotype" w:hAnsi="Palatino Linotype" w:cs="Palatino Linotype"/>
        </w:rPr>
        <w:t>administren</w:t>
      </w:r>
      <w:r w:rsidRPr="006078F5">
        <w:rPr>
          <w:rFonts w:ascii="Palatino Linotype" w:eastAsia="Palatino Linotype" w:hAnsi="Palatino Linotype" w:cs="Palatino Linotype"/>
          <w:color w:val="000000"/>
        </w:rPr>
        <w:t xml:space="preserve"> o posean, se tendrá por cumplida cuando el solicitante tenga a su disposición la información requerida, o cuando realice la consulta de la misma en el lugar que ésta se localice, siempre y cuando así resultare procedente.</w:t>
      </w:r>
    </w:p>
    <w:p w:rsidR="005863D1" w:rsidRPr="006078F5" w:rsidRDefault="005863D1" w:rsidP="005863D1">
      <w:pPr>
        <w:spacing w:line="360" w:lineRule="auto"/>
        <w:ind w:right="-788"/>
        <w:jc w:val="both"/>
        <w:rPr>
          <w:color w:val="000000"/>
        </w:rPr>
      </w:pPr>
    </w:p>
    <w:p w:rsidR="00310E1F" w:rsidRPr="006078F5" w:rsidRDefault="00310E1F" w:rsidP="005F6634">
      <w:pPr>
        <w:numPr>
          <w:ilvl w:val="0"/>
          <w:numId w:val="6"/>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b/>
          <w:color w:val="000000"/>
        </w:rPr>
        <w:t xml:space="preserve">De la naturaleza de la información solicitada. </w:t>
      </w:r>
    </w:p>
    <w:p w:rsidR="00310E1F" w:rsidRPr="006078F5" w:rsidRDefault="00310E1F" w:rsidP="00EB6113">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rPr>
        <w:t xml:space="preserve">Se precisa </w:t>
      </w:r>
      <w:r w:rsidRPr="006078F5">
        <w:rPr>
          <w:rFonts w:ascii="Palatino Linotype" w:eastAsia="Palatino Linotype" w:hAnsi="Palatino Linotype" w:cs="Palatino Linotype"/>
          <w:color w:val="000000"/>
        </w:rPr>
        <w:t>que</w:t>
      </w:r>
      <w:r w:rsidRPr="006078F5">
        <w:rPr>
          <w:rFonts w:ascii="Palatino Linotype" w:eastAsia="Palatino Linotype" w:hAnsi="Palatino Linotype" w:cs="Palatino Linotype"/>
        </w:rPr>
        <w:t xml:space="preserve"> se obvia el análisis de la competencia por parte del </w:t>
      </w:r>
      <w:r w:rsidRPr="006078F5">
        <w:rPr>
          <w:rFonts w:ascii="Palatino Linotype" w:eastAsia="Palatino Linotype" w:hAnsi="Palatino Linotype" w:cs="Palatino Linotype"/>
          <w:b/>
        </w:rPr>
        <w:t>SUJETO OBLIGADO</w:t>
      </w:r>
      <w:r w:rsidRPr="006078F5">
        <w:rPr>
          <w:rFonts w:ascii="Palatino Linotype" w:eastAsia="Palatino Linotype" w:hAnsi="Palatino Linotype" w:cs="Palatino Linotype"/>
        </w:rPr>
        <w:t xml:space="preserve">, para generar, administrar o poseer la información solicitada, dado que éste ha asumido la misma, en razón de que en su respuesta admitió contar con dicha información, tan es así que </w:t>
      </w:r>
      <w:r w:rsidR="00710E25" w:rsidRPr="006078F5">
        <w:rPr>
          <w:rFonts w:ascii="Palatino Linotype" w:eastAsia="Palatino Linotype" w:hAnsi="Palatino Linotype" w:cs="Palatino Linotype"/>
        </w:rPr>
        <w:t xml:space="preserve">remitió diversas facturas con las características </w:t>
      </w:r>
      <w:r w:rsidR="00E26E59" w:rsidRPr="006078F5">
        <w:rPr>
          <w:rFonts w:ascii="Palatino Linotype" w:eastAsia="Palatino Linotype" w:hAnsi="Palatino Linotype" w:cs="Palatino Linotype"/>
        </w:rPr>
        <w:t>requeridas</w:t>
      </w:r>
      <w:r w:rsidR="00710E25" w:rsidRPr="006078F5">
        <w:rPr>
          <w:rFonts w:ascii="Palatino Linotype" w:eastAsia="Palatino Linotype" w:hAnsi="Palatino Linotype" w:cs="Palatino Linotype"/>
        </w:rPr>
        <w:t>.</w:t>
      </w:r>
    </w:p>
    <w:p w:rsidR="00310E1F" w:rsidRPr="006078F5" w:rsidRDefault="00310E1F" w:rsidP="00EB6113">
      <w:pPr>
        <w:numPr>
          <w:ilvl w:val="0"/>
          <w:numId w:val="2"/>
        </w:numPr>
        <w:spacing w:line="360" w:lineRule="auto"/>
        <w:ind w:left="0" w:right="-787" w:firstLine="0"/>
        <w:jc w:val="both"/>
      </w:pPr>
      <w:bookmarkStart w:id="7" w:name="_heading=h.2s8eyo1" w:colFirst="0" w:colLast="0"/>
      <w:bookmarkEnd w:id="7"/>
      <w:r w:rsidRPr="006078F5">
        <w:rPr>
          <w:rFonts w:ascii="Palatino Linotype" w:eastAsia="Palatino Linotype" w:hAnsi="Palatino Linotype" w:cs="Palatino Linotype"/>
        </w:rPr>
        <w:lastRenderedPageBreak/>
        <w:t xml:space="preserve">En efecto, el </w:t>
      </w:r>
      <w:r w:rsidRPr="006078F5">
        <w:rPr>
          <w:rFonts w:ascii="Palatino Linotype" w:eastAsia="Palatino Linotype" w:hAnsi="Palatino Linotype" w:cs="Palatino Linotype"/>
          <w:color w:val="000000"/>
        </w:rPr>
        <w:t>hecho</w:t>
      </w:r>
      <w:r w:rsidRPr="006078F5">
        <w:rPr>
          <w:rFonts w:ascii="Palatino Linotype" w:eastAsia="Palatino Linotype" w:hAnsi="Palatino Linotype" w:cs="Palatino Linotype"/>
        </w:rPr>
        <w:t xml:space="preserve"> de que </w:t>
      </w:r>
      <w:r w:rsidRPr="006078F5">
        <w:rPr>
          <w:rFonts w:ascii="Palatino Linotype" w:eastAsia="Palatino Linotype" w:hAnsi="Palatino Linotype" w:cs="Palatino Linotype"/>
          <w:b/>
        </w:rPr>
        <w:t>EL SUJETO OBLIGADO</w:t>
      </w:r>
      <w:r w:rsidRPr="006078F5">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310E1F" w:rsidRPr="006078F5" w:rsidRDefault="00310E1F" w:rsidP="008C4029">
      <w:pPr>
        <w:tabs>
          <w:tab w:val="left" w:pos="8505"/>
        </w:tabs>
        <w:ind w:left="709" w:right="-858"/>
        <w:jc w:val="both"/>
        <w:rPr>
          <w:rFonts w:ascii="Palatino Linotype" w:eastAsia="Palatino Linotype" w:hAnsi="Palatino Linotype" w:cs="Palatino Linotype"/>
          <w:i/>
        </w:rPr>
      </w:pPr>
      <w:r w:rsidRPr="006078F5">
        <w:rPr>
          <w:rFonts w:ascii="Palatino Linotype" w:eastAsia="Palatino Linotype" w:hAnsi="Palatino Linotype" w:cs="Palatino Linotype"/>
          <w:i/>
        </w:rPr>
        <w:t>“</w:t>
      </w:r>
      <w:r w:rsidRPr="006078F5">
        <w:rPr>
          <w:rFonts w:ascii="Palatino Linotype" w:eastAsia="Palatino Linotype" w:hAnsi="Palatino Linotype" w:cs="Palatino Linotype"/>
          <w:b/>
          <w:i/>
        </w:rPr>
        <w:t>Artículo 12.</w:t>
      </w:r>
      <w:r w:rsidRPr="006078F5">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310E1F" w:rsidRPr="006078F5" w:rsidRDefault="00310E1F" w:rsidP="008C4029">
      <w:pPr>
        <w:tabs>
          <w:tab w:val="left" w:pos="8505"/>
        </w:tabs>
        <w:ind w:left="709" w:right="-858"/>
        <w:jc w:val="both"/>
        <w:rPr>
          <w:rFonts w:ascii="Palatino Linotype" w:eastAsia="Palatino Linotype" w:hAnsi="Palatino Linotype" w:cs="Palatino Linotype"/>
          <w:i/>
        </w:rPr>
      </w:pPr>
    </w:p>
    <w:p w:rsidR="00310E1F" w:rsidRPr="006078F5" w:rsidRDefault="00310E1F" w:rsidP="008C4029">
      <w:pPr>
        <w:tabs>
          <w:tab w:val="left" w:pos="8505"/>
        </w:tabs>
        <w:ind w:left="709" w:right="-858"/>
        <w:jc w:val="both"/>
        <w:rPr>
          <w:rFonts w:ascii="Palatino Linotype" w:eastAsia="Palatino Linotype" w:hAnsi="Palatino Linotype" w:cs="Palatino Linotype"/>
          <w:i/>
        </w:rPr>
      </w:pPr>
      <w:r w:rsidRPr="006078F5">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8C4029" w:rsidRPr="006078F5" w:rsidRDefault="008C4029" w:rsidP="008C4029">
      <w:pPr>
        <w:tabs>
          <w:tab w:val="left" w:pos="8505"/>
        </w:tabs>
        <w:ind w:left="709" w:right="-858"/>
        <w:jc w:val="both"/>
        <w:rPr>
          <w:rFonts w:ascii="Palatino Linotype" w:eastAsia="Palatino Linotype" w:hAnsi="Palatino Linotype" w:cs="Palatino Linotype"/>
          <w:i/>
        </w:rPr>
      </w:pPr>
    </w:p>
    <w:p w:rsidR="00310E1F" w:rsidRPr="006078F5" w:rsidRDefault="00310E1F" w:rsidP="008C4029">
      <w:pPr>
        <w:pBdr>
          <w:top w:val="nil"/>
          <w:left w:val="nil"/>
          <w:bottom w:val="nil"/>
          <w:right w:val="nil"/>
          <w:between w:val="nil"/>
        </w:pBdr>
        <w:ind w:left="-566" w:right="-787"/>
        <w:rPr>
          <w:rFonts w:ascii="Palatino Linotype" w:eastAsia="Palatino Linotype" w:hAnsi="Palatino Linotype" w:cs="Palatino Linotype"/>
          <w:color w:val="000000"/>
        </w:rPr>
      </w:pPr>
    </w:p>
    <w:p w:rsidR="00310E1F" w:rsidRPr="006078F5" w:rsidRDefault="00310E1F" w:rsidP="00EB6113">
      <w:pPr>
        <w:numPr>
          <w:ilvl w:val="0"/>
          <w:numId w:val="2"/>
        </w:numPr>
        <w:spacing w:line="360" w:lineRule="auto"/>
        <w:ind w:left="0" w:right="-787" w:firstLine="0"/>
        <w:jc w:val="both"/>
        <w:rPr>
          <w:color w:val="000000"/>
        </w:rPr>
      </w:pPr>
      <w:r w:rsidRPr="006078F5">
        <w:rPr>
          <w:rFonts w:ascii="Palatino Linotype" w:eastAsia="Palatino Linotype" w:hAnsi="Palatino Linotype" w:cs="Palatino Linotype"/>
        </w:rPr>
        <w:t xml:space="preserve">Así, el estudio </w:t>
      </w:r>
      <w:r w:rsidRPr="006078F5">
        <w:rPr>
          <w:rFonts w:ascii="Palatino Linotype" w:eastAsia="Palatino Linotype" w:hAnsi="Palatino Linotype" w:cs="Palatino Linotype"/>
          <w:color w:val="000000"/>
        </w:rPr>
        <w:t>de</w:t>
      </w:r>
      <w:r w:rsidRPr="006078F5">
        <w:rPr>
          <w:rFonts w:ascii="Palatino Linotype" w:eastAsia="Palatino Linotype" w:hAnsi="Palatino Linotype" w:cs="Palatino Linotype"/>
        </w:rPr>
        <w:t xml:space="preserve"> </w:t>
      </w:r>
      <w:r w:rsidRPr="006078F5">
        <w:rPr>
          <w:rFonts w:ascii="Palatino Linotype" w:eastAsia="Palatino Linotype" w:hAnsi="Palatino Linotype" w:cs="Palatino Linotype"/>
          <w:color w:val="000000"/>
        </w:rPr>
        <w:t>la</w:t>
      </w:r>
      <w:r w:rsidRPr="006078F5">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6078F5">
        <w:rPr>
          <w:rFonts w:ascii="Palatino Linotype" w:eastAsia="Palatino Linotype" w:hAnsi="Palatino Linotype" w:cs="Palatino Linotype"/>
          <w:b/>
        </w:rPr>
        <w:t>EL SUJETO OBLIGADO</w:t>
      </w:r>
      <w:r w:rsidRPr="006078F5">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BD0216" w:rsidRPr="006078F5" w:rsidRDefault="00BD0216" w:rsidP="00BD0216">
      <w:pPr>
        <w:spacing w:line="360" w:lineRule="auto"/>
        <w:ind w:right="-787"/>
        <w:jc w:val="both"/>
        <w:rPr>
          <w:color w:val="000000"/>
        </w:rPr>
      </w:pPr>
    </w:p>
    <w:p w:rsidR="00727C42" w:rsidRPr="006078F5" w:rsidRDefault="00BF1A5C" w:rsidP="003967BD">
      <w:pPr>
        <w:numPr>
          <w:ilvl w:val="0"/>
          <w:numId w:val="2"/>
        </w:numPr>
        <w:spacing w:line="360" w:lineRule="auto"/>
        <w:ind w:left="0" w:right="-787" w:firstLine="0"/>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color w:val="000000"/>
        </w:rPr>
        <w:t xml:space="preserve">Es de recordar que el particular solicitó las </w:t>
      </w:r>
      <w:r w:rsidRPr="006078F5">
        <w:rPr>
          <w:rFonts w:ascii="Palatino Linotype" w:eastAsia="Palatino Linotype" w:hAnsi="Palatino Linotype" w:cs="Palatino Linotype"/>
          <w:i/>
          <w:color w:val="000000"/>
          <w:u w:val="single"/>
        </w:rPr>
        <w:t>Facturas pagadas y en proceso de pago por más de un millón de pesos, generadas entre el 1 de enero y el 10 de noviembre de 2025</w:t>
      </w:r>
      <w:r w:rsidRPr="006078F5">
        <w:rPr>
          <w:rFonts w:ascii="Palatino Linotype" w:eastAsia="Palatino Linotype" w:hAnsi="Palatino Linotype" w:cs="Palatino Linotype"/>
          <w:b/>
          <w:color w:val="000000"/>
          <w:u w:val="single"/>
        </w:rPr>
        <w:t xml:space="preserve">, </w:t>
      </w:r>
      <w:r w:rsidR="003967BD" w:rsidRPr="006078F5">
        <w:rPr>
          <w:rFonts w:ascii="Palatino Linotype" w:eastAsia="Palatino Linotype" w:hAnsi="Palatino Linotype" w:cs="Palatino Linotype"/>
          <w:color w:val="000000"/>
        </w:rPr>
        <w:t xml:space="preserve">en respuesta el Sujeto Obligado a través de la Tesorería Municipal remitió dos archivos digitales denominados </w:t>
      </w:r>
      <w:r w:rsidR="003967BD" w:rsidRPr="006078F5">
        <w:rPr>
          <w:rFonts w:ascii="Palatino Linotype" w:eastAsia="Palatino Linotype" w:hAnsi="Palatino Linotype" w:cs="Palatino Linotype"/>
          <w:b/>
          <w:i/>
          <w:color w:val="000000"/>
        </w:rPr>
        <w:t xml:space="preserve">FACTURAS 1 DE 2.pdf </w:t>
      </w:r>
      <w:r w:rsidR="003967BD" w:rsidRPr="006078F5">
        <w:rPr>
          <w:rFonts w:ascii="Palatino Linotype" w:eastAsia="Palatino Linotype" w:hAnsi="Palatino Linotype" w:cs="Palatino Linotype"/>
          <w:color w:val="000000"/>
        </w:rPr>
        <w:t>y</w:t>
      </w:r>
      <w:r w:rsidR="003967BD" w:rsidRPr="006078F5">
        <w:rPr>
          <w:rFonts w:ascii="Palatino Linotype" w:eastAsia="Palatino Linotype" w:hAnsi="Palatino Linotype" w:cs="Palatino Linotype"/>
          <w:b/>
          <w:color w:val="000000"/>
        </w:rPr>
        <w:t xml:space="preserve"> </w:t>
      </w:r>
      <w:r w:rsidR="003967BD" w:rsidRPr="006078F5">
        <w:rPr>
          <w:rFonts w:ascii="Palatino Linotype" w:eastAsia="Palatino Linotype" w:hAnsi="Palatino Linotype" w:cs="Palatino Linotype"/>
          <w:b/>
          <w:i/>
          <w:color w:val="000000"/>
        </w:rPr>
        <w:t>FACTURAS 2 DE 2.pdf</w:t>
      </w:r>
      <w:r w:rsidR="003967BD" w:rsidRPr="006078F5">
        <w:rPr>
          <w:rFonts w:ascii="Palatino Linotype" w:eastAsia="Palatino Linotype" w:hAnsi="Palatino Linotype" w:cs="Palatino Linotype"/>
          <w:b/>
          <w:color w:val="000000"/>
        </w:rPr>
        <w:t xml:space="preserve">, </w:t>
      </w:r>
      <w:r w:rsidR="003967BD" w:rsidRPr="006078F5">
        <w:rPr>
          <w:rFonts w:ascii="Palatino Linotype" w:eastAsia="Palatino Linotype" w:hAnsi="Palatino Linotype" w:cs="Palatino Linotype"/>
          <w:color w:val="000000"/>
        </w:rPr>
        <w:t xml:space="preserve">los cuales contienen facturas con montos superiores a un millón de pesos, el primer archivo de la temporalidad del 31 de marzo al 31 de agosto de 2025, y el segundo, del 31 de agosto al </w:t>
      </w:r>
      <w:r w:rsidR="005B6129" w:rsidRPr="006078F5">
        <w:rPr>
          <w:rFonts w:ascii="Palatino Linotype" w:eastAsia="Palatino Linotype" w:hAnsi="Palatino Linotype" w:cs="Palatino Linotype"/>
          <w:color w:val="000000"/>
        </w:rPr>
        <w:t>07 de noviembre</w:t>
      </w:r>
      <w:r w:rsidR="003967BD" w:rsidRPr="006078F5">
        <w:rPr>
          <w:rFonts w:ascii="Palatino Linotype" w:eastAsia="Palatino Linotype" w:hAnsi="Palatino Linotype" w:cs="Palatino Linotype"/>
          <w:color w:val="000000"/>
        </w:rPr>
        <w:t xml:space="preserve"> de 2025; en </w:t>
      </w:r>
      <w:r w:rsidR="003967BD" w:rsidRPr="006078F5">
        <w:rPr>
          <w:rFonts w:ascii="Palatino Linotype" w:eastAsia="Palatino Linotype" w:hAnsi="Palatino Linotype" w:cs="Palatino Linotype"/>
          <w:color w:val="000000"/>
        </w:rPr>
        <w:lastRenderedPageBreak/>
        <w:t xml:space="preserve">consecuencia el particular se dolió </w:t>
      </w:r>
      <w:r w:rsidR="00727C42" w:rsidRPr="006078F5">
        <w:rPr>
          <w:rFonts w:ascii="Palatino Linotype" w:eastAsia="Palatino Linotype" w:hAnsi="Palatino Linotype" w:cs="Palatino Linotype"/>
          <w:color w:val="000000"/>
        </w:rPr>
        <w:t>por la entrega de información incompleta, posteriormente a través de informe justificado, el Sujeto Obligado confirma su respuesta inicial.</w:t>
      </w:r>
    </w:p>
    <w:p w:rsidR="00727C42" w:rsidRPr="006078F5" w:rsidRDefault="00727C42" w:rsidP="00727C42">
      <w:pPr>
        <w:spacing w:line="360" w:lineRule="auto"/>
        <w:ind w:right="-787"/>
        <w:jc w:val="both"/>
        <w:rPr>
          <w:rFonts w:ascii="Palatino Linotype" w:eastAsia="Palatino Linotype" w:hAnsi="Palatino Linotype" w:cs="Palatino Linotype"/>
          <w:color w:val="000000"/>
        </w:rPr>
      </w:pPr>
    </w:p>
    <w:p w:rsidR="00727C42" w:rsidRPr="006078F5" w:rsidRDefault="00727C42" w:rsidP="00727C42">
      <w:pPr>
        <w:numPr>
          <w:ilvl w:val="0"/>
          <w:numId w:val="2"/>
        </w:numPr>
        <w:spacing w:line="360" w:lineRule="auto"/>
        <w:ind w:left="0" w:right="-787" w:firstLine="0"/>
        <w:jc w:val="both"/>
        <w:rPr>
          <w:rFonts w:ascii="Palatino Linotype" w:eastAsia="Palatino Linotype" w:hAnsi="Palatino Linotype" w:cs="Palatino Linotype"/>
          <w:b/>
          <w:bCs/>
        </w:rPr>
      </w:pPr>
      <w:r w:rsidRPr="006078F5">
        <w:rPr>
          <w:rFonts w:ascii="Palatino Linotype" w:eastAsia="Palatino Linotype" w:hAnsi="Palatino Linotype" w:cs="Palatino Linotype"/>
          <w:color w:val="000000"/>
        </w:rPr>
        <w:t xml:space="preserve">En primer momento es de resaltar que el recurrente arguyó como motivos de inconformidad </w:t>
      </w:r>
      <w:r w:rsidR="003967BD" w:rsidRPr="006078F5">
        <w:rPr>
          <w:rFonts w:ascii="Palatino Linotype" w:eastAsia="Palatino Linotype" w:hAnsi="Palatino Linotype" w:cs="Palatino Linotype"/>
          <w:color w:val="000000"/>
        </w:rPr>
        <w:t>que “</w:t>
      </w:r>
      <w:r w:rsidR="003967BD" w:rsidRPr="006078F5">
        <w:rPr>
          <w:rFonts w:ascii="Palatino Linotype" w:eastAsia="Palatino Linotype" w:hAnsi="Palatino Linotype" w:cs="Palatino Linotype"/>
          <w:i/>
          <w:color w:val="000000"/>
        </w:rPr>
        <w:t>el sujeto obligado remite la información incompleta, ya que solo anexa 1 de 2 archivos pdf</w:t>
      </w:r>
      <w:r w:rsidRPr="006078F5">
        <w:rPr>
          <w:rFonts w:ascii="Palatino Linotype" w:eastAsia="Palatino Linotype" w:hAnsi="Palatino Linotype" w:cs="Palatino Linotype"/>
          <w:i/>
          <w:color w:val="000000"/>
        </w:rPr>
        <w:t>.</w:t>
      </w:r>
      <w:r w:rsidR="003967BD" w:rsidRPr="006078F5">
        <w:rPr>
          <w:rFonts w:ascii="Palatino Linotype" w:eastAsia="Palatino Linotype" w:hAnsi="Palatino Linotype" w:cs="Palatino Linotype"/>
          <w:i/>
          <w:color w:val="000000"/>
        </w:rPr>
        <w:t xml:space="preserve"> que contienen la información completa solicitada, el archivo entregado solo incluye facturas fechadas hasta el 31 de agosto de 2025” (Sic)</w:t>
      </w:r>
      <w:r w:rsidRPr="006078F5">
        <w:rPr>
          <w:rFonts w:ascii="Palatino Linotype" w:eastAsia="Palatino Linotype" w:hAnsi="Palatino Linotype" w:cs="Palatino Linotype"/>
          <w:color w:val="000000"/>
        </w:rPr>
        <w:t xml:space="preserve">, de la interpretación de dicha impugnación se logra advertir que el recurrente solo se inconforma por el documento anexo 2, que a su dicho no fue entregado, y no así por las facturas entregadas en el archivo anexo 1, mismas que se encuentran fechadas hasta el 31 de agosto de 2025; por lo que, la parte de la solicitud que no fue combatida se debe tener como </w:t>
      </w:r>
      <w:r w:rsidRPr="006078F5">
        <w:rPr>
          <w:rFonts w:ascii="Palatino Linotype" w:eastAsia="Palatino Linotype" w:hAnsi="Palatino Linotype" w:cs="Palatino Linotype"/>
          <w:b/>
          <w:bCs/>
          <w:color w:val="000000"/>
        </w:rPr>
        <w:t>actos consentidos</w:t>
      </w:r>
      <w:r w:rsidRPr="006078F5">
        <w:rPr>
          <w:rFonts w:ascii="Palatino Linotype" w:eastAsia="Palatino Linotype" w:hAnsi="Palatino Linotype" w:cs="Palatino Linotype"/>
          <w:color w:val="000000"/>
        </w:rPr>
        <w:t>, por no haber pronunciamiento de impugnación.</w:t>
      </w:r>
    </w:p>
    <w:p w:rsidR="00727C42" w:rsidRPr="006078F5" w:rsidRDefault="00727C42" w:rsidP="00727C42">
      <w:pPr>
        <w:spacing w:line="360" w:lineRule="auto"/>
        <w:ind w:right="-787"/>
        <w:jc w:val="both"/>
        <w:rPr>
          <w:rFonts w:ascii="Palatino Linotype" w:eastAsia="Palatino Linotype" w:hAnsi="Palatino Linotype" w:cs="Palatino Linotype"/>
        </w:rPr>
      </w:pPr>
    </w:p>
    <w:p w:rsidR="00727C42" w:rsidRPr="006078F5" w:rsidRDefault="00727C42" w:rsidP="00727C42">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rPr>
        <w:t xml:space="preserve">Luego entonces, al no existir inconformidad, la información se tiene por </w:t>
      </w:r>
      <w:r w:rsidRPr="006078F5">
        <w:rPr>
          <w:rFonts w:ascii="Palatino Linotype" w:eastAsia="Palatino Linotype" w:hAnsi="Palatino Linotype" w:cs="Palatino Linotype"/>
          <w:color w:val="000000"/>
        </w:rPr>
        <w:t>consentida</w:t>
      </w:r>
      <w:r w:rsidRPr="006078F5">
        <w:rPr>
          <w:rFonts w:ascii="Palatino Linotype" w:eastAsia="Palatino Linotype" w:hAnsi="Palatino Linotype" w:cs="Palatino Linotype"/>
        </w:rPr>
        <w:t>, ya</w:t>
      </w:r>
      <w:r w:rsidRPr="006078F5">
        <w:rPr>
          <w:rFonts w:ascii="Palatino Linotype" w:eastAsia="Palatino Linotype" w:hAnsi="Palatino Linotype" w:cs="Palatino Linotype"/>
          <w:b/>
          <w:bCs/>
        </w:rPr>
        <w:t xml:space="preserve"> </w:t>
      </w:r>
      <w:r w:rsidRPr="006078F5">
        <w:rPr>
          <w:rFonts w:ascii="Palatino Linotype" w:eastAsia="Palatino Linotype" w:hAnsi="Palatino Linotype" w:cs="Palatino Linotype"/>
        </w:rPr>
        <w:t xml:space="preserve">que la falta de </w:t>
      </w:r>
      <w:r w:rsidRPr="006078F5">
        <w:rPr>
          <w:rFonts w:ascii="Palatino Linotype" w:eastAsia="Palatino Linotype" w:hAnsi="Palatino Linotype" w:cs="Palatino Linotype"/>
          <w:color w:val="000000"/>
        </w:rPr>
        <w:t>impugnación</w:t>
      </w:r>
      <w:r w:rsidRPr="006078F5">
        <w:rPr>
          <w:rFonts w:ascii="Palatino Linotype" w:eastAsia="Palatino Linotype" w:hAnsi="Palatino Linotype" w:cs="Palatino Linotype"/>
        </w:rPr>
        <w:t xml:space="preserve"> resp</w:t>
      </w:r>
      <w:r w:rsidRPr="006078F5">
        <w:rPr>
          <w:rFonts w:ascii="Palatino Linotype" w:eastAsia="Palatino Linotype" w:hAnsi="Palatino Linotype" w:cs="Palatino Linotype"/>
          <w:color w:val="000000"/>
        </w:rPr>
        <w:t>e</w:t>
      </w:r>
      <w:r w:rsidRPr="006078F5">
        <w:rPr>
          <w:rFonts w:ascii="Palatino Linotype" w:eastAsia="Palatino Linotype" w:hAnsi="Palatino Linotype" w:cs="Palatino Linotype"/>
        </w:rPr>
        <w:t xml:space="preserve">cto de los requerimientos que no fueron manifestados en el recurso de revisión, debe entenderse como </w:t>
      </w:r>
      <w:r w:rsidRPr="006078F5">
        <w:rPr>
          <w:rFonts w:ascii="Palatino Linotype" w:eastAsia="Palatino Linotype" w:hAnsi="Palatino Linotype" w:cs="Palatino Linotype"/>
          <w:b/>
          <w:bCs/>
        </w:rPr>
        <w:t>actos consentidos</w:t>
      </w:r>
      <w:r w:rsidRPr="006078F5">
        <w:rPr>
          <w:rFonts w:ascii="Palatino Linotype" w:eastAsia="Palatino Linotype" w:hAnsi="Palatino Linotype" w:cs="Palatino Linotype"/>
        </w:rPr>
        <w:t>.</w:t>
      </w:r>
    </w:p>
    <w:p w:rsidR="00727C42" w:rsidRPr="006078F5" w:rsidRDefault="00727C42" w:rsidP="00727C42">
      <w:pPr>
        <w:pBdr>
          <w:top w:val="nil"/>
          <w:left w:val="nil"/>
          <w:bottom w:val="nil"/>
          <w:right w:val="nil"/>
          <w:between w:val="nil"/>
        </w:pBdr>
        <w:spacing w:line="360" w:lineRule="auto"/>
        <w:rPr>
          <w:rFonts w:ascii="Palatino Linotype" w:eastAsia="Palatino Linotype" w:hAnsi="Palatino Linotype" w:cs="Palatino Linotype"/>
          <w:color w:val="000000"/>
        </w:rPr>
      </w:pPr>
    </w:p>
    <w:p w:rsidR="00727C42" w:rsidRPr="006078F5" w:rsidRDefault="00727C42" w:rsidP="00727C42">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rPr>
        <w:t xml:space="preserve">Esto es así, </w:t>
      </w:r>
      <w:r w:rsidRPr="006078F5">
        <w:rPr>
          <w:rFonts w:ascii="Palatino Linotype" w:eastAsia="Palatino Linotype" w:hAnsi="Palatino Linotype" w:cs="Palatino Linotype"/>
          <w:color w:val="000000"/>
        </w:rPr>
        <w:t>debido</w:t>
      </w:r>
      <w:r w:rsidRPr="006078F5">
        <w:rPr>
          <w:rFonts w:ascii="Palatino Linotype" w:eastAsia="Palatino Linotype" w:hAnsi="Palatino Linotype" w:cs="Palatino Linotype"/>
        </w:rPr>
        <w:t xml:space="preserve"> a que cuando el recurrente impugna la respuesta del sujeto obligado y éste no expresa </w:t>
      </w:r>
      <w:r w:rsidRPr="006078F5">
        <w:rPr>
          <w:rFonts w:ascii="Palatino Linotype" w:eastAsia="Palatino Linotype" w:hAnsi="Palatino Linotype" w:cs="Palatino Linotype"/>
          <w:color w:val="000000"/>
        </w:rPr>
        <w:t>razón</w:t>
      </w:r>
      <w:r w:rsidRPr="006078F5">
        <w:rPr>
          <w:rFonts w:ascii="Palatino Linotype" w:eastAsia="Palatino Linotype" w:hAnsi="Palatino Linotype" w:cs="Palatino Linotype"/>
        </w:rPr>
        <w:t xml:space="preserve"> o motivo de inconformidad en contra de todos los rubros solicitados, 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727C42" w:rsidRPr="006078F5" w:rsidRDefault="00727C42" w:rsidP="00727C42">
      <w:pPr>
        <w:spacing w:line="360" w:lineRule="auto"/>
        <w:ind w:right="-787"/>
        <w:jc w:val="both"/>
        <w:rPr>
          <w:rFonts w:ascii="Palatino Linotype" w:eastAsia="Palatino Linotype" w:hAnsi="Palatino Linotype" w:cs="Palatino Linotype"/>
        </w:rPr>
      </w:pPr>
    </w:p>
    <w:p w:rsidR="00727C42" w:rsidRPr="006078F5" w:rsidRDefault="00727C42" w:rsidP="00727C42">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6078F5">
        <w:rPr>
          <w:rFonts w:ascii="Palatino Linotype" w:eastAsia="Palatino Linotype" w:hAnsi="Palatino Linotype" w:cs="Palatino Linotype"/>
          <w:b/>
          <w:bCs/>
          <w:i/>
          <w:iCs/>
          <w:color w:val="000000"/>
        </w:rPr>
        <w:lastRenderedPageBreak/>
        <w:t>“REVISIÓN EN AMPARO. LOS RESOLUTIVOS NO COMBATIDOS DEBEN DECLARARSE FIRMES. </w:t>
      </w:r>
      <w:r w:rsidRPr="006078F5">
        <w:rPr>
          <w:rFonts w:ascii="Palatino Linotype" w:eastAsia="Palatino Linotype" w:hAnsi="Palatino Linotype" w:cs="Palatino Linotype"/>
          <w:i/>
          <w:iCs/>
          <w:color w:val="000000"/>
          <w:u w:val="single"/>
        </w:rPr>
        <w:t>Cuando algún resolutivo de la sentencia impugnada afecta a EL RECURRENTE, y ésta no expresa agravio en contra de las consideraciones que le sirven de base, dicho resolutivo debe declararse firme.</w:t>
      </w:r>
      <w:r w:rsidRPr="006078F5">
        <w:rPr>
          <w:rFonts w:ascii="Palatino Linotype" w:eastAsia="Palatino Linotype" w:hAnsi="Palatino Linotype" w:cs="Palatino Linotype"/>
          <w:i/>
          <w:iCs/>
          <w:color w:val="000000"/>
        </w:rPr>
        <w:t> Esto es, en el caso referido, no obstante que la materia de la revisión comprende a todos los resolutivos que afectan a EL RECURRENTE, </w:t>
      </w:r>
      <w:r w:rsidRPr="006078F5">
        <w:rPr>
          <w:rFonts w:ascii="Palatino Linotype" w:eastAsia="Palatino Linotype" w:hAnsi="Palatino Linotype" w:cs="Palatino Linotype"/>
          <w:i/>
          <w:iCs/>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6078F5">
        <w:rPr>
          <w:rFonts w:ascii="Palatino Linotype" w:eastAsia="Palatino Linotype" w:hAnsi="Palatino Linotype" w:cs="Palatino Linotype"/>
          <w:i/>
          <w:iCs/>
          <w:color w:val="000000"/>
        </w:rPr>
        <w:t>.”</w:t>
      </w:r>
    </w:p>
    <w:p w:rsidR="00727C42" w:rsidRPr="006078F5" w:rsidRDefault="00727C42" w:rsidP="00727C42">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rsidR="00727C42" w:rsidRPr="006078F5" w:rsidRDefault="00727C42" w:rsidP="00727C42">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rPr>
        <w:t xml:space="preserve">Consecutivamente, </w:t>
      </w:r>
      <w:r w:rsidRPr="006078F5">
        <w:rPr>
          <w:rFonts w:ascii="Palatino Linotype" w:eastAsia="Palatino Linotype" w:hAnsi="Palatino Linotype" w:cs="Palatino Linotype"/>
          <w:b/>
          <w:bCs/>
        </w:rPr>
        <w:t xml:space="preserve">la parte de la respuesta que no fue impugnada debe declararse consentida por el recurrente, toda vez que no realizó </w:t>
      </w:r>
      <w:r w:rsidRPr="006078F5">
        <w:rPr>
          <w:rFonts w:ascii="Palatino Linotype" w:eastAsia="Palatino Linotype" w:hAnsi="Palatino Linotype" w:cs="Palatino Linotype"/>
        </w:rPr>
        <w:t>manifestaciones</w:t>
      </w:r>
      <w:r w:rsidRPr="006078F5">
        <w:rPr>
          <w:rFonts w:ascii="Palatino Linotype" w:eastAsia="Palatino Linotype" w:hAnsi="Palatino Linotype" w:cs="Palatino Linotype"/>
          <w:b/>
          <w:bCs/>
        </w:rPr>
        <w:t xml:space="preserve"> </w:t>
      </w:r>
      <w:r w:rsidRPr="006078F5">
        <w:rPr>
          <w:rFonts w:ascii="Palatino Linotype" w:eastAsia="Palatino Linotype" w:hAnsi="Palatino Linotype" w:cs="Palatino Linotype"/>
        </w:rPr>
        <w:t>de</w:t>
      </w:r>
      <w:r w:rsidRPr="006078F5">
        <w:rPr>
          <w:rFonts w:ascii="Palatino Linotype" w:eastAsia="Palatino Linotype" w:hAnsi="Palatino Linotype" w:cs="Palatino Linotype"/>
          <w:b/>
          <w:bCs/>
        </w:rPr>
        <w:t xml:space="preserve"> inconformidad</w:t>
      </w:r>
      <w:r w:rsidRPr="006078F5">
        <w:rPr>
          <w:rFonts w:ascii="Palatino Linotype" w:eastAsia="Palatino Linotype" w:hAnsi="Palatino Linotype" w:cs="Palatino Linotype"/>
        </w:rPr>
        <w:t xml:space="preserve">; por lo que, no pueden producirse efectos jurídicos tendentes a revocar, confirmar o modificar el acto reclamado ya que </w:t>
      </w:r>
      <w:r w:rsidRPr="006078F5">
        <w:rPr>
          <w:rFonts w:ascii="Palatino Linotype" w:eastAsia="Palatino Linotype" w:hAnsi="Palatino Linotype" w:cs="Palatino Linotype"/>
          <w:b/>
          <w:bCs/>
        </w:rPr>
        <w:t>se infiere su consentimiento</w:t>
      </w:r>
      <w:r w:rsidRPr="006078F5">
        <w:rPr>
          <w:rFonts w:ascii="Palatino Linotype" w:eastAsia="Palatino Linotype" w:hAnsi="Palatino Linotype" w:cs="Palatino Linotype"/>
        </w:rPr>
        <w:t xml:space="preserve"> </w:t>
      </w:r>
      <w:r w:rsidRPr="006078F5">
        <w:rPr>
          <w:rFonts w:ascii="Palatino Linotype" w:eastAsia="Palatino Linotype" w:hAnsi="Palatino Linotype" w:cs="Palatino Linotype"/>
          <w:b/>
          <w:bCs/>
        </w:rPr>
        <w:t xml:space="preserve">ante la falta de impugnación </w:t>
      </w:r>
      <w:r w:rsidRPr="006078F5">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rsidR="00727C42" w:rsidRPr="006078F5" w:rsidRDefault="00727C42" w:rsidP="00727C42">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6078F5">
        <w:rPr>
          <w:rFonts w:ascii="Palatino Linotype" w:eastAsia="Palatino Linotype" w:hAnsi="Palatino Linotype" w:cs="Palatino Linotype"/>
          <w:b/>
          <w:bCs/>
          <w:i/>
          <w:iCs/>
          <w:color w:val="000000"/>
        </w:rPr>
        <w:t>“ACTOS CONSENTIDOS. SON LOS QUE NO SE IMPUGNAN MEDIANTE EL RECURSO IDÓNEO. </w:t>
      </w:r>
      <w:r w:rsidRPr="006078F5">
        <w:rPr>
          <w:rFonts w:ascii="Palatino Linotype" w:eastAsia="Palatino Linotype" w:hAnsi="Palatino Linotype" w:cs="Palatino Linotype"/>
          <w:i/>
          <w:iCs/>
          <w:color w:val="000000"/>
          <w:u w:val="single"/>
        </w:rPr>
        <w:t>Debe reputarse como consentido el acto que no se impugnó por el medio establecido por la ley</w:t>
      </w:r>
      <w:r w:rsidRPr="006078F5">
        <w:rPr>
          <w:rFonts w:ascii="Palatino Linotype" w:eastAsia="Palatino Linotype" w:hAnsi="Palatino Linotype" w:cs="Palatino Linotype"/>
          <w:i/>
          <w:iCs/>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727C42" w:rsidRPr="006078F5" w:rsidRDefault="00727C42" w:rsidP="00727C42">
      <w:pPr>
        <w:spacing w:line="360" w:lineRule="auto"/>
        <w:ind w:right="-787"/>
        <w:jc w:val="both"/>
        <w:rPr>
          <w:rFonts w:ascii="Palatino Linotype" w:eastAsia="Palatino Linotype" w:hAnsi="Palatino Linotype" w:cs="Palatino Linotype"/>
          <w:color w:val="000000"/>
        </w:rPr>
      </w:pPr>
    </w:p>
    <w:p w:rsidR="003967BD" w:rsidRPr="006078F5" w:rsidRDefault="00727C42" w:rsidP="00727C42">
      <w:pPr>
        <w:numPr>
          <w:ilvl w:val="0"/>
          <w:numId w:val="2"/>
        </w:numPr>
        <w:spacing w:line="360" w:lineRule="auto"/>
        <w:ind w:left="0" w:right="-787" w:firstLine="0"/>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rPr>
        <w:t xml:space="preserve">Continuando con el estudio, y respecto del punto de inconformidad que subsiste corresponde al </w:t>
      </w:r>
      <w:r w:rsidRPr="006078F5">
        <w:rPr>
          <w:rFonts w:ascii="Palatino Linotype" w:eastAsia="Palatino Linotype" w:hAnsi="Palatino Linotype" w:cs="Palatino Linotype"/>
          <w:i/>
          <w:u w:val="single"/>
        </w:rPr>
        <w:t>archivo 2 referido por el Sujeto Obligado en respuesta</w:t>
      </w:r>
      <w:r w:rsidRPr="006078F5">
        <w:rPr>
          <w:rFonts w:ascii="Palatino Linotype" w:eastAsia="Palatino Linotype" w:hAnsi="Palatino Linotype" w:cs="Palatino Linotype"/>
        </w:rPr>
        <w:t xml:space="preserve">, mismo que a dicho del particular no fue anexado, y en consecuencia no se entregaron facturas </w:t>
      </w:r>
      <w:r w:rsidR="00A61260" w:rsidRPr="006078F5">
        <w:rPr>
          <w:rFonts w:ascii="Palatino Linotype" w:eastAsia="Palatino Linotype" w:hAnsi="Palatino Linotype" w:cs="Palatino Linotype"/>
        </w:rPr>
        <w:t>posteriores al 31 de agosto 2025, a la fecha de la solicitud.</w:t>
      </w:r>
    </w:p>
    <w:p w:rsidR="00A61260" w:rsidRPr="006078F5" w:rsidRDefault="00A61260" w:rsidP="00A61260">
      <w:pPr>
        <w:spacing w:line="360" w:lineRule="auto"/>
        <w:ind w:right="-787"/>
        <w:jc w:val="both"/>
        <w:rPr>
          <w:rFonts w:ascii="Palatino Linotype" w:eastAsia="Palatino Linotype" w:hAnsi="Palatino Linotype" w:cs="Palatino Linotype"/>
          <w:color w:val="000000"/>
        </w:rPr>
      </w:pPr>
    </w:p>
    <w:p w:rsidR="00A61260" w:rsidRPr="006078F5" w:rsidRDefault="00A61260" w:rsidP="00A61260">
      <w:pPr>
        <w:numPr>
          <w:ilvl w:val="0"/>
          <w:numId w:val="2"/>
        </w:numPr>
        <w:spacing w:line="360" w:lineRule="auto"/>
        <w:ind w:left="0" w:right="-787" w:firstLine="0"/>
        <w:jc w:val="both"/>
        <w:rPr>
          <w:rFonts w:ascii="Palatino Linotype" w:eastAsia="Palatino Linotype" w:hAnsi="Palatino Linotype" w:cs="Palatino Linotype"/>
          <w:b/>
          <w:i/>
        </w:rPr>
      </w:pPr>
      <w:r w:rsidRPr="006078F5">
        <w:rPr>
          <w:rFonts w:ascii="Palatino Linotype" w:eastAsia="Palatino Linotype" w:hAnsi="Palatino Linotype" w:cs="Palatino Linotype"/>
        </w:rPr>
        <w:t xml:space="preserve">De lo anterior, esta Ponencia procedió a analizar las documentales remitidas en respuesta, advirtiendo que el archivo denominado </w:t>
      </w:r>
      <w:r w:rsidRPr="006078F5">
        <w:rPr>
          <w:rFonts w:ascii="Palatino Linotype" w:eastAsia="Palatino Linotype" w:hAnsi="Palatino Linotype" w:cs="Palatino Linotype"/>
          <w:b/>
          <w:i/>
        </w:rPr>
        <w:t>FACTURAS 2 DE 2.pdf</w:t>
      </w:r>
      <w:r w:rsidRPr="006078F5">
        <w:rPr>
          <w:rFonts w:ascii="Palatino Linotype" w:eastAsia="Palatino Linotype" w:hAnsi="Palatino Linotype" w:cs="Palatino Linotype"/>
        </w:rPr>
        <w:t xml:space="preserve">, contiene facturas </w:t>
      </w:r>
      <w:r w:rsidRPr="006078F5">
        <w:rPr>
          <w:rFonts w:ascii="Palatino Linotype" w:eastAsia="Palatino Linotype" w:hAnsi="Palatino Linotype" w:cs="Palatino Linotype"/>
        </w:rPr>
        <w:lastRenderedPageBreak/>
        <w:t xml:space="preserve">con montos superiores a un millón de pesos, de la temporalidad del 31 de agosto al </w:t>
      </w:r>
      <w:r w:rsidR="0031695B" w:rsidRPr="006078F5">
        <w:rPr>
          <w:rFonts w:ascii="Palatino Linotype" w:eastAsia="Palatino Linotype" w:hAnsi="Palatino Linotype" w:cs="Palatino Linotype"/>
        </w:rPr>
        <w:t>07 de noviembre de 2025</w:t>
      </w:r>
      <w:r w:rsidR="00B57728" w:rsidRPr="006078F5">
        <w:rPr>
          <w:rFonts w:ascii="Palatino Linotype" w:eastAsia="Palatino Linotype" w:hAnsi="Palatino Linotype" w:cs="Palatino Linotype"/>
        </w:rPr>
        <w:t>, tal como se muestra en las imágenes siguientes:</w:t>
      </w:r>
    </w:p>
    <w:p w:rsidR="00B57728" w:rsidRPr="006078F5" w:rsidRDefault="00B57728" w:rsidP="00B57728">
      <w:pPr>
        <w:spacing w:line="360" w:lineRule="auto"/>
        <w:ind w:right="-787"/>
        <w:jc w:val="both"/>
        <w:rPr>
          <w:rFonts w:ascii="Palatino Linotype" w:eastAsia="Palatino Linotype" w:hAnsi="Palatino Linotype" w:cs="Palatino Linotype"/>
        </w:rPr>
      </w:pPr>
    </w:p>
    <w:p w:rsidR="00B57728" w:rsidRPr="006078F5" w:rsidRDefault="005B6129" w:rsidP="00B57728">
      <w:pPr>
        <w:spacing w:line="360" w:lineRule="auto"/>
        <w:ind w:right="-787"/>
        <w:jc w:val="both"/>
        <w:rPr>
          <w:rFonts w:ascii="Palatino Linotype" w:eastAsia="Palatino Linotype" w:hAnsi="Palatino Linotype" w:cs="Palatino Linotype"/>
          <w:b/>
          <w:i/>
        </w:rPr>
      </w:pPr>
      <w:r w:rsidRPr="006078F5">
        <w:rPr>
          <w:rFonts w:ascii="Palatino Linotype" w:eastAsia="Palatino Linotype" w:hAnsi="Palatino Linotype" w:cs="Palatino Linotype"/>
          <w:b/>
          <w:i/>
          <w:noProof/>
          <w:lang w:val="es-MX" w:eastAsia="es-MX"/>
        </w:rPr>
        <w:drawing>
          <wp:inline distT="0" distB="0" distL="0" distR="0" wp14:anchorId="38FC7BD6" wp14:editId="1EDED91A">
            <wp:extent cx="5756275" cy="580834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275" cy="5808345"/>
                    </a:xfrm>
                    <a:prstGeom prst="rect">
                      <a:avLst/>
                    </a:prstGeom>
                  </pic:spPr>
                </pic:pic>
              </a:graphicData>
            </a:graphic>
          </wp:inline>
        </w:drawing>
      </w:r>
    </w:p>
    <w:p w:rsidR="005B6129" w:rsidRPr="006078F5" w:rsidRDefault="005B6129" w:rsidP="00B57728">
      <w:pPr>
        <w:spacing w:line="360" w:lineRule="auto"/>
        <w:ind w:right="-787"/>
        <w:jc w:val="both"/>
        <w:rPr>
          <w:rFonts w:ascii="Palatino Linotype" w:eastAsia="Palatino Linotype" w:hAnsi="Palatino Linotype" w:cs="Palatino Linotype"/>
          <w:b/>
          <w:i/>
        </w:rPr>
      </w:pPr>
    </w:p>
    <w:p w:rsidR="005B6129" w:rsidRPr="006078F5" w:rsidRDefault="005B6129" w:rsidP="00B57728">
      <w:pPr>
        <w:spacing w:line="360" w:lineRule="auto"/>
        <w:ind w:right="-787"/>
        <w:jc w:val="both"/>
        <w:rPr>
          <w:rFonts w:ascii="Palatino Linotype" w:eastAsia="Palatino Linotype" w:hAnsi="Palatino Linotype" w:cs="Palatino Linotype"/>
          <w:b/>
          <w:i/>
        </w:rPr>
      </w:pPr>
      <w:r w:rsidRPr="006078F5">
        <w:rPr>
          <w:rFonts w:ascii="Palatino Linotype" w:eastAsia="Palatino Linotype" w:hAnsi="Palatino Linotype" w:cs="Palatino Linotype"/>
          <w:b/>
          <w:i/>
          <w:noProof/>
          <w:lang w:val="es-MX" w:eastAsia="es-MX"/>
        </w:rPr>
        <w:lastRenderedPageBreak/>
        <w:drawing>
          <wp:inline distT="0" distB="0" distL="0" distR="0" wp14:anchorId="54B22F92" wp14:editId="4B53579F">
            <wp:extent cx="5756275" cy="46551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4655185"/>
                    </a:xfrm>
                    <a:prstGeom prst="rect">
                      <a:avLst/>
                    </a:prstGeom>
                  </pic:spPr>
                </pic:pic>
              </a:graphicData>
            </a:graphic>
          </wp:inline>
        </w:drawing>
      </w:r>
    </w:p>
    <w:p w:rsidR="005B6129" w:rsidRPr="006078F5" w:rsidRDefault="005B6129" w:rsidP="005B6129">
      <w:pPr>
        <w:numPr>
          <w:ilvl w:val="0"/>
          <w:numId w:val="2"/>
        </w:numPr>
        <w:spacing w:line="360" w:lineRule="auto"/>
        <w:ind w:left="0" w:right="-787" w:firstLine="0"/>
        <w:jc w:val="both"/>
        <w:rPr>
          <w:b/>
          <w:color w:val="000000"/>
        </w:rPr>
      </w:pPr>
      <w:r w:rsidRPr="006078F5">
        <w:rPr>
          <w:rFonts w:ascii="Palatino Linotype" w:eastAsia="Palatino Linotype" w:hAnsi="Palatino Linotype" w:cs="Palatino Linotype"/>
        </w:rPr>
        <w:t xml:space="preserve">Del análisis de la información entregada se concluye que </w:t>
      </w:r>
      <w:r w:rsidRPr="006078F5">
        <w:rPr>
          <w:rFonts w:ascii="Palatino Linotype" w:eastAsia="Palatino Linotype" w:hAnsi="Palatino Linotype" w:cs="Palatino Linotype"/>
          <w:color w:val="000000"/>
        </w:rPr>
        <w:t xml:space="preserve">la obligación de los Sujetos Obligados de dar acceso a la información pública que generen, </w:t>
      </w:r>
      <w:r w:rsidRPr="006078F5">
        <w:rPr>
          <w:rFonts w:ascii="Palatino Linotype" w:eastAsia="Palatino Linotype" w:hAnsi="Palatino Linotype" w:cs="Palatino Linotype"/>
        </w:rPr>
        <w:t>administren</w:t>
      </w:r>
      <w:r w:rsidRPr="006078F5">
        <w:rPr>
          <w:rFonts w:ascii="Palatino Linotype" w:eastAsia="Palatino Linotype" w:hAnsi="Palatino Linotype" w:cs="Palatino Linotype"/>
          <w:color w:val="000000"/>
        </w:rPr>
        <w:t xml:space="preserve"> o posean, se tendrá por cumplida cuando el solicitante tenga a su disposición la información requerida, como ha sucedido en el caso concreto, por lo que el Sujeto Obligado </w:t>
      </w:r>
      <w:r w:rsidRPr="006078F5">
        <w:rPr>
          <w:rFonts w:ascii="Palatino Linotype" w:eastAsia="Palatino Linotype" w:hAnsi="Palatino Linotype" w:cs="Palatino Linotype"/>
          <w:b/>
          <w:color w:val="000000"/>
        </w:rPr>
        <w:t xml:space="preserve">colmó en su totalidad el requerimiento de información, </w:t>
      </w:r>
      <w:r w:rsidRPr="006078F5">
        <w:rPr>
          <w:rFonts w:ascii="Palatino Linotype" w:eastAsia="Palatino Linotype" w:hAnsi="Palatino Linotype" w:cs="Palatino Linotype"/>
          <w:color w:val="000000"/>
        </w:rPr>
        <w:t>al entregar las facturas con montos superiores a un millón de pesos, de la temporalidad solicitada.</w:t>
      </w:r>
    </w:p>
    <w:p w:rsidR="005B6129" w:rsidRPr="006078F5" w:rsidRDefault="005B6129" w:rsidP="005B6129">
      <w:pPr>
        <w:spacing w:line="360" w:lineRule="auto"/>
        <w:ind w:right="-787"/>
        <w:jc w:val="both"/>
        <w:rPr>
          <w:b/>
          <w:color w:val="000000"/>
        </w:rPr>
      </w:pPr>
    </w:p>
    <w:p w:rsidR="00A97E64" w:rsidRPr="006078F5" w:rsidRDefault="005B6129" w:rsidP="00A97E64">
      <w:pPr>
        <w:numPr>
          <w:ilvl w:val="0"/>
          <w:numId w:val="2"/>
        </w:numPr>
        <w:spacing w:line="360" w:lineRule="auto"/>
        <w:ind w:left="0" w:right="-787" w:firstLine="0"/>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color w:val="000000"/>
        </w:rPr>
        <w:t xml:space="preserve">No obstante, no es posible confirmar la respuesta proporcionada, ya que en el archivo entregado en respuesta denominado </w:t>
      </w:r>
      <w:r w:rsidR="00A97E64" w:rsidRPr="006078F5">
        <w:rPr>
          <w:rFonts w:ascii="Palatino Linotype" w:eastAsia="Palatino Linotype" w:hAnsi="Palatino Linotype" w:cs="Palatino Linotype"/>
          <w:b/>
          <w:i/>
          <w:color w:val="000000"/>
        </w:rPr>
        <w:t xml:space="preserve">FACTURAS 2 DE 2.pdf </w:t>
      </w:r>
      <w:r w:rsidR="00A97E64" w:rsidRPr="006078F5">
        <w:rPr>
          <w:rFonts w:ascii="Palatino Linotype" w:eastAsia="Palatino Linotype" w:hAnsi="Palatino Linotype" w:cs="Palatino Linotype"/>
          <w:color w:val="000000"/>
        </w:rPr>
        <w:t xml:space="preserve">contiene diversas facturas </w:t>
      </w:r>
      <w:r w:rsidR="00F10393" w:rsidRPr="006078F5">
        <w:rPr>
          <w:rFonts w:ascii="Palatino Linotype" w:eastAsia="Palatino Linotype" w:hAnsi="Palatino Linotype" w:cs="Palatino Linotype"/>
          <w:color w:val="000000"/>
        </w:rPr>
        <w:t xml:space="preserve">que </w:t>
      </w:r>
      <w:r w:rsidR="00F10393" w:rsidRPr="006078F5">
        <w:rPr>
          <w:rFonts w:ascii="Palatino Linotype" w:eastAsia="Palatino Linotype" w:hAnsi="Palatino Linotype" w:cs="Palatino Linotype"/>
          <w:color w:val="000000"/>
        </w:rPr>
        <w:lastRenderedPageBreak/>
        <w:t xml:space="preserve">corresponden a la adquisición de vehículos destinados a actividades de seguridad pública, en la que se dejan a la vista características del equipamiento de los mismos, </w:t>
      </w:r>
      <w:r w:rsidR="00F10393" w:rsidRPr="006078F5">
        <w:rPr>
          <w:rFonts w:ascii="Palatino Linotype" w:eastAsia="Palatino Linotype" w:hAnsi="Palatino Linotype" w:cs="Palatino Linotype"/>
          <w:color w:val="000000"/>
          <w:u w:val="single"/>
        </w:rPr>
        <w:t xml:space="preserve">información que </w:t>
      </w:r>
      <w:r w:rsidR="00F10393" w:rsidRPr="006078F5">
        <w:rPr>
          <w:rFonts w:ascii="Palatino Linotype" w:eastAsia="Palatino Linotype" w:hAnsi="Palatino Linotype" w:cs="Palatino Linotype"/>
          <w:bCs/>
          <w:iCs/>
          <w:color w:val="000000"/>
          <w:u w:val="single"/>
        </w:rPr>
        <w:t>no debe ser entregada al tratarse de información susceptible de ser clasificada, al contener detalles técnicos de los equipos de seguridad</w:t>
      </w:r>
      <w:r w:rsidR="00664FC6" w:rsidRPr="006078F5">
        <w:rPr>
          <w:rFonts w:ascii="Palatino Linotype" w:eastAsia="Palatino Linotype" w:hAnsi="Palatino Linotype" w:cs="Palatino Linotype"/>
          <w:bCs/>
          <w:iCs/>
          <w:color w:val="000000"/>
        </w:rPr>
        <w:t>, por lo que, dicha información debió ser clasificada como reservada, en razón de lo que a continuación se argumenta.</w:t>
      </w:r>
    </w:p>
    <w:p w:rsidR="00664FC6" w:rsidRPr="006078F5" w:rsidRDefault="00664FC6" w:rsidP="00664FC6">
      <w:pPr>
        <w:spacing w:line="360" w:lineRule="auto"/>
        <w:ind w:right="-787"/>
        <w:jc w:val="both"/>
        <w:rPr>
          <w:rFonts w:ascii="Palatino Linotype" w:eastAsia="Palatino Linotype" w:hAnsi="Palatino Linotype" w:cs="Palatino Linotype"/>
          <w:b/>
          <w:i/>
          <w:color w:val="000000"/>
        </w:rPr>
      </w:pPr>
    </w:p>
    <w:p w:rsidR="00664FC6" w:rsidRPr="006078F5" w:rsidRDefault="00664FC6" w:rsidP="00A22B97">
      <w:pPr>
        <w:numPr>
          <w:ilvl w:val="0"/>
          <w:numId w:val="2"/>
        </w:numPr>
        <w:spacing w:line="360" w:lineRule="auto"/>
        <w:ind w:left="0" w:right="-787" w:firstLine="0"/>
        <w:jc w:val="both"/>
        <w:rPr>
          <w:rFonts w:ascii="Palatino Linotype" w:hAnsi="Palatino Linotype" w:cs="Tahoma"/>
          <w:lang w:val="es-ES"/>
        </w:rPr>
      </w:pPr>
      <w:r w:rsidRPr="006078F5">
        <w:rPr>
          <w:rFonts w:ascii="Palatino Linotype" w:hAnsi="Palatino Linotype" w:cs="Tahoma"/>
          <w:lang w:val="es-ES"/>
        </w:rPr>
        <w:t xml:space="preserve">Este Instituto advierte que </w:t>
      </w:r>
      <w:r w:rsidRPr="006078F5">
        <w:rPr>
          <w:rFonts w:ascii="Palatino Linotype" w:hAnsi="Palatino Linotype" w:cs="Tahoma"/>
          <w:b/>
          <w:lang w:val="es-ES"/>
        </w:rPr>
        <w:t>proporcionar la especificaciones técnicas de</w:t>
      </w:r>
      <w:r w:rsidR="00A22B97" w:rsidRPr="006078F5">
        <w:rPr>
          <w:rFonts w:ascii="Palatino Linotype" w:hAnsi="Palatino Linotype" w:cs="Tahoma"/>
          <w:b/>
          <w:lang w:val="es-ES"/>
        </w:rPr>
        <w:t xml:space="preserve"> los vehículos destinados a actividades de seguridad pública</w:t>
      </w:r>
      <w:r w:rsidR="00A22B97" w:rsidRPr="006078F5">
        <w:rPr>
          <w:rFonts w:ascii="Palatino Linotype" w:hAnsi="Palatino Linotype" w:cs="Tahoma"/>
          <w:lang w:val="es-ES"/>
        </w:rPr>
        <w:t xml:space="preserve"> o</w:t>
      </w:r>
      <w:r w:rsidRPr="006078F5">
        <w:rPr>
          <w:rFonts w:ascii="Palatino Linotype" w:hAnsi="Palatino Linotype" w:cs="Tahoma"/>
          <w:lang w:val="es-ES"/>
        </w:rPr>
        <w:t xml:space="preserve"> cualquier tipo de armamento con los que cuentan elementos de seguridad pública, para el combate a la delincuencia en el </w:t>
      </w:r>
      <w:r w:rsidRPr="006078F5">
        <w:rPr>
          <w:rFonts w:ascii="Palatino Linotype" w:eastAsia="Palatino Linotype" w:hAnsi="Palatino Linotype" w:cs="Palatino Linotype"/>
          <w:bCs/>
          <w:iCs/>
          <w:color w:val="000000"/>
        </w:rPr>
        <w:t>Municipio</w:t>
      </w:r>
      <w:r w:rsidRPr="006078F5">
        <w:rPr>
          <w:rFonts w:ascii="Palatino Linotype" w:hAnsi="Palatino Linotype" w:cs="Tahoma"/>
          <w:lang w:val="es-ES"/>
        </w:rPr>
        <w:t xml:space="preserve">, puede causar un daño, pues </w:t>
      </w:r>
      <w:r w:rsidRPr="006078F5">
        <w:rPr>
          <w:rFonts w:ascii="Palatino Linotype" w:hAnsi="Palatino Linotype" w:cs="Tahoma"/>
          <w:u w:val="single"/>
          <w:lang w:val="es-ES"/>
        </w:rPr>
        <w:t xml:space="preserve">al proporcionar información sobre </w:t>
      </w:r>
      <w:r w:rsidR="00A22B97" w:rsidRPr="006078F5">
        <w:rPr>
          <w:rFonts w:ascii="Palatino Linotype" w:hAnsi="Palatino Linotype" w:cs="Tahoma"/>
          <w:u w:val="single"/>
          <w:lang w:val="es-ES"/>
        </w:rPr>
        <w:t xml:space="preserve">detalles técnicos, </w:t>
      </w:r>
      <w:r w:rsidRPr="006078F5">
        <w:rPr>
          <w:rFonts w:ascii="Palatino Linotype" w:hAnsi="Palatino Linotype" w:cs="Tahoma"/>
          <w:u w:val="single"/>
          <w:lang w:val="es-ES"/>
        </w:rPr>
        <w:t>armamento</w:t>
      </w:r>
      <w:r w:rsidRPr="006078F5">
        <w:rPr>
          <w:rFonts w:ascii="Palatino Linotype" w:hAnsi="Palatino Linotype" w:cs="Tahoma"/>
          <w:b/>
          <w:u w:val="single"/>
          <w:lang w:val="es-ES"/>
        </w:rPr>
        <w:t xml:space="preserve">, </w:t>
      </w:r>
      <w:r w:rsidRPr="006078F5">
        <w:rPr>
          <w:rFonts w:ascii="Palatino Linotype" w:hAnsi="Palatino Linotype" w:cs="Tahoma"/>
          <w:u w:val="single"/>
          <w:lang w:val="es-ES"/>
        </w:rPr>
        <w:t>blindaje, equipo de radio,</w:t>
      </w:r>
      <w:r w:rsidR="00A22B97" w:rsidRPr="006078F5">
        <w:rPr>
          <w:rFonts w:ascii="Palatino Linotype" w:hAnsi="Palatino Linotype" w:cs="Tahoma"/>
          <w:u w:val="single"/>
          <w:lang w:val="es-ES"/>
        </w:rPr>
        <w:t xml:space="preserve"> equipo de video vigilancia, sistemas de monitoreo y rastreo,</w:t>
      </w:r>
      <w:r w:rsidRPr="006078F5">
        <w:rPr>
          <w:rFonts w:ascii="Palatino Linotype" w:hAnsi="Palatino Linotype" w:cs="Tahoma"/>
          <w:u w:val="single"/>
          <w:lang w:val="es-ES"/>
        </w:rPr>
        <w:t xml:space="preserve"> etc., con los que cuentan en el área de seguridad pública</w:t>
      </w:r>
      <w:r w:rsidRPr="006078F5">
        <w:rPr>
          <w:rFonts w:ascii="Palatino Linotype" w:hAnsi="Palatino Linotype" w:cs="Tahoma"/>
          <w:b/>
          <w:u w:val="single"/>
          <w:lang w:val="es-ES"/>
        </w:rPr>
        <w:t>,</w:t>
      </w:r>
      <w:r w:rsidRPr="006078F5">
        <w:rPr>
          <w:rFonts w:ascii="Palatino Linotype" w:hAnsi="Palatino Linotype" w:cs="Tahoma"/>
          <w:u w:val="single"/>
          <w:lang w:val="es-ES"/>
        </w:rPr>
        <w:t xml:space="preserve"> se estaría dando cuenta características de equipamiento</w:t>
      </w:r>
      <w:r w:rsidRPr="006078F5">
        <w:rPr>
          <w:rFonts w:ascii="Palatino Linotype" w:hAnsi="Palatino Linotype" w:cs="Tahoma"/>
          <w:lang w:val="es-ES"/>
        </w:rPr>
        <w:t xml:space="preserve"> con que cuentan los policías municipales para mantener la seguridad dentro del territorio del Municipio.</w:t>
      </w:r>
    </w:p>
    <w:p w:rsidR="00664FC6" w:rsidRPr="006078F5" w:rsidRDefault="00664FC6" w:rsidP="00664FC6">
      <w:pPr>
        <w:spacing w:line="360" w:lineRule="auto"/>
        <w:ind w:right="-93"/>
        <w:jc w:val="both"/>
        <w:rPr>
          <w:rFonts w:ascii="Palatino Linotype" w:hAnsi="Palatino Linotype" w:cs="Tahoma"/>
          <w:lang w:val="es-ES"/>
        </w:rPr>
      </w:pPr>
    </w:p>
    <w:p w:rsidR="00664FC6" w:rsidRPr="006078F5" w:rsidRDefault="00664FC6" w:rsidP="00C81DD1">
      <w:pPr>
        <w:numPr>
          <w:ilvl w:val="0"/>
          <w:numId w:val="2"/>
        </w:numPr>
        <w:spacing w:line="360" w:lineRule="auto"/>
        <w:ind w:left="0" w:right="-787" w:firstLine="0"/>
        <w:jc w:val="both"/>
        <w:rPr>
          <w:rFonts w:ascii="Palatino Linotype" w:eastAsia="Calibri" w:hAnsi="Palatino Linotype" w:cs="Tahoma"/>
          <w:b/>
          <w:bCs/>
          <w:lang w:eastAsia="en-US"/>
        </w:rPr>
      </w:pPr>
      <w:r w:rsidRPr="006078F5">
        <w:rPr>
          <w:rFonts w:ascii="Palatino Linotype" w:eastAsia="Calibri" w:hAnsi="Palatino Linotype" w:cs="Tahoma"/>
          <w:bCs/>
          <w:lang w:eastAsia="en-US"/>
        </w:rPr>
        <w:t xml:space="preserve">Conforme a lo anterior, se puede colegir que proporcionar la información en análisis podría comprometer la seguridad pública, al poner en peligro las funciones a cargo del </w:t>
      </w:r>
      <w:r w:rsidRPr="006078F5">
        <w:rPr>
          <w:rFonts w:ascii="Palatino Linotype" w:hAnsi="Palatino Linotype" w:cs="Tahoma"/>
          <w:lang w:val="es-ES"/>
        </w:rPr>
        <w:t>Municipio</w:t>
      </w:r>
      <w:r w:rsidRPr="006078F5">
        <w:rPr>
          <w:rFonts w:ascii="Palatino Linotype" w:eastAsia="Calibri" w:hAnsi="Palatino Linotype" w:cs="Tahoma"/>
          <w:bCs/>
          <w:lang w:eastAsia="en-US"/>
        </w:rPr>
        <w:t xml:space="preserve">, </w:t>
      </w:r>
      <w:r w:rsidRPr="006078F5">
        <w:rPr>
          <w:rFonts w:ascii="Palatino Linotype" w:hAnsi="Palatino Linotype"/>
        </w:rPr>
        <w:t xml:space="preserve"> </w:t>
      </w:r>
      <w:r w:rsidRPr="006078F5">
        <w:rPr>
          <w:rFonts w:ascii="Palatino Linotype" w:eastAsia="Calibri" w:hAnsi="Palatino Linotype" w:cs="Tahoma"/>
          <w:bCs/>
          <w:lang w:eastAsia="en-US"/>
        </w:rPr>
        <w:t xml:space="preserve">tendientes a preservar y resguardar la vida, la salud, la integridad y el ejercicio de los derechos de las personas, así como para el mantenimiento del orden público, toda vez </w:t>
      </w:r>
      <w:r w:rsidRPr="006078F5">
        <w:rPr>
          <w:rFonts w:ascii="Palatino Linotype" w:eastAsia="Calibri" w:hAnsi="Palatino Linotype" w:cs="Tahoma"/>
          <w:b/>
          <w:bCs/>
          <w:lang w:eastAsia="en-US"/>
        </w:rPr>
        <w:t xml:space="preserve">que da cuenta del equipamiento de las unidades </w:t>
      </w:r>
      <w:r w:rsidR="00C81DD1" w:rsidRPr="006078F5">
        <w:rPr>
          <w:rFonts w:ascii="Palatino Linotype" w:eastAsia="Calibri" w:hAnsi="Palatino Linotype" w:cs="Tahoma"/>
          <w:b/>
          <w:bCs/>
          <w:lang w:eastAsia="en-US"/>
        </w:rPr>
        <w:t>de</w:t>
      </w:r>
      <w:r w:rsidRPr="006078F5">
        <w:rPr>
          <w:rFonts w:ascii="Palatino Linotype" w:eastAsia="Calibri" w:hAnsi="Palatino Linotype" w:cs="Tahoma"/>
          <w:b/>
          <w:bCs/>
          <w:lang w:eastAsia="en-US"/>
        </w:rPr>
        <w:t xml:space="preserve"> seguridad pública </w:t>
      </w:r>
      <w:r w:rsidRPr="006078F5">
        <w:rPr>
          <w:rFonts w:ascii="Palatino Linotype" w:eastAsia="Calibri" w:hAnsi="Palatino Linotype" w:cs="Tahoma"/>
          <w:bCs/>
          <w:lang w:eastAsia="en-US"/>
        </w:rPr>
        <w:t>y por lo tanto, acredita la causal de clasificación prevista en el artículo 140, fracción I de la Ley de Transparencia y Acceso a la Información Pública del Estado de México</w:t>
      </w:r>
      <w:r w:rsidRPr="006078F5">
        <w:rPr>
          <w:rFonts w:ascii="Palatino Linotype" w:eastAsia="Calibri" w:hAnsi="Palatino Linotype" w:cs="Tahoma"/>
          <w:b/>
          <w:bCs/>
          <w:lang w:eastAsia="en-US"/>
        </w:rPr>
        <w:t>.</w:t>
      </w:r>
    </w:p>
    <w:p w:rsidR="00664FC6" w:rsidRDefault="00664FC6" w:rsidP="00664FC6">
      <w:pPr>
        <w:spacing w:line="360" w:lineRule="auto"/>
        <w:jc w:val="both"/>
        <w:rPr>
          <w:rFonts w:ascii="Palatino Linotype" w:eastAsia="Calibri" w:hAnsi="Palatino Linotype" w:cs="Tahoma"/>
          <w:b/>
          <w:bCs/>
          <w:lang w:eastAsia="en-US"/>
        </w:rPr>
      </w:pPr>
    </w:p>
    <w:p w:rsidR="006078F5" w:rsidRPr="006078F5" w:rsidRDefault="006078F5" w:rsidP="00664FC6">
      <w:pPr>
        <w:spacing w:line="360" w:lineRule="auto"/>
        <w:jc w:val="both"/>
        <w:rPr>
          <w:rFonts w:ascii="Palatino Linotype" w:eastAsia="Calibri" w:hAnsi="Palatino Linotype" w:cs="Tahoma"/>
          <w:b/>
          <w:bCs/>
          <w:lang w:eastAsia="en-US"/>
        </w:rPr>
      </w:pPr>
    </w:p>
    <w:p w:rsidR="00664FC6" w:rsidRPr="006078F5" w:rsidRDefault="00664FC6" w:rsidP="00664FC6">
      <w:pPr>
        <w:tabs>
          <w:tab w:val="left" w:pos="8505"/>
        </w:tabs>
        <w:ind w:left="709" w:right="142"/>
        <w:jc w:val="center"/>
        <w:rPr>
          <w:rFonts w:ascii="Palatino Linotype" w:eastAsia="Palatino Linotype" w:hAnsi="Palatino Linotype" w:cs="Palatino Linotype"/>
          <w:i/>
        </w:rPr>
      </w:pPr>
      <w:r w:rsidRPr="006078F5">
        <w:rPr>
          <w:rFonts w:ascii="Palatino Linotype" w:eastAsia="Palatino Linotype" w:hAnsi="Palatino Linotype" w:cs="Palatino Linotype"/>
          <w:b/>
          <w:i/>
        </w:rPr>
        <w:lastRenderedPageBreak/>
        <w:t>De la Información Reservada</w:t>
      </w:r>
    </w:p>
    <w:p w:rsidR="00664FC6" w:rsidRPr="006078F5" w:rsidRDefault="00664FC6" w:rsidP="00664FC6">
      <w:pPr>
        <w:tabs>
          <w:tab w:val="left" w:pos="8505"/>
        </w:tabs>
        <w:ind w:left="709" w:right="142"/>
        <w:jc w:val="both"/>
        <w:rPr>
          <w:rFonts w:ascii="Palatino Linotype" w:eastAsia="Palatino Linotype" w:hAnsi="Palatino Linotype" w:cs="Palatino Linotype"/>
          <w:i/>
        </w:rPr>
      </w:pPr>
    </w:p>
    <w:p w:rsidR="00664FC6" w:rsidRPr="006078F5" w:rsidRDefault="00664FC6" w:rsidP="00664FC6">
      <w:pPr>
        <w:tabs>
          <w:tab w:val="left" w:pos="8505"/>
        </w:tabs>
        <w:ind w:left="709" w:right="142"/>
        <w:jc w:val="both"/>
        <w:rPr>
          <w:rFonts w:ascii="Palatino Linotype" w:eastAsia="Palatino Linotype" w:hAnsi="Palatino Linotype" w:cs="Palatino Linotype"/>
          <w:i/>
        </w:rPr>
      </w:pPr>
      <w:r w:rsidRPr="006078F5">
        <w:rPr>
          <w:rFonts w:ascii="Palatino Linotype" w:eastAsia="Palatino Linotype" w:hAnsi="Palatino Linotype" w:cs="Palatino Linotype"/>
          <w:b/>
          <w:i/>
        </w:rPr>
        <w:t>Artículo 140</w:t>
      </w:r>
      <w:r w:rsidRPr="006078F5">
        <w:rPr>
          <w:rFonts w:ascii="Palatino Linotype" w:eastAsia="Palatino Linotype" w:hAnsi="Palatino Linotype" w:cs="Palatino Linotype"/>
          <w:i/>
        </w:rPr>
        <w:t xml:space="preserve">. El acceso a la información pública será restringido excepcionalmente, cuando por razones de interés público, ésta sea clasificada como reservada, conforme a los criterios siguientes: </w:t>
      </w:r>
    </w:p>
    <w:p w:rsidR="00664FC6" w:rsidRPr="006078F5" w:rsidRDefault="00664FC6" w:rsidP="00664FC6">
      <w:pPr>
        <w:tabs>
          <w:tab w:val="left" w:pos="8505"/>
        </w:tabs>
        <w:ind w:left="709" w:right="142"/>
        <w:jc w:val="both"/>
        <w:rPr>
          <w:rFonts w:ascii="Palatino Linotype" w:eastAsia="Palatino Linotype" w:hAnsi="Palatino Linotype" w:cs="Palatino Linotype"/>
          <w:i/>
        </w:rPr>
      </w:pPr>
    </w:p>
    <w:p w:rsidR="00664FC6" w:rsidRPr="006078F5" w:rsidRDefault="00664FC6" w:rsidP="00664FC6">
      <w:pPr>
        <w:tabs>
          <w:tab w:val="left" w:pos="8505"/>
        </w:tabs>
        <w:ind w:left="709" w:right="142"/>
        <w:jc w:val="both"/>
        <w:rPr>
          <w:rFonts w:ascii="Palatino Linotype" w:eastAsia="Palatino Linotype" w:hAnsi="Palatino Linotype" w:cs="Palatino Linotype"/>
          <w:i/>
        </w:rPr>
      </w:pPr>
      <w:r w:rsidRPr="006078F5">
        <w:rPr>
          <w:rFonts w:ascii="Palatino Linotype" w:eastAsia="Palatino Linotype" w:hAnsi="Palatino Linotype" w:cs="Palatino Linotype"/>
          <w:i/>
        </w:rPr>
        <w:t>I. Comprometa la seguridad pública y cuente con un propósito genuino y un efecto demostrable;</w:t>
      </w:r>
    </w:p>
    <w:p w:rsidR="00664FC6" w:rsidRPr="006078F5" w:rsidRDefault="00664FC6" w:rsidP="00664FC6">
      <w:pPr>
        <w:tabs>
          <w:tab w:val="left" w:pos="8505"/>
        </w:tabs>
        <w:ind w:left="709" w:right="142"/>
        <w:jc w:val="both"/>
        <w:rPr>
          <w:rFonts w:ascii="Palatino Linotype" w:eastAsia="Palatino Linotype" w:hAnsi="Palatino Linotype" w:cs="Palatino Linotype"/>
          <w:i/>
        </w:rPr>
      </w:pPr>
      <w:r w:rsidRPr="006078F5">
        <w:rPr>
          <w:rFonts w:ascii="Palatino Linotype" w:eastAsia="Palatino Linotype" w:hAnsi="Palatino Linotype" w:cs="Palatino Linotype"/>
          <w:i/>
        </w:rPr>
        <w:t>…</w:t>
      </w:r>
    </w:p>
    <w:p w:rsidR="00664FC6" w:rsidRPr="006078F5" w:rsidRDefault="00664FC6" w:rsidP="00664FC6">
      <w:pPr>
        <w:spacing w:line="360" w:lineRule="auto"/>
        <w:ind w:right="-93"/>
        <w:jc w:val="both"/>
        <w:rPr>
          <w:rFonts w:ascii="Palatino Linotype" w:hAnsi="Palatino Linotype" w:cs="Tahoma"/>
          <w:lang w:val="es-ES"/>
        </w:rPr>
      </w:pPr>
    </w:p>
    <w:p w:rsidR="00664FC6" w:rsidRPr="006078F5" w:rsidRDefault="00664FC6" w:rsidP="00C064ED">
      <w:pPr>
        <w:numPr>
          <w:ilvl w:val="0"/>
          <w:numId w:val="2"/>
        </w:numPr>
        <w:spacing w:line="360" w:lineRule="auto"/>
        <w:ind w:left="0" w:right="-787" w:firstLine="0"/>
        <w:jc w:val="both"/>
        <w:rPr>
          <w:rFonts w:ascii="Palatino Linotype" w:eastAsia="Calibri" w:hAnsi="Palatino Linotype" w:cs="Tahoma"/>
          <w:iCs/>
          <w:lang w:val="es-ES" w:eastAsia="es-ES_tradnl"/>
        </w:rPr>
      </w:pPr>
      <w:r w:rsidRPr="006078F5">
        <w:rPr>
          <w:rFonts w:ascii="Palatino Linotype" w:eastAsia="Calibri" w:hAnsi="Palatino Linotype" w:cs="Tahoma"/>
          <w:iCs/>
          <w:lang w:val="es-ES" w:eastAsia="es-ES_tradnl"/>
        </w:rPr>
        <w:t xml:space="preserve">Sobre el </w:t>
      </w:r>
      <w:r w:rsidRPr="006078F5">
        <w:rPr>
          <w:rFonts w:ascii="Palatino Linotype" w:eastAsia="Calibri" w:hAnsi="Palatino Linotype" w:cs="Tahoma"/>
          <w:bCs/>
          <w:lang w:eastAsia="en-US"/>
        </w:rPr>
        <w:t>particular</w:t>
      </w:r>
      <w:r w:rsidRPr="006078F5">
        <w:rPr>
          <w:rFonts w:ascii="Palatino Linotype" w:eastAsia="Calibri" w:hAnsi="Palatino Linotype" w:cs="Tahoma"/>
          <w:iCs/>
          <w:lang w:val="es-ES" w:eastAsia="es-ES_tradnl"/>
        </w:rPr>
        <w:t xml:space="preserve">, cabe traer a colación el artículo 141 de la Ley de Transparencia y Acceso a la </w:t>
      </w:r>
      <w:r w:rsidRPr="006078F5">
        <w:rPr>
          <w:rFonts w:ascii="Palatino Linotype" w:eastAsia="Calibri" w:hAnsi="Palatino Linotype" w:cs="Tahoma"/>
          <w:bCs/>
          <w:lang w:eastAsia="en-US"/>
        </w:rPr>
        <w:t>Información</w:t>
      </w:r>
      <w:r w:rsidRPr="006078F5">
        <w:rPr>
          <w:rFonts w:ascii="Palatino Linotype" w:eastAsia="Calibri" w:hAnsi="Palatino Linotype" w:cs="Tahoma"/>
          <w:iCs/>
          <w:lang w:val="es-ES" w:eastAsia="es-ES_tradnl"/>
        </w:rPr>
        <w:t xml:space="preserve"> Pública del Estado de México y Municipios, que establece que las causales de reserva se deberán fundar y motivar, a través de la aplicación de la prueba de daño establecida en el artículo 129 de dicho ordenamiento, que se debe justificar de la siguiente manera:</w:t>
      </w:r>
    </w:p>
    <w:p w:rsidR="00664FC6" w:rsidRPr="006078F5" w:rsidRDefault="00664FC6" w:rsidP="00664FC6">
      <w:pPr>
        <w:numPr>
          <w:ilvl w:val="0"/>
          <w:numId w:val="28"/>
        </w:numPr>
        <w:tabs>
          <w:tab w:val="left" w:pos="4962"/>
        </w:tabs>
        <w:spacing w:line="360" w:lineRule="auto"/>
        <w:jc w:val="both"/>
        <w:rPr>
          <w:rFonts w:ascii="Palatino Linotype" w:eastAsia="Calibri" w:hAnsi="Palatino Linotype" w:cs="Tahoma"/>
          <w:iCs/>
          <w:lang w:eastAsia="es-ES_tradnl"/>
        </w:rPr>
      </w:pPr>
      <w:r w:rsidRPr="006078F5">
        <w:rPr>
          <w:rFonts w:ascii="Palatino Linotype" w:eastAsia="Calibri" w:hAnsi="Palatino Linotype" w:cs="Tahoma"/>
          <w:iCs/>
          <w:lang w:eastAsia="es-ES_tradnl"/>
        </w:rPr>
        <w:t>La divulgación de la información representa un riesgo real, demostrable e identificable de perjuicio significativo al interés público o a la seguridad nacional.</w:t>
      </w:r>
    </w:p>
    <w:p w:rsidR="00664FC6" w:rsidRPr="006078F5" w:rsidRDefault="00664FC6" w:rsidP="00664FC6">
      <w:pPr>
        <w:numPr>
          <w:ilvl w:val="0"/>
          <w:numId w:val="28"/>
        </w:numPr>
        <w:tabs>
          <w:tab w:val="left" w:pos="4962"/>
        </w:tabs>
        <w:spacing w:line="360" w:lineRule="auto"/>
        <w:jc w:val="both"/>
        <w:rPr>
          <w:rFonts w:ascii="Palatino Linotype" w:eastAsia="Calibri" w:hAnsi="Palatino Linotype" w:cs="Tahoma"/>
          <w:iCs/>
          <w:lang w:eastAsia="es-ES_tradnl"/>
        </w:rPr>
      </w:pPr>
      <w:r w:rsidRPr="006078F5">
        <w:rPr>
          <w:rFonts w:ascii="Palatino Linotype" w:eastAsia="Calibri" w:hAnsi="Palatino Linotype" w:cs="Tahoma"/>
          <w:iCs/>
          <w:lang w:eastAsia="es-ES_tradnl"/>
        </w:rPr>
        <w:t>El riesgo de perjuicio supera el interés público general de que se difunda.</w:t>
      </w:r>
    </w:p>
    <w:p w:rsidR="00664FC6" w:rsidRPr="006078F5" w:rsidRDefault="00664FC6" w:rsidP="00664FC6">
      <w:pPr>
        <w:numPr>
          <w:ilvl w:val="0"/>
          <w:numId w:val="28"/>
        </w:numPr>
        <w:tabs>
          <w:tab w:val="left" w:pos="4962"/>
        </w:tabs>
        <w:spacing w:line="360" w:lineRule="auto"/>
        <w:jc w:val="both"/>
        <w:rPr>
          <w:rFonts w:ascii="Palatino Linotype" w:eastAsia="Calibri" w:hAnsi="Palatino Linotype" w:cs="Tahoma"/>
          <w:iCs/>
          <w:lang w:eastAsia="es-ES_tradnl"/>
        </w:rPr>
      </w:pPr>
      <w:r w:rsidRPr="006078F5">
        <w:rPr>
          <w:rFonts w:ascii="Palatino Linotype" w:eastAsia="Calibri" w:hAnsi="Palatino Linotype" w:cs="Tahoma"/>
          <w:iCs/>
          <w:lang w:eastAsia="es-ES_tradnl"/>
        </w:rPr>
        <w:t>Que la limitación se adecua al principio de proporcionalidad y representa el medio menos restrictivo disponible para evitar el perjuicio.</w:t>
      </w:r>
    </w:p>
    <w:p w:rsidR="00664FC6" w:rsidRPr="006078F5" w:rsidRDefault="00664FC6" w:rsidP="00664FC6">
      <w:pPr>
        <w:spacing w:line="360" w:lineRule="auto"/>
        <w:ind w:right="-93"/>
        <w:jc w:val="both"/>
        <w:rPr>
          <w:rFonts w:ascii="Palatino Linotype" w:hAnsi="Palatino Linotype" w:cs="Tahoma"/>
          <w:lang w:val="es-ES"/>
        </w:rPr>
      </w:pPr>
    </w:p>
    <w:p w:rsidR="00664FC6" w:rsidRPr="006078F5" w:rsidRDefault="00664FC6" w:rsidP="00C064ED">
      <w:pPr>
        <w:numPr>
          <w:ilvl w:val="0"/>
          <w:numId w:val="2"/>
        </w:numPr>
        <w:spacing w:line="360" w:lineRule="auto"/>
        <w:ind w:left="0" w:right="-787" w:firstLine="0"/>
        <w:jc w:val="both"/>
        <w:rPr>
          <w:rFonts w:ascii="Palatino Linotype" w:eastAsia="Calibri" w:hAnsi="Palatino Linotype" w:cs="Tahoma"/>
          <w:iCs/>
          <w:lang w:val="es-ES" w:eastAsia="es-ES_tradnl"/>
        </w:rPr>
      </w:pPr>
      <w:r w:rsidRPr="006078F5">
        <w:rPr>
          <w:rFonts w:ascii="Palatino Linotype" w:eastAsia="Calibri" w:hAnsi="Palatino Linotype" w:cs="Tahoma"/>
          <w:iCs/>
          <w:lang w:val="es-ES" w:eastAsia="es-ES_tradnl"/>
        </w:rPr>
        <w:t>Por tales consideraciones, resulta procedente la reserva, en términos del artículo 140, fracción I, de la Ley de Transparencia y Acceso a la Información Pública del Estado de México y Municipios, respecto a las especificaciones técnicas del armamento.</w:t>
      </w:r>
    </w:p>
    <w:p w:rsidR="00664FC6" w:rsidRPr="006078F5" w:rsidRDefault="00664FC6" w:rsidP="00C064ED">
      <w:pPr>
        <w:spacing w:line="360" w:lineRule="auto"/>
        <w:ind w:right="-787"/>
        <w:jc w:val="both"/>
        <w:rPr>
          <w:rFonts w:ascii="Palatino Linotype" w:eastAsia="Calibri" w:hAnsi="Palatino Linotype" w:cs="Tahoma"/>
          <w:iCs/>
          <w:lang w:val="es-ES" w:eastAsia="es-ES_tradnl"/>
        </w:rPr>
      </w:pPr>
    </w:p>
    <w:p w:rsidR="00664FC6" w:rsidRPr="006078F5" w:rsidRDefault="00664FC6" w:rsidP="00C064ED">
      <w:pPr>
        <w:numPr>
          <w:ilvl w:val="0"/>
          <w:numId w:val="2"/>
        </w:numPr>
        <w:spacing w:line="360" w:lineRule="auto"/>
        <w:ind w:left="0" w:right="-787" w:firstLine="0"/>
        <w:jc w:val="both"/>
        <w:rPr>
          <w:rFonts w:ascii="Palatino Linotype" w:eastAsia="Calibri" w:hAnsi="Palatino Linotype" w:cs="Tahoma"/>
          <w:iCs/>
          <w:lang w:val="es-ES" w:eastAsia="es-ES_tradnl"/>
        </w:rPr>
      </w:pPr>
      <w:r w:rsidRPr="006078F5">
        <w:rPr>
          <w:rFonts w:ascii="Palatino Linotype" w:eastAsia="Calibri" w:hAnsi="Palatino Linotype" w:cs="Tahoma"/>
          <w:iCs/>
          <w:lang w:val="es-ES" w:eastAsia="es-ES_tradnl"/>
        </w:rPr>
        <w:lastRenderedPageBreak/>
        <w:t>Por tanto, se considera que la respuesta proporcionada por el Sujeto Obligado no implica la clasificación de información, pues esta no fue emitida por el Comité de Transparencia de manera fundada y motivada; por lo que, para satisfacer plenamente el derecho de acceso a la información del Recurrente, es necesario que se haga entrega del Acuerdo de Clasificación correspondiente, con el cual se deberá fundamentar y motivar adecuadamente la clasificación de la información como reservada solicitada por el Recurrente, con la finalidad de dar cumplimiento a los principios de certeza jurídica, máxima publicidad y pro persona que establecen los artículos 4 y 9 fracciones I, VII y VIII de la Ley de Transparencia y Acceso a la Información Pública del Estado de México y Municipios.</w:t>
      </w:r>
    </w:p>
    <w:p w:rsidR="00664FC6" w:rsidRPr="006078F5" w:rsidRDefault="00664FC6" w:rsidP="00C064ED">
      <w:pPr>
        <w:spacing w:line="360" w:lineRule="auto"/>
        <w:ind w:right="-787"/>
        <w:jc w:val="both"/>
        <w:rPr>
          <w:rFonts w:ascii="Palatino Linotype" w:eastAsia="Calibri" w:hAnsi="Palatino Linotype" w:cs="Tahoma"/>
          <w:iCs/>
          <w:lang w:val="es-ES" w:eastAsia="es-ES_tradnl"/>
        </w:rPr>
      </w:pPr>
    </w:p>
    <w:p w:rsidR="00664FC6" w:rsidRPr="006078F5" w:rsidRDefault="00664FC6" w:rsidP="00C064ED">
      <w:pPr>
        <w:numPr>
          <w:ilvl w:val="0"/>
          <w:numId w:val="2"/>
        </w:numPr>
        <w:spacing w:line="360" w:lineRule="auto"/>
        <w:ind w:left="0" w:right="-787" w:firstLine="0"/>
        <w:jc w:val="both"/>
        <w:rPr>
          <w:rFonts w:ascii="Palatino Linotype" w:eastAsia="Calibri" w:hAnsi="Palatino Linotype" w:cs="Tahoma"/>
          <w:iCs/>
          <w:lang w:val="es-ES" w:eastAsia="es-ES_tradnl"/>
        </w:rPr>
      </w:pPr>
      <w:r w:rsidRPr="006078F5">
        <w:rPr>
          <w:rFonts w:ascii="Palatino Linotype" w:eastAsia="Calibri" w:hAnsi="Palatino Linotype" w:cs="Tahoma"/>
          <w:iCs/>
          <w:lang w:val="es-ES" w:eastAsia="es-ES_tradnl"/>
        </w:rPr>
        <w:t xml:space="preserve">Para entender los alcances de la fundamentación y motivación, sirve de sustento la tesis visible en la página 450, Tomo XIV, Noviembre de 1994, del Apéndice del Semanario Judicial de la Federación 1917-2000, que literalmente dice: </w:t>
      </w:r>
    </w:p>
    <w:p w:rsidR="00664FC6" w:rsidRPr="006078F5" w:rsidRDefault="00664FC6" w:rsidP="00664FC6">
      <w:pPr>
        <w:ind w:left="567"/>
        <w:jc w:val="both"/>
        <w:rPr>
          <w:rFonts w:ascii="Palatino Linotype" w:eastAsia="Palatino Linotype" w:hAnsi="Palatino Linotype" w:cs="Palatino Linotype"/>
          <w:i/>
        </w:rPr>
      </w:pPr>
      <w:r w:rsidRPr="006078F5">
        <w:rPr>
          <w:rFonts w:ascii="Palatino Linotype" w:eastAsia="Palatino Linotype" w:hAnsi="Palatino Linotype" w:cs="Palatino Linotype"/>
          <w:i/>
        </w:rPr>
        <w:t>FUNDAMENTACIÓN Y MOTIVACIÓN, CONCEPTO DE.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rsidR="00664FC6" w:rsidRPr="006078F5" w:rsidRDefault="00664FC6" w:rsidP="00664FC6">
      <w:pPr>
        <w:spacing w:line="360" w:lineRule="auto"/>
        <w:ind w:right="616"/>
        <w:jc w:val="both"/>
        <w:rPr>
          <w:rFonts w:ascii="Palatino Linotype" w:eastAsia="Palatino Linotype" w:hAnsi="Palatino Linotype" w:cs="Palatino Linotype"/>
        </w:rPr>
      </w:pPr>
    </w:p>
    <w:p w:rsidR="00664FC6" w:rsidRPr="006078F5" w:rsidRDefault="00664FC6" w:rsidP="00C064ED">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lang w:val="es-MX"/>
        </w:rPr>
        <w:t>Así</w:t>
      </w:r>
      <w:r w:rsidRPr="006078F5">
        <w:rPr>
          <w:rFonts w:ascii="Palatino Linotype" w:eastAsia="Palatino Linotype" w:hAnsi="Palatino Linotype" w:cs="Palatino Linotype"/>
        </w:rPr>
        <w:t xml:space="preserve">, </w:t>
      </w:r>
      <w:r w:rsidRPr="006078F5">
        <w:rPr>
          <w:rFonts w:ascii="Palatino Linotype" w:eastAsia="Calibri" w:hAnsi="Palatino Linotype" w:cs="Tahoma"/>
          <w:iCs/>
          <w:lang w:val="es-ES" w:eastAsia="es-ES_tradnl"/>
        </w:rPr>
        <w:t>para</w:t>
      </w:r>
      <w:r w:rsidRPr="006078F5">
        <w:rPr>
          <w:rFonts w:ascii="Palatino Linotype" w:eastAsia="Palatino Linotype" w:hAnsi="Palatino Linotype" w:cs="Palatino Linotype"/>
        </w:rPr>
        <w:t xml:space="preserve"> considerar que se cumple con la formalidad destacada, la autoridad emisora de un acto de autoridad que incida en la esfera de derechos de un particular, </w:t>
      </w:r>
      <w:r w:rsidRPr="006078F5">
        <w:rPr>
          <w:rFonts w:ascii="Palatino Linotype" w:eastAsia="Palatino Linotype" w:hAnsi="Palatino Linotype" w:cs="Palatino Linotype"/>
          <w:b/>
        </w:rPr>
        <w:t>debe darle a conocer a este,  en detalle y de manera completa</w:t>
      </w:r>
      <w:r w:rsidRPr="006078F5">
        <w:rPr>
          <w:rFonts w:ascii="Palatino Linotype" w:eastAsia="Palatino Linotype" w:hAnsi="Palatino Linotype" w:cs="Palatino Linotype"/>
        </w:rPr>
        <w:t xml:space="preserve">, en la actuación de que se trate, la esencia de todas las circunstancias y condiciones que determinaron el acto de la autoridad, de manera que sea evidente y muy claro para el afectado poder cuestionar y controvertir el mérito de la decisión, permitiéndole una real y auténtica defensa. Por tanto, no basta que el acto de </w:t>
      </w:r>
      <w:r w:rsidRPr="006078F5">
        <w:rPr>
          <w:rFonts w:ascii="Palatino Linotype" w:eastAsia="Palatino Linotype" w:hAnsi="Palatino Linotype" w:cs="Palatino Linotype"/>
        </w:rPr>
        <w:lastRenderedPageBreak/>
        <w:t>autoridad apenas observe una motivación de manera insuficiente o imprecisa, que impida la finalidad del conocimiento, comprobación y defensa pertinente, por lo que, la decisión a efecto de que se considere debidamente fundado y motivado, debe de exponer los hechos relevantes para decidir, citando la norma y un argumento mínimo pero suficiente para acreditar el razonamiento del que se deduzca la relación de pertenencia lógica de los hechos al derecho invocado, que es la subsunción.</w:t>
      </w:r>
    </w:p>
    <w:p w:rsidR="00664FC6" w:rsidRPr="006078F5" w:rsidRDefault="00664FC6" w:rsidP="00664FC6">
      <w:pPr>
        <w:spacing w:line="360" w:lineRule="auto"/>
        <w:ind w:right="616"/>
        <w:jc w:val="both"/>
        <w:rPr>
          <w:rFonts w:ascii="Palatino Linotype" w:eastAsia="Palatino Linotype" w:hAnsi="Palatino Linotype" w:cs="Palatino Linotype"/>
        </w:rPr>
      </w:pPr>
    </w:p>
    <w:p w:rsidR="00664FC6" w:rsidRPr="006078F5" w:rsidRDefault="00664FC6" w:rsidP="00C064ED">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lang w:val="es-MX"/>
        </w:rPr>
        <w:t>Tal</w:t>
      </w:r>
      <w:r w:rsidRPr="006078F5">
        <w:rPr>
          <w:rFonts w:ascii="Palatino Linotype" w:eastAsia="Palatino Linotype" w:hAnsi="Palatino Linotype" w:cs="Palatino Linotype"/>
        </w:rPr>
        <w:t xml:space="preserve"> criterio se advierte de la tesis jurisprudencial I.4o.A. J/43, sustentada por el Cuarto Tribunal en Materia Administrativa del Primer Circuito, publicada en la página 1531 del Tomo XXIII, Mayo de 2006, del Semanario Judicial de la Federación y su Gaceta correspondiente a la Novena Época, que dice: </w:t>
      </w:r>
    </w:p>
    <w:p w:rsidR="00664FC6" w:rsidRPr="006078F5" w:rsidRDefault="00664FC6" w:rsidP="00664FC6">
      <w:pPr>
        <w:ind w:left="567"/>
        <w:jc w:val="both"/>
        <w:rPr>
          <w:rFonts w:ascii="Palatino Linotype" w:eastAsia="Palatino Linotype" w:hAnsi="Palatino Linotype" w:cs="Palatino Linotype"/>
          <w:i/>
        </w:rPr>
      </w:pPr>
      <w:r w:rsidRPr="006078F5">
        <w:rPr>
          <w:rFonts w:ascii="Palatino Linotype" w:eastAsia="Palatino Linotype" w:hAnsi="Palatino Linotype" w:cs="Palatino Linotype"/>
          <w:i/>
        </w:rPr>
        <w:t>FUNDAMENTACIÓN Y MOTIVACIÓN. EL ASPECTO FORMAL DE LA GARANTÍA Y SU FINALIDAD SE TRADUCEN EN EXPLICAR, JUSTIFICAR, POSIBILITAR LA DEFENSA Y COMUNICAR LA DECISIÓN.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tabs>
          <w:tab w:val="left" w:pos="1586"/>
        </w:tabs>
        <w:spacing w:line="360" w:lineRule="auto"/>
        <w:contextualSpacing/>
        <w:jc w:val="both"/>
        <w:rPr>
          <w:rFonts w:ascii="Palatino Linotype" w:eastAsia="Palatino Linotype" w:hAnsi="Palatino Linotype" w:cs="Palatino Linotype"/>
          <w:lang w:val="es-MX"/>
        </w:rPr>
      </w:pPr>
    </w:p>
    <w:p w:rsidR="00664FC6" w:rsidRPr="006078F5" w:rsidRDefault="00664FC6" w:rsidP="00C064ED">
      <w:pPr>
        <w:numPr>
          <w:ilvl w:val="0"/>
          <w:numId w:val="2"/>
        </w:numPr>
        <w:spacing w:line="360" w:lineRule="auto"/>
        <w:ind w:left="0" w:right="-787" w:firstLine="0"/>
        <w:jc w:val="both"/>
        <w:rPr>
          <w:rFonts w:ascii="Palatino Linotype" w:eastAsia="Palatino Linotype" w:hAnsi="Palatino Linotype" w:cs="Palatino Linotype"/>
          <w:lang w:val="es-MX"/>
        </w:rPr>
      </w:pPr>
      <w:r w:rsidRPr="006078F5">
        <w:rPr>
          <w:rFonts w:ascii="Palatino Linotype" w:eastAsia="Palatino Linotype" w:hAnsi="Palatino Linotype" w:cs="Palatino Linotype"/>
        </w:rPr>
        <w:lastRenderedPageBreak/>
        <w:t>Asimismo</w:t>
      </w:r>
      <w:r w:rsidRPr="006078F5">
        <w:rPr>
          <w:rFonts w:ascii="Palatino Linotype" w:eastAsia="Palatino Linotype" w:hAnsi="Palatino Linotype" w:cs="Palatino Linotype"/>
          <w:lang w:val="es-MX"/>
        </w:rPr>
        <w:t xml:space="preserve">, se </w:t>
      </w:r>
      <w:r w:rsidRPr="006078F5">
        <w:rPr>
          <w:rFonts w:ascii="Palatino Linotype" w:eastAsia="Palatino Linotype" w:hAnsi="Palatino Linotype" w:cs="Palatino Linotype"/>
        </w:rPr>
        <w:t>debe</w:t>
      </w:r>
      <w:r w:rsidRPr="006078F5">
        <w:rPr>
          <w:rFonts w:ascii="Palatino Linotype" w:eastAsia="Palatino Linotype" w:hAnsi="Palatino Linotype" w:cs="Palatino Linotype"/>
          <w:lang w:val="es-MX"/>
        </w:rPr>
        <w:t xml:space="preserve"> precisar que la clasificación de la información no se da por el simple mandato de la Ley, sino que es necesario que el Sujeto Obligado deba atender los dispuesto por la Ley de la materia al momento de clasificar algún documento o información, ya sea total o parcialmente, ya que dicha clasificación es una labor en conjunto de los servidores públicos habilitados, de las Unidades de Transparencia y del Comité de Transparencia del Sujeto Obligado, teniendo los servidores públicos habilitados el deber de presentar ante la Unidad de Transparencia la propuesta de clasificación de la información, para que ésta se presente ante el Comité de Transparencia con la finalidad de que, de resultar procedente el proyecto de clasificación de la información, el Comité apruebe, modifique o revoque la clasificación de la información solicitada.</w:t>
      </w:r>
    </w:p>
    <w:p w:rsidR="00664FC6" w:rsidRPr="006078F5" w:rsidRDefault="00664FC6" w:rsidP="00664FC6">
      <w:pPr>
        <w:tabs>
          <w:tab w:val="left" w:pos="1586"/>
        </w:tabs>
        <w:spacing w:line="360" w:lineRule="auto"/>
        <w:contextualSpacing/>
        <w:jc w:val="both"/>
        <w:rPr>
          <w:rFonts w:ascii="Palatino Linotype" w:eastAsia="Palatino Linotype" w:hAnsi="Palatino Linotype" w:cs="Palatino Linotype"/>
          <w:lang w:val="es-MX"/>
        </w:rPr>
      </w:pPr>
    </w:p>
    <w:p w:rsidR="00664FC6" w:rsidRPr="006078F5" w:rsidRDefault="00664FC6" w:rsidP="00C064ED">
      <w:pPr>
        <w:numPr>
          <w:ilvl w:val="0"/>
          <w:numId w:val="2"/>
        </w:numPr>
        <w:spacing w:line="360" w:lineRule="auto"/>
        <w:ind w:left="0" w:right="-787" w:firstLine="0"/>
        <w:jc w:val="both"/>
        <w:rPr>
          <w:rFonts w:ascii="Palatino Linotype" w:eastAsia="Palatino Linotype" w:hAnsi="Palatino Linotype" w:cs="Palatino Linotype"/>
          <w:lang w:val="es-MX"/>
        </w:rPr>
      </w:pPr>
      <w:r w:rsidRPr="006078F5">
        <w:rPr>
          <w:rFonts w:ascii="Palatino Linotype" w:eastAsia="Palatino Linotype" w:hAnsi="Palatino Linotype" w:cs="Palatino Linotype"/>
          <w:lang w:val="es-MX"/>
        </w:rPr>
        <w:t xml:space="preserve">Ahora bien, para el caso de la información de carácter reservada, se debe atender a lo establecido en los artículos 122, 125, </w:t>
      </w:r>
      <w:r w:rsidRPr="006078F5">
        <w:rPr>
          <w:rFonts w:ascii="Palatino Linotype" w:eastAsia="Palatino Linotype" w:hAnsi="Palatino Linotype" w:cs="Palatino Linotype"/>
        </w:rPr>
        <w:t>126</w:t>
      </w:r>
      <w:r w:rsidRPr="006078F5">
        <w:rPr>
          <w:rFonts w:ascii="Palatino Linotype" w:eastAsia="Palatino Linotype" w:hAnsi="Palatino Linotype" w:cs="Palatino Linotype"/>
          <w:lang w:val="es-MX"/>
        </w:rPr>
        <w:t xml:space="preserve">, 127, 128, 129, 130, 131, 132, 133, 134, 135, 137, 140, 141 y 142 de la Ley de </w:t>
      </w:r>
      <w:r w:rsidRPr="006078F5">
        <w:rPr>
          <w:rFonts w:ascii="Palatino Linotype" w:eastAsia="Palatino Linotype" w:hAnsi="Palatino Linotype" w:cs="Palatino Linotype"/>
        </w:rPr>
        <w:t>Transparencia</w:t>
      </w:r>
      <w:r w:rsidRPr="006078F5">
        <w:rPr>
          <w:rFonts w:ascii="Palatino Linotype" w:eastAsia="Palatino Linotype" w:hAnsi="Palatino Linotype" w:cs="Palatino Linotype"/>
          <w:lang w:val="es-MX"/>
        </w:rPr>
        <w:t xml:space="preserve"> Estatal, que a la letra estipulan lo siguiente:</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122. </w:t>
      </w:r>
      <w:r w:rsidRPr="006078F5">
        <w:rPr>
          <w:rFonts w:ascii="Palatino Linotype" w:eastAsia="Palatino Linotype" w:hAnsi="Palatino Linotype" w:cs="Times New Roman"/>
          <w:i/>
          <w:lang w:val="es-MX"/>
        </w:rPr>
        <w:t>La clasificación es el proceso mediante el cual el sujeto obligado determina que la información en su poder actualiza alguno de los supuestos de reserva o confidencialidad, de conformidad con lo dispuesto en el presente título.</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 xml:space="preserve"> </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 xml:space="preserve">Los supuestos de reserva o confidencialidad previstos en las leyes deberán ser acordes con las bases, principios y disposiciones establecidos en la Ley General y, en ningún caso, podrán contravenirla.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Los titulares de las áreas de los sujetos obligados serán los responsables de clasificar la información, de conformidad con lo dispuesto en la presente Ley y demás disposiciones jurídicas aplicables.</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125. </w:t>
      </w:r>
      <w:r w:rsidRPr="006078F5">
        <w:rPr>
          <w:rFonts w:ascii="Palatino Linotype" w:eastAsia="Palatino Linotype" w:hAnsi="Palatino Linotype" w:cs="Times New Roman"/>
          <w:i/>
          <w:lang w:val="es-MX"/>
        </w:rPr>
        <w:t xml:space="preserve">La información clasificada como reservada, de acuerdo a lo establecido en esta Ley podrá permanecer con tal carácter hasta por un periodo de </w:t>
      </w:r>
      <w:r w:rsidRPr="006078F5">
        <w:rPr>
          <w:rFonts w:ascii="Palatino Linotype" w:eastAsia="Palatino Linotype" w:hAnsi="Palatino Linotype" w:cs="Times New Roman"/>
          <w:i/>
          <w:lang w:val="es-MX"/>
        </w:rPr>
        <w:lastRenderedPageBreak/>
        <w:t xml:space="preserve">cinco años, contados a partir de su clasificación, salvo que antes del cumplimiento del periodo de restricción, dejaran de existir los motivos de su reserva.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 xml:space="preserve">Los titulares de las áreas deberán determinar que el plazo de reserva sea el estrictamente necesario para proteger la información mientras subsistan las causas que dieron origen a la clasificación, salvaguardando el interés público protegido y tomarán en cuenta las razones que justifican el periodo de reserva establecido.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 xml:space="preserve">Excepcionalmente los sujetos obligados con la aprobación de su Comité de Transparencia, podrán ampliar el periodo de reserva hasta por un plazo de cinco años adicionales y por una sola vez, siempre y cuando justifiquen que subsisten las causas que dieron origen a su clasificación, mediante la aplicación de una prueba de daño.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Cuando expiren los plazos de clasificación o se trate de información cuya publicación pueda ocasionar la destrucción o inhabilitación de la infraestructura de carácter estratégico para la provisión de bienes o servicios públicos, que a juicio de un sujeto obligado sea necesario ampliar nuevamente el periodo de reserva de la información, el Comité de Transparencia respectivo deberá hacer la solicitud correspondiente al Instituto, debidamente fundada y motivada, aplicando la prueba de daño y señalando el plazo de reserva, por lo menos con tres meses de anticipación al vencimiento del periodo.</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126. </w:t>
      </w:r>
      <w:r w:rsidRPr="006078F5">
        <w:rPr>
          <w:rFonts w:ascii="Palatino Linotype" w:eastAsia="Palatino Linotype" w:hAnsi="Palatino Linotype" w:cs="Times New Roman"/>
          <w:i/>
          <w:lang w:val="es-MX"/>
        </w:rPr>
        <w:t xml:space="preserve">Cada área del sujeto obligado elaborará un índice de los expedientes clasificados como reservados, por área responsable de la información y tema.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 xml:space="preserve">El índice deberá elaborarse semestralmente y publicarse en formatos abiertos al día siguiente de 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127. </w:t>
      </w:r>
      <w:r w:rsidRPr="006078F5">
        <w:rPr>
          <w:rFonts w:ascii="Palatino Linotype" w:eastAsia="Palatino Linotype" w:hAnsi="Palatino Linotype" w:cs="Times New Roman"/>
          <w:i/>
          <w:lang w:val="es-MX"/>
        </w:rPr>
        <w:t>Los índices de los expedientes clasificados como reservados serán información pública y deberán ser publicados en el sitio de internet de los sujetos obligados, así como en la Plataforma Nacional.</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 xml:space="preserve"> </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lastRenderedPageBreak/>
        <w:t>En ningún caso el índice será considerado como información reservada.</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128. </w:t>
      </w:r>
      <w:r w:rsidRPr="006078F5">
        <w:rPr>
          <w:rFonts w:ascii="Palatino Linotype" w:eastAsia="Palatino Linotype" w:hAnsi="Palatino Linotype" w:cs="Times New Roman"/>
          <w:i/>
          <w:lang w:val="es-MX"/>
        </w:rPr>
        <w:t xml:space="preserve">En los casos en que se niegue el acceso a la información, por actualizarse alguno de los supuestos de clasificación, el Comité de Transparencia deberá confirmar, modificar o revocar la decisión.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 xml:space="preserve">Para motivar la clasificación de la información y la ampliación del plazo de reserva, se deberán señalar las razones, motivos o circunstancias especiales que llevaron al sujeto obligado a concluir que el caso particular se ajusta al supuesto previsto por la norma legal invocada como fundamento. Además, el sujeto obligado deberá, en todo momento, aplicar una prueba de daño.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 xml:space="preserve">Tratándose de aquélla información que actualice los supuestos de clasificación, deberá señalarse el plazo al que estará sujeto la reserva.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129. </w:t>
      </w:r>
      <w:r w:rsidRPr="006078F5">
        <w:rPr>
          <w:rFonts w:ascii="Palatino Linotype" w:eastAsia="Palatino Linotype" w:hAnsi="Palatino Linotype" w:cs="Times New Roman"/>
          <w:i/>
          <w:lang w:val="es-MX"/>
        </w:rPr>
        <w:t xml:space="preserve">En la aplicación de la prueba de daño, el sujeto obligado deberá precisar las razones objetivas por las que la apertura de la información generaría una afectación, justificando que: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I. </w:t>
      </w:r>
      <w:r w:rsidRPr="006078F5">
        <w:rPr>
          <w:rFonts w:ascii="Palatino Linotype" w:eastAsia="Palatino Linotype" w:hAnsi="Palatino Linotype" w:cs="Times New Roman"/>
          <w:b/>
          <w:bCs/>
          <w:i/>
          <w:lang w:val="es-MX"/>
        </w:rPr>
        <w:tab/>
      </w:r>
      <w:r w:rsidRPr="006078F5">
        <w:rPr>
          <w:rFonts w:ascii="Palatino Linotype" w:eastAsia="Palatino Linotype" w:hAnsi="Palatino Linotype" w:cs="Times New Roman"/>
          <w:i/>
          <w:lang w:val="es-MX"/>
        </w:rPr>
        <w:t xml:space="preserve">La divulgación de la información representa un riesgo real, demostrable e identificable del perjuicio significativo al interés público o a la seguridad pública; </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II. </w:t>
      </w:r>
      <w:r w:rsidRPr="006078F5">
        <w:rPr>
          <w:rFonts w:ascii="Palatino Linotype" w:eastAsia="Palatino Linotype" w:hAnsi="Palatino Linotype" w:cs="Times New Roman"/>
          <w:b/>
          <w:bCs/>
          <w:i/>
          <w:lang w:val="es-MX"/>
        </w:rPr>
        <w:tab/>
      </w:r>
      <w:r w:rsidRPr="006078F5">
        <w:rPr>
          <w:rFonts w:ascii="Palatino Linotype" w:eastAsia="Palatino Linotype" w:hAnsi="Palatino Linotype" w:cs="Times New Roman"/>
          <w:i/>
          <w:lang w:val="es-MX"/>
        </w:rPr>
        <w:t xml:space="preserve">El riesgo de perjuicio que supondría la divulgación supera el interés público general de que se difunda; y </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III. </w:t>
      </w:r>
      <w:r w:rsidRPr="006078F5">
        <w:rPr>
          <w:rFonts w:ascii="Palatino Linotype" w:eastAsia="Palatino Linotype" w:hAnsi="Palatino Linotype" w:cs="Times New Roman"/>
          <w:b/>
          <w:bCs/>
          <w:i/>
          <w:lang w:val="es-MX"/>
        </w:rPr>
        <w:tab/>
      </w:r>
      <w:r w:rsidRPr="006078F5">
        <w:rPr>
          <w:rFonts w:ascii="Palatino Linotype" w:eastAsia="Palatino Linotype" w:hAnsi="Palatino Linotype" w:cs="Times New Roman"/>
          <w:i/>
          <w:lang w:val="es-MX"/>
        </w:rPr>
        <w:t xml:space="preserve">La limitación se adecua al principio de proporcionalidad y representa el medio menos restrictivo disponible representa el medio menos restrictivo disponible para evitar el perjuicio.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130. </w:t>
      </w:r>
      <w:r w:rsidRPr="006078F5">
        <w:rPr>
          <w:rFonts w:ascii="Palatino Linotype" w:eastAsia="Palatino Linotype" w:hAnsi="Palatino Linotype" w:cs="Times New Roman"/>
          <w:i/>
          <w:lang w:val="es-MX"/>
        </w:rPr>
        <w:t>Los sujetos obligados deberán aplicar, de manera restrictiva y limitada, las excepciones al derecho de acceso a la información y sólo podrán invocarlas cuando acrediten su procedencia, sin ampliar las excepciones o supuestos de reserva o confidencialidad previstos en la Ley General y la presente Ley, aduciendo analogía o mayoría de razón.</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131. </w:t>
      </w:r>
      <w:r w:rsidRPr="006078F5">
        <w:rPr>
          <w:rFonts w:ascii="Palatino Linotype" w:eastAsia="Palatino Linotype" w:hAnsi="Palatino Linotype" w:cs="Times New Roman"/>
          <w:i/>
          <w:lang w:val="es-MX"/>
        </w:rPr>
        <w:t xml:space="preserve">La carga de la prueba para justificar toda negativa de acceso a la información, por actualizarse cualquiera de los supuestos de clasificación previstos en esta Ley corresponderá a los sujetos obligados; en tal caso deberá fundar y </w:t>
      </w:r>
      <w:r w:rsidRPr="006078F5">
        <w:rPr>
          <w:rFonts w:ascii="Palatino Linotype" w:eastAsia="Palatino Linotype" w:hAnsi="Palatino Linotype" w:cs="Times New Roman"/>
          <w:i/>
          <w:lang w:val="es-MX"/>
        </w:rPr>
        <w:lastRenderedPageBreak/>
        <w:t xml:space="preserve">motivar debidamente la clasificación de la información, de conformidad con lo previsto en la presente Ley.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132. </w:t>
      </w:r>
      <w:r w:rsidRPr="006078F5">
        <w:rPr>
          <w:rFonts w:ascii="Palatino Linotype" w:eastAsia="Palatino Linotype" w:hAnsi="Palatino Linotype" w:cs="Times New Roman"/>
          <w:i/>
          <w:lang w:val="es-MX"/>
        </w:rPr>
        <w:t>La clasificación de la información se llevará a cabo en el momento en que:</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I. </w:t>
      </w:r>
      <w:r w:rsidRPr="006078F5">
        <w:rPr>
          <w:rFonts w:ascii="Palatino Linotype" w:eastAsia="Palatino Linotype" w:hAnsi="Palatino Linotype" w:cs="Times New Roman"/>
          <w:b/>
          <w:bCs/>
          <w:i/>
          <w:lang w:val="es-MX"/>
        </w:rPr>
        <w:tab/>
      </w:r>
      <w:r w:rsidRPr="006078F5">
        <w:rPr>
          <w:rFonts w:ascii="Palatino Linotype" w:eastAsia="Palatino Linotype" w:hAnsi="Palatino Linotype" w:cs="Times New Roman"/>
          <w:i/>
          <w:lang w:val="es-MX"/>
        </w:rPr>
        <w:t xml:space="preserve">Se reciba una solicitud de acceso a la información; </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II. </w:t>
      </w:r>
      <w:r w:rsidRPr="006078F5">
        <w:rPr>
          <w:rFonts w:ascii="Palatino Linotype" w:eastAsia="Palatino Linotype" w:hAnsi="Palatino Linotype" w:cs="Times New Roman"/>
          <w:b/>
          <w:bCs/>
          <w:i/>
          <w:lang w:val="es-MX"/>
        </w:rPr>
        <w:tab/>
      </w:r>
      <w:r w:rsidRPr="006078F5">
        <w:rPr>
          <w:rFonts w:ascii="Palatino Linotype" w:eastAsia="Palatino Linotype" w:hAnsi="Palatino Linotype" w:cs="Times New Roman"/>
          <w:i/>
          <w:lang w:val="es-MX"/>
        </w:rPr>
        <w:t xml:space="preserve">Se determine mediante resolución de autoridad competente; o </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III. </w:t>
      </w:r>
      <w:r w:rsidRPr="006078F5">
        <w:rPr>
          <w:rFonts w:ascii="Palatino Linotype" w:eastAsia="Palatino Linotype" w:hAnsi="Palatino Linotype" w:cs="Times New Roman"/>
          <w:b/>
          <w:bCs/>
          <w:i/>
          <w:lang w:val="es-MX"/>
        </w:rPr>
        <w:tab/>
      </w:r>
      <w:r w:rsidRPr="006078F5">
        <w:rPr>
          <w:rFonts w:ascii="Palatino Linotype" w:eastAsia="Palatino Linotype" w:hAnsi="Palatino Linotype" w:cs="Times New Roman"/>
          <w:i/>
          <w:lang w:val="es-MX"/>
        </w:rPr>
        <w:t xml:space="preserve">Se generen versiones públicas para dar cumplimiento a las obligaciones de transparencia previstas en esta Ley.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 xml:space="preserve">Tratándose de información reservada, los titulares de las áreas deberán revisar la clasificación al momento de la recepción de una solicitud, para verificar si subsisten las causas que le dieron origen.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133. </w:t>
      </w:r>
      <w:r w:rsidRPr="006078F5">
        <w:rPr>
          <w:rFonts w:ascii="Palatino Linotype" w:eastAsia="Palatino Linotype" w:hAnsi="Palatino Linotype" w:cs="Times New Roman"/>
          <w:i/>
          <w:lang w:val="es-MX"/>
        </w:rPr>
        <w:t xml:space="preserve">Los documentos clasificados total o parcialmente deberán llevar una leyenda que indique tal carácter, la fecha de clasificación, el fundamento legal y, en su caso, el periodo de reserva.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134. </w:t>
      </w:r>
      <w:r w:rsidRPr="006078F5">
        <w:rPr>
          <w:rFonts w:ascii="Palatino Linotype" w:eastAsia="Palatino Linotype" w:hAnsi="Palatino Linotype" w:cs="Times New Roman"/>
          <w:i/>
          <w:lang w:val="es-MX"/>
        </w:rPr>
        <w:t xml:space="preserve">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el presente Título como información clasificada.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En ningún caso se podrán clasificar documentos antes de que se genere la información.</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 xml:space="preserve"> </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 xml:space="preserve">La clasificación de información se realizará conforme a un análisis caso por caso, mediante la aplicación de la prueba de daño.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135. </w:t>
      </w:r>
      <w:r w:rsidRPr="006078F5">
        <w:rPr>
          <w:rFonts w:ascii="Palatino Linotype" w:eastAsia="Palatino Linotype" w:hAnsi="Palatino Linotype" w:cs="Times New Roman"/>
          <w:i/>
          <w:lang w:val="es-MX"/>
        </w:rPr>
        <w:t>Los lineamientos generales que se emitan al respecto en materia de clasificación de la información reservada y confidencial y, para la elaboración de versiones públicas, serán de observancia obligatoria para los sujetos obligados.</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lastRenderedPageBreak/>
        <w:t xml:space="preserve">Artículo 137. </w:t>
      </w:r>
      <w:r w:rsidRPr="006078F5">
        <w:rPr>
          <w:rFonts w:ascii="Palatino Linotype" w:eastAsia="Palatino Linotype" w:hAnsi="Palatino Linotype" w:cs="Times New Roman"/>
          <w:i/>
          <w:lang w:val="es-MX"/>
        </w:rPr>
        <w:t>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140. </w:t>
      </w:r>
      <w:r w:rsidRPr="006078F5">
        <w:rPr>
          <w:rFonts w:ascii="Palatino Linotype" w:eastAsia="Palatino Linotype" w:hAnsi="Palatino Linotype" w:cs="Times New Roman"/>
          <w:b/>
          <w:i/>
          <w:lang w:val="es-MX"/>
        </w:rPr>
        <w:t>El acceso a la información pública será restringido excepcionalmente, cuando por razones de interés público, ésta sea clasificada como reservada</w:t>
      </w:r>
      <w:r w:rsidRPr="006078F5">
        <w:rPr>
          <w:rFonts w:ascii="Palatino Linotype" w:eastAsia="Palatino Linotype" w:hAnsi="Palatino Linotype" w:cs="Times New Roman"/>
          <w:i/>
          <w:lang w:val="es-MX"/>
        </w:rPr>
        <w:t xml:space="preserve">, conforme a los criterios siguientes: </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I.</w:t>
      </w:r>
      <w:r w:rsidRPr="006078F5">
        <w:rPr>
          <w:rFonts w:ascii="Palatino Linotype" w:eastAsia="Palatino Linotype" w:hAnsi="Palatino Linotype" w:cs="Times New Roman"/>
          <w:b/>
          <w:bCs/>
          <w:i/>
          <w:color w:val="FFFFFF"/>
          <w:lang w:val="es-MX"/>
        </w:rPr>
        <w:t>.</w:t>
      </w:r>
      <w:r w:rsidRPr="006078F5">
        <w:rPr>
          <w:rFonts w:ascii="Palatino Linotype" w:eastAsia="Palatino Linotype" w:hAnsi="Palatino Linotype" w:cs="Times New Roman"/>
          <w:i/>
          <w:lang w:val="es-MX"/>
        </w:rPr>
        <w:tab/>
        <w:t>Comprometa la seguridad pública y cuente con un propósito genuino y un efecto demostrable;</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II.</w:t>
      </w:r>
      <w:r w:rsidRPr="006078F5">
        <w:rPr>
          <w:rFonts w:ascii="Palatino Linotype" w:eastAsia="Palatino Linotype" w:hAnsi="Palatino Linotype" w:cs="Times New Roman"/>
          <w:i/>
          <w:lang w:val="es-MX"/>
        </w:rPr>
        <w:tab/>
        <w:t>Pueda menoscabar la conducción de las negociaciones y relaciones internacionales;</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III.</w:t>
      </w:r>
      <w:r w:rsidRPr="006078F5">
        <w:rPr>
          <w:rFonts w:ascii="Palatino Linotype" w:eastAsia="Palatino Linotype" w:hAnsi="Palatino Linotype" w:cs="Times New Roman"/>
          <w:i/>
          <w:lang w:val="es-MX"/>
        </w:rPr>
        <w:tab/>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IV.</w:t>
      </w:r>
      <w:r w:rsidRPr="006078F5">
        <w:rPr>
          <w:rFonts w:ascii="Palatino Linotype" w:eastAsia="Palatino Linotype" w:hAnsi="Palatino Linotype" w:cs="Times New Roman"/>
          <w:i/>
          <w:lang w:val="es-MX"/>
        </w:rPr>
        <w:tab/>
        <w:t>Ponga en riesgo la vida, la seguridad o la salud de una persona física;</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V.</w:t>
      </w:r>
      <w:r w:rsidRPr="006078F5">
        <w:rPr>
          <w:rFonts w:ascii="Palatino Linotype" w:eastAsia="Palatino Linotype" w:hAnsi="Palatino Linotype" w:cs="Times New Roman"/>
          <w:i/>
          <w:lang w:val="es-MX"/>
        </w:rPr>
        <w:tab/>
        <w:t>Aquella cuya divulgación obstruya o pueda causar un serio perjuicio a:</w:t>
      </w:r>
    </w:p>
    <w:p w:rsidR="00664FC6" w:rsidRPr="006078F5" w:rsidRDefault="00664FC6" w:rsidP="00664FC6">
      <w:pPr>
        <w:ind w:left="1134"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1.</w:t>
      </w:r>
      <w:r w:rsidRPr="006078F5">
        <w:rPr>
          <w:rFonts w:ascii="Palatino Linotype" w:eastAsia="Palatino Linotype" w:hAnsi="Palatino Linotype" w:cs="Times New Roman"/>
          <w:i/>
          <w:lang w:val="es-MX"/>
        </w:rPr>
        <w:tab/>
        <w:t>Las actividades de fiscalización, verificación, inspección, comprobación y auditoría sobre el cumplimiento de las Leyes; o</w:t>
      </w:r>
    </w:p>
    <w:p w:rsidR="00664FC6" w:rsidRPr="006078F5" w:rsidRDefault="00664FC6" w:rsidP="00664FC6">
      <w:pPr>
        <w:ind w:left="1134"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2</w:t>
      </w:r>
      <w:r w:rsidRPr="006078F5">
        <w:rPr>
          <w:rFonts w:ascii="Palatino Linotype" w:eastAsia="Palatino Linotype" w:hAnsi="Palatino Linotype" w:cs="Times New Roman"/>
          <w:i/>
          <w:lang w:val="es-MX"/>
        </w:rPr>
        <w:t>.</w:t>
      </w:r>
      <w:r w:rsidRPr="006078F5">
        <w:rPr>
          <w:rFonts w:ascii="Palatino Linotype" w:eastAsia="Palatino Linotype" w:hAnsi="Palatino Linotype" w:cs="Times New Roman"/>
          <w:i/>
          <w:lang w:val="es-MX"/>
        </w:rPr>
        <w:tab/>
        <w:t>La recaudación de las contribuciones.</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VI.</w:t>
      </w:r>
      <w:r w:rsidRPr="006078F5">
        <w:rPr>
          <w:rFonts w:ascii="Palatino Linotype" w:eastAsia="Palatino Linotype" w:hAnsi="Palatino Linotype" w:cs="Times New Roman"/>
          <w:i/>
          <w:lang w:val="es-MX"/>
        </w:rPr>
        <w:tab/>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VII.</w:t>
      </w:r>
      <w:r w:rsidRPr="006078F5">
        <w:rPr>
          <w:rFonts w:ascii="Palatino Linotype" w:eastAsia="Palatino Linotype" w:hAnsi="Palatino Linotype" w:cs="Times New Roman"/>
          <w:i/>
          <w:lang w:val="es-MX"/>
        </w:rPr>
        <w:tab/>
        <w:t>La que contengan las opiniones, recomendaciones o puntos de vista que formen parte del proceso deliberativo de los servidores públicos, hasta en tanto sea adoptada la decisión definitiva, la cual deberá estar documentada;</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VIII.</w:t>
      </w:r>
      <w:r w:rsidRPr="006078F5">
        <w:rPr>
          <w:rFonts w:ascii="Palatino Linotype" w:eastAsia="Palatino Linotype" w:hAnsi="Palatino Linotype" w:cs="Times New Roman"/>
          <w:i/>
          <w:lang w:val="es-MX"/>
        </w:rPr>
        <w:tab/>
        <w:t>Vulnere la conducción de los expedientes judiciales o de los procedimientos administrativos seguidos en forma de juicio, en tanto no hayan quedado firmes;</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lastRenderedPageBreak/>
        <w:t>IX.</w:t>
      </w:r>
      <w:r w:rsidRPr="006078F5">
        <w:rPr>
          <w:rFonts w:ascii="Palatino Linotype" w:eastAsia="Palatino Linotype" w:hAnsi="Palatino Linotype" w:cs="Times New Roman"/>
          <w:i/>
          <w:lang w:val="es-MX"/>
        </w:rPr>
        <w:tab/>
        <w:t>Se encuentre contenida dentro de las investigaciones de hechos que la Ley señale como delitos y se tramiten ante el Ministerio Público;</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X.</w:t>
      </w:r>
      <w:r w:rsidRPr="006078F5">
        <w:rPr>
          <w:rFonts w:ascii="Palatino Linotype" w:eastAsia="Palatino Linotype" w:hAnsi="Palatino Linotype" w:cs="Times New Roman"/>
          <w:i/>
          <w:lang w:val="es-MX"/>
        </w:rPr>
        <w:tab/>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i/>
          <w:lang w:val="es-MX"/>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XI.</w:t>
      </w:r>
      <w:r w:rsidRPr="006078F5">
        <w:rPr>
          <w:rFonts w:ascii="Palatino Linotype" w:eastAsia="Palatino Linotype" w:hAnsi="Palatino Linotype" w:cs="Times New Roman"/>
          <w:i/>
          <w:lang w:val="es-MX"/>
        </w:rPr>
        <w:tab/>
        <w:t>Las que por disposición expresa de una ley tengan tal carácter, siempre que sean acordes con las bases, principios y disposiciones establecidos en esta Ley y no la contravengan; así como las previstas en tratados internacionales.</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141. </w:t>
      </w:r>
      <w:r w:rsidRPr="006078F5">
        <w:rPr>
          <w:rFonts w:ascii="Palatino Linotype" w:eastAsia="Palatino Linotype" w:hAnsi="Palatino Linotype" w:cs="Times New Roman"/>
          <w:i/>
          <w:lang w:val="es-MX"/>
        </w:rPr>
        <w:t>Las causales de reserva previstas en este Capítulo se deberán fundar y motivar, a través de la aplicación de la prueba de daño a la que se hace referencia en el presente Título.</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Artículo 142. </w:t>
      </w:r>
      <w:r w:rsidRPr="006078F5">
        <w:rPr>
          <w:rFonts w:ascii="Palatino Linotype" w:eastAsia="Palatino Linotype" w:hAnsi="Palatino Linotype" w:cs="Times New Roman"/>
          <w:i/>
          <w:lang w:val="es-MX"/>
        </w:rPr>
        <w:t>Bajo ninguna circunstancia podrá invocarse el carácter de reservado cuando:</w:t>
      </w:r>
    </w:p>
    <w:p w:rsidR="00664FC6" w:rsidRPr="006078F5" w:rsidRDefault="00664FC6" w:rsidP="00664FC6">
      <w:pPr>
        <w:ind w:left="567" w:right="567"/>
        <w:jc w:val="both"/>
        <w:rPr>
          <w:rFonts w:ascii="Palatino Linotype" w:eastAsia="Palatino Linotype" w:hAnsi="Palatino Linotype" w:cs="Times New Roman"/>
          <w:i/>
          <w:lang w:val="es-MX"/>
        </w:rPr>
      </w:pP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I. </w:t>
      </w:r>
      <w:r w:rsidRPr="006078F5">
        <w:rPr>
          <w:rFonts w:ascii="Palatino Linotype" w:eastAsia="Palatino Linotype" w:hAnsi="Palatino Linotype" w:cs="Times New Roman"/>
          <w:b/>
          <w:bCs/>
          <w:i/>
          <w:lang w:val="es-MX"/>
        </w:rPr>
        <w:tab/>
      </w:r>
      <w:r w:rsidRPr="006078F5">
        <w:rPr>
          <w:rFonts w:ascii="Palatino Linotype" w:eastAsia="Palatino Linotype" w:hAnsi="Palatino Linotype" w:cs="Times New Roman"/>
          <w:i/>
          <w:lang w:val="es-MX"/>
        </w:rPr>
        <w:t xml:space="preserve">Se trate de violaciones graves de derechos humanos, calificada así por autoridad competente; </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II. </w:t>
      </w:r>
      <w:r w:rsidRPr="006078F5">
        <w:rPr>
          <w:rFonts w:ascii="Palatino Linotype" w:eastAsia="Palatino Linotype" w:hAnsi="Palatino Linotype" w:cs="Times New Roman"/>
          <w:b/>
          <w:bCs/>
          <w:i/>
          <w:lang w:val="es-MX"/>
        </w:rPr>
        <w:tab/>
      </w:r>
      <w:r w:rsidRPr="006078F5">
        <w:rPr>
          <w:rFonts w:ascii="Palatino Linotype" w:eastAsia="Palatino Linotype" w:hAnsi="Palatino Linotype" w:cs="Times New Roman"/>
          <w:i/>
          <w:lang w:val="es-MX"/>
        </w:rPr>
        <w:t xml:space="preserve">Se trate de la investigación de posibles violaciones graves de derechos humanos aun cuando no exista pronunciamiento previo de autoridad competente, cuando se determine, a partir de criterios cuantitativos y cualitativos la trascendencia social de las violaciones; </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III. </w:t>
      </w:r>
      <w:r w:rsidRPr="006078F5">
        <w:rPr>
          <w:rFonts w:ascii="Palatino Linotype" w:eastAsia="Palatino Linotype" w:hAnsi="Palatino Linotype" w:cs="Times New Roman"/>
          <w:b/>
          <w:bCs/>
          <w:i/>
          <w:lang w:val="es-MX"/>
        </w:rPr>
        <w:tab/>
      </w:r>
      <w:r w:rsidRPr="006078F5">
        <w:rPr>
          <w:rFonts w:ascii="Palatino Linotype" w:eastAsia="Palatino Linotype" w:hAnsi="Palatino Linotype" w:cs="Times New Roman"/>
          <w:i/>
          <w:lang w:val="es-MX"/>
        </w:rPr>
        <w:t xml:space="preserve">Se trate de delitos de lesa humanidad conforme a los tratados ratificados por el Senado de la República, las resoluciones emitidas por organismos internacionales cuya competencia sea reconocida por el Estado Mexicano, así como en las disposiciones jurídicas aplicables; y </w:t>
      </w:r>
    </w:p>
    <w:p w:rsidR="00664FC6" w:rsidRPr="006078F5" w:rsidRDefault="00664FC6" w:rsidP="00664FC6">
      <w:pPr>
        <w:ind w:left="567" w:right="567"/>
        <w:jc w:val="both"/>
        <w:rPr>
          <w:rFonts w:ascii="Palatino Linotype" w:eastAsia="Palatino Linotype" w:hAnsi="Palatino Linotype" w:cs="Times New Roman"/>
          <w:i/>
          <w:lang w:val="es-MX"/>
        </w:rPr>
      </w:pPr>
      <w:r w:rsidRPr="006078F5">
        <w:rPr>
          <w:rFonts w:ascii="Palatino Linotype" w:eastAsia="Palatino Linotype" w:hAnsi="Palatino Linotype" w:cs="Times New Roman"/>
          <w:b/>
          <w:bCs/>
          <w:i/>
          <w:lang w:val="es-MX"/>
        </w:rPr>
        <w:t xml:space="preserve">IV. </w:t>
      </w:r>
      <w:r w:rsidRPr="006078F5">
        <w:rPr>
          <w:rFonts w:ascii="Palatino Linotype" w:eastAsia="Palatino Linotype" w:hAnsi="Palatino Linotype" w:cs="Times New Roman"/>
          <w:b/>
          <w:bCs/>
          <w:i/>
          <w:lang w:val="es-MX"/>
        </w:rPr>
        <w:tab/>
      </w:r>
      <w:r w:rsidRPr="006078F5">
        <w:rPr>
          <w:rFonts w:ascii="Palatino Linotype" w:eastAsia="Palatino Linotype" w:hAnsi="Palatino Linotype" w:cs="Times New Roman"/>
          <w:i/>
          <w:lang w:val="es-MX"/>
        </w:rPr>
        <w:t xml:space="preserve">Se trate de información relacionada con actos de corrupción de conformidad con las disposiciones jurídicas aplicables. </w:t>
      </w:r>
    </w:p>
    <w:p w:rsidR="00664FC6" w:rsidRPr="006078F5" w:rsidRDefault="00664FC6" w:rsidP="00664FC6">
      <w:pPr>
        <w:tabs>
          <w:tab w:val="left" w:pos="1586"/>
        </w:tabs>
        <w:spacing w:line="360" w:lineRule="auto"/>
        <w:contextualSpacing/>
        <w:jc w:val="both"/>
        <w:rPr>
          <w:rFonts w:ascii="Palatino Linotype" w:eastAsia="Palatino Linotype" w:hAnsi="Palatino Linotype" w:cs="Palatino Linotype"/>
          <w:lang w:val="es-MX"/>
        </w:rPr>
      </w:pPr>
    </w:p>
    <w:p w:rsidR="00664FC6" w:rsidRPr="006078F5" w:rsidRDefault="00664FC6" w:rsidP="00C064ED">
      <w:pPr>
        <w:numPr>
          <w:ilvl w:val="0"/>
          <w:numId w:val="2"/>
        </w:numPr>
        <w:spacing w:line="360" w:lineRule="auto"/>
        <w:ind w:left="0" w:right="-787" w:firstLine="0"/>
        <w:jc w:val="both"/>
        <w:rPr>
          <w:rFonts w:ascii="Palatino Linotype" w:eastAsia="Palatino Linotype" w:hAnsi="Palatino Linotype" w:cs="Palatino Linotype"/>
          <w:lang w:val="es-MX"/>
        </w:rPr>
      </w:pPr>
      <w:r w:rsidRPr="006078F5">
        <w:rPr>
          <w:rFonts w:ascii="Palatino Linotype" w:eastAsia="Palatino Linotype" w:hAnsi="Palatino Linotype" w:cs="Palatino Linotype"/>
          <w:lang w:val="es-MX"/>
        </w:rPr>
        <w:lastRenderedPageBreak/>
        <w:t>Así como lo dispuesto por los Lineamientos Generales en materia de Clasificación y Desclasificación de la Información, así como para la Elaboración de Versiones Públicas, atendiendo a lo dispuesto en los identificados como Décimo Tercero, Décimo Cuarto, Décimo Séptimo, Décimo Octavo, Quincuagésimo Primero, Quincuagésimo Segundo y Quincuagésimo Tercero.</w:t>
      </w:r>
    </w:p>
    <w:p w:rsidR="00664FC6" w:rsidRPr="006078F5" w:rsidRDefault="00664FC6" w:rsidP="00664FC6">
      <w:pPr>
        <w:pStyle w:val="Prrafodelista"/>
        <w:autoSpaceDE w:val="0"/>
        <w:autoSpaceDN w:val="0"/>
        <w:adjustRightInd w:val="0"/>
        <w:ind w:left="567" w:right="757"/>
        <w:jc w:val="center"/>
        <w:rPr>
          <w:rFonts w:ascii="Palatino Linotype" w:hAnsi="Palatino Linotype" w:cs="Arial"/>
          <w:b/>
          <w:i/>
        </w:rPr>
      </w:pPr>
      <w:r w:rsidRPr="006078F5">
        <w:rPr>
          <w:rFonts w:ascii="Palatino Linotype" w:hAnsi="Palatino Linotype" w:cs="Arial"/>
          <w:b/>
          <w:i/>
        </w:rPr>
        <w:t>DE LA INFORMACIÓN RESERVADA</w:t>
      </w:r>
    </w:p>
    <w:p w:rsidR="00664FC6" w:rsidRPr="006078F5" w:rsidRDefault="00664FC6" w:rsidP="00664FC6">
      <w:pPr>
        <w:pStyle w:val="Prrafodelista"/>
        <w:autoSpaceDE w:val="0"/>
        <w:autoSpaceDN w:val="0"/>
        <w:adjustRightInd w:val="0"/>
        <w:ind w:left="567" w:right="757"/>
        <w:jc w:val="center"/>
        <w:rPr>
          <w:rFonts w:ascii="Palatino Linotype" w:hAnsi="Palatino Linotype" w:cs="Arial"/>
          <w:b/>
          <w:i/>
        </w:rPr>
      </w:pP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b/>
          <w:i/>
        </w:rPr>
        <w:t xml:space="preserve">Décimo séptimo. </w:t>
      </w:r>
      <w:r w:rsidRPr="006078F5">
        <w:rPr>
          <w:rFonts w:ascii="Palatino Linotype" w:hAnsi="Palatino Linotype" w:cs="Arial"/>
          <w:i/>
        </w:rPr>
        <w:t xml:space="preserve">De conformidad con el artículo 113, fracción I de la Ley General, podrá considerarse como información reservada, aquella que de difundirse actualice o potencialice un riesgo o amenaza a la seguridad nacional cuando: </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i/>
        </w:rPr>
        <w:t xml:space="preserve">I. Se quebrante la unidad de las partes integrantes de la Federación, señaladas en el artículo 43 de la Constitución Política de los Estados Unidos Mexicanos; </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i/>
        </w:rPr>
        <w:t>II. Se atente en contra del personal diplomático;</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i/>
        </w:rPr>
        <w:t xml:space="preserve">III. Se amenace o ponga en riesgo la gobernabilidad democrática porque se impida el derecho a votar o a ser votado, o cuando se obstaculice la celebración de elecciones; </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i/>
        </w:rPr>
        <w:t xml:space="preserve">IV. Se obstaculicen o bloqueen las actividades de inteligencia o contrainteligencia y cuando se revelen normas, procedimientos, métodos, fuentes, especificaciones técnicas, tecnología o equipo que sean útiles para la generación de inteligencia para la seguridad nacional; </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i/>
        </w:rPr>
        <w:t xml:space="preserve">V. Se vulneren las acciones para evitar la interferencia extranjera en los asuntos nacionales; </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i/>
        </w:rPr>
        <w:t xml:space="preserve">VI. Se ponga en peligro la coordinación interinstitucional en materia de seguridad nacional; </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i/>
        </w:rPr>
        <w:t xml:space="preserve">VII. Se puedan menoscabar, obstaculizar o dificultar las estrategias o acciones para combatir la delincuencia organizada, la comisión de los delitos contra la seguridad de la nación, entendiéndose estos últimos como traición a la patria, espionaje, sedición, motín, rebelión, terrorismo, sabotaje, conspiración, el tráfico ilegal de materiales nucleares, de armas químicas, biológicas y convencionales de destrucción masiva; </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i/>
        </w:rPr>
        <w:t xml:space="preserve">VIII. Se posibilite la destrucción, inhabilitación o sabotaje de cualquier infraestructura de carácter estratégico o prioritario, así como la indispensable para la provisión de bienes o servicios públicos de agua potable, de emergencia, </w:t>
      </w:r>
      <w:r w:rsidRPr="006078F5">
        <w:rPr>
          <w:rFonts w:ascii="Palatino Linotype" w:hAnsi="Palatino Linotype" w:cs="Arial"/>
          <w:i/>
        </w:rPr>
        <w:lastRenderedPageBreak/>
        <w:t xml:space="preserve">vías generales de comunicación o de cualquier tipo de infraestructura que represente tal importancia para el Estado que su destrucción o incapacidad tenga un impacto debilitador en la seguridad nacional; </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i/>
        </w:rPr>
        <w:t xml:space="preserve">IX. Se obstaculicen o bloqueen acciones tendientes a prevenir o combatir epidemias o enfermedades exóticas en el país; </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i/>
        </w:rPr>
        <w:t xml:space="preserve">X. Se difundan las actas o documentos generados en las sesiones del Consejo de Seguridad Nacional y actualice alguna de las amenazas previstas en la Ley de Seguridad Nacional, o que </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i/>
        </w:rPr>
        <w:t xml:space="preserve">XI. Se entreguen los datos que se obtengan de las actividades autorizadas mediante resolución judicial, así como la información producto de una intervención de comunicaciones privadas autorizadas, conforme a las disposiciones previstas en el Capítulo II del Título III de la Ley de Seguridad Nacional, y constituyan alguna de las amenazas previstas en dicha Ley. </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p>
    <w:p w:rsidR="00664FC6" w:rsidRPr="006078F5" w:rsidRDefault="00664FC6" w:rsidP="00664FC6">
      <w:pPr>
        <w:pStyle w:val="Prrafodelista"/>
        <w:autoSpaceDE w:val="0"/>
        <w:autoSpaceDN w:val="0"/>
        <w:adjustRightInd w:val="0"/>
        <w:ind w:left="567" w:right="757"/>
        <w:jc w:val="both"/>
        <w:rPr>
          <w:rFonts w:ascii="Palatino Linotype" w:hAnsi="Palatino Linotype" w:cs="Arial"/>
          <w:b/>
          <w:i/>
        </w:rPr>
      </w:pPr>
      <w:r w:rsidRPr="006078F5">
        <w:rPr>
          <w:rFonts w:ascii="Palatino Linotype" w:hAnsi="Palatino Linotype" w:cs="Arial"/>
          <w:b/>
          <w:i/>
        </w:rPr>
        <w:t>Asimismo, podrá considerarse como reservada aquella que revele datos que pudieran ser aprovechados para conocer la capacidad de reacción de las instituciones encargadas de la seguridad nacional; sus normas, procedimientos, métodos, fuentes, especificaciones técnicas, tecnología o equipo útiles a la generación de inteligencia para la Seguridad Nacional, sin importar la naturaleza o el origen de los documentos que la consignen.</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b/>
          <w:i/>
        </w:rPr>
      </w:pP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b/>
          <w:i/>
        </w:rPr>
        <w:t>Décimo octavo</w:t>
      </w:r>
      <w:r w:rsidRPr="006078F5">
        <w:rPr>
          <w:rFonts w:ascii="Palatino Linotype" w:hAnsi="Palatino Linotype" w:cs="Arial"/>
          <w:i/>
        </w:rPr>
        <w:t xml:space="preserve">. De conformidad con el artículo 113, fracción I de la Ley General, podrá considerarse como información reservada, </w:t>
      </w:r>
      <w:r w:rsidRPr="006078F5">
        <w:rPr>
          <w:rFonts w:ascii="Palatino Linotype" w:hAnsi="Palatino Linotype" w:cs="Arial"/>
          <w:b/>
          <w:i/>
        </w:rPr>
        <w:t>aquella que comprometa la seguridad pública</w:t>
      </w:r>
      <w:r w:rsidRPr="006078F5">
        <w:rPr>
          <w:rFonts w:ascii="Palatino Linotype" w:hAnsi="Palatino Linotype" w:cs="Arial"/>
          <w:i/>
        </w:rPr>
        <w:t>, al poner en peligro las funciones a cargo de la Federación, la Ciudad de México, los Estados y los Municipios, tendientes a preservar y resguardar la vida, la salud, la integridad y el ejercicio de los derechos de las personas, así como para el mantenimiento del orden público.</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r w:rsidRPr="006078F5">
        <w:rPr>
          <w:rFonts w:ascii="Palatino Linotype" w:hAnsi="Palatino Linotype" w:cs="Arial"/>
          <w:i/>
        </w:rPr>
        <w:t xml:space="preserve">Se pone en peligro el orden público cuando la difusión de la información pueda entorpecer los sistemas de coordinación interinstitucional en materia de seguridad pública, menoscabar o dificultar las estrategias contra la evasión de reos; o menoscabar o limitar la capacidad de las autoridades encaminadas a disuadir o prevenir disturbios sociales. </w:t>
      </w:r>
    </w:p>
    <w:p w:rsidR="00664FC6" w:rsidRPr="006078F5" w:rsidRDefault="00664FC6" w:rsidP="00664FC6">
      <w:pPr>
        <w:pStyle w:val="Prrafodelista"/>
        <w:autoSpaceDE w:val="0"/>
        <w:autoSpaceDN w:val="0"/>
        <w:adjustRightInd w:val="0"/>
        <w:ind w:left="567" w:right="757"/>
        <w:jc w:val="both"/>
        <w:rPr>
          <w:rFonts w:ascii="Palatino Linotype" w:hAnsi="Palatino Linotype" w:cs="Arial"/>
          <w:i/>
        </w:rPr>
      </w:pPr>
    </w:p>
    <w:p w:rsidR="00664FC6" w:rsidRPr="006078F5" w:rsidRDefault="00664FC6" w:rsidP="00664FC6">
      <w:pPr>
        <w:pStyle w:val="Prrafodelista"/>
        <w:autoSpaceDE w:val="0"/>
        <w:autoSpaceDN w:val="0"/>
        <w:adjustRightInd w:val="0"/>
        <w:ind w:left="567" w:right="757"/>
        <w:jc w:val="both"/>
        <w:rPr>
          <w:rFonts w:ascii="Palatino Linotype" w:hAnsi="Palatino Linotype" w:cs="Arial"/>
          <w:b/>
          <w:i/>
        </w:rPr>
      </w:pPr>
      <w:r w:rsidRPr="006078F5">
        <w:rPr>
          <w:rFonts w:ascii="Palatino Linotype" w:hAnsi="Palatino Linotype" w:cs="Arial"/>
          <w:i/>
        </w:rPr>
        <w:t xml:space="preserve">Asimismo, podrá considerarse como reservada </w:t>
      </w:r>
      <w:r w:rsidRPr="006078F5">
        <w:rPr>
          <w:rFonts w:ascii="Palatino Linotype" w:hAnsi="Palatino Linotype" w:cs="Arial"/>
          <w:b/>
          <w:i/>
        </w:rPr>
        <w:t xml:space="preserve">aquella que revele datos que pudieran ser aprovechados para conocer la capacidad de reacción de las </w:t>
      </w:r>
      <w:r w:rsidRPr="006078F5">
        <w:rPr>
          <w:rFonts w:ascii="Palatino Linotype" w:hAnsi="Palatino Linotype" w:cs="Arial"/>
          <w:b/>
          <w:i/>
        </w:rPr>
        <w:lastRenderedPageBreak/>
        <w:t>instituciones encargadas de la seguridad pública, sus planes, estrategias, tecnología, información, sistemas de comunicaciones.</w:t>
      </w:r>
    </w:p>
    <w:p w:rsidR="00664FC6" w:rsidRPr="006078F5" w:rsidRDefault="00664FC6" w:rsidP="00664FC6">
      <w:pPr>
        <w:pStyle w:val="Prrafodelista"/>
        <w:autoSpaceDE w:val="0"/>
        <w:autoSpaceDN w:val="0"/>
        <w:adjustRightInd w:val="0"/>
        <w:ind w:left="0" w:right="757"/>
        <w:jc w:val="both"/>
        <w:rPr>
          <w:rFonts w:ascii="Palatino Linotype" w:hAnsi="Palatino Linotype" w:cs="Arial"/>
          <w:i/>
        </w:rPr>
      </w:pPr>
    </w:p>
    <w:p w:rsidR="00664FC6" w:rsidRPr="006078F5" w:rsidRDefault="00664FC6" w:rsidP="00664FC6">
      <w:pPr>
        <w:ind w:left="567" w:right="757"/>
        <w:jc w:val="center"/>
        <w:rPr>
          <w:rFonts w:ascii="Palatino Linotype" w:hAnsi="Palatino Linotype" w:cs="Arial"/>
          <w:b/>
          <w:i/>
        </w:rPr>
      </w:pPr>
      <w:r w:rsidRPr="006078F5">
        <w:rPr>
          <w:rFonts w:ascii="Palatino Linotype" w:hAnsi="Palatino Linotype" w:cs="Arial"/>
          <w:b/>
          <w:i/>
        </w:rPr>
        <w:t>CAPÍTULO VIII</w:t>
      </w:r>
    </w:p>
    <w:p w:rsidR="00664FC6" w:rsidRPr="006078F5" w:rsidRDefault="00664FC6" w:rsidP="00664FC6">
      <w:pPr>
        <w:ind w:left="567" w:right="757"/>
        <w:jc w:val="center"/>
        <w:rPr>
          <w:rFonts w:ascii="Palatino Linotype" w:hAnsi="Palatino Linotype" w:cs="Arial"/>
          <w:b/>
          <w:i/>
        </w:rPr>
      </w:pPr>
      <w:r w:rsidRPr="006078F5">
        <w:rPr>
          <w:rFonts w:ascii="Palatino Linotype" w:hAnsi="Palatino Linotype" w:cs="Arial"/>
          <w:b/>
          <w:i/>
        </w:rPr>
        <w:t>DE LA LEYENDA DE CLASIFICACIÓN</w:t>
      </w:r>
    </w:p>
    <w:p w:rsidR="00664FC6" w:rsidRPr="006078F5" w:rsidRDefault="00664FC6" w:rsidP="00664FC6">
      <w:pPr>
        <w:ind w:left="567" w:right="757"/>
        <w:jc w:val="both"/>
        <w:rPr>
          <w:rFonts w:ascii="Palatino Linotype" w:hAnsi="Palatino Linotype" w:cs="Arial"/>
          <w:b/>
          <w:i/>
        </w:rPr>
      </w:pPr>
    </w:p>
    <w:p w:rsidR="00664FC6" w:rsidRPr="006078F5" w:rsidRDefault="00664FC6" w:rsidP="00664FC6">
      <w:pPr>
        <w:ind w:left="567" w:right="757"/>
        <w:jc w:val="both"/>
        <w:rPr>
          <w:rFonts w:ascii="Palatino Linotype" w:hAnsi="Palatino Linotype" w:cs="Arial"/>
          <w:i/>
        </w:rPr>
      </w:pPr>
      <w:r w:rsidRPr="006078F5">
        <w:rPr>
          <w:rFonts w:ascii="Palatino Linotype" w:hAnsi="Palatino Linotype" w:cs="Arial"/>
          <w:b/>
          <w:i/>
        </w:rPr>
        <w:t>Quincuagésimo. Los titulares de las áreas de los sujetos obligados podrán utilizar los formatos contenidos en el presente Capítulo como modelo</w:t>
      </w:r>
      <w:r w:rsidRPr="006078F5">
        <w:rPr>
          <w:rFonts w:ascii="Palatino Linotype" w:hAnsi="Palatino Linotype" w:cs="Arial"/>
          <w:i/>
        </w:rPr>
        <w:t xml:space="preserve"> para señalar la clasificación de documentos o expedientes, sin perjuicio de que establezcan los propios.</w:t>
      </w:r>
    </w:p>
    <w:p w:rsidR="00664FC6" w:rsidRPr="006078F5" w:rsidRDefault="00664FC6" w:rsidP="00664FC6">
      <w:pPr>
        <w:ind w:left="567" w:right="757"/>
        <w:jc w:val="both"/>
        <w:rPr>
          <w:rFonts w:ascii="Palatino Linotype" w:hAnsi="Palatino Linotype" w:cs="Arial"/>
          <w:i/>
        </w:rPr>
      </w:pPr>
      <w:r w:rsidRPr="006078F5">
        <w:rPr>
          <w:rFonts w:ascii="Palatino Linotype" w:hAnsi="Palatino Linotype" w:cs="Arial"/>
          <w:i/>
        </w:rPr>
        <w:t>…</w:t>
      </w:r>
    </w:p>
    <w:p w:rsidR="00664FC6" w:rsidRPr="006078F5" w:rsidRDefault="00664FC6" w:rsidP="00664FC6">
      <w:pPr>
        <w:ind w:left="567" w:right="757"/>
        <w:jc w:val="both"/>
        <w:rPr>
          <w:rFonts w:ascii="Palatino Linotype" w:hAnsi="Palatino Linotype" w:cs="Arial"/>
          <w:b/>
          <w:i/>
        </w:rPr>
      </w:pPr>
    </w:p>
    <w:p w:rsidR="00664FC6" w:rsidRPr="006078F5" w:rsidRDefault="00664FC6" w:rsidP="00664FC6">
      <w:pPr>
        <w:ind w:left="567" w:right="757"/>
        <w:jc w:val="both"/>
        <w:rPr>
          <w:rFonts w:ascii="Palatino Linotype" w:hAnsi="Palatino Linotype" w:cs="Arial"/>
          <w:i/>
        </w:rPr>
      </w:pPr>
      <w:r w:rsidRPr="006078F5">
        <w:rPr>
          <w:rFonts w:ascii="Palatino Linotype" w:hAnsi="Palatino Linotype" w:cs="Arial"/>
          <w:b/>
          <w:i/>
        </w:rPr>
        <w:t>Quincuagésimo tercero. El formato para señalar la clasificación parcial de un documento</w:t>
      </w:r>
      <w:r w:rsidRPr="006078F5">
        <w:rPr>
          <w:rFonts w:ascii="Palatino Linotype" w:hAnsi="Palatino Linotype" w:cs="Arial"/>
          <w:i/>
        </w:rPr>
        <w:t>, es el siguiente:</w:t>
      </w:r>
    </w:p>
    <w:p w:rsidR="00664FC6" w:rsidRPr="006078F5" w:rsidRDefault="00664FC6" w:rsidP="00664FC6">
      <w:pPr>
        <w:ind w:left="567" w:right="757"/>
        <w:jc w:val="both"/>
        <w:rPr>
          <w:rFonts w:ascii="Palatino Linotype" w:hAnsi="Palatino Linotype" w:cs="Arial"/>
          <w:i/>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1990"/>
        <w:gridCol w:w="4677"/>
      </w:tblGrid>
      <w:tr w:rsidR="00664FC6" w:rsidRPr="006078F5" w:rsidTr="00664FC6">
        <w:tc>
          <w:tcPr>
            <w:tcW w:w="1129" w:type="dxa"/>
            <w:tcBorders>
              <w:top w:val="nil"/>
              <w:left w:val="nil"/>
              <w:bottom w:val="single" w:sz="4" w:space="0" w:color="auto"/>
              <w:right w:val="single" w:sz="4" w:space="0" w:color="auto"/>
            </w:tcBorders>
          </w:tcPr>
          <w:p w:rsidR="00664FC6" w:rsidRPr="006078F5" w:rsidRDefault="00664FC6" w:rsidP="00664FC6">
            <w:pPr>
              <w:spacing w:line="252" w:lineRule="auto"/>
              <w:ind w:right="97"/>
              <w:jc w:val="both"/>
              <w:rPr>
                <w:rFonts w:ascii="Palatino Linotype" w:hAnsi="Palatino Linotype" w:cs="Arial"/>
                <w:i/>
              </w:rPr>
            </w:pPr>
          </w:p>
        </w:tc>
        <w:tc>
          <w:tcPr>
            <w:tcW w:w="1990"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ind w:right="68"/>
              <w:jc w:val="center"/>
              <w:rPr>
                <w:rFonts w:ascii="Palatino Linotype" w:hAnsi="Palatino Linotype"/>
                <w:b/>
                <w:i/>
              </w:rPr>
            </w:pPr>
            <w:r w:rsidRPr="006078F5">
              <w:rPr>
                <w:rFonts w:ascii="Palatino Linotype" w:hAnsi="Palatino Linotype"/>
                <w:b/>
                <w:i/>
              </w:rPr>
              <w:t>Concepto</w:t>
            </w:r>
          </w:p>
        </w:tc>
        <w:tc>
          <w:tcPr>
            <w:tcW w:w="4677"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ind w:right="29"/>
              <w:jc w:val="center"/>
              <w:rPr>
                <w:rFonts w:ascii="Palatino Linotype" w:hAnsi="Palatino Linotype"/>
                <w:b/>
                <w:i/>
              </w:rPr>
            </w:pPr>
            <w:r w:rsidRPr="006078F5">
              <w:rPr>
                <w:rFonts w:ascii="Palatino Linotype" w:hAnsi="Palatino Linotype"/>
                <w:b/>
                <w:i/>
              </w:rPr>
              <w:t>Dónde:</w:t>
            </w:r>
          </w:p>
        </w:tc>
      </w:tr>
      <w:tr w:rsidR="00664FC6" w:rsidRPr="006078F5" w:rsidTr="00664FC6">
        <w:tc>
          <w:tcPr>
            <w:tcW w:w="1129" w:type="dxa"/>
            <w:vMerge w:val="restart"/>
            <w:tcBorders>
              <w:top w:val="single" w:sz="4" w:space="0" w:color="auto"/>
              <w:left w:val="single" w:sz="4" w:space="0" w:color="auto"/>
              <w:bottom w:val="single" w:sz="4" w:space="0" w:color="auto"/>
              <w:right w:val="single" w:sz="4" w:space="0" w:color="auto"/>
            </w:tcBorders>
            <w:vAlign w:val="center"/>
            <w:hideMark/>
          </w:tcPr>
          <w:p w:rsidR="00664FC6" w:rsidRPr="006078F5" w:rsidRDefault="00664FC6" w:rsidP="00664FC6">
            <w:pPr>
              <w:spacing w:line="252" w:lineRule="auto"/>
              <w:ind w:left="34" w:right="63"/>
              <w:jc w:val="center"/>
              <w:rPr>
                <w:rFonts w:ascii="Palatino Linotype" w:hAnsi="Palatino Linotype" w:cs="Arial"/>
                <w:b/>
                <w:i/>
              </w:rPr>
            </w:pPr>
            <w:r w:rsidRPr="006078F5">
              <w:rPr>
                <w:rFonts w:ascii="Palatino Linotype" w:hAnsi="Palatino Linotype" w:cs="Arial"/>
                <w:b/>
                <w:i/>
              </w:rPr>
              <w:t>Sello oficial o logotipo del sujeto obligado</w:t>
            </w:r>
          </w:p>
        </w:tc>
        <w:tc>
          <w:tcPr>
            <w:tcW w:w="1990"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jc w:val="center"/>
              <w:rPr>
                <w:rFonts w:ascii="Palatino Linotype" w:hAnsi="Palatino Linotype" w:cs="Arial"/>
                <w:i/>
              </w:rPr>
            </w:pPr>
            <w:r w:rsidRPr="006078F5">
              <w:rPr>
                <w:rFonts w:ascii="Palatino Linotype" w:hAnsi="Palatino Linotype" w:cs="Arial"/>
                <w:i/>
              </w:rPr>
              <w:t>Fecha de clasificación</w:t>
            </w:r>
          </w:p>
        </w:tc>
        <w:tc>
          <w:tcPr>
            <w:tcW w:w="4677"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ind w:right="29"/>
              <w:jc w:val="both"/>
              <w:rPr>
                <w:rFonts w:ascii="Palatino Linotype" w:hAnsi="Palatino Linotype" w:cs="Arial"/>
                <w:i/>
              </w:rPr>
            </w:pPr>
            <w:r w:rsidRPr="006078F5">
              <w:rPr>
                <w:rFonts w:ascii="Palatino Linotype" w:hAnsi="Palatino Linotype" w:cs="Arial"/>
                <w:i/>
              </w:rPr>
              <w:t>Se anotará la fecha en la que el Comité de Transparencia confirmó la clasificación del documento, en su caso.</w:t>
            </w:r>
          </w:p>
        </w:tc>
      </w:tr>
      <w:tr w:rsidR="00664FC6" w:rsidRPr="006078F5" w:rsidTr="00664FC6">
        <w:tc>
          <w:tcPr>
            <w:tcW w:w="0" w:type="auto"/>
            <w:vMerge/>
            <w:tcBorders>
              <w:top w:val="single" w:sz="4" w:space="0" w:color="auto"/>
              <w:left w:val="single" w:sz="4" w:space="0" w:color="auto"/>
              <w:bottom w:val="single" w:sz="4" w:space="0" w:color="auto"/>
              <w:right w:val="single" w:sz="4" w:space="0" w:color="auto"/>
            </w:tcBorders>
            <w:vAlign w:val="center"/>
            <w:hideMark/>
          </w:tcPr>
          <w:p w:rsidR="00664FC6" w:rsidRPr="006078F5" w:rsidRDefault="00664FC6" w:rsidP="00664FC6">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jc w:val="center"/>
              <w:rPr>
                <w:rFonts w:ascii="Palatino Linotype" w:hAnsi="Palatino Linotype" w:cs="Arial"/>
                <w:i/>
              </w:rPr>
            </w:pPr>
            <w:r w:rsidRPr="006078F5">
              <w:rPr>
                <w:rFonts w:ascii="Palatino Linotype" w:hAnsi="Palatino Linotype" w:cs="Arial"/>
                <w:i/>
              </w:rPr>
              <w:t>Área</w:t>
            </w:r>
          </w:p>
        </w:tc>
        <w:tc>
          <w:tcPr>
            <w:tcW w:w="4677"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ind w:right="29"/>
              <w:jc w:val="both"/>
              <w:rPr>
                <w:rFonts w:ascii="Palatino Linotype" w:hAnsi="Palatino Linotype" w:cs="Arial"/>
                <w:i/>
              </w:rPr>
            </w:pPr>
            <w:r w:rsidRPr="006078F5">
              <w:rPr>
                <w:rFonts w:ascii="Palatino Linotype" w:hAnsi="Palatino Linotype" w:cs="Arial"/>
                <w:i/>
              </w:rPr>
              <w:t>Se señalará el nombre del área del cual es titular quien clasifica.</w:t>
            </w:r>
          </w:p>
        </w:tc>
      </w:tr>
      <w:tr w:rsidR="00664FC6" w:rsidRPr="006078F5" w:rsidTr="00664FC6">
        <w:tc>
          <w:tcPr>
            <w:tcW w:w="0" w:type="auto"/>
            <w:vMerge/>
            <w:tcBorders>
              <w:top w:val="single" w:sz="4" w:space="0" w:color="auto"/>
              <w:left w:val="single" w:sz="4" w:space="0" w:color="auto"/>
              <w:bottom w:val="single" w:sz="4" w:space="0" w:color="auto"/>
              <w:right w:val="single" w:sz="4" w:space="0" w:color="auto"/>
            </w:tcBorders>
            <w:vAlign w:val="center"/>
            <w:hideMark/>
          </w:tcPr>
          <w:p w:rsidR="00664FC6" w:rsidRPr="006078F5" w:rsidRDefault="00664FC6" w:rsidP="00664FC6">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jc w:val="center"/>
              <w:rPr>
                <w:rFonts w:ascii="Palatino Linotype" w:hAnsi="Palatino Linotype" w:cs="Arial"/>
                <w:i/>
              </w:rPr>
            </w:pPr>
            <w:r w:rsidRPr="006078F5">
              <w:rPr>
                <w:rFonts w:ascii="Palatino Linotype" w:hAnsi="Palatino Linotype" w:cs="Arial"/>
                <w:i/>
              </w:rPr>
              <w:t>Información reservada</w:t>
            </w:r>
          </w:p>
        </w:tc>
        <w:tc>
          <w:tcPr>
            <w:tcW w:w="4677"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ind w:right="29"/>
              <w:jc w:val="both"/>
              <w:rPr>
                <w:rFonts w:ascii="Palatino Linotype" w:hAnsi="Palatino Linotype" w:cs="Arial"/>
                <w:i/>
              </w:rPr>
            </w:pPr>
            <w:r w:rsidRPr="006078F5">
              <w:rPr>
                <w:rFonts w:ascii="Palatino Linotype" w:hAnsi="Palatino Linotype" w:cs="Arial"/>
                <w:i/>
              </w:rPr>
              <w:t>Se indicarán, en su caso, las partes o páginas del documento que se clasifican como reservadas. Si el documento fuera reservado en su totalidad, se anotarán todas las páginas que lo conforman. Si el documento no contiene información reservada, se tachará este apartado.</w:t>
            </w:r>
          </w:p>
        </w:tc>
      </w:tr>
      <w:tr w:rsidR="00664FC6" w:rsidRPr="006078F5" w:rsidTr="00664FC6">
        <w:tc>
          <w:tcPr>
            <w:tcW w:w="0" w:type="auto"/>
            <w:vMerge/>
            <w:tcBorders>
              <w:top w:val="single" w:sz="4" w:space="0" w:color="auto"/>
              <w:left w:val="single" w:sz="4" w:space="0" w:color="auto"/>
              <w:bottom w:val="single" w:sz="4" w:space="0" w:color="auto"/>
              <w:right w:val="single" w:sz="4" w:space="0" w:color="auto"/>
            </w:tcBorders>
            <w:vAlign w:val="center"/>
            <w:hideMark/>
          </w:tcPr>
          <w:p w:rsidR="00664FC6" w:rsidRPr="006078F5" w:rsidRDefault="00664FC6" w:rsidP="00664FC6">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jc w:val="center"/>
              <w:rPr>
                <w:rFonts w:ascii="Palatino Linotype" w:hAnsi="Palatino Linotype" w:cs="Arial"/>
                <w:i/>
              </w:rPr>
            </w:pPr>
            <w:r w:rsidRPr="006078F5">
              <w:rPr>
                <w:rFonts w:ascii="Palatino Linotype" w:hAnsi="Palatino Linotype" w:cs="Arial"/>
                <w:i/>
              </w:rPr>
              <w:t>Periodo de reserva</w:t>
            </w:r>
          </w:p>
        </w:tc>
        <w:tc>
          <w:tcPr>
            <w:tcW w:w="4677"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ind w:right="29"/>
              <w:jc w:val="both"/>
              <w:rPr>
                <w:rFonts w:ascii="Palatino Linotype" w:hAnsi="Palatino Linotype" w:cs="Arial"/>
                <w:i/>
              </w:rPr>
            </w:pPr>
            <w:r w:rsidRPr="006078F5">
              <w:rPr>
                <w:rFonts w:ascii="Palatino Linotype" w:hAnsi="Palatino Linotype" w:cs="Arial"/>
                <w:i/>
              </w:rPr>
              <w:t>Se anotará el número de años o meses por los que se mantendrá el documento o las partes del mismo como reservado.</w:t>
            </w:r>
          </w:p>
        </w:tc>
      </w:tr>
      <w:tr w:rsidR="00664FC6" w:rsidRPr="006078F5" w:rsidTr="00664FC6">
        <w:tc>
          <w:tcPr>
            <w:tcW w:w="0" w:type="auto"/>
            <w:vMerge/>
            <w:tcBorders>
              <w:top w:val="single" w:sz="4" w:space="0" w:color="auto"/>
              <w:left w:val="single" w:sz="4" w:space="0" w:color="auto"/>
              <w:bottom w:val="single" w:sz="4" w:space="0" w:color="auto"/>
              <w:right w:val="single" w:sz="4" w:space="0" w:color="auto"/>
            </w:tcBorders>
            <w:vAlign w:val="center"/>
            <w:hideMark/>
          </w:tcPr>
          <w:p w:rsidR="00664FC6" w:rsidRPr="006078F5" w:rsidRDefault="00664FC6" w:rsidP="00664FC6">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jc w:val="center"/>
              <w:rPr>
                <w:rFonts w:ascii="Palatino Linotype" w:hAnsi="Palatino Linotype" w:cs="Arial"/>
                <w:i/>
              </w:rPr>
            </w:pPr>
            <w:r w:rsidRPr="006078F5">
              <w:rPr>
                <w:rFonts w:ascii="Palatino Linotype" w:hAnsi="Palatino Linotype" w:cs="Arial"/>
                <w:i/>
              </w:rPr>
              <w:t>Fundamento legal</w:t>
            </w:r>
          </w:p>
        </w:tc>
        <w:tc>
          <w:tcPr>
            <w:tcW w:w="4677"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ind w:right="29"/>
              <w:jc w:val="both"/>
              <w:rPr>
                <w:rFonts w:ascii="Palatino Linotype" w:hAnsi="Palatino Linotype" w:cs="Arial"/>
                <w:i/>
              </w:rPr>
            </w:pPr>
            <w:r w:rsidRPr="006078F5">
              <w:rPr>
                <w:rFonts w:ascii="Palatino Linotype" w:hAnsi="Palatino Linotype" w:cs="Arial"/>
                <w:i/>
              </w:rPr>
              <w:t>Se señalará el nombre del ordenamiento, el o los artículos, fracción(es), párrafo(s) con base en los cuales se sustente la reserva.</w:t>
            </w:r>
          </w:p>
        </w:tc>
      </w:tr>
      <w:tr w:rsidR="00664FC6" w:rsidRPr="006078F5" w:rsidTr="00664FC6">
        <w:tc>
          <w:tcPr>
            <w:tcW w:w="0" w:type="auto"/>
            <w:vMerge/>
            <w:tcBorders>
              <w:top w:val="single" w:sz="4" w:space="0" w:color="auto"/>
              <w:left w:val="single" w:sz="4" w:space="0" w:color="auto"/>
              <w:bottom w:val="single" w:sz="4" w:space="0" w:color="auto"/>
              <w:right w:val="single" w:sz="4" w:space="0" w:color="auto"/>
            </w:tcBorders>
            <w:vAlign w:val="center"/>
            <w:hideMark/>
          </w:tcPr>
          <w:p w:rsidR="00664FC6" w:rsidRPr="006078F5" w:rsidRDefault="00664FC6" w:rsidP="00664FC6">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jc w:val="center"/>
              <w:rPr>
                <w:rFonts w:ascii="Palatino Linotype" w:hAnsi="Palatino Linotype" w:cs="Arial"/>
                <w:i/>
              </w:rPr>
            </w:pPr>
            <w:r w:rsidRPr="006078F5">
              <w:rPr>
                <w:rFonts w:ascii="Palatino Linotype" w:hAnsi="Palatino Linotype" w:cs="Arial"/>
                <w:i/>
              </w:rPr>
              <w:t>Ampliación del periodo de reserva</w:t>
            </w:r>
          </w:p>
        </w:tc>
        <w:tc>
          <w:tcPr>
            <w:tcW w:w="4677"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ind w:right="29"/>
              <w:jc w:val="both"/>
              <w:rPr>
                <w:rFonts w:ascii="Palatino Linotype" w:hAnsi="Palatino Linotype" w:cs="Arial"/>
                <w:i/>
              </w:rPr>
            </w:pPr>
            <w:r w:rsidRPr="006078F5">
              <w:rPr>
                <w:rFonts w:ascii="Palatino Linotype" w:hAnsi="Palatino Linotype" w:cs="Arial"/>
                <w:i/>
              </w:rPr>
              <w:t>En caso de haber solicitado la ampliación del periodo de reserva originalmente establecido, se deberá anotar el número de años o meses por los que se amplía la reserva.</w:t>
            </w:r>
          </w:p>
        </w:tc>
      </w:tr>
      <w:tr w:rsidR="00664FC6" w:rsidRPr="006078F5" w:rsidTr="00664FC6">
        <w:tc>
          <w:tcPr>
            <w:tcW w:w="0" w:type="auto"/>
            <w:vMerge/>
            <w:tcBorders>
              <w:top w:val="single" w:sz="4" w:space="0" w:color="auto"/>
              <w:left w:val="single" w:sz="4" w:space="0" w:color="auto"/>
              <w:bottom w:val="single" w:sz="4" w:space="0" w:color="auto"/>
              <w:right w:val="single" w:sz="4" w:space="0" w:color="auto"/>
            </w:tcBorders>
            <w:vAlign w:val="center"/>
            <w:hideMark/>
          </w:tcPr>
          <w:p w:rsidR="00664FC6" w:rsidRPr="006078F5" w:rsidRDefault="00664FC6" w:rsidP="00664FC6">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jc w:val="center"/>
              <w:rPr>
                <w:rFonts w:ascii="Palatino Linotype" w:hAnsi="Palatino Linotype" w:cs="Arial"/>
                <w:i/>
              </w:rPr>
            </w:pPr>
            <w:r w:rsidRPr="006078F5">
              <w:rPr>
                <w:rFonts w:ascii="Palatino Linotype" w:hAnsi="Palatino Linotype" w:cs="Arial"/>
                <w:i/>
              </w:rPr>
              <w:t>Confidencial</w:t>
            </w:r>
          </w:p>
        </w:tc>
        <w:tc>
          <w:tcPr>
            <w:tcW w:w="4677"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ind w:right="29"/>
              <w:jc w:val="both"/>
              <w:rPr>
                <w:rFonts w:ascii="Palatino Linotype" w:hAnsi="Palatino Linotype" w:cs="Arial"/>
                <w:i/>
              </w:rPr>
            </w:pPr>
            <w:r w:rsidRPr="006078F5">
              <w:rPr>
                <w:rFonts w:ascii="Palatino Linotype" w:hAnsi="Palatino Linotype" w:cs="Arial"/>
                <w:i/>
              </w:rPr>
              <w:t>Se indicarán, en su caso, las partes o páginas del documento que se clasifica como confidencial. Si el documento fuera confidencial en su totalidad, se anotarán todas las páginas que lo conforman. Si el documento no contiene información confidencial, se tachará este apartado.</w:t>
            </w:r>
          </w:p>
        </w:tc>
      </w:tr>
      <w:tr w:rsidR="00664FC6" w:rsidRPr="006078F5" w:rsidTr="00664FC6">
        <w:tc>
          <w:tcPr>
            <w:tcW w:w="0" w:type="auto"/>
            <w:vMerge/>
            <w:tcBorders>
              <w:top w:val="single" w:sz="4" w:space="0" w:color="auto"/>
              <w:left w:val="single" w:sz="4" w:space="0" w:color="auto"/>
              <w:bottom w:val="single" w:sz="4" w:space="0" w:color="auto"/>
              <w:right w:val="single" w:sz="4" w:space="0" w:color="auto"/>
            </w:tcBorders>
            <w:vAlign w:val="center"/>
            <w:hideMark/>
          </w:tcPr>
          <w:p w:rsidR="00664FC6" w:rsidRPr="006078F5" w:rsidRDefault="00664FC6" w:rsidP="00664FC6">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jc w:val="center"/>
              <w:rPr>
                <w:rFonts w:ascii="Palatino Linotype" w:hAnsi="Palatino Linotype" w:cs="Arial"/>
                <w:i/>
              </w:rPr>
            </w:pPr>
            <w:r w:rsidRPr="006078F5">
              <w:rPr>
                <w:rFonts w:ascii="Palatino Linotype" w:hAnsi="Palatino Linotype" w:cs="Arial"/>
                <w:i/>
              </w:rPr>
              <w:t>Fundamento legal</w:t>
            </w:r>
          </w:p>
        </w:tc>
        <w:tc>
          <w:tcPr>
            <w:tcW w:w="4677"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ind w:right="29"/>
              <w:jc w:val="both"/>
              <w:rPr>
                <w:rFonts w:ascii="Palatino Linotype" w:hAnsi="Palatino Linotype" w:cs="Arial"/>
                <w:i/>
              </w:rPr>
            </w:pPr>
            <w:r w:rsidRPr="006078F5">
              <w:rPr>
                <w:rFonts w:ascii="Palatino Linotype" w:hAnsi="Palatino Linotype" w:cs="Arial"/>
                <w:i/>
              </w:rPr>
              <w:t>Se señalará el nombre del ordenamiento, el o los artículos, fracción(es), párrafo(s) con base en los cuales se sustente la confidencialidad.</w:t>
            </w:r>
          </w:p>
        </w:tc>
      </w:tr>
      <w:tr w:rsidR="00664FC6" w:rsidRPr="006078F5" w:rsidTr="00664FC6">
        <w:tc>
          <w:tcPr>
            <w:tcW w:w="0" w:type="auto"/>
            <w:vMerge/>
            <w:tcBorders>
              <w:top w:val="single" w:sz="4" w:space="0" w:color="auto"/>
              <w:left w:val="single" w:sz="4" w:space="0" w:color="auto"/>
              <w:bottom w:val="single" w:sz="4" w:space="0" w:color="auto"/>
              <w:right w:val="single" w:sz="4" w:space="0" w:color="auto"/>
            </w:tcBorders>
            <w:vAlign w:val="center"/>
            <w:hideMark/>
          </w:tcPr>
          <w:p w:rsidR="00664FC6" w:rsidRPr="006078F5" w:rsidRDefault="00664FC6" w:rsidP="00664FC6">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jc w:val="center"/>
              <w:rPr>
                <w:rFonts w:ascii="Palatino Linotype" w:hAnsi="Palatino Linotype" w:cs="Arial"/>
                <w:i/>
              </w:rPr>
            </w:pPr>
            <w:r w:rsidRPr="006078F5">
              <w:rPr>
                <w:rFonts w:ascii="Palatino Linotype" w:hAnsi="Palatino Linotype" w:cs="Arial"/>
                <w:i/>
              </w:rPr>
              <w:t>Rúbrica del titular del área</w:t>
            </w:r>
          </w:p>
        </w:tc>
        <w:tc>
          <w:tcPr>
            <w:tcW w:w="4677"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ind w:right="29"/>
              <w:jc w:val="both"/>
              <w:rPr>
                <w:rFonts w:ascii="Palatino Linotype" w:hAnsi="Palatino Linotype" w:cs="Arial"/>
                <w:i/>
              </w:rPr>
            </w:pPr>
            <w:r w:rsidRPr="006078F5">
              <w:rPr>
                <w:rFonts w:ascii="Palatino Linotype" w:hAnsi="Palatino Linotype" w:cs="Arial"/>
                <w:i/>
              </w:rPr>
              <w:t>Rúbrica autógrafa de quien clasifica.</w:t>
            </w:r>
          </w:p>
        </w:tc>
      </w:tr>
      <w:tr w:rsidR="00664FC6" w:rsidRPr="006078F5" w:rsidTr="00664FC6">
        <w:tc>
          <w:tcPr>
            <w:tcW w:w="0" w:type="auto"/>
            <w:vMerge/>
            <w:tcBorders>
              <w:top w:val="single" w:sz="4" w:space="0" w:color="auto"/>
              <w:left w:val="single" w:sz="4" w:space="0" w:color="auto"/>
              <w:bottom w:val="single" w:sz="4" w:space="0" w:color="auto"/>
              <w:right w:val="single" w:sz="4" w:space="0" w:color="auto"/>
            </w:tcBorders>
            <w:vAlign w:val="center"/>
            <w:hideMark/>
          </w:tcPr>
          <w:p w:rsidR="00664FC6" w:rsidRPr="006078F5" w:rsidRDefault="00664FC6" w:rsidP="00664FC6">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jc w:val="center"/>
              <w:rPr>
                <w:rFonts w:ascii="Palatino Linotype" w:hAnsi="Palatino Linotype" w:cs="Arial"/>
                <w:i/>
              </w:rPr>
            </w:pPr>
            <w:r w:rsidRPr="006078F5">
              <w:rPr>
                <w:rFonts w:ascii="Palatino Linotype" w:hAnsi="Palatino Linotype" w:cs="Arial"/>
                <w:i/>
              </w:rPr>
              <w:t>Fecha de desclasificación</w:t>
            </w:r>
          </w:p>
        </w:tc>
        <w:tc>
          <w:tcPr>
            <w:tcW w:w="4677"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ind w:right="29"/>
              <w:jc w:val="both"/>
              <w:rPr>
                <w:rFonts w:ascii="Palatino Linotype" w:hAnsi="Palatino Linotype" w:cs="Arial"/>
                <w:i/>
              </w:rPr>
            </w:pPr>
            <w:r w:rsidRPr="006078F5">
              <w:rPr>
                <w:rFonts w:ascii="Palatino Linotype" w:hAnsi="Palatino Linotype" w:cs="Arial"/>
                <w:i/>
              </w:rPr>
              <w:t>Se anotará la fecha en que se desclasifica el documento.</w:t>
            </w:r>
          </w:p>
        </w:tc>
      </w:tr>
      <w:tr w:rsidR="00664FC6" w:rsidRPr="006078F5" w:rsidTr="00664FC6">
        <w:tc>
          <w:tcPr>
            <w:tcW w:w="0" w:type="auto"/>
            <w:vMerge/>
            <w:tcBorders>
              <w:top w:val="single" w:sz="4" w:space="0" w:color="auto"/>
              <w:left w:val="single" w:sz="4" w:space="0" w:color="auto"/>
              <w:bottom w:val="single" w:sz="4" w:space="0" w:color="auto"/>
              <w:right w:val="single" w:sz="4" w:space="0" w:color="auto"/>
            </w:tcBorders>
            <w:vAlign w:val="center"/>
            <w:hideMark/>
          </w:tcPr>
          <w:p w:rsidR="00664FC6" w:rsidRPr="006078F5" w:rsidRDefault="00664FC6" w:rsidP="00664FC6">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664FC6" w:rsidRPr="006078F5" w:rsidRDefault="00664FC6" w:rsidP="00664FC6">
            <w:pPr>
              <w:spacing w:line="252" w:lineRule="auto"/>
              <w:jc w:val="center"/>
              <w:rPr>
                <w:rFonts w:ascii="Palatino Linotype" w:hAnsi="Palatino Linotype" w:cs="Arial"/>
                <w:i/>
              </w:rPr>
            </w:pPr>
            <w:r w:rsidRPr="006078F5">
              <w:rPr>
                <w:rFonts w:ascii="Palatino Linotype" w:hAnsi="Palatino Linotype" w:cs="Arial"/>
                <w:i/>
              </w:rPr>
              <w:t>Rúbrica y cargo del servidor público</w:t>
            </w:r>
          </w:p>
        </w:tc>
        <w:tc>
          <w:tcPr>
            <w:tcW w:w="4677" w:type="dxa"/>
            <w:tcBorders>
              <w:top w:val="single" w:sz="4" w:space="0" w:color="auto"/>
              <w:left w:val="single" w:sz="4" w:space="0" w:color="auto"/>
              <w:bottom w:val="single" w:sz="4" w:space="0" w:color="auto"/>
              <w:right w:val="single" w:sz="4" w:space="0" w:color="auto"/>
            </w:tcBorders>
            <w:vAlign w:val="center"/>
            <w:hideMark/>
          </w:tcPr>
          <w:p w:rsidR="00664FC6" w:rsidRPr="006078F5" w:rsidRDefault="00664FC6" w:rsidP="00664FC6">
            <w:pPr>
              <w:spacing w:line="252" w:lineRule="auto"/>
              <w:ind w:right="29"/>
              <w:rPr>
                <w:rFonts w:ascii="Palatino Linotype" w:hAnsi="Palatino Linotype" w:cs="Arial"/>
                <w:i/>
              </w:rPr>
            </w:pPr>
            <w:r w:rsidRPr="006078F5">
              <w:rPr>
                <w:rFonts w:ascii="Palatino Linotype" w:hAnsi="Palatino Linotype" w:cs="Arial"/>
                <w:i/>
              </w:rPr>
              <w:t>Rúbrica autógrafa de quien desclasifica.</w:t>
            </w:r>
          </w:p>
        </w:tc>
      </w:tr>
    </w:tbl>
    <w:p w:rsidR="00664FC6" w:rsidRPr="006078F5" w:rsidRDefault="00664FC6" w:rsidP="00664FC6">
      <w:pPr>
        <w:ind w:left="567" w:right="757"/>
        <w:jc w:val="both"/>
        <w:rPr>
          <w:rFonts w:ascii="Palatino Linotype" w:hAnsi="Palatino Linotype" w:cs="Arial"/>
          <w:i/>
        </w:rPr>
      </w:pPr>
      <w:r w:rsidRPr="006078F5">
        <w:rPr>
          <w:rFonts w:ascii="Palatino Linotype" w:hAnsi="Palatino Linotype" w:cs="Arial"/>
          <w:i/>
        </w:rPr>
        <w:t>…”</w:t>
      </w:r>
    </w:p>
    <w:p w:rsidR="00664FC6" w:rsidRPr="006078F5" w:rsidRDefault="00664FC6" w:rsidP="00664FC6">
      <w:pPr>
        <w:tabs>
          <w:tab w:val="left" w:pos="1586"/>
        </w:tabs>
        <w:spacing w:line="360" w:lineRule="auto"/>
        <w:contextualSpacing/>
        <w:jc w:val="both"/>
        <w:rPr>
          <w:rFonts w:ascii="Palatino Linotype" w:eastAsia="Palatino Linotype" w:hAnsi="Palatino Linotype" w:cs="Palatino Linotype"/>
          <w:lang w:val="es-MX"/>
        </w:rPr>
      </w:pPr>
    </w:p>
    <w:p w:rsidR="00664FC6" w:rsidRPr="006078F5" w:rsidRDefault="00664FC6" w:rsidP="00C064ED">
      <w:pPr>
        <w:numPr>
          <w:ilvl w:val="0"/>
          <w:numId w:val="2"/>
        </w:numPr>
        <w:spacing w:line="360" w:lineRule="auto"/>
        <w:ind w:left="0" w:right="-787" w:firstLine="0"/>
        <w:jc w:val="both"/>
        <w:rPr>
          <w:rFonts w:ascii="Palatino Linotype" w:eastAsia="Palatino Linotype" w:hAnsi="Palatino Linotype" w:cs="Palatino Linotype"/>
          <w:lang w:val="es-MX"/>
        </w:rPr>
      </w:pPr>
      <w:r w:rsidRPr="006078F5">
        <w:rPr>
          <w:rFonts w:ascii="Palatino Linotype" w:eastAsia="Palatino Linotype" w:hAnsi="Palatino Linotype" w:cs="Palatino Linotype"/>
          <w:lang w:val="es-MX"/>
        </w:rPr>
        <w:t xml:space="preserve">Es así que, en los casos en los que se </w:t>
      </w:r>
      <w:r w:rsidRPr="006078F5">
        <w:rPr>
          <w:rFonts w:ascii="Palatino Linotype" w:eastAsia="Palatino Linotype" w:hAnsi="Palatino Linotype" w:cs="Palatino Linotype"/>
          <w:b/>
          <w:lang w:val="es-MX"/>
        </w:rPr>
        <w:t>clasifique</w:t>
      </w:r>
      <w:r w:rsidRPr="006078F5">
        <w:rPr>
          <w:rFonts w:ascii="Palatino Linotype" w:eastAsia="Palatino Linotype" w:hAnsi="Palatino Linotype" w:cs="Palatino Linotype"/>
          <w:lang w:val="es-MX"/>
        </w:rPr>
        <w:t xml:space="preserve"> </w:t>
      </w:r>
      <w:r w:rsidRPr="006078F5">
        <w:rPr>
          <w:rFonts w:ascii="Palatino Linotype" w:eastAsia="Palatino Linotype" w:hAnsi="Palatino Linotype" w:cs="Palatino Linotype"/>
          <w:b/>
          <w:lang w:val="es-MX"/>
        </w:rPr>
        <w:t>información como reservada</w:t>
      </w:r>
      <w:r w:rsidRPr="006078F5">
        <w:rPr>
          <w:rFonts w:ascii="Palatino Linotype" w:eastAsia="Palatino Linotype" w:hAnsi="Palatino Linotype" w:cs="Palatino Linotype"/>
          <w:lang w:val="es-MX"/>
        </w:rPr>
        <w:t xml:space="preserve">, el Sujeto Obligado debe motivar la clasificación, señalando las razones, motivos o circunstancias especiales que lo llevaron a concluir que el caso concreto se ajusta a la hipótesis prevista por la norma legal que fundamenta el acto, </w:t>
      </w:r>
      <w:r w:rsidRPr="006078F5">
        <w:rPr>
          <w:rFonts w:ascii="Palatino Linotype" w:eastAsia="Palatino Linotype" w:hAnsi="Palatino Linotype" w:cs="Palatino Linotype"/>
          <w:b/>
          <w:lang w:val="es-MX"/>
        </w:rPr>
        <w:t>debiendo aplicar una prueba de daño</w:t>
      </w:r>
      <w:r w:rsidRPr="006078F5">
        <w:rPr>
          <w:rFonts w:ascii="Palatino Linotype" w:eastAsia="Palatino Linotype" w:hAnsi="Palatino Linotype" w:cs="Palatino Linotype"/>
          <w:lang w:val="es-MX"/>
        </w:rPr>
        <w:t xml:space="preserve">, en la que se precisen las razones objetivas por las que la exhibición de la información generaría una afectación, justificando que la divulgación de la información representa un riesgo real, demostrable e identificable en perjuicio del interés público o la seguridad pública; asimismo, justificando que el riesgo del perjuicio que supondría dicha divulgación, supera el interés </w:t>
      </w:r>
      <w:r w:rsidRPr="006078F5">
        <w:rPr>
          <w:rFonts w:ascii="Palatino Linotype" w:eastAsia="Palatino Linotype" w:hAnsi="Palatino Linotype" w:cs="Palatino Linotype"/>
          <w:lang w:val="es-MX"/>
        </w:rPr>
        <w:lastRenderedPageBreak/>
        <w:t>público general de que se difunda; y que la limitación se adecua al principio de proporcionalidad y representa el medio menos restrictivo disponible para evitar el perjuicio.</w:t>
      </w:r>
    </w:p>
    <w:p w:rsidR="00664FC6" w:rsidRPr="006078F5" w:rsidRDefault="00664FC6" w:rsidP="00664FC6">
      <w:pPr>
        <w:spacing w:line="360" w:lineRule="auto"/>
        <w:jc w:val="both"/>
        <w:rPr>
          <w:rFonts w:ascii="Palatino Linotype" w:eastAsia="Palatino Linotype" w:hAnsi="Palatino Linotype" w:cs="Palatino Linotype"/>
          <w:lang w:val="es-MX"/>
        </w:rPr>
      </w:pPr>
    </w:p>
    <w:p w:rsidR="00C064ED" w:rsidRPr="006078F5" w:rsidRDefault="00C064ED" w:rsidP="00C064ED">
      <w:pPr>
        <w:numPr>
          <w:ilvl w:val="0"/>
          <w:numId w:val="2"/>
        </w:numPr>
        <w:spacing w:line="360" w:lineRule="auto"/>
        <w:ind w:left="0" w:right="-787" w:firstLine="0"/>
        <w:jc w:val="both"/>
        <w:rPr>
          <w:rFonts w:ascii="Palatino Linotype" w:eastAsia="Palatino Linotype" w:hAnsi="Palatino Linotype" w:cs="Palatino Linotype"/>
          <w:color w:val="000000"/>
        </w:rPr>
      </w:pPr>
      <w:r w:rsidRPr="006078F5">
        <w:rPr>
          <w:rFonts w:ascii="Palatino Linotype" w:eastAsia="Palatino Linotype" w:hAnsi="Palatino Linotype" w:cs="Palatino Linotype"/>
          <w:lang w:val="es-MX"/>
        </w:rPr>
        <w:t>En virtud de lo expuesto y fundado, este</w:t>
      </w:r>
      <w:r w:rsidRPr="006078F5">
        <w:rPr>
          <w:rFonts w:ascii="Palatino Linotype" w:eastAsia="Palatino Linotype" w:hAnsi="Palatino Linotype" w:cs="Palatino Linotype"/>
          <w:color w:val="000000"/>
        </w:rPr>
        <w:t xml:space="preserve"> Organismo estima la imposibilidad de confirmar la respuesta proporcionada del Sujeto Obligado; por las consideraciones antes expuesta; por lo que, </w:t>
      </w:r>
      <w:r w:rsidRPr="006078F5">
        <w:rPr>
          <w:rFonts w:ascii="Palatino Linotype" w:eastAsia="Palatino Linotype" w:hAnsi="Palatino Linotype" w:cs="Palatino Linotype"/>
        </w:rPr>
        <w:t xml:space="preserve">lo procedente es </w:t>
      </w:r>
      <w:r w:rsidRPr="006078F5">
        <w:rPr>
          <w:rFonts w:ascii="Palatino Linotype" w:eastAsia="Palatino Linotype" w:hAnsi="Palatino Linotype" w:cs="Palatino Linotype"/>
          <w:b/>
        </w:rPr>
        <w:t>SOBRESEER</w:t>
      </w:r>
      <w:r w:rsidRPr="006078F5">
        <w:rPr>
          <w:rFonts w:ascii="Palatino Linotype" w:eastAsia="Palatino Linotype" w:hAnsi="Palatino Linotype" w:cs="Palatino Linotype"/>
        </w:rPr>
        <w:t xml:space="preserve"> el recurso de revisión al actualizarse el supuesto establecido en la </w:t>
      </w:r>
      <w:r w:rsidRPr="006078F5">
        <w:rPr>
          <w:rFonts w:ascii="Palatino Linotype" w:eastAsia="Palatino Linotype" w:hAnsi="Palatino Linotype" w:cs="Palatino Linotype"/>
          <w:b/>
        </w:rPr>
        <w:t xml:space="preserve">fracción V, del artículo 192, de la </w:t>
      </w:r>
      <w:r w:rsidRPr="006078F5">
        <w:rPr>
          <w:rFonts w:ascii="Palatino Linotype" w:hAnsi="Palatino Linotype" w:cs="Arial"/>
          <w:b/>
        </w:rPr>
        <w:t>Ley de Transparencia y Acceso a la Información Pública del Estado de México y Municipios</w:t>
      </w:r>
      <w:r w:rsidRPr="006078F5">
        <w:rPr>
          <w:rFonts w:ascii="Palatino Linotype" w:eastAsia="Palatino Linotype" w:hAnsi="Palatino Linotype" w:cs="Palatino Linotype"/>
        </w:rPr>
        <w:t>, misma que establece:</w:t>
      </w:r>
    </w:p>
    <w:p w:rsidR="00C064ED" w:rsidRPr="006078F5" w:rsidRDefault="00C064ED" w:rsidP="00C064ED">
      <w:pPr>
        <w:ind w:left="567" w:right="-574"/>
        <w:jc w:val="both"/>
        <w:rPr>
          <w:rFonts w:ascii="Palatino Linotype" w:eastAsia="Palatino Linotype" w:hAnsi="Palatino Linotype" w:cs="Palatino Linotype"/>
          <w:i/>
          <w:color w:val="000000"/>
        </w:rPr>
      </w:pPr>
      <w:r w:rsidRPr="006078F5">
        <w:rPr>
          <w:rFonts w:ascii="Palatino Linotype" w:eastAsia="Palatino Linotype" w:hAnsi="Palatino Linotype" w:cs="Palatino Linotype"/>
          <w:b/>
          <w:i/>
          <w:color w:val="000000"/>
        </w:rPr>
        <w:t>Artículo 192</w:t>
      </w:r>
      <w:r w:rsidRPr="006078F5">
        <w:rPr>
          <w:rFonts w:ascii="Palatino Linotype" w:eastAsia="Palatino Linotype" w:hAnsi="Palatino Linotype" w:cs="Palatino Linotype"/>
          <w:i/>
          <w:color w:val="000000"/>
        </w:rPr>
        <w:t xml:space="preserve">. </w:t>
      </w:r>
      <w:r w:rsidRPr="006078F5">
        <w:rPr>
          <w:rFonts w:ascii="Palatino Linotype" w:eastAsia="Palatino Linotype" w:hAnsi="Palatino Linotype" w:cs="Palatino Linotype"/>
          <w:b/>
          <w:i/>
          <w:color w:val="000000"/>
        </w:rPr>
        <w:t>El recurso será sobreseído</w:t>
      </w:r>
      <w:r w:rsidRPr="006078F5">
        <w:rPr>
          <w:rFonts w:ascii="Palatino Linotype" w:eastAsia="Palatino Linotype" w:hAnsi="Palatino Linotype" w:cs="Palatino Linotype"/>
          <w:i/>
          <w:color w:val="000000"/>
        </w:rPr>
        <w:t xml:space="preserve">, en todo o en parte, cuando una vez admitido, se actualicen alguno de los siguientes supuestos: </w:t>
      </w:r>
    </w:p>
    <w:p w:rsidR="00C064ED" w:rsidRPr="006078F5" w:rsidRDefault="00C064ED" w:rsidP="00C064ED">
      <w:pPr>
        <w:ind w:left="567" w:right="-574"/>
        <w:jc w:val="both"/>
        <w:rPr>
          <w:rFonts w:ascii="Palatino Linotype" w:eastAsia="Palatino Linotype" w:hAnsi="Palatino Linotype" w:cs="Palatino Linotype"/>
          <w:i/>
          <w:color w:val="000000"/>
        </w:rPr>
      </w:pPr>
      <w:r w:rsidRPr="006078F5">
        <w:rPr>
          <w:rFonts w:ascii="Palatino Linotype" w:eastAsia="Palatino Linotype" w:hAnsi="Palatino Linotype" w:cs="Palatino Linotype"/>
          <w:i/>
          <w:color w:val="000000"/>
        </w:rPr>
        <w:t>…</w:t>
      </w:r>
    </w:p>
    <w:p w:rsidR="00C064ED" w:rsidRPr="006078F5" w:rsidRDefault="00C064ED" w:rsidP="00C064ED">
      <w:pPr>
        <w:ind w:left="567" w:right="-574"/>
        <w:jc w:val="both"/>
        <w:rPr>
          <w:rFonts w:ascii="Palatino Linotype" w:eastAsia="Palatino Linotype" w:hAnsi="Palatino Linotype" w:cs="Palatino Linotype"/>
          <w:b/>
          <w:i/>
          <w:color w:val="000000"/>
        </w:rPr>
      </w:pPr>
      <w:r w:rsidRPr="006078F5">
        <w:rPr>
          <w:rFonts w:ascii="Palatino Linotype" w:eastAsia="Palatino Linotype" w:hAnsi="Palatino Linotype" w:cs="Palatino Linotype"/>
          <w:b/>
          <w:i/>
          <w:color w:val="000000"/>
        </w:rPr>
        <w:t xml:space="preserve"> V. Cuando por cualquier motivo quede sin materia el recurso.</w:t>
      </w:r>
    </w:p>
    <w:p w:rsidR="00C064ED" w:rsidRDefault="00C064ED" w:rsidP="00C064ED">
      <w:pPr>
        <w:spacing w:line="360" w:lineRule="auto"/>
        <w:jc w:val="both"/>
        <w:rPr>
          <w:color w:val="000000"/>
        </w:rPr>
      </w:pPr>
    </w:p>
    <w:p w:rsidR="006078F5" w:rsidRPr="006078F5" w:rsidRDefault="006078F5" w:rsidP="00C064ED">
      <w:pPr>
        <w:spacing w:line="360" w:lineRule="auto"/>
        <w:jc w:val="both"/>
        <w:rPr>
          <w:color w:val="000000"/>
        </w:rPr>
      </w:pPr>
    </w:p>
    <w:p w:rsidR="009C7EA6" w:rsidRPr="006078F5" w:rsidRDefault="009C7EA6" w:rsidP="009C7EA6">
      <w:pPr>
        <w:numPr>
          <w:ilvl w:val="0"/>
          <w:numId w:val="30"/>
        </w:numPr>
        <w:tabs>
          <w:tab w:val="left" w:pos="7938"/>
        </w:tabs>
        <w:spacing w:line="360" w:lineRule="auto"/>
        <w:ind w:left="426"/>
        <w:jc w:val="both"/>
        <w:rPr>
          <w:rFonts w:ascii="Palatino Linotype" w:eastAsia="Times New Roman" w:hAnsi="Palatino Linotype" w:cs="Times New Roman"/>
          <w:b/>
          <w:iCs/>
          <w:lang w:val="es-ES"/>
        </w:rPr>
      </w:pPr>
      <w:r w:rsidRPr="006078F5">
        <w:rPr>
          <w:rFonts w:ascii="Palatino Linotype" w:eastAsia="Times New Roman" w:hAnsi="Palatino Linotype" w:cs="Times New Roman"/>
          <w:b/>
          <w:iCs/>
          <w:lang w:val="es-ES"/>
        </w:rPr>
        <w:t xml:space="preserve">De la vista a los órganos de control interno competentes </w:t>
      </w:r>
    </w:p>
    <w:p w:rsidR="009C7EA6" w:rsidRPr="006078F5" w:rsidRDefault="009C7EA6" w:rsidP="009C7EA6">
      <w:pPr>
        <w:numPr>
          <w:ilvl w:val="0"/>
          <w:numId w:val="2"/>
        </w:numPr>
        <w:spacing w:line="360" w:lineRule="auto"/>
        <w:ind w:left="0" w:right="-787" w:firstLine="0"/>
        <w:jc w:val="both"/>
        <w:rPr>
          <w:rFonts w:ascii="Palatino Linotype" w:eastAsia="Palatino Linotype" w:hAnsi="Palatino Linotype" w:cs="Palatino Linotype"/>
        </w:rPr>
      </w:pPr>
      <w:r w:rsidRPr="006078F5">
        <w:rPr>
          <w:rFonts w:ascii="Palatino Linotype" w:eastAsia="Palatino Linotype" w:hAnsi="Palatino Linotype" w:cs="Palatino Linotype"/>
        </w:rPr>
        <w:t>Como ya se mencionó el</w:t>
      </w:r>
      <w:r w:rsidRPr="006078F5">
        <w:rPr>
          <w:rFonts w:ascii="Palatino Linotype" w:eastAsia="Palatino Linotype" w:hAnsi="Palatino Linotype" w:cs="Palatino Linotype"/>
          <w:b/>
        </w:rPr>
        <w:t xml:space="preserve"> Sujeto Obligado</w:t>
      </w:r>
      <w:r w:rsidRPr="006078F5">
        <w:rPr>
          <w:rFonts w:ascii="Palatino Linotype" w:eastAsia="Palatino Linotype" w:hAnsi="Palatino Linotype" w:cs="Palatino Linotype"/>
        </w:rPr>
        <w:t>, entregó información clasificada como reservada, en el término previsto en el artículo 140, fracción I, de la Ley de Transparencia y Acceso a la Información Pública, por lo que se ordena dar vista</w:t>
      </w:r>
      <w:r w:rsidRPr="006078F5">
        <w:rPr>
          <w:rFonts w:ascii="Palatino Linotype" w:eastAsia="Palatino Linotype" w:hAnsi="Palatino Linotype" w:cs="Palatino Linotype"/>
          <w:b/>
        </w:rPr>
        <w:t xml:space="preserve"> </w:t>
      </w:r>
      <w:r w:rsidRPr="006078F5">
        <w:rPr>
          <w:rFonts w:ascii="Palatino Linotype" w:eastAsia="Palatino Linotype" w:hAnsi="Palatino Linotype" w:cs="Palatino Linotype"/>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6078F5">
        <w:rPr>
          <w:rFonts w:ascii="Palatino Linotype" w:hAnsi="Palatino Linotype"/>
        </w:rPr>
        <w:t>del Reglamento Interior del Instituto de Transparencia, Acceso a la Información y Protección de Datos Personales</w:t>
      </w:r>
      <w:r w:rsidRPr="006078F5">
        <w:rPr>
          <w:rFonts w:ascii="Palatino Linotype" w:eastAsia="Palatino Linotype" w:hAnsi="Palatino Linotype" w:cs="Palatino Linotype"/>
        </w:rPr>
        <w:t xml:space="preserve"> del Estado de México y Municipios, se determine lo conducente.</w:t>
      </w:r>
    </w:p>
    <w:p w:rsidR="00C064ED" w:rsidRPr="006078F5" w:rsidRDefault="00C064ED" w:rsidP="00C064ED">
      <w:pPr>
        <w:spacing w:line="360" w:lineRule="auto"/>
        <w:ind w:right="-787"/>
        <w:jc w:val="both"/>
        <w:rPr>
          <w:rFonts w:ascii="Palatino Linotype" w:eastAsia="Palatino Linotype" w:hAnsi="Palatino Linotype" w:cs="Palatino Linotype"/>
        </w:rPr>
      </w:pPr>
    </w:p>
    <w:p w:rsidR="00DF3B85" w:rsidRPr="006078F5" w:rsidRDefault="00DF3B85" w:rsidP="00DF3B85">
      <w:pPr>
        <w:numPr>
          <w:ilvl w:val="0"/>
          <w:numId w:val="2"/>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sidRPr="006078F5">
        <w:rPr>
          <w:rFonts w:ascii="Palatino Linotype" w:eastAsia="Palatino Linotype" w:hAnsi="Palatino Linotype" w:cs="Palatino Linotype"/>
        </w:rPr>
        <w:lastRenderedPageBreak/>
        <w:t xml:space="preserve">Con fundamento en lo </w:t>
      </w:r>
      <w:r w:rsidRPr="006078F5">
        <w:rPr>
          <w:rFonts w:ascii="Palatino Linotype" w:hAnsi="Palatino Linotype"/>
        </w:rPr>
        <w:t>prescrito</w:t>
      </w:r>
      <w:r w:rsidRPr="006078F5">
        <w:rPr>
          <w:rFonts w:ascii="Palatino Linotype" w:eastAsia="Palatino Linotype" w:hAnsi="Palatino Linotype" w:cs="Palatino Linotype"/>
        </w:rPr>
        <w:t xml:space="preserve"> en los artículos </w:t>
      </w:r>
      <w:r w:rsidRPr="006078F5">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6078F5">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C064ED" w:rsidRPr="006078F5" w:rsidRDefault="00C064ED" w:rsidP="00C064ED">
      <w:pPr>
        <w:ind w:right="278"/>
        <w:rPr>
          <w:rFonts w:ascii="Palatino Linotype" w:eastAsia="Palatino Linotype" w:hAnsi="Palatino Linotype" w:cs="Palatino Linotype"/>
        </w:rPr>
      </w:pPr>
    </w:p>
    <w:p w:rsidR="00C064ED" w:rsidRPr="006078F5" w:rsidRDefault="00C064ED" w:rsidP="00C064ED">
      <w:pPr>
        <w:spacing w:line="360" w:lineRule="auto"/>
        <w:ind w:right="-858"/>
        <w:jc w:val="center"/>
        <w:rPr>
          <w:rFonts w:ascii="Palatino Linotype" w:eastAsia="Palatino Linotype" w:hAnsi="Palatino Linotype" w:cs="Palatino Linotype"/>
          <w:b/>
        </w:rPr>
      </w:pPr>
      <w:r w:rsidRPr="006078F5">
        <w:rPr>
          <w:rFonts w:ascii="Palatino Linotype" w:eastAsia="Palatino Linotype" w:hAnsi="Palatino Linotype" w:cs="Palatino Linotype"/>
          <w:b/>
        </w:rPr>
        <w:t>R E S U E L V E</w:t>
      </w:r>
    </w:p>
    <w:p w:rsidR="00C064ED" w:rsidRPr="006078F5" w:rsidRDefault="00C064ED" w:rsidP="00C064ED">
      <w:pPr>
        <w:spacing w:line="360" w:lineRule="auto"/>
        <w:ind w:right="-787"/>
        <w:jc w:val="center"/>
        <w:rPr>
          <w:rFonts w:ascii="Palatino Linotype" w:eastAsia="Palatino Linotype" w:hAnsi="Palatino Linotype" w:cs="Palatino Linotype"/>
          <w:b/>
        </w:rPr>
      </w:pPr>
    </w:p>
    <w:p w:rsidR="00C064ED" w:rsidRPr="006078F5" w:rsidRDefault="00C064ED" w:rsidP="00C064ED">
      <w:pPr>
        <w:spacing w:line="360" w:lineRule="auto"/>
        <w:ind w:right="-858"/>
        <w:jc w:val="both"/>
        <w:rPr>
          <w:rFonts w:ascii="Palatino Linotype" w:eastAsia="Palatino Linotype" w:hAnsi="Palatino Linotype" w:cs="Palatino Linotype"/>
        </w:rPr>
      </w:pPr>
      <w:r w:rsidRPr="006078F5">
        <w:rPr>
          <w:rFonts w:ascii="Palatino Linotype" w:eastAsia="Palatino Linotype" w:hAnsi="Palatino Linotype" w:cs="Palatino Linotype"/>
          <w:b/>
        </w:rPr>
        <w:t>PRIMERO</w:t>
      </w:r>
      <w:r w:rsidRPr="006078F5">
        <w:rPr>
          <w:rFonts w:ascii="Palatino Linotype" w:eastAsia="Palatino Linotype" w:hAnsi="Palatino Linotype" w:cs="Palatino Linotype"/>
        </w:rPr>
        <w:t xml:space="preserve">. Se </w:t>
      </w:r>
      <w:r w:rsidRPr="006078F5">
        <w:rPr>
          <w:rFonts w:ascii="Palatino Linotype" w:eastAsia="Palatino Linotype" w:hAnsi="Palatino Linotype" w:cs="Palatino Linotype"/>
          <w:b/>
        </w:rPr>
        <w:t>SOBRESEE</w:t>
      </w:r>
      <w:r w:rsidRPr="006078F5">
        <w:rPr>
          <w:rFonts w:ascii="Palatino Linotype" w:eastAsia="Palatino Linotype" w:hAnsi="Palatino Linotype" w:cs="Palatino Linotype"/>
        </w:rPr>
        <w:t xml:space="preserve"> el Recurso de Revisión número </w:t>
      </w:r>
      <w:r w:rsidR="008757E1" w:rsidRPr="006078F5">
        <w:rPr>
          <w:rFonts w:ascii="Palatino Linotype" w:eastAsia="Palatino Linotype" w:hAnsi="Palatino Linotype" w:cs="Palatino Linotype"/>
          <w:b/>
          <w:color w:val="000000"/>
        </w:rPr>
        <w:t>14198</w:t>
      </w:r>
      <w:r w:rsidRPr="006078F5">
        <w:rPr>
          <w:rFonts w:ascii="Palatino Linotype" w:eastAsia="Palatino Linotype" w:hAnsi="Palatino Linotype" w:cs="Palatino Linotype"/>
          <w:b/>
          <w:color w:val="000000"/>
        </w:rPr>
        <w:t>/INFOEM/IP/RR/2025</w:t>
      </w:r>
      <w:r w:rsidRPr="006078F5">
        <w:rPr>
          <w:rFonts w:ascii="Palatino Linotype" w:eastAsia="Palatino Linotype" w:hAnsi="Palatino Linotype" w:cs="Palatino Linotype"/>
        </w:rPr>
        <w:t xml:space="preserve">, conforme al artículo 192, fracción V, de la Ley de la Materia, cuando por cualquier motivo quede sin materia el recurso, en términos del  </w:t>
      </w:r>
      <w:r w:rsidRPr="006078F5">
        <w:rPr>
          <w:rFonts w:ascii="Palatino Linotype" w:eastAsia="Palatino Linotype" w:hAnsi="Palatino Linotype" w:cs="Palatino Linotype"/>
          <w:b/>
        </w:rPr>
        <w:t>Considerando Cuarto</w:t>
      </w:r>
      <w:r w:rsidRPr="006078F5">
        <w:rPr>
          <w:rFonts w:ascii="Palatino Linotype" w:eastAsia="Palatino Linotype" w:hAnsi="Palatino Linotype" w:cs="Palatino Linotype"/>
        </w:rPr>
        <w:t xml:space="preserve"> de la presente resolución.</w:t>
      </w:r>
    </w:p>
    <w:p w:rsidR="00C064ED" w:rsidRPr="006078F5" w:rsidRDefault="00C064ED" w:rsidP="00C064ED">
      <w:pPr>
        <w:spacing w:line="360" w:lineRule="auto"/>
        <w:jc w:val="both"/>
        <w:rPr>
          <w:rFonts w:ascii="Palatino Linotype" w:eastAsia="Palatino Linotype" w:hAnsi="Palatino Linotype" w:cs="Palatino Linotype"/>
        </w:rPr>
      </w:pPr>
    </w:p>
    <w:p w:rsidR="00C064ED" w:rsidRPr="006078F5" w:rsidRDefault="00C064ED" w:rsidP="00C064ED">
      <w:pPr>
        <w:spacing w:line="360" w:lineRule="auto"/>
        <w:ind w:right="-858"/>
        <w:jc w:val="both"/>
        <w:rPr>
          <w:rFonts w:ascii="Palatino Linotype" w:eastAsia="Palatino Linotype" w:hAnsi="Palatino Linotype" w:cs="Palatino Linotype"/>
        </w:rPr>
      </w:pPr>
      <w:r w:rsidRPr="006078F5">
        <w:rPr>
          <w:rFonts w:ascii="Palatino Linotype" w:eastAsia="Palatino Linotype" w:hAnsi="Palatino Linotype" w:cs="Palatino Linotype"/>
          <w:b/>
        </w:rPr>
        <w:t>SEGUNDO. Notifíquese</w:t>
      </w:r>
      <w:r w:rsidRPr="006078F5">
        <w:rPr>
          <w:rFonts w:ascii="Palatino Linotype" w:eastAsia="Palatino Linotype" w:hAnsi="Palatino Linotype" w:cs="Palatino Linotype"/>
        </w:rPr>
        <w:t xml:space="preserve"> al Titular de la Unidad de Transparencia del </w:t>
      </w:r>
      <w:r w:rsidRPr="006078F5">
        <w:rPr>
          <w:rFonts w:ascii="Palatino Linotype" w:eastAsia="Palatino Linotype" w:hAnsi="Palatino Linotype" w:cs="Palatino Linotype"/>
          <w:b/>
        </w:rPr>
        <w:t>SUJETO OBLIGADO</w:t>
      </w:r>
      <w:r w:rsidRPr="006078F5">
        <w:rPr>
          <w:rFonts w:ascii="Palatino Linotype" w:eastAsia="Palatino Linotype" w:hAnsi="Palatino Linotype" w:cs="Palatino Linotype"/>
        </w:rPr>
        <w:t xml:space="preserve"> vía SAIMEX, para su conocimiento.</w:t>
      </w:r>
    </w:p>
    <w:p w:rsidR="00C064ED" w:rsidRPr="006078F5" w:rsidRDefault="00C064ED" w:rsidP="00C064ED">
      <w:pPr>
        <w:spacing w:line="360" w:lineRule="auto"/>
        <w:ind w:right="-858"/>
        <w:jc w:val="both"/>
        <w:rPr>
          <w:rFonts w:ascii="Palatino Linotype" w:eastAsia="Palatino Linotype" w:hAnsi="Palatino Linotype" w:cs="Palatino Linotype"/>
        </w:rPr>
      </w:pPr>
    </w:p>
    <w:p w:rsidR="00C064ED" w:rsidRPr="006078F5" w:rsidRDefault="00C064ED" w:rsidP="00C064ED">
      <w:pPr>
        <w:spacing w:line="360" w:lineRule="auto"/>
        <w:ind w:right="-858"/>
        <w:jc w:val="both"/>
        <w:rPr>
          <w:rFonts w:ascii="Palatino Linotype" w:eastAsia="Palatino Linotype" w:hAnsi="Palatino Linotype" w:cs="Palatino Linotype"/>
        </w:rPr>
      </w:pPr>
      <w:bookmarkStart w:id="8" w:name="_heading=h.xqeync8mwh44" w:colFirst="0" w:colLast="0"/>
      <w:bookmarkEnd w:id="8"/>
      <w:r w:rsidRPr="006078F5">
        <w:rPr>
          <w:rFonts w:ascii="Palatino Linotype" w:eastAsia="Palatino Linotype" w:hAnsi="Palatino Linotype" w:cs="Palatino Linotype"/>
          <w:b/>
        </w:rPr>
        <w:t>TERCERO. NOTIFÍQUESE</w:t>
      </w:r>
      <w:r w:rsidRPr="006078F5">
        <w:rPr>
          <w:rFonts w:ascii="Palatino Linotype" w:eastAsia="Palatino Linotype" w:hAnsi="Palatino Linotype" w:cs="Palatino Linotype"/>
        </w:rPr>
        <w:t xml:space="preserve"> la presente resolución a la parte </w:t>
      </w:r>
      <w:r w:rsidRPr="006078F5">
        <w:rPr>
          <w:rFonts w:ascii="Palatino Linotype" w:eastAsia="Palatino Linotype" w:hAnsi="Palatino Linotype" w:cs="Palatino Linotype"/>
          <w:b/>
        </w:rPr>
        <w:t>Recurrente</w:t>
      </w:r>
      <w:r w:rsidRPr="006078F5">
        <w:rPr>
          <w:rFonts w:ascii="Palatino Linotype" w:eastAsia="Palatino Linotype" w:hAnsi="Palatino Linotype" w:cs="Palatino Linotype"/>
        </w:rPr>
        <w:t xml:space="preserve"> a través del Sistema de Acceso a la Información Mexiquense </w:t>
      </w:r>
      <w:r w:rsidRPr="006078F5">
        <w:rPr>
          <w:rFonts w:ascii="Palatino Linotype" w:eastAsia="Palatino Linotype" w:hAnsi="Palatino Linotype" w:cs="Palatino Linotype"/>
          <w:b/>
        </w:rPr>
        <w:t>(SAIMEX)</w:t>
      </w:r>
      <w:r w:rsidRPr="006078F5">
        <w:rPr>
          <w:rFonts w:ascii="Palatino Linotype" w:eastAsia="Palatino Linotype" w:hAnsi="Palatino Linotype" w:cs="Palatino Linotype"/>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rsidR="009C7EA6" w:rsidRPr="006078F5" w:rsidRDefault="009C7EA6" w:rsidP="00C064ED">
      <w:pPr>
        <w:spacing w:line="360" w:lineRule="auto"/>
        <w:ind w:right="-858"/>
        <w:jc w:val="both"/>
        <w:rPr>
          <w:rFonts w:ascii="Palatino Linotype" w:eastAsia="Palatino Linotype" w:hAnsi="Palatino Linotype" w:cs="Palatino Linotype"/>
        </w:rPr>
      </w:pPr>
    </w:p>
    <w:p w:rsidR="009C7EA6" w:rsidRPr="006078F5" w:rsidRDefault="008757E1" w:rsidP="009C7EA6">
      <w:pPr>
        <w:spacing w:line="360" w:lineRule="auto"/>
        <w:ind w:right="-858"/>
        <w:jc w:val="both"/>
        <w:rPr>
          <w:rFonts w:ascii="Palatino Linotype" w:eastAsia="Palatino Linotype" w:hAnsi="Palatino Linotype" w:cs="Palatino Linotype"/>
          <w:b/>
        </w:rPr>
      </w:pPr>
      <w:r w:rsidRPr="006078F5">
        <w:rPr>
          <w:rFonts w:ascii="Palatino Linotype" w:eastAsia="Palatino Linotype" w:hAnsi="Palatino Linotype" w:cs="Palatino Linotype"/>
          <w:b/>
        </w:rPr>
        <w:t>CUARTO</w:t>
      </w:r>
      <w:r w:rsidR="009C7EA6" w:rsidRPr="006078F5">
        <w:rPr>
          <w:rFonts w:ascii="Palatino Linotype" w:eastAsia="Palatino Linotype" w:hAnsi="Palatino Linotype" w:cs="Palatino Linotype"/>
          <w:b/>
        </w:rPr>
        <w:t>.</w:t>
      </w:r>
      <w:r w:rsidR="009C7EA6" w:rsidRPr="006078F5">
        <w:rPr>
          <w:rFonts w:ascii="Palatino Linotype" w:eastAsia="Palatino Linotype" w:hAnsi="Palatino Linotype" w:cs="Palatino Linotype"/>
        </w:rPr>
        <w:t xml:space="preserve"> </w:t>
      </w:r>
      <w:r w:rsidR="009C7EA6" w:rsidRPr="006078F5">
        <w:rPr>
          <w:rFonts w:ascii="Palatino Linotype" w:eastAsia="Palatino Linotype" w:hAnsi="Palatino Linotype" w:cs="Palatino Linotype"/>
          <w:b/>
        </w:rPr>
        <w:t>Gírese oficio</w:t>
      </w:r>
      <w:r w:rsidR="009C7EA6" w:rsidRPr="006078F5">
        <w:rPr>
          <w:rFonts w:ascii="Palatino Linotype" w:eastAsia="Palatino Linotype" w:hAnsi="Palatino Linotype" w:cs="Palatino Linotype"/>
        </w:rPr>
        <w:t xml:space="preserve"> a la Secretaría Técnica del Pleno de este Instituto para hacer del conocimiento del Órgano Interno de Control competente la presente resolución, a fin de que de conformidad con el artículo 190, de la Ley de Transparencia y Acceso a la Información </w:t>
      </w:r>
      <w:r w:rsidR="009C7EA6" w:rsidRPr="006078F5">
        <w:rPr>
          <w:rFonts w:ascii="Palatino Linotype" w:eastAsia="Palatino Linotype" w:hAnsi="Palatino Linotype" w:cs="Palatino Linotype"/>
        </w:rPr>
        <w:lastRenderedPageBreak/>
        <w:t xml:space="preserve">Pública del Estado de México y Municipios, determine lo conducente, en términos de lo señalado en el </w:t>
      </w:r>
      <w:r w:rsidR="009C7EA6" w:rsidRPr="006078F5">
        <w:rPr>
          <w:rFonts w:ascii="Palatino Linotype" w:eastAsia="Palatino Linotype" w:hAnsi="Palatino Linotype" w:cs="Palatino Linotype"/>
          <w:b/>
        </w:rPr>
        <w:t xml:space="preserve">Considerando </w:t>
      </w:r>
      <w:r w:rsidRPr="006078F5">
        <w:rPr>
          <w:rFonts w:ascii="Palatino Linotype" w:eastAsia="Palatino Linotype" w:hAnsi="Palatino Linotype" w:cs="Palatino Linotype"/>
          <w:b/>
        </w:rPr>
        <w:t>CUARTO</w:t>
      </w:r>
      <w:r w:rsidR="009C7EA6" w:rsidRPr="006078F5">
        <w:rPr>
          <w:rFonts w:ascii="Palatino Linotype" w:eastAsia="Palatino Linotype" w:hAnsi="Palatino Linotype" w:cs="Palatino Linotype"/>
        </w:rPr>
        <w:t xml:space="preserve"> de la presente Resolución</w:t>
      </w:r>
      <w:r w:rsidR="009C7EA6" w:rsidRPr="006078F5">
        <w:rPr>
          <w:rFonts w:ascii="Palatino Linotype" w:eastAsia="Palatino Linotype" w:hAnsi="Palatino Linotype" w:cs="Palatino Linotype"/>
          <w:b/>
        </w:rPr>
        <w:t>.</w:t>
      </w:r>
    </w:p>
    <w:p w:rsidR="009C7EA6" w:rsidRPr="006078F5" w:rsidRDefault="009C7EA6" w:rsidP="00C064ED">
      <w:pPr>
        <w:spacing w:line="360" w:lineRule="auto"/>
        <w:ind w:right="-858"/>
        <w:jc w:val="both"/>
        <w:rPr>
          <w:rFonts w:ascii="Palatino Linotype" w:eastAsia="Palatino Linotype" w:hAnsi="Palatino Linotype" w:cs="Palatino Linotype"/>
        </w:rPr>
      </w:pPr>
    </w:p>
    <w:p w:rsidR="00BB1250" w:rsidRPr="006078F5" w:rsidRDefault="00BB1250" w:rsidP="00BB1250">
      <w:pPr>
        <w:spacing w:before="240" w:after="240" w:line="360" w:lineRule="auto"/>
        <w:ind w:right="-858" w:firstLine="1"/>
        <w:jc w:val="both"/>
        <w:rPr>
          <w:rFonts w:ascii="Palatino Linotype" w:hAnsi="Palatino Linotype"/>
        </w:rPr>
      </w:pPr>
      <w:bookmarkStart w:id="9" w:name="_heading=h.lnxbz9" w:colFirst="0" w:colLast="0"/>
      <w:bookmarkStart w:id="10" w:name="_Hlk99014733"/>
      <w:bookmarkEnd w:id="9"/>
      <w:r w:rsidRPr="006078F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182D60" w:rsidRPr="006078F5">
        <w:rPr>
          <w:rFonts w:ascii="Palatino Linotype" w:hAnsi="Palatino Linotype" w:cs="Palatino Linotype"/>
        </w:rPr>
        <w:t xml:space="preserve">EMITIENDO VOTO PARTICULAR CONCURRENTE </w:t>
      </w:r>
      <w:r w:rsidRPr="006078F5">
        <w:rPr>
          <w:rFonts w:ascii="Palatino Linotype" w:hAnsi="Palatino Linotype" w:cs="Palatino Linotype"/>
        </w:rPr>
        <w:t>Y GUADALUPE RAMÍREZ PEÑA</w:t>
      </w:r>
      <w:r w:rsidR="00182D60" w:rsidRPr="006078F5">
        <w:rPr>
          <w:rFonts w:ascii="Palatino Linotype" w:hAnsi="Palatino Linotype" w:cs="Palatino Linotype"/>
        </w:rPr>
        <w:t xml:space="preserve"> EMITIENDO VOTO PARTICULAR CONCURRENTE</w:t>
      </w:r>
      <w:r w:rsidRPr="006078F5">
        <w:rPr>
          <w:rFonts w:ascii="Palatino Linotype" w:hAnsi="Palatino Linotype" w:cs="Palatino Linotype"/>
        </w:rPr>
        <w:t xml:space="preserve">; EN LA VIGÉSIMA SESIÓN ORDINARIA, CELEBRADA EL TRES (03) DE JUNIO DE DOS MIL VEINTISÉIS, ANTE EL SECRETARIO TÉCNICO DEL PLENO </w:t>
      </w:r>
      <w:r w:rsidRPr="006078F5">
        <w:rPr>
          <w:rFonts w:ascii="Palatino Linotype" w:hAnsi="Palatino Linotype" w:cs="Palatino Linotype"/>
          <w:color w:val="000000" w:themeColor="text1"/>
        </w:rPr>
        <w:t>ALEXIS TAPIA RAMÍREZ.</w:t>
      </w:r>
    </w:p>
    <w:bookmarkEnd w:id="10"/>
    <w:p w:rsidR="0072148B" w:rsidRPr="006078F5" w:rsidRDefault="0072148B">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p w:rsidR="008B1E49" w:rsidRPr="006078F5" w:rsidRDefault="008B1E49">
      <w:pPr>
        <w:tabs>
          <w:tab w:val="left" w:pos="3374"/>
        </w:tabs>
        <w:spacing w:line="360" w:lineRule="auto"/>
        <w:ind w:right="-787"/>
        <w:rPr>
          <w:rFonts w:ascii="Palatino Linotype" w:eastAsia="Palatino Linotype" w:hAnsi="Palatino Linotype" w:cs="Palatino Linotype"/>
        </w:rPr>
      </w:pPr>
    </w:p>
    <w:sectPr w:rsidR="008B1E49" w:rsidRPr="006078F5">
      <w:headerReference w:type="even" r:id="rId10"/>
      <w:headerReference w:type="default" r:id="rId11"/>
      <w:footerReference w:type="default" r:id="rId12"/>
      <w:headerReference w:type="first" r:id="rId13"/>
      <w:footerReference w:type="first" r:id="rId14"/>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67A" w:rsidRDefault="00B4167A">
      <w:r>
        <w:separator/>
      </w:r>
    </w:p>
  </w:endnote>
  <w:endnote w:type="continuationSeparator" w:id="0">
    <w:p w:rsidR="00B4167A" w:rsidRDefault="00B4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FC6" w:rsidRPr="006078F5" w:rsidRDefault="00664FC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6078F5">
      <w:rPr>
        <w:rFonts w:ascii="Palatino Linotype" w:eastAsia="Palatino Linotype" w:hAnsi="Palatino Linotype" w:cs="Palatino Linotype"/>
        <w:color w:val="000000"/>
        <w:sz w:val="22"/>
        <w:szCs w:val="20"/>
      </w:rPr>
      <w:t xml:space="preserve">Página </w:t>
    </w:r>
    <w:r w:rsidRPr="006078F5">
      <w:rPr>
        <w:rFonts w:ascii="Palatino Linotype" w:eastAsia="Palatino Linotype" w:hAnsi="Palatino Linotype" w:cs="Palatino Linotype"/>
        <w:color w:val="000000"/>
        <w:sz w:val="22"/>
        <w:szCs w:val="20"/>
      </w:rPr>
      <w:fldChar w:fldCharType="begin"/>
    </w:r>
    <w:r w:rsidRPr="006078F5">
      <w:rPr>
        <w:rFonts w:ascii="Palatino Linotype" w:eastAsia="Palatino Linotype" w:hAnsi="Palatino Linotype" w:cs="Palatino Linotype"/>
        <w:color w:val="000000"/>
        <w:sz w:val="22"/>
        <w:szCs w:val="20"/>
      </w:rPr>
      <w:instrText>PAGE</w:instrText>
    </w:r>
    <w:r w:rsidRPr="006078F5">
      <w:rPr>
        <w:rFonts w:ascii="Palatino Linotype" w:eastAsia="Palatino Linotype" w:hAnsi="Palatino Linotype" w:cs="Palatino Linotype"/>
        <w:color w:val="000000"/>
        <w:sz w:val="22"/>
        <w:szCs w:val="20"/>
      </w:rPr>
      <w:fldChar w:fldCharType="separate"/>
    </w:r>
    <w:r w:rsidR="005812F7">
      <w:rPr>
        <w:rFonts w:ascii="Palatino Linotype" w:eastAsia="Palatino Linotype" w:hAnsi="Palatino Linotype" w:cs="Palatino Linotype"/>
        <w:noProof/>
        <w:color w:val="000000"/>
        <w:sz w:val="22"/>
        <w:szCs w:val="20"/>
      </w:rPr>
      <w:t>3</w:t>
    </w:r>
    <w:r w:rsidRPr="006078F5">
      <w:rPr>
        <w:rFonts w:ascii="Palatino Linotype" w:eastAsia="Palatino Linotype" w:hAnsi="Palatino Linotype" w:cs="Palatino Linotype"/>
        <w:color w:val="000000"/>
        <w:sz w:val="22"/>
        <w:szCs w:val="20"/>
      </w:rPr>
      <w:fldChar w:fldCharType="end"/>
    </w:r>
    <w:r w:rsidRPr="006078F5">
      <w:rPr>
        <w:rFonts w:ascii="Palatino Linotype" w:eastAsia="Palatino Linotype" w:hAnsi="Palatino Linotype" w:cs="Palatino Linotype"/>
        <w:color w:val="000000"/>
        <w:sz w:val="22"/>
        <w:szCs w:val="20"/>
      </w:rPr>
      <w:t xml:space="preserve"> de </w:t>
    </w:r>
    <w:r w:rsidRPr="006078F5">
      <w:rPr>
        <w:rFonts w:ascii="Palatino Linotype" w:eastAsia="Palatino Linotype" w:hAnsi="Palatino Linotype" w:cs="Palatino Linotype"/>
        <w:color w:val="000000"/>
        <w:sz w:val="22"/>
        <w:szCs w:val="20"/>
      </w:rPr>
      <w:fldChar w:fldCharType="begin"/>
    </w:r>
    <w:r w:rsidRPr="006078F5">
      <w:rPr>
        <w:rFonts w:ascii="Palatino Linotype" w:eastAsia="Palatino Linotype" w:hAnsi="Palatino Linotype" w:cs="Palatino Linotype"/>
        <w:color w:val="000000"/>
        <w:sz w:val="22"/>
        <w:szCs w:val="20"/>
      </w:rPr>
      <w:instrText>NUMPAGES</w:instrText>
    </w:r>
    <w:r w:rsidRPr="006078F5">
      <w:rPr>
        <w:rFonts w:ascii="Palatino Linotype" w:eastAsia="Palatino Linotype" w:hAnsi="Palatino Linotype" w:cs="Palatino Linotype"/>
        <w:color w:val="000000"/>
        <w:sz w:val="22"/>
        <w:szCs w:val="20"/>
      </w:rPr>
      <w:fldChar w:fldCharType="separate"/>
    </w:r>
    <w:r w:rsidR="005812F7">
      <w:rPr>
        <w:rFonts w:ascii="Palatino Linotype" w:eastAsia="Palatino Linotype" w:hAnsi="Palatino Linotype" w:cs="Palatino Linotype"/>
        <w:noProof/>
        <w:color w:val="000000"/>
        <w:sz w:val="22"/>
        <w:szCs w:val="20"/>
      </w:rPr>
      <w:t>34</w:t>
    </w:r>
    <w:r w:rsidRPr="006078F5">
      <w:rPr>
        <w:rFonts w:ascii="Palatino Linotype" w:eastAsia="Palatino Linotype" w:hAnsi="Palatino Linotype" w:cs="Palatino Linotype"/>
        <w:color w:val="000000"/>
        <w:sz w:val="22"/>
        <w:szCs w:val="20"/>
      </w:rPr>
      <w:fldChar w:fldCharType="end"/>
    </w:r>
  </w:p>
  <w:p w:rsidR="00664FC6" w:rsidRDefault="00664FC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FC6" w:rsidRPr="006078F5" w:rsidRDefault="00664FC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6078F5">
      <w:rPr>
        <w:rFonts w:ascii="Palatino Linotype" w:eastAsia="Palatino Linotype" w:hAnsi="Palatino Linotype" w:cs="Palatino Linotype"/>
        <w:color w:val="000000"/>
        <w:sz w:val="22"/>
        <w:szCs w:val="20"/>
      </w:rPr>
      <w:t xml:space="preserve">Página </w:t>
    </w:r>
    <w:r w:rsidRPr="006078F5">
      <w:rPr>
        <w:rFonts w:ascii="Palatino Linotype" w:eastAsia="Palatino Linotype" w:hAnsi="Palatino Linotype" w:cs="Palatino Linotype"/>
        <w:color w:val="000000"/>
        <w:sz w:val="22"/>
        <w:szCs w:val="20"/>
      </w:rPr>
      <w:fldChar w:fldCharType="begin"/>
    </w:r>
    <w:r w:rsidRPr="006078F5">
      <w:rPr>
        <w:rFonts w:ascii="Palatino Linotype" w:eastAsia="Palatino Linotype" w:hAnsi="Palatino Linotype" w:cs="Palatino Linotype"/>
        <w:color w:val="000000"/>
        <w:sz w:val="22"/>
        <w:szCs w:val="20"/>
      </w:rPr>
      <w:instrText>PAGE</w:instrText>
    </w:r>
    <w:r w:rsidRPr="006078F5">
      <w:rPr>
        <w:rFonts w:ascii="Palatino Linotype" w:eastAsia="Palatino Linotype" w:hAnsi="Palatino Linotype" w:cs="Palatino Linotype"/>
        <w:color w:val="000000"/>
        <w:sz w:val="22"/>
        <w:szCs w:val="20"/>
      </w:rPr>
      <w:fldChar w:fldCharType="separate"/>
    </w:r>
    <w:r w:rsidR="005812F7">
      <w:rPr>
        <w:rFonts w:ascii="Palatino Linotype" w:eastAsia="Palatino Linotype" w:hAnsi="Palatino Linotype" w:cs="Palatino Linotype"/>
        <w:noProof/>
        <w:color w:val="000000"/>
        <w:sz w:val="22"/>
        <w:szCs w:val="20"/>
      </w:rPr>
      <w:t>1</w:t>
    </w:r>
    <w:r w:rsidRPr="006078F5">
      <w:rPr>
        <w:rFonts w:ascii="Palatino Linotype" w:eastAsia="Palatino Linotype" w:hAnsi="Palatino Linotype" w:cs="Palatino Linotype"/>
        <w:color w:val="000000"/>
        <w:sz w:val="22"/>
        <w:szCs w:val="20"/>
      </w:rPr>
      <w:fldChar w:fldCharType="end"/>
    </w:r>
    <w:r w:rsidRPr="006078F5">
      <w:rPr>
        <w:rFonts w:ascii="Palatino Linotype" w:eastAsia="Palatino Linotype" w:hAnsi="Palatino Linotype" w:cs="Palatino Linotype"/>
        <w:color w:val="000000"/>
        <w:sz w:val="22"/>
        <w:szCs w:val="20"/>
      </w:rPr>
      <w:t xml:space="preserve"> de </w:t>
    </w:r>
    <w:r w:rsidRPr="006078F5">
      <w:rPr>
        <w:rFonts w:ascii="Palatino Linotype" w:eastAsia="Palatino Linotype" w:hAnsi="Palatino Linotype" w:cs="Palatino Linotype"/>
        <w:color w:val="000000"/>
        <w:sz w:val="22"/>
        <w:szCs w:val="20"/>
      </w:rPr>
      <w:fldChar w:fldCharType="begin"/>
    </w:r>
    <w:r w:rsidRPr="006078F5">
      <w:rPr>
        <w:rFonts w:ascii="Palatino Linotype" w:eastAsia="Palatino Linotype" w:hAnsi="Palatino Linotype" w:cs="Palatino Linotype"/>
        <w:color w:val="000000"/>
        <w:sz w:val="22"/>
        <w:szCs w:val="20"/>
      </w:rPr>
      <w:instrText>NUMPAGES</w:instrText>
    </w:r>
    <w:r w:rsidRPr="006078F5">
      <w:rPr>
        <w:rFonts w:ascii="Palatino Linotype" w:eastAsia="Palatino Linotype" w:hAnsi="Palatino Linotype" w:cs="Palatino Linotype"/>
        <w:color w:val="000000"/>
        <w:sz w:val="22"/>
        <w:szCs w:val="20"/>
      </w:rPr>
      <w:fldChar w:fldCharType="separate"/>
    </w:r>
    <w:r w:rsidR="005812F7">
      <w:rPr>
        <w:rFonts w:ascii="Palatino Linotype" w:eastAsia="Palatino Linotype" w:hAnsi="Palatino Linotype" w:cs="Palatino Linotype"/>
        <w:noProof/>
        <w:color w:val="000000"/>
        <w:sz w:val="22"/>
        <w:szCs w:val="20"/>
      </w:rPr>
      <w:t>34</w:t>
    </w:r>
    <w:r w:rsidRPr="006078F5">
      <w:rPr>
        <w:rFonts w:ascii="Palatino Linotype" w:eastAsia="Palatino Linotype" w:hAnsi="Palatino Linotype" w:cs="Palatino Linotype"/>
        <w:color w:val="000000"/>
        <w:sz w:val="22"/>
        <w:szCs w:val="20"/>
      </w:rPr>
      <w:fldChar w:fldCharType="end"/>
    </w:r>
  </w:p>
  <w:p w:rsidR="00664FC6" w:rsidRDefault="00664FC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67A" w:rsidRDefault="00B4167A">
      <w:r>
        <w:separator/>
      </w:r>
    </w:p>
  </w:footnote>
  <w:footnote w:type="continuationSeparator" w:id="0">
    <w:p w:rsidR="00B4167A" w:rsidRDefault="00B41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FC6" w:rsidRDefault="00B4167A">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87" w:type="dxa"/>
      <w:tblInd w:w="2835" w:type="dxa"/>
      <w:tblLayout w:type="fixed"/>
      <w:tblLook w:val="0400" w:firstRow="0" w:lastRow="0" w:firstColumn="0" w:lastColumn="0" w:noHBand="0" w:noVBand="1"/>
    </w:tblPr>
    <w:tblGrid>
      <w:gridCol w:w="2835"/>
      <w:gridCol w:w="4252"/>
    </w:tblGrid>
    <w:tr w:rsidR="00664FC6" w:rsidTr="006078F5">
      <w:trPr>
        <w:trHeight w:val="227"/>
      </w:trPr>
      <w:tc>
        <w:tcPr>
          <w:tcW w:w="2835" w:type="dxa"/>
        </w:tcPr>
        <w:p w:rsidR="00664FC6" w:rsidRPr="006078F5" w:rsidRDefault="00664FC6" w:rsidP="005A44F8">
          <w:pPr>
            <w:jc w:val="right"/>
            <w:rPr>
              <w:rFonts w:ascii="Palatino Linotype" w:eastAsia="Palatino Linotype" w:hAnsi="Palatino Linotype" w:cs="Palatino Linotype"/>
              <w:b/>
              <w:szCs w:val="22"/>
            </w:rPr>
          </w:pPr>
          <w:r w:rsidRPr="006078F5">
            <w:rPr>
              <w:rFonts w:ascii="Palatino Linotype" w:eastAsia="Palatino Linotype" w:hAnsi="Palatino Linotype" w:cs="Palatino Linotype"/>
              <w:b/>
              <w:szCs w:val="22"/>
            </w:rPr>
            <w:t>Recurso de Revisión:</w:t>
          </w:r>
        </w:p>
      </w:tc>
      <w:tc>
        <w:tcPr>
          <w:tcW w:w="4252" w:type="dxa"/>
        </w:tcPr>
        <w:p w:rsidR="00664FC6" w:rsidRPr="006078F5" w:rsidRDefault="00664FC6" w:rsidP="005A44F8">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6078F5">
            <w:rPr>
              <w:rFonts w:ascii="Palatino Linotype" w:eastAsia="Palatino Linotype" w:hAnsi="Palatino Linotype" w:cs="Palatino Linotype"/>
              <w:color w:val="000000"/>
              <w:szCs w:val="22"/>
            </w:rPr>
            <w:t>14198/INFOEM/IP/RR/2025</w:t>
          </w:r>
        </w:p>
      </w:tc>
    </w:tr>
    <w:tr w:rsidR="00664FC6" w:rsidTr="006078F5">
      <w:trPr>
        <w:trHeight w:val="342"/>
      </w:trPr>
      <w:tc>
        <w:tcPr>
          <w:tcW w:w="2835" w:type="dxa"/>
        </w:tcPr>
        <w:p w:rsidR="00664FC6" w:rsidRPr="006078F5" w:rsidRDefault="00664FC6" w:rsidP="005A44F8">
          <w:pPr>
            <w:jc w:val="right"/>
            <w:rPr>
              <w:rFonts w:ascii="Palatino Linotype" w:eastAsia="Palatino Linotype" w:hAnsi="Palatino Linotype" w:cs="Palatino Linotype"/>
              <w:b/>
              <w:szCs w:val="22"/>
            </w:rPr>
          </w:pPr>
          <w:r w:rsidRPr="006078F5">
            <w:rPr>
              <w:rFonts w:ascii="Palatino Linotype" w:eastAsia="Palatino Linotype" w:hAnsi="Palatino Linotype" w:cs="Palatino Linotype"/>
              <w:b/>
              <w:szCs w:val="22"/>
            </w:rPr>
            <w:t>Sujeto Obligado:</w:t>
          </w:r>
        </w:p>
      </w:tc>
      <w:tc>
        <w:tcPr>
          <w:tcW w:w="4252" w:type="dxa"/>
        </w:tcPr>
        <w:p w:rsidR="00664FC6" w:rsidRPr="006078F5" w:rsidRDefault="00664FC6" w:rsidP="005A44F8">
          <w:pPr>
            <w:rPr>
              <w:rFonts w:ascii="Palatino Linotype" w:eastAsia="Palatino Linotype" w:hAnsi="Palatino Linotype" w:cs="Palatino Linotype"/>
              <w:color w:val="000000"/>
              <w:szCs w:val="22"/>
            </w:rPr>
          </w:pPr>
          <w:r w:rsidRPr="006078F5">
            <w:rPr>
              <w:rFonts w:ascii="Palatino Linotype" w:eastAsia="Palatino Linotype" w:hAnsi="Palatino Linotype" w:cs="Palatino Linotype"/>
              <w:bCs/>
              <w:color w:val="000000"/>
              <w:szCs w:val="22"/>
            </w:rPr>
            <w:t>Ayuntamiento de Tlalnepantla de Baz</w:t>
          </w:r>
        </w:p>
      </w:tc>
    </w:tr>
    <w:tr w:rsidR="00664FC6" w:rsidTr="006078F5">
      <w:trPr>
        <w:trHeight w:val="342"/>
      </w:trPr>
      <w:tc>
        <w:tcPr>
          <w:tcW w:w="2835" w:type="dxa"/>
        </w:tcPr>
        <w:p w:rsidR="00664FC6" w:rsidRPr="006078F5" w:rsidRDefault="00664FC6" w:rsidP="005A44F8">
          <w:pPr>
            <w:jc w:val="right"/>
            <w:rPr>
              <w:rFonts w:ascii="Palatino Linotype" w:eastAsia="Palatino Linotype" w:hAnsi="Palatino Linotype" w:cs="Palatino Linotype"/>
              <w:b/>
              <w:szCs w:val="22"/>
            </w:rPr>
          </w:pPr>
          <w:r w:rsidRPr="006078F5">
            <w:rPr>
              <w:rFonts w:ascii="Palatino Linotype" w:eastAsia="Palatino Linotype" w:hAnsi="Palatino Linotype" w:cs="Palatino Linotype"/>
              <w:b/>
              <w:szCs w:val="22"/>
            </w:rPr>
            <w:t>Comisionada Ponente:</w:t>
          </w:r>
        </w:p>
      </w:tc>
      <w:tc>
        <w:tcPr>
          <w:tcW w:w="4252" w:type="dxa"/>
        </w:tcPr>
        <w:p w:rsidR="00664FC6" w:rsidRPr="006078F5" w:rsidRDefault="00664FC6" w:rsidP="005A44F8">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6078F5">
            <w:rPr>
              <w:rFonts w:ascii="Palatino Linotype" w:eastAsia="Palatino Linotype" w:hAnsi="Palatino Linotype" w:cs="Palatino Linotype"/>
              <w:color w:val="000000"/>
              <w:szCs w:val="22"/>
            </w:rPr>
            <w:t>María del Rosario Mejía Ayala</w:t>
          </w:r>
        </w:p>
      </w:tc>
    </w:tr>
  </w:tbl>
  <w:p w:rsidR="00664FC6" w:rsidRDefault="00B4167A">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82.3pt;margin-top:-110.1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87" w:type="dxa"/>
      <w:tblInd w:w="2977" w:type="dxa"/>
      <w:tblLayout w:type="fixed"/>
      <w:tblLook w:val="0400" w:firstRow="0" w:lastRow="0" w:firstColumn="0" w:lastColumn="0" w:noHBand="0" w:noVBand="1"/>
    </w:tblPr>
    <w:tblGrid>
      <w:gridCol w:w="2835"/>
      <w:gridCol w:w="4252"/>
    </w:tblGrid>
    <w:tr w:rsidR="00664FC6" w:rsidTr="006078F5">
      <w:trPr>
        <w:trHeight w:val="227"/>
      </w:trPr>
      <w:tc>
        <w:tcPr>
          <w:tcW w:w="2835" w:type="dxa"/>
        </w:tcPr>
        <w:p w:rsidR="00664FC6" w:rsidRPr="006078F5" w:rsidRDefault="00664FC6" w:rsidP="0094714F">
          <w:pPr>
            <w:jc w:val="right"/>
            <w:rPr>
              <w:rFonts w:ascii="Palatino Linotype" w:eastAsia="Palatino Linotype" w:hAnsi="Palatino Linotype" w:cs="Palatino Linotype"/>
              <w:b/>
              <w:szCs w:val="22"/>
            </w:rPr>
          </w:pPr>
          <w:r w:rsidRPr="006078F5">
            <w:rPr>
              <w:rFonts w:ascii="Palatino Linotype" w:eastAsia="Palatino Linotype" w:hAnsi="Palatino Linotype" w:cs="Palatino Linotype"/>
              <w:b/>
              <w:szCs w:val="22"/>
            </w:rPr>
            <w:t>Recurso de Revisión:</w:t>
          </w:r>
        </w:p>
      </w:tc>
      <w:tc>
        <w:tcPr>
          <w:tcW w:w="4252" w:type="dxa"/>
        </w:tcPr>
        <w:p w:rsidR="00664FC6" w:rsidRPr="006078F5" w:rsidRDefault="00664FC6" w:rsidP="0094714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6078F5">
            <w:rPr>
              <w:rFonts w:ascii="Palatino Linotype" w:eastAsia="Palatino Linotype" w:hAnsi="Palatino Linotype" w:cs="Palatino Linotype"/>
              <w:color w:val="000000"/>
              <w:szCs w:val="22"/>
            </w:rPr>
            <w:t>14198/INFOEM/IP/RR/2025</w:t>
          </w:r>
        </w:p>
      </w:tc>
    </w:tr>
    <w:tr w:rsidR="00664FC6" w:rsidTr="006078F5">
      <w:trPr>
        <w:trHeight w:val="242"/>
      </w:trPr>
      <w:tc>
        <w:tcPr>
          <w:tcW w:w="2835" w:type="dxa"/>
        </w:tcPr>
        <w:p w:rsidR="00664FC6" w:rsidRPr="006078F5" w:rsidRDefault="00664FC6" w:rsidP="0094714F">
          <w:pPr>
            <w:jc w:val="right"/>
            <w:rPr>
              <w:rFonts w:ascii="Palatino Linotype" w:eastAsia="Palatino Linotype" w:hAnsi="Palatino Linotype" w:cs="Palatino Linotype"/>
              <w:b/>
              <w:szCs w:val="22"/>
            </w:rPr>
          </w:pPr>
          <w:r w:rsidRPr="006078F5">
            <w:rPr>
              <w:rFonts w:ascii="Palatino Linotype" w:eastAsia="Palatino Linotype" w:hAnsi="Palatino Linotype" w:cs="Palatino Linotype"/>
              <w:b/>
              <w:szCs w:val="22"/>
            </w:rPr>
            <w:t>Recurrente:</w:t>
          </w:r>
        </w:p>
      </w:tc>
      <w:tc>
        <w:tcPr>
          <w:tcW w:w="4252" w:type="dxa"/>
        </w:tcPr>
        <w:p w:rsidR="00664FC6" w:rsidRPr="006078F5" w:rsidRDefault="005812F7" w:rsidP="0094714F">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bCs/>
              <w:color w:val="000000"/>
              <w:szCs w:val="22"/>
            </w:rPr>
            <w:t>XXXX</w:t>
          </w:r>
        </w:p>
      </w:tc>
    </w:tr>
    <w:tr w:rsidR="00664FC6" w:rsidTr="006078F5">
      <w:trPr>
        <w:trHeight w:val="342"/>
      </w:trPr>
      <w:tc>
        <w:tcPr>
          <w:tcW w:w="2835" w:type="dxa"/>
        </w:tcPr>
        <w:p w:rsidR="00664FC6" w:rsidRPr="006078F5" w:rsidRDefault="00664FC6" w:rsidP="0094714F">
          <w:pPr>
            <w:jc w:val="right"/>
            <w:rPr>
              <w:rFonts w:ascii="Palatino Linotype" w:eastAsia="Palatino Linotype" w:hAnsi="Palatino Linotype" w:cs="Palatino Linotype"/>
              <w:b/>
              <w:szCs w:val="22"/>
            </w:rPr>
          </w:pPr>
          <w:r w:rsidRPr="006078F5">
            <w:rPr>
              <w:rFonts w:ascii="Palatino Linotype" w:eastAsia="Palatino Linotype" w:hAnsi="Palatino Linotype" w:cs="Palatino Linotype"/>
              <w:b/>
              <w:szCs w:val="22"/>
            </w:rPr>
            <w:t>Sujeto Obligado:</w:t>
          </w:r>
        </w:p>
      </w:tc>
      <w:tc>
        <w:tcPr>
          <w:tcW w:w="4252" w:type="dxa"/>
        </w:tcPr>
        <w:p w:rsidR="00664FC6" w:rsidRPr="006078F5" w:rsidRDefault="00664FC6" w:rsidP="00055543">
          <w:pPr>
            <w:rPr>
              <w:rFonts w:ascii="Palatino Linotype" w:eastAsia="Palatino Linotype" w:hAnsi="Palatino Linotype" w:cs="Palatino Linotype"/>
              <w:color w:val="000000"/>
              <w:szCs w:val="22"/>
            </w:rPr>
          </w:pPr>
          <w:r w:rsidRPr="006078F5">
            <w:rPr>
              <w:rFonts w:ascii="Palatino Linotype" w:eastAsia="Palatino Linotype" w:hAnsi="Palatino Linotype" w:cs="Palatino Linotype"/>
              <w:bCs/>
              <w:color w:val="000000"/>
              <w:szCs w:val="22"/>
            </w:rPr>
            <w:t>Ayuntamiento de Tlalnepantla de Baz</w:t>
          </w:r>
        </w:p>
      </w:tc>
    </w:tr>
    <w:tr w:rsidR="00664FC6" w:rsidTr="006078F5">
      <w:trPr>
        <w:trHeight w:val="342"/>
      </w:trPr>
      <w:tc>
        <w:tcPr>
          <w:tcW w:w="2835" w:type="dxa"/>
        </w:tcPr>
        <w:p w:rsidR="00664FC6" w:rsidRPr="006078F5" w:rsidRDefault="00664FC6" w:rsidP="0094714F">
          <w:pPr>
            <w:jc w:val="right"/>
            <w:rPr>
              <w:rFonts w:ascii="Palatino Linotype" w:eastAsia="Palatino Linotype" w:hAnsi="Palatino Linotype" w:cs="Palatino Linotype"/>
              <w:b/>
              <w:szCs w:val="22"/>
            </w:rPr>
          </w:pPr>
          <w:r w:rsidRPr="006078F5">
            <w:rPr>
              <w:rFonts w:ascii="Palatino Linotype" w:eastAsia="Palatino Linotype" w:hAnsi="Palatino Linotype" w:cs="Palatino Linotype"/>
              <w:b/>
              <w:szCs w:val="22"/>
            </w:rPr>
            <w:t>Comisionada Ponente:</w:t>
          </w:r>
        </w:p>
      </w:tc>
      <w:tc>
        <w:tcPr>
          <w:tcW w:w="4252" w:type="dxa"/>
        </w:tcPr>
        <w:p w:rsidR="00664FC6" w:rsidRPr="006078F5" w:rsidRDefault="00664FC6" w:rsidP="0094714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6078F5">
            <w:rPr>
              <w:rFonts w:ascii="Palatino Linotype" w:eastAsia="Palatino Linotype" w:hAnsi="Palatino Linotype" w:cs="Palatino Linotype"/>
              <w:color w:val="000000"/>
              <w:szCs w:val="22"/>
            </w:rPr>
            <w:t>María del Rosario Mejía Ayala</w:t>
          </w:r>
        </w:p>
      </w:tc>
    </w:tr>
  </w:tbl>
  <w:p w:rsidR="00664FC6" w:rsidRDefault="00B4167A">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84.55pt;margin-top:-132.2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DFB4B8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61E5DD7"/>
    <w:multiLevelType w:val="hybridMultilevel"/>
    <w:tmpl w:val="F2261E9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06F52755"/>
    <w:multiLevelType w:val="hybridMultilevel"/>
    <w:tmpl w:val="4DD452EE"/>
    <w:lvl w:ilvl="0" w:tplc="080A0005">
      <w:start w:val="1"/>
      <w:numFmt w:val="bullet"/>
      <w:lvlText w:val=""/>
      <w:lvlJc w:val="left"/>
      <w:pPr>
        <w:ind w:left="1854" w:hanging="360"/>
      </w:pPr>
      <w:rPr>
        <w:rFonts w:ascii="Wingdings" w:hAnsi="Wingding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3" w15:restartNumberingAfterBreak="0">
    <w:nsid w:val="09470C43"/>
    <w:multiLevelType w:val="hybridMultilevel"/>
    <w:tmpl w:val="C50610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616C2F"/>
    <w:multiLevelType w:val="hybridMultilevel"/>
    <w:tmpl w:val="81E6E4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7CE62A0"/>
    <w:multiLevelType w:val="hybridMultilevel"/>
    <w:tmpl w:val="7360A0A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20C01751"/>
    <w:multiLevelType w:val="multilevel"/>
    <w:tmpl w:val="4E209A0C"/>
    <w:lvl w:ilvl="0">
      <w:start w:val="1"/>
      <w:numFmt w:val="bullet"/>
      <w:lvlText w:val="●"/>
      <w:lvlJc w:val="left"/>
      <w:pPr>
        <w:ind w:left="1287" w:hanging="360"/>
      </w:pPr>
      <w:rPr>
        <w:rFonts w:ascii="Noto Sans Symbols" w:eastAsia="Noto Sans Symbols" w:hAnsi="Noto Sans Symbols" w:cs="Noto Sans Symbols"/>
      </w:rPr>
    </w:lvl>
    <w:lvl w:ilvl="1">
      <w:start w:val="1"/>
      <w:numFmt w:val="decimal"/>
      <w:lvlText w:val="%2)"/>
      <w:lvlJc w:val="left"/>
      <w:pPr>
        <w:ind w:left="2007" w:hanging="360"/>
      </w:p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20F04E47"/>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F63BFF"/>
    <w:multiLevelType w:val="hybridMultilevel"/>
    <w:tmpl w:val="D51E677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9" w15:restartNumberingAfterBreak="0">
    <w:nsid w:val="227E05AA"/>
    <w:multiLevelType w:val="hybridMultilevel"/>
    <w:tmpl w:val="EC02B9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28572AA"/>
    <w:multiLevelType w:val="hybridMultilevel"/>
    <w:tmpl w:val="6026E67C"/>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1"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B24B69"/>
    <w:multiLevelType w:val="multilevel"/>
    <w:tmpl w:val="729A0C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5" w15:restartNumberingAfterBreak="0">
    <w:nsid w:val="349A428F"/>
    <w:multiLevelType w:val="multilevel"/>
    <w:tmpl w:val="614C3FF6"/>
    <w:lvl w:ilvl="0">
      <w:start w:val="1"/>
      <w:numFmt w:val="decimal"/>
      <w:lvlText w:val="%1."/>
      <w:lvlJc w:val="left"/>
      <w:pPr>
        <w:ind w:left="1495" w:hanging="360"/>
      </w:pPr>
      <w:rPr>
        <w:rFonts w:ascii="Palatino Linotype" w:hAnsi="Palatino Linotype"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D37064"/>
    <w:multiLevelType w:val="multilevel"/>
    <w:tmpl w:val="EB2A35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4B8142D"/>
    <w:multiLevelType w:val="multilevel"/>
    <w:tmpl w:val="5150F42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B7C2679"/>
    <w:multiLevelType w:val="hybridMultilevel"/>
    <w:tmpl w:val="C8C48654"/>
    <w:lvl w:ilvl="0" w:tplc="6F6ABC3C">
      <w:start w:val="1"/>
      <w:numFmt w:val="upperRoman"/>
      <w:lvlText w:val="%1."/>
      <w:lvlJc w:val="left"/>
      <w:pPr>
        <w:ind w:left="1080" w:hanging="72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4C54789F"/>
    <w:multiLevelType w:val="multilevel"/>
    <w:tmpl w:val="986AAC4E"/>
    <w:lvl w:ilvl="0">
      <w:start w:val="1"/>
      <w:numFmt w:val="decimal"/>
      <w:lvlText w:val="%1."/>
      <w:lvlJc w:val="left"/>
      <w:pPr>
        <w:ind w:left="1637"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1" w15:restartNumberingAfterBreak="0">
    <w:nsid w:val="52816292"/>
    <w:multiLevelType w:val="hybridMultilevel"/>
    <w:tmpl w:val="AEEC1782"/>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2"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3"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E064666"/>
    <w:multiLevelType w:val="hybridMultilevel"/>
    <w:tmpl w:val="7CECF7B6"/>
    <w:lvl w:ilvl="0" w:tplc="080A0001">
      <w:start w:val="1"/>
      <w:numFmt w:val="bullet"/>
      <w:lvlText w:val=""/>
      <w:lvlJc w:val="left"/>
      <w:pPr>
        <w:ind w:left="720" w:hanging="360"/>
      </w:pPr>
      <w:rPr>
        <w:rFonts w:ascii="Symbol" w:hAnsi="Symbol" w:hint="default"/>
      </w:rPr>
    </w:lvl>
    <w:lvl w:ilvl="1" w:tplc="080A0011">
      <w:start w:val="1"/>
      <w:numFmt w:val="decimal"/>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9523AED"/>
    <w:multiLevelType w:val="multilevel"/>
    <w:tmpl w:val="C3E6FC54"/>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10E7759"/>
    <w:multiLevelType w:val="hybridMultilevel"/>
    <w:tmpl w:val="CFBCF16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42638E8"/>
    <w:multiLevelType w:val="hybridMultilevel"/>
    <w:tmpl w:val="AE321FFE"/>
    <w:lvl w:ilvl="0" w:tplc="080A0011">
      <w:start w:val="1"/>
      <w:numFmt w:val="decimal"/>
      <w:lvlText w:val="%1)"/>
      <w:lvlJc w:val="left"/>
      <w:pPr>
        <w:ind w:left="1713" w:hanging="360"/>
      </w:p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9"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29"/>
  </w:num>
  <w:num w:numId="3">
    <w:abstractNumId w:val="16"/>
  </w:num>
  <w:num w:numId="4">
    <w:abstractNumId w:val="22"/>
  </w:num>
  <w:num w:numId="5">
    <w:abstractNumId w:val="23"/>
  </w:num>
  <w:num w:numId="6">
    <w:abstractNumId w:val="11"/>
  </w:num>
  <w:num w:numId="7">
    <w:abstractNumId w:val="1"/>
  </w:num>
  <w:num w:numId="8">
    <w:abstractNumId w:val="21"/>
  </w:num>
  <w:num w:numId="9">
    <w:abstractNumId w:val="4"/>
  </w:num>
  <w:num w:numId="10">
    <w:abstractNumId w:val="3"/>
  </w:num>
  <w:num w:numId="11">
    <w:abstractNumId w:val="0"/>
  </w:num>
  <w:num w:numId="12">
    <w:abstractNumId w:val="24"/>
  </w:num>
  <w:num w:numId="13">
    <w:abstractNumId w:val="8"/>
  </w:num>
  <w:num w:numId="14">
    <w:abstractNumId w:val="2"/>
  </w:num>
  <w:num w:numId="15">
    <w:abstractNumId w:val="9"/>
  </w:num>
  <w:num w:numId="16">
    <w:abstractNumId w:val="26"/>
  </w:num>
  <w:num w:numId="17">
    <w:abstractNumId w:val="25"/>
  </w:num>
  <w:num w:numId="18">
    <w:abstractNumId w:val="14"/>
  </w:num>
  <w:num w:numId="19">
    <w:abstractNumId w:val="15"/>
  </w:num>
  <w:num w:numId="20">
    <w:abstractNumId w:val="27"/>
  </w:num>
  <w:num w:numId="21">
    <w:abstractNumId w:val="28"/>
  </w:num>
  <w:num w:numId="22">
    <w:abstractNumId w:val="5"/>
  </w:num>
  <w:num w:numId="23">
    <w:abstractNumId w:val="10"/>
  </w:num>
  <w:num w:numId="24">
    <w:abstractNumId w:val="17"/>
  </w:num>
  <w:num w:numId="25">
    <w:abstractNumId w:val="6"/>
  </w:num>
  <w:num w:numId="26">
    <w:abstractNumId w:val="7"/>
  </w:num>
  <w:num w:numId="27">
    <w:abstractNumId w:val="13"/>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2B41"/>
    <w:rsid w:val="0000381A"/>
    <w:rsid w:val="00004A5C"/>
    <w:rsid w:val="00007763"/>
    <w:rsid w:val="000103CF"/>
    <w:rsid w:val="00011345"/>
    <w:rsid w:val="00013A73"/>
    <w:rsid w:val="000150EB"/>
    <w:rsid w:val="00021BCC"/>
    <w:rsid w:val="00021DE1"/>
    <w:rsid w:val="00022816"/>
    <w:rsid w:val="00022B9B"/>
    <w:rsid w:val="000263A7"/>
    <w:rsid w:val="00027C8C"/>
    <w:rsid w:val="00031D0E"/>
    <w:rsid w:val="000345AD"/>
    <w:rsid w:val="00036156"/>
    <w:rsid w:val="00040DDC"/>
    <w:rsid w:val="00044620"/>
    <w:rsid w:val="00045421"/>
    <w:rsid w:val="00047CD1"/>
    <w:rsid w:val="00047DC8"/>
    <w:rsid w:val="0005134E"/>
    <w:rsid w:val="000515F3"/>
    <w:rsid w:val="00052D67"/>
    <w:rsid w:val="0005315C"/>
    <w:rsid w:val="00053E7B"/>
    <w:rsid w:val="00055543"/>
    <w:rsid w:val="000558B0"/>
    <w:rsid w:val="00056568"/>
    <w:rsid w:val="000574E1"/>
    <w:rsid w:val="00061E9F"/>
    <w:rsid w:val="00062BE7"/>
    <w:rsid w:val="00062F62"/>
    <w:rsid w:val="0006485B"/>
    <w:rsid w:val="000665C2"/>
    <w:rsid w:val="00067E22"/>
    <w:rsid w:val="0007172B"/>
    <w:rsid w:val="00072E6D"/>
    <w:rsid w:val="00072FAF"/>
    <w:rsid w:val="00077434"/>
    <w:rsid w:val="00077A37"/>
    <w:rsid w:val="0008242E"/>
    <w:rsid w:val="00083581"/>
    <w:rsid w:val="00085AB2"/>
    <w:rsid w:val="000862F3"/>
    <w:rsid w:val="00090380"/>
    <w:rsid w:val="00092C1B"/>
    <w:rsid w:val="0009791C"/>
    <w:rsid w:val="000A2217"/>
    <w:rsid w:val="000A27E2"/>
    <w:rsid w:val="000B12C2"/>
    <w:rsid w:val="000B47EF"/>
    <w:rsid w:val="000B62A9"/>
    <w:rsid w:val="000B74E0"/>
    <w:rsid w:val="000B7A47"/>
    <w:rsid w:val="000C0909"/>
    <w:rsid w:val="000C37ED"/>
    <w:rsid w:val="000C7E4E"/>
    <w:rsid w:val="000D2A9F"/>
    <w:rsid w:val="000D3E6C"/>
    <w:rsid w:val="000D76E0"/>
    <w:rsid w:val="000E2518"/>
    <w:rsid w:val="000E55E8"/>
    <w:rsid w:val="000E66B5"/>
    <w:rsid w:val="000E685C"/>
    <w:rsid w:val="000E76DB"/>
    <w:rsid w:val="000F31D6"/>
    <w:rsid w:val="000F4C96"/>
    <w:rsid w:val="000F522E"/>
    <w:rsid w:val="000F56FE"/>
    <w:rsid w:val="000F5FDF"/>
    <w:rsid w:val="000F6F52"/>
    <w:rsid w:val="00101619"/>
    <w:rsid w:val="00101FAE"/>
    <w:rsid w:val="00102BD5"/>
    <w:rsid w:val="00102DAE"/>
    <w:rsid w:val="001032FE"/>
    <w:rsid w:val="00103636"/>
    <w:rsid w:val="0010699E"/>
    <w:rsid w:val="00107240"/>
    <w:rsid w:val="00107934"/>
    <w:rsid w:val="001100CF"/>
    <w:rsid w:val="00111626"/>
    <w:rsid w:val="00111B76"/>
    <w:rsid w:val="00112D6E"/>
    <w:rsid w:val="0011729D"/>
    <w:rsid w:val="001206AD"/>
    <w:rsid w:val="00120A69"/>
    <w:rsid w:val="00121CA3"/>
    <w:rsid w:val="0012631F"/>
    <w:rsid w:val="0012710D"/>
    <w:rsid w:val="0012757E"/>
    <w:rsid w:val="00130589"/>
    <w:rsid w:val="00130955"/>
    <w:rsid w:val="00132813"/>
    <w:rsid w:val="001436C5"/>
    <w:rsid w:val="00144A7C"/>
    <w:rsid w:val="00145EE1"/>
    <w:rsid w:val="00147884"/>
    <w:rsid w:val="001514FE"/>
    <w:rsid w:val="00154785"/>
    <w:rsid w:val="00154CBE"/>
    <w:rsid w:val="00156661"/>
    <w:rsid w:val="00157D84"/>
    <w:rsid w:val="00162FDB"/>
    <w:rsid w:val="00163426"/>
    <w:rsid w:val="001636AD"/>
    <w:rsid w:val="00165844"/>
    <w:rsid w:val="00166A07"/>
    <w:rsid w:val="001675CC"/>
    <w:rsid w:val="00167C8C"/>
    <w:rsid w:val="00174A4F"/>
    <w:rsid w:val="00175AE5"/>
    <w:rsid w:val="00180976"/>
    <w:rsid w:val="00180B8D"/>
    <w:rsid w:val="00182309"/>
    <w:rsid w:val="00182D60"/>
    <w:rsid w:val="00184B3B"/>
    <w:rsid w:val="00190AE4"/>
    <w:rsid w:val="001917E5"/>
    <w:rsid w:val="001947EE"/>
    <w:rsid w:val="001950D2"/>
    <w:rsid w:val="001951C8"/>
    <w:rsid w:val="00195B7E"/>
    <w:rsid w:val="001960AB"/>
    <w:rsid w:val="00196430"/>
    <w:rsid w:val="001A5066"/>
    <w:rsid w:val="001A547B"/>
    <w:rsid w:val="001A6D75"/>
    <w:rsid w:val="001B036F"/>
    <w:rsid w:val="001B08CC"/>
    <w:rsid w:val="001B2FA1"/>
    <w:rsid w:val="001B53AD"/>
    <w:rsid w:val="001B5438"/>
    <w:rsid w:val="001B60C8"/>
    <w:rsid w:val="001B6954"/>
    <w:rsid w:val="001C16A8"/>
    <w:rsid w:val="001C1A84"/>
    <w:rsid w:val="001C24A8"/>
    <w:rsid w:val="001C4319"/>
    <w:rsid w:val="001C45FC"/>
    <w:rsid w:val="001C49AA"/>
    <w:rsid w:val="001C4C5C"/>
    <w:rsid w:val="001C50E4"/>
    <w:rsid w:val="001C765C"/>
    <w:rsid w:val="001D4A46"/>
    <w:rsid w:val="001D607B"/>
    <w:rsid w:val="001D7665"/>
    <w:rsid w:val="001D7E2A"/>
    <w:rsid w:val="001E1131"/>
    <w:rsid w:val="001E18B8"/>
    <w:rsid w:val="001E5DEC"/>
    <w:rsid w:val="001F04E4"/>
    <w:rsid w:val="001F0E64"/>
    <w:rsid w:val="001F0F1E"/>
    <w:rsid w:val="001F2200"/>
    <w:rsid w:val="001F2F8B"/>
    <w:rsid w:val="00202E5A"/>
    <w:rsid w:val="002036B0"/>
    <w:rsid w:val="002048F2"/>
    <w:rsid w:val="00206B6A"/>
    <w:rsid w:val="00210460"/>
    <w:rsid w:val="00212D78"/>
    <w:rsid w:val="00223B36"/>
    <w:rsid w:val="0022423F"/>
    <w:rsid w:val="00232DAC"/>
    <w:rsid w:val="002342CB"/>
    <w:rsid w:val="00234E39"/>
    <w:rsid w:val="0024562F"/>
    <w:rsid w:val="00246354"/>
    <w:rsid w:val="00247643"/>
    <w:rsid w:val="00251044"/>
    <w:rsid w:val="002523B3"/>
    <w:rsid w:val="00253026"/>
    <w:rsid w:val="00253491"/>
    <w:rsid w:val="0026181C"/>
    <w:rsid w:val="0026411E"/>
    <w:rsid w:val="00267DA2"/>
    <w:rsid w:val="002707F9"/>
    <w:rsid w:val="00277B87"/>
    <w:rsid w:val="00280E9D"/>
    <w:rsid w:val="00283332"/>
    <w:rsid w:val="002842F7"/>
    <w:rsid w:val="00286918"/>
    <w:rsid w:val="0029293C"/>
    <w:rsid w:val="00293CF4"/>
    <w:rsid w:val="00293DB9"/>
    <w:rsid w:val="002941FF"/>
    <w:rsid w:val="002945E9"/>
    <w:rsid w:val="00294CA4"/>
    <w:rsid w:val="00295D96"/>
    <w:rsid w:val="002A0275"/>
    <w:rsid w:val="002A1D19"/>
    <w:rsid w:val="002A3C88"/>
    <w:rsid w:val="002A5691"/>
    <w:rsid w:val="002A574C"/>
    <w:rsid w:val="002A6586"/>
    <w:rsid w:val="002B0011"/>
    <w:rsid w:val="002C2C1F"/>
    <w:rsid w:val="002C4106"/>
    <w:rsid w:val="002C636F"/>
    <w:rsid w:val="002C65D1"/>
    <w:rsid w:val="002C690D"/>
    <w:rsid w:val="002D2F4D"/>
    <w:rsid w:val="002D7E17"/>
    <w:rsid w:val="002E1616"/>
    <w:rsid w:val="002F0CD9"/>
    <w:rsid w:val="002F1189"/>
    <w:rsid w:val="002F2579"/>
    <w:rsid w:val="002F40AE"/>
    <w:rsid w:val="002F4E2A"/>
    <w:rsid w:val="002F4EC5"/>
    <w:rsid w:val="002F53FA"/>
    <w:rsid w:val="002F5C3E"/>
    <w:rsid w:val="00300F3C"/>
    <w:rsid w:val="00301757"/>
    <w:rsid w:val="00301B26"/>
    <w:rsid w:val="00302BD9"/>
    <w:rsid w:val="00302ED7"/>
    <w:rsid w:val="00304B6F"/>
    <w:rsid w:val="003050A2"/>
    <w:rsid w:val="003056F8"/>
    <w:rsid w:val="00310943"/>
    <w:rsid w:val="00310E1F"/>
    <w:rsid w:val="00311F00"/>
    <w:rsid w:val="003143D5"/>
    <w:rsid w:val="0031443C"/>
    <w:rsid w:val="00315D4E"/>
    <w:rsid w:val="0031695B"/>
    <w:rsid w:val="003200FF"/>
    <w:rsid w:val="003208BC"/>
    <w:rsid w:val="0032110D"/>
    <w:rsid w:val="00322E80"/>
    <w:rsid w:val="00325B01"/>
    <w:rsid w:val="00326DA2"/>
    <w:rsid w:val="0032793E"/>
    <w:rsid w:val="0033123F"/>
    <w:rsid w:val="003328F0"/>
    <w:rsid w:val="00332FEF"/>
    <w:rsid w:val="00333C27"/>
    <w:rsid w:val="00335326"/>
    <w:rsid w:val="00341BCC"/>
    <w:rsid w:val="00342E49"/>
    <w:rsid w:val="0034447C"/>
    <w:rsid w:val="00347692"/>
    <w:rsid w:val="0035269D"/>
    <w:rsid w:val="0035362A"/>
    <w:rsid w:val="00353B75"/>
    <w:rsid w:val="0035709D"/>
    <w:rsid w:val="00367C4B"/>
    <w:rsid w:val="00375B06"/>
    <w:rsid w:val="00375CAB"/>
    <w:rsid w:val="00375D69"/>
    <w:rsid w:val="0037694B"/>
    <w:rsid w:val="0037746D"/>
    <w:rsid w:val="00383AF6"/>
    <w:rsid w:val="00386CEB"/>
    <w:rsid w:val="00391555"/>
    <w:rsid w:val="003967BD"/>
    <w:rsid w:val="003A2910"/>
    <w:rsid w:val="003A45D3"/>
    <w:rsid w:val="003A7486"/>
    <w:rsid w:val="003B0217"/>
    <w:rsid w:val="003B0D03"/>
    <w:rsid w:val="003B3576"/>
    <w:rsid w:val="003B4823"/>
    <w:rsid w:val="003B6443"/>
    <w:rsid w:val="003B6B46"/>
    <w:rsid w:val="003B6C00"/>
    <w:rsid w:val="003C05CC"/>
    <w:rsid w:val="003C1F9D"/>
    <w:rsid w:val="003C32B5"/>
    <w:rsid w:val="003C3F56"/>
    <w:rsid w:val="003D10AE"/>
    <w:rsid w:val="003D129D"/>
    <w:rsid w:val="003D1704"/>
    <w:rsid w:val="003D6E13"/>
    <w:rsid w:val="003E28A7"/>
    <w:rsid w:val="003E60A6"/>
    <w:rsid w:val="003E6126"/>
    <w:rsid w:val="003E7493"/>
    <w:rsid w:val="003F736E"/>
    <w:rsid w:val="00402929"/>
    <w:rsid w:val="00404A3C"/>
    <w:rsid w:val="0040705E"/>
    <w:rsid w:val="00410ADD"/>
    <w:rsid w:val="00416129"/>
    <w:rsid w:val="00416682"/>
    <w:rsid w:val="00417A09"/>
    <w:rsid w:val="00421E66"/>
    <w:rsid w:val="004249A0"/>
    <w:rsid w:val="00424FD7"/>
    <w:rsid w:val="00426346"/>
    <w:rsid w:val="00426A19"/>
    <w:rsid w:val="0043231A"/>
    <w:rsid w:val="0043397F"/>
    <w:rsid w:val="00433BD3"/>
    <w:rsid w:val="00434E54"/>
    <w:rsid w:val="00440051"/>
    <w:rsid w:val="004400C5"/>
    <w:rsid w:val="00441632"/>
    <w:rsid w:val="00441E84"/>
    <w:rsid w:val="00444A8E"/>
    <w:rsid w:val="00444D67"/>
    <w:rsid w:val="00444D78"/>
    <w:rsid w:val="00444F0E"/>
    <w:rsid w:val="004457AC"/>
    <w:rsid w:val="00450ED2"/>
    <w:rsid w:val="0045179E"/>
    <w:rsid w:val="004527E2"/>
    <w:rsid w:val="00452F91"/>
    <w:rsid w:val="004538DE"/>
    <w:rsid w:val="00454E4E"/>
    <w:rsid w:val="00456A7C"/>
    <w:rsid w:val="0045732C"/>
    <w:rsid w:val="00457D8A"/>
    <w:rsid w:val="00460678"/>
    <w:rsid w:val="00460F8D"/>
    <w:rsid w:val="0046226E"/>
    <w:rsid w:val="00462292"/>
    <w:rsid w:val="004628B0"/>
    <w:rsid w:val="004635C1"/>
    <w:rsid w:val="00464924"/>
    <w:rsid w:val="00471FD5"/>
    <w:rsid w:val="0047751A"/>
    <w:rsid w:val="00480448"/>
    <w:rsid w:val="00480C73"/>
    <w:rsid w:val="00481E02"/>
    <w:rsid w:val="00483F8B"/>
    <w:rsid w:val="00484E75"/>
    <w:rsid w:val="0048535A"/>
    <w:rsid w:val="004862E6"/>
    <w:rsid w:val="00486875"/>
    <w:rsid w:val="004907F2"/>
    <w:rsid w:val="0049170D"/>
    <w:rsid w:val="00492074"/>
    <w:rsid w:val="00495CA2"/>
    <w:rsid w:val="004963DB"/>
    <w:rsid w:val="0049652E"/>
    <w:rsid w:val="004A1428"/>
    <w:rsid w:val="004A1A83"/>
    <w:rsid w:val="004A1DF4"/>
    <w:rsid w:val="004A7F3C"/>
    <w:rsid w:val="004B0961"/>
    <w:rsid w:val="004B6864"/>
    <w:rsid w:val="004B73BB"/>
    <w:rsid w:val="004C0441"/>
    <w:rsid w:val="004C3113"/>
    <w:rsid w:val="004C4F0A"/>
    <w:rsid w:val="004D0276"/>
    <w:rsid w:val="004D39CC"/>
    <w:rsid w:val="004D60D6"/>
    <w:rsid w:val="004D683B"/>
    <w:rsid w:val="004D71BC"/>
    <w:rsid w:val="004D7588"/>
    <w:rsid w:val="004E09A2"/>
    <w:rsid w:val="004E11B4"/>
    <w:rsid w:val="004E1B70"/>
    <w:rsid w:val="004E49C5"/>
    <w:rsid w:val="004E7B4F"/>
    <w:rsid w:val="004F1F75"/>
    <w:rsid w:val="004F24A7"/>
    <w:rsid w:val="004F4E78"/>
    <w:rsid w:val="004F62B6"/>
    <w:rsid w:val="00500888"/>
    <w:rsid w:val="0050161B"/>
    <w:rsid w:val="00501D8C"/>
    <w:rsid w:val="00505C2C"/>
    <w:rsid w:val="0050605F"/>
    <w:rsid w:val="00507D15"/>
    <w:rsid w:val="005116D0"/>
    <w:rsid w:val="00514DB7"/>
    <w:rsid w:val="00515E27"/>
    <w:rsid w:val="0052350B"/>
    <w:rsid w:val="00535C69"/>
    <w:rsid w:val="005371AD"/>
    <w:rsid w:val="00537628"/>
    <w:rsid w:val="00541013"/>
    <w:rsid w:val="00541228"/>
    <w:rsid w:val="005417D6"/>
    <w:rsid w:val="00541C2C"/>
    <w:rsid w:val="00542931"/>
    <w:rsid w:val="00542CAB"/>
    <w:rsid w:val="00544C45"/>
    <w:rsid w:val="005450EC"/>
    <w:rsid w:val="00547582"/>
    <w:rsid w:val="005476ED"/>
    <w:rsid w:val="00552FCF"/>
    <w:rsid w:val="005550BA"/>
    <w:rsid w:val="0055760E"/>
    <w:rsid w:val="005612FD"/>
    <w:rsid w:val="0056374C"/>
    <w:rsid w:val="005657A8"/>
    <w:rsid w:val="00565E2F"/>
    <w:rsid w:val="005660FD"/>
    <w:rsid w:val="00566FAB"/>
    <w:rsid w:val="00570DE4"/>
    <w:rsid w:val="00571EB5"/>
    <w:rsid w:val="00574A50"/>
    <w:rsid w:val="00576C02"/>
    <w:rsid w:val="005773D3"/>
    <w:rsid w:val="00580577"/>
    <w:rsid w:val="005812D5"/>
    <w:rsid w:val="005812F7"/>
    <w:rsid w:val="00582D27"/>
    <w:rsid w:val="005845B2"/>
    <w:rsid w:val="005863D1"/>
    <w:rsid w:val="00587114"/>
    <w:rsid w:val="00590927"/>
    <w:rsid w:val="005920DE"/>
    <w:rsid w:val="00593EF4"/>
    <w:rsid w:val="00596C55"/>
    <w:rsid w:val="005A3450"/>
    <w:rsid w:val="005A44F8"/>
    <w:rsid w:val="005A572B"/>
    <w:rsid w:val="005A5ECC"/>
    <w:rsid w:val="005A61B5"/>
    <w:rsid w:val="005B1172"/>
    <w:rsid w:val="005B1F22"/>
    <w:rsid w:val="005B256A"/>
    <w:rsid w:val="005B551C"/>
    <w:rsid w:val="005B6129"/>
    <w:rsid w:val="005B613B"/>
    <w:rsid w:val="005B6853"/>
    <w:rsid w:val="005B6EB9"/>
    <w:rsid w:val="005B7C89"/>
    <w:rsid w:val="005C1D65"/>
    <w:rsid w:val="005C7FD6"/>
    <w:rsid w:val="005D512A"/>
    <w:rsid w:val="005D5D9F"/>
    <w:rsid w:val="005D691D"/>
    <w:rsid w:val="005E2805"/>
    <w:rsid w:val="005E596F"/>
    <w:rsid w:val="005E7E92"/>
    <w:rsid w:val="005F48B0"/>
    <w:rsid w:val="005F6634"/>
    <w:rsid w:val="00604D38"/>
    <w:rsid w:val="00605C11"/>
    <w:rsid w:val="00605F11"/>
    <w:rsid w:val="006078F5"/>
    <w:rsid w:val="00607A0E"/>
    <w:rsid w:val="006105CE"/>
    <w:rsid w:val="006114F6"/>
    <w:rsid w:val="006129A8"/>
    <w:rsid w:val="00614BE7"/>
    <w:rsid w:val="006152B3"/>
    <w:rsid w:val="00615330"/>
    <w:rsid w:val="0061622B"/>
    <w:rsid w:val="0061632B"/>
    <w:rsid w:val="00620DD1"/>
    <w:rsid w:val="00621071"/>
    <w:rsid w:val="00624488"/>
    <w:rsid w:val="00624FDF"/>
    <w:rsid w:val="006256AB"/>
    <w:rsid w:val="0062686B"/>
    <w:rsid w:val="00631F3E"/>
    <w:rsid w:val="00635FEE"/>
    <w:rsid w:val="00636160"/>
    <w:rsid w:val="0063678F"/>
    <w:rsid w:val="00646DD0"/>
    <w:rsid w:val="00647506"/>
    <w:rsid w:val="006542F1"/>
    <w:rsid w:val="0065652D"/>
    <w:rsid w:val="00657714"/>
    <w:rsid w:val="00660693"/>
    <w:rsid w:val="00660C64"/>
    <w:rsid w:val="00660C7D"/>
    <w:rsid w:val="0066177F"/>
    <w:rsid w:val="00661CB2"/>
    <w:rsid w:val="006640D2"/>
    <w:rsid w:val="00664FC6"/>
    <w:rsid w:val="0067389D"/>
    <w:rsid w:val="00674202"/>
    <w:rsid w:val="006747BE"/>
    <w:rsid w:val="006752A3"/>
    <w:rsid w:val="00677A90"/>
    <w:rsid w:val="00677E2A"/>
    <w:rsid w:val="006803BB"/>
    <w:rsid w:val="00681073"/>
    <w:rsid w:val="00692C86"/>
    <w:rsid w:val="006933EA"/>
    <w:rsid w:val="0069546B"/>
    <w:rsid w:val="006A2634"/>
    <w:rsid w:val="006B000E"/>
    <w:rsid w:val="006B043B"/>
    <w:rsid w:val="006B18FD"/>
    <w:rsid w:val="006B264A"/>
    <w:rsid w:val="006B5B63"/>
    <w:rsid w:val="006C175B"/>
    <w:rsid w:val="006C278E"/>
    <w:rsid w:val="006C46C8"/>
    <w:rsid w:val="006C7CBE"/>
    <w:rsid w:val="006C7D10"/>
    <w:rsid w:val="006D0182"/>
    <w:rsid w:val="006D2648"/>
    <w:rsid w:val="006D2975"/>
    <w:rsid w:val="006D3B66"/>
    <w:rsid w:val="006D3F07"/>
    <w:rsid w:val="006D68CE"/>
    <w:rsid w:val="006D793E"/>
    <w:rsid w:val="006E3950"/>
    <w:rsid w:val="006E3D9B"/>
    <w:rsid w:val="006F0051"/>
    <w:rsid w:val="006F26AA"/>
    <w:rsid w:val="006F5C09"/>
    <w:rsid w:val="006F5F1A"/>
    <w:rsid w:val="007029DE"/>
    <w:rsid w:val="00707D1A"/>
    <w:rsid w:val="00710E25"/>
    <w:rsid w:val="00710F64"/>
    <w:rsid w:val="00715CD6"/>
    <w:rsid w:val="00715EEB"/>
    <w:rsid w:val="00716138"/>
    <w:rsid w:val="00716BF4"/>
    <w:rsid w:val="00720661"/>
    <w:rsid w:val="00720F0A"/>
    <w:rsid w:val="0072148B"/>
    <w:rsid w:val="00722069"/>
    <w:rsid w:val="00722303"/>
    <w:rsid w:val="00722D8C"/>
    <w:rsid w:val="00723384"/>
    <w:rsid w:val="00723805"/>
    <w:rsid w:val="00724EEA"/>
    <w:rsid w:val="00727C42"/>
    <w:rsid w:val="00727C6C"/>
    <w:rsid w:val="00731E49"/>
    <w:rsid w:val="007323B4"/>
    <w:rsid w:val="00732E34"/>
    <w:rsid w:val="0073565A"/>
    <w:rsid w:val="00736320"/>
    <w:rsid w:val="00736A79"/>
    <w:rsid w:val="007377E0"/>
    <w:rsid w:val="00741EBD"/>
    <w:rsid w:val="0074215D"/>
    <w:rsid w:val="0074422A"/>
    <w:rsid w:val="00744B0D"/>
    <w:rsid w:val="00745957"/>
    <w:rsid w:val="00745977"/>
    <w:rsid w:val="00746C22"/>
    <w:rsid w:val="00750176"/>
    <w:rsid w:val="007516F4"/>
    <w:rsid w:val="00764880"/>
    <w:rsid w:val="00764A93"/>
    <w:rsid w:val="00770484"/>
    <w:rsid w:val="00772239"/>
    <w:rsid w:val="007747BE"/>
    <w:rsid w:val="00775B31"/>
    <w:rsid w:val="007772C7"/>
    <w:rsid w:val="007812F9"/>
    <w:rsid w:val="00781B93"/>
    <w:rsid w:val="0078388E"/>
    <w:rsid w:val="00786FBF"/>
    <w:rsid w:val="00787549"/>
    <w:rsid w:val="007902C0"/>
    <w:rsid w:val="00792453"/>
    <w:rsid w:val="007A00A9"/>
    <w:rsid w:val="007A0AF9"/>
    <w:rsid w:val="007A1641"/>
    <w:rsid w:val="007A4327"/>
    <w:rsid w:val="007A4599"/>
    <w:rsid w:val="007B09CA"/>
    <w:rsid w:val="007B4A40"/>
    <w:rsid w:val="007C099E"/>
    <w:rsid w:val="007C0F5A"/>
    <w:rsid w:val="007C1673"/>
    <w:rsid w:val="007C61A8"/>
    <w:rsid w:val="007C7A10"/>
    <w:rsid w:val="007D0C83"/>
    <w:rsid w:val="007D15AD"/>
    <w:rsid w:val="007D239C"/>
    <w:rsid w:val="007D3669"/>
    <w:rsid w:val="007D41EC"/>
    <w:rsid w:val="007D760C"/>
    <w:rsid w:val="007D7818"/>
    <w:rsid w:val="007E0C9D"/>
    <w:rsid w:val="007E2308"/>
    <w:rsid w:val="007E2FE8"/>
    <w:rsid w:val="007E5939"/>
    <w:rsid w:val="007E71B3"/>
    <w:rsid w:val="007F36FB"/>
    <w:rsid w:val="007F47C5"/>
    <w:rsid w:val="007F758B"/>
    <w:rsid w:val="008016DD"/>
    <w:rsid w:val="008028C0"/>
    <w:rsid w:val="00804D10"/>
    <w:rsid w:val="00806768"/>
    <w:rsid w:val="00807E2F"/>
    <w:rsid w:val="008104BB"/>
    <w:rsid w:val="0081558A"/>
    <w:rsid w:val="008157A1"/>
    <w:rsid w:val="00824237"/>
    <w:rsid w:val="0082623E"/>
    <w:rsid w:val="00827B46"/>
    <w:rsid w:val="00831182"/>
    <w:rsid w:val="00832E00"/>
    <w:rsid w:val="008358A6"/>
    <w:rsid w:val="008363F8"/>
    <w:rsid w:val="008435A3"/>
    <w:rsid w:val="00843C91"/>
    <w:rsid w:val="00844B32"/>
    <w:rsid w:val="00850900"/>
    <w:rsid w:val="00850FED"/>
    <w:rsid w:val="00852F42"/>
    <w:rsid w:val="008622F9"/>
    <w:rsid w:val="00864D0D"/>
    <w:rsid w:val="00865A54"/>
    <w:rsid w:val="00870927"/>
    <w:rsid w:val="008721B7"/>
    <w:rsid w:val="008729D8"/>
    <w:rsid w:val="008757E1"/>
    <w:rsid w:val="00876B60"/>
    <w:rsid w:val="00885733"/>
    <w:rsid w:val="00886321"/>
    <w:rsid w:val="0088753A"/>
    <w:rsid w:val="00887AC7"/>
    <w:rsid w:val="00890C6B"/>
    <w:rsid w:val="00892CE6"/>
    <w:rsid w:val="008933E3"/>
    <w:rsid w:val="0089369C"/>
    <w:rsid w:val="00894DAD"/>
    <w:rsid w:val="008966B2"/>
    <w:rsid w:val="008968B5"/>
    <w:rsid w:val="008A25C2"/>
    <w:rsid w:val="008A2C19"/>
    <w:rsid w:val="008A2D0D"/>
    <w:rsid w:val="008A4EDC"/>
    <w:rsid w:val="008A6719"/>
    <w:rsid w:val="008B01A3"/>
    <w:rsid w:val="008B1024"/>
    <w:rsid w:val="008B1E49"/>
    <w:rsid w:val="008B25A3"/>
    <w:rsid w:val="008B51D4"/>
    <w:rsid w:val="008B5598"/>
    <w:rsid w:val="008B6F18"/>
    <w:rsid w:val="008B7EF7"/>
    <w:rsid w:val="008C2F58"/>
    <w:rsid w:val="008C32F3"/>
    <w:rsid w:val="008C4029"/>
    <w:rsid w:val="008C41B4"/>
    <w:rsid w:val="008C52A6"/>
    <w:rsid w:val="008C6C54"/>
    <w:rsid w:val="008C76F5"/>
    <w:rsid w:val="008D54F1"/>
    <w:rsid w:val="008D5738"/>
    <w:rsid w:val="008D7FBB"/>
    <w:rsid w:val="008E67E0"/>
    <w:rsid w:val="008E7885"/>
    <w:rsid w:val="008F1859"/>
    <w:rsid w:val="008F1E79"/>
    <w:rsid w:val="008F5223"/>
    <w:rsid w:val="009005EF"/>
    <w:rsid w:val="00901364"/>
    <w:rsid w:val="00901E86"/>
    <w:rsid w:val="0090304E"/>
    <w:rsid w:val="0090617B"/>
    <w:rsid w:val="00906902"/>
    <w:rsid w:val="009069CC"/>
    <w:rsid w:val="009073A0"/>
    <w:rsid w:val="0091476A"/>
    <w:rsid w:val="00915AD7"/>
    <w:rsid w:val="00915F4B"/>
    <w:rsid w:val="009163DD"/>
    <w:rsid w:val="00917CA0"/>
    <w:rsid w:val="00920166"/>
    <w:rsid w:val="009201A9"/>
    <w:rsid w:val="009216EF"/>
    <w:rsid w:val="00924F69"/>
    <w:rsid w:val="00926E85"/>
    <w:rsid w:val="00927219"/>
    <w:rsid w:val="00932B26"/>
    <w:rsid w:val="00933786"/>
    <w:rsid w:val="00935970"/>
    <w:rsid w:val="00937641"/>
    <w:rsid w:val="0094066D"/>
    <w:rsid w:val="00944CCC"/>
    <w:rsid w:val="0094529D"/>
    <w:rsid w:val="00946D72"/>
    <w:rsid w:val="0094714F"/>
    <w:rsid w:val="00947FC5"/>
    <w:rsid w:val="009517EF"/>
    <w:rsid w:val="0095190E"/>
    <w:rsid w:val="009533D9"/>
    <w:rsid w:val="00953DB1"/>
    <w:rsid w:val="00955249"/>
    <w:rsid w:val="00955253"/>
    <w:rsid w:val="00956F13"/>
    <w:rsid w:val="0096104E"/>
    <w:rsid w:val="009647A5"/>
    <w:rsid w:val="00966A6B"/>
    <w:rsid w:val="009732E9"/>
    <w:rsid w:val="00974D11"/>
    <w:rsid w:val="0097504E"/>
    <w:rsid w:val="00975625"/>
    <w:rsid w:val="00977952"/>
    <w:rsid w:val="0098003E"/>
    <w:rsid w:val="00981C8C"/>
    <w:rsid w:val="00982E45"/>
    <w:rsid w:val="00983293"/>
    <w:rsid w:val="0098373C"/>
    <w:rsid w:val="00983F75"/>
    <w:rsid w:val="00987BD0"/>
    <w:rsid w:val="00987D8C"/>
    <w:rsid w:val="00991E0E"/>
    <w:rsid w:val="00992013"/>
    <w:rsid w:val="009920A4"/>
    <w:rsid w:val="00995271"/>
    <w:rsid w:val="00997806"/>
    <w:rsid w:val="009A3600"/>
    <w:rsid w:val="009A5E1F"/>
    <w:rsid w:val="009B5200"/>
    <w:rsid w:val="009B5C4B"/>
    <w:rsid w:val="009B6C44"/>
    <w:rsid w:val="009B700D"/>
    <w:rsid w:val="009C0673"/>
    <w:rsid w:val="009C511D"/>
    <w:rsid w:val="009C5FE2"/>
    <w:rsid w:val="009C7EA6"/>
    <w:rsid w:val="009D0F78"/>
    <w:rsid w:val="009E02F9"/>
    <w:rsid w:val="009E1194"/>
    <w:rsid w:val="009E1CF2"/>
    <w:rsid w:val="009E3F2A"/>
    <w:rsid w:val="009E436F"/>
    <w:rsid w:val="009E5007"/>
    <w:rsid w:val="009E5C8E"/>
    <w:rsid w:val="009E6DF0"/>
    <w:rsid w:val="009E6F33"/>
    <w:rsid w:val="009F2CC6"/>
    <w:rsid w:val="009F3179"/>
    <w:rsid w:val="009F34AC"/>
    <w:rsid w:val="009F3AC6"/>
    <w:rsid w:val="009F74E4"/>
    <w:rsid w:val="009F7865"/>
    <w:rsid w:val="00A004B2"/>
    <w:rsid w:val="00A00CDF"/>
    <w:rsid w:val="00A04939"/>
    <w:rsid w:val="00A05A27"/>
    <w:rsid w:val="00A05C0A"/>
    <w:rsid w:val="00A07629"/>
    <w:rsid w:val="00A077F4"/>
    <w:rsid w:val="00A07EBE"/>
    <w:rsid w:val="00A13584"/>
    <w:rsid w:val="00A13F5C"/>
    <w:rsid w:val="00A16065"/>
    <w:rsid w:val="00A201C9"/>
    <w:rsid w:val="00A20792"/>
    <w:rsid w:val="00A22B97"/>
    <w:rsid w:val="00A23D4F"/>
    <w:rsid w:val="00A277B0"/>
    <w:rsid w:val="00A312B9"/>
    <w:rsid w:val="00A31BA0"/>
    <w:rsid w:val="00A33C63"/>
    <w:rsid w:val="00A400D9"/>
    <w:rsid w:val="00A41AE5"/>
    <w:rsid w:val="00A46662"/>
    <w:rsid w:val="00A50912"/>
    <w:rsid w:val="00A544E5"/>
    <w:rsid w:val="00A54BC1"/>
    <w:rsid w:val="00A55BE4"/>
    <w:rsid w:val="00A608C9"/>
    <w:rsid w:val="00A61260"/>
    <w:rsid w:val="00A6170A"/>
    <w:rsid w:val="00A656B0"/>
    <w:rsid w:val="00A70952"/>
    <w:rsid w:val="00A7154E"/>
    <w:rsid w:val="00A71E74"/>
    <w:rsid w:val="00A73553"/>
    <w:rsid w:val="00A76931"/>
    <w:rsid w:val="00A777BE"/>
    <w:rsid w:val="00A80919"/>
    <w:rsid w:val="00A80ECA"/>
    <w:rsid w:val="00A8169A"/>
    <w:rsid w:val="00A818C8"/>
    <w:rsid w:val="00A83A6F"/>
    <w:rsid w:val="00A84514"/>
    <w:rsid w:val="00A84DBF"/>
    <w:rsid w:val="00A9102D"/>
    <w:rsid w:val="00A93ED3"/>
    <w:rsid w:val="00A9514C"/>
    <w:rsid w:val="00A96EEA"/>
    <w:rsid w:val="00A97E64"/>
    <w:rsid w:val="00AA45F5"/>
    <w:rsid w:val="00AA78C7"/>
    <w:rsid w:val="00AB1910"/>
    <w:rsid w:val="00AB3417"/>
    <w:rsid w:val="00AB6DEC"/>
    <w:rsid w:val="00AB727C"/>
    <w:rsid w:val="00AB73F5"/>
    <w:rsid w:val="00AC0F7A"/>
    <w:rsid w:val="00AC2D40"/>
    <w:rsid w:val="00AC35DC"/>
    <w:rsid w:val="00AC5750"/>
    <w:rsid w:val="00AD0448"/>
    <w:rsid w:val="00AD1B7C"/>
    <w:rsid w:val="00AD1BCB"/>
    <w:rsid w:val="00AD44D9"/>
    <w:rsid w:val="00AD6DFC"/>
    <w:rsid w:val="00AD720E"/>
    <w:rsid w:val="00AE0ABF"/>
    <w:rsid w:val="00AE355D"/>
    <w:rsid w:val="00AE3F4D"/>
    <w:rsid w:val="00AE4751"/>
    <w:rsid w:val="00AE4DA1"/>
    <w:rsid w:val="00AE6D5C"/>
    <w:rsid w:val="00AF0F1C"/>
    <w:rsid w:val="00AF17AA"/>
    <w:rsid w:val="00AF203F"/>
    <w:rsid w:val="00AF311E"/>
    <w:rsid w:val="00AF78B0"/>
    <w:rsid w:val="00B014E7"/>
    <w:rsid w:val="00B03A43"/>
    <w:rsid w:val="00B06265"/>
    <w:rsid w:val="00B07F26"/>
    <w:rsid w:val="00B12D76"/>
    <w:rsid w:val="00B13DDF"/>
    <w:rsid w:val="00B148D6"/>
    <w:rsid w:val="00B16349"/>
    <w:rsid w:val="00B20CF2"/>
    <w:rsid w:val="00B2193C"/>
    <w:rsid w:val="00B22495"/>
    <w:rsid w:val="00B23447"/>
    <w:rsid w:val="00B25209"/>
    <w:rsid w:val="00B27270"/>
    <w:rsid w:val="00B30113"/>
    <w:rsid w:val="00B30AE3"/>
    <w:rsid w:val="00B324FA"/>
    <w:rsid w:val="00B327CD"/>
    <w:rsid w:val="00B34D4E"/>
    <w:rsid w:val="00B35A9F"/>
    <w:rsid w:val="00B363D5"/>
    <w:rsid w:val="00B3687B"/>
    <w:rsid w:val="00B40EE9"/>
    <w:rsid w:val="00B4167A"/>
    <w:rsid w:val="00B433D1"/>
    <w:rsid w:val="00B4694F"/>
    <w:rsid w:val="00B46DE0"/>
    <w:rsid w:val="00B535D6"/>
    <w:rsid w:val="00B53865"/>
    <w:rsid w:val="00B53B77"/>
    <w:rsid w:val="00B53BE2"/>
    <w:rsid w:val="00B57728"/>
    <w:rsid w:val="00B63039"/>
    <w:rsid w:val="00B6480C"/>
    <w:rsid w:val="00B64B3F"/>
    <w:rsid w:val="00B65FE1"/>
    <w:rsid w:val="00B80235"/>
    <w:rsid w:val="00B81F00"/>
    <w:rsid w:val="00B83BD7"/>
    <w:rsid w:val="00B854F2"/>
    <w:rsid w:val="00B85A13"/>
    <w:rsid w:val="00B8678D"/>
    <w:rsid w:val="00B87E39"/>
    <w:rsid w:val="00B91F0C"/>
    <w:rsid w:val="00B9210D"/>
    <w:rsid w:val="00B93BA1"/>
    <w:rsid w:val="00B9541A"/>
    <w:rsid w:val="00B96127"/>
    <w:rsid w:val="00BA3BFB"/>
    <w:rsid w:val="00BA6A32"/>
    <w:rsid w:val="00BA790D"/>
    <w:rsid w:val="00BA7C98"/>
    <w:rsid w:val="00BB1250"/>
    <w:rsid w:val="00BB1676"/>
    <w:rsid w:val="00BB22A5"/>
    <w:rsid w:val="00BB3745"/>
    <w:rsid w:val="00BC3157"/>
    <w:rsid w:val="00BC4C3C"/>
    <w:rsid w:val="00BC4D20"/>
    <w:rsid w:val="00BC4F5A"/>
    <w:rsid w:val="00BC698C"/>
    <w:rsid w:val="00BC793B"/>
    <w:rsid w:val="00BD0216"/>
    <w:rsid w:val="00BD1E23"/>
    <w:rsid w:val="00BD3367"/>
    <w:rsid w:val="00BD4F32"/>
    <w:rsid w:val="00BD5B95"/>
    <w:rsid w:val="00BD62F1"/>
    <w:rsid w:val="00BD6FF5"/>
    <w:rsid w:val="00BE071C"/>
    <w:rsid w:val="00BE7045"/>
    <w:rsid w:val="00BE7A41"/>
    <w:rsid w:val="00BE7FA3"/>
    <w:rsid w:val="00BF0013"/>
    <w:rsid w:val="00BF08AA"/>
    <w:rsid w:val="00BF14D1"/>
    <w:rsid w:val="00BF1A5C"/>
    <w:rsid w:val="00BF480C"/>
    <w:rsid w:val="00BF5B47"/>
    <w:rsid w:val="00BF733F"/>
    <w:rsid w:val="00C02392"/>
    <w:rsid w:val="00C064ED"/>
    <w:rsid w:val="00C06C85"/>
    <w:rsid w:val="00C103FC"/>
    <w:rsid w:val="00C12017"/>
    <w:rsid w:val="00C164D2"/>
    <w:rsid w:val="00C210EF"/>
    <w:rsid w:val="00C223AB"/>
    <w:rsid w:val="00C23B16"/>
    <w:rsid w:val="00C23E2B"/>
    <w:rsid w:val="00C2625F"/>
    <w:rsid w:val="00C35652"/>
    <w:rsid w:val="00C37F6A"/>
    <w:rsid w:val="00C40970"/>
    <w:rsid w:val="00C440CF"/>
    <w:rsid w:val="00C447CA"/>
    <w:rsid w:val="00C50AFF"/>
    <w:rsid w:val="00C52824"/>
    <w:rsid w:val="00C57C04"/>
    <w:rsid w:val="00C62D68"/>
    <w:rsid w:val="00C66DD4"/>
    <w:rsid w:val="00C72A3B"/>
    <w:rsid w:val="00C7488F"/>
    <w:rsid w:val="00C7744F"/>
    <w:rsid w:val="00C81A04"/>
    <w:rsid w:val="00C81A60"/>
    <w:rsid w:val="00C81DD1"/>
    <w:rsid w:val="00C84534"/>
    <w:rsid w:val="00C877D6"/>
    <w:rsid w:val="00C940E0"/>
    <w:rsid w:val="00C95445"/>
    <w:rsid w:val="00C96120"/>
    <w:rsid w:val="00C97A34"/>
    <w:rsid w:val="00CA0F75"/>
    <w:rsid w:val="00CA4389"/>
    <w:rsid w:val="00CA5E22"/>
    <w:rsid w:val="00CA7077"/>
    <w:rsid w:val="00CA7DFC"/>
    <w:rsid w:val="00CA7F15"/>
    <w:rsid w:val="00CB0AD9"/>
    <w:rsid w:val="00CC4C0B"/>
    <w:rsid w:val="00CC53E2"/>
    <w:rsid w:val="00CD2EE4"/>
    <w:rsid w:val="00CD3AF0"/>
    <w:rsid w:val="00CD58D1"/>
    <w:rsid w:val="00CE2C90"/>
    <w:rsid w:val="00CE5FC3"/>
    <w:rsid w:val="00CE784F"/>
    <w:rsid w:val="00CF0CC2"/>
    <w:rsid w:val="00CF35BB"/>
    <w:rsid w:val="00CF4858"/>
    <w:rsid w:val="00D0314A"/>
    <w:rsid w:val="00D0500B"/>
    <w:rsid w:val="00D101A5"/>
    <w:rsid w:val="00D1142D"/>
    <w:rsid w:val="00D13D7F"/>
    <w:rsid w:val="00D16FFB"/>
    <w:rsid w:val="00D17C76"/>
    <w:rsid w:val="00D26D99"/>
    <w:rsid w:val="00D3047E"/>
    <w:rsid w:val="00D32C4C"/>
    <w:rsid w:val="00D33C82"/>
    <w:rsid w:val="00D368E3"/>
    <w:rsid w:val="00D419F8"/>
    <w:rsid w:val="00D41D2E"/>
    <w:rsid w:val="00D44757"/>
    <w:rsid w:val="00D47A1E"/>
    <w:rsid w:val="00D556B5"/>
    <w:rsid w:val="00D55B30"/>
    <w:rsid w:val="00D56BFD"/>
    <w:rsid w:val="00D56F03"/>
    <w:rsid w:val="00D6118F"/>
    <w:rsid w:val="00D61DF3"/>
    <w:rsid w:val="00D621E5"/>
    <w:rsid w:val="00D63885"/>
    <w:rsid w:val="00D66859"/>
    <w:rsid w:val="00D66E45"/>
    <w:rsid w:val="00D678DB"/>
    <w:rsid w:val="00D75BB9"/>
    <w:rsid w:val="00D760C3"/>
    <w:rsid w:val="00D77778"/>
    <w:rsid w:val="00D80BFC"/>
    <w:rsid w:val="00D81B84"/>
    <w:rsid w:val="00D83071"/>
    <w:rsid w:val="00D83445"/>
    <w:rsid w:val="00D856DC"/>
    <w:rsid w:val="00D86E94"/>
    <w:rsid w:val="00D876F5"/>
    <w:rsid w:val="00D90028"/>
    <w:rsid w:val="00D9119D"/>
    <w:rsid w:val="00D925D4"/>
    <w:rsid w:val="00D95142"/>
    <w:rsid w:val="00D95175"/>
    <w:rsid w:val="00DA0D19"/>
    <w:rsid w:val="00DA0EE3"/>
    <w:rsid w:val="00DA6542"/>
    <w:rsid w:val="00DB103B"/>
    <w:rsid w:val="00DB33A3"/>
    <w:rsid w:val="00DB56F1"/>
    <w:rsid w:val="00DB7F9F"/>
    <w:rsid w:val="00DC0131"/>
    <w:rsid w:val="00DC0B19"/>
    <w:rsid w:val="00DC0FE5"/>
    <w:rsid w:val="00DC117F"/>
    <w:rsid w:val="00DC1823"/>
    <w:rsid w:val="00DC40CA"/>
    <w:rsid w:val="00DC5293"/>
    <w:rsid w:val="00DC6ADB"/>
    <w:rsid w:val="00DC7B42"/>
    <w:rsid w:val="00DD1745"/>
    <w:rsid w:val="00DD1D1D"/>
    <w:rsid w:val="00DD5FBC"/>
    <w:rsid w:val="00DD6697"/>
    <w:rsid w:val="00DE18BE"/>
    <w:rsid w:val="00DE5B37"/>
    <w:rsid w:val="00DE6598"/>
    <w:rsid w:val="00DE6FA2"/>
    <w:rsid w:val="00DE7200"/>
    <w:rsid w:val="00DE73C1"/>
    <w:rsid w:val="00DF134C"/>
    <w:rsid w:val="00DF3B85"/>
    <w:rsid w:val="00DF7DD3"/>
    <w:rsid w:val="00E004A2"/>
    <w:rsid w:val="00E010CB"/>
    <w:rsid w:val="00E0416B"/>
    <w:rsid w:val="00E044A8"/>
    <w:rsid w:val="00E104C5"/>
    <w:rsid w:val="00E132E5"/>
    <w:rsid w:val="00E13D7D"/>
    <w:rsid w:val="00E20B0D"/>
    <w:rsid w:val="00E23049"/>
    <w:rsid w:val="00E23BFF"/>
    <w:rsid w:val="00E24554"/>
    <w:rsid w:val="00E24C3B"/>
    <w:rsid w:val="00E25819"/>
    <w:rsid w:val="00E26E59"/>
    <w:rsid w:val="00E27B14"/>
    <w:rsid w:val="00E27ECA"/>
    <w:rsid w:val="00E31C25"/>
    <w:rsid w:val="00E32EAC"/>
    <w:rsid w:val="00E34954"/>
    <w:rsid w:val="00E352C5"/>
    <w:rsid w:val="00E37638"/>
    <w:rsid w:val="00E40FB7"/>
    <w:rsid w:val="00E42296"/>
    <w:rsid w:val="00E42BC9"/>
    <w:rsid w:val="00E46F9F"/>
    <w:rsid w:val="00E478F1"/>
    <w:rsid w:val="00E509E9"/>
    <w:rsid w:val="00E53D5D"/>
    <w:rsid w:val="00E562EA"/>
    <w:rsid w:val="00E6157E"/>
    <w:rsid w:val="00E61A91"/>
    <w:rsid w:val="00E63EE7"/>
    <w:rsid w:val="00E65E20"/>
    <w:rsid w:val="00E65EA9"/>
    <w:rsid w:val="00E66F19"/>
    <w:rsid w:val="00E711A7"/>
    <w:rsid w:val="00E717F8"/>
    <w:rsid w:val="00E7284C"/>
    <w:rsid w:val="00E72878"/>
    <w:rsid w:val="00E748CE"/>
    <w:rsid w:val="00E80867"/>
    <w:rsid w:val="00E9208C"/>
    <w:rsid w:val="00E973F7"/>
    <w:rsid w:val="00E97D3E"/>
    <w:rsid w:val="00EA082B"/>
    <w:rsid w:val="00EA12B2"/>
    <w:rsid w:val="00EA15BE"/>
    <w:rsid w:val="00EA1EE1"/>
    <w:rsid w:val="00EA2797"/>
    <w:rsid w:val="00EA5771"/>
    <w:rsid w:val="00EA672E"/>
    <w:rsid w:val="00EA79F5"/>
    <w:rsid w:val="00EB184B"/>
    <w:rsid w:val="00EB5D6E"/>
    <w:rsid w:val="00EB6113"/>
    <w:rsid w:val="00EC041E"/>
    <w:rsid w:val="00EC1D3B"/>
    <w:rsid w:val="00EC3094"/>
    <w:rsid w:val="00EC5472"/>
    <w:rsid w:val="00EC56E9"/>
    <w:rsid w:val="00EC606E"/>
    <w:rsid w:val="00ED3C08"/>
    <w:rsid w:val="00ED5DB1"/>
    <w:rsid w:val="00ED6AC9"/>
    <w:rsid w:val="00EE2FED"/>
    <w:rsid w:val="00EE3F2F"/>
    <w:rsid w:val="00EE51B5"/>
    <w:rsid w:val="00EE5629"/>
    <w:rsid w:val="00EE6E72"/>
    <w:rsid w:val="00EE75AA"/>
    <w:rsid w:val="00EF1277"/>
    <w:rsid w:val="00EF3226"/>
    <w:rsid w:val="00EF4419"/>
    <w:rsid w:val="00EF6563"/>
    <w:rsid w:val="00EF6C14"/>
    <w:rsid w:val="00EF7AEE"/>
    <w:rsid w:val="00F029A6"/>
    <w:rsid w:val="00F03885"/>
    <w:rsid w:val="00F04547"/>
    <w:rsid w:val="00F07B58"/>
    <w:rsid w:val="00F10393"/>
    <w:rsid w:val="00F11921"/>
    <w:rsid w:val="00F12C99"/>
    <w:rsid w:val="00F1359E"/>
    <w:rsid w:val="00F17FEE"/>
    <w:rsid w:val="00F20AD1"/>
    <w:rsid w:val="00F2251E"/>
    <w:rsid w:val="00F24AA1"/>
    <w:rsid w:val="00F25AAF"/>
    <w:rsid w:val="00F25DFD"/>
    <w:rsid w:val="00F317D9"/>
    <w:rsid w:val="00F44556"/>
    <w:rsid w:val="00F463C9"/>
    <w:rsid w:val="00F472F6"/>
    <w:rsid w:val="00F540BD"/>
    <w:rsid w:val="00F546EC"/>
    <w:rsid w:val="00F560E9"/>
    <w:rsid w:val="00F563AA"/>
    <w:rsid w:val="00F575B0"/>
    <w:rsid w:val="00F668FB"/>
    <w:rsid w:val="00F66C16"/>
    <w:rsid w:val="00F7559A"/>
    <w:rsid w:val="00F7681A"/>
    <w:rsid w:val="00F77AAA"/>
    <w:rsid w:val="00F817B8"/>
    <w:rsid w:val="00F82938"/>
    <w:rsid w:val="00F832F2"/>
    <w:rsid w:val="00F84855"/>
    <w:rsid w:val="00F860D3"/>
    <w:rsid w:val="00F91D34"/>
    <w:rsid w:val="00F93612"/>
    <w:rsid w:val="00F942B6"/>
    <w:rsid w:val="00F9509E"/>
    <w:rsid w:val="00F956FF"/>
    <w:rsid w:val="00F960C9"/>
    <w:rsid w:val="00FA1013"/>
    <w:rsid w:val="00FA1B19"/>
    <w:rsid w:val="00FA3B21"/>
    <w:rsid w:val="00FA4F72"/>
    <w:rsid w:val="00FA6340"/>
    <w:rsid w:val="00FB0BE4"/>
    <w:rsid w:val="00FB65CD"/>
    <w:rsid w:val="00FC0F2B"/>
    <w:rsid w:val="00FC1209"/>
    <w:rsid w:val="00FC5C2B"/>
    <w:rsid w:val="00FC620B"/>
    <w:rsid w:val="00FC62CD"/>
    <w:rsid w:val="00FD09F4"/>
    <w:rsid w:val="00FD385B"/>
    <w:rsid w:val="00FE16B5"/>
    <w:rsid w:val="00FE7734"/>
    <w:rsid w:val="00FF027B"/>
    <w:rsid w:val="00FF0A63"/>
    <w:rsid w:val="00FF0C5D"/>
    <w:rsid w:val="00FF1DAC"/>
    <w:rsid w:val="00FF40B5"/>
    <w:rsid w:val="00FF5EC8"/>
    <w:rsid w:val="00FF76F2"/>
    <w:rsid w:val="00FF78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FE5A373-890C-4FDE-B712-FA50A552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5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9">
    <w:name w:val="9"/>
    <w:basedOn w:val="TableNormal1"/>
    <w:tblPr>
      <w:tblStyleRowBandSize w:val="1"/>
      <w:tblStyleColBandSize w:val="1"/>
      <w:tblCellMar>
        <w:left w:w="70" w:type="dxa"/>
        <w:right w:w="70" w:type="dxa"/>
      </w:tblCellMar>
    </w:tblPr>
  </w:style>
  <w:style w:type="table" w:customStyle="1" w:styleId="8">
    <w:name w:val="8"/>
    <w:basedOn w:val="TableNormal1"/>
    <w:tblPr>
      <w:tblStyleRowBandSize w:val="1"/>
      <w:tblStyleColBandSize w:val="1"/>
      <w:tblCellMar>
        <w:left w:w="70" w:type="dxa"/>
        <w:right w:w="70"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table" w:customStyle="1" w:styleId="2">
    <w:name w:val="2"/>
    <w:basedOn w:val="TableNormal2"/>
    <w:tblPr>
      <w:tblStyleRowBandSize w:val="1"/>
      <w:tblStyleColBandSize w:val="1"/>
      <w:tblCellMar>
        <w:left w:w="70" w:type="dxa"/>
        <w:right w:w="70" w:type="dxa"/>
      </w:tblCellMar>
    </w:tblPr>
  </w:style>
  <w:style w:type="table" w:customStyle="1" w:styleId="1">
    <w:name w:val="1"/>
    <w:basedOn w:val="TableNormal2"/>
    <w:tblPr>
      <w:tblStyleRowBandSize w:val="1"/>
      <w:tblStyleColBandSize w:val="1"/>
      <w:tblCellMar>
        <w:left w:w="70" w:type="dxa"/>
        <w:right w:w="70" w:type="dxa"/>
      </w:tblCellMar>
    </w:tblPr>
  </w:style>
  <w:style w:type="paragraph" w:styleId="NormalWeb">
    <w:name w:val="Normal (Web)"/>
    <w:basedOn w:val="Normal"/>
    <w:uiPriority w:val="99"/>
    <w:rsid w:val="00E23049"/>
    <w:pPr>
      <w:spacing w:before="100" w:beforeAutospacing="1" w:after="100" w:afterAutospacing="1"/>
    </w:pPr>
    <w:rPr>
      <w:rFonts w:ascii="Times New Roman" w:eastAsia="Times New Roman" w:hAnsi="Times New Roman" w:cs="Times New Roman"/>
      <w:lang w:val="es-ES" w:eastAsia="es-MX"/>
    </w:rPr>
  </w:style>
  <w:style w:type="paragraph" w:customStyle="1" w:styleId="Default">
    <w:name w:val="Default"/>
    <w:rsid w:val="00444D78"/>
    <w:pPr>
      <w:autoSpaceDE w:val="0"/>
      <w:autoSpaceDN w:val="0"/>
      <w:adjustRightInd w:val="0"/>
    </w:pPr>
    <w:rPr>
      <w:rFonts w:ascii="Arial" w:eastAsiaTheme="minorHAnsi" w:hAnsi="Arial" w:cs="Arial"/>
      <w:color w:val="000000"/>
      <w:lang w:val="es-MX" w:eastAsia="en-US"/>
    </w:rPr>
  </w:style>
  <w:style w:type="table" w:customStyle="1" w:styleId="TableNormal0">
    <w:name w:val="TableNormal"/>
    <w:rsid w:val="002B0011"/>
    <w:tblPr>
      <w:tblCellMar>
        <w:top w:w="0" w:type="dxa"/>
        <w:left w:w="0" w:type="dxa"/>
        <w:bottom w:w="0" w:type="dxa"/>
        <w:right w:w="0" w:type="dxa"/>
      </w:tblCellMar>
    </w:tblPr>
  </w:style>
  <w:style w:type="character" w:customStyle="1" w:styleId="object">
    <w:name w:val="object"/>
    <w:basedOn w:val="Fuentedeprrafopredeter"/>
    <w:rsid w:val="00144A7C"/>
  </w:style>
  <w:style w:type="character" w:customStyle="1" w:styleId="vkekvd">
    <w:name w:val="vkekvd"/>
    <w:basedOn w:val="Fuentedeprrafopredeter"/>
    <w:rsid w:val="00FC620B"/>
  </w:style>
  <w:style w:type="character" w:customStyle="1" w:styleId="ifmvxd">
    <w:name w:val="ifmvxd"/>
    <w:basedOn w:val="Fuentedeprrafopredeter"/>
    <w:rsid w:val="00FC620B"/>
  </w:style>
  <w:style w:type="character" w:customStyle="1" w:styleId="ijm6od">
    <w:name w:val="ijm6od"/>
    <w:basedOn w:val="Fuentedeprrafopredeter"/>
    <w:rsid w:val="00FC620B"/>
  </w:style>
  <w:style w:type="character" w:styleId="Textoennegrita">
    <w:name w:val="Strong"/>
    <w:basedOn w:val="Fuentedeprrafopredeter"/>
    <w:uiPriority w:val="22"/>
    <w:qFormat/>
    <w:rsid w:val="00FC620B"/>
    <w:rPr>
      <w:b/>
      <w:bCs/>
    </w:rPr>
  </w:style>
  <w:style w:type="character" w:customStyle="1" w:styleId="t286pc">
    <w:name w:val="t286pc"/>
    <w:basedOn w:val="Fuentedeprrafopredeter"/>
    <w:rsid w:val="00FC6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8993">
      <w:bodyDiv w:val="1"/>
      <w:marLeft w:val="0"/>
      <w:marRight w:val="0"/>
      <w:marTop w:val="0"/>
      <w:marBottom w:val="0"/>
      <w:divBdr>
        <w:top w:val="none" w:sz="0" w:space="0" w:color="auto"/>
        <w:left w:val="none" w:sz="0" w:space="0" w:color="auto"/>
        <w:bottom w:val="none" w:sz="0" w:space="0" w:color="auto"/>
        <w:right w:val="none" w:sz="0" w:space="0" w:color="auto"/>
      </w:divBdr>
    </w:div>
    <w:div w:id="112487059">
      <w:bodyDiv w:val="1"/>
      <w:marLeft w:val="0"/>
      <w:marRight w:val="0"/>
      <w:marTop w:val="0"/>
      <w:marBottom w:val="0"/>
      <w:divBdr>
        <w:top w:val="none" w:sz="0" w:space="0" w:color="auto"/>
        <w:left w:val="none" w:sz="0" w:space="0" w:color="auto"/>
        <w:bottom w:val="none" w:sz="0" w:space="0" w:color="auto"/>
        <w:right w:val="none" w:sz="0" w:space="0" w:color="auto"/>
      </w:divBdr>
    </w:div>
    <w:div w:id="169682792">
      <w:bodyDiv w:val="1"/>
      <w:marLeft w:val="0"/>
      <w:marRight w:val="0"/>
      <w:marTop w:val="0"/>
      <w:marBottom w:val="0"/>
      <w:divBdr>
        <w:top w:val="none" w:sz="0" w:space="0" w:color="auto"/>
        <w:left w:val="none" w:sz="0" w:space="0" w:color="auto"/>
        <w:bottom w:val="none" w:sz="0" w:space="0" w:color="auto"/>
        <w:right w:val="none" w:sz="0" w:space="0" w:color="auto"/>
      </w:divBdr>
    </w:div>
    <w:div w:id="179903546">
      <w:bodyDiv w:val="1"/>
      <w:marLeft w:val="0"/>
      <w:marRight w:val="0"/>
      <w:marTop w:val="0"/>
      <w:marBottom w:val="0"/>
      <w:divBdr>
        <w:top w:val="none" w:sz="0" w:space="0" w:color="auto"/>
        <w:left w:val="none" w:sz="0" w:space="0" w:color="auto"/>
        <w:bottom w:val="none" w:sz="0" w:space="0" w:color="auto"/>
        <w:right w:val="none" w:sz="0" w:space="0" w:color="auto"/>
      </w:divBdr>
    </w:div>
    <w:div w:id="181213737">
      <w:bodyDiv w:val="1"/>
      <w:marLeft w:val="0"/>
      <w:marRight w:val="0"/>
      <w:marTop w:val="0"/>
      <w:marBottom w:val="0"/>
      <w:divBdr>
        <w:top w:val="none" w:sz="0" w:space="0" w:color="auto"/>
        <w:left w:val="none" w:sz="0" w:space="0" w:color="auto"/>
        <w:bottom w:val="none" w:sz="0" w:space="0" w:color="auto"/>
        <w:right w:val="none" w:sz="0" w:space="0" w:color="auto"/>
      </w:divBdr>
    </w:div>
    <w:div w:id="245112151">
      <w:bodyDiv w:val="1"/>
      <w:marLeft w:val="0"/>
      <w:marRight w:val="0"/>
      <w:marTop w:val="0"/>
      <w:marBottom w:val="0"/>
      <w:divBdr>
        <w:top w:val="none" w:sz="0" w:space="0" w:color="auto"/>
        <w:left w:val="none" w:sz="0" w:space="0" w:color="auto"/>
        <w:bottom w:val="none" w:sz="0" w:space="0" w:color="auto"/>
        <w:right w:val="none" w:sz="0" w:space="0" w:color="auto"/>
      </w:divBdr>
    </w:div>
    <w:div w:id="276259902">
      <w:bodyDiv w:val="1"/>
      <w:marLeft w:val="0"/>
      <w:marRight w:val="0"/>
      <w:marTop w:val="0"/>
      <w:marBottom w:val="0"/>
      <w:divBdr>
        <w:top w:val="none" w:sz="0" w:space="0" w:color="auto"/>
        <w:left w:val="none" w:sz="0" w:space="0" w:color="auto"/>
        <w:bottom w:val="none" w:sz="0" w:space="0" w:color="auto"/>
        <w:right w:val="none" w:sz="0" w:space="0" w:color="auto"/>
      </w:divBdr>
    </w:div>
    <w:div w:id="326324921">
      <w:bodyDiv w:val="1"/>
      <w:marLeft w:val="0"/>
      <w:marRight w:val="0"/>
      <w:marTop w:val="0"/>
      <w:marBottom w:val="0"/>
      <w:divBdr>
        <w:top w:val="none" w:sz="0" w:space="0" w:color="auto"/>
        <w:left w:val="none" w:sz="0" w:space="0" w:color="auto"/>
        <w:bottom w:val="none" w:sz="0" w:space="0" w:color="auto"/>
        <w:right w:val="none" w:sz="0" w:space="0" w:color="auto"/>
      </w:divBdr>
    </w:div>
    <w:div w:id="347219423">
      <w:bodyDiv w:val="1"/>
      <w:marLeft w:val="0"/>
      <w:marRight w:val="0"/>
      <w:marTop w:val="0"/>
      <w:marBottom w:val="0"/>
      <w:divBdr>
        <w:top w:val="none" w:sz="0" w:space="0" w:color="auto"/>
        <w:left w:val="none" w:sz="0" w:space="0" w:color="auto"/>
        <w:bottom w:val="none" w:sz="0" w:space="0" w:color="auto"/>
        <w:right w:val="none" w:sz="0" w:space="0" w:color="auto"/>
      </w:divBdr>
    </w:div>
    <w:div w:id="376054250">
      <w:bodyDiv w:val="1"/>
      <w:marLeft w:val="0"/>
      <w:marRight w:val="0"/>
      <w:marTop w:val="0"/>
      <w:marBottom w:val="0"/>
      <w:divBdr>
        <w:top w:val="none" w:sz="0" w:space="0" w:color="auto"/>
        <w:left w:val="none" w:sz="0" w:space="0" w:color="auto"/>
        <w:bottom w:val="none" w:sz="0" w:space="0" w:color="auto"/>
        <w:right w:val="none" w:sz="0" w:space="0" w:color="auto"/>
      </w:divBdr>
      <w:divsChild>
        <w:div w:id="623121699">
          <w:marLeft w:val="0"/>
          <w:marRight w:val="0"/>
          <w:marTop w:val="0"/>
          <w:marBottom w:val="0"/>
          <w:divBdr>
            <w:top w:val="none" w:sz="0" w:space="0" w:color="auto"/>
            <w:left w:val="none" w:sz="0" w:space="0" w:color="auto"/>
            <w:bottom w:val="none" w:sz="0" w:space="0" w:color="auto"/>
            <w:right w:val="none" w:sz="0" w:space="0" w:color="auto"/>
          </w:divBdr>
        </w:div>
      </w:divsChild>
    </w:div>
    <w:div w:id="389041257">
      <w:bodyDiv w:val="1"/>
      <w:marLeft w:val="0"/>
      <w:marRight w:val="0"/>
      <w:marTop w:val="0"/>
      <w:marBottom w:val="0"/>
      <w:divBdr>
        <w:top w:val="none" w:sz="0" w:space="0" w:color="auto"/>
        <w:left w:val="none" w:sz="0" w:space="0" w:color="auto"/>
        <w:bottom w:val="none" w:sz="0" w:space="0" w:color="auto"/>
        <w:right w:val="none" w:sz="0" w:space="0" w:color="auto"/>
      </w:divBdr>
      <w:divsChild>
        <w:div w:id="1401100502">
          <w:marLeft w:val="0"/>
          <w:marRight w:val="0"/>
          <w:marTop w:val="0"/>
          <w:marBottom w:val="0"/>
          <w:divBdr>
            <w:top w:val="none" w:sz="0" w:space="0" w:color="auto"/>
            <w:left w:val="none" w:sz="0" w:space="0" w:color="auto"/>
            <w:bottom w:val="none" w:sz="0" w:space="0" w:color="auto"/>
            <w:right w:val="none" w:sz="0" w:space="0" w:color="auto"/>
          </w:divBdr>
          <w:divsChild>
            <w:div w:id="580649903">
              <w:marLeft w:val="0"/>
              <w:marRight w:val="0"/>
              <w:marTop w:val="0"/>
              <w:marBottom w:val="0"/>
              <w:divBdr>
                <w:top w:val="none" w:sz="0" w:space="0" w:color="auto"/>
                <w:left w:val="none" w:sz="0" w:space="0" w:color="auto"/>
                <w:bottom w:val="none" w:sz="0" w:space="0" w:color="auto"/>
                <w:right w:val="none" w:sz="0" w:space="0" w:color="auto"/>
              </w:divBdr>
            </w:div>
          </w:divsChild>
        </w:div>
        <w:div w:id="1796289861">
          <w:marLeft w:val="0"/>
          <w:marRight w:val="0"/>
          <w:marTop w:val="0"/>
          <w:marBottom w:val="0"/>
          <w:divBdr>
            <w:top w:val="none" w:sz="0" w:space="0" w:color="auto"/>
            <w:left w:val="none" w:sz="0" w:space="0" w:color="auto"/>
            <w:bottom w:val="none" w:sz="0" w:space="0" w:color="auto"/>
            <w:right w:val="none" w:sz="0" w:space="0" w:color="auto"/>
          </w:divBdr>
        </w:div>
        <w:div w:id="1253323013">
          <w:marLeft w:val="0"/>
          <w:marRight w:val="0"/>
          <w:marTop w:val="0"/>
          <w:marBottom w:val="0"/>
          <w:divBdr>
            <w:top w:val="none" w:sz="0" w:space="0" w:color="auto"/>
            <w:left w:val="none" w:sz="0" w:space="0" w:color="auto"/>
            <w:bottom w:val="none" w:sz="0" w:space="0" w:color="auto"/>
            <w:right w:val="none" w:sz="0" w:space="0" w:color="auto"/>
          </w:divBdr>
        </w:div>
      </w:divsChild>
    </w:div>
    <w:div w:id="415328067">
      <w:bodyDiv w:val="1"/>
      <w:marLeft w:val="0"/>
      <w:marRight w:val="0"/>
      <w:marTop w:val="0"/>
      <w:marBottom w:val="0"/>
      <w:divBdr>
        <w:top w:val="none" w:sz="0" w:space="0" w:color="auto"/>
        <w:left w:val="none" w:sz="0" w:space="0" w:color="auto"/>
        <w:bottom w:val="none" w:sz="0" w:space="0" w:color="auto"/>
        <w:right w:val="none" w:sz="0" w:space="0" w:color="auto"/>
      </w:divBdr>
      <w:divsChild>
        <w:div w:id="785081863">
          <w:marLeft w:val="0"/>
          <w:marRight w:val="0"/>
          <w:marTop w:val="0"/>
          <w:marBottom w:val="0"/>
          <w:divBdr>
            <w:top w:val="none" w:sz="0" w:space="0" w:color="auto"/>
            <w:left w:val="none" w:sz="0" w:space="0" w:color="auto"/>
            <w:bottom w:val="none" w:sz="0" w:space="0" w:color="auto"/>
            <w:right w:val="none" w:sz="0" w:space="0" w:color="auto"/>
          </w:divBdr>
          <w:divsChild>
            <w:div w:id="631713129">
              <w:marLeft w:val="0"/>
              <w:marRight w:val="0"/>
              <w:marTop w:val="0"/>
              <w:marBottom w:val="0"/>
              <w:divBdr>
                <w:top w:val="none" w:sz="0" w:space="0" w:color="auto"/>
                <w:left w:val="none" w:sz="0" w:space="0" w:color="auto"/>
                <w:bottom w:val="none" w:sz="0" w:space="0" w:color="auto"/>
                <w:right w:val="none" w:sz="0" w:space="0" w:color="auto"/>
              </w:divBdr>
            </w:div>
          </w:divsChild>
        </w:div>
        <w:div w:id="1311061538">
          <w:marLeft w:val="0"/>
          <w:marRight w:val="0"/>
          <w:marTop w:val="0"/>
          <w:marBottom w:val="0"/>
          <w:divBdr>
            <w:top w:val="none" w:sz="0" w:space="0" w:color="auto"/>
            <w:left w:val="none" w:sz="0" w:space="0" w:color="auto"/>
            <w:bottom w:val="none" w:sz="0" w:space="0" w:color="auto"/>
            <w:right w:val="none" w:sz="0" w:space="0" w:color="auto"/>
          </w:divBdr>
        </w:div>
        <w:div w:id="1739013692">
          <w:marLeft w:val="0"/>
          <w:marRight w:val="0"/>
          <w:marTop w:val="0"/>
          <w:marBottom w:val="0"/>
          <w:divBdr>
            <w:top w:val="none" w:sz="0" w:space="0" w:color="auto"/>
            <w:left w:val="none" w:sz="0" w:space="0" w:color="auto"/>
            <w:bottom w:val="none" w:sz="0" w:space="0" w:color="auto"/>
            <w:right w:val="none" w:sz="0" w:space="0" w:color="auto"/>
          </w:divBdr>
        </w:div>
      </w:divsChild>
    </w:div>
    <w:div w:id="416710200">
      <w:bodyDiv w:val="1"/>
      <w:marLeft w:val="0"/>
      <w:marRight w:val="0"/>
      <w:marTop w:val="0"/>
      <w:marBottom w:val="0"/>
      <w:divBdr>
        <w:top w:val="none" w:sz="0" w:space="0" w:color="auto"/>
        <w:left w:val="none" w:sz="0" w:space="0" w:color="auto"/>
        <w:bottom w:val="none" w:sz="0" w:space="0" w:color="auto"/>
        <w:right w:val="none" w:sz="0" w:space="0" w:color="auto"/>
      </w:divBdr>
    </w:div>
    <w:div w:id="479687001">
      <w:bodyDiv w:val="1"/>
      <w:marLeft w:val="0"/>
      <w:marRight w:val="0"/>
      <w:marTop w:val="0"/>
      <w:marBottom w:val="0"/>
      <w:divBdr>
        <w:top w:val="none" w:sz="0" w:space="0" w:color="auto"/>
        <w:left w:val="none" w:sz="0" w:space="0" w:color="auto"/>
        <w:bottom w:val="none" w:sz="0" w:space="0" w:color="auto"/>
        <w:right w:val="none" w:sz="0" w:space="0" w:color="auto"/>
      </w:divBdr>
    </w:div>
    <w:div w:id="488251570">
      <w:bodyDiv w:val="1"/>
      <w:marLeft w:val="0"/>
      <w:marRight w:val="0"/>
      <w:marTop w:val="0"/>
      <w:marBottom w:val="0"/>
      <w:divBdr>
        <w:top w:val="none" w:sz="0" w:space="0" w:color="auto"/>
        <w:left w:val="none" w:sz="0" w:space="0" w:color="auto"/>
        <w:bottom w:val="none" w:sz="0" w:space="0" w:color="auto"/>
        <w:right w:val="none" w:sz="0" w:space="0" w:color="auto"/>
      </w:divBdr>
    </w:div>
    <w:div w:id="525753437">
      <w:bodyDiv w:val="1"/>
      <w:marLeft w:val="0"/>
      <w:marRight w:val="0"/>
      <w:marTop w:val="0"/>
      <w:marBottom w:val="0"/>
      <w:divBdr>
        <w:top w:val="none" w:sz="0" w:space="0" w:color="auto"/>
        <w:left w:val="none" w:sz="0" w:space="0" w:color="auto"/>
        <w:bottom w:val="none" w:sz="0" w:space="0" w:color="auto"/>
        <w:right w:val="none" w:sz="0" w:space="0" w:color="auto"/>
      </w:divBdr>
    </w:div>
    <w:div w:id="555244072">
      <w:bodyDiv w:val="1"/>
      <w:marLeft w:val="0"/>
      <w:marRight w:val="0"/>
      <w:marTop w:val="0"/>
      <w:marBottom w:val="0"/>
      <w:divBdr>
        <w:top w:val="none" w:sz="0" w:space="0" w:color="auto"/>
        <w:left w:val="none" w:sz="0" w:space="0" w:color="auto"/>
        <w:bottom w:val="none" w:sz="0" w:space="0" w:color="auto"/>
        <w:right w:val="none" w:sz="0" w:space="0" w:color="auto"/>
      </w:divBdr>
    </w:div>
    <w:div w:id="567769158">
      <w:bodyDiv w:val="1"/>
      <w:marLeft w:val="0"/>
      <w:marRight w:val="0"/>
      <w:marTop w:val="0"/>
      <w:marBottom w:val="0"/>
      <w:divBdr>
        <w:top w:val="none" w:sz="0" w:space="0" w:color="auto"/>
        <w:left w:val="none" w:sz="0" w:space="0" w:color="auto"/>
        <w:bottom w:val="none" w:sz="0" w:space="0" w:color="auto"/>
        <w:right w:val="none" w:sz="0" w:space="0" w:color="auto"/>
      </w:divBdr>
    </w:div>
    <w:div w:id="644243988">
      <w:bodyDiv w:val="1"/>
      <w:marLeft w:val="0"/>
      <w:marRight w:val="0"/>
      <w:marTop w:val="0"/>
      <w:marBottom w:val="0"/>
      <w:divBdr>
        <w:top w:val="none" w:sz="0" w:space="0" w:color="auto"/>
        <w:left w:val="none" w:sz="0" w:space="0" w:color="auto"/>
        <w:bottom w:val="none" w:sz="0" w:space="0" w:color="auto"/>
        <w:right w:val="none" w:sz="0" w:space="0" w:color="auto"/>
      </w:divBdr>
    </w:div>
    <w:div w:id="645864863">
      <w:bodyDiv w:val="1"/>
      <w:marLeft w:val="0"/>
      <w:marRight w:val="0"/>
      <w:marTop w:val="0"/>
      <w:marBottom w:val="0"/>
      <w:divBdr>
        <w:top w:val="none" w:sz="0" w:space="0" w:color="auto"/>
        <w:left w:val="none" w:sz="0" w:space="0" w:color="auto"/>
        <w:bottom w:val="none" w:sz="0" w:space="0" w:color="auto"/>
        <w:right w:val="none" w:sz="0" w:space="0" w:color="auto"/>
      </w:divBdr>
    </w:div>
    <w:div w:id="667250852">
      <w:bodyDiv w:val="1"/>
      <w:marLeft w:val="0"/>
      <w:marRight w:val="0"/>
      <w:marTop w:val="0"/>
      <w:marBottom w:val="0"/>
      <w:divBdr>
        <w:top w:val="none" w:sz="0" w:space="0" w:color="auto"/>
        <w:left w:val="none" w:sz="0" w:space="0" w:color="auto"/>
        <w:bottom w:val="none" w:sz="0" w:space="0" w:color="auto"/>
        <w:right w:val="none" w:sz="0" w:space="0" w:color="auto"/>
      </w:divBdr>
    </w:div>
    <w:div w:id="690572515">
      <w:bodyDiv w:val="1"/>
      <w:marLeft w:val="0"/>
      <w:marRight w:val="0"/>
      <w:marTop w:val="0"/>
      <w:marBottom w:val="0"/>
      <w:divBdr>
        <w:top w:val="none" w:sz="0" w:space="0" w:color="auto"/>
        <w:left w:val="none" w:sz="0" w:space="0" w:color="auto"/>
        <w:bottom w:val="none" w:sz="0" w:space="0" w:color="auto"/>
        <w:right w:val="none" w:sz="0" w:space="0" w:color="auto"/>
      </w:divBdr>
    </w:div>
    <w:div w:id="743144985">
      <w:bodyDiv w:val="1"/>
      <w:marLeft w:val="0"/>
      <w:marRight w:val="0"/>
      <w:marTop w:val="0"/>
      <w:marBottom w:val="0"/>
      <w:divBdr>
        <w:top w:val="none" w:sz="0" w:space="0" w:color="auto"/>
        <w:left w:val="none" w:sz="0" w:space="0" w:color="auto"/>
        <w:bottom w:val="none" w:sz="0" w:space="0" w:color="auto"/>
        <w:right w:val="none" w:sz="0" w:space="0" w:color="auto"/>
      </w:divBdr>
    </w:div>
    <w:div w:id="769590698">
      <w:bodyDiv w:val="1"/>
      <w:marLeft w:val="0"/>
      <w:marRight w:val="0"/>
      <w:marTop w:val="0"/>
      <w:marBottom w:val="0"/>
      <w:divBdr>
        <w:top w:val="none" w:sz="0" w:space="0" w:color="auto"/>
        <w:left w:val="none" w:sz="0" w:space="0" w:color="auto"/>
        <w:bottom w:val="none" w:sz="0" w:space="0" w:color="auto"/>
        <w:right w:val="none" w:sz="0" w:space="0" w:color="auto"/>
      </w:divBdr>
    </w:div>
    <w:div w:id="786974491">
      <w:bodyDiv w:val="1"/>
      <w:marLeft w:val="0"/>
      <w:marRight w:val="0"/>
      <w:marTop w:val="0"/>
      <w:marBottom w:val="0"/>
      <w:divBdr>
        <w:top w:val="none" w:sz="0" w:space="0" w:color="auto"/>
        <w:left w:val="none" w:sz="0" w:space="0" w:color="auto"/>
        <w:bottom w:val="none" w:sz="0" w:space="0" w:color="auto"/>
        <w:right w:val="none" w:sz="0" w:space="0" w:color="auto"/>
      </w:divBdr>
    </w:div>
    <w:div w:id="820150102">
      <w:bodyDiv w:val="1"/>
      <w:marLeft w:val="0"/>
      <w:marRight w:val="0"/>
      <w:marTop w:val="0"/>
      <w:marBottom w:val="0"/>
      <w:divBdr>
        <w:top w:val="none" w:sz="0" w:space="0" w:color="auto"/>
        <w:left w:val="none" w:sz="0" w:space="0" w:color="auto"/>
        <w:bottom w:val="none" w:sz="0" w:space="0" w:color="auto"/>
        <w:right w:val="none" w:sz="0" w:space="0" w:color="auto"/>
      </w:divBdr>
      <w:divsChild>
        <w:div w:id="1869562645">
          <w:marLeft w:val="0"/>
          <w:marRight w:val="0"/>
          <w:marTop w:val="0"/>
          <w:marBottom w:val="0"/>
          <w:divBdr>
            <w:top w:val="none" w:sz="0" w:space="0" w:color="auto"/>
            <w:left w:val="none" w:sz="0" w:space="0" w:color="auto"/>
            <w:bottom w:val="none" w:sz="0" w:space="0" w:color="auto"/>
            <w:right w:val="none" w:sz="0" w:space="0" w:color="auto"/>
          </w:divBdr>
        </w:div>
      </w:divsChild>
    </w:div>
    <w:div w:id="822086160">
      <w:bodyDiv w:val="1"/>
      <w:marLeft w:val="0"/>
      <w:marRight w:val="0"/>
      <w:marTop w:val="0"/>
      <w:marBottom w:val="0"/>
      <w:divBdr>
        <w:top w:val="none" w:sz="0" w:space="0" w:color="auto"/>
        <w:left w:val="none" w:sz="0" w:space="0" w:color="auto"/>
        <w:bottom w:val="none" w:sz="0" w:space="0" w:color="auto"/>
        <w:right w:val="none" w:sz="0" w:space="0" w:color="auto"/>
      </w:divBdr>
    </w:div>
    <w:div w:id="983781816">
      <w:bodyDiv w:val="1"/>
      <w:marLeft w:val="0"/>
      <w:marRight w:val="0"/>
      <w:marTop w:val="0"/>
      <w:marBottom w:val="0"/>
      <w:divBdr>
        <w:top w:val="none" w:sz="0" w:space="0" w:color="auto"/>
        <w:left w:val="none" w:sz="0" w:space="0" w:color="auto"/>
        <w:bottom w:val="none" w:sz="0" w:space="0" w:color="auto"/>
        <w:right w:val="none" w:sz="0" w:space="0" w:color="auto"/>
      </w:divBdr>
    </w:div>
    <w:div w:id="1053309681">
      <w:bodyDiv w:val="1"/>
      <w:marLeft w:val="0"/>
      <w:marRight w:val="0"/>
      <w:marTop w:val="0"/>
      <w:marBottom w:val="0"/>
      <w:divBdr>
        <w:top w:val="none" w:sz="0" w:space="0" w:color="auto"/>
        <w:left w:val="none" w:sz="0" w:space="0" w:color="auto"/>
        <w:bottom w:val="none" w:sz="0" w:space="0" w:color="auto"/>
        <w:right w:val="none" w:sz="0" w:space="0" w:color="auto"/>
      </w:divBdr>
    </w:div>
    <w:div w:id="1069310899">
      <w:bodyDiv w:val="1"/>
      <w:marLeft w:val="0"/>
      <w:marRight w:val="0"/>
      <w:marTop w:val="0"/>
      <w:marBottom w:val="0"/>
      <w:divBdr>
        <w:top w:val="none" w:sz="0" w:space="0" w:color="auto"/>
        <w:left w:val="none" w:sz="0" w:space="0" w:color="auto"/>
        <w:bottom w:val="none" w:sz="0" w:space="0" w:color="auto"/>
        <w:right w:val="none" w:sz="0" w:space="0" w:color="auto"/>
      </w:divBdr>
    </w:div>
    <w:div w:id="1085222194">
      <w:bodyDiv w:val="1"/>
      <w:marLeft w:val="0"/>
      <w:marRight w:val="0"/>
      <w:marTop w:val="0"/>
      <w:marBottom w:val="0"/>
      <w:divBdr>
        <w:top w:val="none" w:sz="0" w:space="0" w:color="auto"/>
        <w:left w:val="none" w:sz="0" w:space="0" w:color="auto"/>
        <w:bottom w:val="none" w:sz="0" w:space="0" w:color="auto"/>
        <w:right w:val="none" w:sz="0" w:space="0" w:color="auto"/>
      </w:divBdr>
      <w:divsChild>
        <w:div w:id="1195193517">
          <w:marLeft w:val="0"/>
          <w:marRight w:val="0"/>
          <w:marTop w:val="0"/>
          <w:marBottom w:val="0"/>
          <w:divBdr>
            <w:top w:val="none" w:sz="0" w:space="0" w:color="auto"/>
            <w:left w:val="none" w:sz="0" w:space="0" w:color="auto"/>
            <w:bottom w:val="none" w:sz="0" w:space="0" w:color="auto"/>
            <w:right w:val="none" w:sz="0" w:space="0" w:color="auto"/>
          </w:divBdr>
        </w:div>
      </w:divsChild>
    </w:div>
    <w:div w:id="1160269411">
      <w:bodyDiv w:val="1"/>
      <w:marLeft w:val="0"/>
      <w:marRight w:val="0"/>
      <w:marTop w:val="0"/>
      <w:marBottom w:val="0"/>
      <w:divBdr>
        <w:top w:val="none" w:sz="0" w:space="0" w:color="auto"/>
        <w:left w:val="none" w:sz="0" w:space="0" w:color="auto"/>
        <w:bottom w:val="none" w:sz="0" w:space="0" w:color="auto"/>
        <w:right w:val="none" w:sz="0" w:space="0" w:color="auto"/>
      </w:divBdr>
      <w:divsChild>
        <w:div w:id="1038354203">
          <w:marLeft w:val="0"/>
          <w:marRight w:val="0"/>
          <w:marTop w:val="0"/>
          <w:marBottom w:val="0"/>
          <w:divBdr>
            <w:top w:val="none" w:sz="0" w:space="0" w:color="auto"/>
            <w:left w:val="none" w:sz="0" w:space="0" w:color="auto"/>
            <w:bottom w:val="none" w:sz="0" w:space="0" w:color="auto"/>
            <w:right w:val="none" w:sz="0" w:space="0" w:color="auto"/>
          </w:divBdr>
          <w:divsChild>
            <w:div w:id="1501773750">
              <w:marLeft w:val="0"/>
              <w:marRight w:val="0"/>
              <w:marTop w:val="0"/>
              <w:marBottom w:val="0"/>
              <w:divBdr>
                <w:top w:val="none" w:sz="0" w:space="0" w:color="auto"/>
                <w:left w:val="none" w:sz="0" w:space="0" w:color="auto"/>
                <w:bottom w:val="none" w:sz="0" w:space="0" w:color="auto"/>
                <w:right w:val="none" w:sz="0" w:space="0" w:color="auto"/>
              </w:divBdr>
            </w:div>
          </w:divsChild>
        </w:div>
        <w:div w:id="480852441">
          <w:marLeft w:val="0"/>
          <w:marRight w:val="0"/>
          <w:marTop w:val="0"/>
          <w:marBottom w:val="0"/>
          <w:divBdr>
            <w:top w:val="none" w:sz="0" w:space="0" w:color="auto"/>
            <w:left w:val="none" w:sz="0" w:space="0" w:color="auto"/>
            <w:bottom w:val="none" w:sz="0" w:space="0" w:color="auto"/>
            <w:right w:val="none" w:sz="0" w:space="0" w:color="auto"/>
          </w:divBdr>
        </w:div>
        <w:div w:id="153882870">
          <w:marLeft w:val="0"/>
          <w:marRight w:val="0"/>
          <w:marTop w:val="0"/>
          <w:marBottom w:val="0"/>
          <w:divBdr>
            <w:top w:val="none" w:sz="0" w:space="0" w:color="auto"/>
            <w:left w:val="none" w:sz="0" w:space="0" w:color="auto"/>
            <w:bottom w:val="none" w:sz="0" w:space="0" w:color="auto"/>
            <w:right w:val="none" w:sz="0" w:space="0" w:color="auto"/>
          </w:divBdr>
        </w:div>
      </w:divsChild>
    </w:div>
    <w:div w:id="1172642908">
      <w:bodyDiv w:val="1"/>
      <w:marLeft w:val="0"/>
      <w:marRight w:val="0"/>
      <w:marTop w:val="0"/>
      <w:marBottom w:val="0"/>
      <w:divBdr>
        <w:top w:val="none" w:sz="0" w:space="0" w:color="auto"/>
        <w:left w:val="none" w:sz="0" w:space="0" w:color="auto"/>
        <w:bottom w:val="none" w:sz="0" w:space="0" w:color="auto"/>
        <w:right w:val="none" w:sz="0" w:space="0" w:color="auto"/>
      </w:divBdr>
    </w:div>
    <w:div w:id="1173446561">
      <w:bodyDiv w:val="1"/>
      <w:marLeft w:val="0"/>
      <w:marRight w:val="0"/>
      <w:marTop w:val="0"/>
      <w:marBottom w:val="0"/>
      <w:divBdr>
        <w:top w:val="none" w:sz="0" w:space="0" w:color="auto"/>
        <w:left w:val="none" w:sz="0" w:space="0" w:color="auto"/>
        <w:bottom w:val="none" w:sz="0" w:space="0" w:color="auto"/>
        <w:right w:val="none" w:sz="0" w:space="0" w:color="auto"/>
      </w:divBdr>
    </w:div>
    <w:div w:id="1195923039">
      <w:bodyDiv w:val="1"/>
      <w:marLeft w:val="0"/>
      <w:marRight w:val="0"/>
      <w:marTop w:val="0"/>
      <w:marBottom w:val="0"/>
      <w:divBdr>
        <w:top w:val="none" w:sz="0" w:space="0" w:color="auto"/>
        <w:left w:val="none" w:sz="0" w:space="0" w:color="auto"/>
        <w:bottom w:val="none" w:sz="0" w:space="0" w:color="auto"/>
        <w:right w:val="none" w:sz="0" w:space="0" w:color="auto"/>
      </w:divBdr>
    </w:div>
    <w:div w:id="1298953911">
      <w:bodyDiv w:val="1"/>
      <w:marLeft w:val="0"/>
      <w:marRight w:val="0"/>
      <w:marTop w:val="0"/>
      <w:marBottom w:val="0"/>
      <w:divBdr>
        <w:top w:val="none" w:sz="0" w:space="0" w:color="auto"/>
        <w:left w:val="none" w:sz="0" w:space="0" w:color="auto"/>
        <w:bottom w:val="none" w:sz="0" w:space="0" w:color="auto"/>
        <w:right w:val="none" w:sz="0" w:space="0" w:color="auto"/>
      </w:divBdr>
    </w:div>
    <w:div w:id="1341201512">
      <w:bodyDiv w:val="1"/>
      <w:marLeft w:val="0"/>
      <w:marRight w:val="0"/>
      <w:marTop w:val="0"/>
      <w:marBottom w:val="0"/>
      <w:divBdr>
        <w:top w:val="none" w:sz="0" w:space="0" w:color="auto"/>
        <w:left w:val="none" w:sz="0" w:space="0" w:color="auto"/>
        <w:bottom w:val="none" w:sz="0" w:space="0" w:color="auto"/>
        <w:right w:val="none" w:sz="0" w:space="0" w:color="auto"/>
      </w:divBdr>
    </w:div>
    <w:div w:id="1396049559">
      <w:bodyDiv w:val="1"/>
      <w:marLeft w:val="0"/>
      <w:marRight w:val="0"/>
      <w:marTop w:val="0"/>
      <w:marBottom w:val="0"/>
      <w:divBdr>
        <w:top w:val="none" w:sz="0" w:space="0" w:color="auto"/>
        <w:left w:val="none" w:sz="0" w:space="0" w:color="auto"/>
        <w:bottom w:val="none" w:sz="0" w:space="0" w:color="auto"/>
        <w:right w:val="none" w:sz="0" w:space="0" w:color="auto"/>
      </w:divBdr>
    </w:div>
    <w:div w:id="1404261484">
      <w:bodyDiv w:val="1"/>
      <w:marLeft w:val="0"/>
      <w:marRight w:val="0"/>
      <w:marTop w:val="0"/>
      <w:marBottom w:val="0"/>
      <w:divBdr>
        <w:top w:val="none" w:sz="0" w:space="0" w:color="auto"/>
        <w:left w:val="none" w:sz="0" w:space="0" w:color="auto"/>
        <w:bottom w:val="none" w:sz="0" w:space="0" w:color="auto"/>
        <w:right w:val="none" w:sz="0" w:space="0" w:color="auto"/>
      </w:divBdr>
    </w:div>
    <w:div w:id="1433939454">
      <w:bodyDiv w:val="1"/>
      <w:marLeft w:val="0"/>
      <w:marRight w:val="0"/>
      <w:marTop w:val="0"/>
      <w:marBottom w:val="0"/>
      <w:divBdr>
        <w:top w:val="none" w:sz="0" w:space="0" w:color="auto"/>
        <w:left w:val="none" w:sz="0" w:space="0" w:color="auto"/>
        <w:bottom w:val="none" w:sz="0" w:space="0" w:color="auto"/>
        <w:right w:val="none" w:sz="0" w:space="0" w:color="auto"/>
      </w:divBdr>
    </w:div>
    <w:div w:id="1517379673">
      <w:bodyDiv w:val="1"/>
      <w:marLeft w:val="0"/>
      <w:marRight w:val="0"/>
      <w:marTop w:val="0"/>
      <w:marBottom w:val="0"/>
      <w:divBdr>
        <w:top w:val="none" w:sz="0" w:space="0" w:color="auto"/>
        <w:left w:val="none" w:sz="0" w:space="0" w:color="auto"/>
        <w:bottom w:val="none" w:sz="0" w:space="0" w:color="auto"/>
        <w:right w:val="none" w:sz="0" w:space="0" w:color="auto"/>
      </w:divBdr>
    </w:div>
    <w:div w:id="1541817858">
      <w:bodyDiv w:val="1"/>
      <w:marLeft w:val="0"/>
      <w:marRight w:val="0"/>
      <w:marTop w:val="0"/>
      <w:marBottom w:val="0"/>
      <w:divBdr>
        <w:top w:val="none" w:sz="0" w:space="0" w:color="auto"/>
        <w:left w:val="none" w:sz="0" w:space="0" w:color="auto"/>
        <w:bottom w:val="none" w:sz="0" w:space="0" w:color="auto"/>
        <w:right w:val="none" w:sz="0" w:space="0" w:color="auto"/>
      </w:divBdr>
    </w:div>
    <w:div w:id="1553805398">
      <w:bodyDiv w:val="1"/>
      <w:marLeft w:val="0"/>
      <w:marRight w:val="0"/>
      <w:marTop w:val="0"/>
      <w:marBottom w:val="0"/>
      <w:divBdr>
        <w:top w:val="none" w:sz="0" w:space="0" w:color="auto"/>
        <w:left w:val="none" w:sz="0" w:space="0" w:color="auto"/>
        <w:bottom w:val="none" w:sz="0" w:space="0" w:color="auto"/>
        <w:right w:val="none" w:sz="0" w:space="0" w:color="auto"/>
      </w:divBdr>
    </w:div>
    <w:div w:id="1611812373">
      <w:bodyDiv w:val="1"/>
      <w:marLeft w:val="0"/>
      <w:marRight w:val="0"/>
      <w:marTop w:val="0"/>
      <w:marBottom w:val="0"/>
      <w:divBdr>
        <w:top w:val="none" w:sz="0" w:space="0" w:color="auto"/>
        <w:left w:val="none" w:sz="0" w:space="0" w:color="auto"/>
        <w:bottom w:val="none" w:sz="0" w:space="0" w:color="auto"/>
        <w:right w:val="none" w:sz="0" w:space="0" w:color="auto"/>
      </w:divBdr>
    </w:div>
    <w:div w:id="1620062679">
      <w:bodyDiv w:val="1"/>
      <w:marLeft w:val="0"/>
      <w:marRight w:val="0"/>
      <w:marTop w:val="0"/>
      <w:marBottom w:val="0"/>
      <w:divBdr>
        <w:top w:val="none" w:sz="0" w:space="0" w:color="auto"/>
        <w:left w:val="none" w:sz="0" w:space="0" w:color="auto"/>
        <w:bottom w:val="none" w:sz="0" w:space="0" w:color="auto"/>
        <w:right w:val="none" w:sz="0" w:space="0" w:color="auto"/>
      </w:divBdr>
    </w:div>
    <w:div w:id="1682052648">
      <w:bodyDiv w:val="1"/>
      <w:marLeft w:val="0"/>
      <w:marRight w:val="0"/>
      <w:marTop w:val="0"/>
      <w:marBottom w:val="0"/>
      <w:divBdr>
        <w:top w:val="none" w:sz="0" w:space="0" w:color="auto"/>
        <w:left w:val="none" w:sz="0" w:space="0" w:color="auto"/>
        <w:bottom w:val="none" w:sz="0" w:space="0" w:color="auto"/>
        <w:right w:val="none" w:sz="0" w:space="0" w:color="auto"/>
      </w:divBdr>
    </w:div>
    <w:div w:id="1736204398">
      <w:bodyDiv w:val="1"/>
      <w:marLeft w:val="0"/>
      <w:marRight w:val="0"/>
      <w:marTop w:val="0"/>
      <w:marBottom w:val="0"/>
      <w:divBdr>
        <w:top w:val="none" w:sz="0" w:space="0" w:color="auto"/>
        <w:left w:val="none" w:sz="0" w:space="0" w:color="auto"/>
        <w:bottom w:val="none" w:sz="0" w:space="0" w:color="auto"/>
        <w:right w:val="none" w:sz="0" w:space="0" w:color="auto"/>
      </w:divBdr>
    </w:div>
    <w:div w:id="1752315283">
      <w:bodyDiv w:val="1"/>
      <w:marLeft w:val="0"/>
      <w:marRight w:val="0"/>
      <w:marTop w:val="0"/>
      <w:marBottom w:val="0"/>
      <w:divBdr>
        <w:top w:val="none" w:sz="0" w:space="0" w:color="auto"/>
        <w:left w:val="none" w:sz="0" w:space="0" w:color="auto"/>
        <w:bottom w:val="none" w:sz="0" w:space="0" w:color="auto"/>
        <w:right w:val="none" w:sz="0" w:space="0" w:color="auto"/>
      </w:divBdr>
    </w:div>
    <w:div w:id="1755972095">
      <w:bodyDiv w:val="1"/>
      <w:marLeft w:val="0"/>
      <w:marRight w:val="0"/>
      <w:marTop w:val="0"/>
      <w:marBottom w:val="0"/>
      <w:divBdr>
        <w:top w:val="none" w:sz="0" w:space="0" w:color="auto"/>
        <w:left w:val="none" w:sz="0" w:space="0" w:color="auto"/>
        <w:bottom w:val="none" w:sz="0" w:space="0" w:color="auto"/>
        <w:right w:val="none" w:sz="0" w:space="0" w:color="auto"/>
      </w:divBdr>
    </w:div>
    <w:div w:id="1763791985">
      <w:bodyDiv w:val="1"/>
      <w:marLeft w:val="0"/>
      <w:marRight w:val="0"/>
      <w:marTop w:val="0"/>
      <w:marBottom w:val="0"/>
      <w:divBdr>
        <w:top w:val="none" w:sz="0" w:space="0" w:color="auto"/>
        <w:left w:val="none" w:sz="0" w:space="0" w:color="auto"/>
        <w:bottom w:val="none" w:sz="0" w:space="0" w:color="auto"/>
        <w:right w:val="none" w:sz="0" w:space="0" w:color="auto"/>
      </w:divBdr>
    </w:div>
    <w:div w:id="1783842368">
      <w:bodyDiv w:val="1"/>
      <w:marLeft w:val="0"/>
      <w:marRight w:val="0"/>
      <w:marTop w:val="0"/>
      <w:marBottom w:val="0"/>
      <w:divBdr>
        <w:top w:val="none" w:sz="0" w:space="0" w:color="auto"/>
        <w:left w:val="none" w:sz="0" w:space="0" w:color="auto"/>
        <w:bottom w:val="none" w:sz="0" w:space="0" w:color="auto"/>
        <w:right w:val="none" w:sz="0" w:space="0" w:color="auto"/>
      </w:divBdr>
    </w:div>
    <w:div w:id="1830442876">
      <w:bodyDiv w:val="1"/>
      <w:marLeft w:val="0"/>
      <w:marRight w:val="0"/>
      <w:marTop w:val="0"/>
      <w:marBottom w:val="0"/>
      <w:divBdr>
        <w:top w:val="none" w:sz="0" w:space="0" w:color="auto"/>
        <w:left w:val="none" w:sz="0" w:space="0" w:color="auto"/>
        <w:bottom w:val="none" w:sz="0" w:space="0" w:color="auto"/>
        <w:right w:val="none" w:sz="0" w:space="0" w:color="auto"/>
      </w:divBdr>
      <w:divsChild>
        <w:div w:id="441267635">
          <w:marLeft w:val="0"/>
          <w:marRight w:val="0"/>
          <w:marTop w:val="0"/>
          <w:marBottom w:val="0"/>
          <w:divBdr>
            <w:top w:val="none" w:sz="0" w:space="0" w:color="auto"/>
            <w:left w:val="none" w:sz="0" w:space="0" w:color="auto"/>
            <w:bottom w:val="none" w:sz="0" w:space="0" w:color="auto"/>
            <w:right w:val="none" w:sz="0" w:space="0" w:color="auto"/>
          </w:divBdr>
        </w:div>
      </w:divsChild>
    </w:div>
    <w:div w:id="1857033107">
      <w:bodyDiv w:val="1"/>
      <w:marLeft w:val="0"/>
      <w:marRight w:val="0"/>
      <w:marTop w:val="0"/>
      <w:marBottom w:val="0"/>
      <w:divBdr>
        <w:top w:val="none" w:sz="0" w:space="0" w:color="auto"/>
        <w:left w:val="none" w:sz="0" w:space="0" w:color="auto"/>
        <w:bottom w:val="none" w:sz="0" w:space="0" w:color="auto"/>
        <w:right w:val="none" w:sz="0" w:space="0" w:color="auto"/>
      </w:divBdr>
    </w:div>
    <w:div w:id="1857042423">
      <w:bodyDiv w:val="1"/>
      <w:marLeft w:val="0"/>
      <w:marRight w:val="0"/>
      <w:marTop w:val="0"/>
      <w:marBottom w:val="0"/>
      <w:divBdr>
        <w:top w:val="none" w:sz="0" w:space="0" w:color="auto"/>
        <w:left w:val="none" w:sz="0" w:space="0" w:color="auto"/>
        <w:bottom w:val="none" w:sz="0" w:space="0" w:color="auto"/>
        <w:right w:val="none" w:sz="0" w:space="0" w:color="auto"/>
      </w:divBdr>
    </w:div>
    <w:div w:id="1877236205">
      <w:bodyDiv w:val="1"/>
      <w:marLeft w:val="0"/>
      <w:marRight w:val="0"/>
      <w:marTop w:val="0"/>
      <w:marBottom w:val="0"/>
      <w:divBdr>
        <w:top w:val="none" w:sz="0" w:space="0" w:color="auto"/>
        <w:left w:val="none" w:sz="0" w:space="0" w:color="auto"/>
        <w:bottom w:val="none" w:sz="0" w:space="0" w:color="auto"/>
        <w:right w:val="none" w:sz="0" w:space="0" w:color="auto"/>
      </w:divBdr>
    </w:div>
    <w:div w:id="1920139310">
      <w:bodyDiv w:val="1"/>
      <w:marLeft w:val="0"/>
      <w:marRight w:val="0"/>
      <w:marTop w:val="0"/>
      <w:marBottom w:val="0"/>
      <w:divBdr>
        <w:top w:val="none" w:sz="0" w:space="0" w:color="auto"/>
        <w:left w:val="none" w:sz="0" w:space="0" w:color="auto"/>
        <w:bottom w:val="none" w:sz="0" w:space="0" w:color="auto"/>
        <w:right w:val="none" w:sz="0" w:space="0" w:color="auto"/>
      </w:divBdr>
    </w:div>
    <w:div w:id="1967352093">
      <w:bodyDiv w:val="1"/>
      <w:marLeft w:val="0"/>
      <w:marRight w:val="0"/>
      <w:marTop w:val="0"/>
      <w:marBottom w:val="0"/>
      <w:divBdr>
        <w:top w:val="none" w:sz="0" w:space="0" w:color="auto"/>
        <w:left w:val="none" w:sz="0" w:space="0" w:color="auto"/>
        <w:bottom w:val="none" w:sz="0" w:space="0" w:color="auto"/>
        <w:right w:val="none" w:sz="0" w:space="0" w:color="auto"/>
      </w:divBdr>
    </w:div>
    <w:div w:id="1973709471">
      <w:bodyDiv w:val="1"/>
      <w:marLeft w:val="0"/>
      <w:marRight w:val="0"/>
      <w:marTop w:val="0"/>
      <w:marBottom w:val="0"/>
      <w:divBdr>
        <w:top w:val="none" w:sz="0" w:space="0" w:color="auto"/>
        <w:left w:val="none" w:sz="0" w:space="0" w:color="auto"/>
        <w:bottom w:val="none" w:sz="0" w:space="0" w:color="auto"/>
        <w:right w:val="none" w:sz="0" w:space="0" w:color="auto"/>
      </w:divBdr>
    </w:div>
    <w:div w:id="1984265167">
      <w:bodyDiv w:val="1"/>
      <w:marLeft w:val="0"/>
      <w:marRight w:val="0"/>
      <w:marTop w:val="0"/>
      <w:marBottom w:val="0"/>
      <w:divBdr>
        <w:top w:val="none" w:sz="0" w:space="0" w:color="auto"/>
        <w:left w:val="none" w:sz="0" w:space="0" w:color="auto"/>
        <w:bottom w:val="none" w:sz="0" w:space="0" w:color="auto"/>
        <w:right w:val="none" w:sz="0" w:space="0" w:color="auto"/>
      </w:divBdr>
    </w:div>
    <w:div w:id="2011520948">
      <w:bodyDiv w:val="1"/>
      <w:marLeft w:val="0"/>
      <w:marRight w:val="0"/>
      <w:marTop w:val="0"/>
      <w:marBottom w:val="0"/>
      <w:divBdr>
        <w:top w:val="none" w:sz="0" w:space="0" w:color="auto"/>
        <w:left w:val="none" w:sz="0" w:space="0" w:color="auto"/>
        <w:bottom w:val="none" w:sz="0" w:space="0" w:color="auto"/>
        <w:right w:val="none" w:sz="0" w:space="0" w:color="auto"/>
      </w:divBdr>
    </w:div>
    <w:div w:id="2024696836">
      <w:bodyDiv w:val="1"/>
      <w:marLeft w:val="0"/>
      <w:marRight w:val="0"/>
      <w:marTop w:val="0"/>
      <w:marBottom w:val="0"/>
      <w:divBdr>
        <w:top w:val="none" w:sz="0" w:space="0" w:color="auto"/>
        <w:left w:val="none" w:sz="0" w:space="0" w:color="auto"/>
        <w:bottom w:val="none" w:sz="0" w:space="0" w:color="auto"/>
        <w:right w:val="none" w:sz="0" w:space="0" w:color="auto"/>
      </w:divBdr>
    </w:div>
    <w:div w:id="2049380207">
      <w:bodyDiv w:val="1"/>
      <w:marLeft w:val="0"/>
      <w:marRight w:val="0"/>
      <w:marTop w:val="0"/>
      <w:marBottom w:val="0"/>
      <w:divBdr>
        <w:top w:val="none" w:sz="0" w:space="0" w:color="auto"/>
        <w:left w:val="none" w:sz="0" w:space="0" w:color="auto"/>
        <w:bottom w:val="none" w:sz="0" w:space="0" w:color="auto"/>
        <w:right w:val="none" w:sz="0" w:space="0" w:color="auto"/>
      </w:divBdr>
    </w:div>
    <w:div w:id="2064938350">
      <w:bodyDiv w:val="1"/>
      <w:marLeft w:val="0"/>
      <w:marRight w:val="0"/>
      <w:marTop w:val="0"/>
      <w:marBottom w:val="0"/>
      <w:divBdr>
        <w:top w:val="none" w:sz="0" w:space="0" w:color="auto"/>
        <w:left w:val="none" w:sz="0" w:space="0" w:color="auto"/>
        <w:bottom w:val="none" w:sz="0" w:space="0" w:color="auto"/>
        <w:right w:val="none" w:sz="0" w:space="0" w:color="auto"/>
      </w:divBdr>
    </w:div>
    <w:div w:id="2104765854">
      <w:bodyDiv w:val="1"/>
      <w:marLeft w:val="0"/>
      <w:marRight w:val="0"/>
      <w:marTop w:val="0"/>
      <w:marBottom w:val="0"/>
      <w:divBdr>
        <w:top w:val="none" w:sz="0" w:space="0" w:color="auto"/>
        <w:left w:val="none" w:sz="0" w:space="0" w:color="auto"/>
        <w:bottom w:val="none" w:sz="0" w:space="0" w:color="auto"/>
        <w:right w:val="none" w:sz="0" w:space="0" w:color="auto"/>
      </w:divBdr>
    </w:div>
    <w:div w:id="2134592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34</Pages>
  <Words>8531</Words>
  <Characters>46922</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55343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43</cp:revision>
  <cp:lastPrinted>2026-06-05T16:55:00Z</cp:lastPrinted>
  <dcterms:created xsi:type="dcterms:W3CDTF">2026-05-20T23:39:00Z</dcterms:created>
  <dcterms:modified xsi:type="dcterms:W3CDTF">2026-06-10T19:13:00Z</dcterms:modified>
</cp:coreProperties>
</file>