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47212" w14:textId="77777777" w:rsidR="00C10D27" w:rsidRPr="00D333B5" w:rsidRDefault="00C10D27">
      <w:pPr>
        <w:keepNext/>
        <w:keepLines/>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0EEE810" w14:textId="40935750" w:rsidR="00D333B5" w:rsidRPr="00D333B5" w:rsidRDefault="00D333B5" w:rsidP="00D333B5">
          <w:pPr>
            <w:keepNext/>
            <w:keepLines/>
            <w:spacing w:line="360" w:lineRule="auto"/>
            <w:jc w:val="center"/>
            <w:rPr>
              <w:rFonts w:ascii="Palatino Linotype" w:eastAsiaTheme="majorEastAsia" w:hAnsi="Palatino Linotype" w:cstheme="majorBidi"/>
              <w:sz w:val="22"/>
              <w:szCs w:val="22"/>
            </w:rPr>
          </w:pPr>
          <w:r w:rsidRPr="00D333B5">
            <w:rPr>
              <w:rFonts w:ascii="Palatino Linotype" w:eastAsiaTheme="majorEastAsia" w:hAnsi="Palatino Linotype" w:cstheme="majorBidi"/>
              <w:sz w:val="22"/>
              <w:szCs w:val="22"/>
              <w:lang w:val="es-ES"/>
            </w:rPr>
            <w:t>RESOLUCIÓN DEL RECURSO DE REVISIÓN 01321/INFOEM/IP/RR/2026</w:t>
          </w:r>
        </w:p>
        <w:p w14:paraId="18498EEC" w14:textId="77777777" w:rsidR="00D333B5" w:rsidRPr="00D333B5" w:rsidRDefault="00D333B5" w:rsidP="00D333B5">
          <w:pPr>
            <w:spacing w:line="360" w:lineRule="auto"/>
            <w:jc w:val="both"/>
            <w:rPr>
              <w:rFonts w:ascii="Palatino Linotype" w:eastAsia="Palatino Linotype" w:hAnsi="Palatino Linotype" w:cs="Palatino Linotype"/>
              <w:color w:val="FF0000"/>
              <w:sz w:val="22"/>
              <w:szCs w:val="22"/>
            </w:rPr>
          </w:pPr>
        </w:p>
        <w:p w14:paraId="10B3E936" w14:textId="2AC4F1EF" w:rsidR="00D333B5" w:rsidRPr="00D333B5" w:rsidRDefault="00D333B5">
          <w:pPr>
            <w:pStyle w:val="TDC1"/>
            <w:tabs>
              <w:tab w:val="right" w:leader="dot" w:pos="9034"/>
            </w:tabs>
            <w:rPr>
              <w:rFonts w:ascii="Palatino Linotype" w:hAnsi="Palatino Linotype"/>
              <w:noProof/>
              <w:sz w:val="22"/>
              <w:szCs w:val="22"/>
            </w:rPr>
          </w:pPr>
          <w:r w:rsidRPr="00D333B5">
            <w:rPr>
              <w:rFonts w:ascii="Palatino Linotype" w:eastAsia="Palatino Linotype" w:hAnsi="Palatino Linotype" w:cs="Palatino Linotype"/>
              <w:color w:val="FF0000"/>
              <w:sz w:val="22"/>
              <w:szCs w:val="22"/>
            </w:rPr>
            <w:fldChar w:fldCharType="begin"/>
          </w:r>
          <w:r w:rsidRPr="00D333B5">
            <w:rPr>
              <w:rFonts w:ascii="Palatino Linotype" w:eastAsia="Palatino Linotype" w:hAnsi="Palatino Linotype" w:cs="Palatino Linotype"/>
              <w:color w:val="FF0000"/>
              <w:sz w:val="22"/>
              <w:szCs w:val="22"/>
            </w:rPr>
            <w:instrText xml:space="preserve"> TOC \o "1-3" \h \z \u </w:instrText>
          </w:r>
          <w:r w:rsidRPr="00D333B5">
            <w:rPr>
              <w:rFonts w:ascii="Palatino Linotype" w:eastAsia="Palatino Linotype" w:hAnsi="Palatino Linotype" w:cs="Palatino Linotype"/>
              <w:color w:val="FF0000"/>
              <w:sz w:val="22"/>
              <w:szCs w:val="22"/>
            </w:rPr>
            <w:fldChar w:fldCharType="separate"/>
          </w:r>
          <w:hyperlink w:anchor="_Toc226634170" w:history="1">
            <w:r w:rsidRPr="00D333B5">
              <w:rPr>
                <w:rStyle w:val="Hipervnculo"/>
                <w:rFonts w:ascii="Palatino Linotype" w:hAnsi="Palatino Linotype"/>
                <w:noProof/>
                <w:sz w:val="22"/>
                <w:szCs w:val="22"/>
              </w:rPr>
              <w:t>A N T E C E D E N T E S</w:t>
            </w:r>
            <w:r w:rsidRPr="00D333B5">
              <w:rPr>
                <w:rFonts w:ascii="Palatino Linotype" w:hAnsi="Palatino Linotype"/>
                <w:noProof/>
                <w:webHidden/>
                <w:sz w:val="22"/>
                <w:szCs w:val="22"/>
              </w:rPr>
              <w:tab/>
            </w:r>
            <w:r w:rsidRPr="00D333B5">
              <w:rPr>
                <w:rFonts w:ascii="Palatino Linotype" w:hAnsi="Palatino Linotype"/>
                <w:noProof/>
                <w:webHidden/>
                <w:sz w:val="22"/>
                <w:szCs w:val="22"/>
              </w:rPr>
              <w:fldChar w:fldCharType="begin"/>
            </w:r>
            <w:r w:rsidRPr="00D333B5">
              <w:rPr>
                <w:rFonts w:ascii="Palatino Linotype" w:hAnsi="Palatino Linotype"/>
                <w:noProof/>
                <w:webHidden/>
                <w:sz w:val="22"/>
                <w:szCs w:val="22"/>
              </w:rPr>
              <w:instrText xml:space="preserve"> PAGEREF _Toc226634170 \h </w:instrText>
            </w:r>
            <w:r w:rsidRPr="00D333B5">
              <w:rPr>
                <w:rFonts w:ascii="Palatino Linotype" w:hAnsi="Palatino Linotype"/>
                <w:noProof/>
                <w:webHidden/>
                <w:sz w:val="22"/>
                <w:szCs w:val="22"/>
              </w:rPr>
            </w:r>
            <w:r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2</w:t>
            </w:r>
            <w:r w:rsidRPr="00D333B5">
              <w:rPr>
                <w:rFonts w:ascii="Palatino Linotype" w:hAnsi="Palatino Linotype"/>
                <w:noProof/>
                <w:webHidden/>
                <w:sz w:val="22"/>
                <w:szCs w:val="22"/>
              </w:rPr>
              <w:fldChar w:fldCharType="end"/>
            </w:r>
          </w:hyperlink>
        </w:p>
        <w:p w14:paraId="6106843F" w14:textId="3C73EF92" w:rsidR="00D333B5" w:rsidRPr="00D333B5" w:rsidRDefault="004F7300">
          <w:pPr>
            <w:pStyle w:val="TDC2"/>
            <w:tabs>
              <w:tab w:val="right" w:leader="dot" w:pos="9034"/>
            </w:tabs>
            <w:rPr>
              <w:rFonts w:ascii="Palatino Linotype" w:hAnsi="Palatino Linotype"/>
              <w:noProof/>
              <w:sz w:val="22"/>
              <w:szCs w:val="22"/>
            </w:rPr>
          </w:pPr>
          <w:hyperlink w:anchor="_Toc226634171" w:history="1">
            <w:r w:rsidR="00D333B5" w:rsidRPr="00D333B5">
              <w:rPr>
                <w:rStyle w:val="Hipervnculo"/>
                <w:rFonts w:ascii="Palatino Linotype" w:hAnsi="Palatino Linotype"/>
                <w:noProof/>
                <w:sz w:val="22"/>
                <w:szCs w:val="22"/>
              </w:rPr>
              <w:t>I. Presentación de la solicitud de información</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_Toc226634171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2</w:t>
            </w:r>
            <w:r w:rsidR="00D333B5" w:rsidRPr="00D333B5">
              <w:rPr>
                <w:rFonts w:ascii="Palatino Linotype" w:hAnsi="Palatino Linotype"/>
                <w:noProof/>
                <w:webHidden/>
                <w:sz w:val="22"/>
                <w:szCs w:val="22"/>
              </w:rPr>
              <w:fldChar w:fldCharType="end"/>
            </w:r>
          </w:hyperlink>
        </w:p>
        <w:p w14:paraId="520C579A" w14:textId="33D03977" w:rsidR="00D333B5" w:rsidRPr="00D333B5" w:rsidRDefault="004F7300">
          <w:pPr>
            <w:pStyle w:val="TDC2"/>
            <w:tabs>
              <w:tab w:val="right" w:leader="dot" w:pos="9034"/>
            </w:tabs>
            <w:rPr>
              <w:rFonts w:ascii="Palatino Linotype" w:hAnsi="Palatino Linotype"/>
              <w:noProof/>
              <w:sz w:val="22"/>
              <w:szCs w:val="22"/>
            </w:rPr>
          </w:pPr>
          <w:hyperlink w:anchor="_Toc226634172" w:history="1">
            <w:r w:rsidR="00D333B5" w:rsidRPr="00D333B5">
              <w:rPr>
                <w:rStyle w:val="Hipervnculo"/>
                <w:rFonts w:ascii="Palatino Linotype" w:hAnsi="Palatino Linotype"/>
                <w:noProof/>
                <w:sz w:val="22"/>
                <w:szCs w:val="22"/>
              </w:rPr>
              <w:t>II. Respuesta del Sujeto Obligado</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_Toc226634172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3</w:t>
            </w:r>
            <w:r w:rsidR="00D333B5" w:rsidRPr="00D333B5">
              <w:rPr>
                <w:rFonts w:ascii="Palatino Linotype" w:hAnsi="Palatino Linotype"/>
                <w:noProof/>
                <w:webHidden/>
                <w:sz w:val="22"/>
                <w:szCs w:val="22"/>
              </w:rPr>
              <w:fldChar w:fldCharType="end"/>
            </w:r>
          </w:hyperlink>
        </w:p>
        <w:p w14:paraId="3E898C4E" w14:textId="74F41789" w:rsidR="00D333B5" w:rsidRPr="00D333B5" w:rsidRDefault="004F7300">
          <w:pPr>
            <w:pStyle w:val="TDC2"/>
            <w:tabs>
              <w:tab w:val="right" w:leader="dot" w:pos="9034"/>
            </w:tabs>
            <w:rPr>
              <w:rFonts w:ascii="Palatino Linotype" w:hAnsi="Palatino Linotype"/>
              <w:noProof/>
              <w:sz w:val="22"/>
              <w:szCs w:val="22"/>
            </w:rPr>
          </w:pPr>
          <w:hyperlink w:anchor="_Toc226634173" w:history="1">
            <w:r w:rsidR="00D333B5" w:rsidRPr="00D333B5">
              <w:rPr>
                <w:rStyle w:val="Hipervnculo"/>
                <w:rFonts w:ascii="Palatino Linotype" w:hAnsi="Palatino Linotype"/>
                <w:noProof/>
                <w:sz w:val="22"/>
                <w:szCs w:val="22"/>
              </w:rPr>
              <w:t>III. Interposición del Recurso de Revisión</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_Toc226634173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3</w:t>
            </w:r>
            <w:r w:rsidR="00D333B5" w:rsidRPr="00D333B5">
              <w:rPr>
                <w:rFonts w:ascii="Palatino Linotype" w:hAnsi="Palatino Linotype"/>
                <w:noProof/>
                <w:webHidden/>
                <w:sz w:val="22"/>
                <w:szCs w:val="22"/>
              </w:rPr>
              <w:fldChar w:fldCharType="end"/>
            </w:r>
          </w:hyperlink>
        </w:p>
        <w:p w14:paraId="3DD8729D" w14:textId="7E792CC0" w:rsidR="00D333B5" w:rsidRPr="00D333B5" w:rsidRDefault="004F7300">
          <w:pPr>
            <w:pStyle w:val="TDC2"/>
            <w:tabs>
              <w:tab w:val="right" w:leader="dot" w:pos="9034"/>
            </w:tabs>
            <w:rPr>
              <w:rFonts w:ascii="Palatino Linotype" w:hAnsi="Palatino Linotype"/>
              <w:noProof/>
              <w:sz w:val="22"/>
              <w:szCs w:val="22"/>
            </w:rPr>
          </w:pPr>
          <w:hyperlink w:anchor="_Toc226634174" w:history="1">
            <w:r w:rsidR="00D333B5" w:rsidRPr="00D333B5">
              <w:rPr>
                <w:rStyle w:val="Hipervnculo"/>
                <w:rFonts w:ascii="Palatino Linotype" w:hAnsi="Palatino Linotype"/>
                <w:noProof/>
                <w:sz w:val="22"/>
                <w:szCs w:val="22"/>
              </w:rPr>
              <w:t>IV. Trámite del Recurso de Revisión ante el Instituto</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_Toc226634174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4</w:t>
            </w:r>
            <w:r w:rsidR="00D333B5" w:rsidRPr="00D333B5">
              <w:rPr>
                <w:rFonts w:ascii="Palatino Linotype" w:hAnsi="Palatino Linotype"/>
                <w:noProof/>
                <w:webHidden/>
                <w:sz w:val="22"/>
                <w:szCs w:val="22"/>
              </w:rPr>
              <w:fldChar w:fldCharType="end"/>
            </w:r>
          </w:hyperlink>
        </w:p>
        <w:p w14:paraId="33B1C88D" w14:textId="1E02BFC9" w:rsidR="00D333B5" w:rsidRPr="00D333B5" w:rsidRDefault="004F7300">
          <w:pPr>
            <w:pStyle w:val="TDC1"/>
            <w:tabs>
              <w:tab w:val="right" w:leader="dot" w:pos="9034"/>
            </w:tabs>
            <w:rPr>
              <w:rFonts w:ascii="Palatino Linotype" w:hAnsi="Palatino Linotype"/>
              <w:noProof/>
              <w:sz w:val="22"/>
              <w:szCs w:val="22"/>
            </w:rPr>
          </w:pPr>
          <w:hyperlink w:anchor="_Toc226634175" w:history="1">
            <w:r w:rsidR="00D333B5" w:rsidRPr="00D333B5">
              <w:rPr>
                <w:rStyle w:val="Hipervnculo"/>
                <w:rFonts w:ascii="Palatino Linotype" w:hAnsi="Palatino Linotype"/>
                <w:noProof/>
                <w:sz w:val="22"/>
                <w:szCs w:val="22"/>
              </w:rPr>
              <w:t>C O N S I D E R A N D O S</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_Toc226634175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7</w:t>
            </w:r>
            <w:r w:rsidR="00D333B5" w:rsidRPr="00D333B5">
              <w:rPr>
                <w:rFonts w:ascii="Palatino Linotype" w:hAnsi="Palatino Linotype"/>
                <w:noProof/>
                <w:webHidden/>
                <w:sz w:val="22"/>
                <w:szCs w:val="22"/>
              </w:rPr>
              <w:fldChar w:fldCharType="end"/>
            </w:r>
          </w:hyperlink>
        </w:p>
        <w:p w14:paraId="4667A90E" w14:textId="6FCA4BE7" w:rsidR="00D333B5" w:rsidRPr="00D333B5" w:rsidRDefault="004F7300">
          <w:pPr>
            <w:pStyle w:val="TDC2"/>
            <w:tabs>
              <w:tab w:val="right" w:leader="dot" w:pos="9034"/>
            </w:tabs>
            <w:rPr>
              <w:rFonts w:ascii="Palatino Linotype" w:hAnsi="Palatino Linotype"/>
              <w:noProof/>
              <w:sz w:val="22"/>
              <w:szCs w:val="22"/>
            </w:rPr>
          </w:pPr>
          <w:hyperlink w:anchor="_Toc226634176" w:history="1">
            <w:r w:rsidR="00D333B5" w:rsidRPr="00D333B5">
              <w:rPr>
                <w:rStyle w:val="Hipervnculo"/>
                <w:rFonts w:ascii="Palatino Linotype" w:hAnsi="Palatino Linotype"/>
                <w:noProof/>
                <w:sz w:val="22"/>
                <w:szCs w:val="22"/>
              </w:rPr>
              <w:t>PRIMERO. Competencia</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_Toc226634176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7</w:t>
            </w:r>
            <w:r w:rsidR="00D333B5" w:rsidRPr="00D333B5">
              <w:rPr>
                <w:rFonts w:ascii="Palatino Linotype" w:hAnsi="Palatino Linotype"/>
                <w:noProof/>
                <w:webHidden/>
                <w:sz w:val="22"/>
                <w:szCs w:val="22"/>
              </w:rPr>
              <w:fldChar w:fldCharType="end"/>
            </w:r>
          </w:hyperlink>
        </w:p>
        <w:p w14:paraId="11CD6424" w14:textId="68FC5A7C" w:rsidR="00D333B5" w:rsidRPr="00D333B5" w:rsidRDefault="004F7300">
          <w:pPr>
            <w:pStyle w:val="TDC2"/>
            <w:tabs>
              <w:tab w:val="right" w:leader="dot" w:pos="9034"/>
            </w:tabs>
            <w:rPr>
              <w:rFonts w:ascii="Palatino Linotype" w:hAnsi="Palatino Linotype"/>
              <w:noProof/>
              <w:sz w:val="22"/>
              <w:szCs w:val="22"/>
            </w:rPr>
          </w:pPr>
          <w:hyperlink w:anchor="_Toc226634177" w:history="1">
            <w:r w:rsidR="00D333B5" w:rsidRPr="00D333B5">
              <w:rPr>
                <w:rStyle w:val="Hipervnculo"/>
                <w:rFonts w:ascii="Palatino Linotype" w:hAnsi="Palatino Linotype"/>
                <w:noProof/>
                <w:sz w:val="22"/>
                <w:szCs w:val="22"/>
              </w:rPr>
              <w:t>SEGUNDO. Causales de improcedencia y Sobreseimiento</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_Toc226634177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7</w:t>
            </w:r>
            <w:r w:rsidR="00D333B5" w:rsidRPr="00D333B5">
              <w:rPr>
                <w:rFonts w:ascii="Palatino Linotype" w:hAnsi="Palatino Linotype"/>
                <w:noProof/>
                <w:webHidden/>
                <w:sz w:val="22"/>
                <w:szCs w:val="22"/>
              </w:rPr>
              <w:fldChar w:fldCharType="end"/>
            </w:r>
          </w:hyperlink>
        </w:p>
        <w:p w14:paraId="0F877BB1" w14:textId="4B99CC1E" w:rsidR="00D333B5" w:rsidRPr="00D333B5" w:rsidRDefault="004F7300">
          <w:pPr>
            <w:pStyle w:val="TDC2"/>
            <w:tabs>
              <w:tab w:val="right" w:leader="dot" w:pos="9034"/>
            </w:tabs>
            <w:rPr>
              <w:rFonts w:ascii="Palatino Linotype" w:hAnsi="Palatino Linotype"/>
              <w:noProof/>
              <w:sz w:val="22"/>
              <w:szCs w:val="22"/>
            </w:rPr>
          </w:pPr>
          <w:hyperlink w:anchor="_Toc226634178" w:history="1">
            <w:r w:rsidR="00D333B5" w:rsidRPr="00D333B5">
              <w:rPr>
                <w:rStyle w:val="Hipervnculo"/>
                <w:rFonts w:ascii="Palatino Linotype" w:hAnsi="Palatino Linotype"/>
                <w:noProof/>
                <w:sz w:val="22"/>
                <w:szCs w:val="22"/>
              </w:rPr>
              <w:t>TERCERO. Determinación de la Controversia</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_Toc226634178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9</w:t>
            </w:r>
            <w:r w:rsidR="00D333B5" w:rsidRPr="00D333B5">
              <w:rPr>
                <w:rFonts w:ascii="Palatino Linotype" w:hAnsi="Palatino Linotype"/>
                <w:noProof/>
                <w:webHidden/>
                <w:sz w:val="22"/>
                <w:szCs w:val="22"/>
              </w:rPr>
              <w:fldChar w:fldCharType="end"/>
            </w:r>
          </w:hyperlink>
        </w:p>
        <w:p w14:paraId="5BA0FB22" w14:textId="3557773B" w:rsidR="00D333B5" w:rsidRPr="00D333B5" w:rsidRDefault="004F7300">
          <w:pPr>
            <w:pStyle w:val="TDC2"/>
            <w:tabs>
              <w:tab w:val="right" w:leader="dot" w:pos="9034"/>
            </w:tabs>
            <w:rPr>
              <w:rFonts w:ascii="Palatino Linotype" w:hAnsi="Palatino Linotype"/>
              <w:noProof/>
              <w:sz w:val="22"/>
              <w:szCs w:val="22"/>
            </w:rPr>
          </w:pPr>
          <w:hyperlink w:anchor="_Toc226634179" w:history="1">
            <w:r w:rsidR="00D333B5" w:rsidRPr="00D333B5">
              <w:rPr>
                <w:rStyle w:val="Hipervnculo"/>
                <w:rFonts w:ascii="Palatino Linotype" w:hAnsi="Palatino Linotype"/>
                <w:noProof/>
                <w:sz w:val="22"/>
                <w:szCs w:val="22"/>
              </w:rPr>
              <w:t>CUARTO. Marco normativo aplicable en materia de transparencia y acceso a la información pública</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_Toc226634179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10</w:t>
            </w:r>
            <w:r w:rsidR="00D333B5" w:rsidRPr="00D333B5">
              <w:rPr>
                <w:rFonts w:ascii="Palatino Linotype" w:hAnsi="Palatino Linotype"/>
                <w:noProof/>
                <w:webHidden/>
                <w:sz w:val="22"/>
                <w:szCs w:val="22"/>
              </w:rPr>
              <w:fldChar w:fldCharType="end"/>
            </w:r>
          </w:hyperlink>
        </w:p>
        <w:p w14:paraId="49CF2C48" w14:textId="0E4AAD8E" w:rsidR="00D333B5" w:rsidRPr="00D333B5" w:rsidRDefault="004F7300">
          <w:pPr>
            <w:pStyle w:val="TDC2"/>
            <w:tabs>
              <w:tab w:val="right" w:leader="dot" w:pos="9034"/>
            </w:tabs>
            <w:rPr>
              <w:rFonts w:ascii="Palatino Linotype" w:hAnsi="Palatino Linotype"/>
              <w:noProof/>
              <w:sz w:val="22"/>
              <w:szCs w:val="22"/>
            </w:rPr>
          </w:pPr>
          <w:hyperlink w:anchor="_Toc226634180" w:history="1">
            <w:r w:rsidR="00D333B5" w:rsidRPr="00D333B5">
              <w:rPr>
                <w:rStyle w:val="Hipervnculo"/>
                <w:rFonts w:ascii="Palatino Linotype" w:hAnsi="Palatino Linotype"/>
                <w:noProof/>
                <w:sz w:val="22"/>
                <w:szCs w:val="22"/>
              </w:rPr>
              <w:t>QUINTO. Estudio de Fondo</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_Toc226634180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11</w:t>
            </w:r>
            <w:r w:rsidR="00D333B5" w:rsidRPr="00D333B5">
              <w:rPr>
                <w:rFonts w:ascii="Palatino Linotype" w:hAnsi="Palatino Linotype"/>
                <w:noProof/>
                <w:webHidden/>
                <w:sz w:val="22"/>
                <w:szCs w:val="22"/>
              </w:rPr>
              <w:fldChar w:fldCharType="end"/>
            </w:r>
          </w:hyperlink>
        </w:p>
        <w:p w14:paraId="2BE29355" w14:textId="1DDA36FE" w:rsidR="00D333B5" w:rsidRPr="00D333B5" w:rsidRDefault="004F7300">
          <w:pPr>
            <w:pStyle w:val="TDC2"/>
            <w:tabs>
              <w:tab w:val="right" w:leader="dot" w:pos="9034"/>
            </w:tabs>
            <w:rPr>
              <w:rFonts w:ascii="Palatino Linotype" w:hAnsi="Palatino Linotype"/>
              <w:noProof/>
              <w:sz w:val="22"/>
              <w:szCs w:val="22"/>
            </w:rPr>
          </w:pPr>
          <w:hyperlink w:anchor="_Toc226634181" w:history="1">
            <w:r w:rsidR="00D333B5" w:rsidRPr="00D333B5">
              <w:rPr>
                <w:rStyle w:val="Hipervnculo"/>
                <w:rFonts w:ascii="Palatino Linotype" w:hAnsi="Palatino Linotype"/>
                <w:noProof/>
                <w:sz w:val="22"/>
                <w:szCs w:val="22"/>
              </w:rPr>
              <w:t>SEXTO. Decisión</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_Toc226634181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26</w:t>
            </w:r>
            <w:r w:rsidR="00D333B5" w:rsidRPr="00D333B5">
              <w:rPr>
                <w:rFonts w:ascii="Palatino Linotype" w:hAnsi="Palatino Linotype"/>
                <w:noProof/>
                <w:webHidden/>
                <w:sz w:val="22"/>
                <w:szCs w:val="22"/>
              </w:rPr>
              <w:fldChar w:fldCharType="end"/>
            </w:r>
          </w:hyperlink>
        </w:p>
        <w:p w14:paraId="2E3B012B" w14:textId="7A9EE751" w:rsidR="00D333B5" w:rsidRPr="00D333B5" w:rsidRDefault="004F7300">
          <w:pPr>
            <w:pStyle w:val="TDC2"/>
            <w:tabs>
              <w:tab w:val="right" w:leader="dot" w:pos="9034"/>
            </w:tabs>
            <w:rPr>
              <w:rFonts w:ascii="Palatino Linotype" w:hAnsi="Palatino Linotype"/>
              <w:noProof/>
              <w:sz w:val="22"/>
              <w:szCs w:val="22"/>
            </w:rPr>
          </w:pPr>
          <w:hyperlink w:anchor="_Toc226634182" w:history="1">
            <w:r w:rsidR="00D333B5" w:rsidRPr="00D333B5">
              <w:rPr>
                <w:rStyle w:val="Hipervnculo"/>
                <w:rFonts w:ascii="Palatino Linotype" w:hAnsi="Palatino Linotype"/>
                <w:noProof/>
                <w:sz w:val="22"/>
                <w:szCs w:val="22"/>
              </w:rPr>
              <w:t>SÉPTIMO. Vista a la Secretaría Técnica del Pleno</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_Toc226634182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26</w:t>
            </w:r>
            <w:r w:rsidR="00D333B5" w:rsidRPr="00D333B5">
              <w:rPr>
                <w:rFonts w:ascii="Palatino Linotype" w:hAnsi="Palatino Linotype"/>
                <w:noProof/>
                <w:webHidden/>
                <w:sz w:val="22"/>
                <w:szCs w:val="22"/>
              </w:rPr>
              <w:fldChar w:fldCharType="end"/>
            </w:r>
          </w:hyperlink>
        </w:p>
        <w:p w14:paraId="28A88791" w14:textId="2ED97EAF" w:rsidR="00D333B5" w:rsidRPr="00D333B5" w:rsidRDefault="004F7300">
          <w:pPr>
            <w:pStyle w:val="TDC1"/>
            <w:tabs>
              <w:tab w:val="right" w:leader="dot" w:pos="9034"/>
            </w:tabs>
            <w:rPr>
              <w:rFonts w:ascii="Palatino Linotype" w:hAnsi="Palatino Linotype"/>
              <w:noProof/>
              <w:sz w:val="22"/>
              <w:szCs w:val="22"/>
            </w:rPr>
          </w:pPr>
          <w:hyperlink w:anchor="_Toc226634183" w:history="1">
            <w:r w:rsidR="00D333B5" w:rsidRPr="00D333B5">
              <w:rPr>
                <w:rStyle w:val="Hipervnculo"/>
                <w:rFonts w:ascii="Palatino Linotype" w:hAnsi="Palatino Linotype"/>
                <w:noProof/>
                <w:sz w:val="22"/>
                <w:szCs w:val="22"/>
              </w:rPr>
              <w:t>R E S U E L V E</w:t>
            </w:r>
            <w:r w:rsidR="00D333B5" w:rsidRPr="00D333B5">
              <w:rPr>
                <w:rFonts w:ascii="Palatino Linotype" w:hAnsi="Palatino Linotype"/>
                <w:noProof/>
                <w:webHidden/>
                <w:sz w:val="22"/>
                <w:szCs w:val="22"/>
              </w:rPr>
              <w:tab/>
            </w:r>
            <w:r w:rsidR="00D333B5" w:rsidRPr="00D333B5">
              <w:rPr>
                <w:rFonts w:ascii="Palatino Linotype" w:hAnsi="Palatino Linotype"/>
                <w:noProof/>
                <w:webHidden/>
                <w:sz w:val="22"/>
                <w:szCs w:val="22"/>
              </w:rPr>
              <w:fldChar w:fldCharType="begin"/>
            </w:r>
            <w:r w:rsidR="00D333B5" w:rsidRPr="00D333B5">
              <w:rPr>
                <w:rFonts w:ascii="Palatino Linotype" w:hAnsi="Palatino Linotype"/>
                <w:noProof/>
                <w:webHidden/>
                <w:sz w:val="22"/>
                <w:szCs w:val="22"/>
              </w:rPr>
              <w:instrText xml:space="preserve"> PAGEREF _Toc226634183 \h </w:instrText>
            </w:r>
            <w:r w:rsidR="00D333B5" w:rsidRPr="00D333B5">
              <w:rPr>
                <w:rFonts w:ascii="Palatino Linotype" w:hAnsi="Palatino Linotype"/>
                <w:noProof/>
                <w:webHidden/>
                <w:sz w:val="22"/>
                <w:szCs w:val="22"/>
              </w:rPr>
            </w:r>
            <w:r w:rsidR="00D333B5" w:rsidRPr="00D333B5">
              <w:rPr>
                <w:rFonts w:ascii="Palatino Linotype" w:hAnsi="Palatino Linotype"/>
                <w:noProof/>
                <w:webHidden/>
                <w:sz w:val="22"/>
                <w:szCs w:val="22"/>
              </w:rPr>
              <w:fldChar w:fldCharType="separate"/>
            </w:r>
            <w:r w:rsidR="006746E8">
              <w:rPr>
                <w:rFonts w:ascii="Palatino Linotype" w:hAnsi="Palatino Linotype"/>
                <w:noProof/>
                <w:webHidden/>
                <w:sz w:val="22"/>
                <w:szCs w:val="22"/>
              </w:rPr>
              <w:t>28</w:t>
            </w:r>
            <w:r w:rsidR="00D333B5" w:rsidRPr="00D333B5">
              <w:rPr>
                <w:rFonts w:ascii="Palatino Linotype" w:hAnsi="Palatino Linotype"/>
                <w:noProof/>
                <w:webHidden/>
                <w:sz w:val="22"/>
                <w:szCs w:val="22"/>
              </w:rPr>
              <w:fldChar w:fldCharType="end"/>
            </w:r>
          </w:hyperlink>
        </w:p>
        <w:p w14:paraId="350BBAD4" w14:textId="6465A150" w:rsidR="00D333B5" w:rsidRPr="00D333B5" w:rsidRDefault="00D333B5" w:rsidP="00D333B5">
          <w:pPr>
            <w:spacing w:line="360" w:lineRule="auto"/>
            <w:jc w:val="both"/>
            <w:rPr>
              <w:rFonts w:ascii="Palatino Linotype" w:eastAsia="Palatino Linotype" w:hAnsi="Palatino Linotype" w:cs="Palatino Linotype"/>
              <w:b/>
              <w:bCs/>
              <w:color w:val="FF0000"/>
              <w:sz w:val="22"/>
              <w:szCs w:val="22"/>
              <w:lang w:val="es-ES"/>
            </w:rPr>
          </w:pPr>
          <w:r w:rsidRPr="00D333B5">
            <w:rPr>
              <w:rFonts w:ascii="Palatino Linotype" w:eastAsia="Palatino Linotype" w:hAnsi="Palatino Linotype" w:cs="Palatino Linotype"/>
              <w:b/>
              <w:bCs/>
              <w:color w:val="FF0000"/>
              <w:sz w:val="22"/>
              <w:szCs w:val="22"/>
              <w:lang w:val="es-ES"/>
            </w:rPr>
            <w:fldChar w:fldCharType="end"/>
          </w:r>
        </w:p>
      </w:sdtContent>
    </w:sdt>
    <w:p w14:paraId="72346399" w14:textId="77777777" w:rsidR="00C10D27" w:rsidRDefault="004F7300">
      <w:pPr>
        <w:spacing w:line="360" w:lineRule="auto"/>
        <w:jc w:val="both"/>
        <w:rPr>
          <w:rFonts w:ascii="Palatino Linotype" w:eastAsia="Palatino Linotype" w:hAnsi="Palatino Linotype" w:cs="Palatino Linotype"/>
          <w:color w:val="FF0000"/>
          <w:sz w:val="22"/>
          <w:szCs w:val="22"/>
        </w:rPr>
      </w:pPr>
      <w:r>
        <w:br w:type="column"/>
      </w:r>
    </w:p>
    <w:p w14:paraId="5EDDDECA" w14:textId="7C8E53D3"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w:t>
      </w:r>
      <w:r>
        <w:rPr>
          <w:rFonts w:ascii="Palatino Linotype" w:eastAsia="Palatino Linotype" w:hAnsi="Palatino Linotype" w:cs="Palatino Linotype"/>
          <w:sz w:val="22"/>
          <w:szCs w:val="22"/>
        </w:rPr>
        <w:t>Pública y Protección de Datos Personales del Estado de México y Municipios, con domicilio en Metepec, Estado de México, de fecha ocho de abril de dos mil veinti</w:t>
      </w:r>
      <w:r w:rsidR="00E875D8">
        <w:rPr>
          <w:rFonts w:ascii="Palatino Linotype" w:eastAsia="Palatino Linotype" w:hAnsi="Palatino Linotype" w:cs="Palatino Linotype"/>
          <w:sz w:val="22"/>
          <w:szCs w:val="22"/>
        </w:rPr>
        <w:t>séis.</w:t>
      </w:r>
      <w:r>
        <w:rPr>
          <w:rFonts w:ascii="Palatino Linotype" w:eastAsia="Palatino Linotype" w:hAnsi="Palatino Linotype" w:cs="Palatino Linotype"/>
          <w:sz w:val="22"/>
          <w:szCs w:val="22"/>
        </w:rPr>
        <w:t xml:space="preserve"> </w:t>
      </w:r>
    </w:p>
    <w:p w14:paraId="00B8CF1E" w14:textId="77777777" w:rsidR="00C10D27" w:rsidRDefault="00C10D27">
      <w:pPr>
        <w:spacing w:line="360" w:lineRule="auto"/>
        <w:ind w:left="708" w:hanging="708"/>
        <w:jc w:val="both"/>
        <w:rPr>
          <w:rFonts w:ascii="Palatino Linotype" w:eastAsia="Palatino Linotype" w:hAnsi="Palatino Linotype" w:cs="Palatino Linotype"/>
          <w:color w:val="FF0000"/>
          <w:sz w:val="22"/>
          <w:szCs w:val="22"/>
        </w:rPr>
      </w:pPr>
    </w:p>
    <w:p w14:paraId="4CEE5C4F"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0D3DA5">
        <w:rPr>
          <w:rFonts w:ascii="Palatino Linotype" w:eastAsia="Palatino Linotype" w:hAnsi="Palatino Linotype" w:cs="Palatino Linotype"/>
          <w:b/>
          <w:sz w:val="22"/>
          <w:szCs w:val="22"/>
        </w:rPr>
        <w:t>01321/INFOEM/IP/RR/2026</w:t>
      </w:r>
      <w:r>
        <w:rPr>
          <w:rFonts w:ascii="Palatino Linotype" w:eastAsia="Palatino Linotype" w:hAnsi="Palatino Linotype" w:cs="Palatino Linotype"/>
          <w:sz w:val="22"/>
          <w:szCs w:val="22"/>
        </w:rPr>
        <w:t xml:space="preserve">, interpuesto por la persona Recurrente o Particular, en contra de la falta de respuesta del Sujeto Obligado, </w:t>
      </w:r>
      <w:r w:rsidRPr="000D3DA5">
        <w:rPr>
          <w:rFonts w:ascii="Palatino Linotype" w:eastAsia="Palatino Linotype" w:hAnsi="Palatino Linotype" w:cs="Palatino Linotype"/>
          <w:b/>
          <w:sz w:val="22"/>
          <w:szCs w:val="22"/>
        </w:rPr>
        <w:t>Ayuntamiento de Toluc</w:t>
      </w:r>
      <w:r>
        <w:rPr>
          <w:rFonts w:ascii="Palatino Linotype" w:eastAsia="Palatino Linotype" w:hAnsi="Palatino Linotype" w:cs="Palatino Linotype"/>
          <w:sz w:val="22"/>
          <w:szCs w:val="22"/>
        </w:rPr>
        <w:t>a, a la solicitud de acceso a la información pública 00511/TOLUCA/IP/2026, se emite la presente Resolu</w:t>
      </w:r>
      <w:r>
        <w:rPr>
          <w:rFonts w:ascii="Palatino Linotype" w:eastAsia="Palatino Linotype" w:hAnsi="Palatino Linotype" w:cs="Palatino Linotype"/>
          <w:sz w:val="22"/>
          <w:szCs w:val="22"/>
        </w:rPr>
        <w:t>ción, con base en los Antecedentes y Considerandos que a continuación se exponen:</w:t>
      </w:r>
    </w:p>
    <w:p w14:paraId="6F581532" w14:textId="77777777" w:rsidR="00C10D27" w:rsidRDefault="00C10D27">
      <w:pPr>
        <w:pStyle w:val="Subttulo"/>
        <w:spacing w:after="0" w:line="360" w:lineRule="auto"/>
        <w:rPr>
          <w:color w:val="000000"/>
        </w:rPr>
      </w:pPr>
      <w:bookmarkStart w:id="0" w:name="_GoBack"/>
      <w:bookmarkEnd w:id="0"/>
    </w:p>
    <w:p w14:paraId="213203F2" w14:textId="77777777" w:rsidR="00C10D27" w:rsidRDefault="004F7300">
      <w:pPr>
        <w:pStyle w:val="Ttulo1"/>
      </w:pPr>
      <w:bookmarkStart w:id="1" w:name="_Toc226634170"/>
      <w:r>
        <w:t>A N T E C E D E N T E S</w:t>
      </w:r>
      <w:bookmarkEnd w:id="1"/>
    </w:p>
    <w:p w14:paraId="16CE1A3B" w14:textId="77777777" w:rsidR="00C10D27" w:rsidRDefault="00C10D27">
      <w:pPr>
        <w:pBdr>
          <w:top w:val="nil"/>
          <w:left w:val="nil"/>
          <w:bottom w:val="nil"/>
          <w:right w:val="nil"/>
          <w:between w:val="nil"/>
        </w:pBdr>
        <w:spacing w:line="360" w:lineRule="auto"/>
        <w:rPr>
          <w:rFonts w:ascii="Palatino Linotype" w:eastAsia="Palatino Linotype" w:hAnsi="Palatino Linotype" w:cs="Palatino Linotype"/>
          <w:b/>
          <w:bCs/>
          <w:color w:val="FF0000"/>
          <w:sz w:val="22"/>
          <w:szCs w:val="22"/>
        </w:rPr>
      </w:pPr>
    </w:p>
    <w:p w14:paraId="7BD10F90" w14:textId="77777777" w:rsidR="00C10D27" w:rsidRDefault="004F7300">
      <w:pPr>
        <w:pStyle w:val="Ttulo2"/>
      </w:pPr>
      <w:bookmarkStart w:id="2" w:name="_Toc226634171"/>
      <w:r>
        <w:t>I. Presentación de la solicitud de información</w:t>
      </w:r>
      <w:bookmarkEnd w:id="2"/>
    </w:p>
    <w:p w14:paraId="1E4F081E" w14:textId="77777777" w:rsidR="00C10D27" w:rsidRDefault="00C10D27">
      <w:pPr>
        <w:tabs>
          <w:tab w:val="left" w:pos="567"/>
        </w:tabs>
        <w:spacing w:line="360" w:lineRule="auto"/>
        <w:jc w:val="both"/>
        <w:rPr>
          <w:rFonts w:ascii="Palatino Linotype" w:eastAsia="Palatino Linotype" w:hAnsi="Palatino Linotype" w:cs="Palatino Linotype"/>
          <w:color w:val="FF0000"/>
          <w:sz w:val="22"/>
          <w:szCs w:val="22"/>
        </w:rPr>
      </w:pPr>
    </w:p>
    <w:p w14:paraId="58F723AA"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doce de enero de dos mil veintiséis, el Particular presentó una solicitud de acceso a la </w:t>
      </w:r>
      <w:r>
        <w:rPr>
          <w:rFonts w:ascii="Palatino Linotype" w:eastAsia="Palatino Linotype" w:hAnsi="Palatino Linotype" w:cs="Palatino Linotype"/>
          <w:sz w:val="22"/>
          <w:szCs w:val="22"/>
        </w:rPr>
        <w:t>información pública (ya que, si bien se registró el seis del mismos mes y año, este fue inhábil, por lo que se tuvo por presentado el día hábil siguiente), a través del Sistema de Acceso a la Información Mexiquense (SAIMEX), ante el Ayuntamiento de Toluca,</w:t>
      </w:r>
      <w:r>
        <w:rPr>
          <w:rFonts w:ascii="Palatino Linotype" w:eastAsia="Palatino Linotype" w:hAnsi="Palatino Linotype" w:cs="Palatino Linotype"/>
          <w:sz w:val="22"/>
          <w:szCs w:val="22"/>
        </w:rPr>
        <w:t xml:space="preserve"> en los siguientes términos:</w:t>
      </w:r>
    </w:p>
    <w:p w14:paraId="1C201683"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160C6CB2" w14:textId="77777777" w:rsidR="00C10D27" w:rsidRDefault="004F7300">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75B2989D"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se solicitan todos los oficios que se recibieron y lo que se emitieron en el mes de abril 2025 en la NOVENA REGIDURÍA” (Sic.)</w:t>
      </w:r>
    </w:p>
    <w:p w14:paraId="5F95C8D4" w14:textId="77777777" w:rsidR="00C10D27" w:rsidRDefault="00C10D27">
      <w:pPr>
        <w:tabs>
          <w:tab w:val="left" w:pos="2712"/>
        </w:tabs>
        <w:spacing w:line="360" w:lineRule="auto"/>
        <w:ind w:right="567"/>
        <w:jc w:val="both"/>
        <w:rPr>
          <w:rFonts w:ascii="Palatino Linotype" w:eastAsia="Palatino Linotype" w:hAnsi="Palatino Linotype" w:cs="Palatino Linotype"/>
          <w:i/>
          <w:iCs/>
        </w:rPr>
      </w:pPr>
    </w:p>
    <w:p w14:paraId="1046485B" w14:textId="77777777" w:rsidR="00C10D27" w:rsidRDefault="004F7300">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73528EA4"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A través del SAIMEX</w:t>
      </w:r>
      <w:r>
        <w:rPr>
          <w:rFonts w:ascii="Palatino Linotype" w:eastAsia="Palatino Linotype" w:hAnsi="Palatino Linotype" w:cs="Palatino Linotype"/>
          <w:i/>
          <w:iCs/>
        </w:rPr>
        <w:t xml:space="preserve">” </w:t>
      </w:r>
    </w:p>
    <w:p w14:paraId="413723A3" w14:textId="77777777" w:rsidR="00C10D27" w:rsidRDefault="00C10D27">
      <w:pPr>
        <w:spacing w:line="360" w:lineRule="auto"/>
        <w:ind w:left="567" w:right="567"/>
        <w:jc w:val="both"/>
        <w:rPr>
          <w:rFonts w:ascii="Palatino Linotype" w:eastAsia="Palatino Linotype" w:hAnsi="Palatino Linotype" w:cs="Palatino Linotype"/>
          <w:color w:val="FF0000"/>
          <w:sz w:val="22"/>
          <w:szCs w:val="22"/>
        </w:rPr>
      </w:pPr>
    </w:p>
    <w:p w14:paraId="7B5EFA01" w14:textId="77777777" w:rsidR="00C10D27" w:rsidRDefault="004F7300">
      <w:pPr>
        <w:pStyle w:val="Ttulo2"/>
      </w:pPr>
      <w:bookmarkStart w:id="3" w:name="_Toc226634172"/>
      <w:r>
        <w:t>II. Respuesta del Sujeto Obligado</w:t>
      </w:r>
      <w:bookmarkEnd w:id="3"/>
    </w:p>
    <w:p w14:paraId="05A9F7BF"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649205C5" w14:textId="31AF0B18"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w:t>
      </w:r>
      <w:r w:rsidR="008F4036">
        <w:rPr>
          <w:rFonts w:ascii="Palatino Linotype" w:eastAsia="Palatino Linotype" w:hAnsi="Palatino Linotype" w:cs="Palatino Linotype"/>
          <w:sz w:val="22"/>
          <w:szCs w:val="22"/>
        </w:rPr>
        <w:t>63</w:t>
      </w:r>
      <w:r>
        <w:rPr>
          <w:rFonts w:ascii="Palatino Linotype" w:eastAsia="Palatino Linotype" w:hAnsi="Palatino Linotype" w:cs="Palatino Linotype"/>
          <w:sz w:val="22"/>
          <w:szCs w:val="22"/>
        </w:rPr>
        <w:t xml:space="preserve">, párrafo primero de la Ley de Transparencia y Acceso a la Información Pública del Estado de México y Municipios, el Sujeto Obligado debió dar contestación a la solicitud de acceso a </w:t>
      </w:r>
      <w:r>
        <w:rPr>
          <w:rFonts w:ascii="Palatino Linotype" w:eastAsia="Palatino Linotype" w:hAnsi="Palatino Linotype" w:cs="Palatino Linotype"/>
          <w:sz w:val="22"/>
          <w:szCs w:val="22"/>
        </w:rPr>
        <w:t>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Ayuntamiento de Toluca</w:t>
      </w:r>
      <w:r>
        <w:rPr>
          <w:rFonts w:ascii="Palatino Linotype" w:eastAsia="Palatino Linotype" w:hAnsi="Palatino Linotype" w:cs="Palatino Linotype"/>
          <w:sz w:val="22"/>
          <w:szCs w:val="22"/>
        </w:rPr>
        <w:t xml:space="preserve">, omitió dar respuesta a la solicitud de información, por lo que se </w:t>
      </w:r>
      <w:r>
        <w:rPr>
          <w:rFonts w:ascii="Palatino Linotype" w:eastAsia="Palatino Linotype" w:hAnsi="Palatino Linotype" w:cs="Palatino Linotype"/>
          <w:b/>
          <w:bCs/>
          <w:sz w:val="22"/>
          <w:szCs w:val="22"/>
        </w:rPr>
        <w:t>configura la negativa ficta</w:t>
      </w:r>
      <w:r>
        <w:rPr>
          <w:rFonts w:ascii="Palatino Linotype" w:eastAsia="Palatino Linotype" w:hAnsi="Palatino Linotype" w:cs="Palatino Linotype"/>
          <w:sz w:val="22"/>
          <w:szCs w:val="22"/>
        </w:rPr>
        <w:t xml:space="preserve"> a entregar información, prevista, en los artículos 166, párrafo cuarto y 178, párrafo segundo de la Ley de Transparencia y Acceso a la Información Pública del Estado de México y Municipios.</w:t>
      </w:r>
    </w:p>
    <w:p w14:paraId="50F436EC" w14:textId="77777777" w:rsidR="00C10D27" w:rsidRDefault="00C10D27">
      <w:pPr>
        <w:spacing w:line="360" w:lineRule="auto"/>
        <w:jc w:val="both"/>
        <w:rPr>
          <w:rFonts w:ascii="Palatino Linotype" w:eastAsia="Palatino Linotype" w:hAnsi="Palatino Linotype" w:cs="Palatino Linotype"/>
          <w:sz w:val="22"/>
          <w:szCs w:val="22"/>
        </w:rPr>
      </w:pPr>
    </w:p>
    <w:p w14:paraId="43EBEC34" w14:textId="77777777" w:rsidR="00C10D27" w:rsidRDefault="004F7300">
      <w:pPr>
        <w:pStyle w:val="Ttulo2"/>
      </w:pPr>
      <w:bookmarkStart w:id="4" w:name="_Toc226634173"/>
      <w:r>
        <w:t xml:space="preserve">III. Interposición del Recurso de </w:t>
      </w:r>
      <w:r>
        <w:t>Revisión</w:t>
      </w:r>
      <w:bookmarkEnd w:id="4"/>
    </w:p>
    <w:p w14:paraId="4CD15304" w14:textId="77777777" w:rsidR="00C10D27" w:rsidRDefault="00C10D27">
      <w:pPr>
        <w:spacing w:line="360" w:lineRule="auto"/>
        <w:jc w:val="both"/>
        <w:rPr>
          <w:rFonts w:ascii="Palatino Linotype" w:eastAsia="Palatino Linotype" w:hAnsi="Palatino Linotype" w:cs="Palatino Linotype"/>
          <w:b/>
          <w:bCs/>
          <w:color w:val="FF0000"/>
          <w:sz w:val="22"/>
          <w:szCs w:val="22"/>
        </w:rPr>
      </w:pPr>
    </w:p>
    <w:p w14:paraId="156AAF46"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cuatro de febrero de dos mil veintiséis, el Particular interpuso un Recurso de Revisión ante este Instituto, a través del Sistema de Acceso a la Información Mexiquense (SAIMEX), en contra de la falta de respuesta por el Sujeto Obligado, a la s</w:t>
      </w:r>
      <w:r>
        <w:rPr>
          <w:rFonts w:ascii="Palatino Linotype" w:eastAsia="Palatino Linotype" w:hAnsi="Palatino Linotype" w:cs="Palatino Linotype"/>
          <w:sz w:val="22"/>
          <w:szCs w:val="22"/>
        </w:rPr>
        <w:t xml:space="preserve">olicitud de información, en los siguientes términos: </w:t>
      </w:r>
    </w:p>
    <w:p w14:paraId="38D2DCB5"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0C69E226"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55158FD7"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El sujeto obligado incumplió con su obligación de garantizar el derecho de acceso a la información, no entregó la información solicitada no dan respuesta , dicha omisión vulnera lo disp</w:t>
      </w:r>
      <w:r>
        <w:rPr>
          <w:rFonts w:ascii="Palatino Linotype" w:eastAsia="Palatino Linotype" w:hAnsi="Palatino Linotype" w:cs="Palatino Linotype"/>
          <w:i/>
          <w:iCs/>
        </w:rPr>
        <w:t xml:space="preserve">uesto en el artículo 6° de la Carta Magna la Ley de Transparencia y Acceso a la Información Pública del Estado de México y Municipios. </w:t>
      </w:r>
      <w:proofErr w:type="gramStart"/>
      <w:r>
        <w:rPr>
          <w:rFonts w:ascii="Palatino Linotype" w:eastAsia="Palatino Linotype" w:hAnsi="Palatino Linotype" w:cs="Palatino Linotype"/>
          <w:i/>
          <w:iCs/>
        </w:rPr>
        <w:t>y</w:t>
      </w:r>
      <w:proofErr w:type="gramEnd"/>
      <w:r>
        <w:rPr>
          <w:rFonts w:ascii="Palatino Linotype" w:eastAsia="Palatino Linotype" w:hAnsi="Palatino Linotype" w:cs="Palatino Linotype"/>
          <w:i/>
          <w:iCs/>
        </w:rPr>
        <w:t xml:space="preserve"> su calendario marca que es el día 16 para interponer mi recurso pero es de fecha 12 de enero la solicitud siendo el día</w:t>
      </w:r>
      <w:r>
        <w:rPr>
          <w:rFonts w:ascii="Palatino Linotype" w:eastAsia="Palatino Linotype" w:hAnsi="Palatino Linotype" w:cs="Palatino Linotype"/>
          <w:i/>
          <w:iCs/>
        </w:rPr>
        <w:t xml:space="preserve"> 1 de 15 para hacer la interposición de mi recurso” </w:t>
      </w:r>
    </w:p>
    <w:p w14:paraId="373C023F" w14:textId="77777777" w:rsidR="00C10D27" w:rsidRDefault="00C10D27">
      <w:pPr>
        <w:spacing w:line="360" w:lineRule="auto"/>
        <w:ind w:right="567"/>
        <w:jc w:val="both"/>
        <w:rPr>
          <w:rFonts w:ascii="Palatino Linotype" w:eastAsia="Palatino Linotype" w:hAnsi="Palatino Linotype" w:cs="Palatino Linotype"/>
          <w:i/>
          <w:iCs/>
        </w:rPr>
      </w:pPr>
    </w:p>
    <w:p w14:paraId="142F0E3F" w14:textId="77777777" w:rsidR="00C10D27" w:rsidRDefault="00C10D27">
      <w:pPr>
        <w:spacing w:line="360" w:lineRule="auto"/>
        <w:ind w:right="567"/>
        <w:jc w:val="both"/>
        <w:rPr>
          <w:rFonts w:ascii="Palatino Linotype" w:eastAsia="Palatino Linotype" w:hAnsi="Palatino Linotype" w:cs="Palatino Linotype"/>
          <w:i/>
          <w:iCs/>
        </w:rPr>
      </w:pPr>
    </w:p>
    <w:p w14:paraId="6C4234D1" w14:textId="77777777" w:rsidR="00C10D27" w:rsidRDefault="004F7300">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42F11D07"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El sujeto obligado incumplió con su obligación de garantizar el derecho de acceso a la información, no entregó la información solicitada no dan respuesta ,</w:t>
      </w:r>
      <w:r>
        <w:rPr>
          <w:rFonts w:ascii="Palatino Linotype" w:eastAsia="Palatino Linotype" w:hAnsi="Palatino Linotype" w:cs="Palatino Linotype"/>
          <w:i/>
          <w:iCs/>
        </w:rPr>
        <w:t xml:space="preserve"> dicha omisión vulnera lo dispuesto en el artículo 6° de la Carta Magna la Ley de Transparencia y Acceso a la Información Pública del Estado de México y Municipios. </w:t>
      </w:r>
      <w:proofErr w:type="gramStart"/>
      <w:r>
        <w:rPr>
          <w:rFonts w:ascii="Palatino Linotype" w:eastAsia="Palatino Linotype" w:hAnsi="Palatino Linotype" w:cs="Palatino Linotype"/>
          <w:i/>
          <w:iCs/>
        </w:rPr>
        <w:t>y</w:t>
      </w:r>
      <w:proofErr w:type="gramEnd"/>
      <w:r>
        <w:rPr>
          <w:rFonts w:ascii="Palatino Linotype" w:eastAsia="Palatino Linotype" w:hAnsi="Palatino Linotype" w:cs="Palatino Linotype"/>
          <w:i/>
          <w:iCs/>
        </w:rPr>
        <w:t xml:space="preserve"> su calendario marca que es el día 16 para interponer mi recurso pero es de fecha 12 de en</w:t>
      </w:r>
      <w:r>
        <w:rPr>
          <w:rFonts w:ascii="Palatino Linotype" w:eastAsia="Palatino Linotype" w:hAnsi="Palatino Linotype" w:cs="Palatino Linotype"/>
          <w:i/>
          <w:iCs/>
        </w:rPr>
        <w:t xml:space="preserve">ero la solicitud siendo el día 1 de 15 para hacer la interposición de mi recurso” </w:t>
      </w:r>
    </w:p>
    <w:p w14:paraId="36F36CFC" w14:textId="77777777" w:rsidR="00C10D27" w:rsidRDefault="00C10D27">
      <w:pPr>
        <w:spacing w:line="360" w:lineRule="auto"/>
        <w:ind w:left="567" w:right="567"/>
        <w:rPr>
          <w:rFonts w:ascii="Palatino Linotype" w:eastAsia="Palatino Linotype" w:hAnsi="Palatino Linotype" w:cs="Palatino Linotype"/>
          <w:i/>
          <w:iCs/>
          <w:color w:val="FF0000"/>
        </w:rPr>
      </w:pPr>
    </w:p>
    <w:p w14:paraId="33A8D86A" w14:textId="77777777" w:rsidR="00C10D27" w:rsidRDefault="004F7300">
      <w:pPr>
        <w:pStyle w:val="Ttulo2"/>
      </w:pPr>
      <w:bookmarkStart w:id="5" w:name="_Toc226634174"/>
      <w:r>
        <w:t>IV. Trámite del Recurso de Revisión ante el Instituto</w:t>
      </w:r>
      <w:bookmarkEnd w:id="5"/>
    </w:p>
    <w:p w14:paraId="6F831E51" w14:textId="77777777" w:rsidR="00C10D27" w:rsidRDefault="00C10D27">
      <w:pPr>
        <w:spacing w:line="360" w:lineRule="auto"/>
        <w:jc w:val="both"/>
        <w:rPr>
          <w:rFonts w:ascii="Palatino Linotype" w:eastAsia="Palatino Linotype" w:hAnsi="Palatino Linotype" w:cs="Palatino Linotype"/>
          <w:b/>
          <w:bCs/>
          <w:sz w:val="22"/>
          <w:szCs w:val="22"/>
        </w:rPr>
      </w:pPr>
    </w:p>
    <w:p w14:paraId="142EF207"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El cuatro de febrero de dos mil veintiséis, el Sistema de Acceso a la Información M</w:t>
      </w:r>
      <w:r>
        <w:rPr>
          <w:rFonts w:ascii="Palatino Linotype" w:eastAsia="Palatino Linotype" w:hAnsi="Palatino Linotype" w:cs="Palatino Linotype"/>
          <w:sz w:val="22"/>
          <w:szCs w:val="22"/>
        </w:rPr>
        <w:t xml:space="preserve">exiquense (SAIMEX), asignó el número de expediente </w:t>
      </w:r>
      <w:r>
        <w:rPr>
          <w:rFonts w:ascii="Palatino Linotype" w:eastAsia="Palatino Linotype" w:hAnsi="Palatino Linotype" w:cs="Palatino Linotype"/>
          <w:b/>
          <w:bCs/>
          <w:sz w:val="22"/>
          <w:szCs w:val="22"/>
        </w:rPr>
        <w:t>01321/INFOEM/IP/RR/2026</w:t>
      </w:r>
      <w:r>
        <w:rPr>
          <w:rFonts w:ascii="Palatino Linotype" w:eastAsia="Palatino Linotype" w:hAnsi="Palatino Linotype" w:cs="Palatino Linotype"/>
          <w:sz w:val="22"/>
          <w:szCs w:val="22"/>
        </w:rPr>
        <w:t>, al Medio de Impugnación que nos ocupa, con base en el sistema aprobado por el Pleno de este Organismo Garante y lo turnó al Comisionado Ponente Luis Gustavo Parra Noriega, para los</w:t>
      </w:r>
      <w:r>
        <w:rPr>
          <w:rFonts w:ascii="Palatino Linotype" w:eastAsia="Palatino Linotype" w:hAnsi="Palatino Linotype" w:cs="Palatino Linotype"/>
          <w:sz w:val="22"/>
          <w:szCs w:val="22"/>
        </w:rPr>
        <w:t xml:space="preserve"> efectos del artículo 185, fracción I de la Ley de Transparencia y Acceso a la Información Pública del Estado de México y Municipios.</w:t>
      </w:r>
    </w:p>
    <w:p w14:paraId="6807BFE5" w14:textId="77777777" w:rsidR="00C10D27" w:rsidRDefault="00C10D27">
      <w:pPr>
        <w:spacing w:line="360" w:lineRule="auto"/>
        <w:jc w:val="both"/>
        <w:rPr>
          <w:rFonts w:ascii="Palatino Linotype" w:eastAsia="Palatino Linotype" w:hAnsi="Palatino Linotype" w:cs="Palatino Linotype"/>
          <w:b/>
          <w:bCs/>
          <w:sz w:val="22"/>
          <w:szCs w:val="22"/>
        </w:rPr>
      </w:pPr>
    </w:p>
    <w:p w14:paraId="0C59ADBB"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nueve de febrero de dos mil veintiséis, se acordó la admisión del Recurso de Revi</w:t>
      </w:r>
      <w:r>
        <w:rPr>
          <w:rFonts w:ascii="Palatino Linotype" w:eastAsia="Palatino Linotype" w:hAnsi="Palatino Linotype" w:cs="Palatino Linotype"/>
          <w:sz w:val="22"/>
          <w:szCs w:val="22"/>
        </w:rPr>
        <w:t>sión interpuesto por la persona Recurrente en contra del Sujeto Obligado, en términos del artículo 185, fracciones I y II de la Ley de Transparencia y Acceso a la Información Pública del Estado de México y Municipios, el cual fue notificado a las partes el</w:t>
      </w:r>
      <w:r>
        <w:rPr>
          <w:rFonts w:ascii="Palatino Linotype" w:eastAsia="Palatino Linotype" w:hAnsi="Palatino Linotype" w:cs="Palatino Linotype"/>
          <w:sz w:val="22"/>
          <w:szCs w:val="22"/>
        </w:rPr>
        <w:t xml:space="preserve"> mismo día, a través del Sistema de Acceso a la Información Mexiquense (SAIMEX), en el que se les otorgó un plazo de siete días hábiles posteriores a la misma, para que manifestaran lo que a su derecho conviniera y formularan alegatos.</w:t>
      </w:r>
    </w:p>
    <w:p w14:paraId="676A83DF" w14:textId="77777777" w:rsidR="00C10D27" w:rsidRDefault="00C10D27">
      <w:pPr>
        <w:spacing w:line="360" w:lineRule="auto"/>
        <w:jc w:val="both"/>
        <w:rPr>
          <w:rFonts w:ascii="Palatino Linotype" w:eastAsia="Palatino Linotype" w:hAnsi="Palatino Linotype" w:cs="Palatino Linotype"/>
          <w:sz w:val="22"/>
          <w:szCs w:val="22"/>
        </w:rPr>
      </w:pPr>
    </w:p>
    <w:p w14:paraId="7C51F0E7"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c)</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Informe Justific</w:t>
      </w:r>
      <w:r>
        <w:rPr>
          <w:rFonts w:ascii="Palatino Linotype" w:eastAsia="Palatino Linotype" w:hAnsi="Palatino Linotype" w:cs="Palatino Linotype"/>
          <w:b/>
          <w:bCs/>
          <w:sz w:val="22"/>
          <w:szCs w:val="22"/>
        </w:rPr>
        <w:t xml:space="preserve">ado. </w:t>
      </w:r>
      <w:r>
        <w:rPr>
          <w:rFonts w:ascii="Palatino Linotype" w:eastAsia="Palatino Linotype" w:hAnsi="Palatino Linotype" w:cs="Palatino Linotype"/>
          <w:sz w:val="22"/>
          <w:szCs w:val="22"/>
        </w:rPr>
        <w:t xml:space="preserve">El diecisiete y dieciocho de febrero de dos mil veintiséis, se recibió, a través del Sistema de Acceso a la Información Mexiquense (SAIMEX), el Informe Justificado del Sujeto Obligado, a través de la digitalización de los documentos siguientes: </w:t>
      </w:r>
    </w:p>
    <w:p w14:paraId="6E93C786"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365A5864"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w:t>
      </w:r>
      <w:r>
        <w:rPr>
          <w:rFonts w:ascii="Palatino Linotype" w:eastAsia="Palatino Linotype" w:hAnsi="Palatino Linotype" w:cs="Palatino Linotype"/>
          <w:sz w:val="22"/>
          <w:szCs w:val="22"/>
        </w:rPr>
        <w:t xml:space="preserve">ficio número NR/069/2026, del dieciséis de febrero de dos mil veintiséis, suscrito por el Noveno Regidor y dirigido al Titular de la Unidad de Transparencia por medio del cual precisó lo siguiente: </w:t>
      </w:r>
    </w:p>
    <w:p w14:paraId="42FDBFC8" w14:textId="77777777" w:rsidR="00C10D27" w:rsidRDefault="00C10D27">
      <w:pPr>
        <w:spacing w:line="360" w:lineRule="auto"/>
        <w:ind w:left="567" w:right="567"/>
        <w:jc w:val="both"/>
        <w:rPr>
          <w:rFonts w:ascii="Palatino Linotype" w:eastAsia="Palatino Linotype" w:hAnsi="Palatino Linotype" w:cs="Palatino Linotype"/>
          <w:i/>
          <w:iCs/>
        </w:rPr>
      </w:pPr>
    </w:p>
    <w:p w14:paraId="1BB33220"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4496C0A1" w14:textId="77777777" w:rsidR="00C10D27" w:rsidRDefault="004F7300">
      <w:pPr>
        <w:numPr>
          <w:ilvl w:val="0"/>
          <w:numId w:val="4"/>
        </w:numPr>
        <w:pBdr>
          <w:top w:val="nil"/>
          <w:left w:val="nil"/>
          <w:bottom w:val="nil"/>
          <w:right w:val="nil"/>
          <w:between w:val="nil"/>
        </w:pBdr>
        <w:spacing w:line="360" w:lineRule="auto"/>
        <w:ind w:left="993"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Sobre dicha solicitud y en cuanto hace a la </w:t>
      </w:r>
      <w:r>
        <w:rPr>
          <w:rFonts w:ascii="Palatino Linotype" w:eastAsia="Palatino Linotype" w:hAnsi="Palatino Linotype" w:cs="Palatino Linotype"/>
          <w:i/>
          <w:iCs/>
          <w:color w:val="000000"/>
        </w:rPr>
        <w:t>dependencia a mi cargo, esta fue atendida en tiempo y forma, sin embargo, tras haber realizado nueva búsqueda minuciosa y exhaustiva a los archivos físicos y electrónicos de la Novena Regiduría, y como resultado se informó al ahora Recurrente, nuevamente s</w:t>
      </w:r>
      <w:r>
        <w:rPr>
          <w:rFonts w:ascii="Palatino Linotype" w:eastAsia="Palatino Linotype" w:hAnsi="Palatino Linotype" w:cs="Palatino Linotype"/>
          <w:i/>
          <w:iCs/>
          <w:color w:val="000000"/>
        </w:rPr>
        <w:t>e anexa al presente informe el archivo electrónico que comprende de 198 hojas correspondientes a los oficios entrantes y salientes del mes de abril del 2025 generados y archivados de esta Novena Regiduría.</w:t>
      </w:r>
    </w:p>
    <w:p w14:paraId="6668B382" w14:textId="77777777" w:rsidR="00C10D27" w:rsidRDefault="004F7300">
      <w:pPr>
        <w:numPr>
          <w:ilvl w:val="0"/>
          <w:numId w:val="4"/>
        </w:numPr>
        <w:pBdr>
          <w:top w:val="nil"/>
          <w:left w:val="nil"/>
          <w:bottom w:val="nil"/>
          <w:right w:val="nil"/>
          <w:between w:val="nil"/>
        </w:pBdr>
        <w:spacing w:line="360" w:lineRule="auto"/>
        <w:ind w:left="993"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59BB65F4" w14:textId="77777777" w:rsidR="00C10D27" w:rsidRDefault="004F7300">
      <w:pPr>
        <w:numPr>
          <w:ilvl w:val="0"/>
          <w:numId w:val="4"/>
        </w:numPr>
        <w:pBdr>
          <w:top w:val="nil"/>
          <w:left w:val="nil"/>
          <w:bottom w:val="nil"/>
          <w:right w:val="nil"/>
          <w:between w:val="nil"/>
        </w:pBdr>
        <w:spacing w:line="360" w:lineRule="auto"/>
        <w:ind w:left="993"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Finalmente, a manera de conclusión la legislac</w:t>
      </w:r>
      <w:r>
        <w:rPr>
          <w:rFonts w:ascii="Palatino Linotype" w:eastAsia="Palatino Linotype" w:hAnsi="Palatino Linotype" w:cs="Palatino Linotype"/>
          <w:i/>
          <w:iCs/>
          <w:color w:val="000000"/>
        </w:rPr>
        <w:t>ión aplicable en la materia, no obliga a esta autoridad y/o dependencia, a generar información conforme al interés del particular, por lo que se confirma en todas y en cada una de sus partes la respuesta otorgada a la solicitud de información 00511/TOLUCA/</w:t>
      </w:r>
      <w:r>
        <w:rPr>
          <w:rFonts w:ascii="Palatino Linotype" w:eastAsia="Palatino Linotype" w:hAnsi="Palatino Linotype" w:cs="Palatino Linotype"/>
          <w:i/>
          <w:iCs/>
          <w:color w:val="000000"/>
        </w:rPr>
        <w:t>IP/2026, la cual fue atendida en tiempo y forma, de manera correcta y completa dejando inexistente la actualización de alguna de las hipótesis contenidas en el artículo 179 de la citada Ley de Transparencia y Acceso a la Información Pública del estado de M</w:t>
      </w:r>
      <w:r>
        <w:rPr>
          <w:rFonts w:ascii="Palatino Linotype" w:eastAsia="Palatino Linotype" w:hAnsi="Palatino Linotype" w:cs="Palatino Linotype"/>
          <w:i/>
          <w:iCs/>
          <w:color w:val="000000"/>
        </w:rPr>
        <w:t>éxico y Municipios; desestimando las razones y motivos de inconformidad que hace valer el Recurrente, puesto que no hace ver en que soy omiso, ya que la respuesta que proporcione es clara y concisa, de acuerdo a la competencia y lo que específico en su sol</w:t>
      </w:r>
      <w:r>
        <w:rPr>
          <w:rFonts w:ascii="Palatino Linotype" w:eastAsia="Palatino Linotype" w:hAnsi="Palatino Linotype" w:cs="Palatino Linotype"/>
          <w:i/>
          <w:iCs/>
          <w:color w:val="000000"/>
        </w:rPr>
        <w:t>icitud el ahora Recurrente.</w:t>
      </w:r>
    </w:p>
    <w:p w14:paraId="054338C8"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7EE5FCC9" w14:textId="77777777" w:rsidR="00C10D27" w:rsidRDefault="00C10D27">
      <w:pPr>
        <w:spacing w:line="360" w:lineRule="auto"/>
        <w:ind w:right="567"/>
        <w:jc w:val="both"/>
        <w:rPr>
          <w:rFonts w:ascii="Palatino Linotype" w:eastAsia="Palatino Linotype" w:hAnsi="Palatino Linotype" w:cs="Palatino Linotype"/>
        </w:rPr>
      </w:pPr>
    </w:p>
    <w:p w14:paraId="581FAAB2" w14:textId="77777777" w:rsidR="00C10D27" w:rsidRDefault="004F7300">
      <w:p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ii. Oficio sin número, del dieciocho de febrero de dos mil veintiséis, suscrito por el Titular de la Unidad de Transparencia y dirigido al Comisionado Ponente, por medio del cual precisó ratificar la respuesta emitida por la</w:t>
      </w:r>
      <w:r>
        <w:rPr>
          <w:rFonts w:ascii="Palatino Linotype" w:eastAsia="Palatino Linotype" w:hAnsi="Palatino Linotype" w:cs="Palatino Linotype"/>
          <w:sz w:val="22"/>
          <w:szCs w:val="22"/>
        </w:rPr>
        <w:t xml:space="preserve"> Novena Regiduría, del dieciséis de febrero de dos mil veintiséis. </w:t>
      </w:r>
    </w:p>
    <w:p w14:paraId="51E45C49" w14:textId="77777777" w:rsidR="00C10D27" w:rsidRDefault="00C10D27">
      <w:pPr>
        <w:spacing w:line="360" w:lineRule="auto"/>
        <w:ind w:right="567"/>
        <w:jc w:val="both"/>
        <w:rPr>
          <w:rFonts w:ascii="Palatino Linotype" w:eastAsia="Palatino Linotype" w:hAnsi="Palatino Linotype" w:cs="Palatino Linotype"/>
        </w:rPr>
      </w:pPr>
    </w:p>
    <w:p w14:paraId="40B52C65" w14:textId="77777777" w:rsidR="00C10D27" w:rsidRDefault="004F7300">
      <w:p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iii. Ciento noventa y ocho oficios recibidos y emitidos con anexos, por la Novena Regiduría, del primero al treinta de abril de dos mil veinticinco. </w:t>
      </w:r>
      <w:r>
        <w:rPr>
          <w:rFonts w:ascii="Palatino Linotype" w:eastAsia="Palatino Linotype" w:hAnsi="Palatino Linotype" w:cs="Palatino Linotype"/>
          <w:b/>
          <w:bCs/>
          <w:color w:val="0D0D0D"/>
          <w:sz w:val="22"/>
          <w:szCs w:val="22"/>
        </w:rPr>
        <w:t xml:space="preserve">(Cabe señalar que no se pusieron al a </w:t>
      </w:r>
      <w:r>
        <w:rPr>
          <w:rFonts w:ascii="Palatino Linotype" w:eastAsia="Palatino Linotype" w:hAnsi="Palatino Linotype" w:cs="Palatino Linotype"/>
          <w:b/>
          <w:bCs/>
          <w:color w:val="0D0D0D"/>
          <w:sz w:val="22"/>
          <w:szCs w:val="22"/>
        </w:rPr>
        <w:t>vista de la persona Recurrente</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b/>
          <w:bCs/>
          <w:color w:val="0D0D0D"/>
          <w:sz w:val="22"/>
          <w:szCs w:val="22"/>
        </w:rPr>
        <w:t xml:space="preserve">pues de dejaron datos visibles que serán objeto de análisis en párrafos posteriores) </w:t>
      </w:r>
    </w:p>
    <w:p w14:paraId="0174EA4C" w14:textId="77777777" w:rsidR="00C10D27" w:rsidRDefault="00C10D27">
      <w:pPr>
        <w:spacing w:line="360" w:lineRule="auto"/>
        <w:ind w:right="567"/>
        <w:jc w:val="both"/>
        <w:rPr>
          <w:rFonts w:ascii="Palatino Linotype" w:eastAsia="Palatino Linotype" w:hAnsi="Palatino Linotype" w:cs="Palatino Linotype"/>
        </w:rPr>
      </w:pPr>
    </w:p>
    <w:p w14:paraId="7D4D23A6"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El veinticuatro de marzo de dos mil veintiséis, se dictó acuerdo mediante el cual se puso a la vista del Particular el Informe Justificado, entregado por el Sujeto Obligado, así como los documentos adjuntos, el cual fue notificado a las partes, a través de</w:t>
      </w:r>
      <w:r>
        <w:rPr>
          <w:rFonts w:ascii="Palatino Linotype" w:eastAsia="Palatino Linotype" w:hAnsi="Palatino Linotype" w:cs="Palatino Linotype"/>
          <w:sz w:val="22"/>
          <w:szCs w:val="22"/>
        </w:rPr>
        <w:t xml:space="preserve">l Sistema de Acceso a la Información Mexiquense (SAIMEX). </w:t>
      </w:r>
      <w:r>
        <w:rPr>
          <w:rFonts w:ascii="Palatino Linotype" w:eastAsia="Palatino Linotype" w:hAnsi="Palatino Linotype" w:cs="Palatino Linotype"/>
          <w:b/>
          <w:bCs/>
          <w:sz w:val="22"/>
          <w:szCs w:val="22"/>
        </w:rPr>
        <w:t>Cabe señalar que el Particular fue omiso en realizar manifestación alguna.</w:t>
      </w:r>
    </w:p>
    <w:p w14:paraId="135D806F" w14:textId="77777777" w:rsidR="00C10D27" w:rsidRDefault="00C10D27">
      <w:pPr>
        <w:spacing w:line="360" w:lineRule="auto"/>
        <w:jc w:val="both"/>
        <w:rPr>
          <w:rFonts w:ascii="Palatino Linotype" w:eastAsia="Palatino Linotype" w:hAnsi="Palatino Linotype" w:cs="Palatino Linotype"/>
          <w:b/>
          <w:bCs/>
          <w:sz w:val="22"/>
          <w:szCs w:val="22"/>
        </w:rPr>
      </w:pPr>
    </w:p>
    <w:p w14:paraId="0514DB59" w14:textId="77777777" w:rsidR="00C10D27" w:rsidRDefault="004F73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e) Ampliación de plazo para resolver. </w:t>
      </w:r>
      <w:r>
        <w:rPr>
          <w:rFonts w:ascii="Palatino Linotype" w:eastAsia="Palatino Linotype" w:hAnsi="Palatino Linotype" w:cs="Palatino Linotype"/>
          <w:color w:val="000000"/>
          <w:sz w:val="22"/>
          <w:szCs w:val="22"/>
        </w:rPr>
        <w:t>El veinticinco de marzo de dos mil veintiséis, el Comisionado Ponente, con fundament</w:t>
      </w:r>
      <w:r>
        <w:rPr>
          <w:rFonts w:ascii="Palatino Linotype" w:eastAsia="Palatino Linotype" w:hAnsi="Palatino Linotype" w:cs="Palatino Linotype"/>
          <w:color w:val="000000"/>
          <w:sz w:val="22"/>
          <w:szCs w:val="22"/>
        </w:rPr>
        <w:t>o en lo dispuesto por el artículo 181, párrafo tercero, de la Ley de Transparencia y Acceso a la Información Pública del Estado de México y Municipios, acordó ampliar por quince días hábiles, el plazo para resolver el Recurso de Revisión que nos ocupa; act</w:t>
      </w:r>
      <w:r>
        <w:rPr>
          <w:rFonts w:ascii="Palatino Linotype" w:eastAsia="Palatino Linotype" w:hAnsi="Palatino Linotype" w:cs="Palatino Linotype"/>
          <w:color w:val="000000"/>
          <w:sz w:val="22"/>
          <w:szCs w:val="22"/>
        </w:rPr>
        <w:t>o que fue notificado a las partes el mismo día, mediante el Sistema de Acceso a la Información Mexiquense (SAIMEX).</w:t>
      </w:r>
    </w:p>
    <w:p w14:paraId="0C2FA194" w14:textId="77777777" w:rsidR="00C10D27" w:rsidRDefault="00C10D27">
      <w:pPr>
        <w:spacing w:line="360" w:lineRule="auto"/>
        <w:jc w:val="both"/>
        <w:rPr>
          <w:rFonts w:ascii="Palatino Linotype" w:eastAsia="Palatino Linotype" w:hAnsi="Palatino Linotype" w:cs="Palatino Linotype"/>
          <w:b/>
          <w:bCs/>
          <w:sz w:val="22"/>
          <w:szCs w:val="22"/>
        </w:rPr>
      </w:pPr>
    </w:p>
    <w:p w14:paraId="1A565FBE"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f) Cierre de instrucción. </w:t>
      </w:r>
      <w:r>
        <w:rPr>
          <w:rFonts w:ascii="Palatino Linotype" w:eastAsia="Palatino Linotype" w:hAnsi="Palatino Linotype" w:cs="Palatino Linotype"/>
          <w:sz w:val="22"/>
          <w:szCs w:val="22"/>
        </w:rPr>
        <w:t xml:space="preserve">El ocho de abril de dos mil veintiséis, al no existir diligencias pendientes por desahogar, se emitió el acuerdo </w:t>
      </w:r>
      <w:r>
        <w:rPr>
          <w:rFonts w:ascii="Palatino Linotype" w:eastAsia="Palatino Linotype" w:hAnsi="Palatino Linotype" w:cs="Palatino Linotype"/>
          <w:sz w:val="22"/>
          <w:szCs w:val="22"/>
        </w:rPr>
        <w:t xml:space="preserve">por medio del cual se declaró cerrada la instrucción y, se pasó el expediente a resolución, en términos de lo dispuesto en los artículos </w:t>
      </w:r>
      <w:r>
        <w:rPr>
          <w:rFonts w:ascii="Palatino Linotype" w:eastAsia="Palatino Linotype" w:hAnsi="Palatino Linotype" w:cs="Palatino Linotype"/>
          <w:sz w:val="22"/>
          <w:szCs w:val="22"/>
        </w:rPr>
        <w:lastRenderedPageBreak/>
        <w:t>185, fracciones VI y VIII, de la Ley de Transparencia y Acceso a la Información Pública del Estado de México y Municipi</w:t>
      </w:r>
      <w:r>
        <w:rPr>
          <w:rFonts w:ascii="Palatino Linotype" w:eastAsia="Palatino Linotype" w:hAnsi="Palatino Linotype" w:cs="Palatino Linotype"/>
          <w:sz w:val="22"/>
          <w:szCs w:val="22"/>
        </w:rPr>
        <w:t xml:space="preserve">os; acto que fue notificado a las partes el mismo día, a través del Sistema de Acceso a la Información Mexiquense (SAIMEX). </w:t>
      </w:r>
    </w:p>
    <w:p w14:paraId="7EA3BF9B" w14:textId="77777777" w:rsidR="00C10D27" w:rsidRDefault="00C10D27">
      <w:pPr>
        <w:spacing w:line="360" w:lineRule="auto"/>
        <w:jc w:val="both"/>
        <w:rPr>
          <w:rFonts w:ascii="Palatino Linotype" w:eastAsia="Palatino Linotype" w:hAnsi="Palatino Linotype" w:cs="Palatino Linotype"/>
          <w:b/>
          <w:bCs/>
          <w:color w:val="FF0000"/>
          <w:sz w:val="18"/>
          <w:szCs w:val="18"/>
        </w:rPr>
      </w:pPr>
    </w:p>
    <w:p w14:paraId="6AFA975D"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sustanciado el expediente electrónico y no existe diligencia pendiente de desahogo, se emite la Re</w:t>
      </w:r>
      <w:r>
        <w:rPr>
          <w:rFonts w:ascii="Palatino Linotype" w:eastAsia="Palatino Linotype" w:hAnsi="Palatino Linotype" w:cs="Palatino Linotype"/>
          <w:sz w:val="22"/>
          <w:szCs w:val="22"/>
        </w:rPr>
        <w:t xml:space="preserve">solución que conforme a Derecho proceda, de acuerdo con los siguientes: </w:t>
      </w:r>
    </w:p>
    <w:p w14:paraId="2A8DC6F1" w14:textId="77777777" w:rsidR="00C10D27" w:rsidRDefault="00C10D27">
      <w:pPr>
        <w:spacing w:line="360" w:lineRule="auto"/>
        <w:jc w:val="both"/>
        <w:rPr>
          <w:rFonts w:ascii="Palatino Linotype" w:eastAsia="Palatino Linotype" w:hAnsi="Palatino Linotype" w:cs="Palatino Linotype"/>
          <w:sz w:val="22"/>
          <w:szCs w:val="22"/>
        </w:rPr>
      </w:pPr>
    </w:p>
    <w:p w14:paraId="1C15E4A5" w14:textId="77777777" w:rsidR="00C10D27" w:rsidRDefault="004F7300">
      <w:pPr>
        <w:pStyle w:val="Ttulo1"/>
      </w:pPr>
      <w:bookmarkStart w:id="6" w:name="_Toc226634175"/>
      <w:r>
        <w:t>C O N S I D E R A N D O S</w:t>
      </w:r>
      <w:bookmarkEnd w:id="6"/>
    </w:p>
    <w:p w14:paraId="0EF1404C" w14:textId="77777777" w:rsidR="00C10D27" w:rsidRDefault="00C10D27">
      <w:pPr>
        <w:spacing w:line="360" w:lineRule="auto"/>
        <w:jc w:val="both"/>
        <w:rPr>
          <w:rFonts w:ascii="Palatino Linotype" w:eastAsia="Palatino Linotype" w:hAnsi="Palatino Linotype" w:cs="Palatino Linotype"/>
          <w:b/>
          <w:bCs/>
          <w:sz w:val="22"/>
          <w:szCs w:val="22"/>
        </w:rPr>
      </w:pPr>
    </w:p>
    <w:p w14:paraId="583C597B" w14:textId="77777777" w:rsidR="00C10D27" w:rsidRDefault="004F7300">
      <w:pPr>
        <w:pStyle w:val="Ttulo2"/>
      </w:pPr>
      <w:bookmarkStart w:id="7" w:name="_Toc226634176"/>
      <w:r>
        <w:t>PRIMERO. Competencia</w:t>
      </w:r>
      <w:bookmarkEnd w:id="7"/>
    </w:p>
    <w:p w14:paraId="1E41B487" w14:textId="77777777" w:rsidR="00C10D27" w:rsidRDefault="00C10D27">
      <w:pPr>
        <w:spacing w:line="360" w:lineRule="auto"/>
        <w:jc w:val="both"/>
        <w:rPr>
          <w:rFonts w:ascii="Palatino Linotype" w:eastAsia="Palatino Linotype" w:hAnsi="Palatino Linotype" w:cs="Palatino Linotype"/>
          <w:b/>
          <w:bCs/>
          <w:sz w:val="22"/>
          <w:szCs w:val="22"/>
        </w:rPr>
      </w:pPr>
    </w:p>
    <w:p w14:paraId="59B767A6"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w:t>
      </w:r>
      <w:r>
        <w:rPr>
          <w:rFonts w:ascii="Palatino Linotype" w:eastAsia="Palatino Linotype" w:hAnsi="Palatino Linotype" w:cs="Palatino Linotype"/>
          <w:sz w:val="22"/>
          <w:szCs w:val="22"/>
        </w:rPr>
        <w:t xml:space="preserve"> competente para conocer y resolver el presente recurso de revisión interpuesto por la persona Recurrente, conforme a lo dispuesto en los artículos 5°, párrafos cuadragésimo cuarto, cuadragésimo quinto y cuadragésimo sexto, fracciones IV y V de la Constitu</w:t>
      </w:r>
      <w:r>
        <w:rPr>
          <w:rFonts w:ascii="Palatino Linotype" w:eastAsia="Palatino Linotype" w:hAnsi="Palatino Linotype" w:cs="Palatino Linotype"/>
          <w:sz w:val="22"/>
          <w:szCs w:val="22"/>
        </w:rPr>
        <w:t>ción Política del Estado Libre y Soberano de México; Cuarto Transitorio, párrafo segundo del Decreto número 198 de la “LXII” Legislatura del Estado de México; 1°, 2°, fracciones II y IV; 13, 29, 36, fracciones I y II; 176, 178, 179, 181 párrafo tercero, 18</w:t>
      </w:r>
      <w:r>
        <w:rPr>
          <w:rFonts w:ascii="Palatino Linotype" w:eastAsia="Palatino Linotype" w:hAnsi="Palatino Linotype" w:cs="Palatino Linotype"/>
          <w:sz w:val="22"/>
          <w:szCs w:val="22"/>
        </w:rPr>
        <w:t>5, 188 y 189 de la Ley Transparencia y Acceso a la Información Pública del Estado de México y Municipios; 7°, 9°, fracciones I y XXIII y 11 del Reglamento Interior del Instituto de Transparencia, Acceso a la Información Pública y Protección de Datos Person</w:t>
      </w:r>
      <w:r>
        <w:rPr>
          <w:rFonts w:ascii="Palatino Linotype" w:eastAsia="Palatino Linotype" w:hAnsi="Palatino Linotype" w:cs="Palatino Linotype"/>
          <w:sz w:val="22"/>
          <w:szCs w:val="22"/>
        </w:rPr>
        <w:t>ales del Estado de México y Municipios.</w:t>
      </w:r>
    </w:p>
    <w:p w14:paraId="6C102584" w14:textId="77777777" w:rsidR="00C10D27" w:rsidRDefault="00C10D27">
      <w:pPr>
        <w:spacing w:line="360" w:lineRule="auto"/>
        <w:jc w:val="both"/>
        <w:rPr>
          <w:rFonts w:ascii="Palatino Linotype" w:eastAsia="Palatino Linotype" w:hAnsi="Palatino Linotype" w:cs="Palatino Linotype"/>
          <w:sz w:val="22"/>
          <w:szCs w:val="22"/>
        </w:rPr>
      </w:pPr>
    </w:p>
    <w:p w14:paraId="427C2D78" w14:textId="77777777" w:rsidR="00C10D27" w:rsidRDefault="004F7300">
      <w:pPr>
        <w:pStyle w:val="Ttulo2"/>
      </w:pPr>
      <w:bookmarkStart w:id="8" w:name="_Toc226634177"/>
      <w:r>
        <w:t>SEGUNDO. Causales de improcedencia y Sobreseimiento</w:t>
      </w:r>
      <w:bookmarkEnd w:id="8"/>
    </w:p>
    <w:p w14:paraId="30E91974" w14:textId="77777777" w:rsidR="00C10D27" w:rsidRDefault="00C10D27">
      <w:pPr>
        <w:spacing w:line="360" w:lineRule="auto"/>
        <w:jc w:val="both"/>
        <w:rPr>
          <w:rFonts w:ascii="Palatino Linotype" w:eastAsia="Palatino Linotype" w:hAnsi="Palatino Linotype" w:cs="Palatino Linotype"/>
          <w:sz w:val="22"/>
          <w:szCs w:val="22"/>
        </w:rPr>
      </w:pPr>
    </w:p>
    <w:p w14:paraId="79824E34"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w:t>
      </w:r>
      <w:r>
        <w:rPr>
          <w:rFonts w:ascii="Palatino Linotype" w:eastAsia="Palatino Linotype" w:hAnsi="Palatino Linotype" w:cs="Palatino Linotype"/>
          <w:sz w:val="22"/>
          <w:szCs w:val="22"/>
        </w:rPr>
        <w:t>ales de improcedencia y sobreseimiento que se adviertan, para determinar lo que en Derecho proceda.</w:t>
      </w:r>
    </w:p>
    <w:p w14:paraId="16FF23A5" w14:textId="77777777" w:rsidR="00C10D27" w:rsidRDefault="00C10D27">
      <w:pPr>
        <w:spacing w:line="360" w:lineRule="auto"/>
        <w:jc w:val="both"/>
        <w:rPr>
          <w:rFonts w:ascii="Palatino Linotype" w:eastAsia="Palatino Linotype" w:hAnsi="Palatino Linotype" w:cs="Palatino Linotype"/>
          <w:sz w:val="22"/>
          <w:szCs w:val="22"/>
        </w:rPr>
      </w:pPr>
    </w:p>
    <w:p w14:paraId="55072311"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0DD930E0" w14:textId="77777777" w:rsidR="00C10D27" w:rsidRDefault="00C10D27">
      <w:pPr>
        <w:spacing w:line="360" w:lineRule="auto"/>
        <w:jc w:val="both"/>
        <w:rPr>
          <w:rFonts w:ascii="Palatino Linotype" w:eastAsia="Palatino Linotype" w:hAnsi="Palatino Linotype" w:cs="Palatino Linotype"/>
          <w:sz w:val="22"/>
          <w:szCs w:val="22"/>
        </w:rPr>
      </w:pPr>
    </w:p>
    <w:p w14:paraId="6034B1DA"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w:t>
      </w:r>
      <w:r>
        <w:rPr>
          <w:rFonts w:ascii="Palatino Linotype" w:eastAsia="Palatino Linotype" w:hAnsi="Palatino Linotype" w:cs="Palatino Linotype"/>
          <w:sz w:val="22"/>
          <w:szCs w:val="22"/>
        </w:rPr>
        <w:t>estudio preferente (acorde con el Criterio orientador en la Tesis de Jurisprudencia “IMPROCEDENCIA.” (Semanario Judicial de la Federación, Quinta Época, 1985, pág. 262), el cual establece que debe examinarse previamente la procedencia del juicio de amparo,</w:t>
      </w:r>
      <w:r>
        <w:rPr>
          <w:rFonts w:ascii="Palatino Linotype" w:eastAsia="Palatino Linotype" w:hAnsi="Palatino Linotype" w:cs="Palatino Linotype"/>
          <w:sz w:val="22"/>
          <w:szCs w:val="22"/>
        </w:rPr>
        <w:t xml:space="preserve"> sea que las partes lo soliciten o no, por ser una cuestión de orden público; de tal suerte, deberá ser desechado cualquier Recurso de Revisión que actualice alguno de los supuestos establecidos en el artículo 191 de la Ley de Transparencia y Acceso a la I</w:t>
      </w:r>
      <w:r>
        <w:rPr>
          <w:rFonts w:ascii="Palatino Linotype" w:eastAsia="Palatino Linotype" w:hAnsi="Palatino Linotype" w:cs="Palatino Linotype"/>
          <w:sz w:val="22"/>
          <w:szCs w:val="22"/>
        </w:rPr>
        <w:t>nformación Pública del Estado de México y Municipios, por ser improcedente.</w:t>
      </w:r>
    </w:p>
    <w:p w14:paraId="6097E60A" w14:textId="77777777" w:rsidR="00C10D27" w:rsidRDefault="00C10D27">
      <w:pPr>
        <w:spacing w:line="360" w:lineRule="auto"/>
        <w:jc w:val="both"/>
        <w:rPr>
          <w:rFonts w:ascii="Palatino Linotype" w:eastAsia="Palatino Linotype" w:hAnsi="Palatino Linotype" w:cs="Palatino Linotype"/>
          <w:sz w:val="22"/>
          <w:szCs w:val="22"/>
        </w:rPr>
      </w:pPr>
    </w:p>
    <w:p w14:paraId="3E60F26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este Instituto no tiene </w:t>
      </w:r>
      <w:r>
        <w:rPr>
          <w:rFonts w:ascii="Palatino Linotype" w:eastAsia="Palatino Linotype" w:hAnsi="Palatino Linotype" w:cs="Palatino Linotype"/>
          <w:sz w:val="22"/>
          <w:szCs w:val="22"/>
        </w:rPr>
        <w:t>conocimiento de que se encuentre en trámite algún medio de defensa presentado por la persona Recurrente ante otra instancia; no existió prevención alguna; la veracidad de la respuesta no formó parte del agravio; ni se realizó una consulta o ampliación a lo</w:t>
      </w:r>
      <w:r>
        <w:rPr>
          <w:rFonts w:ascii="Palatino Linotype" w:eastAsia="Palatino Linotype" w:hAnsi="Palatino Linotype" w:cs="Palatino Linotype"/>
          <w:sz w:val="22"/>
          <w:szCs w:val="22"/>
        </w:rPr>
        <w:t>s alcances del requerimiento informativo.</w:t>
      </w:r>
    </w:p>
    <w:p w14:paraId="28408BC0" w14:textId="77777777" w:rsidR="00C10D27" w:rsidRDefault="00C10D27">
      <w:pPr>
        <w:spacing w:line="360" w:lineRule="auto"/>
        <w:jc w:val="both"/>
        <w:rPr>
          <w:rFonts w:ascii="Palatino Linotype" w:eastAsia="Palatino Linotype" w:hAnsi="Palatino Linotype" w:cs="Palatino Linotype"/>
          <w:sz w:val="22"/>
          <w:szCs w:val="22"/>
        </w:rPr>
      </w:pPr>
    </w:p>
    <w:p w14:paraId="4F3E03EA"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que genera la posibilidad de los particulares de</w:t>
      </w:r>
      <w:r>
        <w:rPr>
          <w:rFonts w:ascii="Palatino Linotype" w:eastAsia="Palatino Linotype" w:hAnsi="Palatino Linotype" w:cs="Palatino Linotype"/>
          <w:sz w:val="22"/>
          <w:szCs w:val="22"/>
        </w:rPr>
        <w:t xml:space="preserv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xml:space="preserve">; por lo que, no es necesario determinar una temporalidad respecto del </w:t>
      </w:r>
      <w:r>
        <w:rPr>
          <w:rFonts w:ascii="Palatino Linotype" w:eastAsia="Palatino Linotype" w:hAnsi="Palatino Linotype" w:cs="Palatino Linotype"/>
          <w:sz w:val="22"/>
          <w:szCs w:val="22"/>
        </w:rPr>
        <w:lastRenderedPageBreak/>
        <w:t>momento de presentación, conforme a lo establecido en los artículos 166 y 178, párrafo segundo de la Ley de Tran</w:t>
      </w:r>
      <w:r>
        <w:rPr>
          <w:rFonts w:ascii="Palatino Linotype" w:eastAsia="Palatino Linotype" w:hAnsi="Palatino Linotype" w:cs="Palatino Linotype"/>
          <w:sz w:val="22"/>
          <w:szCs w:val="22"/>
        </w:rPr>
        <w:t>sparencia y Acceso a la Información Pública del Estado de México y los Municipios.</w:t>
      </w:r>
    </w:p>
    <w:p w14:paraId="19290692" w14:textId="77777777" w:rsidR="00C10D27" w:rsidRDefault="00C10D27">
      <w:pPr>
        <w:spacing w:line="360" w:lineRule="auto"/>
        <w:jc w:val="both"/>
        <w:rPr>
          <w:rFonts w:ascii="Palatino Linotype" w:eastAsia="Palatino Linotype" w:hAnsi="Palatino Linotype" w:cs="Palatino Linotype"/>
          <w:sz w:val="22"/>
          <w:szCs w:val="22"/>
        </w:rPr>
      </w:pPr>
    </w:p>
    <w:p w14:paraId="55EDCB5B"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actualiza la causal de procedencia señalada en el artículo 179, fracción VII, de la Ley de la materia, toda vez que el Solicitante se inconformó </w:t>
      </w:r>
      <w:r>
        <w:rPr>
          <w:rFonts w:ascii="Palatino Linotype" w:eastAsia="Palatino Linotype" w:hAnsi="Palatino Linotype" w:cs="Palatino Linotype"/>
          <w:sz w:val="22"/>
          <w:szCs w:val="22"/>
        </w:rPr>
        <w:t>con la falta de respuesta a su solicitud de acceso a información pública.</w:t>
      </w:r>
    </w:p>
    <w:p w14:paraId="1E9F445E" w14:textId="77777777" w:rsidR="00C10D27" w:rsidRDefault="00C10D27">
      <w:pPr>
        <w:spacing w:line="360" w:lineRule="auto"/>
        <w:jc w:val="both"/>
        <w:rPr>
          <w:rFonts w:ascii="Palatino Linotype" w:eastAsia="Palatino Linotype" w:hAnsi="Palatino Linotype" w:cs="Palatino Linotype"/>
          <w:sz w:val="22"/>
          <w:szCs w:val="22"/>
        </w:rPr>
      </w:pPr>
    </w:p>
    <w:p w14:paraId="5F0E899C"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sobreseimiento</w:t>
      </w:r>
    </w:p>
    <w:p w14:paraId="4BC2201B" w14:textId="77777777" w:rsidR="00C10D27" w:rsidRDefault="00C10D27">
      <w:pPr>
        <w:spacing w:line="360" w:lineRule="auto"/>
        <w:jc w:val="both"/>
        <w:rPr>
          <w:rFonts w:ascii="Palatino Linotype" w:eastAsia="Palatino Linotype" w:hAnsi="Palatino Linotype" w:cs="Palatino Linotype"/>
          <w:sz w:val="22"/>
          <w:szCs w:val="22"/>
        </w:rPr>
      </w:pPr>
    </w:p>
    <w:p w14:paraId="71567E01"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1E2CD02C" w14:textId="77777777" w:rsidR="00C10D27" w:rsidRDefault="00C10D27">
      <w:pPr>
        <w:spacing w:line="360" w:lineRule="auto"/>
        <w:jc w:val="both"/>
        <w:rPr>
          <w:rFonts w:ascii="Palatino Linotype" w:eastAsia="Palatino Linotype" w:hAnsi="Palatino Linotype" w:cs="Palatino Linotype"/>
          <w:sz w:val="22"/>
          <w:szCs w:val="22"/>
        </w:rPr>
      </w:pPr>
    </w:p>
    <w:p w14:paraId="383AD95D"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w:t>
      </w:r>
      <w:r>
        <w:rPr>
          <w:rFonts w:ascii="Palatino Linotype" w:eastAsia="Palatino Linotype" w:hAnsi="Palatino Linotype" w:cs="Palatino Linotype"/>
          <w:sz w:val="22"/>
          <w:szCs w:val="22"/>
        </w:rPr>
        <w:t>encia y Acceso a la Información Pública del Estado de México y Municipios, señala las causales por las cuales se puede sobreseer en todo o en parte, el Recurso de Revisión; así, del análisis realizado por este Instituto, se advierte que no se actualiza alg</w:t>
      </w:r>
      <w:r>
        <w:rPr>
          <w:rFonts w:ascii="Palatino Linotype" w:eastAsia="Palatino Linotype" w:hAnsi="Palatino Linotype" w:cs="Palatino Linotype"/>
          <w:sz w:val="22"/>
          <w:szCs w:val="22"/>
        </w:rPr>
        <w:t>ún supuesto de sobreseimiento; lo anterior, en virtud de que no hay constancias en el expediente en que se actúa, de que la persona Recurrente se haya desistido del recurso, haya fallecido, sobreviniera alguna causal de improcedencia, que el Sujeto Obligad</w:t>
      </w:r>
      <w:r>
        <w:rPr>
          <w:rFonts w:ascii="Palatino Linotype" w:eastAsia="Palatino Linotype" w:hAnsi="Palatino Linotype" w:cs="Palatino Linotype"/>
          <w:sz w:val="22"/>
          <w:szCs w:val="22"/>
        </w:rPr>
        <w:t>o hubiese modificado o revocado el acto impugnado o bien, haya quedado sin materia.</w:t>
      </w:r>
    </w:p>
    <w:p w14:paraId="44B19329" w14:textId="77777777" w:rsidR="00C10D27" w:rsidRDefault="00C10D27">
      <w:pPr>
        <w:spacing w:line="360" w:lineRule="auto"/>
        <w:jc w:val="both"/>
        <w:rPr>
          <w:rFonts w:ascii="Palatino Linotype" w:eastAsia="Palatino Linotype" w:hAnsi="Palatino Linotype" w:cs="Palatino Linotype"/>
          <w:sz w:val="22"/>
          <w:szCs w:val="22"/>
        </w:rPr>
      </w:pPr>
    </w:p>
    <w:p w14:paraId="6B676595"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78B0EF39" w14:textId="77777777" w:rsidR="00C10D27" w:rsidRDefault="00C10D27">
      <w:pPr>
        <w:spacing w:line="360" w:lineRule="auto"/>
        <w:jc w:val="both"/>
        <w:rPr>
          <w:rFonts w:ascii="Palatino Linotype" w:eastAsia="Palatino Linotype" w:hAnsi="Palatino Linotype" w:cs="Palatino Linotype"/>
          <w:sz w:val="22"/>
          <w:szCs w:val="22"/>
        </w:rPr>
      </w:pPr>
    </w:p>
    <w:p w14:paraId="36D665B4" w14:textId="77777777" w:rsidR="00C10D27" w:rsidRDefault="004F7300">
      <w:pPr>
        <w:pStyle w:val="Ttulo2"/>
      </w:pPr>
      <w:bookmarkStart w:id="9" w:name="_Toc226634178"/>
      <w:r>
        <w:t>TERCERO. Determinación de la Controversia</w:t>
      </w:r>
      <w:bookmarkEnd w:id="9"/>
    </w:p>
    <w:p w14:paraId="5A0877F1"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11EE3251"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 el objeto de ilustrar la controversia planteada, resulta conveniente precisar, que una vez realizado el estudio de las constancias que integran el expediente en que se actúa, se desprende que el Particular requirió los oficios recibidos y emitidos en l</w:t>
      </w:r>
      <w:r>
        <w:rPr>
          <w:rFonts w:ascii="Palatino Linotype" w:eastAsia="Palatino Linotype" w:hAnsi="Palatino Linotype" w:cs="Palatino Linotype"/>
          <w:sz w:val="22"/>
          <w:szCs w:val="22"/>
        </w:rPr>
        <w:t xml:space="preserve">a Novena Regiduría, del primero al treinta de abril de dos mil veinticinco </w:t>
      </w:r>
    </w:p>
    <w:p w14:paraId="7A0D1820" w14:textId="77777777" w:rsidR="00C10D27" w:rsidRDefault="00C10D27">
      <w:pPr>
        <w:pBdr>
          <w:top w:val="nil"/>
          <w:left w:val="nil"/>
          <w:bottom w:val="nil"/>
          <w:right w:val="nil"/>
          <w:between w:val="nil"/>
        </w:pBdr>
        <w:spacing w:line="360" w:lineRule="auto"/>
        <w:ind w:right="-28"/>
        <w:jc w:val="both"/>
        <w:rPr>
          <w:rFonts w:ascii="Palatino Linotype" w:eastAsia="Palatino Linotype" w:hAnsi="Palatino Linotype" w:cs="Palatino Linotype"/>
          <w:color w:val="FF0000"/>
          <w:sz w:val="22"/>
          <w:szCs w:val="22"/>
        </w:rPr>
      </w:pPr>
    </w:p>
    <w:p w14:paraId="6363877F"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Ante la falta de respuesta del Ente Recurrido, el Particular, justamente se inconformó por la falta de entrega de la información, lo cual se actualiza el supuesto previsto en el a</w:t>
      </w:r>
      <w:r>
        <w:rPr>
          <w:rFonts w:ascii="Palatino Linotype" w:eastAsia="Palatino Linotype" w:hAnsi="Palatino Linotype" w:cs="Palatino Linotype"/>
          <w:sz w:val="22"/>
          <w:szCs w:val="22"/>
        </w:rPr>
        <w:t>rtículo 179, fracción VII, de la Ley de Transparencia y Acceso a la Información Pública del Estado de México y Municipios</w:t>
      </w:r>
      <w:r>
        <w:rPr>
          <w:rFonts w:ascii="Palatino Linotype" w:eastAsia="Palatino Linotype" w:hAnsi="Palatino Linotype" w:cs="Palatino Linotype"/>
          <w:sz w:val="22"/>
          <w:szCs w:val="22"/>
          <w:highlight w:val="white"/>
        </w:rPr>
        <w:t xml:space="preserve">. </w:t>
      </w:r>
      <w:r>
        <w:rPr>
          <w:rFonts w:ascii="Palatino Linotype" w:eastAsia="Palatino Linotype" w:hAnsi="Palatino Linotype" w:cs="Palatino Linotype"/>
          <w:sz w:val="22"/>
          <w:szCs w:val="22"/>
        </w:rPr>
        <w:t xml:space="preserve">Así las cosas, una vez admitido y notificado el Recurso de Revisión a las partes, el Sujeto Obligado remitió diversos oficios recibidos y emitidos con anexos, por la Novena Regiduría, del primero al treinta de abril de dos mil veinticinco </w:t>
      </w:r>
    </w:p>
    <w:p w14:paraId="7C520759"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71F0D6F7"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w:t>
      </w:r>
      <w:r>
        <w:rPr>
          <w:rFonts w:ascii="Palatino Linotype" w:eastAsia="Palatino Linotype" w:hAnsi="Palatino Linotype" w:cs="Palatino Linotype"/>
          <w:sz w:val="22"/>
          <w:szCs w:val="22"/>
        </w:rPr>
        <w:t xml:space="preserve"> desprende de las documentales que obran en el expediente de referencia, materia de la presente resolución, consistente en: la solicitud de acceso a la información, el escrito recursal y el Informe Justificado; instrumentales que se toman en cuenta a efect</w:t>
      </w:r>
      <w:r>
        <w:rPr>
          <w:rFonts w:ascii="Palatino Linotype" w:eastAsia="Palatino Linotype" w:hAnsi="Palatino Linotype" w:cs="Palatino Linotype"/>
          <w:sz w:val="22"/>
          <w:szCs w:val="22"/>
        </w:rPr>
        <w:t>o de resolver el presente medio de impugnación, conforme a lo dispuesto por el artículo 185, fracción IV, de la Ley de Transparencia y Acceso a la Información Pública del Estado de México y Municipios.</w:t>
      </w:r>
    </w:p>
    <w:p w14:paraId="3F73C8D4" w14:textId="77777777" w:rsidR="00C10D27" w:rsidRDefault="00C10D27">
      <w:pPr>
        <w:tabs>
          <w:tab w:val="left" w:pos="4962"/>
        </w:tabs>
        <w:spacing w:line="360" w:lineRule="auto"/>
        <w:jc w:val="both"/>
        <w:rPr>
          <w:rFonts w:ascii="Palatino Linotype" w:eastAsia="Palatino Linotype" w:hAnsi="Palatino Linotype" w:cs="Palatino Linotype"/>
          <w:color w:val="FF0000"/>
          <w:sz w:val="22"/>
          <w:szCs w:val="22"/>
        </w:rPr>
      </w:pPr>
    </w:p>
    <w:p w14:paraId="57EC33AC" w14:textId="77777777" w:rsidR="00C10D27" w:rsidRDefault="004F7300">
      <w:pPr>
        <w:pStyle w:val="Ttulo2"/>
        <w:jc w:val="both"/>
      </w:pPr>
      <w:bookmarkStart w:id="10" w:name="_Toc226634179"/>
      <w:r>
        <w:t>CUARTO. Marco normativo aplicable en materia de trans</w:t>
      </w:r>
      <w:r>
        <w:t>parencia y acceso a la información pública</w:t>
      </w:r>
      <w:bookmarkEnd w:id="10"/>
    </w:p>
    <w:p w14:paraId="1B873257" w14:textId="77777777" w:rsidR="00C10D27" w:rsidRDefault="00C10D27">
      <w:pPr>
        <w:spacing w:line="360" w:lineRule="auto"/>
        <w:jc w:val="both"/>
        <w:rPr>
          <w:rFonts w:ascii="Palatino Linotype" w:eastAsia="Palatino Linotype" w:hAnsi="Palatino Linotype" w:cs="Palatino Linotype"/>
          <w:sz w:val="22"/>
          <w:szCs w:val="22"/>
        </w:rPr>
      </w:pPr>
    </w:p>
    <w:p w14:paraId="2CA2F9D1"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w:t>
      </w:r>
      <w:r>
        <w:rPr>
          <w:rFonts w:ascii="Palatino Linotype" w:eastAsia="Palatino Linotype" w:hAnsi="Palatino Linotype" w:cs="Palatino Linotype"/>
          <w:sz w:val="22"/>
          <w:szCs w:val="22"/>
        </w:rPr>
        <w:t>poralmente por razones de interés público.</w:t>
      </w:r>
    </w:p>
    <w:p w14:paraId="035681F9" w14:textId="77777777" w:rsidR="00C10D27" w:rsidRDefault="00C10D27">
      <w:pPr>
        <w:spacing w:line="360" w:lineRule="auto"/>
        <w:jc w:val="both"/>
        <w:rPr>
          <w:rFonts w:ascii="Palatino Linotype" w:eastAsia="Palatino Linotype" w:hAnsi="Palatino Linotype" w:cs="Palatino Linotype"/>
          <w:sz w:val="22"/>
          <w:szCs w:val="22"/>
        </w:rPr>
      </w:pPr>
    </w:p>
    <w:p w14:paraId="28C4E608"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Federal, en el sentido de la publicidad de toda la</w:t>
      </w:r>
      <w:r>
        <w:rPr>
          <w:rFonts w:ascii="Palatino Linotype" w:eastAsia="Palatino Linotype" w:hAnsi="Palatino Linotype" w:cs="Palatino Linotype"/>
          <w:sz w:val="22"/>
          <w:szCs w:val="22"/>
        </w:rPr>
        <w:t xml:space="preserve"> información, con la única restricción de proteger el interés público, así como la información referente a la intimidad de la vida privada y la imagen de las personas, con las excepciones que establezca la ley reglamentaria.</w:t>
      </w:r>
    </w:p>
    <w:p w14:paraId="24B979B4" w14:textId="77777777" w:rsidR="00C10D27" w:rsidRDefault="00C10D27">
      <w:pPr>
        <w:spacing w:line="360" w:lineRule="auto"/>
        <w:jc w:val="both"/>
        <w:rPr>
          <w:rFonts w:ascii="Palatino Linotype" w:eastAsia="Palatino Linotype" w:hAnsi="Palatino Linotype" w:cs="Palatino Linotype"/>
          <w:sz w:val="22"/>
          <w:szCs w:val="22"/>
        </w:rPr>
      </w:pPr>
    </w:p>
    <w:p w14:paraId="7A7EBC17"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w:t>
      </w:r>
      <w:r>
        <w:rPr>
          <w:rFonts w:ascii="Palatino Linotype" w:eastAsia="Palatino Linotype" w:hAnsi="Palatino Linotype" w:cs="Palatino Linotype"/>
          <w:sz w:val="22"/>
          <w:szCs w:val="22"/>
        </w:rPr>
        <w:t>sparencia y Acceso a la Información Pública del Estado de México y Municipios (Reglamentaria del artículo 5° de la Constitución Local), establece lo siguiente:</w:t>
      </w:r>
    </w:p>
    <w:p w14:paraId="6B02A60E" w14:textId="77777777" w:rsidR="00C10D27" w:rsidRDefault="00C10D27">
      <w:pPr>
        <w:spacing w:line="360" w:lineRule="auto"/>
        <w:jc w:val="both"/>
        <w:rPr>
          <w:rFonts w:ascii="Palatino Linotype" w:eastAsia="Palatino Linotype" w:hAnsi="Palatino Linotype" w:cs="Palatino Linotype"/>
          <w:sz w:val="22"/>
          <w:szCs w:val="22"/>
        </w:rPr>
      </w:pPr>
    </w:p>
    <w:p w14:paraId="5FA94FE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w:t>
      </w:r>
      <w:r>
        <w:rPr>
          <w:rFonts w:ascii="Palatino Linotype" w:eastAsia="Palatino Linotype" w:hAnsi="Palatino Linotype" w:cs="Palatino Linotype"/>
          <w:sz w:val="22"/>
          <w:szCs w:val="22"/>
        </w:rPr>
        <w:t>serven información pública serán responsables de la misma.</w:t>
      </w:r>
    </w:p>
    <w:p w14:paraId="7D6B7BFA" w14:textId="77777777" w:rsidR="00C10D27" w:rsidRDefault="00C10D27">
      <w:pPr>
        <w:spacing w:line="360" w:lineRule="auto"/>
        <w:jc w:val="both"/>
        <w:rPr>
          <w:rFonts w:ascii="Palatino Linotype" w:eastAsia="Palatino Linotype" w:hAnsi="Palatino Linotype" w:cs="Palatino Linotype"/>
          <w:sz w:val="22"/>
          <w:szCs w:val="22"/>
        </w:rPr>
      </w:pPr>
    </w:p>
    <w:p w14:paraId="1F8019F6"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18, que, los Sujetos Obligados deberán documentar todo acto que derive del ejercicio de sus facultades, competencias o funciones, considerando desde su origen la eventual publicidad y </w:t>
      </w:r>
      <w:r>
        <w:rPr>
          <w:rFonts w:ascii="Palatino Linotype" w:eastAsia="Palatino Linotype" w:hAnsi="Palatino Linotype" w:cs="Palatino Linotype"/>
          <w:sz w:val="22"/>
          <w:szCs w:val="22"/>
        </w:rPr>
        <w:t>reutilización de la información que generen.</w:t>
      </w:r>
    </w:p>
    <w:p w14:paraId="1070BAD3" w14:textId="77777777" w:rsidR="00C10D27" w:rsidRDefault="00C10D27">
      <w:pPr>
        <w:spacing w:line="360" w:lineRule="auto"/>
        <w:jc w:val="both"/>
        <w:rPr>
          <w:rFonts w:ascii="Palatino Linotype" w:eastAsia="Palatino Linotype" w:hAnsi="Palatino Linotype" w:cs="Palatino Linotype"/>
          <w:sz w:val="22"/>
          <w:szCs w:val="22"/>
        </w:rPr>
      </w:pPr>
    </w:p>
    <w:p w14:paraId="4FBBFCEE"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w:t>
      </w:r>
      <w:r>
        <w:rPr>
          <w:rFonts w:ascii="Palatino Linotype" w:eastAsia="Palatino Linotype" w:hAnsi="Palatino Linotype" w:cs="Palatino Linotype"/>
          <w:sz w:val="22"/>
          <w:szCs w:val="22"/>
        </w:rPr>
        <w:t>ue dichas facultades no se hayan ejercido, se deberá motivar la respuesta en función de las causas que motivaron tal circunstancia.</w:t>
      </w:r>
    </w:p>
    <w:p w14:paraId="79E30CDA" w14:textId="77777777" w:rsidR="00C10D27" w:rsidRDefault="00C10D27">
      <w:pPr>
        <w:spacing w:line="360" w:lineRule="auto"/>
        <w:jc w:val="both"/>
        <w:rPr>
          <w:rFonts w:ascii="Palatino Linotype" w:eastAsia="Palatino Linotype" w:hAnsi="Palatino Linotype" w:cs="Palatino Linotype"/>
          <w:sz w:val="22"/>
          <w:szCs w:val="22"/>
        </w:rPr>
      </w:pPr>
    </w:p>
    <w:p w14:paraId="1670F199" w14:textId="77777777" w:rsidR="00C10D27" w:rsidRDefault="004F7300">
      <w:pPr>
        <w:pStyle w:val="Ttulo2"/>
      </w:pPr>
      <w:bookmarkStart w:id="11" w:name="_Toc226634180"/>
      <w:r>
        <w:t>QUINTO. Estudio de Fondo</w:t>
      </w:r>
      <w:bookmarkEnd w:id="11"/>
    </w:p>
    <w:p w14:paraId="05F12B5D" w14:textId="77777777" w:rsidR="00C10D27" w:rsidRDefault="00C10D27">
      <w:pPr>
        <w:spacing w:line="360" w:lineRule="auto"/>
        <w:jc w:val="both"/>
        <w:rPr>
          <w:rFonts w:ascii="Palatino Linotype" w:eastAsia="Palatino Linotype" w:hAnsi="Palatino Linotype" w:cs="Palatino Linotype"/>
          <w:sz w:val="22"/>
          <w:szCs w:val="22"/>
        </w:rPr>
      </w:pPr>
    </w:p>
    <w:p w14:paraId="10194BC8"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Expuestas las posturas de las partes, se procede al análisis del agravio hecho valer por la </w:t>
      </w:r>
      <w:r>
        <w:rPr>
          <w:rFonts w:ascii="Palatino Linotype" w:eastAsia="Palatino Linotype" w:hAnsi="Palatino Linotype" w:cs="Palatino Linotype"/>
          <w:sz w:val="22"/>
          <w:szCs w:val="22"/>
        </w:rPr>
        <w:t>persona Recurrente, concerniente a la falta de respuesta del Ayuntamiento de Toluca a la solicitud de información.</w:t>
      </w:r>
    </w:p>
    <w:p w14:paraId="357CE597" w14:textId="77777777" w:rsidR="00C10D27" w:rsidRDefault="00C10D27">
      <w:pPr>
        <w:spacing w:line="360" w:lineRule="auto"/>
        <w:jc w:val="both"/>
        <w:rPr>
          <w:rFonts w:ascii="Palatino Linotype" w:eastAsia="Palatino Linotype" w:hAnsi="Palatino Linotype" w:cs="Palatino Linotype"/>
          <w:sz w:val="22"/>
          <w:szCs w:val="22"/>
        </w:rPr>
      </w:pPr>
    </w:p>
    <w:p w14:paraId="1380929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w:t>
      </w:r>
      <w:r>
        <w:rPr>
          <w:rFonts w:ascii="Palatino Linotype" w:eastAsia="Palatino Linotype" w:hAnsi="Palatino Linotype" w:cs="Palatino Linotype"/>
          <w:sz w:val="22"/>
          <w:szCs w:val="22"/>
        </w:rPr>
        <w:t xml:space="preserve"> y Municipios, en relación con la obligación de acceso por parte de los Sujetos Obligados, lo cuales se encuentran establecidos en el artículo 2° de dicho ordenamiento jurídico y son los siguientes:</w:t>
      </w:r>
    </w:p>
    <w:p w14:paraId="4684A8A9" w14:textId="77777777" w:rsidR="00C10D27" w:rsidRDefault="00C10D27">
      <w:pPr>
        <w:spacing w:line="360" w:lineRule="auto"/>
        <w:jc w:val="both"/>
        <w:rPr>
          <w:rFonts w:ascii="Palatino Linotype" w:eastAsia="Palatino Linotype" w:hAnsi="Palatino Linotype" w:cs="Palatino Linotype"/>
          <w:sz w:val="22"/>
          <w:szCs w:val="22"/>
        </w:rPr>
      </w:pPr>
    </w:p>
    <w:p w14:paraId="6A473442" w14:textId="77777777" w:rsidR="00C10D27" w:rsidRDefault="004F730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w:t>
      </w:r>
      <w:r>
        <w:rPr>
          <w:rFonts w:ascii="Palatino Linotype" w:eastAsia="Palatino Linotype" w:hAnsi="Palatino Linotype" w:cs="Palatino Linotype"/>
          <w:sz w:val="22"/>
          <w:szCs w:val="22"/>
        </w:rPr>
        <w:t>erecho de acceso a la información pública, a través de procedimientos sencillos, expeditos, oportunos y gratuitos;</w:t>
      </w:r>
    </w:p>
    <w:p w14:paraId="48ACB226" w14:textId="77777777" w:rsidR="00C10D27" w:rsidRDefault="00C10D27">
      <w:pPr>
        <w:spacing w:line="360" w:lineRule="auto"/>
        <w:ind w:left="720"/>
        <w:jc w:val="both"/>
        <w:rPr>
          <w:rFonts w:ascii="Palatino Linotype" w:eastAsia="Palatino Linotype" w:hAnsi="Palatino Linotype" w:cs="Palatino Linotype"/>
          <w:sz w:val="22"/>
          <w:szCs w:val="22"/>
        </w:rPr>
      </w:pPr>
    </w:p>
    <w:p w14:paraId="243B4468" w14:textId="77777777" w:rsidR="00C10D27" w:rsidRDefault="004F730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10BC1324" w14:textId="77777777" w:rsidR="00C10D27" w:rsidRDefault="00C10D27">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A36F8E3" w14:textId="77777777" w:rsidR="00C10D27" w:rsidRDefault="004F730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w:t>
      </w:r>
      <w:r>
        <w:rPr>
          <w:rFonts w:ascii="Palatino Linotype" w:eastAsia="Palatino Linotype" w:hAnsi="Palatino Linotype" w:cs="Palatino Linotype"/>
          <w:sz w:val="22"/>
          <w:szCs w:val="22"/>
        </w:rPr>
        <w:t>r la cultura de la transparencia en el ejercicio de la función pública, el acceso a la información y la participación ciudadana, así como, la rendición de cuentas.</w:t>
      </w:r>
    </w:p>
    <w:p w14:paraId="49F6E7C4" w14:textId="77777777" w:rsidR="00C10D27" w:rsidRDefault="00C10D27">
      <w:pPr>
        <w:spacing w:line="360" w:lineRule="auto"/>
        <w:jc w:val="both"/>
        <w:rPr>
          <w:rFonts w:ascii="Palatino Linotype" w:eastAsia="Palatino Linotype" w:hAnsi="Palatino Linotype" w:cs="Palatino Linotype"/>
          <w:sz w:val="22"/>
          <w:szCs w:val="22"/>
        </w:rPr>
      </w:pPr>
    </w:p>
    <w:p w14:paraId="2026391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w:t>
      </w:r>
      <w:r>
        <w:rPr>
          <w:rFonts w:ascii="Palatino Linotype" w:eastAsia="Palatino Linotype" w:hAnsi="Palatino Linotype" w:cs="Palatino Linotype"/>
          <w:sz w:val="22"/>
          <w:szCs w:val="22"/>
        </w:rPr>
        <w:t>er las bases que regirán las formas para garantizar el derecho de acceso a la información, mediante procesos sencillos y expeditos, la promoción, fomentación y difusión de la cultura de transparencia y la rendición de cuentas, a través de establecimiento d</w:t>
      </w:r>
      <w:r>
        <w:rPr>
          <w:rFonts w:ascii="Palatino Linotype" w:eastAsia="Palatino Linotype" w:hAnsi="Palatino Linotype" w:cs="Palatino Linotype"/>
          <w:sz w:val="22"/>
          <w:szCs w:val="22"/>
        </w:rPr>
        <w:t xml:space="preserve">e políticas públicas y </w:t>
      </w:r>
      <w:r>
        <w:rPr>
          <w:rFonts w:ascii="Palatino Linotype" w:eastAsia="Palatino Linotype" w:hAnsi="Palatino Linotype" w:cs="Palatino Linotype"/>
          <w:sz w:val="22"/>
          <w:szCs w:val="22"/>
        </w:rPr>
        <w:lastRenderedPageBreak/>
        <w:t>mecanismos que garanticen la publicidad de información oportuna, verificable, comprensible, actualizada y completa.</w:t>
      </w:r>
    </w:p>
    <w:p w14:paraId="75694753" w14:textId="77777777" w:rsidR="00C10D27" w:rsidRDefault="00C10D27">
      <w:pPr>
        <w:spacing w:line="360" w:lineRule="auto"/>
        <w:jc w:val="both"/>
        <w:rPr>
          <w:rFonts w:ascii="Palatino Linotype" w:eastAsia="Palatino Linotype" w:hAnsi="Palatino Linotype" w:cs="Palatino Linotype"/>
          <w:sz w:val="22"/>
          <w:szCs w:val="22"/>
        </w:rPr>
      </w:pPr>
    </w:p>
    <w:p w14:paraId="62E233C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w:t>
      </w:r>
      <w:r>
        <w:rPr>
          <w:rFonts w:ascii="Palatino Linotype" w:eastAsia="Palatino Linotype" w:hAnsi="Palatino Linotype" w:cs="Palatino Linotype"/>
          <w:sz w:val="22"/>
          <w:szCs w:val="22"/>
        </w:rPr>
        <w:t>io de máxima publicidad el cual dispone que toda la información en posesión de los sujetos obligados será pública, completa, oportuna y accesible, sujeta a un claro régimen de excepciones que deberán estar definidas y ser legítimas y estrictamente necesari</w:t>
      </w:r>
      <w:r>
        <w:rPr>
          <w:rFonts w:ascii="Palatino Linotype" w:eastAsia="Palatino Linotype" w:hAnsi="Palatino Linotype" w:cs="Palatino Linotype"/>
          <w:sz w:val="22"/>
          <w:szCs w:val="22"/>
        </w:rPr>
        <w:t>as en una sociedad democrática.</w:t>
      </w:r>
    </w:p>
    <w:p w14:paraId="1AE990F2" w14:textId="77777777" w:rsidR="00C10D27" w:rsidRDefault="00C10D27">
      <w:pPr>
        <w:spacing w:line="360" w:lineRule="auto"/>
        <w:jc w:val="both"/>
        <w:rPr>
          <w:rFonts w:ascii="Palatino Linotype" w:eastAsia="Palatino Linotype" w:hAnsi="Palatino Linotype" w:cs="Palatino Linotype"/>
          <w:sz w:val="22"/>
          <w:szCs w:val="22"/>
        </w:rPr>
      </w:pPr>
    </w:p>
    <w:p w14:paraId="0D6A4F1C"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lograr lo anterior, los Sujetos Obligados deben seguir el procedimiento para la atención a las solicitudes de acceso a la información, establecido en los artículos 151, 159, 160, 162, 163, 164, 165 y 166, de la Ley de </w:t>
      </w:r>
      <w:r>
        <w:rPr>
          <w:rFonts w:ascii="Palatino Linotype" w:eastAsia="Palatino Linotype" w:hAnsi="Palatino Linotype" w:cs="Palatino Linotype"/>
          <w:sz w:val="22"/>
          <w:szCs w:val="22"/>
        </w:rPr>
        <w:t>Transparencia y Acceso a la Información Pública del Estado de México y Municipios, el cual es el siguiente:</w:t>
      </w:r>
    </w:p>
    <w:p w14:paraId="4269ABAE" w14:textId="77777777" w:rsidR="00C10D27" w:rsidRDefault="00C10D27">
      <w:pPr>
        <w:spacing w:line="360" w:lineRule="auto"/>
        <w:jc w:val="both"/>
        <w:rPr>
          <w:rFonts w:ascii="Palatino Linotype" w:eastAsia="Palatino Linotype" w:hAnsi="Palatino Linotype" w:cs="Palatino Linotype"/>
          <w:sz w:val="22"/>
          <w:szCs w:val="22"/>
        </w:rPr>
      </w:pPr>
    </w:p>
    <w:p w14:paraId="6AEC0920"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Unidades de Transparencia de los Sujetos Obligados deben garantizar las medidas y condiciones de accesibilidad para que toda persona puede </w:t>
      </w:r>
      <w:r>
        <w:rPr>
          <w:rFonts w:ascii="Palatino Linotype" w:eastAsia="Palatino Linotype" w:hAnsi="Palatino Linotype" w:cs="Palatino Linotype"/>
          <w:sz w:val="22"/>
          <w:szCs w:val="22"/>
        </w:rPr>
        <w:t>ejercer el derecho de acceso a la información; por lo que, son las responsables de hacer las notificaciones correspondientes, además de llevar a cabo de todas las gestiones necesarias para facilitar el acceso de la información;</w:t>
      </w:r>
    </w:p>
    <w:p w14:paraId="7C27056F" w14:textId="77777777" w:rsidR="00C10D27" w:rsidRDefault="00C10D27">
      <w:pPr>
        <w:spacing w:line="360" w:lineRule="auto"/>
        <w:ind w:left="720"/>
        <w:jc w:val="both"/>
        <w:rPr>
          <w:rFonts w:ascii="Palatino Linotype" w:eastAsia="Palatino Linotype" w:hAnsi="Palatino Linotype" w:cs="Palatino Linotype"/>
          <w:sz w:val="22"/>
          <w:szCs w:val="22"/>
        </w:rPr>
      </w:pPr>
    </w:p>
    <w:p w14:paraId="00087A6D"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w:t>
      </w:r>
      <w:r>
        <w:rPr>
          <w:rFonts w:ascii="Palatino Linotype" w:eastAsia="Palatino Linotype" w:hAnsi="Palatino Linotype" w:cs="Palatino Linotype"/>
          <w:sz w:val="22"/>
          <w:szCs w:val="22"/>
        </w:rPr>
        <w:t>n requerirle a los Solicitantes, que complementen, corrijan o amplíen su solicitud de información, cuando resulten los datos proporcionados insuficientes, incorrectos, incompletos o erróneos; solicitar dicha aclaración, interrumpirá el plazo para dar respu</w:t>
      </w:r>
      <w:r>
        <w:rPr>
          <w:rFonts w:ascii="Palatino Linotype" w:eastAsia="Palatino Linotype" w:hAnsi="Palatino Linotype" w:cs="Palatino Linotype"/>
          <w:sz w:val="22"/>
          <w:szCs w:val="22"/>
        </w:rPr>
        <w:t>esta y comenzará a computarse el día siguiente al desahogo de esta;</w:t>
      </w:r>
    </w:p>
    <w:p w14:paraId="604D47E4" w14:textId="77777777" w:rsidR="00C10D27" w:rsidRDefault="00C10D27">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FCBDAB0"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w:t>
      </w:r>
      <w:r>
        <w:rPr>
          <w:rFonts w:ascii="Palatino Linotype" w:eastAsia="Palatino Linotype" w:hAnsi="Palatino Linotype" w:cs="Palatino Linotype"/>
          <w:sz w:val="22"/>
          <w:szCs w:val="22"/>
        </w:rPr>
        <w:t>presentación de ésta. Excepcionalmente, el plazo referido podrá ampliarse por siete días hábiles más, cuando existan razones fundadas y motivadas, a través del Comité de Transparencia;</w:t>
      </w:r>
    </w:p>
    <w:p w14:paraId="1A913F6C" w14:textId="77777777" w:rsidR="00C10D27" w:rsidRDefault="00C10D27">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13ACF86"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w:t>
      </w:r>
      <w:r>
        <w:rPr>
          <w:rFonts w:ascii="Palatino Linotype" w:eastAsia="Palatino Linotype" w:hAnsi="Palatino Linotype" w:cs="Palatino Linotype"/>
          <w:sz w:val="22"/>
          <w:szCs w:val="22"/>
        </w:rPr>
        <w:t xml:space="preserve">en a todas las áreas competentes que cuenten con la información o deban tenerla de acuerdo a sus facultades, funciones y atribuciones, para que realicen una búsqueda exhaustiva y razonable de la documentación solicitada, con el fin de que proporcionen las </w:t>
      </w:r>
      <w:r>
        <w:rPr>
          <w:rFonts w:ascii="Palatino Linotype" w:eastAsia="Palatino Linotype" w:hAnsi="Palatino Linotype" w:cs="Palatino Linotype"/>
          <w:sz w:val="22"/>
          <w:szCs w:val="22"/>
        </w:rPr>
        <w:t>expresiones documentales que se encuentren en sus archivos o que estén constreñidos a elaborar;</w:t>
      </w:r>
    </w:p>
    <w:p w14:paraId="583837D9" w14:textId="77777777" w:rsidR="00C10D27" w:rsidRDefault="00C10D27">
      <w:pPr>
        <w:spacing w:line="360" w:lineRule="auto"/>
        <w:rPr>
          <w:rFonts w:ascii="Palatino Linotype" w:eastAsia="Palatino Linotype" w:hAnsi="Palatino Linotype" w:cs="Palatino Linotype"/>
        </w:rPr>
      </w:pPr>
    </w:p>
    <w:p w14:paraId="7FC35672"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w:t>
      </w:r>
      <w:r>
        <w:rPr>
          <w:rFonts w:ascii="Palatino Linotype" w:eastAsia="Palatino Linotype" w:hAnsi="Palatino Linotype" w:cs="Palatino Linotype"/>
          <w:sz w:val="22"/>
          <w:szCs w:val="22"/>
        </w:rPr>
        <w:t>do deberá ofrecer otras; por lo cual, deberá fundamentar y motivar la necesidad de modificar el medio de entrega, y</w:t>
      </w:r>
    </w:p>
    <w:p w14:paraId="03D852B9" w14:textId="77777777" w:rsidR="00C10D27" w:rsidRDefault="00C10D27">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CEA27B3" w14:textId="77777777" w:rsidR="00C10D27" w:rsidRDefault="004F730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w:t>
      </w:r>
      <w:r>
        <w:rPr>
          <w:rFonts w:ascii="Palatino Linotype" w:eastAsia="Palatino Linotype" w:hAnsi="Palatino Linotype" w:cs="Palatino Linotype"/>
          <w:sz w:val="22"/>
          <w:szCs w:val="22"/>
        </w:rPr>
        <w:t xml:space="preserve">ir de que el solicitante hubiere realizado, en su caso, el pago respectivo, el cual deberá efectuarse en un plazo no mayor a treinta días hábiles; por lo que, una vez trascurrida dicha temporalidad, los Sujetos Obligados darán por concluida la solicitud y </w:t>
      </w:r>
      <w:r>
        <w:rPr>
          <w:rFonts w:ascii="Palatino Linotype" w:eastAsia="Palatino Linotype" w:hAnsi="Palatino Linotype" w:cs="Palatino Linotype"/>
          <w:sz w:val="22"/>
          <w:szCs w:val="22"/>
        </w:rPr>
        <w:t>procederán de ser el caso, a la destrucción del material.</w:t>
      </w:r>
    </w:p>
    <w:p w14:paraId="5E01C31C" w14:textId="77777777" w:rsidR="00C10D27" w:rsidRDefault="00C10D27">
      <w:pPr>
        <w:spacing w:line="360" w:lineRule="auto"/>
        <w:jc w:val="both"/>
        <w:rPr>
          <w:rFonts w:ascii="Palatino Linotype" w:eastAsia="Palatino Linotype" w:hAnsi="Palatino Linotype" w:cs="Palatino Linotype"/>
          <w:sz w:val="22"/>
          <w:szCs w:val="22"/>
        </w:rPr>
      </w:pPr>
    </w:p>
    <w:p w14:paraId="04A6F526"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Ayuntamiento de Toluca, no había registrado re</w:t>
      </w:r>
      <w:r>
        <w:rPr>
          <w:rFonts w:ascii="Palatino Linotype" w:eastAsia="Palatino Linotype" w:hAnsi="Palatino Linotype" w:cs="Palatino Linotype"/>
          <w:sz w:val="22"/>
          <w:szCs w:val="22"/>
        </w:rPr>
        <w:t>spuesta al requerimiento de acceso a la información, el cual se presentó, el doce de enero de dos mil veintiséis.</w:t>
      </w:r>
    </w:p>
    <w:p w14:paraId="14175C78"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5F431AC5" w14:textId="77777777" w:rsidR="00C10D27" w:rsidRDefault="004F7300">
      <w:pPr>
        <w:spacing w:line="360" w:lineRule="auto"/>
        <w:jc w:val="both"/>
        <w:rPr>
          <w:rFonts w:ascii="Palatino Linotype" w:eastAsia="Palatino Linotype" w:hAnsi="Palatino Linotype" w:cs="Palatino Linotype"/>
          <w:sz w:val="22"/>
          <w:szCs w:val="22"/>
        </w:rPr>
      </w:pPr>
      <w:bookmarkStart w:id="12" w:name="_heading=h.usgzxlygqng2" w:colFirst="0" w:colLast="0"/>
      <w:bookmarkEnd w:id="12"/>
      <w:r>
        <w:rPr>
          <w:rFonts w:ascii="Palatino Linotype" w:eastAsia="Palatino Linotype" w:hAnsi="Palatino Linotype" w:cs="Palatino Linotype"/>
          <w:sz w:val="22"/>
          <w:szCs w:val="22"/>
        </w:rPr>
        <w:t xml:space="preserve">En ese orden de ideas, el plazo con el que contaba el Sujeto Obligado para emitir contestación al requerimiento informativo comenzó a correr </w:t>
      </w:r>
      <w:r>
        <w:rPr>
          <w:rFonts w:ascii="Palatino Linotype" w:eastAsia="Palatino Linotype" w:hAnsi="Palatino Linotype" w:cs="Palatino Linotype"/>
          <w:sz w:val="22"/>
          <w:szCs w:val="22"/>
        </w:rPr>
        <w:t>el trece de enero y feneció el tres de febrero de dos mil veintiséis; lo anterior, sin contar los días, diecisiete, dieciocho, veinticuatro, veinticinco y treinta y uno de enero, así como cinco dos de febrero, todos de dos mil veintiséis, de conformidad co</w:t>
      </w:r>
      <w:r>
        <w:rPr>
          <w:rFonts w:ascii="Palatino Linotype" w:eastAsia="Palatino Linotype" w:hAnsi="Palatino Linotype" w:cs="Palatino Linotype"/>
          <w:sz w:val="22"/>
          <w:szCs w:val="22"/>
        </w:rPr>
        <w:t>n los artículo, 3°, fracción X y 159, de la Ley de Transparencia y Acceso a la Información Pública del Estado de México y Municipios y el Calendario Oficial en Materia de Transparencia, Acceso a la Información Pública y Protección de Datos Personales del E</w:t>
      </w:r>
      <w:r>
        <w:rPr>
          <w:rFonts w:ascii="Palatino Linotype" w:eastAsia="Palatino Linotype" w:hAnsi="Palatino Linotype" w:cs="Palatino Linotype"/>
          <w:sz w:val="22"/>
          <w:szCs w:val="22"/>
        </w:rPr>
        <w:t>stado de México y Municipios, así como de laborales de este Instituto, para el año dos mil veintiséis.</w:t>
      </w:r>
    </w:p>
    <w:p w14:paraId="2C66D3BB"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7FD57071"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este Instituto verificó que, en efecto, no se registró respuesta a la solicitud de información de la persona Recurrente, en el Sistema de Acceso a </w:t>
      </w:r>
      <w:r>
        <w:rPr>
          <w:rFonts w:ascii="Palatino Linotype" w:eastAsia="Palatino Linotype" w:hAnsi="Palatino Linotype" w:cs="Palatino Linotype"/>
          <w:sz w:val="22"/>
          <w:szCs w:val="22"/>
        </w:rPr>
        <w:t>la Información Mexiquense (SAIMEX), tal como se observa a continuación:</w:t>
      </w:r>
    </w:p>
    <w:p w14:paraId="3A479224" w14:textId="77777777" w:rsidR="00C10D27" w:rsidRDefault="00C10D27">
      <w:pPr>
        <w:spacing w:line="360" w:lineRule="auto"/>
        <w:rPr>
          <w:rFonts w:ascii="Palatino Linotype" w:eastAsia="Palatino Linotype" w:hAnsi="Palatino Linotype" w:cs="Palatino Linotype"/>
          <w:color w:val="FF0000"/>
          <w:sz w:val="22"/>
          <w:szCs w:val="22"/>
        </w:rPr>
      </w:pPr>
    </w:p>
    <w:p w14:paraId="66BE48EA" w14:textId="77777777" w:rsidR="00C10D27" w:rsidRDefault="004F7300">
      <w:pPr>
        <w:spacing w:line="360" w:lineRule="auto"/>
        <w:jc w:val="center"/>
        <w:rPr>
          <w:rFonts w:ascii="Palatino Linotype" w:eastAsia="Palatino Linotype" w:hAnsi="Palatino Linotype" w:cs="Palatino Linotype"/>
          <w:color w:val="FF0000"/>
          <w:sz w:val="22"/>
          <w:szCs w:val="22"/>
        </w:rPr>
      </w:pPr>
      <w:r>
        <w:rPr>
          <w:rFonts w:ascii="Palatino Linotype" w:eastAsia="Palatino Linotype" w:hAnsi="Palatino Linotype" w:cs="Palatino Linotype"/>
          <w:noProof/>
          <w:color w:val="FF0000"/>
          <w:sz w:val="22"/>
          <w:szCs w:val="22"/>
        </w:rPr>
        <w:lastRenderedPageBreak/>
        <w:drawing>
          <wp:inline distT="0" distB="0" distL="0" distR="0" wp14:anchorId="3931A1B3" wp14:editId="40151722">
            <wp:extent cx="3840539" cy="22718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40539" cy="2271868"/>
                    </a:xfrm>
                    <a:prstGeom prst="rect">
                      <a:avLst/>
                    </a:prstGeom>
                    <a:ln/>
                  </pic:spPr>
                </pic:pic>
              </a:graphicData>
            </a:graphic>
          </wp:inline>
        </w:drawing>
      </w:r>
    </w:p>
    <w:p w14:paraId="2D00310B"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7B664C62"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Ayuntamiento de </w:t>
      </w:r>
      <w:r>
        <w:rPr>
          <w:rFonts w:ascii="Palatino Linotype" w:eastAsia="Palatino Linotype" w:hAnsi="Palatino Linotype" w:cs="Palatino Linotype"/>
          <w:color w:val="0D0D0D"/>
          <w:sz w:val="22"/>
          <w:szCs w:val="22"/>
        </w:rPr>
        <w:t xml:space="preserve">Toluca, no </w:t>
      </w:r>
      <w:r>
        <w:rPr>
          <w:rFonts w:ascii="Palatino Linotype" w:eastAsia="Palatino Linotype" w:hAnsi="Palatino Linotype" w:cs="Palatino Linotype"/>
          <w:sz w:val="22"/>
          <w:szCs w:val="22"/>
        </w:rPr>
        <w:t>emitió respuesta para dar contestación a la solicitud de acceso a la información pública, dentro de los plazos establecidos en el artículo 163, de la Ley de Transparencia y Acceso a la Información Pública del Estado de México y Municipios, pues tenía hasta</w:t>
      </w:r>
      <w:r>
        <w:rPr>
          <w:rFonts w:ascii="Palatino Linotype" w:eastAsia="Palatino Linotype" w:hAnsi="Palatino Linotype" w:cs="Palatino Linotype"/>
          <w:sz w:val="22"/>
          <w:szCs w:val="22"/>
        </w:rPr>
        <w:t xml:space="preserve"> el tres de febrero de dos mil veintiséis,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No obstante, durante la substanciación del Medio de Impugnación, el Ente Recurrido emitió contestación, por lo que se procede a su a</w:t>
      </w:r>
      <w:r>
        <w:rPr>
          <w:rFonts w:ascii="Palatino Linotype" w:eastAsia="Palatino Linotype" w:hAnsi="Palatino Linotype" w:cs="Palatino Linotype"/>
          <w:sz w:val="22"/>
          <w:szCs w:val="22"/>
        </w:rPr>
        <w:t>nálisis, para lo cual es necesario contextualizar la solicitud de información.</w:t>
      </w:r>
    </w:p>
    <w:p w14:paraId="1E8D4031"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2BE4638E" w14:textId="77777777" w:rsidR="00C10D27" w:rsidRDefault="004F7300">
      <w:pPr>
        <w:widowControl w:val="0"/>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En principio, cabe precisar que de conformidad con los artículos 6°, apartado A, de la Constitución Política de los Estados Unidos Mexicanos, 5° de la Constitución Política del</w:t>
      </w:r>
      <w:r>
        <w:rPr>
          <w:rFonts w:ascii="Palatino Linotype" w:eastAsia="Palatino Linotype" w:hAnsi="Palatino Linotype" w:cs="Palatino Linotype"/>
          <w:color w:val="000000"/>
          <w:sz w:val="22"/>
          <w:szCs w:val="22"/>
        </w:rPr>
        <w:t xml:space="preserve"> Estado Libre y Soberano de México, y 4° de la Ley de Transparencia y Acceso a la Información Pública del Estado de México y Municipios, </w:t>
      </w:r>
      <w:r>
        <w:rPr>
          <w:rFonts w:ascii="Palatino Linotype" w:eastAsia="Palatino Linotype" w:hAnsi="Palatino Linotype" w:cs="Palatino Linotype"/>
          <w:b/>
          <w:bCs/>
          <w:color w:val="000000"/>
          <w:sz w:val="22"/>
          <w:szCs w:val="22"/>
        </w:rPr>
        <w:t>toda la información generada, obtenida, adquirida, transformada o en posesión de los sujetos obligados es pública y acc</w:t>
      </w:r>
      <w:r>
        <w:rPr>
          <w:rFonts w:ascii="Palatino Linotype" w:eastAsia="Palatino Linotype" w:hAnsi="Palatino Linotype" w:cs="Palatino Linotype"/>
          <w:b/>
          <w:bCs/>
          <w:color w:val="000000"/>
          <w:sz w:val="22"/>
          <w:szCs w:val="22"/>
        </w:rPr>
        <w:t>esible a cualquier persona.</w:t>
      </w:r>
    </w:p>
    <w:p w14:paraId="73CC0A8F"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75BE1731"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ese contexto, el artículo 18 de la Ley de Transparencia y Acceso a la Información Pública del Estado de México y Municipios, contempla que los sujetos obligados deberán documentar todo acto que derive del ejercicio de sus f</w:t>
      </w:r>
      <w:r>
        <w:rPr>
          <w:rFonts w:ascii="Palatino Linotype" w:eastAsia="Palatino Linotype" w:hAnsi="Palatino Linotype" w:cs="Palatino Linotype"/>
          <w:color w:val="000000"/>
          <w:sz w:val="22"/>
          <w:szCs w:val="22"/>
        </w:rPr>
        <w:t>acultades, competencias o funciones.</w:t>
      </w:r>
    </w:p>
    <w:p w14:paraId="188CADC3"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67F2C829"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relevancia, pues según Jarquín, Soledad (2019), en el “Diccionario de Transparencia y Acceso a la Información Pública” (p. 126 y 127), todos los sujetos obligados tienen la obligación jurídica, en mat</w:t>
      </w:r>
      <w:r>
        <w:rPr>
          <w:rFonts w:ascii="Palatino Linotype" w:eastAsia="Palatino Linotype" w:hAnsi="Palatino Linotype" w:cs="Palatino Linotype"/>
          <w:color w:val="000000"/>
          <w:sz w:val="22"/>
          <w:szCs w:val="22"/>
        </w:rPr>
        <w:t>eria de transparencia y acceso a la información pública, de dejar constancia o registro material de las actividades efectuadas con motivo del ejercicio de sus atribuciones de cualquier acto que derive del ejercicio de sus facultades, competencias o funcion</w:t>
      </w:r>
      <w:r>
        <w:rPr>
          <w:rFonts w:ascii="Palatino Linotype" w:eastAsia="Palatino Linotype" w:hAnsi="Palatino Linotype" w:cs="Palatino Linotype"/>
          <w:color w:val="000000"/>
          <w:sz w:val="22"/>
          <w:szCs w:val="22"/>
        </w:rPr>
        <w:t>es.</w:t>
      </w:r>
    </w:p>
    <w:p w14:paraId="67F5C12E" w14:textId="77777777" w:rsidR="00C10D27" w:rsidRDefault="00C10D27">
      <w:pPr>
        <w:widowControl w:val="0"/>
        <w:spacing w:line="360" w:lineRule="auto"/>
        <w:jc w:val="both"/>
        <w:rPr>
          <w:rFonts w:ascii="Palatino Linotype" w:eastAsia="Palatino Linotype" w:hAnsi="Palatino Linotype" w:cs="Palatino Linotype"/>
          <w:color w:val="000000"/>
          <w:sz w:val="22"/>
          <w:szCs w:val="22"/>
        </w:rPr>
      </w:pPr>
    </w:p>
    <w:p w14:paraId="5A00FE51"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precisa que los documentos son el registro material que da testimonio de las actividades efectuadas por los sujetos obligados con motivo del ejercicio de sus facultades, atribuciones o funciones, los cuales pueden ser escritos, impresos, sonor</w:t>
      </w:r>
      <w:r>
        <w:rPr>
          <w:rFonts w:ascii="Palatino Linotype" w:eastAsia="Palatino Linotype" w:hAnsi="Palatino Linotype" w:cs="Palatino Linotype"/>
          <w:color w:val="000000"/>
          <w:sz w:val="22"/>
          <w:szCs w:val="22"/>
        </w:rPr>
        <w:t xml:space="preserve">os, visuales, electrónicos, informáticos, entre otros; asimismo aclara que estos pueden contener valores administrativos, legales, fiscales, contables, históricos, informativos, entre otros. </w:t>
      </w:r>
    </w:p>
    <w:p w14:paraId="732945E2"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116AF4DA" w14:textId="77777777" w:rsidR="00C10D27" w:rsidRDefault="004F7300">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contexto, los diversos 12 y 24 de dicho ordenamiento </w:t>
      </w:r>
      <w:r>
        <w:rPr>
          <w:rFonts w:ascii="Palatino Linotype" w:eastAsia="Palatino Linotype" w:hAnsi="Palatino Linotype" w:cs="Palatino Linotype"/>
          <w:color w:val="000000"/>
          <w:sz w:val="22"/>
          <w:szCs w:val="22"/>
        </w:rPr>
        <w:t>jurídico, prevén que, es deber de los Sujetos Obligados proporcionar la información pública que se les requiera siempre y cuando obre en sus archivos; lo cual no implica que tengan que procesar, generar, resumir, efectuar cálculos o practicar investigacion</w:t>
      </w:r>
      <w:r>
        <w:rPr>
          <w:rFonts w:ascii="Palatino Linotype" w:eastAsia="Palatino Linotype" w:hAnsi="Palatino Linotype" w:cs="Palatino Linotype"/>
          <w:color w:val="000000"/>
          <w:sz w:val="22"/>
          <w:szCs w:val="22"/>
        </w:rPr>
        <w:t>es a fin de satisfacer la pretensión de los solicitantes.</w:t>
      </w:r>
    </w:p>
    <w:p w14:paraId="4F400B83" w14:textId="77777777" w:rsidR="00C10D27" w:rsidRDefault="00C10D27">
      <w:pPr>
        <w:widowControl w:val="0"/>
        <w:spacing w:line="360" w:lineRule="auto"/>
        <w:jc w:val="both"/>
        <w:rPr>
          <w:rFonts w:ascii="Palatino Linotype" w:eastAsia="Palatino Linotype" w:hAnsi="Palatino Linotype" w:cs="Palatino Linotype"/>
          <w:color w:val="000000"/>
          <w:sz w:val="22"/>
          <w:szCs w:val="22"/>
        </w:rPr>
      </w:pPr>
    </w:p>
    <w:p w14:paraId="670682E5" w14:textId="77777777" w:rsidR="00C10D27" w:rsidRDefault="004F730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en relación con la información solicitada, el artículo 89 del Bando Municipal del Ayuntamiento Municipal de Toluca dos mil veinticinco, señala que el </w:t>
      </w:r>
      <w:r>
        <w:rPr>
          <w:rFonts w:ascii="Palatino Linotype" w:eastAsia="Palatino Linotype" w:hAnsi="Palatino Linotype" w:cs="Palatino Linotype"/>
          <w:b/>
          <w:bCs/>
          <w:sz w:val="22"/>
          <w:szCs w:val="22"/>
        </w:rPr>
        <w:t xml:space="preserve">ayuntamiento, </w:t>
      </w:r>
      <w:r>
        <w:rPr>
          <w:rFonts w:ascii="Palatino Linotype" w:eastAsia="Palatino Linotype" w:hAnsi="Palatino Linotype" w:cs="Palatino Linotype"/>
          <w:sz w:val="22"/>
          <w:szCs w:val="22"/>
        </w:rPr>
        <w:t>es el Órgano de G</w:t>
      </w:r>
      <w:r>
        <w:rPr>
          <w:rFonts w:ascii="Palatino Linotype" w:eastAsia="Palatino Linotype" w:hAnsi="Palatino Linotype" w:cs="Palatino Linotype"/>
          <w:sz w:val="22"/>
          <w:szCs w:val="22"/>
        </w:rPr>
        <w:t xml:space="preserve">obierno Municipal, colegiado y deliberante, integrado por la o el Presidente Municipal, las y los Síndicos y </w:t>
      </w:r>
      <w:r>
        <w:rPr>
          <w:rFonts w:ascii="Palatino Linotype" w:eastAsia="Palatino Linotype" w:hAnsi="Palatino Linotype" w:cs="Palatino Linotype"/>
          <w:b/>
          <w:bCs/>
          <w:sz w:val="22"/>
          <w:szCs w:val="22"/>
        </w:rPr>
        <w:t>Regidores</w:t>
      </w:r>
      <w:r>
        <w:rPr>
          <w:rFonts w:ascii="Palatino Linotype" w:eastAsia="Palatino Linotype" w:hAnsi="Palatino Linotype" w:cs="Palatino Linotype"/>
          <w:sz w:val="22"/>
          <w:szCs w:val="22"/>
        </w:rPr>
        <w:t xml:space="preserve">, electos por votación popular directa. Asimismo, </w:t>
      </w:r>
      <w:r>
        <w:rPr>
          <w:rFonts w:ascii="Palatino Linotype" w:eastAsia="Palatino Linotype" w:hAnsi="Palatino Linotype" w:cs="Palatino Linotype"/>
          <w:sz w:val="22"/>
          <w:szCs w:val="22"/>
        </w:rPr>
        <w:lastRenderedPageBreak/>
        <w:t>conforme al directorio del Bando referido se logra vislumbrar a la Novena Regidora tal c</w:t>
      </w:r>
      <w:r>
        <w:rPr>
          <w:rFonts w:ascii="Palatino Linotype" w:eastAsia="Palatino Linotype" w:hAnsi="Palatino Linotype" w:cs="Palatino Linotype"/>
          <w:sz w:val="22"/>
          <w:szCs w:val="22"/>
        </w:rPr>
        <w:t xml:space="preserve">omo se muestra a continuación: </w:t>
      </w:r>
    </w:p>
    <w:p w14:paraId="7FD87104" w14:textId="77777777" w:rsidR="00C10D27" w:rsidRDefault="004F730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D74A0E3" w14:textId="77777777" w:rsidR="00C10D27" w:rsidRDefault="004F7300">
      <w:pPr>
        <w:widowControl w:val="0"/>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04255BA8" wp14:editId="2839E984">
            <wp:extent cx="2900074" cy="328897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00074" cy="3288973"/>
                    </a:xfrm>
                    <a:prstGeom prst="rect">
                      <a:avLst/>
                    </a:prstGeom>
                    <a:ln/>
                  </pic:spPr>
                </pic:pic>
              </a:graphicData>
            </a:graphic>
          </wp:inline>
        </w:drawing>
      </w:r>
    </w:p>
    <w:p w14:paraId="6E4CF6CF" w14:textId="77777777" w:rsidR="00C10D27" w:rsidRDefault="00C10D27">
      <w:pPr>
        <w:tabs>
          <w:tab w:val="left" w:pos="4962"/>
        </w:tabs>
        <w:spacing w:line="360" w:lineRule="auto"/>
        <w:jc w:val="both"/>
        <w:rPr>
          <w:rFonts w:ascii="Palatino Linotype" w:eastAsia="Palatino Linotype" w:hAnsi="Palatino Linotype" w:cs="Palatino Linotype"/>
          <w:color w:val="FF0000"/>
          <w:sz w:val="22"/>
          <w:szCs w:val="22"/>
        </w:rPr>
      </w:pPr>
    </w:p>
    <w:p w14:paraId="19A554F1"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se logra vislumbrar que la pretensión de la persona Recurrente es obtener, los oficios recibidos y emitidos en la Novena Regiduría, del primero al treinta de abril de dos mil veinticinco. </w:t>
      </w:r>
    </w:p>
    <w:p w14:paraId="76B87132" w14:textId="77777777" w:rsidR="00C10D27" w:rsidRDefault="00C10D27">
      <w:pPr>
        <w:tabs>
          <w:tab w:val="left" w:pos="4962"/>
        </w:tabs>
        <w:spacing w:line="360" w:lineRule="auto"/>
        <w:jc w:val="both"/>
        <w:rPr>
          <w:rFonts w:ascii="Palatino Linotype" w:eastAsia="Palatino Linotype" w:hAnsi="Palatino Linotype" w:cs="Palatino Linotype"/>
          <w:color w:val="FF0000"/>
        </w:rPr>
      </w:pPr>
    </w:p>
    <w:p w14:paraId="1CDB8E97" w14:textId="77777777" w:rsidR="00C10D27" w:rsidRDefault="004F7300">
      <w:pPr>
        <w:tabs>
          <w:tab w:val="left" w:pos="4962"/>
        </w:tabs>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En In</w:t>
      </w:r>
      <w:r>
        <w:rPr>
          <w:rFonts w:ascii="Palatino Linotype" w:eastAsia="Palatino Linotype" w:hAnsi="Palatino Linotype" w:cs="Palatino Linotype"/>
          <w:color w:val="0D0D0D"/>
          <w:sz w:val="22"/>
          <w:szCs w:val="22"/>
        </w:rPr>
        <w:t>forme Justificado, el Sujeto Obligado a través de la Novena Regiduría remitió la digitalización de diversos oficios con anexos, correspondientes al periodo solicitado, sin embargo, de la revisión de las documentales se logró advertir que están incompletos,</w:t>
      </w:r>
      <w:r>
        <w:rPr>
          <w:rFonts w:ascii="Palatino Linotype" w:eastAsia="Palatino Linotype" w:hAnsi="Palatino Linotype" w:cs="Palatino Linotype"/>
          <w:color w:val="0D0D0D"/>
          <w:sz w:val="22"/>
          <w:szCs w:val="22"/>
        </w:rPr>
        <w:t xml:space="preserve"> pues no se entregaron los números de oficios consecutivos, de aquellos enviados por el área, tal como se precisa en el siguiente cuadro:</w:t>
      </w:r>
    </w:p>
    <w:p w14:paraId="2DFA0169"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3583"/>
        <w:gridCol w:w="3966"/>
      </w:tblGrid>
      <w:tr w:rsidR="00C10D27" w14:paraId="1D4ACE9E" w14:textId="77777777">
        <w:tc>
          <w:tcPr>
            <w:tcW w:w="1377" w:type="dxa"/>
            <w:shd w:val="clear" w:color="auto" w:fill="BFBFBF"/>
          </w:tcPr>
          <w:p w14:paraId="6B14E8B7" w14:textId="77777777" w:rsidR="00C10D27" w:rsidRDefault="004F7300">
            <w:pPr>
              <w:spacing w:line="360" w:lineRule="auto"/>
              <w:jc w:val="center"/>
              <w:rPr>
                <w:b/>
                <w:bCs/>
                <w:color w:val="000000"/>
                <w:sz w:val="22"/>
                <w:szCs w:val="22"/>
              </w:rPr>
            </w:pPr>
            <w:r>
              <w:rPr>
                <w:b/>
                <w:bCs/>
                <w:color w:val="000000"/>
                <w:sz w:val="22"/>
                <w:szCs w:val="22"/>
              </w:rPr>
              <w:lastRenderedPageBreak/>
              <w:t>Mes</w:t>
            </w:r>
          </w:p>
        </w:tc>
        <w:tc>
          <w:tcPr>
            <w:tcW w:w="3583" w:type="dxa"/>
            <w:shd w:val="clear" w:color="auto" w:fill="BFBFBF"/>
          </w:tcPr>
          <w:p w14:paraId="1C30B0F0" w14:textId="77777777" w:rsidR="00C10D27" w:rsidRDefault="004F7300">
            <w:pPr>
              <w:spacing w:line="360" w:lineRule="auto"/>
              <w:jc w:val="center"/>
              <w:rPr>
                <w:b/>
                <w:bCs/>
                <w:color w:val="000000"/>
                <w:sz w:val="22"/>
                <w:szCs w:val="22"/>
              </w:rPr>
            </w:pPr>
            <w:r>
              <w:rPr>
                <w:b/>
                <w:bCs/>
                <w:color w:val="000000"/>
                <w:sz w:val="22"/>
                <w:szCs w:val="22"/>
              </w:rPr>
              <w:t>Informe Justificado</w:t>
            </w:r>
          </w:p>
        </w:tc>
        <w:tc>
          <w:tcPr>
            <w:tcW w:w="3966" w:type="dxa"/>
            <w:shd w:val="clear" w:color="auto" w:fill="BFBFBF"/>
          </w:tcPr>
          <w:p w14:paraId="1300B5CA" w14:textId="77777777" w:rsidR="00C10D27" w:rsidRDefault="004F7300">
            <w:pPr>
              <w:spacing w:line="360" w:lineRule="auto"/>
              <w:jc w:val="center"/>
              <w:rPr>
                <w:b/>
                <w:bCs/>
                <w:color w:val="000000"/>
                <w:sz w:val="22"/>
                <w:szCs w:val="22"/>
              </w:rPr>
            </w:pPr>
            <w:r>
              <w:rPr>
                <w:b/>
                <w:bCs/>
                <w:color w:val="000000"/>
                <w:sz w:val="22"/>
                <w:szCs w:val="22"/>
              </w:rPr>
              <w:t>Observaciones</w:t>
            </w:r>
          </w:p>
        </w:tc>
      </w:tr>
      <w:tr w:rsidR="00C10D27" w14:paraId="043DF4CA" w14:textId="77777777">
        <w:tc>
          <w:tcPr>
            <w:tcW w:w="1377" w:type="dxa"/>
            <w:vAlign w:val="center"/>
          </w:tcPr>
          <w:p w14:paraId="59E53AC5" w14:textId="77777777" w:rsidR="00C10D27" w:rsidRDefault="004F7300">
            <w:pPr>
              <w:spacing w:line="360" w:lineRule="auto"/>
              <w:jc w:val="center"/>
              <w:rPr>
                <w:b/>
                <w:bCs/>
                <w:color w:val="000000"/>
                <w:sz w:val="22"/>
                <w:szCs w:val="22"/>
              </w:rPr>
            </w:pPr>
            <w:r>
              <w:rPr>
                <w:b/>
                <w:bCs/>
                <w:color w:val="000000"/>
                <w:sz w:val="22"/>
                <w:szCs w:val="22"/>
              </w:rPr>
              <w:t>Abril</w:t>
            </w:r>
          </w:p>
        </w:tc>
        <w:tc>
          <w:tcPr>
            <w:tcW w:w="3583" w:type="dxa"/>
          </w:tcPr>
          <w:p w14:paraId="4A0C7A52" w14:textId="77777777" w:rsidR="00C10D27" w:rsidRDefault="004F7300">
            <w:pPr>
              <w:spacing w:line="360" w:lineRule="auto"/>
              <w:rPr>
                <w:color w:val="000000"/>
                <w:sz w:val="22"/>
                <w:szCs w:val="22"/>
              </w:rPr>
            </w:pPr>
            <w:r>
              <w:rPr>
                <w:b/>
                <w:bCs/>
                <w:color w:val="000000"/>
                <w:sz w:val="22"/>
                <w:szCs w:val="22"/>
              </w:rPr>
              <w:t>Oficios emitidos:</w:t>
            </w:r>
            <w:r>
              <w:rPr>
                <w:color w:val="000000"/>
                <w:sz w:val="22"/>
                <w:szCs w:val="22"/>
              </w:rPr>
              <w:t xml:space="preserve"> Faltan los oficios 116A, 132A, 133A, 134A, 137A al 141A, 143A al 146A, 148A al 158A, 167A al 170A.  </w:t>
            </w:r>
          </w:p>
          <w:p w14:paraId="5BBD8510" w14:textId="77777777" w:rsidR="00C10D27" w:rsidRDefault="00C10D27">
            <w:pPr>
              <w:spacing w:line="360" w:lineRule="auto"/>
              <w:rPr>
                <w:color w:val="000000"/>
                <w:sz w:val="22"/>
                <w:szCs w:val="22"/>
              </w:rPr>
            </w:pPr>
          </w:p>
          <w:p w14:paraId="10A69886" w14:textId="77777777" w:rsidR="00C10D27" w:rsidRDefault="004F7300">
            <w:pPr>
              <w:spacing w:line="360" w:lineRule="auto"/>
              <w:rPr>
                <w:color w:val="000000"/>
                <w:sz w:val="22"/>
                <w:szCs w:val="22"/>
              </w:rPr>
            </w:pPr>
            <w:r>
              <w:rPr>
                <w:b/>
                <w:bCs/>
                <w:color w:val="000000"/>
                <w:sz w:val="22"/>
                <w:szCs w:val="22"/>
              </w:rPr>
              <w:t>Oficios recibidos</w:t>
            </w:r>
            <w:r>
              <w:rPr>
                <w:color w:val="000000"/>
                <w:sz w:val="22"/>
                <w:szCs w:val="22"/>
              </w:rPr>
              <w:t xml:space="preserve">: entregó los oficios recibidos del dos al treinta abril de dos mil veinticinco.  </w:t>
            </w:r>
          </w:p>
          <w:p w14:paraId="6235FAC2" w14:textId="77777777" w:rsidR="00C10D27" w:rsidRDefault="00C10D27">
            <w:pPr>
              <w:spacing w:line="360" w:lineRule="auto"/>
              <w:rPr>
                <w:color w:val="000000"/>
                <w:sz w:val="22"/>
                <w:szCs w:val="22"/>
              </w:rPr>
            </w:pPr>
          </w:p>
        </w:tc>
        <w:tc>
          <w:tcPr>
            <w:tcW w:w="3966" w:type="dxa"/>
          </w:tcPr>
          <w:p w14:paraId="4BE1D984" w14:textId="77777777" w:rsidR="00C10D27" w:rsidRDefault="004F7300">
            <w:pPr>
              <w:spacing w:line="360" w:lineRule="auto"/>
              <w:rPr>
                <w:color w:val="000000"/>
                <w:sz w:val="22"/>
                <w:szCs w:val="22"/>
              </w:rPr>
            </w:pPr>
            <w:r>
              <w:rPr>
                <w:color w:val="000000"/>
                <w:sz w:val="22"/>
                <w:szCs w:val="22"/>
              </w:rPr>
              <w:t>Los oficios emitidos se encuentran incompletos, pues</w:t>
            </w:r>
            <w:r>
              <w:rPr>
                <w:color w:val="000000"/>
                <w:sz w:val="22"/>
                <w:szCs w:val="22"/>
              </w:rPr>
              <w:t xml:space="preserve"> no se encuentran de forma consecutiva. </w:t>
            </w:r>
          </w:p>
          <w:p w14:paraId="32626C27" w14:textId="77777777" w:rsidR="00C10D27" w:rsidRDefault="00C10D27">
            <w:pPr>
              <w:spacing w:line="360" w:lineRule="auto"/>
              <w:rPr>
                <w:color w:val="000000"/>
                <w:sz w:val="22"/>
                <w:szCs w:val="22"/>
              </w:rPr>
            </w:pPr>
          </w:p>
          <w:p w14:paraId="04DBEDC9" w14:textId="77777777" w:rsidR="00C10D27" w:rsidRDefault="004F7300">
            <w:pPr>
              <w:spacing w:line="360" w:lineRule="auto"/>
              <w:rPr>
                <w:color w:val="000000"/>
                <w:sz w:val="22"/>
                <w:szCs w:val="22"/>
              </w:rPr>
            </w:pPr>
            <w:r>
              <w:rPr>
                <w:color w:val="000000"/>
                <w:sz w:val="22"/>
                <w:szCs w:val="22"/>
              </w:rPr>
              <w:t xml:space="preserve">Además, no se tiene certeza de que se hayan </w:t>
            </w:r>
            <w:r>
              <w:rPr>
                <w:sz w:val="22"/>
                <w:szCs w:val="22"/>
              </w:rPr>
              <w:t>entregado</w:t>
            </w:r>
            <w:r>
              <w:rPr>
                <w:color w:val="000000"/>
                <w:sz w:val="22"/>
                <w:szCs w:val="22"/>
              </w:rPr>
              <w:t xml:space="preserve"> todos los oficios recibidos, pues no se entregaron oficios del doce al veintisiete de abril de dos mil veinticinco. </w:t>
            </w:r>
          </w:p>
        </w:tc>
      </w:tr>
    </w:tbl>
    <w:p w14:paraId="57E4A8C5" w14:textId="77777777" w:rsidR="00C10D27" w:rsidRDefault="00C10D27">
      <w:pPr>
        <w:tabs>
          <w:tab w:val="left" w:pos="4962"/>
        </w:tabs>
        <w:spacing w:line="360" w:lineRule="auto"/>
        <w:jc w:val="both"/>
        <w:rPr>
          <w:rFonts w:ascii="Palatino Linotype" w:eastAsia="Palatino Linotype" w:hAnsi="Palatino Linotype" w:cs="Palatino Linotype"/>
          <w:color w:val="FF0000"/>
          <w:sz w:val="22"/>
          <w:szCs w:val="22"/>
        </w:rPr>
      </w:pPr>
    </w:p>
    <w:p w14:paraId="7A2B8107"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no se tiene certeza de que lo proporcionado sea lo único que obre en sus archivos, pues no se pronunció de manera específica que se habían cancelado algunos oficios enviados faltantes referidos en el cuadro que antecede, además que </w:t>
      </w:r>
      <w:r>
        <w:rPr>
          <w:rFonts w:ascii="Palatino Linotype" w:eastAsia="Palatino Linotype" w:hAnsi="Palatino Linotype" w:cs="Palatino Linotype"/>
          <w:sz w:val="22"/>
          <w:szCs w:val="22"/>
        </w:rPr>
        <w:t xml:space="preserve">de los anexos remitidos en respuesta se logró vislumbrar que clasificó información de naturaleza pública como direcciones de unidades económicas en licencias de funcionamiento, por lo que se logra vislumbrar que no proporcionó la información completa y de </w:t>
      </w:r>
      <w:r>
        <w:rPr>
          <w:rFonts w:ascii="Palatino Linotype" w:eastAsia="Palatino Linotype" w:hAnsi="Palatino Linotype" w:cs="Palatino Linotype"/>
          <w:sz w:val="22"/>
          <w:szCs w:val="22"/>
        </w:rPr>
        <w:t xml:space="preserve">manera correcta, además, no se puso a la vista pues se dejaron visibles teléfonos de los cuales no se tienen certeza que correspondan a números institucionales; por lo que, para atender el requerimiento de información, se considera que el Sujeto Obligado, </w:t>
      </w:r>
      <w:r>
        <w:rPr>
          <w:rFonts w:ascii="Palatino Linotype" w:eastAsia="Palatino Linotype" w:hAnsi="Palatino Linotype" w:cs="Palatino Linotype"/>
          <w:sz w:val="22"/>
          <w:szCs w:val="22"/>
        </w:rPr>
        <w:t>deberá realizar una búsqueda exhaustiva y razonable en los archivos de las áreas donde pudiera obrar la información solicitada, a efecto de que proporcione los oficios emitidos y recibidos durante la temporalidad solicitada (incluyendo los del Informe Just</w:t>
      </w:r>
      <w:r>
        <w:rPr>
          <w:rFonts w:ascii="Palatino Linotype" w:eastAsia="Palatino Linotype" w:hAnsi="Palatino Linotype" w:cs="Palatino Linotype"/>
          <w:sz w:val="22"/>
          <w:szCs w:val="22"/>
        </w:rPr>
        <w:t xml:space="preserve">ificado. </w:t>
      </w:r>
    </w:p>
    <w:p w14:paraId="7201E639"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4DE9FC23"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para el caso de que haya cancelado alguno de los oficios emitidos o no haya recibido otros a los remitidos, deberá hacerlo del conocimiento de la parte Recurrente de </w:t>
      </w:r>
      <w:r>
        <w:rPr>
          <w:rFonts w:ascii="Palatino Linotype" w:eastAsia="Palatino Linotype" w:hAnsi="Palatino Linotype" w:cs="Palatino Linotype"/>
          <w:sz w:val="22"/>
          <w:szCs w:val="22"/>
        </w:rPr>
        <w:lastRenderedPageBreak/>
        <w:t>manera clara y precisa, en términos del artículo 19, párrafo segund</w:t>
      </w:r>
      <w:r>
        <w:rPr>
          <w:rFonts w:ascii="Palatino Linotype" w:eastAsia="Palatino Linotype" w:hAnsi="Palatino Linotype" w:cs="Palatino Linotype"/>
          <w:sz w:val="22"/>
          <w:szCs w:val="22"/>
        </w:rPr>
        <w:t>o, de la Ley de Transparencia y Acceso a la Información Pública del Estado de México y Municipios.</w:t>
      </w:r>
    </w:p>
    <w:p w14:paraId="247AA60E"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10412AAD"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en los documentos remitidos mediante informe justificado el Sujeto Obligado clasificó los siguientes datos:</w:t>
      </w:r>
    </w:p>
    <w:p w14:paraId="2F0EDC2E"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6821A66D" w14:textId="77777777" w:rsidR="00C10D27" w:rsidRDefault="004F7300">
      <w:pPr>
        <w:numPr>
          <w:ilvl w:val="0"/>
          <w:numId w:val="5"/>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Teléfono o celular </w:t>
      </w:r>
    </w:p>
    <w:p w14:paraId="6DFA9C01" w14:textId="77777777" w:rsidR="00C10D27" w:rsidRDefault="004F7300">
      <w:pPr>
        <w:numPr>
          <w:ilvl w:val="0"/>
          <w:numId w:val="5"/>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Nombres de </w:t>
      </w:r>
      <w:r>
        <w:rPr>
          <w:rFonts w:ascii="Palatino Linotype" w:eastAsia="Palatino Linotype" w:hAnsi="Palatino Linotype" w:cs="Palatino Linotype"/>
          <w:sz w:val="22"/>
          <w:szCs w:val="22"/>
        </w:rPr>
        <w:t>particulares</w:t>
      </w:r>
    </w:p>
    <w:p w14:paraId="423FCE98" w14:textId="77777777" w:rsidR="00C10D27" w:rsidRDefault="004F7300">
      <w:pPr>
        <w:numPr>
          <w:ilvl w:val="0"/>
          <w:numId w:val="5"/>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Domicilio de la unidad económica </w:t>
      </w:r>
    </w:p>
    <w:p w14:paraId="24E57D5B"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1306C143"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resulta procedente analizar si dichos datos son públicos o privados; en principio, cabe mencionar que el artículo 143, fracción I, de la Ley de Transparencia y Acceso a la Información Pública del</w:t>
      </w:r>
      <w:r>
        <w:rPr>
          <w:rFonts w:ascii="Palatino Linotype" w:eastAsia="Palatino Linotype" w:hAnsi="Palatino Linotype" w:cs="Palatino Linotype"/>
          <w:sz w:val="22"/>
          <w:szCs w:val="22"/>
        </w:rPr>
        <w:t xml:space="preserve"> Estado de México y Municipios, establece que la información privada y los datos personales, concernientes a una persona física o jurídica colectiva identificada o identificable son confidenciales.</w:t>
      </w:r>
    </w:p>
    <w:p w14:paraId="0530D979"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3E1397ED"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145 de la Ley previamente citada, p</w:t>
      </w:r>
      <w:r>
        <w:rPr>
          <w:rFonts w:ascii="Palatino Linotype" w:eastAsia="Palatino Linotype" w:hAnsi="Palatino Linotype" w:cs="Palatino Linotype"/>
          <w:sz w:val="22"/>
          <w:szCs w:val="22"/>
        </w:rPr>
        <w:t>revé que para que los Sujetos Obligados puedan permitir el acceso a la información confidencial, requieren obtener el consentimiento de los particulares titulares de la información, excepto cuando i) la información se encuentre en registros públicos o fuen</w:t>
      </w:r>
      <w:r>
        <w:rPr>
          <w:rFonts w:ascii="Palatino Linotype" w:eastAsia="Palatino Linotype" w:hAnsi="Palatino Linotype" w:cs="Palatino Linotype"/>
          <w:sz w:val="22"/>
          <w:szCs w:val="22"/>
        </w:rPr>
        <w:t>tes de acceso público, ii) por ley tenga el carácter de pública, iii) exista una orden judicial, iv) por razones de seguridad nacional y salubridad general o v) para proteger los derechos de terceros o cuando se transmita entre sujetos obligados en término</w:t>
      </w:r>
      <w:r>
        <w:rPr>
          <w:rFonts w:ascii="Palatino Linotype" w:eastAsia="Palatino Linotype" w:hAnsi="Palatino Linotype" w:cs="Palatino Linotype"/>
          <w:sz w:val="22"/>
          <w:szCs w:val="22"/>
        </w:rPr>
        <w:t>s de los tratados y los acuerdos interinstitucionales.</w:t>
      </w:r>
    </w:p>
    <w:p w14:paraId="10B835F1"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05FA2609"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términos de lo expuesto, la documentación y aquellos datos que se consideren confidenciales, serán una limitante del derecho de acceso a la información, siempre y cuando:</w:t>
      </w:r>
    </w:p>
    <w:p w14:paraId="6891E5AF"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4025502D" w14:textId="77777777" w:rsidR="00C10D27" w:rsidRDefault="004F7300">
      <w:pPr>
        <w:numPr>
          <w:ilvl w:val="0"/>
          <w:numId w:val="6"/>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14:paraId="7281B3DF"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74DE76EE" w14:textId="77777777" w:rsidR="00C10D27" w:rsidRDefault="004F7300">
      <w:pPr>
        <w:numPr>
          <w:ilvl w:val="0"/>
          <w:numId w:val="6"/>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la difusión de los datos, se requiera el consentimiento del titular.</w:t>
      </w:r>
    </w:p>
    <w:p w14:paraId="158591A8"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4031A3FC"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w:t>
      </w:r>
      <w:r>
        <w:rPr>
          <w:rFonts w:ascii="Palatino Linotype" w:eastAsia="Palatino Linotype" w:hAnsi="Palatino Linotype" w:cs="Palatino Linotype"/>
          <w:sz w:val="22"/>
          <w:szCs w:val="22"/>
        </w:rPr>
        <w:t xml:space="preserve"> orden de ideas, de conformidad con el artículo 3°, fracción IX, de la Ley de Transparencia y Acceso a la Información Pública del Estado de México y Municipios, con relación el diverso 4°, fracciones XI y XII, de la Ley de Protección de Datos Personales en</w:t>
      </w:r>
      <w:r>
        <w:rPr>
          <w:rFonts w:ascii="Palatino Linotype" w:eastAsia="Palatino Linotype" w:hAnsi="Palatino Linotype" w:cs="Palatino Linotype"/>
          <w:sz w:val="22"/>
          <w:szCs w:val="22"/>
        </w:rPr>
        <w:t xml:space="preserve"> Posesión de Sujetos Obligados del Estado de México y Municipios, se advierte que son datos personales, la información concerniente a una persona física o jurídico colectiva identificada o identificable (cuando su identidad pueda determinarse directa o ind</w:t>
      </w:r>
      <w:r>
        <w:rPr>
          <w:rFonts w:ascii="Palatino Linotype" w:eastAsia="Palatino Linotype" w:hAnsi="Palatino Linotype" w:cs="Palatino Linotype"/>
          <w:sz w:val="22"/>
          <w:szCs w:val="22"/>
        </w:rPr>
        <w:t>irectamente a través de cualquier documento informativo físico o electrónico), establecida en cualquier formato o modalidad.</w:t>
      </w:r>
    </w:p>
    <w:p w14:paraId="4B6CDF1A"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2AB7B925"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artículo 5° de dicho ordenamiento jurídico, establece que es la Ley aplicable para todo tratamiento de datos persona</w:t>
      </w:r>
      <w:r>
        <w:rPr>
          <w:rFonts w:ascii="Palatino Linotype" w:eastAsia="Palatino Linotype" w:hAnsi="Palatino Linotype" w:cs="Palatino Linotype"/>
          <w:sz w:val="22"/>
          <w:szCs w:val="22"/>
        </w:rPr>
        <w:t>les.</w:t>
      </w:r>
    </w:p>
    <w:p w14:paraId="65468BF8"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5E748687"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w:t>
      </w:r>
      <w:r>
        <w:rPr>
          <w:rFonts w:ascii="Palatino Linotype" w:eastAsia="Palatino Linotype" w:hAnsi="Palatino Linotype" w:cs="Palatino Linotype"/>
          <w:sz w:val="22"/>
          <w:szCs w:val="22"/>
        </w:rPr>
        <w:t>principios de licitud, consentimiento, información, calidad, lealtad, finalidad, proporcionalidad y responsabilidad; además, que dicho tratamiento deberá obedecer exclusivamente a sus atribuciones legales y con el consentimiento de su titular, además de qu</w:t>
      </w:r>
      <w:r>
        <w:rPr>
          <w:rFonts w:ascii="Palatino Linotype" w:eastAsia="Palatino Linotype" w:hAnsi="Palatino Linotype" w:cs="Palatino Linotype"/>
          <w:sz w:val="22"/>
          <w:szCs w:val="22"/>
        </w:rPr>
        <w:t xml:space="preserve">e debe estar justificado en ley (principio de </w:t>
      </w:r>
      <w:r>
        <w:rPr>
          <w:rFonts w:ascii="Palatino Linotype" w:eastAsia="Palatino Linotype" w:hAnsi="Palatino Linotype" w:cs="Palatino Linotype"/>
          <w:sz w:val="22"/>
          <w:szCs w:val="22"/>
        </w:rPr>
        <w:lastRenderedPageBreak/>
        <w:t>finalidad).  Bajo ese contexto, se analizarán si los datos mencionados de manera enunciativa son confidenciales o públicos.</w:t>
      </w:r>
    </w:p>
    <w:p w14:paraId="3759D64A"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0C7EA848" w14:textId="77777777" w:rsidR="00C10D27" w:rsidRDefault="004F7300">
      <w:pPr>
        <w:numPr>
          <w:ilvl w:val="0"/>
          <w:numId w:val="3"/>
        </w:numPr>
        <w:tabs>
          <w:tab w:val="left" w:pos="4962"/>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Teléfono o celular particular</w:t>
      </w:r>
    </w:p>
    <w:p w14:paraId="720A8C00"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19A9BE89"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1FFF3BDA"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1DA7E8DF" w14:textId="77777777" w:rsidR="00C10D27" w:rsidRDefault="004F7300">
      <w:pPr>
        <w:tabs>
          <w:tab w:val="left" w:pos="4962"/>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En tales conside</w:t>
      </w:r>
      <w:r>
        <w:rPr>
          <w:rFonts w:ascii="Palatino Linotype" w:eastAsia="Palatino Linotype" w:hAnsi="Palatino Linotype" w:cs="Palatino Linotype"/>
          <w:sz w:val="22"/>
          <w:szCs w:val="22"/>
        </w:rPr>
        <w:t xml:space="preserve">raciones, dicho dato personal es susceptible de ser clasificado como confidencial, con fundamento en el artículo 143, fracción I de la Ley de Transparencia y Acceso a la Información Pública del Estado de México y Municipios. </w:t>
      </w:r>
      <w:r>
        <w:rPr>
          <w:rFonts w:ascii="Palatino Linotype" w:eastAsia="Palatino Linotype" w:hAnsi="Palatino Linotype" w:cs="Palatino Linotype"/>
          <w:b/>
          <w:bCs/>
          <w:sz w:val="22"/>
          <w:szCs w:val="22"/>
        </w:rPr>
        <w:t xml:space="preserve">Cabe señalar que dicho dato se </w:t>
      </w:r>
      <w:r>
        <w:rPr>
          <w:rFonts w:ascii="Palatino Linotype" w:eastAsia="Palatino Linotype" w:hAnsi="Palatino Linotype" w:cs="Palatino Linotype"/>
          <w:b/>
          <w:bCs/>
          <w:sz w:val="22"/>
          <w:szCs w:val="22"/>
        </w:rPr>
        <w:t>dejó visible en uno de los documentos, al corresponder al número de un celular.</w:t>
      </w:r>
    </w:p>
    <w:p w14:paraId="4D9D8236" w14:textId="77777777" w:rsidR="00C10D27" w:rsidRDefault="00C10D27">
      <w:pPr>
        <w:spacing w:line="360" w:lineRule="auto"/>
        <w:ind w:right="-93"/>
        <w:jc w:val="both"/>
        <w:rPr>
          <w:rFonts w:ascii="Palatino Linotype" w:eastAsia="Palatino Linotype" w:hAnsi="Palatino Linotype" w:cs="Palatino Linotype"/>
          <w:sz w:val="22"/>
          <w:szCs w:val="22"/>
        </w:rPr>
      </w:pPr>
    </w:p>
    <w:p w14:paraId="2E992B3C" w14:textId="77777777" w:rsidR="00C10D27" w:rsidRDefault="004F7300">
      <w:pPr>
        <w:numPr>
          <w:ilvl w:val="0"/>
          <w:numId w:val="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Nombre de particulares</w:t>
      </w:r>
    </w:p>
    <w:p w14:paraId="451C5990" w14:textId="77777777" w:rsidR="00C10D27" w:rsidRDefault="00C10D27">
      <w:pPr>
        <w:spacing w:line="360" w:lineRule="auto"/>
        <w:jc w:val="both"/>
        <w:rPr>
          <w:rFonts w:ascii="Palatino Linotype" w:eastAsia="Palatino Linotype" w:hAnsi="Palatino Linotype" w:cs="Palatino Linotype"/>
          <w:sz w:val="22"/>
          <w:szCs w:val="22"/>
        </w:rPr>
      </w:pPr>
    </w:p>
    <w:p w14:paraId="6BA4CF10"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w:t>
      </w:r>
      <w:r>
        <w:rPr>
          <w:rFonts w:ascii="Palatino Linotype" w:eastAsia="Palatino Linotype" w:hAnsi="Palatino Linotype" w:cs="Palatino Linotype"/>
          <w:sz w:val="22"/>
          <w:szCs w:val="22"/>
        </w:rPr>
        <w:t xml:space="preserve">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iCs/>
          <w:sz w:val="22"/>
          <w:szCs w:val="22"/>
        </w:rPr>
        <w:t>per se</w:t>
      </w:r>
      <w:r>
        <w:rPr>
          <w:rFonts w:ascii="Palatino Linotype" w:eastAsia="Palatino Linotype" w:hAnsi="Palatino Linotype" w:cs="Palatino Linotype"/>
          <w:sz w:val="22"/>
          <w:szCs w:val="22"/>
        </w:rPr>
        <w:t xml:space="preserve"> es un elemento que hace a una persona física identi</w:t>
      </w:r>
      <w:r>
        <w:rPr>
          <w:rFonts w:ascii="Palatino Linotype" w:eastAsia="Palatino Linotype" w:hAnsi="Palatino Linotype" w:cs="Palatino Linotype"/>
          <w:sz w:val="22"/>
          <w:szCs w:val="22"/>
        </w:rPr>
        <w:t xml:space="preserve">ficada o identificable, por lo que, </w:t>
      </w:r>
      <w:r>
        <w:rPr>
          <w:rFonts w:ascii="Palatino Linotype" w:eastAsia="Palatino Linotype" w:hAnsi="Palatino Linotype" w:cs="Palatino Linotype"/>
          <w:b/>
          <w:bCs/>
          <w:sz w:val="22"/>
          <w:szCs w:val="22"/>
        </w:rPr>
        <w:t>se considera un dato personal.</w:t>
      </w:r>
    </w:p>
    <w:p w14:paraId="2CA88C47" w14:textId="77777777" w:rsidR="00C10D27" w:rsidRDefault="00C10D27">
      <w:pPr>
        <w:spacing w:line="360" w:lineRule="auto"/>
        <w:jc w:val="both"/>
        <w:rPr>
          <w:rFonts w:ascii="Palatino Linotype" w:eastAsia="Palatino Linotype" w:hAnsi="Palatino Linotype" w:cs="Palatino Linotype"/>
          <w:b/>
          <w:bCs/>
          <w:sz w:val="22"/>
          <w:szCs w:val="22"/>
        </w:rPr>
      </w:pPr>
    </w:p>
    <w:p w14:paraId="591A562F" w14:textId="77777777" w:rsidR="00C10D27" w:rsidRDefault="004F730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cabe señalar lo previsto en la tesis aislada número 1a. CCXIV/2009, emitida por la Primera Sala de la Suprema Corte de Justicia de la Nación, publicada en la Gaceta del </w:t>
      </w:r>
      <w:r>
        <w:rPr>
          <w:rFonts w:ascii="Palatino Linotype" w:eastAsia="Palatino Linotype" w:hAnsi="Palatino Linotype" w:cs="Palatino Linotype"/>
          <w:sz w:val="22"/>
          <w:szCs w:val="22"/>
        </w:rPr>
        <w:lastRenderedPageBreak/>
        <w:t>Semanario Judicial de la Federación, Tomo XXX, de diciembre de 2009, página 277, de la Novena Época, materia constitucional, que establece lo siguiente:</w:t>
      </w:r>
    </w:p>
    <w:p w14:paraId="62693378" w14:textId="77777777" w:rsidR="00C10D27" w:rsidRDefault="00C10D27">
      <w:pPr>
        <w:spacing w:line="360" w:lineRule="auto"/>
        <w:ind w:right="-93"/>
        <w:jc w:val="both"/>
        <w:rPr>
          <w:rFonts w:ascii="Palatino Linotype" w:eastAsia="Palatino Linotype" w:hAnsi="Palatino Linotype" w:cs="Palatino Linotype"/>
          <w:sz w:val="22"/>
          <w:szCs w:val="22"/>
        </w:rPr>
      </w:pPr>
    </w:p>
    <w:p w14:paraId="78E88018" w14:textId="77777777" w:rsidR="00C10D27" w:rsidRDefault="004F73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DERECHO A LA VIDA PRIVADA. SU CONTENIDO GENERAL Y LA IMPORTANCIA DE NO DESCONTEXTUALIZAR LAS REFERENC</w:t>
      </w:r>
      <w:r>
        <w:rPr>
          <w:rFonts w:ascii="Palatino Linotype" w:eastAsia="Palatino Linotype" w:hAnsi="Palatino Linotype" w:cs="Palatino Linotype"/>
          <w:b/>
          <w:bCs/>
          <w:i/>
          <w:iCs/>
        </w:rPr>
        <w:t xml:space="preserve">IAS A LA MISMA. </w:t>
      </w:r>
      <w:r>
        <w:rPr>
          <w:rFonts w:ascii="Palatino Linotype" w:eastAsia="Palatino Linotype" w:hAnsi="Palatino Linotype" w:cs="Palatino Linotype"/>
          <w:i/>
          <w:iCs/>
        </w:rPr>
        <w:t>La Suprema Corte de Justicia de la Nación se ha referido en varias tesis a los rasgos característicos de la noción de lo ‘privado’. Así, lo ha relacionado con: lo que no constituye vida pública; el ámbito reservado frente a la acción y el c</w:t>
      </w:r>
      <w:r>
        <w:rPr>
          <w:rFonts w:ascii="Palatino Linotype" w:eastAsia="Palatino Linotype" w:hAnsi="Palatino Linotype" w:cs="Palatino Linotype"/>
          <w:i/>
          <w:iCs/>
        </w:rPr>
        <w:t>onocimiento de los demás; lo que se desea compartir únicamente con aquellos que uno elige; las actividades de las personas en la esfera particular, relacionadas con el hogar y la familia; o aquello que las personas no desempeñan con el carácter de servidor</w:t>
      </w:r>
      <w:r>
        <w:rPr>
          <w:rFonts w:ascii="Palatino Linotype" w:eastAsia="Palatino Linotype" w:hAnsi="Palatino Linotype" w:cs="Palatino Linotype"/>
          <w:i/>
          <w:iCs/>
        </w:rPr>
        <w:t>es públicos. Por otro lado, el derecho a la vida privada (o intimidad) está reconocido y protegido en declaraciones y tratados de derechos humanos que forman parte del orden jurídico mexicano, como la Declaración Universal de los Derechos Humanos (artículo</w:t>
      </w:r>
      <w:r>
        <w:rPr>
          <w:rFonts w:ascii="Palatino Linotype" w:eastAsia="Palatino Linotype" w:hAnsi="Palatino Linotype" w:cs="Palatino Linotype"/>
          <w:i/>
          <w:iCs/>
        </w:rPr>
        <w:t xml:space="preserve"> 12), el Pacto Internacional de Derechos Civiles y Políticos (artículo 17), la Convención Americana sobre Derechos Humanos (artículo 11) y la Convención sobre los Derechos del Niño (artículo 16). Al interpretar estas disposiciones, los organismos internaci</w:t>
      </w:r>
      <w:r>
        <w:rPr>
          <w:rFonts w:ascii="Palatino Linotype" w:eastAsia="Palatino Linotype" w:hAnsi="Palatino Linotype" w:cs="Palatino Linotype"/>
          <w:i/>
          <w:iCs/>
        </w:rPr>
        <w:t xml:space="preserve">onales han destacado que la noción de vida privada atañe a la esfera de la vida en la que las personas pueden expresar libremente su identidad, ya sea en sus relaciones con los demás o en lo individual, y han destacado su vinculación con un amplio abanico </w:t>
      </w:r>
      <w:r>
        <w:rPr>
          <w:rFonts w:ascii="Palatino Linotype" w:eastAsia="Palatino Linotype" w:hAnsi="Palatino Linotype" w:cs="Palatino Linotype"/>
          <w:i/>
          <w:iCs/>
        </w:rPr>
        <w:t>de otros derechos, como la inviolabilidad de la correspondencia y de las comunicaciones en general, la inviolabilidad del domicilio, las garantías respecto de los registros personales y corporales, las relacionadas con la recopilación y registro de informa</w:t>
      </w:r>
      <w:r>
        <w:rPr>
          <w:rFonts w:ascii="Palatino Linotype" w:eastAsia="Palatino Linotype" w:hAnsi="Palatino Linotype" w:cs="Palatino Linotype"/>
          <w:i/>
          <w:iCs/>
        </w:rPr>
        <w:t>ción personal en bancos de datos y otros dispositivos; el derecho a una vivienda adecuada, a la salud y a la igualdad; los derechos reproductivos, o la protección en caso de desalojos forzados. Las afirmaciones contenidas en las resoluciones nacionales e i</w:t>
      </w:r>
      <w:r>
        <w:rPr>
          <w:rFonts w:ascii="Palatino Linotype" w:eastAsia="Palatino Linotype" w:hAnsi="Palatino Linotype" w:cs="Palatino Linotype"/>
          <w:i/>
          <w:iCs/>
        </w:rPr>
        <w:t>nternacionales son útiles en la medida en que no se tomen de manera descontextualizada, emerjan de un análisis cuidadoso de los diferentes escenarios jurídicos en los que la idea de privacidad entra en juego y no se pretenda derivar de ellas un concepto me</w:t>
      </w:r>
      <w:r>
        <w:rPr>
          <w:rFonts w:ascii="Palatino Linotype" w:eastAsia="Palatino Linotype" w:hAnsi="Palatino Linotype" w:cs="Palatino Linotype"/>
          <w:i/>
          <w:iCs/>
        </w:rPr>
        <w:t xml:space="preserve">cánico de vida privada, de referentes fijos e inmutables. Lo único que estas resoluciones permiten reconstruir, en términos abstractos, es la imagen general que evoca la idea de privacidad en nuestro contexto cultural. </w:t>
      </w:r>
      <w:r>
        <w:rPr>
          <w:rFonts w:ascii="Palatino Linotype" w:eastAsia="Palatino Linotype" w:hAnsi="Palatino Linotype" w:cs="Palatino Linotype"/>
          <w:b/>
          <w:bCs/>
          <w:i/>
          <w:iCs/>
        </w:rPr>
        <w:t>Según esta noción, las personas tiene</w:t>
      </w:r>
      <w:r>
        <w:rPr>
          <w:rFonts w:ascii="Palatino Linotype" w:eastAsia="Palatino Linotype" w:hAnsi="Palatino Linotype" w:cs="Palatino Linotype"/>
          <w:b/>
          <w:bCs/>
          <w:i/>
          <w:iCs/>
        </w:rPr>
        <w:t xml:space="preserve">n derecho a </w:t>
      </w:r>
      <w:r>
        <w:rPr>
          <w:rFonts w:ascii="Palatino Linotype" w:eastAsia="Palatino Linotype" w:hAnsi="Palatino Linotype" w:cs="Palatino Linotype"/>
          <w:b/>
          <w:bCs/>
          <w:i/>
          <w:iCs/>
        </w:rPr>
        <w:lastRenderedPageBreak/>
        <w:t>gozar de un ámbito de proyección de su existencia que quede reservado de la invasión y la mirada de los demás, que les concierna sólo a ellos y les provea de condiciones adecuadas para el despliegue de su individualidad -para el desarrollo de s</w:t>
      </w:r>
      <w:r>
        <w:rPr>
          <w:rFonts w:ascii="Palatino Linotype" w:eastAsia="Palatino Linotype" w:hAnsi="Palatino Linotype" w:cs="Palatino Linotype"/>
          <w:b/>
          <w:bCs/>
          <w:i/>
          <w:iCs/>
        </w:rPr>
        <w:t>u autonomía y su libertad-.</w:t>
      </w:r>
      <w:r>
        <w:rPr>
          <w:rFonts w:ascii="Palatino Linotype" w:eastAsia="Palatino Linotype" w:hAnsi="Palatino Linotype" w:cs="Palatino Linotype"/>
          <w:i/>
          <w:iCs/>
        </w:rPr>
        <w:t xml:space="preserve"> A un nivel más concreto, la misma idea puede describirse apelando al derecho de las personas a mantener fuera del conocimiento de los demás (o, a veces, dentro del círculo de sus personas más próximas) ciertas manifestaciones o </w:t>
      </w:r>
      <w:r>
        <w:rPr>
          <w:rFonts w:ascii="Palatino Linotype" w:eastAsia="Palatino Linotype" w:hAnsi="Palatino Linotype" w:cs="Palatino Linotype"/>
          <w:i/>
          <w:iCs/>
        </w:rPr>
        <w:t xml:space="preserve">dimensiones de su existencia (conducta, datos, información, objetos) y al correspondiente derecho a que los demás no las invadan sin su consentimiento. </w:t>
      </w:r>
      <w:r>
        <w:rPr>
          <w:rFonts w:ascii="Palatino Linotype" w:eastAsia="Palatino Linotype" w:hAnsi="Palatino Linotype" w:cs="Palatino Linotype"/>
          <w:b/>
          <w:bCs/>
          <w:i/>
          <w:iCs/>
        </w:rPr>
        <w:t>En un sentido amplio, entonces, la protección constitucional de la vida privada implica poder conducir p</w:t>
      </w:r>
      <w:r>
        <w:rPr>
          <w:rFonts w:ascii="Palatino Linotype" w:eastAsia="Palatino Linotype" w:hAnsi="Palatino Linotype" w:cs="Palatino Linotype"/>
          <w:b/>
          <w:bCs/>
          <w:i/>
          <w:iCs/>
        </w:rPr>
        <w:t>arte de la vida de uno protegido de la mirada y las injerencias de los demás</w:t>
      </w:r>
      <w:r>
        <w:rPr>
          <w:rFonts w:ascii="Palatino Linotype" w:eastAsia="Palatino Linotype" w:hAnsi="Palatino Linotype" w:cs="Palatino Linotype"/>
          <w:i/>
          <w:iCs/>
        </w:rPr>
        <w:t>, y guarda conexiones de variado tipo con pretensiones más concretas que los textos constitucionales actuales reconocen a veces como derechos conexos: el derecho de poder tomar lib</w:t>
      </w:r>
      <w:r>
        <w:rPr>
          <w:rFonts w:ascii="Palatino Linotype" w:eastAsia="Palatino Linotype" w:hAnsi="Palatino Linotype" w:cs="Palatino Linotype"/>
          <w:i/>
          <w:iCs/>
        </w:rPr>
        <w:t xml:space="preserve">remente ciertas decisiones atinentes al propio plan de vida, el derecho a ver protegidas ciertas manifestaciones de integridad física y moral, el derecho al honor o reputación, el derecho a no ser presentado bajo una falsa apariencia, el derecho a impedir </w:t>
      </w:r>
      <w:r>
        <w:rPr>
          <w:rFonts w:ascii="Palatino Linotype" w:eastAsia="Palatino Linotype" w:hAnsi="Palatino Linotype" w:cs="Palatino Linotype"/>
          <w:i/>
          <w:iCs/>
        </w:rPr>
        <w:t>la divulgación de ciertos hechos o la publicación no autorizada de cierto tipo de fotografías, la protección contra el espionaje, la protección contra el uso abusivo de las comunicaciones privadas, o la protección contra la divulgación de informaciones com</w:t>
      </w:r>
      <w:r>
        <w:rPr>
          <w:rFonts w:ascii="Palatino Linotype" w:eastAsia="Palatino Linotype" w:hAnsi="Palatino Linotype" w:cs="Palatino Linotype"/>
          <w:i/>
          <w:iCs/>
        </w:rPr>
        <w:t>unicadas o recibidas confidencialmente por un particular.”</w:t>
      </w:r>
    </w:p>
    <w:p w14:paraId="0A872271" w14:textId="77777777" w:rsidR="00C10D27" w:rsidRDefault="00C10D27">
      <w:pPr>
        <w:spacing w:line="360" w:lineRule="auto"/>
        <w:ind w:right="-93"/>
        <w:jc w:val="both"/>
        <w:rPr>
          <w:rFonts w:ascii="Palatino Linotype" w:eastAsia="Palatino Linotype" w:hAnsi="Palatino Linotype" w:cs="Palatino Linotype"/>
          <w:sz w:val="22"/>
          <w:szCs w:val="22"/>
        </w:rPr>
      </w:pPr>
    </w:p>
    <w:p w14:paraId="7D40F721" w14:textId="77777777" w:rsidR="00C10D27" w:rsidRDefault="004F730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conformidad con lo señalado, se colige que </w:t>
      </w:r>
      <w:r>
        <w:rPr>
          <w:rFonts w:ascii="Palatino Linotype" w:eastAsia="Palatino Linotype" w:hAnsi="Palatino Linotype" w:cs="Palatino Linotype"/>
          <w:b/>
          <w:bCs/>
          <w:sz w:val="22"/>
          <w:szCs w:val="22"/>
        </w:rPr>
        <w:t xml:space="preserve">las actividades que realicen los particulares, dentro del ámbito privado, o dentro de la esfera particular, es información que debe protegerse. </w:t>
      </w:r>
      <w:r>
        <w:rPr>
          <w:rFonts w:ascii="Palatino Linotype" w:eastAsia="Palatino Linotype" w:hAnsi="Palatino Linotype" w:cs="Palatino Linotype"/>
          <w:sz w:val="22"/>
          <w:szCs w:val="22"/>
        </w:rPr>
        <w:t>En con</w:t>
      </w:r>
      <w:r>
        <w:rPr>
          <w:rFonts w:ascii="Palatino Linotype" w:eastAsia="Palatino Linotype" w:hAnsi="Palatino Linotype" w:cs="Palatino Linotype"/>
          <w:sz w:val="22"/>
          <w:szCs w:val="22"/>
        </w:rPr>
        <w:t>secuencia, se estima que resulta procedente la clasificación del nombre de particulares en actuación dentro de su ámbito privado, en términos del artículo 143, fracción I de la Ley de Transparencia y Acceso a la Información Pública del Estado de México y M</w:t>
      </w:r>
      <w:r>
        <w:rPr>
          <w:rFonts w:ascii="Palatino Linotype" w:eastAsia="Palatino Linotype" w:hAnsi="Palatino Linotype" w:cs="Palatino Linotype"/>
          <w:sz w:val="22"/>
          <w:szCs w:val="22"/>
        </w:rPr>
        <w:t>unicipios.</w:t>
      </w:r>
    </w:p>
    <w:p w14:paraId="4055A207"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3035B5E5" w14:textId="77777777" w:rsidR="00C10D27" w:rsidRDefault="004F73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Domicilio de unidades económicas.</w:t>
      </w:r>
    </w:p>
    <w:p w14:paraId="178FD362" w14:textId="77777777" w:rsidR="00C10D27" w:rsidRDefault="00C10D27">
      <w:pPr>
        <w:spacing w:line="360" w:lineRule="auto"/>
        <w:jc w:val="both"/>
        <w:rPr>
          <w:rFonts w:ascii="Palatino Linotype" w:eastAsia="Palatino Linotype" w:hAnsi="Palatino Linotype" w:cs="Palatino Linotype"/>
          <w:b/>
          <w:bCs/>
          <w:sz w:val="22"/>
          <w:szCs w:val="22"/>
        </w:rPr>
      </w:pPr>
    </w:p>
    <w:p w14:paraId="03AD0B21"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Sobre dicho dato, resulta necesario precisar que este no corresponde al domicilio particular del titular de dichas autorizaciones, sino que corresponde a aquel donde se localiza la unidad económica, es decir, </w:t>
      </w:r>
      <w:r>
        <w:rPr>
          <w:rFonts w:ascii="Palatino Linotype" w:eastAsia="Palatino Linotype" w:hAnsi="Palatino Linotype" w:cs="Palatino Linotype"/>
          <w:sz w:val="22"/>
          <w:szCs w:val="22"/>
        </w:rPr>
        <w:t>en el lugar en donde se realizará la actividad comercial, industrial o de servicios.</w:t>
      </w:r>
    </w:p>
    <w:p w14:paraId="2090B121" w14:textId="77777777" w:rsidR="00C10D27" w:rsidRDefault="004F7300">
      <w:pPr>
        <w:widowControl w:val="0"/>
        <w:spacing w:line="360" w:lineRule="auto"/>
        <w:ind w:right="-9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cual, el dato en comento únicamente identifica la ubicación donde se realiza una actividad económica regulada por el Municipio, respecto del cual se expidió una lic</w:t>
      </w:r>
      <w:r>
        <w:rPr>
          <w:rFonts w:ascii="Palatino Linotype" w:eastAsia="Palatino Linotype" w:hAnsi="Palatino Linotype" w:cs="Palatino Linotype"/>
          <w:sz w:val="22"/>
          <w:szCs w:val="22"/>
        </w:rPr>
        <w:t>encia o permiso.</w:t>
      </w:r>
    </w:p>
    <w:p w14:paraId="69E8050B" w14:textId="77777777" w:rsidR="00C10D27" w:rsidRDefault="00C10D27">
      <w:pPr>
        <w:widowControl w:val="0"/>
        <w:spacing w:line="360" w:lineRule="auto"/>
        <w:ind w:right="-91"/>
        <w:jc w:val="both"/>
        <w:rPr>
          <w:rFonts w:ascii="Palatino Linotype" w:eastAsia="Palatino Linotype" w:hAnsi="Palatino Linotype" w:cs="Palatino Linotype"/>
          <w:sz w:val="22"/>
          <w:szCs w:val="22"/>
        </w:rPr>
      </w:pPr>
    </w:p>
    <w:p w14:paraId="051670D5"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dicho dato guarda la naturaleza de pública, pues permite identificar, que la ubicación de la unidad económica (puesto o establecimiento) corresponde con la licencia o permiso (esto es, que no se puso a la vista un</w:t>
      </w:r>
      <w:r>
        <w:rPr>
          <w:rFonts w:ascii="Palatino Linotype" w:eastAsia="Palatino Linotype" w:hAnsi="Palatino Linotype" w:cs="Palatino Linotype"/>
          <w:sz w:val="22"/>
          <w:szCs w:val="22"/>
        </w:rPr>
        <w:t>a licencia que no corresponda), y que está debidamente registrada ante la autoridad Municipal; por lo que se trata de un dato de acceso a público, pues como se precisó dichos documentos deben de estar a la vista del público en general. Así no resulta proce</w:t>
      </w:r>
      <w:r>
        <w:rPr>
          <w:rFonts w:ascii="Palatino Linotype" w:eastAsia="Palatino Linotype" w:hAnsi="Palatino Linotype" w:cs="Palatino Linotype"/>
          <w:sz w:val="22"/>
          <w:szCs w:val="22"/>
        </w:rPr>
        <w:t>dente, la clasificación, en términos del artículo 143, fracción I de la Ley de Transparencia y Acceso a la Información Pública del Estado de México y Municipios.</w:t>
      </w:r>
    </w:p>
    <w:p w14:paraId="48F35C31"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3B24A236" w14:textId="77777777" w:rsidR="00C10D27" w:rsidRDefault="004F73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este Instituto considera que los documentos faltantes, pudieran contar con datos </w:t>
      </w:r>
      <w:r>
        <w:rPr>
          <w:rFonts w:ascii="Palatino Linotype" w:eastAsia="Palatino Linotype" w:hAnsi="Palatino Linotype" w:cs="Palatino Linotype"/>
          <w:sz w:val="22"/>
          <w:szCs w:val="22"/>
        </w:rPr>
        <w:t>o información clasificada, como los analizados previamente, por lo que, en el supuesto, deberá elaborar la versión pública; al respecto, conforme al artículo 3°, fracción XLV, relacionado con el 137, ambos de la Ley de Transparencia y Acceso a la Informaci</w:t>
      </w:r>
      <w:r>
        <w:rPr>
          <w:rFonts w:ascii="Palatino Linotype" w:eastAsia="Palatino Linotype" w:hAnsi="Palatino Linotype" w:cs="Palatino Linotype"/>
          <w:sz w:val="22"/>
          <w:szCs w:val="22"/>
        </w:rPr>
        <w:t>ón Pública del Estado de México y Municipios, cuando un documento contenga información pública y confidencial, la Unidad de Transparencia para efectos de atender al requerimiento informativo, deberá elaborar una versión pública en la que se testen las part</w:t>
      </w:r>
      <w:r>
        <w:rPr>
          <w:rFonts w:ascii="Palatino Linotype" w:eastAsia="Palatino Linotype" w:hAnsi="Palatino Linotype" w:cs="Palatino Linotype"/>
          <w:sz w:val="22"/>
          <w:szCs w:val="22"/>
        </w:rPr>
        <w:t xml:space="preserve">es o secciones clasificadas, indicando su contenido de manera genérica y fundando y motivando su clasificación. Para tal situación, el Sujeto Obligado deberá seguir el procedimiento establecido en el artículo 168 de dicho </w:t>
      </w:r>
      <w:r>
        <w:rPr>
          <w:rFonts w:ascii="Palatino Linotype" w:eastAsia="Palatino Linotype" w:hAnsi="Palatino Linotype" w:cs="Palatino Linotype"/>
          <w:sz w:val="22"/>
          <w:szCs w:val="22"/>
        </w:rPr>
        <w:lastRenderedPageBreak/>
        <w:t>ordenamiento jurídico; esto es, qu</w:t>
      </w:r>
      <w:r>
        <w:rPr>
          <w:rFonts w:ascii="Palatino Linotype" w:eastAsia="Palatino Linotype" w:hAnsi="Palatino Linotype" w:cs="Palatino Linotype"/>
          <w:sz w:val="22"/>
          <w:szCs w:val="22"/>
        </w:rPr>
        <w:t>e el área competente deberá elaborar la versión pública, así como emitir el Acuerdo, por parte del Comité de Transparencia, donde confirme la clasificación de los datos, fundando y motivando la clasificación.</w:t>
      </w:r>
    </w:p>
    <w:p w14:paraId="076FC65D" w14:textId="77777777" w:rsidR="00C10D27" w:rsidRDefault="00C10D27">
      <w:pPr>
        <w:tabs>
          <w:tab w:val="left" w:pos="4962"/>
        </w:tabs>
        <w:spacing w:line="360" w:lineRule="auto"/>
        <w:jc w:val="both"/>
        <w:rPr>
          <w:rFonts w:ascii="Palatino Linotype" w:eastAsia="Palatino Linotype" w:hAnsi="Palatino Linotype" w:cs="Palatino Linotype"/>
          <w:sz w:val="22"/>
          <w:szCs w:val="22"/>
        </w:rPr>
      </w:pPr>
    </w:p>
    <w:p w14:paraId="6619A1F8" w14:textId="77777777" w:rsidR="00C10D27" w:rsidRDefault="004F7300">
      <w:pPr>
        <w:pStyle w:val="Ttulo2"/>
      </w:pPr>
      <w:bookmarkStart w:id="13" w:name="_Toc226634181"/>
      <w:r>
        <w:t>SEXTO. Decisión</w:t>
      </w:r>
      <w:bookmarkEnd w:id="13"/>
    </w:p>
    <w:p w14:paraId="00678C2D"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1F794F19"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Ayuntamiento de Toluca, a efecto de que entregue, en versión públ</w:t>
      </w:r>
      <w:r>
        <w:rPr>
          <w:rFonts w:ascii="Palatino Linotype" w:eastAsia="Palatino Linotype" w:hAnsi="Palatino Linotype" w:cs="Palatino Linotype"/>
          <w:sz w:val="22"/>
          <w:szCs w:val="22"/>
        </w:rPr>
        <w:t>ica, la información que dé cuenta de lo solicitado.</w:t>
      </w:r>
    </w:p>
    <w:p w14:paraId="0BDC4721"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1CA18512" w14:textId="77777777" w:rsidR="00C10D27" w:rsidRDefault="004F7300">
      <w:pPr>
        <w:pStyle w:val="Ttulo2"/>
        <w:rPr>
          <w:color w:val="FF0000"/>
        </w:rPr>
      </w:pPr>
      <w:bookmarkStart w:id="14" w:name="_Toc226634182"/>
      <w:r>
        <w:t>SÉPTIMO. Vista a la Secretaría Técnica del Pleno</w:t>
      </w:r>
      <w:bookmarkEnd w:id="14"/>
    </w:p>
    <w:p w14:paraId="7B7AD356"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320A753E" w14:textId="77777777" w:rsidR="00C10D27" w:rsidRDefault="004F730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b/>
          <w:bCs/>
          <w:sz w:val="22"/>
          <w:szCs w:val="22"/>
        </w:rPr>
        <w:t xml:space="preserve">Ayuntamiento de Toluca </w:t>
      </w:r>
      <w:r>
        <w:rPr>
          <w:rFonts w:ascii="Palatino Linotype" w:eastAsia="Palatino Linotype" w:hAnsi="Palatino Linotype" w:cs="Palatino Linotype"/>
          <w:sz w:val="22"/>
          <w:szCs w:val="22"/>
        </w:rPr>
        <w:t>omitió dar respuesta en el plazo señalado en el artículo 163 de la Ley de T</w:t>
      </w:r>
      <w:r>
        <w:rPr>
          <w:rFonts w:ascii="Palatino Linotype" w:eastAsia="Palatino Linotype" w:hAnsi="Palatino Linotype" w:cs="Palatino Linotype"/>
          <w:sz w:val="22"/>
          <w:szCs w:val="22"/>
        </w:rPr>
        <w:t>ransparencia y Acceso a la Información Pública del Estado de México y Municipios. Al respecto, el artículo 36, fracción X, del ordenamiento jurídico en cita, establece que es atribución de este Instituto hacer del conocimiento del Órgano Interno de Control</w:t>
      </w:r>
      <w:r>
        <w:rPr>
          <w:rFonts w:ascii="Palatino Linotype" w:eastAsia="Palatino Linotype" w:hAnsi="Palatino Linotype" w:cs="Palatino Linotype"/>
          <w:sz w:val="22"/>
          <w:szCs w:val="22"/>
        </w:rPr>
        <w:t xml:space="preserve"> o equivalente de cada Sujeto Obligado las infracciones a esta Ley. </w:t>
      </w:r>
    </w:p>
    <w:p w14:paraId="56408DAF" w14:textId="77777777" w:rsidR="00C10D27" w:rsidRDefault="00C10D27">
      <w:pPr>
        <w:spacing w:line="360" w:lineRule="auto"/>
        <w:ind w:right="-93"/>
        <w:jc w:val="both"/>
        <w:rPr>
          <w:rFonts w:ascii="Palatino Linotype" w:eastAsia="Palatino Linotype" w:hAnsi="Palatino Linotype" w:cs="Palatino Linotype"/>
          <w:color w:val="FF0000"/>
          <w:sz w:val="22"/>
          <w:szCs w:val="22"/>
        </w:rPr>
      </w:pPr>
    </w:p>
    <w:p w14:paraId="05885B54" w14:textId="77777777" w:rsidR="00C10D27" w:rsidRDefault="004F730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de conformidad con lo previsto en el artículo 222, fracción II, de dicho ordenamiento, son causas de responsabilidad administrativa los incumplimientos de las obligacione</w:t>
      </w:r>
      <w:r>
        <w:rPr>
          <w:rFonts w:ascii="Palatino Linotype" w:eastAsia="Palatino Linotype" w:hAnsi="Palatino Linotype" w:cs="Palatino Linotype"/>
          <w:sz w:val="22"/>
          <w:szCs w:val="22"/>
        </w:rPr>
        <w:t>s establecida en la Ley de la materia, entre otras conductas, la falta de respuesta a las solicitudes de información en los plazos señalados, a saber, dentro de los quince días siguientes a la presentación del requerimiento. Por su parte, el artículo 223 d</w:t>
      </w:r>
      <w:r>
        <w:rPr>
          <w:rFonts w:ascii="Palatino Linotype" w:eastAsia="Palatino Linotype" w:hAnsi="Palatino Linotype" w:cs="Palatino Linotype"/>
          <w:sz w:val="22"/>
          <w:szCs w:val="22"/>
        </w:rPr>
        <w:t xml:space="preserve">e la Ley de Transparencia y Acceso a la Información Pública del Estado de México y Municipios, prevé que </w:t>
      </w:r>
      <w:r>
        <w:rPr>
          <w:rFonts w:ascii="Palatino Linotype" w:eastAsia="Palatino Linotype" w:hAnsi="Palatino Linotype" w:cs="Palatino Linotype"/>
          <w:sz w:val="22"/>
          <w:szCs w:val="22"/>
        </w:rPr>
        <w:lastRenderedPageBreak/>
        <w:t>este Instituto deberá dar vista al Área Competente, con el fin de que determine el grado de responsabilidad de los servidores públicos que incumplan co</w:t>
      </w:r>
      <w:r>
        <w:rPr>
          <w:rFonts w:ascii="Palatino Linotype" w:eastAsia="Palatino Linotype" w:hAnsi="Palatino Linotype" w:cs="Palatino Linotype"/>
          <w:sz w:val="22"/>
          <w:szCs w:val="22"/>
        </w:rPr>
        <w:t xml:space="preserve">n las obligaciones establecidas en la Ley. </w:t>
      </w:r>
    </w:p>
    <w:p w14:paraId="5B245671" w14:textId="77777777" w:rsidR="00C10D27" w:rsidRDefault="00C10D27">
      <w:pPr>
        <w:spacing w:line="360" w:lineRule="auto"/>
        <w:ind w:right="-93"/>
        <w:jc w:val="both"/>
        <w:rPr>
          <w:rFonts w:ascii="Palatino Linotype" w:eastAsia="Palatino Linotype" w:hAnsi="Palatino Linotype" w:cs="Palatino Linotype"/>
          <w:sz w:val="22"/>
          <w:szCs w:val="22"/>
        </w:rPr>
      </w:pPr>
    </w:p>
    <w:p w14:paraId="1C151E58" w14:textId="77777777" w:rsidR="00C10D27" w:rsidRDefault="004F730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la fracción XXVII, del artículo 19, del Reglamento Interior del Instituto de Transparencia, Acceso a la Información Pública y Protección de Datos Personales del Estado de México y Municipios, es</w:t>
      </w:r>
      <w:r>
        <w:rPr>
          <w:rFonts w:ascii="Palatino Linotype" w:eastAsia="Palatino Linotype" w:hAnsi="Palatino Linotype" w:cs="Palatino Linotype"/>
          <w:sz w:val="22"/>
          <w:szCs w:val="22"/>
        </w:rPr>
        <w:t>tablece que es función de la Secretaría Técnica del Pleno, remitir al Órgano Interno de Control de los Sujetos Obligados, las presuntas infracciones cometidas en el marco de la Ley de la materia, para la promoción de responsabilidades y sanciones. Sobre el</w:t>
      </w:r>
      <w:r>
        <w:rPr>
          <w:rFonts w:ascii="Palatino Linotype" w:eastAsia="Palatino Linotype" w:hAnsi="Palatino Linotype" w:cs="Palatino Linotype"/>
          <w:sz w:val="22"/>
          <w:szCs w:val="22"/>
        </w:rPr>
        <w:t xml:space="preserve"> particular, si bien, la presente resolución no tiene por objetivo investigar y determinar posibles violaciones al derecho de acceso a la información, toda vez que este Organismo Autónomo, advirtió la falta de respuesta del Sujeto Obligado, se considera pr</w:t>
      </w:r>
      <w:r>
        <w:rPr>
          <w:rFonts w:ascii="Palatino Linotype" w:eastAsia="Palatino Linotype" w:hAnsi="Palatino Linotype" w:cs="Palatino Linotype"/>
          <w:sz w:val="22"/>
          <w:szCs w:val="22"/>
        </w:rPr>
        <w:t>ocedente dar vista a la Secretaría Técnica de este Instituto, para que realice lo conducente.</w:t>
      </w:r>
    </w:p>
    <w:p w14:paraId="7139E205" w14:textId="77777777" w:rsidR="00C10D27" w:rsidRDefault="00C10D27">
      <w:pPr>
        <w:spacing w:line="360" w:lineRule="auto"/>
        <w:jc w:val="both"/>
        <w:rPr>
          <w:rFonts w:ascii="Palatino Linotype" w:eastAsia="Palatino Linotype" w:hAnsi="Palatino Linotype" w:cs="Palatino Linotype"/>
          <w:sz w:val="22"/>
          <w:szCs w:val="22"/>
        </w:rPr>
      </w:pPr>
    </w:p>
    <w:p w14:paraId="54A0C1AB"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36328DAC" w14:textId="77777777" w:rsidR="00C10D27" w:rsidRDefault="00C10D27">
      <w:pPr>
        <w:spacing w:line="360" w:lineRule="auto"/>
        <w:jc w:val="both"/>
        <w:rPr>
          <w:rFonts w:ascii="Palatino Linotype" w:eastAsia="Palatino Linotype" w:hAnsi="Palatino Linotype" w:cs="Palatino Linotype"/>
          <w:b/>
          <w:bCs/>
          <w:sz w:val="22"/>
          <w:szCs w:val="22"/>
        </w:rPr>
      </w:pPr>
    </w:p>
    <w:p w14:paraId="4C71BD13"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le hace del conocimiento al Particular, que, en el presente caso, se le da la razón, pues el Sujet</w:t>
      </w:r>
      <w:r>
        <w:rPr>
          <w:rFonts w:ascii="Palatino Linotype" w:eastAsia="Palatino Linotype" w:hAnsi="Palatino Linotype" w:cs="Palatino Linotype"/>
          <w:sz w:val="22"/>
          <w:szCs w:val="22"/>
        </w:rPr>
        <w:t>o Obligado no emitió contestación alguna, y si bien, durante la sustanciación emitió contestación, no se pusieron a la vista por contener datos personales. Además, se le informa que, de conformidad con lo establecido en el artículo 179, párrafo segundo, de</w:t>
      </w:r>
      <w:r>
        <w:rPr>
          <w:rFonts w:ascii="Palatino Linotype" w:eastAsia="Palatino Linotype" w:hAnsi="Palatino Linotype" w:cs="Palatino Linotype"/>
          <w:sz w:val="22"/>
          <w:szCs w:val="22"/>
        </w:rPr>
        <w:t xml:space="preserve"> la Ley de Transparencia y Acceso a la Información Pública del Estado de México y Municipios, tiene derecho a interponer nuevamente Recurso de Revisión ante este Instituto, por la respuesta que dé el Sujeto Obligado, en cumplimiento a esta Resolución; la l</w:t>
      </w:r>
      <w:r>
        <w:rPr>
          <w:rFonts w:ascii="Palatino Linotype" w:eastAsia="Palatino Linotype" w:hAnsi="Palatino Linotype" w:cs="Palatino Linotype"/>
          <w:sz w:val="22"/>
          <w:szCs w:val="22"/>
        </w:rPr>
        <w:t>abor de este Instituto es apoyar a la población a acceder a la información pública y garantizar la protección de los datos personales.</w:t>
      </w:r>
    </w:p>
    <w:p w14:paraId="426F6795" w14:textId="77777777" w:rsidR="00C10D27" w:rsidRDefault="00C10D27">
      <w:pPr>
        <w:spacing w:line="360" w:lineRule="auto"/>
        <w:jc w:val="both"/>
        <w:rPr>
          <w:rFonts w:ascii="Palatino Linotype" w:eastAsia="Palatino Linotype" w:hAnsi="Palatino Linotype" w:cs="Palatino Linotype"/>
          <w:sz w:val="22"/>
          <w:szCs w:val="22"/>
        </w:rPr>
      </w:pPr>
    </w:p>
    <w:p w14:paraId="46E58543"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lo expuesto y fundado, este Pleno:</w:t>
      </w:r>
    </w:p>
    <w:p w14:paraId="6E3635C7" w14:textId="77777777" w:rsidR="00C10D27" w:rsidRDefault="00C10D27">
      <w:pPr>
        <w:pStyle w:val="Ttulo1"/>
        <w:rPr>
          <w:color w:val="FF0000"/>
        </w:rPr>
      </w:pPr>
    </w:p>
    <w:p w14:paraId="30B9F659" w14:textId="77777777" w:rsidR="00C10D27" w:rsidRDefault="004F7300">
      <w:pPr>
        <w:pStyle w:val="Ttulo1"/>
      </w:pPr>
      <w:bookmarkStart w:id="15" w:name="_Toc226634183"/>
      <w:r>
        <w:t>R E S U E L V E</w:t>
      </w:r>
      <w:bookmarkEnd w:id="15"/>
    </w:p>
    <w:p w14:paraId="692C9344" w14:textId="77777777" w:rsidR="00C10D27" w:rsidRDefault="00C10D27">
      <w:pPr>
        <w:spacing w:line="360" w:lineRule="auto"/>
        <w:jc w:val="both"/>
        <w:rPr>
          <w:rFonts w:ascii="Palatino Linotype" w:eastAsia="Palatino Linotype" w:hAnsi="Palatino Linotype" w:cs="Palatino Linotype"/>
          <w:b/>
          <w:bCs/>
          <w:color w:val="FF0000"/>
          <w:sz w:val="22"/>
          <w:szCs w:val="22"/>
        </w:rPr>
      </w:pPr>
    </w:p>
    <w:p w14:paraId="6E1A76DC"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w:t>
      </w:r>
      <w:r>
        <w:rPr>
          <w:rFonts w:ascii="Palatino Linotype" w:eastAsia="Palatino Linotype" w:hAnsi="Palatino Linotype" w:cs="Palatino Linotype"/>
          <w:sz w:val="22"/>
          <w:szCs w:val="22"/>
        </w:rPr>
        <w:t>ad hechos valer por el Particular en el Recurso de Revisión 01321/INFOEM/IP/RR/2026,</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084EC9FD"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51A7B052"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previa búsqueda exhaustiva y razonable,</w:t>
      </w:r>
      <w:r>
        <w:rPr>
          <w:rFonts w:ascii="Palatino Linotype" w:eastAsia="Palatino Linotype" w:hAnsi="Palatino Linotype" w:cs="Palatino Linotype"/>
          <w:sz w:val="22"/>
          <w:szCs w:val="22"/>
        </w:rPr>
        <w:t xml:space="preserve"> entregue a través del Sistema de Acceso a la Información Mexiquense (SAIMEX), en versión pública, lo siguiente:</w:t>
      </w:r>
    </w:p>
    <w:p w14:paraId="29242995" w14:textId="77777777" w:rsidR="00C10D27" w:rsidRDefault="00C10D27">
      <w:pPr>
        <w:spacing w:line="360" w:lineRule="auto"/>
        <w:jc w:val="both"/>
        <w:rPr>
          <w:rFonts w:ascii="Palatino Linotype" w:eastAsia="Palatino Linotype" w:hAnsi="Palatino Linotype" w:cs="Palatino Linotype"/>
          <w:sz w:val="22"/>
          <w:szCs w:val="22"/>
        </w:rPr>
      </w:pPr>
    </w:p>
    <w:p w14:paraId="6B5C1344" w14:textId="77777777" w:rsidR="00C10D27" w:rsidRDefault="004F73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Los oficios recibidos y emitidos del primero al treinta de abril de dos mil veinticinco, en la Novena Regiduría (incluidos los proporcionados </w:t>
      </w:r>
      <w:r>
        <w:rPr>
          <w:rFonts w:ascii="Palatino Linotype" w:eastAsia="Palatino Linotype" w:hAnsi="Palatino Linotype" w:cs="Palatino Linotype"/>
          <w:sz w:val="22"/>
          <w:szCs w:val="22"/>
        </w:rPr>
        <w:t>en Informe Justificado)</w:t>
      </w:r>
    </w:p>
    <w:p w14:paraId="465C0540" w14:textId="77777777" w:rsidR="00C10D27" w:rsidRDefault="00C10D27">
      <w:pPr>
        <w:pBdr>
          <w:top w:val="nil"/>
          <w:left w:val="nil"/>
          <w:bottom w:val="nil"/>
          <w:right w:val="nil"/>
          <w:between w:val="nil"/>
        </w:pBdr>
        <w:spacing w:line="360" w:lineRule="auto"/>
        <w:ind w:left="1080"/>
        <w:jc w:val="both"/>
        <w:rPr>
          <w:rFonts w:ascii="Palatino Linotype" w:eastAsia="Palatino Linotype" w:hAnsi="Palatino Linotype" w:cs="Palatino Linotype"/>
          <w:sz w:val="22"/>
          <w:szCs w:val="22"/>
        </w:rPr>
      </w:pPr>
    </w:p>
    <w:p w14:paraId="5342314E"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deberá proporcionar el Acuerdo de Clasificación donde el Comité de Transparencia, confirme la eliminación de los datos confidenciales, en la versión pública, de conformidad con los artículos 49, fracciones II y VIII y 132, </w:t>
      </w:r>
      <w:r>
        <w:rPr>
          <w:rFonts w:ascii="Palatino Linotype" w:eastAsia="Palatino Linotype" w:hAnsi="Palatino Linotype" w:cs="Palatino Linotype"/>
          <w:sz w:val="22"/>
          <w:szCs w:val="22"/>
        </w:rPr>
        <w:t>fracción II de la Ley de Transparencia y Acceso a la Información Pública del Estado de México y Municipios.</w:t>
      </w:r>
    </w:p>
    <w:p w14:paraId="2D6A5AFF" w14:textId="77777777" w:rsidR="00C10D27" w:rsidRDefault="00C10D27">
      <w:pPr>
        <w:spacing w:line="360" w:lineRule="auto"/>
        <w:jc w:val="both"/>
        <w:rPr>
          <w:rFonts w:ascii="Palatino Linotype" w:eastAsia="Palatino Linotype" w:hAnsi="Palatino Linotype" w:cs="Palatino Linotype"/>
          <w:sz w:val="22"/>
          <w:szCs w:val="22"/>
        </w:rPr>
      </w:pPr>
    </w:p>
    <w:p w14:paraId="6431C46C" w14:textId="77777777" w:rsidR="00C10D27" w:rsidRDefault="004F73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Para el caso, de que haya cancelado alguno de los oficios o no haya recibido otros a los entregados en el Informe Justificado, deberá hacerlo del c</w:t>
      </w:r>
      <w:r>
        <w:rPr>
          <w:rFonts w:ascii="Palatino Linotype" w:eastAsia="Palatino Linotype" w:hAnsi="Palatino Linotype" w:cs="Palatino Linotype"/>
          <w:sz w:val="22"/>
          <w:szCs w:val="22"/>
        </w:rPr>
        <w:t>onocimiento de la parte Recurrente, de manera clara y precisa.</w:t>
      </w:r>
    </w:p>
    <w:p w14:paraId="644950A1" w14:textId="77777777" w:rsidR="00C10D27" w:rsidRDefault="00C10D27">
      <w:pPr>
        <w:spacing w:line="360" w:lineRule="auto"/>
        <w:jc w:val="both"/>
        <w:rPr>
          <w:rFonts w:ascii="Palatino Linotype" w:eastAsia="Palatino Linotype" w:hAnsi="Palatino Linotype" w:cs="Palatino Linotype"/>
          <w:sz w:val="22"/>
          <w:szCs w:val="22"/>
        </w:rPr>
      </w:pPr>
    </w:p>
    <w:p w14:paraId="6BA711D1"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TERCERO. </w:t>
      </w:r>
      <w:r>
        <w:rPr>
          <w:rFonts w:ascii="Palatino Linotype" w:eastAsia="Palatino Linotype" w:hAnsi="Palatino Linotype" w:cs="Palatino Linotype"/>
          <w:sz w:val="22"/>
          <w:szCs w:val="22"/>
        </w:rPr>
        <w:t>Con fundamento en el artículo 179, párrafo segundo, de la Ley de Transparencia y Acceso a la Información Pública del Estado de México y Municipios, se hace del conocimiento de la pers</w:t>
      </w:r>
      <w:r>
        <w:rPr>
          <w:rFonts w:ascii="Palatino Linotype" w:eastAsia="Palatino Linotype" w:hAnsi="Palatino Linotype" w:cs="Palatino Linotype"/>
          <w:sz w:val="22"/>
          <w:szCs w:val="22"/>
        </w:rPr>
        <w:t xml:space="preserve">ona Recurrente que tiene derecho a interponer nuevamente Recurso de Revisión ante este Instituto, por la respuesta que dé el Sujeto Obligado, en cumplimiento a esta Resolución.  </w:t>
      </w:r>
    </w:p>
    <w:p w14:paraId="03637D42" w14:textId="77777777" w:rsidR="00C10D27" w:rsidRDefault="00C10D27">
      <w:pPr>
        <w:spacing w:line="360" w:lineRule="auto"/>
        <w:jc w:val="both"/>
        <w:rPr>
          <w:rFonts w:ascii="Palatino Linotype" w:eastAsia="Palatino Linotype" w:hAnsi="Palatino Linotype" w:cs="Palatino Linotype"/>
          <w:sz w:val="22"/>
          <w:szCs w:val="22"/>
        </w:rPr>
      </w:pPr>
    </w:p>
    <w:p w14:paraId="1AC90A0C"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w:t>
      </w:r>
      <w:r>
        <w:rPr>
          <w:rFonts w:ascii="Palatino Linotype" w:eastAsia="Palatino Linotype" w:hAnsi="Palatino Linotype" w:cs="Palatino Linotype"/>
          <w:sz w:val="22"/>
          <w:szCs w:val="22"/>
        </w:rPr>
        <w:t xml:space="preserve">d de Transparencia del Sujeto Obligado, para que conforme al artículo 186, último párrafo, 189, segundo párrafo, y 194 de la Ley de Transparencia y Acceso a la Información Pública del Estado de México y Municipios; dé cumplimiento a lo ordenado dentro del </w:t>
      </w:r>
      <w:r>
        <w:rPr>
          <w:rFonts w:ascii="Palatino Linotype" w:eastAsia="Palatino Linotype" w:hAnsi="Palatino Linotype" w:cs="Palatino Linotype"/>
          <w:sz w:val="22"/>
          <w:szCs w:val="22"/>
        </w:rPr>
        <w:t xml:space="preserve">plazo de diez días hábiles, e informe a este Instituto en un plazo de tres días hábiles siguientes sobre el cumplimiento dado a la presente, se le apercibe que en caso de negarse a cumplir la presente resolución o hacerlo de manera parcial, se le impondrá </w:t>
      </w:r>
      <w:r>
        <w:rPr>
          <w:rFonts w:ascii="Palatino Linotype" w:eastAsia="Palatino Linotype" w:hAnsi="Palatino Linotype" w:cs="Palatino Linotype"/>
          <w:sz w:val="22"/>
          <w:szCs w:val="22"/>
        </w:rPr>
        <w:t>una medida de apremio de conformidad con lo previsto en los artículos 198, 200, fracción III, 214, 215 y 216 de la Ley referida.</w:t>
      </w:r>
    </w:p>
    <w:p w14:paraId="2D932343" w14:textId="77777777" w:rsidR="00C10D27" w:rsidRDefault="00C10D27">
      <w:pPr>
        <w:spacing w:line="360" w:lineRule="auto"/>
        <w:jc w:val="both"/>
        <w:rPr>
          <w:rFonts w:ascii="Palatino Linotype" w:eastAsia="Palatino Linotype" w:hAnsi="Palatino Linotype" w:cs="Palatino Linotype"/>
          <w:sz w:val="22"/>
          <w:szCs w:val="22"/>
        </w:rPr>
      </w:pPr>
    </w:p>
    <w:p w14:paraId="00BC7DF6"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w:t>
      </w:r>
      <w:r>
        <w:rPr>
          <w:rFonts w:ascii="Palatino Linotype" w:eastAsia="Palatino Linotype" w:hAnsi="Palatino Linotype" w:cs="Palatino Linotype"/>
          <w:sz w:val="22"/>
          <w:szCs w:val="22"/>
        </w:rPr>
        <w:t>nformidad con lo establecido en el artículo 196 de la Ley de Transparencia y Acceso a la Información Pública del Estado de México y Municipios podrá promover el Juicio de Amparo en los términos de las leyes aplicables.</w:t>
      </w:r>
    </w:p>
    <w:p w14:paraId="5A38F7D2" w14:textId="77777777" w:rsidR="00C10D27" w:rsidRDefault="00C10D27">
      <w:pPr>
        <w:spacing w:line="360" w:lineRule="auto"/>
        <w:jc w:val="both"/>
        <w:rPr>
          <w:rFonts w:ascii="Palatino Linotype" w:eastAsia="Palatino Linotype" w:hAnsi="Palatino Linotype" w:cs="Palatino Linotype"/>
          <w:sz w:val="22"/>
          <w:szCs w:val="22"/>
        </w:rPr>
      </w:pPr>
    </w:p>
    <w:p w14:paraId="568808A2"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w:t>
      </w:r>
      <w:r>
        <w:rPr>
          <w:rFonts w:ascii="Palatino Linotype" w:eastAsia="Palatino Linotype" w:hAnsi="Palatino Linotype" w:cs="Palatino Linotype"/>
          <w:sz w:val="22"/>
          <w:szCs w:val="22"/>
        </w:rPr>
        <w:t xml:space="preserve"> Técnica del Pleno de este Instituto para hacer del conocimiento del Órgano Interno de Control competente la presente resolución, a fin de que de conformidad con el artículo 190, de la Ley de Transparencia y Acceso a la Información Pública del Estado de Mé</w:t>
      </w:r>
      <w:r>
        <w:rPr>
          <w:rFonts w:ascii="Palatino Linotype" w:eastAsia="Palatino Linotype" w:hAnsi="Palatino Linotype" w:cs="Palatino Linotype"/>
          <w:sz w:val="22"/>
          <w:szCs w:val="22"/>
        </w:rPr>
        <w:t>xico y Municipios, determine lo conducente, en términos de lo señalado en el Considerando SÉPTIMO de la presente Resolución.</w:t>
      </w:r>
    </w:p>
    <w:p w14:paraId="3BC00FE2" w14:textId="77777777" w:rsidR="00C10D27" w:rsidRDefault="00C10D27">
      <w:pPr>
        <w:spacing w:line="360" w:lineRule="auto"/>
        <w:jc w:val="both"/>
        <w:rPr>
          <w:rFonts w:ascii="Palatino Linotype" w:eastAsia="Palatino Linotype" w:hAnsi="Palatino Linotype" w:cs="Palatino Linotype"/>
          <w:b/>
          <w:bCs/>
          <w:sz w:val="22"/>
          <w:szCs w:val="22"/>
        </w:rPr>
      </w:pPr>
    </w:p>
    <w:p w14:paraId="522E338E" w14:textId="77777777" w:rsidR="00C10D27" w:rsidRDefault="004F73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w:t>
      </w:r>
      <w:r>
        <w:rPr>
          <w:rFonts w:ascii="Palatino Linotype" w:eastAsia="Palatino Linotype" w:hAnsi="Palatino Linotype" w:cs="Palatino Linotype"/>
          <w:sz w:val="22"/>
          <w:szCs w:val="22"/>
        </w:rPr>
        <w:t>DATOS PERSONALES DEL ESTADO DE MÉXICO Y MUNICIPIOS, CONFORMADO POR LOS COMISIONADOS JOSÉ MARTÍNEZ VILCHIS, MARÍA DEL ROSARIO MEJÍA AYALA, SHARON CRISTINA MORALES MARTÍNEZ, LUIS GUSTAVO PARRA NORIEGA Y GUADALUPE RAMÍREZ PEÑA, EN LA DÉCIMA SEGUNDA SESIÓN ORD</w:t>
      </w:r>
      <w:r>
        <w:rPr>
          <w:rFonts w:ascii="Palatino Linotype" w:eastAsia="Palatino Linotype" w:hAnsi="Palatino Linotype" w:cs="Palatino Linotype"/>
          <w:sz w:val="22"/>
          <w:szCs w:val="22"/>
        </w:rPr>
        <w:t>INARIA, CELEBRADA EL OCHO DE ABRIL DE DOS MIL VEINTISÉIS, ANTE EL SECRETARIO TÉCNICO DEL PLENO, ALEXIS TAPIA RAMÍREZ.</w:t>
      </w:r>
    </w:p>
    <w:p w14:paraId="517CC259" w14:textId="77777777" w:rsidR="00C10D27" w:rsidRDefault="00C10D27">
      <w:pPr>
        <w:spacing w:line="360" w:lineRule="auto"/>
        <w:jc w:val="both"/>
        <w:rPr>
          <w:rFonts w:ascii="Palatino Linotype" w:eastAsia="Palatino Linotype" w:hAnsi="Palatino Linotype" w:cs="Palatino Linotype"/>
          <w:sz w:val="22"/>
          <w:szCs w:val="22"/>
        </w:rPr>
      </w:pPr>
    </w:p>
    <w:p w14:paraId="3A38C286" w14:textId="77777777" w:rsidR="00C10D27" w:rsidRDefault="00C10D27">
      <w:pPr>
        <w:spacing w:line="360" w:lineRule="auto"/>
        <w:jc w:val="both"/>
        <w:rPr>
          <w:rFonts w:ascii="Palatino Linotype" w:eastAsia="Palatino Linotype" w:hAnsi="Palatino Linotype" w:cs="Palatino Linotype"/>
          <w:sz w:val="22"/>
          <w:szCs w:val="22"/>
        </w:rPr>
      </w:pPr>
    </w:p>
    <w:p w14:paraId="2E8B61A0" w14:textId="77777777" w:rsidR="00C10D27" w:rsidRDefault="00C10D27">
      <w:pPr>
        <w:spacing w:line="360" w:lineRule="auto"/>
        <w:jc w:val="both"/>
        <w:rPr>
          <w:rFonts w:ascii="Palatino Linotype" w:eastAsia="Palatino Linotype" w:hAnsi="Palatino Linotype" w:cs="Palatino Linotype"/>
          <w:sz w:val="22"/>
          <w:szCs w:val="22"/>
        </w:rPr>
      </w:pPr>
    </w:p>
    <w:p w14:paraId="342D13E3" w14:textId="77777777" w:rsidR="00C10D27" w:rsidRDefault="00C10D27">
      <w:pPr>
        <w:spacing w:line="360" w:lineRule="auto"/>
        <w:jc w:val="both"/>
        <w:rPr>
          <w:rFonts w:ascii="Palatino Linotype" w:eastAsia="Palatino Linotype" w:hAnsi="Palatino Linotype" w:cs="Palatino Linotype"/>
          <w:sz w:val="22"/>
          <w:szCs w:val="22"/>
        </w:rPr>
      </w:pPr>
    </w:p>
    <w:p w14:paraId="4060C05C" w14:textId="77777777" w:rsidR="00C10D27" w:rsidRDefault="00C10D27">
      <w:pPr>
        <w:spacing w:line="360" w:lineRule="auto"/>
        <w:jc w:val="both"/>
        <w:rPr>
          <w:rFonts w:ascii="Palatino Linotype" w:eastAsia="Palatino Linotype" w:hAnsi="Palatino Linotype" w:cs="Palatino Linotype"/>
          <w:sz w:val="22"/>
          <w:szCs w:val="22"/>
        </w:rPr>
      </w:pPr>
    </w:p>
    <w:p w14:paraId="5AC05B8B" w14:textId="77777777" w:rsidR="00C10D27" w:rsidRDefault="00C10D27">
      <w:pPr>
        <w:spacing w:line="360" w:lineRule="auto"/>
        <w:jc w:val="both"/>
        <w:rPr>
          <w:rFonts w:ascii="Palatino Linotype" w:eastAsia="Palatino Linotype" w:hAnsi="Palatino Linotype" w:cs="Palatino Linotype"/>
          <w:sz w:val="22"/>
          <w:szCs w:val="22"/>
        </w:rPr>
      </w:pPr>
    </w:p>
    <w:p w14:paraId="2084C056" w14:textId="77777777" w:rsidR="00C10D27" w:rsidRDefault="00C10D27">
      <w:pPr>
        <w:spacing w:line="360" w:lineRule="auto"/>
        <w:jc w:val="both"/>
        <w:rPr>
          <w:rFonts w:ascii="Palatino Linotype" w:eastAsia="Palatino Linotype" w:hAnsi="Palatino Linotype" w:cs="Palatino Linotype"/>
          <w:sz w:val="22"/>
          <w:szCs w:val="22"/>
        </w:rPr>
      </w:pPr>
    </w:p>
    <w:p w14:paraId="1FD358BE" w14:textId="77777777" w:rsidR="00C10D27" w:rsidRDefault="00C10D27">
      <w:pPr>
        <w:spacing w:line="360" w:lineRule="auto"/>
        <w:jc w:val="both"/>
        <w:rPr>
          <w:rFonts w:ascii="Palatino Linotype" w:eastAsia="Palatino Linotype" w:hAnsi="Palatino Linotype" w:cs="Palatino Linotype"/>
          <w:b/>
          <w:bCs/>
          <w:sz w:val="22"/>
          <w:szCs w:val="22"/>
        </w:rPr>
      </w:pPr>
    </w:p>
    <w:p w14:paraId="0A003F07"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467EA664"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03C222AC"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49B8D9E1" w14:textId="77777777" w:rsidR="00C10D27" w:rsidRDefault="00C10D27">
      <w:pPr>
        <w:spacing w:line="360" w:lineRule="auto"/>
        <w:ind w:right="-93"/>
        <w:jc w:val="both"/>
        <w:rPr>
          <w:rFonts w:ascii="Palatino Linotype" w:eastAsia="Palatino Linotype" w:hAnsi="Palatino Linotype" w:cs="Palatino Linotype"/>
          <w:color w:val="FF0000"/>
          <w:sz w:val="22"/>
          <w:szCs w:val="22"/>
        </w:rPr>
      </w:pPr>
    </w:p>
    <w:p w14:paraId="538B6BD2"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26B44463"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6CB04F6C" w14:textId="77777777" w:rsidR="00C10D27" w:rsidRDefault="00C10D27">
      <w:pPr>
        <w:spacing w:line="360" w:lineRule="auto"/>
        <w:rPr>
          <w:color w:val="FF0000"/>
        </w:rPr>
      </w:pPr>
    </w:p>
    <w:p w14:paraId="42E3CAAF" w14:textId="77777777" w:rsidR="00C10D27" w:rsidRDefault="00C10D27">
      <w:pPr>
        <w:spacing w:line="360" w:lineRule="auto"/>
        <w:rPr>
          <w:color w:val="FF0000"/>
        </w:rPr>
      </w:pPr>
    </w:p>
    <w:p w14:paraId="37E37D82" w14:textId="77777777" w:rsidR="00C10D27" w:rsidRDefault="00C10D27">
      <w:pPr>
        <w:spacing w:line="360" w:lineRule="auto"/>
        <w:rPr>
          <w:color w:val="FF0000"/>
        </w:rPr>
      </w:pPr>
    </w:p>
    <w:p w14:paraId="2D52A737" w14:textId="77777777" w:rsidR="00C10D27" w:rsidRDefault="00C10D27">
      <w:pPr>
        <w:spacing w:line="360" w:lineRule="auto"/>
        <w:rPr>
          <w:color w:val="FF0000"/>
        </w:rPr>
      </w:pPr>
    </w:p>
    <w:p w14:paraId="56E5AB4A" w14:textId="77777777" w:rsidR="00C10D27" w:rsidRDefault="00C10D27">
      <w:pPr>
        <w:spacing w:line="360" w:lineRule="auto"/>
        <w:rPr>
          <w:color w:val="FF0000"/>
        </w:rPr>
      </w:pPr>
    </w:p>
    <w:p w14:paraId="43E92C92"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635FAC16"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6859BA08"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5542B047"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7A7178CB"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6E33FE40"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5BADDCDA" w14:textId="77777777" w:rsidR="00C10D27" w:rsidRDefault="00C10D27">
      <w:pPr>
        <w:spacing w:line="360" w:lineRule="auto"/>
        <w:jc w:val="both"/>
        <w:rPr>
          <w:rFonts w:ascii="Palatino Linotype" w:eastAsia="Palatino Linotype" w:hAnsi="Palatino Linotype" w:cs="Palatino Linotype"/>
          <w:color w:val="FF0000"/>
          <w:sz w:val="22"/>
          <w:szCs w:val="22"/>
        </w:rPr>
      </w:pPr>
    </w:p>
    <w:p w14:paraId="37FE7DEC" w14:textId="77777777" w:rsidR="00C10D27" w:rsidRDefault="00C10D27">
      <w:pPr>
        <w:spacing w:line="360" w:lineRule="auto"/>
        <w:jc w:val="both"/>
        <w:rPr>
          <w:rFonts w:ascii="Palatino Linotype" w:eastAsia="Palatino Linotype" w:hAnsi="Palatino Linotype" w:cs="Palatino Linotype"/>
          <w:color w:val="FF0000"/>
          <w:sz w:val="22"/>
          <w:szCs w:val="22"/>
        </w:rPr>
      </w:pPr>
    </w:p>
    <w:sectPr w:rsidR="00C10D27">
      <w:headerReference w:type="even" r:id="rId10"/>
      <w:headerReference w:type="default" r:id="rId11"/>
      <w:footerReference w:type="even"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3C396" w14:textId="77777777" w:rsidR="004F7300" w:rsidRDefault="004F7300">
      <w:r>
        <w:separator/>
      </w:r>
    </w:p>
  </w:endnote>
  <w:endnote w:type="continuationSeparator" w:id="0">
    <w:p w14:paraId="1D7BED2E" w14:textId="77777777" w:rsidR="004F7300" w:rsidRDefault="004F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97E2CE0-C20C-44CE-B5D1-EF4BA80BDB5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B8CB68E-BF2A-4BB8-AD02-95B9342484D1}"/>
    <w:embedBold r:id="rId3" w:fontKey="{F86E164D-BA4D-49CD-99D2-0A2439DB6792}"/>
    <w:embedItalic r:id="rId4" w:fontKey="{80DA7056-0991-422C-879E-E15EA4966B16}"/>
    <w:embedBoldItalic r:id="rId5" w:fontKey="{34C92129-3B49-4D37-8BCC-1D28C1BEAAF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C2D1E1E-9341-4E2E-B358-C266C187CF26}"/>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A06F9183-2BF9-46EC-88A5-5BC486512479}"/>
  </w:font>
  <w:font w:name="Cambria">
    <w:panose1 w:val="02040503050406030204"/>
    <w:charset w:val="00"/>
    <w:family w:val="roman"/>
    <w:pitch w:val="variable"/>
    <w:sig w:usb0="E00006FF" w:usb1="420024FF" w:usb2="02000000" w:usb3="00000000" w:csb0="0000019F" w:csb1="00000000"/>
    <w:embedRegular r:id="rId8" w:fontKey="{8BC0A8B6-C7C7-4106-A43B-F85E2B549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13270" w14:textId="77777777" w:rsidR="008F4036" w:rsidRDefault="008F40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88F2B" w14:textId="77777777" w:rsidR="00C10D27" w:rsidRDefault="00C10D27">
    <w:pPr>
      <w:pBdr>
        <w:top w:val="nil"/>
        <w:left w:val="nil"/>
        <w:bottom w:val="nil"/>
        <w:right w:val="nil"/>
        <w:between w:val="nil"/>
      </w:pBdr>
      <w:tabs>
        <w:tab w:val="center" w:pos="4419"/>
        <w:tab w:val="right" w:pos="8838"/>
      </w:tabs>
      <w:jc w:val="right"/>
      <w:rPr>
        <w:color w:val="000000"/>
        <w:sz w:val="26"/>
        <w:szCs w:val="26"/>
      </w:rPr>
    </w:pPr>
  </w:p>
  <w:p w14:paraId="0539632E" w14:textId="77777777" w:rsidR="00C10D27" w:rsidRDefault="004F73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746E8">
      <w:rPr>
        <w:b/>
        <w:bCs/>
        <w:noProof/>
        <w:color w:val="000000"/>
        <w:sz w:val="24"/>
        <w:szCs w:val="24"/>
      </w:rPr>
      <w:t>30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746E8">
      <w:rPr>
        <w:b/>
        <w:bCs/>
        <w:noProof/>
        <w:color w:val="000000"/>
        <w:sz w:val="24"/>
        <w:szCs w:val="24"/>
      </w:rPr>
      <w:t>31</w:t>
    </w:r>
    <w:r>
      <w:rPr>
        <w:b/>
        <w:bCs/>
        <w:color w:val="000000"/>
        <w:sz w:val="24"/>
        <w:szCs w:val="24"/>
      </w:rPr>
      <w:fldChar w:fldCharType="end"/>
    </w:r>
  </w:p>
  <w:p w14:paraId="059E8740" w14:textId="77777777" w:rsidR="00C10D27" w:rsidRDefault="00C10D2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F8FF5" w14:textId="77777777" w:rsidR="00C10D27" w:rsidRDefault="00C10D27">
    <w:pPr>
      <w:pBdr>
        <w:top w:val="nil"/>
        <w:left w:val="nil"/>
        <w:bottom w:val="nil"/>
        <w:right w:val="nil"/>
        <w:between w:val="nil"/>
      </w:pBdr>
      <w:tabs>
        <w:tab w:val="center" w:pos="4419"/>
        <w:tab w:val="right" w:pos="8838"/>
      </w:tabs>
      <w:jc w:val="right"/>
      <w:rPr>
        <w:color w:val="000000"/>
      </w:rPr>
    </w:pPr>
  </w:p>
  <w:p w14:paraId="0662A38B" w14:textId="77777777" w:rsidR="00C10D27" w:rsidRDefault="004F73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746E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746E8">
      <w:rPr>
        <w:b/>
        <w:bCs/>
        <w:noProof/>
        <w:color w:val="000000"/>
        <w:sz w:val="24"/>
        <w:szCs w:val="24"/>
      </w:rPr>
      <w:t>31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DB1F4" w14:textId="77777777" w:rsidR="004F7300" w:rsidRDefault="004F7300">
      <w:r>
        <w:separator/>
      </w:r>
    </w:p>
  </w:footnote>
  <w:footnote w:type="continuationSeparator" w:id="0">
    <w:p w14:paraId="4B185074" w14:textId="77777777" w:rsidR="004F7300" w:rsidRDefault="004F7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9115" w14:textId="77777777" w:rsidR="008F4036" w:rsidRDefault="008F40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1CAB" w14:textId="77777777" w:rsidR="00C10D27" w:rsidRDefault="00C10D27">
    <w:pPr>
      <w:widowControl w:val="0"/>
      <w:pBdr>
        <w:top w:val="nil"/>
        <w:left w:val="nil"/>
        <w:bottom w:val="nil"/>
        <w:right w:val="nil"/>
        <w:between w:val="nil"/>
      </w:pBdr>
      <w:spacing w:line="276" w:lineRule="auto"/>
      <w:rPr>
        <w:rFonts w:ascii="Palatino Linotype" w:eastAsia="Palatino Linotype" w:hAnsi="Palatino Linotype" w:cs="Palatino Linotype"/>
        <w:color w:val="FF0000"/>
        <w:sz w:val="22"/>
        <w:szCs w:val="22"/>
      </w:rPr>
    </w:pPr>
  </w:p>
  <w:tbl>
    <w:tblPr>
      <w:tblStyle w:val="a0"/>
      <w:tblW w:w="8222" w:type="dxa"/>
      <w:tblInd w:w="2552" w:type="dxa"/>
      <w:tblLayout w:type="fixed"/>
      <w:tblLook w:val="0400" w:firstRow="0" w:lastRow="0" w:firstColumn="0" w:lastColumn="0" w:noHBand="0" w:noVBand="1"/>
    </w:tblPr>
    <w:tblGrid>
      <w:gridCol w:w="8222"/>
    </w:tblGrid>
    <w:tr w:rsidR="00C10D27" w14:paraId="11E906B9" w14:textId="77777777">
      <w:trPr>
        <w:trHeight w:val="1412"/>
      </w:trPr>
      <w:tc>
        <w:tcPr>
          <w:tcW w:w="8222" w:type="dxa"/>
        </w:tcPr>
        <w:p w14:paraId="4CCFA4C3" w14:textId="77777777" w:rsidR="00C10D27" w:rsidRDefault="00C10D27"/>
        <w:tbl>
          <w:tblPr>
            <w:tblStyle w:val="a1"/>
            <w:tblW w:w="6700" w:type="dxa"/>
            <w:tblInd w:w="171" w:type="dxa"/>
            <w:tblBorders>
              <w:top w:val="nil"/>
              <w:left w:val="nil"/>
              <w:bottom w:val="nil"/>
              <w:right w:val="nil"/>
              <w:insideH w:val="nil"/>
              <w:insideV w:val="nil"/>
            </w:tblBorders>
            <w:tblLayout w:type="fixed"/>
            <w:tblLook w:val="0400" w:firstRow="0" w:lastRow="0" w:firstColumn="0" w:lastColumn="0" w:noHBand="0" w:noVBand="1"/>
          </w:tblPr>
          <w:tblGrid>
            <w:gridCol w:w="3078"/>
            <w:gridCol w:w="3622"/>
          </w:tblGrid>
          <w:tr w:rsidR="00C10D27" w14:paraId="2CE0A629" w14:textId="77777777">
            <w:trPr>
              <w:trHeight w:val="144"/>
            </w:trPr>
            <w:tc>
              <w:tcPr>
                <w:tcW w:w="3078" w:type="dxa"/>
              </w:tcPr>
              <w:p w14:paraId="54F0A21B"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22" w:type="dxa"/>
              </w:tcPr>
              <w:p w14:paraId="2E87DAC6"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01321/INFOEM/IP/RR/2026</w:t>
                </w:r>
              </w:p>
            </w:tc>
          </w:tr>
          <w:tr w:rsidR="00C10D27" w14:paraId="72741ACC" w14:textId="77777777">
            <w:trPr>
              <w:trHeight w:val="144"/>
            </w:trPr>
            <w:tc>
              <w:tcPr>
                <w:tcW w:w="3078" w:type="dxa"/>
              </w:tcPr>
              <w:p w14:paraId="415350A1"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22" w:type="dxa"/>
              </w:tcPr>
              <w:p w14:paraId="3449133F"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C10D27" w14:paraId="1C61A644" w14:textId="77777777">
            <w:trPr>
              <w:trHeight w:val="138"/>
            </w:trPr>
            <w:tc>
              <w:tcPr>
                <w:tcW w:w="3078" w:type="dxa"/>
              </w:tcPr>
              <w:p w14:paraId="6B34E5D0"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622" w:type="dxa"/>
              </w:tcPr>
              <w:p w14:paraId="6761575E"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69342E81" w14:textId="77777777" w:rsidR="00C10D27" w:rsidRDefault="00C10D27">
          <w:pPr>
            <w:tabs>
              <w:tab w:val="right" w:pos="8838"/>
            </w:tabs>
            <w:ind w:left="-28"/>
            <w:jc w:val="both"/>
            <w:rPr>
              <w:rFonts w:ascii="Arial" w:eastAsia="Arial" w:hAnsi="Arial" w:cs="Arial"/>
              <w:b/>
              <w:bCs/>
              <w:sz w:val="22"/>
              <w:szCs w:val="22"/>
            </w:rPr>
          </w:pPr>
        </w:p>
      </w:tc>
    </w:tr>
  </w:tbl>
  <w:p w14:paraId="33B3A459" w14:textId="77777777" w:rsidR="00C10D27" w:rsidRDefault="004F73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noProof/>
        <w:color w:val="000000"/>
        <w:sz w:val="16"/>
        <w:szCs w:val="16"/>
      </w:rPr>
      <w:drawing>
        <wp:anchor distT="0" distB="0" distL="114300" distR="114300" simplePos="0" relativeHeight="251657216" behindDoc="1" locked="0" layoutInCell="1" hidden="0" allowOverlap="1" wp14:anchorId="2B3B1497" wp14:editId="1491B721">
          <wp:simplePos x="0" y="0"/>
          <wp:positionH relativeFrom="margin">
            <wp:posOffset>-934084</wp:posOffset>
          </wp:positionH>
          <wp:positionV relativeFrom="margin">
            <wp:posOffset>-1540509</wp:posOffset>
          </wp:positionV>
          <wp:extent cx="8426450" cy="1097280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9126" w14:textId="77777777" w:rsidR="00C10D27" w:rsidRDefault="004F7300">
    <w:r>
      <w:rPr>
        <w:rFonts w:ascii="Palatino Linotype" w:eastAsia="Palatino Linotype" w:hAnsi="Palatino Linotype" w:cs="Palatino Linotype"/>
        <w:b/>
        <w:bCs/>
        <w:sz w:val="22"/>
        <w:szCs w:val="22"/>
      </w:rPr>
      <w:pict w14:anchorId="352B3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79.7pt;margin-top:-124.7pt;width:663.5pt;height:12in;z-index:-251658240;mso-position-horizontal:absolute;mso-position-horizontal-relative:margin;mso-position-vertical:absolute;mso-position-vertical-relative:margin">
          <v:imagedata r:id="rId1" o:title="image2"/>
          <w10:wrap anchorx="margin" anchory="margin"/>
        </v:shape>
      </w:pict>
    </w:r>
  </w:p>
  <w:tbl>
    <w:tblPr>
      <w:tblStyle w:val="a2"/>
      <w:tblpPr w:leftFromText="141" w:rightFromText="141" w:vertAnchor="page" w:horzAnchor="margin" w:tblpY="556"/>
      <w:tblW w:w="94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35"/>
      <w:gridCol w:w="2405"/>
      <w:gridCol w:w="4257"/>
    </w:tblGrid>
    <w:tr w:rsidR="00C10D27" w14:paraId="39FE7390" w14:textId="77777777">
      <w:trPr>
        <w:trHeight w:val="466"/>
      </w:trPr>
      <w:tc>
        <w:tcPr>
          <w:tcW w:w="2835" w:type="dxa"/>
          <w:vAlign w:val="bottom"/>
        </w:tcPr>
        <w:p w14:paraId="391A520C" w14:textId="77777777" w:rsidR="00C10D27" w:rsidRDefault="00C10D27">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41CA57C6" w14:textId="77777777" w:rsidR="00C10D27" w:rsidRDefault="004F73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0A96105D" w14:textId="77777777" w:rsidR="00C10D27" w:rsidRDefault="004F7300">
          <w:pPr>
            <w:tabs>
              <w:tab w:val="right" w:pos="8838"/>
            </w:tabs>
            <w:spacing w:line="276" w:lineRule="auto"/>
            <w:ind w:right="31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01321/INFOEM/IP/RR/2026</w:t>
          </w:r>
        </w:p>
      </w:tc>
    </w:tr>
    <w:tr w:rsidR="00C10D27" w14:paraId="45D69ABE" w14:textId="77777777">
      <w:trPr>
        <w:trHeight w:val="119"/>
      </w:trPr>
      <w:tc>
        <w:tcPr>
          <w:tcW w:w="2835" w:type="dxa"/>
        </w:tcPr>
        <w:p w14:paraId="71A4227E" w14:textId="77777777" w:rsidR="00C10D27" w:rsidRDefault="00C10D27">
          <w:pPr>
            <w:tabs>
              <w:tab w:val="right" w:pos="8838"/>
            </w:tabs>
            <w:ind w:right="-105"/>
            <w:rPr>
              <w:rFonts w:ascii="Palatino Linotype" w:eastAsia="Palatino Linotype" w:hAnsi="Palatino Linotype" w:cs="Palatino Linotype"/>
              <w:b/>
              <w:bCs/>
              <w:sz w:val="22"/>
              <w:szCs w:val="22"/>
            </w:rPr>
          </w:pPr>
        </w:p>
      </w:tc>
      <w:tc>
        <w:tcPr>
          <w:tcW w:w="2405" w:type="dxa"/>
        </w:tcPr>
        <w:p w14:paraId="40CC2B0B" w14:textId="77777777" w:rsidR="00C10D27" w:rsidRDefault="004F73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739C14CB" w14:textId="77777777" w:rsidR="00C10D27" w:rsidRDefault="00C10D27">
          <w:pPr>
            <w:tabs>
              <w:tab w:val="right" w:pos="8838"/>
            </w:tabs>
            <w:spacing w:line="276" w:lineRule="auto"/>
            <w:ind w:right="170"/>
            <w:jc w:val="both"/>
            <w:rPr>
              <w:rFonts w:ascii="Palatino Linotype" w:eastAsia="Palatino Linotype" w:hAnsi="Palatino Linotype" w:cs="Palatino Linotype"/>
              <w:sz w:val="22"/>
              <w:szCs w:val="22"/>
            </w:rPr>
          </w:pPr>
        </w:p>
      </w:tc>
    </w:tr>
    <w:tr w:rsidR="00C10D27" w14:paraId="7176A3A8" w14:textId="77777777">
      <w:trPr>
        <w:trHeight w:val="234"/>
      </w:trPr>
      <w:tc>
        <w:tcPr>
          <w:tcW w:w="2835" w:type="dxa"/>
        </w:tcPr>
        <w:p w14:paraId="54FB538C" w14:textId="77777777" w:rsidR="00C10D27" w:rsidRDefault="00C10D27">
          <w:pPr>
            <w:tabs>
              <w:tab w:val="right" w:pos="8838"/>
            </w:tabs>
            <w:ind w:right="-105"/>
            <w:rPr>
              <w:rFonts w:ascii="Palatino Linotype" w:eastAsia="Palatino Linotype" w:hAnsi="Palatino Linotype" w:cs="Palatino Linotype"/>
              <w:b/>
              <w:bCs/>
              <w:sz w:val="22"/>
              <w:szCs w:val="22"/>
            </w:rPr>
          </w:pPr>
        </w:p>
      </w:tc>
      <w:tc>
        <w:tcPr>
          <w:tcW w:w="2405" w:type="dxa"/>
        </w:tcPr>
        <w:p w14:paraId="48C10A9C" w14:textId="77777777" w:rsidR="00C10D27" w:rsidRDefault="004F7300">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30C0D9F7" w14:textId="77777777" w:rsidR="00C10D27" w:rsidRDefault="004F7300">
          <w:pPr>
            <w:tabs>
              <w:tab w:val="right" w:pos="8838"/>
            </w:tabs>
            <w:spacing w:line="276" w:lineRule="auto"/>
            <w:ind w:right="31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C10D27" w14:paraId="1696B53A" w14:textId="77777777">
      <w:trPr>
        <w:trHeight w:val="234"/>
      </w:trPr>
      <w:tc>
        <w:tcPr>
          <w:tcW w:w="2835" w:type="dxa"/>
        </w:tcPr>
        <w:p w14:paraId="6F715672" w14:textId="77777777" w:rsidR="00C10D27" w:rsidRDefault="00C10D27">
          <w:pPr>
            <w:tabs>
              <w:tab w:val="right" w:pos="8838"/>
            </w:tabs>
            <w:ind w:right="-105"/>
            <w:rPr>
              <w:rFonts w:ascii="Palatino Linotype" w:eastAsia="Palatino Linotype" w:hAnsi="Palatino Linotype" w:cs="Palatino Linotype"/>
              <w:b/>
              <w:bCs/>
              <w:sz w:val="22"/>
              <w:szCs w:val="22"/>
            </w:rPr>
          </w:pPr>
        </w:p>
      </w:tc>
      <w:tc>
        <w:tcPr>
          <w:tcW w:w="2405" w:type="dxa"/>
        </w:tcPr>
        <w:p w14:paraId="6A0E3B56" w14:textId="77777777" w:rsidR="00C10D27" w:rsidRDefault="004F7300">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3F07500C" w14:textId="77777777" w:rsidR="00C10D27" w:rsidRDefault="004F73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EB335E2" w14:textId="77777777" w:rsidR="00C10D27" w:rsidRDefault="00C10D27">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94ABF"/>
    <w:multiLevelType w:val="multilevel"/>
    <w:tmpl w:val="97B20B6C"/>
    <w:lvl w:ilvl="0">
      <w:start w:val="1"/>
      <w:numFmt w:val="bullet"/>
      <w:lvlText w:val="●"/>
      <w:lvlJc w:val="left"/>
      <w:pPr>
        <w:ind w:left="1080" w:hanging="360"/>
      </w:pPr>
      <w:rPr>
        <w:rFonts w:ascii="Noto Sans Symbols" w:eastAsia="Noto Sans Symbols" w:hAnsi="Noto Sans Symbols" w:cs="Noto Sans Symbols"/>
        <w:color w:val="0D0D0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FCF57F7"/>
    <w:multiLevelType w:val="multilevel"/>
    <w:tmpl w:val="F0D60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D24F0A"/>
    <w:multiLevelType w:val="multilevel"/>
    <w:tmpl w:val="E8547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5C70B1"/>
    <w:multiLevelType w:val="multilevel"/>
    <w:tmpl w:val="EB20CFB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8E6CE2"/>
    <w:multiLevelType w:val="multilevel"/>
    <w:tmpl w:val="DB16884A"/>
    <w:lvl w:ilvl="0">
      <w:start w:val="1"/>
      <w:numFmt w:val="decimal"/>
      <w:lvlText w:val="%1."/>
      <w:lvlJc w:val="left"/>
      <w:pPr>
        <w:ind w:left="3763" w:hanging="360"/>
      </w:pPr>
    </w:lvl>
    <w:lvl w:ilvl="1">
      <w:start w:val="1"/>
      <w:numFmt w:val="lowerLetter"/>
      <w:lvlText w:val="%2."/>
      <w:lvlJc w:val="left"/>
      <w:pPr>
        <w:ind w:left="4483" w:hanging="360"/>
      </w:p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abstractNum w:abstractNumId="5" w15:restartNumberingAfterBreak="0">
    <w:nsid w:val="65C63011"/>
    <w:multiLevelType w:val="multilevel"/>
    <w:tmpl w:val="7C80D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496906"/>
    <w:multiLevelType w:val="multilevel"/>
    <w:tmpl w:val="A47232B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712194"/>
    <w:multiLevelType w:val="multilevel"/>
    <w:tmpl w:val="EAE055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1"/>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D27"/>
    <w:rsid w:val="000D3DA5"/>
    <w:rsid w:val="004F7300"/>
    <w:rsid w:val="005D31C3"/>
    <w:rsid w:val="006746E8"/>
    <w:rsid w:val="00780DE0"/>
    <w:rsid w:val="008F4036"/>
    <w:rsid w:val="00C10D27"/>
    <w:rsid w:val="00D333B5"/>
    <w:rsid w:val="00E87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9B6099"/>
  <w15:docId w15:val="{EB4EACE2-3F0B-44A4-9177-B359A8E2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pPr>
      <w:jc w:val="both"/>
    </w:pPr>
    <w:rPr>
      <w:rFonts w:ascii="Palatino Linotype" w:eastAsia="Palatino Linotype" w:hAnsi="Palatino Linotype" w:cs="Palatino Linotype"/>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TDC1">
    <w:name w:val="toc 1"/>
    <w:basedOn w:val="Normal"/>
    <w:next w:val="Normal"/>
    <w:autoRedefine/>
    <w:uiPriority w:val="39"/>
    <w:unhideWhenUsed/>
    <w:rsid w:val="00D333B5"/>
    <w:pPr>
      <w:spacing w:after="100"/>
    </w:pPr>
  </w:style>
  <w:style w:type="paragraph" w:styleId="TDC2">
    <w:name w:val="toc 2"/>
    <w:basedOn w:val="Normal"/>
    <w:next w:val="Normal"/>
    <w:autoRedefine/>
    <w:uiPriority w:val="39"/>
    <w:unhideWhenUsed/>
    <w:rsid w:val="00D333B5"/>
    <w:pPr>
      <w:spacing w:after="100"/>
      <w:ind w:left="200"/>
    </w:pPr>
  </w:style>
  <w:style w:type="character" w:styleId="Hipervnculo">
    <w:name w:val="Hyperlink"/>
    <w:basedOn w:val="Fuentedeprrafopredeter"/>
    <w:uiPriority w:val="99"/>
    <w:unhideWhenUsed/>
    <w:rsid w:val="00D333B5"/>
    <w:rPr>
      <w:color w:val="0000FF" w:themeColor="hyperlink"/>
      <w:u w:val="single"/>
    </w:rPr>
  </w:style>
  <w:style w:type="paragraph" w:styleId="Encabezado">
    <w:name w:val="header"/>
    <w:basedOn w:val="Normal"/>
    <w:link w:val="EncabezadoCar"/>
    <w:uiPriority w:val="99"/>
    <w:unhideWhenUsed/>
    <w:rsid w:val="008F4036"/>
    <w:pPr>
      <w:tabs>
        <w:tab w:val="center" w:pos="4419"/>
        <w:tab w:val="right" w:pos="8838"/>
      </w:tabs>
    </w:pPr>
  </w:style>
  <w:style w:type="character" w:customStyle="1" w:styleId="EncabezadoCar">
    <w:name w:val="Encabezado Car"/>
    <w:basedOn w:val="Fuentedeprrafopredeter"/>
    <w:link w:val="Encabezado"/>
    <w:uiPriority w:val="99"/>
    <w:rsid w:val="008F4036"/>
  </w:style>
  <w:style w:type="paragraph" w:styleId="Piedepgina">
    <w:name w:val="footer"/>
    <w:basedOn w:val="Normal"/>
    <w:link w:val="PiedepginaCar"/>
    <w:uiPriority w:val="99"/>
    <w:unhideWhenUsed/>
    <w:rsid w:val="008F4036"/>
    <w:pPr>
      <w:tabs>
        <w:tab w:val="center" w:pos="4419"/>
        <w:tab w:val="right" w:pos="8838"/>
      </w:tabs>
    </w:pPr>
  </w:style>
  <w:style w:type="character" w:customStyle="1" w:styleId="PiedepginaCar">
    <w:name w:val="Pie de página Car"/>
    <w:basedOn w:val="Fuentedeprrafopredeter"/>
    <w:link w:val="Piedepgina"/>
    <w:uiPriority w:val="99"/>
    <w:rsid w:val="008F4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7penjzFbMW6RSU1JXyBe+AsoQ==">CgMxLjAyDmguajhoNm92NHZqbjY0Mg5oLnZoeDdsMDMybDBhcjIOaC5ieHo1aWoxbGd2ZjgyC2gub2FtbzhzY25mMg5oLmppNTYyMW0wNnVkcTIOaC44bzFjY2RoODVzb3QyDmgubnhzcW0yaTQ5a2t1Mg5oLnNsa3drcnE3ejdrazIOaC4xNWF6dWpoYnU1enUyDmguMXlsa2NjajE1OHoxMg5oLnFxd2hyNXRpd2I5bTIOaC51c2d6eGx5Z3FuZzIyDmguajJ3Y3N3ZjBra3d2Mg5oLmIza3lqOHIyZWZhYzIOaC5sZnc3eHBhbWkwY2o4AHIhMTV2UmM3ckh5d19PZEs2N20wdTR2dkdrWjgwVlVzTT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7266</Words>
  <Characters>39967</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 Gs</dc:creator>
  <cp:lastModifiedBy>USUARIO</cp:lastModifiedBy>
  <cp:revision>3</cp:revision>
  <cp:lastPrinted>2026-04-10T17:02:00Z</cp:lastPrinted>
  <dcterms:created xsi:type="dcterms:W3CDTF">2026-04-10T17:02:00Z</dcterms:created>
  <dcterms:modified xsi:type="dcterms:W3CDTF">2026-04-10T17:02:00Z</dcterms:modified>
</cp:coreProperties>
</file>