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E5770A"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E5770A">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E5770A">
        <w:rPr>
          <w:rFonts w:ascii="Palatino Linotype" w:eastAsia="Palatino Linotype" w:hAnsi="Palatino Linotype" w:cs="Palatino Linotype"/>
          <w:sz w:val="22"/>
          <w:szCs w:val="22"/>
        </w:rPr>
        <w:t>diecisiete</w:t>
      </w:r>
      <w:r w:rsidR="00032509" w:rsidRPr="00E5770A">
        <w:rPr>
          <w:rFonts w:ascii="Palatino Linotype" w:eastAsia="Palatino Linotype" w:hAnsi="Palatino Linotype" w:cs="Palatino Linotype"/>
          <w:sz w:val="22"/>
          <w:szCs w:val="22"/>
        </w:rPr>
        <w:t xml:space="preserve"> de septiembre</w:t>
      </w:r>
      <w:r w:rsidR="00E55CFA" w:rsidRPr="00E5770A">
        <w:rPr>
          <w:rFonts w:ascii="Palatino Linotype" w:eastAsia="Palatino Linotype" w:hAnsi="Palatino Linotype" w:cs="Palatino Linotype"/>
          <w:sz w:val="22"/>
          <w:szCs w:val="22"/>
        </w:rPr>
        <w:t xml:space="preserve"> de dos mil veintiséis</w:t>
      </w:r>
      <w:r w:rsidRPr="00E5770A">
        <w:rPr>
          <w:rFonts w:ascii="Palatino Linotype" w:eastAsia="Palatino Linotype" w:hAnsi="Palatino Linotype" w:cs="Palatino Linotype"/>
          <w:sz w:val="22"/>
          <w:szCs w:val="22"/>
        </w:rPr>
        <w:t xml:space="preserve">. </w:t>
      </w:r>
    </w:p>
    <w:p w14:paraId="13FC4B2B" w14:textId="77777777" w:rsidR="00532AE4" w:rsidRPr="00E5770A" w:rsidRDefault="00532AE4">
      <w:pPr>
        <w:spacing w:line="360" w:lineRule="auto"/>
        <w:jc w:val="both"/>
        <w:rPr>
          <w:rFonts w:ascii="Palatino Linotype" w:eastAsia="Palatino Linotype" w:hAnsi="Palatino Linotype" w:cs="Palatino Linotype"/>
          <w:b/>
          <w:sz w:val="22"/>
          <w:szCs w:val="22"/>
        </w:rPr>
      </w:pPr>
    </w:p>
    <w:p w14:paraId="50DC799A" w14:textId="2F6C1CEC"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 xml:space="preserve">Visto </w:t>
      </w:r>
      <w:r w:rsidRPr="00E5770A">
        <w:rPr>
          <w:rFonts w:ascii="Palatino Linotype" w:eastAsia="Palatino Linotype" w:hAnsi="Palatino Linotype" w:cs="Palatino Linotype"/>
          <w:sz w:val="22"/>
          <w:szCs w:val="22"/>
        </w:rPr>
        <w:t xml:space="preserve">el expediente relativo al recurso de revisión </w:t>
      </w:r>
      <w:r w:rsidR="008C1E2D" w:rsidRPr="00E5770A">
        <w:rPr>
          <w:rFonts w:ascii="Palatino Linotype" w:eastAsia="Palatino Linotype" w:hAnsi="Palatino Linotype" w:cs="Palatino Linotype"/>
          <w:b/>
          <w:sz w:val="22"/>
          <w:szCs w:val="22"/>
        </w:rPr>
        <w:t>0</w:t>
      </w:r>
      <w:r w:rsidR="005007D2" w:rsidRPr="00E5770A">
        <w:rPr>
          <w:rFonts w:ascii="Palatino Linotype" w:eastAsia="Palatino Linotype" w:hAnsi="Palatino Linotype" w:cs="Palatino Linotype"/>
          <w:b/>
          <w:sz w:val="22"/>
          <w:szCs w:val="22"/>
        </w:rPr>
        <w:t>8147</w:t>
      </w:r>
      <w:r w:rsidR="000C05BE" w:rsidRPr="00E5770A">
        <w:rPr>
          <w:rFonts w:ascii="Palatino Linotype" w:eastAsia="Palatino Linotype" w:hAnsi="Palatino Linotype" w:cs="Palatino Linotype"/>
          <w:b/>
          <w:sz w:val="22"/>
          <w:szCs w:val="22"/>
        </w:rPr>
        <w:t>/INFOEM/IP/RR/2026</w:t>
      </w:r>
      <w:r w:rsidRPr="00E5770A">
        <w:rPr>
          <w:rFonts w:ascii="Palatino Linotype" w:eastAsia="Palatino Linotype" w:hAnsi="Palatino Linotype" w:cs="Palatino Linotype"/>
          <w:sz w:val="22"/>
          <w:szCs w:val="22"/>
        </w:rPr>
        <w:t xml:space="preserve">, interpuesto </w:t>
      </w:r>
      <w:r w:rsidR="0061438F" w:rsidRPr="00E5770A">
        <w:rPr>
          <w:rFonts w:ascii="Palatino Linotype" w:eastAsia="Palatino Linotype" w:hAnsi="Palatino Linotype" w:cs="Palatino Linotype"/>
          <w:sz w:val="22"/>
          <w:szCs w:val="22"/>
        </w:rPr>
        <w:t xml:space="preserve">por </w:t>
      </w:r>
      <w:r w:rsidR="0070585C">
        <w:rPr>
          <w:rFonts w:ascii="Palatino Linotype" w:eastAsia="Palatino Linotype" w:hAnsi="Palatino Linotype" w:cs="Palatino Linotype"/>
          <w:b/>
          <w:sz w:val="21"/>
          <w:szCs w:val="21"/>
        </w:rPr>
        <w:t xml:space="preserve">XXXXXX </w:t>
      </w:r>
      <w:proofErr w:type="spellStart"/>
      <w:r w:rsidR="0070585C">
        <w:rPr>
          <w:rFonts w:ascii="Palatino Linotype" w:eastAsia="Palatino Linotype" w:hAnsi="Palatino Linotype" w:cs="Palatino Linotype"/>
          <w:b/>
          <w:sz w:val="21"/>
          <w:szCs w:val="21"/>
        </w:rPr>
        <w:t>XXXXXX</w:t>
      </w:r>
      <w:proofErr w:type="spellEnd"/>
      <w:r w:rsidR="0070585C">
        <w:rPr>
          <w:rFonts w:ascii="Palatino Linotype" w:eastAsia="Palatino Linotype" w:hAnsi="Palatino Linotype" w:cs="Palatino Linotype"/>
          <w:b/>
          <w:sz w:val="21"/>
          <w:szCs w:val="21"/>
        </w:rPr>
        <w:t xml:space="preserve"> XXXX</w:t>
      </w:r>
      <w:r w:rsidR="0070585C" w:rsidRPr="00E5770A">
        <w:rPr>
          <w:rFonts w:ascii="Palatino Linotype" w:eastAsia="Palatino Linotype" w:hAnsi="Palatino Linotype" w:cs="Palatino Linotype"/>
          <w:sz w:val="22"/>
          <w:szCs w:val="22"/>
        </w:rPr>
        <w:t xml:space="preserve"> </w:t>
      </w:r>
      <w:r w:rsidRPr="00E5770A">
        <w:rPr>
          <w:rFonts w:ascii="Palatino Linotype" w:eastAsia="Palatino Linotype" w:hAnsi="Palatino Linotype" w:cs="Palatino Linotype"/>
          <w:sz w:val="22"/>
          <w:szCs w:val="22"/>
        </w:rPr>
        <w:t xml:space="preserve">en lo sucesivo la parte </w:t>
      </w:r>
      <w:r w:rsidRPr="00E5770A">
        <w:rPr>
          <w:rFonts w:ascii="Palatino Linotype" w:eastAsia="Palatino Linotype" w:hAnsi="Palatino Linotype" w:cs="Palatino Linotype"/>
          <w:b/>
          <w:sz w:val="22"/>
          <w:szCs w:val="22"/>
        </w:rPr>
        <w:t xml:space="preserve">RECURRENTE, </w:t>
      </w:r>
      <w:r w:rsidRPr="00E5770A">
        <w:rPr>
          <w:rFonts w:ascii="Palatino Linotype" w:eastAsia="Palatino Linotype" w:hAnsi="Palatino Linotype" w:cs="Palatino Linotype"/>
          <w:sz w:val="22"/>
          <w:szCs w:val="22"/>
        </w:rPr>
        <w:t>en contra de la falta de respuesta a la solicitud de acceso a la información con número de folio</w:t>
      </w:r>
      <w:r w:rsidRPr="00E5770A">
        <w:rPr>
          <w:rFonts w:ascii="Verdana" w:eastAsia="Verdana" w:hAnsi="Verdana" w:cs="Verdana"/>
          <w:b/>
          <w:sz w:val="22"/>
          <w:szCs w:val="22"/>
        </w:rPr>
        <w:t> </w:t>
      </w:r>
      <w:r w:rsidR="005007D2" w:rsidRPr="00E5770A">
        <w:rPr>
          <w:rFonts w:ascii="Palatino Linotype" w:eastAsia="Palatino Linotype" w:hAnsi="Palatino Linotype" w:cs="Palatino Linotype"/>
          <w:b/>
          <w:sz w:val="22"/>
          <w:szCs w:val="22"/>
        </w:rPr>
        <w:t>00136/COCOTIT/IP/2026</w:t>
      </w:r>
      <w:r w:rsidR="00EF743D" w:rsidRPr="00E5770A">
        <w:rPr>
          <w:rFonts w:ascii="Palatino Linotype" w:eastAsia="Palatino Linotype" w:hAnsi="Palatino Linotype" w:cs="Palatino Linotype"/>
          <w:b/>
          <w:sz w:val="22"/>
          <w:szCs w:val="22"/>
        </w:rPr>
        <w:t xml:space="preserve">, </w:t>
      </w:r>
      <w:r w:rsidRPr="00E5770A">
        <w:rPr>
          <w:rFonts w:ascii="Palatino Linotype" w:eastAsia="Palatino Linotype" w:hAnsi="Palatino Linotype" w:cs="Palatino Linotype"/>
          <w:sz w:val="22"/>
          <w:szCs w:val="22"/>
        </w:rPr>
        <w:t xml:space="preserve">por parte del </w:t>
      </w:r>
      <w:r w:rsidR="008E5D58" w:rsidRPr="00E5770A">
        <w:rPr>
          <w:rFonts w:ascii="Palatino Linotype" w:eastAsia="Palatino Linotype" w:hAnsi="Palatino Linotype" w:cs="Palatino Linotype"/>
          <w:b/>
          <w:sz w:val="22"/>
          <w:szCs w:val="22"/>
        </w:rPr>
        <w:t xml:space="preserve">Ayuntamiento de </w:t>
      </w:r>
      <w:r w:rsidR="00D579BF" w:rsidRPr="00E5770A">
        <w:rPr>
          <w:rFonts w:ascii="Palatino Linotype" w:eastAsia="Palatino Linotype" w:hAnsi="Palatino Linotype" w:cs="Palatino Linotype"/>
          <w:b/>
          <w:sz w:val="22"/>
          <w:szCs w:val="22"/>
        </w:rPr>
        <w:t>Cocotitlán</w:t>
      </w:r>
      <w:r w:rsidR="00390FDA" w:rsidRPr="00E5770A">
        <w:rPr>
          <w:rFonts w:ascii="Palatino Linotype" w:eastAsia="Palatino Linotype" w:hAnsi="Palatino Linotype" w:cs="Palatino Linotype"/>
          <w:b/>
          <w:sz w:val="22"/>
          <w:szCs w:val="22"/>
        </w:rPr>
        <w:t>,</w:t>
      </w:r>
      <w:r w:rsidRPr="00E5770A">
        <w:rPr>
          <w:rFonts w:ascii="Palatino Linotype" w:eastAsia="Palatino Linotype" w:hAnsi="Palatino Linotype" w:cs="Palatino Linotype"/>
          <w:sz w:val="22"/>
          <w:szCs w:val="22"/>
        </w:rPr>
        <w:t xml:space="preserve"> en lo sucesivo el </w:t>
      </w:r>
      <w:r w:rsidRPr="00E5770A">
        <w:rPr>
          <w:rFonts w:ascii="Palatino Linotype" w:eastAsia="Palatino Linotype" w:hAnsi="Palatino Linotype" w:cs="Palatino Linotype"/>
          <w:b/>
          <w:sz w:val="22"/>
          <w:szCs w:val="22"/>
        </w:rPr>
        <w:t xml:space="preserve">SUJETO OBLIGADO; </w:t>
      </w:r>
      <w:r w:rsidRPr="00E5770A">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E5770A"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E5770A">
        <w:rPr>
          <w:rFonts w:ascii="Palatino Linotype" w:eastAsia="Palatino Linotype" w:hAnsi="Palatino Linotype" w:cs="Palatino Linotype"/>
          <w:b/>
          <w:sz w:val="22"/>
          <w:szCs w:val="22"/>
        </w:rPr>
        <w:t>A N T E C E D E N T E S:</w:t>
      </w:r>
    </w:p>
    <w:p w14:paraId="77D7A248" w14:textId="77777777" w:rsidR="00532AE4" w:rsidRPr="00E5770A"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43E8CBEE" w14:textId="77777777" w:rsidR="00942893" w:rsidRPr="00E5770A" w:rsidRDefault="00942893" w:rsidP="00942893">
      <w:pPr>
        <w:spacing w:line="360" w:lineRule="auto"/>
        <w:jc w:val="both"/>
        <w:rPr>
          <w:rFonts w:ascii="Palatino Linotype" w:eastAsia="Palatino Linotype" w:hAnsi="Palatino Linotype" w:cs="Palatino Linotype"/>
          <w:sz w:val="22"/>
          <w:szCs w:val="22"/>
          <w:lang w:val="es-ES"/>
        </w:rPr>
      </w:pPr>
      <w:r w:rsidRPr="00E5770A">
        <w:rPr>
          <w:rFonts w:ascii="Palatino Linotype" w:eastAsia="Palatino Linotype" w:hAnsi="Palatino Linotype" w:cs="Palatino Linotype"/>
          <w:b/>
          <w:sz w:val="22"/>
          <w:szCs w:val="22"/>
          <w:lang w:val="es-ES"/>
        </w:rPr>
        <w:t xml:space="preserve">1. Solicitud de acceso a la información. </w:t>
      </w:r>
      <w:r w:rsidRPr="00E5770A">
        <w:rPr>
          <w:rFonts w:ascii="Palatino Linotype" w:eastAsia="Palatino Linotype" w:hAnsi="Palatino Linotype" w:cs="Palatino Linotype"/>
          <w:sz w:val="22"/>
          <w:szCs w:val="22"/>
          <w:lang w:val="es-ES"/>
        </w:rPr>
        <w:t xml:space="preserve">Con fecha veinte de julio de dos mil veintiséis, la parte </w:t>
      </w:r>
      <w:r w:rsidRPr="00E5770A">
        <w:rPr>
          <w:rFonts w:ascii="Palatino Linotype" w:eastAsia="Palatino Linotype" w:hAnsi="Palatino Linotype" w:cs="Palatino Linotype"/>
          <w:b/>
          <w:sz w:val="22"/>
          <w:szCs w:val="22"/>
          <w:lang w:val="es-ES"/>
        </w:rPr>
        <w:t xml:space="preserve">RECURRENTE </w:t>
      </w:r>
      <w:r w:rsidRPr="00E5770A">
        <w:rPr>
          <w:rFonts w:ascii="Palatino Linotype" w:eastAsia="Palatino Linotype" w:hAnsi="Palatino Linotype" w:cs="Palatino Linotype"/>
          <w:sz w:val="22"/>
          <w:szCs w:val="22"/>
          <w:lang w:val="es-ES"/>
        </w:rPr>
        <w:t xml:space="preserve">formuló a través del Sistema de Acceso a la Información Mexiquense, en adelante </w:t>
      </w:r>
      <w:r w:rsidRPr="00E5770A">
        <w:rPr>
          <w:rFonts w:ascii="Palatino Linotype" w:eastAsia="Palatino Linotype" w:hAnsi="Palatino Linotype" w:cs="Palatino Linotype"/>
          <w:b/>
          <w:sz w:val="22"/>
          <w:szCs w:val="22"/>
          <w:lang w:val="es-ES"/>
        </w:rPr>
        <w:t>SAIMEX,</w:t>
      </w:r>
      <w:r w:rsidRPr="00E5770A">
        <w:rPr>
          <w:rFonts w:ascii="Palatino Linotype" w:eastAsia="Palatino Linotype" w:hAnsi="Palatino Linotype" w:cs="Palatino Linotype"/>
          <w:sz w:val="22"/>
          <w:szCs w:val="22"/>
          <w:lang w:val="es-ES"/>
        </w:rPr>
        <w:t xml:space="preserve"> solicitud de información al </w:t>
      </w:r>
      <w:r w:rsidRPr="00E5770A">
        <w:rPr>
          <w:rFonts w:ascii="Palatino Linotype" w:eastAsia="Palatino Linotype" w:hAnsi="Palatino Linotype" w:cs="Palatino Linotype"/>
          <w:b/>
          <w:sz w:val="22"/>
          <w:szCs w:val="22"/>
          <w:lang w:val="es-ES"/>
        </w:rPr>
        <w:t xml:space="preserve">SUJETO OBLIGADO; </w:t>
      </w:r>
      <w:r w:rsidRPr="00E5770A">
        <w:rPr>
          <w:rFonts w:ascii="Palatino Linotype" w:eastAsia="Palatino Linotype" w:hAnsi="Palatino Linotype" w:cs="Palatino Linotype"/>
          <w:bCs/>
          <w:sz w:val="22"/>
          <w:szCs w:val="22"/>
          <w:lang w:val="es-ES"/>
        </w:rPr>
        <w:t xml:space="preserve">no obstante, por corresponder a un día inhábil, se tuvo por presentada el </w:t>
      </w:r>
      <w:r w:rsidRPr="00E5770A">
        <w:rPr>
          <w:rFonts w:ascii="Palatino Linotype" w:eastAsia="Palatino Linotype" w:hAnsi="Palatino Linotype" w:cs="Palatino Linotype"/>
          <w:b/>
          <w:sz w:val="22"/>
          <w:szCs w:val="22"/>
          <w:lang w:val="es-ES"/>
        </w:rPr>
        <w:t>tres de agosto de dos mil veintiséis</w:t>
      </w:r>
      <w:r w:rsidRPr="00E5770A">
        <w:rPr>
          <w:rFonts w:ascii="Palatino Linotype" w:eastAsia="Palatino Linotype" w:hAnsi="Palatino Linotype" w:cs="Palatino Linotype"/>
          <w:sz w:val="22"/>
          <w:szCs w:val="22"/>
          <w:lang w:val="es-ES"/>
        </w:rPr>
        <w:t xml:space="preserve"> requiriéndole lo siguiente:</w:t>
      </w:r>
    </w:p>
    <w:p w14:paraId="59CC0872" w14:textId="68200746" w:rsidR="009B6117" w:rsidRPr="00E5770A" w:rsidRDefault="009B6117" w:rsidP="00724155">
      <w:pPr>
        <w:ind w:right="616"/>
        <w:jc w:val="both"/>
        <w:rPr>
          <w:rFonts w:ascii="Palatino Linotype" w:eastAsia="Palatino Linotype" w:hAnsi="Palatino Linotype" w:cs="Palatino Linotype"/>
          <w:i/>
          <w:sz w:val="22"/>
          <w:szCs w:val="22"/>
          <w:lang w:val="es-ES"/>
        </w:rPr>
      </w:pPr>
    </w:p>
    <w:p w14:paraId="0F87CB2C" w14:textId="48C6CD5E" w:rsidR="00532AE4" w:rsidRPr="00E5770A" w:rsidRDefault="0004402A" w:rsidP="00942893">
      <w:pPr>
        <w:ind w:lef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w:t>
      </w:r>
      <w:r w:rsidR="005007D2" w:rsidRPr="00E5770A">
        <w:rPr>
          <w:rFonts w:ascii="Palatino Linotype" w:eastAsia="Palatino Linotype" w:hAnsi="Palatino Linotype" w:cs="Palatino Linotype"/>
          <w:i/>
          <w:sz w:val="22"/>
          <w:szCs w:val="22"/>
        </w:rPr>
        <w:t xml:space="preserve">ASUNTO: Exigencia de informe de estado procesal, fundamentación de inactividad y apercibimiento de responsabilidad administrativa por omisión sistemática. C. CONTRALORA MUNICIPAL DE COCOTITLÁN: Toda vez que he interpuesto diversas denuncias y quejas ante esta instancia respecto a la operación ilegal de la fábrica de anafres y ollas ubicada en Ejido del Moral, y ante el silencio administrativo que usted ha mantenido, le solicito informe de manera fundada y motivada: PRIMERO. ESTADO PROCESAL DE LA RED DE RESPONSABLES: Informe detallado y por escrito del estado que guarda cada una de mis denuncias contra los siguientes servidores públicos, quienes han participado por acción u omisión en la tolerancia a la actividad industrial clandestina: Juez Cívico y Secretario Conciliador: </w:t>
      </w:r>
      <w:r w:rsidR="005007D2" w:rsidRPr="00E5770A">
        <w:rPr>
          <w:rFonts w:ascii="Palatino Linotype" w:eastAsia="Palatino Linotype" w:hAnsi="Palatino Linotype" w:cs="Palatino Linotype"/>
          <w:i/>
          <w:sz w:val="22"/>
          <w:szCs w:val="22"/>
        </w:rPr>
        <w:lastRenderedPageBreak/>
        <w:t>Por la inacción en el seguimiento de los convenios de mediación incumplidos. Director de Protección Civil, Directora de Ecología y Director de Desarrollo Económico: Quienes, habiendo participado personalmente en la diligencia de verificación del 7 de abril de 2026, han omitido aplicar las medidas de seguridad y clausura correspondientes. Secretario de Gobierno: Por su rol en la supervisión de la política interna que permite la operación de establecimientos sin licencia en zona ejidal, contraviniendo el marco legal vigente. Solicito que especifique si se ha radicado el expediente, si se han emitido autos de inicio y si existen diligencias practicadas contra cada uno de los implicados. SEGUNDO. JUSTIFICACIÓN DE INACTIVIDAD: En caso de que no exista avance procesal, fundamente bajo qué precepto legal de la Ley de Responsabilidades Administrativas del Estado de México usted justifica el estancamiento de mis expedientes. TERCERO. VÍNCULO CON RESOLUCIONES INFOEM: Toda vez que el INFOEM ya ha dictado resoluciones que acreditan la opacidad y posible colusión en este Ayuntamiento (Expediente 06904/INFOEM/IP/RR/2026), solicito me informe si la Contraloría ha iniciado, de oficio o por virtud de las pruebas aportadas, algún procedimiento sancionador contra los funcionarios señalados por haber intentado ocultar información pública mediante reservas ilegales. APERCIBIMIENTO Y NOTIFICACIÓN DE CONTROL: Se le apercibe que la omisión de respuesta a esta solicitud será denunciada ante la Contraloría del Poder Legislativo del Estado de México por omisión de funciones y encubrimiento de faltas administrativas graves. Hago de su conocimiento que este escrito ha sido enviado en copia a la instancia estatal mencionada, a fin de que dicha autoridad pueda auditar el desempeño de esta Contraloría Municipal ante la evidente inacción documentada. Usted, como Contralora, es garante de la legalidad; su silencio es una confesión de su falta de diligencia ante una red de funcionarios que han vulnerado mis derechos humanos.</w:t>
      </w:r>
      <w:r w:rsidR="00137E5A" w:rsidRPr="00E5770A">
        <w:rPr>
          <w:rFonts w:ascii="Palatino Linotype" w:eastAsia="Palatino Linotype" w:hAnsi="Palatino Linotype" w:cs="Palatino Linotype"/>
          <w:i/>
          <w:sz w:val="22"/>
          <w:szCs w:val="22"/>
        </w:rPr>
        <w:t xml:space="preserve">” </w:t>
      </w:r>
      <w:r w:rsidR="00A76F12" w:rsidRPr="00E5770A">
        <w:rPr>
          <w:rFonts w:ascii="Palatino Linotype" w:eastAsia="Palatino Linotype" w:hAnsi="Palatino Linotype" w:cs="Palatino Linotype"/>
          <w:i/>
          <w:sz w:val="22"/>
          <w:szCs w:val="22"/>
        </w:rPr>
        <w:t>(Sic)</w:t>
      </w:r>
      <w:r w:rsidR="00CE1553" w:rsidRPr="00E5770A">
        <w:rPr>
          <w:rFonts w:ascii="Palatino Linotype" w:eastAsia="Palatino Linotype" w:hAnsi="Palatino Linotype" w:cs="Palatino Linotype"/>
          <w:b/>
          <w:sz w:val="22"/>
          <w:szCs w:val="22"/>
        </w:rPr>
        <w:tab/>
      </w:r>
    </w:p>
    <w:p w14:paraId="1929B830" w14:textId="13C4E2DA" w:rsidR="00064A6B" w:rsidRPr="00E5770A" w:rsidRDefault="00064A6B">
      <w:pPr>
        <w:spacing w:line="360" w:lineRule="auto"/>
        <w:jc w:val="both"/>
        <w:rPr>
          <w:rFonts w:ascii="Palatino Linotype" w:eastAsia="Palatino Linotype" w:hAnsi="Palatino Linotype" w:cs="Palatino Linotype"/>
          <w:b/>
          <w:sz w:val="22"/>
          <w:szCs w:val="22"/>
        </w:rPr>
      </w:pPr>
    </w:p>
    <w:p w14:paraId="421C9301" w14:textId="72D3BB72" w:rsidR="00D60C04" w:rsidRPr="00E5770A" w:rsidRDefault="00A76F12" w:rsidP="00FD5905">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 xml:space="preserve">Modalidad elegida para la entrega de la información: </w:t>
      </w:r>
      <w:r w:rsidRPr="00E5770A">
        <w:rPr>
          <w:rFonts w:ascii="Palatino Linotype" w:eastAsia="Palatino Linotype" w:hAnsi="Palatino Linotype" w:cs="Palatino Linotype"/>
          <w:sz w:val="22"/>
          <w:szCs w:val="22"/>
        </w:rPr>
        <w:t>a través del SAIMEX.</w:t>
      </w:r>
    </w:p>
    <w:p w14:paraId="1227E94F" w14:textId="77777777" w:rsidR="00D60C04" w:rsidRPr="00E5770A"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E5770A" w:rsidRDefault="00FD5905">
      <w:pPr>
        <w:spacing w:line="360" w:lineRule="auto"/>
        <w:jc w:val="both"/>
        <w:rPr>
          <w:rFonts w:ascii="Palatino Linotype" w:eastAsia="Palatino Linotype" w:hAnsi="Palatino Linotype" w:cs="Palatino Linotype"/>
          <w:b/>
          <w:sz w:val="22"/>
          <w:szCs w:val="22"/>
        </w:rPr>
      </w:pPr>
      <w:r w:rsidRPr="00E5770A">
        <w:rPr>
          <w:rFonts w:ascii="Palatino Linotype" w:eastAsia="Palatino Linotype" w:hAnsi="Palatino Linotype" w:cs="Palatino Linotype"/>
          <w:b/>
          <w:sz w:val="22"/>
          <w:szCs w:val="22"/>
        </w:rPr>
        <w:t>2</w:t>
      </w:r>
      <w:r w:rsidR="00D763D8" w:rsidRPr="00E5770A">
        <w:rPr>
          <w:rFonts w:ascii="Palatino Linotype" w:eastAsia="Palatino Linotype" w:hAnsi="Palatino Linotype" w:cs="Palatino Linotype"/>
          <w:b/>
          <w:sz w:val="22"/>
          <w:szCs w:val="22"/>
        </w:rPr>
        <w:t xml:space="preserve">. </w:t>
      </w:r>
      <w:r w:rsidR="00A76F12" w:rsidRPr="00E5770A">
        <w:rPr>
          <w:rFonts w:ascii="Palatino Linotype" w:eastAsia="Palatino Linotype" w:hAnsi="Palatino Linotype" w:cs="Palatino Linotype"/>
          <w:b/>
          <w:sz w:val="22"/>
          <w:szCs w:val="22"/>
        </w:rPr>
        <w:t xml:space="preserve">Respuesta. </w:t>
      </w:r>
      <w:r w:rsidR="00A76F12" w:rsidRPr="00E5770A">
        <w:rPr>
          <w:rFonts w:ascii="Palatino Linotype" w:eastAsia="Palatino Linotype" w:hAnsi="Palatino Linotype" w:cs="Palatino Linotype"/>
          <w:sz w:val="22"/>
          <w:szCs w:val="22"/>
        </w:rPr>
        <w:t xml:space="preserve">El </w:t>
      </w:r>
      <w:r w:rsidR="00A76F12" w:rsidRPr="00E5770A">
        <w:rPr>
          <w:rFonts w:ascii="Palatino Linotype" w:eastAsia="Palatino Linotype" w:hAnsi="Palatino Linotype" w:cs="Palatino Linotype"/>
          <w:b/>
          <w:sz w:val="22"/>
          <w:szCs w:val="22"/>
        </w:rPr>
        <w:t xml:space="preserve">SUJETO OBLIGADO </w:t>
      </w:r>
      <w:r w:rsidR="00A76F12" w:rsidRPr="00E5770A">
        <w:rPr>
          <w:rFonts w:ascii="Palatino Linotype" w:eastAsia="Palatino Linotype" w:hAnsi="Palatino Linotype" w:cs="Palatino Linotype"/>
          <w:sz w:val="22"/>
          <w:szCs w:val="22"/>
        </w:rPr>
        <w:t xml:space="preserve">fue omiso en proporcionar respuesta. </w:t>
      </w:r>
    </w:p>
    <w:p w14:paraId="66730054"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64E077EC" w14:textId="160D3AC8" w:rsidR="00532AE4" w:rsidRPr="00E5770A" w:rsidRDefault="00FD5905">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3</w:t>
      </w:r>
      <w:r w:rsidR="00A01FAB" w:rsidRPr="00E5770A">
        <w:rPr>
          <w:rFonts w:ascii="Palatino Linotype" w:eastAsia="Palatino Linotype" w:hAnsi="Palatino Linotype" w:cs="Palatino Linotype"/>
          <w:b/>
          <w:sz w:val="22"/>
          <w:szCs w:val="22"/>
        </w:rPr>
        <w:t>.</w:t>
      </w:r>
      <w:r w:rsidR="00A76F12" w:rsidRPr="00E5770A">
        <w:rPr>
          <w:rFonts w:ascii="Palatino Linotype" w:eastAsia="Palatino Linotype" w:hAnsi="Palatino Linotype" w:cs="Palatino Linotype"/>
          <w:b/>
          <w:sz w:val="22"/>
          <w:szCs w:val="22"/>
        </w:rPr>
        <w:t xml:space="preserve">Interposición del recurso de revisión. </w:t>
      </w:r>
      <w:r w:rsidR="00A76F12" w:rsidRPr="00E5770A">
        <w:rPr>
          <w:rFonts w:ascii="Palatino Linotype" w:eastAsia="Palatino Linotype" w:hAnsi="Palatino Linotype" w:cs="Palatino Linotype"/>
          <w:sz w:val="22"/>
          <w:szCs w:val="22"/>
        </w:rPr>
        <w:t xml:space="preserve">Inconforme la parte solicitante con la falta de respuesta del </w:t>
      </w:r>
      <w:r w:rsidR="00A76F12" w:rsidRPr="00E5770A">
        <w:rPr>
          <w:rFonts w:ascii="Palatino Linotype" w:eastAsia="Palatino Linotype" w:hAnsi="Palatino Linotype" w:cs="Palatino Linotype"/>
          <w:b/>
          <w:sz w:val="22"/>
          <w:szCs w:val="22"/>
        </w:rPr>
        <w:t>SUJETO OBLIGADO</w:t>
      </w:r>
      <w:r w:rsidR="00A76F12" w:rsidRPr="00E5770A">
        <w:rPr>
          <w:rFonts w:ascii="Palatino Linotype" w:eastAsia="Palatino Linotype" w:hAnsi="Palatino Linotype" w:cs="Palatino Linotype"/>
          <w:sz w:val="22"/>
          <w:szCs w:val="22"/>
        </w:rPr>
        <w:t xml:space="preserve">, interpuso recurso de revisión a través del SAIMEX en fecha </w:t>
      </w:r>
      <w:r w:rsidR="001965CD" w:rsidRPr="00E5770A">
        <w:rPr>
          <w:rFonts w:ascii="Palatino Linotype" w:eastAsia="Palatino Linotype" w:hAnsi="Palatino Linotype" w:cs="Palatino Linotype"/>
          <w:b/>
          <w:sz w:val="22"/>
          <w:szCs w:val="22"/>
        </w:rPr>
        <w:t>veinticinco</w:t>
      </w:r>
      <w:r w:rsidR="00326E2A" w:rsidRPr="00E5770A">
        <w:rPr>
          <w:rFonts w:ascii="Palatino Linotype" w:eastAsia="Palatino Linotype" w:hAnsi="Palatino Linotype" w:cs="Palatino Linotype"/>
          <w:b/>
          <w:sz w:val="22"/>
          <w:szCs w:val="22"/>
        </w:rPr>
        <w:t xml:space="preserve"> de agosto</w:t>
      </w:r>
      <w:r w:rsidR="00401731" w:rsidRPr="00E5770A">
        <w:rPr>
          <w:rFonts w:ascii="Palatino Linotype" w:eastAsia="Palatino Linotype" w:hAnsi="Palatino Linotype" w:cs="Palatino Linotype"/>
          <w:b/>
          <w:sz w:val="22"/>
          <w:szCs w:val="22"/>
        </w:rPr>
        <w:t xml:space="preserve"> de dos mil veintiséis</w:t>
      </w:r>
      <w:r w:rsidR="00A76F12" w:rsidRPr="00E5770A">
        <w:rPr>
          <w:rFonts w:ascii="Palatino Linotype" w:eastAsia="Palatino Linotype" w:hAnsi="Palatino Linotype" w:cs="Palatino Linotype"/>
          <w:sz w:val="22"/>
          <w:szCs w:val="22"/>
        </w:rPr>
        <w:t>, expresando lo siguiente:</w:t>
      </w:r>
    </w:p>
    <w:p w14:paraId="126577AC"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59ACBA47" w14:textId="6D10FEBA" w:rsidR="00532AE4" w:rsidRPr="00E5770A" w:rsidRDefault="00A76F12" w:rsidP="00942893">
      <w:pPr>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sz w:val="22"/>
          <w:szCs w:val="22"/>
        </w:rPr>
        <w:t>a) Acto impugnado</w:t>
      </w:r>
      <w:r w:rsidRPr="00E5770A">
        <w:rPr>
          <w:rFonts w:ascii="Palatino Linotype" w:eastAsia="Palatino Linotype" w:hAnsi="Palatino Linotype" w:cs="Palatino Linotype"/>
          <w:b/>
          <w:i/>
          <w:sz w:val="22"/>
          <w:szCs w:val="22"/>
        </w:rPr>
        <w:t xml:space="preserve">. </w:t>
      </w:r>
      <w:r w:rsidR="00EB74FD" w:rsidRPr="00E5770A">
        <w:rPr>
          <w:rFonts w:ascii="Palatino Linotype" w:eastAsia="Palatino Linotype" w:hAnsi="Palatino Linotype" w:cs="Palatino Linotype"/>
          <w:i/>
          <w:sz w:val="22"/>
          <w:szCs w:val="22"/>
        </w:rPr>
        <w:t>“</w:t>
      </w:r>
      <w:r w:rsidR="005007D2" w:rsidRPr="00E5770A">
        <w:rPr>
          <w:rFonts w:ascii="Palatino Linotype" w:eastAsia="Palatino Linotype" w:hAnsi="Palatino Linotype" w:cs="Palatino Linotype"/>
          <w:i/>
          <w:sz w:val="22"/>
          <w:szCs w:val="22"/>
        </w:rPr>
        <w:t xml:space="preserve">La falta de respuesta oportuna, la omisión absoluta en la entrega de la información y del informe de estado procesal solicitado dentro de los plazos legales, y la consecuente violación flagrante al principio de máxima publicidad, certeza jurídica y derecho de petición por parte del Sujeto Obligado (H. Ayuntamiento de Cocotitlán / Contraloría Municipal). Lo anterior, toda vez que feneció en su totalidad el período perentorio determinado por la Ley de Transparencia y </w:t>
      </w:r>
      <w:proofErr w:type="spellStart"/>
      <w:r w:rsidR="005007D2" w:rsidRPr="00E5770A">
        <w:rPr>
          <w:rFonts w:ascii="Palatino Linotype" w:eastAsia="Palatino Linotype" w:hAnsi="Palatino Linotype" w:cs="Palatino Linotype"/>
          <w:i/>
          <w:sz w:val="22"/>
          <w:szCs w:val="22"/>
        </w:rPr>
        <w:t>Accesso</w:t>
      </w:r>
      <w:proofErr w:type="spellEnd"/>
      <w:r w:rsidR="005007D2" w:rsidRPr="00E5770A">
        <w:rPr>
          <w:rFonts w:ascii="Palatino Linotype" w:eastAsia="Palatino Linotype" w:hAnsi="Palatino Linotype" w:cs="Palatino Linotype"/>
          <w:i/>
          <w:sz w:val="22"/>
          <w:szCs w:val="22"/>
        </w:rPr>
        <w:t xml:space="preserve"> a la Información Pública del Estado de México y Municipios, sin que la Contralora Municipal ni la Unidad de Transparencia emitieran contestación formal, acuerdo de prórroga o pusieran a disposición las documentales y precisiones estadísticas requeridas a través del sistema SAIMEX.</w:t>
      </w:r>
      <w:r w:rsidR="009B6117" w:rsidRPr="00E5770A">
        <w:rPr>
          <w:rFonts w:ascii="Palatino Linotype" w:eastAsia="Palatino Linotype" w:hAnsi="Palatino Linotype" w:cs="Palatino Linotype"/>
          <w:i/>
          <w:sz w:val="22"/>
          <w:szCs w:val="22"/>
        </w:rPr>
        <w:t xml:space="preserve">” </w:t>
      </w:r>
      <w:r w:rsidRPr="00E5770A">
        <w:rPr>
          <w:rFonts w:ascii="Palatino Linotype" w:eastAsia="Palatino Linotype" w:hAnsi="Palatino Linotype" w:cs="Palatino Linotype"/>
          <w:i/>
          <w:sz w:val="22"/>
          <w:szCs w:val="22"/>
        </w:rPr>
        <w:t>(Sic)</w:t>
      </w:r>
    </w:p>
    <w:p w14:paraId="527329DB" w14:textId="77777777" w:rsidR="00532AE4" w:rsidRPr="00E5770A" w:rsidRDefault="00532AE4" w:rsidP="00942893">
      <w:pPr>
        <w:spacing w:line="276" w:lineRule="auto"/>
        <w:ind w:left="567" w:right="616"/>
        <w:rPr>
          <w:rFonts w:ascii="Palatino Linotype" w:eastAsia="Palatino Linotype" w:hAnsi="Palatino Linotype" w:cs="Palatino Linotype"/>
          <w:b/>
          <w:sz w:val="22"/>
          <w:szCs w:val="22"/>
        </w:rPr>
      </w:pPr>
    </w:p>
    <w:p w14:paraId="27199E43" w14:textId="6BF8D4AC" w:rsidR="00532AE4" w:rsidRPr="00E5770A" w:rsidRDefault="00A76F12" w:rsidP="00942893">
      <w:pPr>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sz w:val="22"/>
          <w:szCs w:val="22"/>
        </w:rPr>
        <w:t xml:space="preserve">b) Motivos de inconformidad. </w:t>
      </w:r>
      <w:r w:rsidRPr="00E5770A">
        <w:rPr>
          <w:rFonts w:ascii="Palatino Linotype" w:eastAsia="Palatino Linotype" w:hAnsi="Palatino Linotype" w:cs="Palatino Linotype"/>
          <w:i/>
          <w:sz w:val="22"/>
          <w:szCs w:val="22"/>
        </w:rPr>
        <w:t>“</w:t>
      </w:r>
      <w:r w:rsidR="005007D2" w:rsidRPr="00E5770A">
        <w:rPr>
          <w:rFonts w:ascii="Palatino Linotype" w:eastAsia="Palatino Linotype" w:hAnsi="Palatino Linotype" w:cs="Palatino Linotype"/>
          <w:i/>
          <w:sz w:val="22"/>
          <w:szCs w:val="22"/>
        </w:rPr>
        <w:t xml:space="preserve">PRIMERO. DE LA OPERATIVIDAD DEL SILENCIO ADMINISTRATIVO Y NEGATIVA FICTA. El Sujeto Obligado vulneró de forma directa el derecho fundamental de acceso a la información pública y a una buena administración, consagrado en el artículo 6°, Apartado A, de la Constitución Política de los Estados Unidos Mexicanos, y el artículo 5° de la Constitución Política del Estado Libre y Soberano de México. Al incurrir en una omisión absoluta y dejar vencer los plazos procesales sin emitir respuesta formal a los requerimientos sobre el estado de las denuncias del Ejido del Moral, se configura una negativa ficta que lesiona el orden constitucional y que debe ser reparada de inmediato por este Órgano Garante (INFOEM). SEGUNDO. PRECLUSIÓN DEL DERECHO A CLASIFICAR O ARGUMENTAR INEXISTENCIAS EXTEMPORÁNEAS. Al haber operado la preclusión por el transcurso del tiempo sin que la autoridad diera atención a la solicitud, la Contraloría Municipal ha perdido el momento procesal oportuno para intentar clasificar la información como reservada o argumentar una supuesta inexistencia en su informe justificado. Toda vez que la gestión exigió expresamente el estatus procesal de las denuncias contra el Juez Cívico, Directores de Protección Civil, Ecología, Desarrollo Económico y Secretario de Gobierno, así como su vínculo con las resoluciones del INFOEM (Expediente 06904/INFOEM/IP/RR/2026), cualquier intento extemporáneo de opacidad debe ser desechado de plano por este Pleno, debiendo prevalecer el principio de máxima publicidad. TERCERO. </w:t>
      </w:r>
      <w:r w:rsidR="005007D2" w:rsidRPr="00E5770A">
        <w:rPr>
          <w:rFonts w:ascii="Palatino Linotype" w:eastAsia="Palatino Linotype" w:hAnsi="Palatino Linotype" w:cs="Palatino Linotype"/>
          <w:i/>
          <w:sz w:val="22"/>
          <w:szCs w:val="22"/>
        </w:rPr>
        <w:lastRenderedPageBreak/>
        <w:t>OBLIGACIÓN LEGAL DE FISCALIZACIÓN Y CERTEZA EN EL CONTROL INTERNO. Existe la certeza jurídica de que la información solicitada debe obrar en los archivos y libros de gobierno de la Contraloría Municipal, pues dicha instancia está compelida por la Ley de Responsabilidades Administrativas del Estado de México y Municipios a registrar, radicar y substanciar las quejas y denuncias contra servidores públicos municipales. La omisión de dar cuenta de dichos expedientes evidencia una protección corporativa y un encubrimiento institucional inaceptable. Por lo tanto, solicito respetuosamente al H. Pleno del INFOEM que ordene de manera incondicional al Sujeto Obligado realizar una búsqueda exhaustiva en sus registros y expedientes de investigación, a efecto de entregar de forma íntegra el informe procesal detallado de cada uno de los servidores públicos señalados. CUARTO. SOLICITUD DE VISTA SANCIONATORIA A LA AUTORIDAD ESTATAL POR OMISIÓN SISTÉMICA Y CONFLICTO DE INTERÉS. Debido a que el ocultamiento de información y la falta de respuesta a los mandatos de transparencia constituye una falta administrativa grave contemplada en la Ley de Responsabilidades Administrativas local, y considerando que la omisión proviene precisamente de la Contraloría Municipal autoridad que por definición jurídica incurre en un evidente conflicto de interés al encubrir las faltas de sus homólogos en la administración, solicito formalmente que en la resolución definitiva de este recurso se ordene dar vista formal con copia certificada de la sentencia a la Secretaría de la Contraloría del Gobierno del Estado de México y a la Contraloría del Poder Legislativo (ORELEM). Lo anterior, a efecto de evitar complicidades locales y se inicien los procedimientos disciplinarios y sancionadores correspondientes en contra de la Contralora Municipal de Cocotitlán y del Responsable de la Unidad de Información por obstruir activamente el ejercicio de un derecho humano.</w:t>
      </w:r>
      <w:r w:rsidR="002D134E" w:rsidRPr="00E5770A">
        <w:rPr>
          <w:rFonts w:ascii="Palatino Linotype" w:eastAsia="Palatino Linotype" w:hAnsi="Palatino Linotype" w:cs="Palatino Linotype"/>
          <w:i/>
          <w:sz w:val="22"/>
          <w:szCs w:val="22"/>
        </w:rPr>
        <w:t>”</w:t>
      </w:r>
      <w:r w:rsidRPr="00E5770A">
        <w:rPr>
          <w:rFonts w:ascii="Palatino Linotype" w:eastAsia="Palatino Linotype" w:hAnsi="Palatino Linotype" w:cs="Palatino Linotype"/>
          <w:i/>
          <w:sz w:val="22"/>
          <w:szCs w:val="22"/>
        </w:rPr>
        <w:t>(Sic)</w:t>
      </w:r>
    </w:p>
    <w:p w14:paraId="1CD932CE" w14:textId="0DD1EB9D" w:rsidR="00532AE4" w:rsidRPr="00E5770A"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E5770A" w:rsidRDefault="00A01FAB">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4</w:t>
      </w:r>
      <w:r w:rsidR="00A76F12" w:rsidRPr="00E5770A">
        <w:rPr>
          <w:rFonts w:ascii="Palatino Linotype" w:eastAsia="Palatino Linotype" w:hAnsi="Palatino Linotype" w:cs="Palatino Linotype"/>
          <w:b/>
          <w:sz w:val="22"/>
          <w:szCs w:val="22"/>
        </w:rPr>
        <w:t xml:space="preserve">. Turno. </w:t>
      </w:r>
      <w:r w:rsidR="00A76F12" w:rsidRPr="00E5770A">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E5770A">
        <w:rPr>
          <w:rFonts w:ascii="Palatino Linotype" w:eastAsia="Palatino Linotype" w:hAnsi="Palatino Linotype" w:cs="Palatino Linotype"/>
          <w:b/>
          <w:sz w:val="22"/>
          <w:szCs w:val="22"/>
        </w:rPr>
        <w:t>Guadalupe Ramírez Peña</w:t>
      </w:r>
      <w:r w:rsidR="00A76F12" w:rsidRPr="00E5770A">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E5770A" w:rsidRDefault="00285CBA">
      <w:pPr>
        <w:spacing w:line="360" w:lineRule="auto"/>
        <w:jc w:val="both"/>
        <w:rPr>
          <w:rFonts w:ascii="Palatino Linotype" w:eastAsia="Palatino Linotype" w:hAnsi="Palatino Linotype" w:cs="Palatino Linotype"/>
          <w:sz w:val="22"/>
          <w:szCs w:val="22"/>
        </w:rPr>
      </w:pPr>
    </w:p>
    <w:p w14:paraId="6F47DF3C" w14:textId="0A415164" w:rsidR="00532AE4" w:rsidRPr="00E5770A" w:rsidRDefault="00417D9F">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5</w:t>
      </w:r>
      <w:r w:rsidR="00A76F12" w:rsidRPr="00E5770A">
        <w:rPr>
          <w:rFonts w:ascii="Palatino Linotype" w:eastAsia="Palatino Linotype" w:hAnsi="Palatino Linotype" w:cs="Palatino Linotype"/>
          <w:b/>
          <w:sz w:val="22"/>
          <w:szCs w:val="22"/>
        </w:rPr>
        <w:t xml:space="preserve">. Admisión. </w:t>
      </w:r>
      <w:r w:rsidR="003E2501" w:rsidRPr="00E5770A">
        <w:rPr>
          <w:rFonts w:ascii="Palatino Linotype" w:eastAsia="Palatino Linotype" w:hAnsi="Palatino Linotype" w:cs="Palatino Linotype"/>
          <w:sz w:val="22"/>
          <w:szCs w:val="22"/>
        </w:rPr>
        <w:t>En</w:t>
      </w:r>
      <w:r w:rsidR="000F363F" w:rsidRPr="00E5770A">
        <w:rPr>
          <w:rFonts w:ascii="Palatino Linotype" w:eastAsia="Palatino Linotype" w:hAnsi="Palatino Linotype" w:cs="Palatino Linotype"/>
          <w:sz w:val="22"/>
          <w:szCs w:val="22"/>
        </w:rPr>
        <w:t xml:space="preserve"> </w:t>
      </w:r>
      <w:r w:rsidR="00A8506B" w:rsidRPr="00E5770A">
        <w:rPr>
          <w:rFonts w:ascii="Palatino Linotype" w:eastAsia="Palatino Linotype" w:hAnsi="Palatino Linotype" w:cs="Palatino Linotype"/>
          <w:sz w:val="22"/>
          <w:szCs w:val="22"/>
        </w:rPr>
        <w:t xml:space="preserve">fecha </w:t>
      </w:r>
      <w:r w:rsidR="001965CD" w:rsidRPr="00E5770A">
        <w:rPr>
          <w:rFonts w:ascii="Palatino Linotype" w:eastAsia="Palatino Linotype" w:hAnsi="Palatino Linotype" w:cs="Palatino Linotype"/>
          <w:b/>
          <w:sz w:val="22"/>
          <w:szCs w:val="22"/>
        </w:rPr>
        <w:t>veintiséis de agosto</w:t>
      </w:r>
      <w:r w:rsidR="003E2501" w:rsidRPr="00E5770A">
        <w:rPr>
          <w:rFonts w:ascii="Palatino Linotype" w:eastAsia="Palatino Linotype" w:hAnsi="Palatino Linotype" w:cs="Palatino Linotype"/>
          <w:b/>
          <w:sz w:val="22"/>
          <w:szCs w:val="22"/>
        </w:rPr>
        <w:t xml:space="preserve"> de dos mil veintiséis</w:t>
      </w:r>
      <w:r w:rsidR="00044D36" w:rsidRPr="00E5770A">
        <w:rPr>
          <w:rFonts w:ascii="Palatino Linotype" w:eastAsia="Palatino Linotype" w:hAnsi="Palatino Linotype" w:cs="Palatino Linotype"/>
          <w:sz w:val="22"/>
          <w:szCs w:val="22"/>
        </w:rPr>
        <w:t xml:space="preserve">, </w:t>
      </w:r>
      <w:r w:rsidR="00A76F12" w:rsidRPr="00E5770A">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5CBE0CA4" w14:textId="794AB2E6" w:rsidR="006614E2" w:rsidRPr="00E5770A" w:rsidRDefault="00417D9F">
      <w:pPr>
        <w:widowControl w:val="0"/>
        <w:spacing w:line="360" w:lineRule="auto"/>
        <w:ind w:right="49"/>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6</w:t>
      </w:r>
      <w:r w:rsidR="00A76F12" w:rsidRPr="00E5770A">
        <w:rPr>
          <w:rFonts w:ascii="Palatino Linotype" w:eastAsia="Palatino Linotype" w:hAnsi="Palatino Linotype" w:cs="Palatino Linotype"/>
          <w:b/>
          <w:sz w:val="22"/>
          <w:szCs w:val="22"/>
        </w:rPr>
        <w:t>. Manifestaciones</w:t>
      </w:r>
      <w:r w:rsidR="008B25A4" w:rsidRPr="00E5770A">
        <w:rPr>
          <w:rFonts w:ascii="Palatino Linotype" w:eastAsia="Palatino Linotype" w:hAnsi="Palatino Linotype" w:cs="Palatino Linotype"/>
          <w:sz w:val="22"/>
          <w:szCs w:val="22"/>
        </w:rPr>
        <w:t xml:space="preserve">. </w:t>
      </w:r>
      <w:r w:rsidR="00E62F83" w:rsidRPr="00E5770A">
        <w:rPr>
          <w:rFonts w:ascii="Palatino Linotype" w:eastAsia="Palatino Linotype" w:hAnsi="Palatino Linotype" w:cs="Palatino Linotype"/>
          <w:sz w:val="22"/>
          <w:szCs w:val="22"/>
        </w:rPr>
        <w:t xml:space="preserve">En fecha </w:t>
      </w:r>
      <w:r w:rsidR="001965CD" w:rsidRPr="00E5770A">
        <w:rPr>
          <w:rFonts w:ascii="Palatino Linotype" w:eastAsia="Palatino Linotype" w:hAnsi="Palatino Linotype" w:cs="Palatino Linotype"/>
          <w:sz w:val="22"/>
          <w:szCs w:val="22"/>
        </w:rPr>
        <w:t>veintiséis de agosto</w:t>
      </w:r>
      <w:r w:rsidR="00E62F83" w:rsidRPr="00E5770A">
        <w:rPr>
          <w:rFonts w:ascii="Palatino Linotype" w:eastAsia="Palatino Linotype" w:hAnsi="Palatino Linotype" w:cs="Palatino Linotype"/>
          <w:sz w:val="22"/>
          <w:szCs w:val="22"/>
        </w:rPr>
        <w:t xml:space="preserve"> de dos mil veintiséis, la parte Recurrente rindió sus manifestaciones, mientras que el Sujeto Obligado fue omiso</w:t>
      </w:r>
      <w:r w:rsidR="006614E2" w:rsidRPr="00E5770A">
        <w:rPr>
          <w:rFonts w:ascii="Palatino Linotype" w:eastAsia="Palatino Linotype" w:hAnsi="Palatino Linotype" w:cs="Palatino Linotype"/>
          <w:sz w:val="22"/>
          <w:szCs w:val="22"/>
        </w:rPr>
        <w:t>:</w:t>
      </w:r>
    </w:p>
    <w:p w14:paraId="7A7DFE0C" w14:textId="4B88C60B" w:rsidR="005007D2" w:rsidRPr="00E5770A" w:rsidRDefault="005007D2" w:rsidP="005007D2">
      <w:pPr>
        <w:spacing w:line="360" w:lineRule="auto"/>
        <w:jc w:val="both"/>
        <w:rPr>
          <w:rFonts w:ascii="Palatino Linotype" w:eastAsia="Palatino Linotype" w:hAnsi="Palatino Linotype" w:cs="Palatino Linotype"/>
          <w:b/>
          <w:sz w:val="22"/>
          <w:szCs w:val="22"/>
        </w:rPr>
      </w:pPr>
      <w:r w:rsidRPr="00E5770A">
        <w:rPr>
          <w:rFonts w:ascii="Palatino Linotype" w:eastAsia="Palatino Linotype" w:hAnsi="Palatino Linotype" w:cs="Palatino Linotype"/>
          <w:b/>
          <w:sz w:val="22"/>
          <w:szCs w:val="22"/>
        </w:rPr>
        <w:tab/>
        <w:t>0144 y 136 Acuse de solicitud del particular CONTRALORA DE INFORME DE LAS DENUNCIAS A LOS SERVIDORES PUBLICOS Y INICIE PROCEDIM</w:t>
      </w:r>
      <w:r w:rsidR="00A746C2" w:rsidRPr="00E5770A">
        <w:rPr>
          <w:rFonts w:ascii="Palatino Linotype" w:eastAsia="Palatino Linotype" w:hAnsi="Palatino Linotype" w:cs="Palatino Linotype"/>
          <w:b/>
          <w:sz w:val="22"/>
          <w:szCs w:val="22"/>
        </w:rPr>
        <w:t xml:space="preserve">: </w:t>
      </w:r>
      <w:r w:rsidR="009A2144" w:rsidRPr="00E5770A">
        <w:rPr>
          <w:rFonts w:ascii="Palatino Linotype" w:eastAsia="Palatino Linotype" w:hAnsi="Palatino Linotype" w:cs="Palatino Linotype"/>
          <w:sz w:val="22"/>
          <w:szCs w:val="22"/>
        </w:rPr>
        <w:t>Documento al que no se puede acceder a su contenido.</w:t>
      </w:r>
      <w:r w:rsidRPr="00E5770A">
        <w:rPr>
          <w:rFonts w:ascii="Palatino Linotype" w:eastAsia="Palatino Linotype" w:hAnsi="Palatino Linotype" w:cs="Palatino Linotype"/>
          <w:b/>
          <w:sz w:val="22"/>
          <w:szCs w:val="22"/>
        </w:rPr>
        <w:tab/>
      </w:r>
    </w:p>
    <w:p w14:paraId="59D90F90" w14:textId="51ED6689" w:rsidR="006614E2" w:rsidRPr="00E5770A" w:rsidRDefault="005007D2" w:rsidP="005007D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136Y81~1.PDF</w:t>
      </w:r>
      <w:r w:rsidR="00A746C2" w:rsidRPr="00E5770A">
        <w:rPr>
          <w:rFonts w:ascii="Palatino Linotype" w:eastAsia="Palatino Linotype" w:hAnsi="Palatino Linotype" w:cs="Palatino Linotype"/>
          <w:b/>
          <w:sz w:val="22"/>
          <w:szCs w:val="22"/>
        </w:rPr>
        <w:t xml:space="preserve">: </w:t>
      </w:r>
      <w:r w:rsidR="00A746C2" w:rsidRPr="00E5770A">
        <w:rPr>
          <w:rFonts w:ascii="Palatino Linotype" w:eastAsia="Palatino Linotype" w:hAnsi="Palatino Linotype" w:cs="Palatino Linotype"/>
          <w:sz w:val="22"/>
          <w:szCs w:val="22"/>
        </w:rPr>
        <w:t>Documento mediante el cual el recurrente rindió sus manifestaciones y alegatos.</w:t>
      </w:r>
    </w:p>
    <w:p w14:paraId="1B838677" w14:textId="77777777" w:rsidR="00942893" w:rsidRPr="00E5770A" w:rsidRDefault="00942893" w:rsidP="005007D2">
      <w:pPr>
        <w:spacing w:line="360" w:lineRule="auto"/>
        <w:jc w:val="both"/>
        <w:rPr>
          <w:rFonts w:ascii="Palatino Linotype" w:eastAsia="Palatino Linotype" w:hAnsi="Palatino Linotype" w:cs="Palatino Linotype"/>
          <w:sz w:val="22"/>
          <w:szCs w:val="22"/>
        </w:rPr>
      </w:pPr>
    </w:p>
    <w:p w14:paraId="2DD31F10" w14:textId="7839B00D" w:rsidR="00532AE4" w:rsidRPr="00E5770A" w:rsidRDefault="00417D9F">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7</w:t>
      </w:r>
      <w:r w:rsidR="00A76F12" w:rsidRPr="00E5770A">
        <w:rPr>
          <w:rFonts w:ascii="Palatino Linotype" w:eastAsia="Palatino Linotype" w:hAnsi="Palatino Linotype" w:cs="Palatino Linotype"/>
          <w:b/>
          <w:sz w:val="22"/>
          <w:szCs w:val="22"/>
        </w:rPr>
        <w:t xml:space="preserve">. Cierre de instrucción. </w:t>
      </w:r>
      <w:r w:rsidR="00A76F12" w:rsidRPr="00E5770A">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FA7D90" w:rsidRPr="00E5770A">
        <w:rPr>
          <w:rFonts w:ascii="Palatino Linotype" w:eastAsia="Palatino Linotype" w:hAnsi="Palatino Linotype" w:cs="Palatino Linotype"/>
          <w:b/>
          <w:sz w:val="22"/>
          <w:szCs w:val="22"/>
        </w:rPr>
        <w:t>nueve</w:t>
      </w:r>
      <w:r w:rsidR="008E5D58" w:rsidRPr="00E5770A">
        <w:rPr>
          <w:rFonts w:ascii="Palatino Linotype" w:eastAsia="Palatino Linotype" w:hAnsi="Palatino Linotype" w:cs="Palatino Linotype"/>
          <w:b/>
          <w:sz w:val="22"/>
          <w:szCs w:val="22"/>
        </w:rPr>
        <w:t xml:space="preserve"> de septiembre</w:t>
      </w:r>
      <w:r w:rsidR="007E7839" w:rsidRPr="00E5770A">
        <w:rPr>
          <w:rFonts w:ascii="Palatino Linotype" w:eastAsia="Palatino Linotype" w:hAnsi="Palatino Linotype" w:cs="Palatino Linotype"/>
          <w:b/>
          <w:sz w:val="22"/>
          <w:szCs w:val="22"/>
        </w:rPr>
        <w:t xml:space="preserve"> de dos mil veintiséis</w:t>
      </w:r>
      <w:r w:rsidR="00A76F12" w:rsidRPr="00E5770A">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1FCA3DE7" w:rsidR="00532AE4" w:rsidRPr="00E5770A" w:rsidRDefault="00532AE4">
      <w:pPr>
        <w:spacing w:line="360" w:lineRule="auto"/>
        <w:jc w:val="both"/>
        <w:rPr>
          <w:rFonts w:ascii="Palatino Linotype" w:eastAsia="Palatino Linotype" w:hAnsi="Palatino Linotype" w:cs="Palatino Linotype"/>
          <w:sz w:val="22"/>
          <w:szCs w:val="22"/>
        </w:rPr>
      </w:pPr>
    </w:p>
    <w:p w14:paraId="2CB58303" w14:textId="77777777" w:rsidR="00942893" w:rsidRPr="00E5770A" w:rsidRDefault="00942893">
      <w:pPr>
        <w:spacing w:line="360" w:lineRule="auto"/>
        <w:jc w:val="both"/>
        <w:rPr>
          <w:rFonts w:ascii="Palatino Linotype" w:eastAsia="Palatino Linotype" w:hAnsi="Palatino Linotype" w:cs="Palatino Linotype"/>
          <w:sz w:val="22"/>
          <w:szCs w:val="22"/>
        </w:rPr>
      </w:pPr>
    </w:p>
    <w:p w14:paraId="6464AA30" w14:textId="77777777" w:rsidR="00532AE4" w:rsidRPr="00E5770A" w:rsidRDefault="00A76F12">
      <w:pPr>
        <w:widowControl w:val="0"/>
        <w:spacing w:line="360" w:lineRule="auto"/>
        <w:jc w:val="center"/>
        <w:rPr>
          <w:rFonts w:ascii="Palatino Linotype" w:eastAsia="Palatino Linotype" w:hAnsi="Palatino Linotype" w:cs="Palatino Linotype"/>
          <w:b/>
          <w:sz w:val="22"/>
          <w:szCs w:val="22"/>
        </w:rPr>
      </w:pPr>
      <w:r w:rsidRPr="00E5770A">
        <w:rPr>
          <w:rFonts w:ascii="Palatino Linotype" w:eastAsia="Palatino Linotype" w:hAnsi="Palatino Linotype" w:cs="Palatino Linotype"/>
          <w:b/>
          <w:sz w:val="22"/>
          <w:szCs w:val="22"/>
        </w:rPr>
        <w:lastRenderedPageBreak/>
        <w:t>II. C O N S I D E R A N D O S</w:t>
      </w:r>
    </w:p>
    <w:p w14:paraId="04E1DD04" w14:textId="77777777" w:rsidR="00532AE4" w:rsidRPr="00E5770A"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E5770A" w:rsidRDefault="00A76F12" w:rsidP="005231DC">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Primero. Competencia.</w:t>
      </w:r>
      <w:r w:rsidRPr="00E5770A">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E5770A">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E5770A">
        <w:rPr>
          <w:rFonts w:ascii="Palatino Linotype" w:eastAsia="Palatino Linotype" w:hAnsi="Palatino Linotype" w:cs="Palatino Linotype"/>
          <w:sz w:val="22"/>
          <w:szCs w:val="22"/>
        </w:rPr>
        <w:t>;</w:t>
      </w:r>
      <w:r w:rsidR="005231DC" w:rsidRPr="00E5770A">
        <w:rPr>
          <w:rFonts w:ascii="Palatino Linotype" w:eastAsia="Palatino Linotype" w:hAnsi="Palatino Linotype" w:cs="Palatino Linotype"/>
          <w:sz w:val="22"/>
          <w:szCs w:val="22"/>
        </w:rPr>
        <w:t xml:space="preserve"> </w:t>
      </w:r>
      <w:r w:rsidRPr="00E5770A">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 xml:space="preserve">Segundo. Oportunidad y Procedibilidad del Recurso de Revisión. </w:t>
      </w:r>
      <w:r w:rsidRPr="00E5770A">
        <w:rPr>
          <w:rFonts w:ascii="Palatino Linotype" w:eastAsia="Palatino Linotype" w:hAnsi="Palatino Linotype" w:cs="Palatino Linotype"/>
          <w:sz w:val="22"/>
          <w:szCs w:val="22"/>
        </w:rPr>
        <w:t>Por cuanto hace a la oportunidad del recurso de revisión</w:t>
      </w:r>
      <w:r w:rsidRPr="00E5770A">
        <w:rPr>
          <w:rFonts w:ascii="Palatino Linotype" w:eastAsia="Palatino Linotype" w:hAnsi="Palatino Linotype" w:cs="Palatino Linotype"/>
          <w:b/>
          <w:sz w:val="22"/>
          <w:szCs w:val="22"/>
        </w:rPr>
        <w:t xml:space="preserve"> </w:t>
      </w:r>
      <w:r w:rsidRPr="00E5770A">
        <w:rPr>
          <w:rFonts w:ascii="Palatino Linotype" w:eastAsia="Palatino Linotype" w:hAnsi="Palatino Linotype" w:cs="Palatino Linotype"/>
          <w:sz w:val="22"/>
          <w:szCs w:val="22"/>
        </w:rPr>
        <w:t xml:space="preserve">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w:t>
      </w:r>
      <w:r w:rsidRPr="00E5770A">
        <w:rPr>
          <w:rFonts w:ascii="Palatino Linotype" w:eastAsia="Palatino Linotype" w:hAnsi="Palatino Linotype" w:cs="Palatino Linotype"/>
          <w:sz w:val="22"/>
          <w:szCs w:val="22"/>
        </w:rPr>
        <w:lastRenderedPageBreak/>
        <w:t>negada; por lo que al solicitante le asiste el derecho para presentar el recurso de revisión en cualquier momento.</w:t>
      </w:r>
    </w:p>
    <w:p w14:paraId="264C0617"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Derivado de lo anterior, se constituye la figura jurídica de la </w:t>
      </w:r>
      <w:r w:rsidRPr="00E5770A">
        <w:rPr>
          <w:rFonts w:ascii="Palatino Linotype" w:eastAsia="Palatino Linotype" w:hAnsi="Palatino Linotype" w:cs="Palatino Linotype"/>
          <w:b/>
          <w:sz w:val="22"/>
          <w:szCs w:val="22"/>
        </w:rPr>
        <w:t>NEGATIVA FICTA</w:t>
      </w:r>
      <w:r w:rsidRPr="00E5770A">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De tal manera, en el presente recurso de revisión se actualizó la negativa ficta por parte del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al no haber respondido a la parte </w:t>
      </w:r>
      <w:r w:rsidRPr="00E5770A">
        <w:rPr>
          <w:rFonts w:ascii="Palatino Linotype" w:eastAsia="Palatino Linotype" w:hAnsi="Palatino Linotype" w:cs="Palatino Linotype"/>
          <w:b/>
          <w:sz w:val="22"/>
          <w:szCs w:val="22"/>
        </w:rPr>
        <w:t>RECURRENTE</w:t>
      </w:r>
      <w:r w:rsidRPr="00E5770A">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Si a ello se le suma lo previsto en el párrafo segundo del artículo 178, párrafo segundo</w:t>
      </w:r>
      <w:r w:rsidRPr="00E5770A">
        <w:rPr>
          <w:rFonts w:ascii="Palatino Linotype" w:eastAsia="Palatino Linotype" w:hAnsi="Palatino Linotype" w:cs="Palatino Linotype"/>
          <w:sz w:val="22"/>
          <w:szCs w:val="22"/>
          <w:vertAlign w:val="superscript"/>
        </w:rPr>
        <w:footnoteReference w:id="1"/>
      </w:r>
      <w:r w:rsidRPr="00E5770A">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Lo anterior encuentra sustento en el CRITERIO número 0001-15, aprobado por unanimidad del Pleno del Instituto de Transparencia, Acceso a la Información Pública y Protección de Datos Personales del Estado de México y Municipios, publicado en el </w:t>
      </w:r>
      <w:r w:rsidRPr="00E5770A">
        <w:rPr>
          <w:rFonts w:ascii="Palatino Linotype" w:eastAsia="Palatino Linotype" w:hAnsi="Palatino Linotype" w:cs="Palatino Linotype"/>
          <w:sz w:val="22"/>
          <w:szCs w:val="22"/>
        </w:rPr>
        <w:lastRenderedPageBreak/>
        <w:t>Periódico Oficial del Estado de México “Gaceta del Gobierno”, el veintitrés de abril de dos mil quince, que establece:</w:t>
      </w:r>
    </w:p>
    <w:p w14:paraId="140CD766" w14:textId="77777777" w:rsidR="00532AE4" w:rsidRPr="00E5770A" w:rsidRDefault="00532AE4">
      <w:pPr>
        <w:spacing w:line="360" w:lineRule="auto"/>
        <w:jc w:val="both"/>
        <w:rPr>
          <w:i/>
          <w:sz w:val="22"/>
          <w:szCs w:val="22"/>
        </w:rPr>
      </w:pPr>
    </w:p>
    <w:p w14:paraId="4BB01BE0" w14:textId="77777777" w:rsidR="00532AE4" w:rsidRPr="00E5770A" w:rsidRDefault="00A76F12">
      <w:pPr>
        <w:ind w:left="567" w:right="616"/>
        <w:jc w:val="both"/>
        <w:rPr>
          <w:rFonts w:ascii="Palatino Linotype" w:eastAsia="Palatino Linotype" w:hAnsi="Palatino Linotype" w:cs="Palatino Linotype"/>
          <w:b/>
          <w:i/>
          <w:sz w:val="22"/>
          <w:szCs w:val="22"/>
        </w:rPr>
      </w:pPr>
      <w:r w:rsidRPr="00E5770A">
        <w:rPr>
          <w:rFonts w:ascii="Palatino Linotype" w:eastAsia="Palatino Linotype" w:hAnsi="Palatino Linotype" w:cs="Palatino Linotype"/>
          <w:i/>
          <w:sz w:val="22"/>
          <w:szCs w:val="22"/>
        </w:rPr>
        <w:t>“</w:t>
      </w:r>
      <w:r w:rsidRPr="00E5770A">
        <w:rPr>
          <w:rFonts w:ascii="Palatino Linotype" w:eastAsia="Palatino Linotype" w:hAnsi="Palatino Linotype" w:cs="Palatino Linotype"/>
          <w:b/>
          <w:i/>
          <w:sz w:val="22"/>
          <w:szCs w:val="22"/>
        </w:rPr>
        <w:t>CRITERIO 0001-15 NEGATIVA FICTA. PLAZO PARA INTERPONER EL RECURSO DE REVISIÓN TRATÁNDOSE DE</w:t>
      </w:r>
      <w:r w:rsidRPr="00E5770A">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E5770A" w:rsidRDefault="00532AE4">
      <w:pPr>
        <w:ind w:left="567" w:right="851"/>
        <w:jc w:val="both"/>
        <w:rPr>
          <w:rFonts w:ascii="Palatino Linotype" w:eastAsia="Palatino Linotype" w:hAnsi="Palatino Linotype" w:cs="Palatino Linotype"/>
          <w:i/>
          <w:sz w:val="22"/>
          <w:szCs w:val="22"/>
        </w:rPr>
      </w:pPr>
    </w:p>
    <w:p w14:paraId="76E26C4F" w14:textId="169CE5C8" w:rsidR="00532AE4" w:rsidRPr="00E5770A"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E5770A">
        <w:rPr>
          <w:rFonts w:ascii="Palatino Linotype" w:eastAsia="Palatino Linotype" w:hAnsi="Palatino Linotype" w:cs="Palatino Linotype"/>
          <w:b/>
          <w:sz w:val="22"/>
          <w:szCs w:val="22"/>
        </w:rPr>
        <w:t>EL</w:t>
      </w:r>
      <w:r w:rsidRPr="00E5770A">
        <w:rPr>
          <w:rFonts w:ascii="Palatino Linotype" w:eastAsia="Palatino Linotype" w:hAnsi="Palatino Linotype" w:cs="Palatino Linotype"/>
          <w:sz w:val="22"/>
          <w:szCs w:val="22"/>
        </w:rPr>
        <w:t xml:space="preserve"> </w:t>
      </w:r>
      <w:r w:rsidRPr="00E5770A">
        <w:rPr>
          <w:rFonts w:ascii="Palatino Linotype" w:eastAsia="Palatino Linotype" w:hAnsi="Palatino Linotype" w:cs="Palatino Linotype"/>
          <w:b/>
          <w:sz w:val="22"/>
          <w:szCs w:val="22"/>
        </w:rPr>
        <w:t>SAIMEX</w:t>
      </w:r>
      <w:r w:rsidRPr="00E5770A">
        <w:rPr>
          <w:rFonts w:ascii="Palatino Linotype" w:eastAsia="Palatino Linotype" w:hAnsi="Palatino Linotype" w:cs="Palatino Linotype"/>
          <w:sz w:val="22"/>
          <w:szCs w:val="22"/>
        </w:rPr>
        <w:t>.</w:t>
      </w:r>
    </w:p>
    <w:p w14:paraId="1C27DB56" w14:textId="40163621" w:rsidR="00B503D1" w:rsidRPr="00E5770A"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E5770A">
        <w:rPr>
          <w:rFonts w:ascii="Palatino Linotype" w:eastAsia="Palatino Linotype" w:hAnsi="Palatino Linotype" w:cs="Palatino Linotype"/>
          <w:b/>
          <w:sz w:val="22"/>
          <w:szCs w:val="22"/>
        </w:rPr>
        <w:t>RECURRENTE</w:t>
      </w:r>
      <w:r w:rsidRPr="00E5770A">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E5770A" w:rsidRDefault="00A76F12">
      <w:pPr>
        <w:ind w:left="567" w:right="616"/>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i/>
          <w:sz w:val="22"/>
          <w:szCs w:val="22"/>
        </w:rPr>
        <w:t>“</w:t>
      </w:r>
      <w:r w:rsidRPr="00E5770A">
        <w:rPr>
          <w:rFonts w:ascii="Palatino Linotype" w:eastAsia="Palatino Linotype" w:hAnsi="Palatino Linotype" w:cs="Palatino Linotype"/>
          <w:b/>
          <w:sz w:val="22"/>
          <w:szCs w:val="22"/>
        </w:rPr>
        <w:t>Artículo 179.</w:t>
      </w:r>
      <w:r w:rsidRPr="00E5770A">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E5770A">
        <w:rPr>
          <w:rFonts w:ascii="Palatino Linotype" w:eastAsia="Palatino Linotype" w:hAnsi="Palatino Linotype" w:cs="Palatino Linotype"/>
          <w:sz w:val="22"/>
          <w:szCs w:val="22"/>
        </w:rPr>
        <w:t> </w:t>
      </w:r>
    </w:p>
    <w:p w14:paraId="7ACAE181" w14:textId="77777777" w:rsidR="00532AE4" w:rsidRPr="00E5770A" w:rsidRDefault="00A76F12">
      <w:pPr>
        <w:ind w:left="567" w:right="616"/>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lastRenderedPageBreak/>
        <w:t>…</w:t>
      </w:r>
    </w:p>
    <w:p w14:paraId="543A0FF7" w14:textId="77777777" w:rsidR="00532AE4" w:rsidRPr="00E5770A" w:rsidRDefault="00A76F12">
      <w:pPr>
        <w:numPr>
          <w:ilvl w:val="0"/>
          <w:numId w:val="4"/>
        </w:numPr>
        <w:ind w:left="567" w:right="616" w:firstLine="0"/>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E5770A"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E5770A" w:rsidRDefault="00A76F12">
      <w:pPr>
        <w:tabs>
          <w:tab w:val="left" w:pos="8647"/>
        </w:tabs>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 xml:space="preserve">Tercero. Materia de la revisión. </w:t>
      </w:r>
      <w:r w:rsidRPr="00E5770A">
        <w:rPr>
          <w:rFonts w:ascii="Palatino Linotype" w:eastAsia="Palatino Linotype" w:hAnsi="Palatino Linotype" w:cs="Palatino Linotype"/>
          <w:sz w:val="22"/>
          <w:szCs w:val="22"/>
        </w:rPr>
        <w:t xml:space="preserve">Este Organismo Garante procede del análisis de los agravios hechos valer por la parte </w:t>
      </w:r>
      <w:r w:rsidRPr="00E5770A">
        <w:rPr>
          <w:rFonts w:ascii="Palatino Linotype" w:eastAsia="Palatino Linotype" w:hAnsi="Palatino Linotype" w:cs="Palatino Linotype"/>
          <w:b/>
          <w:sz w:val="22"/>
          <w:szCs w:val="22"/>
        </w:rPr>
        <w:t>Recurrente</w:t>
      </w:r>
      <w:r w:rsidRPr="00E5770A">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E5770A"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 xml:space="preserve">Cuarto. Estudio del asunto. </w:t>
      </w:r>
      <w:r w:rsidRPr="00E5770A">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E5770A">
        <w:rPr>
          <w:rFonts w:ascii="Palatino Linotype" w:eastAsia="Palatino Linotype" w:hAnsi="Palatino Linotype" w:cs="Palatino Linotype"/>
          <w:b/>
          <w:sz w:val="22"/>
          <w:szCs w:val="22"/>
        </w:rPr>
        <w:t xml:space="preserve">Sujeto Obligado </w:t>
      </w:r>
      <w:r w:rsidRPr="00E5770A">
        <w:rPr>
          <w:rFonts w:ascii="Palatino Linotype" w:eastAsia="Palatino Linotype" w:hAnsi="Palatino Linotype" w:cs="Palatino Linotype"/>
          <w:sz w:val="22"/>
          <w:szCs w:val="22"/>
        </w:rPr>
        <w:t xml:space="preserve">no dio respuesta a la solicitud de información planteada por la parte </w:t>
      </w:r>
      <w:r w:rsidRPr="00E5770A">
        <w:rPr>
          <w:rFonts w:ascii="Palatino Linotype" w:eastAsia="Palatino Linotype" w:hAnsi="Palatino Linotype" w:cs="Palatino Linotype"/>
          <w:b/>
          <w:sz w:val="22"/>
          <w:szCs w:val="22"/>
        </w:rPr>
        <w:t>Recurrente</w:t>
      </w:r>
      <w:r w:rsidRPr="00E5770A">
        <w:rPr>
          <w:rFonts w:ascii="Palatino Linotype" w:eastAsia="Palatino Linotype" w:hAnsi="Palatino Linotype" w:cs="Palatino Linotype"/>
          <w:sz w:val="22"/>
          <w:szCs w:val="22"/>
        </w:rPr>
        <w:t xml:space="preserve">, lo que se traduce como la configuración de la </w:t>
      </w:r>
      <w:r w:rsidRPr="00E5770A">
        <w:rPr>
          <w:rFonts w:ascii="Palatino Linotype" w:eastAsia="Palatino Linotype" w:hAnsi="Palatino Linotype" w:cs="Palatino Linotype"/>
          <w:b/>
          <w:sz w:val="22"/>
          <w:szCs w:val="22"/>
        </w:rPr>
        <w:t>negativa ficta</w:t>
      </w:r>
      <w:r w:rsidRPr="00E5770A">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E5770A">
        <w:rPr>
          <w:rFonts w:ascii="Palatino Linotype" w:eastAsia="Palatino Linotype" w:hAnsi="Palatino Linotype" w:cs="Palatino Linotype"/>
          <w:b/>
          <w:sz w:val="22"/>
          <w:szCs w:val="22"/>
        </w:rPr>
        <w:t>Recurrente</w:t>
      </w:r>
      <w:r w:rsidRPr="00E5770A">
        <w:rPr>
          <w:rFonts w:ascii="Palatino Linotype" w:eastAsia="Palatino Linotype" w:hAnsi="Palatino Linotype" w:cs="Palatino Linotype"/>
          <w:sz w:val="22"/>
          <w:szCs w:val="22"/>
        </w:rPr>
        <w:t xml:space="preserve">, se advierte que requirió al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le proporcionara, información consistente en lo siguiente:</w:t>
      </w:r>
    </w:p>
    <w:p w14:paraId="35279DFB" w14:textId="492CA8DC" w:rsidR="00532AE4" w:rsidRPr="00E5770A" w:rsidRDefault="00B82C51" w:rsidP="00942893">
      <w:pPr>
        <w:tabs>
          <w:tab w:val="left" w:pos="7655"/>
          <w:tab w:val="left" w:pos="7797"/>
        </w:tabs>
        <w:ind w:left="851" w:right="709"/>
        <w:jc w:val="both"/>
        <w:rPr>
          <w:rFonts w:ascii="Palatino Linotype" w:eastAsia="Palatino Linotype" w:hAnsi="Palatino Linotype"/>
          <w:i/>
          <w:sz w:val="22"/>
          <w:szCs w:val="22"/>
        </w:rPr>
      </w:pPr>
      <w:r w:rsidRPr="00E5770A">
        <w:rPr>
          <w:rFonts w:ascii="Palatino Linotype" w:eastAsia="Palatino Linotype" w:hAnsi="Palatino Linotype"/>
          <w:i/>
          <w:sz w:val="22"/>
          <w:szCs w:val="22"/>
        </w:rPr>
        <w:t>“</w:t>
      </w:r>
      <w:r w:rsidR="007B131C" w:rsidRPr="00E5770A">
        <w:rPr>
          <w:rFonts w:ascii="Palatino Linotype" w:eastAsia="Palatino Linotype" w:hAnsi="Palatino Linotype"/>
          <w:i/>
          <w:sz w:val="22"/>
          <w:szCs w:val="22"/>
        </w:rPr>
        <w:t xml:space="preserve">ASUNTO: Exigencia de informe de estado procesal, fundamentación de inactividad y apercibimiento de responsabilidad administrativa por omisión sistemática. C. CONTRALORA MUNICIPAL DE COCOTITLÁN: Toda vez que he interpuesto diversas denuncias y quejas ante esta instancia respecto a la operación ilegal de la fábrica de anafres y ollas ubicada en Ejido del Moral, y ante el silencio administrativo que usted ha mantenido, le solicito informe de manera fundada y motivada: PRIMERO. ESTADO </w:t>
      </w:r>
      <w:r w:rsidR="007B131C" w:rsidRPr="00E5770A">
        <w:rPr>
          <w:rFonts w:ascii="Palatino Linotype" w:eastAsia="Palatino Linotype" w:hAnsi="Palatino Linotype"/>
          <w:i/>
          <w:sz w:val="22"/>
          <w:szCs w:val="22"/>
        </w:rPr>
        <w:lastRenderedPageBreak/>
        <w:t>PROCESAL DE LA RED DE RESPONSABLES: Informe detallado y por escrito del estado que guarda cada una de mis denuncias contra los siguientes servidores públicos, quienes han participado por acción u omisión en la tolerancia a la actividad industrial clandestina: Juez Cívico y Secretario Conciliador: Por la inacción en el seguimiento de los convenios de mediación incumplidos. Director de Protección Civil, Directora de Ecología y Director de Desarrollo Económico: Quienes, habiendo participado personalmente en la diligencia de verificación del 7 de abril de 2026, han omitido aplicar las medidas de seguridad y clausura correspondientes. Secretario de Gobierno: Por su rol en la supervisión de la política interna que permite la operación de establecimientos sin licencia en zona ejidal, contraviniendo el marco legal vigente. Solicito que especifique si se ha radicado el expediente, si se han emitido autos de inicio y si existen diligencias practicadas contra cada uno de los implicados. SEGUNDO. JUSTIFICACIÓN DE INACTIVIDAD: En caso de que no exista avance procesal, fundamente bajo qué precepto legal de la Ley de Responsabilidades Administrativas del Estado de México usted justifica el estancamiento de mis expedientes. TERCERO. VÍNCULO CON RESOLUCIONES INFOEM: Toda vez que el INFOEM ya ha dictado resoluciones que acreditan la opacidad y posible colusión en este Ayuntamiento (Expediente 06904/INFOEM/IP/RR/2026), solicito me informe si la Contraloría ha iniciado, de oficio o por virtud de las pruebas aportadas, algún procedimiento sancionador contra los funcionarios señalados por haber intentado ocultar información pública mediante reservas ilegales. APERCIBIMIENTO Y NOTIFICACIÓN DE CONTROL: Se le apercibe que la omisión de respuesta a esta solicitud será denunciada ante la Contraloría del Poder Legislativo del Estado de México por omisión de funciones y encubrimiento de faltas administrativas graves. Hago de su conocimiento que este escrito ha sido enviado en copia a la instancia estatal mencionada, a fin de que dicha autoridad pueda auditar el desempeño de esta Contraloría Municipal ante la evidente inacción documentada. Usted, como Contralora, es garante de la legalidad; su silencio es una confesión de su falta de diligencia ante una red de funcionarios que han vulnerado mis derechos humanos.</w:t>
      </w:r>
      <w:r w:rsidR="009C3B23" w:rsidRPr="00E5770A">
        <w:rPr>
          <w:rFonts w:ascii="Palatino Linotype" w:eastAsia="Palatino Linotype" w:hAnsi="Palatino Linotype"/>
          <w:i/>
          <w:sz w:val="22"/>
          <w:szCs w:val="22"/>
        </w:rPr>
        <w:t>”</w:t>
      </w:r>
      <w:r w:rsidR="00223CD6" w:rsidRPr="00E5770A">
        <w:rPr>
          <w:rFonts w:ascii="Palatino Linotype" w:eastAsia="Palatino Linotype" w:hAnsi="Palatino Linotype"/>
          <w:i/>
          <w:sz w:val="22"/>
          <w:szCs w:val="22"/>
        </w:rPr>
        <w:t xml:space="preserve"> (</w:t>
      </w:r>
      <w:r w:rsidR="00A76F12" w:rsidRPr="00E5770A">
        <w:rPr>
          <w:rFonts w:ascii="Palatino Linotype" w:eastAsia="Palatino Linotype" w:hAnsi="Palatino Linotype"/>
          <w:i/>
          <w:sz w:val="22"/>
          <w:szCs w:val="22"/>
        </w:rPr>
        <w:t>Sic)</w:t>
      </w:r>
    </w:p>
    <w:p w14:paraId="4BE46D97" w14:textId="77777777" w:rsidR="00532AE4" w:rsidRPr="00E5770A"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Precisado lo anterior, se procede al análisis del presente recurso, así como al contenido íntegro de las actuaciones que obran en el expediente electrónico, para así estar en posibilidad este Organismo Garante de dictar el fallo correspondiente </w:t>
      </w:r>
      <w:r w:rsidRPr="00E5770A">
        <w:rPr>
          <w:rFonts w:ascii="Palatino Linotype" w:eastAsia="Palatino Linotype" w:hAnsi="Palatino Linotype" w:cs="Palatino Linotype"/>
          <w:sz w:val="22"/>
          <w:szCs w:val="22"/>
        </w:rPr>
        <w:lastRenderedPageBreak/>
        <w:t>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E5770A" w:rsidRDefault="00A76F12">
      <w:pPr>
        <w:tabs>
          <w:tab w:val="left" w:pos="709"/>
        </w:tabs>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E5770A"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E5770A"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E5770A">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E5770A"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E5770A">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E5770A"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E5770A">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E5770A"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w:t>
      </w:r>
    </w:p>
    <w:p w14:paraId="54E0C206" w14:textId="77777777" w:rsidR="00532AE4" w:rsidRPr="00E5770A" w:rsidRDefault="00A76F12">
      <w:pPr>
        <w:spacing w:line="276" w:lineRule="auto"/>
        <w:ind w:left="567" w:righ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lastRenderedPageBreak/>
        <w:t>“Artículo 6o.</w:t>
      </w:r>
    </w:p>
    <w:p w14:paraId="4D803AB1" w14:textId="77777777" w:rsidR="00532AE4" w:rsidRPr="00E5770A" w:rsidRDefault="00A76F12">
      <w:pPr>
        <w:spacing w:line="276" w:lineRule="auto"/>
        <w:ind w:left="567" w:righ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w:t>
      </w:r>
    </w:p>
    <w:p w14:paraId="4B588253" w14:textId="77777777" w:rsidR="00532AE4" w:rsidRPr="00E5770A" w:rsidRDefault="00A76F12">
      <w:pPr>
        <w:spacing w:line="276" w:lineRule="auto"/>
        <w:ind w:left="567" w:righ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A. Para el ejercicio del derecho de acceso a la información, la Federación y </w:t>
      </w:r>
      <w:r w:rsidRPr="00E5770A">
        <w:rPr>
          <w:rFonts w:ascii="Palatino Linotype" w:eastAsia="Palatino Linotype" w:hAnsi="Palatino Linotype" w:cs="Palatino Linotype"/>
          <w:b/>
          <w:i/>
          <w:sz w:val="22"/>
          <w:szCs w:val="22"/>
          <w:u w:val="single"/>
        </w:rPr>
        <w:t>las entidades federativas</w:t>
      </w:r>
      <w:r w:rsidRPr="00E5770A">
        <w:rPr>
          <w:rFonts w:ascii="Palatino Linotype" w:eastAsia="Palatino Linotype" w:hAnsi="Palatino Linotype" w:cs="Palatino Linotype"/>
          <w:b/>
          <w:i/>
          <w:sz w:val="22"/>
          <w:szCs w:val="22"/>
        </w:rPr>
        <w:t>,</w:t>
      </w:r>
      <w:r w:rsidRPr="00E5770A">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E5770A" w:rsidRDefault="00A76F12">
      <w:pPr>
        <w:spacing w:line="276" w:lineRule="auto"/>
        <w:ind w:left="567" w:righ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I. </w:t>
      </w:r>
      <w:r w:rsidRPr="00E5770A">
        <w:rPr>
          <w:rFonts w:ascii="Palatino Linotype" w:eastAsia="Palatino Linotype" w:hAnsi="Palatino Linotype" w:cs="Palatino Linotype"/>
          <w:b/>
          <w:i/>
          <w:sz w:val="22"/>
          <w:szCs w:val="22"/>
          <w:u w:val="single"/>
        </w:rPr>
        <w:t>Toda la información en posesión de cualquier autoridad, entidad, órgano y organismo de los Poderes</w:t>
      </w:r>
      <w:r w:rsidRPr="00E5770A">
        <w:rPr>
          <w:rFonts w:ascii="Palatino Linotype" w:eastAsia="Palatino Linotype" w:hAnsi="Palatino Linotype" w:cs="Palatino Linotype"/>
          <w:i/>
          <w:sz w:val="22"/>
          <w:szCs w:val="22"/>
        </w:rPr>
        <w:t xml:space="preserve"> Ejecutivo, Legislativo </w:t>
      </w:r>
      <w:r w:rsidRPr="00E5770A">
        <w:rPr>
          <w:rFonts w:ascii="Palatino Linotype" w:eastAsia="Palatino Linotype" w:hAnsi="Palatino Linotype" w:cs="Palatino Linotype"/>
          <w:b/>
          <w:i/>
          <w:sz w:val="22"/>
          <w:szCs w:val="22"/>
          <w:u w:val="single"/>
        </w:rPr>
        <w:t>y Judicial</w:t>
      </w:r>
      <w:r w:rsidRPr="00E5770A">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E5770A">
        <w:rPr>
          <w:rFonts w:ascii="Palatino Linotype" w:eastAsia="Palatino Linotype" w:hAnsi="Palatino Linotype" w:cs="Palatino Linotype"/>
          <w:b/>
          <w:i/>
          <w:sz w:val="22"/>
          <w:szCs w:val="22"/>
        </w:rPr>
        <w:t>es pública y sólo podrá ser reservada temporalmente por razones de interés público y seguridad nacional,</w:t>
      </w:r>
      <w:r w:rsidRPr="00E5770A">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E5770A" w:rsidRDefault="00A76F12">
      <w:pPr>
        <w:spacing w:line="276" w:lineRule="auto"/>
        <w:ind w:left="567" w:right="851"/>
        <w:jc w:val="both"/>
        <w:rPr>
          <w:rFonts w:ascii="Palatino Linotype" w:eastAsia="Palatino Linotype" w:hAnsi="Palatino Linotype" w:cs="Palatino Linotype"/>
          <w:b/>
          <w:i/>
          <w:sz w:val="22"/>
          <w:szCs w:val="22"/>
        </w:rPr>
      </w:pPr>
      <w:r w:rsidRPr="00E5770A">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E5770A" w:rsidRDefault="00A76F12">
      <w:pPr>
        <w:spacing w:line="276" w:lineRule="auto"/>
        <w:ind w:left="567" w:righ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III. </w:t>
      </w:r>
      <w:r w:rsidRPr="00E5770A">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E5770A">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E5770A" w:rsidRDefault="00A76F12">
      <w:pPr>
        <w:spacing w:line="276" w:lineRule="auto"/>
        <w:ind w:left="567" w:righ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IV.</w:t>
      </w:r>
      <w:r w:rsidRPr="00E5770A">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E5770A" w:rsidRDefault="00A76F12">
      <w:pPr>
        <w:spacing w:line="276" w:lineRule="auto"/>
        <w:ind w:left="567" w:right="851"/>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V. </w:t>
      </w:r>
      <w:r w:rsidRPr="00E5770A">
        <w:rPr>
          <w:rFonts w:ascii="Palatino Linotype" w:eastAsia="Palatino Linotype" w:hAnsi="Palatino Linotype" w:cs="Palatino Linotype"/>
          <w:i/>
          <w:sz w:val="22"/>
          <w:szCs w:val="22"/>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14:paraId="3A6C6EFF" w14:textId="77777777" w:rsidR="00532AE4" w:rsidRPr="00E5770A"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E5770A"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E5770A" w:rsidRDefault="00A76F12">
      <w:pPr>
        <w:tabs>
          <w:tab w:val="left" w:pos="709"/>
        </w:tabs>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lastRenderedPageBreak/>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E5770A"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w:t>
      </w:r>
      <w:r w:rsidRPr="00E5770A">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E5770A">
        <w:rPr>
          <w:rFonts w:ascii="Palatino Linotype" w:eastAsia="Palatino Linotype" w:hAnsi="Palatino Linotype" w:cs="Palatino Linotype"/>
          <w:i/>
          <w:sz w:val="22"/>
          <w:szCs w:val="22"/>
        </w:rPr>
        <w:t>:</w:t>
      </w:r>
    </w:p>
    <w:p w14:paraId="275F2B94"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E5770A">
        <w:rPr>
          <w:rFonts w:ascii="Palatino Linotype" w:eastAsia="Palatino Linotype" w:hAnsi="Palatino Linotype" w:cs="Palatino Linotype"/>
          <w:b/>
          <w:i/>
          <w:sz w:val="22"/>
          <w:szCs w:val="22"/>
        </w:rPr>
        <w:t>I.</w:t>
      </w:r>
      <w:r w:rsidRPr="00E5770A">
        <w:rPr>
          <w:rFonts w:ascii="Palatino Linotype" w:eastAsia="Palatino Linotype" w:hAnsi="Palatino Linotype" w:cs="Palatino Linotype"/>
          <w:i/>
          <w:sz w:val="22"/>
          <w:szCs w:val="22"/>
        </w:rPr>
        <w:t xml:space="preserve"> El Poder Ejecutivo del Estado de México, las dependencias, organismos auxiliares,</w:t>
      </w:r>
      <w:r w:rsidRPr="00E5770A">
        <w:rPr>
          <w:rFonts w:ascii="Palatino Linotype" w:eastAsia="Palatino Linotype" w:hAnsi="Palatino Linotype" w:cs="Palatino Linotype"/>
          <w:b/>
          <w:i/>
          <w:sz w:val="22"/>
          <w:szCs w:val="22"/>
        </w:rPr>
        <w:t xml:space="preserve"> </w:t>
      </w:r>
      <w:r w:rsidRPr="00E5770A">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II.</w:t>
      </w:r>
      <w:r w:rsidRPr="00E5770A">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III.</w:t>
      </w:r>
      <w:r w:rsidRPr="00E5770A">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E5770A">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V.</w:t>
      </w:r>
      <w:r w:rsidRPr="00E5770A">
        <w:rPr>
          <w:rFonts w:ascii="Palatino Linotype" w:eastAsia="Palatino Linotype" w:hAnsi="Palatino Linotype" w:cs="Palatino Linotype"/>
          <w:i/>
          <w:sz w:val="22"/>
          <w:szCs w:val="22"/>
        </w:rPr>
        <w:t xml:space="preserve"> Los órganos autónomos;</w:t>
      </w:r>
    </w:p>
    <w:p w14:paraId="47FBCC3D"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VI.</w:t>
      </w:r>
      <w:r w:rsidRPr="00E5770A">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VII.</w:t>
      </w:r>
      <w:r w:rsidRPr="00E5770A">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VIII.</w:t>
      </w:r>
      <w:r w:rsidRPr="00E5770A">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lastRenderedPageBreak/>
        <w:t>IX.</w:t>
      </w:r>
      <w:r w:rsidRPr="00E5770A">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X.</w:t>
      </w:r>
      <w:r w:rsidRPr="00E5770A">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XI.</w:t>
      </w:r>
      <w:r w:rsidRPr="00E5770A">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E5770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E5770A">
        <w:rPr>
          <w:rFonts w:ascii="Palatino Linotype" w:eastAsia="Palatino Linotype" w:hAnsi="Palatino Linotype" w:cs="Palatino Linotype"/>
          <w:i/>
          <w:sz w:val="22"/>
          <w:szCs w:val="22"/>
        </w:rPr>
        <w:t>.”</w:t>
      </w:r>
    </w:p>
    <w:p w14:paraId="6AA3AC33"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E5770A"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Dicho lo anterior, se precisa que la ya mencionada Unidad de Transparencia es la encargada de tramitar internamente las solicitudes de información y tiene la responsabilidad de verificar, en cada caso, que la información no tenga el carácter de confidencial o reservada, en términos de los artículos 50 y 51 de la Ley de </w:t>
      </w:r>
      <w:r w:rsidRPr="00E5770A">
        <w:rPr>
          <w:rFonts w:ascii="Palatino Linotype" w:eastAsia="Palatino Linotype" w:hAnsi="Palatino Linotype" w:cs="Palatino Linotype"/>
          <w:sz w:val="22"/>
          <w:szCs w:val="22"/>
        </w:rPr>
        <w:lastRenderedPageBreak/>
        <w:t>Transparencia y Acceso a la Información Pública del Estado de México y Municipios.</w:t>
      </w:r>
    </w:p>
    <w:p w14:paraId="677C733F" w14:textId="77777777" w:rsidR="00532AE4" w:rsidRPr="00E5770A"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E5770A"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E5770A"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E5770A"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w:t>
      </w:r>
      <w:r w:rsidRPr="00E5770A">
        <w:rPr>
          <w:rFonts w:ascii="Palatino Linotype" w:eastAsia="Palatino Linotype" w:hAnsi="Palatino Linotype" w:cs="Palatino Linotype"/>
          <w:sz w:val="22"/>
          <w:szCs w:val="22"/>
        </w:rPr>
        <w:lastRenderedPageBreak/>
        <w:t xml:space="preserve">prórroga de hasta siete días hábiles adicionales, siempre y cuando existan razones fundadas y motivadas, las cuales deberán ser aprobadas por el Comité de Transparencia. Situación que en la especie no aconteció. </w:t>
      </w:r>
    </w:p>
    <w:p w14:paraId="53232406"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Sirve de sustento a lo anterior, el precepto legal en cita:</w:t>
      </w:r>
    </w:p>
    <w:p w14:paraId="0E6F8D37"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E5770A" w:rsidRDefault="00A76F12">
      <w:pPr>
        <w:spacing w:line="276" w:lineRule="auto"/>
        <w:ind w:left="567" w:right="902"/>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w:t>
      </w:r>
      <w:r w:rsidRPr="00E5770A">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E5770A">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E5770A" w:rsidRDefault="00A76F12">
      <w:pPr>
        <w:spacing w:line="276" w:lineRule="auto"/>
        <w:ind w:left="567" w:right="902"/>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E5770A"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En mérito de lo expuesto, es claro que en este caso el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w:t>
      </w:r>
      <w:r w:rsidRPr="00E5770A">
        <w:rPr>
          <w:rFonts w:ascii="Palatino Linotype" w:eastAsia="Palatino Linotype" w:hAnsi="Palatino Linotype" w:cs="Palatino Linotype"/>
          <w:sz w:val="22"/>
          <w:szCs w:val="22"/>
        </w:rPr>
        <w:lastRenderedPageBreak/>
        <w:t xml:space="preserve">indígena con el objeto de otorgar la protección más amplia del derecho de las personas. </w:t>
      </w:r>
    </w:p>
    <w:p w14:paraId="048016D6"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E5770A">
        <w:rPr>
          <w:rFonts w:ascii="Palatino Linotype" w:eastAsia="Palatino Linotype" w:hAnsi="Palatino Linotype" w:cs="Palatino Linotype"/>
          <w:b/>
          <w:sz w:val="22"/>
          <w:szCs w:val="22"/>
        </w:rPr>
        <w:t>el Sujeto Obligado</w:t>
      </w:r>
      <w:r w:rsidRPr="00E5770A">
        <w:rPr>
          <w:rFonts w:ascii="Palatino Linotype" w:eastAsia="Palatino Linotype" w:hAnsi="Palatino Linotype" w:cs="Palatino Linotype"/>
          <w:sz w:val="22"/>
          <w:szCs w:val="22"/>
        </w:rPr>
        <w:t>; por lo que, en caso de no atender de manera positiva</w:t>
      </w:r>
      <w:r w:rsidRPr="00E5770A">
        <w:rPr>
          <w:rFonts w:ascii="Palatino Linotype" w:eastAsia="Palatino Linotype" w:hAnsi="Palatino Linotype" w:cs="Palatino Linotype"/>
          <w:sz w:val="22"/>
          <w:szCs w:val="22"/>
          <w:vertAlign w:val="superscript"/>
        </w:rPr>
        <w:footnoteReference w:id="2"/>
      </w:r>
      <w:r w:rsidRPr="00E5770A">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E5770A"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E5770A">
        <w:rPr>
          <w:rFonts w:ascii="Palatino Linotype" w:eastAsia="Palatino Linotype" w:hAnsi="Palatino Linotype" w:cs="Palatino Linotype"/>
          <w:b/>
          <w:sz w:val="22"/>
          <w:szCs w:val="22"/>
        </w:rPr>
        <w:t>De la clasificación de la información.</w:t>
      </w:r>
    </w:p>
    <w:p w14:paraId="7CB72775" w14:textId="77777777" w:rsidR="00532AE4" w:rsidRPr="00E5770A"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E5770A" w:rsidRDefault="00A76F12">
      <w:pPr>
        <w:spacing w:line="360" w:lineRule="auto"/>
        <w:ind w:right="51"/>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E5770A"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E5770A" w:rsidRDefault="00A76F12">
      <w:pPr>
        <w:spacing w:line="276" w:lineRule="auto"/>
        <w:ind w:left="851" w:right="900"/>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“Artículo 91. </w:t>
      </w:r>
      <w:r w:rsidRPr="00E5770A">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E5770A"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lastRenderedPageBreak/>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14:paraId="077F0B8E"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E5770A"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“Artículo 140. </w:t>
      </w:r>
      <w:r w:rsidRPr="00E5770A">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I. </w:t>
      </w:r>
      <w:r w:rsidRPr="00E5770A">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II. </w:t>
      </w:r>
      <w:r w:rsidRPr="00E5770A">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III. </w:t>
      </w:r>
      <w:r w:rsidRPr="00E5770A">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IV. </w:t>
      </w:r>
      <w:r w:rsidRPr="00E5770A">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V. </w:t>
      </w:r>
      <w:r w:rsidRPr="00E5770A">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1. </w:t>
      </w:r>
      <w:r w:rsidRPr="00E5770A">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2. </w:t>
      </w:r>
      <w:r w:rsidRPr="00E5770A">
        <w:rPr>
          <w:rFonts w:ascii="Palatino Linotype" w:eastAsia="Palatino Linotype" w:hAnsi="Palatino Linotype" w:cs="Palatino Linotype"/>
          <w:i/>
          <w:sz w:val="22"/>
          <w:szCs w:val="22"/>
        </w:rPr>
        <w:t>La recaudación de las contribuciones.</w:t>
      </w:r>
    </w:p>
    <w:p w14:paraId="4CD54AA9"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VI. </w:t>
      </w:r>
      <w:r w:rsidRPr="00E5770A">
        <w:rPr>
          <w:rFonts w:ascii="Palatino Linotype" w:eastAsia="Palatino Linotype" w:hAnsi="Palatino Linotype" w:cs="Palatino Linotype"/>
          <w:i/>
          <w:sz w:val="22"/>
          <w:szCs w:val="22"/>
        </w:rPr>
        <w:t xml:space="preserve">Pueda causar daño u obstruya la prevención o persecución de los delitos, altere el proceso de investigación de las carpetas de investigación, afecte o vulnere </w:t>
      </w:r>
      <w:r w:rsidRPr="00E5770A">
        <w:rPr>
          <w:rFonts w:ascii="Palatino Linotype" w:eastAsia="Palatino Linotype" w:hAnsi="Palatino Linotype" w:cs="Palatino Linotype"/>
          <w:i/>
          <w:sz w:val="22"/>
          <w:szCs w:val="22"/>
        </w:rPr>
        <w:lastRenderedPageBreak/>
        <w:t>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VII. </w:t>
      </w:r>
      <w:r w:rsidRPr="00E5770A">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VIII</w:t>
      </w:r>
      <w:r w:rsidRPr="00E5770A">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E5770A">
        <w:rPr>
          <w:rFonts w:ascii="Palatino Linotype" w:eastAsia="Palatino Linotype" w:hAnsi="Palatino Linotype" w:cs="Palatino Linotype"/>
          <w:b/>
          <w:i/>
          <w:sz w:val="22"/>
          <w:szCs w:val="22"/>
        </w:rPr>
        <w:t>;</w:t>
      </w:r>
    </w:p>
    <w:p w14:paraId="20A105A2"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IX. </w:t>
      </w:r>
      <w:r w:rsidRPr="00E5770A">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X. </w:t>
      </w:r>
      <w:r w:rsidRPr="00E5770A">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XI. </w:t>
      </w:r>
      <w:r w:rsidRPr="00E5770A">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w:t>
      </w:r>
    </w:p>
    <w:p w14:paraId="7E7180B7"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Artículo 143. </w:t>
      </w:r>
      <w:r w:rsidRPr="00E5770A">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I. </w:t>
      </w:r>
      <w:r w:rsidRPr="00E5770A">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II. </w:t>
      </w:r>
      <w:r w:rsidRPr="00E5770A">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lastRenderedPageBreak/>
        <w:t xml:space="preserve">III. </w:t>
      </w:r>
      <w:r w:rsidRPr="00E5770A">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E5770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E5770A"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De este modo, conforme al artículo 132 de la Ley en la Materia Local, para clasificar la información se debe de atender a lo dispuesto por la normativa y aplicar, de manera estricta, las excepciones del derecho de acceso a la información y sólo podrán invocarlas cuando acrediten su procedencia, debiendo clasificar la información en el momento en que:</w:t>
      </w:r>
    </w:p>
    <w:p w14:paraId="7A878F85"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E5770A"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Se reciba una solicitud de acceso a la información;</w:t>
      </w:r>
    </w:p>
    <w:p w14:paraId="54E32C40" w14:textId="77777777" w:rsidR="00532AE4" w:rsidRPr="00E5770A"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Se determine mediante resolución de autoridad competente; y/o</w:t>
      </w:r>
    </w:p>
    <w:p w14:paraId="2A2574F5" w14:textId="77777777" w:rsidR="00532AE4" w:rsidRPr="00E5770A"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E5770A"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E5770A" w:rsidRDefault="00A76F12">
      <w:pPr>
        <w:spacing w:line="360" w:lineRule="auto"/>
        <w:ind w:right="51"/>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teniendo el deber los primeros de ellos de presentar ante la Unidad de Transparencia la propuesta de la clasificación de la información, para que luego esta se presente ante al Comité de </w:t>
      </w:r>
      <w:r w:rsidRPr="00E5770A">
        <w:rPr>
          <w:rFonts w:ascii="Palatino Linotype" w:eastAsia="Palatino Linotype" w:hAnsi="Palatino Linotype" w:cs="Palatino Linotype"/>
          <w:sz w:val="22"/>
          <w:szCs w:val="22"/>
        </w:rPr>
        <w:lastRenderedPageBreak/>
        <w:t>Transparencia de así resultar procedente el proyecto de clasificación de la información y que finalmente sea este último quien apruebe, modifique o revoque la misma, como se desprende de los artículos 59 fracción V</w:t>
      </w:r>
      <w:r w:rsidRPr="00E5770A">
        <w:rPr>
          <w:rFonts w:ascii="Palatino Linotype" w:eastAsia="Palatino Linotype" w:hAnsi="Palatino Linotype" w:cs="Palatino Linotype"/>
          <w:sz w:val="22"/>
          <w:szCs w:val="22"/>
          <w:vertAlign w:val="superscript"/>
        </w:rPr>
        <w:footnoteReference w:id="3"/>
      </w:r>
      <w:r w:rsidRPr="00E5770A">
        <w:rPr>
          <w:rFonts w:ascii="Palatino Linotype" w:eastAsia="Palatino Linotype" w:hAnsi="Palatino Linotype" w:cs="Palatino Linotype"/>
          <w:sz w:val="22"/>
          <w:szCs w:val="22"/>
        </w:rPr>
        <w:t>, 53 fracción X</w:t>
      </w:r>
      <w:r w:rsidRPr="00E5770A">
        <w:rPr>
          <w:rFonts w:ascii="Palatino Linotype" w:eastAsia="Palatino Linotype" w:hAnsi="Palatino Linotype" w:cs="Palatino Linotype"/>
          <w:sz w:val="22"/>
          <w:szCs w:val="22"/>
          <w:vertAlign w:val="superscript"/>
        </w:rPr>
        <w:footnoteReference w:id="4"/>
      </w:r>
      <w:r w:rsidRPr="00E5770A">
        <w:rPr>
          <w:rFonts w:ascii="Palatino Linotype" w:eastAsia="Palatino Linotype" w:hAnsi="Palatino Linotype" w:cs="Palatino Linotype"/>
          <w:sz w:val="22"/>
          <w:szCs w:val="22"/>
        </w:rPr>
        <w:t>, y 49 fracciones II y VIII</w:t>
      </w:r>
      <w:r w:rsidRPr="00E5770A">
        <w:rPr>
          <w:rFonts w:ascii="Palatino Linotype" w:eastAsia="Palatino Linotype" w:hAnsi="Palatino Linotype" w:cs="Palatino Linotype"/>
          <w:sz w:val="22"/>
          <w:szCs w:val="22"/>
          <w:vertAlign w:val="superscript"/>
        </w:rPr>
        <w:footnoteReference w:id="5"/>
      </w:r>
      <w:r w:rsidRPr="00E5770A">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E5770A"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Bajo tales consideraciones, este Organismo Garante no omite señalar que, si el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advierte que la información solicitada contiene </w:t>
      </w:r>
      <w:r w:rsidRPr="00E5770A">
        <w:rPr>
          <w:rFonts w:ascii="Palatino Linotype" w:eastAsia="Palatino Linotype" w:hAnsi="Palatino Linotype" w:cs="Palatino Linotype"/>
          <w:b/>
          <w:sz w:val="22"/>
          <w:szCs w:val="22"/>
        </w:rPr>
        <w:t>datos personales</w:t>
      </w:r>
      <w:r w:rsidRPr="00E5770A">
        <w:rPr>
          <w:rFonts w:ascii="Palatino Linotype" w:eastAsia="Palatino Linotype" w:hAnsi="Palatino Linotype" w:cs="Palatino Linotype"/>
          <w:sz w:val="22"/>
          <w:szCs w:val="22"/>
        </w:rPr>
        <w:t xml:space="preserve"> que sean susceptibles de ser </w:t>
      </w:r>
      <w:r w:rsidRPr="00E5770A">
        <w:rPr>
          <w:rFonts w:ascii="Palatino Linotype" w:eastAsia="Palatino Linotype" w:hAnsi="Palatino Linotype" w:cs="Palatino Linotype"/>
          <w:b/>
          <w:sz w:val="22"/>
          <w:szCs w:val="22"/>
        </w:rPr>
        <w:t xml:space="preserve">clasificados como confidenciales, </w:t>
      </w:r>
      <w:r w:rsidRPr="00E5770A">
        <w:rPr>
          <w:rFonts w:ascii="Palatino Linotype" w:eastAsia="Palatino Linotype" w:hAnsi="Palatino Linotype" w:cs="Palatino Linotype"/>
          <w:sz w:val="22"/>
          <w:szCs w:val="22"/>
        </w:rPr>
        <w:t>o, si por otro lado</w:t>
      </w:r>
      <w:r w:rsidRPr="00E5770A">
        <w:rPr>
          <w:rFonts w:ascii="Palatino Linotype" w:eastAsia="Palatino Linotype" w:hAnsi="Palatino Linotype" w:cs="Palatino Linotype"/>
          <w:b/>
          <w:sz w:val="22"/>
          <w:szCs w:val="22"/>
        </w:rPr>
        <w:t>, por su propia y especial naturaleza,</w:t>
      </w:r>
      <w:r w:rsidRPr="00E5770A">
        <w:rPr>
          <w:rFonts w:ascii="Palatino Linotype" w:eastAsia="Palatino Linotype" w:hAnsi="Palatino Linotype" w:cs="Palatino Linotype"/>
          <w:sz w:val="22"/>
          <w:szCs w:val="22"/>
        </w:rPr>
        <w:t xml:space="preserve"> encuadra en alguno de los </w:t>
      </w:r>
      <w:r w:rsidRPr="00E5770A">
        <w:rPr>
          <w:rFonts w:ascii="Palatino Linotype" w:eastAsia="Palatino Linotype" w:hAnsi="Palatino Linotype" w:cs="Palatino Linotype"/>
          <w:b/>
          <w:sz w:val="22"/>
          <w:szCs w:val="22"/>
        </w:rPr>
        <w:t>supuestos de reserva o de confidencialidad en su totalidad</w:t>
      </w:r>
      <w:r w:rsidRPr="00E5770A">
        <w:rPr>
          <w:rFonts w:ascii="Palatino Linotype" w:eastAsia="Palatino Linotype" w:hAnsi="Palatino Linotype" w:cs="Palatino Linotype"/>
          <w:sz w:val="22"/>
          <w:szCs w:val="22"/>
        </w:rPr>
        <w:t>, deberá emitir, un</w:t>
      </w:r>
      <w:r w:rsidRPr="00E5770A">
        <w:rPr>
          <w:rFonts w:ascii="Palatino Linotype" w:eastAsia="Palatino Linotype" w:hAnsi="Palatino Linotype" w:cs="Palatino Linotype"/>
          <w:b/>
          <w:sz w:val="22"/>
          <w:szCs w:val="22"/>
        </w:rPr>
        <w:t xml:space="preserve"> Acuerdo de Clasificación </w:t>
      </w:r>
      <w:r w:rsidRPr="00E5770A">
        <w:rPr>
          <w:rFonts w:ascii="Palatino Linotype" w:eastAsia="Palatino Linotype" w:hAnsi="Palatino Linotype" w:cs="Palatino Linotype"/>
          <w:sz w:val="22"/>
          <w:szCs w:val="22"/>
        </w:rPr>
        <w:t>debidamente fundado y motivado que</w:t>
      </w:r>
      <w:r w:rsidRPr="00E5770A">
        <w:rPr>
          <w:rFonts w:ascii="Palatino Linotype" w:eastAsia="Palatino Linotype" w:hAnsi="Palatino Linotype" w:cs="Palatino Linotype"/>
          <w:b/>
          <w:sz w:val="22"/>
          <w:szCs w:val="22"/>
        </w:rPr>
        <w:t xml:space="preserve"> sustente la clasificación parcial, a través de la versión pública que emita,</w:t>
      </w:r>
      <w:r w:rsidRPr="00E5770A">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E5770A"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De la clasificación parcial de la información.</w:t>
      </w:r>
    </w:p>
    <w:p w14:paraId="6CDBD4F4" w14:textId="77777777" w:rsidR="00532AE4" w:rsidRPr="00E5770A"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Respecto de la elaboración de versiones públicas, debe mencionarse que dentro de los datos personales que pudieran contenerse se destacan los datos personales sensibles, los cuales son aquellos referentes de la esfera de su titular cuya utilización indebida </w:t>
      </w:r>
      <w:r w:rsidRPr="00E5770A">
        <w:rPr>
          <w:rFonts w:ascii="Palatino Linotype" w:eastAsia="Palatino Linotype" w:hAnsi="Palatino Linotype" w:cs="Palatino Linotype"/>
          <w:sz w:val="22"/>
          <w:szCs w:val="22"/>
        </w:rPr>
        <w:lastRenderedPageBreak/>
        <w:t>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E5770A"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E5770A">
        <w:rPr>
          <w:rFonts w:ascii="Palatino Linotype" w:eastAsia="Palatino Linotype" w:hAnsi="Palatino Linotype" w:cs="Palatino Linotype"/>
          <w:b/>
          <w:sz w:val="22"/>
          <w:szCs w:val="22"/>
        </w:rPr>
        <w:t>De la clasificación de información como reservada.</w:t>
      </w:r>
    </w:p>
    <w:p w14:paraId="2F50165E" w14:textId="77777777" w:rsidR="00532AE4" w:rsidRPr="00E5770A"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E5770A" w:rsidRDefault="00A76F12">
      <w:pPr>
        <w:spacing w:line="360" w:lineRule="auto"/>
        <w:ind w:right="51"/>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a concluir que, el caso particular se ajusta al 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E5770A"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14:paraId="13C920F9"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E5770A"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La divulgación de la información representa un </w:t>
      </w:r>
      <w:r w:rsidRPr="00E5770A">
        <w:rPr>
          <w:rFonts w:ascii="Palatino Linotype" w:eastAsia="Palatino Linotype" w:hAnsi="Palatino Linotype" w:cs="Palatino Linotype"/>
          <w:b/>
          <w:sz w:val="22"/>
          <w:szCs w:val="22"/>
        </w:rPr>
        <w:t>riesgo real, demostrable e identificable del perjuicio significativo al interés público o a la seguridad pública</w:t>
      </w:r>
      <w:r w:rsidRPr="00E5770A">
        <w:rPr>
          <w:rFonts w:ascii="Palatino Linotype" w:eastAsia="Palatino Linotype" w:hAnsi="Palatino Linotype" w:cs="Palatino Linotype"/>
          <w:sz w:val="22"/>
          <w:szCs w:val="22"/>
        </w:rPr>
        <w:t>;</w:t>
      </w:r>
    </w:p>
    <w:p w14:paraId="4FC20933" w14:textId="77777777" w:rsidR="00532AE4" w:rsidRPr="00E5770A"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E5770A"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E5770A"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Siendo pertinente aclarar que, la información que se clasifica bajo la premisa de reservada, </w:t>
      </w:r>
      <w:r w:rsidRPr="00E5770A">
        <w:rPr>
          <w:rFonts w:ascii="Palatino Linotype" w:eastAsia="Palatino Linotype" w:hAnsi="Palatino Linotype" w:cs="Palatino Linotype"/>
          <w:b/>
          <w:sz w:val="22"/>
          <w:szCs w:val="22"/>
        </w:rPr>
        <w:t>no pierde el carácter de pública</w:t>
      </w:r>
      <w:r w:rsidRPr="00E5770A">
        <w:rPr>
          <w:rFonts w:ascii="Palatino Linotype" w:eastAsia="Palatino Linotype" w:hAnsi="Palatino Linotype" w:cs="Palatino Linotype"/>
          <w:sz w:val="22"/>
          <w:szCs w:val="22"/>
        </w:rPr>
        <w:t xml:space="preserve">, sino que </w:t>
      </w:r>
      <w:r w:rsidRPr="00E5770A">
        <w:rPr>
          <w:rFonts w:ascii="Palatino Linotype" w:eastAsia="Palatino Linotype" w:hAnsi="Palatino Linotype" w:cs="Palatino Linotype"/>
          <w:b/>
          <w:sz w:val="22"/>
          <w:szCs w:val="22"/>
        </w:rPr>
        <w:t>se reserva temporalmente</w:t>
      </w:r>
      <w:r w:rsidRPr="00E5770A">
        <w:rPr>
          <w:rFonts w:ascii="Palatino Linotype" w:eastAsia="Palatino Linotype" w:hAnsi="Palatino Linotype" w:cs="Palatino Linotype"/>
          <w:sz w:val="22"/>
          <w:szCs w:val="22"/>
        </w:rPr>
        <w:t xml:space="preserve"> </w:t>
      </w:r>
      <w:r w:rsidRPr="00E5770A">
        <w:rPr>
          <w:rFonts w:ascii="Palatino Linotype" w:eastAsia="Palatino Linotype" w:hAnsi="Palatino Linotype" w:cs="Palatino Linotype"/>
          <w:b/>
          <w:sz w:val="22"/>
          <w:szCs w:val="22"/>
        </w:rPr>
        <w:t>del conocimiento público</w:t>
      </w:r>
      <w:r w:rsidRPr="00E5770A">
        <w:rPr>
          <w:rFonts w:ascii="Palatino Linotype" w:eastAsia="Palatino Linotype" w:hAnsi="Palatino Linotype" w:cs="Palatino Linotype"/>
          <w:sz w:val="22"/>
          <w:szCs w:val="22"/>
        </w:rPr>
        <w:t xml:space="preserve">, es decir, que, </w:t>
      </w:r>
      <w:r w:rsidRPr="00E5770A">
        <w:rPr>
          <w:rFonts w:ascii="Palatino Linotype" w:eastAsia="Palatino Linotype" w:hAnsi="Palatino Linotype" w:cs="Palatino Linotype"/>
          <w:b/>
          <w:sz w:val="22"/>
          <w:szCs w:val="22"/>
        </w:rPr>
        <w:t>por un tiempo determinado</w:t>
      </w:r>
      <w:r w:rsidRPr="00E5770A">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E5770A"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E5770A">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E5770A"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E5770A" w:rsidRDefault="00A76F12">
      <w:pPr>
        <w:tabs>
          <w:tab w:val="left" w:pos="709"/>
        </w:tabs>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w:t>
      </w:r>
      <w:r w:rsidRPr="00E5770A">
        <w:rPr>
          <w:rFonts w:ascii="Palatino Linotype" w:eastAsia="Palatino Linotype" w:hAnsi="Palatino Linotype" w:cs="Palatino Linotype"/>
          <w:sz w:val="22"/>
          <w:szCs w:val="22"/>
        </w:rPr>
        <w:lastRenderedPageBreak/>
        <w:t>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E5770A"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E5770A" w:rsidRDefault="00A76F12">
      <w:pPr>
        <w:spacing w:line="360" w:lineRule="auto"/>
        <w:ind w:right="51"/>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Versiones Públicas</w:t>
      </w:r>
      <w:r w:rsidRPr="00E5770A">
        <w:rPr>
          <w:rFonts w:ascii="Palatino Linotype" w:eastAsia="Palatino Linotype" w:hAnsi="Palatino Linotype" w:cs="Palatino Linotype"/>
          <w:sz w:val="22"/>
          <w:szCs w:val="22"/>
          <w:vertAlign w:val="superscript"/>
        </w:rPr>
        <w:footnoteReference w:id="6"/>
      </w:r>
      <w:r w:rsidRPr="00E5770A">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E5770A"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E5770A"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De la declaratoria de inexistencia de la información</w:t>
      </w:r>
      <w:r w:rsidRPr="00E5770A">
        <w:rPr>
          <w:rFonts w:ascii="Palatino Linotype" w:eastAsia="Palatino Linotype" w:hAnsi="Palatino Linotype" w:cs="Palatino Linotype"/>
          <w:sz w:val="22"/>
          <w:szCs w:val="22"/>
        </w:rPr>
        <w:t>.</w:t>
      </w:r>
    </w:p>
    <w:p w14:paraId="2CE06287" w14:textId="77777777" w:rsidR="00532AE4" w:rsidRPr="00E5770A"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lastRenderedPageBreak/>
        <w:t xml:space="preserve">Por otro lado, estima prudente señalar al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E5770A" w:rsidRDefault="00A76F12">
      <w:pPr>
        <w:spacing w:line="276" w:lineRule="auto"/>
        <w:ind w:left="567" w:right="902"/>
        <w:jc w:val="both"/>
        <w:rPr>
          <w:rFonts w:ascii="Palatino Linotype" w:eastAsia="Palatino Linotype" w:hAnsi="Palatino Linotype" w:cs="Palatino Linotype"/>
          <w:i/>
          <w:sz w:val="22"/>
          <w:szCs w:val="22"/>
        </w:rPr>
      </w:pPr>
      <w:r w:rsidRPr="00E5770A">
        <w:rPr>
          <w:rFonts w:ascii="Palatino Linotype" w:eastAsia="Palatino Linotype" w:hAnsi="Palatino Linotype" w:cs="Palatino Linotype"/>
          <w:b/>
          <w:i/>
          <w:sz w:val="22"/>
          <w:szCs w:val="22"/>
        </w:rPr>
        <w:t xml:space="preserve">“INEXISTENCIA DE LA INFORMACIÓN. SUPUESTOS PARA EMITIR LA RESOLUCIÓN DE LA. </w:t>
      </w:r>
      <w:r w:rsidRPr="00E5770A">
        <w:rPr>
          <w:rFonts w:ascii="Palatino Linotype" w:eastAsia="Palatino Linotype" w:hAnsi="Palatino Linotype" w:cs="Palatino Linotype"/>
          <w:i/>
          <w:sz w:val="22"/>
          <w:szCs w:val="22"/>
        </w:rPr>
        <w:t xml:space="preserve">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w:t>
      </w:r>
      <w:r w:rsidRPr="00E5770A">
        <w:rPr>
          <w:rFonts w:ascii="Palatino Linotype" w:eastAsia="Palatino Linotype" w:hAnsi="Palatino Linotype" w:cs="Palatino Linotype"/>
          <w:i/>
          <w:sz w:val="22"/>
          <w:szCs w:val="22"/>
        </w:rPr>
        <w:lastRenderedPageBreak/>
        <w:t>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E5770A"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 xml:space="preserve">En mérito de todo lo expuesto, ante lo </w:t>
      </w:r>
      <w:r w:rsidRPr="00E5770A">
        <w:rPr>
          <w:rFonts w:ascii="Palatino Linotype" w:eastAsia="Palatino Linotype" w:hAnsi="Palatino Linotype" w:cs="Palatino Linotype"/>
          <w:b/>
          <w:sz w:val="22"/>
          <w:szCs w:val="22"/>
        </w:rPr>
        <w:t>FUNDADO</w:t>
      </w:r>
      <w:r w:rsidRPr="00E5770A">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E5770A">
        <w:rPr>
          <w:rFonts w:ascii="Palatino Linotype" w:eastAsia="Palatino Linotype" w:hAnsi="Palatino Linotype" w:cs="Palatino Linotype"/>
          <w:b/>
          <w:sz w:val="22"/>
          <w:szCs w:val="22"/>
        </w:rPr>
        <w:t>ORDENAR</w:t>
      </w:r>
      <w:r w:rsidRPr="00E5770A">
        <w:rPr>
          <w:rFonts w:ascii="Palatino Linotype" w:eastAsia="Palatino Linotype" w:hAnsi="Palatino Linotype" w:cs="Palatino Linotype"/>
          <w:sz w:val="22"/>
          <w:szCs w:val="22"/>
        </w:rPr>
        <w:t xml:space="preserve"> al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E5770A" w:rsidRDefault="00A76F12">
      <w:pPr>
        <w:spacing w:line="360" w:lineRule="auto"/>
        <w:ind w:right="49"/>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sz w:val="22"/>
          <w:szCs w:val="22"/>
        </w:rPr>
        <w:t>Finalmente, es de señalar que, como ya se mencionó el</w:t>
      </w:r>
      <w:r w:rsidRPr="00E5770A">
        <w:rPr>
          <w:rFonts w:ascii="Palatino Linotype" w:eastAsia="Palatino Linotype" w:hAnsi="Palatino Linotype" w:cs="Palatino Linotype"/>
          <w:b/>
          <w:sz w:val="22"/>
          <w:szCs w:val="22"/>
        </w:rPr>
        <w:t xml:space="preserve"> Sujeto Obligado</w:t>
      </w:r>
      <w:r w:rsidRPr="00E5770A">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E5770A">
        <w:rPr>
          <w:rFonts w:ascii="Palatino Linotype" w:eastAsia="Palatino Linotype" w:hAnsi="Palatino Linotype" w:cs="Palatino Linotype"/>
          <w:b/>
          <w:sz w:val="22"/>
          <w:szCs w:val="22"/>
        </w:rPr>
        <w:t xml:space="preserve"> </w:t>
      </w:r>
      <w:r w:rsidRPr="00E5770A">
        <w:rPr>
          <w:rFonts w:ascii="Palatino Linotype" w:eastAsia="Palatino Linotype" w:hAnsi="Palatino Linotype" w:cs="Palatino Linotype"/>
          <w:sz w:val="22"/>
          <w:szCs w:val="22"/>
        </w:rPr>
        <w:t xml:space="preserve">a la Secretaría Técnica del Pleno de este Instituto para hacer del conocimiento del Órgano Interno de Control competente la presente resolución, a fin de que de conformidad con el artículo 190 de la Ley de Transparencia y Acceso </w:t>
      </w:r>
      <w:r w:rsidRPr="00E5770A">
        <w:rPr>
          <w:rFonts w:ascii="Palatino Linotype" w:eastAsia="Palatino Linotype" w:hAnsi="Palatino Linotype" w:cs="Palatino Linotype"/>
          <w:sz w:val="22"/>
          <w:szCs w:val="22"/>
        </w:rPr>
        <w:lastRenderedPageBreak/>
        <w:t>a la Información Pública del Estado de México y Municipios se determine lo conducente.</w:t>
      </w:r>
    </w:p>
    <w:p w14:paraId="6205E384" w14:textId="77777777" w:rsidR="00532AE4" w:rsidRPr="00E5770A"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E5770A"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E5770A">
        <w:rPr>
          <w:rFonts w:ascii="Palatino Linotype" w:eastAsia="Palatino Linotype" w:hAnsi="Palatino Linotype" w:cs="Palatino Linotype"/>
          <w:sz w:val="22"/>
          <w:szCs w:val="22"/>
        </w:rPr>
        <w:t xml:space="preserve">Así, con fundamento en lo prescrito en los artículos </w:t>
      </w:r>
      <w:r w:rsidR="009100C5" w:rsidRPr="00E5770A">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E5770A">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E5770A"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E5770A"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E5770A">
        <w:rPr>
          <w:rFonts w:ascii="Palatino Linotype" w:eastAsia="Palatino Linotype" w:hAnsi="Palatino Linotype" w:cs="Palatino Linotype"/>
          <w:b/>
          <w:sz w:val="22"/>
          <w:szCs w:val="22"/>
        </w:rPr>
        <w:t>III. R E S U E L V E</w:t>
      </w:r>
    </w:p>
    <w:p w14:paraId="170B47A5" w14:textId="77777777" w:rsidR="00532AE4" w:rsidRPr="00E5770A"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E5770A" w:rsidRDefault="00A76F12">
      <w:pPr>
        <w:spacing w:line="360" w:lineRule="auto"/>
        <w:ind w:right="49"/>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 xml:space="preserve">Primero. </w:t>
      </w:r>
      <w:r w:rsidRPr="00E5770A">
        <w:rPr>
          <w:rFonts w:ascii="Palatino Linotype" w:eastAsia="Palatino Linotype" w:hAnsi="Palatino Linotype" w:cs="Palatino Linotype"/>
          <w:sz w:val="22"/>
          <w:szCs w:val="22"/>
        </w:rPr>
        <w:t xml:space="preserve">Resultan </w:t>
      </w:r>
      <w:r w:rsidRPr="00E5770A">
        <w:rPr>
          <w:rFonts w:ascii="Palatino Linotype" w:eastAsia="Palatino Linotype" w:hAnsi="Palatino Linotype" w:cs="Palatino Linotype"/>
          <w:b/>
          <w:sz w:val="22"/>
          <w:szCs w:val="22"/>
        </w:rPr>
        <w:t>FUNDADOS</w:t>
      </w:r>
      <w:r w:rsidRPr="00E5770A">
        <w:rPr>
          <w:rFonts w:ascii="Palatino Linotype" w:eastAsia="Palatino Linotype" w:hAnsi="Palatino Linotype" w:cs="Palatino Linotype"/>
          <w:sz w:val="22"/>
          <w:szCs w:val="22"/>
        </w:rPr>
        <w:t xml:space="preserve"> los motivos de inconformidad de la parte </w:t>
      </w:r>
      <w:r w:rsidRPr="00E5770A">
        <w:rPr>
          <w:rFonts w:ascii="Palatino Linotype" w:eastAsia="Palatino Linotype" w:hAnsi="Palatino Linotype" w:cs="Palatino Linotype"/>
          <w:b/>
          <w:sz w:val="22"/>
          <w:szCs w:val="22"/>
        </w:rPr>
        <w:t>Recurrente</w:t>
      </w:r>
      <w:r w:rsidRPr="00E5770A">
        <w:rPr>
          <w:rFonts w:ascii="Palatino Linotype" w:eastAsia="Palatino Linotype" w:hAnsi="Palatino Linotype" w:cs="Palatino Linotype"/>
          <w:sz w:val="22"/>
          <w:szCs w:val="22"/>
        </w:rPr>
        <w:t xml:space="preserve">, en términos del </w:t>
      </w:r>
      <w:r w:rsidRPr="00E5770A">
        <w:rPr>
          <w:rFonts w:ascii="Palatino Linotype" w:eastAsia="Palatino Linotype" w:hAnsi="Palatino Linotype" w:cs="Palatino Linotype"/>
          <w:b/>
          <w:sz w:val="22"/>
          <w:szCs w:val="22"/>
        </w:rPr>
        <w:t>Considerando Cuarto</w:t>
      </w:r>
      <w:r w:rsidRPr="00E5770A">
        <w:rPr>
          <w:rFonts w:ascii="Palatino Linotype" w:eastAsia="Palatino Linotype" w:hAnsi="Palatino Linotype" w:cs="Palatino Linotype"/>
          <w:sz w:val="22"/>
          <w:szCs w:val="22"/>
        </w:rPr>
        <w:t xml:space="preserve"> de la presente resolución.</w:t>
      </w:r>
    </w:p>
    <w:p w14:paraId="6A06B418" w14:textId="77777777" w:rsidR="00532AE4" w:rsidRPr="00E5770A" w:rsidRDefault="00532AE4">
      <w:pPr>
        <w:spacing w:line="360" w:lineRule="auto"/>
        <w:ind w:right="49"/>
        <w:jc w:val="both"/>
        <w:rPr>
          <w:rFonts w:ascii="Palatino Linotype" w:eastAsia="Palatino Linotype" w:hAnsi="Palatino Linotype" w:cs="Palatino Linotype"/>
          <w:sz w:val="22"/>
          <w:szCs w:val="22"/>
        </w:rPr>
      </w:pPr>
    </w:p>
    <w:p w14:paraId="1E37E133" w14:textId="2ECC9A11" w:rsidR="00532AE4" w:rsidRPr="00E5770A"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E5770A">
        <w:rPr>
          <w:rFonts w:ascii="Palatino Linotype" w:eastAsia="Palatino Linotype" w:hAnsi="Palatino Linotype" w:cs="Palatino Linotype"/>
          <w:b/>
          <w:sz w:val="22"/>
          <w:szCs w:val="22"/>
        </w:rPr>
        <w:t>Segundo.</w:t>
      </w:r>
      <w:r w:rsidRPr="00E5770A">
        <w:rPr>
          <w:rFonts w:ascii="Palatino Linotype" w:eastAsia="Palatino Linotype" w:hAnsi="Palatino Linotype" w:cs="Palatino Linotype"/>
          <w:sz w:val="22"/>
          <w:szCs w:val="22"/>
        </w:rPr>
        <w:t xml:space="preserve"> Se</w:t>
      </w:r>
      <w:r w:rsidRPr="00E5770A">
        <w:rPr>
          <w:rFonts w:ascii="Palatino Linotype" w:eastAsia="Palatino Linotype" w:hAnsi="Palatino Linotype" w:cs="Palatino Linotype"/>
          <w:b/>
          <w:sz w:val="22"/>
          <w:szCs w:val="22"/>
        </w:rPr>
        <w:t xml:space="preserve"> Ordena </w:t>
      </w:r>
      <w:r w:rsidRPr="00E5770A">
        <w:rPr>
          <w:rFonts w:ascii="Palatino Linotype" w:eastAsia="Palatino Linotype" w:hAnsi="Palatino Linotype" w:cs="Palatino Linotype"/>
          <w:sz w:val="22"/>
          <w:szCs w:val="22"/>
        </w:rPr>
        <w:t xml:space="preserve">al </w:t>
      </w:r>
      <w:r w:rsidRPr="00E5770A">
        <w:rPr>
          <w:rFonts w:ascii="Palatino Linotype" w:eastAsia="Palatino Linotype" w:hAnsi="Palatino Linotype" w:cs="Palatino Linotype"/>
          <w:b/>
          <w:sz w:val="22"/>
          <w:szCs w:val="22"/>
        </w:rPr>
        <w:t xml:space="preserve">Sujeto Obligado </w:t>
      </w:r>
      <w:r w:rsidRPr="00E5770A">
        <w:rPr>
          <w:rFonts w:ascii="Palatino Linotype" w:eastAsia="Palatino Linotype" w:hAnsi="Palatino Linotype" w:cs="Palatino Linotype"/>
          <w:sz w:val="22"/>
          <w:szCs w:val="22"/>
        </w:rPr>
        <w:t xml:space="preserve">dé trámite, vía </w:t>
      </w:r>
      <w:r w:rsidRPr="00E5770A">
        <w:rPr>
          <w:rFonts w:ascii="Palatino Linotype" w:eastAsia="Palatino Linotype" w:hAnsi="Palatino Linotype" w:cs="Palatino Linotype"/>
          <w:b/>
          <w:sz w:val="22"/>
          <w:szCs w:val="22"/>
        </w:rPr>
        <w:t xml:space="preserve">Sistema de Acceso a la Información Mexiquense </w:t>
      </w:r>
      <w:r w:rsidRPr="00E5770A">
        <w:rPr>
          <w:rFonts w:ascii="Palatino Linotype" w:eastAsia="Palatino Linotype" w:hAnsi="Palatino Linotype" w:cs="Palatino Linotype"/>
          <w:sz w:val="22"/>
          <w:szCs w:val="22"/>
        </w:rPr>
        <w:t xml:space="preserve">a la solicitud de acceso a la información pública </w:t>
      </w:r>
      <w:r w:rsidR="00D144C8" w:rsidRPr="00E5770A">
        <w:rPr>
          <w:rFonts w:ascii="Palatino Linotype" w:eastAsia="Palatino Linotype" w:hAnsi="Palatino Linotype" w:cs="Palatino Linotype"/>
          <w:b/>
          <w:sz w:val="22"/>
          <w:szCs w:val="22"/>
        </w:rPr>
        <w:t xml:space="preserve"> </w:t>
      </w:r>
      <w:r w:rsidR="005D3CA2" w:rsidRPr="00E5770A">
        <w:rPr>
          <w:rFonts w:ascii="Palatino Linotype" w:eastAsia="Palatino Linotype" w:hAnsi="Palatino Linotype" w:cs="Palatino Linotype"/>
          <w:b/>
          <w:sz w:val="22"/>
          <w:szCs w:val="22"/>
        </w:rPr>
        <w:t xml:space="preserve"> </w:t>
      </w:r>
      <w:r w:rsidR="007B131C" w:rsidRPr="00E5770A">
        <w:rPr>
          <w:rFonts w:ascii="Palatino Linotype" w:eastAsia="Palatino Linotype" w:hAnsi="Palatino Linotype" w:cs="Palatino Linotype"/>
          <w:b/>
          <w:sz w:val="22"/>
          <w:szCs w:val="22"/>
        </w:rPr>
        <w:t xml:space="preserve">00136/COCOTIT/IP/2026 </w:t>
      </w:r>
      <w:r w:rsidRPr="00E5770A">
        <w:rPr>
          <w:rFonts w:ascii="Palatino Linotype" w:eastAsia="Palatino Linotype" w:hAnsi="Palatino Linotype" w:cs="Palatino Linotype"/>
          <w:sz w:val="22"/>
          <w:szCs w:val="22"/>
        </w:rPr>
        <w:t xml:space="preserve">que dio origen al recurso de revisión </w:t>
      </w:r>
      <w:r w:rsidR="00AE446C" w:rsidRPr="00E5770A">
        <w:rPr>
          <w:rFonts w:ascii="Palatino Linotype" w:eastAsia="Palatino Linotype" w:hAnsi="Palatino Linotype" w:cs="Palatino Linotype"/>
          <w:b/>
          <w:sz w:val="22"/>
          <w:szCs w:val="22"/>
        </w:rPr>
        <w:t>0</w:t>
      </w:r>
      <w:r w:rsidR="007B131C" w:rsidRPr="00E5770A">
        <w:rPr>
          <w:rFonts w:ascii="Palatino Linotype" w:eastAsia="Palatino Linotype" w:hAnsi="Palatino Linotype" w:cs="Palatino Linotype"/>
          <w:b/>
          <w:sz w:val="22"/>
          <w:szCs w:val="22"/>
        </w:rPr>
        <w:t>8147</w:t>
      </w:r>
      <w:r w:rsidR="000F4794" w:rsidRPr="00E5770A">
        <w:rPr>
          <w:rFonts w:ascii="Palatino Linotype" w:eastAsia="Palatino Linotype" w:hAnsi="Palatino Linotype" w:cs="Palatino Linotype"/>
          <w:b/>
          <w:sz w:val="22"/>
          <w:szCs w:val="22"/>
        </w:rPr>
        <w:t xml:space="preserve">/INFOEM/IP/RR/2026 </w:t>
      </w:r>
      <w:r w:rsidRPr="00E5770A">
        <w:rPr>
          <w:rFonts w:ascii="Palatino Linotype" w:eastAsia="Palatino Linotype" w:hAnsi="Palatino Linotype" w:cs="Palatino Linotype"/>
          <w:sz w:val="22"/>
          <w:szCs w:val="22"/>
        </w:rPr>
        <w:t xml:space="preserve">en términos del </w:t>
      </w:r>
      <w:r w:rsidRPr="00E5770A">
        <w:rPr>
          <w:rFonts w:ascii="Palatino Linotype" w:eastAsia="Palatino Linotype" w:hAnsi="Palatino Linotype" w:cs="Palatino Linotype"/>
          <w:b/>
          <w:sz w:val="22"/>
          <w:szCs w:val="22"/>
        </w:rPr>
        <w:t>Considerando Cuarto</w:t>
      </w:r>
      <w:r w:rsidRPr="00E5770A">
        <w:rPr>
          <w:rFonts w:ascii="Palatino Linotype" w:eastAsia="Palatino Linotype" w:hAnsi="Palatino Linotype" w:cs="Palatino Linotype"/>
          <w:sz w:val="22"/>
          <w:szCs w:val="22"/>
        </w:rPr>
        <w:t xml:space="preserve"> de esta resolución y emita respuesta, debiendo observar las excepciones contenidas en la Ley de Transparencia y Acceso a la Información Pública del Estado de México y Municipios.</w:t>
      </w:r>
    </w:p>
    <w:p w14:paraId="60C72B41"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E5770A"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E5770A">
        <w:rPr>
          <w:rFonts w:ascii="Palatino Linotype" w:eastAsia="Palatino Linotype" w:hAnsi="Palatino Linotype" w:cs="Palatino Linotype"/>
          <w:b/>
          <w:sz w:val="22"/>
          <w:szCs w:val="22"/>
        </w:rPr>
        <w:t>Tercero.</w:t>
      </w:r>
      <w:r w:rsidRPr="00E5770A">
        <w:rPr>
          <w:rFonts w:ascii="Palatino Linotype" w:eastAsia="Palatino Linotype" w:hAnsi="Palatino Linotype" w:cs="Palatino Linotype"/>
          <w:sz w:val="22"/>
          <w:szCs w:val="22"/>
        </w:rPr>
        <w:t xml:space="preserve"> </w:t>
      </w:r>
      <w:r w:rsidRPr="00E5770A">
        <w:rPr>
          <w:rFonts w:ascii="Palatino Linotype" w:eastAsia="Palatino Linotype" w:hAnsi="Palatino Linotype" w:cs="Palatino Linotype"/>
          <w:b/>
          <w:sz w:val="22"/>
          <w:szCs w:val="22"/>
        </w:rPr>
        <w:t xml:space="preserve">Notifíquese vía Sistema de Acceso a la Información Mexiquense </w:t>
      </w:r>
      <w:r w:rsidRPr="00E5770A">
        <w:rPr>
          <w:rFonts w:ascii="Palatino Linotype" w:eastAsia="Palatino Linotype" w:hAnsi="Palatino Linotype" w:cs="Palatino Linotype"/>
          <w:sz w:val="22"/>
          <w:szCs w:val="22"/>
        </w:rPr>
        <w:t>la presente resolución al T</w:t>
      </w:r>
      <w:r w:rsidRPr="00E5770A">
        <w:rPr>
          <w:rFonts w:ascii="Palatino Linotype" w:eastAsia="Palatino Linotype" w:hAnsi="Palatino Linotype" w:cs="Palatino Linotype"/>
          <w:b/>
          <w:sz w:val="22"/>
          <w:szCs w:val="22"/>
        </w:rPr>
        <w:t xml:space="preserve">itular de la Unidad de Transparencia </w:t>
      </w:r>
      <w:r w:rsidRPr="00E5770A">
        <w:rPr>
          <w:rFonts w:ascii="Palatino Linotype" w:eastAsia="Palatino Linotype" w:hAnsi="Palatino Linotype" w:cs="Palatino Linotype"/>
          <w:sz w:val="22"/>
          <w:szCs w:val="22"/>
        </w:rPr>
        <w:t xml:space="preserve">del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para que conforme al artículo 186 último párrafo, 189 segundo párrafo y 194 de la Ley de Transparencia y Acceso a la Información Pública del Estado de </w:t>
      </w:r>
      <w:r w:rsidRPr="00E5770A">
        <w:rPr>
          <w:rFonts w:ascii="Palatino Linotype" w:eastAsia="Palatino Linotype" w:hAnsi="Palatino Linotype" w:cs="Palatino Linotype"/>
          <w:sz w:val="22"/>
          <w:szCs w:val="22"/>
        </w:rPr>
        <w:lastRenderedPageBreak/>
        <w:t>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E5770A"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Cuarto. Notifíquese</w:t>
      </w:r>
      <w:r w:rsidRPr="00E5770A">
        <w:rPr>
          <w:rFonts w:ascii="Palatino Linotype" w:eastAsia="Palatino Linotype" w:hAnsi="Palatino Linotype" w:cs="Palatino Linotype"/>
          <w:sz w:val="22"/>
          <w:szCs w:val="22"/>
        </w:rPr>
        <w:t>,</w:t>
      </w:r>
      <w:r w:rsidRPr="00E5770A">
        <w:rPr>
          <w:rFonts w:ascii="Palatino Linotype" w:eastAsia="Palatino Linotype" w:hAnsi="Palatino Linotype" w:cs="Palatino Linotype"/>
          <w:b/>
          <w:sz w:val="22"/>
          <w:szCs w:val="22"/>
        </w:rPr>
        <w:t xml:space="preserve"> </w:t>
      </w:r>
      <w:r w:rsidRPr="00E5770A">
        <w:rPr>
          <w:rFonts w:ascii="Palatino Linotype" w:eastAsia="Palatino Linotype" w:hAnsi="Palatino Linotype" w:cs="Palatino Linotype"/>
          <w:sz w:val="22"/>
          <w:szCs w:val="22"/>
        </w:rPr>
        <w:t xml:space="preserve">vía </w:t>
      </w:r>
      <w:r w:rsidRPr="00E5770A">
        <w:rPr>
          <w:rFonts w:ascii="Palatino Linotype" w:eastAsia="Palatino Linotype" w:hAnsi="Palatino Linotype" w:cs="Palatino Linotype"/>
          <w:b/>
          <w:sz w:val="22"/>
          <w:szCs w:val="22"/>
        </w:rPr>
        <w:t>Sistema de Acceso a la Información Mexiquense</w:t>
      </w:r>
      <w:r w:rsidRPr="00E5770A">
        <w:rPr>
          <w:rFonts w:ascii="Palatino Linotype" w:eastAsia="Palatino Linotype" w:hAnsi="Palatino Linotype" w:cs="Palatino Linotype"/>
          <w:sz w:val="22"/>
          <w:szCs w:val="22"/>
        </w:rPr>
        <w:t xml:space="preserve">, a la parte </w:t>
      </w:r>
      <w:r w:rsidRPr="00E5770A">
        <w:rPr>
          <w:rFonts w:ascii="Palatino Linotype" w:eastAsia="Palatino Linotype" w:hAnsi="Palatino Linotype" w:cs="Palatino Linotype"/>
          <w:b/>
          <w:sz w:val="22"/>
          <w:szCs w:val="22"/>
        </w:rPr>
        <w:t xml:space="preserve">Recurrente </w:t>
      </w:r>
      <w:r w:rsidRPr="00E5770A">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E5770A"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E5770A" w:rsidRDefault="00A76F12">
      <w:pPr>
        <w:spacing w:line="360" w:lineRule="auto"/>
        <w:jc w:val="both"/>
        <w:rPr>
          <w:rFonts w:ascii="Palatino Linotype" w:eastAsia="Palatino Linotype" w:hAnsi="Palatino Linotype" w:cs="Palatino Linotype"/>
          <w:sz w:val="22"/>
          <w:szCs w:val="22"/>
        </w:rPr>
      </w:pPr>
      <w:r w:rsidRPr="00E5770A">
        <w:rPr>
          <w:rFonts w:ascii="Palatino Linotype" w:eastAsia="Palatino Linotype" w:hAnsi="Palatino Linotype" w:cs="Palatino Linotype"/>
          <w:b/>
          <w:sz w:val="22"/>
          <w:szCs w:val="22"/>
        </w:rPr>
        <w:t xml:space="preserve">Quinto. Notifíquese </w:t>
      </w:r>
      <w:r w:rsidRPr="00E5770A">
        <w:rPr>
          <w:rFonts w:ascii="Palatino Linotype" w:eastAsia="Palatino Linotype" w:hAnsi="Palatino Linotype" w:cs="Palatino Linotype"/>
          <w:sz w:val="22"/>
          <w:szCs w:val="22"/>
        </w:rPr>
        <w:t xml:space="preserve">a la parte </w:t>
      </w:r>
      <w:r w:rsidRPr="00E5770A">
        <w:rPr>
          <w:rFonts w:ascii="Palatino Linotype" w:eastAsia="Palatino Linotype" w:hAnsi="Palatino Linotype" w:cs="Palatino Linotype"/>
          <w:b/>
          <w:sz w:val="22"/>
          <w:szCs w:val="22"/>
        </w:rPr>
        <w:t xml:space="preserve">Recurrente </w:t>
      </w:r>
      <w:r w:rsidRPr="00E5770A">
        <w:rPr>
          <w:rFonts w:ascii="Palatino Linotype" w:eastAsia="Palatino Linotype" w:hAnsi="Palatino Linotype" w:cs="Palatino Linotype"/>
          <w:sz w:val="22"/>
          <w:szCs w:val="22"/>
        </w:rPr>
        <w:t xml:space="preserve">que la respuesta que dé el </w:t>
      </w:r>
      <w:r w:rsidRPr="00E5770A">
        <w:rPr>
          <w:rFonts w:ascii="Palatino Linotype" w:eastAsia="Palatino Linotype" w:hAnsi="Palatino Linotype" w:cs="Palatino Linotype"/>
          <w:b/>
          <w:sz w:val="22"/>
          <w:szCs w:val="22"/>
        </w:rPr>
        <w:t>Sujeto Obligado</w:t>
      </w:r>
      <w:r w:rsidRPr="00E5770A">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E5770A"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E5770A" w:rsidRDefault="00A76F12">
      <w:pPr>
        <w:spacing w:line="360" w:lineRule="auto"/>
        <w:jc w:val="both"/>
        <w:rPr>
          <w:rFonts w:ascii="Palatino Linotype" w:eastAsia="Palatino Linotype" w:hAnsi="Palatino Linotype" w:cs="Palatino Linotype"/>
          <w:b/>
          <w:sz w:val="22"/>
          <w:szCs w:val="22"/>
        </w:rPr>
      </w:pPr>
      <w:r w:rsidRPr="00E5770A">
        <w:rPr>
          <w:rFonts w:ascii="Palatino Linotype" w:eastAsia="Palatino Linotype" w:hAnsi="Palatino Linotype" w:cs="Palatino Linotype"/>
          <w:b/>
          <w:sz w:val="22"/>
          <w:szCs w:val="22"/>
        </w:rPr>
        <w:t xml:space="preserve">Sexto. Gírese </w:t>
      </w:r>
      <w:r w:rsidRPr="00E5770A">
        <w:rPr>
          <w:rFonts w:ascii="Palatino Linotype" w:eastAsia="Palatino Linotype" w:hAnsi="Palatino Linotype" w:cs="Palatino Linotype"/>
          <w:sz w:val="22"/>
          <w:szCs w:val="22"/>
        </w:rPr>
        <w:t xml:space="preserve">oficio a la </w:t>
      </w:r>
      <w:r w:rsidRPr="00E5770A">
        <w:rPr>
          <w:rFonts w:ascii="Palatino Linotype" w:eastAsia="Palatino Linotype" w:hAnsi="Palatino Linotype" w:cs="Palatino Linotype"/>
          <w:b/>
          <w:sz w:val="22"/>
          <w:szCs w:val="22"/>
        </w:rPr>
        <w:t>Secretaría Técnica del Pleno</w:t>
      </w:r>
      <w:r w:rsidRPr="00E5770A">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E5770A">
        <w:rPr>
          <w:rFonts w:ascii="Palatino Linotype" w:eastAsia="Palatino Linotype" w:hAnsi="Palatino Linotype" w:cs="Palatino Linotype"/>
          <w:b/>
          <w:sz w:val="22"/>
          <w:szCs w:val="22"/>
        </w:rPr>
        <w:t xml:space="preserve"> </w:t>
      </w:r>
      <w:r w:rsidRPr="00E5770A">
        <w:rPr>
          <w:rFonts w:ascii="Palatino Linotype" w:eastAsia="Palatino Linotype" w:hAnsi="Palatino Linotype" w:cs="Palatino Linotype"/>
          <w:sz w:val="22"/>
          <w:szCs w:val="22"/>
        </w:rPr>
        <w:t>de la presente resolución.</w:t>
      </w:r>
      <w:r w:rsidRPr="00E5770A">
        <w:rPr>
          <w:rFonts w:ascii="Palatino Linotype" w:eastAsia="Palatino Linotype" w:hAnsi="Palatino Linotype" w:cs="Palatino Linotype"/>
          <w:b/>
          <w:sz w:val="22"/>
          <w:szCs w:val="22"/>
        </w:rPr>
        <w:t xml:space="preserve"> </w:t>
      </w:r>
    </w:p>
    <w:p w14:paraId="7F049394" w14:textId="77777777" w:rsidR="00532AE4" w:rsidRPr="00E5770A"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942893" w:rsidRDefault="00A76F12">
      <w:pPr>
        <w:spacing w:line="360" w:lineRule="auto"/>
        <w:ind w:right="49"/>
        <w:jc w:val="both"/>
        <w:rPr>
          <w:rFonts w:ascii="Palatino Linotype" w:eastAsia="Palatino Linotype" w:hAnsi="Palatino Linotype" w:cs="Palatino Linotype"/>
          <w:sz w:val="22"/>
          <w:szCs w:val="22"/>
        </w:rPr>
        <w:sectPr w:rsidR="00532AE4" w:rsidRPr="00942893" w:rsidSect="00942893">
          <w:headerReference w:type="default" r:id="rId9"/>
          <w:footerReference w:type="default" r:id="rId10"/>
          <w:headerReference w:type="first" r:id="rId11"/>
          <w:footerReference w:type="first" r:id="rId12"/>
          <w:pgSz w:w="12240" w:h="15840"/>
          <w:pgMar w:top="1985" w:right="2317" w:bottom="1701" w:left="1701" w:header="709" w:footer="709" w:gutter="0"/>
          <w:pgNumType w:start="1"/>
          <w:cols w:space="720"/>
          <w:titlePg/>
        </w:sectPr>
      </w:pPr>
      <w:bookmarkStart w:id="5" w:name="_heading=h.1fob9te" w:colFirst="0" w:colLast="0"/>
      <w:bookmarkEnd w:id="5"/>
      <w:r w:rsidRPr="00E5770A">
        <w:rPr>
          <w:rFonts w:ascii="Palatino Linotype" w:eastAsia="Palatino Linotype" w:hAnsi="Palatino Linotype" w:cs="Palatino Linotype"/>
          <w:sz w:val="22"/>
          <w:szCs w:val="22"/>
        </w:rPr>
        <w:lastRenderedPageBreak/>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E5770A">
        <w:rPr>
          <w:rFonts w:ascii="Palatino Linotype" w:eastAsia="Palatino Linotype" w:hAnsi="Palatino Linotype" w:cs="Palatino Linotype"/>
          <w:sz w:val="22"/>
          <w:szCs w:val="22"/>
        </w:rPr>
        <w:t xml:space="preserve">MEJÍA AYALA </w:t>
      </w:r>
      <w:r w:rsidRPr="00E5770A">
        <w:rPr>
          <w:rFonts w:ascii="Palatino Linotype" w:eastAsia="Palatino Linotype" w:hAnsi="Palatino Linotype" w:cs="Palatino Linotype"/>
          <w:sz w:val="22"/>
          <w:szCs w:val="22"/>
        </w:rPr>
        <w:t xml:space="preserve">Y GUADALUPE RAMÍREZ PEÑA; EN LA </w:t>
      </w:r>
      <w:r w:rsidR="00135C3B" w:rsidRPr="00E5770A">
        <w:rPr>
          <w:rFonts w:ascii="Palatino Linotype" w:eastAsia="Palatino Linotype" w:hAnsi="Palatino Linotype" w:cs="Palatino Linotype"/>
          <w:sz w:val="22"/>
          <w:szCs w:val="22"/>
        </w:rPr>
        <w:t>TR</w:t>
      </w:r>
      <w:r w:rsidR="00C36278" w:rsidRPr="00E5770A">
        <w:rPr>
          <w:rFonts w:ascii="Palatino Linotype" w:eastAsia="Palatino Linotype" w:hAnsi="Palatino Linotype" w:cs="Palatino Linotype"/>
          <w:sz w:val="22"/>
          <w:szCs w:val="22"/>
        </w:rPr>
        <w:t xml:space="preserve">IGÉSIMA </w:t>
      </w:r>
      <w:r w:rsidR="00AE3DD5" w:rsidRPr="00E5770A">
        <w:rPr>
          <w:rFonts w:ascii="Palatino Linotype" w:eastAsia="Palatino Linotype" w:hAnsi="Palatino Linotype" w:cs="Palatino Linotype"/>
          <w:sz w:val="22"/>
          <w:szCs w:val="22"/>
        </w:rPr>
        <w:t>TERC</w:t>
      </w:r>
      <w:r w:rsidR="003D2CDB" w:rsidRPr="00E5770A">
        <w:rPr>
          <w:rFonts w:ascii="Palatino Linotype" w:eastAsia="Palatino Linotype" w:hAnsi="Palatino Linotype" w:cs="Palatino Linotype"/>
          <w:sz w:val="22"/>
          <w:szCs w:val="22"/>
        </w:rPr>
        <w:t xml:space="preserve">ERA </w:t>
      </w:r>
      <w:r w:rsidRPr="00E5770A">
        <w:rPr>
          <w:rFonts w:ascii="Palatino Linotype" w:eastAsia="Palatino Linotype" w:hAnsi="Palatino Linotype" w:cs="Palatino Linotype"/>
          <w:sz w:val="22"/>
          <w:szCs w:val="22"/>
        </w:rPr>
        <w:t xml:space="preserve">SESIÓN ORDINARIA CELEBRADA EL </w:t>
      </w:r>
      <w:r w:rsidR="00AE3DD5" w:rsidRPr="00E5770A">
        <w:rPr>
          <w:rFonts w:ascii="Palatino Linotype" w:eastAsia="Palatino Linotype" w:hAnsi="Palatino Linotype" w:cs="Palatino Linotype"/>
          <w:sz w:val="22"/>
          <w:szCs w:val="22"/>
        </w:rPr>
        <w:t>DIECISIETE</w:t>
      </w:r>
      <w:r w:rsidR="003D2CDB" w:rsidRPr="00E5770A">
        <w:rPr>
          <w:rFonts w:ascii="Palatino Linotype" w:eastAsia="Palatino Linotype" w:hAnsi="Palatino Linotype" w:cs="Palatino Linotype"/>
          <w:sz w:val="22"/>
          <w:szCs w:val="22"/>
        </w:rPr>
        <w:t xml:space="preserve"> DE SEPTIEMBRE</w:t>
      </w:r>
      <w:r w:rsidR="00DF5516" w:rsidRPr="00E5770A">
        <w:rPr>
          <w:rFonts w:ascii="Palatino Linotype" w:eastAsia="Palatino Linotype" w:hAnsi="Palatino Linotype" w:cs="Palatino Linotype"/>
          <w:sz w:val="22"/>
          <w:szCs w:val="22"/>
        </w:rPr>
        <w:t xml:space="preserve"> DE DOS MIL VEINTISÉIS</w:t>
      </w:r>
      <w:r w:rsidRPr="00E5770A">
        <w:rPr>
          <w:rFonts w:ascii="Palatino Linotype" w:eastAsia="Palatino Linotype" w:hAnsi="Palatino Linotype" w:cs="Palatino Linotype"/>
          <w:sz w:val="22"/>
          <w:szCs w:val="22"/>
        </w:rPr>
        <w:t>, ANTE EL SECRETARIO TÉCNICO DEL PLENO ALEXIS TAPIA RAMÍREZ.</w:t>
      </w:r>
      <w:r w:rsidRPr="00942893">
        <w:rPr>
          <w:rFonts w:ascii="Palatino Linotype" w:eastAsia="Palatino Linotype" w:hAnsi="Palatino Linotype" w:cs="Palatino Linotype"/>
          <w:sz w:val="22"/>
          <w:szCs w:val="22"/>
        </w:rPr>
        <w:t xml:space="preserve"> </w:t>
      </w:r>
    </w:p>
    <w:p w14:paraId="74E02134" w14:textId="77777777" w:rsidR="00532AE4" w:rsidRPr="00942893"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942893" w:rsidRDefault="00532AE4">
      <w:pPr>
        <w:rPr>
          <w:sz w:val="22"/>
          <w:szCs w:val="22"/>
        </w:rPr>
      </w:pPr>
    </w:p>
    <w:sectPr w:rsidR="00532AE4" w:rsidRPr="00942893">
      <w:headerReference w:type="first" r:id="rId13"/>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01A5C" w14:textId="77777777" w:rsidR="00A3616D" w:rsidRDefault="00A3616D">
      <w:r>
        <w:separator/>
      </w:r>
    </w:p>
  </w:endnote>
  <w:endnote w:type="continuationSeparator" w:id="0">
    <w:p w14:paraId="12D7D0FD" w14:textId="77777777" w:rsidR="00A3616D" w:rsidRDefault="00A36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15052D28"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E5770A">
      <w:rPr>
        <w:rFonts w:ascii="Arial" w:eastAsia="Arial" w:hAnsi="Arial" w:cs="Arial"/>
        <w:b/>
        <w:noProof/>
        <w:color w:val="000000"/>
        <w:sz w:val="20"/>
        <w:szCs w:val="20"/>
      </w:rPr>
      <w:t>27</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E5770A">
      <w:rPr>
        <w:rFonts w:ascii="Arial" w:eastAsia="Arial" w:hAnsi="Arial" w:cs="Arial"/>
        <w:b/>
        <w:noProof/>
        <w:color w:val="000000"/>
        <w:sz w:val="20"/>
        <w:szCs w:val="20"/>
      </w:rPr>
      <w:t>30</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7879D8F3"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E5770A">
      <w:rPr>
        <w:rFonts w:ascii="Arial" w:eastAsia="Arial" w:hAnsi="Arial" w:cs="Arial"/>
        <w:b/>
        <w:noProof/>
        <w:color w:val="000000"/>
        <w:sz w:val="20"/>
        <w:szCs w:val="20"/>
      </w:rPr>
      <w:t>30</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E5770A">
      <w:rPr>
        <w:rFonts w:ascii="Arial" w:eastAsia="Arial" w:hAnsi="Arial" w:cs="Arial"/>
        <w:b/>
        <w:noProof/>
        <w:color w:val="000000"/>
        <w:sz w:val="20"/>
        <w:szCs w:val="20"/>
      </w:rPr>
      <w:t>30</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0507F" w14:textId="77777777" w:rsidR="00A3616D" w:rsidRDefault="00A3616D">
      <w:r>
        <w:separator/>
      </w:r>
    </w:p>
  </w:footnote>
  <w:footnote w:type="continuationSeparator" w:id="0">
    <w:p w14:paraId="539D3A26" w14:textId="77777777" w:rsidR="00A3616D" w:rsidRDefault="00A3616D">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7F675C4A"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5007D2">
            <w:rPr>
              <w:rFonts w:ascii="Palatino Linotype" w:eastAsia="Palatino Linotype" w:hAnsi="Palatino Linotype" w:cs="Palatino Linotype"/>
              <w:b/>
              <w:sz w:val="21"/>
              <w:szCs w:val="21"/>
            </w:rPr>
            <w:t>8147</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080955E9" w:rsidR="00532AE4" w:rsidRDefault="008E5D58" w:rsidP="00D579BF">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de </w:t>
          </w:r>
          <w:r w:rsidR="00D579BF">
            <w:rPr>
              <w:rFonts w:ascii="Palatino Linotype" w:eastAsia="Palatino Linotype" w:hAnsi="Palatino Linotype" w:cs="Palatino Linotype"/>
              <w:b/>
              <w:sz w:val="21"/>
              <w:szCs w:val="21"/>
            </w:rPr>
            <w:t>Cocotitlán</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12E9FD1A">
          <wp:simplePos x="0" y="0"/>
          <wp:positionH relativeFrom="column">
            <wp:posOffset>-655955</wp:posOffset>
          </wp:positionH>
          <wp:positionV relativeFrom="paragraph">
            <wp:posOffset>-341630</wp:posOffset>
          </wp:positionV>
          <wp:extent cx="7635875" cy="9943465"/>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5B44C378" w:rsidR="00532AE4" w:rsidRDefault="008C1E2D"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5007D2">
            <w:rPr>
              <w:rFonts w:ascii="Palatino Linotype" w:eastAsia="Palatino Linotype" w:hAnsi="Palatino Linotype" w:cs="Palatino Linotype"/>
              <w:b/>
              <w:sz w:val="21"/>
              <w:szCs w:val="21"/>
            </w:rPr>
            <w:t>8147</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2C0A7E93" w:rsidR="00532AE4" w:rsidRDefault="0070585C">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XXXXXX </w:t>
          </w:r>
          <w:proofErr w:type="spellStart"/>
          <w:r>
            <w:rPr>
              <w:rFonts w:ascii="Palatino Linotype" w:eastAsia="Palatino Linotype" w:hAnsi="Palatino Linotype" w:cs="Palatino Linotype"/>
              <w:b/>
              <w:sz w:val="21"/>
              <w:szCs w:val="21"/>
            </w:rPr>
            <w:t>XXXXXX</w:t>
          </w:r>
          <w:proofErr w:type="spellEnd"/>
          <w:r>
            <w:rPr>
              <w:rFonts w:ascii="Palatino Linotype" w:eastAsia="Palatino Linotype" w:hAnsi="Palatino Linotype" w:cs="Palatino Linotype"/>
              <w:b/>
              <w:sz w:val="21"/>
              <w:szCs w:val="21"/>
            </w:rPr>
            <w:t xml:space="preserve"> XXXX</w:t>
          </w:r>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0894FE80" w:rsidR="00532AE4" w:rsidRDefault="00150206" w:rsidP="00D579BF">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w:t>
          </w:r>
          <w:r w:rsidR="00D579BF">
            <w:rPr>
              <w:rFonts w:ascii="Palatino Linotype" w:eastAsia="Palatino Linotype" w:hAnsi="Palatino Linotype" w:cs="Palatino Linotype"/>
              <w:b/>
              <w:sz w:val="21"/>
              <w:szCs w:val="21"/>
            </w:rPr>
            <w:t>Cocotitlán</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5621624">
    <w:abstractNumId w:val="2"/>
  </w:num>
  <w:num w:numId="2" w16cid:durableId="946816839">
    <w:abstractNumId w:val="4"/>
  </w:num>
  <w:num w:numId="3" w16cid:durableId="445009217">
    <w:abstractNumId w:val="0"/>
  </w:num>
  <w:num w:numId="4" w16cid:durableId="1307005491">
    <w:abstractNumId w:val="1"/>
  </w:num>
  <w:num w:numId="5" w16cid:durableId="611204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749"/>
    <w:rsid w:val="000458EA"/>
    <w:rsid w:val="00064A6B"/>
    <w:rsid w:val="000672C5"/>
    <w:rsid w:val="0006735D"/>
    <w:rsid w:val="00072798"/>
    <w:rsid w:val="00073044"/>
    <w:rsid w:val="00085350"/>
    <w:rsid w:val="00095E46"/>
    <w:rsid w:val="0009768A"/>
    <w:rsid w:val="00097E14"/>
    <w:rsid w:val="000A27C2"/>
    <w:rsid w:val="000A27E2"/>
    <w:rsid w:val="000A4280"/>
    <w:rsid w:val="000B1EB0"/>
    <w:rsid w:val="000B2D33"/>
    <w:rsid w:val="000B42A5"/>
    <w:rsid w:val="000B673F"/>
    <w:rsid w:val="000B759A"/>
    <w:rsid w:val="000C05B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965CD"/>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E2D"/>
    <w:rsid w:val="002859C5"/>
    <w:rsid w:val="00285B3E"/>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119C"/>
    <w:rsid w:val="003B606E"/>
    <w:rsid w:val="003C5888"/>
    <w:rsid w:val="003D129B"/>
    <w:rsid w:val="003D2CDB"/>
    <w:rsid w:val="003D45BC"/>
    <w:rsid w:val="003D655D"/>
    <w:rsid w:val="003E2501"/>
    <w:rsid w:val="003F4280"/>
    <w:rsid w:val="00401731"/>
    <w:rsid w:val="0041786A"/>
    <w:rsid w:val="00417D9F"/>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07D2"/>
    <w:rsid w:val="00504180"/>
    <w:rsid w:val="005043C3"/>
    <w:rsid w:val="005231DC"/>
    <w:rsid w:val="00525777"/>
    <w:rsid w:val="00532AE4"/>
    <w:rsid w:val="00541B43"/>
    <w:rsid w:val="00555E04"/>
    <w:rsid w:val="00567D0D"/>
    <w:rsid w:val="00572156"/>
    <w:rsid w:val="00593431"/>
    <w:rsid w:val="005A0442"/>
    <w:rsid w:val="005A647F"/>
    <w:rsid w:val="005A75D6"/>
    <w:rsid w:val="005A79AC"/>
    <w:rsid w:val="005D3CA2"/>
    <w:rsid w:val="005F2D09"/>
    <w:rsid w:val="005F71E2"/>
    <w:rsid w:val="00603092"/>
    <w:rsid w:val="00607257"/>
    <w:rsid w:val="0061438F"/>
    <w:rsid w:val="00620310"/>
    <w:rsid w:val="0062466E"/>
    <w:rsid w:val="00633D0E"/>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3268"/>
    <w:rsid w:val="006C51CD"/>
    <w:rsid w:val="006C56F4"/>
    <w:rsid w:val="006D538C"/>
    <w:rsid w:val="006E680C"/>
    <w:rsid w:val="006F407C"/>
    <w:rsid w:val="006F4F00"/>
    <w:rsid w:val="0070585C"/>
    <w:rsid w:val="00707403"/>
    <w:rsid w:val="0071274F"/>
    <w:rsid w:val="00724155"/>
    <w:rsid w:val="007276F5"/>
    <w:rsid w:val="00740627"/>
    <w:rsid w:val="00744B5C"/>
    <w:rsid w:val="007576B0"/>
    <w:rsid w:val="007623E7"/>
    <w:rsid w:val="007729BB"/>
    <w:rsid w:val="00773F12"/>
    <w:rsid w:val="00773F7E"/>
    <w:rsid w:val="00777216"/>
    <w:rsid w:val="00790A8C"/>
    <w:rsid w:val="007968D0"/>
    <w:rsid w:val="007A09D5"/>
    <w:rsid w:val="007B0474"/>
    <w:rsid w:val="007B131C"/>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2893"/>
    <w:rsid w:val="009438FE"/>
    <w:rsid w:val="00950D94"/>
    <w:rsid w:val="00960206"/>
    <w:rsid w:val="00960D36"/>
    <w:rsid w:val="00960D42"/>
    <w:rsid w:val="009713DE"/>
    <w:rsid w:val="009752BC"/>
    <w:rsid w:val="00982101"/>
    <w:rsid w:val="00992278"/>
    <w:rsid w:val="00994B65"/>
    <w:rsid w:val="009A2144"/>
    <w:rsid w:val="009A5B1A"/>
    <w:rsid w:val="009B4D3E"/>
    <w:rsid w:val="009B6117"/>
    <w:rsid w:val="009C1099"/>
    <w:rsid w:val="009C1EF4"/>
    <w:rsid w:val="009C3B23"/>
    <w:rsid w:val="009C43AD"/>
    <w:rsid w:val="009C5489"/>
    <w:rsid w:val="009D197C"/>
    <w:rsid w:val="009E503C"/>
    <w:rsid w:val="009F331C"/>
    <w:rsid w:val="00A01FAB"/>
    <w:rsid w:val="00A20775"/>
    <w:rsid w:val="00A22C89"/>
    <w:rsid w:val="00A2521A"/>
    <w:rsid w:val="00A2700E"/>
    <w:rsid w:val="00A27295"/>
    <w:rsid w:val="00A34F3E"/>
    <w:rsid w:val="00A3559A"/>
    <w:rsid w:val="00A3616D"/>
    <w:rsid w:val="00A37868"/>
    <w:rsid w:val="00A41B52"/>
    <w:rsid w:val="00A475F9"/>
    <w:rsid w:val="00A7256A"/>
    <w:rsid w:val="00A746C2"/>
    <w:rsid w:val="00A76F12"/>
    <w:rsid w:val="00A832FD"/>
    <w:rsid w:val="00A8506B"/>
    <w:rsid w:val="00AB3D3A"/>
    <w:rsid w:val="00AB573B"/>
    <w:rsid w:val="00AB6A2A"/>
    <w:rsid w:val="00AB76D8"/>
    <w:rsid w:val="00AB7CBD"/>
    <w:rsid w:val="00AC6B80"/>
    <w:rsid w:val="00AD14F5"/>
    <w:rsid w:val="00AD43F4"/>
    <w:rsid w:val="00AD6661"/>
    <w:rsid w:val="00AE0B9D"/>
    <w:rsid w:val="00AE3DD5"/>
    <w:rsid w:val="00AE446C"/>
    <w:rsid w:val="00AF1AFF"/>
    <w:rsid w:val="00B04425"/>
    <w:rsid w:val="00B05163"/>
    <w:rsid w:val="00B10389"/>
    <w:rsid w:val="00B11D34"/>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6CCE"/>
    <w:rsid w:val="00B81E44"/>
    <w:rsid w:val="00B82C51"/>
    <w:rsid w:val="00B85D04"/>
    <w:rsid w:val="00B86A3D"/>
    <w:rsid w:val="00BB1677"/>
    <w:rsid w:val="00BB1882"/>
    <w:rsid w:val="00BC6C53"/>
    <w:rsid w:val="00BD2189"/>
    <w:rsid w:val="00BD3609"/>
    <w:rsid w:val="00BE3596"/>
    <w:rsid w:val="00BE3FD2"/>
    <w:rsid w:val="00C112BE"/>
    <w:rsid w:val="00C1235A"/>
    <w:rsid w:val="00C13FF2"/>
    <w:rsid w:val="00C24C97"/>
    <w:rsid w:val="00C304A2"/>
    <w:rsid w:val="00C36278"/>
    <w:rsid w:val="00C43FBC"/>
    <w:rsid w:val="00C51B8C"/>
    <w:rsid w:val="00C52987"/>
    <w:rsid w:val="00C5586C"/>
    <w:rsid w:val="00C65BE4"/>
    <w:rsid w:val="00C6612D"/>
    <w:rsid w:val="00C70F4E"/>
    <w:rsid w:val="00C758DF"/>
    <w:rsid w:val="00C912B9"/>
    <w:rsid w:val="00C930A5"/>
    <w:rsid w:val="00CA5B0F"/>
    <w:rsid w:val="00CB4082"/>
    <w:rsid w:val="00CC1138"/>
    <w:rsid w:val="00CC17B2"/>
    <w:rsid w:val="00CC1FF9"/>
    <w:rsid w:val="00CC3836"/>
    <w:rsid w:val="00CC514D"/>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579BF"/>
    <w:rsid w:val="00D60B66"/>
    <w:rsid w:val="00D60C04"/>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584E"/>
    <w:rsid w:val="00E07F23"/>
    <w:rsid w:val="00E113C2"/>
    <w:rsid w:val="00E13EBA"/>
    <w:rsid w:val="00E14DA7"/>
    <w:rsid w:val="00E23DB9"/>
    <w:rsid w:val="00E26C0A"/>
    <w:rsid w:val="00E27793"/>
    <w:rsid w:val="00E32375"/>
    <w:rsid w:val="00E34516"/>
    <w:rsid w:val="00E40BD5"/>
    <w:rsid w:val="00E550F0"/>
    <w:rsid w:val="00E55CFA"/>
    <w:rsid w:val="00E5770A"/>
    <w:rsid w:val="00E62F83"/>
    <w:rsid w:val="00E72C9D"/>
    <w:rsid w:val="00E733A4"/>
    <w:rsid w:val="00E808B6"/>
    <w:rsid w:val="00E90B5E"/>
    <w:rsid w:val="00E94299"/>
    <w:rsid w:val="00EA2965"/>
    <w:rsid w:val="00EB171E"/>
    <w:rsid w:val="00EB74FD"/>
    <w:rsid w:val="00EC52BA"/>
    <w:rsid w:val="00EC6905"/>
    <w:rsid w:val="00EE3D20"/>
    <w:rsid w:val="00EE5E30"/>
    <w:rsid w:val="00EF743D"/>
    <w:rsid w:val="00F24317"/>
    <w:rsid w:val="00F245A6"/>
    <w:rsid w:val="00F30DB1"/>
    <w:rsid w:val="00F419F7"/>
    <w:rsid w:val="00F45234"/>
    <w:rsid w:val="00F55D42"/>
    <w:rsid w:val="00F652AE"/>
    <w:rsid w:val="00F96D1F"/>
    <w:rsid w:val="00F97DBF"/>
    <w:rsid w:val="00FA1A00"/>
    <w:rsid w:val="00FA7D90"/>
    <w:rsid w:val="00FC71F8"/>
    <w:rsid w:val="00FC791B"/>
    <w:rsid w:val="00FD5905"/>
    <w:rsid w:val="00FD5E67"/>
    <w:rsid w:val="00FE06A9"/>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779447539">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2CA5D217-510B-4E11-80E2-1534CFEE134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7912</Words>
  <Characters>43520</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2026-09-18T20:51:00Z</cp:lastPrinted>
  <dcterms:created xsi:type="dcterms:W3CDTF">2026-09-22T20:33:00Z</dcterms:created>
  <dcterms:modified xsi:type="dcterms:W3CDTF">2026-09-22T20:33:00Z</dcterms:modified>
</cp:coreProperties>
</file>