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26E" w:rsidRDefault="006F0B48">
      <w:pPr>
        <w:spacing w:before="240" w:after="240" w:line="360" w:lineRule="auto"/>
        <w:ind w:right="-734"/>
        <w:jc w:val="both"/>
        <w:rPr>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99726E" w:rsidRDefault="006F0B48">
      <w:pPr>
        <w:spacing w:before="240" w:after="360"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04253/INFOEM/IP/RR/2026; </w:t>
      </w:r>
      <w:r>
        <w:rPr>
          <w:rFonts w:ascii="Palatino Linotype" w:eastAsia="Palatino Linotype" w:hAnsi="Palatino Linotype" w:cs="Palatino Linotype"/>
        </w:rPr>
        <w:t>promovidos por</w:t>
      </w:r>
      <w:r>
        <w:rPr>
          <w:rFonts w:ascii="Palatino Linotype" w:eastAsia="Palatino Linotype" w:hAnsi="Palatino Linotype" w:cs="Palatino Linotype"/>
          <w:b/>
          <w:bCs/>
        </w:rPr>
        <w:t xml:space="preserve"> </w:t>
      </w:r>
      <w:r w:rsidR="00573282">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su calidad de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Poder Legislativo, </w:t>
      </w:r>
      <w:r>
        <w:rPr>
          <w:rFonts w:ascii="Palatino Linotype" w:eastAsia="Palatino Linotype" w:hAnsi="Palatino Linotype" w:cs="Palatino Linotype"/>
        </w:rPr>
        <w:t>en lo sucesivo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se procede a dictar la presente resolución, con base en los siguientes:</w:t>
      </w:r>
    </w:p>
    <w:p w:rsidR="0099726E" w:rsidRDefault="006F0B48">
      <w:pPr>
        <w:pStyle w:val="Ttulo1"/>
        <w:spacing w:line="360" w:lineRule="auto"/>
        <w:ind w:right="-734"/>
        <w:jc w:val="center"/>
        <w:rPr>
          <w:rFonts w:ascii="Palatino Linotype" w:eastAsia="Palatino Linotype" w:hAnsi="Palatino Linotype" w:cs="Palatino Linotype"/>
          <w:b/>
          <w:bCs/>
          <w:color w:val="000000"/>
          <w:sz w:val="24"/>
          <w:szCs w:val="24"/>
        </w:rPr>
      </w:pPr>
      <w:bookmarkStart w:id="0" w:name="_heading=h.2jh51lh5mc4t" w:colFirst="0" w:colLast="0"/>
      <w:bookmarkEnd w:id="0"/>
      <w:r>
        <w:rPr>
          <w:rFonts w:ascii="Palatino Linotype" w:eastAsia="Palatino Linotype" w:hAnsi="Palatino Linotype" w:cs="Palatino Linotype"/>
          <w:b/>
          <w:bCs/>
          <w:color w:val="000000"/>
          <w:sz w:val="24"/>
          <w:szCs w:val="24"/>
        </w:rPr>
        <w:t>A N T E C E D E N T E S</w:t>
      </w:r>
    </w:p>
    <w:p w:rsidR="00E9474A" w:rsidRPr="00E9474A" w:rsidRDefault="00E9474A" w:rsidP="00E9474A">
      <w:pPr>
        <w:rPr>
          <w:rFonts w:eastAsia="Palatino Linotype"/>
        </w:rPr>
      </w:pPr>
    </w:p>
    <w:p w:rsidR="0099726E" w:rsidRDefault="006F0B48">
      <w:pPr>
        <w:numPr>
          <w:ilvl w:val="0"/>
          <w:numId w:val="4"/>
        </w:numPr>
        <w:pBdr>
          <w:top w:val="nil"/>
          <w:left w:val="nil"/>
          <w:bottom w:val="nil"/>
          <w:right w:val="nil"/>
          <w:between w:val="nil"/>
        </w:pBdr>
        <w:tabs>
          <w:tab w:val="left" w:pos="284"/>
        </w:tabs>
        <w:spacing w:before="240" w:line="360" w:lineRule="auto"/>
        <w:ind w:left="0" w:right="-734" w:firstLine="0"/>
        <w:jc w:val="both"/>
        <w:rPr>
          <w:color w:val="000000"/>
        </w:rPr>
      </w:pPr>
      <w:r>
        <w:rPr>
          <w:rFonts w:ascii="Palatino Linotype" w:eastAsia="Palatino Linotype" w:hAnsi="Palatino Linotype" w:cs="Palatino Linotype"/>
          <w:color w:val="000000"/>
        </w:rPr>
        <w:t>El veinticuatro de marzo de dos mil veintiséis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w:t>
      </w:r>
      <w:r>
        <w:rPr>
          <w:rFonts w:ascii="Palatino Linotype" w:eastAsia="Palatino Linotype" w:hAnsi="Palatino Linotype" w:cs="Palatino Linotype"/>
          <w:b/>
          <w:bCs/>
          <w:i/>
          <w:i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 xml:space="preserve">00131/PLEGISLA/IP/2026,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solicitó:</w:t>
      </w:r>
    </w:p>
    <w:p w:rsidR="0099726E" w:rsidRDefault="0099726E">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9726E" w:rsidRDefault="006F0B48">
      <w:pPr>
        <w:pBdr>
          <w:top w:val="nil"/>
          <w:left w:val="nil"/>
          <w:bottom w:val="nil"/>
          <w:right w:val="nil"/>
          <w:between w:val="nil"/>
        </w:pBdr>
        <w:spacing w:line="360" w:lineRule="auto"/>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“Solicito se informe si existe algún mecanismo de control interno o validación del proceso de integración del Programa Anual de Auditorias 2026, así como los documentos que acrediten su aplicación.”</w:t>
      </w:r>
      <w:r>
        <w:rPr>
          <w:rFonts w:ascii="Palatino Linotype" w:eastAsia="Palatino Linotype" w:hAnsi="Palatino Linotype" w:cs="Palatino Linotype"/>
          <w:color w:val="000000"/>
        </w:rPr>
        <w:t xml:space="preserve"> (Sic)</w:t>
      </w:r>
    </w:p>
    <w:p w:rsidR="0099726E" w:rsidRDefault="0099726E">
      <w:pPr>
        <w:pBdr>
          <w:top w:val="nil"/>
          <w:left w:val="nil"/>
          <w:bottom w:val="nil"/>
          <w:right w:val="nil"/>
          <w:between w:val="nil"/>
        </w:pBdr>
        <w:spacing w:line="360" w:lineRule="auto"/>
        <w:ind w:left="567" w:right="-734"/>
        <w:jc w:val="both"/>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s>
        <w:spacing w:after="240" w:line="360" w:lineRule="auto"/>
        <w:ind w:left="0" w:right="-734" w:firstLine="0"/>
        <w:jc w:val="both"/>
        <w:rPr>
          <w:color w:val="000000"/>
        </w:rPr>
      </w:pPr>
      <w:r>
        <w:rPr>
          <w:rFonts w:ascii="Palatino Linotype" w:eastAsia="Palatino Linotype" w:hAnsi="Palatino Linotype" w:cs="Palatino Linotype"/>
          <w:color w:val="000000"/>
        </w:rPr>
        <w:t xml:space="preserve">De las constancias que obran en el expediente, se aprecia que el entonces </w:t>
      </w:r>
      <w:r>
        <w:rPr>
          <w:rFonts w:ascii="Palatino Linotype" w:eastAsia="Palatino Linotype" w:hAnsi="Palatino Linotype" w:cs="Palatino Linotype"/>
          <w:b/>
          <w:bCs/>
          <w:color w:val="000000"/>
        </w:rPr>
        <w:t>SOLICITANTE</w:t>
      </w:r>
      <w:r>
        <w:rPr>
          <w:rFonts w:ascii="Palatino Linotype" w:eastAsia="Palatino Linotype" w:hAnsi="Palatino Linotype" w:cs="Palatino Linotype"/>
          <w:color w:val="000000"/>
        </w:rPr>
        <w:t xml:space="preserve"> señaló como modalidad de entrega de la información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99726E" w:rsidRDefault="0099726E">
      <w:pPr>
        <w:ind w:right="-734"/>
        <w:rPr>
          <w:rFonts w:ascii="Palatino Linotype" w:eastAsia="Palatino Linotype" w:hAnsi="Palatino Linotype" w:cs="Palatino Linotype"/>
        </w:rPr>
      </w:pPr>
    </w:p>
    <w:p w:rsidR="0099726E" w:rsidRDefault="006F0B48">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El veintiuno de abril de dos mil veintiséis,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la solicitud de información a través de los archivos digitales siguientes:</w:t>
      </w:r>
    </w:p>
    <w:p w:rsidR="0099726E" w:rsidRDefault="0099726E">
      <w:pPr>
        <w:pBdr>
          <w:top w:val="nil"/>
          <w:left w:val="nil"/>
          <w:bottom w:val="nil"/>
          <w:right w:val="nil"/>
          <w:between w:val="nil"/>
        </w:pBdr>
        <w:spacing w:line="360" w:lineRule="auto"/>
        <w:ind w:right="-734"/>
        <w:rPr>
          <w:rFonts w:ascii="Palatino Linotype" w:eastAsia="Palatino Linotype" w:hAnsi="Palatino Linotype" w:cs="Palatino Linotype"/>
          <w:color w:val="000000"/>
        </w:rPr>
      </w:pPr>
    </w:p>
    <w:p w:rsidR="0099726E" w:rsidRDefault="006F0B48">
      <w:pPr>
        <w:numPr>
          <w:ilvl w:val="0"/>
          <w:numId w:val="3"/>
        </w:numPr>
        <w:pBdr>
          <w:top w:val="nil"/>
          <w:left w:val="nil"/>
          <w:bottom w:val="nil"/>
          <w:right w:val="nil"/>
          <w:between w:val="nil"/>
        </w:pBdr>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u w:val="single"/>
        </w:rPr>
        <w:lastRenderedPageBreak/>
        <w:t>RESPUESTA 0131-2026.pdf</w:t>
      </w:r>
    </w:p>
    <w:p w:rsidR="0099726E" w:rsidRDefault="006F0B48">
      <w:pPr>
        <w:ind w:left="720" w:right="-734"/>
        <w:jc w:val="both"/>
        <w:rPr>
          <w:rFonts w:ascii="Palatino Linotype" w:eastAsia="Palatino Linotype" w:hAnsi="Palatino Linotype" w:cs="Palatino Linotype"/>
          <w:i/>
          <w:iCs/>
        </w:rPr>
      </w:pPr>
      <w:r>
        <w:rPr>
          <w:rFonts w:ascii="Palatino Linotype" w:eastAsia="Palatino Linotype" w:hAnsi="Palatino Linotype" w:cs="Palatino Linotype"/>
        </w:rPr>
        <w:t xml:space="preserve">OSFEM/UAJ/DJC/SPH/061/2026 de fecha 20 de abril de 2026, firmado por el Servidor Público Habilitado de la </w:t>
      </w:r>
      <w:r>
        <w:rPr>
          <w:rFonts w:ascii="Palatino Linotype" w:eastAsia="Palatino Linotype" w:hAnsi="Palatino Linotype" w:cs="Palatino Linotype"/>
          <w:b/>
          <w:bCs/>
        </w:rPr>
        <w:t>Dirección de lo Jurídico Consultivo</w:t>
      </w:r>
      <w:r>
        <w:rPr>
          <w:rFonts w:ascii="Palatino Linotype" w:eastAsia="Palatino Linotype" w:hAnsi="Palatino Linotype" w:cs="Palatino Linotype"/>
        </w:rPr>
        <w:t xml:space="preserve">, a través del cual manifiesta haber turnado la solicitud a la </w:t>
      </w:r>
      <w:r>
        <w:rPr>
          <w:rFonts w:ascii="Palatino Linotype" w:eastAsia="Palatino Linotype" w:hAnsi="Palatino Linotype" w:cs="Palatino Linotype"/>
          <w:b/>
          <w:bCs/>
        </w:rPr>
        <w:t>Auditoría Especial de Revisión de Información de las Entidades Fiscalizables</w:t>
      </w:r>
      <w:r>
        <w:rPr>
          <w:rFonts w:ascii="Palatino Linotype" w:eastAsia="Palatino Linotype" w:hAnsi="Palatino Linotype" w:cs="Palatino Linotype"/>
        </w:rPr>
        <w:t xml:space="preserve"> de este Órgano Superior de Fiscalización, dicha unidad administrativa, misma que a través del memorándum OSFEM/AERIEF/487/2026, manifestó que </w:t>
      </w:r>
      <w:r>
        <w:rPr>
          <w:rFonts w:ascii="Palatino Linotype" w:eastAsia="Palatino Linotype" w:hAnsi="Palatino Linotype" w:cs="Palatino Linotype"/>
          <w:i/>
          <w:iCs/>
        </w:rPr>
        <w:t>la normatividad aplicable en la materia no prevé mecanismos de control interno o validación documental del proceso de integración del PAA.</w:t>
      </w:r>
    </w:p>
    <w:p w:rsidR="0099726E" w:rsidRDefault="0099726E">
      <w:pPr>
        <w:ind w:left="720" w:right="-734"/>
        <w:jc w:val="both"/>
        <w:rPr>
          <w:rFonts w:ascii="Palatino Linotype" w:eastAsia="Palatino Linotype" w:hAnsi="Palatino Linotype" w:cs="Palatino Linotype"/>
          <w:color w:val="000000"/>
        </w:rPr>
      </w:pPr>
    </w:p>
    <w:p w:rsidR="0099726E" w:rsidRDefault="006F0B48">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t>Respuesta 131 OSFEM.pdf</w:t>
      </w:r>
    </w:p>
    <w:p w:rsidR="0099726E" w:rsidRDefault="006F0B48">
      <w:pPr>
        <w:pBdr>
          <w:top w:val="nil"/>
          <w:left w:val="nil"/>
          <w:bottom w:val="nil"/>
          <w:right w:val="nil"/>
          <w:between w:val="nil"/>
        </w:pBdr>
        <w:ind w:left="720"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UIPL/0387/2026 de fecha 21 de abril de 2026 firmado por el </w:t>
      </w:r>
      <w:r>
        <w:rPr>
          <w:rFonts w:ascii="Palatino Linotype" w:eastAsia="Palatino Linotype" w:hAnsi="Palatino Linotype" w:cs="Palatino Linotype"/>
          <w:b/>
          <w:bCs/>
          <w:color w:val="000000"/>
        </w:rPr>
        <w:t>Titular de la Unidad de Información</w:t>
      </w:r>
      <w:r>
        <w:rPr>
          <w:rFonts w:ascii="Palatino Linotype" w:eastAsia="Palatino Linotype" w:hAnsi="Palatino Linotype" w:cs="Palatino Linotype"/>
          <w:color w:val="000000"/>
        </w:rPr>
        <w:t xml:space="preserve"> refiere encontrar adjunto al presente la respuesta proporcionada por el servidor público habilitado del Órgano Superior de Fiscalización del Estado de México.</w:t>
      </w:r>
    </w:p>
    <w:p w:rsidR="0099726E" w:rsidRDefault="0099726E">
      <w:pPr>
        <w:spacing w:line="360" w:lineRule="auto"/>
        <w:ind w:right="-734"/>
        <w:jc w:val="both"/>
        <w:rPr>
          <w:rFonts w:ascii="Palatino Linotype" w:eastAsia="Palatino Linotype" w:hAnsi="Palatino Linotype" w:cs="Palatino Linotype"/>
        </w:rPr>
      </w:pPr>
    </w:p>
    <w:p w:rsidR="0099726E" w:rsidRDefault="006F0B48">
      <w:pPr>
        <w:numPr>
          <w:ilvl w:val="0"/>
          <w:numId w:val="4"/>
        </w:numPr>
        <w:pBdr>
          <w:top w:val="nil"/>
          <w:left w:val="nil"/>
          <w:bottom w:val="nil"/>
          <w:right w:val="nil"/>
          <w:between w:val="nil"/>
        </w:pBdr>
        <w:tabs>
          <w:tab w:val="left" w:pos="284"/>
        </w:tabs>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Derivado de la respuesta, el veintidós de abril de dos mil veintiséis, el particular interpuso  recurso de revisión señalando:</w:t>
      </w:r>
    </w:p>
    <w:p w:rsidR="0099726E" w:rsidRDefault="0099726E">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b/>
          <w:bCs/>
          <w:i/>
          <w:iCs/>
          <w:color w:val="000000"/>
        </w:rPr>
      </w:pPr>
    </w:p>
    <w:p w:rsidR="0099726E" w:rsidRDefault="006F0B48">
      <w:pPr>
        <w:numPr>
          <w:ilvl w:val="0"/>
          <w:numId w:val="1"/>
        </w:numPr>
        <w:pBdr>
          <w:top w:val="nil"/>
          <w:left w:val="nil"/>
          <w:bottom w:val="nil"/>
          <w:right w:val="nil"/>
          <w:between w:val="nil"/>
        </w:pBdr>
        <w:tabs>
          <w:tab w:val="left" w:pos="426"/>
          <w:tab w:val="left" w:pos="1004"/>
        </w:tabs>
        <w:ind w:left="850"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La respuesta emitida a la solicitud de acceso a la información, por resultar incompleta, insuficiente y carente de debida fundamentación.”</w:t>
      </w:r>
      <w:r>
        <w:rPr>
          <w:rFonts w:ascii="Palatino Linotype" w:eastAsia="Palatino Linotype" w:hAnsi="Palatino Linotype" w:cs="Palatino Linotype"/>
          <w:color w:val="000000"/>
        </w:rPr>
        <w:t xml:space="preserve"> (Sic).</w:t>
      </w:r>
    </w:p>
    <w:p w:rsidR="0099726E" w:rsidRDefault="0099726E">
      <w:pPr>
        <w:pBdr>
          <w:top w:val="nil"/>
          <w:left w:val="nil"/>
          <w:bottom w:val="nil"/>
          <w:right w:val="nil"/>
          <w:between w:val="nil"/>
        </w:pBdr>
        <w:tabs>
          <w:tab w:val="left" w:pos="426"/>
          <w:tab w:val="left" w:pos="1004"/>
        </w:tabs>
        <w:ind w:left="850" w:right="-734" w:hanging="360"/>
        <w:jc w:val="both"/>
        <w:rPr>
          <w:rFonts w:ascii="Palatino Linotype" w:eastAsia="Palatino Linotype" w:hAnsi="Palatino Linotype" w:cs="Palatino Linotype"/>
          <w:color w:val="000000"/>
        </w:rPr>
      </w:pPr>
    </w:p>
    <w:p w:rsidR="0099726E" w:rsidRDefault="006F0B48">
      <w:pPr>
        <w:numPr>
          <w:ilvl w:val="0"/>
          <w:numId w:val="2"/>
        </w:numPr>
        <w:pBdr>
          <w:top w:val="nil"/>
          <w:left w:val="nil"/>
          <w:bottom w:val="nil"/>
          <w:right w:val="nil"/>
          <w:between w:val="nil"/>
        </w:pBdr>
        <w:tabs>
          <w:tab w:val="left" w:pos="426"/>
          <w:tab w:val="left" w:pos="1004"/>
        </w:tabs>
        <w:ind w:left="850"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 xml:space="preserve">AGRAVIOS Primero. Respuesta evasiva y dogmática El sujeto obligado señala que: “la normatividad aplicable en la materia no prevé mecanismos de control interno o validación documental del proceso de integración del PAA” Sin embargo, no acredita dicha afirmación, ni: Cita de manera precisa qué disposiciones revisó. Explica por qué no existen controles. Ni justifica cómo un proceso institucional carece de validación. Esto convierte la respuesta en una simple manifestación unilateral, no en una respuesta debidamente fundada y motivada. Segundo. Omisión de pronunciamiento sobre la totalidad de lo solicitado La solicitud fue clara en dos partes: Si existe mecanismo de control o validación Los documentos que acrediten su aplicación El sujeto obligado: Solo responde parcialmente el punto 1 (de forma negativa) Pero omite completamente pronunciarse sobre el punto 2, es decir: No dijo si existen documentos No dijo si no existen No declaró inexistencia formal Esto constituye una respuesta incompleta, conforme al artículo 150 de la Ley de Transparencia y Acceso a la Información Pública del Estado de México y Municipios. Tercero. </w:t>
      </w:r>
      <w:r>
        <w:rPr>
          <w:rFonts w:ascii="Palatino Linotype" w:eastAsia="Palatino Linotype" w:hAnsi="Palatino Linotype" w:cs="Palatino Linotype"/>
          <w:i/>
          <w:iCs/>
          <w:color w:val="000000"/>
        </w:rPr>
        <w:lastRenderedPageBreak/>
        <w:t>Inconsistencia con la naturaleza del sujeto obligado El Órgano Superior de Fiscalización del Estado de México es una entidad encargada de fiscalización, por lo que resulta contradictorio que: No existan mecanismos de control interno No haya validación documental No se generen evidencias del proceso Esto contraviene principios básicos de: Control interno Rendición de cuentas Trazabilidad administrativa Por lo que es razonable presumir que sí existen documentos o mecanismos, aunque no estén denominados expresamente en la norma como tales. Cuarto. Falta de exhaustividad en la búsqueda El sujeto obligado no acredita que haya realizado una búsqueda en: Manuales de procedimientos Lineamientos internos Documentos de trabajo del PAA Evidencias administrativas (oficios, correos, validaciones, etc.) Por lo tanto, incumple con el principio de búsqueda exhaustiva. Quinto. Incumplimiento del principio de máxima publicidad Se incumple el artículo 4 de la ley, al: Limitar la respuesta a una interpretación normativa No proporcionar información documental No agotar todas las fuentes posibles de información PETICIÓN Se solicita al Instituto de Transparencia, Acceso a la Información Pública y Protección de Datos Personales del Estado de México y Municipios: Se revoque la respuesta impugnada. Se ordene al sujeto obligado emitir una nueva respuesta en la que: Precise si existen mecanismos de control, supervisión o validación, aun cuando no estén expresamente denominados así en la norma. En su caso, entregue los documentos que acrediten su aplicación, tales como: Oficios Validaciones internas Versiones de trabajo del PAA Correos institucionales Actas o registros administrativos En caso de inexistencia: Se emita declaratoria formal de inexistencia, debidamente fundada y motivada. Se garantice una búsqueda exhaustiva en todas las unidades administrativas competentes.”</w:t>
      </w:r>
      <w:r>
        <w:rPr>
          <w:rFonts w:ascii="Palatino Linotype" w:eastAsia="Palatino Linotype" w:hAnsi="Palatino Linotype" w:cs="Palatino Linotype"/>
          <w:color w:val="000000"/>
        </w:rPr>
        <w:t xml:space="preserve"> (Sic).</w:t>
      </w:r>
    </w:p>
    <w:p w:rsidR="0099726E" w:rsidRDefault="0099726E">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acuerdo de admisión</w:t>
      </w:r>
      <w:r>
        <w:rPr>
          <w:rFonts w:ascii="Palatino Linotype" w:eastAsia="Palatino Linotype" w:hAnsi="Palatino Linotype" w:cs="Palatino Linotype"/>
          <w:color w:val="000000"/>
        </w:rPr>
        <w:t xml:space="preserve"> del veinticuatro de abril de dos mil veintiséis, puso a disposición de las partes el expediente electrónico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correspondiera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99726E" w:rsidRDefault="0099726E">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lastRenderedPageBreak/>
        <w:t>De las constancias del archivo electrónico SAIMEX, se advierte que el Recurrente realizó manifestaciones el veintinueve de abril de dos mil veintiséis a través de los archivos que se describen enseguida:</w:t>
      </w:r>
    </w:p>
    <w:p w:rsidR="0099726E" w:rsidRDefault="006F0B48">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0.page.pdf</w:t>
      </w:r>
    </w:p>
    <w:p w:rsidR="0099726E" w:rsidRDefault="006F0B48">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acuse de interposición del recurso de revisión.</w:t>
      </w:r>
    </w:p>
    <w:p w:rsidR="0099726E" w:rsidRDefault="0099726E">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p>
    <w:p w:rsidR="0099726E" w:rsidRDefault="006F0B48">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RESPUESTA 0131-2026.pdf</w:t>
      </w:r>
    </w:p>
    <w:p w:rsidR="0099726E" w:rsidRDefault="006F0B48">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remitido en respuesta de la Dirección de lo Jurídico Consultivo.</w:t>
      </w:r>
    </w:p>
    <w:p w:rsidR="0099726E" w:rsidRDefault="0099726E">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p>
    <w:p w:rsidR="0099726E" w:rsidRDefault="006F0B48">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b/>
          <w:bCs/>
          <w:color w:val="000000"/>
          <w:u w:val="single"/>
        </w:rPr>
        <w:t>770135.page.pdf</w:t>
      </w:r>
    </w:p>
    <w:p w:rsidR="0099726E" w:rsidRDefault="006F0B48">
      <w:pPr>
        <w:pBdr>
          <w:top w:val="nil"/>
          <w:left w:val="nil"/>
          <w:bottom w:val="nil"/>
          <w:right w:val="nil"/>
          <w:between w:val="nil"/>
        </w:pBdr>
        <w:tabs>
          <w:tab w:val="left" w:pos="284"/>
        </w:tabs>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acuse de solicitud de información.</w:t>
      </w:r>
    </w:p>
    <w:p w:rsidR="0099726E" w:rsidRDefault="0099726E">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rPr>
      </w:pPr>
    </w:p>
    <w:p w:rsidR="0099726E" w:rsidRDefault="0099726E">
      <w:pPr>
        <w:pBdr>
          <w:top w:val="nil"/>
          <w:left w:val="nil"/>
          <w:bottom w:val="nil"/>
          <w:right w:val="nil"/>
          <w:between w:val="nil"/>
        </w:pBdr>
        <w:tabs>
          <w:tab w:val="left" w:pos="284"/>
        </w:tabs>
        <w:ind w:left="567" w:right="-734"/>
        <w:jc w:val="both"/>
        <w:rPr>
          <w:rFonts w:ascii="Palatino Linotype" w:eastAsia="Palatino Linotype" w:hAnsi="Palatino Linotype" w:cs="Palatino Linotype"/>
          <w:b/>
          <w:bCs/>
        </w:rPr>
      </w:pPr>
    </w:p>
    <w:p w:rsidR="0099726E" w:rsidRDefault="006F0B48">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Por su parte el Sujeto Obligado no remitió informe justificado.</w:t>
      </w:r>
    </w:p>
    <w:p w:rsidR="0099726E" w:rsidRDefault="0099726E">
      <w:p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s>
        <w:spacing w:line="360" w:lineRule="auto"/>
        <w:ind w:left="0" w:right="-734" w:firstLine="0"/>
        <w:jc w:val="both"/>
        <w:rPr>
          <w:color w:val="000000"/>
        </w:rPr>
      </w:pPr>
      <w:r>
        <w:rPr>
          <w:rFonts w:ascii="Palatino Linotype" w:eastAsia="Palatino Linotype" w:hAnsi="Palatino Linotype" w:cs="Palatino Linotype"/>
          <w:color w:val="000000"/>
        </w:rPr>
        <w:t xml:space="preserve">El veintinueve de abril de dos mil veintiséis, </w:t>
      </w:r>
      <w:r>
        <w:rPr>
          <w:rFonts w:ascii="Palatino Linotype" w:eastAsia="Palatino Linotype" w:hAnsi="Palatino Linotype" w:cs="Palatino Linotype"/>
          <w:b/>
          <w:bCs/>
          <w:color w:val="000000"/>
        </w:rPr>
        <w:t xml:space="preserve">el </w:t>
      </w:r>
      <w:sdt>
        <w:sdtPr>
          <w:tag w:val="goog_rdk_0"/>
          <w:id w:val="-566995823"/>
        </w:sdtPr>
        <w:sdtEndPr/>
        <w:sdtContent>
          <w:sdt>
            <w:sdtPr>
              <w:tag w:val="goog_rdk_1"/>
              <w:id w:val="433772701"/>
            </w:sdtPr>
            <w:sdtEndPr/>
            <w:sdtContent>
              <w:r w:rsidRPr="00D76C2F">
                <w:rPr>
                  <w:rFonts w:ascii="Palatino Linotype" w:eastAsia="Palatino Linotype" w:hAnsi="Palatino Linotype" w:cs="Palatino Linotype"/>
                  <w:b/>
                  <w:bCs/>
                </w:rPr>
                <w:t>Recurrente desistió</w:t>
              </w:r>
            </w:sdtContent>
          </w:sdt>
        </w:sdtContent>
      </w:sdt>
      <w:sdt>
        <w:sdtPr>
          <w:tag w:val="goog_rdk_2"/>
          <w:id w:val="722594549"/>
        </w:sdtPr>
        <w:sdtEndPr/>
        <w:sdtContent>
          <w:sdt>
            <w:sdtPr>
              <w:tag w:val="goog_rdk_3"/>
              <w:id w:val="295546969"/>
            </w:sdtPr>
            <w:sdtEndPr/>
            <w:sdtContent/>
          </w:sdt>
        </w:sdtContent>
      </w:sdt>
      <w:r>
        <w:rPr>
          <w:rFonts w:ascii="Palatino Linotype" w:eastAsia="Palatino Linotype" w:hAnsi="Palatino Linotype" w:cs="Palatino Linotype"/>
          <w:b/>
          <w:bCs/>
          <w:color w:val="000000"/>
        </w:rPr>
        <w:t xml:space="preserve"> del recurso de revisión</w:t>
      </w:r>
      <w:r>
        <w:rPr>
          <w:rFonts w:ascii="Palatino Linotype" w:eastAsia="Palatino Linotype" w:hAnsi="Palatino Linotype" w:cs="Palatino Linotype"/>
          <w:color w:val="000000"/>
        </w:rPr>
        <w:t xml:space="preserve">. </w:t>
      </w:r>
    </w:p>
    <w:p w:rsidR="0099726E" w:rsidRDefault="0099726E">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bookmarkStart w:id="1" w:name="_heading=h.1lpsc7r731un" w:colFirst="0" w:colLast="0"/>
      <w:bookmarkEnd w:id="1"/>
    </w:p>
    <w:p w:rsidR="0099726E" w:rsidRPr="00E9474A" w:rsidRDefault="006F0B48" w:rsidP="00E9474A">
      <w:pPr>
        <w:numPr>
          <w:ilvl w:val="0"/>
          <w:numId w:val="4"/>
        </w:numPr>
        <w:pBdr>
          <w:top w:val="nil"/>
          <w:left w:val="nil"/>
          <w:bottom w:val="nil"/>
          <w:right w:val="nil"/>
          <w:between w:val="nil"/>
        </w:pBdr>
        <w:tabs>
          <w:tab w:val="left" w:pos="426"/>
        </w:tabs>
        <w:spacing w:line="360" w:lineRule="auto"/>
        <w:ind w:left="0" w:right="-734" w:firstLine="0"/>
        <w:jc w:val="both"/>
        <w:rPr>
          <w:rFonts w:ascii="Palatino Linotype" w:eastAsia="Palatino Linotype" w:hAnsi="Palatino Linotype" w:cs="Palatino Linotype"/>
        </w:rPr>
      </w:pPr>
      <w:r w:rsidRPr="00E9474A">
        <w:rPr>
          <w:rFonts w:ascii="Palatino Linotype" w:eastAsia="Palatino Linotype" w:hAnsi="Palatino Linotype" w:cs="Palatino Linotype"/>
          <w:color w:val="000000"/>
        </w:rPr>
        <w:t xml:space="preserve">La Comisionada Ponente notificó el acuerdo de </w:t>
      </w:r>
      <w:r w:rsidRPr="00E9474A">
        <w:rPr>
          <w:rFonts w:ascii="Palatino Linotype" w:eastAsia="Palatino Linotype" w:hAnsi="Palatino Linotype" w:cs="Palatino Linotype"/>
          <w:b/>
          <w:bCs/>
          <w:color w:val="000000"/>
        </w:rPr>
        <w:t>cierre de instrucción</w:t>
      </w:r>
      <w:r w:rsidRPr="00E9474A">
        <w:rPr>
          <w:rFonts w:ascii="Palatino Linotype" w:eastAsia="Palatino Linotype" w:hAnsi="Palatino Linotype" w:cs="Palatino Linotype"/>
          <w:color w:val="000000"/>
        </w:rPr>
        <w:t xml:space="preserve"> en fecha once de mayo de dos mil veintiséis. </w:t>
      </w:r>
    </w:p>
    <w:p w:rsidR="0099726E" w:rsidRDefault="0099726E">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99726E" w:rsidRDefault="006F0B48">
      <w:pPr>
        <w:pStyle w:val="Ttulo2"/>
        <w:ind w:right="-734"/>
        <w:jc w:val="center"/>
        <w:rPr>
          <w:rFonts w:ascii="Palatino Linotype" w:eastAsia="Palatino Linotype" w:hAnsi="Palatino Linotype" w:cs="Palatino Linotype"/>
          <w:b/>
          <w:bCs/>
          <w:color w:val="000000"/>
          <w:sz w:val="24"/>
          <w:szCs w:val="24"/>
        </w:rPr>
      </w:pPr>
      <w:bookmarkStart w:id="2" w:name="_heading=h.8ld75kftjn37" w:colFirst="0" w:colLast="0"/>
      <w:bookmarkEnd w:id="2"/>
      <w:r>
        <w:rPr>
          <w:rFonts w:ascii="Palatino Linotype" w:eastAsia="Palatino Linotype" w:hAnsi="Palatino Linotype" w:cs="Palatino Linotype"/>
          <w:b/>
          <w:bCs/>
          <w:color w:val="000000"/>
          <w:sz w:val="24"/>
          <w:szCs w:val="24"/>
        </w:rPr>
        <w:t>C O N S I D E R A N D O</w:t>
      </w:r>
    </w:p>
    <w:p w:rsidR="0099726E" w:rsidRDefault="0099726E">
      <w:pPr>
        <w:ind w:right="-734"/>
      </w:pPr>
    </w:p>
    <w:p w:rsidR="0099726E" w:rsidRDefault="006F0B48">
      <w:pPr>
        <w:pStyle w:val="Ttulo2"/>
        <w:spacing w:line="360" w:lineRule="auto"/>
        <w:ind w:right="-734"/>
        <w:rPr>
          <w:rFonts w:ascii="Palatino Linotype" w:eastAsia="Palatino Linotype" w:hAnsi="Palatino Linotype" w:cs="Palatino Linotype"/>
          <w:b/>
          <w:bCs/>
          <w:color w:val="000000"/>
          <w:sz w:val="24"/>
          <w:szCs w:val="24"/>
        </w:rPr>
      </w:pPr>
      <w:bookmarkStart w:id="3" w:name="_heading=h.5vbyij6rwh2s" w:colFirst="0" w:colLast="0"/>
      <w:bookmarkEnd w:id="3"/>
      <w:r>
        <w:rPr>
          <w:rFonts w:ascii="Palatino Linotype" w:eastAsia="Palatino Linotype" w:hAnsi="Palatino Linotype" w:cs="Palatino Linotype"/>
          <w:b/>
          <w:bCs/>
          <w:color w:val="000000"/>
          <w:sz w:val="24"/>
          <w:szCs w:val="24"/>
        </w:rPr>
        <w:t>PRIMERO. De la competencia</w:t>
      </w:r>
    </w:p>
    <w:p w:rsidR="0099726E" w:rsidRDefault="006F0B48">
      <w:pPr>
        <w:numPr>
          <w:ilvl w:val="0"/>
          <w:numId w:val="4"/>
        </w:numPr>
        <w:spacing w:line="360" w:lineRule="auto"/>
        <w:ind w:left="0" w:right="-734" w:firstLine="0"/>
        <w:jc w:val="both"/>
      </w:pPr>
      <w:r>
        <w:rPr>
          <w:rFonts w:ascii="Palatino Linotype" w:eastAsia="Palatino Linotype" w:hAnsi="Palatino Linotype" w:cs="Palatino Linotype"/>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w:t>
      </w:r>
      <w:r>
        <w:rPr>
          <w:rFonts w:ascii="Palatino Linotype" w:eastAsia="Palatino Linotype" w:hAnsi="Palatino Linotype" w:cs="Palatino Linotype"/>
        </w:rPr>
        <w:lastRenderedPageBreak/>
        <w:t>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99726E" w:rsidRDefault="0099726E">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b/>
          <w:bCs/>
          <w:color w:val="000000"/>
        </w:rPr>
      </w:pPr>
    </w:p>
    <w:p w:rsidR="0099726E" w:rsidRDefault="006F0B48">
      <w:pPr>
        <w:pStyle w:val="Ttulo2"/>
        <w:tabs>
          <w:tab w:val="left" w:pos="284"/>
          <w:tab w:val="left" w:pos="426"/>
        </w:tabs>
        <w:spacing w:line="360" w:lineRule="auto"/>
        <w:ind w:right="-734"/>
        <w:rPr>
          <w:rFonts w:ascii="Palatino Linotype" w:eastAsia="Palatino Linotype" w:hAnsi="Palatino Linotype" w:cs="Palatino Linotype"/>
          <w:b/>
          <w:bCs/>
          <w:color w:val="000000"/>
          <w:sz w:val="24"/>
          <w:szCs w:val="24"/>
        </w:rPr>
      </w:pPr>
      <w:bookmarkStart w:id="4" w:name="_heading=h.jdug9v26xbju" w:colFirst="0" w:colLast="0"/>
      <w:bookmarkEnd w:id="4"/>
      <w:r>
        <w:rPr>
          <w:rFonts w:ascii="Palatino Linotype" w:eastAsia="Palatino Linotype" w:hAnsi="Palatino Linotype" w:cs="Palatino Linotype"/>
          <w:b/>
          <w:bCs/>
          <w:color w:val="000000"/>
          <w:sz w:val="24"/>
          <w:szCs w:val="24"/>
        </w:rPr>
        <w:t>SEGUNDO. De la oportunidad y procedencia.</w:t>
      </w:r>
    </w:p>
    <w:p w:rsidR="0099726E" w:rsidRDefault="006F0B48">
      <w:pPr>
        <w:numPr>
          <w:ilvl w:val="0"/>
          <w:numId w:val="4"/>
        </w:numPr>
        <w:spacing w:line="360" w:lineRule="auto"/>
        <w:ind w:left="0" w:right="-734"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w:t>
      </w:r>
      <w:r>
        <w:rPr>
          <w:rFonts w:ascii="Palatino Linotype" w:eastAsia="Palatino Linotype" w:hAnsi="Palatino Linotype" w:cs="Palatino Linotype"/>
          <w:b/>
          <w:bCs/>
        </w:rPr>
        <w:t>veintiuno de abril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veintidós de abril al catorce de mayo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veintidós de abril de dos mil veintiséis</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99726E" w:rsidRDefault="006F0B48">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Pr>
          <w:rFonts w:ascii="Palatino Linotype" w:eastAsia="Palatino Linotype" w:hAnsi="Palatino Linotype" w:cs="Palatino Linotype"/>
          <w:color w:val="000000"/>
        </w:rPr>
        <w:t>Consecuencia de lo anterior, esté Órgano Garante reconoce que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9726E" w:rsidRDefault="0099726E">
      <w:pPr>
        <w:pBdr>
          <w:top w:val="nil"/>
          <w:left w:val="nil"/>
          <w:bottom w:val="nil"/>
          <w:right w:val="nil"/>
          <w:between w:val="nil"/>
        </w:pBdr>
        <w:tabs>
          <w:tab w:val="left" w:pos="284"/>
          <w:tab w:val="left" w:pos="426"/>
        </w:tabs>
        <w:ind w:right="-734"/>
        <w:rPr>
          <w:rFonts w:ascii="Palatino Linotype" w:eastAsia="Palatino Linotype" w:hAnsi="Palatino Linotype" w:cs="Palatino Linotype"/>
          <w:color w:val="000000"/>
        </w:rPr>
      </w:pPr>
    </w:p>
    <w:p w:rsidR="0099726E" w:rsidRDefault="006F0B48">
      <w:pPr>
        <w:pStyle w:val="Ttulo1"/>
        <w:tabs>
          <w:tab w:val="left" w:pos="284"/>
          <w:tab w:val="left" w:pos="426"/>
        </w:tabs>
        <w:spacing w:line="360" w:lineRule="auto"/>
        <w:ind w:right="-734"/>
        <w:rPr>
          <w:rFonts w:ascii="Palatino Linotype" w:eastAsia="Palatino Linotype" w:hAnsi="Palatino Linotype" w:cs="Palatino Linotype"/>
          <w:b/>
          <w:bCs/>
          <w:color w:val="000000"/>
          <w:sz w:val="24"/>
          <w:szCs w:val="24"/>
        </w:rPr>
      </w:pPr>
      <w:bookmarkStart w:id="5" w:name="_heading=h.l766s1jn0xz5" w:colFirst="0" w:colLast="0"/>
      <w:bookmarkEnd w:id="5"/>
      <w:r>
        <w:rPr>
          <w:rFonts w:ascii="Palatino Linotype" w:eastAsia="Palatino Linotype" w:hAnsi="Palatino Linotype" w:cs="Palatino Linotype"/>
          <w:b/>
          <w:bCs/>
          <w:color w:val="000000"/>
          <w:sz w:val="24"/>
          <w:szCs w:val="24"/>
        </w:rPr>
        <w:lastRenderedPageBreak/>
        <w:t>TERCERO. De las causales del sobreseimiento.</w:t>
      </w:r>
    </w:p>
    <w:p w:rsidR="0099726E" w:rsidRDefault="006F0B48">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bookmarkStart w:id="6" w:name="_heading=h.porr2bp64jpi" w:colFirst="0" w:colLast="0"/>
      <w:bookmarkEnd w:id="6"/>
      <w:r>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respecto a la falta de respuesta por parte del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99726E" w:rsidRDefault="0099726E">
      <w:pPr>
        <w:pBdr>
          <w:top w:val="nil"/>
          <w:left w:val="nil"/>
          <w:bottom w:val="nil"/>
          <w:right w:val="nil"/>
          <w:between w:val="nil"/>
        </w:pBdr>
        <w:tabs>
          <w:tab w:val="left" w:pos="284"/>
          <w:tab w:val="left" w:pos="426"/>
        </w:tabs>
        <w:ind w:right="-734"/>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bookmarkStart w:id="7" w:name="_heading=h.9wkc87yt7736" w:colFirst="0" w:colLast="0"/>
      <w:bookmarkEnd w:id="7"/>
      <w:r>
        <w:rPr>
          <w:rFonts w:ascii="Palatino Linotype" w:eastAsia="Palatino Linotype" w:hAnsi="Palatino Linotype" w:cs="Palatino Linotype"/>
          <w:color w:val="000000"/>
        </w:rPr>
        <w:t xml:space="preserve">Cabe destacar que el motivo de inconformidad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sobre la negativa a la información solicitada, actualiza la causal de improcedencia contenida en la fracción I del artículo 179 de la Ley de Transparencia y Acceso a la Información Pública del Estado de México y Municipios, por lo que este Órgano Garante estaría en la posibilidad de analizar  el presente asunto; sin embargo, será </w:t>
      </w:r>
      <w:sdt>
        <w:sdtPr>
          <w:tag w:val="goog_rdk_4"/>
          <w:id w:val="38775384"/>
        </w:sdtPr>
        <w:sdtEndPr/>
        <w:sdtContent>
          <w:sdt>
            <w:sdtPr>
              <w:tag w:val="goog_rdk_5"/>
              <w:id w:val="1142157600"/>
            </w:sdtPr>
            <w:sdtEndPr/>
            <w:sdtContent>
              <w:r w:rsidRPr="00D76C2F">
                <w:rPr>
                  <w:rFonts w:ascii="Palatino Linotype" w:eastAsia="Palatino Linotype" w:hAnsi="Palatino Linotype" w:cs="Palatino Linotype"/>
                </w:rPr>
                <w:t>eminentemente</w:t>
              </w:r>
            </w:sdtContent>
          </w:sdt>
        </w:sdtContent>
      </w:sdt>
      <w:sdt>
        <w:sdtPr>
          <w:tag w:val="goog_rdk_6"/>
          <w:id w:val="-1478334474"/>
        </w:sdtPr>
        <w:sdtEndPr/>
        <w:sdtContent>
          <w:sdt>
            <w:sdtPr>
              <w:tag w:val="goog_rdk_7"/>
              <w:id w:val="-2007405047"/>
              <w:showingPlcHdr/>
            </w:sdtPr>
            <w:sdtEndPr/>
            <w:sdtContent>
              <w:r w:rsidR="00D76C2F">
                <w:t xml:space="preserve">     </w:t>
              </w:r>
            </w:sdtContent>
          </w:sdt>
        </w:sdtContent>
      </w:sdt>
      <w:r>
        <w:rPr>
          <w:rFonts w:ascii="Palatino Linotype" w:eastAsia="Palatino Linotype" w:hAnsi="Palatino Linotype" w:cs="Palatino Linotype"/>
          <w:color w:val="000000"/>
        </w:rPr>
        <w:t xml:space="preserve"> excusado el ingreso al estudio y análisis de la controversia en consecuencia de que, como quedara establecido, el particular, por propio derecho, </w:t>
      </w:r>
      <w:r>
        <w:rPr>
          <w:rFonts w:ascii="Palatino Linotype" w:eastAsia="Palatino Linotype" w:hAnsi="Palatino Linotype" w:cs="Palatino Linotype"/>
          <w:b/>
          <w:bCs/>
          <w:color w:val="000000"/>
        </w:rPr>
        <w:t>se desistió del recurso de revisión</w:t>
      </w:r>
      <w:r>
        <w:rPr>
          <w:rFonts w:ascii="Palatino Linotype" w:eastAsia="Palatino Linotype" w:hAnsi="Palatino Linotype" w:cs="Palatino Linotype"/>
          <w:color w:val="000000"/>
        </w:rPr>
        <w:t xml:space="preserve"> que nos ocupa, vía </w:t>
      </w:r>
      <w:r>
        <w:rPr>
          <w:rFonts w:ascii="Palatino Linotype" w:eastAsia="Palatino Linotype" w:hAnsi="Palatino Linotype" w:cs="Palatino Linotype"/>
          <w:i/>
          <w:iCs/>
          <w:color w:val="000000"/>
        </w:rPr>
        <w:t>SAIMEX</w:t>
      </w:r>
      <w:r>
        <w:rPr>
          <w:rFonts w:ascii="Palatino Linotype" w:eastAsia="Palatino Linotype" w:hAnsi="Palatino Linotype" w:cs="Palatino Linotype"/>
          <w:color w:val="000000"/>
        </w:rPr>
        <w:t>, el veintinueve de abril de dos mil veintiséis, como se ilustra a continuación:</w:t>
      </w:r>
    </w:p>
    <w:p w:rsidR="0099726E" w:rsidRDefault="008B20CF" w:rsidP="00E9474A">
      <w:pPr>
        <w:pBdr>
          <w:top w:val="nil"/>
          <w:left w:val="nil"/>
          <w:bottom w:val="nil"/>
          <w:right w:val="nil"/>
          <w:between w:val="nil"/>
        </w:pBdr>
        <w:tabs>
          <w:tab w:val="left" w:pos="284"/>
          <w:tab w:val="left" w:pos="426"/>
        </w:tabs>
        <w:spacing w:line="360" w:lineRule="auto"/>
        <w:ind w:right="-734"/>
        <w:jc w:val="center"/>
        <w:rPr>
          <w:rFonts w:ascii="Palatino Linotype" w:eastAsia="Palatino Linotype" w:hAnsi="Palatino Linotype" w:cs="Palatino Linotype"/>
          <w:color w:val="000000"/>
        </w:rPr>
      </w:pPr>
      <w:r w:rsidRPr="008B20CF">
        <w:rPr>
          <w:rFonts w:ascii="Palatino Linotype" w:eastAsia="Palatino Linotype" w:hAnsi="Palatino Linotype" w:cs="Palatino Linotype"/>
          <w:color w:val="000000"/>
        </w:rPr>
        <w:drawing>
          <wp:inline distT="0" distB="0" distL="0" distR="0" wp14:anchorId="604A116B" wp14:editId="38A3EB3C">
            <wp:extent cx="5582429" cy="261021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2429" cy="2610214"/>
                    </a:xfrm>
                    <a:prstGeom prst="rect">
                      <a:avLst/>
                    </a:prstGeom>
                  </pic:spPr>
                </pic:pic>
              </a:graphicData>
            </a:graphic>
          </wp:inline>
        </w:drawing>
      </w:r>
      <w:bookmarkStart w:id="8" w:name="_GoBack"/>
      <w:bookmarkEnd w:id="8"/>
    </w:p>
    <w:p w:rsidR="0099726E" w:rsidRDefault="006F0B48">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De las imágenes, se advierte que efectivamente el particular hizo uso de la opción </w:t>
      </w:r>
      <w:r>
        <w:rPr>
          <w:rFonts w:ascii="Palatino Linotype" w:eastAsia="Palatino Linotype" w:hAnsi="Palatino Linotype" w:cs="Palatino Linotype"/>
          <w:b/>
          <w:bCs/>
          <w:i/>
          <w:iCs/>
          <w:color w:val="000000"/>
        </w:rPr>
        <w:t>“Desistir”</w:t>
      </w:r>
      <w:r>
        <w:rPr>
          <w:rFonts w:ascii="Palatino Linotype" w:eastAsia="Palatino Linotype" w:hAnsi="Palatino Linotype" w:cs="Palatino Linotype"/>
          <w:color w:val="000000"/>
        </w:rPr>
        <w:t xml:space="preserve"> al recurso de revisión en el propio </w:t>
      </w:r>
      <w:r>
        <w:rPr>
          <w:rFonts w:ascii="Palatino Linotype" w:eastAsia="Palatino Linotype" w:hAnsi="Palatino Linotype" w:cs="Palatino Linotype"/>
          <w:i/>
          <w:iCs/>
          <w:color w:val="000000"/>
        </w:rPr>
        <w:t>SAIMEX</w:t>
      </w:r>
      <w:r>
        <w:rPr>
          <w:rFonts w:ascii="Palatino Linotype" w:eastAsia="Palatino Linotype" w:hAnsi="Palatino Linotype" w:cs="Palatino Linotype"/>
          <w:color w:val="000000"/>
        </w:rPr>
        <w:t xml:space="preserve">, opción que </w:t>
      </w:r>
      <w:r>
        <w:rPr>
          <w:rFonts w:ascii="Palatino Linotype" w:eastAsia="Palatino Linotype" w:hAnsi="Palatino Linotype" w:cs="Palatino Linotype"/>
          <w:b/>
          <w:bCs/>
          <w:color w:val="000000"/>
        </w:rPr>
        <w:t>únicamente</w:t>
      </w:r>
      <w:r>
        <w:rPr>
          <w:rFonts w:ascii="Palatino Linotype" w:eastAsia="Palatino Linotype" w:hAnsi="Palatino Linotype" w:cs="Palatino Linotype"/>
          <w:color w:val="000000"/>
        </w:rPr>
        <w:t xml:space="preserve"> puede hacer uso el usuario dueño de la cuenta, previo ingreso de su nombre de usuario y contraseña; así las cosas, cabe resaltar de igual manera que, al seleccionar la opción de </w:t>
      </w:r>
      <w:r>
        <w:rPr>
          <w:rFonts w:ascii="Palatino Linotype" w:eastAsia="Palatino Linotype" w:hAnsi="Palatino Linotype" w:cs="Palatino Linotype"/>
          <w:b/>
          <w:bCs/>
          <w:color w:val="000000"/>
        </w:rPr>
        <w:t>desistimiento</w:t>
      </w:r>
      <w:r>
        <w:rPr>
          <w:rFonts w:ascii="Palatino Linotype" w:eastAsia="Palatino Linotype" w:hAnsi="Palatino Linotype" w:cs="Palatino Linotype"/>
          <w:color w:val="000000"/>
        </w:rPr>
        <w:t xml:space="preserve">, aparece al usuario una ventana de alerta con el objeto de que confirme que efectivamente es su deseo </w:t>
      </w:r>
      <w:r>
        <w:rPr>
          <w:rFonts w:ascii="Palatino Linotype" w:eastAsia="Palatino Linotype" w:hAnsi="Palatino Linotype" w:cs="Palatino Linotype"/>
          <w:b/>
          <w:bCs/>
          <w:color w:val="000000"/>
        </w:rPr>
        <w:t>desistirse</w:t>
      </w:r>
      <w:r>
        <w:rPr>
          <w:rFonts w:ascii="Palatino Linotype" w:eastAsia="Palatino Linotype" w:hAnsi="Palatino Linotype" w:cs="Palatino Linotype"/>
          <w:color w:val="000000"/>
        </w:rPr>
        <w:t xml:space="preserve"> del recurso; </w:t>
      </w:r>
      <w:r>
        <w:rPr>
          <w:rFonts w:ascii="Palatino Linotype" w:eastAsia="Palatino Linotype" w:hAnsi="Palatino Linotype" w:cs="Palatino Linotype"/>
          <w:b/>
          <w:bCs/>
          <w:color w:val="000000"/>
        </w:rPr>
        <w:t>luego entonces no es factible suponer que fue por error involuntario, lo que se constituye como un desistimiento expreso</w:t>
      </w:r>
      <w:r>
        <w:rPr>
          <w:rFonts w:ascii="Palatino Linotype" w:eastAsia="Palatino Linotype" w:hAnsi="Palatino Linotype" w:cs="Palatino Linotype"/>
          <w:color w:val="000000"/>
        </w:rPr>
        <w:t>.</w:t>
      </w:r>
    </w:p>
    <w:p w:rsidR="0099726E" w:rsidRDefault="0099726E">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En ese orden de ideas el </w:t>
      </w:r>
      <w:sdt>
        <w:sdtPr>
          <w:tag w:val="goog_rdk_8"/>
          <w:id w:val="-871223543"/>
        </w:sdtPr>
        <w:sdtEndPr/>
        <w:sdtContent>
          <w:sdt>
            <w:sdtPr>
              <w:tag w:val="goog_rdk_9"/>
              <w:id w:val="-2068725155"/>
            </w:sdtPr>
            <w:sdtEndPr/>
            <w:sdtContent>
              <w:r w:rsidRPr="00D76C2F">
                <w:rPr>
                  <w:rFonts w:ascii="Palatino Linotype" w:eastAsia="Palatino Linotype" w:hAnsi="Palatino Linotype" w:cs="Palatino Linotype"/>
                </w:rPr>
                <w:t>artículo</w:t>
              </w:r>
            </w:sdtContent>
          </w:sdt>
        </w:sdtContent>
      </w:sdt>
      <w:sdt>
        <w:sdtPr>
          <w:tag w:val="goog_rdk_10"/>
          <w:id w:val="-1931161934"/>
        </w:sdtPr>
        <w:sdtEndPr/>
        <w:sdtContent>
          <w:sdt>
            <w:sdtPr>
              <w:tag w:val="goog_rdk_11"/>
              <w:id w:val="-1574765362"/>
              <w:showingPlcHdr/>
            </w:sdtPr>
            <w:sdtEndPr/>
            <w:sdtContent>
              <w:r w:rsidR="00D76C2F">
                <w:t xml:space="preserve">     </w:t>
              </w:r>
            </w:sdtContent>
          </w:sdt>
        </w:sdtContent>
      </w:sdt>
      <w:r>
        <w:rPr>
          <w:rFonts w:ascii="Palatino Linotype" w:eastAsia="Palatino Linotype" w:hAnsi="Palatino Linotype" w:cs="Palatino Linotype"/>
          <w:color w:val="000000"/>
        </w:rPr>
        <w:t xml:space="preserve"> 192</w:t>
      </w:r>
      <w:r>
        <w:rPr>
          <w:rFonts w:ascii="Century Gothic" w:eastAsia="Century Gothic" w:hAnsi="Century Gothic" w:cs="Century Gothic"/>
          <w:color w:val="000000"/>
        </w:rPr>
        <w:t xml:space="preserve"> </w:t>
      </w:r>
      <w:r>
        <w:rPr>
          <w:rFonts w:ascii="Palatino Linotype" w:eastAsia="Palatino Linotype" w:hAnsi="Palatino Linotype" w:cs="Palatino Linotype"/>
          <w:color w:val="000000"/>
        </w:rPr>
        <w:t>Ley de Transparencia y Acceso a la Información Pública del Estado de México y Municipios, establece lo siguiente:</w:t>
      </w:r>
    </w:p>
    <w:p w:rsidR="0099726E" w:rsidRDefault="006F0B48">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192.</w:t>
      </w:r>
      <w:r>
        <w:rPr>
          <w:rFonts w:ascii="Palatino Linotype" w:eastAsia="Palatino Linotype" w:hAnsi="Palatino Linotype" w:cs="Palatino Linotype"/>
          <w:i/>
          <w:iCs/>
          <w:color w:val="000000"/>
        </w:rPr>
        <w:t xml:space="preserve"> El </w:t>
      </w:r>
      <w:r>
        <w:rPr>
          <w:rFonts w:ascii="Palatino Linotype" w:eastAsia="Palatino Linotype" w:hAnsi="Palatino Linotype" w:cs="Palatino Linotype"/>
          <w:b/>
          <w:bCs/>
          <w:i/>
          <w:iCs/>
          <w:color w:val="000000"/>
        </w:rPr>
        <w:t>recurso será sobreseído</w:t>
      </w:r>
      <w:r>
        <w:rPr>
          <w:rFonts w:ascii="Palatino Linotype" w:eastAsia="Palatino Linotype" w:hAnsi="Palatino Linotype" w:cs="Palatino Linotype"/>
          <w:i/>
          <w:iCs/>
          <w:color w:val="000000"/>
        </w:rPr>
        <w:t>, en todo o en parte, cuando una vez admitido, se actualicen alguno de los siguientes supuestos:</w:t>
      </w:r>
    </w:p>
    <w:p w:rsidR="0099726E" w:rsidRDefault="006F0B48">
      <w:pPr>
        <w:pBdr>
          <w:top w:val="nil"/>
          <w:left w:val="nil"/>
          <w:bottom w:val="nil"/>
          <w:right w:val="nil"/>
          <w:between w:val="nil"/>
        </w:pBdr>
        <w:spacing w:line="360" w:lineRule="auto"/>
        <w:ind w:left="851"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El recurrente se desista expresamente del recurso;</w:t>
      </w:r>
    </w:p>
    <w:p w:rsidR="0099726E" w:rsidRDefault="006F0B48">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9474A" w:rsidRDefault="00E9474A">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p>
    <w:p w:rsidR="0099726E" w:rsidRDefault="006F0B48">
      <w:pPr>
        <w:numPr>
          <w:ilvl w:val="0"/>
          <w:numId w:val="4"/>
        </w:numPr>
        <w:pBdr>
          <w:top w:val="nil"/>
          <w:left w:val="nil"/>
          <w:bottom w:val="nil"/>
          <w:right w:val="nil"/>
          <w:between w:val="nil"/>
        </w:pBdr>
        <w:tabs>
          <w:tab w:val="left" w:pos="284"/>
          <w:tab w:val="left" w:pos="426"/>
        </w:tabs>
        <w:spacing w:after="240" w:line="360" w:lineRule="auto"/>
        <w:ind w:left="0" w:right="-734" w:firstLine="0"/>
        <w:jc w:val="both"/>
        <w:rPr>
          <w:color w:val="000000"/>
        </w:rPr>
      </w:pPr>
      <w:r>
        <w:rPr>
          <w:rFonts w:ascii="Palatino Linotype" w:eastAsia="Palatino Linotype" w:hAnsi="Palatino Linotype" w:cs="Palatino Linotype"/>
          <w:color w:val="000000"/>
        </w:rPr>
        <w:t>Robustece lo anterior la tesis aislada I.15o.T.2 K (10a.), del Décimo Quinto Tribunal Colegiado en Materia de Trabajo del Primer Circuito, misma que se anexa a continuación:</w:t>
      </w:r>
    </w:p>
    <w:p w:rsidR="0099726E" w:rsidRDefault="006F0B48">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DESISTIMIENTO DEL RECURSO DE REVISIÓN EN AMPARO INDIRECTO. ES INNECESARIO QUE SE RATIFIQUE EL ESCRITO CORRESPONDIENTE, CUANDO SU REQUERIMIENTO SE NOTIFICÓ PERSONALMENTE.</w:t>
      </w:r>
      <w:r>
        <w:rPr>
          <w:rFonts w:ascii="Palatino Linotype" w:eastAsia="Palatino Linotype" w:hAnsi="Palatino Linotype" w:cs="Palatino Linotype"/>
          <w:i/>
          <w:iCs/>
          <w:color w:val="000000"/>
        </w:rPr>
        <w:t xml:space="preserve"> “Si el quejoso en un juicio de amparo indirecto interpone recurso de revisión contra la sentencia dictada por el Juez de Distrito y una vez que el asunto se encuentra radicado ante el Tribunal Colegiado de Circuito competente, se desiste de dicho medio de defensa, es innecesario que ratifique el escrito relativo ante el órgano revisor, siempre y cuando el requerimiento en que se solicitó su presencia a efecto de que lo </w:t>
      </w:r>
      <w:r>
        <w:rPr>
          <w:rFonts w:ascii="Palatino Linotype" w:eastAsia="Palatino Linotype" w:hAnsi="Palatino Linotype" w:cs="Palatino Linotype"/>
          <w:i/>
          <w:iCs/>
          <w:color w:val="000000"/>
        </w:rPr>
        <w:lastRenderedPageBreak/>
        <w:t>ratifique, se haya notificado personalmente, pues con ello se cumplió el artículo 26, fracción I, inciso d), de la Ley de Amparo; por lo que si no acudió a ratificar el citado escrito, su voluntad de desistir del recurso interpuesto debe seguir prevaleciendo, pues sólo tiene como consecuencia la firmeza de la sentencia impugnada, máxime si se le apercibió con tenerlo por ratificado en caso de no acudir; además, esa circunstancia no soslaya el artículo 63, fracción I, de la citada ley, toda vez que esa disposición se refiere a la hipótesis en que el quejoso se desiste de la demanda de amparo, entendiéndose tal aspecto como el desistimiento de la acción que originó el juicio constitucional, lo cual conduce a decretar el sobreseimiento.”</w:t>
      </w:r>
    </w:p>
    <w:p w:rsidR="0099726E" w:rsidRDefault="006F0B48">
      <w:pPr>
        <w:numPr>
          <w:ilvl w:val="0"/>
          <w:numId w:val="4"/>
        </w:numPr>
        <w:pBdr>
          <w:top w:val="nil"/>
          <w:left w:val="nil"/>
          <w:bottom w:val="nil"/>
          <w:right w:val="nil"/>
          <w:between w:val="nil"/>
        </w:pBdr>
        <w:tabs>
          <w:tab w:val="left" w:pos="284"/>
          <w:tab w:val="left" w:pos="426"/>
        </w:tabs>
        <w:spacing w:before="240" w:line="360" w:lineRule="auto"/>
        <w:ind w:left="0" w:right="-734" w:firstLine="0"/>
        <w:jc w:val="both"/>
        <w:rPr>
          <w:color w:val="000000"/>
        </w:rPr>
      </w:pPr>
      <w:r>
        <w:rPr>
          <w:rFonts w:ascii="Palatino Linotype" w:eastAsia="Palatino Linotype" w:hAnsi="Palatino Linotype" w:cs="Palatino Linotype"/>
          <w:color w:val="000000"/>
        </w:rPr>
        <w:t xml:space="preserve">Por consiguiente, al existir un desistimiento expreso por parte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este Pleno determina el </w:t>
      </w:r>
      <w:r>
        <w:rPr>
          <w:rFonts w:ascii="Palatino Linotype" w:eastAsia="Palatino Linotype" w:hAnsi="Palatino Linotype" w:cs="Palatino Linotype"/>
          <w:b/>
          <w:bCs/>
          <w:color w:val="000000"/>
        </w:rPr>
        <w:t>SOBRESEIMIENTO</w:t>
      </w:r>
      <w:r>
        <w:rPr>
          <w:rFonts w:ascii="Palatino Linotype" w:eastAsia="Palatino Linotype" w:hAnsi="Palatino Linotype" w:cs="Palatino Linotype"/>
          <w:color w:val="000000"/>
        </w:rPr>
        <w:t xml:space="preserve"> del recurso de revisión.</w:t>
      </w:r>
    </w:p>
    <w:p w:rsidR="0099726E" w:rsidRDefault="0099726E">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99726E" w:rsidRDefault="006F0B48">
      <w:pPr>
        <w:numPr>
          <w:ilvl w:val="0"/>
          <w:numId w:val="4"/>
        </w:numPr>
        <w:pBdr>
          <w:top w:val="nil"/>
          <w:left w:val="nil"/>
          <w:bottom w:val="nil"/>
          <w:right w:val="nil"/>
          <w:between w:val="nil"/>
        </w:pBdr>
        <w:tabs>
          <w:tab w:val="left" w:pos="284"/>
          <w:tab w:val="left" w:pos="426"/>
        </w:tabs>
        <w:spacing w:line="360" w:lineRule="auto"/>
        <w:ind w:left="0" w:right="-734" w:firstLine="0"/>
        <w:jc w:val="both"/>
        <w:rPr>
          <w:color w:val="000000"/>
        </w:rPr>
      </w:pPr>
      <w:r>
        <w:rPr>
          <w:rFonts w:ascii="Palatino Linotype" w:eastAsia="Palatino Linotype" w:hAnsi="Palatino Linotype" w:cs="Palatino Linotype"/>
          <w:color w:val="000000"/>
        </w:rPr>
        <w:t xml:space="preserve">Bajo ese tenor y, en términos del artículo 186, fracción I, de la Ley de Transparencia y Acceso a la Información Pública del Estado de México y Municipios, este Pleno determina el </w:t>
      </w:r>
      <w:r>
        <w:rPr>
          <w:rFonts w:ascii="Palatino Linotype" w:eastAsia="Palatino Linotype" w:hAnsi="Palatino Linotype" w:cs="Palatino Linotype"/>
          <w:b/>
          <w:bCs/>
          <w:color w:val="000000"/>
        </w:rPr>
        <w:t xml:space="preserve">SOBRESEIMIENTO </w:t>
      </w:r>
      <w:r>
        <w:rPr>
          <w:rFonts w:ascii="Palatino Linotype" w:eastAsia="Palatino Linotype" w:hAnsi="Palatino Linotype" w:cs="Palatino Linotype"/>
          <w:color w:val="000000"/>
        </w:rPr>
        <w:t>del presente recurso de revisión, por actualizar el supuesto previsto en la fracción I, del artículo 192, de la Ley de Transparencia y Acceso a la Información Pública Estatal.</w:t>
      </w:r>
    </w:p>
    <w:p w:rsidR="0099726E" w:rsidRDefault="0099726E">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99726E" w:rsidRPr="00E9474A" w:rsidRDefault="006F0B48">
      <w:pPr>
        <w:numPr>
          <w:ilvl w:val="0"/>
          <w:numId w:val="4"/>
        </w:numPr>
        <w:pBdr>
          <w:top w:val="nil"/>
          <w:left w:val="nil"/>
          <w:bottom w:val="nil"/>
          <w:right w:val="nil"/>
          <w:between w:val="nil"/>
        </w:pBdr>
        <w:tabs>
          <w:tab w:val="left" w:pos="284"/>
          <w:tab w:val="left" w:pos="426"/>
        </w:tabs>
        <w:spacing w:after="240" w:line="360" w:lineRule="auto"/>
        <w:ind w:left="0" w:right="-734" w:firstLine="0"/>
        <w:jc w:val="both"/>
        <w:rPr>
          <w:color w:val="000000"/>
        </w:rPr>
      </w:pPr>
      <w:bookmarkStart w:id="9" w:name="_heading=h.wqzrb63kb3uo" w:colFirst="0" w:colLast="0"/>
      <w:bookmarkEnd w:id="9"/>
      <w:r>
        <w:rPr>
          <w:rFonts w:ascii="Palatino Linotype" w:eastAsia="Palatino Linotype" w:hAnsi="Palatino Linotype" w:cs="Palatino Linotype"/>
          <w:color w:val="000000"/>
        </w:rPr>
        <w:t>Por lo expuesto, y con fundamento en lo prescrito en los artículos 5, párrafos cuadragésimo cuarto,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r w:rsidR="00E9474A">
        <w:rPr>
          <w:rFonts w:ascii="Palatino Linotype" w:eastAsia="Palatino Linotype" w:hAnsi="Palatino Linotype" w:cs="Palatino Linotype"/>
          <w:color w:val="000000"/>
        </w:rPr>
        <w:t xml:space="preserve"> ----------------------------------------------------------------</w:t>
      </w:r>
    </w:p>
    <w:p w:rsidR="00E9474A" w:rsidRDefault="00E9474A" w:rsidP="00E9474A">
      <w:pPr>
        <w:pStyle w:val="Prrafodelista"/>
        <w:rPr>
          <w:color w:val="000000"/>
        </w:rPr>
      </w:pPr>
    </w:p>
    <w:p w:rsidR="00E9474A" w:rsidRDefault="00E9474A" w:rsidP="00E9474A">
      <w:pPr>
        <w:pBdr>
          <w:top w:val="nil"/>
          <w:left w:val="nil"/>
          <w:bottom w:val="nil"/>
          <w:right w:val="nil"/>
          <w:between w:val="nil"/>
        </w:pBdr>
        <w:tabs>
          <w:tab w:val="left" w:pos="284"/>
          <w:tab w:val="left" w:pos="426"/>
        </w:tabs>
        <w:spacing w:after="240" w:line="360" w:lineRule="auto"/>
        <w:ind w:right="-734"/>
        <w:jc w:val="both"/>
        <w:rPr>
          <w:color w:val="000000"/>
        </w:rPr>
      </w:pPr>
    </w:p>
    <w:p w:rsidR="0099726E" w:rsidRDefault="006F0B48">
      <w:pPr>
        <w:spacing w:line="360" w:lineRule="auto"/>
        <w:ind w:right="-734"/>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R E S U E L V E</w:t>
      </w:r>
    </w:p>
    <w:p w:rsidR="0099726E" w:rsidRDefault="0099726E">
      <w:pPr>
        <w:ind w:right="-734"/>
      </w:pPr>
    </w:p>
    <w:p w:rsidR="0099726E" w:rsidRDefault="006F0B48">
      <w:pPr>
        <w:spacing w:after="240"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rPr>
        <w:t xml:space="preserve">04253/INFOEM/IP/RR/2026, </w:t>
      </w:r>
      <w:r>
        <w:rPr>
          <w:rFonts w:ascii="Palatino Linotype" w:eastAsia="Palatino Linotype" w:hAnsi="Palatino Linotype" w:cs="Palatino Linotype"/>
        </w:rPr>
        <w:t xml:space="preserve">en términos de lo establecido en el artículo 192, fracción I, de la Ley de Transparencia y Acceso a la Información Pública del Estado de México y Municipios, </w:t>
      </w:r>
      <w:r>
        <w:rPr>
          <w:rFonts w:ascii="Palatino Linotype" w:eastAsia="Palatino Linotype" w:hAnsi="Palatino Linotype" w:cs="Palatino Linotype"/>
          <w:b/>
          <w:bCs/>
        </w:rPr>
        <w:t>por haberse desistido expresamente el</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términos del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99726E" w:rsidRDefault="00117E0B">
      <w:pPr>
        <w:pBdr>
          <w:top w:val="nil"/>
          <w:left w:val="nil"/>
          <w:bottom w:val="nil"/>
          <w:right w:val="nil"/>
          <w:between w:val="nil"/>
        </w:pBdr>
        <w:spacing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SEGUNDO. Notifíquese</w:t>
      </w:r>
      <w:r w:rsidR="006F0B48">
        <w:rPr>
          <w:rFonts w:ascii="Palatino Linotype" w:eastAsia="Palatino Linotype" w:hAnsi="Palatino Linotype" w:cs="Palatino Linotype"/>
          <w:b/>
          <w:bCs/>
          <w:color w:val="000000"/>
        </w:rPr>
        <w:t xml:space="preserve"> </w:t>
      </w:r>
      <w:r w:rsidR="006F0B48">
        <w:rPr>
          <w:rFonts w:ascii="Palatino Linotype" w:eastAsia="Palatino Linotype" w:hAnsi="Palatino Linotype" w:cs="Palatino Linotype"/>
          <w:color w:val="000000"/>
        </w:rPr>
        <w:t xml:space="preserve">a través del Sistema de Acceso a la Información Mexiquense </w:t>
      </w:r>
      <w:r w:rsidR="006F0B48">
        <w:rPr>
          <w:rFonts w:ascii="Palatino Linotype" w:eastAsia="Palatino Linotype" w:hAnsi="Palatino Linotype" w:cs="Palatino Linotype"/>
          <w:b/>
          <w:bCs/>
          <w:color w:val="000000"/>
        </w:rPr>
        <w:t xml:space="preserve">(SAIMEX) </w:t>
      </w:r>
      <w:r w:rsidR="006F0B48">
        <w:rPr>
          <w:rFonts w:ascii="Palatino Linotype" w:eastAsia="Palatino Linotype" w:hAnsi="Palatino Linotype" w:cs="Palatino Linotype"/>
          <w:color w:val="000000"/>
        </w:rPr>
        <w:t>la presente resolución al Titular de la Unidad de Transparencia del</w:t>
      </w:r>
      <w:r w:rsidR="006F0B48">
        <w:rPr>
          <w:rFonts w:ascii="Palatino Linotype" w:eastAsia="Palatino Linotype" w:hAnsi="Palatino Linotype" w:cs="Palatino Linotype"/>
          <w:b/>
          <w:bCs/>
          <w:color w:val="000000"/>
        </w:rPr>
        <w:t xml:space="preserve"> SUJETO OBLIGADO. </w:t>
      </w:r>
    </w:p>
    <w:p w:rsidR="0099726E" w:rsidRDefault="006F0B48">
      <w:pPr>
        <w:pBdr>
          <w:top w:val="nil"/>
          <w:left w:val="nil"/>
          <w:bottom w:val="nil"/>
          <w:right w:val="nil"/>
          <w:between w:val="nil"/>
        </w:pBdr>
        <w:spacing w:after="240"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TERCERO. Notifíquese al RECURRENTE </w:t>
      </w:r>
      <w:r>
        <w:rPr>
          <w:rFonts w:ascii="Palatino Linotype" w:eastAsia="Palatino Linotype" w:hAnsi="Palatino Linotype" w:cs="Palatino Linotype"/>
          <w:color w:val="000000"/>
        </w:rPr>
        <w:t>la presente resolución vía Sistema de Acceso a la Información Mexiquense (</w:t>
      </w:r>
      <w:r>
        <w:rPr>
          <w:rFonts w:ascii="Palatino Linotype" w:eastAsia="Palatino Linotype" w:hAnsi="Palatino Linotype" w:cs="Palatino Linotype"/>
          <w:b/>
          <w:bCs/>
          <w:color w:val="000000"/>
        </w:rPr>
        <w:t>SAIMEX).</w:t>
      </w:r>
    </w:p>
    <w:p w:rsidR="0099726E" w:rsidRDefault="006F0B48">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bookmarkStart w:id="10" w:name="_heading=h.1l2hjr3zq1hm" w:colFirst="0" w:colLast="0"/>
      <w:bookmarkEnd w:id="10"/>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Se hace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99726E" w:rsidRDefault="0099726E">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117E0B" w:rsidRPr="003E2295" w:rsidRDefault="00117E0B" w:rsidP="00117E0B">
      <w:pPr>
        <w:spacing w:before="240" w:after="240" w:line="360" w:lineRule="auto"/>
        <w:ind w:right="-737"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 xml:space="preserve">RDINARIA, </w:t>
      </w:r>
      <w:r>
        <w:rPr>
          <w:rFonts w:ascii="Palatino Linotype" w:hAnsi="Palatino Linotype" w:cs="Palatino Linotype"/>
        </w:rPr>
        <w:lastRenderedPageBreak/>
        <w:t>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99726E" w:rsidRDefault="0099726E">
      <w:pPr>
        <w:spacing w:before="240" w:after="240" w:line="360" w:lineRule="auto"/>
        <w:ind w:right="-734"/>
        <w:jc w:val="both"/>
        <w:rPr>
          <w:rFonts w:ascii="Palatino Linotype" w:eastAsia="Palatino Linotype" w:hAnsi="Palatino Linotype" w:cs="Palatino Linotype"/>
        </w:rPr>
      </w:pPr>
    </w:p>
    <w:p w:rsidR="0099726E" w:rsidRDefault="0099726E">
      <w:pPr>
        <w:spacing w:before="240" w:after="240" w:line="360" w:lineRule="auto"/>
        <w:ind w:right="-734"/>
        <w:jc w:val="both"/>
        <w:rPr>
          <w:rFonts w:ascii="Palatino Linotype" w:eastAsia="Palatino Linotype" w:hAnsi="Palatino Linotype" w:cs="Palatino Linotype"/>
        </w:rPr>
      </w:pPr>
    </w:p>
    <w:p w:rsidR="0099726E" w:rsidRDefault="0099726E">
      <w:pPr>
        <w:ind w:right="-734"/>
      </w:pPr>
    </w:p>
    <w:p w:rsidR="0001710E" w:rsidRDefault="0001710E">
      <w:pPr>
        <w:ind w:right="-734"/>
      </w:pPr>
    </w:p>
    <w:p w:rsidR="0001710E" w:rsidRDefault="0001710E">
      <w:pPr>
        <w:ind w:right="-734"/>
      </w:pPr>
    </w:p>
    <w:p w:rsidR="0001710E" w:rsidRDefault="0001710E">
      <w:pPr>
        <w:ind w:right="-734"/>
      </w:pPr>
    </w:p>
    <w:p w:rsidR="0001710E" w:rsidRDefault="0001710E">
      <w:pPr>
        <w:ind w:right="-734"/>
      </w:pPr>
    </w:p>
    <w:p w:rsidR="0001710E" w:rsidRDefault="0001710E">
      <w:pPr>
        <w:ind w:right="-734"/>
      </w:pPr>
    </w:p>
    <w:p w:rsidR="0001710E" w:rsidRDefault="0001710E">
      <w:pPr>
        <w:ind w:right="-734"/>
      </w:pPr>
    </w:p>
    <w:p w:rsidR="0099726E" w:rsidRDefault="0099726E">
      <w:pPr>
        <w:ind w:right="-734"/>
      </w:pPr>
    </w:p>
    <w:p w:rsidR="0099726E" w:rsidRDefault="0099726E">
      <w:pPr>
        <w:ind w:right="-734"/>
      </w:pPr>
    </w:p>
    <w:p w:rsidR="0099726E" w:rsidRDefault="0099726E">
      <w:pPr>
        <w:ind w:right="-734"/>
      </w:pPr>
    </w:p>
    <w:p w:rsidR="0099726E" w:rsidRDefault="0099726E">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p w:rsidR="00E9474A" w:rsidRDefault="00E9474A">
      <w:pPr>
        <w:ind w:right="-734"/>
      </w:pPr>
    </w:p>
    <w:sectPr w:rsidR="00E9474A">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18E" w:rsidRDefault="00CC618E">
      <w:r>
        <w:separator/>
      </w:r>
    </w:p>
  </w:endnote>
  <w:endnote w:type="continuationSeparator" w:id="0">
    <w:p w:rsidR="00CC618E" w:rsidRDefault="00CC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906021DA-0252-49C1-87B1-0BC52BB9784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792D4EC-48F2-45BD-A212-053DCA9943C5}"/>
    <w:embedBold r:id="rId3" w:fontKey="{9C8569E8-EDE5-4CB7-99BC-8A9925518354}"/>
    <w:embedItalic r:id="rId4" w:fontKey="{63EEC806-12BE-4BEC-A07F-8341E4664C33}"/>
    <w:embedBoldItalic r:id="rId5" w:fontKey="{21124B75-B90E-4C5A-AF52-AB56946DB77B}"/>
  </w:font>
  <w:font w:name="Calibri">
    <w:panose1 w:val="020F0502020204030204"/>
    <w:charset w:val="00"/>
    <w:family w:val="swiss"/>
    <w:pitch w:val="variable"/>
    <w:sig w:usb0="E4002EFF" w:usb1="C200247B" w:usb2="00000009" w:usb3="00000000" w:csb0="000001FF" w:csb1="00000000"/>
    <w:embedRegular r:id="rId6" w:fontKey="{DC91E2A3-1059-41E3-9DB9-1DF095E1C779}"/>
  </w:font>
  <w:font w:name="Georgia">
    <w:panose1 w:val="02040502050405020303"/>
    <w:charset w:val="00"/>
    <w:family w:val="roman"/>
    <w:pitch w:val="variable"/>
    <w:sig w:usb0="00000287" w:usb1="00000000" w:usb2="00000000" w:usb3="00000000" w:csb0="0000009F" w:csb1="00000000"/>
    <w:embedItalic r:id="rId7" w:fontKey="{FD58AB4B-AE6B-47E8-AB51-D0943EE203EF}"/>
  </w:font>
  <w:font w:name="Segoe UI">
    <w:panose1 w:val="020B0502040204020203"/>
    <w:charset w:val="00"/>
    <w:family w:val="swiss"/>
    <w:pitch w:val="variable"/>
    <w:sig w:usb0="E4002EFF" w:usb1="C000E47F" w:usb2="00000009" w:usb3="00000000" w:csb0="000001FF" w:csb1="00000000"/>
    <w:embedRegular r:id="rId8" w:fontKey="{872FF0C6-4FEB-4606-BE4A-0573368A8E37}"/>
  </w:font>
  <w:font w:name="Century Gothic">
    <w:panose1 w:val="020B0502020202020204"/>
    <w:charset w:val="00"/>
    <w:family w:val="swiss"/>
    <w:pitch w:val="variable"/>
    <w:sig w:usb0="00000287" w:usb1="00000000" w:usb2="00000000" w:usb3="00000000" w:csb0="0000009F" w:csb1="00000000"/>
    <w:embedRegular r:id="rId9" w:fontKey="{CA87F6C3-FFD0-425D-8925-D3DDECAC7878}"/>
  </w:font>
  <w:font w:name="Garamond">
    <w:panose1 w:val="02020404030301010803"/>
    <w:charset w:val="00"/>
    <w:family w:val="roman"/>
    <w:pitch w:val="variable"/>
    <w:sig w:usb0="00000287" w:usb1="00000000" w:usb2="00000000" w:usb3="00000000" w:csb0="0000009F" w:csb1="00000000"/>
    <w:embedRegular r:id="rId10" w:fontKey="{339C6074-FCFC-46EB-B43A-6FC6277A36C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9B733126-CD23-44B3-82F1-4EAE426C5B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6E" w:rsidRPr="00E9474A" w:rsidRDefault="006F0B4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E9474A">
      <w:rPr>
        <w:rFonts w:ascii="Palatino Linotype" w:hAnsi="Palatino Linotype"/>
        <w:color w:val="000000"/>
        <w:sz w:val="22"/>
      </w:rPr>
      <w:t xml:space="preserve">Página </w:t>
    </w:r>
    <w:r w:rsidRPr="00E9474A">
      <w:rPr>
        <w:rFonts w:ascii="Palatino Linotype" w:hAnsi="Palatino Linotype"/>
        <w:b/>
        <w:bCs/>
        <w:color w:val="000000"/>
        <w:sz w:val="22"/>
      </w:rPr>
      <w:fldChar w:fldCharType="begin"/>
    </w:r>
    <w:r w:rsidRPr="00E9474A">
      <w:rPr>
        <w:rFonts w:ascii="Palatino Linotype" w:hAnsi="Palatino Linotype"/>
        <w:b/>
        <w:bCs/>
        <w:color w:val="000000"/>
        <w:sz w:val="22"/>
      </w:rPr>
      <w:instrText>PAGE</w:instrText>
    </w:r>
    <w:r w:rsidRPr="00E9474A">
      <w:rPr>
        <w:rFonts w:ascii="Palatino Linotype" w:hAnsi="Palatino Linotype"/>
        <w:b/>
        <w:bCs/>
        <w:color w:val="000000"/>
        <w:sz w:val="22"/>
      </w:rPr>
      <w:fldChar w:fldCharType="separate"/>
    </w:r>
    <w:r w:rsidR="008B20CF">
      <w:rPr>
        <w:rFonts w:ascii="Palatino Linotype" w:hAnsi="Palatino Linotype"/>
        <w:b/>
        <w:bCs/>
        <w:noProof/>
        <w:color w:val="000000"/>
        <w:sz w:val="22"/>
      </w:rPr>
      <w:t>6</w:t>
    </w:r>
    <w:r w:rsidRPr="00E9474A">
      <w:rPr>
        <w:rFonts w:ascii="Palatino Linotype" w:hAnsi="Palatino Linotype"/>
        <w:b/>
        <w:bCs/>
        <w:color w:val="000000"/>
        <w:sz w:val="22"/>
      </w:rPr>
      <w:fldChar w:fldCharType="end"/>
    </w:r>
    <w:r w:rsidRPr="00E9474A">
      <w:rPr>
        <w:rFonts w:ascii="Palatino Linotype" w:hAnsi="Palatino Linotype"/>
        <w:color w:val="000000"/>
        <w:sz w:val="22"/>
      </w:rPr>
      <w:t xml:space="preserve"> de </w:t>
    </w:r>
    <w:r w:rsidRPr="00E9474A">
      <w:rPr>
        <w:rFonts w:ascii="Palatino Linotype" w:hAnsi="Palatino Linotype"/>
        <w:b/>
        <w:bCs/>
        <w:color w:val="000000"/>
        <w:sz w:val="22"/>
      </w:rPr>
      <w:fldChar w:fldCharType="begin"/>
    </w:r>
    <w:r w:rsidRPr="00E9474A">
      <w:rPr>
        <w:rFonts w:ascii="Palatino Linotype" w:hAnsi="Palatino Linotype"/>
        <w:b/>
        <w:bCs/>
        <w:color w:val="000000"/>
        <w:sz w:val="22"/>
      </w:rPr>
      <w:instrText>NUMPAGES</w:instrText>
    </w:r>
    <w:r w:rsidRPr="00E9474A">
      <w:rPr>
        <w:rFonts w:ascii="Palatino Linotype" w:hAnsi="Palatino Linotype"/>
        <w:b/>
        <w:bCs/>
        <w:color w:val="000000"/>
        <w:sz w:val="22"/>
      </w:rPr>
      <w:fldChar w:fldCharType="separate"/>
    </w:r>
    <w:r w:rsidR="008B20CF">
      <w:rPr>
        <w:rFonts w:ascii="Palatino Linotype" w:hAnsi="Palatino Linotype"/>
        <w:b/>
        <w:bCs/>
        <w:noProof/>
        <w:color w:val="000000"/>
        <w:sz w:val="22"/>
      </w:rPr>
      <w:t>11</w:t>
    </w:r>
    <w:r w:rsidRPr="00E9474A">
      <w:rPr>
        <w:rFonts w:ascii="Palatino Linotype" w:hAnsi="Palatino Linotype"/>
        <w:b/>
        <w:bCs/>
        <w:color w:val="000000"/>
        <w:sz w:val="22"/>
      </w:rPr>
      <w:fldChar w:fldCharType="end"/>
    </w:r>
  </w:p>
  <w:p w:rsidR="0099726E" w:rsidRDefault="0099726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6E" w:rsidRDefault="006F0B48">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8B20CF">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8B20CF">
      <w:rPr>
        <w:b/>
        <w:bCs/>
        <w:noProof/>
        <w:color w:val="000000"/>
      </w:rPr>
      <w:t>11</w:t>
    </w:r>
    <w:r>
      <w:rPr>
        <w:b/>
        <w:bCs/>
        <w:color w:val="000000"/>
      </w:rPr>
      <w:fldChar w:fldCharType="end"/>
    </w:r>
  </w:p>
  <w:p w:rsidR="0099726E" w:rsidRDefault="0099726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18E" w:rsidRDefault="00CC618E">
      <w:r>
        <w:separator/>
      </w:r>
    </w:p>
  </w:footnote>
  <w:footnote w:type="continuationSeparator" w:id="0">
    <w:p w:rsidR="00CC618E" w:rsidRDefault="00CC61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6E" w:rsidRDefault="00CC618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48" w:type="dxa"/>
      <w:tblInd w:w="0" w:type="dxa"/>
      <w:tblLayout w:type="fixed"/>
      <w:tblLook w:val="0400" w:firstRow="0" w:lastRow="0" w:firstColumn="0" w:lastColumn="0" w:noHBand="0" w:noVBand="1"/>
    </w:tblPr>
    <w:tblGrid>
      <w:gridCol w:w="2268"/>
      <w:gridCol w:w="8080"/>
    </w:tblGrid>
    <w:tr w:rsidR="0099726E" w:rsidTr="00E9474A">
      <w:trPr>
        <w:trHeight w:val="1435"/>
      </w:trPr>
      <w:tc>
        <w:tcPr>
          <w:tcW w:w="2268" w:type="dxa"/>
          <w:shd w:val="clear" w:color="auto" w:fill="auto"/>
        </w:tcPr>
        <w:p w:rsidR="0099726E" w:rsidRDefault="0099726E">
          <w:pPr>
            <w:tabs>
              <w:tab w:val="right" w:pos="4273"/>
            </w:tabs>
            <w:rPr>
              <w:rFonts w:ascii="Garamond" w:eastAsia="Garamond" w:hAnsi="Garamond" w:cs="Garamond"/>
              <w:sz w:val="16"/>
              <w:szCs w:val="16"/>
            </w:rPr>
          </w:pPr>
        </w:p>
      </w:tc>
      <w:tc>
        <w:tcPr>
          <w:tcW w:w="8080" w:type="dxa"/>
          <w:shd w:val="clear" w:color="auto" w:fill="auto"/>
        </w:tcPr>
        <w:tbl>
          <w:tblPr>
            <w:tblStyle w:val="a0"/>
            <w:tblW w:w="6944" w:type="dxa"/>
            <w:tblInd w:w="1161" w:type="dxa"/>
            <w:tblLayout w:type="fixed"/>
            <w:tblLook w:val="0400" w:firstRow="0" w:lastRow="0" w:firstColumn="0" w:lastColumn="0" w:noHBand="0" w:noVBand="1"/>
          </w:tblPr>
          <w:tblGrid>
            <w:gridCol w:w="2833"/>
            <w:gridCol w:w="4111"/>
          </w:tblGrid>
          <w:tr w:rsidR="0099726E" w:rsidTr="00E9474A">
            <w:trPr>
              <w:trHeight w:val="144"/>
            </w:trPr>
            <w:tc>
              <w:tcPr>
                <w:tcW w:w="2833" w:type="dxa"/>
                <w:shd w:val="clear" w:color="auto" w:fill="auto"/>
              </w:tcPr>
              <w:p w:rsidR="0099726E" w:rsidRPr="00E9474A" w:rsidRDefault="006F0B48">
                <w:pPr>
                  <w:tabs>
                    <w:tab w:val="right" w:pos="8838"/>
                  </w:tabs>
                  <w:ind w:left="-264" w:right="-105" w:firstLine="195"/>
                  <w:rPr>
                    <w:rFonts w:ascii="Palatino Linotype" w:eastAsia="Palatino Linotype" w:hAnsi="Palatino Linotype" w:cs="Palatino Linotype"/>
                    <w:b/>
                    <w:bCs/>
                    <w:szCs w:val="22"/>
                  </w:rPr>
                </w:pPr>
                <w:r w:rsidRPr="00E9474A">
                  <w:rPr>
                    <w:rFonts w:ascii="Palatino Linotype" w:eastAsia="Palatino Linotype" w:hAnsi="Palatino Linotype" w:cs="Palatino Linotype"/>
                    <w:b/>
                    <w:bCs/>
                    <w:szCs w:val="22"/>
                  </w:rPr>
                  <w:t>Recurso de Revisión:</w:t>
                </w:r>
              </w:p>
            </w:tc>
            <w:tc>
              <w:tcPr>
                <w:tcW w:w="4111" w:type="dxa"/>
                <w:shd w:val="clear" w:color="auto" w:fill="auto"/>
              </w:tcPr>
              <w:p w:rsidR="0099726E" w:rsidRPr="00E9474A" w:rsidRDefault="006F0B48">
                <w:pPr>
                  <w:tabs>
                    <w:tab w:val="right" w:pos="8838"/>
                  </w:tabs>
                  <w:ind w:left="-74" w:right="-105"/>
                  <w:jc w:val="both"/>
                  <w:rPr>
                    <w:rFonts w:ascii="Palatino Linotype" w:eastAsia="Palatino Linotype" w:hAnsi="Palatino Linotype" w:cs="Palatino Linotype"/>
                    <w:szCs w:val="22"/>
                  </w:rPr>
                </w:pPr>
                <w:r w:rsidRPr="00E9474A">
                  <w:rPr>
                    <w:rFonts w:ascii="Palatino Linotype" w:eastAsia="Palatino Linotype" w:hAnsi="Palatino Linotype" w:cs="Palatino Linotype"/>
                    <w:szCs w:val="22"/>
                  </w:rPr>
                  <w:t>04253/INFOEM/IP/RR/2026</w:t>
                </w:r>
              </w:p>
            </w:tc>
          </w:tr>
          <w:tr w:rsidR="0099726E" w:rsidTr="00E9474A">
            <w:trPr>
              <w:trHeight w:val="283"/>
            </w:trPr>
            <w:tc>
              <w:tcPr>
                <w:tcW w:w="2833" w:type="dxa"/>
                <w:shd w:val="clear" w:color="auto" w:fill="auto"/>
              </w:tcPr>
              <w:p w:rsidR="0099726E" w:rsidRPr="00E9474A" w:rsidRDefault="006F0B48">
                <w:pPr>
                  <w:tabs>
                    <w:tab w:val="right" w:pos="8838"/>
                  </w:tabs>
                  <w:ind w:left="-74" w:right="-105"/>
                  <w:rPr>
                    <w:rFonts w:ascii="Palatino Linotype" w:eastAsia="Palatino Linotype" w:hAnsi="Palatino Linotype" w:cs="Palatino Linotype"/>
                    <w:b/>
                    <w:bCs/>
                    <w:szCs w:val="22"/>
                  </w:rPr>
                </w:pPr>
                <w:r w:rsidRPr="00E9474A">
                  <w:rPr>
                    <w:rFonts w:ascii="Palatino Linotype" w:eastAsia="Palatino Linotype" w:hAnsi="Palatino Linotype" w:cs="Palatino Linotype"/>
                    <w:b/>
                    <w:bCs/>
                    <w:szCs w:val="22"/>
                  </w:rPr>
                  <w:t>Sujeto Obligado:</w:t>
                </w:r>
              </w:p>
            </w:tc>
            <w:tc>
              <w:tcPr>
                <w:tcW w:w="4111" w:type="dxa"/>
                <w:shd w:val="clear" w:color="auto" w:fill="auto"/>
              </w:tcPr>
              <w:p w:rsidR="0099726E" w:rsidRPr="00E9474A" w:rsidRDefault="006F0B48">
                <w:pPr>
                  <w:tabs>
                    <w:tab w:val="left" w:pos="2834"/>
                    <w:tab w:val="right" w:pos="8838"/>
                  </w:tabs>
                  <w:ind w:left="-74" w:right="-105"/>
                  <w:jc w:val="both"/>
                  <w:rPr>
                    <w:rFonts w:ascii="Palatino Linotype" w:eastAsia="Palatino Linotype" w:hAnsi="Palatino Linotype" w:cs="Palatino Linotype"/>
                    <w:szCs w:val="22"/>
                  </w:rPr>
                </w:pPr>
                <w:r w:rsidRPr="00E9474A">
                  <w:rPr>
                    <w:rFonts w:ascii="Palatino Linotype" w:eastAsia="Palatino Linotype" w:hAnsi="Palatino Linotype" w:cs="Palatino Linotype"/>
                    <w:szCs w:val="22"/>
                  </w:rPr>
                  <w:t>Poder Legislativo</w:t>
                </w:r>
              </w:p>
            </w:tc>
          </w:tr>
          <w:tr w:rsidR="0099726E" w:rsidTr="00E9474A">
            <w:trPr>
              <w:trHeight w:val="283"/>
            </w:trPr>
            <w:tc>
              <w:tcPr>
                <w:tcW w:w="2833" w:type="dxa"/>
                <w:shd w:val="clear" w:color="auto" w:fill="auto"/>
              </w:tcPr>
              <w:p w:rsidR="0099726E" w:rsidRPr="00E9474A" w:rsidRDefault="006F0B48">
                <w:pPr>
                  <w:tabs>
                    <w:tab w:val="right" w:pos="8838"/>
                  </w:tabs>
                  <w:ind w:left="-74" w:right="-105"/>
                  <w:rPr>
                    <w:rFonts w:ascii="Palatino Linotype" w:eastAsia="Palatino Linotype" w:hAnsi="Palatino Linotype" w:cs="Palatino Linotype"/>
                    <w:b/>
                    <w:bCs/>
                    <w:szCs w:val="22"/>
                  </w:rPr>
                </w:pPr>
                <w:r w:rsidRPr="00E9474A">
                  <w:rPr>
                    <w:rFonts w:ascii="Palatino Linotype" w:eastAsia="Palatino Linotype" w:hAnsi="Palatino Linotype" w:cs="Palatino Linotype"/>
                    <w:b/>
                    <w:bCs/>
                    <w:szCs w:val="22"/>
                  </w:rPr>
                  <w:t>Comisionado ponente:</w:t>
                </w:r>
              </w:p>
            </w:tc>
            <w:tc>
              <w:tcPr>
                <w:tcW w:w="4111" w:type="dxa"/>
                <w:shd w:val="clear" w:color="auto" w:fill="auto"/>
              </w:tcPr>
              <w:p w:rsidR="0099726E" w:rsidRPr="00E9474A" w:rsidRDefault="006F0B48">
                <w:pPr>
                  <w:tabs>
                    <w:tab w:val="right" w:pos="8838"/>
                  </w:tabs>
                  <w:ind w:left="-74" w:right="-105"/>
                  <w:jc w:val="both"/>
                  <w:rPr>
                    <w:rFonts w:ascii="Palatino Linotype" w:eastAsia="Palatino Linotype" w:hAnsi="Palatino Linotype" w:cs="Palatino Linotype"/>
                    <w:szCs w:val="22"/>
                  </w:rPr>
                </w:pPr>
                <w:r w:rsidRPr="00E9474A">
                  <w:rPr>
                    <w:rFonts w:ascii="Palatino Linotype" w:eastAsia="Palatino Linotype" w:hAnsi="Palatino Linotype" w:cs="Palatino Linotype"/>
                    <w:szCs w:val="22"/>
                  </w:rPr>
                  <w:t>María del Rosario Mejía Ayala</w:t>
                </w:r>
              </w:p>
            </w:tc>
          </w:tr>
        </w:tbl>
        <w:p w:rsidR="0099726E" w:rsidRDefault="0099726E">
          <w:pPr>
            <w:tabs>
              <w:tab w:val="right" w:pos="8838"/>
            </w:tabs>
            <w:ind w:left="-28"/>
            <w:jc w:val="both"/>
            <w:rPr>
              <w:rFonts w:ascii="Arial" w:eastAsia="Arial" w:hAnsi="Arial" w:cs="Arial"/>
              <w:b/>
              <w:bCs/>
              <w:sz w:val="22"/>
              <w:szCs w:val="22"/>
            </w:rPr>
          </w:pPr>
        </w:p>
      </w:tc>
    </w:tr>
  </w:tbl>
  <w:p w:rsidR="0099726E" w:rsidRDefault="00CC618E">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05" w:type="dxa"/>
      <w:tblInd w:w="0" w:type="dxa"/>
      <w:tblLayout w:type="fixed"/>
      <w:tblLook w:val="0400" w:firstRow="0" w:lastRow="0" w:firstColumn="0" w:lastColumn="0" w:noHBand="0" w:noVBand="1"/>
    </w:tblPr>
    <w:tblGrid>
      <w:gridCol w:w="2265"/>
      <w:gridCol w:w="8040"/>
    </w:tblGrid>
    <w:tr w:rsidR="0099726E">
      <w:trPr>
        <w:trHeight w:val="1435"/>
      </w:trPr>
      <w:tc>
        <w:tcPr>
          <w:tcW w:w="2265" w:type="dxa"/>
          <w:shd w:val="clear" w:color="auto" w:fill="auto"/>
        </w:tcPr>
        <w:p w:rsidR="0099726E" w:rsidRDefault="0099726E">
          <w:pPr>
            <w:tabs>
              <w:tab w:val="right" w:pos="4273"/>
            </w:tabs>
            <w:rPr>
              <w:rFonts w:ascii="Garamond" w:eastAsia="Garamond" w:hAnsi="Garamond" w:cs="Garamond"/>
              <w:sz w:val="22"/>
              <w:szCs w:val="22"/>
            </w:rPr>
          </w:pPr>
        </w:p>
      </w:tc>
      <w:tc>
        <w:tcPr>
          <w:tcW w:w="8040" w:type="dxa"/>
          <w:shd w:val="clear" w:color="auto" w:fill="auto"/>
        </w:tcPr>
        <w:tbl>
          <w:tblPr>
            <w:tblStyle w:val="a2"/>
            <w:tblW w:w="7740" w:type="dxa"/>
            <w:tblInd w:w="40" w:type="dxa"/>
            <w:tblLayout w:type="fixed"/>
            <w:tblLook w:val="0400" w:firstRow="0" w:lastRow="0" w:firstColumn="0" w:lastColumn="0" w:noHBand="0" w:noVBand="1"/>
          </w:tblPr>
          <w:tblGrid>
            <w:gridCol w:w="3510"/>
            <w:gridCol w:w="4230"/>
          </w:tblGrid>
          <w:tr w:rsidR="0099726E">
            <w:trPr>
              <w:trHeight w:val="144"/>
            </w:trPr>
            <w:tc>
              <w:tcPr>
                <w:tcW w:w="3510" w:type="dxa"/>
                <w:shd w:val="clear" w:color="auto" w:fill="auto"/>
              </w:tcPr>
              <w:p w:rsidR="0099726E" w:rsidRDefault="006F0B48">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30" w:type="dxa"/>
                <w:shd w:val="clear" w:color="auto" w:fill="auto"/>
              </w:tcPr>
              <w:p w:rsidR="0099726E" w:rsidRDefault="006F0B48">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04253/INFOEM/IP/RR/2026</w:t>
                </w:r>
              </w:p>
            </w:tc>
          </w:tr>
          <w:tr w:rsidR="0099726E">
            <w:trPr>
              <w:trHeight w:val="144"/>
            </w:trPr>
            <w:tc>
              <w:tcPr>
                <w:tcW w:w="3510" w:type="dxa"/>
                <w:shd w:val="clear" w:color="auto" w:fill="auto"/>
              </w:tcPr>
              <w:p w:rsidR="0099726E" w:rsidRDefault="006F0B48">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30" w:type="dxa"/>
                <w:shd w:val="clear" w:color="auto" w:fill="auto"/>
              </w:tcPr>
              <w:p w:rsidR="0099726E" w:rsidRDefault="00573282">
                <w:pPr>
                  <w:tabs>
                    <w:tab w:val="left" w:pos="3122"/>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99726E">
            <w:trPr>
              <w:trHeight w:val="283"/>
            </w:trPr>
            <w:tc>
              <w:tcPr>
                <w:tcW w:w="3510" w:type="dxa"/>
                <w:shd w:val="clear" w:color="auto" w:fill="auto"/>
              </w:tcPr>
              <w:p w:rsidR="0099726E" w:rsidRDefault="006F0B48">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30" w:type="dxa"/>
                <w:shd w:val="clear" w:color="auto" w:fill="auto"/>
              </w:tcPr>
              <w:p w:rsidR="0099726E" w:rsidRDefault="006F0B48">
                <w:pPr>
                  <w:tabs>
                    <w:tab w:val="left" w:pos="2834"/>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Poder Legislativo</w:t>
                </w:r>
              </w:p>
            </w:tc>
          </w:tr>
          <w:tr w:rsidR="0099726E">
            <w:trPr>
              <w:trHeight w:val="283"/>
            </w:trPr>
            <w:tc>
              <w:tcPr>
                <w:tcW w:w="3510" w:type="dxa"/>
                <w:shd w:val="clear" w:color="auto" w:fill="auto"/>
              </w:tcPr>
              <w:p w:rsidR="0099726E" w:rsidRDefault="006F0B48">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230" w:type="dxa"/>
                <w:shd w:val="clear" w:color="auto" w:fill="auto"/>
              </w:tcPr>
              <w:p w:rsidR="0099726E" w:rsidRDefault="006F0B48">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99726E" w:rsidRDefault="0099726E">
                <w:pPr>
                  <w:tabs>
                    <w:tab w:val="right" w:pos="8838"/>
                  </w:tabs>
                  <w:ind w:left="33" w:right="-1375"/>
                  <w:jc w:val="both"/>
                  <w:rPr>
                    <w:rFonts w:ascii="Palatino Linotype" w:eastAsia="Palatino Linotype" w:hAnsi="Palatino Linotype" w:cs="Palatino Linotype"/>
                    <w:b/>
                    <w:bCs/>
                  </w:rPr>
                </w:pPr>
              </w:p>
            </w:tc>
          </w:tr>
        </w:tbl>
        <w:p w:rsidR="0099726E" w:rsidRDefault="0099726E">
          <w:pPr>
            <w:tabs>
              <w:tab w:val="right" w:pos="8838"/>
            </w:tabs>
            <w:ind w:left="-28"/>
            <w:jc w:val="both"/>
            <w:rPr>
              <w:rFonts w:ascii="Arial" w:eastAsia="Arial" w:hAnsi="Arial" w:cs="Arial"/>
              <w:b/>
              <w:bCs/>
              <w:sz w:val="22"/>
              <w:szCs w:val="22"/>
            </w:rPr>
          </w:pPr>
        </w:p>
      </w:tc>
    </w:tr>
  </w:tbl>
  <w:p w:rsidR="0099726E" w:rsidRDefault="00CC618E">
    <w:pPr>
      <w:pBdr>
        <w:top w:val="nil"/>
        <w:left w:val="nil"/>
        <w:bottom w:val="nil"/>
        <w:right w:val="nil"/>
        <w:between w:val="nil"/>
      </w:pBdr>
      <w:tabs>
        <w:tab w:val="center" w:pos="4419"/>
        <w:tab w:val="right" w:pos="8838"/>
      </w:tabs>
      <w:rPr>
        <w:color w:val="000000"/>
        <w:sz w:val="2"/>
        <w:szCs w:val="2"/>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7.15pt;margin-top:-123.9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611FC"/>
    <w:multiLevelType w:val="multilevel"/>
    <w:tmpl w:val="623614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1270EBE"/>
    <w:multiLevelType w:val="multilevel"/>
    <w:tmpl w:val="9604B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D959E4"/>
    <w:multiLevelType w:val="multilevel"/>
    <w:tmpl w:val="AFE461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37F3099"/>
    <w:multiLevelType w:val="multilevel"/>
    <w:tmpl w:val="1D162304"/>
    <w:lvl w:ilvl="0">
      <w:start w:val="1"/>
      <w:numFmt w:val="decimal"/>
      <w:lvlText w:val="%1."/>
      <w:lvlJc w:val="left"/>
      <w:pPr>
        <w:ind w:left="2204" w:hanging="360"/>
      </w:pPr>
      <w:rPr>
        <w:rFonts w:ascii="Palatino Linotype" w:eastAsia="Palatino Linotype" w:hAnsi="Palatino Linotype" w:cs="Palatino Linotype"/>
        <w:b/>
        <w:bCs/>
        <w:i w:val="0"/>
        <w:iCs w:val="0"/>
        <w:color w:val="000000"/>
        <w:sz w:val="24"/>
        <w:szCs w:val="24"/>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26E"/>
    <w:rsid w:val="0001710E"/>
    <w:rsid w:val="00117E0B"/>
    <w:rsid w:val="00246807"/>
    <w:rsid w:val="00352558"/>
    <w:rsid w:val="0049436A"/>
    <w:rsid w:val="00573282"/>
    <w:rsid w:val="005D0C26"/>
    <w:rsid w:val="006F0B48"/>
    <w:rsid w:val="008B20CF"/>
    <w:rsid w:val="0096770C"/>
    <w:rsid w:val="0099726E"/>
    <w:rsid w:val="00CC618E"/>
    <w:rsid w:val="00CF7691"/>
    <w:rsid w:val="00D76C2F"/>
    <w:rsid w:val="00E125BC"/>
    <w:rsid w:val="00E947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DE97AEC-B7F4-47A8-AA0F-3DD3A25B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117E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7E0B"/>
    <w:rPr>
      <w:rFonts w:ascii="Segoe UI" w:hAnsi="Segoe UI" w:cs="Segoe UI"/>
      <w:sz w:val="18"/>
      <w:szCs w:val="18"/>
    </w:rPr>
  </w:style>
  <w:style w:type="paragraph" w:styleId="Piedepgina">
    <w:name w:val="footer"/>
    <w:basedOn w:val="Normal"/>
    <w:link w:val="PiedepginaCar"/>
    <w:uiPriority w:val="99"/>
    <w:unhideWhenUsed/>
    <w:rsid w:val="00E9474A"/>
    <w:pPr>
      <w:tabs>
        <w:tab w:val="center" w:pos="4419"/>
        <w:tab w:val="right" w:pos="8838"/>
      </w:tabs>
    </w:pPr>
  </w:style>
  <w:style w:type="character" w:customStyle="1" w:styleId="PiedepginaCar">
    <w:name w:val="Pie de página Car"/>
    <w:basedOn w:val="Fuentedeprrafopredeter"/>
    <w:link w:val="Piedepgina"/>
    <w:uiPriority w:val="99"/>
    <w:rsid w:val="00E9474A"/>
  </w:style>
  <w:style w:type="paragraph" w:styleId="Prrafodelista">
    <w:name w:val="List Paragraph"/>
    <w:basedOn w:val="Normal"/>
    <w:uiPriority w:val="34"/>
    <w:qFormat/>
    <w:rsid w:val="00E94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DEVxF49bH/38YcPYoAoCd4THQ==">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2332</Words>
  <Characters>12826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11</cp:revision>
  <cp:lastPrinted>2026-05-21T23:18:00Z</cp:lastPrinted>
  <dcterms:created xsi:type="dcterms:W3CDTF">2026-05-20T21:17:00Z</dcterms:created>
  <dcterms:modified xsi:type="dcterms:W3CDTF">2026-06-17T19:22:00Z</dcterms:modified>
</cp:coreProperties>
</file>