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C16" w:rsidRPr="00021080" w:rsidRDefault="00954C16" w:rsidP="00954C16">
      <w:pPr>
        <w:spacing w:before="240" w:after="240" w:line="360" w:lineRule="auto"/>
        <w:jc w:val="both"/>
        <w:rPr>
          <w:rFonts w:ascii="Palatino Linotype" w:eastAsia="Palatino Linotype" w:hAnsi="Palatino Linotype" w:cs="Palatino Linotype"/>
          <w:b/>
        </w:rPr>
      </w:pPr>
      <w:bookmarkStart w:id="0" w:name="_heading=h.f843359a9b8o" w:colFirst="0" w:colLast="0"/>
      <w:bookmarkEnd w:id="0"/>
      <w:r w:rsidRPr="00021080">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021080">
        <w:rPr>
          <w:rFonts w:ascii="Palatino Linotype" w:eastAsia="Palatino Linotype" w:hAnsi="Palatino Linotype" w:cs="Palatino Linotype"/>
        </w:rPr>
        <w:t xml:space="preserve"> de México; de </w:t>
      </w:r>
      <w:r w:rsidR="00021080" w:rsidRPr="00021080">
        <w:rPr>
          <w:rFonts w:ascii="Palatino Linotype" w:eastAsia="Palatino Linotype" w:hAnsi="Palatino Linotype" w:cs="Palatino Linotype"/>
          <w:b/>
        </w:rPr>
        <w:t xml:space="preserve">fecha </w:t>
      </w:r>
      <w:r w:rsidR="002B48C6" w:rsidRPr="00021080">
        <w:rPr>
          <w:rFonts w:ascii="Palatino Linotype" w:eastAsia="Palatino Linotype" w:hAnsi="Palatino Linotype" w:cs="Palatino Linotype"/>
          <w:b/>
        </w:rPr>
        <w:t xml:space="preserve">veinticinco </w:t>
      </w:r>
      <w:r w:rsidR="00021080" w:rsidRPr="00021080">
        <w:rPr>
          <w:rFonts w:ascii="Palatino Linotype" w:eastAsia="Palatino Linotype" w:hAnsi="Palatino Linotype" w:cs="Palatino Linotype"/>
          <w:b/>
        </w:rPr>
        <w:t xml:space="preserve">(25) </w:t>
      </w:r>
      <w:r w:rsidR="002B48C6" w:rsidRPr="00021080">
        <w:rPr>
          <w:rFonts w:ascii="Palatino Linotype" w:eastAsia="Palatino Linotype" w:hAnsi="Palatino Linotype" w:cs="Palatino Linotype"/>
          <w:b/>
        </w:rPr>
        <w:t>de junio de dos mil veintiséis</w:t>
      </w:r>
      <w:r w:rsidRPr="00021080">
        <w:rPr>
          <w:rFonts w:ascii="Palatino Linotype" w:eastAsia="Palatino Linotype" w:hAnsi="Palatino Linotype" w:cs="Palatino Linotype"/>
          <w:b/>
        </w:rPr>
        <w:t>.</w:t>
      </w:r>
    </w:p>
    <w:p w:rsidR="00954C16" w:rsidRDefault="00954C16" w:rsidP="002B48C6">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b/>
          <w:color w:val="000000"/>
        </w:rPr>
        <w:t>VISTOS los</w:t>
      </w:r>
      <w:r w:rsidRPr="00021080">
        <w:rPr>
          <w:rFonts w:ascii="Palatino Linotype" w:eastAsia="Palatino Linotype" w:hAnsi="Palatino Linotype" w:cs="Palatino Linotype"/>
          <w:color w:val="000000"/>
        </w:rPr>
        <w:t xml:space="preserve"> expedientes electrónicos formados con motivo de los recursos de revisión </w:t>
      </w:r>
      <w:r w:rsidRPr="00021080">
        <w:rPr>
          <w:rFonts w:ascii="Palatino Linotype" w:eastAsia="Palatino Linotype" w:hAnsi="Palatino Linotype" w:cs="Palatino Linotype"/>
          <w:b/>
          <w:color w:val="000000"/>
        </w:rPr>
        <w:t xml:space="preserve">04338/INFOEM/IP/RR/2026, 04339/INFOEM/IP/RR/2026 y 04343/INFOEM/IP/RR/2026, </w:t>
      </w:r>
      <w:r w:rsidRPr="00021080">
        <w:rPr>
          <w:rFonts w:ascii="Palatino Linotype" w:eastAsia="Palatino Linotype" w:hAnsi="Palatino Linotype" w:cs="Palatino Linotype"/>
          <w:color w:val="000000"/>
        </w:rPr>
        <w:t xml:space="preserve">promovidos por </w:t>
      </w:r>
      <w:r w:rsidR="000751ED">
        <w:rPr>
          <w:rFonts w:ascii="Palatino Linotype" w:eastAsia="Palatino Linotype" w:hAnsi="Palatino Linotype" w:cs="Palatino Linotype"/>
          <w:b/>
        </w:rPr>
        <w:t>XXXX</w:t>
      </w:r>
      <w:r w:rsidRPr="00021080">
        <w:rPr>
          <w:rFonts w:ascii="Palatino Linotype" w:eastAsia="Palatino Linotype" w:hAnsi="Palatino Linotype" w:cs="Palatino Linotype"/>
        </w:rPr>
        <w:t xml:space="preserve">, quien en lo sucesivo se identificará como </w:t>
      </w:r>
      <w:r w:rsidRPr="00021080">
        <w:rPr>
          <w:rFonts w:ascii="Palatino Linotype" w:eastAsia="Palatino Linotype" w:hAnsi="Palatino Linotype" w:cs="Palatino Linotype"/>
          <w:b/>
          <w:color w:val="000000"/>
        </w:rPr>
        <w:t>RECURRENTE</w:t>
      </w:r>
      <w:r w:rsidRPr="00021080">
        <w:rPr>
          <w:rFonts w:ascii="Palatino Linotype" w:eastAsia="Palatino Linotype" w:hAnsi="Palatino Linotype" w:cs="Palatino Linotype"/>
          <w:color w:val="000000"/>
        </w:rPr>
        <w:t xml:space="preserve">, en contra de la respuesta del </w:t>
      </w:r>
      <w:r w:rsidRPr="00021080">
        <w:rPr>
          <w:rFonts w:ascii="Palatino Linotype" w:eastAsia="Palatino Linotype" w:hAnsi="Palatino Linotype" w:cs="Palatino Linotype"/>
          <w:b/>
          <w:color w:val="000000"/>
        </w:rPr>
        <w:t>Ayuntamiento de Apaxco</w:t>
      </w:r>
      <w:r w:rsidRPr="00021080">
        <w:rPr>
          <w:rFonts w:ascii="Palatino Linotype" w:eastAsia="Palatino Linotype" w:hAnsi="Palatino Linotype" w:cs="Palatino Linotype"/>
          <w:color w:val="000000"/>
        </w:rPr>
        <w:t>,</w:t>
      </w:r>
      <w:r w:rsidRPr="00021080">
        <w:rPr>
          <w:rFonts w:ascii="Palatino Linotype" w:eastAsia="Palatino Linotype" w:hAnsi="Palatino Linotype" w:cs="Palatino Linotype"/>
          <w:b/>
          <w:color w:val="000000"/>
        </w:rPr>
        <w:t xml:space="preserve"> </w:t>
      </w:r>
      <w:r w:rsidRPr="00021080">
        <w:rPr>
          <w:rFonts w:ascii="Palatino Linotype" w:eastAsia="Palatino Linotype" w:hAnsi="Palatino Linotype" w:cs="Palatino Linotype"/>
          <w:color w:val="000000"/>
        </w:rPr>
        <w:t xml:space="preserve">en </w:t>
      </w:r>
      <w:r w:rsidR="00021080">
        <w:rPr>
          <w:rFonts w:ascii="Palatino Linotype" w:eastAsia="Palatino Linotype" w:hAnsi="Palatino Linotype" w:cs="Palatino Linotype"/>
          <w:color w:val="000000"/>
        </w:rPr>
        <w:t xml:space="preserve">adelante </w:t>
      </w:r>
      <w:r w:rsidRPr="00021080">
        <w:rPr>
          <w:rFonts w:ascii="Palatino Linotype" w:eastAsia="Palatino Linotype" w:hAnsi="Palatino Linotype" w:cs="Palatino Linotype"/>
          <w:color w:val="000000"/>
        </w:rPr>
        <w:t>el</w:t>
      </w:r>
      <w:r w:rsidRPr="00021080">
        <w:rPr>
          <w:rFonts w:ascii="Palatino Linotype" w:eastAsia="Palatino Linotype" w:hAnsi="Palatino Linotype" w:cs="Palatino Linotype"/>
          <w:b/>
          <w:color w:val="000000"/>
        </w:rPr>
        <w:t xml:space="preserve"> SUJETO OBLIGADO, </w:t>
      </w:r>
      <w:r w:rsidRPr="00021080">
        <w:rPr>
          <w:rFonts w:ascii="Palatino Linotype" w:eastAsia="Palatino Linotype" w:hAnsi="Palatino Linotype" w:cs="Palatino Linotype"/>
          <w:color w:val="000000"/>
        </w:rPr>
        <w:t>se procede a dictar la presente resolución, con base en los siguientes:</w:t>
      </w:r>
      <w:bookmarkStart w:id="1" w:name="_GoBack"/>
      <w:bookmarkEnd w:id="1"/>
    </w:p>
    <w:p w:rsidR="00021080" w:rsidRPr="00021080" w:rsidRDefault="00021080" w:rsidP="002B48C6">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b/>
          <w:color w:val="000000"/>
        </w:rPr>
      </w:pPr>
    </w:p>
    <w:p w:rsidR="00954C16" w:rsidRPr="00021080" w:rsidRDefault="00954C16" w:rsidP="00954C16">
      <w:pPr>
        <w:pStyle w:val="Ttulo1"/>
        <w:jc w:val="center"/>
        <w:rPr>
          <w:rFonts w:ascii="Palatino Linotype" w:eastAsia="Palatino Linotype" w:hAnsi="Palatino Linotype" w:cs="Palatino Linotype"/>
          <w:b/>
          <w:color w:val="000000"/>
          <w:sz w:val="24"/>
          <w:szCs w:val="24"/>
        </w:rPr>
      </w:pPr>
      <w:bookmarkStart w:id="2" w:name="_heading=h.gjdgxs" w:colFirst="0" w:colLast="0"/>
      <w:bookmarkEnd w:id="2"/>
      <w:r w:rsidRPr="00021080">
        <w:rPr>
          <w:rFonts w:ascii="Palatino Linotype" w:eastAsia="Palatino Linotype" w:hAnsi="Palatino Linotype" w:cs="Palatino Linotype"/>
          <w:b/>
          <w:color w:val="000000"/>
          <w:sz w:val="24"/>
          <w:szCs w:val="24"/>
        </w:rPr>
        <w:t>A N T E C E D E N T ES</w:t>
      </w:r>
    </w:p>
    <w:p w:rsidR="00954C16" w:rsidRPr="00021080" w:rsidRDefault="00954C16" w:rsidP="00954C16">
      <w:pPr>
        <w:rPr>
          <w:rFonts w:ascii="Palatino Linotype" w:eastAsia="Palatino Linotype" w:hAnsi="Palatino Linotype" w:cs="Palatino Linotype"/>
        </w:rPr>
      </w:pP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El </w:t>
      </w:r>
      <w:r w:rsidRPr="00021080">
        <w:rPr>
          <w:rFonts w:ascii="Palatino Linotype" w:eastAsia="Palatino Linotype" w:hAnsi="Palatino Linotype" w:cs="Palatino Linotype"/>
          <w:b/>
          <w:color w:val="000000"/>
        </w:rPr>
        <w:t>seis de abril de dos mil veintiséis</w:t>
      </w:r>
      <w:r w:rsidRPr="00021080">
        <w:rPr>
          <w:rFonts w:ascii="Palatino Linotype" w:eastAsia="Palatino Linotype" w:hAnsi="Palatino Linotype" w:cs="Palatino Linotype"/>
          <w:color w:val="000000"/>
        </w:rPr>
        <w:t xml:space="preserve">, </w:t>
      </w:r>
      <w:r w:rsidRPr="00021080">
        <w:rPr>
          <w:rFonts w:ascii="Palatino Linotype" w:eastAsia="Palatino Linotype" w:hAnsi="Palatino Linotype" w:cs="Palatino Linotype"/>
          <w:b/>
          <w:color w:val="000000"/>
        </w:rPr>
        <w:t xml:space="preserve">EL RECURRENTE </w:t>
      </w:r>
      <w:r w:rsidRPr="00021080">
        <w:rPr>
          <w:rFonts w:ascii="Palatino Linotype" w:eastAsia="Palatino Linotype" w:hAnsi="Palatino Linotype" w:cs="Palatino Linotype"/>
          <w:color w:val="000000"/>
        </w:rPr>
        <w:t>presentó</w:t>
      </w:r>
      <w:r w:rsidRPr="00021080">
        <w:rPr>
          <w:rFonts w:ascii="Palatino Linotype" w:eastAsia="Palatino Linotype" w:hAnsi="Palatino Linotype" w:cs="Palatino Linotype"/>
          <w:b/>
          <w:color w:val="000000"/>
        </w:rPr>
        <w:t>,</w:t>
      </w:r>
      <w:r w:rsidRPr="00021080">
        <w:rPr>
          <w:rFonts w:ascii="Palatino Linotype" w:eastAsia="Palatino Linotype" w:hAnsi="Palatino Linotype" w:cs="Palatino Linotype"/>
          <w:color w:val="000000"/>
        </w:rPr>
        <w:t xml:space="preserve"> ante el </w:t>
      </w:r>
      <w:r w:rsidRPr="00021080">
        <w:rPr>
          <w:rFonts w:ascii="Palatino Linotype" w:eastAsia="Palatino Linotype" w:hAnsi="Palatino Linotype" w:cs="Palatino Linotype"/>
          <w:b/>
          <w:color w:val="000000"/>
        </w:rPr>
        <w:t>SUJETO OBLIGADO</w:t>
      </w:r>
      <w:r w:rsidRPr="00021080">
        <w:rPr>
          <w:rFonts w:ascii="Palatino Linotype" w:eastAsia="Palatino Linotype" w:hAnsi="Palatino Linotype" w:cs="Palatino Linotype"/>
          <w:color w:val="000000"/>
        </w:rPr>
        <w:t xml:space="preserve"> vía Sistema de Acceso a la Información Mexiquense (</w:t>
      </w:r>
      <w:r w:rsidRPr="00021080">
        <w:rPr>
          <w:rFonts w:ascii="Palatino Linotype" w:eastAsia="Palatino Linotype" w:hAnsi="Palatino Linotype" w:cs="Palatino Linotype"/>
          <w:b/>
          <w:color w:val="000000"/>
        </w:rPr>
        <w:t>SAIMEX)</w:t>
      </w:r>
      <w:r w:rsidRPr="00021080">
        <w:rPr>
          <w:rFonts w:ascii="Palatino Linotype" w:eastAsia="Palatino Linotype" w:hAnsi="Palatino Linotype" w:cs="Palatino Linotype"/>
          <w:color w:val="000000"/>
        </w:rPr>
        <w:t xml:space="preserve">, las solicitudes de información pública registradas con los números </w:t>
      </w:r>
      <w:r w:rsidRPr="00021080">
        <w:rPr>
          <w:rFonts w:ascii="Palatino Linotype" w:eastAsia="Palatino Linotype" w:hAnsi="Palatino Linotype" w:cs="Palatino Linotype"/>
          <w:b/>
          <w:bCs/>
        </w:rPr>
        <w:t>00016/APAXCO/IP/2026</w:t>
      </w:r>
      <w:r w:rsidRPr="00021080">
        <w:rPr>
          <w:rFonts w:ascii="Palatino Linotype" w:eastAsia="Palatino Linotype" w:hAnsi="Palatino Linotype" w:cs="Palatino Linotype"/>
          <w:b/>
        </w:rPr>
        <w:t xml:space="preserve">, </w:t>
      </w:r>
      <w:r w:rsidRPr="00021080">
        <w:rPr>
          <w:rFonts w:ascii="Palatino Linotype" w:eastAsia="Palatino Linotype" w:hAnsi="Palatino Linotype" w:cs="Palatino Linotype"/>
          <w:b/>
          <w:bCs/>
        </w:rPr>
        <w:t xml:space="preserve">00017/APAXCO/IP/2026 </w:t>
      </w:r>
      <w:r w:rsidRPr="00021080">
        <w:rPr>
          <w:rFonts w:ascii="Palatino Linotype" w:eastAsia="Palatino Linotype" w:hAnsi="Palatino Linotype" w:cs="Palatino Linotype"/>
          <w:b/>
        </w:rPr>
        <w:t xml:space="preserve">y </w:t>
      </w:r>
      <w:r w:rsidRPr="00021080">
        <w:rPr>
          <w:rFonts w:ascii="Palatino Linotype" w:eastAsia="Palatino Linotype" w:hAnsi="Palatino Linotype" w:cs="Palatino Linotype"/>
          <w:b/>
          <w:bCs/>
        </w:rPr>
        <w:t>00019/APAXCO/IP/2026</w:t>
      </w:r>
      <w:r w:rsidRPr="00021080">
        <w:rPr>
          <w:rFonts w:ascii="Palatino Linotype" w:eastAsia="Palatino Linotype" w:hAnsi="Palatino Linotype" w:cs="Palatino Linotype"/>
        </w:rPr>
        <w:t xml:space="preserve">; </w:t>
      </w:r>
      <w:r w:rsidRPr="00021080">
        <w:rPr>
          <w:rFonts w:ascii="Palatino Linotype" w:eastAsia="Palatino Linotype" w:hAnsi="Palatino Linotype" w:cs="Palatino Linotype"/>
          <w:color w:val="000000"/>
        </w:rPr>
        <w:t>mediante las cuales solicitó lo siguiente:</w:t>
      </w:r>
    </w:p>
    <w:p w:rsidR="00866747" w:rsidRPr="00021080" w:rsidRDefault="00866747" w:rsidP="005C72B4">
      <w:pPr>
        <w:pBdr>
          <w:top w:val="nil"/>
          <w:left w:val="nil"/>
          <w:bottom w:val="nil"/>
          <w:right w:val="nil"/>
          <w:between w:val="nil"/>
        </w:pBdr>
        <w:spacing w:line="360" w:lineRule="auto"/>
        <w:ind w:right="822"/>
        <w:jc w:val="both"/>
        <w:rPr>
          <w:rFonts w:ascii="Palatino Linotype" w:eastAsia="Palatino Linotype" w:hAnsi="Palatino Linotype" w:cs="Palatino Linotype"/>
          <w:i/>
          <w:color w:val="000000"/>
        </w:rPr>
      </w:pPr>
    </w:p>
    <w:tbl>
      <w:tblPr>
        <w:tblStyle w:val="Tabladecuadrcula4-nfasis3"/>
        <w:tblW w:w="10060" w:type="dxa"/>
        <w:tblLayout w:type="fixed"/>
        <w:tblLook w:val="04A0" w:firstRow="1" w:lastRow="0" w:firstColumn="1" w:lastColumn="0" w:noHBand="0" w:noVBand="1"/>
      </w:tblPr>
      <w:tblGrid>
        <w:gridCol w:w="3964"/>
        <w:gridCol w:w="6096"/>
      </w:tblGrid>
      <w:tr w:rsidR="00954C16" w:rsidRPr="00021080" w:rsidTr="00021080">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964" w:type="dxa"/>
          </w:tcPr>
          <w:p w:rsidR="00954C16" w:rsidRPr="00021080" w:rsidRDefault="005C72B4" w:rsidP="00021080">
            <w:pPr>
              <w:spacing w:line="360" w:lineRule="auto"/>
              <w:jc w:val="center"/>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NÚMERO DE SOLICITUD Y RECURSO DE REVISIÓN</w:t>
            </w:r>
          </w:p>
        </w:tc>
        <w:tc>
          <w:tcPr>
            <w:tcW w:w="6096" w:type="dxa"/>
          </w:tcPr>
          <w:p w:rsidR="00954C16" w:rsidRPr="00021080" w:rsidRDefault="005C72B4" w:rsidP="00021080">
            <w:pPr>
              <w:spacing w:line="360" w:lineRule="auto"/>
              <w:ind w:right="822"/>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SOLICITUD</w:t>
            </w:r>
          </w:p>
        </w:tc>
      </w:tr>
      <w:tr w:rsidR="00954C16" w:rsidRPr="00021080" w:rsidTr="00021080">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3964" w:type="dxa"/>
          </w:tcPr>
          <w:p w:rsidR="005C72B4" w:rsidRPr="00021080" w:rsidRDefault="00954C16" w:rsidP="005C72B4">
            <w:p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021080">
              <w:rPr>
                <w:rFonts w:ascii="Palatino Linotype" w:eastAsia="Palatino Linotype" w:hAnsi="Palatino Linotype" w:cs="Palatino Linotype"/>
              </w:rPr>
              <w:t>00016/APAXCO/IP/2026</w:t>
            </w:r>
          </w:p>
          <w:p w:rsidR="00954C16" w:rsidRPr="00021080" w:rsidRDefault="00954C16" w:rsidP="00021080">
            <w:pPr>
              <w:pBdr>
                <w:top w:val="nil"/>
                <w:left w:val="nil"/>
                <w:bottom w:val="nil"/>
                <w:right w:val="nil"/>
                <w:between w:val="nil"/>
              </w:pBdr>
              <w:spacing w:line="360" w:lineRule="auto"/>
              <w:jc w:val="both"/>
              <w:rPr>
                <w:rFonts w:ascii="Palatino Linotype" w:eastAsia="Palatino Linotype" w:hAnsi="Palatino Linotype" w:cs="Palatino Linotype"/>
              </w:rPr>
            </w:pPr>
            <w:r w:rsidRPr="00021080">
              <w:rPr>
                <w:rFonts w:ascii="Palatino Linotype" w:eastAsia="Palatino Linotype" w:hAnsi="Palatino Linotype" w:cs="Palatino Linotype"/>
              </w:rPr>
              <w:t>04338/INFOEM/IP/RR/2026</w:t>
            </w:r>
          </w:p>
          <w:p w:rsidR="00954C16" w:rsidRPr="00021080" w:rsidRDefault="00954C16" w:rsidP="00954C16">
            <w:pPr>
              <w:spacing w:line="360" w:lineRule="auto"/>
              <w:ind w:right="822"/>
              <w:jc w:val="both"/>
              <w:rPr>
                <w:rFonts w:ascii="Palatino Linotype" w:eastAsia="Palatino Linotype" w:hAnsi="Palatino Linotype" w:cs="Palatino Linotype"/>
                <w:i/>
                <w:color w:val="000000"/>
              </w:rPr>
            </w:pPr>
          </w:p>
        </w:tc>
        <w:tc>
          <w:tcPr>
            <w:tcW w:w="6096" w:type="dxa"/>
          </w:tcPr>
          <w:p w:rsidR="00267602" w:rsidRPr="00021080" w:rsidRDefault="00954C16" w:rsidP="005C72B4">
            <w:p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“Informe el sueldo bruto y neto mensual de la persona titular de la Dirección del Sistema Municipal DIF de Apaxco, incluyendo todas las percepciones adicionales (bonos, c</w:t>
            </w:r>
            <w:r w:rsidR="00021080">
              <w:rPr>
                <w:rFonts w:ascii="Palatino Linotype" w:eastAsia="Palatino Linotype" w:hAnsi="Palatino Linotype" w:cs="Palatino Linotype"/>
                <w:i/>
                <w:color w:val="000000"/>
              </w:rPr>
              <w:t>ompensaciones, gratificaciones)</w:t>
            </w:r>
          </w:p>
        </w:tc>
      </w:tr>
      <w:tr w:rsidR="00954C16" w:rsidRPr="00021080" w:rsidTr="00021080">
        <w:trPr>
          <w:trHeight w:val="1335"/>
        </w:trPr>
        <w:tc>
          <w:tcPr>
            <w:cnfStyle w:val="001000000000" w:firstRow="0" w:lastRow="0" w:firstColumn="1" w:lastColumn="0" w:oddVBand="0" w:evenVBand="0" w:oddHBand="0" w:evenHBand="0" w:firstRowFirstColumn="0" w:firstRowLastColumn="0" w:lastRowFirstColumn="0" w:lastRowLastColumn="0"/>
            <w:tcW w:w="3964" w:type="dxa"/>
          </w:tcPr>
          <w:p w:rsidR="005C72B4" w:rsidRPr="00021080" w:rsidRDefault="005C72B4" w:rsidP="00021080">
            <w:pPr>
              <w:pBdr>
                <w:top w:val="nil"/>
                <w:left w:val="nil"/>
                <w:bottom w:val="nil"/>
                <w:right w:val="nil"/>
                <w:between w:val="nil"/>
              </w:pBdr>
              <w:spacing w:line="360" w:lineRule="auto"/>
              <w:jc w:val="both"/>
              <w:rPr>
                <w:rFonts w:ascii="Palatino Linotype" w:eastAsia="Palatino Linotype" w:hAnsi="Palatino Linotype" w:cs="Palatino Linotype"/>
              </w:rPr>
            </w:pPr>
            <w:r w:rsidRPr="00021080">
              <w:rPr>
                <w:rFonts w:ascii="Palatino Linotype" w:eastAsia="Palatino Linotype" w:hAnsi="Palatino Linotype" w:cs="Palatino Linotype"/>
              </w:rPr>
              <w:lastRenderedPageBreak/>
              <w:t>00017/APAXCO/IP/2026</w:t>
            </w:r>
          </w:p>
          <w:p w:rsidR="005C72B4" w:rsidRPr="00021080" w:rsidRDefault="005C72B4" w:rsidP="00021080">
            <w:pPr>
              <w:pBdr>
                <w:top w:val="nil"/>
                <w:left w:val="nil"/>
                <w:bottom w:val="nil"/>
                <w:right w:val="nil"/>
                <w:between w:val="nil"/>
              </w:pBdr>
              <w:spacing w:line="360" w:lineRule="auto"/>
              <w:jc w:val="both"/>
              <w:rPr>
                <w:rFonts w:ascii="Palatino Linotype" w:eastAsia="Palatino Linotype" w:hAnsi="Palatino Linotype" w:cs="Palatino Linotype"/>
                <w:i/>
              </w:rPr>
            </w:pPr>
            <w:r w:rsidRPr="00021080">
              <w:rPr>
                <w:rFonts w:ascii="Palatino Linotype" w:eastAsia="Palatino Linotype" w:hAnsi="Palatino Linotype" w:cs="Palatino Linotype"/>
              </w:rPr>
              <w:t>04339/INFOEM/IP/RR/2026</w:t>
            </w:r>
          </w:p>
          <w:p w:rsidR="00954C16" w:rsidRPr="00021080" w:rsidRDefault="00954C16" w:rsidP="00021080">
            <w:pPr>
              <w:spacing w:line="360" w:lineRule="auto"/>
              <w:jc w:val="both"/>
              <w:rPr>
                <w:rFonts w:ascii="Palatino Linotype" w:eastAsia="Palatino Linotype" w:hAnsi="Palatino Linotype" w:cs="Palatino Linotype"/>
                <w:i/>
                <w:color w:val="000000"/>
              </w:rPr>
            </w:pPr>
          </w:p>
        </w:tc>
        <w:tc>
          <w:tcPr>
            <w:tcW w:w="6096" w:type="dxa"/>
          </w:tcPr>
          <w:p w:rsidR="005C72B4" w:rsidRPr="00021080" w:rsidRDefault="005C72B4" w:rsidP="005C72B4">
            <w:pPr>
              <w:pBdr>
                <w:top w:val="nil"/>
                <w:left w:val="nil"/>
                <w:bottom w:val="nil"/>
                <w:right w:val="nil"/>
                <w:between w:val="nil"/>
              </w:pBd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“Proporcione el sueldo bruto y neto de cada coordinador/a del Sistema Municipal DIF de Apaxco, desglosado por conceptos de percepción y deducción.”</w:t>
            </w:r>
          </w:p>
          <w:p w:rsidR="00954C16" w:rsidRPr="00021080" w:rsidRDefault="00954C16" w:rsidP="005C72B4">
            <w:pP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color w:val="000000"/>
              </w:rPr>
            </w:pPr>
          </w:p>
        </w:tc>
      </w:tr>
      <w:tr w:rsidR="00954C16" w:rsidRPr="00021080" w:rsidTr="00021080">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3964" w:type="dxa"/>
          </w:tcPr>
          <w:p w:rsidR="005C72B4" w:rsidRPr="00021080" w:rsidRDefault="005C72B4" w:rsidP="00021080">
            <w:pPr>
              <w:pBdr>
                <w:top w:val="nil"/>
                <w:left w:val="nil"/>
                <w:bottom w:val="nil"/>
                <w:right w:val="nil"/>
                <w:between w:val="nil"/>
              </w:pBdr>
              <w:spacing w:line="360" w:lineRule="auto"/>
              <w:jc w:val="both"/>
              <w:rPr>
                <w:rFonts w:ascii="Palatino Linotype" w:eastAsia="Palatino Linotype" w:hAnsi="Palatino Linotype" w:cs="Palatino Linotype"/>
              </w:rPr>
            </w:pPr>
            <w:r w:rsidRPr="00021080">
              <w:rPr>
                <w:rFonts w:ascii="Palatino Linotype" w:eastAsia="Palatino Linotype" w:hAnsi="Palatino Linotype" w:cs="Palatino Linotype"/>
              </w:rPr>
              <w:t>00019/APAXCO/IP/2026</w:t>
            </w:r>
          </w:p>
          <w:p w:rsidR="005C72B4" w:rsidRPr="00021080" w:rsidRDefault="005C72B4" w:rsidP="00021080">
            <w:pPr>
              <w:pBdr>
                <w:top w:val="nil"/>
                <w:left w:val="nil"/>
                <w:bottom w:val="nil"/>
                <w:right w:val="nil"/>
                <w:between w:val="nil"/>
              </w:pBdr>
              <w:spacing w:line="360" w:lineRule="auto"/>
              <w:jc w:val="both"/>
              <w:rPr>
                <w:rFonts w:ascii="Palatino Linotype" w:eastAsia="Palatino Linotype" w:hAnsi="Palatino Linotype" w:cs="Palatino Linotype"/>
                <w:i/>
              </w:rPr>
            </w:pPr>
            <w:r w:rsidRPr="00021080">
              <w:rPr>
                <w:rFonts w:ascii="Palatino Linotype" w:eastAsia="Palatino Linotype" w:hAnsi="Palatino Linotype" w:cs="Palatino Linotype"/>
              </w:rPr>
              <w:t>04343/INFOEM/IP/RR/2026</w:t>
            </w:r>
          </w:p>
          <w:p w:rsidR="00954C16" w:rsidRPr="00021080" w:rsidRDefault="00954C16" w:rsidP="00021080">
            <w:pPr>
              <w:spacing w:line="360" w:lineRule="auto"/>
              <w:jc w:val="both"/>
              <w:rPr>
                <w:rFonts w:ascii="Palatino Linotype" w:eastAsia="Palatino Linotype" w:hAnsi="Palatino Linotype" w:cs="Palatino Linotype"/>
                <w:i/>
                <w:color w:val="000000"/>
              </w:rPr>
            </w:pPr>
          </w:p>
        </w:tc>
        <w:tc>
          <w:tcPr>
            <w:tcW w:w="6096" w:type="dxa"/>
          </w:tcPr>
          <w:p w:rsidR="005C72B4" w:rsidRPr="00021080" w:rsidRDefault="005C72B4" w:rsidP="005C72B4">
            <w:pPr>
              <w:pBdr>
                <w:top w:val="nil"/>
                <w:left w:val="nil"/>
                <w:bottom w:val="nil"/>
                <w:right w:val="nil"/>
                <w:between w:val="nil"/>
              </w:pBd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“Remita evidencia documental de los pagos realizados mediante nómina al personal directivo y mandos medios del Sistema Municipal DIF de Apaxco durante 2025 y lo que va de 2026.”</w:t>
            </w:r>
          </w:p>
          <w:p w:rsidR="00954C16" w:rsidRPr="00021080" w:rsidRDefault="00954C16" w:rsidP="005C72B4">
            <w:p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p>
        </w:tc>
      </w:tr>
    </w:tbl>
    <w:p w:rsidR="007402C5" w:rsidRPr="00021080" w:rsidRDefault="007402C5" w:rsidP="005C72B4">
      <w:pPr>
        <w:pBdr>
          <w:top w:val="nil"/>
          <w:left w:val="nil"/>
          <w:bottom w:val="nil"/>
          <w:right w:val="nil"/>
          <w:between w:val="nil"/>
        </w:pBdr>
        <w:spacing w:line="360" w:lineRule="auto"/>
        <w:ind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w:t>
      </w: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Señaló como modalidad de entrega de la información a través del </w:t>
      </w:r>
      <w:r w:rsidRPr="00021080">
        <w:rPr>
          <w:rFonts w:ascii="Palatino Linotype" w:eastAsia="Palatino Linotype" w:hAnsi="Palatino Linotype" w:cs="Palatino Linotype"/>
          <w:b/>
          <w:color w:val="000000"/>
        </w:rPr>
        <w:t>SAIMEX.</w:t>
      </w:r>
    </w:p>
    <w:p w:rsidR="00954C16" w:rsidRPr="00021080" w:rsidRDefault="00954C16" w:rsidP="00954C1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El </w:t>
      </w:r>
      <w:r w:rsidRPr="00021080">
        <w:rPr>
          <w:rFonts w:ascii="Palatino Linotype" w:eastAsia="Palatino Linotype" w:hAnsi="Palatino Linotype" w:cs="Palatino Linotype"/>
          <w:b/>
          <w:color w:val="000000"/>
        </w:rPr>
        <w:t>veintidós de abril de dos mil veintiséis,</w:t>
      </w:r>
      <w:r w:rsidRPr="00021080">
        <w:rPr>
          <w:rFonts w:ascii="Palatino Linotype" w:eastAsia="Palatino Linotype" w:hAnsi="Palatino Linotype" w:cs="Palatino Linotype"/>
          <w:color w:val="000000"/>
        </w:rPr>
        <w:t xml:space="preserve"> el </w:t>
      </w:r>
      <w:r w:rsidRPr="00021080">
        <w:rPr>
          <w:rFonts w:ascii="Palatino Linotype" w:eastAsia="Palatino Linotype" w:hAnsi="Palatino Linotype" w:cs="Palatino Linotype"/>
          <w:b/>
          <w:color w:val="000000"/>
        </w:rPr>
        <w:t>SUJETO OBLIGADO</w:t>
      </w:r>
      <w:r w:rsidRPr="00021080">
        <w:rPr>
          <w:rFonts w:ascii="Palatino Linotype" w:eastAsia="Palatino Linotype" w:hAnsi="Palatino Linotype" w:cs="Palatino Linotype"/>
          <w:color w:val="000000"/>
        </w:rPr>
        <w:t xml:space="preserve"> dio respuesta a las solicitudes de información en el siguiente sentido:</w:t>
      </w:r>
    </w:p>
    <w:p w:rsidR="005C72B4" w:rsidRPr="00021080" w:rsidRDefault="00954C16" w:rsidP="005C72B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b/>
        </w:rPr>
        <w:t> </w:t>
      </w:r>
      <w:r w:rsidRPr="00021080">
        <w:rPr>
          <w:rFonts w:ascii="Palatino Linotype" w:eastAsia="Palatino Linotype" w:hAnsi="Palatino Linotype" w:cs="Palatino Linotype"/>
          <w:color w:val="000000"/>
        </w:rPr>
        <w:t xml:space="preserve"> </w:t>
      </w:r>
    </w:p>
    <w:tbl>
      <w:tblPr>
        <w:tblStyle w:val="Tabladecuadrcula4-nfasis3"/>
        <w:tblpPr w:leftFromText="141" w:rightFromText="141" w:vertAnchor="text" w:tblpXSpec="right" w:tblpY="1"/>
        <w:tblOverlap w:val="never"/>
        <w:tblW w:w="10060" w:type="dxa"/>
        <w:tblLayout w:type="fixed"/>
        <w:tblLook w:val="04A0" w:firstRow="1" w:lastRow="0" w:firstColumn="1" w:lastColumn="0" w:noHBand="0" w:noVBand="1"/>
      </w:tblPr>
      <w:tblGrid>
        <w:gridCol w:w="3964"/>
        <w:gridCol w:w="6096"/>
      </w:tblGrid>
      <w:tr w:rsidR="005C72B4" w:rsidRPr="00021080" w:rsidTr="00021080">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964" w:type="dxa"/>
          </w:tcPr>
          <w:p w:rsidR="00820CD1" w:rsidRPr="00021080" w:rsidRDefault="005C72B4" w:rsidP="00021080">
            <w:pPr>
              <w:spacing w:line="360" w:lineRule="auto"/>
              <w:jc w:val="center"/>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NÚMERO DE SOLICITUD Y RECURSO DE REVISIÓN</w:t>
            </w:r>
          </w:p>
        </w:tc>
        <w:tc>
          <w:tcPr>
            <w:tcW w:w="6096" w:type="dxa"/>
          </w:tcPr>
          <w:p w:rsidR="005C72B4" w:rsidRPr="00021080" w:rsidRDefault="005C72B4" w:rsidP="00021080">
            <w:pPr>
              <w:spacing w:line="360" w:lineRule="auto"/>
              <w:ind w:right="822"/>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RESPUESTA</w:t>
            </w:r>
          </w:p>
        </w:tc>
      </w:tr>
      <w:tr w:rsidR="005C72B4" w:rsidRPr="00021080" w:rsidTr="00021080">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3964" w:type="dxa"/>
          </w:tcPr>
          <w:p w:rsidR="005C72B4" w:rsidRPr="00021080" w:rsidRDefault="005C72B4" w:rsidP="00021080">
            <w:pPr>
              <w:pBdr>
                <w:top w:val="nil"/>
                <w:left w:val="nil"/>
                <w:bottom w:val="nil"/>
                <w:right w:val="nil"/>
                <w:between w:val="nil"/>
              </w:pBdr>
              <w:spacing w:line="360" w:lineRule="auto"/>
              <w:ind w:right="-108"/>
              <w:jc w:val="both"/>
              <w:rPr>
                <w:rFonts w:ascii="Palatino Linotype" w:eastAsia="Palatino Linotype" w:hAnsi="Palatino Linotype" w:cs="Palatino Linotype"/>
              </w:rPr>
            </w:pPr>
            <w:r w:rsidRPr="00021080">
              <w:rPr>
                <w:rFonts w:ascii="Palatino Linotype" w:eastAsia="Palatino Linotype" w:hAnsi="Palatino Linotype" w:cs="Palatino Linotype"/>
              </w:rPr>
              <w:t>00016/APAXCO/IP/2026</w:t>
            </w:r>
          </w:p>
          <w:p w:rsidR="005C72B4" w:rsidRPr="00021080" w:rsidRDefault="005C72B4" w:rsidP="00021080">
            <w:pPr>
              <w:pBdr>
                <w:top w:val="nil"/>
                <w:left w:val="nil"/>
                <w:bottom w:val="nil"/>
                <w:right w:val="nil"/>
                <w:between w:val="nil"/>
              </w:pBdr>
              <w:spacing w:line="360" w:lineRule="auto"/>
              <w:ind w:right="-108"/>
              <w:jc w:val="both"/>
              <w:rPr>
                <w:rFonts w:ascii="Palatino Linotype" w:eastAsia="Palatino Linotype" w:hAnsi="Palatino Linotype" w:cs="Palatino Linotype"/>
              </w:rPr>
            </w:pPr>
            <w:r w:rsidRPr="00021080">
              <w:rPr>
                <w:rFonts w:ascii="Palatino Linotype" w:eastAsia="Palatino Linotype" w:hAnsi="Palatino Linotype" w:cs="Palatino Linotype"/>
              </w:rPr>
              <w:t>04338/INFOEM/IP/RR/2026</w:t>
            </w:r>
          </w:p>
          <w:p w:rsidR="005C72B4" w:rsidRPr="00021080" w:rsidRDefault="005C72B4" w:rsidP="00021080">
            <w:pPr>
              <w:spacing w:line="360" w:lineRule="auto"/>
              <w:ind w:right="-108"/>
              <w:jc w:val="both"/>
              <w:rPr>
                <w:rFonts w:ascii="Palatino Linotype" w:eastAsia="Palatino Linotype" w:hAnsi="Palatino Linotype" w:cs="Palatino Linotype"/>
                <w:i/>
                <w:color w:val="000000"/>
              </w:rPr>
            </w:pPr>
          </w:p>
        </w:tc>
        <w:tc>
          <w:tcPr>
            <w:tcW w:w="6096" w:type="dxa"/>
          </w:tcPr>
          <w:p w:rsidR="00942300" w:rsidRPr="00021080" w:rsidRDefault="0070049C" w:rsidP="00021080">
            <w:pPr>
              <w:pStyle w:val="Prrafodelista"/>
              <w:numPr>
                <w:ilvl w:val="0"/>
                <w:numId w:val="8"/>
              </w:numPr>
              <w:spacing w:line="276" w:lineRule="auto"/>
              <w:ind w:left="175" w:right="128"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hyperlink r:id="rId7" w:tgtFrame="_blank" w:history="1">
              <w:r w:rsidR="00942300" w:rsidRPr="00021080">
                <w:rPr>
                  <w:rStyle w:val="Hipervnculo"/>
                  <w:rFonts w:ascii="Palatino Linotype" w:eastAsia="Calibri" w:hAnsi="Palatino Linotype" w:cs="Arial"/>
                  <w:b/>
                  <w:bCs/>
                  <w:color w:val="auto"/>
                </w:rPr>
                <w:t>acta dif.pdf</w:t>
              </w:r>
            </w:hyperlink>
            <w:r w:rsidR="00942300" w:rsidRPr="00021080">
              <w:rPr>
                <w:rFonts w:ascii="Palatino Linotype" w:hAnsi="Palatino Linotype"/>
              </w:rPr>
              <w:t xml:space="preserve">: Acta de la tercera sesión extraordinaria del Comité de Transparencia en el que se aprobó el cambio de modalidad en la entrega de la información de solicitudes diversas. </w:t>
            </w:r>
          </w:p>
          <w:p w:rsidR="00942300" w:rsidRPr="00021080" w:rsidRDefault="00942300" w:rsidP="00021080">
            <w:pPr>
              <w:pStyle w:val="Prrafodelista"/>
              <w:spacing w:line="276" w:lineRule="auto"/>
              <w:ind w:left="175" w:right="1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p>
          <w:p w:rsidR="00942300" w:rsidRPr="00021080" w:rsidRDefault="0070049C" w:rsidP="00021080">
            <w:pPr>
              <w:pStyle w:val="Prrafodelista"/>
              <w:numPr>
                <w:ilvl w:val="0"/>
                <w:numId w:val="8"/>
              </w:numPr>
              <w:spacing w:line="276" w:lineRule="auto"/>
              <w:ind w:left="175" w:right="128"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hyperlink r:id="rId8" w:tgtFrame="_blank" w:history="1">
              <w:r w:rsidR="00942300" w:rsidRPr="00021080">
                <w:rPr>
                  <w:rStyle w:val="Hipervnculo"/>
                  <w:rFonts w:ascii="Palatino Linotype" w:eastAsia="Calibri" w:hAnsi="Palatino Linotype" w:cs="Arial"/>
                  <w:b/>
                  <w:bCs/>
                  <w:color w:val="auto"/>
                </w:rPr>
                <w:t>Solicitud 16.pdf</w:t>
              </w:r>
            </w:hyperlink>
            <w:r w:rsidR="00942300" w:rsidRPr="00021080">
              <w:rPr>
                <w:rFonts w:ascii="Palatino Linotype" w:hAnsi="Palatino Linotype"/>
              </w:rPr>
              <w:t xml:space="preserve">: oficio número SMDIF/DIR/0233/2026, de fecha catorce de abril de dos mil veintiséis, </w:t>
            </w:r>
            <w:r w:rsidR="004A2DCD" w:rsidRPr="00021080">
              <w:rPr>
                <w:rFonts w:ascii="Palatino Linotype" w:hAnsi="Palatino Linotype"/>
              </w:rPr>
              <w:t xml:space="preserve">suscrito por la Directora del Sistema Municipal DIF, quien señaló que la </w:t>
            </w:r>
            <w:r w:rsidR="004A2DCD" w:rsidRPr="00021080">
              <w:rPr>
                <w:rFonts w:ascii="Palatino Linotype" w:hAnsi="Palatino Linotype"/>
              </w:rPr>
              <w:lastRenderedPageBreak/>
              <w:t xml:space="preserve">información solicitada será entregada a través de consulta directa. </w:t>
            </w:r>
          </w:p>
          <w:p w:rsidR="004A2DCD" w:rsidRPr="00021080" w:rsidRDefault="004A2DCD" w:rsidP="00021080">
            <w:pPr>
              <w:spacing w:line="276" w:lineRule="auto"/>
              <w:ind w:right="12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p>
        </w:tc>
      </w:tr>
      <w:tr w:rsidR="005C72B4" w:rsidRPr="00021080" w:rsidTr="00021080">
        <w:trPr>
          <w:trHeight w:val="1335"/>
        </w:trPr>
        <w:tc>
          <w:tcPr>
            <w:cnfStyle w:val="001000000000" w:firstRow="0" w:lastRow="0" w:firstColumn="1" w:lastColumn="0" w:oddVBand="0" w:evenVBand="0" w:oddHBand="0" w:evenHBand="0" w:firstRowFirstColumn="0" w:firstRowLastColumn="0" w:lastRowFirstColumn="0" w:lastRowLastColumn="0"/>
            <w:tcW w:w="3964" w:type="dxa"/>
          </w:tcPr>
          <w:p w:rsidR="005C72B4" w:rsidRPr="00021080" w:rsidRDefault="005C72B4" w:rsidP="00021080">
            <w:pPr>
              <w:pBdr>
                <w:top w:val="nil"/>
                <w:left w:val="nil"/>
                <w:bottom w:val="nil"/>
                <w:right w:val="nil"/>
                <w:between w:val="nil"/>
              </w:pBdr>
              <w:spacing w:line="360" w:lineRule="auto"/>
              <w:ind w:right="-108"/>
              <w:jc w:val="both"/>
              <w:rPr>
                <w:rFonts w:ascii="Palatino Linotype" w:eastAsia="Palatino Linotype" w:hAnsi="Palatino Linotype" w:cs="Palatino Linotype"/>
              </w:rPr>
            </w:pPr>
            <w:r w:rsidRPr="00021080">
              <w:rPr>
                <w:rFonts w:ascii="Palatino Linotype" w:eastAsia="Palatino Linotype" w:hAnsi="Palatino Linotype" w:cs="Palatino Linotype"/>
              </w:rPr>
              <w:lastRenderedPageBreak/>
              <w:t>00017/APAXCO/IP/2026</w:t>
            </w:r>
          </w:p>
          <w:p w:rsidR="005C72B4" w:rsidRPr="00021080" w:rsidRDefault="005C72B4" w:rsidP="00021080">
            <w:pPr>
              <w:pBdr>
                <w:top w:val="nil"/>
                <w:left w:val="nil"/>
                <w:bottom w:val="nil"/>
                <w:right w:val="nil"/>
                <w:between w:val="nil"/>
              </w:pBdr>
              <w:spacing w:line="360" w:lineRule="auto"/>
              <w:ind w:right="-108"/>
              <w:jc w:val="both"/>
              <w:rPr>
                <w:rFonts w:ascii="Palatino Linotype" w:eastAsia="Palatino Linotype" w:hAnsi="Palatino Linotype" w:cs="Palatino Linotype"/>
                <w:i/>
              </w:rPr>
            </w:pPr>
            <w:r w:rsidRPr="00021080">
              <w:rPr>
                <w:rFonts w:ascii="Palatino Linotype" w:eastAsia="Palatino Linotype" w:hAnsi="Palatino Linotype" w:cs="Palatino Linotype"/>
              </w:rPr>
              <w:t>04339/INFOEM/IP/RR/2026</w:t>
            </w:r>
          </w:p>
          <w:p w:rsidR="005C72B4" w:rsidRPr="00021080" w:rsidRDefault="005C72B4" w:rsidP="00021080">
            <w:pPr>
              <w:spacing w:line="360" w:lineRule="auto"/>
              <w:ind w:right="-108"/>
              <w:jc w:val="both"/>
              <w:rPr>
                <w:rFonts w:ascii="Palatino Linotype" w:eastAsia="Palatino Linotype" w:hAnsi="Palatino Linotype" w:cs="Palatino Linotype"/>
                <w:i/>
                <w:color w:val="000000"/>
              </w:rPr>
            </w:pPr>
          </w:p>
        </w:tc>
        <w:tc>
          <w:tcPr>
            <w:tcW w:w="6096" w:type="dxa"/>
          </w:tcPr>
          <w:p w:rsidR="004A2DCD" w:rsidRPr="00021080" w:rsidRDefault="0070049C" w:rsidP="00021080">
            <w:pPr>
              <w:pStyle w:val="Prrafodelista"/>
              <w:numPr>
                <w:ilvl w:val="0"/>
                <w:numId w:val="8"/>
              </w:numPr>
              <w:pBdr>
                <w:top w:val="nil"/>
                <w:left w:val="nil"/>
                <w:bottom w:val="nil"/>
                <w:right w:val="nil"/>
                <w:between w:val="nil"/>
              </w:pBdr>
              <w:tabs>
                <w:tab w:val="left" w:pos="360"/>
              </w:tabs>
              <w:spacing w:line="276" w:lineRule="auto"/>
              <w:ind w:left="175" w:right="128"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color w:val="000000"/>
              </w:rPr>
            </w:pPr>
            <w:hyperlink r:id="rId9" w:tgtFrame="_blank" w:history="1">
              <w:r w:rsidR="004A2DCD" w:rsidRPr="00021080">
                <w:rPr>
                  <w:rStyle w:val="Hipervnculo"/>
                  <w:rFonts w:ascii="Palatino Linotype" w:eastAsia="Calibri" w:hAnsi="Palatino Linotype" w:cs="Arial"/>
                  <w:b/>
                  <w:bCs/>
                  <w:color w:val="auto"/>
                </w:rPr>
                <w:t>Solicitud 17.pdf</w:t>
              </w:r>
            </w:hyperlink>
            <w:r w:rsidR="004A2DCD" w:rsidRPr="00021080">
              <w:rPr>
                <w:rFonts w:ascii="Palatino Linotype" w:hAnsi="Palatino Linotype"/>
              </w:rPr>
              <w:t xml:space="preserve">: </w:t>
            </w:r>
            <w:r w:rsidR="008B70AB" w:rsidRPr="00021080">
              <w:rPr>
                <w:rFonts w:ascii="Palatino Linotype" w:hAnsi="Palatino Linotype"/>
              </w:rPr>
              <w:t>oficio número SMDIF/DIR/0234/2026, de fecha catorce de abril de dos mil veintiséis, suscrito por la Directora del Sistema Municipal DIF, quien señaló que la información solicitada será entregada a través de consulta directa.</w:t>
            </w:r>
          </w:p>
          <w:p w:rsidR="004A2DCD" w:rsidRPr="00021080" w:rsidRDefault="004A2DCD" w:rsidP="00021080">
            <w:pPr>
              <w:pStyle w:val="Prrafodelista"/>
              <w:pBdr>
                <w:top w:val="nil"/>
                <w:left w:val="nil"/>
                <w:bottom w:val="nil"/>
                <w:right w:val="nil"/>
                <w:between w:val="nil"/>
              </w:pBdr>
              <w:spacing w:line="276" w:lineRule="auto"/>
              <w:ind w:left="175" w:right="8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color w:val="000000"/>
              </w:rPr>
            </w:pPr>
          </w:p>
          <w:p w:rsidR="005C72B4" w:rsidRPr="00021080" w:rsidRDefault="0070049C" w:rsidP="00021080">
            <w:pPr>
              <w:pStyle w:val="Prrafodelista"/>
              <w:numPr>
                <w:ilvl w:val="0"/>
                <w:numId w:val="8"/>
              </w:numPr>
              <w:pBdr>
                <w:top w:val="nil"/>
                <w:left w:val="nil"/>
                <w:bottom w:val="nil"/>
                <w:right w:val="nil"/>
                <w:between w:val="nil"/>
              </w:pBdr>
              <w:spacing w:line="276" w:lineRule="auto"/>
              <w:ind w:left="175" w:right="128" w:firstLine="0"/>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color w:val="000000"/>
              </w:rPr>
            </w:pPr>
            <w:hyperlink r:id="rId10" w:tgtFrame="_blank" w:history="1">
              <w:r w:rsidR="004A2DCD" w:rsidRPr="00021080">
                <w:rPr>
                  <w:rStyle w:val="Hipervnculo"/>
                  <w:rFonts w:ascii="Palatino Linotype" w:eastAsia="Calibri" w:hAnsi="Palatino Linotype" w:cs="Arial"/>
                  <w:b/>
                  <w:bCs/>
                  <w:color w:val="auto"/>
                </w:rPr>
                <w:t>acta dif.pdf</w:t>
              </w:r>
            </w:hyperlink>
            <w:r w:rsidR="004A2DCD" w:rsidRPr="00021080">
              <w:rPr>
                <w:rFonts w:ascii="Palatino Linotype" w:hAnsi="Palatino Linotype"/>
              </w:rPr>
              <w:t xml:space="preserve">: </w:t>
            </w:r>
            <w:r w:rsidR="008B70AB" w:rsidRPr="00021080">
              <w:rPr>
                <w:rFonts w:ascii="Palatino Linotype" w:hAnsi="Palatino Linotype"/>
              </w:rPr>
              <w:t>Acta de la tercera sesión extraordinaria del Comité de Transparencia en el que se aprobó el cambio de modalidad en la entrega de la información de solicitudes diversas.</w:t>
            </w:r>
          </w:p>
        </w:tc>
      </w:tr>
      <w:tr w:rsidR="005C72B4" w:rsidRPr="00021080" w:rsidTr="00021080">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3964" w:type="dxa"/>
          </w:tcPr>
          <w:p w:rsidR="005C72B4" w:rsidRPr="00021080" w:rsidRDefault="005C72B4" w:rsidP="00021080">
            <w:pPr>
              <w:pBdr>
                <w:top w:val="nil"/>
                <w:left w:val="nil"/>
                <w:bottom w:val="nil"/>
                <w:right w:val="nil"/>
                <w:between w:val="nil"/>
              </w:pBdr>
              <w:spacing w:line="360" w:lineRule="auto"/>
              <w:ind w:right="-108"/>
              <w:jc w:val="both"/>
              <w:rPr>
                <w:rFonts w:ascii="Palatino Linotype" w:eastAsia="Palatino Linotype" w:hAnsi="Palatino Linotype" w:cs="Palatino Linotype"/>
              </w:rPr>
            </w:pPr>
            <w:r w:rsidRPr="00021080">
              <w:rPr>
                <w:rFonts w:ascii="Palatino Linotype" w:eastAsia="Palatino Linotype" w:hAnsi="Palatino Linotype" w:cs="Palatino Linotype"/>
              </w:rPr>
              <w:t>00019/APAXCO/IP/2026</w:t>
            </w:r>
          </w:p>
          <w:p w:rsidR="005C72B4" w:rsidRPr="00021080" w:rsidRDefault="005C72B4" w:rsidP="00021080">
            <w:pPr>
              <w:pBdr>
                <w:top w:val="nil"/>
                <w:left w:val="nil"/>
                <w:bottom w:val="nil"/>
                <w:right w:val="nil"/>
                <w:between w:val="nil"/>
              </w:pBdr>
              <w:spacing w:line="360" w:lineRule="auto"/>
              <w:ind w:right="-108"/>
              <w:jc w:val="both"/>
              <w:rPr>
                <w:rFonts w:ascii="Palatino Linotype" w:eastAsia="Palatino Linotype" w:hAnsi="Palatino Linotype" w:cs="Palatino Linotype"/>
                <w:i/>
              </w:rPr>
            </w:pPr>
            <w:r w:rsidRPr="00021080">
              <w:rPr>
                <w:rFonts w:ascii="Palatino Linotype" w:eastAsia="Palatino Linotype" w:hAnsi="Palatino Linotype" w:cs="Palatino Linotype"/>
              </w:rPr>
              <w:t>04343/INFOEM/IP/RR/2026</w:t>
            </w:r>
          </w:p>
          <w:p w:rsidR="005C72B4" w:rsidRPr="00021080" w:rsidRDefault="005C72B4" w:rsidP="00021080">
            <w:pPr>
              <w:spacing w:line="360" w:lineRule="auto"/>
              <w:ind w:right="-108"/>
              <w:jc w:val="both"/>
              <w:rPr>
                <w:rFonts w:ascii="Palatino Linotype" w:eastAsia="Palatino Linotype" w:hAnsi="Palatino Linotype" w:cs="Palatino Linotype"/>
                <w:i/>
                <w:color w:val="000000"/>
              </w:rPr>
            </w:pPr>
          </w:p>
        </w:tc>
        <w:tc>
          <w:tcPr>
            <w:tcW w:w="6096" w:type="dxa"/>
          </w:tcPr>
          <w:p w:rsidR="008B70AB" w:rsidRPr="00021080" w:rsidRDefault="0070049C" w:rsidP="00021080">
            <w:pPr>
              <w:pStyle w:val="Prrafodelista"/>
              <w:numPr>
                <w:ilvl w:val="0"/>
                <w:numId w:val="9"/>
              </w:numPr>
              <w:pBdr>
                <w:top w:val="nil"/>
                <w:left w:val="nil"/>
                <w:bottom w:val="nil"/>
                <w:right w:val="nil"/>
                <w:between w:val="nil"/>
              </w:pBdr>
              <w:spacing w:line="276" w:lineRule="auto"/>
              <w:ind w:left="175"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hyperlink r:id="rId11" w:tgtFrame="_blank" w:history="1">
              <w:r w:rsidR="008B70AB" w:rsidRPr="00021080">
                <w:rPr>
                  <w:rStyle w:val="Hipervnculo"/>
                  <w:rFonts w:ascii="Palatino Linotype" w:eastAsia="Calibri" w:hAnsi="Palatino Linotype" w:cs="Arial"/>
                  <w:b/>
                  <w:bCs/>
                  <w:color w:val="auto"/>
                </w:rPr>
                <w:t>acta dif.pdf</w:t>
              </w:r>
            </w:hyperlink>
            <w:r w:rsidR="008B70AB" w:rsidRPr="00021080">
              <w:rPr>
                <w:rFonts w:ascii="Palatino Linotype" w:hAnsi="Palatino Linotype"/>
              </w:rPr>
              <w:t>: Acta de la tercera sesión extraordinaria del Comité de Transparencia en el que se aprobó el cambio de modalidad en la entrega de la información de solicitudes diversas.</w:t>
            </w:r>
          </w:p>
          <w:p w:rsidR="008B70AB" w:rsidRPr="00021080" w:rsidRDefault="008B70AB" w:rsidP="00021080">
            <w:pPr>
              <w:pStyle w:val="Prrafodelista"/>
              <w:pBdr>
                <w:top w:val="nil"/>
                <w:left w:val="nil"/>
                <w:bottom w:val="nil"/>
                <w:right w:val="nil"/>
                <w:between w:val="nil"/>
              </w:pBdr>
              <w:spacing w:line="276" w:lineRule="auto"/>
              <w:ind w:left="175"/>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p>
          <w:p w:rsidR="005C72B4" w:rsidRPr="00021080" w:rsidRDefault="0070049C" w:rsidP="00021080">
            <w:pPr>
              <w:pStyle w:val="Prrafodelista"/>
              <w:numPr>
                <w:ilvl w:val="0"/>
                <w:numId w:val="9"/>
              </w:numPr>
              <w:pBdr>
                <w:top w:val="nil"/>
                <w:left w:val="nil"/>
                <w:bottom w:val="nil"/>
                <w:right w:val="nil"/>
                <w:between w:val="nil"/>
              </w:pBdr>
              <w:spacing w:line="276" w:lineRule="auto"/>
              <w:ind w:left="175"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color w:val="000000"/>
              </w:rPr>
            </w:pPr>
            <w:hyperlink r:id="rId12" w:tgtFrame="_blank" w:history="1">
              <w:r w:rsidR="008B70AB" w:rsidRPr="00021080">
                <w:rPr>
                  <w:rStyle w:val="Hipervnculo"/>
                  <w:rFonts w:ascii="Palatino Linotype" w:eastAsia="Calibri" w:hAnsi="Palatino Linotype" w:cs="Arial"/>
                  <w:b/>
                  <w:bCs/>
                  <w:color w:val="auto"/>
                </w:rPr>
                <w:t>Solicitud 19.pdf</w:t>
              </w:r>
            </w:hyperlink>
            <w:r w:rsidR="008B70AB" w:rsidRPr="00021080">
              <w:rPr>
                <w:rFonts w:ascii="Palatino Linotype" w:hAnsi="Palatino Linotype"/>
              </w:rPr>
              <w:t>: oficio número SMDIF/DIR/023</w:t>
            </w:r>
            <w:r w:rsidR="00820CD1" w:rsidRPr="00021080">
              <w:rPr>
                <w:rFonts w:ascii="Palatino Linotype" w:hAnsi="Palatino Linotype"/>
              </w:rPr>
              <w:t>6</w:t>
            </w:r>
            <w:r w:rsidR="008B70AB" w:rsidRPr="00021080">
              <w:rPr>
                <w:rFonts w:ascii="Palatino Linotype" w:hAnsi="Palatino Linotype"/>
              </w:rPr>
              <w:t>/2026, de fecha catorce de abril de dos mil veintiséis, suscrito por la Directora del Sistema Municipal DIF, quien señaló que la información solicitada será entregada a través de consulta directa.</w:t>
            </w:r>
          </w:p>
        </w:tc>
      </w:tr>
    </w:tbl>
    <w:p w:rsidR="00954C16" w:rsidRPr="00021080" w:rsidRDefault="00021080" w:rsidP="00954C16">
      <w:pPr>
        <w:pBdr>
          <w:top w:val="nil"/>
          <w:left w:val="nil"/>
          <w:bottom w:val="nil"/>
          <w:right w:val="nil"/>
          <w:between w:val="nil"/>
        </w:pBdr>
        <w:spacing w:line="360" w:lineRule="auto"/>
        <w:ind w:right="82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br w:type="textWrapping" w:clear="all"/>
      </w: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3" w:name="_heading=h.30j0zll" w:colFirst="0" w:colLast="0"/>
      <w:bookmarkEnd w:id="3"/>
      <w:r w:rsidRPr="00021080">
        <w:rPr>
          <w:rFonts w:ascii="Palatino Linotype" w:eastAsia="Palatino Linotype" w:hAnsi="Palatino Linotype" w:cs="Palatino Linotype"/>
          <w:color w:val="000000"/>
        </w:rPr>
        <w:t xml:space="preserve">El </w:t>
      </w:r>
      <w:r w:rsidR="00820CD1" w:rsidRPr="00021080">
        <w:rPr>
          <w:rFonts w:ascii="Palatino Linotype" w:eastAsia="Palatino Linotype" w:hAnsi="Palatino Linotype" w:cs="Palatino Linotype"/>
          <w:b/>
          <w:color w:val="000000"/>
        </w:rPr>
        <w:t>veintidós de abril de dos mil veintiséis</w:t>
      </w:r>
      <w:r w:rsidRPr="00021080">
        <w:rPr>
          <w:rFonts w:ascii="Palatino Linotype" w:eastAsia="Palatino Linotype" w:hAnsi="Palatino Linotype" w:cs="Palatino Linotype"/>
          <w:color w:val="000000"/>
        </w:rPr>
        <w:t xml:space="preserve">, </w:t>
      </w:r>
      <w:r w:rsidRPr="00021080">
        <w:rPr>
          <w:rFonts w:ascii="Palatino Linotype" w:eastAsia="Palatino Linotype" w:hAnsi="Palatino Linotype" w:cs="Palatino Linotype"/>
          <w:b/>
          <w:color w:val="000000"/>
        </w:rPr>
        <w:t>EL RECURRENTE</w:t>
      </w:r>
      <w:r w:rsidR="00820CD1" w:rsidRPr="00021080">
        <w:rPr>
          <w:rFonts w:ascii="Palatino Linotype" w:eastAsia="Palatino Linotype" w:hAnsi="Palatino Linotype" w:cs="Palatino Linotype"/>
          <w:color w:val="000000"/>
        </w:rPr>
        <w:t xml:space="preserve"> interpuso los</w:t>
      </w:r>
      <w:r w:rsidRPr="00021080">
        <w:rPr>
          <w:rFonts w:ascii="Palatino Linotype" w:eastAsia="Palatino Linotype" w:hAnsi="Palatino Linotype" w:cs="Palatino Linotype"/>
          <w:color w:val="000000"/>
        </w:rPr>
        <w:t xml:space="preserve"> recurso</w:t>
      </w:r>
      <w:r w:rsidR="00820CD1" w:rsidRPr="00021080">
        <w:rPr>
          <w:rFonts w:ascii="Palatino Linotype" w:eastAsia="Palatino Linotype" w:hAnsi="Palatino Linotype" w:cs="Palatino Linotype"/>
          <w:color w:val="000000"/>
        </w:rPr>
        <w:t>s</w:t>
      </w:r>
      <w:r w:rsidRPr="00021080">
        <w:rPr>
          <w:rFonts w:ascii="Palatino Linotype" w:eastAsia="Palatino Linotype" w:hAnsi="Palatino Linotype" w:cs="Palatino Linotype"/>
          <w:color w:val="000000"/>
        </w:rPr>
        <w:t xml:space="preserve"> de revisión, en contra de la respuesta y señaló como:</w:t>
      </w:r>
    </w:p>
    <w:p w:rsidR="00954C16" w:rsidRPr="00021080" w:rsidRDefault="00954C16" w:rsidP="00954C16">
      <w:pPr>
        <w:numPr>
          <w:ilvl w:val="0"/>
          <w:numId w:val="3"/>
        </w:numPr>
        <w:pBdr>
          <w:top w:val="nil"/>
          <w:left w:val="nil"/>
          <w:bottom w:val="nil"/>
          <w:right w:val="nil"/>
          <w:between w:val="nil"/>
        </w:pBdr>
        <w:spacing w:line="360" w:lineRule="auto"/>
        <w:ind w:left="851" w:right="541"/>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b/>
          <w:color w:val="000000"/>
        </w:rPr>
        <w:lastRenderedPageBreak/>
        <w:t xml:space="preserve">Acto impugnado: </w:t>
      </w:r>
      <w:r w:rsidRPr="00021080">
        <w:rPr>
          <w:rFonts w:ascii="Palatino Linotype" w:eastAsia="Palatino Linotype" w:hAnsi="Palatino Linotype" w:cs="Palatino Linotype"/>
          <w:i/>
          <w:color w:val="000000"/>
        </w:rPr>
        <w:t>“</w:t>
      </w:r>
      <w:r w:rsidR="00820CD1" w:rsidRPr="00021080">
        <w:rPr>
          <w:rFonts w:ascii="Palatino Linotype" w:eastAsia="Palatino Linotype" w:hAnsi="Palatino Linotype" w:cs="Palatino Linotype"/>
          <w:i/>
          <w:color w:val="000000"/>
        </w:rPr>
        <w:t xml:space="preserve">Acto impugnado Se impugna la respuesta emitida por el Sistema Municipal DIF de Apaxco, a través de su Dirección, Unidad de Transparencia y Comité de Transparencia, recaída a la solicitud de acceso a la información, así como el acta y acuerdo mediante los cuales se aprobó el cambio de modalidad de entrega de la información solicitada. El acto impugnado consiste en la emisión de una respuesta y acuerdos que, en los hechos, restringen y obstaculizan el acceso efectivo a la información pública solicitada, mediante una serie de actuaciones consistentes en: La omisión de entregar la información solicitada en la modalidad digital requerida, pese a no haberse declarado formalmente la inexistencia de la información ni su clasificación total como reservada o confidencial. La determinación unilateral de modificar la modalidad de entrega a consulta directa presencial, condicionando el acceso a la presencia física del solicitante en las instalaciones del Sistema Municipal DIF de Apaxco.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 La emisión de respuestas prácticamente idénticas para solicitudes distintas, evidenciando la utilización de formatos genéricos o “machotes”, sin un análisis individualizado respecto de la naturaleza, complejidad y características particulares de cada solicitud de información. La invocación del artículo 129 de la Ley General de Transparencia y Acceso a la Información Pública y correlativos de la legislación estatal, sin demostrar que la atención de las solicitudes implique un análisis, estudio o procesamiento extraordinario que efectivamente rebase las capacidades técnicas y humanas del sujeto obligado. La contradicción consistente en reconocer expresamente que la información </w:t>
      </w:r>
      <w:r w:rsidR="00820CD1" w:rsidRPr="00021080">
        <w:rPr>
          <w:rFonts w:ascii="Palatino Linotype" w:eastAsia="Palatino Linotype" w:hAnsi="Palatino Linotype" w:cs="Palatino Linotype"/>
          <w:i/>
          <w:color w:val="000000"/>
        </w:rPr>
        <w:lastRenderedPageBreak/>
        <w:t>solicitada existe, que puede localizarse, revisarse, organizarse y ponerse a disposición mediante consulta directa, e incluso que debe excluirse aquella información clasificada o confidencial mediante la elaboración de versiones públicas, mientras simultáneamente se sostiene que no resulta posible su reproducción o entrega digital. La imposición de una modalidad presencial que restringe el acceso efectivo a la información solicitada, dificulta su análisis integral y traslada cargas materiales y operativas al solicitante, limitando indebidamente el ejercicio del derecho de acceso a la información pública. En conjunto, dichas actuaciones configuran una respuesta incompleta, incongruente y restrictiva, que vulnera el derecho de acceso a la información pública y constituye una negativa de acceso encubierta.</w:t>
      </w:r>
      <w:r w:rsidRPr="00021080">
        <w:rPr>
          <w:rFonts w:ascii="Palatino Linotype" w:eastAsia="Palatino Linotype" w:hAnsi="Palatino Linotype" w:cs="Palatino Linotype"/>
          <w:i/>
          <w:color w:val="000000"/>
        </w:rPr>
        <w:t>” (sic)</w:t>
      </w:r>
    </w:p>
    <w:p w:rsidR="00820CD1" w:rsidRPr="00021080" w:rsidRDefault="00820CD1" w:rsidP="00820CD1">
      <w:pPr>
        <w:pBdr>
          <w:top w:val="nil"/>
          <w:left w:val="nil"/>
          <w:bottom w:val="nil"/>
          <w:right w:val="nil"/>
          <w:between w:val="nil"/>
        </w:pBdr>
        <w:spacing w:line="360" w:lineRule="auto"/>
        <w:ind w:left="851" w:right="541"/>
        <w:jc w:val="both"/>
        <w:rPr>
          <w:rFonts w:ascii="Palatino Linotype" w:eastAsia="Palatino Linotype" w:hAnsi="Palatino Linotype" w:cs="Palatino Linotype"/>
          <w:color w:val="000000"/>
        </w:rPr>
      </w:pPr>
    </w:p>
    <w:p w:rsidR="00954C16" w:rsidRPr="00021080" w:rsidRDefault="00954C16" w:rsidP="00954C16">
      <w:pPr>
        <w:numPr>
          <w:ilvl w:val="0"/>
          <w:numId w:val="3"/>
        </w:numPr>
        <w:pBdr>
          <w:top w:val="nil"/>
          <w:left w:val="nil"/>
          <w:bottom w:val="nil"/>
          <w:right w:val="nil"/>
          <w:between w:val="nil"/>
        </w:pBdr>
        <w:spacing w:line="360" w:lineRule="auto"/>
        <w:ind w:left="851" w:right="541"/>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b/>
          <w:color w:val="000000"/>
        </w:rPr>
        <w:t>Motivos o razones de inconformidad: “</w:t>
      </w:r>
      <w:r w:rsidR="00820CD1" w:rsidRPr="00021080">
        <w:rPr>
          <w:rFonts w:ascii="Palatino Linotype" w:eastAsia="Palatino Linotype" w:hAnsi="Palatino Linotype" w:cs="Palatino Linotype"/>
          <w:i/>
          <w:color w:val="000000"/>
        </w:rPr>
        <w:t xml:space="preserve">AGRAVIO: USO DE RESPUESTAS GENÉRICAS Y FALTA DE ANÁLISIS INDIVIDUALIZADO 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sus capacidades técnicas o humanas. Las respuestas se limitan a reproducir argumentos genéricos sobre: volumen considerable de información, carga de trabajo, 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w:t>
      </w:r>
      <w:r w:rsidR="00820CD1" w:rsidRPr="00021080">
        <w:rPr>
          <w:rFonts w:ascii="Palatino Linotype" w:eastAsia="Palatino Linotype" w:hAnsi="Palatino Linotype" w:cs="Palatino Linotype"/>
          <w:i/>
          <w:color w:val="000000"/>
        </w:rPr>
        <w:lastRenderedPageBreak/>
        <w:t xml:space="preserve">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Asi mismo, reconoce que deberá excluir información clasificada o confidencial, lo que implica necesariamente: localización de documentos, revisión 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institucional y actuación administrativa, la modalidad presencial reduce significativamente las condiciones de accesibilidad y facilita escenarios de restricción indirecta al derecho de acceso. Por ello, la modalidad digital solicitada no constituye una preferencia arbitraria, sino una condición necesaria para garantizar un acceso efectivo, </w:t>
      </w:r>
      <w:r w:rsidR="00820CD1" w:rsidRPr="00021080">
        <w:rPr>
          <w:rFonts w:ascii="Palatino Linotype" w:eastAsia="Palatino Linotype" w:hAnsi="Palatino Linotype" w:cs="Palatino Linotype"/>
          <w:i/>
          <w:color w:val="000000"/>
        </w:rPr>
        <w:lastRenderedPageBreak/>
        <w:t>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internos de organización administrativa y no constituyen una causal suficiente para restringir o disminuir el alcance de un derecho fundamental 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w:t>
      </w:r>
      <w:r w:rsidRPr="00021080">
        <w:rPr>
          <w:rFonts w:ascii="Palatino Linotype" w:eastAsia="Palatino Linotype" w:hAnsi="Palatino Linotype" w:cs="Palatino Linotype"/>
          <w:b/>
          <w:color w:val="000000"/>
        </w:rPr>
        <w:t>”</w:t>
      </w:r>
      <w:r w:rsidRPr="00021080">
        <w:rPr>
          <w:rFonts w:ascii="Palatino Linotype" w:eastAsia="Palatino Linotype" w:hAnsi="Palatino Linotype" w:cs="Palatino Linotype"/>
          <w:i/>
          <w:color w:val="000000"/>
        </w:rPr>
        <w:t xml:space="preserve"> (sic)</w:t>
      </w:r>
    </w:p>
    <w:p w:rsidR="00954C16" w:rsidRPr="00021080" w:rsidRDefault="00954C16" w:rsidP="00954C16">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F44B81" w:rsidRPr="00021080" w:rsidRDefault="00F44B81" w:rsidP="00F44B81">
      <w:pPr>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A la interposición del recurso, el Recurrente adjuntó el archivo dominado </w:t>
      </w:r>
      <w:hyperlink r:id="rId13" w:tgtFrame="_blank" w:history="1">
        <w:r w:rsidRPr="00021080">
          <w:rPr>
            <w:rStyle w:val="Hipervnculo"/>
            <w:rFonts w:ascii="Palatino Linotype" w:eastAsia="Palatino Linotype" w:hAnsi="Palatino Linotype" w:cs="Palatino Linotype"/>
            <w:b/>
            <w:bCs/>
            <w:i/>
          </w:rPr>
          <w:t>Justificacion de Recurso de revisión - SMDIF APAXCO.pdf</w:t>
        </w:r>
      </w:hyperlink>
      <w:r w:rsidRPr="00021080">
        <w:rPr>
          <w:rFonts w:ascii="Palatino Linotype" w:eastAsia="Palatino Linotype" w:hAnsi="Palatino Linotype" w:cs="Palatino Linotype"/>
          <w:i/>
          <w:color w:val="000000"/>
        </w:rPr>
        <w:t>, en el que se advierte la siguiente información:</w:t>
      </w:r>
    </w:p>
    <w:p w:rsidR="00F44B81" w:rsidRPr="00021080" w:rsidRDefault="00F44B81" w:rsidP="00F44B81">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"Acto impugnado</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Se impugna la respuesta emitida por el Sistema Municipal DIF de Apaxco, a través de su Dirección, Unidad de Transparencia y Comité de Transparencia, recaída a la solicitud de acceso a la información, así como el acta y acuerdo mediante los cuales se aprobó el cambio de modalidad de entrega de la información solicitada.</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lastRenderedPageBreak/>
        <w:t>El acto impugnado consiste en la emisión de una respuesta y acuerdos que, en los hechos, restringen y obstaculizan el acceso efectivo a la información pública solicitada, mediante una serie de actuaciones consistentes en:</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La omisión de entregar la información solicitada en la modalidad digital requerida, pese a no haberse declarado formalmente la inexistencia de la información ni su clasificación total como reservada o confidencial.</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La determinación unilateral de modificar la modalidad de entrega a consulta directa presencial, condicionando el acceso a la presencia física del solicitante en las instalaciones del Sistema Municipal DIF de Apaxco.</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La emisión de respuestas prácticamente idénticas para solicitudes distintas, evidenciando la utilización de formatos genéricos o “machotes”, sin un análisis individualizado respecto de la naturaleza, complejidad y características particulares de cada solicitud de información.</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La invocación del artículo 129 de la Ley General de Transparencia y Acceso a la Información Pública y correlativos de la legislación estatal, sin demostrar que la atención de las solicitudes implique un análisis, estudio o procesamiento extraordinario que efectivamente rebase las capacidades técnicas y humanas del sujeto obligado.</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La contradicción consistente en reconocer expresamente que la información solicitada existe, que puede localizarse, revisarse, organizarse y ponerse a disposición mediante consulta directa, e incluso que debe excluirse aquella información clasificada o confidencial mediante la elaboración de versiones públicas, mientras simultáneamente se sostiene que no resulta posible su reproducción o entrega digital.</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La imposición de una modalidad presencial que restringe el acceso efectivo a la información solicitada, dificulta su análisis integral y traslada cargas materiales y operativas al solicitante, limitando indebidamente el ejercicio del derecho de acceso a la información pública.</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En conjunto, dichas actuaciones configuran una respuesta incompleta, incongruente y restrictiva, que vulnera el derecho de acceso a la información pública y constituye una negativa de acceso encubierta.</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b/>
          <w:bCs/>
          <w:i/>
          <w:color w:val="000000"/>
        </w:rPr>
        <w:lastRenderedPageBreak/>
        <w:t xml:space="preserve">AGRAVIO: USO DE RESPUESTAS GENÉRICAS Y FALTA DE ANÁLISIS INDIVIDUALIZADO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Lo anterior vulnera el principio de exhaustividad y congruencia, ya que el sujeto obligado omite justificar de manera específica por qué cada solicitud, en lo particular, supuestamente rebasa sus capacidades técnicas o humanas.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Las respuestas se limitan a reproducir argumentos genéricos sobre: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volumen considerable de información,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carga de trabajo,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falta de personal,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limitaciones de equipo tecnológico,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sin acreditar de manera concreta: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cuántos documentos integran la información solicitada,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cuánto tiempo requeriría su procesamiento,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por qué resulta imposible su digitalización,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ni por qué la modalidad digital resulta inviable.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Por lo tanto, la motivación utilizada por el sujeto obligado resulta deficiente, genérica e insuficiente.</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b/>
          <w:bCs/>
          <w:i/>
          <w:color w:val="000000"/>
        </w:rPr>
        <w:t xml:space="preserve">AGRAVIO: RECONOCIMIENTO EXPRESO DE EXISTENCIA Y POSIBILIDAD DE ACCESO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El propio sujeto obligado reconoce expresamente que la información solicitada existe y que puede ponerse a disposición del solicitante mediante consulta directa.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Asi mismo, reconoce que deberá excluir información clasificada o confidencial, lo que implica necesariamente: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localización de documentos,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lastRenderedPageBreak/>
        <w:t xml:space="preserve">● revisión documental,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elaboración de versiones públicas,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y organización de la información.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En consecuencia, resulta contradictorio sostener simultáneamente que: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la información sí puede revisarse presencialmente,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sí puede procesarse para excluir información clasificada,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pero no puede reproducirse o entregarse digitalmente.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Dicha contradicción evidencia que no existe imposibilidad material real para la entrega de la información, sino únicamente una decisión administrativa orientada a restringir la modalidad solicitada.</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b/>
          <w:bCs/>
          <w:i/>
          <w:color w:val="000000"/>
        </w:rPr>
        <w:t xml:space="preserve">AGRAVIO: LA CONSULTA DIRECTA NO GARANTIZA EL ACCESO EFECTIVO A LA INFORMACIÓN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La imposición de consulta directa como única modalidad de acceso restringe el ejercicio efectivo del derecho de acceso a la información, al trasladar cargas materiales y operativas al solicitante.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La consulta presencial: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dificulta el análisis integral de la información,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limita su aprovechamiento,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restringe la posibilidad de revisión detallada,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 y puede generar un efecto inhibitorio para el ejercicio del derecho de acceso a la información pública.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Particularmente, tratándose de solicitudes relacionadas con documentación institucional y actuación administrativa, la modalidad presencial reduce significativamente las condiciones de accesibilidad y facilita escenarios de restricción indirecta al derecho de acceso.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Por ello, la modalidad digital solicitada no constituye una preferencia arbitraria, sino una condición necesaria para garantizar un acceso efectivo, completo y no restrictivo a la información pública.</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b/>
          <w:bCs/>
          <w:i/>
          <w:color w:val="000000"/>
        </w:rPr>
        <w:lastRenderedPageBreak/>
        <w:t xml:space="preserve">AGRAVIO: LA CARGA ADMINISTRATIVA NO CONSTITUYE AFECTACIÓN OPERATIVA SUFICIENTE PARA RESTRINGIR DERECHOS FUNDAMENTALES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El sujeto obligado sostiene que la atención de la solicitud representa una “afectación operativa” derivada del volumen de información, limitaciones de personal y escasez de recursos.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Sin embargo, tales circunstancias corresponden exclusivamente a aspectos internos de organización administrativa y no constituyen una causal suficiente para restringir o disminuir el alcance de un derecho fundamental reconocido constitucionalmente.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w:t>
      </w:r>
    </w:p>
    <w:p w:rsidR="00F44B81" w:rsidRPr="00021080" w:rsidRDefault="00F44B81" w:rsidP="00F44B81">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Las cargas administrativas internas son responsabilidad exclusiva del sujeto obligado y no pueden trasladarse al solicitante ni utilizarse como mecanismo para justificar respuestas </w:t>
      </w:r>
    </w:p>
    <w:p w:rsidR="00021080" w:rsidRDefault="00F44B81" w:rsidP="00CD6828">
      <w:pPr>
        <w:pBdr>
          <w:top w:val="nil"/>
          <w:left w:val="nil"/>
          <w:bottom w:val="nil"/>
          <w:right w:val="nil"/>
          <w:between w:val="nil"/>
        </w:pBdr>
        <w:spacing w:line="276" w:lineRule="auto"/>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incompletas, cambios arbitrarios de modalidad o restricciones indebidas al acceso a la información pública.”</w:t>
      </w:r>
      <w:r w:rsidR="007F77BE" w:rsidRPr="00021080">
        <w:rPr>
          <w:rFonts w:ascii="Palatino Linotype" w:eastAsia="Palatino Linotype" w:hAnsi="Palatino Linotype" w:cs="Palatino Linotype"/>
          <w:i/>
          <w:color w:val="000000"/>
        </w:rPr>
        <w:t xml:space="preserve">  </w:t>
      </w:r>
    </w:p>
    <w:p w:rsidR="00021080" w:rsidRPr="00021080" w:rsidRDefault="00021080" w:rsidP="00CD6828">
      <w:pPr>
        <w:pBdr>
          <w:top w:val="nil"/>
          <w:left w:val="nil"/>
          <w:bottom w:val="nil"/>
          <w:right w:val="nil"/>
          <w:between w:val="nil"/>
        </w:pBdr>
        <w:spacing w:line="276" w:lineRule="auto"/>
        <w:jc w:val="both"/>
        <w:rPr>
          <w:rFonts w:ascii="Palatino Linotype" w:eastAsia="Palatino Linotype" w:hAnsi="Palatino Linotype" w:cs="Palatino Linotype"/>
          <w:i/>
          <w:color w:val="000000"/>
        </w:rPr>
      </w:pPr>
    </w:p>
    <w:p w:rsidR="00954C16" w:rsidRPr="00021080" w:rsidRDefault="00820CD1"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b/>
          <w:color w:val="000000"/>
        </w:rPr>
        <w:t xml:space="preserve"> </w:t>
      </w:r>
      <w:r w:rsidR="00954C16" w:rsidRPr="00021080">
        <w:rPr>
          <w:rFonts w:ascii="Palatino Linotype" w:eastAsia="Palatino Linotype" w:hAnsi="Palatino Linotype" w:cs="Palatino Linotype"/>
          <w:color w:val="000000"/>
        </w:rPr>
        <w:t xml:space="preserve">Se registró el recurso revisión bajo el número de expediente al rubro indicado, asimismo con fundamento en lo dispuesto por el artículo 185 fracción I de la </w:t>
      </w:r>
      <w:r w:rsidR="00954C16" w:rsidRPr="00021080">
        <w:rPr>
          <w:rFonts w:ascii="Palatino Linotype" w:eastAsia="Palatino Linotype" w:hAnsi="Palatino Linotype" w:cs="Palatino Linotype"/>
          <w:b/>
          <w:color w:val="000000"/>
        </w:rPr>
        <w:t xml:space="preserve">Ley de Transparencia y Acceso a la Información Pública del Estado de México y Municipios </w:t>
      </w:r>
      <w:r w:rsidR="00954C16" w:rsidRPr="00021080">
        <w:rPr>
          <w:rFonts w:ascii="Palatino Linotype" w:eastAsia="Palatino Linotype" w:hAnsi="Palatino Linotype" w:cs="Palatino Linotype"/>
          <w:color w:val="000000"/>
        </w:rPr>
        <w:t xml:space="preserve">se </w:t>
      </w:r>
      <w:r w:rsidR="00954C16" w:rsidRPr="00021080">
        <w:rPr>
          <w:rFonts w:ascii="Palatino Linotype" w:eastAsia="Palatino Linotype" w:hAnsi="Palatino Linotype" w:cs="Palatino Linotype"/>
        </w:rPr>
        <w:t>turna</w:t>
      </w:r>
      <w:r w:rsidR="00954C16" w:rsidRPr="00021080">
        <w:rPr>
          <w:rFonts w:ascii="Palatino Linotype" w:eastAsia="Palatino Linotype" w:hAnsi="Palatino Linotype" w:cs="Palatino Linotype"/>
          <w:color w:val="000000"/>
        </w:rPr>
        <w:t xml:space="preserve"> a la </w:t>
      </w:r>
      <w:r w:rsidR="00954C16" w:rsidRPr="00021080">
        <w:rPr>
          <w:rFonts w:ascii="Palatino Linotype" w:eastAsia="Palatino Linotype" w:hAnsi="Palatino Linotype" w:cs="Palatino Linotype"/>
          <w:b/>
          <w:color w:val="000000"/>
        </w:rPr>
        <w:t xml:space="preserve">Comisionada María del Rosario Mejía Ayala, </w:t>
      </w:r>
      <w:r w:rsidR="00954C16" w:rsidRPr="00021080">
        <w:rPr>
          <w:rFonts w:ascii="Palatino Linotype" w:eastAsia="Palatino Linotype" w:hAnsi="Palatino Linotype" w:cs="Palatino Linotype"/>
        </w:rPr>
        <w:t>para</w:t>
      </w:r>
      <w:r w:rsidR="00954C16" w:rsidRPr="00021080">
        <w:rPr>
          <w:rFonts w:ascii="Palatino Linotype" w:eastAsia="Palatino Linotype" w:hAnsi="Palatino Linotype" w:cs="Palatino Linotype"/>
          <w:color w:val="000000"/>
        </w:rPr>
        <w:t xml:space="preserve"> su análisis.</w:t>
      </w:r>
    </w:p>
    <w:p w:rsidR="00F44B81" w:rsidRPr="00021080" w:rsidRDefault="00F44B81" w:rsidP="00F44B8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sidR="007F77BE" w:rsidRPr="00021080">
        <w:rPr>
          <w:rFonts w:ascii="Palatino Linotype" w:eastAsia="Palatino Linotype" w:hAnsi="Palatino Linotype" w:cs="Palatino Linotype"/>
          <w:b/>
          <w:color w:val="000000"/>
        </w:rPr>
        <w:t>veintitrés, veinticuatro y</w:t>
      </w:r>
      <w:r w:rsidR="007F77BE" w:rsidRPr="00021080">
        <w:rPr>
          <w:rFonts w:ascii="Palatino Linotype" w:eastAsia="Palatino Linotype" w:hAnsi="Palatino Linotype" w:cs="Palatino Linotype"/>
          <w:color w:val="000000"/>
        </w:rPr>
        <w:t xml:space="preserve"> </w:t>
      </w:r>
      <w:r w:rsidR="007F77BE" w:rsidRPr="00021080">
        <w:rPr>
          <w:rFonts w:ascii="Palatino Linotype" w:eastAsia="Palatino Linotype" w:hAnsi="Palatino Linotype" w:cs="Palatino Linotype"/>
          <w:b/>
          <w:color w:val="000000"/>
        </w:rPr>
        <w:t>veintisiete de abril de dos mil veintiséis</w:t>
      </w:r>
      <w:r w:rsidRPr="00021080">
        <w:rPr>
          <w:rFonts w:ascii="Palatino Linotype" w:eastAsia="Palatino Linotype" w:hAnsi="Palatino Linotype" w:cs="Palatino Linotype"/>
          <w:color w:val="000000"/>
        </w:rPr>
        <w:t xml:space="preserve">, puso a disposición de las partes el expediente electrónico vía </w:t>
      </w:r>
      <w:r w:rsidRPr="00021080">
        <w:rPr>
          <w:rFonts w:ascii="Palatino Linotype" w:eastAsia="Palatino Linotype" w:hAnsi="Palatino Linotype" w:cs="Palatino Linotype"/>
          <w:b/>
          <w:color w:val="000000"/>
        </w:rPr>
        <w:t xml:space="preserve">SAIMEX </w:t>
      </w:r>
      <w:r w:rsidRPr="00021080">
        <w:rPr>
          <w:rFonts w:ascii="Palatino Linotype" w:eastAsia="Palatino Linotype" w:hAnsi="Palatino Linotype" w:cs="Palatino Linotype"/>
          <w:color w:val="000000"/>
        </w:rPr>
        <w:t xml:space="preserve">a efecto de que en un plazo máximo de siete días </w:t>
      </w:r>
      <w:r w:rsidRPr="00021080">
        <w:rPr>
          <w:rFonts w:ascii="Palatino Linotype" w:eastAsia="Palatino Linotype" w:hAnsi="Palatino Linotype" w:cs="Palatino Linotype"/>
        </w:rPr>
        <w:t>manifestara</w:t>
      </w:r>
      <w:r w:rsidRPr="00021080">
        <w:rPr>
          <w:rFonts w:ascii="Palatino Linotype" w:eastAsia="Palatino Linotype" w:hAnsi="Palatino Linotype" w:cs="Palatino Linotype"/>
          <w:color w:val="000000"/>
        </w:rPr>
        <w:t xml:space="preserve"> lo que a derecho </w:t>
      </w:r>
      <w:r w:rsidRPr="00021080">
        <w:rPr>
          <w:rFonts w:ascii="Palatino Linotype" w:eastAsia="Palatino Linotype" w:hAnsi="Palatino Linotype" w:cs="Palatino Linotype"/>
        </w:rPr>
        <w:t>conviniera</w:t>
      </w:r>
      <w:r w:rsidRPr="00021080">
        <w:rPr>
          <w:rFonts w:ascii="Palatino Linotype" w:eastAsia="Palatino Linotype" w:hAnsi="Palatino Linotype" w:cs="Palatino Linotype"/>
          <w:color w:val="000000"/>
        </w:rPr>
        <w:t xml:space="preserve">, </w:t>
      </w:r>
      <w:r w:rsidRPr="00021080">
        <w:rPr>
          <w:rFonts w:ascii="Palatino Linotype" w:eastAsia="Palatino Linotype" w:hAnsi="Palatino Linotype" w:cs="Palatino Linotype"/>
        </w:rPr>
        <w:t>ofreciera</w:t>
      </w:r>
      <w:r w:rsidRPr="00021080">
        <w:rPr>
          <w:rFonts w:ascii="Palatino Linotype" w:eastAsia="Palatino Linotype" w:hAnsi="Palatino Linotype" w:cs="Palatino Linotype"/>
          <w:color w:val="000000"/>
        </w:rPr>
        <w:t xml:space="preserve"> pruebas y alegatos según corresponda al caso concreto, de esta forma para que el </w:t>
      </w:r>
      <w:r w:rsidRPr="00021080">
        <w:rPr>
          <w:rFonts w:ascii="Palatino Linotype" w:eastAsia="Palatino Linotype" w:hAnsi="Palatino Linotype" w:cs="Palatino Linotype"/>
          <w:b/>
          <w:color w:val="000000"/>
        </w:rPr>
        <w:t>SUJETO OBLIGADO</w:t>
      </w:r>
      <w:r w:rsidRPr="00021080">
        <w:rPr>
          <w:rFonts w:ascii="Palatino Linotype" w:eastAsia="Palatino Linotype" w:hAnsi="Palatino Linotype" w:cs="Palatino Linotype"/>
          <w:color w:val="000000"/>
        </w:rPr>
        <w:t xml:space="preserve"> </w:t>
      </w:r>
      <w:r w:rsidRPr="00021080">
        <w:rPr>
          <w:rFonts w:ascii="Palatino Linotype" w:eastAsia="Palatino Linotype" w:hAnsi="Palatino Linotype" w:cs="Palatino Linotype"/>
        </w:rPr>
        <w:t>presentara</w:t>
      </w:r>
      <w:r w:rsidRPr="00021080">
        <w:rPr>
          <w:rFonts w:ascii="Palatino Linotype" w:eastAsia="Palatino Linotype" w:hAnsi="Palatino Linotype" w:cs="Palatino Linotype"/>
          <w:color w:val="000000"/>
        </w:rPr>
        <w:t xml:space="preserve"> el informe justificado procedente.</w:t>
      </w:r>
    </w:p>
    <w:p w:rsidR="00954C16" w:rsidRPr="00021080" w:rsidRDefault="00C76702"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rPr>
        <w:lastRenderedPageBreak/>
        <w:t>Así,</w:t>
      </w:r>
      <w:r w:rsidR="00954C16" w:rsidRPr="00021080">
        <w:rPr>
          <w:rFonts w:ascii="Palatino Linotype" w:eastAsia="Palatino Linotype" w:hAnsi="Palatino Linotype" w:cs="Palatino Linotype"/>
        </w:rPr>
        <w:t xml:space="preserve"> el </w:t>
      </w:r>
      <w:r w:rsidR="00211CD9" w:rsidRPr="00021080">
        <w:rPr>
          <w:rFonts w:ascii="Palatino Linotype" w:eastAsia="Palatino Linotype" w:hAnsi="Palatino Linotype" w:cs="Palatino Linotype"/>
          <w:b/>
        </w:rPr>
        <w:t>ocho de junio de dos mil veintiséis</w:t>
      </w:r>
      <w:r w:rsidR="00954C16" w:rsidRPr="00021080">
        <w:rPr>
          <w:rFonts w:ascii="Palatino Linotype" w:eastAsia="Palatino Linotype" w:hAnsi="Palatino Linotype" w:cs="Palatino Linotype"/>
        </w:rPr>
        <w:t>, se notificó el acuerdo mediante el cual se decretó la acumulación de los recursos de revisión.</w:t>
      </w:r>
    </w:p>
    <w:p w:rsidR="00954C16" w:rsidRPr="00021080" w:rsidRDefault="00954C16" w:rsidP="00954C16">
      <w:pPr>
        <w:pBdr>
          <w:top w:val="nil"/>
          <w:left w:val="nil"/>
          <w:bottom w:val="nil"/>
          <w:right w:val="nil"/>
          <w:between w:val="nil"/>
        </w:pBdr>
        <w:ind w:left="720"/>
        <w:rPr>
          <w:rFonts w:ascii="Palatino Linotype" w:eastAsia="Palatino Linotype" w:hAnsi="Palatino Linotype" w:cs="Palatino Linotype"/>
          <w:color w:val="000000"/>
        </w:rPr>
      </w:pP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rPr>
        <w:t>En ese tenor resulta conveniente su trámite de forma unificada para mejor resolver y evitar la emisión de resoluciones contradictorias, fue procedente que este Órgano Garante realizara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rsidR="00954C16" w:rsidRPr="00021080" w:rsidRDefault="00954C16" w:rsidP="00954C16">
      <w:pPr>
        <w:spacing w:line="360" w:lineRule="auto"/>
        <w:ind w:left="709" w:right="616"/>
        <w:jc w:val="center"/>
        <w:rPr>
          <w:rFonts w:ascii="Palatino Linotype" w:eastAsia="Palatino Linotype" w:hAnsi="Palatino Linotype" w:cs="Palatino Linotype"/>
          <w:b/>
          <w:i/>
        </w:rPr>
      </w:pPr>
      <w:r w:rsidRPr="00021080">
        <w:rPr>
          <w:rFonts w:ascii="Palatino Linotype" w:eastAsia="Palatino Linotype" w:hAnsi="Palatino Linotype" w:cs="Palatino Linotype"/>
          <w:b/>
          <w:i/>
        </w:rPr>
        <w:t>Código de Procedimientos Administrativos del Estado de México.</w:t>
      </w:r>
    </w:p>
    <w:p w:rsidR="00954C16" w:rsidRPr="00021080" w:rsidRDefault="00954C16" w:rsidP="00954C16">
      <w:pPr>
        <w:spacing w:line="360" w:lineRule="auto"/>
        <w:ind w:left="709" w:right="616"/>
        <w:jc w:val="center"/>
        <w:rPr>
          <w:rFonts w:ascii="Palatino Linotype" w:eastAsia="Palatino Linotype" w:hAnsi="Palatino Linotype" w:cs="Palatino Linotype"/>
          <w:b/>
          <w:i/>
        </w:rPr>
      </w:pPr>
    </w:p>
    <w:p w:rsidR="00954C16" w:rsidRPr="00021080" w:rsidRDefault="00954C16" w:rsidP="00954C16">
      <w:pPr>
        <w:spacing w:line="360" w:lineRule="auto"/>
        <w:ind w:left="709" w:right="616"/>
        <w:jc w:val="both"/>
        <w:rPr>
          <w:rFonts w:ascii="Palatino Linotype" w:eastAsia="Palatino Linotype" w:hAnsi="Palatino Linotype" w:cs="Palatino Linotype"/>
          <w:i/>
        </w:rPr>
      </w:pPr>
      <w:r w:rsidRPr="00021080">
        <w:rPr>
          <w:rFonts w:ascii="Palatino Linotype" w:eastAsia="Palatino Linotype" w:hAnsi="Palatino Linotype" w:cs="Palatino Linotype"/>
          <w:b/>
          <w:i/>
        </w:rPr>
        <w:t>“Artículo 18.-</w:t>
      </w:r>
      <w:r w:rsidRPr="00021080">
        <w:rPr>
          <w:rFonts w:ascii="Palatino Linotype" w:eastAsia="Palatino Linotype" w:hAnsi="Palatino Linotype" w:cs="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rsidR="00954C16" w:rsidRPr="00021080" w:rsidRDefault="00954C16" w:rsidP="00954C16">
      <w:pPr>
        <w:spacing w:line="360" w:lineRule="auto"/>
        <w:ind w:right="616"/>
        <w:jc w:val="both"/>
        <w:rPr>
          <w:rFonts w:ascii="Palatino Linotype" w:eastAsia="Palatino Linotype" w:hAnsi="Palatino Linotype" w:cs="Palatino Linotype"/>
          <w:i/>
        </w:rPr>
      </w:pPr>
    </w:p>
    <w:p w:rsidR="00954C16" w:rsidRPr="00021080" w:rsidRDefault="00954C16" w:rsidP="00954C16">
      <w:pPr>
        <w:spacing w:line="360" w:lineRule="auto"/>
        <w:ind w:left="709" w:right="616"/>
        <w:jc w:val="center"/>
        <w:rPr>
          <w:rFonts w:ascii="Palatino Linotype" w:eastAsia="Palatino Linotype" w:hAnsi="Palatino Linotype" w:cs="Palatino Linotype"/>
          <w:b/>
          <w:i/>
        </w:rPr>
      </w:pPr>
      <w:r w:rsidRPr="00021080">
        <w:rPr>
          <w:rFonts w:ascii="Palatino Linotype" w:eastAsia="Palatino Linotype" w:hAnsi="Palatino Linotype" w:cs="Palatino Linotype"/>
          <w:b/>
          <w:i/>
        </w:rPr>
        <w:t>Ley de Transparencia y Acceso a la Información Pública del Estado de México y Municipios</w:t>
      </w:r>
    </w:p>
    <w:p w:rsidR="00954C16" w:rsidRPr="00021080" w:rsidRDefault="00954C16" w:rsidP="00954C16">
      <w:pPr>
        <w:spacing w:line="360" w:lineRule="auto"/>
        <w:ind w:left="709" w:right="616"/>
        <w:jc w:val="center"/>
        <w:rPr>
          <w:rFonts w:ascii="Palatino Linotype" w:eastAsia="Palatino Linotype" w:hAnsi="Palatino Linotype" w:cs="Palatino Linotype"/>
          <w:b/>
          <w:i/>
        </w:rPr>
      </w:pPr>
    </w:p>
    <w:p w:rsidR="00954C16" w:rsidRPr="00021080" w:rsidRDefault="00954C16" w:rsidP="00954C16">
      <w:pPr>
        <w:spacing w:line="360" w:lineRule="auto"/>
        <w:ind w:left="709" w:right="616"/>
        <w:jc w:val="both"/>
        <w:rPr>
          <w:rFonts w:ascii="Palatino Linotype" w:eastAsia="Palatino Linotype" w:hAnsi="Palatino Linotype" w:cs="Palatino Linotype"/>
          <w:i/>
        </w:rPr>
      </w:pPr>
      <w:r w:rsidRPr="00021080">
        <w:rPr>
          <w:rFonts w:ascii="Palatino Linotype" w:eastAsia="Palatino Linotype" w:hAnsi="Palatino Linotype" w:cs="Palatino Linotype"/>
          <w:b/>
          <w:i/>
        </w:rPr>
        <w:lastRenderedPageBreak/>
        <w:t>“Artículo 195.</w:t>
      </w:r>
      <w:r w:rsidRPr="00021080">
        <w:rPr>
          <w:rFonts w:ascii="Palatino Linotype" w:eastAsia="Palatino Linotype" w:hAnsi="Palatino Linotype" w:cs="Palatino Linotype"/>
          <w:i/>
        </w:rPr>
        <w:t xml:space="preserve"> En la tramitación del recurso de revisión se aplicarán supletoriamente las disposiciones contenidas en el Código de Procedimientos Administrativos del Estado de México.”</w:t>
      </w:r>
    </w:p>
    <w:p w:rsidR="00954C16" w:rsidRPr="00021080" w:rsidRDefault="00954C16" w:rsidP="00954C16">
      <w:pPr>
        <w:numPr>
          <w:ilvl w:val="0"/>
          <w:numId w:val="5"/>
        </w:numPr>
        <w:pBdr>
          <w:top w:val="nil"/>
          <w:left w:val="nil"/>
          <w:bottom w:val="nil"/>
          <w:right w:val="nil"/>
          <w:between w:val="nil"/>
        </w:pBdr>
        <w:tabs>
          <w:tab w:val="left" w:pos="284"/>
        </w:tabs>
        <w:spacing w:before="240" w:after="240"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De las constancias en el sistema </w:t>
      </w:r>
      <w:r w:rsidRPr="00021080">
        <w:rPr>
          <w:rFonts w:ascii="Palatino Linotype" w:eastAsia="Palatino Linotype" w:hAnsi="Palatino Linotype" w:cs="Palatino Linotype"/>
          <w:b/>
          <w:color w:val="000000"/>
        </w:rPr>
        <w:t>SAIMEX</w:t>
      </w:r>
      <w:r w:rsidRPr="00021080">
        <w:rPr>
          <w:rFonts w:ascii="Palatino Linotype" w:eastAsia="Palatino Linotype" w:hAnsi="Palatino Linotype" w:cs="Palatino Linotype"/>
          <w:color w:val="000000"/>
        </w:rPr>
        <w:t>, se advierte que el Recurrente no realizó manifestacion</w:t>
      </w:r>
      <w:r w:rsidR="00211CD9" w:rsidRPr="00021080">
        <w:rPr>
          <w:rFonts w:ascii="Palatino Linotype" w:eastAsia="Palatino Linotype" w:hAnsi="Palatino Linotype" w:cs="Palatino Linotype"/>
          <w:color w:val="000000"/>
        </w:rPr>
        <w:t>es que a su derecho convinieran;</w:t>
      </w:r>
      <w:r w:rsidRPr="00021080">
        <w:rPr>
          <w:rFonts w:ascii="Palatino Linotype" w:eastAsia="Palatino Linotype" w:hAnsi="Palatino Linotype" w:cs="Palatino Linotype"/>
          <w:color w:val="000000"/>
        </w:rPr>
        <w:t xml:space="preserve"> por</w:t>
      </w:r>
      <w:r w:rsidR="00211CD9" w:rsidRPr="00021080">
        <w:rPr>
          <w:rFonts w:ascii="Palatino Linotype" w:eastAsia="Palatino Linotype" w:hAnsi="Palatino Linotype" w:cs="Palatino Linotype"/>
          <w:color w:val="000000"/>
        </w:rPr>
        <w:t xml:space="preserve"> su parte, el Sujeto Obligado entregó informe justificado el </w:t>
      </w:r>
      <w:r w:rsidR="00211CD9" w:rsidRPr="00021080">
        <w:rPr>
          <w:rFonts w:ascii="Palatino Linotype" w:eastAsia="Palatino Linotype" w:hAnsi="Palatino Linotype" w:cs="Palatino Linotype"/>
          <w:b/>
          <w:color w:val="000000"/>
        </w:rPr>
        <w:t>seis de mayo de dos mil veintiséis</w:t>
      </w:r>
      <w:r w:rsidR="00211CD9" w:rsidRPr="00021080">
        <w:rPr>
          <w:rFonts w:ascii="Palatino Linotype" w:eastAsia="Palatino Linotype" w:hAnsi="Palatino Linotype" w:cs="Palatino Linotype"/>
          <w:color w:val="000000"/>
        </w:rPr>
        <w:t xml:space="preserve">, mismo que fue puesto a la vista del Recurrente el ocho de junio del mismo año y mediante los cuales ratificó sus respuestas. </w:t>
      </w: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El </w:t>
      </w:r>
      <w:r w:rsidR="00211CD9" w:rsidRPr="00021080">
        <w:rPr>
          <w:rFonts w:ascii="Palatino Linotype" w:eastAsia="Palatino Linotype" w:hAnsi="Palatino Linotype" w:cs="Palatino Linotype"/>
          <w:b/>
          <w:color w:val="000000"/>
        </w:rPr>
        <w:t>dieciséis de junio de dos mil veintiséis</w:t>
      </w:r>
      <w:r w:rsidRPr="00021080">
        <w:rPr>
          <w:rFonts w:ascii="Palatino Linotype" w:eastAsia="Palatino Linotype" w:hAnsi="Palatino Linotype" w:cs="Palatino Linotype"/>
          <w:color w:val="000000"/>
        </w:rPr>
        <w:t xml:space="preserve">, se notificó el acuerdo mediante el cual se </w:t>
      </w:r>
      <w:r w:rsidR="00211CD9" w:rsidRPr="00021080">
        <w:rPr>
          <w:rFonts w:ascii="Palatino Linotype" w:eastAsia="Palatino Linotype" w:hAnsi="Palatino Linotype" w:cs="Palatino Linotype"/>
          <w:color w:val="000000"/>
        </w:rPr>
        <w:t xml:space="preserve">aprobó la ampliación de plazo para emitir resolución y mediante el cual se </w:t>
      </w:r>
      <w:r w:rsidRPr="00021080">
        <w:rPr>
          <w:rFonts w:ascii="Palatino Linotype" w:eastAsia="Palatino Linotype" w:hAnsi="Palatino Linotype" w:cs="Palatino Linotype"/>
          <w:color w:val="000000"/>
        </w:rPr>
        <w:t>decretó el cierre de instrucción.</w:t>
      </w:r>
    </w:p>
    <w:p w:rsidR="00954C16" w:rsidRPr="00021080" w:rsidRDefault="00954C16" w:rsidP="00954C16">
      <w:pPr>
        <w:pStyle w:val="Ttulo1"/>
        <w:jc w:val="center"/>
        <w:rPr>
          <w:rFonts w:ascii="Palatino Linotype" w:eastAsia="Palatino Linotype" w:hAnsi="Palatino Linotype" w:cs="Palatino Linotype"/>
          <w:b/>
          <w:color w:val="000000"/>
          <w:sz w:val="24"/>
          <w:szCs w:val="24"/>
        </w:rPr>
      </w:pPr>
      <w:bookmarkStart w:id="4" w:name="_heading=h.1fob9te" w:colFirst="0" w:colLast="0"/>
      <w:bookmarkEnd w:id="4"/>
      <w:r w:rsidRPr="00021080">
        <w:rPr>
          <w:rFonts w:ascii="Palatino Linotype" w:eastAsia="Palatino Linotype" w:hAnsi="Palatino Linotype" w:cs="Palatino Linotype"/>
          <w:b/>
          <w:color w:val="000000"/>
          <w:sz w:val="24"/>
          <w:szCs w:val="24"/>
        </w:rPr>
        <w:t xml:space="preserve">C O N S I D E R A N D O </w:t>
      </w:r>
    </w:p>
    <w:p w:rsidR="00954C16" w:rsidRPr="00021080" w:rsidRDefault="00954C16" w:rsidP="00954C16">
      <w:pPr>
        <w:rPr>
          <w:rFonts w:ascii="Palatino Linotype" w:eastAsia="Palatino Linotype" w:hAnsi="Palatino Linotype" w:cs="Palatino Linotype"/>
        </w:rPr>
      </w:pPr>
    </w:p>
    <w:p w:rsidR="00954C16" w:rsidRPr="00021080" w:rsidRDefault="00954C16" w:rsidP="00954C16">
      <w:pPr>
        <w:pStyle w:val="Ttulo2"/>
        <w:rPr>
          <w:rFonts w:ascii="Palatino Linotype" w:eastAsia="Palatino Linotype" w:hAnsi="Palatino Linotype" w:cs="Palatino Linotype"/>
          <w:b/>
          <w:color w:val="000000"/>
          <w:sz w:val="24"/>
          <w:szCs w:val="24"/>
        </w:rPr>
      </w:pPr>
      <w:bookmarkStart w:id="5" w:name="_heading=h.3znysh7" w:colFirst="0" w:colLast="0"/>
      <w:bookmarkEnd w:id="5"/>
      <w:r w:rsidRPr="00021080">
        <w:rPr>
          <w:rFonts w:ascii="Palatino Linotype" w:eastAsia="Palatino Linotype" w:hAnsi="Palatino Linotype" w:cs="Palatino Linotype"/>
          <w:b/>
          <w:color w:val="000000"/>
          <w:sz w:val="24"/>
          <w:szCs w:val="24"/>
        </w:rPr>
        <w:t>PRIMERO. De la competencia</w:t>
      </w:r>
    </w:p>
    <w:p w:rsidR="00211CD9" w:rsidRPr="00021080" w:rsidRDefault="00211CD9" w:rsidP="00211CD9">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021080">
        <w:rPr>
          <w:rFonts w:ascii="Palatino Linotype" w:eastAsia="Palatino Linotype" w:hAnsi="Palatino Linotype" w:cs="Palatino Linotype"/>
          <w:b/>
          <w:color w:val="000000"/>
        </w:rPr>
        <w:t>Constitución Política de los Estados Unidos Mexicanos</w:t>
      </w:r>
      <w:r w:rsidRPr="00021080">
        <w:rPr>
          <w:rFonts w:ascii="Palatino Linotype" w:eastAsia="Palatino Linotype" w:hAnsi="Palatino Linotype" w:cs="Palatino Linotype"/>
          <w:color w:val="000000"/>
        </w:rPr>
        <w:t xml:space="preserve">; 5, párrafos cuadragésimo cuarto, cuadragésimo quinto y cuadragésimo sexto, fracciones IV y V, de la </w:t>
      </w:r>
      <w:r w:rsidRPr="00021080">
        <w:rPr>
          <w:rFonts w:ascii="Palatino Linotype" w:eastAsia="Palatino Linotype" w:hAnsi="Palatino Linotype" w:cs="Palatino Linotype"/>
          <w:b/>
          <w:color w:val="000000"/>
        </w:rPr>
        <w:t>Constitución Política del Estado Libre y Soberano de México</w:t>
      </w:r>
      <w:r w:rsidRPr="00021080">
        <w:rPr>
          <w:rFonts w:ascii="Palatino Linotype" w:eastAsia="Palatino Linotype" w:hAnsi="Palatino Linotype" w:cs="Palatino Linotype"/>
          <w:color w:val="000000"/>
        </w:rPr>
        <w:t xml:space="preserve">; artículos 1, 2 fracción II, 13, 29, 36 fracciones I y II, 176, 178, 179, 181 párrafo tercero y 185 de la </w:t>
      </w:r>
      <w:r w:rsidRPr="00021080">
        <w:rPr>
          <w:rFonts w:ascii="Palatino Linotype" w:eastAsia="Palatino Linotype" w:hAnsi="Palatino Linotype" w:cs="Palatino Linotype"/>
          <w:b/>
          <w:color w:val="000000"/>
        </w:rPr>
        <w:t>Ley de Transparencia y Acceso a la Información Pública del Estado de México y Municipios</w:t>
      </w:r>
      <w:r w:rsidRPr="00021080">
        <w:rPr>
          <w:rFonts w:ascii="Palatino Linotype" w:eastAsia="Palatino Linotype" w:hAnsi="Palatino Linotype" w:cs="Palatino Linotype"/>
          <w:color w:val="000000"/>
        </w:rPr>
        <w:t xml:space="preserve">; y 7, 9 fracciones I y XXIII, y 11 del Reglamento Interior del Instituto </w:t>
      </w:r>
      <w:r w:rsidRPr="00021080">
        <w:rPr>
          <w:rFonts w:ascii="Palatino Linotype" w:eastAsia="Palatino Linotype" w:hAnsi="Palatino Linotype" w:cs="Palatino Linotype"/>
          <w:color w:val="000000"/>
        </w:rPr>
        <w:lastRenderedPageBreak/>
        <w:t xml:space="preserve">de Transparencia, Acceso a la Información Pública y Protección de Datos Personales del Estado de México y Municipios. </w:t>
      </w:r>
    </w:p>
    <w:p w:rsidR="00954C16" w:rsidRPr="00021080" w:rsidRDefault="00954C16" w:rsidP="00211CD9">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p>
    <w:p w:rsidR="00954C16" w:rsidRPr="00021080" w:rsidRDefault="00954C16" w:rsidP="00954C16">
      <w:pPr>
        <w:pStyle w:val="Ttulo2"/>
        <w:rPr>
          <w:rFonts w:ascii="Palatino Linotype" w:eastAsia="Palatino Linotype" w:hAnsi="Palatino Linotype" w:cs="Palatino Linotype"/>
          <w:b/>
          <w:color w:val="000000"/>
          <w:sz w:val="24"/>
          <w:szCs w:val="24"/>
        </w:rPr>
      </w:pPr>
      <w:bookmarkStart w:id="6" w:name="_heading=h.2et92p0" w:colFirst="0" w:colLast="0"/>
      <w:bookmarkEnd w:id="6"/>
      <w:r w:rsidRPr="00021080">
        <w:rPr>
          <w:rFonts w:ascii="Palatino Linotype" w:eastAsia="Palatino Linotype" w:hAnsi="Palatino Linotype" w:cs="Palatino Linotype"/>
          <w:b/>
          <w:color w:val="000000"/>
          <w:sz w:val="24"/>
          <w:szCs w:val="24"/>
        </w:rPr>
        <w:t>SEGUNDO. De la oportunidad y procedencia.</w:t>
      </w:r>
    </w:p>
    <w:p w:rsidR="00211CD9" w:rsidRPr="00021080" w:rsidRDefault="00954C16" w:rsidP="00211CD9">
      <w:pPr>
        <w:numPr>
          <w:ilvl w:val="0"/>
          <w:numId w:val="5"/>
        </w:numPr>
        <w:pBdr>
          <w:top w:val="nil"/>
          <w:left w:val="nil"/>
          <w:bottom w:val="nil"/>
          <w:right w:val="nil"/>
          <w:between w:val="nil"/>
        </w:pBdr>
        <w:tabs>
          <w:tab w:val="left" w:pos="426"/>
        </w:tabs>
        <w:spacing w:line="360" w:lineRule="auto"/>
        <w:ind w:left="0" w:right="49" w:firstLine="0"/>
        <w:jc w:val="both"/>
        <w:rPr>
          <w:rFonts w:ascii="Palatino Linotype" w:eastAsia="Palatino Linotype" w:hAnsi="Palatino Linotype" w:cs="Palatino Linotype"/>
          <w:color w:val="000000"/>
        </w:rPr>
      </w:pPr>
      <w:bookmarkStart w:id="7" w:name="_heading=h.tyjcwt" w:colFirst="0" w:colLast="0"/>
      <w:bookmarkEnd w:id="7"/>
      <w:r w:rsidRPr="00021080">
        <w:rPr>
          <w:rFonts w:ascii="Palatino Linotype" w:eastAsia="Palatino Linotype" w:hAnsi="Palatino Linotype" w:cs="Palatino Linotype"/>
          <w:color w:val="000000"/>
        </w:rPr>
        <w:t xml:space="preserve">El medio de impugnación fue presentado a través del SAIMEX en el formato previamente aprobado para tal efecto y dentro del plazo legal de quince días hábiles otorgados; siendo así que el </w:t>
      </w:r>
      <w:r w:rsidRPr="00021080">
        <w:rPr>
          <w:rFonts w:ascii="Palatino Linotype" w:eastAsia="Palatino Linotype" w:hAnsi="Palatino Linotype" w:cs="Palatino Linotype"/>
          <w:b/>
          <w:color w:val="000000"/>
        </w:rPr>
        <w:t>SUJETO OBLIGADO</w:t>
      </w:r>
      <w:r w:rsidRPr="00021080">
        <w:rPr>
          <w:rFonts w:ascii="Palatino Linotype" w:eastAsia="Palatino Linotype" w:hAnsi="Palatino Linotype" w:cs="Palatino Linotype"/>
          <w:color w:val="000000"/>
        </w:rPr>
        <w:t xml:space="preserve"> entregó respuesta a los recursos de revisión el </w:t>
      </w:r>
      <w:r w:rsidR="00211CD9" w:rsidRPr="00021080">
        <w:rPr>
          <w:rFonts w:ascii="Palatino Linotype" w:eastAsia="Palatino Linotype" w:hAnsi="Palatino Linotype" w:cs="Palatino Linotype"/>
          <w:b/>
          <w:color w:val="000000"/>
        </w:rPr>
        <w:t>veintidós de abril de dos mil veintiséis</w:t>
      </w:r>
      <w:r w:rsidRPr="00021080">
        <w:rPr>
          <w:rFonts w:ascii="Palatino Linotype" w:eastAsia="Palatino Linotype" w:hAnsi="Palatino Linotype" w:cs="Palatino Linotype"/>
          <w:color w:val="000000"/>
        </w:rPr>
        <w:t xml:space="preserve">, de tal forma que el plazo para interponer el recurso de revisión transcurrió del </w:t>
      </w:r>
      <w:r w:rsidR="00211CD9" w:rsidRPr="00021080">
        <w:rPr>
          <w:rFonts w:ascii="Palatino Linotype" w:eastAsia="Palatino Linotype" w:hAnsi="Palatino Linotype" w:cs="Palatino Linotype"/>
          <w:b/>
          <w:color w:val="000000"/>
        </w:rPr>
        <w:t>veintitrés de abril al quince de mayo de dos mil veintiséis</w:t>
      </w:r>
      <w:r w:rsidRPr="00021080">
        <w:rPr>
          <w:rFonts w:ascii="Palatino Linotype" w:eastAsia="Palatino Linotype" w:hAnsi="Palatino Linotype" w:cs="Palatino Linotype"/>
          <w:color w:val="000000"/>
        </w:rPr>
        <w:t xml:space="preserve">, el recurso de revisión fue interpuesto el </w:t>
      </w:r>
      <w:r w:rsidR="00211CD9" w:rsidRPr="00021080">
        <w:rPr>
          <w:rFonts w:ascii="Palatino Linotype" w:eastAsia="Palatino Linotype" w:hAnsi="Palatino Linotype" w:cs="Palatino Linotype"/>
          <w:b/>
          <w:color w:val="000000"/>
        </w:rPr>
        <w:t>veintidós de abril de dos mil veintiséis</w:t>
      </w:r>
      <w:r w:rsidRPr="00021080">
        <w:rPr>
          <w:rFonts w:ascii="Palatino Linotype" w:eastAsia="Palatino Linotype" w:hAnsi="Palatino Linotype" w:cs="Palatino Linotype"/>
          <w:color w:val="000000"/>
        </w:rPr>
        <w:t>, por lo tanto, estos se encuentran dentro de los márgenes temporales previstos en el artículo 178 de la Ley de Transparencia y Acceso a la Información Pública del Estado de México y Municipios</w:t>
      </w:r>
      <w:r w:rsidRPr="00021080">
        <w:rPr>
          <w:rFonts w:ascii="Palatino Linotype" w:eastAsia="Palatino Linotype" w:hAnsi="Palatino Linotype" w:cs="Palatino Linotype"/>
          <w:b/>
          <w:color w:val="000000"/>
        </w:rPr>
        <w:t xml:space="preserve"> </w:t>
      </w:r>
      <w:r w:rsidRPr="00021080">
        <w:rPr>
          <w:rFonts w:ascii="Palatino Linotype" w:eastAsia="Palatino Linotype" w:hAnsi="Palatino Linotype" w:cs="Palatino Linotype"/>
          <w:color w:val="000000"/>
        </w:rPr>
        <w:t xml:space="preserve">vigente. </w:t>
      </w:r>
    </w:p>
    <w:p w:rsidR="00211CD9" w:rsidRPr="00021080" w:rsidRDefault="00211CD9" w:rsidP="00211CD9">
      <w:pPr>
        <w:pStyle w:val="Prrafodelista"/>
        <w:numPr>
          <w:ilvl w:val="0"/>
          <w:numId w:val="5"/>
        </w:numPr>
        <w:spacing w:before="240" w:after="240" w:line="360" w:lineRule="auto"/>
        <w:ind w:left="0" w:right="49" w:firstLine="0"/>
        <w:jc w:val="both"/>
        <w:rPr>
          <w:rFonts w:ascii="Palatino Linotype" w:hAnsi="Palatino Linotype" w:cs="Arial"/>
          <w:bCs/>
          <w:color w:val="555555"/>
        </w:rPr>
      </w:pPr>
      <w:r w:rsidRPr="00021080">
        <w:rPr>
          <w:rFonts w:ascii="Palatino Linotype" w:hAnsi="Palatino Linotype" w:cs="Arial"/>
          <w:bCs/>
          <w:color w:val="000000"/>
        </w:rPr>
        <w:t>Cuando el medio de impugnación, se haya interpuesto el mismo día en que se notificó la respuesta impugnada,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211CD9" w:rsidRPr="00021080" w:rsidRDefault="00211CD9" w:rsidP="00211CD9">
      <w:pPr>
        <w:pStyle w:val="Prrafodelista"/>
        <w:ind w:left="0"/>
        <w:rPr>
          <w:rFonts w:ascii="Palatino Linotype" w:hAnsi="Palatino Linotype" w:cs="Arial"/>
        </w:rPr>
      </w:pPr>
    </w:p>
    <w:p w:rsidR="00211CD9" w:rsidRPr="00021080" w:rsidRDefault="00211CD9" w:rsidP="00211CD9">
      <w:pPr>
        <w:pStyle w:val="Prrafodelista"/>
        <w:numPr>
          <w:ilvl w:val="0"/>
          <w:numId w:val="5"/>
        </w:numPr>
        <w:spacing w:before="240" w:after="240" w:line="360" w:lineRule="auto"/>
        <w:ind w:left="0" w:firstLine="0"/>
        <w:jc w:val="both"/>
        <w:rPr>
          <w:rFonts w:ascii="Palatino Linotype" w:hAnsi="Palatino Linotype" w:cs="Arial"/>
        </w:rPr>
      </w:pPr>
      <w:r w:rsidRPr="00021080">
        <w:rPr>
          <w:rFonts w:ascii="Palatino Linotype" w:hAnsi="Palatino Linotype" w:cs="Arial"/>
        </w:rPr>
        <w:t xml:space="preserve">Lo anterior se robustece con la jurisprudencia número 1a./J. 41/2015 (10a.), Décima época, sustentada por la Primera Sala de la Suprema Corte de Justicia de la Nación, visible en la página </w:t>
      </w:r>
      <w:r w:rsidRPr="00021080">
        <w:rPr>
          <w:rFonts w:ascii="Palatino Linotype" w:hAnsi="Palatino Linotype" w:cs="Arial"/>
        </w:rPr>
        <w:lastRenderedPageBreak/>
        <w:t xml:space="preserve">569, libro 19, tomo I, de la Gaceta del Semanario Judicial de la Federación, del diecinueve de junio de 2015, cuyo rubro y texto disponen: </w:t>
      </w:r>
    </w:p>
    <w:p w:rsidR="00211CD9" w:rsidRPr="00021080" w:rsidRDefault="00211CD9" w:rsidP="00211CD9">
      <w:pPr>
        <w:spacing w:before="240" w:after="240" w:line="276" w:lineRule="auto"/>
        <w:ind w:left="851" w:right="822"/>
        <w:contextualSpacing/>
        <w:jc w:val="both"/>
        <w:rPr>
          <w:rFonts w:ascii="Palatino Linotype" w:hAnsi="Palatino Linotype" w:cs="Arial"/>
          <w:i/>
        </w:rPr>
      </w:pPr>
      <w:r w:rsidRPr="00021080">
        <w:rPr>
          <w:rFonts w:ascii="Palatino Linotype" w:hAnsi="Palatino Linotype" w:cs="Arial"/>
          <w:i/>
        </w:rPr>
        <w:t>RECURSO DE RECLAMACIÓN. SU INTERPOSICIÓN NO ES EXTEMPORÁNEA SI SE REALIZA ANTES DE QUE INICIE EL PLAZO PARA HACERLO.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211CD9" w:rsidRPr="00021080" w:rsidRDefault="00211CD9" w:rsidP="00211CD9">
      <w:pPr>
        <w:spacing w:before="240" w:after="240" w:line="276" w:lineRule="auto"/>
        <w:ind w:left="851" w:right="822"/>
        <w:contextualSpacing/>
        <w:jc w:val="both"/>
        <w:rPr>
          <w:rFonts w:ascii="Palatino Linotype" w:hAnsi="Palatino Linotype" w:cs="Arial"/>
          <w:i/>
        </w:rPr>
      </w:pPr>
      <w:r w:rsidRPr="00021080">
        <w:rPr>
          <w:rFonts w:ascii="Palatino Linotype" w:hAnsi="Palatino Linotype" w:cs="Arial"/>
          <w:i/>
        </w:rPr>
        <w:t xml:space="preserve"> 1a./J. 41/2015 (10a.) </w:t>
      </w:r>
    </w:p>
    <w:p w:rsidR="00211CD9" w:rsidRPr="00021080" w:rsidRDefault="00211CD9" w:rsidP="00211CD9">
      <w:pPr>
        <w:spacing w:before="240" w:after="240" w:line="276" w:lineRule="auto"/>
        <w:ind w:left="851" w:right="822"/>
        <w:contextualSpacing/>
        <w:jc w:val="both"/>
        <w:rPr>
          <w:rFonts w:ascii="Palatino Linotype" w:hAnsi="Palatino Linotype" w:cs="Arial"/>
          <w:i/>
        </w:rPr>
      </w:pPr>
      <w:r w:rsidRPr="00021080">
        <w:rPr>
          <w:rFonts w:ascii="Palatino Linotype" w:hAnsi="Palatino Linotype" w:cs="Arial"/>
          <w:i/>
        </w:rPr>
        <w:t xml:space="preserve">Recurso de reclamación 953/2013. 9 de abril de 2014. Cinco votos de los Ministros Arturo Zaldívar Lelo de Larrea, José Ramón Cossío Díaz, Alfredo Gutiérrez Ortiz Mena, Olga Sánchez Cordero de García Villegas y Jorge Mario Pardo Rebolledo. Ponente: Arturo Zaldívar Lelo de Larrea. Secretaria: Carmina Cortés Rodríguez. </w:t>
      </w:r>
    </w:p>
    <w:p w:rsidR="00211CD9" w:rsidRPr="00021080" w:rsidRDefault="00211CD9" w:rsidP="00211CD9">
      <w:pPr>
        <w:spacing w:before="240" w:after="240" w:line="276" w:lineRule="auto"/>
        <w:ind w:left="851" w:right="822"/>
        <w:contextualSpacing/>
        <w:jc w:val="both"/>
        <w:rPr>
          <w:rFonts w:ascii="Palatino Linotype" w:hAnsi="Palatino Linotype" w:cs="Arial"/>
          <w:i/>
        </w:rPr>
      </w:pPr>
    </w:p>
    <w:p w:rsidR="00211CD9" w:rsidRPr="00021080" w:rsidRDefault="00211CD9" w:rsidP="00211CD9">
      <w:pPr>
        <w:spacing w:before="240" w:after="240" w:line="276" w:lineRule="auto"/>
        <w:ind w:left="851" w:right="822"/>
        <w:contextualSpacing/>
        <w:jc w:val="both"/>
        <w:rPr>
          <w:rFonts w:ascii="Palatino Linotype" w:hAnsi="Palatino Linotype" w:cs="Arial"/>
          <w:i/>
        </w:rPr>
      </w:pPr>
      <w:r w:rsidRPr="00021080">
        <w:rPr>
          <w:rFonts w:ascii="Palatino Linotype" w:hAnsi="Palatino Linotype" w:cs="Arial"/>
          <w:i/>
        </w:rPr>
        <w:t xml:space="preserve">Recurso de reclamación 1067/2014. Raúl Rodríguez Cervantes. 28 de enero de 2015. Cinco votos de los Ministros Arturo Zaldívar Lelo de Larrea, José Ramón Cossío Díaz, Jorge Mario Pardo Rebolledo, Olga Sánchez Cordero de García Villegas y Alfredo Gutiérrez Ortiz Mena. Ponente: Alfredo Gutiérrez Ortiz Mena. Secretaria: Cecilia Armengol Alonso. </w:t>
      </w:r>
    </w:p>
    <w:p w:rsidR="00211CD9" w:rsidRPr="00021080" w:rsidRDefault="00211CD9" w:rsidP="00211CD9">
      <w:pPr>
        <w:spacing w:before="240" w:after="240" w:line="276" w:lineRule="auto"/>
        <w:ind w:left="851" w:right="822"/>
        <w:contextualSpacing/>
        <w:jc w:val="both"/>
        <w:rPr>
          <w:rFonts w:ascii="Palatino Linotype" w:hAnsi="Palatino Linotype" w:cs="Arial"/>
          <w:i/>
        </w:rPr>
      </w:pPr>
    </w:p>
    <w:p w:rsidR="00211CD9" w:rsidRPr="00021080" w:rsidRDefault="00211CD9" w:rsidP="00211CD9">
      <w:pPr>
        <w:spacing w:before="240" w:after="240" w:line="276" w:lineRule="auto"/>
        <w:ind w:left="851" w:right="822"/>
        <w:contextualSpacing/>
        <w:jc w:val="both"/>
        <w:rPr>
          <w:rFonts w:ascii="Palatino Linotype" w:hAnsi="Palatino Linotype" w:cs="Arial"/>
          <w:i/>
        </w:rPr>
      </w:pPr>
      <w:r w:rsidRPr="00021080">
        <w:rPr>
          <w:rFonts w:ascii="Palatino Linotype" w:hAnsi="Palatino Linotype" w:cs="Arial"/>
          <w:i/>
        </w:rPr>
        <w:t xml:space="preserve">Recurso de reclamación 895/2014. 18 de febrero de 2015. Cinco votos de los Ministros Arturo Zaldívar Lelo de Larrea, José Ramón Cossío Díaz, Jorge Mario Pardo Rebolledo, Olga Sánchez Cordero de García Villegas y Alfredo Gutiérrez Ortiz Mena. Ponente: José Ramón Cossío Díaz. Secretario: Rodrigo Montes de Oca Arboleya. </w:t>
      </w:r>
    </w:p>
    <w:p w:rsidR="00211CD9" w:rsidRPr="00021080" w:rsidRDefault="00211CD9" w:rsidP="00211CD9">
      <w:pPr>
        <w:spacing w:before="240" w:after="240" w:line="276" w:lineRule="auto"/>
        <w:ind w:left="851" w:right="822"/>
        <w:contextualSpacing/>
        <w:jc w:val="both"/>
        <w:rPr>
          <w:rFonts w:ascii="Palatino Linotype" w:hAnsi="Palatino Linotype" w:cs="Arial"/>
          <w:i/>
        </w:rPr>
      </w:pPr>
    </w:p>
    <w:p w:rsidR="00211CD9" w:rsidRPr="00021080" w:rsidRDefault="00211CD9" w:rsidP="00211CD9">
      <w:pPr>
        <w:spacing w:before="240" w:after="240" w:line="276" w:lineRule="auto"/>
        <w:ind w:left="851" w:right="822"/>
        <w:contextualSpacing/>
        <w:jc w:val="both"/>
        <w:rPr>
          <w:rFonts w:ascii="Palatino Linotype" w:hAnsi="Palatino Linotype" w:cs="Arial"/>
          <w:i/>
        </w:rPr>
      </w:pPr>
      <w:r w:rsidRPr="00021080">
        <w:rPr>
          <w:rFonts w:ascii="Palatino Linotype" w:hAnsi="Palatino Linotype" w:cs="Arial"/>
          <w:i/>
        </w:rPr>
        <w:lastRenderedPageBreak/>
        <w:t xml:space="preserve">Recurso de reclamación 1164/2014. Paula Abascal Valdez. 18 de febrero de 2015. Cinco votos de los Ministros Arturo Zaldívar Lelo de Larrea, José Ramón Cossío Díaz, Jorge Mario Pardo Rebolledo, Olga Sánchez Cordero de García Villegas y Alfredo Gutiérrez Ortiz Mena. Ponente: José Ramón Cossío Díaz. Secretaria: Lorena Goslinga Remírez. </w:t>
      </w:r>
    </w:p>
    <w:p w:rsidR="00211CD9" w:rsidRPr="00021080" w:rsidRDefault="00211CD9" w:rsidP="00211CD9">
      <w:pPr>
        <w:spacing w:before="240" w:after="240" w:line="276" w:lineRule="auto"/>
        <w:ind w:left="851" w:right="822"/>
        <w:contextualSpacing/>
        <w:jc w:val="both"/>
        <w:rPr>
          <w:rFonts w:ascii="Palatino Linotype" w:hAnsi="Palatino Linotype" w:cs="Arial"/>
          <w:i/>
        </w:rPr>
      </w:pPr>
    </w:p>
    <w:p w:rsidR="00211CD9" w:rsidRPr="00021080" w:rsidRDefault="00211CD9" w:rsidP="00211CD9">
      <w:pPr>
        <w:spacing w:before="240" w:after="240" w:line="276" w:lineRule="auto"/>
        <w:ind w:left="851" w:right="822"/>
        <w:contextualSpacing/>
        <w:jc w:val="both"/>
        <w:rPr>
          <w:rFonts w:ascii="Palatino Linotype" w:hAnsi="Palatino Linotype" w:cs="Arial"/>
          <w:i/>
        </w:rPr>
      </w:pPr>
      <w:r w:rsidRPr="00021080">
        <w:rPr>
          <w:rFonts w:ascii="Palatino Linotype" w:hAnsi="Palatino Linotype" w:cs="Arial"/>
          <w:i/>
        </w:rPr>
        <w:t xml:space="preserve">Recurso de reclamación 1231/2014. 18 de marzo de 2015. Cinco votos de los Ministros Arturo Zaldívar Lelo de Larrea, José Ramón Cossío Díaz, Jorge Mario Pardo Rebolledo, Olga Sánchez Cordero de García Villegas y Alfredo Gutiérrez Ortiz Mena. Ponente: Arturo Zaldívar Lelo de Larrea. Secretario: Saúl Armando Patiño Lara. </w:t>
      </w:r>
    </w:p>
    <w:p w:rsidR="00211CD9" w:rsidRPr="00021080" w:rsidRDefault="00211CD9" w:rsidP="00211CD9">
      <w:pPr>
        <w:spacing w:before="240" w:after="240" w:line="276" w:lineRule="auto"/>
        <w:ind w:left="851" w:right="822"/>
        <w:contextualSpacing/>
        <w:jc w:val="both"/>
        <w:rPr>
          <w:rFonts w:ascii="Palatino Linotype" w:hAnsi="Palatino Linotype" w:cs="Arial"/>
          <w:i/>
        </w:rPr>
      </w:pPr>
    </w:p>
    <w:p w:rsidR="00211CD9" w:rsidRPr="00021080" w:rsidRDefault="00211CD9" w:rsidP="00211CD9">
      <w:pPr>
        <w:spacing w:before="240" w:after="240" w:line="276" w:lineRule="auto"/>
        <w:ind w:left="851" w:right="822"/>
        <w:contextualSpacing/>
        <w:jc w:val="both"/>
        <w:rPr>
          <w:rFonts w:ascii="Palatino Linotype" w:hAnsi="Palatino Linotype"/>
          <w:i/>
        </w:rPr>
      </w:pPr>
      <w:r w:rsidRPr="00021080">
        <w:rPr>
          <w:rFonts w:ascii="Palatino Linotype" w:hAnsi="Palatino Linotype" w:cs="Arial"/>
          <w:i/>
        </w:rPr>
        <w:t>Tesis de jurisprudencia 41/2015 (10a.). Aprobada por la Primera Sala de este Alto Tribunal, en sesión privada de veintisiete de mayo de dos mil quince.</w:t>
      </w:r>
    </w:p>
    <w:p w:rsidR="00211CD9" w:rsidRPr="00021080" w:rsidRDefault="00211CD9" w:rsidP="00211CD9">
      <w:pPr>
        <w:pStyle w:val="Prrafodelista"/>
        <w:numPr>
          <w:ilvl w:val="0"/>
          <w:numId w:val="5"/>
        </w:numPr>
        <w:spacing w:before="240" w:after="240" w:line="360" w:lineRule="auto"/>
        <w:ind w:left="0" w:right="49" w:firstLine="0"/>
        <w:jc w:val="both"/>
        <w:rPr>
          <w:rFonts w:ascii="Palatino Linotype" w:hAnsi="Palatino Linotype" w:cs="Arial"/>
          <w:i/>
        </w:rPr>
      </w:pPr>
      <w:r w:rsidRPr="00021080">
        <w:rPr>
          <w:rFonts w:ascii="Palatino Linotype" w:hAnsi="Palatino Linotype"/>
        </w:rPr>
        <w:t>Esto es así porque en primer lugar es necesario que la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211CD9" w:rsidRPr="00021080" w:rsidRDefault="00211CD9" w:rsidP="00211CD9">
      <w:pPr>
        <w:pStyle w:val="Prrafodelista"/>
        <w:spacing w:before="240" w:after="240" w:line="360" w:lineRule="auto"/>
        <w:ind w:left="0" w:right="49"/>
        <w:jc w:val="both"/>
        <w:rPr>
          <w:rFonts w:ascii="Palatino Linotype" w:hAnsi="Palatino Linotype" w:cs="Arial"/>
          <w:i/>
        </w:rPr>
      </w:pPr>
    </w:p>
    <w:p w:rsidR="00211CD9" w:rsidRPr="00021080" w:rsidRDefault="00211CD9" w:rsidP="00211CD9">
      <w:pPr>
        <w:pStyle w:val="Prrafodelista"/>
        <w:numPr>
          <w:ilvl w:val="0"/>
          <w:numId w:val="5"/>
        </w:numPr>
        <w:spacing w:before="240" w:after="240" w:line="360" w:lineRule="auto"/>
        <w:ind w:left="0" w:right="49" w:firstLine="0"/>
        <w:jc w:val="both"/>
        <w:rPr>
          <w:rFonts w:ascii="Palatino Linotype" w:hAnsi="Palatino Linotype" w:cs="Arial"/>
          <w:i/>
        </w:rPr>
      </w:pPr>
      <w:r w:rsidRPr="00021080">
        <w:rPr>
          <w:rFonts w:ascii="Palatino Linotype" w:hAnsi="Palatino Linotype"/>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211CD9" w:rsidRPr="00021080" w:rsidRDefault="00211CD9" w:rsidP="00211CD9">
      <w:pPr>
        <w:pStyle w:val="Prrafodelista"/>
        <w:ind w:left="0"/>
        <w:rPr>
          <w:rFonts w:ascii="Palatino Linotype" w:hAnsi="Palatino Linotype" w:cs="Arial"/>
          <w:i/>
        </w:rPr>
      </w:pPr>
    </w:p>
    <w:p w:rsidR="00954C16" w:rsidRPr="00021080" w:rsidRDefault="00211CD9" w:rsidP="00211CD9">
      <w:pPr>
        <w:pStyle w:val="Prrafodelista"/>
        <w:numPr>
          <w:ilvl w:val="0"/>
          <w:numId w:val="5"/>
        </w:numPr>
        <w:spacing w:before="240" w:after="240" w:line="360" w:lineRule="auto"/>
        <w:ind w:left="0" w:right="49" w:firstLine="0"/>
        <w:jc w:val="both"/>
        <w:rPr>
          <w:rFonts w:ascii="Palatino Linotype" w:hAnsi="Palatino Linotype" w:cs="Arial"/>
          <w:i/>
        </w:rPr>
      </w:pPr>
      <w:r w:rsidRPr="00021080">
        <w:rPr>
          <w:rFonts w:ascii="Palatino Linotype" w:hAnsi="Palatino Linotype"/>
        </w:rPr>
        <w:lastRenderedPageBreak/>
        <w:t xml:space="preserve">Por lo tanto, la interposición del recursos de revisión antes de que inicie el plazo para su presentación no es determinante para declararlo extemporáneo, siempre y cuando ello ocurra de manera posterior a que se ha notificado la respuesta del </w:t>
      </w:r>
      <w:r w:rsidRPr="00021080">
        <w:rPr>
          <w:rFonts w:ascii="Palatino Linotype" w:hAnsi="Palatino Linotype"/>
          <w:b/>
        </w:rPr>
        <w:t>SUJETO OBLIGADO</w:t>
      </w:r>
      <w:r w:rsidRPr="00021080">
        <w:rPr>
          <w:rFonts w:ascii="Palatino Linotype" w:hAnsi="Palatino Linotype"/>
        </w:rPr>
        <w:t>.</w:t>
      </w:r>
    </w:p>
    <w:p w:rsidR="00954C16" w:rsidRPr="00021080" w:rsidRDefault="00954C16" w:rsidP="00954C16">
      <w:pPr>
        <w:numPr>
          <w:ilvl w:val="0"/>
          <w:numId w:val="5"/>
        </w:numPr>
        <w:pBdr>
          <w:top w:val="nil"/>
          <w:left w:val="nil"/>
          <w:bottom w:val="nil"/>
          <w:right w:val="nil"/>
          <w:between w:val="nil"/>
        </w:pBdr>
        <w:tabs>
          <w:tab w:val="left" w:pos="426"/>
        </w:tabs>
        <w:spacing w:line="360" w:lineRule="auto"/>
        <w:ind w:left="0" w:right="49"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954C16" w:rsidRPr="00021080" w:rsidRDefault="00954C16" w:rsidP="00954C16">
      <w:pPr>
        <w:pStyle w:val="Ttulo1"/>
        <w:rPr>
          <w:rFonts w:ascii="Palatino Linotype" w:eastAsia="Palatino Linotype" w:hAnsi="Palatino Linotype" w:cs="Palatino Linotype"/>
          <w:b/>
          <w:color w:val="000000"/>
          <w:sz w:val="24"/>
          <w:szCs w:val="24"/>
        </w:rPr>
      </w:pPr>
      <w:r w:rsidRPr="00021080">
        <w:rPr>
          <w:rFonts w:ascii="Palatino Linotype" w:eastAsia="Palatino Linotype" w:hAnsi="Palatino Linotype" w:cs="Palatino Linotype"/>
          <w:b/>
          <w:color w:val="000000"/>
          <w:sz w:val="24"/>
          <w:szCs w:val="24"/>
        </w:rPr>
        <w:t xml:space="preserve">TERCERO. Planteamiento de la Litis </w:t>
      </w:r>
    </w:p>
    <w:p w:rsidR="000E231F" w:rsidRPr="00021080" w:rsidRDefault="00211CD9" w:rsidP="00211CD9">
      <w:pPr>
        <w:numPr>
          <w:ilvl w:val="0"/>
          <w:numId w:val="5"/>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El recurrente solicitó </w:t>
      </w:r>
      <w:r w:rsidR="000E231F" w:rsidRPr="00021080">
        <w:rPr>
          <w:rFonts w:ascii="Palatino Linotype" w:eastAsia="Palatino Linotype" w:hAnsi="Palatino Linotype" w:cs="Palatino Linotype"/>
          <w:color w:val="000000"/>
        </w:rPr>
        <w:t>del personal del Sistema Municipal DIF:</w:t>
      </w:r>
    </w:p>
    <w:p w:rsidR="00211CD9" w:rsidRPr="00021080" w:rsidRDefault="000E231F" w:rsidP="000E231F">
      <w:pPr>
        <w:pStyle w:val="Prrafodelista"/>
        <w:numPr>
          <w:ilvl w:val="0"/>
          <w:numId w:val="13"/>
        </w:numPr>
        <w:pBdr>
          <w:top w:val="nil"/>
          <w:left w:val="nil"/>
          <w:bottom w:val="nil"/>
          <w:right w:val="nil"/>
          <w:between w:val="nil"/>
        </w:pBdr>
        <w:spacing w:before="240" w:line="360" w:lineRule="auto"/>
        <w:ind w:right="49"/>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w:t>
      </w:r>
      <w:r w:rsidR="00866747" w:rsidRPr="00021080">
        <w:rPr>
          <w:rFonts w:ascii="Palatino Linotype" w:eastAsia="Palatino Linotype" w:hAnsi="Palatino Linotype" w:cs="Palatino Linotype"/>
          <w:color w:val="000000"/>
        </w:rPr>
        <w:t xml:space="preserve">ueldo bruto y neto mensual del titular de la Dirección en el que se incluyan </w:t>
      </w:r>
      <w:r w:rsidRPr="00021080">
        <w:rPr>
          <w:rFonts w:ascii="Palatino Linotype" w:eastAsia="Palatino Linotype" w:hAnsi="Palatino Linotype" w:cs="Palatino Linotype"/>
          <w:color w:val="000000"/>
        </w:rPr>
        <w:t>todas las percepciones;</w:t>
      </w:r>
    </w:p>
    <w:p w:rsidR="000E231F" w:rsidRPr="00021080" w:rsidRDefault="000E231F" w:rsidP="000E231F">
      <w:pPr>
        <w:pStyle w:val="Prrafodelista"/>
        <w:numPr>
          <w:ilvl w:val="0"/>
          <w:numId w:val="13"/>
        </w:numPr>
        <w:pBdr>
          <w:top w:val="nil"/>
          <w:left w:val="nil"/>
          <w:bottom w:val="nil"/>
          <w:right w:val="nil"/>
          <w:between w:val="nil"/>
        </w:pBdr>
        <w:spacing w:before="240" w:line="360" w:lineRule="auto"/>
        <w:ind w:right="49"/>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Sueldo bruto y neto de los coordinadores, en el que se incluyan percepciones y deducciones;</w:t>
      </w:r>
    </w:p>
    <w:p w:rsidR="00211CD9" w:rsidRPr="00021080" w:rsidRDefault="000E231F" w:rsidP="00211CD9">
      <w:pPr>
        <w:pStyle w:val="Prrafodelista"/>
        <w:numPr>
          <w:ilvl w:val="0"/>
          <w:numId w:val="13"/>
        </w:numPr>
        <w:pBdr>
          <w:top w:val="nil"/>
          <w:left w:val="nil"/>
          <w:bottom w:val="nil"/>
          <w:right w:val="nil"/>
          <w:between w:val="nil"/>
        </w:pBdr>
        <w:spacing w:before="240" w:line="360" w:lineRule="auto"/>
        <w:ind w:right="49"/>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Nómina de mandos medios y superiores del primero de enero de dos mil veinticinco al </w:t>
      </w:r>
      <w:r w:rsidR="00CF37FA" w:rsidRPr="00021080">
        <w:rPr>
          <w:rFonts w:ascii="Palatino Linotype" w:eastAsia="Palatino Linotype" w:hAnsi="Palatino Linotype" w:cs="Palatino Linotype"/>
          <w:color w:val="000000"/>
        </w:rPr>
        <w:t xml:space="preserve">seis de abril de dos mil veintiséis. </w:t>
      </w:r>
    </w:p>
    <w:p w:rsidR="00CF37FA" w:rsidRPr="00021080" w:rsidRDefault="00CF37FA" w:rsidP="00CF37FA">
      <w:pPr>
        <w:pStyle w:val="Prrafodelista"/>
        <w:pBdr>
          <w:top w:val="nil"/>
          <w:left w:val="nil"/>
          <w:bottom w:val="nil"/>
          <w:right w:val="nil"/>
          <w:between w:val="nil"/>
        </w:pBdr>
        <w:spacing w:before="240" w:line="360" w:lineRule="auto"/>
        <w:ind w:right="49"/>
        <w:jc w:val="both"/>
        <w:rPr>
          <w:rFonts w:ascii="Palatino Linotype" w:eastAsia="Palatino Linotype" w:hAnsi="Palatino Linotype" w:cs="Palatino Linotype"/>
          <w:color w:val="000000"/>
        </w:rPr>
      </w:pPr>
    </w:p>
    <w:p w:rsidR="00954C16" w:rsidRPr="00021080" w:rsidRDefault="00954C16" w:rsidP="00954C16">
      <w:pPr>
        <w:numPr>
          <w:ilvl w:val="0"/>
          <w:numId w:val="5"/>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En respuesta, el Secretario del Ayuntamiento realizó el cambio de modalidad en la entrega de la información a consulta directa. Posteriormente, el Recurrente se inconformó por el cambio de modalidad en la entrega de la información.</w:t>
      </w:r>
    </w:p>
    <w:p w:rsidR="00954C16" w:rsidRPr="00021080" w:rsidRDefault="00954C16" w:rsidP="00954C16">
      <w:pPr>
        <w:numPr>
          <w:ilvl w:val="0"/>
          <w:numId w:val="5"/>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rPr>
        <w:lastRenderedPageBreak/>
        <w:t>Por lo tanto, el presente recurso de revisión se circunscribe en determinar si se actualiza la causal de procedencia</w:t>
      </w:r>
      <w:r w:rsidRPr="00021080">
        <w:rPr>
          <w:rFonts w:ascii="Palatino Linotype" w:eastAsia="Palatino Linotype" w:hAnsi="Palatino Linotype" w:cs="Palatino Linotype"/>
          <w:b/>
        </w:rPr>
        <w:t xml:space="preserve"> </w:t>
      </w:r>
      <w:r w:rsidRPr="00021080">
        <w:rPr>
          <w:rFonts w:ascii="Palatino Linotype" w:eastAsia="Palatino Linotype" w:hAnsi="Palatino Linotype" w:cs="Palatino Linotype"/>
        </w:rPr>
        <w:t>contenida en el artículo 179 fracción VIII relativo a la notificación, entrega o puesta di</w:t>
      </w:r>
      <w:r w:rsidR="00CF37FA" w:rsidRPr="00021080">
        <w:rPr>
          <w:rFonts w:ascii="Palatino Linotype" w:eastAsia="Palatino Linotype" w:hAnsi="Palatino Linotype" w:cs="Palatino Linotype"/>
        </w:rPr>
        <w:t xml:space="preserve">sposición de la información en </w:t>
      </w:r>
      <w:r w:rsidRPr="00021080">
        <w:rPr>
          <w:rFonts w:ascii="Palatino Linotype" w:eastAsia="Palatino Linotype" w:hAnsi="Palatino Linotype" w:cs="Palatino Linotype"/>
        </w:rPr>
        <w:t xml:space="preserve">una modalidad o formato distinto al solicitado, de la </w:t>
      </w:r>
      <w:r w:rsidRPr="00021080">
        <w:rPr>
          <w:rFonts w:ascii="Palatino Linotype" w:eastAsia="Palatino Linotype" w:hAnsi="Palatino Linotype" w:cs="Palatino Linotype"/>
          <w:b/>
        </w:rPr>
        <w:t>Ley de Transparencia y Acceso a la Información Pública del Estado de México y Municipios</w:t>
      </w:r>
      <w:r w:rsidRPr="00021080">
        <w:rPr>
          <w:rFonts w:ascii="Palatino Linotype" w:eastAsia="Palatino Linotype" w:hAnsi="Palatino Linotype" w:cs="Palatino Linotype"/>
        </w:rPr>
        <w:t>.</w:t>
      </w:r>
    </w:p>
    <w:p w:rsidR="00954C16" w:rsidRPr="00021080" w:rsidRDefault="00954C16" w:rsidP="00954C16">
      <w:pPr>
        <w:pStyle w:val="Ttulo2"/>
        <w:tabs>
          <w:tab w:val="left" w:pos="426"/>
        </w:tabs>
        <w:rPr>
          <w:rFonts w:ascii="Palatino Linotype" w:eastAsia="Palatino Linotype" w:hAnsi="Palatino Linotype" w:cs="Palatino Linotype"/>
          <w:b/>
          <w:color w:val="000000"/>
          <w:sz w:val="24"/>
          <w:szCs w:val="24"/>
        </w:rPr>
      </w:pPr>
      <w:bookmarkStart w:id="8" w:name="_heading=h.3dy6vkm" w:colFirst="0" w:colLast="0"/>
      <w:bookmarkEnd w:id="8"/>
      <w:r w:rsidRPr="00021080">
        <w:rPr>
          <w:rFonts w:ascii="Palatino Linotype" w:eastAsia="Palatino Linotype" w:hAnsi="Palatino Linotype" w:cs="Palatino Linotype"/>
          <w:b/>
          <w:color w:val="000000"/>
          <w:sz w:val="24"/>
          <w:szCs w:val="24"/>
        </w:rPr>
        <w:t>CUARTO. Estudio y Resolución del asunto.</w:t>
      </w: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9" w:name="_heading=h.1t3h5sf" w:colFirst="0" w:colLast="0"/>
      <w:bookmarkEnd w:id="9"/>
      <w:r w:rsidRPr="00021080">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954C16" w:rsidRPr="00021080" w:rsidRDefault="00954C16" w:rsidP="00954C1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F37FA" w:rsidRPr="00021080" w:rsidRDefault="00954C16" w:rsidP="00CF37FA">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En ese sentido, recordemos que el Recurrente solicitó </w:t>
      </w:r>
      <w:r w:rsidR="00CF37FA" w:rsidRPr="00021080">
        <w:rPr>
          <w:rFonts w:ascii="Palatino Linotype" w:eastAsia="Palatino Linotype" w:hAnsi="Palatino Linotype" w:cs="Palatino Linotype"/>
          <w:color w:val="000000"/>
        </w:rPr>
        <w:t>del personal del Sistema Municipal DIF:</w:t>
      </w:r>
    </w:p>
    <w:p w:rsidR="00CF37FA" w:rsidRPr="00021080" w:rsidRDefault="00CF37FA" w:rsidP="00CF37FA">
      <w:pPr>
        <w:pStyle w:val="Prrafodelista"/>
        <w:numPr>
          <w:ilvl w:val="0"/>
          <w:numId w:val="9"/>
        </w:numPr>
        <w:pBdr>
          <w:top w:val="nil"/>
          <w:left w:val="nil"/>
          <w:bottom w:val="nil"/>
          <w:right w:val="nil"/>
          <w:between w:val="nil"/>
        </w:pBdr>
        <w:spacing w:before="240" w:line="360" w:lineRule="auto"/>
        <w:ind w:right="49"/>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Sueldo bruto y neto mensual del titular de la Dirección en el que se incluyan todas las percepciones;</w:t>
      </w:r>
    </w:p>
    <w:p w:rsidR="00CF37FA" w:rsidRPr="00021080" w:rsidRDefault="00CF37FA" w:rsidP="00CF37FA">
      <w:pPr>
        <w:pStyle w:val="Prrafodelista"/>
        <w:numPr>
          <w:ilvl w:val="0"/>
          <w:numId w:val="9"/>
        </w:numPr>
        <w:pBdr>
          <w:top w:val="nil"/>
          <w:left w:val="nil"/>
          <w:bottom w:val="nil"/>
          <w:right w:val="nil"/>
          <w:between w:val="nil"/>
        </w:pBdr>
        <w:spacing w:before="240" w:line="360" w:lineRule="auto"/>
        <w:ind w:right="49"/>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Sueldo bruto y neto de los coordinadores, en el que se incluyan percepciones y deducciones;</w:t>
      </w:r>
    </w:p>
    <w:p w:rsidR="00CF37FA" w:rsidRPr="00021080" w:rsidRDefault="00CF37FA" w:rsidP="00CF37FA">
      <w:pPr>
        <w:pStyle w:val="Prrafodelista"/>
        <w:numPr>
          <w:ilvl w:val="0"/>
          <w:numId w:val="9"/>
        </w:numPr>
        <w:pBdr>
          <w:top w:val="nil"/>
          <w:left w:val="nil"/>
          <w:bottom w:val="nil"/>
          <w:right w:val="nil"/>
          <w:between w:val="nil"/>
        </w:pBdr>
        <w:spacing w:before="240" w:line="360" w:lineRule="auto"/>
        <w:ind w:right="49"/>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Nómina de mandos medios y superiores del primero de enero de dos mil veinticinco al seis de abril de dos mil veintiséis. </w:t>
      </w:r>
    </w:p>
    <w:p w:rsidR="00954C16" w:rsidRDefault="00954C16" w:rsidP="00CF37F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21080" w:rsidRDefault="00021080" w:rsidP="00CF37F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21080" w:rsidRPr="00021080" w:rsidRDefault="00021080" w:rsidP="00CF37F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54C16" w:rsidRPr="00021080" w:rsidRDefault="00954C16" w:rsidP="00954C16">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lastRenderedPageBreak/>
        <w:t>De la naturaleza de la información.</w:t>
      </w: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 xml:space="preserve">Primeramente, se precisa que se obvia el análisis de la competencia por parte del </w:t>
      </w:r>
      <w:r w:rsidRPr="00021080">
        <w:rPr>
          <w:rFonts w:ascii="Palatino Linotype" w:eastAsia="Palatino Linotype" w:hAnsi="Palatino Linotype" w:cs="Palatino Linotype"/>
          <w:b/>
          <w:color w:val="000000"/>
        </w:rPr>
        <w:t>SUJETO OBLIGADO</w:t>
      </w:r>
      <w:r w:rsidRPr="00021080">
        <w:rPr>
          <w:rFonts w:ascii="Palatino Linotype" w:eastAsia="Palatino Linotype" w:hAnsi="Palatino Linotype" w:cs="Palatino Linotype"/>
          <w:color w:val="000000"/>
        </w:rPr>
        <w:t>, para generar, administrar o poseer la información solicitada, dado que éste ha asumido la misma, en razón de que en su respuesta admitió contar con dicha información, tan es así que realizó cambio de modalidad en la entrega de la información.</w:t>
      </w:r>
    </w:p>
    <w:p w:rsidR="00954C16" w:rsidRPr="00021080" w:rsidRDefault="00954C16" w:rsidP="00954C16">
      <w:pPr>
        <w:tabs>
          <w:tab w:val="left" w:pos="0"/>
          <w:tab w:val="left" w:pos="567"/>
        </w:tabs>
        <w:spacing w:line="360" w:lineRule="auto"/>
        <w:jc w:val="both"/>
        <w:rPr>
          <w:rFonts w:ascii="Palatino Linotype" w:eastAsia="Palatino Linotype" w:hAnsi="Palatino Linotype" w:cs="Palatino Linotype"/>
        </w:rPr>
      </w:pPr>
    </w:p>
    <w:p w:rsidR="00954C16" w:rsidRPr="00021080" w:rsidRDefault="00954C16" w:rsidP="00954C16">
      <w:pPr>
        <w:numPr>
          <w:ilvl w:val="0"/>
          <w:numId w:val="5"/>
        </w:numPr>
        <w:pBdr>
          <w:top w:val="nil"/>
          <w:left w:val="nil"/>
          <w:bottom w:val="nil"/>
          <w:right w:val="nil"/>
          <w:between w:val="nil"/>
        </w:pBdr>
        <w:tabs>
          <w:tab w:val="left" w:pos="0"/>
          <w:tab w:val="left" w:pos="567"/>
        </w:tabs>
        <w:spacing w:after="240" w:line="360" w:lineRule="auto"/>
        <w:ind w:left="0" w:firstLine="0"/>
        <w:jc w:val="both"/>
        <w:rPr>
          <w:rFonts w:ascii="Century Gothic" w:eastAsia="Century Gothic" w:hAnsi="Century Gothic" w:cs="Century Gothic"/>
          <w:color w:val="000000"/>
        </w:rPr>
      </w:pPr>
      <w:bookmarkStart w:id="10" w:name="_heading=h.2s8eyo1" w:colFirst="0" w:colLast="0"/>
      <w:bookmarkEnd w:id="10"/>
      <w:r w:rsidRPr="00021080">
        <w:rPr>
          <w:rFonts w:ascii="Palatino Linotype" w:eastAsia="Palatino Linotype" w:hAnsi="Palatino Linotype" w:cs="Palatino Linotype"/>
          <w:color w:val="000000"/>
        </w:rPr>
        <w:t xml:space="preserve">En efecto, el hecho de que </w:t>
      </w:r>
      <w:r w:rsidRPr="00021080">
        <w:rPr>
          <w:rFonts w:ascii="Palatino Linotype" w:eastAsia="Palatino Linotype" w:hAnsi="Palatino Linotype" w:cs="Palatino Linotype"/>
          <w:b/>
          <w:color w:val="000000"/>
        </w:rPr>
        <w:t>EL SUJETO OBLIGADO</w:t>
      </w:r>
      <w:r w:rsidRPr="00021080">
        <w:rPr>
          <w:rFonts w:ascii="Palatino Linotype" w:eastAsia="Palatino Linotype" w:hAnsi="Palatino Linotype" w:cs="Palatino Linotype"/>
          <w:color w:val="000000"/>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954C16" w:rsidRPr="00021080" w:rsidRDefault="00954C16" w:rsidP="00CF37FA">
      <w:pPr>
        <w:ind w:left="851" w:right="822"/>
        <w:jc w:val="both"/>
        <w:rPr>
          <w:rFonts w:ascii="Palatino Linotype" w:eastAsia="Palatino Linotype" w:hAnsi="Palatino Linotype" w:cs="Palatino Linotype"/>
          <w:i/>
        </w:rPr>
      </w:pPr>
      <w:r w:rsidRPr="00021080">
        <w:rPr>
          <w:rFonts w:ascii="Palatino Linotype" w:eastAsia="Palatino Linotype" w:hAnsi="Palatino Linotype" w:cs="Palatino Linotype"/>
          <w:i/>
        </w:rPr>
        <w:t>“</w:t>
      </w:r>
      <w:r w:rsidRPr="00021080">
        <w:rPr>
          <w:rFonts w:ascii="Palatino Linotype" w:eastAsia="Palatino Linotype" w:hAnsi="Palatino Linotype" w:cs="Palatino Linotype"/>
          <w:b/>
          <w:i/>
        </w:rPr>
        <w:t>Artículo 12.</w:t>
      </w:r>
      <w:r w:rsidRPr="00021080">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954C16" w:rsidRPr="00021080" w:rsidRDefault="00954C16" w:rsidP="00CF37FA">
      <w:pPr>
        <w:ind w:left="851" w:right="822"/>
        <w:jc w:val="both"/>
        <w:rPr>
          <w:rFonts w:ascii="Palatino Linotype" w:eastAsia="Palatino Linotype" w:hAnsi="Palatino Linotype" w:cs="Palatino Linotype"/>
          <w:i/>
        </w:rPr>
      </w:pPr>
    </w:p>
    <w:p w:rsidR="00954C16" w:rsidRPr="00021080" w:rsidRDefault="00954C16" w:rsidP="00CF37FA">
      <w:pPr>
        <w:ind w:left="851" w:right="822"/>
        <w:jc w:val="both"/>
        <w:rPr>
          <w:rFonts w:ascii="Palatino Linotype" w:eastAsia="Palatino Linotype" w:hAnsi="Palatino Linotype" w:cs="Palatino Linotype"/>
          <w:i/>
        </w:rPr>
      </w:pPr>
      <w:r w:rsidRPr="00021080">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54C16" w:rsidRPr="00021080" w:rsidRDefault="00954C16" w:rsidP="00954C16">
      <w:pPr>
        <w:pBdr>
          <w:top w:val="nil"/>
          <w:left w:val="nil"/>
          <w:bottom w:val="nil"/>
          <w:right w:val="nil"/>
          <w:between w:val="nil"/>
        </w:pBdr>
        <w:ind w:left="708"/>
        <w:rPr>
          <w:rFonts w:ascii="Palatino Linotype" w:eastAsia="Palatino Linotype" w:hAnsi="Palatino Linotype" w:cs="Palatino Linotype"/>
          <w:color w:val="000000"/>
        </w:rPr>
      </w:pPr>
    </w:p>
    <w:p w:rsidR="00954C16" w:rsidRPr="00021080" w:rsidRDefault="00954C16" w:rsidP="00954C16">
      <w:pPr>
        <w:numPr>
          <w:ilvl w:val="0"/>
          <w:numId w:val="5"/>
        </w:numPr>
        <w:tabs>
          <w:tab w:val="left" w:pos="0"/>
          <w:tab w:val="left" w:pos="567"/>
        </w:tabs>
        <w:spacing w:before="240" w:after="240" w:line="360" w:lineRule="auto"/>
        <w:ind w:left="0" w:firstLine="0"/>
        <w:jc w:val="both"/>
      </w:pPr>
      <w:r w:rsidRPr="00021080">
        <w:rPr>
          <w:rFonts w:ascii="Palatino Linotype" w:eastAsia="Palatino Linotype" w:hAnsi="Palatino Linotype" w:cs="Palatino Linotype"/>
        </w:rPr>
        <w:t>Así, el estudio de la naturaleza jurídica de la información pública solicitada, tiene por objeto determinar si ésta la genera, posee o administra </w:t>
      </w:r>
      <w:r w:rsidRPr="00021080">
        <w:rPr>
          <w:rFonts w:ascii="Palatino Linotype" w:eastAsia="Palatino Linotype" w:hAnsi="Palatino Linotype" w:cs="Palatino Linotype"/>
          <w:b/>
        </w:rPr>
        <w:t>EL SUJETO OBLIGADO</w:t>
      </w:r>
      <w:r w:rsidRPr="00021080">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administra, </w:t>
      </w:r>
      <w:r w:rsidRPr="00021080">
        <w:rPr>
          <w:rFonts w:ascii="Palatino Linotype" w:eastAsia="Palatino Linotype" w:hAnsi="Palatino Linotype" w:cs="Palatino Linotype"/>
        </w:rPr>
        <w:lastRenderedPageBreak/>
        <w:t>en ejercicio de sus funciones de derecho público, motivo por el cual, se actualiza el supuesto jurídico, previsto en el artículo 12 de la Ley de la materia, anteriormente referido.</w:t>
      </w:r>
    </w:p>
    <w:p w:rsidR="00954C16" w:rsidRPr="00021080" w:rsidRDefault="00954C16" w:rsidP="00954C16">
      <w:pPr>
        <w:numPr>
          <w:ilvl w:val="0"/>
          <w:numId w:val="4"/>
        </w:numPr>
        <w:pBdr>
          <w:top w:val="nil"/>
          <w:left w:val="nil"/>
          <w:bottom w:val="nil"/>
          <w:right w:val="nil"/>
          <w:between w:val="nil"/>
        </w:pBdr>
        <w:tabs>
          <w:tab w:val="left" w:pos="0"/>
          <w:tab w:val="left" w:pos="360"/>
        </w:tabs>
        <w:spacing w:before="240" w:line="360" w:lineRule="auto"/>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De la modalidad de entrega.</w:t>
      </w:r>
    </w:p>
    <w:p w:rsidR="00954C16" w:rsidRPr="00021080" w:rsidRDefault="00954C16" w:rsidP="00954C16">
      <w:pPr>
        <w:numPr>
          <w:ilvl w:val="0"/>
          <w:numId w:val="5"/>
        </w:numPr>
        <w:pBdr>
          <w:top w:val="nil"/>
          <w:left w:val="nil"/>
          <w:bottom w:val="nil"/>
          <w:right w:val="nil"/>
          <w:between w:val="nil"/>
        </w:pBdr>
        <w:tabs>
          <w:tab w:val="left" w:pos="567"/>
        </w:tabs>
        <w:spacing w:line="360" w:lineRule="auto"/>
        <w:ind w:left="0" w:firstLine="0"/>
        <w:jc w:val="both"/>
        <w:rPr>
          <w:color w:val="000000"/>
        </w:rPr>
      </w:pPr>
      <w:r w:rsidRPr="00021080">
        <w:rPr>
          <w:rFonts w:ascii="Palatino Linotype" w:eastAsia="Palatino Linotype" w:hAnsi="Palatino Linotype" w:cs="Palatino Linotype"/>
          <w:color w:val="000000"/>
        </w:rPr>
        <w:t>La Ley de Transparencia y Acceso a la Información Pública del Estado de México y Municipios establece en los artículos 155 fracción V, 158 y 164 lo siguiente:</w:t>
      </w:r>
    </w:p>
    <w:p w:rsidR="00954C16" w:rsidRPr="00021080" w:rsidRDefault="00954C16" w:rsidP="00954C16">
      <w:pPr>
        <w:pBdr>
          <w:top w:val="nil"/>
          <w:left w:val="nil"/>
          <w:bottom w:val="nil"/>
          <w:right w:val="nil"/>
          <w:between w:val="nil"/>
        </w:pBdr>
        <w:tabs>
          <w:tab w:val="left" w:pos="851"/>
        </w:tabs>
        <w:spacing w:before="240" w:after="240" w:line="360" w:lineRule="auto"/>
        <w:ind w:left="567"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Artículo 155. Para presentar una solicitud por escrito, no se podrán exigir mayores requisitos que los siguientes:</w:t>
      </w:r>
    </w:p>
    <w:p w:rsidR="00954C16" w:rsidRPr="00021080" w:rsidRDefault="00954C16" w:rsidP="00954C16">
      <w:pPr>
        <w:pBdr>
          <w:top w:val="nil"/>
          <w:left w:val="nil"/>
          <w:bottom w:val="nil"/>
          <w:right w:val="nil"/>
          <w:between w:val="nil"/>
        </w:pBdr>
        <w:tabs>
          <w:tab w:val="left" w:pos="851"/>
        </w:tabs>
        <w:spacing w:before="240" w:after="240" w:line="360" w:lineRule="auto"/>
        <w:ind w:left="567"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I. a IV. …</w:t>
      </w:r>
    </w:p>
    <w:p w:rsidR="00954C16" w:rsidRPr="00021080" w:rsidRDefault="00954C16" w:rsidP="00954C16">
      <w:pPr>
        <w:pBdr>
          <w:top w:val="nil"/>
          <w:left w:val="nil"/>
          <w:bottom w:val="nil"/>
          <w:right w:val="nil"/>
          <w:between w:val="nil"/>
        </w:pBdr>
        <w:tabs>
          <w:tab w:val="left" w:pos="851"/>
        </w:tabs>
        <w:spacing w:before="240" w:after="240" w:line="360" w:lineRule="auto"/>
        <w:ind w:left="567"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954C16" w:rsidRPr="00021080" w:rsidRDefault="00954C16" w:rsidP="00954C16">
      <w:pPr>
        <w:pBdr>
          <w:top w:val="nil"/>
          <w:left w:val="nil"/>
          <w:bottom w:val="nil"/>
          <w:right w:val="nil"/>
          <w:between w:val="nil"/>
        </w:pBdr>
        <w:tabs>
          <w:tab w:val="left" w:pos="851"/>
        </w:tabs>
        <w:spacing w:before="240" w:after="240" w:line="360" w:lineRule="auto"/>
        <w:ind w:left="567"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w:t>
      </w:r>
    </w:p>
    <w:p w:rsidR="00954C16" w:rsidRPr="00021080" w:rsidRDefault="00954C16" w:rsidP="00954C16">
      <w:pPr>
        <w:pBdr>
          <w:top w:val="nil"/>
          <w:left w:val="nil"/>
          <w:bottom w:val="nil"/>
          <w:right w:val="nil"/>
          <w:between w:val="nil"/>
        </w:pBdr>
        <w:tabs>
          <w:tab w:val="left" w:pos="851"/>
        </w:tabs>
        <w:spacing w:before="240" w:after="240" w:line="360" w:lineRule="auto"/>
        <w:ind w:left="567"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954C16" w:rsidRPr="00021080" w:rsidRDefault="00954C16" w:rsidP="00954C16">
      <w:pPr>
        <w:pBdr>
          <w:top w:val="nil"/>
          <w:left w:val="nil"/>
          <w:bottom w:val="nil"/>
          <w:right w:val="nil"/>
          <w:between w:val="nil"/>
        </w:pBdr>
        <w:tabs>
          <w:tab w:val="left" w:pos="851"/>
        </w:tabs>
        <w:spacing w:before="240" w:after="240" w:line="360" w:lineRule="auto"/>
        <w:ind w:left="567"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lastRenderedPageBreak/>
        <w:t>En todo caso, se facilitará su copia simple o certificada, así como su reproducción por cualquier medio disponible en las instalaciones del sujeto obligado o que, en su caso, aporte el solicitante</w:t>
      </w:r>
    </w:p>
    <w:p w:rsidR="00954C16" w:rsidRPr="00021080" w:rsidRDefault="00954C16" w:rsidP="00954C16">
      <w:pPr>
        <w:pBdr>
          <w:top w:val="nil"/>
          <w:left w:val="nil"/>
          <w:bottom w:val="nil"/>
          <w:right w:val="nil"/>
          <w:between w:val="nil"/>
        </w:pBdr>
        <w:tabs>
          <w:tab w:val="left" w:pos="851"/>
        </w:tabs>
        <w:spacing w:before="240" w:after="240" w:line="360" w:lineRule="auto"/>
        <w:ind w:left="567"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954C16" w:rsidRPr="00021080" w:rsidRDefault="00954C16" w:rsidP="00954C16">
      <w:pPr>
        <w:numPr>
          <w:ilvl w:val="0"/>
          <w:numId w:val="5"/>
        </w:numPr>
        <w:pBdr>
          <w:top w:val="nil"/>
          <w:left w:val="nil"/>
          <w:bottom w:val="nil"/>
          <w:right w:val="nil"/>
          <w:between w:val="nil"/>
        </w:pBdr>
        <w:tabs>
          <w:tab w:val="left" w:pos="567"/>
          <w:tab w:val="left" w:pos="851"/>
        </w:tabs>
        <w:spacing w:before="240" w:line="360" w:lineRule="auto"/>
        <w:ind w:left="0" w:firstLine="0"/>
        <w:jc w:val="both"/>
        <w:rPr>
          <w:color w:val="000000"/>
        </w:rPr>
      </w:pPr>
      <w:r w:rsidRPr="00021080">
        <w:rPr>
          <w:rFonts w:ascii="Palatino Linotype" w:eastAsia="Palatino Linotype" w:hAnsi="Palatino Linotype" w:cs="Palatino Linotype"/>
          <w:color w:val="000000"/>
        </w:rPr>
        <w:t>La normatividad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rsidR="00954C16" w:rsidRPr="00021080" w:rsidRDefault="00954C16" w:rsidP="00954C1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954C16" w:rsidRPr="00021080" w:rsidRDefault="00954C16" w:rsidP="00954C16">
      <w:pPr>
        <w:numPr>
          <w:ilvl w:val="0"/>
          <w:numId w:val="5"/>
        </w:numPr>
        <w:pBdr>
          <w:top w:val="nil"/>
          <w:left w:val="nil"/>
          <w:bottom w:val="nil"/>
          <w:right w:val="nil"/>
          <w:between w:val="nil"/>
        </w:pBdr>
        <w:tabs>
          <w:tab w:val="left" w:pos="0"/>
        </w:tabs>
        <w:spacing w:line="360" w:lineRule="auto"/>
        <w:ind w:left="0" w:firstLine="0"/>
        <w:jc w:val="both"/>
        <w:rPr>
          <w:color w:val="000000"/>
        </w:rPr>
      </w:pPr>
      <w:r w:rsidRPr="00021080">
        <w:rPr>
          <w:rFonts w:ascii="Palatino Linotype" w:eastAsia="Palatino Linotype" w:hAnsi="Palatino Linotype" w:cs="Palatino Linotype"/>
          <w:color w:val="000000"/>
        </w:rPr>
        <w:t xml:space="preserve">Del artículo 158 transcrito supra, se tiene que, excepcionalmente, en el caso de que la información solicitada implique un análisis, estudio o procesamiento de documentos, cuya entrega o reproducción sobrepase las capacidades técnicas administrativas y humanas del </w:t>
      </w:r>
      <w:r w:rsidRPr="00021080">
        <w:rPr>
          <w:rFonts w:ascii="Palatino Linotype" w:eastAsia="Palatino Linotype" w:hAnsi="Palatino Linotype" w:cs="Palatino Linotype"/>
          <w:b/>
          <w:color w:val="000000"/>
        </w:rPr>
        <w:t>SUJETO OBLIGADO</w:t>
      </w:r>
      <w:r w:rsidRPr="00021080">
        <w:rPr>
          <w:rFonts w:ascii="Palatino Linotype" w:eastAsia="Palatino Linotype" w:hAnsi="Palatino Linotype" w:cs="Palatino Linotype"/>
          <w:color w:val="000000"/>
        </w:rPr>
        <w:t xml:space="preserve">, éste podrá poder a disposición los documentos vía </w:t>
      </w:r>
      <w:r w:rsidRPr="00021080">
        <w:rPr>
          <w:rFonts w:ascii="Palatino Linotype" w:eastAsia="Palatino Linotype" w:hAnsi="Palatino Linotype" w:cs="Palatino Linotype"/>
          <w:i/>
          <w:color w:val="000000"/>
        </w:rPr>
        <w:t>In Situ</w:t>
      </w:r>
      <w:r w:rsidRPr="00021080">
        <w:rPr>
          <w:rFonts w:ascii="Palatino Linotype" w:eastAsia="Palatino Linotype" w:hAnsi="Palatino Linotype" w:cs="Palatino Linotype"/>
          <w:color w:val="000000"/>
        </w:rPr>
        <w:t xml:space="preserve"> o Consulta Directa, </w:t>
      </w:r>
      <w:r w:rsidRPr="00021080">
        <w:rPr>
          <w:rFonts w:ascii="Palatino Linotype" w:eastAsia="Palatino Linotype" w:hAnsi="Palatino Linotype" w:cs="Palatino Linotype"/>
          <w:b/>
          <w:color w:val="000000"/>
        </w:rPr>
        <w:t>siempre y cuando se funden y motiven las razones que justifiquen la imposibilidad de entregar la información en la modalidad originalmente solicitada</w:t>
      </w:r>
      <w:r w:rsidRPr="00021080">
        <w:rPr>
          <w:rFonts w:ascii="Palatino Linotype" w:eastAsia="Palatino Linotype" w:hAnsi="Palatino Linotype" w:cs="Palatino Linotype"/>
          <w:color w:val="000000"/>
        </w:rPr>
        <w:t xml:space="preserve">. </w:t>
      </w:r>
    </w:p>
    <w:p w:rsidR="004344C5" w:rsidRPr="00021080" w:rsidRDefault="004344C5" w:rsidP="004344C5">
      <w:pPr>
        <w:pBdr>
          <w:top w:val="nil"/>
          <w:left w:val="nil"/>
          <w:bottom w:val="nil"/>
          <w:right w:val="nil"/>
          <w:between w:val="nil"/>
        </w:pBdr>
        <w:tabs>
          <w:tab w:val="left" w:pos="0"/>
        </w:tabs>
        <w:spacing w:line="360" w:lineRule="auto"/>
        <w:jc w:val="both"/>
        <w:rPr>
          <w:color w:val="000000"/>
        </w:rPr>
      </w:pPr>
    </w:p>
    <w:p w:rsidR="00954C16" w:rsidRPr="00021080" w:rsidRDefault="00954C16" w:rsidP="00954C16">
      <w:pPr>
        <w:numPr>
          <w:ilvl w:val="0"/>
          <w:numId w:val="5"/>
        </w:numPr>
        <w:pBdr>
          <w:top w:val="nil"/>
          <w:left w:val="nil"/>
          <w:bottom w:val="nil"/>
          <w:right w:val="nil"/>
          <w:between w:val="nil"/>
        </w:pBdr>
        <w:tabs>
          <w:tab w:val="left" w:pos="0"/>
        </w:tabs>
        <w:spacing w:line="360" w:lineRule="auto"/>
        <w:ind w:left="0" w:firstLine="0"/>
        <w:jc w:val="both"/>
        <w:rPr>
          <w:color w:val="000000"/>
        </w:rPr>
      </w:pPr>
      <w:r w:rsidRPr="00021080">
        <w:rPr>
          <w:rFonts w:ascii="Palatino Linotype" w:eastAsia="Palatino Linotype" w:hAnsi="Palatino Linotype" w:cs="Palatino Linotype"/>
          <w:color w:val="000000"/>
        </w:rPr>
        <w:t xml:space="preserve">Es decir, del artículo anterior, se derivan tres hipótesis que en conjunto, y de manera fundada y motivada, validan el cambio de modalidad de entrega de la información y las cuales son, que las documentales a proporcionar </w:t>
      </w:r>
      <w:r w:rsidRPr="00021080">
        <w:rPr>
          <w:rFonts w:ascii="Palatino Linotype" w:eastAsia="Palatino Linotype" w:hAnsi="Palatino Linotype" w:cs="Palatino Linotype"/>
          <w:b/>
          <w:color w:val="000000"/>
        </w:rPr>
        <w:t>sobrepasen las capacidades técnicas, administrativas y humanas del SUJETO OBLIGADO</w:t>
      </w:r>
      <w:r w:rsidRPr="00021080">
        <w:rPr>
          <w:rFonts w:ascii="Palatino Linotype" w:eastAsia="Palatino Linotype" w:hAnsi="Palatino Linotype" w:cs="Palatino Linotype"/>
          <w:color w:val="000000"/>
        </w:rPr>
        <w:t xml:space="preserve">. </w:t>
      </w:r>
    </w:p>
    <w:p w:rsidR="00954C16" w:rsidRPr="00021080" w:rsidRDefault="00954C16" w:rsidP="00954C16">
      <w:pPr>
        <w:numPr>
          <w:ilvl w:val="0"/>
          <w:numId w:val="5"/>
        </w:numPr>
        <w:pBdr>
          <w:top w:val="nil"/>
          <w:left w:val="nil"/>
          <w:bottom w:val="nil"/>
          <w:right w:val="nil"/>
          <w:between w:val="nil"/>
        </w:pBdr>
        <w:tabs>
          <w:tab w:val="left" w:pos="0"/>
        </w:tabs>
        <w:spacing w:line="360" w:lineRule="auto"/>
        <w:ind w:left="0" w:firstLine="0"/>
        <w:jc w:val="both"/>
        <w:rPr>
          <w:color w:val="000000"/>
        </w:rPr>
      </w:pPr>
      <w:r w:rsidRPr="00021080">
        <w:rPr>
          <w:rFonts w:ascii="Palatino Linotype" w:eastAsia="Palatino Linotype" w:hAnsi="Palatino Linotype" w:cs="Palatino Linotype"/>
          <w:color w:val="000000"/>
        </w:rPr>
        <w:lastRenderedPageBreak/>
        <w:t>Para ello, cabe mencionar lo que se entiende por “</w:t>
      </w:r>
      <w:r w:rsidRPr="00021080">
        <w:rPr>
          <w:rFonts w:ascii="Palatino Linotype" w:eastAsia="Palatino Linotype" w:hAnsi="Palatino Linotype" w:cs="Palatino Linotype"/>
          <w:b/>
          <w:color w:val="000000"/>
        </w:rPr>
        <w:t>capacidad</w:t>
      </w:r>
      <w:r w:rsidRPr="00021080">
        <w:rPr>
          <w:rFonts w:ascii="Palatino Linotype" w:eastAsia="Palatino Linotype" w:hAnsi="Palatino Linotype" w:cs="Palatino Linotype"/>
          <w:color w:val="000000"/>
        </w:rPr>
        <w:t>”; que, de manera general, puede ser interpretado como la circunstancia o conjunto de condiciones, cualidades o aptitudes que permiten el desarrollo o el cumplimiento de una función o desempeño de un cargo.</w:t>
      </w:r>
    </w:p>
    <w:p w:rsidR="00954C16" w:rsidRPr="00021080" w:rsidRDefault="00954C16" w:rsidP="00954C16">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954C16" w:rsidRPr="00021080" w:rsidRDefault="00954C16" w:rsidP="00954C16">
      <w:pPr>
        <w:numPr>
          <w:ilvl w:val="0"/>
          <w:numId w:val="5"/>
        </w:numPr>
        <w:pBdr>
          <w:top w:val="nil"/>
          <w:left w:val="nil"/>
          <w:bottom w:val="nil"/>
          <w:right w:val="nil"/>
          <w:between w:val="nil"/>
        </w:pBdr>
        <w:tabs>
          <w:tab w:val="left" w:pos="0"/>
        </w:tabs>
        <w:spacing w:line="360" w:lineRule="auto"/>
        <w:ind w:left="0" w:firstLine="0"/>
        <w:jc w:val="both"/>
        <w:rPr>
          <w:color w:val="000000"/>
        </w:rPr>
      </w:pPr>
      <w:r w:rsidRPr="00021080">
        <w:rPr>
          <w:rFonts w:ascii="Palatino Linotype" w:eastAsia="Palatino Linotype" w:hAnsi="Palatino Linotype" w:cs="Palatino Linotype"/>
          <w:color w:val="000000"/>
        </w:rPr>
        <w:t xml:space="preserve">Respecto a las capacidades técnicas,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rsidR="00954C16" w:rsidRPr="00021080" w:rsidRDefault="00954C16" w:rsidP="00954C16">
      <w:pPr>
        <w:pBdr>
          <w:top w:val="nil"/>
          <w:left w:val="nil"/>
          <w:bottom w:val="nil"/>
          <w:right w:val="nil"/>
          <w:between w:val="nil"/>
        </w:pBdr>
        <w:tabs>
          <w:tab w:val="left" w:pos="0"/>
        </w:tabs>
        <w:spacing w:line="360" w:lineRule="auto"/>
        <w:jc w:val="both"/>
        <w:rPr>
          <w:color w:val="000000"/>
        </w:rPr>
      </w:pPr>
    </w:p>
    <w:p w:rsidR="00954C16" w:rsidRPr="00021080" w:rsidRDefault="00954C16" w:rsidP="00954C16">
      <w:pPr>
        <w:numPr>
          <w:ilvl w:val="0"/>
          <w:numId w:val="5"/>
        </w:numPr>
        <w:pBdr>
          <w:top w:val="nil"/>
          <w:left w:val="nil"/>
          <w:bottom w:val="nil"/>
          <w:right w:val="nil"/>
          <w:between w:val="nil"/>
        </w:pBdr>
        <w:tabs>
          <w:tab w:val="left" w:pos="0"/>
        </w:tabs>
        <w:spacing w:line="360" w:lineRule="auto"/>
        <w:ind w:left="0" w:firstLine="0"/>
        <w:jc w:val="both"/>
        <w:rPr>
          <w:color w:val="000000"/>
        </w:rPr>
      </w:pPr>
      <w:r w:rsidRPr="00021080">
        <w:rPr>
          <w:rFonts w:ascii="Palatino Linotype" w:eastAsia="Palatino Linotype" w:hAnsi="Palatino Linotype" w:cs="Palatino Linotype"/>
          <w:color w:val="000000"/>
        </w:rPr>
        <w:t xml:space="preserve">Ahora bien, en relación con </w:t>
      </w:r>
      <w:r w:rsidRPr="00021080">
        <w:rPr>
          <w:rFonts w:ascii="Palatino Linotype" w:eastAsia="Palatino Linotype" w:hAnsi="Palatino Linotype" w:cs="Palatino Linotype"/>
          <w:b/>
          <w:color w:val="000000"/>
        </w:rPr>
        <w:t>el peso máximo de archivos que soporta el SAIMEX para adjuntar como respuesta a las solicitudes de información</w:t>
      </w:r>
      <w:r w:rsidRPr="00021080">
        <w:rPr>
          <w:rFonts w:ascii="Palatino Linotype" w:eastAsia="Palatino Linotype" w:hAnsi="Palatino Linotype" w:cs="Palatino Linotype"/>
          <w:color w:val="000000"/>
        </w:rPr>
        <w:t xml:space="preserve">, de acuerdo con la Dirección de Informática de este Instituto, la plataforma </w:t>
      </w:r>
      <w:r w:rsidRPr="00021080">
        <w:rPr>
          <w:rFonts w:ascii="Palatino Linotype" w:eastAsia="Palatino Linotype" w:hAnsi="Palatino Linotype" w:cs="Palatino Linotype"/>
          <w:b/>
          <w:color w:val="000000"/>
        </w:rPr>
        <w:t>tiene el soporte tecnológico para que se puedan adjuntar archivos con un peso aproximado de hasta 500Mb o un equivalente de hasta 8,000 hojas</w:t>
      </w:r>
      <w:r w:rsidRPr="00021080">
        <w:rPr>
          <w:rFonts w:ascii="Palatino Linotype" w:eastAsia="Palatino Linotype" w:hAnsi="Palatino Linotype" w:cs="Palatino Linotype"/>
          <w:color w:val="000000"/>
        </w:rPr>
        <w:t xml:space="preserve">, garantizando que el ciudadano no tenga problemas en la descarga de la información, usando conexiones a internet convencionales bajo parámetros de escaneo en resolución máxima de 150Dpi’s, escala de grises y formato “PDF” extraído directamente del escáner. </w:t>
      </w:r>
    </w:p>
    <w:p w:rsidR="00954C16" w:rsidRPr="00021080" w:rsidRDefault="00954C16" w:rsidP="00954C16">
      <w:pPr>
        <w:pBdr>
          <w:top w:val="nil"/>
          <w:left w:val="nil"/>
          <w:bottom w:val="nil"/>
          <w:right w:val="nil"/>
          <w:between w:val="nil"/>
        </w:pBdr>
        <w:ind w:left="720"/>
        <w:rPr>
          <w:rFonts w:ascii="Palatino Linotype" w:eastAsia="Palatino Linotype" w:hAnsi="Palatino Linotype" w:cs="Palatino Linotype"/>
          <w:color w:val="000000"/>
        </w:rPr>
      </w:pPr>
    </w:p>
    <w:p w:rsidR="00954C16" w:rsidRPr="00021080" w:rsidRDefault="00954C16" w:rsidP="003969A4">
      <w:pPr>
        <w:numPr>
          <w:ilvl w:val="0"/>
          <w:numId w:val="5"/>
        </w:numPr>
        <w:pBdr>
          <w:top w:val="nil"/>
          <w:left w:val="nil"/>
          <w:bottom w:val="nil"/>
          <w:right w:val="nil"/>
          <w:between w:val="nil"/>
        </w:pBdr>
        <w:tabs>
          <w:tab w:val="left" w:pos="0"/>
        </w:tabs>
        <w:spacing w:line="360" w:lineRule="auto"/>
        <w:ind w:left="0" w:firstLine="0"/>
        <w:jc w:val="both"/>
        <w:rPr>
          <w:color w:val="000000"/>
        </w:rPr>
      </w:pPr>
      <w:r w:rsidRPr="00021080">
        <w:rPr>
          <w:rFonts w:ascii="Palatino Linotype" w:eastAsia="Palatino Linotype" w:hAnsi="Palatino Linotype" w:cs="Palatino Linotype"/>
          <w:color w:val="000000"/>
        </w:rPr>
        <w:t xml:space="preserve">En el presente caso, la respuesta emitida por el Sujeto Obligado fue el cambio de modalidad a consulta directa, </w:t>
      </w:r>
      <w:r w:rsidR="003969A4" w:rsidRPr="00021080">
        <w:rPr>
          <w:rFonts w:ascii="Palatino Linotype" w:eastAsia="Palatino Linotype" w:hAnsi="Palatino Linotype" w:cs="Palatino Linotype"/>
          <w:color w:val="000000"/>
        </w:rPr>
        <w:t>a través de la cual señaló que implica un volumen considerable de información, cuya localización, integración, revisión y, en su caso, digitalización requiere la consulta de diversos expedientes y archivos físicos y electrónicos</w:t>
      </w:r>
      <w:r w:rsidRPr="00021080">
        <w:rPr>
          <w:rFonts w:ascii="Palatino Linotype" w:eastAsia="Palatino Linotype" w:hAnsi="Palatino Linotype" w:cs="Palatino Linotype"/>
          <w:color w:val="000000"/>
        </w:rPr>
        <w:t xml:space="preserve">, sin embargo, </w:t>
      </w:r>
      <w:r w:rsidR="003969A4" w:rsidRPr="00021080">
        <w:rPr>
          <w:rFonts w:ascii="Palatino Linotype" w:eastAsia="Palatino Linotype" w:hAnsi="Palatino Linotype" w:cs="Palatino Linotype"/>
          <w:color w:val="000000"/>
        </w:rPr>
        <w:t>de acuerdo a lo referido en párrafos anteriores, el cambio de</w:t>
      </w:r>
      <w:r w:rsidR="00F8683A" w:rsidRPr="00021080">
        <w:rPr>
          <w:rFonts w:ascii="Palatino Linotype" w:eastAsia="Palatino Linotype" w:hAnsi="Palatino Linotype" w:cs="Palatino Linotype"/>
          <w:color w:val="000000"/>
        </w:rPr>
        <w:t xml:space="preserve"> </w:t>
      </w:r>
      <w:r w:rsidR="003969A4" w:rsidRPr="00021080">
        <w:rPr>
          <w:rFonts w:ascii="Palatino Linotype" w:eastAsia="Palatino Linotype" w:hAnsi="Palatino Linotype" w:cs="Palatino Linotype"/>
          <w:color w:val="000000"/>
        </w:rPr>
        <w:t xml:space="preserve">modalidad debe ser debidamente fundado y </w:t>
      </w:r>
      <w:r w:rsidR="003969A4" w:rsidRPr="00021080">
        <w:rPr>
          <w:rFonts w:ascii="Palatino Linotype" w:eastAsia="Palatino Linotype" w:hAnsi="Palatino Linotype" w:cs="Palatino Linotype"/>
          <w:color w:val="000000"/>
        </w:rPr>
        <w:lastRenderedPageBreak/>
        <w:t xml:space="preserve">motivado, situación que no se advierte en la respuesta, aunado a ello, el acta del Comité de Transparencia se </w:t>
      </w:r>
      <w:r w:rsidR="00F8683A" w:rsidRPr="00021080">
        <w:rPr>
          <w:rFonts w:ascii="Palatino Linotype" w:eastAsia="Palatino Linotype" w:hAnsi="Palatino Linotype" w:cs="Palatino Linotype"/>
          <w:color w:val="000000"/>
        </w:rPr>
        <w:t xml:space="preserve">refiere a solicitudes diversas; además, </w:t>
      </w:r>
      <w:r w:rsidRPr="00021080">
        <w:rPr>
          <w:rFonts w:ascii="Palatino Linotype" w:eastAsia="Palatino Linotype" w:hAnsi="Palatino Linotype" w:cs="Palatino Linotype"/>
          <w:color w:val="000000"/>
        </w:rPr>
        <w:t>es importante mencionar que la información solicitada corresponde a las obli</w:t>
      </w:r>
      <w:r w:rsidR="00F8683A" w:rsidRPr="00021080">
        <w:rPr>
          <w:rFonts w:ascii="Palatino Linotype" w:eastAsia="Palatino Linotype" w:hAnsi="Palatino Linotype" w:cs="Palatino Linotype"/>
          <w:color w:val="000000"/>
        </w:rPr>
        <w:t xml:space="preserve">gaciones de transparencia común establecidas en el artículo 92 </w:t>
      </w:r>
      <w:r w:rsidRPr="00021080">
        <w:rPr>
          <w:rFonts w:ascii="Palatino Linotype" w:eastAsia="Palatino Linotype" w:hAnsi="Palatino Linotype" w:cs="Palatino Linotype"/>
          <w:color w:val="000000"/>
        </w:rPr>
        <w:t xml:space="preserve">de la Ley de Transparencia y Acceso a la Información del Estado de México y Municipios que establece: </w:t>
      </w:r>
    </w:p>
    <w:p w:rsidR="00954C16" w:rsidRPr="00021080" w:rsidRDefault="00954C16" w:rsidP="00954C16">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rPr>
      </w:pPr>
      <w:r w:rsidRPr="00021080">
        <w:rPr>
          <w:rFonts w:ascii="Palatino Linotype" w:eastAsia="Palatino Linotype" w:hAnsi="Palatino Linotype" w:cs="Palatino Linotype"/>
          <w:i/>
        </w:rPr>
        <w:t>“</w:t>
      </w:r>
      <w:r w:rsidR="00F8683A" w:rsidRPr="00021080">
        <w:rPr>
          <w:rFonts w:ascii="Palatino Linotype" w:eastAsia="Palatino Linotype" w:hAnsi="Palatino Linotype" w:cs="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954C16" w:rsidRPr="00021080" w:rsidRDefault="00954C16" w:rsidP="00954C16">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rPr>
      </w:pPr>
      <w:r w:rsidRPr="00021080">
        <w:rPr>
          <w:rFonts w:ascii="Palatino Linotype" w:eastAsia="Palatino Linotype" w:hAnsi="Palatino Linotype" w:cs="Palatino Linotype"/>
          <w:i/>
        </w:rPr>
        <w:t>…</w:t>
      </w:r>
    </w:p>
    <w:p w:rsidR="00954C16" w:rsidRPr="00021080" w:rsidRDefault="00F8683A" w:rsidP="00954C16">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rPr>
      </w:pPr>
      <w:r w:rsidRPr="00021080">
        <w:rPr>
          <w:rFonts w:ascii="Palatino Linotype" w:eastAsia="Palatino Linotype" w:hAnsi="Palatino Linotype" w:cs="Palatino Linotype"/>
          <w:i/>
        </w:rPr>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r w:rsidR="00954C16" w:rsidRPr="00021080">
        <w:rPr>
          <w:rFonts w:ascii="Palatino Linotype" w:eastAsia="Palatino Linotype" w:hAnsi="Palatino Linotype" w:cs="Palatino Linotype"/>
          <w:i/>
        </w:rPr>
        <w:t>;</w:t>
      </w:r>
    </w:p>
    <w:p w:rsidR="00954C16" w:rsidRPr="00021080" w:rsidRDefault="00954C16" w:rsidP="00954C16">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rPr>
      </w:pPr>
      <w:r w:rsidRPr="00021080">
        <w:rPr>
          <w:rFonts w:ascii="Palatino Linotype" w:eastAsia="Palatino Linotype" w:hAnsi="Palatino Linotype" w:cs="Palatino Linotype"/>
          <w:i/>
        </w:rPr>
        <w:t>…”</w:t>
      </w:r>
    </w:p>
    <w:p w:rsidR="00F8683A" w:rsidRPr="00021080" w:rsidRDefault="00F8683A" w:rsidP="00954C16">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color w:val="000000"/>
        </w:rPr>
      </w:pPr>
    </w:p>
    <w:p w:rsidR="00954C16" w:rsidRPr="00021080" w:rsidRDefault="00954C16" w:rsidP="00954C16">
      <w:pPr>
        <w:numPr>
          <w:ilvl w:val="0"/>
          <w:numId w:val="5"/>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Por lo anterior, se advierte que el</w:t>
      </w:r>
      <w:r w:rsidRPr="00021080">
        <w:rPr>
          <w:rFonts w:ascii="Palatino Linotype" w:eastAsia="Palatino Linotype" w:hAnsi="Palatino Linotype" w:cs="Palatino Linotype"/>
          <w:b/>
          <w:color w:val="000000"/>
        </w:rPr>
        <w:t xml:space="preserve"> SUJETO OBLIGADO</w:t>
      </w:r>
      <w:r w:rsidRPr="00021080">
        <w:rPr>
          <w:rFonts w:ascii="Palatino Linotype" w:eastAsia="Palatino Linotype" w:hAnsi="Palatino Linotype" w:cs="Palatino Linotype"/>
          <w:color w:val="000000"/>
        </w:rPr>
        <w:t xml:space="preserve"> no acreditó la imposibilidad, establecida en el artículo 158 de la Ley de Transparencia y Acceso a la Información Pública del Estado de México y Municipios, para validar el cambio de modalidad a Consulta Directa; </w:t>
      </w:r>
      <w:r w:rsidRPr="00021080">
        <w:rPr>
          <w:rFonts w:ascii="Palatino Linotype" w:eastAsia="Palatino Linotype" w:hAnsi="Palatino Linotype" w:cs="Palatino Linotype"/>
        </w:rPr>
        <w:t xml:space="preserve">además de que, la información corresponde a parte de las obligaciones de transparencia </w:t>
      </w:r>
      <w:r w:rsidR="00F8683A" w:rsidRPr="00021080">
        <w:rPr>
          <w:rFonts w:ascii="Palatino Linotype" w:eastAsia="Palatino Linotype" w:hAnsi="Palatino Linotype" w:cs="Palatino Linotype"/>
        </w:rPr>
        <w:t>común</w:t>
      </w:r>
      <w:r w:rsidRPr="00021080">
        <w:rPr>
          <w:rFonts w:ascii="Palatino Linotype" w:eastAsia="Palatino Linotype" w:hAnsi="Palatino Linotype" w:cs="Palatino Linotype"/>
        </w:rPr>
        <w:t xml:space="preserve"> del Sujeto Obligado, es decir, que es información que el Sujeto Obligado debe publicar en su </w:t>
      </w:r>
      <w:r w:rsidRPr="00021080">
        <w:rPr>
          <w:rFonts w:ascii="Palatino Linotype" w:eastAsia="Palatino Linotype" w:hAnsi="Palatino Linotype" w:cs="Palatino Linotype"/>
        </w:rPr>
        <w:lastRenderedPageBreak/>
        <w:t>página de Información Pública de Oficio Mexiquense (IPOMEX), por lo tanto, no procede el cambio de modalidad a consulta directa.</w:t>
      </w:r>
    </w:p>
    <w:p w:rsidR="00954C16" w:rsidRPr="00021080" w:rsidRDefault="00954C16" w:rsidP="00954C16">
      <w:pPr>
        <w:pBdr>
          <w:top w:val="nil"/>
          <w:left w:val="nil"/>
          <w:bottom w:val="nil"/>
          <w:right w:val="nil"/>
          <w:between w:val="nil"/>
        </w:pBdr>
        <w:spacing w:line="360" w:lineRule="auto"/>
        <w:jc w:val="both"/>
        <w:rPr>
          <w:rFonts w:ascii="Palatino Linotype" w:eastAsia="Palatino Linotype" w:hAnsi="Palatino Linotype" w:cs="Palatino Linotype"/>
        </w:rPr>
      </w:pPr>
    </w:p>
    <w:p w:rsidR="008676E8" w:rsidRPr="00021080" w:rsidRDefault="00954C16" w:rsidP="008676E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rPr>
        <w:t xml:space="preserve">Por lo tanto, en consecuencia y en mérito de lo expuesto en líneas anteriores, resultan fundadas las razones o motivos de inconformidad hechos valer por el RECURRENTE dentro de los recursos de revisión </w:t>
      </w:r>
      <w:r w:rsidR="00F8683A" w:rsidRPr="00021080">
        <w:rPr>
          <w:rFonts w:ascii="Palatino Linotype" w:eastAsia="Palatino Linotype" w:hAnsi="Palatino Linotype" w:cs="Palatino Linotype"/>
          <w:b/>
        </w:rPr>
        <w:t>04338</w:t>
      </w:r>
      <w:r w:rsidRPr="00021080">
        <w:rPr>
          <w:rFonts w:ascii="Palatino Linotype" w:eastAsia="Palatino Linotype" w:hAnsi="Palatino Linotype" w:cs="Palatino Linotype"/>
          <w:b/>
        </w:rPr>
        <w:t>/INFOEM</w:t>
      </w:r>
      <w:r w:rsidR="00F8683A" w:rsidRPr="00021080">
        <w:rPr>
          <w:rFonts w:ascii="Palatino Linotype" w:eastAsia="Palatino Linotype" w:hAnsi="Palatino Linotype" w:cs="Palatino Linotype"/>
          <w:b/>
        </w:rPr>
        <w:t>/IP/RR/2026, 04339/INFOEM/IP/RR/2026 y 04343/INFOEM/IP/RR/2026</w:t>
      </w:r>
      <w:r w:rsidRPr="00021080">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REVOCAN las respuestas a las solicitudes de información </w:t>
      </w:r>
      <w:hyperlink r:id="rId14" w:history="1">
        <w:r w:rsidR="008676E8" w:rsidRPr="00021080">
          <w:rPr>
            <w:rStyle w:val="Hipervnculo"/>
            <w:rFonts w:ascii="Palatino Linotype" w:eastAsia="Palatino Linotype" w:hAnsi="Palatino Linotype" w:cs="Palatino Linotype"/>
            <w:b/>
            <w:bCs/>
            <w:color w:val="auto"/>
            <w:u w:val="none"/>
          </w:rPr>
          <w:t>00016/APAXCO/IP/2026</w:t>
        </w:r>
      </w:hyperlink>
      <w:r w:rsidRPr="00021080">
        <w:rPr>
          <w:rFonts w:ascii="Palatino Linotype" w:eastAsia="Palatino Linotype" w:hAnsi="Palatino Linotype" w:cs="Palatino Linotype"/>
          <w:b/>
        </w:rPr>
        <w:t xml:space="preserve">, </w:t>
      </w:r>
      <w:hyperlink r:id="rId15" w:history="1">
        <w:r w:rsidR="008676E8" w:rsidRPr="00021080">
          <w:rPr>
            <w:rStyle w:val="Hipervnculo"/>
            <w:rFonts w:ascii="Palatino Linotype" w:eastAsia="Palatino Linotype" w:hAnsi="Palatino Linotype" w:cs="Palatino Linotype"/>
            <w:b/>
            <w:bCs/>
            <w:color w:val="auto"/>
            <w:u w:val="none"/>
          </w:rPr>
          <w:t>00017/APAXCO/IP/2026</w:t>
        </w:r>
      </w:hyperlink>
      <w:r w:rsidR="008676E8" w:rsidRPr="00021080">
        <w:rPr>
          <w:rFonts w:ascii="Palatino Linotype" w:eastAsia="Palatino Linotype" w:hAnsi="Palatino Linotype" w:cs="Palatino Linotype"/>
          <w:b/>
        </w:rPr>
        <w:t xml:space="preserve"> </w:t>
      </w:r>
      <w:r w:rsidRPr="00021080">
        <w:rPr>
          <w:rFonts w:ascii="Palatino Linotype" w:eastAsia="Palatino Linotype" w:hAnsi="Palatino Linotype" w:cs="Palatino Linotype"/>
          <w:b/>
        </w:rPr>
        <w:t xml:space="preserve">y </w:t>
      </w:r>
      <w:hyperlink r:id="rId16" w:history="1">
        <w:r w:rsidR="008676E8" w:rsidRPr="00021080">
          <w:rPr>
            <w:rStyle w:val="Hipervnculo"/>
            <w:rFonts w:ascii="Palatino Linotype" w:eastAsia="Palatino Linotype" w:hAnsi="Palatino Linotype" w:cs="Palatino Linotype"/>
            <w:b/>
            <w:bCs/>
            <w:color w:val="auto"/>
            <w:u w:val="none"/>
          </w:rPr>
          <w:t>00019/APAXCO/IP/2026</w:t>
        </w:r>
      </w:hyperlink>
      <w:r w:rsidR="008676E8" w:rsidRPr="00021080">
        <w:rPr>
          <w:rFonts w:ascii="Palatino Linotype" w:eastAsia="Palatino Linotype" w:hAnsi="Palatino Linotype" w:cs="Palatino Linotype"/>
          <w:b/>
        </w:rPr>
        <w:t xml:space="preserve">. </w:t>
      </w:r>
    </w:p>
    <w:p w:rsidR="008676E8" w:rsidRPr="00021080" w:rsidRDefault="008676E8" w:rsidP="008676E8">
      <w:pPr>
        <w:pStyle w:val="Prrafodelista"/>
        <w:rPr>
          <w:rFonts w:ascii="Palatino Linotype" w:eastAsia="Palatino Linotype" w:hAnsi="Palatino Linotype" w:cs="Palatino Linotype"/>
          <w:b/>
          <w:color w:val="000000"/>
        </w:rPr>
      </w:pPr>
    </w:p>
    <w:p w:rsidR="00954C16" w:rsidRPr="00021080" w:rsidRDefault="00954C16" w:rsidP="008676E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QUINTO. De la versión pública.</w:t>
      </w:r>
    </w:p>
    <w:p w:rsidR="00954C16" w:rsidRPr="00021080" w:rsidRDefault="00954C16" w:rsidP="00954C16">
      <w:pPr>
        <w:numPr>
          <w:ilvl w:val="0"/>
          <w:numId w:val="5"/>
        </w:numPr>
        <w:pBdr>
          <w:top w:val="nil"/>
          <w:left w:val="nil"/>
          <w:bottom w:val="nil"/>
          <w:right w:val="nil"/>
          <w:between w:val="nil"/>
        </w:pBdr>
        <w:tabs>
          <w:tab w:val="left" w:pos="0"/>
        </w:tabs>
        <w:spacing w:line="360" w:lineRule="auto"/>
        <w:ind w:left="0" w:firstLine="0"/>
        <w:jc w:val="both"/>
        <w:rPr>
          <w:rFonts w:ascii="Century Gothic" w:eastAsia="Century Gothic" w:hAnsi="Century Gothic" w:cs="Century Gothic"/>
          <w:color w:val="000000"/>
        </w:rPr>
      </w:pPr>
      <w:r w:rsidRPr="00021080">
        <w:rPr>
          <w:rFonts w:ascii="Palatino Linotype" w:eastAsia="Palatino Linotype" w:hAnsi="Palatino Linotype" w:cs="Palatino Linotype"/>
          <w:color w:val="000000"/>
        </w:rPr>
        <w:t>Debe destacarse que, debido a la naturaleza de la información solicitada</w:t>
      </w:r>
      <w:r w:rsidRPr="00021080">
        <w:rPr>
          <w:rFonts w:ascii="Palatino Linotype" w:eastAsia="Palatino Linotype" w:hAnsi="Palatino Linotype" w:cs="Palatino Linotype"/>
          <w:b/>
          <w:color w:val="000000"/>
        </w:rPr>
        <w:t xml:space="preserve"> </w:t>
      </w:r>
      <w:r w:rsidRPr="00021080">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021080" w:rsidRPr="00021080" w:rsidRDefault="00021080" w:rsidP="00021080">
      <w:pPr>
        <w:pBdr>
          <w:top w:val="nil"/>
          <w:left w:val="nil"/>
          <w:bottom w:val="nil"/>
          <w:right w:val="nil"/>
          <w:between w:val="nil"/>
        </w:pBdr>
        <w:tabs>
          <w:tab w:val="left" w:pos="0"/>
        </w:tabs>
        <w:spacing w:line="360" w:lineRule="auto"/>
        <w:jc w:val="both"/>
        <w:rPr>
          <w:rFonts w:ascii="Century Gothic" w:eastAsia="Century Gothic" w:hAnsi="Century Gothic" w:cs="Century Gothic"/>
          <w:color w:val="000000"/>
        </w:rPr>
      </w:pP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color w:val="000000"/>
        </w:rPr>
      </w:pPr>
      <w:r w:rsidRPr="00021080">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954C16" w:rsidRPr="00021080" w:rsidRDefault="00954C16" w:rsidP="00954C1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W w:w="1032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30"/>
        <w:gridCol w:w="7495"/>
      </w:tblGrid>
      <w:tr w:rsidR="00954C16" w:rsidRPr="00021080" w:rsidTr="00021080">
        <w:tc>
          <w:tcPr>
            <w:tcW w:w="2830" w:type="dxa"/>
          </w:tcPr>
          <w:p w:rsidR="00954C16" w:rsidRPr="00021080" w:rsidRDefault="00954C16" w:rsidP="00021080">
            <w:pPr>
              <w:spacing w:line="360" w:lineRule="auto"/>
              <w:ind w:right="267"/>
              <w:rPr>
                <w:rFonts w:ascii="Palatino Linotype" w:eastAsia="Palatino Linotype" w:hAnsi="Palatino Linotype" w:cs="Palatino Linotype"/>
              </w:rPr>
            </w:pPr>
            <w:r w:rsidRPr="00021080">
              <w:rPr>
                <w:rFonts w:ascii="Palatino Linotype" w:eastAsia="Palatino Linotype" w:hAnsi="Palatino Linotype" w:cs="Palatino Linotype"/>
              </w:rPr>
              <w:lastRenderedPageBreak/>
              <w:t>a) Requisitos previos.</w:t>
            </w:r>
          </w:p>
        </w:tc>
        <w:tc>
          <w:tcPr>
            <w:tcW w:w="7495" w:type="dxa"/>
          </w:tcPr>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Al hacerlo tienen que precisar de qué información se trata, señalando el supuesto de clasificación (confidencialidad o reserva).</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Además, se debe señalar el procedimiento, de los tres que establecen los artículos 132 y 106 de la Ley Estatal y General, respectivamente.</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021080">
              <w:rPr>
                <w:rFonts w:ascii="Palatino Linotype" w:eastAsia="Palatino Linotype" w:hAnsi="Palatino Linotype" w:cs="Palatino Linotype"/>
                <w:u w:val="single"/>
              </w:rPr>
              <w:t xml:space="preserve">no se puede hacer un acuerdo para clasificar de manera general todos los documentos de un expediente o área,  </w:t>
            </w:r>
            <w:r w:rsidRPr="00021080">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954C16" w:rsidRPr="00021080" w:rsidTr="00021080">
        <w:tc>
          <w:tcPr>
            <w:tcW w:w="2830" w:type="dxa"/>
          </w:tcPr>
          <w:p w:rsidR="00954C16" w:rsidRPr="00021080" w:rsidRDefault="00954C16" w:rsidP="00021080">
            <w:pPr>
              <w:spacing w:line="360" w:lineRule="auto"/>
              <w:ind w:right="267"/>
              <w:rPr>
                <w:rFonts w:ascii="Palatino Linotype" w:eastAsia="Palatino Linotype" w:hAnsi="Palatino Linotype" w:cs="Palatino Linotype"/>
              </w:rPr>
            </w:pPr>
            <w:r w:rsidRPr="00021080">
              <w:rPr>
                <w:rFonts w:ascii="Palatino Linotype" w:eastAsia="Palatino Linotype" w:hAnsi="Palatino Linotype" w:cs="Palatino Linotype"/>
              </w:rPr>
              <w:t>b) Supuestos de clasificación.</w:t>
            </w:r>
          </w:p>
        </w:tc>
        <w:tc>
          <w:tcPr>
            <w:tcW w:w="7495" w:type="dxa"/>
          </w:tcPr>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Los artículos 116 y 143 de la Ley Estatal y de la Ley General, respectivamente, señalan los supuestos para que la información </w:t>
            </w:r>
            <w:r w:rsidRPr="00021080">
              <w:rPr>
                <w:rFonts w:ascii="Palatino Linotype" w:eastAsia="Palatino Linotype" w:hAnsi="Palatino Linotype" w:cs="Palatino Linotype"/>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El SUJETO OBLIGADO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54C16" w:rsidRPr="00021080" w:rsidTr="00021080">
        <w:tc>
          <w:tcPr>
            <w:tcW w:w="2830" w:type="dxa"/>
          </w:tcPr>
          <w:p w:rsidR="00954C16" w:rsidRPr="00021080" w:rsidRDefault="00954C16" w:rsidP="00021080">
            <w:pPr>
              <w:spacing w:line="360" w:lineRule="auto"/>
              <w:ind w:right="267"/>
              <w:rPr>
                <w:rFonts w:ascii="Palatino Linotype" w:eastAsia="Palatino Linotype" w:hAnsi="Palatino Linotype" w:cs="Palatino Linotype"/>
              </w:rPr>
            </w:pPr>
            <w:r w:rsidRPr="00021080">
              <w:rPr>
                <w:rFonts w:ascii="Palatino Linotype" w:eastAsia="Palatino Linotype" w:hAnsi="Palatino Linotype" w:cs="Palatino Linotype"/>
              </w:rPr>
              <w:lastRenderedPageBreak/>
              <w:t>c) Formalidades para emitir el acuerdo de clasificación.</w:t>
            </w:r>
          </w:p>
        </w:tc>
        <w:tc>
          <w:tcPr>
            <w:tcW w:w="7495" w:type="dxa"/>
          </w:tcPr>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Es necesario que </w:t>
            </w:r>
            <w:r w:rsidRPr="00021080">
              <w:rPr>
                <w:rFonts w:ascii="Palatino Linotype" w:eastAsia="Palatino Linotype" w:hAnsi="Palatino Linotype" w:cs="Palatino Linotype"/>
                <w:u w:val="single"/>
              </w:rPr>
              <w:t>el acto reúna con los requisitos elementales</w:t>
            </w:r>
            <w:r w:rsidRPr="00021080">
              <w:rPr>
                <w:rFonts w:ascii="Palatino Linotype" w:eastAsia="Palatino Linotype" w:hAnsi="Palatino Linotype" w:cs="Palatino Linotype"/>
              </w:rPr>
              <w:t>, entre ellos, que la autoridad que va a emitir el acto de autoridad sea la legalmente facultada para ello.</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w:t>
            </w:r>
            <w:r w:rsidRPr="00021080">
              <w:rPr>
                <w:rFonts w:ascii="Palatino Linotype" w:eastAsia="Palatino Linotype" w:hAnsi="Palatino Linotype" w:cs="Palatino Linotype"/>
              </w:rPr>
              <w:lastRenderedPageBreak/>
              <w:t>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54C16" w:rsidRPr="00021080" w:rsidTr="00021080">
        <w:tc>
          <w:tcPr>
            <w:tcW w:w="2830" w:type="dxa"/>
          </w:tcPr>
          <w:p w:rsidR="00954C16" w:rsidRPr="00021080" w:rsidRDefault="00954C16" w:rsidP="00021080">
            <w:pPr>
              <w:spacing w:line="360" w:lineRule="auto"/>
              <w:ind w:right="267"/>
              <w:rPr>
                <w:rFonts w:ascii="Palatino Linotype" w:eastAsia="Palatino Linotype" w:hAnsi="Palatino Linotype" w:cs="Palatino Linotype"/>
              </w:rPr>
            </w:pP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d) Requisitos de fondo del acuerdo de clasificación. </w:t>
            </w:r>
          </w:p>
        </w:tc>
        <w:tc>
          <w:tcPr>
            <w:tcW w:w="7495" w:type="dxa"/>
          </w:tcPr>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Sujetos Obligados, por lo que deberán fundar y motivar debidamente la clasificación. </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Así, en un acto de autoridad se cumple con la debida fundamentación cuando se cita el precepto legal aplicable al caso concreto y la debida motivación cuando se expresan las razones, </w:t>
            </w:r>
            <w:r w:rsidRPr="00021080">
              <w:rPr>
                <w:rFonts w:ascii="Palatino Linotype" w:eastAsia="Palatino Linotype" w:hAnsi="Palatino Linotype" w:cs="Palatino Linotype"/>
              </w:rPr>
              <w:lastRenderedPageBreak/>
              <w:t>motivos o circunstancias que tomó en cuenta la autoridad para adecuar el hecho a los fundamentos de derecho. De este modo, la persona que se sienta afectada pueda impugnar la decisión, permitiéndole una real y auténtica defensa.</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Ahora bien, </w:t>
            </w:r>
            <w:r w:rsidRPr="00021080">
              <w:rPr>
                <w:rFonts w:ascii="Palatino Linotype" w:eastAsia="Palatino Linotype" w:hAnsi="Palatino Linotype" w:cs="Palatino Linotype"/>
                <w:u w:val="single"/>
              </w:rPr>
              <w:t>para cada caso además de fundar y motivar</w:t>
            </w:r>
            <w:r w:rsidRPr="00021080">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54C16" w:rsidRPr="00021080" w:rsidTr="00021080">
        <w:tc>
          <w:tcPr>
            <w:tcW w:w="2830" w:type="dxa"/>
          </w:tcPr>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lastRenderedPageBreak/>
              <w:t xml:space="preserve">e) Condiciones especiales de la clasificación de la información como confidencial. </w:t>
            </w:r>
          </w:p>
          <w:p w:rsidR="00954C16" w:rsidRPr="00021080" w:rsidRDefault="00954C16" w:rsidP="00021080">
            <w:pPr>
              <w:spacing w:line="360" w:lineRule="auto"/>
              <w:ind w:right="267"/>
              <w:rPr>
                <w:rFonts w:ascii="Palatino Linotype" w:eastAsia="Palatino Linotype" w:hAnsi="Palatino Linotype" w:cs="Palatino Linotype"/>
              </w:rPr>
            </w:pPr>
          </w:p>
        </w:tc>
        <w:tc>
          <w:tcPr>
            <w:tcW w:w="7495" w:type="dxa"/>
          </w:tcPr>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954C16" w:rsidRPr="00021080" w:rsidRDefault="00954C16" w:rsidP="00021080">
            <w:pPr>
              <w:spacing w:line="360" w:lineRule="auto"/>
              <w:ind w:right="267"/>
              <w:jc w:val="both"/>
              <w:rPr>
                <w:rFonts w:ascii="Palatino Linotype" w:eastAsia="Palatino Linotype" w:hAnsi="Palatino Linotype" w:cs="Palatino Linotype"/>
              </w:rPr>
            </w:pPr>
            <w:r w:rsidRPr="00021080">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w:t>
            </w:r>
            <w:r w:rsidRPr="00021080">
              <w:rPr>
                <w:rFonts w:ascii="Palatino Linotype" w:eastAsia="Palatino Linotype" w:hAnsi="Palatino Linotype" w:cs="Palatino Linotype"/>
              </w:rPr>
              <w:lastRenderedPageBreak/>
              <w:t xml:space="preserve">de la Nación, los servidores públicos nos encontramos sujetos a un régimen menor de protección. </w:t>
            </w:r>
          </w:p>
          <w:p w:rsidR="00954C16" w:rsidRPr="00021080" w:rsidRDefault="00954C16" w:rsidP="00021080">
            <w:pPr>
              <w:spacing w:line="360" w:lineRule="auto"/>
              <w:ind w:right="267"/>
              <w:rPr>
                <w:rFonts w:ascii="Palatino Linotype" w:eastAsia="Palatino Linotype" w:hAnsi="Palatino Linotype" w:cs="Palatino Linotype"/>
              </w:rPr>
            </w:pPr>
            <w:r w:rsidRPr="00021080">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54C16" w:rsidRPr="00021080" w:rsidRDefault="00954C16" w:rsidP="00954C16">
      <w:pPr>
        <w:spacing w:line="360" w:lineRule="auto"/>
        <w:ind w:right="49"/>
        <w:jc w:val="both"/>
        <w:rPr>
          <w:rFonts w:ascii="Palatino Linotype" w:eastAsia="Palatino Linotype" w:hAnsi="Palatino Linotype" w:cs="Palatino Linotype"/>
        </w:rPr>
      </w:pPr>
    </w:p>
    <w:p w:rsidR="008676E8" w:rsidRPr="00021080" w:rsidRDefault="008676E8" w:rsidP="008676E8">
      <w:pPr>
        <w:pStyle w:val="Prrafodelista"/>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hAnsi="Palatino Linotype"/>
          <w:color w:val="222222"/>
        </w:rPr>
        <w:t>Por otro lado, de manera enunciativa mas no limitativas, dentro de los elementos que integran los recibos de nómina se pueden encontrar los siguientes:</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Clave Única de Registro de Población (CURP);</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Número de ISSEMyM;</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Número de empleado;</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Registro Federal de Contribuyentes (RFC);</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Número de Serie del CSD del SAT;</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Número de Serie del CDS del emisor;</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Serie y folio;</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Firma;</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Código QR;</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Sello Digital del Contribuyente; y</w:t>
      </w:r>
    </w:p>
    <w:p w:rsidR="008676E8" w:rsidRPr="00021080" w:rsidRDefault="008676E8" w:rsidP="008676E8">
      <w:pPr>
        <w:pStyle w:val="Prrafodelista"/>
        <w:numPr>
          <w:ilvl w:val="0"/>
          <w:numId w:val="1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000000"/>
        </w:rPr>
        <w:t>Sello Digital del SAT.</w:t>
      </w:r>
    </w:p>
    <w:p w:rsidR="008676E8" w:rsidRPr="00021080" w:rsidRDefault="008676E8" w:rsidP="008676E8">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8676E8" w:rsidRPr="00021080" w:rsidRDefault="008676E8" w:rsidP="008676E8">
      <w:pPr>
        <w:pStyle w:val="Ttulo3"/>
        <w:numPr>
          <w:ilvl w:val="0"/>
          <w:numId w:val="14"/>
        </w:numPr>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lastRenderedPageBreak/>
        <w:t>Clave Única de Registro de Población (CURP).</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Entre las características de la CURP, se encuentra: </w:t>
      </w:r>
    </w:p>
    <w:p w:rsidR="008676E8" w:rsidRPr="00021080" w:rsidRDefault="008676E8" w:rsidP="008676E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21080">
        <w:rPr>
          <w:rFonts w:ascii="Palatino Linotype" w:eastAsia="Palatino Linotype" w:hAnsi="Palatino Linotype" w:cs="Palatino Linotype"/>
          <w:b/>
        </w:rPr>
        <w:t xml:space="preserve">Composición. </w:t>
      </w:r>
      <w:r w:rsidRPr="00021080">
        <w:rPr>
          <w:rFonts w:ascii="Palatino Linotype" w:eastAsia="Palatino Linotype" w:hAnsi="Palatino Linotype" w:cs="Palatino Linotype"/>
        </w:rPr>
        <w:t>Alfanumérica.</w:t>
      </w:r>
    </w:p>
    <w:p w:rsidR="008676E8" w:rsidRPr="00021080" w:rsidRDefault="008676E8" w:rsidP="008676E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21080">
        <w:rPr>
          <w:rFonts w:ascii="Palatino Linotype" w:eastAsia="Palatino Linotype" w:hAnsi="Palatino Linotype" w:cs="Palatino Linotype"/>
          <w:b/>
        </w:rPr>
        <w:t xml:space="preserve">Longitud. </w:t>
      </w:r>
      <w:r w:rsidRPr="00021080">
        <w:rPr>
          <w:rFonts w:ascii="Palatino Linotype" w:eastAsia="Palatino Linotype" w:hAnsi="Palatino Linotype" w:cs="Palatino Linotype"/>
        </w:rPr>
        <w:t xml:space="preserve"> 18 caracteres.</w:t>
      </w:r>
    </w:p>
    <w:p w:rsidR="008676E8" w:rsidRPr="00021080" w:rsidRDefault="008676E8" w:rsidP="008676E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21080">
        <w:rPr>
          <w:rFonts w:ascii="Palatino Linotype" w:eastAsia="Palatino Linotype" w:hAnsi="Palatino Linotype" w:cs="Palatino Linotype"/>
          <w:b/>
        </w:rPr>
        <w:t xml:space="preserve">Naturaleza. </w:t>
      </w:r>
      <w:r w:rsidRPr="00021080">
        <w:rPr>
          <w:rFonts w:ascii="Palatino Linotype" w:eastAsia="Palatino Linotype" w:hAnsi="Palatino Linotype" w:cs="Palatino Linotype"/>
        </w:rPr>
        <w:t>Biunívoca.</w:t>
      </w:r>
    </w:p>
    <w:p w:rsidR="008676E8" w:rsidRPr="00021080" w:rsidRDefault="008676E8" w:rsidP="008676E8">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21080">
        <w:rPr>
          <w:rFonts w:ascii="Palatino Linotype" w:eastAsia="Palatino Linotype" w:hAnsi="Palatino Linotype" w:cs="Palatino Linotype"/>
          <w:b/>
        </w:rPr>
        <w:t xml:space="preserve">Universalidad. </w:t>
      </w:r>
      <w:r w:rsidRPr="00021080">
        <w:rPr>
          <w:rFonts w:ascii="Palatino Linotype" w:eastAsia="Palatino Linotype" w:hAnsi="Palatino Linotype" w:cs="Palatino Linotype"/>
        </w:rPr>
        <w:t>Se asigna a todas las personas que conforman la población.</w:t>
      </w:r>
    </w:p>
    <w:p w:rsidR="008676E8" w:rsidRPr="00021080" w:rsidRDefault="008676E8" w:rsidP="008676E8">
      <w:pPr>
        <w:pStyle w:val="Prrafodelista"/>
        <w:tabs>
          <w:tab w:val="left" w:pos="426"/>
          <w:tab w:val="left" w:pos="567"/>
        </w:tabs>
        <w:spacing w:line="360" w:lineRule="auto"/>
        <w:ind w:left="851" w:right="567"/>
        <w:jc w:val="both"/>
        <w:rPr>
          <w:rFonts w:ascii="Palatino Linotype" w:eastAsia="Palatino Linotype" w:hAnsi="Palatino Linotype" w:cs="Palatino Linotype"/>
          <w:b/>
        </w:rPr>
      </w:pPr>
      <w:r w:rsidRPr="00021080">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lastRenderedPageBreak/>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8676E8" w:rsidRPr="00021080" w:rsidRDefault="008676E8" w:rsidP="008676E8">
      <w:pPr>
        <w:pStyle w:val="Prrafodelista"/>
        <w:pBdr>
          <w:top w:val="nil"/>
          <w:left w:val="nil"/>
          <w:bottom w:val="nil"/>
          <w:right w:val="nil"/>
          <w:between w:val="nil"/>
        </w:pBdr>
        <w:tabs>
          <w:tab w:val="left" w:pos="1134"/>
        </w:tabs>
        <w:spacing w:line="360" w:lineRule="auto"/>
        <w:ind w:left="851" w:right="822"/>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i/>
          <w:color w:val="000000"/>
        </w:rPr>
        <w:t>“</w:t>
      </w:r>
      <w:r w:rsidRPr="00021080">
        <w:rPr>
          <w:rFonts w:ascii="Palatino Linotype" w:eastAsia="Palatino Linotype" w:hAnsi="Palatino Linotype" w:cs="Palatino Linotype"/>
          <w:b/>
          <w:i/>
          <w:color w:val="000000"/>
        </w:rPr>
        <w:t xml:space="preserve">Clave Única de Registro de Población (CURP). </w:t>
      </w:r>
      <w:r w:rsidRPr="00021080">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rsidR="008676E8" w:rsidRPr="00021080" w:rsidRDefault="008676E8" w:rsidP="008676E8">
      <w:pPr>
        <w:pStyle w:val="Prrafodelista"/>
        <w:pBdr>
          <w:top w:val="nil"/>
          <w:left w:val="nil"/>
          <w:bottom w:val="nil"/>
          <w:right w:val="nil"/>
          <w:between w:val="nil"/>
        </w:pBdr>
        <w:tabs>
          <w:tab w:val="left" w:pos="567"/>
        </w:tabs>
        <w:spacing w:line="360" w:lineRule="auto"/>
        <w:ind w:left="0"/>
        <w:jc w:val="both"/>
        <w:rPr>
          <w:rFonts w:ascii="Palatino Linotype" w:eastAsia="Palatino Linotype" w:hAnsi="Palatino Linotype" w:cs="Palatino Linotype"/>
          <w:color w:val="000000"/>
        </w:rPr>
      </w:pPr>
    </w:p>
    <w:p w:rsidR="008676E8" w:rsidRPr="00021080" w:rsidRDefault="008676E8" w:rsidP="008676E8">
      <w:pPr>
        <w:pStyle w:val="Ttulo3"/>
        <w:numPr>
          <w:ilvl w:val="0"/>
          <w:numId w:val="15"/>
        </w:numPr>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Clave ISSEMyM</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El Instituto de Seguridad Social del Estado de México y Municipios (ISSEMYM) es el organismo público encargado de proporcionar los servicios de seguridad social a los servidores </w:t>
      </w:r>
      <w:r w:rsidRPr="00021080">
        <w:rPr>
          <w:rFonts w:ascii="Palatino Linotype" w:eastAsia="Palatino Linotype" w:hAnsi="Palatino Linotype" w:cs="Palatino Linotype"/>
          <w:color w:val="000000"/>
        </w:rPr>
        <w:lastRenderedPageBreak/>
        <w:t>públicos del Estado de México, con el objetivo de garantizar a los derechohabientes el acceso a las prestaciones que otorga, de conformidad con el artículo 14 de la Ley de Seguridad Social para los Servidores Públicos del Estado de México y Municipios.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8676E8" w:rsidRPr="00021080" w:rsidRDefault="008676E8" w:rsidP="008676E8">
      <w:pPr>
        <w:pStyle w:val="Ttulo3"/>
        <w:numPr>
          <w:ilvl w:val="0"/>
          <w:numId w:val="15"/>
        </w:numPr>
        <w:ind w:left="0" w:firstLine="0"/>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Número de empleado.</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El número de empleado de los servidores públicos del Ayuntamiento son asignados por el Departamento de Recursos Humanos o equivalente y se trata de un código identificador para </w:t>
      </w:r>
      <w:r w:rsidRPr="00021080">
        <w:rPr>
          <w:rFonts w:ascii="Palatino Linotype" w:eastAsia="Palatino Linotype" w:hAnsi="Palatino Linotype" w:cs="Palatino Linotype"/>
          <w:color w:val="000000"/>
        </w:rPr>
        <w:lastRenderedPageBreak/>
        <w:t>uso exclusivo del empleado que, de vincularse y relacionarse al RFC lo hace identificable plenamente y, con los mismos se puede tener acceso a diversa información, inclusive con sus datos personales.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8676E8" w:rsidRPr="00021080" w:rsidRDefault="008676E8" w:rsidP="008676E8">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b/>
          <w:i/>
          <w:color w:val="000000"/>
        </w:rPr>
        <w:t>Número de empleado.</w:t>
      </w:r>
      <w:r w:rsidRPr="00021080">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8676E8" w:rsidRPr="00021080" w:rsidRDefault="008676E8" w:rsidP="008676E8">
      <w:pPr>
        <w:pStyle w:val="Prrafodelista"/>
        <w:numPr>
          <w:ilvl w:val="0"/>
          <w:numId w:val="1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b/>
          <w:color w:val="000000"/>
        </w:rPr>
        <w:t>Registro Federal de Contribuyentes (RFC)</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lastRenderedPageBreak/>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8676E8" w:rsidRPr="00021080" w:rsidRDefault="008676E8" w:rsidP="008676E8">
      <w:pPr>
        <w:pStyle w:val="Prrafodelista"/>
        <w:spacing w:line="360" w:lineRule="auto"/>
        <w:ind w:left="851"/>
        <w:jc w:val="both"/>
        <w:rPr>
          <w:rFonts w:ascii="Palatino Linotype" w:eastAsia="Palatino Linotype" w:hAnsi="Palatino Linotype" w:cs="Palatino Linotype"/>
          <w:b/>
          <w:i/>
        </w:rPr>
      </w:pPr>
      <w:r w:rsidRPr="00021080">
        <w:rPr>
          <w:rFonts w:ascii="Palatino Linotype" w:eastAsia="Palatino Linotype" w:hAnsi="Palatino Linotype" w:cs="Palatino Linotype"/>
          <w:b/>
          <w:i/>
        </w:rPr>
        <w:t xml:space="preserve">Registro Federal de Contribuyentes (RFC) de personas físicas. </w:t>
      </w:r>
    </w:p>
    <w:p w:rsidR="008676E8" w:rsidRPr="00021080" w:rsidRDefault="008676E8" w:rsidP="008676E8">
      <w:pPr>
        <w:pStyle w:val="Prrafodelista"/>
        <w:pBdr>
          <w:top w:val="nil"/>
          <w:left w:val="nil"/>
          <w:bottom w:val="nil"/>
          <w:right w:val="nil"/>
          <w:between w:val="nil"/>
        </w:pBdr>
        <w:spacing w:line="360" w:lineRule="auto"/>
        <w:ind w:left="851" w:right="567"/>
        <w:jc w:val="both"/>
        <w:rPr>
          <w:rFonts w:ascii="Palatino Linotype" w:eastAsia="Palatino Linotype" w:hAnsi="Palatino Linotype" w:cs="Palatino Linotype"/>
          <w:i/>
          <w:color w:val="000000"/>
        </w:rPr>
      </w:pPr>
      <w:r w:rsidRPr="00021080">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b/>
          <w:color w:val="000000"/>
        </w:rPr>
        <w:lastRenderedPageBreak/>
        <w:t>De tal suerte, el Registro Federal de Contribuyentes de las personas físicas no guarda relación con la transparencia de los recursos públicos</w:t>
      </w:r>
      <w:r w:rsidRPr="00021080">
        <w:rPr>
          <w:rFonts w:ascii="Palatino Linotype" w:eastAsia="Palatino Linotype" w:hAnsi="Palatino Linotype" w:cs="Palatino Linotype"/>
          <w:color w:val="000000"/>
        </w:rPr>
        <w:t>, así como tampoco con el desempeño laboral que pueda tener una persona.</w:t>
      </w:r>
    </w:p>
    <w:p w:rsidR="008676E8" w:rsidRPr="00021080" w:rsidRDefault="008676E8" w:rsidP="008676E8">
      <w:pPr>
        <w:pStyle w:val="Ttulo3"/>
        <w:numPr>
          <w:ilvl w:val="0"/>
          <w:numId w:val="15"/>
        </w:numPr>
        <w:ind w:left="0" w:firstLine="0"/>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Deducciones personales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021080">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021080">
        <w:rPr>
          <w:rFonts w:ascii="Palatino Linotype" w:eastAsia="Palatino Linotype" w:hAnsi="Palatino Linotype" w:cs="Palatino Linotype"/>
          <w:color w:val="000000"/>
        </w:rPr>
        <w:t>, seguro de vida, accidentes y enfermedades.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11" w:name="_heading=h.1ksv4uv" w:colFirst="0" w:colLast="0"/>
      <w:bookmarkEnd w:id="11"/>
    </w:p>
    <w:p w:rsidR="00021080" w:rsidRPr="00021080" w:rsidRDefault="00021080" w:rsidP="00021080">
      <w:pPr>
        <w:shd w:val="clear" w:color="auto" w:fill="FFFFFF"/>
        <w:spacing w:before="240" w:after="240" w:line="360" w:lineRule="auto"/>
        <w:jc w:val="both"/>
        <w:rPr>
          <w:rFonts w:ascii="Palatino Linotype" w:hAnsi="Palatino Linotype"/>
          <w:color w:val="222222"/>
        </w:rPr>
      </w:pPr>
    </w:p>
    <w:p w:rsidR="008676E8" w:rsidRPr="00021080" w:rsidRDefault="008676E8" w:rsidP="008676E8">
      <w:pPr>
        <w:pStyle w:val="Prrafodelista"/>
        <w:numPr>
          <w:ilvl w:val="0"/>
          <w:numId w:val="16"/>
        </w:numPr>
        <w:spacing w:line="360" w:lineRule="auto"/>
        <w:ind w:left="0" w:firstLine="0"/>
        <w:jc w:val="both"/>
        <w:rPr>
          <w:rFonts w:ascii="Palatino Linotype" w:hAnsi="Palatino Linotype" w:cs="Arial"/>
          <w:b/>
        </w:rPr>
      </w:pPr>
      <w:r w:rsidRPr="00021080">
        <w:rPr>
          <w:rFonts w:ascii="Palatino Linotype" w:hAnsi="Palatino Linotype" w:cs="Arial"/>
          <w:b/>
        </w:rPr>
        <w:lastRenderedPageBreak/>
        <w:t>Deducciones que no son personales.</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hAnsi="Palatino Linotype" w:cs="Arial"/>
        </w:rPr>
        <w:t>La Ley del Trabajo de los Servidores Públicos del Estado y Municipios</w:t>
      </w:r>
      <w:r w:rsidRPr="00021080">
        <w:rPr>
          <w:rStyle w:val="Refdenotaalpie"/>
          <w:rFonts w:ascii="Palatino Linotype" w:hAnsi="Palatino Linotype" w:cs="Arial"/>
        </w:rPr>
        <w:footnoteReference w:id="1"/>
      </w:r>
      <w:r w:rsidRPr="00021080">
        <w:rPr>
          <w:rFonts w:ascii="Palatino Linotype" w:hAnsi="Palatino Linotype" w:cs="Arial"/>
        </w:rPr>
        <w:t xml:space="preserve"> en el artículo 84 establece lo siguiente:</w:t>
      </w:r>
    </w:p>
    <w:p w:rsidR="008676E8" w:rsidRPr="00021080" w:rsidRDefault="008676E8" w:rsidP="008676E8">
      <w:pPr>
        <w:pStyle w:val="Prrafodelista"/>
        <w:spacing w:line="360" w:lineRule="auto"/>
        <w:ind w:left="851" w:right="822"/>
        <w:jc w:val="both"/>
        <w:rPr>
          <w:rFonts w:ascii="Palatino Linotype" w:hAnsi="Palatino Linotype"/>
          <w:i/>
        </w:rPr>
      </w:pPr>
      <w:r w:rsidRPr="00021080">
        <w:rPr>
          <w:rFonts w:ascii="Palatino Linotype" w:hAnsi="Palatino Linotype"/>
          <w:i/>
        </w:rPr>
        <w:t xml:space="preserve">ARTÍCULO 84. Sólo podrán hacerse retenciones, descuentos o deducciones al sueldo de los servidores públicos por concepto de: </w:t>
      </w:r>
    </w:p>
    <w:p w:rsidR="008676E8" w:rsidRPr="00021080" w:rsidRDefault="008676E8" w:rsidP="008676E8">
      <w:pPr>
        <w:pStyle w:val="Prrafodelista"/>
        <w:spacing w:line="360" w:lineRule="auto"/>
        <w:ind w:left="851" w:right="822"/>
        <w:jc w:val="both"/>
        <w:rPr>
          <w:rFonts w:ascii="Palatino Linotype" w:hAnsi="Palatino Linotype"/>
          <w:b/>
          <w:i/>
        </w:rPr>
      </w:pPr>
      <w:r w:rsidRPr="00021080">
        <w:rPr>
          <w:rFonts w:ascii="Palatino Linotype" w:hAnsi="Palatino Linotype"/>
          <w:b/>
          <w:i/>
        </w:rPr>
        <w:t>I. Gravámenes fiscales relacionados con el sueldo;</w:t>
      </w:r>
    </w:p>
    <w:p w:rsidR="008676E8" w:rsidRPr="00021080" w:rsidRDefault="008676E8" w:rsidP="008676E8">
      <w:pPr>
        <w:pStyle w:val="Prrafodelista"/>
        <w:spacing w:line="360" w:lineRule="auto"/>
        <w:ind w:left="851" w:right="822"/>
        <w:jc w:val="both"/>
        <w:rPr>
          <w:rFonts w:ascii="Palatino Linotype" w:hAnsi="Palatino Linotype"/>
          <w:i/>
        </w:rPr>
      </w:pPr>
      <w:r w:rsidRPr="00021080">
        <w:rPr>
          <w:rFonts w:ascii="Palatino Linotype" w:hAnsi="Palatino Linotype"/>
          <w:i/>
        </w:rPr>
        <w:t xml:space="preserve">II. Deudas contraídas con las instituciones públicas o dependencias por concepto de anticipos de sueldo, pagos hechos con exceso, errores o pérdidas debidamente comprobados; </w:t>
      </w:r>
    </w:p>
    <w:p w:rsidR="008676E8" w:rsidRPr="00021080" w:rsidRDefault="008676E8" w:rsidP="008676E8">
      <w:pPr>
        <w:pStyle w:val="Prrafodelista"/>
        <w:spacing w:line="360" w:lineRule="auto"/>
        <w:ind w:left="851" w:right="822"/>
        <w:jc w:val="both"/>
        <w:rPr>
          <w:rFonts w:ascii="Palatino Linotype" w:hAnsi="Palatino Linotype"/>
          <w:i/>
        </w:rPr>
      </w:pPr>
      <w:r w:rsidRPr="00021080">
        <w:rPr>
          <w:rFonts w:ascii="Palatino Linotype" w:hAnsi="Palatino Linotype"/>
          <w:i/>
        </w:rPr>
        <w:t xml:space="preserve">III. Cuotas sindicales; </w:t>
      </w:r>
    </w:p>
    <w:p w:rsidR="008676E8" w:rsidRPr="00021080" w:rsidRDefault="008676E8" w:rsidP="008676E8">
      <w:pPr>
        <w:pStyle w:val="Prrafodelista"/>
        <w:spacing w:line="360" w:lineRule="auto"/>
        <w:ind w:left="851" w:right="822"/>
        <w:jc w:val="both"/>
        <w:rPr>
          <w:rFonts w:ascii="Palatino Linotype" w:hAnsi="Palatino Linotype"/>
          <w:b/>
          <w:i/>
        </w:rPr>
      </w:pPr>
      <w:r w:rsidRPr="00021080">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rsidR="008676E8" w:rsidRPr="00021080" w:rsidRDefault="008676E8" w:rsidP="008676E8">
      <w:pPr>
        <w:pStyle w:val="Prrafodelista"/>
        <w:spacing w:line="360" w:lineRule="auto"/>
        <w:ind w:left="851" w:right="822"/>
        <w:jc w:val="both"/>
        <w:rPr>
          <w:rFonts w:ascii="Palatino Linotype" w:hAnsi="Palatino Linotype"/>
          <w:b/>
          <w:i/>
        </w:rPr>
      </w:pPr>
      <w:r w:rsidRPr="00021080">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rsidR="008676E8" w:rsidRPr="00021080" w:rsidRDefault="008676E8" w:rsidP="008676E8">
      <w:pPr>
        <w:pStyle w:val="Prrafodelista"/>
        <w:spacing w:line="360" w:lineRule="auto"/>
        <w:ind w:left="851" w:right="822"/>
        <w:jc w:val="both"/>
        <w:rPr>
          <w:rFonts w:ascii="Palatino Linotype" w:hAnsi="Palatino Linotype"/>
          <w:i/>
        </w:rPr>
      </w:pPr>
      <w:r w:rsidRPr="00021080">
        <w:rPr>
          <w:rFonts w:ascii="Palatino Linotype" w:hAnsi="Palatino Linotype"/>
          <w:i/>
        </w:rPr>
        <w:t xml:space="preserve">VI. Obligaciones a cargo del servidor público con las que haya consentido, derivadas de la adquisición o del uso de habitaciones consideradas como de interés social; </w:t>
      </w:r>
    </w:p>
    <w:p w:rsidR="008676E8" w:rsidRPr="00021080" w:rsidRDefault="008676E8" w:rsidP="008676E8">
      <w:pPr>
        <w:pStyle w:val="Prrafodelista"/>
        <w:spacing w:line="360" w:lineRule="auto"/>
        <w:ind w:left="851" w:right="822"/>
        <w:jc w:val="both"/>
        <w:rPr>
          <w:rFonts w:ascii="Palatino Linotype" w:hAnsi="Palatino Linotype"/>
          <w:i/>
        </w:rPr>
      </w:pPr>
      <w:r w:rsidRPr="00021080">
        <w:rPr>
          <w:rFonts w:ascii="Palatino Linotype" w:hAnsi="Palatino Linotype"/>
          <w:i/>
        </w:rPr>
        <w:t xml:space="preserve">VII. Faltas de puntualidad o de asistencia injustificadas; </w:t>
      </w:r>
    </w:p>
    <w:p w:rsidR="008676E8" w:rsidRPr="00021080" w:rsidRDefault="008676E8" w:rsidP="008676E8">
      <w:pPr>
        <w:pStyle w:val="Prrafodelista"/>
        <w:spacing w:line="360" w:lineRule="auto"/>
        <w:ind w:left="851" w:right="822"/>
        <w:jc w:val="both"/>
        <w:rPr>
          <w:rFonts w:ascii="Palatino Linotype" w:hAnsi="Palatino Linotype"/>
          <w:i/>
        </w:rPr>
      </w:pPr>
      <w:r w:rsidRPr="00021080">
        <w:rPr>
          <w:rFonts w:ascii="Palatino Linotype" w:hAnsi="Palatino Linotype"/>
          <w:i/>
        </w:rPr>
        <w:t xml:space="preserve">VIII. Pensiones alimenticias ordenadas por la autoridad judicial; o </w:t>
      </w:r>
    </w:p>
    <w:p w:rsidR="008676E8" w:rsidRPr="00021080" w:rsidRDefault="008676E8" w:rsidP="008676E8">
      <w:pPr>
        <w:pStyle w:val="Prrafodelista"/>
        <w:spacing w:line="360" w:lineRule="auto"/>
        <w:ind w:left="851" w:right="822"/>
        <w:jc w:val="both"/>
        <w:rPr>
          <w:rFonts w:ascii="Palatino Linotype" w:hAnsi="Palatino Linotype"/>
          <w:i/>
        </w:rPr>
      </w:pPr>
      <w:r w:rsidRPr="00021080">
        <w:rPr>
          <w:rFonts w:ascii="Palatino Linotype" w:hAnsi="Palatino Linotype"/>
          <w:i/>
        </w:rPr>
        <w:lastRenderedPageBreak/>
        <w:t>IX. Cualquier otro convenido con instituciones de servicios y aceptado por el servidor público.</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hAnsi="Palatino Linotype" w:cs="Arial"/>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8676E8" w:rsidRPr="00021080" w:rsidRDefault="008676E8" w:rsidP="008676E8">
      <w:pPr>
        <w:pStyle w:val="Prrafodelista"/>
        <w:numPr>
          <w:ilvl w:val="0"/>
          <w:numId w:val="16"/>
        </w:numPr>
        <w:spacing w:line="360" w:lineRule="auto"/>
        <w:ind w:left="0" w:firstLine="0"/>
        <w:jc w:val="both"/>
        <w:rPr>
          <w:rFonts w:ascii="Palatino Linotype" w:hAnsi="Palatino Linotype" w:cs="Arial"/>
        </w:rPr>
      </w:pPr>
      <w:r w:rsidRPr="00021080">
        <w:rPr>
          <w:rFonts w:ascii="Palatino Linotype" w:hAnsi="Palatino Linotype" w:cs="Arial"/>
          <w:b/>
        </w:rPr>
        <w:t>Seguro de Capitalización Individualizado.</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hAnsi="Palatino Linotype" w:cs="Arial"/>
        </w:rPr>
        <w:t>El Sistema de Capitalización Individualizado es el mecanismo mediante el cual, un servidor público y la Institución en la que labora, acumulan recursos, adicionales a su pensión; mismo que se integra hasta por tres rubros, los cuales son los siguientes:</w:t>
      </w:r>
    </w:p>
    <w:p w:rsidR="008676E8" w:rsidRPr="00021080" w:rsidRDefault="008676E8" w:rsidP="008676E8">
      <w:pPr>
        <w:pStyle w:val="Prrafodelista"/>
        <w:spacing w:line="360" w:lineRule="auto"/>
        <w:jc w:val="both"/>
        <w:rPr>
          <w:rFonts w:ascii="Palatino Linotype" w:hAnsi="Palatino Linotype" w:cs="Arial"/>
        </w:rPr>
      </w:pPr>
      <w:r w:rsidRPr="00021080">
        <w:rPr>
          <w:rFonts w:ascii="Palatino Linotype" w:hAnsi="Palatino Linotype" w:cs="Arial"/>
        </w:rPr>
        <w:t>•</w:t>
      </w:r>
      <w:r w:rsidRPr="00021080">
        <w:rPr>
          <w:rFonts w:ascii="Palatino Linotype" w:hAnsi="Palatino Linotype" w:cs="Arial"/>
        </w:rPr>
        <w:tab/>
        <w:t>Subcuenta de cuota obligatoria; que corresponde a un porcentaje del sueldo sujeto a cotización, que se descuenta al servir público de manera automática.</w:t>
      </w:r>
    </w:p>
    <w:p w:rsidR="008676E8" w:rsidRPr="00021080" w:rsidRDefault="008676E8" w:rsidP="008676E8">
      <w:pPr>
        <w:pStyle w:val="Prrafodelista"/>
        <w:spacing w:line="360" w:lineRule="auto"/>
        <w:jc w:val="both"/>
        <w:rPr>
          <w:rFonts w:ascii="Palatino Linotype" w:hAnsi="Palatino Linotype" w:cs="Arial"/>
        </w:rPr>
      </w:pPr>
      <w:r w:rsidRPr="00021080">
        <w:rPr>
          <w:rFonts w:ascii="Palatino Linotype" w:hAnsi="Palatino Linotype" w:cs="Arial"/>
        </w:rPr>
        <w:t>•</w:t>
      </w:r>
      <w:r w:rsidRPr="00021080">
        <w:rPr>
          <w:rFonts w:ascii="Palatino Linotype" w:hAnsi="Palatino Linotype" w:cs="Arial"/>
        </w:rPr>
        <w:tab/>
        <w:t>Subcuenta de aportación obligatoria: que es la aportación que realiza la Institución a favor del servidor público, el cual equivale a un porcentaje del sueldo sujeto a cotización.</w:t>
      </w:r>
    </w:p>
    <w:p w:rsidR="008676E8" w:rsidRPr="00021080" w:rsidRDefault="008676E8" w:rsidP="008676E8">
      <w:pPr>
        <w:pStyle w:val="Prrafodelista"/>
        <w:spacing w:line="360" w:lineRule="auto"/>
        <w:jc w:val="both"/>
        <w:rPr>
          <w:rFonts w:ascii="Palatino Linotype" w:hAnsi="Palatino Linotype" w:cs="Arial"/>
        </w:rPr>
      </w:pPr>
      <w:r w:rsidRPr="00021080">
        <w:rPr>
          <w:rFonts w:ascii="Palatino Linotype" w:hAnsi="Palatino Linotype" w:cs="Arial"/>
        </w:rPr>
        <w:t>•</w:t>
      </w:r>
      <w:r w:rsidRPr="00021080">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rsidR="008676E8" w:rsidRPr="00021080" w:rsidRDefault="008676E8" w:rsidP="008676E8">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hAnsi="Palatino Linotype" w:cs="Arial"/>
        </w:rPr>
        <w:lastRenderedPageBreak/>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8676E8" w:rsidRPr="00021080" w:rsidRDefault="008676E8" w:rsidP="008676E8">
      <w:pPr>
        <w:pStyle w:val="Prrafodelista"/>
        <w:spacing w:line="360" w:lineRule="auto"/>
        <w:ind w:left="567" w:right="822"/>
        <w:jc w:val="both"/>
        <w:rPr>
          <w:rFonts w:ascii="Palatino Linotype" w:hAnsi="Palatino Linotype" w:cs="Arial"/>
          <w:i/>
        </w:rPr>
      </w:pPr>
      <w:r w:rsidRPr="00021080">
        <w:rPr>
          <w:rFonts w:ascii="Palatino Linotype" w:hAnsi="Palatino Linotype" w:cs="Arial"/>
          <w:i/>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w:t>
      </w:r>
      <w:r w:rsidRPr="00021080">
        <w:rPr>
          <w:rFonts w:ascii="Palatino Linotype" w:hAnsi="Palatino Linotype" w:cs="Arial"/>
          <w:i/>
        </w:rPr>
        <w:lastRenderedPageBreak/>
        <w:t>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021080">
        <w:rPr>
          <w:rFonts w:ascii="Palatino Linotype" w:hAnsi="Palatino Linotype" w:cs="Arial"/>
        </w:rPr>
        <w:t xml:space="preserve"> </w:t>
      </w:r>
    </w:p>
    <w:p w:rsidR="008676E8" w:rsidRPr="00021080" w:rsidRDefault="008676E8" w:rsidP="006E65D4">
      <w:pPr>
        <w:numPr>
          <w:ilvl w:val="0"/>
          <w:numId w:val="5"/>
        </w:numPr>
        <w:shd w:val="clear" w:color="auto" w:fill="FFFFFF"/>
        <w:spacing w:before="240" w:after="240" w:line="360" w:lineRule="auto"/>
        <w:ind w:left="0" w:firstLine="0"/>
        <w:jc w:val="both"/>
        <w:rPr>
          <w:rFonts w:ascii="Palatino Linotype" w:hAnsi="Palatino Linotype"/>
          <w:color w:val="222222"/>
        </w:rPr>
      </w:pPr>
      <w:r w:rsidRPr="00021080">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954C16" w:rsidRPr="00021080" w:rsidRDefault="00954C16" w:rsidP="00954C1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color w:val="222222"/>
        </w:rPr>
        <w:t xml:space="preserve">Por lo anteriormente expuesto y fundado, este </w:t>
      </w:r>
      <w:r w:rsidRPr="00021080">
        <w:rPr>
          <w:rFonts w:ascii="Palatino Linotype" w:eastAsia="Palatino Linotype" w:hAnsi="Palatino Linotype" w:cs="Palatino Linotype"/>
          <w:b/>
          <w:color w:val="222222"/>
        </w:rPr>
        <w:t>ÓRGANO GARANTE</w:t>
      </w:r>
      <w:r w:rsidRPr="00021080">
        <w:rPr>
          <w:rFonts w:ascii="Palatino Linotype" w:eastAsia="Palatino Linotype" w:hAnsi="Palatino Linotype" w:cs="Palatino Linotype"/>
          <w:color w:val="222222"/>
        </w:rPr>
        <w:t xml:space="preserve"> emite los siguientes: </w:t>
      </w:r>
      <w:r w:rsidR="00021080">
        <w:rPr>
          <w:rFonts w:ascii="Palatino Linotype" w:eastAsia="Palatino Linotype" w:hAnsi="Palatino Linotype" w:cs="Palatino Linotype"/>
          <w:color w:val="222222"/>
        </w:rPr>
        <w:t>--------------------------------------------------------------------------------------------------------------</w:t>
      </w:r>
    </w:p>
    <w:p w:rsidR="008676E8" w:rsidRPr="00021080" w:rsidRDefault="008676E8" w:rsidP="008676E8">
      <w:pPr>
        <w:pStyle w:val="Prrafodelista"/>
        <w:rPr>
          <w:rFonts w:ascii="Palatino Linotype" w:eastAsia="Palatino Linotype" w:hAnsi="Palatino Linotype" w:cs="Palatino Linotype"/>
          <w:color w:val="000000"/>
        </w:rPr>
      </w:pPr>
    </w:p>
    <w:p w:rsidR="008676E8" w:rsidRPr="00021080" w:rsidRDefault="008676E8" w:rsidP="008676E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54C16" w:rsidRPr="00021080" w:rsidRDefault="00954C16" w:rsidP="00954C16">
      <w:pPr>
        <w:pStyle w:val="Ttulo1"/>
        <w:jc w:val="center"/>
        <w:rPr>
          <w:rFonts w:ascii="Palatino Linotype" w:eastAsia="Palatino Linotype" w:hAnsi="Palatino Linotype" w:cs="Palatino Linotype"/>
          <w:b/>
          <w:color w:val="000000"/>
          <w:sz w:val="24"/>
          <w:szCs w:val="24"/>
        </w:rPr>
      </w:pPr>
      <w:bookmarkStart w:id="12" w:name="_heading=h.17dp8vu" w:colFirst="0" w:colLast="0"/>
      <w:bookmarkEnd w:id="12"/>
      <w:r w:rsidRPr="00021080">
        <w:rPr>
          <w:rFonts w:ascii="Palatino Linotype" w:eastAsia="Palatino Linotype" w:hAnsi="Palatino Linotype" w:cs="Palatino Linotype"/>
          <w:b/>
          <w:color w:val="000000"/>
          <w:sz w:val="24"/>
          <w:szCs w:val="24"/>
        </w:rPr>
        <w:lastRenderedPageBreak/>
        <w:t>R E S O L U T I V O S</w:t>
      </w:r>
    </w:p>
    <w:p w:rsidR="00954C16" w:rsidRPr="00021080" w:rsidRDefault="00954C16" w:rsidP="00954C16">
      <w:pPr>
        <w:keepNext/>
        <w:keepLines/>
        <w:spacing w:line="360" w:lineRule="auto"/>
        <w:jc w:val="center"/>
        <w:rPr>
          <w:rFonts w:ascii="Palatino Linotype" w:eastAsia="Palatino Linotype" w:hAnsi="Palatino Linotype" w:cs="Palatino Linotype"/>
          <w:b/>
        </w:rPr>
      </w:pPr>
    </w:p>
    <w:p w:rsidR="00954C16" w:rsidRPr="00021080" w:rsidRDefault="00954C16" w:rsidP="00954C16">
      <w:pPr>
        <w:spacing w:line="360" w:lineRule="auto"/>
        <w:jc w:val="both"/>
        <w:rPr>
          <w:rFonts w:ascii="Palatino Linotype" w:eastAsia="Palatino Linotype" w:hAnsi="Palatino Linotype" w:cs="Palatino Linotype"/>
        </w:rPr>
      </w:pPr>
      <w:r w:rsidRPr="00021080">
        <w:rPr>
          <w:rFonts w:ascii="Palatino Linotype" w:eastAsia="Palatino Linotype" w:hAnsi="Palatino Linotype" w:cs="Palatino Linotype"/>
          <w:b/>
        </w:rPr>
        <w:t xml:space="preserve">PRIMERO. </w:t>
      </w:r>
      <w:r w:rsidR="008676E8" w:rsidRPr="00021080">
        <w:rPr>
          <w:rFonts w:ascii="Palatino Linotype" w:eastAsia="Palatino Linotype" w:hAnsi="Palatino Linotype" w:cs="Palatino Linotype"/>
        </w:rPr>
        <w:t>Resultan</w:t>
      </w:r>
      <w:r w:rsidRPr="00021080">
        <w:rPr>
          <w:rFonts w:ascii="Palatino Linotype" w:eastAsia="Palatino Linotype" w:hAnsi="Palatino Linotype" w:cs="Palatino Linotype"/>
        </w:rPr>
        <w:t xml:space="preserve"> fundadas las</w:t>
      </w:r>
      <w:r w:rsidRPr="00021080">
        <w:rPr>
          <w:rFonts w:ascii="Palatino Linotype" w:eastAsia="Palatino Linotype" w:hAnsi="Palatino Linotype" w:cs="Palatino Linotype"/>
          <w:b/>
        </w:rPr>
        <w:t xml:space="preserve"> </w:t>
      </w:r>
      <w:r w:rsidRPr="00021080">
        <w:rPr>
          <w:rFonts w:ascii="Palatino Linotype" w:eastAsia="Palatino Linotype" w:hAnsi="Palatino Linotype" w:cs="Palatino Linotype"/>
        </w:rPr>
        <w:t xml:space="preserve">razones o motivos de inconformidad hechos valer en los recursos de revisión </w:t>
      </w:r>
      <w:r w:rsidR="008676E8" w:rsidRPr="00021080">
        <w:rPr>
          <w:rFonts w:ascii="Palatino Linotype" w:eastAsia="Palatino Linotype" w:hAnsi="Palatino Linotype" w:cs="Palatino Linotype"/>
          <w:b/>
        </w:rPr>
        <w:t>04338/INFOEM/IP/RR/2026, 04339/INFOEM/IP/RR/2026 y 04343/INFOEM/IP/RR/2026</w:t>
      </w:r>
      <w:r w:rsidRPr="00021080">
        <w:rPr>
          <w:rFonts w:ascii="Palatino Linotype" w:eastAsia="Palatino Linotype" w:hAnsi="Palatino Linotype" w:cs="Palatino Linotype"/>
          <w:b/>
        </w:rPr>
        <w:t xml:space="preserve">, </w:t>
      </w:r>
      <w:r w:rsidRPr="00021080">
        <w:rPr>
          <w:rFonts w:ascii="Palatino Linotype" w:eastAsia="Palatino Linotype" w:hAnsi="Palatino Linotype" w:cs="Palatino Linotype"/>
        </w:rPr>
        <w:t>en términos de los</w:t>
      </w:r>
      <w:r w:rsidRPr="00021080">
        <w:rPr>
          <w:rFonts w:ascii="Palatino Linotype" w:eastAsia="Palatino Linotype" w:hAnsi="Palatino Linotype" w:cs="Palatino Linotype"/>
          <w:b/>
        </w:rPr>
        <w:t xml:space="preserve"> Considerandos</w:t>
      </w:r>
      <w:r w:rsidRPr="00021080">
        <w:rPr>
          <w:rFonts w:ascii="Palatino Linotype" w:eastAsia="Palatino Linotype" w:hAnsi="Palatino Linotype" w:cs="Palatino Linotype"/>
        </w:rPr>
        <w:t xml:space="preserve"> </w:t>
      </w:r>
      <w:r w:rsidRPr="00021080">
        <w:rPr>
          <w:rFonts w:ascii="Palatino Linotype" w:eastAsia="Palatino Linotype" w:hAnsi="Palatino Linotype" w:cs="Palatino Linotype"/>
          <w:b/>
        </w:rPr>
        <w:t xml:space="preserve">CUARTO </w:t>
      </w:r>
      <w:r w:rsidRPr="00021080">
        <w:rPr>
          <w:rFonts w:ascii="Palatino Linotype" w:eastAsia="Palatino Linotype" w:hAnsi="Palatino Linotype" w:cs="Palatino Linotype"/>
        </w:rPr>
        <w:t>y</w:t>
      </w:r>
      <w:r w:rsidRPr="00021080">
        <w:rPr>
          <w:rFonts w:ascii="Palatino Linotype" w:eastAsia="Palatino Linotype" w:hAnsi="Palatino Linotype" w:cs="Palatino Linotype"/>
          <w:b/>
        </w:rPr>
        <w:t xml:space="preserve"> QUINTO </w:t>
      </w:r>
      <w:r w:rsidRPr="00021080">
        <w:rPr>
          <w:rFonts w:ascii="Palatino Linotype" w:eastAsia="Palatino Linotype" w:hAnsi="Palatino Linotype" w:cs="Palatino Linotype"/>
        </w:rPr>
        <w:t>de la presente resolución.</w:t>
      </w:r>
    </w:p>
    <w:p w:rsidR="00954C16" w:rsidRPr="00021080" w:rsidRDefault="00954C16" w:rsidP="00954C16">
      <w:pPr>
        <w:spacing w:line="360" w:lineRule="auto"/>
        <w:jc w:val="both"/>
        <w:rPr>
          <w:rFonts w:ascii="Palatino Linotype" w:eastAsia="Palatino Linotype" w:hAnsi="Palatino Linotype" w:cs="Palatino Linotype"/>
          <w:b/>
        </w:rPr>
      </w:pPr>
    </w:p>
    <w:p w:rsidR="00954C16" w:rsidRPr="00021080" w:rsidRDefault="00954C16" w:rsidP="008676E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1080">
        <w:rPr>
          <w:rFonts w:ascii="Palatino Linotype" w:eastAsia="Palatino Linotype" w:hAnsi="Palatino Linotype" w:cs="Palatino Linotype"/>
          <w:b/>
          <w:color w:val="000000"/>
        </w:rPr>
        <w:t xml:space="preserve">SEGUNDO. </w:t>
      </w:r>
      <w:r w:rsidRPr="00021080">
        <w:rPr>
          <w:rFonts w:ascii="Palatino Linotype" w:eastAsia="Palatino Linotype" w:hAnsi="Palatino Linotype" w:cs="Palatino Linotype"/>
          <w:color w:val="000000"/>
        </w:rPr>
        <w:t xml:space="preserve">Se </w:t>
      </w:r>
      <w:r w:rsidRPr="00021080">
        <w:rPr>
          <w:rFonts w:ascii="Palatino Linotype" w:eastAsia="Palatino Linotype" w:hAnsi="Palatino Linotype" w:cs="Palatino Linotype"/>
          <w:b/>
          <w:color w:val="000000"/>
        </w:rPr>
        <w:t>REVOCAN</w:t>
      </w:r>
      <w:r w:rsidRPr="00021080">
        <w:rPr>
          <w:rFonts w:ascii="Palatino Linotype" w:eastAsia="Palatino Linotype" w:hAnsi="Palatino Linotype" w:cs="Palatino Linotype"/>
          <w:color w:val="000000"/>
        </w:rPr>
        <w:t xml:space="preserve"> las respuestas y se </w:t>
      </w:r>
      <w:r w:rsidRPr="00021080">
        <w:rPr>
          <w:rFonts w:ascii="Palatino Linotype" w:eastAsia="Palatino Linotype" w:hAnsi="Palatino Linotype" w:cs="Palatino Linotype"/>
          <w:b/>
          <w:color w:val="000000"/>
        </w:rPr>
        <w:t xml:space="preserve">ORDENA </w:t>
      </w:r>
      <w:r w:rsidRPr="00021080">
        <w:rPr>
          <w:rFonts w:ascii="Palatino Linotype" w:eastAsia="Palatino Linotype" w:hAnsi="Palatino Linotype" w:cs="Palatino Linotype"/>
          <w:color w:val="000000"/>
        </w:rPr>
        <w:t xml:space="preserve">al </w:t>
      </w:r>
      <w:r w:rsidRPr="00021080">
        <w:rPr>
          <w:rFonts w:ascii="Palatino Linotype" w:eastAsia="Palatino Linotype" w:hAnsi="Palatino Linotype" w:cs="Palatino Linotype"/>
          <w:b/>
          <w:color w:val="000000"/>
        </w:rPr>
        <w:t xml:space="preserve">Ayuntamiento de </w:t>
      </w:r>
      <w:r w:rsidR="008676E8" w:rsidRPr="00021080">
        <w:rPr>
          <w:rFonts w:ascii="Palatino Linotype" w:eastAsia="Palatino Linotype" w:hAnsi="Palatino Linotype" w:cs="Palatino Linotype"/>
          <w:b/>
          <w:color w:val="000000"/>
        </w:rPr>
        <w:t>Apaxco</w:t>
      </w:r>
      <w:r w:rsidRPr="00021080">
        <w:rPr>
          <w:rFonts w:ascii="Palatino Linotype" w:eastAsia="Palatino Linotype" w:hAnsi="Palatino Linotype" w:cs="Palatino Linotype"/>
          <w:color w:val="000000"/>
        </w:rPr>
        <w:t xml:space="preserve"> entregar, vía Sistema de Acceso a la Información Mexiquense (SAIMEX), de ser</w:t>
      </w:r>
      <w:r w:rsidR="008676E8" w:rsidRPr="00021080">
        <w:rPr>
          <w:rFonts w:ascii="Palatino Linotype" w:eastAsia="Palatino Linotype" w:hAnsi="Palatino Linotype" w:cs="Palatino Linotype"/>
          <w:color w:val="000000"/>
        </w:rPr>
        <w:t xml:space="preserve"> procedente en versión pública, la siguiente información:</w:t>
      </w:r>
    </w:p>
    <w:p w:rsidR="008676E8" w:rsidRPr="00021080" w:rsidRDefault="00DD235C" w:rsidP="008676E8">
      <w:pPr>
        <w:pStyle w:val="Prrafodelista"/>
        <w:numPr>
          <w:ilvl w:val="0"/>
          <w:numId w:val="1"/>
        </w:numPr>
        <w:pBdr>
          <w:top w:val="nil"/>
          <w:left w:val="nil"/>
          <w:bottom w:val="nil"/>
          <w:right w:val="nil"/>
          <w:between w:val="nil"/>
        </w:pBdr>
        <w:spacing w:before="240" w:line="360" w:lineRule="auto"/>
        <w:ind w:left="851" w:right="822" w:firstLine="0"/>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Soporte documental donde conste o se advierta el s</w:t>
      </w:r>
      <w:r w:rsidR="008676E8" w:rsidRPr="00021080">
        <w:rPr>
          <w:rFonts w:ascii="Palatino Linotype" w:eastAsia="Palatino Linotype" w:hAnsi="Palatino Linotype" w:cs="Palatino Linotype"/>
          <w:b/>
          <w:color w:val="000000"/>
        </w:rPr>
        <w:t>ueldo bruto y neto del titular de la Dirección del Sistema Municipal DIF, en el que se incluyan todas las percepciones, al seis de abril de dos mil veintiséis;</w:t>
      </w:r>
    </w:p>
    <w:p w:rsidR="008676E8" w:rsidRPr="00021080" w:rsidRDefault="00DD235C" w:rsidP="008676E8">
      <w:pPr>
        <w:pStyle w:val="Prrafodelista"/>
        <w:numPr>
          <w:ilvl w:val="0"/>
          <w:numId w:val="1"/>
        </w:numPr>
        <w:pBdr>
          <w:top w:val="nil"/>
          <w:left w:val="nil"/>
          <w:bottom w:val="nil"/>
          <w:right w:val="nil"/>
          <w:between w:val="nil"/>
        </w:pBdr>
        <w:spacing w:before="240" w:line="360" w:lineRule="auto"/>
        <w:ind w:left="851" w:right="822" w:firstLine="0"/>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Soporte documental donde conste o se advierta el s</w:t>
      </w:r>
      <w:r w:rsidR="008676E8" w:rsidRPr="00021080">
        <w:rPr>
          <w:rFonts w:ascii="Palatino Linotype" w:eastAsia="Palatino Linotype" w:hAnsi="Palatino Linotype" w:cs="Palatino Linotype"/>
          <w:b/>
          <w:color w:val="000000"/>
        </w:rPr>
        <w:t>ueldo bruto y neto de los coordinadores</w:t>
      </w:r>
      <w:r w:rsidR="00E53E23" w:rsidRPr="00021080">
        <w:rPr>
          <w:rFonts w:ascii="Palatino Linotype" w:eastAsia="Palatino Linotype" w:hAnsi="Palatino Linotype" w:cs="Palatino Linotype"/>
          <w:b/>
          <w:color w:val="000000"/>
        </w:rPr>
        <w:t xml:space="preserve"> del Sistema Municipal DIF</w:t>
      </w:r>
      <w:r w:rsidR="008676E8" w:rsidRPr="00021080">
        <w:rPr>
          <w:rFonts w:ascii="Palatino Linotype" w:eastAsia="Palatino Linotype" w:hAnsi="Palatino Linotype" w:cs="Palatino Linotype"/>
          <w:b/>
          <w:color w:val="000000"/>
        </w:rPr>
        <w:t>, en el que se incluyan percepciones y deducciones</w:t>
      </w:r>
      <w:r w:rsidR="00E53E23" w:rsidRPr="00021080">
        <w:rPr>
          <w:rFonts w:ascii="Palatino Linotype" w:eastAsia="Palatino Linotype" w:hAnsi="Palatino Linotype" w:cs="Palatino Linotype"/>
          <w:b/>
          <w:color w:val="000000"/>
        </w:rPr>
        <w:t>, al seis de abril de dos mil veintiséis</w:t>
      </w:r>
      <w:r w:rsidR="008676E8" w:rsidRPr="00021080">
        <w:rPr>
          <w:rFonts w:ascii="Palatino Linotype" w:eastAsia="Palatino Linotype" w:hAnsi="Palatino Linotype" w:cs="Palatino Linotype"/>
          <w:b/>
          <w:color w:val="000000"/>
        </w:rPr>
        <w:t>;</w:t>
      </w:r>
    </w:p>
    <w:p w:rsidR="008676E8" w:rsidRPr="00021080" w:rsidRDefault="00267602" w:rsidP="008676E8">
      <w:pPr>
        <w:pStyle w:val="Prrafodelista"/>
        <w:numPr>
          <w:ilvl w:val="0"/>
          <w:numId w:val="1"/>
        </w:numPr>
        <w:pBdr>
          <w:top w:val="nil"/>
          <w:left w:val="nil"/>
          <w:bottom w:val="nil"/>
          <w:right w:val="nil"/>
          <w:between w:val="nil"/>
        </w:pBdr>
        <w:spacing w:before="240" w:line="360" w:lineRule="auto"/>
        <w:ind w:left="851" w:right="822" w:firstLine="0"/>
        <w:jc w:val="both"/>
        <w:rPr>
          <w:rFonts w:ascii="Palatino Linotype" w:eastAsia="Palatino Linotype" w:hAnsi="Palatino Linotype" w:cs="Palatino Linotype"/>
          <w:b/>
          <w:color w:val="000000"/>
        </w:rPr>
      </w:pPr>
      <w:r w:rsidRPr="00021080">
        <w:rPr>
          <w:rFonts w:ascii="Palatino Linotype" w:eastAsia="Palatino Linotype" w:hAnsi="Palatino Linotype" w:cs="Palatino Linotype"/>
          <w:b/>
          <w:color w:val="000000"/>
        </w:rPr>
        <w:t>Soporte documental donde conste o se advierta el pago</w:t>
      </w:r>
      <w:r w:rsidR="000659FF" w:rsidRPr="00021080">
        <w:rPr>
          <w:rFonts w:ascii="Palatino Linotype" w:eastAsia="Palatino Linotype" w:hAnsi="Palatino Linotype" w:cs="Palatino Linotype"/>
          <w:b/>
          <w:color w:val="000000"/>
        </w:rPr>
        <w:t xml:space="preserve"> por concepto de nómina del personal directivo y mandos</w:t>
      </w:r>
      <w:r w:rsidR="006E65D4" w:rsidRPr="00021080">
        <w:rPr>
          <w:rFonts w:ascii="Palatino Linotype" w:eastAsia="Palatino Linotype" w:hAnsi="Palatino Linotype" w:cs="Palatino Linotype"/>
          <w:b/>
          <w:color w:val="000000"/>
        </w:rPr>
        <w:t xml:space="preserve"> medios del personal del Sistema Municipal DIF</w:t>
      </w:r>
      <w:r w:rsidR="000659FF" w:rsidRPr="00021080">
        <w:rPr>
          <w:rFonts w:ascii="Palatino Linotype" w:eastAsia="Palatino Linotype" w:hAnsi="Palatino Linotype" w:cs="Palatino Linotype"/>
          <w:b/>
          <w:color w:val="000000"/>
        </w:rPr>
        <w:t xml:space="preserve">, </w:t>
      </w:r>
      <w:r w:rsidR="008676E8" w:rsidRPr="00021080">
        <w:rPr>
          <w:rFonts w:ascii="Palatino Linotype" w:eastAsia="Palatino Linotype" w:hAnsi="Palatino Linotype" w:cs="Palatino Linotype"/>
          <w:b/>
          <w:color w:val="000000"/>
        </w:rPr>
        <w:t>del primero de enero de dos mil veinticinco al seis de abril de dos mil veintiséis.</w:t>
      </w:r>
    </w:p>
    <w:p w:rsidR="00954C16" w:rsidRPr="00021080" w:rsidRDefault="00954C16" w:rsidP="00954C16">
      <w:pPr>
        <w:pBdr>
          <w:top w:val="nil"/>
          <w:left w:val="nil"/>
          <w:bottom w:val="nil"/>
          <w:right w:val="nil"/>
          <w:between w:val="nil"/>
        </w:pBdr>
        <w:spacing w:line="360" w:lineRule="auto"/>
        <w:ind w:left="851" w:right="822"/>
        <w:jc w:val="both"/>
        <w:rPr>
          <w:rFonts w:ascii="Palatino Linotype" w:eastAsia="Palatino Linotype" w:hAnsi="Palatino Linotype" w:cs="Palatino Linotype"/>
          <w:b/>
        </w:rPr>
      </w:pPr>
    </w:p>
    <w:p w:rsidR="00954C16" w:rsidRPr="00021080" w:rsidRDefault="00954C16" w:rsidP="00954C16">
      <w:pPr>
        <w:spacing w:line="360" w:lineRule="auto"/>
        <w:jc w:val="both"/>
        <w:rPr>
          <w:rFonts w:ascii="Palatino Linotype" w:eastAsia="Palatino Linotype" w:hAnsi="Palatino Linotype" w:cs="Palatino Linotype"/>
        </w:rPr>
      </w:pPr>
      <w:bookmarkStart w:id="13" w:name="_heading=h.w0ycrbvxzrwb" w:colFirst="0" w:colLast="0"/>
      <w:bookmarkEnd w:id="13"/>
      <w:r w:rsidRPr="00021080">
        <w:rPr>
          <w:rFonts w:ascii="Palatino Linotype" w:eastAsia="Palatino Linotype" w:hAnsi="Palatino Linotype" w:cs="Palatino Linotype"/>
        </w:rPr>
        <w:t xml:space="preserve">Para la entrega en versión pública deberá emitir el Acuerdo del Comité de Transparencia en términos de los artículos 49, fracción VIII y 132 fracción II de la Ley de Transparencia y Acceso </w:t>
      </w:r>
      <w:r w:rsidRPr="00021080">
        <w:rPr>
          <w:rFonts w:ascii="Palatino Linotype" w:eastAsia="Palatino Linotype" w:hAnsi="Palatino Linotype" w:cs="Palatino Linotype"/>
        </w:rPr>
        <w:lastRenderedPageBreak/>
        <w:t>a la Información Pública del Estado de México y Municipios, en el que funde y motive las razones sobre los datos que se supriman o eliminen y se ponga a disposición del recurrente.</w:t>
      </w:r>
    </w:p>
    <w:p w:rsidR="00954C16" w:rsidRPr="00021080" w:rsidRDefault="00954C16" w:rsidP="00954C16">
      <w:pPr>
        <w:pBdr>
          <w:top w:val="nil"/>
          <w:left w:val="nil"/>
          <w:bottom w:val="nil"/>
          <w:right w:val="nil"/>
          <w:between w:val="nil"/>
        </w:pBdr>
        <w:spacing w:line="360" w:lineRule="auto"/>
        <w:ind w:right="822"/>
        <w:jc w:val="both"/>
        <w:rPr>
          <w:rFonts w:ascii="Palatino Linotype" w:eastAsia="Palatino Linotype" w:hAnsi="Palatino Linotype" w:cs="Palatino Linotype"/>
          <w:b/>
          <w:color w:val="000000"/>
        </w:rPr>
      </w:pPr>
    </w:p>
    <w:p w:rsidR="00954C16" w:rsidRPr="00021080" w:rsidRDefault="00954C16" w:rsidP="00954C16">
      <w:pPr>
        <w:tabs>
          <w:tab w:val="left" w:pos="284"/>
          <w:tab w:val="left" w:pos="8080"/>
        </w:tabs>
        <w:spacing w:line="360" w:lineRule="auto"/>
        <w:ind w:right="49"/>
        <w:jc w:val="both"/>
        <w:rPr>
          <w:rFonts w:ascii="Palatino Linotype" w:eastAsia="Palatino Linotype" w:hAnsi="Palatino Linotype" w:cs="Palatino Linotype"/>
          <w:color w:val="222222"/>
        </w:rPr>
      </w:pPr>
      <w:r w:rsidRPr="00021080">
        <w:rPr>
          <w:rFonts w:ascii="Palatino Linotype" w:eastAsia="Palatino Linotype" w:hAnsi="Palatino Linotype" w:cs="Palatino Linotype"/>
          <w:b/>
        </w:rPr>
        <w:t xml:space="preserve">TERCERO. </w:t>
      </w:r>
      <w:r w:rsidRPr="00021080">
        <w:rPr>
          <w:rFonts w:ascii="Palatino Linotype" w:eastAsia="Palatino Linotype" w:hAnsi="Palatino Linotype" w:cs="Palatino Linotype"/>
          <w:b/>
          <w:color w:val="222222"/>
        </w:rPr>
        <w:t>NOTIFÍQUESE</w:t>
      </w:r>
      <w:r w:rsidRPr="00021080">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21080">
        <w:rPr>
          <w:rFonts w:ascii="Palatino Linotype" w:eastAsia="Palatino Linotype" w:hAnsi="Palatino Linotype" w:cs="Palatino Linotype"/>
          <w:b/>
          <w:color w:val="222222"/>
        </w:rPr>
        <w:t>dé cumplimiento a lo ordenado dentro del plazo de diez días hábiles</w:t>
      </w:r>
      <w:r w:rsidRPr="00021080">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54C16" w:rsidRPr="00021080" w:rsidRDefault="00954C16" w:rsidP="00954C16">
      <w:pPr>
        <w:tabs>
          <w:tab w:val="left" w:pos="284"/>
          <w:tab w:val="left" w:pos="8080"/>
        </w:tabs>
        <w:spacing w:line="360" w:lineRule="auto"/>
        <w:ind w:right="49"/>
        <w:jc w:val="both"/>
        <w:rPr>
          <w:rFonts w:ascii="Palatino Linotype" w:eastAsia="Palatino Linotype" w:hAnsi="Palatino Linotype" w:cs="Palatino Linotype"/>
          <w:color w:val="222222"/>
        </w:rPr>
      </w:pPr>
    </w:p>
    <w:p w:rsidR="00954C16" w:rsidRPr="00021080" w:rsidRDefault="00954C16" w:rsidP="00954C16">
      <w:pPr>
        <w:shd w:val="clear" w:color="auto" w:fill="FFFFFF"/>
        <w:tabs>
          <w:tab w:val="left" w:pos="284"/>
        </w:tabs>
        <w:spacing w:line="360" w:lineRule="auto"/>
        <w:jc w:val="both"/>
        <w:rPr>
          <w:rFonts w:ascii="Palatino Linotype" w:eastAsia="Palatino Linotype" w:hAnsi="Palatino Linotype" w:cs="Palatino Linotype"/>
        </w:rPr>
      </w:pPr>
      <w:r w:rsidRPr="00021080">
        <w:rPr>
          <w:rFonts w:ascii="Palatino Linotype" w:eastAsia="Palatino Linotype" w:hAnsi="Palatino Linotype" w:cs="Palatino Linotype"/>
          <w:b/>
        </w:rPr>
        <w:t xml:space="preserve">CUARTO. </w:t>
      </w:r>
      <w:r w:rsidRPr="00021080">
        <w:rPr>
          <w:rFonts w:ascii="Palatino Linotype" w:eastAsia="Palatino Linotype" w:hAnsi="Palatino Linotype" w:cs="Palatino Linotype"/>
          <w:b/>
          <w:color w:val="222222"/>
        </w:rPr>
        <w:t xml:space="preserve">Notifíquese </w:t>
      </w:r>
      <w:r w:rsidRPr="00021080">
        <w:rPr>
          <w:rFonts w:ascii="Palatino Linotype" w:eastAsia="Palatino Linotype" w:hAnsi="Palatino Linotype" w:cs="Palatino Linotype"/>
          <w:color w:val="222222"/>
        </w:rPr>
        <w:t xml:space="preserve">al </w:t>
      </w:r>
      <w:r w:rsidRPr="00021080">
        <w:rPr>
          <w:rFonts w:ascii="Palatino Linotype" w:eastAsia="Palatino Linotype" w:hAnsi="Palatino Linotype" w:cs="Palatino Linotype"/>
          <w:b/>
          <w:color w:val="222222"/>
        </w:rPr>
        <w:t xml:space="preserve">RECURRENTE </w:t>
      </w:r>
      <w:r w:rsidRPr="00021080">
        <w:rPr>
          <w:rFonts w:ascii="Palatino Linotype" w:eastAsia="Palatino Linotype" w:hAnsi="Palatino Linotype" w:cs="Palatino Linotype"/>
        </w:rPr>
        <w:t xml:space="preserve">la presente resolución a través del Sistema de Acceso a la Información Mexiquense (SAIMEX). </w:t>
      </w:r>
    </w:p>
    <w:p w:rsidR="00954C16" w:rsidRPr="00021080" w:rsidRDefault="00954C16" w:rsidP="00954C16">
      <w:pPr>
        <w:shd w:val="clear" w:color="auto" w:fill="FFFFFF"/>
        <w:tabs>
          <w:tab w:val="left" w:pos="284"/>
        </w:tabs>
        <w:spacing w:line="360" w:lineRule="auto"/>
        <w:jc w:val="both"/>
        <w:rPr>
          <w:rFonts w:ascii="Palatino Linotype" w:eastAsia="Palatino Linotype" w:hAnsi="Palatino Linotype" w:cs="Palatino Linotype"/>
        </w:rPr>
      </w:pPr>
    </w:p>
    <w:p w:rsidR="00954C16" w:rsidRPr="00021080" w:rsidRDefault="00954C16" w:rsidP="00954C16">
      <w:pPr>
        <w:spacing w:line="360" w:lineRule="auto"/>
        <w:jc w:val="both"/>
        <w:rPr>
          <w:rFonts w:ascii="Palatino Linotype" w:eastAsia="Palatino Linotype" w:hAnsi="Palatino Linotype" w:cs="Palatino Linotype"/>
        </w:rPr>
      </w:pPr>
      <w:r w:rsidRPr="00021080">
        <w:rPr>
          <w:rFonts w:ascii="Palatino Linotype" w:eastAsia="Palatino Linotype" w:hAnsi="Palatino Linotype" w:cs="Palatino Linotype"/>
          <w:b/>
        </w:rPr>
        <w:t xml:space="preserve">QUINTO. </w:t>
      </w:r>
      <w:r w:rsidRPr="00021080">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54C16" w:rsidRPr="00021080" w:rsidRDefault="00954C16" w:rsidP="00954C16">
      <w:pPr>
        <w:shd w:val="clear" w:color="auto" w:fill="FFFFFF"/>
        <w:spacing w:before="240" w:after="360" w:line="360" w:lineRule="auto"/>
        <w:jc w:val="both"/>
        <w:rPr>
          <w:rFonts w:ascii="Palatino Linotype" w:eastAsia="Palatino Linotype" w:hAnsi="Palatino Linotype" w:cs="Palatino Linotype"/>
          <w:color w:val="222222"/>
        </w:rPr>
      </w:pPr>
      <w:r w:rsidRPr="00021080">
        <w:rPr>
          <w:rFonts w:ascii="Palatino Linotype" w:eastAsia="Palatino Linotype" w:hAnsi="Palatino Linotype" w:cs="Palatino Linotype"/>
          <w:b/>
        </w:rPr>
        <w:t>SEXTO.</w:t>
      </w:r>
      <w:r w:rsidRPr="00021080">
        <w:rPr>
          <w:rFonts w:ascii="Palatino Linotype" w:eastAsia="Palatino Linotype" w:hAnsi="Palatino Linotype" w:cs="Palatino Linotype"/>
          <w:color w:val="222222"/>
        </w:rPr>
        <w:t xml:space="preserve"> </w:t>
      </w:r>
      <w:r w:rsidRPr="00021080">
        <w:rPr>
          <w:rFonts w:ascii="Palatino Linotype" w:eastAsia="Palatino Linotype" w:hAnsi="Palatino Linotype" w:cs="Palatino Linotype"/>
        </w:rPr>
        <w:t xml:space="preserve">Se hace del conocimiento del RECURRENTE que, de conformidad con lo establecido en el artículo 196 de la Ley de Transparencia y Acceso a la Información Pública del Estado de </w:t>
      </w:r>
      <w:r w:rsidRPr="00021080">
        <w:rPr>
          <w:rFonts w:ascii="Palatino Linotype" w:eastAsia="Palatino Linotype" w:hAnsi="Palatino Linotype" w:cs="Palatino Linotype"/>
        </w:rPr>
        <w:lastRenderedPageBreak/>
        <w:t xml:space="preserve">México y Municipios, </w:t>
      </w:r>
      <w:r w:rsidRPr="00021080">
        <w:rPr>
          <w:rFonts w:ascii="Palatino Linotype" w:eastAsia="Palatino Linotype" w:hAnsi="Palatino Linotype" w:cs="Palatino Linotype"/>
          <w:color w:val="000000"/>
        </w:rPr>
        <w:t xml:space="preserve">en caso de que considere que la resolución le cause algún perjuicio podrá </w:t>
      </w:r>
      <w:r w:rsidRPr="00021080">
        <w:rPr>
          <w:rFonts w:ascii="Palatino Linotype" w:eastAsia="Palatino Linotype" w:hAnsi="Palatino Linotype" w:cs="Palatino Linotype"/>
        </w:rPr>
        <w:t>impugnar vía</w:t>
      </w:r>
      <w:r w:rsidRPr="00021080">
        <w:rPr>
          <w:rFonts w:ascii="Palatino Linotype" w:eastAsia="Palatino Linotype" w:hAnsi="Palatino Linotype" w:cs="Palatino Linotype"/>
          <w:color w:val="000000"/>
        </w:rPr>
        <w:t xml:space="preserve"> </w:t>
      </w:r>
      <w:r w:rsidRPr="00021080">
        <w:rPr>
          <w:rFonts w:ascii="Palatino Linotype" w:eastAsia="Palatino Linotype" w:hAnsi="Palatino Linotype" w:cs="Palatino Linotype"/>
        </w:rPr>
        <w:t>juicio de amparo en los términos de las leyes aplicables.</w:t>
      </w:r>
    </w:p>
    <w:p w:rsidR="008204EF" w:rsidRPr="00021080" w:rsidRDefault="008204EF" w:rsidP="008204EF">
      <w:pPr>
        <w:spacing w:before="240" w:after="240" w:line="360" w:lineRule="auto"/>
        <w:ind w:firstLine="1"/>
        <w:jc w:val="both"/>
        <w:rPr>
          <w:rFonts w:ascii="Palatino Linotype" w:hAnsi="Palatino Linotype"/>
        </w:rPr>
      </w:pPr>
      <w:bookmarkStart w:id="14" w:name="_Hlk99014733"/>
      <w:r w:rsidRPr="0002108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021080">
        <w:rPr>
          <w:rFonts w:ascii="Palatino Linotype" w:hAnsi="Palatino Linotype" w:cs="Palatino Linotype"/>
          <w:color w:val="000000" w:themeColor="text1"/>
        </w:rPr>
        <w:t>ALEXIS TAPIA RAMÍREZ.</w:t>
      </w:r>
    </w:p>
    <w:bookmarkEnd w:id="14"/>
    <w:p w:rsidR="00954C16" w:rsidRPr="00021080" w:rsidRDefault="00954C16" w:rsidP="00954C16">
      <w:pPr>
        <w:spacing w:before="240" w:after="360" w:line="360" w:lineRule="auto"/>
        <w:jc w:val="both"/>
        <w:rPr>
          <w:rFonts w:ascii="Palatino Linotype" w:eastAsia="Palatino Linotype" w:hAnsi="Palatino Linotype" w:cs="Palatino Linotype"/>
          <w:color w:val="222222"/>
        </w:rPr>
      </w:pPr>
    </w:p>
    <w:p w:rsidR="00954C16" w:rsidRPr="00021080" w:rsidRDefault="00954C16" w:rsidP="00954C16">
      <w:pPr>
        <w:spacing w:before="240" w:after="360" w:line="360" w:lineRule="auto"/>
        <w:jc w:val="both"/>
        <w:rPr>
          <w:rFonts w:ascii="Palatino Linotype" w:eastAsia="Palatino Linotype" w:hAnsi="Palatino Linotype" w:cs="Palatino Linotype"/>
          <w:color w:val="222222"/>
        </w:rPr>
      </w:pPr>
    </w:p>
    <w:p w:rsidR="00954C16" w:rsidRPr="00021080" w:rsidRDefault="00954C16" w:rsidP="00954C16">
      <w:pPr>
        <w:spacing w:before="240" w:after="360" w:line="360" w:lineRule="auto"/>
        <w:jc w:val="both"/>
        <w:rPr>
          <w:rFonts w:ascii="Palatino Linotype" w:eastAsia="Palatino Linotype" w:hAnsi="Palatino Linotype" w:cs="Palatino Linotype"/>
          <w:color w:val="222222"/>
        </w:rPr>
      </w:pPr>
    </w:p>
    <w:p w:rsidR="00954C16" w:rsidRPr="00021080" w:rsidRDefault="00954C16" w:rsidP="00954C16">
      <w:pPr>
        <w:spacing w:before="240" w:after="360" w:line="360" w:lineRule="auto"/>
        <w:jc w:val="both"/>
        <w:rPr>
          <w:rFonts w:ascii="Palatino Linotype" w:eastAsia="Palatino Linotype" w:hAnsi="Palatino Linotype" w:cs="Palatino Linotype"/>
          <w:color w:val="222222"/>
        </w:rPr>
      </w:pPr>
    </w:p>
    <w:p w:rsidR="00954C16" w:rsidRPr="00021080" w:rsidRDefault="00954C16" w:rsidP="00954C16">
      <w:pPr>
        <w:spacing w:before="240" w:after="360" w:line="360" w:lineRule="auto"/>
        <w:jc w:val="both"/>
        <w:rPr>
          <w:rFonts w:ascii="Palatino Linotype" w:eastAsia="Palatino Linotype" w:hAnsi="Palatino Linotype" w:cs="Palatino Linotype"/>
          <w:color w:val="222222"/>
        </w:rPr>
      </w:pPr>
    </w:p>
    <w:p w:rsidR="00954C16" w:rsidRPr="00021080" w:rsidRDefault="00954C16" w:rsidP="00954C16">
      <w:pPr>
        <w:spacing w:before="240" w:after="360" w:line="360" w:lineRule="auto"/>
        <w:jc w:val="both"/>
        <w:rPr>
          <w:rFonts w:ascii="Palatino Linotype" w:eastAsia="Palatino Linotype" w:hAnsi="Palatino Linotype" w:cs="Palatino Linotype"/>
          <w:color w:val="222222"/>
        </w:rPr>
      </w:pPr>
    </w:p>
    <w:p w:rsidR="00954C16" w:rsidRPr="00021080" w:rsidRDefault="00954C16" w:rsidP="00954C16">
      <w:pPr>
        <w:spacing w:before="240" w:after="360" w:line="360" w:lineRule="auto"/>
        <w:jc w:val="both"/>
        <w:rPr>
          <w:rFonts w:ascii="Palatino Linotype" w:eastAsia="Palatino Linotype" w:hAnsi="Palatino Linotype" w:cs="Palatino Linotype"/>
          <w:color w:val="222222"/>
        </w:rPr>
      </w:pPr>
    </w:p>
    <w:p w:rsidR="00954C16" w:rsidRPr="00021080" w:rsidRDefault="00954C16" w:rsidP="00954C16">
      <w:pPr>
        <w:rPr>
          <w:rFonts w:ascii="Palatino Linotype" w:eastAsia="Palatino Linotype" w:hAnsi="Palatino Linotype" w:cs="Palatino Linotype"/>
        </w:rPr>
      </w:pPr>
    </w:p>
    <w:p w:rsidR="00954C16" w:rsidRPr="00021080" w:rsidRDefault="00954C16" w:rsidP="00954C16"/>
    <w:p w:rsidR="00954C16" w:rsidRPr="00021080" w:rsidRDefault="00954C16" w:rsidP="00954C16"/>
    <w:p w:rsidR="00D75C23" w:rsidRPr="00021080" w:rsidRDefault="00D75C23"/>
    <w:p w:rsidR="00E760DC" w:rsidRPr="00021080" w:rsidRDefault="00E760DC"/>
    <w:p w:rsidR="00E760DC" w:rsidRPr="00021080" w:rsidRDefault="00E760DC"/>
    <w:p w:rsidR="00E760DC" w:rsidRPr="00021080" w:rsidRDefault="00E760DC"/>
    <w:p w:rsidR="00E760DC" w:rsidRPr="00021080" w:rsidRDefault="00E760DC"/>
    <w:p w:rsidR="00E760DC" w:rsidRPr="00021080" w:rsidRDefault="00E760DC"/>
    <w:p w:rsidR="00E760DC" w:rsidRPr="00021080" w:rsidRDefault="00E760DC"/>
    <w:p w:rsidR="00E760DC" w:rsidRPr="00021080" w:rsidRDefault="00E760DC"/>
    <w:p w:rsidR="00E760DC" w:rsidRPr="00021080" w:rsidRDefault="00E760DC"/>
    <w:p w:rsidR="00E760DC" w:rsidRPr="00021080" w:rsidRDefault="00E760DC"/>
    <w:p w:rsidR="00E760DC" w:rsidRPr="00021080" w:rsidRDefault="00E760DC"/>
    <w:p w:rsidR="00E760DC" w:rsidRPr="00021080" w:rsidRDefault="00E760DC"/>
    <w:sectPr w:rsidR="00E760DC" w:rsidRPr="00021080" w:rsidSect="00021080">
      <w:headerReference w:type="even" r:id="rId17"/>
      <w:headerReference w:type="default" r:id="rId18"/>
      <w:footerReference w:type="default" r:id="rId19"/>
      <w:headerReference w:type="first" r:id="rId20"/>
      <w:footerReference w:type="first" r:id="rId21"/>
      <w:pgSz w:w="12240" w:h="15840"/>
      <w:pgMar w:top="80" w:right="616"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49C" w:rsidRDefault="0070049C" w:rsidP="00954C16">
      <w:r>
        <w:separator/>
      </w:r>
    </w:p>
  </w:endnote>
  <w:endnote w:type="continuationSeparator" w:id="0">
    <w:p w:rsidR="0070049C" w:rsidRDefault="0070049C" w:rsidP="0095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A4" w:rsidRDefault="003969A4">
    <w:pPr>
      <w:pBdr>
        <w:top w:val="nil"/>
        <w:left w:val="nil"/>
        <w:bottom w:val="nil"/>
        <w:right w:val="nil"/>
        <w:between w:val="nil"/>
      </w:pBdr>
      <w:tabs>
        <w:tab w:val="center" w:pos="4419"/>
        <w:tab w:val="right" w:pos="8838"/>
      </w:tabs>
      <w:jc w:val="right"/>
      <w:rPr>
        <w:color w:val="000000"/>
      </w:rPr>
    </w:pPr>
  </w:p>
  <w:p w:rsidR="003969A4" w:rsidRPr="00021080" w:rsidRDefault="003969A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21080">
      <w:rPr>
        <w:rFonts w:ascii="Palatino Linotype" w:hAnsi="Palatino Linotype"/>
        <w:color w:val="000000"/>
        <w:sz w:val="22"/>
      </w:rPr>
      <w:t xml:space="preserve">Página </w:t>
    </w:r>
    <w:r w:rsidRPr="00021080">
      <w:rPr>
        <w:rFonts w:ascii="Palatino Linotype" w:hAnsi="Palatino Linotype"/>
        <w:b/>
        <w:color w:val="000000"/>
        <w:sz w:val="22"/>
      </w:rPr>
      <w:fldChar w:fldCharType="begin"/>
    </w:r>
    <w:r w:rsidRPr="00021080">
      <w:rPr>
        <w:rFonts w:ascii="Palatino Linotype" w:hAnsi="Palatino Linotype"/>
        <w:b/>
        <w:color w:val="000000"/>
        <w:sz w:val="22"/>
      </w:rPr>
      <w:instrText>PAGE</w:instrText>
    </w:r>
    <w:r w:rsidRPr="00021080">
      <w:rPr>
        <w:rFonts w:ascii="Palatino Linotype" w:hAnsi="Palatino Linotype"/>
        <w:b/>
        <w:color w:val="000000"/>
        <w:sz w:val="22"/>
      </w:rPr>
      <w:fldChar w:fldCharType="separate"/>
    </w:r>
    <w:r w:rsidR="000751ED">
      <w:rPr>
        <w:rFonts w:ascii="Palatino Linotype" w:hAnsi="Palatino Linotype"/>
        <w:b/>
        <w:noProof/>
        <w:color w:val="000000"/>
        <w:sz w:val="22"/>
      </w:rPr>
      <w:t>14</w:t>
    </w:r>
    <w:r w:rsidRPr="00021080">
      <w:rPr>
        <w:rFonts w:ascii="Palatino Linotype" w:hAnsi="Palatino Linotype"/>
        <w:b/>
        <w:color w:val="000000"/>
        <w:sz w:val="22"/>
      </w:rPr>
      <w:fldChar w:fldCharType="end"/>
    </w:r>
    <w:r w:rsidRPr="00021080">
      <w:rPr>
        <w:rFonts w:ascii="Palatino Linotype" w:hAnsi="Palatino Linotype"/>
        <w:color w:val="000000"/>
        <w:sz w:val="22"/>
      </w:rPr>
      <w:t xml:space="preserve"> de </w:t>
    </w:r>
    <w:r w:rsidRPr="00021080">
      <w:rPr>
        <w:rFonts w:ascii="Palatino Linotype" w:hAnsi="Palatino Linotype"/>
        <w:b/>
        <w:color w:val="000000"/>
        <w:sz w:val="22"/>
      </w:rPr>
      <w:fldChar w:fldCharType="begin"/>
    </w:r>
    <w:r w:rsidRPr="00021080">
      <w:rPr>
        <w:rFonts w:ascii="Palatino Linotype" w:hAnsi="Palatino Linotype"/>
        <w:b/>
        <w:color w:val="000000"/>
        <w:sz w:val="22"/>
      </w:rPr>
      <w:instrText>NUMPAGES</w:instrText>
    </w:r>
    <w:r w:rsidRPr="00021080">
      <w:rPr>
        <w:rFonts w:ascii="Palatino Linotype" w:hAnsi="Palatino Linotype"/>
        <w:b/>
        <w:color w:val="000000"/>
        <w:sz w:val="22"/>
      </w:rPr>
      <w:fldChar w:fldCharType="separate"/>
    </w:r>
    <w:r w:rsidR="000751ED">
      <w:rPr>
        <w:rFonts w:ascii="Palatino Linotype" w:hAnsi="Palatino Linotype"/>
        <w:b/>
        <w:noProof/>
        <w:color w:val="000000"/>
        <w:sz w:val="22"/>
      </w:rPr>
      <w:t>43</w:t>
    </w:r>
    <w:r w:rsidRPr="00021080">
      <w:rPr>
        <w:rFonts w:ascii="Palatino Linotype" w:hAnsi="Palatino Linotype"/>
        <w:b/>
        <w:color w:val="000000"/>
        <w:sz w:val="22"/>
      </w:rPr>
      <w:fldChar w:fldCharType="end"/>
    </w:r>
  </w:p>
  <w:p w:rsidR="003969A4" w:rsidRDefault="003969A4">
    <w:pPr>
      <w:pBdr>
        <w:top w:val="nil"/>
        <w:left w:val="nil"/>
        <w:bottom w:val="nil"/>
        <w:right w:val="nil"/>
        <w:between w:val="nil"/>
      </w:pBdr>
      <w:tabs>
        <w:tab w:val="center" w:pos="4419"/>
        <w:tab w:val="right" w:pos="8838"/>
      </w:tabs>
      <w:rPr>
        <w:color w:val="000000"/>
      </w:rPr>
    </w:pPr>
  </w:p>
  <w:p w:rsidR="003969A4" w:rsidRDefault="003969A4"/>
  <w:p w:rsidR="003969A4" w:rsidRDefault="003969A4"/>
  <w:p w:rsidR="003969A4" w:rsidRDefault="003969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A4" w:rsidRPr="00021080" w:rsidRDefault="003969A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21080">
      <w:rPr>
        <w:rFonts w:ascii="Palatino Linotype" w:hAnsi="Palatino Linotype"/>
        <w:color w:val="000000"/>
        <w:sz w:val="22"/>
      </w:rPr>
      <w:t xml:space="preserve">Página </w:t>
    </w:r>
    <w:r w:rsidRPr="00021080">
      <w:rPr>
        <w:rFonts w:ascii="Palatino Linotype" w:hAnsi="Palatino Linotype"/>
        <w:b/>
        <w:color w:val="000000"/>
        <w:sz w:val="22"/>
      </w:rPr>
      <w:fldChar w:fldCharType="begin"/>
    </w:r>
    <w:r w:rsidRPr="00021080">
      <w:rPr>
        <w:rFonts w:ascii="Palatino Linotype" w:hAnsi="Palatino Linotype"/>
        <w:b/>
        <w:color w:val="000000"/>
        <w:sz w:val="22"/>
      </w:rPr>
      <w:instrText>PAGE</w:instrText>
    </w:r>
    <w:r w:rsidRPr="00021080">
      <w:rPr>
        <w:rFonts w:ascii="Palatino Linotype" w:hAnsi="Palatino Linotype"/>
        <w:b/>
        <w:color w:val="000000"/>
        <w:sz w:val="22"/>
      </w:rPr>
      <w:fldChar w:fldCharType="separate"/>
    </w:r>
    <w:r w:rsidR="000751ED">
      <w:rPr>
        <w:rFonts w:ascii="Palatino Linotype" w:hAnsi="Palatino Linotype"/>
        <w:b/>
        <w:noProof/>
        <w:color w:val="000000"/>
        <w:sz w:val="22"/>
      </w:rPr>
      <w:t>1</w:t>
    </w:r>
    <w:r w:rsidRPr="00021080">
      <w:rPr>
        <w:rFonts w:ascii="Palatino Linotype" w:hAnsi="Palatino Linotype"/>
        <w:b/>
        <w:color w:val="000000"/>
        <w:sz w:val="22"/>
      </w:rPr>
      <w:fldChar w:fldCharType="end"/>
    </w:r>
    <w:r w:rsidRPr="00021080">
      <w:rPr>
        <w:rFonts w:ascii="Palatino Linotype" w:hAnsi="Palatino Linotype"/>
        <w:color w:val="000000"/>
        <w:sz w:val="22"/>
      </w:rPr>
      <w:t xml:space="preserve"> de </w:t>
    </w:r>
    <w:r w:rsidRPr="00021080">
      <w:rPr>
        <w:rFonts w:ascii="Palatino Linotype" w:hAnsi="Palatino Linotype"/>
        <w:b/>
        <w:color w:val="000000"/>
        <w:sz w:val="22"/>
      </w:rPr>
      <w:fldChar w:fldCharType="begin"/>
    </w:r>
    <w:r w:rsidRPr="00021080">
      <w:rPr>
        <w:rFonts w:ascii="Palatino Linotype" w:hAnsi="Palatino Linotype"/>
        <w:b/>
        <w:color w:val="000000"/>
        <w:sz w:val="22"/>
      </w:rPr>
      <w:instrText>NUMPAGES</w:instrText>
    </w:r>
    <w:r w:rsidRPr="00021080">
      <w:rPr>
        <w:rFonts w:ascii="Palatino Linotype" w:hAnsi="Palatino Linotype"/>
        <w:b/>
        <w:color w:val="000000"/>
        <w:sz w:val="22"/>
      </w:rPr>
      <w:fldChar w:fldCharType="separate"/>
    </w:r>
    <w:r w:rsidR="000751ED">
      <w:rPr>
        <w:rFonts w:ascii="Palatino Linotype" w:hAnsi="Palatino Linotype"/>
        <w:b/>
        <w:noProof/>
        <w:color w:val="000000"/>
        <w:sz w:val="22"/>
      </w:rPr>
      <w:t>43</w:t>
    </w:r>
    <w:r w:rsidRPr="00021080">
      <w:rPr>
        <w:rFonts w:ascii="Palatino Linotype" w:hAnsi="Palatino Linotype"/>
        <w:b/>
        <w:color w:val="000000"/>
        <w:sz w:val="22"/>
      </w:rPr>
      <w:fldChar w:fldCharType="end"/>
    </w:r>
  </w:p>
  <w:p w:rsidR="003969A4" w:rsidRDefault="003969A4">
    <w:pPr>
      <w:pBdr>
        <w:top w:val="nil"/>
        <w:left w:val="nil"/>
        <w:bottom w:val="nil"/>
        <w:right w:val="nil"/>
        <w:between w:val="nil"/>
      </w:pBdr>
      <w:tabs>
        <w:tab w:val="center" w:pos="4419"/>
        <w:tab w:val="right" w:pos="8838"/>
      </w:tabs>
      <w:rPr>
        <w:color w:val="000000"/>
      </w:rPr>
    </w:pPr>
  </w:p>
  <w:p w:rsidR="003969A4" w:rsidRDefault="003969A4"/>
  <w:p w:rsidR="003969A4" w:rsidRDefault="003969A4"/>
  <w:p w:rsidR="003969A4" w:rsidRDefault="003969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49C" w:rsidRDefault="0070049C" w:rsidP="00954C16">
      <w:r>
        <w:separator/>
      </w:r>
    </w:p>
  </w:footnote>
  <w:footnote w:type="continuationSeparator" w:id="0">
    <w:p w:rsidR="0070049C" w:rsidRDefault="0070049C" w:rsidP="00954C16">
      <w:r>
        <w:continuationSeparator/>
      </w:r>
    </w:p>
  </w:footnote>
  <w:footnote w:id="1">
    <w:p w:rsidR="008676E8" w:rsidRDefault="008676E8" w:rsidP="008676E8">
      <w:pPr>
        <w:pStyle w:val="Textonotapie"/>
      </w:pPr>
      <w:r>
        <w:rPr>
          <w:rStyle w:val="Refdenotaalpie"/>
        </w:rPr>
        <w:footnoteRef/>
      </w:r>
      <w:r>
        <w:t xml:space="preserve"> </w:t>
      </w:r>
      <w:hyperlink r:id="rId1" w:history="1">
        <w:r w:rsidRPr="008A46CF">
          <w:rPr>
            <w:rStyle w:val="Hipervnculo"/>
          </w:rPr>
          <w:t>https://legislacion.edomex.gob.mx/sites/legislacion.edomex.gob.mx/files/files/pdf/ley/vig/leyvig083.pdf</w:t>
        </w:r>
      </w:hyperlink>
    </w:p>
    <w:p w:rsidR="008676E8" w:rsidRDefault="008676E8" w:rsidP="008676E8">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A4" w:rsidRDefault="0070049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63.5pt;height:12in;z-index:-251655168;mso-position-horizontal:center;mso-position-horizontal-relative:margin;mso-position-vertical:center;mso-position-vertical-relative:margin">
          <v:imagedata r:id="rId1" o:title="image1"/>
          <w10:wrap anchorx="margin" anchory="margin"/>
        </v:shape>
      </w:pict>
    </w:r>
  </w:p>
  <w:p w:rsidR="003969A4" w:rsidRDefault="003969A4"/>
  <w:p w:rsidR="003969A4" w:rsidRDefault="003969A4"/>
  <w:p w:rsidR="003969A4" w:rsidRDefault="003969A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40" w:type="dxa"/>
      <w:tblLayout w:type="fixed"/>
      <w:tblLook w:val="0400" w:firstRow="0" w:lastRow="0" w:firstColumn="0" w:lastColumn="0" w:noHBand="0" w:noVBand="1"/>
    </w:tblPr>
    <w:tblGrid>
      <w:gridCol w:w="1843"/>
      <w:gridCol w:w="9497"/>
    </w:tblGrid>
    <w:tr w:rsidR="003969A4" w:rsidTr="00021080">
      <w:trPr>
        <w:trHeight w:val="1435"/>
      </w:trPr>
      <w:tc>
        <w:tcPr>
          <w:tcW w:w="1843" w:type="dxa"/>
          <w:shd w:val="clear" w:color="auto" w:fill="auto"/>
        </w:tcPr>
        <w:p w:rsidR="003969A4" w:rsidRDefault="003969A4">
          <w:pPr>
            <w:tabs>
              <w:tab w:val="right" w:pos="4273"/>
            </w:tabs>
            <w:rPr>
              <w:rFonts w:ascii="Garamond" w:eastAsia="Garamond" w:hAnsi="Garamond" w:cs="Garamond"/>
              <w:sz w:val="16"/>
              <w:szCs w:val="16"/>
            </w:rPr>
          </w:pPr>
        </w:p>
      </w:tc>
      <w:tc>
        <w:tcPr>
          <w:tcW w:w="9497" w:type="dxa"/>
          <w:shd w:val="clear" w:color="auto" w:fill="auto"/>
        </w:tcPr>
        <w:tbl>
          <w:tblPr>
            <w:tblW w:w="8313" w:type="dxa"/>
            <w:tblInd w:w="1168" w:type="dxa"/>
            <w:tblBorders>
              <w:top w:val="nil"/>
              <w:left w:val="nil"/>
              <w:bottom w:val="nil"/>
              <w:right w:val="nil"/>
              <w:insideH w:val="nil"/>
              <w:insideV w:val="nil"/>
            </w:tblBorders>
            <w:tblLayout w:type="fixed"/>
            <w:tblLook w:val="0400" w:firstRow="0" w:lastRow="0" w:firstColumn="0" w:lastColumn="0" w:noHBand="0" w:noVBand="1"/>
          </w:tblPr>
          <w:tblGrid>
            <w:gridCol w:w="2549"/>
            <w:gridCol w:w="5528"/>
            <w:gridCol w:w="236"/>
          </w:tblGrid>
          <w:tr w:rsidR="003969A4" w:rsidTr="00021080">
            <w:trPr>
              <w:trHeight w:val="144"/>
            </w:trPr>
            <w:tc>
              <w:tcPr>
                <w:tcW w:w="2549" w:type="dxa"/>
              </w:tcPr>
              <w:p w:rsidR="003969A4" w:rsidRPr="00021080" w:rsidRDefault="003969A4">
                <w:pPr>
                  <w:tabs>
                    <w:tab w:val="right" w:pos="8838"/>
                  </w:tabs>
                  <w:ind w:left="-74" w:right="-105"/>
                  <w:rPr>
                    <w:rFonts w:ascii="Palatino Linotype" w:eastAsia="Palatino Linotype" w:hAnsi="Palatino Linotype" w:cs="Palatino Linotype"/>
                    <w:b/>
                    <w:szCs w:val="22"/>
                  </w:rPr>
                </w:pPr>
                <w:r w:rsidRPr="00021080">
                  <w:rPr>
                    <w:rFonts w:ascii="Palatino Linotype" w:eastAsia="Palatino Linotype" w:hAnsi="Palatino Linotype" w:cs="Palatino Linotype"/>
                    <w:b/>
                    <w:szCs w:val="22"/>
                  </w:rPr>
                  <w:t>Recurso de Revisión:</w:t>
                </w:r>
              </w:p>
            </w:tc>
            <w:tc>
              <w:tcPr>
                <w:tcW w:w="5528" w:type="dxa"/>
              </w:tcPr>
              <w:p w:rsidR="003969A4" w:rsidRPr="00021080" w:rsidRDefault="003969A4" w:rsidP="00021080">
                <w:pPr>
                  <w:tabs>
                    <w:tab w:val="right" w:pos="8838"/>
                  </w:tabs>
                  <w:ind w:left="33" w:right="315"/>
                  <w:rPr>
                    <w:rFonts w:ascii="Palatino Linotype" w:eastAsia="Palatino Linotype" w:hAnsi="Palatino Linotype" w:cs="Palatino Linotype"/>
                    <w:szCs w:val="22"/>
                  </w:rPr>
                </w:pPr>
                <w:r w:rsidRPr="00021080">
                  <w:rPr>
                    <w:rFonts w:ascii="Palatino Linotype" w:eastAsia="Palatino Linotype" w:hAnsi="Palatino Linotype" w:cs="Palatino Linotype"/>
                    <w:szCs w:val="22"/>
                  </w:rPr>
                  <w:t>04338/INFOEM/IP/RR/2026 y Acumulados</w:t>
                </w:r>
              </w:p>
            </w:tc>
            <w:tc>
              <w:tcPr>
                <w:tcW w:w="236" w:type="dxa"/>
              </w:tcPr>
              <w:p w:rsidR="003969A4" w:rsidRDefault="003969A4">
                <w:pPr>
                  <w:tabs>
                    <w:tab w:val="right" w:pos="8838"/>
                  </w:tabs>
                  <w:ind w:left="-74" w:right="-105"/>
                  <w:jc w:val="both"/>
                  <w:rPr>
                    <w:rFonts w:ascii="Palatino Linotype" w:eastAsia="Palatino Linotype" w:hAnsi="Palatino Linotype" w:cs="Palatino Linotype"/>
                    <w:sz w:val="22"/>
                    <w:szCs w:val="22"/>
                  </w:rPr>
                </w:pPr>
              </w:p>
            </w:tc>
          </w:tr>
          <w:tr w:rsidR="003969A4" w:rsidTr="00021080">
            <w:trPr>
              <w:trHeight w:val="283"/>
            </w:trPr>
            <w:tc>
              <w:tcPr>
                <w:tcW w:w="2549" w:type="dxa"/>
              </w:tcPr>
              <w:p w:rsidR="003969A4" w:rsidRPr="00021080" w:rsidRDefault="003969A4">
                <w:pPr>
                  <w:tabs>
                    <w:tab w:val="right" w:pos="8838"/>
                  </w:tabs>
                  <w:ind w:left="-74" w:right="-105"/>
                  <w:rPr>
                    <w:rFonts w:ascii="Palatino Linotype" w:eastAsia="Palatino Linotype" w:hAnsi="Palatino Linotype" w:cs="Palatino Linotype"/>
                    <w:b/>
                    <w:szCs w:val="22"/>
                  </w:rPr>
                </w:pPr>
                <w:r w:rsidRPr="00021080">
                  <w:rPr>
                    <w:rFonts w:ascii="Palatino Linotype" w:eastAsia="Palatino Linotype" w:hAnsi="Palatino Linotype" w:cs="Palatino Linotype"/>
                    <w:b/>
                    <w:szCs w:val="22"/>
                  </w:rPr>
                  <w:t>Sujeto Obligado:</w:t>
                </w:r>
              </w:p>
            </w:tc>
            <w:tc>
              <w:tcPr>
                <w:tcW w:w="5528" w:type="dxa"/>
              </w:tcPr>
              <w:p w:rsidR="003969A4" w:rsidRPr="00021080" w:rsidRDefault="003969A4" w:rsidP="00021080">
                <w:pPr>
                  <w:tabs>
                    <w:tab w:val="left" w:pos="2834"/>
                    <w:tab w:val="right" w:pos="8838"/>
                  </w:tabs>
                  <w:ind w:left="33" w:right="-805"/>
                  <w:rPr>
                    <w:rFonts w:ascii="Palatino Linotype" w:eastAsia="Palatino Linotype" w:hAnsi="Palatino Linotype" w:cs="Palatino Linotype"/>
                    <w:szCs w:val="22"/>
                  </w:rPr>
                </w:pPr>
                <w:r w:rsidRPr="00021080">
                  <w:rPr>
                    <w:rFonts w:ascii="Palatino Linotype" w:eastAsia="Palatino Linotype" w:hAnsi="Palatino Linotype" w:cs="Palatino Linotype"/>
                    <w:szCs w:val="22"/>
                  </w:rPr>
                  <w:t>Ayuntamiento de Apaxco</w:t>
                </w:r>
              </w:p>
            </w:tc>
            <w:tc>
              <w:tcPr>
                <w:tcW w:w="236" w:type="dxa"/>
              </w:tcPr>
              <w:p w:rsidR="003969A4" w:rsidRDefault="003969A4">
                <w:pPr>
                  <w:tabs>
                    <w:tab w:val="left" w:pos="2834"/>
                    <w:tab w:val="right" w:pos="8838"/>
                  </w:tabs>
                  <w:ind w:left="-74" w:right="-105"/>
                  <w:jc w:val="both"/>
                  <w:rPr>
                    <w:rFonts w:ascii="Palatino Linotype" w:eastAsia="Palatino Linotype" w:hAnsi="Palatino Linotype" w:cs="Palatino Linotype"/>
                    <w:sz w:val="22"/>
                    <w:szCs w:val="22"/>
                  </w:rPr>
                </w:pPr>
              </w:p>
            </w:tc>
          </w:tr>
          <w:tr w:rsidR="003969A4" w:rsidTr="00021080">
            <w:trPr>
              <w:trHeight w:val="283"/>
            </w:trPr>
            <w:tc>
              <w:tcPr>
                <w:tcW w:w="2549" w:type="dxa"/>
              </w:tcPr>
              <w:p w:rsidR="003969A4" w:rsidRPr="00021080" w:rsidRDefault="003969A4">
                <w:pPr>
                  <w:tabs>
                    <w:tab w:val="right" w:pos="8838"/>
                  </w:tabs>
                  <w:ind w:left="-74" w:right="-105"/>
                  <w:rPr>
                    <w:rFonts w:ascii="Palatino Linotype" w:eastAsia="Palatino Linotype" w:hAnsi="Palatino Linotype" w:cs="Palatino Linotype"/>
                    <w:b/>
                    <w:szCs w:val="22"/>
                  </w:rPr>
                </w:pPr>
                <w:r w:rsidRPr="00021080">
                  <w:rPr>
                    <w:rFonts w:ascii="Palatino Linotype" w:eastAsia="Palatino Linotype" w:hAnsi="Palatino Linotype" w:cs="Palatino Linotype"/>
                    <w:b/>
                    <w:szCs w:val="22"/>
                  </w:rPr>
                  <w:t>Comisionada Ponente:</w:t>
                </w:r>
              </w:p>
            </w:tc>
            <w:tc>
              <w:tcPr>
                <w:tcW w:w="5528" w:type="dxa"/>
              </w:tcPr>
              <w:p w:rsidR="003969A4" w:rsidRPr="00021080" w:rsidRDefault="003969A4" w:rsidP="00021080">
                <w:pPr>
                  <w:tabs>
                    <w:tab w:val="right" w:pos="8838"/>
                  </w:tabs>
                  <w:ind w:left="33" w:right="-805"/>
                  <w:rPr>
                    <w:rFonts w:ascii="Palatino Linotype" w:eastAsia="Palatino Linotype" w:hAnsi="Palatino Linotype" w:cs="Palatino Linotype"/>
                    <w:szCs w:val="22"/>
                  </w:rPr>
                </w:pPr>
                <w:r w:rsidRPr="00021080">
                  <w:rPr>
                    <w:rFonts w:ascii="Palatino Linotype" w:eastAsia="Palatino Linotype" w:hAnsi="Palatino Linotype" w:cs="Palatino Linotype"/>
                    <w:szCs w:val="22"/>
                  </w:rPr>
                  <w:t>María del Rosario Mejía Ayala</w:t>
                </w:r>
              </w:p>
            </w:tc>
            <w:tc>
              <w:tcPr>
                <w:tcW w:w="236" w:type="dxa"/>
              </w:tcPr>
              <w:p w:rsidR="003969A4" w:rsidRDefault="003969A4">
                <w:pPr>
                  <w:tabs>
                    <w:tab w:val="right" w:pos="8838"/>
                  </w:tabs>
                  <w:ind w:left="-74" w:right="-105"/>
                  <w:jc w:val="both"/>
                  <w:rPr>
                    <w:rFonts w:ascii="Palatino Linotype" w:eastAsia="Palatino Linotype" w:hAnsi="Palatino Linotype" w:cs="Palatino Linotype"/>
                    <w:sz w:val="22"/>
                    <w:szCs w:val="22"/>
                  </w:rPr>
                </w:pPr>
              </w:p>
            </w:tc>
          </w:tr>
        </w:tbl>
        <w:p w:rsidR="003969A4" w:rsidRDefault="003969A4">
          <w:pPr>
            <w:tabs>
              <w:tab w:val="right" w:pos="8838"/>
            </w:tabs>
            <w:ind w:left="-28"/>
            <w:jc w:val="both"/>
            <w:rPr>
              <w:rFonts w:ascii="Arial" w:eastAsia="Arial" w:hAnsi="Arial" w:cs="Arial"/>
              <w:b/>
              <w:sz w:val="22"/>
              <w:szCs w:val="22"/>
            </w:rPr>
          </w:pPr>
        </w:p>
      </w:tc>
    </w:tr>
  </w:tbl>
  <w:p w:rsidR="003969A4" w:rsidRPr="00021080" w:rsidRDefault="0070049C" w:rsidP="00021080">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6.9pt;margin-top:-129.65pt;width:663.5pt;height:12in;z-index:-25165721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40" w:type="dxa"/>
      <w:tblLayout w:type="fixed"/>
      <w:tblLook w:val="0400" w:firstRow="0" w:lastRow="0" w:firstColumn="0" w:lastColumn="0" w:noHBand="0" w:noVBand="1"/>
    </w:tblPr>
    <w:tblGrid>
      <w:gridCol w:w="1560"/>
      <w:gridCol w:w="9780"/>
    </w:tblGrid>
    <w:tr w:rsidR="003969A4" w:rsidTr="00021080">
      <w:trPr>
        <w:trHeight w:val="1435"/>
      </w:trPr>
      <w:tc>
        <w:tcPr>
          <w:tcW w:w="1560" w:type="dxa"/>
          <w:shd w:val="clear" w:color="auto" w:fill="auto"/>
        </w:tcPr>
        <w:p w:rsidR="003969A4" w:rsidRDefault="003969A4">
          <w:pPr>
            <w:tabs>
              <w:tab w:val="right" w:pos="4273"/>
            </w:tabs>
            <w:rPr>
              <w:rFonts w:ascii="Garamond" w:eastAsia="Garamond" w:hAnsi="Garamond" w:cs="Garamond"/>
              <w:sz w:val="22"/>
              <w:szCs w:val="22"/>
            </w:rPr>
          </w:pPr>
        </w:p>
      </w:tc>
      <w:tc>
        <w:tcPr>
          <w:tcW w:w="9780" w:type="dxa"/>
          <w:shd w:val="clear" w:color="auto" w:fill="auto"/>
        </w:tcPr>
        <w:tbl>
          <w:tblPr>
            <w:tblW w:w="10462" w:type="dxa"/>
            <w:tblInd w:w="1167" w:type="dxa"/>
            <w:tblBorders>
              <w:top w:val="nil"/>
              <w:left w:val="nil"/>
              <w:bottom w:val="nil"/>
              <w:right w:val="nil"/>
              <w:insideH w:val="nil"/>
              <w:insideV w:val="nil"/>
            </w:tblBorders>
            <w:tblLayout w:type="fixed"/>
            <w:tblLook w:val="0400" w:firstRow="0" w:lastRow="0" w:firstColumn="0" w:lastColumn="0" w:noHBand="0" w:noVBand="1"/>
          </w:tblPr>
          <w:tblGrid>
            <w:gridCol w:w="2690"/>
            <w:gridCol w:w="5387"/>
            <w:gridCol w:w="2385"/>
          </w:tblGrid>
          <w:tr w:rsidR="003969A4" w:rsidTr="00021080">
            <w:trPr>
              <w:trHeight w:val="144"/>
            </w:trPr>
            <w:tc>
              <w:tcPr>
                <w:tcW w:w="2690" w:type="dxa"/>
              </w:tcPr>
              <w:p w:rsidR="003969A4" w:rsidRPr="00021080" w:rsidRDefault="003969A4">
                <w:pPr>
                  <w:tabs>
                    <w:tab w:val="right" w:pos="8838"/>
                  </w:tabs>
                  <w:ind w:left="-74" w:right="-105"/>
                  <w:rPr>
                    <w:rFonts w:ascii="Palatino Linotype" w:eastAsia="Palatino Linotype" w:hAnsi="Palatino Linotype" w:cs="Palatino Linotype"/>
                    <w:b/>
                    <w:szCs w:val="22"/>
                  </w:rPr>
                </w:pPr>
                <w:bookmarkStart w:id="15" w:name="_heading=h.lnxbz9" w:colFirst="0" w:colLast="0"/>
                <w:bookmarkEnd w:id="15"/>
                <w:r w:rsidRPr="00021080">
                  <w:rPr>
                    <w:rFonts w:ascii="Palatino Linotype" w:eastAsia="Palatino Linotype" w:hAnsi="Palatino Linotype" w:cs="Palatino Linotype"/>
                    <w:b/>
                    <w:szCs w:val="22"/>
                  </w:rPr>
                  <w:t>Recurso de Revisión:</w:t>
                </w:r>
              </w:p>
            </w:tc>
            <w:tc>
              <w:tcPr>
                <w:tcW w:w="5387" w:type="dxa"/>
              </w:tcPr>
              <w:p w:rsidR="003969A4" w:rsidRPr="00021080" w:rsidRDefault="003969A4" w:rsidP="00021080">
                <w:pPr>
                  <w:tabs>
                    <w:tab w:val="right" w:pos="8838"/>
                  </w:tabs>
                  <w:ind w:left="-3" w:right="-805"/>
                  <w:rPr>
                    <w:rFonts w:ascii="Palatino Linotype" w:eastAsia="Palatino Linotype" w:hAnsi="Palatino Linotype" w:cs="Palatino Linotype"/>
                    <w:szCs w:val="22"/>
                  </w:rPr>
                </w:pPr>
                <w:r w:rsidRPr="00021080">
                  <w:rPr>
                    <w:rFonts w:ascii="Palatino Linotype" w:eastAsia="Palatino Linotype" w:hAnsi="Palatino Linotype" w:cs="Palatino Linotype"/>
                    <w:szCs w:val="22"/>
                  </w:rPr>
                  <w:t>04338/INFOEM/IP/RR/2026 y Acumulados</w:t>
                </w:r>
              </w:p>
            </w:tc>
            <w:tc>
              <w:tcPr>
                <w:tcW w:w="2385" w:type="dxa"/>
              </w:tcPr>
              <w:p w:rsidR="003969A4" w:rsidRDefault="003969A4">
                <w:pPr>
                  <w:tabs>
                    <w:tab w:val="right" w:pos="8838"/>
                  </w:tabs>
                  <w:ind w:left="-74" w:right="-105"/>
                  <w:jc w:val="both"/>
                  <w:rPr>
                    <w:rFonts w:ascii="Palatino Linotype" w:eastAsia="Palatino Linotype" w:hAnsi="Palatino Linotype" w:cs="Palatino Linotype"/>
                    <w:sz w:val="22"/>
                    <w:szCs w:val="22"/>
                  </w:rPr>
                </w:pPr>
              </w:p>
            </w:tc>
          </w:tr>
          <w:tr w:rsidR="003969A4" w:rsidTr="00021080">
            <w:trPr>
              <w:trHeight w:val="144"/>
            </w:trPr>
            <w:tc>
              <w:tcPr>
                <w:tcW w:w="2690" w:type="dxa"/>
              </w:tcPr>
              <w:p w:rsidR="003969A4" w:rsidRPr="00021080" w:rsidRDefault="003969A4">
                <w:pPr>
                  <w:tabs>
                    <w:tab w:val="right" w:pos="8838"/>
                  </w:tabs>
                  <w:ind w:left="-74" w:right="-105"/>
                  <w:rPr>
                    <w:rFonts w:ascii="Palatino Linotype" w:eastAsia="Palatino Linotype" w:hAnsi="Palatino Linotype" w:cs="Palatino Linotype"/>
                    <w:b/>
                    <w:szCs w:val="22"/>
                  </w:rPr>
                </w:pPr>
                <w:bookmarkStart w:id="16" w:name="_heading=h.35nkun2" w:colFirst="0" w:colLast="0"/>
                <w:bookmarkEnd w:id="16"/>
                <w:r w:rsidRPr="00021080">
                  <w:rPr>
                    <w:rFonts w:ascii="Palatino Linotype" w:eastAsia="Palatino Linotype" w:hAnsi="Palatino Linotype" w:cs="Palatino Linotype"/>
                    <w:b/>
                    <w:szCs w:val="22"/>
                  </w:rPr>
                  <w:t>Recurrente:</w:t>
                </w:r>
              </w:p>
            </w:tc>
            <w:tc>
              <w:tcPr>
                <w:tcW w:w="5387" w:type="dxa"/>
              </w:tcPr>
              <w:p w:rsidR="003969A4" w:rsidRPr="00021080" w:rsidRDefault="000751ED">
                <w:pPr>
                  <w:tabs>
                    <w:tab w:val="left" w:pos="3122"/>
                    <w:tab w:val="right" w:pos="8838"/>
                  </w:tabs>
                  <w:ind w:right="-805"/>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c>
              <w:tcPr>
                <w:tcW w:w="2385" w:type="dxa"/>
              </w:tcPr>
              <w:p w:rsidR="003969A4" w:rsidRDefault="003969A4">
                <w:pPr>
                  <w:tabs>
                    <w:tab w:val="left" w:pos="3122"/>
                    <w:tab w:val="right" w:pos="8838"/>
                  </w:tabs>
                  <w:ind w:right="-105"/>
                  <w:jc w:val="both"/>
                  <w:rPr>
                    <w:rFonts w:ascii="Palatino Linotype" w:eastAsia="Palatino Linotype" w:hAnsi="Palatino Linotype" w:cs="Palatino Linotype"/>
                    <w:sz w:val="22"/>
                    <w:szCs w:val="22"/>
                  </w:rPr>
                </w:pPr>
              </w:p>
            </w:tc>
          </w:tr>
          <w:tr w:rsidR="003969A4" w:rsidTr="00021080">
            <w:trPr>
              <w:trHeight w:val="283"/>
            </w:trPr>
            <w:tc>
              <w:tcPr>
                <w:tcW w:w="2690" w:type="dxa"/>
              </w:tcPr>
              <w:p w:rsidR="003969A4" w:rsidRPr="00021080" w:rsidRDefault="003969A4">
                <w:pPr>
                  <w:tabs>
                    <w:tab w:val="right" w:pos="8838"/>
                  </w:tabs>
                  <w:ind w:left="-74" w:right="-105"/>
                  <w:rPr>
                    <w:rFonts w:ascii="Palatino Linotype" w:eastAsia="Palatino Linotype" w:hAnsi="Palatino Linotype" w:cs="Palatino Linotype"/>
                    <w:b/>
                    <w:szCs w:val="22"/>
                  </w:rPr>
                </w:pPr>
                <w:r w:rsidRPr="00021080">
                  <w:rPr>
                    <w:rFonts w:ascii="Palatino Linotype" w:eastAsia="Palatino Linotype" w:hAnsi="Palatino Linotype" w:cs="Palatino Linotype"/>
                    <w:b/>
                    <w:szCs w:val="22"/>
                  </w:rPr>
                  <w:t>Sujeto Obligado:</w:t>
                </w:r>
              </w:p>
            </w:tc>
            <w:tc>
              <w:tcPr>
                <w:tcW w:w="5387" w:type="dxa"/>
              </w:tcPr>
              <w:p w:rsidR="003969A4" w:rsidRPr="00021080" w:rsidRDefault="003969A4">
                <w:pPr>
                  <w:tabs>
                    <w:tab w:val="left" w:pos="2834"/>
                    <w:tab w:val="right" w:pos="8838"/>
                  </w:tabs>
                  <w:ind w:left="-3" w:right="-805"/>
                  <w:rPr>
                    <w:rFonts w:ascii="Palatino Linotype" w:eastAsia="Palatino Linotype" w:hAnsi="Palatino Linotype" w:cs="Palatino Linotype"/>
                    <w:szCs w:val="22"/>
                  </w:rPr>
                </w:pPr>
                <w:r w:rsidRPr="00021080">
                  <w:rPr>
                    <w:rFonts w:ascii="Palatino Linotype" w:eastAsia="Palatino Linotype" w:hAnsi="Palatino Linotype" w:cs="Palatino Linotype"/>
                    <w:szCs w:val="22"/>
                  </w:rPr>
                  <w:t>Ayuntamiento de Apaxco</w:t>
                </w:r>
              </w:p>
            </w:tc>
            <w:tc>
              <w:tcPr>
                <w:tcW w:w="2385" w:type="dxa"/>
              </w:tcPr>
              <w:p w:rsidR="003969A4" w:rsidRDefault="003969A4">
                <w:pPr>
                  <w:tabs>
                    <w:tab w:val="left" w:pos="2834"/>
                    <w:tab w:val="right" w:pos="8838"/>
                  </w:tabs>
                  <w:ind w:left="-74" w:right="-105"/>
                  <w:jc w:val="both"/>
                  <w:rPr>
                    <w:rFonts w:ascii="Palatino Linotype" w:eastAsia="Palatino Linotype" w:hAnsi="Palatino Linotype" w:cs="Palatino Linotype"/>
                    <w:sz w:val="22"/>
                    <w:szCs w:val="22"/>
                  </w:rPr>
                </w:pPr>
              </w:p>
            </w:tc>
          </w:tr>
          <w:tr w:rsidR="003969A4" w:rsidTr="00021080">
            <w:trPr>
              <w:trHeight w:val="283"/>
            </w:trPr>
            <w:tc>
              <w:tcPr>
                <w:tcW w:w="2690" w:type="dxa"/>
              </w:tcPr>
              <w:p w:rsidR="003969A4" w:rsidRPr="00021080" w:rsidRDefault="003969A4">
                <w:pPr>
                  <w:tabs>
                    <w:tab w:val="right" w:pos="8838"/>
                  </w:tabs>
                  <w:ind w:left="-74" w:right="-105"/>
                  <w:rPr>
                    <w:rFonts w:ascii="Palatino Linotype" w:eastAsia="Palatino Linotype" w:hAnsi="Palatino Linotype" w:cs="Palatino Linotype"/>
                    <w:b/>
                    <w:szCs w:val="22"/>
                  </w:rPr>
                </w:pPr>
                <w:r w:rsidRPr="00021080">
                  <w:rPr>
                    <w:rFonts w:ascii="Palatino Linotype" w:eastAsia="Palatino Linotype" w:hAnsi="Palatino Linotype" w:cs="Palatino Linotype"/>
                    <w:b/>
                    <w:szCs w:val="22"/>
                  </w:rPr>
                  <w:t>Comisionada Ponente:</w:t>
                </w:r>
              </w:p>
            </w:tc>
            <w:tc>
              <w:tcPr>
                <w:tcW w:w="5387" w:type="dxa"/>
              </w:tcPr>
              <w:p w:rsidR="003969A4" w:rsidRPr="00021080" w:rsidRDefault="003969A4">
                <w:pPr>
                  <w:tabs>
                    <w:tab w:val="right" w:pos="8838"/>
                  </w:tabs>
                  <w:ind w:left="-3" w:right="-805"/>
                  <w:rPr>
                    <w:rFonts w:ascii="Palatino Linotype" w:eastAsia="Palatino Linotype" w:hAnsi="Palatino Linotype" w:cs="Palatino Linotype"/>
                    <w:szCs w:val="22"/>
                  </w:rPr>
                </w:pPr>
                <w:r w:rsidRPr="00021080">
                  <w:rPr>
                    <w:rFonts w:ascii="Palatino Linotype" w:eastAsia="Palatino Linotype" w:hAnsi="Palatino Linotype" w:cs="Palatino Linotype"/>
                    <w:szCs w:val="22"/>
                  </w:rPr>
                  <w:t>María del Rosario Mejía Ayala</w:t>
                </w:r>
              </w:p>
            </w:tc>
            <w:tc>
              <w:tcPr>
                <w:tcW w:w="2385" w:type="dxa"/>
              </w:tcPr>
              <w:p w:rsidR="003969A4" w:rsidRDefault="003969A4">
                <w:pPr>
                  <w:tabs>
                    <w:tab w:val="right" w:pos="8838"/>
                  </w:tabs>
                  <w:ind w:left="-74" w:right="-105"/>
                  <w:jc w:val="both"/>
                  <w:rPr>
                    <w:rFonts w:ascii="Palatino Linotype" w:eastAsia="Palatino Linotype" w:hAnsi="Palatino Linotype" w:cs="Palatino Linotype"/>
                    <w:sz w:val="22"/>
                    <w:szCs w:val="22"/>
                  </w:rPr>
                </w:pPr>
              </w:p>
            </w:tc>
          </w:tr>
        </w:tbl>
        <w:p w:rsidR="003969A4" w:rsidRDefault="003969A4">
          <w:pPr>
            <w:tabs>
              <w:tab w:val="right" w:pos="8838"/>
            </w:tabs>
            <w:ind w:left="-28"/>
            <w:jc w:val="both"/>
            <w:rPr>
              <w:rFonts w:ascii="Arial" w:eastAsia="Arial" w:hAnsi="Arial" w:cs="Arial"/>
              <w:b/>
              <w:sz w:val="22"/>
              <w:szCs w:val="22"/>
            </w:rPr>
          </w:pPr>
        </w:p>
      </w:tc>
    </w:tr>
  </w:tbl>
  <w:p w:rsidR="003969A4" w:rsidRPr="00021080" w:rsidRDefault="0070049C">
    <w:pPr>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9.2pt;margin-top:-145.15pt;width:663.5pt;height:12in;z-index:-25165619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4838D8"/>
    <w:multiLevelType w:val="hybridMultilevel"/>
    <w:tmpl w:val="E004B9F2"/>
    <w:lvl w:ilvl="0" w:tplc="EBACBF32">
      <w:start w:val="25"/>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E214669"/>
    <w:multiLevelType w:val="hybridMultilevel"/>
    <w:tmpl w:val="FA008B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BE300C"/>
    <w:multiLevelType w:val="multilevel"/>
    <w:tmpl w:val="08CAB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5D6F45"/>
    <w:multiLevelType w:val="hybridMultilevel"/>
    <w:tmpl w:val="9D3C8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9365D8"/>
    <w:multiLevelType w:val="multilevel"/>
    <w:tmpl w:val="D902CC2E"/>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0767B2"/>
    <w:multiLevelType w:val="multilevel"/>
    <w:tmpl w:val="D1E6EA7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B20654"/>
    <w:multiLevelType w:val="hybridMultilevel"/>
    <w:tmpl w:val="35D82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1775DB2"/>
    <w:multiLevelType w:val="hybridMultilevel"/>
    <w:tmpl w:val="6ECA9CB4"/>
    <w:lvl w:ilvl="0" w:tplc="EF2E7C8A">
      <w:numFmt w:val="bullet"/>
      <w:lvlText w:val="-"/>
      <w:lvlJc w:val="left"/>
      <w:pPr>
        <w:ind w:left="720" w:hanging="360"/>
      </w:pPr>
      <w:rPr>
        <w:rFonts w:ascii="Palatino Linotype" w:eastAsia="Times New Roman" w:hAnsi="Palatino Linotype" w:cs="Times New Roman" w:hint="default"/>
        <w:i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317490"/>
    <w:multiLevelType w:val="hybridMultilevel"/>
    <w:tmpl w:val="10866472"/>
    <w:lvl w:ilvl="0" w:tplc="E6E6863C">
      <w:start w:val="1"/>
      <w:numFmt w:val="decimal"/>
      <w:lvlText w:val="%1."/>
      <w:lvlJc w:val="left"/>
      <w:pPr>
        <w:ind w:left="360" w:hanging="360"/>
      </w:pPr>
      <w:rPr>
        <w:rFonts w:ascii="Palatino Linotype" w:hAnsi="Palatino Linotype" w:hint="default"/>
        <w:b/>
        <w:i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932FB3"/>
    <w:multiLevelType w:val="multilevel"/>
    <w:tmpl w:val="291C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41FF0"/>
    <w:multiLevelType w:val="hybridMultilevel"/>
    <w:tmpl w:val="48C4E1CC"/>
    <w:lvl w:ilvl="0" w:tplc="EF2E7C8A">
      <w:numFmt w:val="bullet"/>
      <w:lvlText w:val="-"/>
      <w:lvlJc w:val="left"/>
      <w:pPr>
        <w:ind w:left="720" w:hanging="360"/>
      </w:pPr>
      <w:rPr>
        <w:rFonts w:ascii="Palatino Linotype" w:eastAsia="Times New Roman" w:hAnsi="Palatino Linotype" w:cs="Times New Roman" w:hint="default"/>
        <w:i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8C614B4"/>
    <w:multiLevelType w:val="multilevel"/>
    <w:tmpl w:val="D040A7CC"/>
    <w:lvl w:ilvl="0">
      <w:start w:val="32"/>
      <w:numFmt w:val="bullet"/>
      <w:lvlText w:val="-"/>
      <w:lvlJc w:val="left"/>
      <w:pPr>
        <w:ind w:left="1080" w:hanging="360"/>
      </w:pPr>
      <w:rPr>
        <w:rFonts w:ascii="Palatino Linotype" w:eastAsia="Palatino Linotype" w:hAnsi="Palatino Linotype" w:cs="Palatino Linotype"/>
        <w:b w:val="0"/>
        <w:u w:val="no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42556F6"/>
    <w:multiLevelType w:val="multilevel"/>
    <w:tmpl w:val="E5A6C7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4452D09"/>
    <w:multiLevelType w:val="multilevel"/>
    <w:tmpl w:val="0088C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5812153"/>
    <w:multiLevelType w:val="multilevel"/>
    <w:tmpl w:val="3E84CC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3"/>
  </w:num>
  <w:num w:numId="3">
    <w:abstractNumId w:val="14"/>
  </w:num>
  <w:num w:numId="4">
    <w:abstractNumId w:val="3"/>
  </w:num>
  <w:num w:numId="5">
    <w:abstractNumId w:val="5"/>
  </w:num>
  <w:num w:numId="6">
    <w:abstractNumId w:val="15"/>
  </w:num>
  <w:num w:numId="7">
    <w:abstractNumId w:val="16"/>
  </w:num>
  <w:num w:numId="8">
    <w:abstractNumId w:val="12"/>
  </w:num>
  <w:num w:numId="9">
    <w:abstractNumId w:val="8"/>
  </w:num>
  <w:num w:numId="10">
    <w:abstractNumId w:val="11"/>
  </w:num>
  <w:num w:numId="11">
    <w:abstractNumId w:val="0"/>
  </w:num>
  <w:num w:numId="12">
    <w:abstractNumId w:val="9"/>
  </w:num>
  <w:num w:numId="13">
    <w:abstractNumId w:val="2"/>
  </w:num>
  <w:num w:numId="14">
    <w:abstractNumId w:val="10"/>
  </w:num>
  <w:num w:numId="15">
    <w:abstractNumId w:val="4"/>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C16"/>
    <w:rsid w:val="00021080"/>
    <w:rsid w:val="000659FF"/>
    <w:rsid w:val="000751ED"/>
    <w:rsid w:val="000E1968"/>
    <w:rsid w:val="000E231F"/>
    <w:rsid w:val="001B6A11"/>
    <w:rsid w:val="001C281B"/>
    <w:rsid w:val="00211CD9"/>
    <w:rsid w:val="00212DAB"/>
    <w:rsid w:val="00267602"/>
    <w:rsid w:val="00287A82"/>
    <w:rsid w:val="002B48C6"/>
    <w:rsid w:val="003969A4"/>
    <w:rsid w:val="00433F60"/>
    <w:rsid w:val="004344C5"/>
    <w:rsid w:val="00472537"/>
    <w:rsid w:val="004A2DCD"/>
    <w:rsid w:val="004F4D47"/>
    <w:rsid w:val="005C72B4"/>
    <w:rsid w:val="006E65D4"/>
    <w:rsid w:val="0070049C"/>
    <w:rsid w:val="00726426"/>
    <w:rsid w:val="007402C5"/>
    <w:rsid w:val="007922BD"/>
    <w:rsid w:val="007A62BA"/>
    <w:rsid w:val="007F77BE"/>
    <w:rsid w:val="008204EF"/>
    <w:rsid w:val="00820CD1"/>
    <w:rsid w:val="00866747"/>
    <w:rsid w:val="008676E8"/>
    <w:rsid w:val="008B70AB"/>
    <w:rsid w:val="00942300"/>
    <w:rsid w:val="00954C16"/>
    <w:rsid w:val="00986E36"/>
    <w:rsid w:val="009F0465"/>
    <w:rsid w:val="00C76702"/>
    <w:rsid w:val="00CD6828"/>
    <w:rsid w:val="00CF37FA"/>
    <w:rsid w:val="00D75C23"/>
    <w:rsid w:val="00DD235C"/>
    <w:rsid w:val="00E53E23"/>
    <w:rsid w:val="00E760DC"/>
    <w:rsid w:val="00F44B81"/>
    <w:rsid w:val="00F868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49A012C-822A-4AFD-9466-29488946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54C1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954C16"/>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954C16"/>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link w:val="Ttulo3Car"/>
    <w:uiPriority w:val="9"/>
    <w:unhideWhenUsed/>
    <w:qFormat/>
    <w:rsid w:val="008676E8"/>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54C16"/>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954C16"/>
    <w:rPr>
      <w:rFonts w:ascii="Calibri" w:eastAsia="Calibri" w:hAnsi="Calibri" w:cs="Calibri"/>
      <w:color w:val="2E75B5"/>
      <w:sz w:val="26"/>
      <w:szCs w:val="26"/>
      <w:lang w:eastAsia="es-MX"/>
    </w:rPr>
  </w:style>
  <w:style w:type="paragraph" w:styleId="Piedepgina">
    <w:name w:val="footer"/>
    <w:basedOn w:val="Normal"/>
    <w:link w:val="PiedepginaCar"/>
    <w:uiPriority w:val="99"/>
    <w:unhideWhenUsed/>
    <w:rsid w:val="00954C16"/>
    <w:pPr>
      <w:tabs>
        <w:tab w:val="center" w:pos="4419"/>
        <w:tab w:val="right" w:pos="8838"/>
      </w:tabs>
    </w:pPr>
  </w:style>
  <w:style w:type="character" w:customStyle="1" w:styleId="PiedepginaCar">
    <w:name w:val="Pie de página Car"/>
    <w:basedOn w:val="Fuentedeprrafopredeter"/>
    <w:link w:val="Piedepgina"/>
    <w:uiPriority w:val="99"/>
    <w:rsid w:val="00954C16"/>
    <w:rPr>
      <w:rFonts w:ascii="Times New Roman" w:eastAsia="Times New Roman" w:hAnsi="Times New Roman" w:cs="Times New Roman"/>
      <w:sz w:val="24"/>
      <w:szCs w:val="24"/>
      <w:lang w:eastAsia="es-MX"/>
    </w:rPr>
  </w:style>
  <w:style w:type="table" w:styleId="Tablaconcuadrcula">
    <w:name w:val="Table Grid"/>
    <w:basedOn w:val="Tablanormal"/>
    <w:uiPriority w:val="39"/>
    <w:rsid w:val="00954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954C1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
    <w:name w:val="Hyperlink"/>
    <w:basedOn w:val="Fuentedeprrafopredeter"/>
    <w:uiPriority w:val="99"/>
    <w:unhideWhenUsed/>
    <w:rsid w:val="00942300"/>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300"/>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11CD9"/>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rsid w:val="008676E8"/>
    <w:rPr>
      <w:rFonts w:asciiTheme="majorHAnsi" w:eastAsiaTheme="majorEastAsia" w:hAnsiTheme="majorHAnsi" w:cstheme="majorBidi"/>
      <w:color w:val="1F4D78" w:themeColor="accent1" w:themeShade="7F"/>
      <w:sz w:val="24"/>
      <w:szCs w:val="24"/>
      <w:lang w:val="es-ES_tradnl"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8676E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8676E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8676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2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46096.page" TargetMode="External"/><Relationship Id="rId13" Type="http://schemas.openxmlformats.org/officeDocument/2006/relationships/hyperlink" Target="https://saimex.org.mx/saimex/solicitud/downloadAttach/2747563.pag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saimex.org.mx/saimex/solicitud/downloadAttach/2746095.page" TargetMode="External"/><Relationship Id="rId12" Type="http://schemas.openxmlformats.org/officeDocument/2006/relationships/hyperlink" Target="https://saimex.org.mx/saimex/solicitud/downloadAttach/2746106.pag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avascript:abrirAcuse(771611);"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imex.org.mx/saimex/solicitud/downloadAttach/2746105.page" TargetMode="External"/><Relationship Id="rId5" Type="http://schemas.openxmlformats.org/officeDocument/2006/relationships/footnotes" Target="footnotes.xml"/><Relationship Id="rId15" Type="http://schemas.openxmlformats.org/officeDocument/2006/relationships/hyperlink" Target="javascript:abrirAcuse(771609);" TargetMode="External"/><Relationship Id="rId23" Type="http://schemas.openxmlformats.org/officeDocument/2006/relationships/theme" Target="theme/theme1.xml"/><Relationship Id="rId10" Type="http://schemas.openxmlformats.org/officeDocument/2006/relationships/hyperlink" Target="https://saimex.org.mx/saimex/solicitud/downloadAttach/2746100.pag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aimex.org.mx/saimex/solicitud/downloadAttach/2746099.page" TargetMode="External"/><Relationship Id="rId14" Type="http://schemas.openxmlformats.org/officeDocument/2006/relationships/hyperlink" Target="javascript:abrirAcuse(771608);"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43</Pages>
  <Words>10013</Words>
  <Characters>55077</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2026-06-29T16:01:00Z</cp:lastPrinted>
  <dcterms:created xsi:type="dcterms:W3CDTF">2026-06-22T19:10:00Z</dcterms:created>
  <dcterms:modified xsi:type="dcterms:W3CDTF">2026-07-03T17:26:00Z</dcterms:modified>
</cp:coreProperties>
</file>