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449" w:rsidRPr="00BE50A6" w:rsidRDefault="00C41EBC">
      <w:pPr>
        <w:tabs>
          <w:tab w:val="left" w:pos="3465"/>
        </w:tabs>
        <w:spacing w:line="360" w:lineRule="auto"/>
        <w:ind w:right="-787"/>
        <w:jc w:val="both"/>
        <w:rPr>
          <w:rFonts w:ascii="Palatino Linotype" w:eastAsia="Palatino Linotype" w:hAnsi="Palatino Linotype" w:cs="Palatino Linotype"/>
          <w:b/>
        </w:rPr>
      </w:pPr>
      <w:r w:rsidRPr="00BE50A6">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w:t>
      </w:r>
      <w:r w:rsidR="0039564D" w:rsidRPr="00BE50A6">
        <w:rPr>
          <w:rFonts w:ascii="Palatino Linotype" w:eastAsia="Palatino Linotype" w:hAnsi="Palatino Linotype" w:cs="Palatino Linotype"/>
        </w:rPr>
        <w:t xml:space="preserve">e México; de </w:t>
      </w:r>
      <w:r w:rsidR="0039564D" w:rsidRPr="00BE50A6">
        <w:rPr>
          <w:rFonts w:ascii="Palatino Linotype" w:eastAsia="Palatino Linotype" w:hAnsi="Palatino Linotype" w:cs="Palatino Linotype"/>
          <w:b/>
        </w:rPr>
        <w:t>fecha tres</w:t>
      </w:r>
      <w:r w:rsidR="00BE50A6" w:rsidRPr="00BE50A6">
        <w:rPr>
          <w:rFonts w:ascii="Palatino Linotype" w:eastAsia="Palatino Linotype" w:hAnsi="Palatino Linotype" w:cs="Palatino Linotype"/>
          <w:b/>
        </w:rPr>
        <w:t xml:space="preserve"> (03)</w:t>
      </w:r>
      <w:r w:rsidR="0039564D" w:rsidRPr="00BE50A6">
        <w:rPr>
          <w:rFonts w:ascii="Palatino Linotype" w:eastAsia="Palatino Linotype" w:hAnsi="Palatino Linotype" w:cs="Palatino Linotype"/>
          <w:b/>
        </w:rPr>
        <w:t xml:space="preserve"> de junio de </w:t>
      </w:r>
      <w:r w:rsidR="001B003B" w:rsidRPr="00BE50A6">
        <w:rPr>
          <w:rFonts w:ascii="Palatino Linotype" w:eastAsia="Palatino Linotype" w:hAnsi="Palatino Linotype" w:cs="Palatino Linotype"/>
          <w:b/>
        </w:rPr>
        <w:t>dos mil veintiséis</w:t>
      </w:r>
      <w:r w:rsidRPr="00BE50A6">
        <w:rPr>
          <w:rFonts w:ascii="Palatino Linotype" w:eastAsia="Palatino Linotype" w:hAnsi="Palatino Linotype" w:cs="Palatino Linotype"/>
          <w:b/>
        </w:rPr>
        <w:t>.</w:t>
      </w:r>
    </w:p>
    <w:p w:rsidR="00B66449" w:rsidRPr="00BE50A6" w:rsidRDefault="00B66449">
      <w:pPr>
        <w:tabs>
          <w:tab w:val="left" w:pos="3465"/>
        </w:tabs>
        <w:spacing w:line="360" w:lineRule="auto"/>
        <w:ind w:right="-787"/>
        <w:jc w:val="both"/>
        <w:rPr>
          <w:rFonts w:ascii="Palatino Linotype" w:eastAsia="Palatino Linotype" w:hAnsi="Palatino Linotype" w:cs="Palatino Linotype"/>
        </w:rPr>
      </w:pPr>
    </w:p>
    <w:p w:rsidR="00B66449" w:rsidRPr="00BE50A6" w:rsidRDefault="00C41EBC">
      <w:pPr>
        <w:spacing w:line="360" w:lineRule="auto"/>
        <w:ind w:right="-787"/>
        <w:jc w:val="both"/>
        <w:rPr>
          <w:rFonts w:ascii="Palatino Linotype" w:eastAsia="Palatino Linotype" w:hAnsi="Palatino Linotype" w:cs="Palatino Linotype"/>
        </w:rPr>
      </w:pPr>
      <w:r w:rsidRPr="00BE50A6">
        <w:rPr>
          <w:rFonts w:ascii="Palatino Linotype" w:eastAsia="Palatino Linotype" w:hAnsi="Palatino Linotype" w:cs="Palatino Linotype"/>
          <w:b/>
        </w:rPr>
        <w:t xml:space="preserve">VISTAS </w:t>
      </w:r>
      <w:r w:rsidRPr="00BE50A6">
        <w:rPr>
          <w:rFonts w:ascii="Palatino Linotype" w:eastAsia="Palatino Linotype" w:hAnsi="Palatino Linotype" w:cs="Palatino Linotype"/>
        </w:rPr>
        <w:t xml:space="preserve">las constancias para resolver </w:t>
      </w:r>
      <w:r w:rsidRPr="00BE50A6">
        <w:rPr>
          <w:rFonts w:ascii="Palatino Linotype" w:eastAsia="Palatino Linotype" w:hAnsi="Palatino Linotype" w:cs="Palatino Linotype"/>
          <w:color w:val="000000"/>
        </w:rPr>
        <w:t xml:space="preserve">el Recurso de Revisión </w:t>
      </w:r>
      <w:r w:rsidR="00A2205A" w:rsidRPr="00BE50A6">
        <w:rPr>
          <w:rFonts w:ascii="Palatino Linotype" w:eastAsia="Palatino Linotype" w:hAnsi="Palatino Linotype" w:cs="Palatino Linotype"/>
          <w:b/>
          <w:color w:val="000000"/>
        </w:rPr>
        <w:t>14353</w:t>
      </w:r>
      <w:r w:rsidRPr="00BE50A6">
        <w:rPr>
          <w:rFonts w:ascii="Palatino Linotype" w:eastAsia="Palatino Linotype" w:hAnsi="Palatino Linotype" w:cs="Palatino Linotype"/>
          <w:b/>
          <w:color w:val="000000"/>
        </w:rPr>
        <w:t>/INFOEM/IP/RR/2025</w:t>
      </w:r>
      <w:r w:rsidRPr="00BE50A6">
        <w:rPr>
          <w:rFonts w:ascii="Palatino Linotype" w:eastAsia="Palatino Linotype" w:hAnsi="Palatino Linotype" w:cs="Palatino Linotype"/>
          <w:color w:val="000000"/>
        </w:rPr>
        <w:t xml:space="preserve">, promovido por </w:t>
      </w:r>
      <w:r w:rsidR="0084009E">
        <w:rPr>
          <w:rFonts w:ascii="Palatino Linotype" w:eastAsia="Palatino Linotype" w:hAnsi="Palatino Linotype" w:cs="Palatino Linotype"/>
          <w:b/>
          <w:color w:val="000000"/>
        </w:rPr>
        <w:t>XXXX</w:t>
      </w:r>
      <w:r w:rsidRPr="00BE50A6">
        <w:rPr>
          <w:rFonts w:ascii="Palatino Linotype" w:eastAsia="Palatino Linotype" w:hAnsi="Palatino Linotype" w:cs="Palatino Linotype"/>
          <w:color w:val="000000"/>
        </w:rPr>
        <w:t>,</w:t>
      </w:r>
      <w:r w:rsidRPr="00BE50A6">
        <w:rPr>
          <w:rFonts w:ascii="Palatino Linotype" w:eastAsia="Palatino Linotype" w:hAnsi="Palatino Linotype" w:cs="Palatino Linotype"/>
        </w:rPr>
        <w:t xml:space="preserve"> en lo sucesivo </w:t>
      </w:r>
      <w:r w:rsidR="00A2205A" w:rsidRPr="00BE50A6">
        <w:rPr>
          <w:rFonts w:ascii="Palatino Linotype" w:eastAsia="Palatino Linotype" w:hAnsi="Palatino Linotype" w:cs="Palatino Linotype"/>
          <w:b/>
        </w:rPr>
        <w:t>LA</w:t>
      </w:r>
      <w:r w:rsidRPr="00BE50A6">
        <w:rPr>
          <w:rFonts w:ascii="Palatino Linotype" w:eastAsia="Palatino Linotype" w:hAnsi="Palatino Linotype" w:cs="Palatino Linotype"/>
          <w:b/>
        </w:rPr>
        <w:t xml:space="preserve"> RECURRENTE</w:t>
      </w:r>
      <w:r w:rsidRPr="00BE50A6">
        <w:rPr>
          <w:rFonts w:ascii="Palatino Linotype" w:eastAsia="Palatino Linotype" w:hAnsi="Palatino Linotype" w:cs="Palatino Linotype"/>
        </w:rPr>
        <w:t xml:space="preserve">, en contra de la respuesta otorgada a la solicitud de información </w:t>
      </w:r>
      <w:r w:rsidR="00A2205A" w:rsidRPr="00BE50A6">
        <w:rPr>
          <w:rFonts w:ascii="Palatino Linotype" w:eastAsia="Palatino Linotype" w:hAnsi="Palatino Linotype" w:cs="Palatino Linotype"/>
          <w:b/>
        </w:rPr>
        <w:t>00534/ATLACOM/IP/2025</w:t>
      </w:r>
      <w:r w:rsidRPr="00BE50A6">
        <w:rPr>
          <w:rFonts w:ascii="Palatino Linotype" w:eastAsia="Palatino Linotype" w:hAnsi="Palatino Linotype" w:cs="Palatino Linotype"/>
        </w:rPr>
        <w:t xml:space="preserve">, por parte del </w:t>
      </w:r>
      <w:r w:rsidRPr="00BE50A6">
        <w:rPr>
          <w:rFonts w:ascii="Palatino Linotype" w:eastAsia="Palatino Linotype" w:hAnsi="Palatino Linotype" w:cs="Palatino Linotype"/>
          <w:b/>
        </w:rPr>
        <w:t xml:space="preserve">Ayuntamiento de Atlacomulco, </w:t>
      </w:r>
      <w:r w:rsidRPr="00BE50A6">
        <w:rPr>
          <w:rFonts w:ascii="Palatino Linotype" w:eastAsia="Palatino Linotype" w:hAnsi="Palatino Linotype" w:cs="Palatino Linotype"/>
        </w:rPr>
        <w:t xml:space="preserve">en adelante el </w:t>
      </w:r>
      <w:r w:rsidRPr="00BE50A6">
        <w:rPr>
          <w:rFonts w:ascii="Palatino Linotype" w:eastAsia="Palatino Linotype" w:hAnsi="Palatino Linotype" w:cs="Palatino Linotype"/>
          <w:b/>
        </w:rPr>
        <w:t>SUJETO OBLIGADO</w:t>
      </w:r>
      <w:r w:rsidRPr="00BE50A6">
        <w:rPr>
          <w:rFonts w:ascii="Palatino Linotype" w:eastAsia="Palatino Linotype" w:hAnsi="Palatino Linotype" w:cs="Palatino Linotype"/>
        </w:rPr>
        <w:t>, se emite la presente resolución con base en los siguientes:</w:t>
      </w:r>
    </w:p>
    <w:p w:rsidR="00B66449" w:rsidRPr="00BE50A6" w:rsidRDefault="00B66449">
      <w:pPr>
        <w:spacing w:line="360" w:lineRule="auto"/>
        <w:ind w:right="-787"/>
        <w:jc w:val="both"/>
        <w:rPr>
          <w:rFonts w:ascii="Palatino Linotype" w:eastAsia="Palatino Linotype" w:hAnsi="Palatino Linotype" w:cs="Palatino Linotype"/>
        </w:rPr>
      </w:pPr>
    </w:p>
    <w:p w:rsidR="00B66449" w:rsidRPr="00BE50A6" w:rsidRDefault="00C41EBC">
      <w:pPr>
        <w:pStyle w:val="Ttulo1"/>
        <w:spacing w:before="0" w:line="360" w:lineRule="auto"/>
        <w:ind w:right="-787"/>
        <w:jc w:val="center"/>
        <w:rPr>
          <w:rFonts w:ascii="Palatino Linotype" w:eastAsia="Palatino Linotype" w:hAnsi="Palatino Linotype" w:cs="Palatino Linotype"/>
          <w:b/>
          <w:color w:val="000000"/>
          <w:sz w:val="24"/>
          <w:szCs w:val="24"/>
        </w:rPr>
      </w:pPr>
      <w:bookmarkStart w:id="0" w:name="_heading=h.gjdgxs" w:colFirst="0" w:colLast="0"/>
      <w:bookmarkEnd w:id="0"/>
      <w:r w:rsidRPr="00BE50A6">
        <w:rPr>
          <w:rFonts w:ascii="Palatino Linotype" w:eastAsia="Palatino Linotype" w:hAnsi="Palatino Linotype" w:cs="Palatino Linotype"/>
          <w:b/>
          <w:color w:val="000000"/>
          <w:sz w:val="24"/>
          <w:szCs w:val="24"/>
        </w:rPr>
        <w:t>A N T E C E D E N T E S</w:t>
      </w:r>
    </w:p>
    <w:p w:rsidR="00B66449" w:rsidRPr="00BE50A6" w:rsidRDefault="00B66449">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B66449" w:rsidRPr="00BE50A6" w:rsidRDefault="00C41EBC">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 xml:space="preserve">El </w:t>
      </w:r>
      <w:r w:rsidR="00A2205A" w:rsidRPr="00BE50A6">
        <w:rPr>
          <w:rFonts w:ascii="Palatino Linotype" w:eastAsia="Palatino Linotype" w:hAnsi="Palatino Linotype" w:cs="Palatino Linotype"/>
          <w:b/>
          <w:color w:val="000000"/>
        </w:rPr>
        <w:t>veintiuno de noviembre</w:t>
      </w:r>
      <w:r w:rsidRPr="00BE50A6">
        <w:rPr>
          <w:rFonts w:ascii="Palatino Linotype" w:eastAsia="Palatino Linotype" w:hAnsi="Palatino Linotype" w:cs="Palatino Linotype"/>
          <w:b/>
          <w:color w:val="000000"/>
        </w:rPr>
        <w:t xml:space="preserve"> de dos mil veinticinco</w:t>
      </w:r>
      <w:r w:rsidRPr="00BE50A6">
        <w:rPr>
          <w:rFonts w:ascii="Palatino Linotype" w:eastAsia="Palatino Linotype" w:hAnsi="Palatino Linotype" w:cs="Palatino Linotype"/>
          <w:color w:val="000000"/>
        </w:rPr>
        <w:t>,</w:t>
      </w:r>
      <w:r w:rsidRPr="00BE50A6">
        <w:rPr>
          <w:rFonts w:ascii="Palatino Linotype" w:eastAsia="Palatino Linotype" w:hAnsi="Palatino Linotype" w:cs="Palatino Linotype"/>
          <w:b/>
          <w:color w:val="000000"/>
        </w:rPr>
        <w:t xml:space="preserve"> </w:t>
      </w:r>
      <w:r w:rsidRPr="00BE50A6">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BE50A6">
        <w:rPr>
          <w:rFonts w:ascii="Palatino Linotype" w:eastAsia="Palatino Linotype" w:hAnsi="Palatino Linotype" w:cs="Palatino Linotype"/>
          <w:b/>
          <w:color w:val="000000"/>
        </w:rPr>
        <w:t>solicitud de información pública</w:t>
      </w:r>
      <w:r w:rsidRPr="00BE50A6">
        <w:rPr>
          <w:rFonts w:ascii="Palatino Linotype" w:eastAsia="Palatino Linotype" w:hAnsi="Palatino Linotype" w:cs="Palatino Linotype"/>
          <w:color w:val="000000"/>
        </w:rPr>
        <w:t>:</w:t>
      </w:r>
    </w:p>
    <w:p w:rsidR="00B66449" w:rsidRPr="00BE50A6" w:rsidRDefault="00B66449">
      <w:pPr>
        <w:pBdr>
          <w:top w:val="nil"/>
          <w:left w:val="nil"/>
          <w:bottom w:val="nil"/>
          <w:right w:val="nil"/>
          <w:between w:val="nil"/>
        </w:pBdr>
        <w:ind w:right="-788"/>
        <w:jc w:val="both"/>
        <w:rPr>
          <w:rFonts w:ascii="Palatino Linotype" w:eastAsia="Palatino Linotype" w:hAnsi="Palatino Linotype" w:cs="Palatino Linotype"/>
          <w:color w:val="000000"/>
        </w:rPr>
      </w:pPr>
    </w:p>
    <w:p w:rsidR="00B66449" w:rsidRPr="00BE50A6" w:rsidRDefault="00C41EBC">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BE50A6">
        <w:rPr>
          <w:rFonts w:ascii="Palatino Linotype" w:eastAsia="Palatino Linotype" w:hAnsi="Palatino Linotype" w:cs="Palatino Linotype"/>
          <w:i/>
          <w:color w:val="000000"/>
        </w:rPr>
        <w:t xml:space="preserve"> “</w:t>
      </w:r>
      <w:r w:rsidR="00A2205A" w:rsidRPr="00BE50A6">
        <w:rPr>
          <w:rFonts w:ascii="Palatino Linotype" w:eastAsia="Palatino Linotype" w:hAnsi="Palatino Linotype" w:cs="Palatino Linotype"/>
          <w:i/>
          <w:color w:val="000000"/>
        </w:rPr>
        <w:t>solicito el manual de procedimientos de adquisiciones, o el relativo a cualquier manual de adquisiciones que tengan elaborado, del 2021, 2022, 2023, 2024 y 2025,</w:t>
      </w:r>
      <w:r w:rsidRPr="00BE50A6">
        <w:rPr>
          <w:rFonts w:ascii="Palatino Linotype" w:eastAsia="Palatino Linotype" w:hAnsi="Palatino Linotype" w:cs="Palatino Linotype"/>
          <w:i/>
          <w:color w:val="000000"/>
        </w:rPr>
        <w:t>” (Sic)</w:t>
      </w:r>
    </w:p>
    <w:p w:rsidR="00B66449" w:rsidRPr="00BE50A6" w:rsidRDefault="00B66449">
      <w:pPr>
        <w:pBdr>
          <w:top w:val="nil"/>
          <w:left w:val="nil"/>
          <w:bottom w:val="nil"/>
          <w:right w:val="nil"/>
          <w:between w:val="nil"/>
        </w:pBdr>
        <w:ind w:right="-787"/>
        <w:jc w:val="both"/>
        <w:rPr>
          <w:rFonts w:ascii="Palatino Linotype" w:eastAsia="Palatino Linotype" w:hAnsi="Palatino Linotype" w:cs="Palatino Linotype"/>
          <w:i/>
          <w:color w:val="000000"/>
        </w:rPr>
      </w:pPr>
    </w:p>
    <w:p w:rsidR="00BE50A6" w:rsidRPr="00BE50A6" w:rsidRDefault="00BE50A6">
      <w:pPr>
        <w:pBdr>
          <w:top w:val="nil"/>
          <w:left w:val="nil"/>
          <w:bottom w:val="nil"/>
          <w:right w:val="nil"/>
          <w:between w:val="nil"/>
        </w:pBdr>
        <w:ind w:right="-787"/>
        <w:jc w:val="both"/>
        <w:rPr>
          <w:rFonts w:ascii="Palatino Linotype" w:eastAsia="Palatino Linotype" w:hAnsi="Palatino Linotype" w:cs="Palatino Linotype"/>
          <w:i/>
          <w:color w:val="000000"/>
        </w:rPr>
      </w:pPr>
    </w:p>
    <w:p w:rsidR="00B66449" w:rsidRPr="00BE50A6" w:rsidRDefault="00C41EBC">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 xml:space="preserve">Se eligió como modalidad de entrega de la información: A través del </w:t>
      </w:r>
      <w:r w:rsidRPr="00BE50A6">
        <w:rPr>
          <w:rFonts w:ascii="Palatino Linotype" w:eastAsia="Palatino Linotype" w:hAnsi="Palatino Linotype" w:cs="Palatino Linotype"/>
          <w:b/>
          <w:color w:val="000000"/>
        </w:rPr>
        <w:t>SAIMEX.</w:t>
      </w:r>
    </w:p>
    <w:p w:rsidR="00B66449" w:rsidRPr="00BE50A6" w:rsidRDefault="00B6644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B66449" w:rsidRPr="00BE50A6" w:rsidRDefault="00C41EBC">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El</w:t>
      </w:r>
      <w:r w:rsidRPr="00BE50A6">
        <w:rPr>
          <w:rFonts w:ascii="Palatino Linotype" w:eastAsia="Palatino Linotype" w:hAnsi="Palatino Linotype" w:cs="Palatino Linotype"/>
          <w:b/>
          <w:color w:val="000000"/>
        </w:rPr>
        <w:t xml:space="preserve"> </w:t>
      </w:r>
      <w:r w:rsidR="00027C3D" w:rsidRPr="00BE50A6">
        <w:rPr>
          <w:rFonts w:ascii="Palatino Linotype" w:eastAsia="Palatino Linotype" w:hAnsi="Palatino Linotype" w:cs="Palatino Linotype"/>
          <w:b/>
          <w:color w:val="000000"/>
        </w:rPr>
        <w:t>dice de diciembre</w:t>
      </w:r>
      <w:r w:rsidRPr="00BE50A6">
        <w:rPr>
          <w:rFonts w:ascii="Palatino Linotype" w:eastAsia="Palatino Linotype" w:hAnsi="Palatino Linotype" w:cs="Palatino Linotype"/>
          <w:b/>
          <w:color w:val="000000"/>
        </w:rPr>
        <w:t xml:space="preserve"> de dos mil veinticinco</w:t>
      </w:r>
      <w:r w:rsidRPr="00BE50A6">
        <w:rPr>
          <w:rFonts w:ascii="Palatino Linotype" w:eastAsia="Palatino Linotype" w:hAnsi="Palatino Linotype" w:cs="Palatino Linotype"/>
          <w:color w:val="000000"/>
        </w:rPr>
        <w:t>, el Sujeto Obligado</w:t>
      </w:r>
      <w:r w:rsidRPr="00BE50A6">
        <w:rPr>
          <w:rFonts w:ascii="Palatino Linotype" w:eastAsia="Palatino Linotype" w:hAnsi="Palatino Linotype" w:cs="Palatino Linotype"/>
          <w:b/>
          <w:color w:val="000000"/>
        </w:rPr>
        <w:t>,</w:t>
      </w:r>
      <w:r w:rsidRPr="00BE50A6">
        <w:rPr>
          <w:rFonts w:ascii="Palatino Linotype" w:eastAsia="Palatino Linotype" w:hAnsi="Palatino Linotype" w:cs="Palatino Linotype"/>
          <w:color w:val="000000"/>
        </w:rPr>
        <w:t xml:space="preserve"> dio </w:t>
      </w:r>
      <w:r w:rsidRPr="00BE50A6">
        <w:rPr>
          <w:rFonts w:ascii="Palatino Linotype" w:eastAsia="Palatino Linotype" w:hAnsi="Palatino Linotype" w:cs="Palatino Linotype"/>
          <w:b/>
          <w:color w:val="000000"/>
        </w:rPr>
        <w:t>respuesta</w:t>
      </w:r>
      <w:r w:rsidRPr="00BE50A6">
        <w:rPr>
          <w:rFonts w:ascii="Palatino Linotype" w:eastAsia="Palatino Linotype" w:hAnsi="Palatino Linotype" w:cs="Palatino Linotype"/>
          <w:color w:val="000000"/>
        </w:rPr>
        <w:t xml:space="preserve"> a través </w:t>
      </w:r>
      <w:r w:rsidR="00027C3D" w:rsidRPr="00BE50A6">
        <w:rPr>
          <w:rFonts w:ascii="Palatino Linotype" w:eastAsia="Palatino Linotype" w:hAnsi="Palatino Linotype" w:cs="Palatino Linotype"/>
          <w:color w:val="000000"/>
        </w:rPr>
        <w:t>de los siguientes</w:t>
      </w:r>
      <w:r w:rsidRPr="00BE50A6">
        <w:rPr>
          <w:rFonts w:ascii="Palatino Linotype" w:eastAsia="Palatino Linotype" w:hAnsi="Palatino Linotype" w:cs="Palatino Linotype"/>
          <w:color w:val="000000"/>
        </w:rPr>
        <w:t xml:space="preserve"> archivo</w:t>
      </w:r>
      <w:r w:rsidR="00027C3D" w:rsidRPr="00BE50A6">
        <w:rPr>
          <w:rFonts w:ascii="Palatino Linotype" w:eastAsia="Palatino Linotype" w:hAnsi="Palatino Linotype" w:cs="Palatino Linotype"/>
          <w:color w:val="000000"/>
        </w:rPr>
        <w:t>s</w:t>
      </w:r>
      <w:r w:rsidRPr="00BE50A6">
        <w:rPr>
          <w:rFonts w:ascii="Palatino Linotype" w:eastAsia="Palatino Linotype" w:hAnsi="Palatino Linotype" w:cs="Palatino Linotype"/>
          <w:color w:val="000000"/>
        </w:rPr>
        <w:t xml:space="preserve"> electrónico</w:t>
      </w:r>
      <w:r w:rsidR="00027C3D" w:rsidRPr="00BE50A6">
        <w:rPr>
          <w:rFonts w:ascii="Palatino Linotype" w:eastAsia="Palatino Linotype" w:hAnsi="Palatino Linotype" w:cs="Palatino Linotype"/>
          <w:color w:val="000000"/>
        </w:rPr>
        <w:t>s</w:t>
      </w:r>
      <w:r w:rsidRPr="00BE50A6">
        <w:rPr>
          <w:rFonts w:ascii="Palatino Linotype" w:eastAsia="Palatino Linotype" w:hAnsi="Palatino Linotype" w:cs="Palatino Linotype"/>
          <w:b/>
          <w:i/>
          <w:color w:val="000000"/>
        </w:rPr>
        <w:t>:</w:t>
      </w:r>
    </w:p>
    <w:p w:rsidR="00671FCF" w:rsidRPr="00BE50A6" w:rsidRDefault="00671FCF" w:rsidP="00671FCF">
      <w:pPr>
        <w:pStyle w:val="Prrafodelista"/>
        <w:numPr>
          <w:ilvl w:val="0"/>
          <w:numId w:val="6"/>
        </w:num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r w:rsidRPr="00BE50A6">
        <w:rPr>
          <w:rFonts w:ascii="Palatino Linotype" w:eastAsia="Palatino Linotype" w:hAnsi="Palatino Linotype" w:cs="Palatino Linotype"/>
          <w:b/>
          <w:i/>
          <w:color w:val="000000"/>
        </w:rPr>
        <w:t>534_SOL_RESP_ADMON_2025.pdf</w:t>
      </w:r>
    </w:p>
    <w:p w:rsidR="00671FCF" w:rsidRPr="00BE50A6" w:rsidRDefault="00671FCF" w:rsidP="00671FCF">
      <w:pPr>
        <w:pBdr>
          <w:top w:val="nil"/>
          <w:left w:val="nil"/>
          <w:bottom w:val="nil"/>
          <w:right w:val="nil"/>
          <w:between w:val="nil"/>
        </w:pBdr>
        <w:tabs>
          <w:tab w:val="left" w:pos="567"/>
        </w:tabs>
        <w:ind w:left="567" w:right="62"/>
        <w:jc w:val="both"/>
        <w:rPr>
          <w:rFonts w:ascii="Palatino Linotype" w:eastAsia="Palatino Linotype" w:hAnsi="Palatino Linotype" w:cs="Palatino Linotype"/>
          <w:i/>
          <w:color w:val="000000"/>
        </w:rPr>
      </w:pPr>
      <w:r w:rsidRPr="00BE50A6">
        <w:rPr>
          <w:rFonts w:ascii="Palatino Linotype" w:eastAsia="Palatino Linotype" w:hAnsi="Palatino Linotype" w:cs="Palatino Linotype"/>
          <w:color w:val="000000"/>
        </w:rPr>
        <w:t xml:space="preserve">Oficio No.: MA/DA/ADQ. /0452/12/2025 de fecha 11 de diciembre de 2025, firmado por el </w:t>
      </w:r>
      <w:r w:rsidRPr="00BE50A6">
        <w:rPr>
          <w:rFonts w:ascii="Palatino Linotype" w:eastAsia="Palatino Linotype" w:hAnsi="Palatino Linotype" w:cs="Palatino Linotype"/>
          <w:b/>
          <w:color w:val="000000"/>
        </w:rPr>
        <w:t>Director de Administración</w:t>
      </w:r>
      <w:r w:rsidRPr="00BE50A6">
        <w:rPr>
          <w:rFonts w:ascii="Palatino Linotype" w:eastAsia="Palatino Linotype" w:hAnsi="Palatino Linotype" w:cs="Palatino Linotype"/>
          <w:color w:val="000000"/>
        </w:rPr>
        <w:t>, a través del cual refiere que “…</w:t>
      </w:r>
      <w:r w:rsidRPr="00BE50A6">
        <w:rPr>
          <w:rFonts w:ascii="Palatino Linotype" w:eastAsia="Palatino Linotype" w:hAnsi="Palatino Linotype" w:cs="Palatino Linotype"/>
          <w:i/>
          <w:color w:val="000000"/>
        </w:rPr>
        <w:t xml:space="preserve">una </w:t>
      </w:r>
      <w:r w:rsidRPr="00BE50A6">
        <w:rPr>
          <w:rFonts w:ascii="Palatino Linotype" w:eastAsia="Palatino Linotype" w:hAnsi="Palatino Linotype" w:cs="Palatino Linotype"/>
          <w:i/>
          <w:color w:val="000000"/>
        </w:rPr>
        <w:lastRenderedPageBreak/>
        <w:t xml:space="preserve">vez realizada la búsqueda exhaustiva y razonable en los archivos físicos y electrónicos; del año 2021 </w:t>
      </w:r>
      <w:r w:rsidRPr="00BE50A6">
        <w:rPr>
          <w:rFonts w:ascii="Palatino Linotype" w:eastAsia="Palatino Linotype" w:hAnsi="Palatino Linotype" w:cs="Palatino Linotype"/>
          <w:b/>
          <w:i/>
          <w:color w:val="000000"/>
        </w:rPr>
        <w:t>se anexa</w:t>
      </w:r>
      <w:r w:rsidRPr="00BE50A6">
        <w:rPr>
          <w:rFonts w:ascii="Palatino Linotype" w:eastAsia="Palatino Linotype" w:hAnsi="Palatino Linotype" w:cs="Palatino Linotype"/>
          <w:i/>
          <w:color w:val="000000"/>
        </w:rPr>
        <w:t xml:space="preserve"> el </w:t>
      </w:r>
      <w:r w:rsidRPr="00BE50A6">
        <w:rPr>
          <w:rFonts w:ascii="Palatino Linotype" w:eastAsia="Palatino Linotype" w:hAnsi="Palatino Linotype" w:cs="Palatino Linotype"/>
          <w:b/>
          <w:i/>
          <w:color w:val="000000"/>
        </w:rPr>
        <w:t>Manual de Procedimientos de la Dirección de Administración 2021, 2022,2023 y 2024</w:t>
      </w:r>
      <w:r w:rsidRPr="00BE50A6">
        <w:rPr>
          <w:rFonts w:ascii="Palatino Linotype" w:eastAsia="Palatino Linotype" w:hAnsi="Palatino Linotype" w:cs="Palatino Linotype"/>
          <w:i/>
          <w:color w:val="000000"/>
        </w:rPr>
        <w:t xml:space="preserve"> en el cual obra el Departamento de Recurso Materiales y Adquisiciones de la página 11 a la 82 y de la página 12 a la 62, </w:t>
      </w:r>
      <w:r w:rsidRPr="00BE50A6">
        <w:rPr>
          <w:rFonts w:ascii="Palatino Linotype" w:eastAsia="Palatino Linotype" w:hAnsi="Palatino Linotype" w:cs="Palatino Linotype"/>
          <w:b/>
          <w:i/>
          <w:color w:val="000000"/>
        </w:rPr>
        <w:t>en lo que respecta del año 2025 se encuentra en proceso de validación</w:t>
      </w:r>
      <w:r w:rsidRPr="00BE50A6">
        <w:rPr>
          <w:rFonts w:ascii="Palatino Linotype" w:eastAsia="Palatino Linotype" w:hAnsi="Palatino Linotype" w:cs="Palatino Linotype"/>
          <w:i/>
          <w:color w:val="000000"/>
        </w:rPr>
        <w:t xml:space="preserve"> por las áreas correspondientes y una vez que sea validado se publicara.” (Sic)</w:t>
      </w:r>
    </w:p>
    <w:p w:rsidR="00671FCF" w:rsidRPr="00BE50A6" w:rsidRDefault="00671FCF" w:rsidP="00671FCF">
      <w:pPr>
        <w:pBdr>
          <w:top w:val="nil"/>
          <w:left w:val="nil"/>
          <w:bottom w:val="nil"/>
          <w:right w:val="nil"/>
          <w:between w:val="nil"/>
        </w:pBdr>
        <w:tabs>
          <w:tab w:val="left" w:pos="567"/>
        </w:tabs>
        <w:ind w:left="567" w:right="62"/>
        <w:jc w:val="both"/>
        <w:rPr>
          <w:rFonts w:ascii="Palatino Linotype" w:eastAsia="Palatino Linotype" w:hAnsi="Palatino Linotype" w:cs="Palatino Linotype"/>
          <w:i/>
          <w:color w:val="000000"/>
        </w:rPr>
      </w:pPr>
    </w:p>
    <w:p w:rsidR="00671FCF" w:rsidRPr="00BE50A6" w:rsidRDefault="00671FCF" w:rsidP="00C93031">
      <w:pPr>
        <w:pStyle w:val="Prrafodelista"/>
        <w:numPr>
          <w:ilvl w:val="0"/>
          <w:numId w:val="6"/>
        </w:num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r w:rsidRPr="00BE50A6">
        <w:rPr>
          <w:rFonts w:ascii="Palatino Linotype" w:eastAsia="Palatino Linotype" w:hAnsi="Palatino Linotype" w:cs="Palatino Linotype"/>
          <w:b/>
          <w:i/>
          <w:color w:val="000000"/>
        </w:rPr>
        <w:t>534_SOL_ANEXO_MANUAL DE PROCEDIMIENTOS ADMINISTRACIÓN 2019-2021.pdf</w:t>
      </w:r>
    </w:p>
    <w:p w:rsidR="00343D41" w:rsidRPr="00BE50A6" w:rsidRDefault="00C93031" w:rsidP="00671FCF">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Manual de procedimientos de la Dirección de Administración 2019-2021</w:t>
      </w:r>
    </w:p>
    <w:p w:rsidR="00343D41" w:rsidRPr="00BE50A6" w:rsidRDefault="00343D41" w:rsidP="00671FCF">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671FCF" w:rsidRPr="00BE50A6" w:rsidRDefault="00671FCF" w:rsidP="00C93031">
      <w:pPr>
        <w:pStyle w:val="Prrafodelista"/>
        <w:numPr>
          <w:ilvl w:val="0"/>
          <w:numId w:val="6"/>
        </w:num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r w:rsidRPr="00BE50A6">
        <w:rPr>
          <w:rFonts w:ascii="Palatino Linotype" w:eastAsia="Palatino Linotype" w:hAnsi="Palatino Linotype" w:cs="Palatino Linotype"/>
          <w:b/>
          <w:i/>
          <w:color w:val="000000"/>
        </w:rPr>
        <w:t>534_SOL_ANEXO_MANUAL DE PROCEDIMIENTOS DE LA DIRECCIÓN DE ADMINISTRACIÓN 2022-2024.pdf</w:t>
      </w:r>
    </w:p>
    <w:p w:rsidR="00C93031" w:rsidRPr="00BE50A6" w:rsidRDefault="00C93031" w:rsidP="00671FCF">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Manual de procedimientos de la Dirección de Administración 2022-2024.</w:t>
      </w:r>
    </w:p>
    <w:p w:rsidR="00C93031" w:rsidRPr="00BE50A6" w:rsidRDefault="00C93031" w:rsidP="00671FCF">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p>
    <w:p w:rsidR="00B66449" w:rsidRPr="00BE50A6" w:rsidRDefault="00671FCF" w:rsidP="00671FCF">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BE50A6">
        <w:rPr>
          <w:rFonts w:ascii="Palatino Linotype" w:eastAsia="Palatino Linotype" w:hAnsi="Palatino Linotype" w:cs="Palatino Linotype"/>
          <w:b/>
          <w:i/>
          <w:color w:val="000000"/>
        </w:rPr>
        <w:t>0534_RESP_UT_2025.pdf</w:t>
      </w:r>
    </w:p>
    <w:p w:rsidR="00C93031" w:rsidRPr="00BE50A6" w:rsidRDefault="00C93031" w:rsidP="00671FCF">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 xml:space="preserve">Oficio de fecha 12 de diciembre de 2025, firmado por el Titular de la </w:t>
      </w:r>
      <w:r w:rsidRPr="00BE50A6">
        <w:rPr>
          <w:rFonts w:ascii="Palatino Linotype" w:eastAsia="Palatino Linotype" w:hAnsi="Palatino Linotype" w:cs="Palatino Linotype"/>
          <w:b/>
          <w:color w:val="000000"/>
        </w:rPr>
        <w:t>Unidad de Transparencia</w:t>
      </w:r>
      <w:r w:rsidRPr="00BE50A6">
        <w:rPr>
          <w:rFonts w:ascii="Palatino Linotype" w:eastAsia="Palatino Linotype" w:hAnsi="Palatino Linotype" w:cs="Palatino Linotype"/>
          <w:color w:val="000000"/>
        </w:rPr>
        <w:t>, a través del cual señala que la información fue turnada al Servidor Público Habilitado de la Dirección de Administración, área que remitió la re4spuesta que se adjunta.</w:t>
      </w:r>
    </w:p>
    <w:p w:rsidR="00B66449" w:rsidRPr="00BE50A6" w:rsidRDefault="00B66449">
      <w:pPr>
        <w:pBdr>
          <w:top w:val="nil"/>
          <w:left w:val="nil"/>
          <w:bottom w:val="nil"/>
          <w:right w:val="nil"/>
          <w:between w:val="nil"/>
        </w:pBdr>
        <w:tabs>
          <w:tab w:val="left" w:pos="567"/>
        </w:tabs>
        <w:ind w:right="62"/>
        <w:jc w:val="both"/>
        <w:rPr>
          <w:rFonts w:ascii="Palatino Linotype" w:eastAsia="Palatino Linotype" w:hAnsi="Palatino Linotype" w:cs="Palatino Linotype"/>
          <w:b/>
        </w:rPr>
      </w:pPr>
    </w:p>
    <w:p w:rsidR="00B66449" w:rsidRPr="00BE50A6" w:rsidRDefault="00C41EBC">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El</w:t>
      </w:r>
      <w:r w:rsidRPr="00BE50A6">
        <w:rPr>
          <w:rFonts w:ascii="Palatino Linotype" w:eastAsia="Palatino Linotype" w:hAnsi="Palatino Linotype" w:cs="Palatino Linotype"/>
          <w:b/>
          <w:color w:val="000000"/>
        </w:rPr>
        <w:t xml:space="preserve"> </w:t>
      </w:r>
      <w:r w:rsidR="001E698E" w:rsidRPr="00BE50A6">
        <w:rPr>
          <w:rFonts w:ascii="Palatino Linotype" w:eastAsia="Palatino Linotype" w:hAnsi="Palatino Linotype" w:cs="Palatino Linotype"/>
          <w:b/>
          <w:color w:val="000000"/>
        </w:rPr>
        <w:t>quince de diciembre</w:t>
      </w:r>
      <w:r w:rsidRPr="00BE50A6">
        <w:rPr>
          <w:rFonts w:ascii="Palatino Linotype" w:eastAsia="Palatino Linotype" w:hAnsi="Palatino Linotype" w:cs="Palatino Linotype"/>
          <w:b/>
          <w:color w:val="000000"/>
        </w:rPr>
        <w:t xml:space="preserve"> de dos mil veinticinco</w:t>
      </w:r>
      <w:r w:rsidRPr="00BE50A6">
        <w:rPr>
          <w:rFonts w:ascii="Palatino Linotype" w:eastAsia="Palatino Linotype" w:hAnsi="Palatino Linotype" w:cs="Palatino Linotype"/>
          <w:color w:val="000000"/>
        </w:rPr>
        <w:t xml:space="preserve">, el particular interpuso el </w:t>
      </w:r>
      <w:r w:rsidRPr="00BE50A6">
        <w:rPr>
          <w:rFonts w:ascii="Palatino Linotype" w:eastAsia="Palatino Linotype" w:hAnsi="Palatino Linotype" w:cs="Palatino Linotype"/>
          <w:b/>
          <w:color w:val="000000"/>
        </w:rPr>
        <w:t>recurso de revisión</w:t>
      </w:r>
      <w:r w:rsidRPr="00BE50A6">
        <w:rPr>
          <w:rFonts w:ascii="Palatino Linotype" w:eastAsia="Palatino Linotype" w:hAnsi="Palatino Linotype" w:cs="Palatino Linotype"/>
          <w:color w:val="000000"/>
        </w:rPr>
        <w:t xml:space="preserve"> al que se le asignó el folio </w:t>
      </w:r>
      <w:r w:rsidR="001E698E" w:rsidRPr="00BE50A6">
        <w:rPr>
          <w:rFonts w:ascii="Palatino Linotype" w:eastAsia="Palatino Linotype" w:hAnsi="Palatino Linotype" w:cs="Palatino Linotype"/>
          <w:b/>
          <w:color w:val="000000"/>
        </w:rPr>
        <w:t>14353</w:t>
      </w:r>
      <w:r w:rsidRPr="00BE50A6">
        <w:rPr>
          <w:rFonts w:ascii="Palatino Linotype" w:eastAsia="Palatino Linotype" w:hAnsi="Palatino Linotype" w:cs="Palatino Linotype"/>
          <w:b/>
          <w:color w:val="000000"/>
        </w:rPr>
        <w:t xml:space="preserve">/INFOEM/IP/RR/2025 </w:t>
      </w:r>
      <w:r w:rsidRPr="00BE50A6">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B66449" w:rsidRPr="00BE50A6" w:rsidRDefault="00B66449">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B66449" w:rsidRPr="00BE50A6" w:rsidRDefault="00C41EBC" w:rsidP="00BE50A6">
      <w:pPr>
        <w:pStyle w:val="Prrafodelista"/>
        <w:numPr>
          <w:ilvl w:val="0"/>
          <w:numId w:val="6"/>
        </w:numPr>
        <w:pBdr>
          <w:top w:val="nil"/>
          <w:left w:val="nil"/>
          <w:bottom w:val="nil"/>
          <w:right w:val="nil"/>
          <w:between w:val="nil"/>
        </w:pBdr>
        <w:ind w:right="-787"/>
        <w:jc w:val="both"/>
        <w:rPr>
          <w:rFonts w:ascii="Palatino Linotype" w:eastAsia="Palatino Linotype" w:hAnsi="Palatino Linotype" w:cs="Palatino Linotype"/>
          <w:i/>
          <w:color w:val="000000"/>
        </w:rPr>
      </w:pPr>
      <w:bookmarkStart w:id="1" w:name="_heading=h.30j0zll" w:colFirst="0" w:colLast="0"/>
      <w:bookmarkEnd w:id="1"/>
      <w:r w:rsidRPr="00BE50A6">
        <w:rPr>
          <w:rFonts w:ascii="Palatino Linotype" w:eastAsia="Palatino Linotype" w:hAnsi="Palatino Linotype" w:cs="Palatino Linotype"/>
          <w:b/>
          <w:color w:val="000000"/>
        </w:rPr>
        <w:t xml:space="preserve">Acto impugnado: </w:t>
      </w:r>
      <w:r w:rsidRPr="00BE50A6">
        <w:rPr>
          <w:rFonts w:ascii="Palatino Linotype" w:eastAsia="Palatino Linotype" w:hAnsi="Palatino Linotype" w:cs="Palatino Linotype"/>
          <w:i/>
          <w:color w:val="000000"/>
        </w:rPr>
        <w:t>“</w:t>
      </w:r>
      <w:r w:rsidR="001E698E" w:rsidRPr="00BE50A6">
        <w:rPr>
          <w:rFonts w:ascii="Palatino Linotype" w:eastAsia="Palatino Linotype" w:hAnsi="Palatino Linotype" w:cs="Palatino Linotype"/>
          <w:i/>
          <w:color w:val="000000"/>
        </w:rPr>
        <w:t>Yo solicite el de adquisiciones, deben de tener solo el de adquisiciones</w:t>
      </w:r>
      <w:r w:rsidRPr="00BE50A6">
        <w:rPr>
          <w:rFonts w:ascii="Palatino Linotype" w:eastAsia="Palatino Linotype" w:hAnsi="Palatino Linotype" w:cs="Palatino Linotype"/>
          <w:i/>
          <w:color w:val="000000"/>
        </w:rPr>
        <w:t>” (Sic)</w:t>
      </w:r>
    </w:p>
    <w:p w:rsidR="00B66449" w:rsidRPr="00BE50A6" w:rsidRDefault="00B66449">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B66449" w:rsidRPr="00BE50A6" w:rsidRDefault="00C41EBC" w:rsidP="00BE50A6">
      <w:pPr>
        <w:pStyle w:val="Prrafodelista"/>
        <w:numPr>
          <w:ilvl w:val="0"/>
          <w:numId w:val="6"/>
        </w:numPr>
        <w:pBdr>
          <w:top w:val="nil"/>
          <w:left w:val="nil"/>
          <w:bottom w:val="nil"/>
          <w:right w:val="nil"/>
          <w:between w:val="nil"/>
        </w:pBdr>
        <w:ind w:right="-79"/>
        <w:jc w:val="both"/>
        <w:rPr>
          <w:rFonts w:ascii="Palatino Linotype" w:eastAsia="Palatino Linotype" w:hAnsi="Palatino Linotype" w:cs="Palatino Linotype"/>
          <w:i/>
          <w:color w:val="000000"/>
        </w:rPr>
      </w:pPr>
      <w:bookmarkStart w:id="2" w:name="_heading=h.1fob9te" w:colFirst="0" w:colLast="0"/>
      <w:bookmarkEnd w:id="2"/>
      <w:r w:rsidRPr="00BE50A6">
        <w:rPr>
          <w:rFonts w:ascii="Palatino Linotype" w:eastAsia="Palatino Linotype" w:hAnsi="Palatino Linotype" w:cs="Palatino Linotype"/>
          <w:b/>
          <w:color w:val="000000"/>
        </w:rPr>
        <w:t xml:space="preserve">Razones o Motivos de inconformidad: </w:t>
      </w:r>
      <w:r w:rsidRPr="00BE50A6">
        <w:rPr>
          <w:rFonts w:ascii="Palatino Linotype" w:eastAsia="Palatino Linotype" w:hAnsi="Palatino Linotype" w:cs="Palatino Linotype"/>
          <w:i/>
          <w:color w:val="000000"/>
        </w:rPr>
        <w:t>“</w:t>
      </w:r>
      <w:r w:rsidR="001E698E" w:rsidRPr="00BE50A6">
        <w:rPr>
          <w:rFonts w:ascii="Palatino Linotype" w:eastAsia="Palatino Linotype" w:hAnsi="Palatino Linotype" w:cs="Palatino Linotype"/>
          <w:i/>
          <w:color w:val="000000"/>
        </w:rPr>
        <w:t>Yo solicite el de adquisiciones, deben de tener solo el de adquisiciones</w:t>
      </w:r>
      <w:r w:rsidRPr="00BE50A6">
        <w:rPr>
          <w:rFonts w:ascii="Palatino Linotype" w:eastAsia="Palatino Linotype" w:hAnsi="Palatino Linotype" w:cs="Palatino Linotype"/>
          <w:i/>
          <w:color w:val="000000"/>
        </w:rPr>
        <w:t xml:space="preserve">” </w:t>
      </w:r>
      <w:r w:rsidRPr="00BE50A6">
        <w:rPr>
          <w:rFonts w:ascii="Palatino Linotype" w:eastAsia="Palatino Linotype" w:hAnsi="Palatino Linotype" w:cs="Palatino Linotype"/>
          <w:color w:val="000000"/>
        </w:rPr>
        <w:t>(Sic)</w:t>
      </w:r>
    </w:p>
    <w:p w:rsidR="00B66449" w:rsidRPr="00BE50A6" w:rsidRDefault="00B6644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B66449" w:rsidRPr="00BE50A6" w:rsidRDefault="00C41EBC">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lastRenderedPageBreak/>
        <w:t xml:space="preserve">La Comisionada Ponente con fundamento en lo dispuesto por el artículo 185, fracción II, de la ley de la materia, a través del </w:t>
      </w:r>
      <w:r w:rsidRPr="00BE50A6">
        <w:rPr>
          <w:rFonts w:ascii="Palatino Linotype" w:eastAsia="Palatino Linotype" w:hAnsi="Palatino Linotype" w:cs="Palatino Linotype"/>
          <w:b/>
          <w:color w:val="000000"/>
        </w:rPr>
        <w:t xml:space="preserve">acuerdo de admisión </w:t>
      </w:r>
      <w:r w:rsidRPr="00BE50A6">
        <w:rPr>
          <w:rFonts w:ascii="Palatino Linotype" w:eastAsia="Palatino Linotype" w:hAnsi="Palatino Linotype" w:cs="Palatino Linotype"/>
          <w:color w:val="000000"/>
        </w:rPr>
        <w:t xml:space="preserve">de fecha </w:t>
      </w:r>
      <w:r w:rsidR="001E698E" w:rsidRPr="00BE50A6">
        <w:rPr>
          <w:rFonts w:ascii="Palatino Linotype" w:eastAsia="Palatino Linotype" w:hAnsi="Palatino Linotype" w:cs="Palatino Linotype"/>
          <w:b/>
          <w:color w:val="000000"/>
        </w:rPr>
        <w:t>dieciséis de diciembre</w:t>
      </w:r>
      <w:r w:rsidRPr="00BE50A6">
        <w:rPr>
          <w:rFonts w:ascii="Palatino Linotype" w:eastAsia="Palatino Linotype" w:hAnsi="Palatino Linotype" w:cs="Palatino Linotype"/>
          <w:b/>
          <w:color w:val="000000"/>
        </w:rPr>
        <w:t xml:space="preserve"> dos mil veinticinco, </w:t>
      </w:r>
      <w:r w:rsidRPr="00BE50A6">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BE50A6">
        <w:rPr>
          <w:rFonts w:ascii="Palatino Linotype" w:eastAsia="Palatino Linotype" w:hAnsi="Palatino Linotype" w:cs="Palatino Linotype"/>
        </w:rPr>
        <w:t>manifestara</w:t>
      </w:r>
      <w:r w:rsidRPr="00BE50A6">
        <w:rPr>
          <w:rFonts w:ascii="Palatino Linotype" w:eastAsia="Palatino Linotype" w:hAnsi="Palatino Linotype" w:cs="Palatino Linotype"/>
          <w:color w:val="000000"/>
        </w:rPr>
        <w:t xml:space="preserve"> lo que a su derecho conviniera, </w:t>
      </w:r>
      <w:r w:rsidRPr="00BE50A6">
        <w:rPr>
          <w:rFonts w:ascii="Palatino Linotype" w:eastAsia="Palatino Linotype" w:hAnsi="Palatino Linotype" w:cs="Palatino Linotype"/>
        </w:rPr>
        <w:t>ofreciera</w:t>
      </w:r>
      <w:r w:rsidRPr="00BE50A6">
        <w:rPr>
          <w:rFonts w:ascii="Palatino Linotype" w:eastAsia="Palatino Linotype" w:hAnsi="Palatino Linotype" w:cs="Palatino Linotype"/>
          <w:color w:val="000000"/>
        </w:rPr>
        <w:t xml:space="preserve"> pruebas y alegatos según corresponda al caso concreto, de esta forma para que el </w:t>
      </w:r>
      <w:r w:rsidRPr="00BE50A6">
        <w:rPr>
          <w:rFonts w:ascii="Palatino Linotype" w:eastAsia="Palatino Linotype" w:hAnsi="Palatino Linotype" w:cs="Palatino Linotype"/>
          <w:b/>
          <w:color w:val="000000"/>
        </w:rPr>
        <w:t xml:space="preserve">SUJETO OBLIGADO </w:t>
      </w:r>
      <w:r w:rsidRPr="00BE50A6">
        <w:rPr>
          <w:rFonts w:ascii="Palatino Linotype" w:eastAsia="Palatino Linotype" w:hAnsi="Palatino Linotype" w:cs="Palatino Linotype"/>
        </w:rPr>
        <w:t>presentara</w:t>
      </w:r>
      <w:r w:rsidRPr="00BE50A6">
        <w:rPr>
          <w:rFonts w:ascii="Palatino Linotype" w:eastAsia="Palatino Linotype" w:hAnsi="Palatino Linotype" w:cs="Palatino Linotype"/>
          <w:color w:val="000000"/>
        </w:rPr>
        <w:t xml:space="preserve"> el Informe Justificado procedente.</w:t>
      </w:r>
    </w:p>
    <w:p w:rsidR="00B66449" w:rsidRPr="00BE50A6" w:rsidRDefault="00B6644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B66449" w:rsidRPr="00BE50A6" w:rsidRDefault="00C41EB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El Recurrente</w:t>
      </w:r>
      <w:r w:rsidRPr="00BE50A6">
        <w:rPr>
          <w:rFonts w:ascii="Palatino Linotype" w:eastAsia="Palatino Linotype" w:hAnsi="Palatino Linotype" w:cs="Palatino Linotype"/>
          <w:b/>
          <w:color w:val="000000"/>
        </w:rPr>
        <w:t xml:space="preserve"> </w:t>
      </w:r>
      <w:r w:rsidRPr="00BE50A6">
        <w:rPr>
          <w:rFonts w:ascii="Palatino Linotype" w:eastAsia="Palatino Linotype" w:hAnsi="Palatino Linotype" w:cs="Palatino Linotype"/>
          <w:color w:val="000000"/>
        </w:rPr>
        <w:t>dejó de realizar manifestaciones que a su derecho conviniera y asistiera. Por su parte, el Sujeto Obligado,</w:t>
      </w:r>
      <w:r w:rsidRPr="00BE50A6">
        <w:rPr>
          <w:rFonts w:ascii="Palatino Linotype" w:eastAsia="Palatino Linotype" w:hAnsi="Palatino Linotype" w:cs="Palatino Linotype"/>
          <w:b/>
          <w:color w:val="000000"/>
        </w:rPr>
        <w:t xml:space="preserve"> </w:t>
      </w:r>
      <w:r w:rsidRPr="00BE50A6">
        <w:rPr>
          <w:rFonts w:ascii="Palatino Linotype" w:eastAsia="Palatino Linotype" w:hAnsi="Palatino Linotype" w:cs="Palatino Linotype"/>
          <w:color w:val="000000"/>
        </w:rPr>
        <w:t>el</w:t>
      </w:r>
      <w:r w:rsidRPr="00BE50A6">
        <w:rPr>
          <w:rFonts w:ascii="Palatino Linotype" w:eastAsia="Palatino Linotype" w:hAnsi="Palatino Linotype" w:cs="Palatino Linotype"/>
          <w:b/>
          <w:color w:val="000000"/>
        </w:rPr>
        <w:t xml:space="preserve"> </w:t>
      </w:r>
      <w:r w:rsidR="001E698E" w:rsidRPr="00BE50A6">
        <w:rPr>
          <w:rFonts w:ascii="Palatino Linotype" w:eastAsia="Palatino Linotype" w:hAnsi="Palatino Linotype" w:cs="Palatino Linotype"/>
          <w:b/>
          <w:color w:val="000000"/>
        </w:rPr>
        <w:t>doce de enero de dos mil veintiséis</w:t>
      </w:r>
      <w:r w:rsidRPr="00BE50A6">
        <w:rPr>
          <w:rFonts w:ascii="Palatino Linotype" w:eastAsia="Palatino Linotype" w:hAnsi="Palatino Linotype" w:cs="Palatino Linotype"/>
          <w:b/>
          <w:color w:val="000000"/>
        </w:rPr>
        <w:t xml:space="preserve"> </w:t>
      </w:r>
      <w:r w:rsidRPr="00BE50A6">
        <w:rPr>
          <w:rFonts w:ascii="Palatino Linotype" w:eastAsia="Palatino Linotype" w:hAnsi="Palatino Linotype" w:cs="Palatino Linotype"/>
          <w:color w:val="000000"/>
        </w:rPr>
        <w:t xml:space="preserve">presentó informe justificado a través del archivo digital siguiente: </w:t>
      </w:r>
    </w:p>
    <w:p w:rsidR="00B66449" w:rsidRPr="00BE50A6" w:rsidRDefault="00C41EBC">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BE50A6">
        <w:rPr>
          <w:rFonts w:ascii="Palatino Linotype" w:eastAsia="Palatino Linotype" w:hAnsi="Palatino Linotype" w:cs="Palatino Linotype"/>
          <w:b/>
          <w:i/>
          <w:color w:val="000000"/>
        </w:rPr>
        <w:tab/>
      </w:r>
      <w:r w:rsidR="001E698E" w:rsidRPr="00BE50A6">
        <w:rPr>
          <w:rFonts w:ascii="Palatino Linotype" w:eastAsia="Palatino Linotype" w:hAnsi="Palatino Linotype" w:cs="Palatino Linotype"/>
          <w:b/>
          <w:i/>
          <w:color w:val="000000"/>
        </w:rPr>
        <w:t>014353_RR_IFJ_2025.pdf</w:t>
      </w:r>
    </w:p>
    <w:p w:rsidR="00B66449" w:rsidRPr="00BE50A6" w:rsidRDefault="00AC008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 xml:space="preserve">- </w:t>
      </w:r>
      <w:r w:rsidR="00C41EBC" w:rsidRPr="00BE50A6">
        <w:rPr>
          <w:rFonts w:ascii="Palatino Linotype" w:eastAsia="Palatino Linotype" w:hAnsi="Palatino Linotype" w:cs="Palatino Linotype"/>
          <w:color w:val="000000"/>
        </w:rPr>
        <w:t>Documento firmado por la Titular de la Unidad de Transparencia a través del cual rinde informe justificado ratificando en términos</w:t>
      </w:r>
      <w:r w:rsidR="001E698E" w:rsidRPr="00BE50A6">
        <w:rPr>
          <w:rFonts w:ascii="Palatino Linotype" w:eastAsia="Palatino Linotype" w:hAnsi="Palatino Linotype" w:cs="Palatino Linotype"/>
          <w:color w:val="000000"/>
        </w:rPr>
        <w:t xml:space="preserve"> generales la respuesta inicial, argumentando a través de la Dirección de Administración que  </w:t>
      </w:r>
      <w:r w:rsidR="001E698E" w:rsidRPr="00BE50A6">
        <w:rPr>
          <w:rFonts w:ascii="Palatino Linotype" w:eastAsia="Palatino Linotype" w:hAnsi="Palatino Linotype" w:cs="Palatino Linotype"/>
          <w:b/>
          <w:color w:val="000000"/>
        </w:rPr>
        <w:t>no existen Manuales de Procedimientos en Particular</w:t>
      </w:r>
      <w:r w:rsidR="001E698E" w:rsidRPr="00BE50A6">
        <w:rPr>
          <w:rFonts w:ascii="Palatino Linotype" w:eastAsia="Palatino Linotype" w:hAnsi="Palatino Linotype" w:cs="Palatino Linotype"/>
          <w:color w:val="000000"/>
        </w:rPr>
        <w:t xml:space="preserve"> y reiterando que en la información entregada se detallan todos los procedimientos de las áreas que conforman esa Dirección, incluyendo al Departamento de Recursos Materiales y Adquisiciones, entre los que se ubican los procedimientos de adquisiciones solicitados.</w:t>
      </w:r>
    </w:p>
    <w:p w:rsidR="00AC0084" w:rsidRPr="00BE50A6" w:rsidRDefault="00AC008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AC0084" w:rsidRPr="00BE50A6" w:rsidRDefault="00AC008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 Documento firmado por el Titular de la Unidad de Transparencia a través del cual solicita al Director de Administración rendir informe justificado.</w:t>
      </w:r>
    </w:p>
    <w:p w:rsidR="000B0488" w:rsidRPr="00BE50A6" w:rsidRDefault="000B048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0B0488" w:rsidRPr="00BE50A6" w:rsidRDefault="000B048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 xml:space="preserve">- Oficio No.: MA/DA/ADQ./001/01/2026 de fecha 08 de enero de 2026, firmado por el Director de Administración, a través del cual refiere que </w:t>
      </w:r>
      <w:r w:rsidRPr="00BE50A6">
        <w:rPr>
          <w:rFonts w:ascii="Palatino Linotype" w:eastAsia="Palatino Linotype" w:hAnsi="Palatino Linotype" w:cs="Palatino Linotype"/>
          <w:i/>
          <w:color w:val="000000"/>
        </w:rPr>
        <w:t xml:space="preserve">una vez realizada la búsqueda exhaustiva y razonable en los archivos físicos y electrónicos de esta Dirección, </w:t>
      </w:r>
      <w:r w:rsidRPr="00BE50A6">
        <w:rPr>
          <w:rFonts w:ascii="Palatino Linotype" w:eastAsia="Palatino Linotype" w:hAnsi="Palatino Linotype" w:cs="Palatino Linotype"/>
          <w:b/>
          <w:i/>
          <w:color w:val="000000"/>
        </w:rPr>
        <w:t>ratifica su respuesta, dado que no existen Manuales de Procedimientos en particular.</w:t>
      </w:r>
    </w:p>
    <w:p w:rsidR="00B66449" w:rsidRPr="00BE50A6" w:rsidRDefault="00B66449">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B66449" w:rsidRPr="00BE50A6" w:rsidRDefault="00C41EB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3" w:name="_heading=h.3znysh7" w:colFirst="0" w:colLast="0"/>
      <w:bookmarkEnd w:id="3"/>
      <w:r w:rsidRPr="00BE50A6">
        <w:rPr>
          <w:rFonts w:ascii="Palatino Linotype" w:eastAsia="Palatino Linotype" w:hAnsi="Palatino Linotype" w:cs="Palatino Linotype"/>
          <w:color w:val="000000"/>
        </w:rPr>
        <w:t>En fecha</w:t>
      </w:r>
      <w:r w:rsidRPr="00BE50A6">
        <w:rPr>
          <w:rFonts w:ascii="Palatino Linotype" w:eastAsia="Palatino Linotype" w:hAnsi="Palatino Linotype" w:cs="Palatino Linotype"/>
          <w:b/>
          <w:color w:val="000000"/>
        </w:rPr>
        <w:t xml:space="preserve"> </w:t>
      </w:r>
      <w:r w:rsidR="00C55AC9" w:rsidRPr="00BE50A6">
        <w:rPr>
          <w:rFonts w:ascii="Palatino Linotype" w:eastAsia="Palatino Linotype" w:hAnsi="Palatino Linotype" w:cs="Palatino Linotype"/>
          <w:b/>
          <w:color w:val="000000"/>
        </w:rPr>
        <w:t>veintitrés de febrero de dos mil veintiséis</w:t>
      </w:r>
      <w:r w:rsidRPr="00BE50A6">
        <w:rPr>
          <w:rFonts w:ascii="Palatino Linotype" w:eastAsia="Palatino Linotype" w:hAnsi="Palatino Linotype" w:cs="Palatino Linotype"/>
          <w:color w:val="000000"/>
        </w:rPr>
        <w:t xml:space="preserve">, se acordó ampliar el </w:t>
      </w:r>
      <w:r w:rsidRPr="00BE50A6">
        <w:rPr>
          <w:rFonts w:ascii="Palatino Linotype" w:eastAsia="Palatino Linotype" w:hAnsi="Palatino Linotype" w:cs="Palatino Linotype"/>
        </w:rPr>
        <w:t>plazo</w:t>
      </w:r>
      <w:r w:rsidRPr="00BE50A6">
        <w:rPr>
          <w:rFonts w:ascii="Palatino Linotype" w:eastAsia="Palatino Linotype" w:hAnsi="Palatino Linotype" w:cs="Palatino Linotype"/>
          <w:color w:val="000000"/>
        </w:rPr>
        <w:t xml:space="preserve"> para resolver el presente Recurso de Revisión.</w:t>
      </w:r>
    </w:p>
    <w:p w:rsidR="00B66449" w:rsidRPr="00BE50A6" w:rsidRDefault="00C41EB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BE50A6">
        <w:rPr>
          <w:rFonts w:ascii="Palatino Linotype" w:eastAsia="Palatino Linotype" w:hAnsi="Palatino Linotype" w:cs="Palatino Linotype"/>
          <w:color w:val="000000"/>
        </w:rPr>
        <w:lastRenderedPageBreak/>
        <w:t xml:space="preserve">Seguidamente, en fecha </w:t>
      </w:r>
      <w:r w:rsidR="00C55AC9" w:rsidRPr="00BE50A6">
        <w:rPr>
          <w:rFonts w:ascii="Palatino Linotype" w:eastAsia="Palatino Linotype" w:hAnsi="Palatino Linotype" w:cs="Palatino Linotype"/>
          <w:b/>
          <w:color w:val="000000"/>
        </w:rPr>
        <w:t>veintinueve de mayo de dos mil veintiséis</w:t>
      </w:r>
      <w:r w:rsidRPr="00BE50A6">
        <w:rPr>
          <w:rFonts w:ascii="Palatino Linotype" w:eastAsia="Palatino Linotype" w:hAnsi="Palatino Linotype" w:cs="Palatino Linotype"/>
          <w:color w:val="000000"/>
        </w:rPr>
        <w:t xml:space="preserve">, la Comisionada Ponente dictó el </w:t>
      </w:r>
      <w:r w:rsidRPr="00BE50A6">
        <w:rPr>
          <w:rFonts w:ascii="Palatino Linotype" w:eastAsia="Palatino Linotype" w:hAnsi="Palatino Linotype" w:cs="Palatino Linotype"/>
          <w:b/>
          <w:color w:val="000000"/>
        </w:rPr>
        <w:t>cierre del periodo de instrucción</w:t>
      </w:r>
      <w:r w:rsidRPr="00BE50A6">
        <w:rPr>
          <w:rFonts w:ascii="Palatino Linotype" w:eastAsia="Palatino Linotype" w:hAnsi="Palatino Linotype" w:cs="Palatino Linotype"/>
          <w:color w:val="000000"/>
        </w:rPr>
        <w:t xml:space="preserve"> y, ordenó la resolución que conforme a Derecho proceda:</w:t>
      </w:r>
    </w:p>
    <w:p w:rsidR="00B66449" w:rsidRPr="00BE50A6" w:rsidRDefault="00B66449">
      <w:pPr>
        <w:pBdr>
          <w:top w:val="nil"/>
          <w:left w:val="nil"/>
          <w:bottom w:val="nil"/>
          <w:right w:val="nil"/>
          <w:between w:val="nil"/>
        </w:pBdr>
        <w:ind w:left="720" w:right="-787"/>
        <w:rPr>
          <w:rFonts w:ascii="Palatino Linotype" w:eastAsia="Palatino Linotype" w:hAnsi="Palatino Linotype" w:cs="Palatino Linotype"/>
          <w:b/>
          <w:color w:val="000000"/>
        </w:rPr>
      </w:pPr>
    </w:p>
    <w:p w:rsidR="00B66449" w:rsidRPr="00BE50A6" w:rsidRDefault="00C41EBC">
      <w:pPr>
        <w:keepNext/>
        <w:keepLines/>
        <w:spacing w:line="360" w:lineRule="auto"/>
        <w:jc w:val="center"/>
        <w:rPr>
          <w:rFonts w:ascii="Palatino Linotype" w:eastAsia="Palatino Linotype" w:hAnsi="Palatino Linotype" w:cs="Palatino Linotype"/>
          <w:b/>
        </w:rPr>
      </w:pPr>
      <w:r w:rsidRPr="00BE50A6">
        <w:rPr>
          <w:rFonts w:ascii="Palatino Linotype" w:eastAsia="Palatino Linotype" w:hAnsi="Palatino Linotype" w:cs="Palatino Linotype"/>
          <w:b/>
        </w:rPr>
        <w:t xml:space="preserve">C O N S I D E R A N D O </w:t>
      </w:r>
    </w:p>
    <w:p w:rsidR="00B66449" w:rsidRPr="00BE50A6" w:rsidRDefault="00B66449">
      <w:pPr>
        <w:spacing w:line="360" w:lineRule="auto"/>
        <w:rPr>
          <w:rFonts w:ascii="Palatino Linotype" w:eastAsia="Palatino Linotype" w:hAnsi="Palatino Linotype" w:cs="Palatino Linotype"/>
        </w:rPr>
      </w:pPr>
    </w:p>
    <w:p w:rsidR="00B66449" w:rsidRPr="00BE50A6" w:rsidRDefault="00C41EBC">
      <w:pPr>
        <w:keepNext/>
        <w:keepLines/>
        <w:spacing w:line="360" w:lineRule="auto"/>
        <w:rPr>
          <w:rFonts w:ascii="Palatino Linotype" w:eastAsia="Palatino Linotype" w:hAnsi="Palatino Linotype" w:cs="Palatino Linotype"/>
          <w:b/>
        </w:rPr>
      </w:pPr>
      <w:r w:rsidRPr="00BE50A6">
        <w:rPr>
          <w:rFonts w:ascii="Palatino Linotype" w:eastAsia="Palatino Linotype" w:hAnsi="Palatino Linotype" w:cs="Palatino Linotype"/>
          <w:b/>
        </w:rPr>
        <w:t>PRIMERO. De la competencia</w:t>
      </w:r>
    </w:p>
    <w:p w:rsidR="00C52F70" w:rsidRPr="00BE50A6" w:rsidRDefault="00C52F70" w:rsidP="00C52F7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 xml:space="preserve">Este Instituto </w:t>
      </w:r>
      <w:r w:rsidRPr="00BE50A6">
        <w:rPr>
          <w:rFonts w:ascii="Palatino Linotype" w:eastAsia="Palatino Linotype" w:hAnsi="Palatino Linotype" w:cs="Palatino Linotype"/>
        </w:rPr>
        <w:t>de</w:t>
      </w:r>
      <w:r w:rsidRPr="00BE50A6">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B66449" w:rsidRPr="00BE50A6" w:rsidRDefault="00B66449">
      <w:pPr>
        <w:tabs>
          <w:tab w:val="left" w:pos="426"/>
        </w:tabs>
        <w:spacing w:line="360" w:lineRule="auto"/>
        <w:jc w:val="both"/>
        <w:rPr>
          <w:rFonts w:ascii="Palatino Linotype" w:eastAsia="Palatino Linotype" w:hAnsi="Palatino Linotype" w:cs="Palatino Linotype"/>
          <w:color w:val="000000"/>
        </w:rPr>
      </w:pPr>
    </w:p>
    <w:p w:rsidR="00B66449" w:rsidRPr="00BE50A6" w:rsidRDefault="00C41EBC">
      <w:pPr>
        <w:keepNext/>
        <w:keepLines/>
        <w:spacing w:line="360" w:lineRule="auto"/>
        <w:rPr>
          <w:rFonts w:ascii="Palatino Linotype" w:eastAsia="Palatino Linotype" w:hAnsi="Palatino Linotype" w:cs="Palatino Linotype"/>
          <w:b/>
        </w:rPr>
      </w:pPr>
      <w:r w:rsidRPr="00BE50A6">
        <w:rPr>
          <w:rFonts w:ascii="Palatino Linotype" w:eastAsia="Palatino Linotype" w:hAnsi="Palatino Linotype" w:cs="Palatino Linotype"/>
          <w:b/>
        </w:rPr>
        <w:t>SEGUNDO. De la oportunidad y procedencia.</w:t>
      </w:r>
    </w:p>
    <w:p w:rsidR="00B66449" w:rsidRPr="00BE50A6" w:rsidRDefault="00C41EB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E50A6">
        <w:rPr>
          <w:rFonts w:ascii="Palatino Linotype" w:eastAsia="Palatino Linotype" w:hAnsi="Palatino Linotype" w:cs="Palatino Linotype"/>
        </w:rPr>
        <w:t xml:space="preserve">El medio de impugnación fue presentado a través del </w:t>
      </w:r>
      <w:r w:rsidRPr="00BE50A6">
        <w:rPr>
          <w:rFonts w:ascii="Palatino Linotype" w:eastAsia="Palatino Linotype" w:hAnsi="Palatino Linotype" w:cs="Palatino Linotype"/>
          <w:b/>
        </w:rPr>
        <w:t>SAIMEX,</w:t>
      </w:r>
      <w:r w:rsidRPr="00BE50A6">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BE50A6">
        <w:rPr>
          <w:rFonts w:ascii="Palatino Linotype" w:eastAsia="Palatino Linotype" w:hAnsi="Palatino Linotype" w:cs="Palatino Linotype"/>
          <w:b/>
        </w:rPr>
        <w:t>SUJETO OBLIGADO</w:t>
      </w:r>
      <w:r w:rsidRPr="00BE50A6">
        <w:rPr>
          <w:rFonts w:ascii="Palatino Linotype" w:eastAsia="Palatino Linotype" w:hAnsi="Palatino Linotype" w:cs="Palatino Linotype"/>
        </w:rPr>
        <w:t xml:space="preserve"> entregó respuesta el </w:t>
      </w:r>
      <w:r w:rsidR="00C52F70" w:rsidRPr="00BE50A6">
        <w:rPr>
          <w:rFonts w:ascii="Palatino Linotype" w:eastAsia="Palatino Linotype" w:hAnsi="Palatino Linotype" w:cs="Palatino Linotype"/>
          <w:b/>
        </w:rPr>
        <w:t>doce de diciembre</w:t>
      </w:r>
      <w:r w:rsidRPr="00BE50A6">
        <w:rPr>
          <w:rFonts w:ascii="Palatino Linotype" w:eastAsia="Palatino Linotype" w:hAnsi="Palatino Linotype" w:cs="Palatino Linotype"/>
          <w:b/>
        </w:rPr>
        <w:t xml:space="preserve"> de dos mil veinticinco</w:t>
      </w:r>
      <w:r w:rsidRPr="00BE50A6">
        <w:rPr>
          <w:rFonts w:ascii="Palatino Linotype" w:eastAsia="Palatino Linotype" w:hAnsi="Palatino Linotype" w:cs="Palatino Linotype"/>
        </w:rPr>
        <w:t xml:space="preserve">, de tal forma que el plazo para interponer el recurso transcurrió del </w:t>
      </w:r>
      <w:r w:rsidR="00C52F70" w:rsidRPr="00BE50A6">
        <w:rPr>
          <w:rFonts w:ascii="Palatino Linotype" w:eastAsia="Palatino Linotype" w:hAnsi="Palatino Linotype" w:cs="Palatino Linotype"/>
          <w:b/>
        </w:rPr>
        <w:t>quince de diciembre</w:t>
      </w:r>
      <w:r w:rsidRPr="00BE50A6">
        <w:rPr>
          <w:rFonts w:ascii="Palatino Linotype" w:eastAsia="Palatino Linotype" w:hAnsi="Palatino Linotype" w:cs="Palatino Linotype"/>
          <w:b/>
        </w:rPr>
        <w:t xml:space="preserve"> de dos mil veinticinco</w:t>
      </w:r>
      <w:r w:rsidR="00C52F70" w:rsidRPr="00BE50A6">
        <w:rPr>
          <w:rFonts w:ascii="Palatino Linotype" w:eastAsia="Palatino Linotype" w:hAnsi="Palatino Linotype" w:cs="Palatino Linotype"/>
          <w:b/>
        </w:rPr>
        <w:t xml:space="preserve"> al veintitrés de enero de dos mil veintiséis</w:t>
      </w:r>
      <w:r w:rsidRPr="00BE50A6">
        <w:rPr>
          <w:rFonts w:ascii="Palatino Linotype" w:eastAsia="Palatino Linotype" w:hAnsi="Palatino Linotype" w:cs="Palatino Linotype"/>
          <w:b/>
        </w:rPr>
        <w:t xml:space="preserve">, </w:t>
      </w:r>
      <w:r w:rsidRPr="00BE50A6">
        <w:rPr>
          <w:rFonts w:ascii="Palatino Linotype" w:eastAsia="Palatino Linotype" w:hAnsi="Palatino Linotype" w:cs="Palatino Linotype"/>
        </w:rPr>
        <w:t xml:space="preserve">en consecuencia, si el </w:t>
      </w:r>
      <w:r w:rsidRPr="00BE50A6">
        <w:rPr>
          <w:rFonts w:ascii="Palatino Linotype" w:eastAsia="Palatino Linotype" w:hAnsi="Palatino Linotype" w:cs="Palatino Linotype"/>
          <w:b/>
        </w:rPr>
        <w:t>PARTICULAR</w:t>
      </w:r>
      <w:r w:rsidRPr="00BE50A6">
        <w:rPr>
          <w:rFonts w:ascii="Palatino Linotype" w:eastAsia="Palatino Linotype" w:hAnsi="Palatino Linotype" w:cs="Palatino Linotype"/>
        </w:rPr>
        <w:t xml:space="preserve"> presentó su </w:t>
      </w:r>
      <w:r w:rsidRPr="00BE50A6">
        <w:rPr>
          <w:rFonts w:ascii="Palatino Linotype" w:eastAsia="Palatino Linotype" w:hAnsi="Palatino Linotype" w:cs="Palatino Linotype"/>
        </w:rPr>
        <w:lastRenderedPageBreak/>
        <w:t xml:space="preserve">inconformidad el </w:t>
      </w:r>
      <w:r w:rsidR="00C52F70" w:rsidRPr="00BE50A6">
        <w:rPr>
          <w:rFonts w:ascii="Palatino Linotype" w:eastAsia="Palatino Linotype" w:hAnsi="Palatino Linotype" w:cs="Palatino Linotype"/>
          <w:b/>
        </w:rPr>
        <w:t>quince de diciembre</w:t>
      </w:r>
      <w:r w:rsidRPr="00BE50A6">
        <w:rPr>
          <w:rFonts w:ascii="Palatino Linotype" w:eastAsia="Palatino Linotype" w:hAnsi="Palatino Linotype" w:cs="Palatino Linotype"/>
          <w:b/>
        </w:rPr>
        <w:t xml:space="preserve"> de dos mil veinticinco</w:t>
      </w:r>
      <w:r w:rsidRPr="00BE50A6">
        <w:rPr>
          <w:rFonts w:ascii="Palatino Linotype" w:eastAsia="Palatino Linotype" w:hAnsi="Palatino Linotype" w:cs="Palatino Linotype"/>
        </w:rPr>
        <w:t xml:space="preserve">, este  se encuentra dentro de los márgenes temporales previstos en el artículo 178 de la </w:t>
      </w:r>
      <w:r w:rsidRPr="00BE50A6">
        <w:rPr>
          <w:rFonts w:ascii="Palatino Linotype" w:eastAsia="Palatino Linotype" w:hAnsi="Palatino Linotype" w:cs="Palatino Linotype"/>
          <w:b/>
        </w:rPr>
        <w:t xml:space="preserve">Ley de Transparencia y Acceso a la Información Pública del Estado de México y Municipios </w:t>
      </w:r>
      <w:r w:rsidRPr="00BE50A6">
        <w:rPr>
          <w:rFonts w:ascii="Palatino Linotype" w:eastAsia="Palatino Linotype" w:hAnsi="Palatino Linotype" w:cs="Palatino Linotype"/>
        </w:rPr>
        <w:t xml:space="preserve">vigente. </w:t>
      </w:r>
    </w:p>
    <w:p w:rsidR="00B66449" w:rsidRPr="00BE50A6" w:rsidRDefault="00B66449">
      <w:pPr>
        <w:spacing w:line="360" w:lineRule="auto"/>
        <w:ind w:right="49"/>
        <w:jc w:val="both"/>
        <w:rPr>
          <w:rFonts w:ascii="Palatino Linotype" w:eastAsia="Palatino Linotype" w:hAnsi="Palatino Linotype" w:cs="Palatino Linotype"/>
        </w:rPr>
      </w:pPr>
      <w:bookmarkStart w:id="4" w:name="_heading=h.2et92p0" w:colFirst="0" w:colLast="0"/>
      <w:bookmarkEnd w:id="4"/>
    </w:p>
    <w:p w:rsidR="00B66449" w:rsidRPr="00BE50A6" w:rsidRDefault="00C41EBC">
      <w:pPr>
        <w:pStyle w:val="Ttulo2"/>
        <w:rPr>
          <w:rFonts w:ascii="Palatino Linotype" w:eastAsia="Palatino Linotype" w:hAnsi="Palatino Linotype" w:cs="Palatino Linotype"/>
          <w:b/>
          <w:i/>
          <w:color w:val="000000"/>
          <w:sz w:val="24"/>
          <w:szCs w:val="24"/>
        </w:rPr>
      </w:pPr>
      <w:r w:rsidRPr="00BE50A6">
        <w:rPr>
          <w:rFonts w:ascii="Palatino Linotype" w:eastAsia="Palatino Linotype" w:hAnsi="Palatino Linotype" w:cs="Palatino Linotype"/>
          <w:b/>
          <w:color w:val="000000"/>
          <w:sz w:val="24"/>
          <w:szCs w:val="24"/>
        </w:rPr>
        <w:t xml:space="preserve">TERCERO. Del planteamiento de la </w:t>
      </w:r>
      <w:r w:rsidRPr="00BE50A6">
        <w:rPr>
          <w:rFonts w:ascii="Palatino Linotype" w:eastAsia="Palatino Linotype" w:hAnsi="Palatino Linotype" w:cs="Palatino Linotype"/>
          <w:b/>
          <w:i/>
          <w:color w:val="000000"/>
          <w:sz w:val="24"/>
          <w:szCs w:val="24"/>
        </w:rPr>
        <w:t>Litis.</w:t>
      </w:r>
    </w:p>
    <w:p w:rsidR="00B66449" w:rsidRPr="00BE50A6" w:rsidRDefault="00C41EB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rPr>
        <w:t>Se</w:t>
      </w:r>
      <w:r w:rsidRPr="00BE50A6">
        <w:rPr>
          <w:rFonts w:ascii="Palatino Linotype" w:eastAsia="Palatino Linotype" w:hAnsi="Palatino Linotype" w:cs="Palatino Linotype"/>
          <w:color w:val="000000"/>
        </w:rPr>
        <w:t xml:space="preserve"> solicitó tener acceso, a la información que a continuación se simplifica:</w:t>
      </w:r>
    </w:p>
    <w:p w:rsidR="00B66449" w:rsidRPr="00BE50A6" w:rsidRDefault="0056161D" w:rsidP="008C1871">
      <w:pPr>
        <w:pStyle w:val="Prrafodelista"/>
        <w:numPr>
          <w:ilvl w:val="0"/>
          <w:numId w:val="8"/>
        </w:numPr>
        <w:pBdr>
          <w:top w:val="nil"/>
          <w:left w:val="nil"/>
          <w:bottom w:val="nil"/>
          <w:right w:val="nil"/>
          <w:between w:val="nil"/>
        </w:pBdr>
        <w:ind w:left="993" w:right="-788"/>
        <w:jc w:val="both"/>
        <w:rPr>
          <w:rFonts w:ascii="Palatino Linotype" w:eastAsia="Palatino Linotype" w:hAnsi="Palatino Linotype" w:cs="Palatino Linotype"/>
          <w:i/>
          <w:color w:val="000000"/>
        </w:rPr>
      </w:pPr>
      <w:r w:rsidRPr="00BE50A6">
        <w:rPr>
          <w:rFonts w:ascii="Palatino Linotype" w:eastAsia="Palatino Linotype" w:hAnsi="Palatino Linotype" w:cs="Palatino Linotype"/>
          <w:i/>
          <w:color w:val="000000"/>
        </w:rPr>
        <w:t>Manual de procedimientos de adquisiciones, o el relativo a cualquier manual de adquisiciones que tengan elaborado, del 2021, 2022, 2023, 2024 y 2025.</w:t>
      </w:r>
    </w:p>
    <w:p w:rsidR="0056161D" w:rsidRPr="00BE50A6" w:rsidRDefault="0056161D" w:rsidP="0056161D">
      <w:pPr>
        <w:pBdr>
          <w:top w:val="nil"/>
          <w:left w:val="nil"/>
          <w:bottom w:val="nil"/>
          <w:right w:val="nil"/>
          <w:between w:val="nil"/>
        </w:pBdr>
        <w:ind w:left="720" w:right="-788"/>
        <w:jc w:val="both"/>
        <w:rPr>
          <w:rFonts w:ascii="Palatino Linotype" w:eastAsia="Palatino Linotype" w:hAnsi="Palatino Linotype" w:cs="Palatino Linotype"/>
          <w:color w:val="000000"/>
        </w:rPr>
      </w:pPr>
    </w:p>
    <w:p w:rsidR="00B66449" w:rsidRPr="00BE50A6" w:rsidRDefault="00C41EBC">
      <w:pPr>
        <w:numPr>
          <w:ilvl w:val="0"/>
          <w:numId w:val="2"/>
        </w:numPr>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rPr>
        <w:t>En respuesta, el Sujeto Obligado</w:t>
      </w:r>
      <w:r w:rsidRPr="00BE50A6">
        <w:rPr>
          <w:rFonts w:ascii="Palatino Linotype" w:eastAsia="Palatino Linotype" w:hAnsi="Palatino Linotype" w:cs="Palatino Linotype"/>
          <w:b/>
        </w:rPr>
        <w:t xml:space="preserve"> </w:t>
      </w:r>
      <w:r w:rsidRPr="00BE50A6">
        <w:rPr>
          <w:rFonts w:ascii="Palatino Linotype" w:eastAsia="Palatino Linotype" w:hAnsi="Palatino Linotype" w:cs="Palatino Linotype"/>
        </w:rPr>
        <w:t xml:space="preserve">remitió el archivo ya descritos en el anterior párrafo 2, inconforme con la respuesta, se interpuso recurso de revisión argumentando sustancialmente </w:t>
      </w:r>
      <w:r w:rsidR="005B674C" w:rsidRPr="00BE50A6">
        <w:rPr>
          <w:rFonts w:ascii="Palatino Linotype" w:eastAsia="Palatino Linotype" w:hAnsi="Palatino Linotype" w:cs="Palatino Linotype"/>
        </w:rPr>
        <w:t>la entrega de la información que no corresponde con lo solicitado</w:t>
      </w:r>
      <w:r w:rsidRPr="00BE50A6">
        <w:rPr>
          <w:rFonts w:ascii="Palatino Linotype" w:eastAsia="Palatino Linotype" w:hAnsi="Palatino Linotype" w:cs="Palatino Linotype"/>
        </w:rPr>
        <w:t>.</w:t>
      </w:r>
    </w:p>
    <w:p w:rsidR="00B66449" w:rsidRPr="00BE50A6" w:rsidRDefault="00B66449">
      <w:pPr>
        <w:ind w:left="720" w:right="-788"/>
        <w:jc w:val="both"/>
        <w:rPr>
          <w:rFonts w:ascii="Palatino Linotype" w:eastAsia="Palatino Linotype" w:hAnsi="Palatino Linotype" w:cs="Palatino Linotype"/>
          <w:i/>
          <w:color w:val="000000"/>
        </w:rPr>
      </w:pPr>
    </w:p>
    <w:p w:rsidR="00B66449" w:rsidRPr="00BE50A6" w:rsidRDefault="00C41EBC">
      <w:pPr>
        <w:numPr>
          <w:ilvl w:val="0"/>
          <w:numId w:val="2"/>
        </w:numPr>
        <w:spacing w:line="360" w:lineRule="auto"/>
        <w:ind w:left="0" w:right="-787" w:firstLine="0"/>
        <w:jc w:val="both"/>
        <w:rPr>
          <w:rFonts w:ascii="Palatino Linotype" w:eastAsia="Palatino Linotype" w:hAnsi="Palatino Linotype" w:cs="Palatino Linotype"/>
        </w:rPr>
      </w:pPr>
      <w:r w:rsidRPr="00BE50A6">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003E4ED3" w:rsidRPr="00BE50A6">
        <w:rPr>
          <w:rFonts w:ascii="Palatino Linotype" w:eastAsia="Palatino Linotype" w:hAnsi="Palatino Linotype" w:cs="Palatino Linotype"/>
          <w:b/>
        </w:rPr>
        <w:t>artículo 179, fracción VI</w:t>
      </w:r>
      <w:r w:rsidRPr="00BE50A6">
        <w:rPr>
          <w:rFonts w:ascii="Palatino Linotype" w:eastAsia="Palatino Linotype" w:hAnsi="Palatino Linotype" w:cs="Palatino Linotype"/>
          <w:b/>
        </w:rPr>
        <w:t>, de la Ley de Transparencia y Acceso a la Información Pública del Estado de México y Municipios</w:t>
      </w:r>
      <w:r w:rsidRPr="00BE50A6">
        <w:rPr>
          <w:rFonts w:ascii="Palatino Linotype" w:eastAsia="Palatino Linotype" w:hAnsi="Palatino Linotype" w:cs="Palatino Linotype"/>
        </w:rPr>
        <w:t xml:space="preserve">; </w:t>
      </w:r>
      <w:r w:rsidRPr="00BE50A6">
        <w:rPr>
          <w:rFonts w:ascii="Palatino Linotype" w:eastAsia="Palatino Linotype" w:hAnsi="Palatino Linotype" w:cs="Palatino Linotype"/>
          <w:color w:val="000000"/>
        </w:rPr>
        <w:t xml:space="preserve">fracción que determina la </w:t>
      </w:r>
      <w:r w:rsidRPr="00BE50A6">
        <w:rPr>
          <w:rFonts w:ascii="Palatino Linotype" w:eastAsia="Palatino Linotype" w:hAnsi="Palatino Linotype" w:cs="Palatino Linotype"/>
          <w:b/>
          <w:color w:val="000000"/>
        </w:rPr>
        <w:t xml:space="preserve">hipótesis relativa a </w:t>
      </w:r>
      <w:r w:rsidR="003E4ED3" w:rsidRPr="00BE50A6">
        <w:rPr>
          <w:rFonts w:ascii="Palatino Linotype" w:eastAsia="Palatino Linotype" w:hAnsi="Palatino Linotype" w:cs="Palatino Linotype"/>
          <w:b/>
          <w:color w:val="000000"/>
        </w:rPr>
        <w:t>la entrega de información que no corresponda con lo solicitado</w:t>
      </w:r>
      <w:r w:rsidRPr="00BE50A6">
        <w:rPr>
          <w:rFonts w:ascii="Palatino Linotype" w:eastAsia="Palatino Linotype" w:hAnsi="Palatino Linotype" w:cs="Palatino Linotype"/>
          <w:color w:val="000000"/>
        </w:rPr>
        <w:t xml:space="preserve">; </w:t>
      </w:r>
      <w:r w:rsidRPr="00BE50A6">
        <w:rPr>
          <w:rFonts w:ascii="Palatino Linotype" w:eastAsia="Palatino Linotype" w:hAnsi="Palatino Linotype" w:cs="Palatino Linotype"/>
        </w:rPr>
        <w:t>contexto del cual se dolió el Recurrente al momento de interponer su inconformidad.</w:t>
      </w:r>
      <w:r w:rsidRPr="00BE50A6">
        <w:rPr>
          <w:rFonts w:ascii="Palatino Linotype" w:eastAsia="Palatino Linotype" w:hAnsi="Palatino Linotype" w:cs="Palatino Linotype"/>
          <w:color w:val="000000"/>
        </w:rPr>
        <w:t xml:space="preserve"> De modo tal que el presente recurso de revisión se </w:t>
      </w:r>
      <w:r w:rsidRPr="00BE50A6">
        <w:rPr>
          <w:rFonts w:ascii="Palatino Linotype" w:eastAsia="Palatino Linotype" w:hAnsi="Palatino Linotype" w:cs="Palatino Linotype"/>
        </w:rPr>
        <w:t>abocará</w:t>
      </w:r>
      <w:r w:rsidRPr="00BE50A6">
        <w:rPr>
          <w:rFonts w:ascii="Palatino Linotype" w:eastAsia="Palatino Linotype" w:hAnsi="Palatino Linotype" w:cs="Palatino Linotype"/>
          <w:color w:val="000000"/>
        </w:rPr>
        <w:t xml:space="preserve"> en determinar si el Sujeto Obligado con su respuesta ciertamente actualiza la causal de procedencia</w:t>
      </w:r>
      <w:r w:rsidRPr="00BE50A6">
        <w:rPr>
          <w:rFonts w:ascii="Palatino Linotype" w:eastAsia="Palatino Linotype" w:hAnsi="Palatino Linotype" w:cs="Palatino Linotype"/>
          <w:b/>
          <w:color w:val="000000"/>
        </w:rPr>
        <w:t xml:space="preserve"> </w:t>
      </w:r>
      <w:r w:rsidRPr="00BE50A6">
        <w:rPr>
          <w:rFonts w:ascii="Palatino Linotype" w:eastAsia="Palatino Linotype" w:hAnsi="Palatino Linotype" w:cs="Palatino Linotype"/>
          <w:color w:val="000000"/>
        </w:rPr>
        <w:t xml:space="preserve">señalada. </w:t>
      </w:r>
    </w:p>
    <w:p w:rsidR="00B66449" w:rsidRPr="00BE50A6" w:rsidRDefault="00B66449">
      <w:pPr>
        <w:spacing w:line="360" w:lineRule="auto"/>
        <w:ind w:right="-787"/>
        <w:rPr>
          <w:rFonts w:ascii="Palatino Linotype" w:eastAsia="Palatino Linotype" w:hAnsi="Palatino Linotype" w:cs="Palatino Linotype"/>
        </w:rPr>
      </w:pPr>
    </w:p>
    <w:p w:rsidR="00B66449" w:rsidRPr="00BE50A6" w:rsidRDefault="00C41EBC">
      <w:pPr>
        <w:pStyle w:val="Ttulo2"/>
        <w:rPr>
          <w:rFonts w:ascii="Palatino Linotype" w:eastAsia="Palatino Linotype" w:hAnsi="Palatino Linotype" w:cs="Palatino Linotype"/>
          <w:b/>
          <w:color w:val="000000"/>
          <w:sz w:val="24"/>
          <w:szCs w:val="24"/>
        </w:rPr>
      </w:pPr>
      <w:bookmarkStart w:id="5" w:name="_heading=h.1t3h5sf" w:colFirst="0" w:colLast="0"/>
      <w:bookmarkEnd w:id="5"/>
      <w:r w:rsidRPr="00BE50A6">
        <w:rPr>
          <w:rFonts w:ascii="Palatino Linotype" w:eastAsia="Palatino Linotype" w:hAnsi="Palatino Linotype" w:cs="Palatino Linotype"/>
          <w:b/>
          <w:color w:val="000000"/>
          <w:sz w:val="24"/>
          <w:szCs w:val="24"/>
        </w:rPr>
        <w:t>CUARTO. Del estudio y resolución del asunto.</w:t>
      </w:r>
    </w:p>
    <w:p w:rsidR="00B66449" w:rsidRPr="00BE50A6" w:rsidRDefault="00C41EBC">
      <w:pPr>
        <w:numPr>
          <w:ilvl w:val="0"/>
          <w:numId w:val="2"/>
        </w:numPr>
        <w:spacing w:line="360" w:lineRule="auto"/>
        <w:ind w:left="0" w:right="-787" w:firstLine="0"/>
        <w:jc w:val="both"/>
        <w:rPr>
          <w:rFonts w:ascii="Palatino Linotype" w:eastAsia="Palatino Linotype" w:hAnsi="Palatino Linotype" w:cs="Palatino Linotype"/>
        </w:rPr>
      </w:pPr>
      <w:r w:rsidRPr="00BE50A6">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w:t>
      </w:r>
      <w:r w:rsidRPr="00BE50A6">
        <w:rPr>
          <w:rFonts w:ascii="Palatino Linotype" w:eastAsia="Palatino Linotype" w:hAnsi="Palatino Linotype" w:cs="Palatino Linotype"/>
        </w:rPr>
        <w:lastRenderedPageBreak/>
        <w:t>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B66449" w:rsidRPr="00BE50A6" w:rsidRDefault="00B66449">
      <w:pPr>
        <w:spacing w:line="360" w:lineRule="auto"/>
        <w:ind w:right="-787"/>
        <w:jc w:val="both"/>
        <w:rPr>
          <w:rFonts w:ascii="Palatino Linotype" w:eastAsia="Palatino Linotype" w:hAnsi="Palatino Linotype" w:cs="Palatino Linotype"/>
        </w:rPr>
      </w:pPr>
    </w:p>
    <w:p w:rsidR="00B66449" w:rsidRPr="00BE50A6" w:rsidRDefault="00C41EBC">
      <w:pPr>
        <w:numPr>
          <w:ilvl w:val="0"/>
          <w:numId w:val="2"/>
        </w:numPr>
        <w:spacing w:line="360" w:lineRule="auto"/>
        <w:ind w:left="0" w:right="-787" w:firstLine="0"/>
        <w:jc w:val="both"/>
        <w:rPr>
          <w:rFonts w:ascii="Palatino Linotype" w:eastAsia="Palatino Linotype" w:hAnsi="Palatino Linotype" w:cs="Palatino Linotype"/>
        </w:rPr>
      </w:pPr>
      <w:r w:rsidRPr="00BE50A6">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B66449" w:rsidRPr="00BE50A6" w:rsidRDefault="00B66449">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B66449" w:rsidRPr="00BE50A6" w:rsidRDefault="00C41EBC">
      <w:pPr>
        <w:numPr>
          <w:ilvl w:val="0"/>
          <w:numId w:val="2"/>
        </w:numPr>
        <w:spacing w:line="360" w:lineRule="auto"/>
        <w:ind w:left="0" w:right="-787" w:firstLine="0"/>
        <w:jc w:val="both"/>
        <w:rPr>
          <w:rFonts w:ascii="Palatino Linotype" w:eastAsia="Palatino Linotype" w:hAnsi="Palatino Linotype" w:cs="Palatino Linotype"/>
        </w:rPr>
      </w:pPr>
      <w:r w:rsidRPr="00BE50A6">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723E80" w:rsidRPr="00BE50A6" w:rsidRDefault="00723E80" w:rsidP="00723E80">
      <w:pPr>
        <w:spacing w:line="360" w:lineRule="auto"/>
        <w:ind w:right="-787"/>
        <w:jc w:val="both"/>
        <w:rPr>
          <w:rFonts w:ascii="Palatino Linotype" w:eastAsia="Palatino Linotype" w:hAnsi="Palatino Linotype" w:cs="Palatino Linotype"/>
        </w:rPr>
      </w:pPr>
    </w:p>
    <w:p w:rsidR="00723E80" w:rsidRPr="00BE50A6" w:rsidRDefault="00723E80" w:rsidP="00723E80">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BE50A6">
        <w:rPr>
          <w:rFonts w:ascii="Palatino Linotype" w:eastAsia="Palatino Linotype" w:hAnsi="Palatino Linotype" w:cs="Palatino Linotype"/>
          <w:b/>
          <w:color w:val="000000"/>
        </w:rPr>
        <w:lastRenderedPageBreak/>
        <w:t>Del Sujeto Obligado.</w:t>
      </w:r>
    </w:p>
    <w:p w:rsidR="00723E80" w:rsidRPr="00BE50A6" w:rsidRDefault="00723E80" w:rsidP="00723E80">
      <w:pPr>
        <w:numPr>
          <w:ilvl w:val="0"/>
          <w:numId w:val="2"/>
        </w:numPr>
        <w:spacing w:line="360" w:lineRule="auto"/>
        <w:ind w:left="0" w:right="-787" w:firstLine="0"/>
        <w:jc w:val="both"/>
      </w:pPr>
      <w:r w:rsidRPr="00BE50A6">
        <w:rPr>
          <w:rFonts w:ascii="Palatino Linotype" w:eastAsia="Palatino Linotype" w:hAnsi="Palatino Linotype" w:cs="Palatino Linotype"/>
        </w:rPr>
        <w:t>Ahora bien, para el adecuado funcionamiento de la Administración Pública Municipal, cada Dependencia o Dirección contará con los Departamentos, Coordinaciones, Oficialías, Áreas y Unidades Administrativas necesarias, tal como lo señala el Bando Municipal 2025 en su artículo 74:</w:t>
      </w:r>
    </w:p>
    <w:p w:rsidR="00723E80" w:rsidRPr="00BE50A6" w:rsidRDefault="00723E80" w:rsidP="00723E80">
      <w:pPr>
        <w:ind w:left="1134" w:right="-220"/>
        <w:jc w:val="center"/>
        <w:rPr>
          <w:rFonts w:ascii="Palatino Linotype" w:eastAsia="Palatino Linotype" w:hAnsi="Palatino Linotype" w:cs="Palatino Linotype"/>
          <w:b/>
          <w:i/>
        </w:rPr>
      </w:pPr>
      <w:r w:rsidRPr="00BE50A6">
        <w:rPr>
          <w:rFonts w:ascii="Palatino Linotype" w:eastAsia="Palatino Linotype" w:hAnsi="Palatino Linotype" w:cs="Palatino Linotype"/>
          <w:b/>
          <w:i/>
        </w:rPr>
        <w:t>Bando Municipal 2025</w:t>
      </w:r>
    </w:p>
    <w:p w:rsidR="00723E80" w:rsidRPr="00BE50A6" w:rsidRDefault="00723E80" w:rsidP="00723E80">
      <w:pPr>
        <w:ind w:left="1134" w:right="-220"/>
        <w:jc w:val="center"/>
        <w:rPr>
          <w:rFonts w:ascii="Palatino Linotype" w:eastAsia="Palatino Linotype" w:hAnsi="Palatino Linotype" w:cs="Palatino Linotype"/>
          <w:b/>
          <w:i/>
        </w:rPr>
      </w:pPr>
    </w:p>
    <w:p w:rsidR="00723E80" w:rsidRPr="00BE50A6" w:rsidRDefault="00723E80" w:rsidP="00723E80">
      <w:pPr>
        <w:ind w:left="567" w:right="-788"/>
        <w:jc w:val="both"/>
        <w:rPr>
          <w:rFonts w:ascii="Palatino Linotype" w:eastAsia="Palatino Linotype" w:hAnsi="Palatino Linotype" w:cs="Palatino Linotype"/>
          <w:i/>
        </w:rPr>
      </w:pPr>
      <w:r w:rsidRPr="00BE50A6">
        <w:rPr>
          <w:rFonts w:ascii="Palatino Linotype" w:eastAsia="Palatino Linotype" w:hAnsi="Palatino Linotype" w:cs="Palatino Linotype"/>
          <w:i/>
        </w:rPr>
        <w:t xml:space="preserve">Artículo 74. Para el adecuado funcionamiento de la Administración Pública Municipal, cada Dependencia o Dirección contará con los Departamentos, Coordinaciones, Oficialías, Áreas y Unidades Administrativas necesarias, conforme a sus recursos presupuestales. </w:t>
      </w:r>
    </w:p>
    <w:p w:rsidR="00723E80" w:rsidRPr="00BE50A6" w:rsidRDefault="00723E80" w:rsidP="00723E80">
      <w:pPr>
        <w:ind w:left="567" w:right="-788"/>
        <w:jc w:val="both"/>
        <w:rPr>
          <w:rFonts w:ascii="Palatino Linotype" w:eastAsia="Palatino Linotype" w:hAnsi="Palatino Linotype" w:cs="Palatino Linotype"/>
          <w:i/>
        </w:rPr>
      </w:pPr>
      <w:r w:rsidRPr="00BE50A6">
        <w:rPr>
          <w:rFonts w:ascii="Palatino Linotype" w:eastAsia="Palatino Linotype" w:hAnsi="Palatino Linotype" w:cs="Palatino Linotype"/>
          <w:i/>
        </w:rPr>
        <w:t>…</w:t>
      </w:r>
    </w:p>
    <w:p w:rsidR="00723E80" w:rsidRPr="00BE50A6" w:rsidRDefault="00723E80" w:rsidP="00723E80">
      <w:pPr>
        <w:ind w:left="567" w:right="-220"/>
        <w:jc w:val="both"/>
        <w:rPr>
          <w:rFonts w:ascii="Palatino Linotype" w:eastAsia="Palatino Linotype" w:hAnsi="Palatino Linotype" w:cs="Palatino Linotype"/>
          <w:b/>
          <w:i/>
        </w:rPr>
      </w:pPr>
      <w:r w:rsidRPr="00BE50A6">
        <w:rPr>
          <w:rFonts w:ascii="Palatino Linotype" w:eastAsia="Palatino Linotype" w:hAnsi="Palatino Linotype" w:cs="Palatino Linotype"/>
          <w:b/>
          <w:i/>
        </w:rPr>
        <w:t xml:space="preserve">6. Dirección de Administración. </w:t>
      </w:r>
    </w:p>
    <w:p w:rsidR="00723E80" w:rsidRPr="00BE50A6" w:rsidRDefault="00723E80" w:rsidP="00723E80">
      <w:pPr>
        <w:ind w:left="851" w:right="-220"/>
        <w:jc w:val="both"/>
        <w:rPr>
          <w:rFonts w:ascii="Palatino Linotype" w:eastAsia="Palatino Linotype" w:hAnsi="Palatino Linotype" w:cs="Palatino Linotype"/>
          <w:i/>
        </w:rPr>
      </w:pPr>
      <w:r w:rsidRPr="00BE50A6">
        <w:rPr>
          <w:rFonts w:ascii="Palatino Linotype" w:eastAsia="Palatino Linotype" w:hAnsi="Palatino Linotype" w:cs="Palatino Linotype"/>
          <w:i/>
        </w:rPr>
        <w:t xml:space="preserve">6.1. Departamento de Recursos Materiales y Adquisiciones. </w:t>
      </w:r>
    </w:p>
    <w:p w:rsidR="00723E80" w:rsidRPr="00BE50A6" w:rsidRDefault="00723E80" w:rsidP="00723E80">
      <w:pPr>
        <w:ind w:left="851" w:right="-220"/>
        <w:jc w:val="both"/>
        <w:rPr>
          <w:rFonts w:ascii="Palatino Linotype" w:eastAsia="Palatino Linotype" w:hAnsi="Palatino Linotype" w:cs="Palatino Linotype"/>
          <w:i/>
        </w:rPr>
      </w:pPr>
      <w:r w:rsidRPr="00BE50A6">
        <w:rPr>
          <w:rFonts w:ascii="Palatino Linotype" w:eastAsia="Palatino Linotype" w:hAnsi="Palatino Linotype" w:cs="Palatino Linotype"/>
          <w:i/>
        </w:rPr>
        <w:t xml:space="preserve">6.2. Coordinación de Parque Vehicular. </w:t>
      </w:r>
    </w:p>
    <w:p w:rsidR="00723E80" w:rsidRPr="00BE50A6" w:rsidRDefault="00723E80" w:rsidP="00723E80">
      <w:pPr>
        <w:ind w:left="851" w:right="-220"/>
        <w:jc w:val="both"/>
        <w:rPr>
          <w:rFonts w:ascii="Palatino Linotype" w:eastAsia="Palatino Linotype" w:hAnsi="Palatino Linotype" w:cs="Palatino Linotype"/>
          <w:i/>
        </w:rPr>
      </w:pPr>
      <w:r w:rsidRPr="00BE50A6">
        <w:rPr>
          <w:rFonts w:ascii="Palatino Linotype" w:eastAsia="Palatino Linotype" w:hAnsi="Palatino Linotype" w:cs="Palatino Linotype"/>
          <w:i/>
        </w:rPr>
        <w:t xml:space="preserve">6.3. Departamento de Recursos Humanos. </w:t>
      </w:r>
    </w:p>
    <w:p w:rsidR="00723E80" w:rsidRPr="00BE50A6" w:rsidRDefault="00723E80" w:rsidP="00723E80">
      <w:pPr>
        <w:ind w:left="851" w:right="-220"/>
        <w:jc w:val="both"/>
        <w:rPr>
          <w:rFonts w:ascii="Palatino Linotype" w:eastAsia="Palatino Linotype" w:hAnsi="Palatino Linotype" w:cs="Palatino Linotype"/>
          <w:b/>
          <w:i/>
        </w:rPr>
      </w:pPr>
      <w:r w:rsidRPr="00BE50A6">
        <w:rPr>
          <w:rFonts w:ascii="Palatino Linotype" w:eastAsia="Palatino Linotype" w:hAnsi="Palatino Linotype" w:cs="Palatino Linotype"/>
          <w:i/>
        </w:rPr>
        <w:t>6.4. Departamento de Tecnologías de la Información.</w:t>
      </w:r>
    </w:p>
    <w:p w:rsidR="00723E80" w:rsidRPr="00BE50A6" w:rsidRDefault="00723E80" w:rsidP="00723E80">
      <w:pPr>
        <w:ind w:left="567" w:right="-220"/>
        <w:jc w:val="both"/>
        <w:rPr>
          <w:rFonts w:ascii="Palatino Linotype" w:eastAsia="Palatino Linotype" w:hAnsi="Palatino Linotype" w:cs="Palatino Linotype"/>
          <w:i/>
        </w:rPr>
      </w:pPr>
      <w:r w:rsidRPr="00BE50A6">
        <w:rPr>
          <w:rFonts w:ascii="Palatino Linotype" w:eastAsia="Palatino Linotype" w:hAnsi="Palatino Linotype" w:cs="Palatino Linotype"/>
          <w:i/>
        </w:rPr>
        <w:t>...</w:t>
      </w:r>
    </w:p>
    <w:p w:rsidR="00723E80" w:rsidRPr="00BE50A6" w:rsidRDefault="00723E80" w:rsidP="00723E80">
      <w:pPr>
        <w:ind w:left="708" w:right="-220"/>
        <w:jc w:val="both"/>
        <w:rPr>
          <w:rFonts w:ascii="Palatino Linotype" w:eastAsia="Palatino Linotype" w:hAnsi="Palatino Linotype" w:cs="Palatino Linotype"/>
          <w:b/>
          <w:i/>
        </w:rPr>
      </w:pPr>
    </w:p>
    <w:p w:rsidR="00723E80" w:rsidRPr="00BE50A6" w:rsidRDefault="00723E80" w:rsidP="00723E80">
      <w:pPr>
        <w:ind w:right="-220"/>
        <w:jc w:val="both"/>
      </w:pPr>
    </w:p>
    <w:p w:rsidR="00723E80" w:rsidRPr="00BE50A6" w:rsidRDefault="00723E80" w:rsidP="00723E80">
      <w:pPr>
        <w:numPr>
          <w:ilvl w:val="0"/>
          <w:numId w:val="2"/>
        </w:numPr>
        <w:spacing w:line="360" w:lineRule="auto"/>
        <w:ind w:left="0" w:right="-787" w:firstLine="0"/>
        <w:jc w:val="both"/>
        <w:rPr>
          <w:rFonts w:ascii="Palatino Linotype" w:eastAsia="Palatino Linotype" w:hAnsi="Palatino Linotype" w:cs="Palatino Linotype"/>
        </w:rPr>
      </w:pPr>
      <w:r w:rsidRPr="00BE50A6">
        <w:rPr>
          <w:rFonts w:ascii="Palatino Linotype" w:eastAsia="Palatino Linotype" w:hAnsi="Palatino Linotype" w:cs="Palatino Linotype"/>
        </w:rPr>
        <w:t xml:space="preserve">De conformidad con el artículo </w:t>
      </w:r>
      <w:r w:rsidR="001E2AC6" w:rsidRPr="00BE50A6">
        <w:rPr>
          <w:rFonts w:ascii="Palatino Linotype" w:eastAsia="Palatino Linotype" w:hAnsi="Palatino Linotype" w:cs="Palatino Linotype"/>
        </w:rPr>
        <w:t>78</w:t>
      </w:r>
      <w:r w:rsidRPr="00BE50A6">
        <w:rPr>
          <w:rFonts w:ascii="Palatino Linotype" w:eastAsia="Palatino Linotype" w:hAnsi="Palatino Linotype" w:cs="Palatino Linotype"/>
        </w:rPr>
        <w:t xml:space="preserve"> del Bando Municipal, </w:t>
      </w:r>
      <w:r w:rsidR="001E2AC6" w:rsidRPr="00BE50A6">
        <w:rPr>
          <w:rFonts w:ascii="Palatino Linotype" w:eastAsia="Palatino Linotype" w:hAnsi="Palatino Linotype" w:cs="Palatino Linotype"/>
        </w:rPr>
        <w:t xml:space="preserve">la </w:t>
      </w:r>
      <w:r w:rsidR="001E2AC6" w:rsidRPr="00BE50A6">
        <w:rPr>
          <w:rFonts w:ascii="Palatino Linotype" w:eastAsia="Palatino Linotype" w:hAnsi="Palatino Linotype" w:cs="Palatino Linotype"/>
          <w:b/>
        </w:rPr>
        <w:t>Dirección de Administración</w:t>
      </w:r>
      <w:r w:rsidR="001E2AC6" w:rsidRPr="00BE50A6">
        <w:rPr>
          <w:rFonts w:ascii="Palatino Linotype" w:eastAsia="Palatino Linotype" w:hAnsi="Palatino Linotype" w:cs="Palatino Linotype"/>
        </w:rPr>
        <w:t>, es la dependencia encargada de prestar el apoyo administrativo que requiera la administración pública municipal; vigilar el cumplimiento de las disposiciones legales que rijan las relaciones entre el Gobierno Municipal y los servidores públicos; así como dotar de todos los elementos materiales y humanos que requieran las dependencias de la administración pública para el adecuado funcionamiento</w:t>
      </w:r>
      <w:r w:rsidRPr="00BE50A6">
        <w:rPr>
          <w:rFonts w:ascii="Palatino Linotype" w:eastAsia="Palatino Linotype" w:hAnsi="Palatino Linotype" w:cs="Palatino Linotype"/>
        </w:rPr>
        <w:t>.</w:t>
      </w:r>
    </w:p>
    <w:p w:rsidR="007A7502" w:rsidRPr="00BE50A6" w:rsidRDefault="007A7502" w:rsidP="007A7502">
      <w:pPr>
        <w:spacing w:line="360" w:lineRule="auto"/>
        <w:ind w:right="-787"/>
        <w:jc w:val="both"/>
        <w:rPr>
          <w:rFonts w:ascii="Palatino Linotype" w:eastAsia="Palatino Linotype" w:hAnsi="Palatino Linotype" w:cs="Palatino Linotype"/>
        </w:rPr>
      </w:pPr>
    </w:p>
    <w:p w:rsidR="00723E80" w:rsidRPr="00BE50A6" w:rsidRDefault="007A7502">
      <w:pPr>
        <w:numPr>
          <w:ilvl w:val="0"/>
          <w:numId w:val="2"/>
        </w:numPr>
        <w:spacing w:line="360" w:lineRule="auto"/>
        <w:ind w:left="0" w:right="-787" w:firstLine="0"/>
        <w:jc w:val="both"/>
        <w:rPr>
          <w:rFonts w:ascii="Palatino Linotype" w:eastAsia="Palatino Linotype" w:hAnsi="Palatino Linotype" w:cs="Palatino Linotype"/>
        </w:rPr>
      </w:pPr>
      <w:r w:rsidRPr="00BE50A6">
        <w:rPr>
          <w:rFonts w:ascii="Palatino Linotype" w:eastAsia="Palatino Linotype" w:hAnsi="Palatino Linotype" w:cs="Palatino Linotype"/>
        </w:rPr>
        <w:t xml:space="preserve">En este mismo sentido, de conformidad al Manual de Organización de la Dirección de Administración, esta unidad administrativa es la encargada de Diseñar, vigilar y asegurar el cumplimiento de los objetivos institucionales a través de la eficiente administración y control </w:t>
      </w:r>
      <w:r w:rsidRPr="00BE50A6">
        <w:rPr>
          <w:rFonts w:ascii="Palatino Linotype" w:eastAsia="Palatino Linotype" w:hAnsi="Palatino Linotype" w:cs="Palatino Linotype"/>
        </w:rPr>
        <w:lastRenderedPageBreak/>
        <w:t>de los recursos humanos, financieros, materiales, organizacionales y tecnológicos que requieran las unidades administrativas del Ayuntamiento de Atlacomulco, así como proponer y aplicar los sistemas, métodos y procedimientos que coadyuven a la modernización de los procesos administrativos y a la calidad en la prestación de los servicios.</w:t>
      </w:r>
    </w:p>
    <w:p w:rsidR="00B66449" w:rsidRPr="00BE50A6" w:rsidRDefault="00B66449">
      <w:pPr>
        <w:spacing w:line="360" w:lineRule="auto"/>
        <w:ind w:right="-787"/>
        <w:jc w:val="both"/>
        <w:rPr>
          <w:rFonts w:ascii="Palatino Linotype" w:eastAsia="Palatino Linotype" w:hAnsi="Palatino Linotype" w:cs="Palatino Linotype"/>
          <w:color w:val="000000"/>
        </w:rPr>
      </w:pPr>
    </w:p>
    <w:p w:rsidR="007A7502" w:rsidRPr="00BE50A6" w:rsidRDefault="007A7502" w:rsidP="007A7502">
      <w:pPr>
        <w:numPr>
          <w:ilvl w:val="0"/>
          <w:numId w:val="2"/>
        </w:numPr>
        <w:spacing w:line="360" w:lineRule="auto"/>
        <w:ind w:left="0" w:right="-787" w:firstLine="0"/>
        <w:jc w:val="both"/>
      </w:pPr>
      <w:r w:rsidRPr="00BE50A6">
        <w:rPr>
          <w:rFonts w:ascii="Palatino Linotype" w:eastAsia="Palatino Linotype" w:hAnsi="Palatino Linotype" w:cs="Palatino Linotype"/>
        </w:rPr>
        <w:t xml:space="preserve">De lo expuesto es de precisar que la respuesta fue emitida por la </w:t>
      </w:r>
      <w:r w:rsidRPr="00BE50A6">
        <w:rPr>
          <w:rFonts w:ascii="Palatino Linotype" w:eastAsia="Palatino Linotype" w:hAnsi="Palatino Linotype" w:cs="Palatino Linotype"/>
          <w:b/>
          <w:bCs/>
        </w:rPr>
        <w:t>Dirección de Administración</w:t>
      </w:r>
      <w:r w:rsidRPr="00BE50A6">
        <w:rPr>
          <w:rFonts w:ascii="Palatino Linotype" w:eastAsia="Palatino Linotype" w:hAnsi="Palatino Linotype" w:cs="Palatino Linotype"/>
        </w:rPr>
        <w:t xml:space="preserve"> por lo que podemos advertir que </w:t>
      </w:r>
      <w:r w:rsidRPr="00BE50A6">
        <w:rPr>
          <w:rFonts w:ascii="Palatino Linotype" w:eastAsia="Palatino Linotype" w:hAnsi="Palatino Linotype" w:cs="Palatino Linotype"/>
          <w:b/>
          <w:bCs/>
        </w:rPr>
        <w:t xml:space="preserve">EL SUJETO OBLIGADO </w:t>
      </w:r>
      <w:r w:rsidRPr="00BE50A6">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7A7502" w:rsidRPr="00BE50A6" w:rsidRDefault="007A7502" w:rsidP="007A7502">
      <w:pPr>
        <w:ind w:left="567" w:right="62"/>
        <w:jc w:val="both"/>
        <w:rPr>
          <w:rFonts w:ascii="Palatino Linotype" w:eastAsia="Palatino Linotype" w:hAnsi="Palatino Linotype" w:cs="Palatino Linotype"/>
          <w:i/>
          <w:iCs/>
        </w:rPr>
      </w:pPr>
      <w:r w:rsidRPr="00BE50A6">
        <w:rPr>
          <w:rFonts w:ascii="Palatino Linotype" w:eastAsia="Palatino Linotype" w:hAnsi="Palatino Linotype" w:cs="Palatino Linotype"/>
          <w:b/>
          <w:bCs/>
          <w:i/>
          <w:iCs/>
        </w:rPr>
        <w:t>XXXIX.</w:t>
      </w:r>
      <w:r w:rsidRPr="00BE50A6">
        <w:rPr>
          <w:rFonts w:ascii="Palatino Linotype" w:eastAsia="Palatino Linotype" w:hAnsi="Palatino Linotype" w:cs="Palatino Linotype"/>
          <w:i/>
          <w:iCs/>
        </w:rPr>
        <w:t xml:space="preserve"> </w:t>
      </w:r>
      <w:r w:rsidRPr="00BE50A6">
        <w:rPr>
          <w:rFonts w:ascii="Palatino Linotype" w:eastAsia="Palatino Linotype" w:hAnsi="Palatino Linotype" w:cs="Palatino Linotype"/>
          <w:b/>
          <w:bCs/>
          <w:i/>
          <w:iCs/>
        </w:rPr>
        <w:t>Servidor público habilitado</w:t>
      </w:r>
      <w:r w:rsidRPr="00BE50A6">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7A7502" w:rsidRPr="00BE50A6" w:rsidRDefault="007A7502" w:rsidP="007A7502">
      <w:pPr>
        <w:spacing w:line="360" w:lineRule="auto"/>
        <w:ind w:left="708" w:right="62"/>
        <w:jc w:val="both"/>
        <w:rPr>
          <w:rFonts w:ascii="Palatino Linotype" w:eastAsia="Palatino Linotype" w:hAnsi="Palatino Linotype" w:cs="Palatino Linotype"/>
        </w:rPr>
      </w:pPr>
    </w:p>
    <w:p w:rsidR="007A7502" w:rsidRPr="00BE50A6" w:rsidRDefault="007A7502" w:rsidP="0067654F">
      <w:pPr>
        <w:numPr>
          <w:ilvl w:val="0"/>
          <w:numId w:val="2"/>
        </w:numPr>
        <w:spacing w:line="360" w:lineRule="auto"/>
        <w:ind w:left="0" w:right="-787" w:firstLine="0"/>
        <w:jc w:val="both"/>
      </w:pPr>
      <w:r w:rsidRPr="00BE50A6">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7A7502" w:rsidRPr="00BE50A6" w:rsidRDefault="007A7502" w:rsidP="007A7502">
      <w:pPr>
        <w:ind w:left="567" w:right="-220"/>
        <w:jc w:val="both"/>
        <w:rPr>
          <w:rFonts w:ascii="Palatino Linotype" w:eastAsia="Palatino Linotype" w:hAnsi="Palatino Linotype" w:cs="Palatino Linotype"/>
          <w:i/>
          <w:iCs/>
        </w:rPr>
      </w:pPr>
      <w:r w:rsidRPr="00BE50A6">
        <w:rPr>
          <w:rFonts w:ascii="Palatino Linotype" w:eastAsia="Palatino Linotype" w:hAnsi="Palatino Linotype" w:cs="Palatino Linotype"/>
          <w:i/>
          <w:iCs/>
        </w:rPr>
        <w:t>“</w:t>
      </w:r>
      <w:r w:rsidRPr="00BE50A6">
        <w:rPr>
          <w:rFonts w:ascii="Palatino Linotype" w:eastAsia="Palatino Linotype" w:hAnsi="Palatino Linotype" w:cs="Palatino Linotype"/>
          <w:b/>
          <w:bCs/>
          <w:i/>
          <w:iCs/>
        </w:rPr>
        <w:t>Artículo 162.</w:t>
      </w:r>
      <w:r w:rsidRPr="00BE50A6">
        <w:rPr>
          <w:rFonts w:ascii="Palatino Linotype" w:eastAsia="Palatino Linotype" w:hAnsi="Palatino Linotype" w:cs="Palatino Linotype"/>
          <w:i/>
          <w:iCs/>
        </w:rPr>
        <w:t xml:space="preserve"> Las unidades de transparencia deberán garantizar que las solicitudes se turnen a </w:t>
      </w:r>
      <w:r w:rsidRPr="00BE50A6">
        <w:rPr>
          <w:rFonts w:ascii="Palatino Linotype" w:eastAsia="Palatino Linotype" w:hAnsi="Palatino Linotype" w:cs="Palatino Linotype"/>
          <w:b/>
          <w:bCs/>
          <w:i/>
          <w:iCs/>
        </w:rPr>
        <w:t>todas las Áreas competentes</w:t>
      </w:r>
      <w:r w:rsidRPr="00BE50A6">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7A7502" w:rsidRPr="00BE50A6" w:rsidRDefault="007A7502" w:rsidP="007A7502">
      <w:pPr>
        <w:ind w:left="567" w:right="-220"/>
        <w:jc w:val="both"/>
        <w:rPr>
          <w:rFonts w:ascii="Palatino Linotype" w:eastAsia="Palatino Linotype" w:hAnsi="Palatino Linotype" w:cs="Palatino Linotype"/>
          <w:i/>
          <w:iCs/>
        </w:rPr>
      </w:pPr>
    </w:p>
    <w:p w:rsidR="007A7502" w:rsidRPr="00BE50A6" w:rsidRDefault="007A7502" w:rsidP="0067654F">
      <w:pPr>
        <w:numPr>
          <w:ilvl w:val="0"/>
          <w:numId w:val="2"/>
        </w:numPr>
        <w:spacing w:line="360" w:lineRule="auto"/>
        <w:ind w:left="0" w:right="-787" w:firstLine="0"/>
        <w:jc w:val="both"/>
        <w:rPr>
          <w:color w:val="000000"/>
        </w:rPr>
      </w:pPr>
      <w:r w:rsidRPr="00BE50A6">
        <w:rPr>
          <w:rFonts w:ascii="Palatino Linotype" w:eastAsia="Palatino Linotype" w:hAnsi="Palatino Linotype" w:cs="Palatino Linotype"/>
          <w:color w:val="000000"/>
        </w:rPr>
        <w:lastRenderedPageBreak/>
        <w:t xml:space="preserve">Es de </w:t>
      </w:r>
      <w:r w:rsidRPr="00BE50A6">
        <w:rPr>
          <w:rFonts w:ascii="Palatino Linotype" w:eastAsia="Palatino Linotype" w:hAnsi="Palatino Linotype" w:cs="Palatino Linotype"/>
        </w:rPr>
        <w:t>subrayar</w:t>
      </w:r>
      <w:r w:rsidRPr="00BE50A6">
        <w:rPr>
          <w:rFonts w:ascii="Palatino Linotype" w:eastAsia="Palatino Linotype" w:hAnsi="Palatino Linotype" w:cs="Palatino Linotype"/>
          <w:color w:val="000000"/>
        </w:rPr>
        <w:t xml:space="preserve"> que el derecho de acceso a la información pública, consiste en que la información </w:t>
      </w:r>
      <w:r w:rsidRPr="00BE50A6">
        <w:rPr>
          <w:rFonts w:ascii="Palatino Linotype" w:eastAsia="Palatino Linotype" w:hAnsi="Palatino Linotype" w:cs="Palatino Linotype"/>
        </w:rPr>
        <w:t>solicitada</w:t>
      </w:r>
      <w:r w:rsidRPr="00BE50A6">
        <w:rPr>
          <w:rFonts w:ascii="Palatino Linotype" w:eastAsia="Palatino Linotype" w:hAnsi="Palatino Linotype" w:cs="Palatino Linotype"/>
          <w:color w:val="000000"/>
        </w:rPr>
        <w:t xml:space="preserve"> conste en un soporte documental en cualquiera de sus formas, a saber: </w:t>
      </w:r>
      <w:r w:rsidRPr="00BE50A6">
        <w:rPr>
          <w:rFonts w:ascii="Palatino Linotype" w:eastAsia="Palatino Linotype" w:hAnsi="Palatino Linotype" w:cs="Palatino Linotype"/>
        </w:rPr>
        <w:t>expedientes</w:t>
      </w:r>
      <w:r w:rsidRPr="00BE50A6">
        <w:rPr>
          <w:rFonts w:ascii="Palatino Linotype" w:eastAsia="Palatino Linotype" w:hAnsi="Palatino Linotype" w:cs="Palatino Linotype"/>
          <w:color w:val="000000"/>
        </w:rPr>
        <w:t xml:space="preserve">,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7A7502" w:rsidRPr="00BE50A6" w:rsidRDefault="007A7502" w:rsidP="007A7502">
      <w:pPr>
        <w:ind w:left="567" w:right="-220"/>
        <w:jc w:val="both"/>
        <w:rPr>
          <w:rFonts w:ascii="Palatino Linotype" w:eastAsia="Palatino Linotype" w:hAnsi="Palatino Linotype" w:cs="Palatino Linotype"/>
          <w:i/>
          <w:iCs/>
          <w:color w:val="000000"/>
        </w:rPr>
      </w:pPr>
      <w:r w:rsidRPr="00BE50A6">
        <w:rPr>
          <w:rFonts w:ascii="Palatino Linotype" w:eastAsia="Palatino Linotype" w:hAnsi="Palatino Linotype" w:cs="Palatino Linotype"/>
          <w:i/>
          <w:iCs/>
          <w:color w:val="000000"/>
        </w:rPr>
        <w:t>“</w:t>
      </w:r>
      <w:r w:rsidRPr="00BE50A6">
        <w:rPr>
          <w:rFonts w:ascii="Palatino Linotype" w:eastAsia="Palatino Linotype" w:hAnsi="Palatino Linotype" w:cs="Palatino Linotype"/>
          <w:b/>
          <w:bCs/>
          <w:i/>
          <w:iCs/>
          <w:color w:val="000000"/>
        </w:rPr>
        <w:t xml:space="preserve">Artículo 3. </w:t>
      </w:r>
      <w:r w:rsidRPr="00BE50A6">
        <w:rPr>
          <w:rFonts w:ascii="Palatino Linotype" w:eastAsia="Palatino Linotype" w:hAnsi="Palatino Linotype" w:cs="Palatino Linotype"/>
          <w:i/>
          <w:iCs/>
          <w:color w:val="000000"/>
        </w:rPr>
        <w:t>Para los efectos de la presente Ley se entenderá por:</w:t>
      </w:r>
    </w:p>
    <w:p w:rsidR="007A7502" w:rsidRPr="00BE50A6" w:rsidRDefault="007A7502" w:rsidP="007A7502">
      <w:pPr>
        <w:ind w:left="567" w:right="-220"/>
        <w:jc w:val="both"/>
        <w:rPr>
          <w:rFonts w:ascii="Palatino Linotype" w:eastAsia="Palatino Linotype" w:hAnsi="Palatino Linotype" w:cs="Palatino Linotype"/>
          <w:i/>
          <w:iCs/>
          <w:color w:val="000000"/>
        </w:rPr>
      </w:pPr>
      <w:r w:rsidRPr="00BE50A6">
        <w:rPr>
          <w:rFonts w:ascii="Palatino Linotype" w:eastAsia="Palatino Linotype" w:hAnsi="Palatino Linotype" w:cs="Palatino Linotype"/>
          <w:i/>
          <w:iCs/>
          <w:color w:val="000000"/>
        </w:rPr>
        <w:t>(…)</w:t>
      </w:r>
    </w:p>
    <w:p w:rsidR="007A7502" w:rsidRPr="00BE50A6" w:rsidRDefault="007A7502" w:rsidP="007A7502">
      <w:pPr>
        <w:ind w:left="567" w:right="-220"/>
        <w:jc w:val="both"/>
        <w:rPr>
          <w:rFonts w:ascii="Palatino Linotype" w:eastAsia="Palatino Linotype" w:hAnsi="Palatino Linotype" w:cs="Palatino Linotype"/>
          <w:i/>
          <w:iCs/>
          <w:color w:val="000000"/>
        </w:rPr>
      </w:pPr>
      <w:r w:rsidRPr="00BE50A6">
        <w:rPr>
          <w:rFonts w:ascii="Palatino Linotype" w:eastAsia="Palatino Linotype" w:hAnsi="Palatino Linotype" w:cs="Palatino Linotype"/>
          <w:b/>
          <w:bCs/>
          <w:i/>
          <w:iCs/>
          <w:color w:val="000000"/>
        </w:rPr>
        <w:t>XI. Documento:</w:t>
      </w:r>
      <w:r w:rsidRPr="00BE50A6">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7A7502" w:rsidRPr="00BE50A6" w:rsidRDefault="007A7502" w:rsidP="007A7502">
      <w:pPr>
        <w:spacing w:line="360" w:lineRule="auto"/>
        <w:ind w:left="567" w:right="-220"/>
        <w:jc w:val="both"/>
        <w:rPr>
          <w:rFonts w:ascii="Palatino Linotype" w:eastAsia="Palatino Linotype" w:hAnsi="Palatino Linotype" w:cs="Palatino Linotype"/>
          <w:i/>
          <w:iCs/>
          <w:color w:val="000000"/>
        </w:rPr>
      </w:pPr>
      <w:r w:rsidRPr="00BE50A6">
        <w:rPr>
          <w:rFonts w:ascii="Palatino Linotype" w:eastAsia="Palatino Linotype" w:hAnsi="Palatino Linotype" w:cs="Palatino Linotype"/>
          <w:i/>
          <w:iCs/>
          <w:color w:val="000000"/>
        </w:rPr>
        <w:t>(…)”</w:t>
      </w:r>
    </w:p>
    <w:p w:rsidR="007A7502" w:rsidRPr="00BE50A6" w:rsidRDefault="007A7502" w:rsidP="007A7502">
      <w:pPr>
        <w:ind w:right="-787"/>
        <w:jc w:val="both"/>
        <w:rPr>
          <w:rFonts w:ascii="Palatino Linotype" w:eastAsia="Palatino Linotype" w:hAnsi="Palatino Linotype" w:cs="Palatino Linotype"/>
        </w:rPr>
      </w:pPr>
    </w:p>
    <w:p w:rsidR="007A7502" w:rsidRPr="00BE50A6" w:rsidRDefault="007A7502" w:rsidP="0067654F">
      <w:pPr>
        <w:numPr>
          <w:ilvl w:val="0"/>
          <w:numId w:val="2"/>
        </w:numPr>
        <w:spacing w:line="360" w:lineRule="auto"/>
        <w:ind w:left="0" w:right="-787" w:firstLine="0"/>
        <w:jc w:val="both"/>
        <w:rPr>
          <w:color w:val="000000"/>
        </w:rPr>
      </w:pPr>
      <w:r w:rsidRPr="00BE50A6">
        <w:rPr>
          <w:rFonts w:ascii="Palatino Linotype" w:eastAsia="Palatino Linotype" w:hAnsi="Palatino Linotype" w:cs="Palatino Linotype"/>
          <w:color w:val="000000"/>
        </w:rPr>
        <w:t xml:space="preserve">Siendo aplicable el Criterio de interpretación en el orden administrativo número 0002-11, emitido por Acuerdo del Pleno del Instituto de Transparencia y Acceso a la Información Pública del </w:t>
      </w:r>
      <w:r w:rsidRPr="00BE50A6">
        <w:rPr>
          <w:rFonts w:ascii="Palatino Linotype" w:eastAsia="Palatino Linotype" w:hAnsi="Palatino Linotype" w:cs="Palatino Linotype"/>
        </w:rPr>
        <w:t>Estado</w:t>
      </w:r>
      <w:r w:rsidRPr="00BE50A6">
        <w:rPr>
          <w:rFonts w:ascii="Palatino Linotype" w:eastAsia="Palatino Linotype" w:hAnsi="Palatino Linotype" w:cs="Palatino Linotype"/>
          <w:color w:val="000000"/>
        </w:rPr>
        <w:t xml:space="preserve"> de México y Municipios; publicado en el Periódico Oficial del Gobierno del Esta</w:t>
      </w:r>
      <w:bookmarkStart w:id="6" w:name="_GoBack"/>
      <w:bookmarkEnd w:id="6"/>
      <w:r w:rsidRPr="00BE50A6">
        <w:rPr>
          <w:rFonts w:ascii="Palatino Linotype" w:eastAsia="Palatino Linotype" w:hAnsi="Palatino Linotype" w:cs="Palatino Linotype"/>
          <w:color w:val="000000"/>
        </w:rPr>
        <w:t>do Libre y Soberano de México “Gaceta del Gobierno”, el diecinueve de octubre de dos mil once, cuyo rubro y texto dispone:</w:t>
      </w:r>
    </w:p>
    <w:p w:rsidR="007A7502" w:rsidRPr="00BE50A6" w:rsidRDefault="007A7502" w:rsidP="007A7502">
      <w:pPr>
        <w:ind w:left="567" w:right="-220"/>
        <w:jc w:val="both"/>
        <w:rPr>
          <w:rFonts w:ascii="Palatino Linotype" w:eastAsia="Palatino Linotype" w:hAnsi="Palatino Linotype" w:cs="Palatino Linotype"/>
          <w:b/>
          <w:bCs/>
          <w:i/>
          <w:iCs/>
        </w:rPr>
      </w:pPr>
      <w:r w:rsidRPr="00BE50A6">
        <w:rPr>
          <w:rFonts w:ascii="Palatino Linotype" w:eastAsia="Palatino Linotype" w:hAnsi="Palatino Linotype" w:cs="Palatino Linotype"/>
          <w:b/>
          <w:bCs/>
        </w:rPr>
        <w:t>“</w:t>
      </w:r>
      <w:r w:rsidRPr="00BE50A6">
        <w:rPr>
          <w:rFonts w:ascii="Palatino Linotype" w:eastAsia="Palatino Linotype" w:hAnsi="Palatino Linotype" w:cs="Palatino Linotype"/>
          <w:b/>
          <w:bCs/>
          <w:i/>
          <w:iCs/>
        </w:rPr>
        <w:t>CRITERIO 0002-11</w:t>
      </w:r>
    </w:p>
    <w:p w:rsidR="007A7502" w:rsidRPr="00BE50A6" w:rsidRDefault="007A7502" w:rsidP="007A7502">
      <w:pPr>
        <w:ind w:left="567" w:right="-220"/>
        <w:jc w:val="both"/>
        <w:rPr>
          <w:rFonts w:ascii="Palatino Linotype" w:eastAsia="Palatino Linotype" w:hAnsi="Palatino Linotype" w:cs="Palatino Linotype"/>
          <w:i/>
          <w:iCs/>
        </w:rPr>
      </w:pPr>
      <w:r w:rsidRPr="00BE50A6">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BE50A6">
        <w:rPr>
          <w:rFonts w:ascii="Palatino Linotype" w:eastAsia="Palatino Linotype" w:hAnsi="Palatino Linotype" w:cs="Palatino Linotype"/>
          <w:i/>
          <w:iCs/>
        </w:rPr>
        <w:t xml:space="preserve"> De conformidad con los artículos antes referidos, el derecho de acceso a la información pública, se define en cuanto a su alcance y </w:t>
      </w:r>
      <w:r w:rsidRPr="00BE50A6">
        <w:rPr>
          <w:rFonts w:ascii="Palatino Linotype" w:eastAsia="Palatino Linotype" w:hAnsi="Palatino Linotype" w:cs="Palatino Linotype"/>
          <w:i/>
          <w:iCs/>
        </w:rPr>
        <w:lastRenderedPageBreak/>
        <w:t>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A7502" w:rsidRPr="00BE50A6" w:rsidRDefault="007A7502" w:rsidP="007A7502">
      <w:pPr>
        <w:ind w:left="567" w:right="-220"/>
        <w:jc w:val="both"/>
        <w:rPr>
          <w:rFonts w:ascii="Palatino Linotype" w:eastAsia="Palatino Linotype" w:hAnsi="Palatino Linotype" w:cs="Palatino Linotype"/>
          <w:i/>
          <w:iCs/>
        </w:rPr>
      </w:pPr>
      <w:r w:rsidRPr="00BE50A6">
        <w:rPr>
          <w:rFonts w:ascii="Palatino Linotype" w:eastAsia="Palatino Linotype" w:hAnsi="Palatino Linotype" w:cs="Palatino Linotype"/>
          <w:i/>
          <w:iCs/>
        </w:rPr>
        <w:t>En consecuencia el acceso a la información se refiere a que se cumplan cualquiera de los siguientes tres supuestos:</w:t>
      </w:r>
    </w:p>
    <w:p w:rsidR="007A7502" w:rsidRPr="00BE50A6" w:rsidRDefault="007A7502" w:rsidP="007A7502">
      <w:pPr>
        <w:ind w:left="567" w:right="-220"/>
        <w:jc w:val="both"/>
        <w:rPr>
          <w:rFonts w:ascii="Palatino Linotype" w:eastAsia="Palatino Linotype" w:hAnsi="Palatino Linotype" w:cs="Palatino Linotype"/>
          <w:b/>
          <w:bCs/>
          <w:i/>
          <w:iCs/>
        </w:rPr>
      </w:pPr>
      <w:r w:rsidRPr="00BE50A6">
        <w:rPr>
          <w:rFonts w:ascii="Palatino Linotype" w:eastAsia="Palatino Linotype" w:hAnsi="Palatino Linotype" w:cs="Palatino Linotype"/>
          <w:b/>
          <w:bCs/>
          <w:i/>
          <w:iCs/>
        </w:rPr>
        <w:t xml:space="preserve">1) </w:t>
      </w:r>
      <w:r w:rsidRPr="00BE50A6">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7A7502" w:rsidRPr="00BE50A6" w:rsidRDefault="007A7502" w:rsidP="007A7502">
      <w:pPr>
        <w:ind w:left="567" w:right="-220"/>
        <w:jc w:val="both"/>
        <w:rPr>
          <w:rFonts w:ascii="Palatino Linotype" w:eastAsia="Palatino Linotype" w:hAnsi="Palatino Linotype" w:cs="Palatino Linotype"/>
          <w:i/>
          <w:iCs/>
        </w:rPr>
      </w:pPr>
      <w:r w:rsidRPr="00BE50A6">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7A7502" w:rsidRPr="00BE50A6" w:rsidRDefault="007A7502" w:rsidP="007A7502">
      <w:pPr>
        <w:ind w:left="567" w:right="-220"/>
        <w:jc w:val="both"/>
        <w:rPr>
          <w:rFonts w:ascii="Palatino Linotype" w:eastAsia="Palatino Linotype" w:hAnsi="Palatino Linotype" w:cs="Palatino Linotype"/>
          <w:i/>
          <w:iCs/>
        </w:rPr>
      </w:pPr>
      <w:r w:rsidRPr="00BE50A6">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7A7502" w:rsidRPr="00BE50A6" w:rsidRDefault="007A7502" w:rsidP="007A7502">
      <w:pPr>
        <w:pBdr>
          <w:top w:val="nil"/>
          <w:left w:val="nil"/>
          <w:bottom w:val="nil"/>
          <w:right w:val="nil"/>
          <w:between w:val="nil"/>
        </w:pBdr>
        <w:ind w:right="-787"/>
        <w:jc w:val="both"/>
        <w:rPr>
          <w:rFonts w:ascii="Palatino Linotype" w:eastAsia="Palatino Linotype" w:hAnsi="Palatino Linotype" w:cs="Palatino Linotype"/>
          <w:color w:val="000000"/>
        </w:rPr>
      </w:pPr>
    </w:p>
    <w:p w:rsidR="007A7502" w:rsidRPr="00BE50A6" w:rsidRDefault="007A7502" w:rsidP="0067654F">
      <w:pPr>
        <w:numPr>
          <w:ilvl w:val="0"/>
          <w:numId w:val="2"/>
        </w:numPr>
        <w:spacing w:line="360" w:lineRule="auto"/>
        <w:ind w:left="0" w:right="-787" w:firstLine="0"/>
        <w:jc w:val="both"/>
        <w:rPr>
          <w:color w:val="000000"/>
        </w:rPr>
      </w:pPr>
      <w:r w:rsidRPr="00BE50A6">
        <w:rPr>
          <w:rFonts w:ascii="Palatino Linotype" w:eastAsia="Palatino Linotype" w:hAnsi="Palatino Linotype" w:cs="Palatino Linotype"/>
          <w:color w:val="000000"/>
        </w:rPr>
        <w:t>Por su parte los artículos 160 y 166, de la Ley local en la materia, que se reproduce de la siguiente forma:</w:t>
      </w:r>
    </w:p>
    <w:p w:rsidR="007A7502" w:rsidRPr="00BE50A6" w:rsidRDefault="007A7502" w:rsidP="007A7502">
      <w:pPr>
        <w:ind w:left="566" w:right="-220"/>
        <w:jc w:val="both"/>
        <w:rPr>
          <w:rFonts w:ascii="Palatino Linotype" w:eastAsia="Palatino Linotype" w:hAnsi="Palatino Linotype" w:cs="Palatino Linotype"/>
          <w:i/>
          <w:iCs/>
        </w:rPr>
      </w:pPr>
      <w:r w:rsidRPr="00BE50A6">
        <w:rPr>
          <w:rFonts w:ascii="Palatino Linotype" w:eastAsia="Palatino Linotype" w:hAnsi="Palatino Linotype" w:cs="Palatino Linotype"/>
          <w:i/>
          <w:iCs/>
        </w:rPr>
        <w:t>“</w:t>
      </w:r>
      <w:r w:rsidRPr="00BE50A6">
        <w:rPr>
          <w:rFonts w:ascii="Palatino Linotype" w:eastAsia="Palatino Linotype" w:hAnsi="Palatino Linotype" w:cs="Palatino Linotype"/>
          <w:b/>
          <w:bCs/>
          <w:i/>
          <w:iCs/>
        </w:rPr>
        <w:t>Artículo 160.</w:t>
      </w:r>
      <w:r w:rsidRPr="00BE50A6">
        <w:rPr>
          <w:rFonts w:ascii="Palatino Linotype" w:eastAsia="Palatino Linotype" w:hAnsi="Palatino Linotype" w:cs="Palatino Linotype"/>
          <w:i/>
          <w:iCs/>
        </w:rPr>
        <w:t xml:space="preserve"> </w:t>
      </w:r>
      <w:r w:rsidRPr="00BE50A6">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BE50A6">
        <w:rPr>
          <w:rFonts w:ascii="Palatino Linotype" w:eastAsia="Palatino Linotype" w:hAnsi="Palatino Linotype" w:cs="Palatino Linotype"/>
          <w:i/>
          <w:iCs/>
        </w:rPr>
        <w:t>.</w:t>
      </w:r>
    </w:p>
    <w:p w:rsidR="007A7502" w:rsidRPr="00BE50A6" w:rsidRDefault="007A7502" w:rsidP="007A7502">
      <w:pPr>
        <w:ind w:left="566" w:right="-220"/>
        <w:jc w:val="both"/>
        <w:rPr>
          <w:rFonts w:ascii="Palatino Linotype" w:eastAsia="Palatino Linotype" w:hAnsi="Palatino Linotype" w:cs="Palatino Linotype"/>
          <w:i/>
          <w:iCs/>
        </w:rPr>
      </w:pPr>
    </w:p>
    <w:p w:rsidR="007A7502" w:rsidRPr="00BE50A6" w:rsidRDefault="007A7502" w:rsidP="007A7502">
      <w:pPr>
        <w:ind w:left="566" w:right="-220"/>
        <w:jc w:val="both"/>
        <w:rPr>
          <w:rFonts w:ascii="Palatino Linotype" w:eastAsia="Palatino Linotype" w:hAnsi="Palatino Linotype" w:cs="Palatino Linotype"/>
          <w:i/>
          <w:iCs/>
        </w:rPr>
      </w:pPr>
      <w:r w:rsidRPr="00BE50A6">
        <w:rPr>
          <w:rFonts w:ascii="Palatino Linotype" w:eastAsia="Palatino Linotype" w:hAnsi="Palatino Linotype" w:cs="Palatino Linotype"/>
          <w:i/>
          <w:iCs/>
        </w:rPr>
        <w:t>En caso que la información solicitada consista en bases de datos se deberá privilegiar la entrega de la misma en formatos abiertos.</w:t>
      </w:r>
    </w:p>
    <w:p w:rsidR="007A7502" w:rsidRPr="00BE50A6" w:rsidRDefault="007A7502" w:rsidP="007A7502">
      <w:pPr>
        <w:ind w:left="566" w:right="-220"/>
        <w:jc w:val="both"/>
        <w:rPr>
          <w:rFonts w:ascii="Palatino Linotype" w:eastAsia="Palatino Linotype" w:hAnsi="Palatino Linotype" w:cs="Palatino Linotype"/>
          <w:i/>
          <w:iCs/>
          <w:u w:val="single"/>
        </w:rPr>
      </w:pPr>
      <w:r w:rsidRPr="00BE50A6">
        <w:rPr>
          <w:rFonts w:ascii="Palatino Linotype" w:eastAsia="Palatino Linotype" w:hAnsi="Palatino Linotype" w:cs="Palatino Linotype"/>
          <w:b/>
          <w:bCs/>
          <w:i/>
          <w:iCs/>
        </w:rPr>
        <w:t>Artículo 166.</w:t>
      </w:r>
      <w:r w:rsidRPr="00BE50A6">
        <w:rPr>
          <w:rFonts w:ascii="Palatino Linotype" w:eastAsia="Palatino Linotype" w:hAnsi="Palatino Linotype" w:cs="Palatino Linotype"/>
          <w:i/>
          <w:iCs/>
        </w:rPr>
        <w:t xml:space="preserve"> </w:t>
      </w:r>
      <w:r w:rsidRPr="00BE50A6">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7A7502" w:rsidRPr="00BE50A6" w:rsidRDefault="007A7502" w:rsidP="007A7502">
      <w:pPr>
        <w:spacing w:line="360" w:lineRule="auto"/>
        <w:ind w:left="566" w:right="-220"/>
        <w:jc w:val="both"/>
        <w:rPr>
          <w:rFonts w:ascii="Palatino Linotype" w:eastAsia="Palatino Linotype" w:hAnsi="Palatino Linotype" w:cs="Palatino Linotype"/>
        </w:rPr>
      </w:pPr>
      <w:r w:rsidRPr="00BE50A6">
        <w:rPr>
          <w:rFonts w:ascii="Palatino Linotype" w:eastAsia="Palatino Linotype" w:hAnsi="Palatino Linotype" w:cs="Palatino Linotype"/>
        </w:rPr>
        <w:t>(Énfasis añadido)</w:t>
      </w:r>
    </w:p>
    <w:p w:rsidR="007A7502" w:rsidRPr="00BE50A6" w:rsidRDefault="007A7502" w:rsidP="007A7502">
      <w:pPr>
        <w:ind w:right="-787"/>
        <w:jc w:val="both"/>
        <w:rPr>
          <w:rFonts w:ascii="Palatino Linotype" w:eastAsia="Palatino Linotype" w:hAnsi="Palatino Linotype" w:cs="Palatino Linotype"/>
        </w:rPr>
      </w:pPr>
    </w:p>
    <w:p w:rsidR="007A7502" w:rsidRPr="00BE50A6" w:rsidRDefault="007A7502" w:rsidP="0067654F">
      <w:pPr>
        <w:numPr>
          <w:ilvl w:val="0"/>
          <w:numId w:val="2"/>
        </w:numPr>
        <w:spacing w:line="360" w:lineRule="auto"/>
        <w:ind w:left="0" w:right="-787" w:firstLine="0"/>
        <w:jc w:val="both"/>
        <w:rPr>
          <w:color w:val="000000"/>
        </w:rPr>
      </w:pPr>
      <w:r w:rsidRPr="00BE50A6">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7A7502" w:rsidRPr="00BE50A6" w:rsidRDefault="007A7502" w:rsidP="007A7502">
      <w:pPr>
        <w:spacing w:line="360" w:lineRule="auto"/>
        <w:ind w:right="-787"/>
        <w:jc w:val="both"/>
        <w:rPr>
          <w:rFonts w:ascii="Palatino Linotype" w:eastAsia="Palatino Linotype" w:hAnsi="Palatino Linotype" w:cs="Palatino Linotype"/>
          <w:color w:val="000000"/>
        </w:rPr>
      </w:pPr>
    </w:p>
    <w:p w:rsidR="007A7502" w:rsidRPr="00BE50A6" w:rsidRDefault="007A7502" w:rsidP="007A7502">
      <w:pPr>
        <w:numPr>
          <w:ilvl w:val="0"/>
          <w:numId w:val="10"/>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b/>
          <w:bCs/>
          <w:color w:val="000000"/>
        </w:rPr>
        <w:lastRenderedPageBreak/>
        <w:t xml:space="preserve">De la naturaleza de la información solicitada. </w:t>
      </w:r>
    </w:p>
    <w:p w:rsidR="007A7502" w:rsidRPr="00BE50A6" w:rsidRDefault="007A7502" w:rsidP="0067654F">
      <w:pPr>
        <w:numPr>
          <w:ilvl w:val="0"/>
          <w:numId w:val="2"/>
        </w:numPr>
        <w:spacing w:line="360" w:lineRule="auto"/>
        <w:ind w:left="0" w:right="-787" w:firstLine="0"/>
        <w:jc w:val="both"/>
      </w:pPr>
      <w:r w:rsidRPr="00BE50A6">
        <w:rPr>
          <w:rFonts w:ascii="Palatino Linotype" w:eastAsia="Palatino Linotype" w:hAnsi="Palatino Linotype" w:cs="Palatino Linotype"/>
        </w:rPr>
        <w:t xml:space="preserve">Se </w:t>
      </w:r>
      <w:r w:rsidRPr="00BE50A6">
        <w:rPr>
          <w:rFonts w:ascii="Palatino Linotype" w:eastAsia="Palatino Linotype" w:hAnsi="Palatino Linotype" w:cs="Palatino Linotype"/>
          <w:color w:val="000000"/>
        </w:rPr>
        <w:t>precisa</w:t>
      </w:r>
      <w:r w:rsidRPr="00BE50A6">
        <w:rPr>
          <w:rFonts w:ascii="Palatino Linotype" w:eastAsia="Palatino Linotype" w:hAnsi="Palatino Linotype" w:cs="Palatino Linotype"/>
        </w:rPr>
        <w:t xml:space="preserve"> </w:t>
      </w:r>
      <w:r w:rsidRPr="00BE50A6">
        <w:rPr>
          <w:rFonts w:ascii="Palatino Linotype" w:eastAsia="Palatino Linotype" w:hAnsi="Palatino Linotype" w:cs="Palatino Linotype"/>
          <w:color w:val="000000"/>
        </w:rPr>
        <w:t>que</w:t>
      </w:r>
      <w:r w:rsidRPr="00BE50A6">
        <w:rPr>
          <w:rFonts w:ascii="Palatino Linotype" w:eastAsia="Palatino Linotype" w:hAnsi="Palatino Linotype" w:cs="Palatino Linotype"/>
        </w:rPr>
        <w:t xml:space="preserve"> se obvia el análisis de la competencia por parte del </w:t>
      </w:r>
      <w:r w:rsidRPr="00BE50A6">
        <w:rPr>
          <w:rFonts w:ascii="Palatino Linotype" w:eastAsia="Palatino Linotype" w:hAnsi="Palatino Linotype" w:cs="Palatino Linotype"/>
          <w:b/>
          <w:bCs/>
        </w:rPr>
        <w:t>SUJETO OBLIGADO</w:t>
      </w:r>
      <w:r w:rsidRPr="00BE50A6">
        <w:rPr>
          <w:rFonts w:ascii="Palatino Linotype" w:eastAsia="Palatino Linotype" w:hAnsi="Palatino Linotype" w:cs="Palatino Linotype"/>
        </w:rPr>
        <w:t xml:space="preserve">, para generar, administrar o poseer la información solicitada, dado que éste ha asumido la misma, en razón que en respuesta admitió contar con dicha información, tan es así que se remitió </w:t>
      </w:r>
      <w:r w:rsidR="0067654F" w:rsidRPr="00BE50A6">
        <w:rPr>
          <w:rFonts w:ascii="Palatino Linotype" w:eastAsia="Palatino Linotype" w:hAnsi="Palatino Linotype" w:cs="Palatino Linotype"/>
        </w:rPr>
        <w:t>los Manuales de procedimientos de la Dirección de Administración, de las temporalidades 2019-2021 y 2022-2024</w:t>
      </w:r>
      <w:r w:rsidR="00546211" w:rsidRPr="00BE50A6">
        <w:rPr>
          <w:rFonts w:ascii="Palatino Linotype" w:eastAsia="Palatino Linotype" w:hAnsi="Palatino Linotype" w:cs="Palatino Linotype"/>
        </w:rPr>
        <w:t xml:space="preserve">, refiriendo que </w:t>
      </w:r>
      <w:r w:rsidR="00546211" w:rsidRPr="00BE50A6">
        <w:rPr>
          <w:rFonts w:ascii="Palatino Linotype" w:eastAsia="Palatino Linotype" w:hAnsi="Palatino Linotype" w:cs="Palatino Linotype"/>
          <w:color w:val="000000"/>
        </w:rPr>
        <w:t>del año 2025 se encuentra en proceso de validación.</w:t>
      </w:r>
    </w:p>
    <w:p w:rsidR="00546211" w:rsidRPr="00BE50A6" w:rsidRDefault="00546211" w:rsidP="00546211">
      <w:pPr>
        <w:spacing w:line="360" w:lineRule="auto"/>
        <w:ind w:right="-787"/>
        <w:jc w:val="both"/>
      </w:pPr>
    </w:p>
    <w:p w:rsidR="007A7502" w:rsidRPr="00BE50A6" w:rsidRDefault="007A7502" w:rsidP="00174A0B">
      <w:pPr>
        <w:numPr>
          <w:ilvl w:val="0"/>
          <w:numId w:val="2"/>
        </w:numPr>
        <w:spacing w:line="360" w:lineRule="auto"/>
        <w:ind w:left="0" w:right="-787" w:firstLine="0"/>
        <w:jc w:val="both"/>
      </w:pPr>
      <w:bookmarkStart w:id="7" w:name="_heading=h.2s8eyo1" w:colFirst="0" w:colLast="0"/>
      <w:bookmarkEnd w:id="7"/>
      <w:r w:rsidRPr="00BE50A6">
        <w:rPr>
          <w:rFonts w:ascii="Palatino Linotype" w:eastAsia="Palatino Linotype" w:hAnsi="Palatino Linotype" w:cs="Palatino Linotype"/>
        </w:rPr>
        <w:t xml:space="preserve">En efecto, el hecho de que </w:t>
      </w:r>
      <w:r w:rsidRPr="00BE50A6">
        <w:rPr>
          <w:rFonts w:ascii="Palatino Linotype" w:eastAsia="Palatino Linotype" w:hAnsi="Palatino Linotype" w:cs="Palatino Linotype"/>
          <w:b/>
          <w:bCs/>
        </w:rPr>
        <w:t>EL SUJETO OBLIGADO</w:t>
      </w:r>
      <w:r w:rsidRPr="00BE50A6">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7A7502" w:rsidRPr="00BE50A6" w:rsidRDefault="007A7502" w:rsidP="007A7502">
      <w:pPr>
        <w:tabs>
          <w:tab w:val="left" w:pos="8505"/>
        </w:tabs>
        <w:ind w:left="709" w:right="-858"/>
        <w:jc w:val="both"/>
        <w:rPr>
          <w:rFonts w:ascii="Palatino Linotype" w:eastAsia="Palatino Linotype" w:hAnsi="Palatino Linotype" w:cs="Palatino Linotype"/>
          <w:i/>
          <w:iCs/>
        </w:rPr>
      </w:pPr>
      <w:r w:rsidRPr="00BE50A6">
        <w:rPr>
          <w:rFonts w:ascii="Palatino Linotype" w:eastAsia="Palatino Linotype" w:hAnsi="Palatino Linotype" w:cs="Palatino Linotype"/>
          <w:i/>
          <w:iCs/>
        </w:rPr>
        <w:t>“</w:t>
      </w:r>
      <w:r w:rsidRPr="00BE50A6">
        <w:rPr>
          <w:rFonts w:ascii="Palatino Linotype" w:eastAsia="Palatino Linotype" w:hAnsi="Palatino Linotype" w:cs="Palatino Linotype"/>
          <w:b/>
          <w:bCs/>
          <w:i/>
          <w:iCs/>
        </w:rPr>
        <w:t>Artículo 12.</w:t>
      </w:r>
      <w:r w:rsidRPr="00BE50A6">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7A7502" w:rsidRPr="00BE50A6" w:rsidRDefault="007A7502" w:rsidP="007A7502">
      <w:pPr>
        <w:tabs>
          <w:tab w:val="left" w:pos="8505"/>
        </w:tabs>
        <w:ind w:left="709" w:right="-858"/>
        <w:jc w:val="both"/>
        <w:rPr>
          <w:rFonts w:ascii="Palatino Linotype" w:eastAsia="Palatino Linotype" w:hAnsi="Palatino Linotype" w:cs="Palatino Linotype"/>
          <w:i/>
          <w:iCs/>
        </w:rPr>
      </w:pPr>
    </w:p>
    <w:p w:rsidR="007A7502" w:rsidRPr="00BE50A6" w:rsidRDefault="007A7502" w:rsidP="007A7502">
      <w:pPr>
        <w:tabs>
          <w:tab w:val="left" w:pos="8505"/>
        </w:tabs>
        <w:ind w:left="709" w:right="-858"/>
        <w:jc w:val="both"/>
        <w:rPr>
          <w:rFonts w:ascii="Palatino Linotype" w:eastAsia="Palatino Linotype" w:hAnsi="Palatino Linotype" w:cs="Palatino Linotype"/>
          <w:i/>
          <w:iCs/>
        </w:rPr>
      </w:pPr>
      <w:r w:rsidRPr="00BE50A6">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7A7502" w:rsidRPr="00BE50A6" w:rsidRDefault="007A7502" w:rsidP="007A7502">
      <w:pPr>
        <w:tabs>
          <w:tab w:val="left" w:pos="8505"/>
        </w:tabs>
        <w:ind w:left="709" w:right="-858"/>
        <w:jc w:val="both"/>
        <w:rPr>
          <w:rFonts w:ascii="Palatino Linotype" w:eastAsia="Palatino Linotype" w:hAnsi="Palatino Linotype" w:cs="Palatino Linotype"/>
          <w:i/>
          <w:iCs/>
        </w:rPr>
      </w:pPr>
    </w:p>
    <w:p w:rsidR="007A7502" w:rsidRPr="00BE50A6" w:rsidRDefault="007A7502" w:rsidP="007A7502">
      <w:pPr>
        <w:pBdr>
          <w:top w:val="nil"/>
          <w:left w:val="nil"/>
          <w:bottom w:val="nil"/>
          <w:right w:val="nil"/>
          <w:between w:val="nil"/>
        </w:pBdr>
        <w:ind w:left="-566" w:right="-787"/>
        <w:rPr>
          <w:rFonts w:ascii="Palatino Linotype" w:eastAsia="Palatino Linotype" w:hAnsi="Palatino Linotype" w:cs="Palatino Linotype"/>
          <w:color w:val="000000"/>
        </w:rPr>
      </w:pPr>
    </w:p>
    <w:p w:rsidR="007A7502" w:rsidRPr="00BE50A6" w:rsidRDefault="007A7502" w:rsidP="00174A0B">
      <w:pPr>
        <w:numPr>
          <w:ilvl w:val="0"/>
          <w:numId w:val="2"/>
        </w:numPr>
        <w:spacing w:line="360" w:lineRule="auto"/>
        <w:ind w:left="0" w:right="-787" w:firstLine="0"/>
        <w:jc w:val="both"/>
        <w:rPr>
          <w:color w:val="000000"/>
        </w:rPr>
      </w:pPr>
      <w:r w:rsidRPr="00BE50A6">
        <w:rPr>
          <w:rFonts w:ascii="Palatino Linotype" w:eastAsia="Palatino Linotype" w:hAnsi="Palatino Linotype" w:cs="Palatino Linotype"/>
        </w:rPr>
        <w:t xml:space="preserve">Así, el estudio de </w:t>
      </w:r>
      <w:r w:rsidRPr="00BE50A6">
        <w:rPr>
          <w:rFonts w:ascii="Palatino Linotype" w:eastAsia="Palatino Linotype" w:hAnsi="Palatino Linotype" w:cs="Palatino Linotype"/>
          <w:color w:val="000000"/>
        </w:rPr>
        <w:t>la</w:t>
      </w:r>
      <w:r w:rsidRPr="00BE50A6">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BE50A6">
        <w:rPr>
          <w:rFonts w:ascii="Palatino Linotype" w:eastAsia="Palatino Linotype" w:hAnsi="Palatino Linotype" w:cs="Palatino Linotype"/>
          <w:b/>
          <w:bCs/>
        </w:rPr>
        <w:t>EL SUJETO OBLIGADO</w:t>
      </w:r>
      <w:r w:rsidRPr="00BE50A6">
        <w:rPr>
          <w:rFonts w:ascii="Palatino Linotype" w:eastAsia="Palatino Linotype" w:hAnsi="Palatino Linotype" w:cs="Palatino Linotype"/>
        </w:rPr>
        <w:t xml:space="preserve">; sin embargo, en aquellos casos en que éste la asume, a nada práctico nos conduciría su estudio, ya que se insiste, dicha información, fue admitida por el mismo; por lo que, la genera, posee y </w:t>
      </w:r>
      <w:r w:rsidRPr="00BE50A6">
        <w:rPr>
          <w:rFonts w:ascii="Palatino Linotype" w:eastAsia="Palatino Linotype" w:hAnsi="Palatino Linotype" w:cs="Palatino Linotype"/>
        </w:rPr>
        <w:lastRenderedPageBreak/>
        <w:t>administra, en ejercicio de sus funciones de derecho público, motivo por el cual, se actualiza el supuesto jurídico, previsto en el artículo 12 de la Ley de la materia, anteriormente referido</w:t>
      </w:r>
    </w:p>
    <w:p w:rsidR="007A7502" w:rsidRPr="00BE50A6" w:rsidRDefault="007A7502" w:rsidP="007A7502">
      <w:pPr>
        <w:spacing w:line="360" w:lineRule="auto"/>
        <w:ind w:right="-787"/>
        <w:jc w:val="both"/>
        <w:rPr>
          <w:rFonts w:ascii="Palatino Linotype" w:eastAsia="Palatino Linotype" w:hAnsi="Palatino Linotype" w:cs="Palatino Linotype"/>
          <w:color w:val="000000"/>
        </w:rPr>
      </w:pPr>
    </w:p>
    <w:p w:rsidR="00174A0B" w:rsidRPr="00BE50A6" w:rsidRDefault="007A7502" w:rsidP="00174A0B">
      <w:pPr>
        <w:numPr>
          <w:ilvl w:val="0"/>
          <w:numId w:val="2"/>
        </w:numPr>
        <w:spacing w:line="360" w:lineRule="auto"/>
        <w:ind w:left="0" w:right="-787" w:firstLine="0"/>
        <w:jc w:val="both"/>
      </w:pPr>
      <w:r w:rsidRPr="00BE50A6">
        <w:rPr>
          <w:rFonts w:ascii="Palatino Linotype" w:eastAsia="Palatino Linotype" w:hAnsi="Palatino Linotype" w:cs="Palatino Linotype"/>
        </w:rPr>
        <w:t>Ahora</w:t>
      </w:r>
      <w:r w:rsidRPr="00BE50A6">
        <w:rPr>
          <w:rFonts w:ascii="Palatino Linotype" w:eastAsia="Palatino Linotype" w:hAnsi="Palatino Linotype" w:cs="Palatino Linotype"/>
          <w:color w:val="000000"/>
        </w:rPr>
        <w:t xml:space="preserve"> bien, es de recordar que el particular requirió </w:t>
      </w:r>
      <w:r w:rsidR="00174A0B" w:rsidRPr="00BE50A6">
        <w:rPr>
          <w:rFonts w:ascii="Palatino Linotype" w:eastAsia="Palatino Linotype" w:hAnsi="Palatino Linotype" w:cs="Palatino Linotype"/>
          <w:i/>
          <w:iCs/>
          <w:color w:val="000000"/>
          <w:u w:val="single"/>
        </w:rPr>
        <w:t>el Manual de procedimientos de adquisiciones, o el relativo a cualquier manual de adquisiciones que tengan elaborado, del 2021, 2022, 2023, 2024 y 2025</w:t>
      </w:r>
      <w:r w:rsidRPr="00BE50A6">
        <w:rPr>
          <w:rFonts w:ascii="Palatino Linotype" w:eastAsia="Palatino Linotype" w:hAnsi="Palatino Linotype" w:cs="Palatino Linotype"/>
          <w:color w:val="000000"/>
          <w:u w:val="single"/>
        </w:rPr>
        <w:t>,</w:t>
      </w:r>
      <w:r w:rsidR="00174A0B" w:rsidRPr="00BE50A6">
        <w:rPr>
          <w:rFonts w:ascii="Palatino Linotype" w:eastAsia="Palatino Linotype" w:hAnsi="Palatino Linotype" w:cs="Palatino Linotype"/>
          <w:color w:val="000000"/>
        </w:rPr>
        <w:t xml:space="preserve"> en respuesta el Sujeto Obligado a través de la Dirección de Administración, </w:t>
      </w:r>
      <w:r w:rsidR="00174A0B" w:rsidRPr="00BE50A6">
        <w:rPr>
          <w:rFonts w:ascii="Palatino Linotype" w:eastAsia="Palatino Linotype" w:hAnsi="Palatino Linotype" w:cs="Palatino Linotype"/>
        </w:rPr>
        <w:t xml:space="preserve">remitió los Manuales de Procedimientos de la Dirección de Administración, de las temporalidades 2019-2021 y 2022-2024, refiriendo que </w:t>
      </w:r>
      <w:r w:rsidR="00174A0B" w:rsidRPr="00BE50A6">
        <w:rPr>
          <w:rFonts w:ascii="Palatino Linotype" w:eastAsia="Palatino Linotype" w:hAnsi="Palatino Linotype" w:cs="Palatino Linotype"/>
          <w:color w:val="000000"/>
        </w:rPr>
        <w:t xml:space="preserve">del año 2025 se encuentra en proceso de validación, en consecuencia el particular se dolió por la entrega de la información que no corresponde con lo solicitado, posteriormente a través de informe justificado el Sujeto Obligado ratifica su respuesta inicial, agregando que </w:t>
      </w:r>
      <w:r w:rsidR="00174A0B" w:rsidRPr="00BE50A6">
        <w:rPr>
          <w:rFonts w:ascii="Palatino Linotype" w:eastAsia="Palatino Linotype" w:hAnsi="Palatino Linotype" w:cs="Palatino Linotype"/>
          <w:i/>
          <w:color w:val="000000"/>
        </w:rPr>
        <w:t xml:space="preserve">una vez realizada la búsqueda exhaustiva y razonable en los archivos físicos y electrónicos de esa Dirección, </w:t>
      </w:r>
      <w:r w:rsidR="00174A0B" w:rsidRPr="00BE50A6">
        <w:rPr>
          <w:rFonts w:ascii="Palatino Linotype" w:eastAsia="Palatino Linotype" w:hAnsi="Palatino Linotype" w:cs="Palatino Linotype"/>
          <w:b/>
          <w:i/>
          <w:color w:val="000000"/>
        </w:rPr>
        <w:t>ratifica su respuesta, dado que no existen Manuales de Procedimientos en particular</w:t>
      </w:r>
      <w:r w:rsidR="00174A0B" w:rsidRPr="00BE50A6">
        <w:rPr>
          <w:rFonts w:ascii="Palatino Linotype" w:eastAsia="Palatino Linotype" w:hAnsi="Palatino Linotype" w:cs="Palatino Linotype"/>
          <w:b/>
          <w:color w:val="000000"/>
        </w:rPr>
        <w:t>.</w:t>
      </w:r>
    </w:p>
    <w:p w:rsidR="00E85B94" w:rsidRPr="00BE50A6" w:rsidRDefault="00E85B94" w:rsidP="00E85B94">
      <w:pPr>
        <w:spacing w:line="360" w:lineRule="auto"/>
        <w:ind w:right="-787"/>
        <w:jc w:val="both"/>
      </w:pPr>
    </w:p>
    <w:p w:rsidR="00CC656A" w:rsidRPr="00BE50A6" w:rsidRDefault="00E85B94" w:rsidP="00CC656A">
      <w:pPr>
        <w:numPr>
          <w:ilvl w:val="0"/>
          <w:numId w:val="2"/>
        </w:numPr>
        <w:spacing w:line="360" w:lineRule="auto"/>
        <w:ind w:left="0" w:right="-787" w:firstLine="0"/>
        <w:jc w:val="both"/>
        <w:rPr>
          <w:rFonts w:ascii="Palatino Linotype" w:eastAsia="Palatino Linotype" w:hAnsi="Palatino Linotype" w:cs="Palatino Linotype"/>
          <w:b/>
          <w:bCs/>
        </w:rPr>
      </w:pPr>
      <w:r w:rsidRPr="00BE50A6">
        <w:rPr>
          <w:rFonts w:ascii="Palatino Linotype" w:eastAsia="Palatino Linotype" w:hAnsi="Palatino Linotype" w:cs="Palatino Linotype"/>
          <w:color w:val="000000"/>
        </w:rPr>
        <w:t xml:space="preserve"> En </w:t>
      </w:r>
      <w:r w:rsidRPr="00BE50A6">
        <w:rPr>
          <w:rFonts w:ascii="Palatino Linotype" w:eastAsia="Palatino Linotype" w:hAnsi="Palatino Linotype" w:cs="Palatino Linotype"/>
        </w:rPr>
        <w:t>primer</w:t>
      </w:r>
      <w:r w:rsidRPr="00BE50A6">
        <w:rPr>
          <w:rFonts w:ascii="Palatino Linotype" w:eastAsia="Palatino Linotype" w:hAnsi="Palatino Linotype" w:cs="Palatino Linotype"/>
          <w:color w:val="000000"/>
        </w:rPr>
        <w:t xml:space="preserve"> momento es de resaltar que el recurrente señaló como acto impugnado y razones y motivos de inconformidad  </w:t>
      </w:r>
      <w:r w:rsidRPr="00BE50A6">
        <w:rPr>
          <w:rFonts w:ascii="Palatino Linotype" w:eastAsia="Palatino Linotype" w:hAnsi="Palatino Linotype" w:cs="Palatino Linotype"/>
          <w:i/>
          <w:color w:val="000000"/>
        </w:rPr>
        <w:t>“Yo solicite el de adquisiciones, deben de tener solo el de adquisiciones” (Sic)</w:t>
      </w:r>
      <w:r w:rsidR="00CC656A" w:rsidRPr="00BE50A6">
        <w:rPr>
          <w:rFonts w:ascii="Palatino Linotype" w:eastAsia="Palatino Linotype" w:hAnsi="Palatino Linotype" w:cs="Palatino Linotype"/>
          <w:i/>
          <w:color w:val="000000"/>
        </w:rPr>
        <w:t xml:space="preserve">, </w:t>
      </w:r>
      <w:r w:rsidR="00CC656A" w:rsidRPr="00BE50A6">
        <w:rPr>
          <w:rFonts w:ascii="Palatino Linotype" w:eastAsia="Palatino Linotype" w:hAnsi="Palatino Linotype" w:cs="Palatino Linotype"/>
          <w:color w:val="000000"/>
        </w:rPr>
        <w:t xml:space="preserve">de la interpretación de dicha impugnación se logra advertir que el recurrente no se inconforma por la temporalidad de la información entregada, sino porque refiere que el Sujeto Obligado </w:t>
      </w:r>
      <w:r w:rsidR="00CC656A" w:rsidRPr="00BE50A6">
        <w:rPr>
          <w:rFonts w:ascii="Palatino Linotype" w:eastAsia="Palatino Linotype" w:hAnsi="Palatino Linotype" w:cs="Palatino Linotype"/>
          <w:color w:val="000000"/>
          <w:u w:val="single"/>
        </w:rPr>
        <w:t>debe tener solo el Manual de procedimientos de adquisiciones</w:t>
      </w:r>
      <w:r w:rsidR="00CC656A" w:rsidRPr="00BE50A6">
        <w:rPr>
          <w:rFonts w:ascii="Palatino Linotype" w:eastAsia="Palatino Linotype" w:hAnsi="Palatino Linotype" w:cs="Palatino Linotype"/>
          <w:color w:val="000000"/>
        </w:rPr>
        <w:t xml:space="preserve">; por lo que, la parte de la solicitud que no fue combatida se debe tener como </w:t>
      </w:r>
      <w:r w:rsidR="00CC656A" w:rsidRPr="00BE50A6">
        <w:rPr>
          <w:rFonts w:ascii="Palatino Linotype" w:eastAsia="Palatino Linotype" w:hAnsi="Palatino Linotype" w:cs="Palatino Linotype"/>
          <w:b/>
          <w:bCs/>
          <w:color w:val="000000"/>
        </w:rPr>
        <w:t>actos consentidos</w:t>
      </w:r>
      <w:r w:rsidR="00CC656A" w:rsidRPr="00BE50A6">
        <w:rPr>
          <w:rFonts w:ascii="Palatino Linotype" w:eastAsia="Palatino Linotype" w:hAnsi="Palatino Linotype" w:cs="Palatino Linotype"/>
          <w:color w:val="000000"/>
        </w:rPr>
        <w:t>, por no haber pronunciamiento de impugnación.</w:t>
      </w:r>
    </w:p>
    <w:p w:rsidR="00CC656A" w:rsidRPr="00BE50A6" w:rsidRDefault="00CC656A" w:rsidP="00CC656A">
      <w:pPr>
        <w:spacing w:line="360" w:lineRule="auto"/>
        <w:ind w:right="-787"/>
        <w:jc w:val="both"/>
        <w:rPr>
          <w:rFonts w:ascii="Palatino Linotype" w:eastAsia="Palatino Linotype" w:hAnsi="Palatino Linotype" w:cs="Palatino Linotype"/>
        </w:rPr>
      </w:pPr>
    </w:p>
    <w:p w:rsidR="00CC656A" w:rsidRPr="00BE50A6" w:rsidRDefault="00CC656A" w:rsidP="00CC656A">
      <w:pPr>
        <w:numPr>
          <w:ilvl w:val="0"/>
          <w:numId w:val="2"/>
        </w:numPr>
        <w:spacing w:line="360" w:lineRule="auto"/>
        <w:ind w:left="0" w:right="-787" w:firstLine="0"/>
        <w:jc w:val="both"/>
        <w:rPr>
          <w:rFonts w:ascii="Palatino Linotype" w:eastAsia="Palatino Linotype" w:hAnsi="Palatino Linotype" w:cs="Palatino Linotype"/>
        </w:rPr>
      </w:pPr>
      <w:r w:rsidRPr="00BE50A6">
        <w:rPr>
          <w:rFonts w:ascii="Palatino Linotype" w:eastAsia="Palatino Linotype" w:hAnsi="Palatino Linotype" w:cs="Palatino Linotype"/>
        </w:rPr>
        <w:lastRenderedPageBreak/>
        <w:t xml:space="preserve">Luego entonces, al no existir inconformidad, la información se tiene por </w:t>
      </w:r>
      <w:r w:rsidRPr="00BE50A6">
        <w:rPr>
          <w:rFonts w:ascii="Palatino Linotype" w:eastAsia="Palatino Linotype" w:hAnsi="Palatino Linotype" w:cs="Palatino Linotype"/>
          <w:color w:val="000000"/>
        </w:rPr>
        <w:t>consentida</w:t>
      </w:r>
      <w:r w:rsidRPr="00BE50A6">
        <w:rPr>
          <w:rFonts w:ascii="Palatino Linotype" w:eastAsia="Palatino Linotype" w:hAnsi="Palatino Linotype" w:cs="Palatino Linotype"/>
        </w:rPr>
        <w:t>, ya</w:t>
      </w:r>
      <w:r w:rsidRPr="00BE50A6">
        <w:rPr>
          <w:rFonts w:ascii="Palatino Linotype" w:eastAsia="Palatino Linotype" w:hAnsi="Palatino Linotype" w:cs="Palatino Linotype"/>
          <w:b/>
          <w:bCs/>
        </w:rPr>
        <w:t xml:space="preserve"> </w:t>
      </w:r>
      <w:r w:rsidRPr="00BE50A6">
        <w:rPr>
          <w:rFonts w:ascii="Palatino Linotype" w:eastAsia="Palatino Linotype" w:hAnsi="Palatino Linotype" w:cs="Palatino Linotype"/>
        </w:rPr>
        <w:t xml:space="preserve">que la falta de </w:t>
      </w:r>
      <w:r w:rsidRPr="00BE50A6">
        <w:rPr>
          <w:rFonts w:ascii="Palatino Linotype" w:eastAsia="Palatino Linotype" w:hAnsi="Palatino Linotype" w:cs="Palatino Linotype"/>
          <w:color w:val="000000"/>
        </w:rPr>
        <w:t>impugnación</w:t>
      </w:r>
      <w:r w:rsidRPr="00BE50A6">
        <w:rPr>
          <w:rFonts w:ascii="Palatino Linotype" w:eastAsia="Palatino Linotype" w:hAnsi="Palatino Linotype" w:cs="Palatino Linotype"/>
        </w:rPr>
        <w:t xml:space="preserve"> resp</w:t>
      </w:r>
      <w:r w:rsidRPr="00BE50A6">
        <w:rPr>
          <w:rFonts w:ascii="Palatino Linotype" w:eastAsia="Palatino Linotype" w:hAnsi="Palatino Linotype" w:cs="Palatino Linotype"/>
          <w:color w:val="000000"/>
        </w:rPr>
        <w:t>e</w:t>
      </w:r>
      <w:r w:rsidRPr="00BE50A6">
        <w:rPr>
          <w:rFonts w:ascii="Palatino Linotype" w:eastAsia="Palatino Linotype" w:hAnsi="Palatino Linotype" w:cs="Palatino Linotype"/>
        </w:rPr>
        <w:t xml:space="preserve">cto de los requerimientos que no fueron manifestados en el recurso de revisión, debe entenderse como </w:t>
      </w:r>
      <w:r w:rsidRPr="00BE50A6">
        <w:rPr>
          <w:rFonts w:ascii="Palatino Linotype" w:eastAsia="Palatino Linotype" w:hAnsi="Palatino Linotype" w:cs="Palatino Linotype"/>
          <w:b/>
          <w:bCs/>
        </w:rPr>
        <w:t>actos consentidos</w:t>
      </w:r>
      <w:r w:rsidRPr="00BE50A6">
        <w:rPr>
          <w:rFonts w:ascii="Palatino Linotype" w:eastAsia="Palatino Linotype" w:hAnsi="Palatino Linotype" w:cs="Palatino Linotype"/>
        </w:rPr>
        <w:t>.</w:t>
      </w:r>
    </w:p>
    <w:p w:rsidR="00CC656A" w:rsidRPr="00BE50A6" w:rsidRDefault="00CC656A" w:rsidP="00CC656A">
      <w:pPr>
        <w:pBdr>
          <w:top w:val="nil"/>
          <w:left w:val="nil"/>
          <w:bottom w:val="nil"/>
          <w:right w:val="nil"/>
          <w:between w:val="nil"/>
        </w:pBdr>
        <w:spacing w:line="360" w:lineRule="auto"/>
        <w:rPr>
          <w:rFonts w:ascii="Palatino Linotype" w:eastAsia="Palatino Linotype" w:hAnsi="Palatino Linotype" w:cs="Palatino Linotype"/>
          <w:color w:val="000000"/>
        </w:rPr>
      </w:pPr>
    </w:p>
    <w:p w:rsidR="00CC656A" w:rsidRPr="00BE50A6" w:rsidRDefault="00CC656A" w:rsidP="00CC656A">
      <w:pPr>
        <w:numPr>
          <w:ilvl w:val="0"/>
          <w:numId w:val="2"/>
        </w:numPr>
        <w:spacing w:line="360" w:lineRule="auto"/>
        <w:ind w:left="0" w:right="-787" w:firstLine="0"/>
        <w:jc w:val="both"/>
        <w:rPr>
          <w:rFonts w:ascii="Palatino Linotype" w:eastAsia="Palatino Linotype" w:hAnsi="Palatino Linotype" w:cs="Palatino Linotype"/>
        </w:rPr>
      </w:pPr>
      <w:r w:rsidRPr="00BE50A6">
        <w:rPr>
          <w:rFonts w:ascii="Palatino Linotype" w:eastAsia="Palatino Linotype" w:hAnsi="Palatino Linotype" w:cs="Palatino Linotype"/>
        </w:rPr>
        <w:t xml:space="preserve">Esto es así, debido a que cuando el recurrente impugna la respuesta del sujeto obligado y éste no expresa </w:t>
      </w:r>
      <w:r w:rsidRPr="00BE50A6">
        <w:rPr>
          <w:rFonts w:ascii="Palatino Linotype" w:eastAsia="Palatino Linotype" w:hAnsi="Palatino Linotype" w:cs="Palatino Linotype"/>
          <w:color w:val="000000"/>
        </w:rPr>
        <w:t>razón</w:t>
      </w:r>
      <w:r w:rsidRPr="00BE50A6">
        <w:rPr>
          <w:rFonts w:ascii="Palatino Linotype" w:eastAsia="Palatino Linotype" w:hAnsi="Palatino Linotype" w:cs="Palatino Linotype"/>
        </w:rPr>
        <w:t xml:space="preserve"> o motivo de inconformidad en contra de todos los rubros solicitados, los mismos deben declararse firmes, pues se entiende que el recurrente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rsidR="00CC656A" w:rsidRPr="00BE50A6" w:rsidRDefault="00CC656A" w:rsidP="00CC656A">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BE50A6">
        <w:rPr>
          <w:rFonts w:ascii="Palatino Linotype" w:eastAsia="Palatino Linotype" w:hAnsi="Palatino Linotype" w:cs="Palatino Linotype"/>
          <w:b/>
          <w:bCs/>
          <w:i/>
          <w:iCs/>
          <w:color w:val="000000"/>
        </w:rPr>
        <w:t>“REVISIÓN EN AMPARO. LOS RESOLUTIVOS NO COMBATIDOS DEBEN DECLARARSE FIRMES. </w:t>
      </w:r>
      <w:r w:rsidRPr="00BE50A6">
        <w:rPr>
          <w:rFonts w:ascii="Palatino Linotype" w:eastAsia="Palatino Linotype" w:hAnsi="Palatino Linotype" w:cs="Palatino Linotype"/>
          <w:i/>
          <w:iCs/>
          <w:color w:val="000000"/>
          <w:u w:val="single"/>
        </w:rPr>
        <w:t>Cuando algún resolutivo de la sentencia impugnada afecta a EL RECURRENTE, y ésta no expresa agravio en contra de las consideraciones que le sirven de base, dicho resolutivo debe declararse firme.</w:t>
      </w:r>
      <w:r w:rsidRPr="00BE50A6">
        <w:rPr>
          <w:rFonts w:ascii="Palatino Linotype" w:eastAsia="Palatino Linotype" w:hAnsi="Palatino Linotype" w:cs="Palatino Linotype"/>
          <w:i/>
          <w:iCs/>
          <w:color w:val="000000"/>
        </w:rPr>
        <w:t> Esto es, en el caso referido, no obstante que la materia de la revisión comprende a todos los resolutivos que afectan a EL RECURRENTE, </w:t>
      </w:r>
      <w:r w:rsidRPr="00BE50A6">
        <w:rPr>
          <w:rFonts w:ascii="Palatino Linotype" w:eastAsia="Palatino Linotype" w:hAnsi="Palatino Linotype" w:cs="Palatino Linotype"/>
          <w:i/>
          <w:iCs/>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BE50A6">
        <w:rPr>
          <w:rFonts w:ascii="Palatino Linotype" w:eastAsia="Palatino Linotype" w:hAnsi="Palatino Linotype" w:cs="Palatino Linotype"/>
          <w:i/>
          <w:iCs/>
          <w:color w:val="000000"/>
        </w:rPr>
        <w:t>.”</w:t>
      </w:r>
    </w:p>
    <w:p w:rsidR="00CC656A" w:rsidRPr="00BE50A6" w:rsidRDefault="00CC656A" w:rsidP="00CC656A">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rsidR="00CC656A" w:rsidRPr="00BE50A6" w:rsidRDefault="00CC656A" w:rsidP="00CC656A">
      <w:pPr>
        <w:numPr>
          <w:ilvl w:val="0"/>
          <w:numId w:val="2"/>
        </w:numPr>
        <w:spacing w:line="360" w:lineRule="auto"/>
        <w:ind w:left="0" w:right="-787" w:firstLine="0"/>
        <w:jc w:val="both"/>
        <w:rPr>
          <w:rFonts w:ascii="Palatino Linotype" w:eastAsia="Palatino Linotype" w:hAnsi="Palatino Linotype" w:cs="Palatino Linotype"/>
        </w:rPr>
      </w:pPr>
      <w:r w:rsidRPr="00BE50A6">
        <w:rPr>
          <w:rFonts w:ascii="Palatino Linotype" w:eastAsia="Palatino Linotype" w:hAnsi="Palatino Linotype" w:cs="Palatino Linotype"/>
        </w:rPr>
        <w:t xml:space="preserve">Consecutivamente, </w:t>
      </w:r>
      <w:r w:rsidRPr="00BE50A6">
        <w:rPr>
          <w:rFonts w:ascii="Palatino Linotype" w:eastAsia="Palatino Linotype" w:hAnsi="Palatino Linotype" w:cs="Palatino Linotype"/>
          <w:b/>
          <w:bCs/>
        </w:rPr>
        <w:t xml:space="preserve">la parte de la respuesta que no fue impugnada debe declararse consentida por el recurrente, toda vez que no realizó </w:t>
      </w:r>
      <w:r w:rsidRPr="00BE50A6">
        <w:rPr>
          <w:rFonts w:ascii="Palatino Linotype" w:eastAsia="Palatino Linotype" w:hAnsi="Palatino Linotype" w:cs="Palatino Linotype"/>
        </w:rPr>
        <w:t>manifestaciones</w:t>
      </w:r>
      <w:r w:rsidRPr="00BE50A6">
        <w:rPr>
          <w:rFonts w:ascii="Palatino Linotype" w:eastAsia="Palatino Linotype" w:hAnsi="Palatino Linotype" w:cs="Palatino Linotype"/>
          <w:b/>
          <w:bCs/>
        </w:rPr>
        <w:t xml:space="preserve"> </w:t>
      </w:r>
      <w:r w:rsidRPr="00BE50A6">
        <w:rPr>
          <w:rFonts w:ascii="Palatino Linotype" w:eastAsia="Palatino Linotype" w:hAnsi="Palatino Linotype" w:cs="Palatino Linotype"/>
        </w:rPr>
        <w:t>de</w:t>
      </w:r>
      <w:r w:rsidRPr="00BE50A6">
        <w:rPr>
          <w:rFonts w:ascii="Palatino Linotype" w:eastAsia="Palatino Linotype" w:hAnsi="Palatino Linotype" w:cs="Palatino Linotype"/>
          <w:b/>
          <w:bCs/>
        </w:rPr>
        <w:t xml:space="preserve"> inconformidad</w:t>
      </w:r>
      <w:r w:rsidRPr="00BE50A6">
        <w:rPr>
          <w:rFonts w:ascii="Palatino Linotype" w:eastAsia="Palatino Linotype" w:hAnsi="Palatino Linotype" w:cs="Palatino Linotype"/>
        </w:rPr>
        <w:t xml:space="preserve">; por lo que, no pueden producirse efectos jurídicos tendentes a revocar, confirmar o modificar el acto reclamado ya que </w:t>
      </w:r>
      <w:r w:rsidRPr="00BE50A6">
        <w:rPr>
          <w:rFonts w:ascii="Palatino Linotype" w:eastAsia="Palatino Linotype" w:hAnsi="Palatino Linotype" w:cs="Palatino Linotype"/>
          <w:b/>
          <w:bCs/>
        </w:rPr>
        <w:t>se infiere su consentimiento</w:t>
      </w:r>
      <w:r w:rsidRPr="00BE50A6">
        <w:rPr>
          <w:rFonts w:ascii="Palatino Linotype" w:eastAsia="Palatino Linotype" w:hAnsi="Palatino Linotype" w:cs="Palatino Linotype"/>
        </w:rPr>
        <w:t xml:space="preserve"> </w:t>
      </w:r>
      <w:r w:rsidRPr="00BE50A6">
        <w:rPr>
          <w:rFonts w:ascii="Palatino Linotype" w:eastAsia="Palatino Linotype" w:hAnsi="Palatino Linotype" w:cs="Palatino Linotype"/>
          <w:b/>
          <w:bCs/>
        </w:rPr>
        <w:t xml:space="preserve">ante la falta de impugnación </w:t>
      </w:r>
      <w:r w:rsidRPr="00BE50A6">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rsidR="00CC656A" w:rsidRPr="00BE50A6" w:rsidRDefault="00CC656A" w:rsidP="00CC656A">
      <w:pPr>
        <w:spacing w:line="360" w:lineRule="auto"/>
        <w:ind w:left="360"/>
        <w:jc w:val="both"/>
        <w:rPr>
          <w:rFonts w:ascii="Palatino Linotype" w:eastAsia="Palatino Linotype" w:hAnsi="Palatino Linotype" w:cs="Palatino Linotype"/>
        </w:rPr>
      </w:pPr>
    </w:p>
    <w:p w:rsidR="00CC656A" w:rsidRPr="00BE50A6" w:rsidRDefault="00CC656A" w:rsidP="00CC656A">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BE50A6">
        <w:rPr>
          <w:rFonts w:ascii="Palatino Linotype" w:eastAsia="Palatino Linotype" w:hAnsi="Palatino Linotype" w:cs="Palatino Linotype"/>
          <w:b/>
          <w:bCs/>
          <w:i/>
          <w:iCs/>
          <w:color w:val="000000"/>
        </w:rPr>
        <w:lastRenderedPageBreak/>
        <w:t>“ACTOS CONSENTIDOS. SON LOS QUE NO SE IMPUGNAN MEDIANTE EL RECURSO IDÓNEO. </w:t>
      </w:r>
      <w:r w:rsidRPr="00BE50A6">
        <w:rPr>
          <w:rFonts w:ascii="Palatino Linotype" w:eastAsia="Palatino Linotype" w:hAnsi="Palatino Linotype" w:cs="Palatino Linotype"/>
          <w:i/>
          <w:iCs/>
          <w:color w:val="000000"/>
          <w:u w:val="single"/>
        </w:rPr>
        <w:t>Debe reputarse como consentido el acto que no se impugnó por el medio establecido por la ley</w:t>
      </w:r>
      <w:r w:rsidRPr="00BE50A6">
        <w:rPr>
          <w:rFonts w:ascii="Palatino Linotype" w:eastAsia="Palatino Linotype" w:hAnsi="Palatino Linotype" w:cs="Palatino Linotype"/>
          <w:i/>
          <w:iCs/>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CC656A" w:rsidRPr="00BE50A6" w:rsidRDefault="00CC656A" w:rsidP="00CC656A">
      <w:pPr>
        <w:spacing w:line="360" w:lineRule="auto"/>
        <w:ind w:right="-787"/>
        <w:jc w:val="both"/>
        <w:rPr>
          <w:rFonts w:ascii="Palatino Linotype" w:eastAsia="Palatino Linotype" w:hAnsi="Palatino Linotype" w:cs="Palatino Linotype"/>
          <w:color w:val="000000"/>
        </w:rPr>
      </w:pPr>
    </w:p>
    <w:p w:rsidR="00E85B94" w:rsidRPr="00BE50A6" w:rsidRDefault="00CC656A" w:rsidP="00CC656A">
      <w:pPr>
        <w:numPr>
          <w:ilvl w:val="0"/>
          <w:numId w:val="2"/>
        </w:numPr>
        <w:spacing w:line="360" w:lineRule="auto"/>
        <w:ind w:left="0" w:right="-787" w:firstLine="0"/>
        <w:jc w:val="both"/>
      </w:pPr>
      <w:r w:rsidRPr="00BE50A6">
        <w:rPr>
          <w:rFonts w:ascii="Palatino Linotype" w:eastAsia="Palatino Linotype" w:hAnsi="Palatino Linotype" w:cs="Palatino Linotype"/>
        </w:rPr>
        <w:t xml:space="preserve">Continuando con el estudio, y respecto del punto de inconformidad que subsiste corresponde a </w:t>
      </w:r>
      <w:r w:rsidRPr="00BE50A6">
        <w:rPr>
          <w:rFonts w:ascii="Palatino Linotype" w:eastAsia="Palatino Linotype" w:hAnsi="Palatino Linotype" w:cs="Palatino Linotype"/>
          <w:i/>
          <w:u w:val="single"/>
        </w:rPr>
        <w:t>solo el Manual de procedimientos de adquisiciones</w:t>
      </w:r>
      <w:r w:rsidRPr="00BE50A6">
        <w:rPr>
          <w:rFonts w:ascii="Palatino Linotype" w:eastAsia="Palatino Linotype" w:hAnsi="Palatino Linotype" w:cs="Palatino Linotype"/>
        </w:rPr>
        <w:t xml:space="preserve">, en atención a dicha circunstancia el Sujeto Obligado a través de informe justificado, se pronunció mediante la Dirección de Administración, Unidad Administrativa competente, señalando que </w:t>
      </w:r>
      <w:r w:rsidRPr="00BE50A6">
        <w:rPr>
          <w:rFonts w:ascii="Palatino Linotype" w:eastAsia="Palatino Linotype" w:hAnsi="Palatino Linotype" w:cs="Palatino Linotype"/>
          <w:b/>
        </w:rPr>
        <w:t xml:space="preserve">una vez realizada la búsqueda exhaustiva y razonable en los archivos físicos y electrónicos de esa Dirección, ratifica su respuesta, dado que </w:t>
      </w:r>
      <w:r w:rsidRPr="00BE50A6">
        <w:rPr>
          <w:rFonts w:ascii="Palatino Linotype" w:eastAsia="Palatino Linotype" w:hAnsi="Palatino Linotype" w:cs="Palatino Linotype"/>
          <w:b/>
          <w:u w:val="single"/>
        </w:rPr>
        <w:t>no existen Manuales de Procedimientos en particular</w:t>
      </w:r>
      <w:r w:rsidRPr="00BE50A6">
        <w:rPr>
          <w:rFonts w:ascii="Palatino Linotype" w:eastAsia="Palatino Linotype" w:hAnsi="Palatino Linotype" w:cs="Palatino Linotype"/>
          <w:b/>
        </w:rPr>
        <w:t xml:space="preserve">. </w:t>
      </w:r>
    </w:p>
    <w:p w:rsidR="004C601B" w:rsidRPr="00BE50A6" w:rsidRDefault="004C601B" w:rsidP="004C601B">
      <w:pPr>
        <w:spacing w:line="360" w:lineRule="auto"/>
        <w:ind w:right="-787"/>
        <w:jc w:val="both"/>
      </w:pPr>
    </w:p>
    <w:p w:rsidR="00C47D24" w:rsidRPr="00BE50A6" w:rsidRDefault="004C601B" w:rsidP="00C47D24">
      <w:pPr>
        <w:numPr>
          <w:ilvl w:val="0"/>
          <w:numId w:val="2"/>
        </w:numPr>
        <w:spacing w:line="360" w:lineRule="auto"/>
        <w:ind w:left="0" w:right="-787" w:firstLine="0"/>
        <w:jc w:val="both"/>
        <w:rPr>
          <w:rFonts w:ascii="Palatino Linotype" w:eastAsia="Palatino Linotype" w:hAnsi="Palatino Linotype" w:cs="Palatino Linotype"/>
        </w:rPr>
      </w:pPr>
      <w:r w:rsidRPr="00BE50A6">
        <w:rPr>
          <w:rFonts w:ascii="Palatino Linotype" w:eastAsia="Palatino Linotype" w:hAnsi="Palatino Linotype" w:cs="Palatino Linotype"/>
        </w:rPr>
        <w:t xml:space="preserve">En primer momento es de referir que el tal como lo atendió el Sujeto Obligado desde respuesta inicial, se advierte que de la solicitud de información, el particular requiere el Manual de Procedimientos de la unidad administrativa encargada del tema de adquisiciones, por lo que del Bando Municipal y el Manual de Organización de la Dirección de Administración, ésta unidad administrativa de acuerdo a su organización cuenta con diversas áreas para el despacho  de sus funciones, entre las cuales se encuentra el </w:t>
      </w:r>
      <w:r w:rsidRPr="00BE50A6">
        <w:rPr>
          <w:rFonts w:ascii="Palatino Linotype" w:eastAsia="Palatino Linotype" w:hAnsi="Palatino Linotype" w:cs="Palatino Linotype"/>
          <w:b/>
        </w:rPr>
        <w:t>Departamento de Recursos Materiales y Adquisiciones</w:t>
      </w:r>
      <w:r w:rsidRPr="00BE50A6">
        <w:rPr>
          <w:rFonts w:ascii="Palatino Linotype" w:eastAsia="Palatino Linotype" w:hAnsi="Palatino Linotype" w:cs="Palatino Linotype"/>
        </w:rPr>
        <w:t xml:space="preserve">, por lo que la información a la que desea acceder el particular es el </w:t>
      </w:r>
      <w:r w:rsidRPr="00BE50A6">
        <w:rPr>
          <w:rFonts w:ascii="Palatino Linotype" w:eastAsia="Palatino Linotype" w:hAnsi="Palatino Linotype" w:cs="Palatino Linotype"/>
          <w:i/>
          <w:u w:val="single"/>
        </w:rPr>
        <w:t>Manual de procedimientos del Departamento de Recursos Materiales y Adquisiciones</w:t>
      </w:r>
      <w:r w:rsidR="00C47D24" w:rsidRPr="00BE50A6">
        <w:rPr>
          <w:rFonts w:ascii="Palatino Linotype" w:eastAsia="Palatino Linotype" w:hAnsi="Palatino Linotype" w:cs="Palatino Linotype"/>
          <w:u w:val="single"/>
        </w:rPr>
        <w:t xml:space="preserve">, </w:t>
      </w:r>
      <w:r w:rsidR="00C47D24" w:rsidRPr="00BE50A6">
        <w:rPr>
          <w:rFonts w:ascii="Palatino Linotype" w:eastAsia="Palatino Linotype" w:hAnsi="Palatino Linotype" w:cs="Palatino Linotype"/>
        </w:rPr>
        <w:t xml:space="preserve">en este sentido, de la información remitida en respuesta, tal como lo refirió el Sujeto Obligado se advierte que en el Manual de Procedimientos de la Dirección de Administración 2019-2021, de la página 11 a la 82 se muestran los procedimientos que le corresponden como área responsable al Departamento de Adquisiciones y Recursos Materiales, misma suerte corre el </w:t>
      </w:r>
      <w:r w:rsidR="00C47D24" w:rsidRPr="00BE50A6">
        <w:rPr>
          <w:rFonts w:ascii="Palatino Linotype" w:eastAsia="Palatino Linotype" w:hAnsi="Palatino Linotype" w:cs="Palatino Linotype"/>
        </w:rPr>
        <w:lastRenderedPageBreak/>
        <w:t>Manual de Procedimientos de la Dirección de Administración 2022-2024, en cuyas páginas 13 a 70, muestra lo correspondiente al citado departamento</w:t>
      </w:r>
      <w:r w:rsidR="00731CC7" w:rsidRPr="00BE50A6">
        <w:rPr>
          <w:rFonts w:ascii="Palatino Linotype" w:eastAsia="Palatino Linotype" w:hAnsi="Palatino Linotype" w:cs="Palatino Linotype"/>
        </w:rPr>
        <w:t>, tal como se muestra en las imágenes siguientes:</w:t>
      </w:r>
    </w:p>
    <w:p w:rsidR="00731CC7" w:rsidRPr="00BE50A6" w:rsidRDefault="00731CC7" w:rsidP="00731CC7">
      <w:pPr>
        <w:spacing w:line="360" w:lineRule="auto"/>
        <w:ind w:right="-787"/>
        <w:jc w:val="both"/>
        <w:rPr>
          <w:rFonts w:ascii="Palatino Linotype" w:eastAsia="Palatino Linotype" w:hAnsi="Palatino Linotype" w:cs="Palatino Linotype"/>
        </w:rPr>
      </w:pPr>
    </w:p>
    <w:p w:rsidR="00731CC7" w:rsidRPr="00BE50A6" w:rsidRDefault="00731CC7" w:rsidP="00731CC7">
      <w:pPr>
        <w:spacing w:line="360" w:lineRule="auto"/>
        <w:ind w:right="-787"/>
        <w:jc w:val="center"/>
        <w:rPr>
          <w:rFonts w:ascii="Palatino Linotype" w:eastAsia="Palatino Linotype" w:hAnsi="Palatino Linotype" w:cs="Palatino Linotype"/>
        </w:rPr>
      </w:pPr>
      <w:r w:rsidRPr="00BE50A6">
        <w:rPr>
          <w:rFonts w:ascii="Palatino Linotype" w:eastAsia="Palatino Linotype" w:hAnsi="Palatino Linotype" w:cs="Palatino Linotype"/>
          <w:noProof/>
          <w:lang w:val="es-MX"/>
        </w:rPr>
        <w:drawing>
          <wp:inline distT="0" distB="0" distL="0" distR="0" wp14:anchorId="542B5976" wp14:editId="53E279FA">
            <wp:extent cx="3915605" cy="3179135"/>
            <wp:effectExtent l="0" t="0" r="889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74324" cy="3226810"/>
                    </a:xfrm>
                    <a:prstGeom prst="rect">
                      <a:avLst/>
                    </a:prstGeom>
                  </pic:spPr>
                </pic:pic>
              </a:graphicData>
            </a:graphic>
          </wp:inline>
        </w:drawing>
      </w:r>
    </w:p>
    <w:p w:rsidR="00731CC7" w:rsidRPr="00BE50A6" w:rsidRDefault="00731CC7" w:rsidP="00731CC7">
      <w:pPr>
        <w:spacing w:line="360" w:lineRule="auto"/>
        <w:ind w:right="-787"/>
        <w:jc w:val="both"/>
        <w:rPr>
          <w:rFonts w:ascii="Palatino Linotype" w:eastAsia="Palatino Linotype" w:hAnsi="Palatino Linotype" w:cs="Palatino Linotype"/>
        </w:rPr>
      </w:pPr>
    </w:p>
    <w:p w:rsidR="00731CC7" w:rsidRPr="00BE50A6" w:rsidRDefault="00731CC7" w:rsidP="00731CC7">
      <w:pPr>
        <w:spacing w:line="360" w:lineRule="auto"/>
        <w:ind w:right="-787"/>
        <w:jc w:val="center"/>
        <w:rPr>
          <w:rFonts w:ascii="Palatino Linotype" w:eastAsia="Palatino Linotype" w:hAnsi="Palatino Linotype" w:cs="Palatino Linotype"/>
        </w:rPr>
      </w:pPr>
      <w:r w:rsidRPr="00BE50A6">
        <w:rPr>
          <w:rFonts w:ascii="Palatino Linotype" w:eastAsia="Palatino Linotype" w:hAnsi="Palatino Linotype" w:cs="Palatino Linotype"/>
          <w:noProof/>
          <w:lang w:val="es-MX"/>
        </w:rPr>
        <w:lastRenderedPageBreak/>
        <w:drawing>
          <wp:inline distT="0" distB="0" distL="0" distR="0" wp14:anchorId="6195114D" wp14:editId="70281AA0">
            <wp:extent cx="4058538" cy="350874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90112" cy="3536041"/>
                    </a:xfrm>
                    <a:prstGeom prst="rect">
                      <a:avLst/>
                    </a:prstGeom>
                  </pic:spPr>
                </pic:pic>
              </a:graphicData>
            </a:graphic>
          </wp:inline>
        </w:drawing>
      </w:r>
    </w:p>
    <w:p w:rsidR="004C601B" w:rsidRPr="00BE50A6" w:rsidRDefault="004C601B" w:rsidP="00731CC7">
      <w:pPr>
        <w:spacing w:line="360" w:lineRule="auto"/>
        <w:ind w:right="-787"/>
        <w:jc w:val="both"/>
        <w:rPr>
          <w:i/>
          <w:u w:val="single"/>
        </w:rPr>
      </w:pPr>
    </w:p>
    <w:p w:rsidR="00B66449" w:rsidRPr="00BE50A6" w:rsidRDefault="00B66449" w:rsidP="00174A0B">
      <w:pPr>
        <w:spacing w:line="360" w:lineRule="auto"/>
        <w:ind w:right="-787"/>
        <w:jc w:val="both"/>
        <w:rPr>
          <w:rFonts w:ascii="Palatino Linotype" w:eastAsia="Palatino Linotype" w:hAnsi="Palatino Linotype" w:cs="Palatino Linotype"/>
          <w:i/>
        </w:rPr>
      </w:pPr>
    </w:p>
    <w:p w:rsidR="00B66449" w:rsidRPr="00BE50A6" w:rsidRDefault="00B66449">
      <w:pPr>
        <w:pBdr>
          <w:top w:val="nil"/>
          <w:left w:val="nil"/>
          <w:bottom w:val="nil"/>
          <w:right w:val="nil"/>
          <w:between w:val="nil"/>
        </w:pBdr>
        <w:ind w:right="851"/>
        <w:jc w:val="both"/>
        <w:rPr>
          <w:rFonts w:ascii="Palatino Linotype" w:eastAsia="Palatino Linotype" w:hAnsi="Palatino Linotype" w:cs="Palatino Linotype"/>
          <w:i/>
        </w:rPr>
      </w:pPr>
    </w:p>
    <w:p w:rsidR="00731CC7" w:rsidRPr="00BE50A6" w:rsidRDefault="00731CC7" w:rsidP="00731CC7">
      <w:pPr>
        <w:numPr>
          <w:ilvl w:val="0"/>
          <w:numId w:val="2"/>
        </w:numPr>
        <w:spacing w:line="360" w:lineRule="auto"/>
        <w:ind w:left="0" w:right="-787" w:firstLine="0"/>
        <w:jc w:val="both"/>
        <w:rPr>
          <w:rFonts w:ascii="Palatino Linotype" w:eastAsia="Palatino Linotype" w:hAnsi="Palatino Linotype" w:cs="Palatino Linotype"/>
          <w:b/>
          <w:color w:val="000000"/>
        </w:rPr>
      </w:pPr>
      <w:r w:rsidRPr="00BE50A6">
        <w:rPr>
          <w:rFonts w:ascii="Palatino Linotype" w:eastAsia="Palatino Linotype" w:hAnsi="Palatino Linotype" w:cs="Palatino Linotype"/>
          <w:color w:val="000000"/>
        </w:rPr>
        <w:t xml:space="preserve">Ahora bien, derivado de la presentación del medio de impugnación, el Sujeto Obligado a través de informe justificado agregó a su respuesta primigenia que si bien se ratificó la información entregada, de una búsqueda exhaustiva y razonable, </w:t>
      </w:r>
      <w:r w:rsidRPr="00BE50A6">
        <w:rPr>
          <w:rFonts w:ascii="Palatino Linotype" w:eastAsia="Palatino Linotype" w:hAnsi="Palatino Linotype" w:cs="Palatino Linotype"/>
          <w:b/>
          <w:color w:val="000000"/>
        </w:rPr>
        <w:t>no existen Manuales de Procedimientos en particular.</w:t>
      </w:r>
    </w:p>
    <w:p w:rsidR="002B3B00" w:rsidRPr="00BE50A6" w:rsidRDefault="002B3B00" w:rsidP="002B3B00">
      <w:pPr>
        <w:spacing w:line="360" w:lineRule="auto"/>
        <w:ind w:right="-787"/>
        <w:jc w:val="both"/>
        <w:rPr>
          <w:rFonts w:ascii="Palatino Linotype" w:eastAsia="Palatino Linotype" w:hAnsi="Palatino Linotype" w:cs="Palatino Linotype"/>
          <w:b/>
          <w:color w:val="000000"/>
        </w:rPr>
      </w:pPr>
    </w:p>
    <w:p w:rsidR="002B3B00" w:rsidRPr="00BE50A6" w:rsidRDefault="002B3B00" w:rsidP="00731CC7">
      <w:pPr>
        <w:numPr>
          <w:ilvl w:val="0"/>
          <w:numId w:val="2"/>
        </w:numPr>
        <w:spacing w:line="360" w:lineRule="auto"/>
        <w:ind w:left="0" w:right="-787" w:firstLine="0"/>
        <w:jc w:val="both"/>
        <w:rPr>
          <w:rFonts w:ascii="Palatino Linotype" w:eastAsia="Palatino Linotype" w:hAnsi="Palatino Linotype" w:cs="Palatino Linotype"/>
          <w:b/>
          <w:color w:val="000000"/>
        </w:rPr>
      </w:pPr>
      <w:r w:rsidRPr="00BE50A6">
        <w:rPr>
          <w:rFonts w:ascii="Palatino Linotype" w:eastAsia="Palatino Linotype" w:hAnsi="Palatino Linotype" w:cs="Palatino Linotype"/>
          <w:color w:val="000000"/>
        </w:rPr>
        <w:t xml:space="preserve">Asimismo, robusteciendo dicho estudio, esta Ponencia realizó una búsqueda de la regulación municipal del Sujeto Obligado, </w:t>
      </w:r>
      <w:r w:rsidR="00E7045C" w:rsidRPr="00BE50A6">
        <w:rPr>
          <w:rFonts w:ascii="Palatino Linotype" w:eastAsia="Palatino Linotype" w:hAnsi="Palatino Linotype" w:cs="Palatino Linotype"/>
          <w:color w:val="000000"/>
        </w:rPr>
        <w:t xml:space="preserve">advirtiendo que tal como fue </w:t>
      </w:r>
      <w:r w:rsidR="00422924" w:rsidRPr="00BE50A6">
        <w:rPr>
          <w:rFonts w:ascii="Palatino Linotype" w:eastAsia="Palatino Linotype" w:hAnsi="Palatino Linotype" w:cs="Palatino Linotype"/>
          <w:color w:val="000000"/>
        </w:rPr>
        <w:t>referido</w:t>
      </w:r>
      <w:r w:rsidR="00E7045C" w:rsidRPr="00BE50A6">
        <w:rPr>
          <w:rFonts w:ascii="Palatino Linotype" w:eastAsia="Palatino Linotype" w:hAnsi="Palatino Linotype" w:cs="Palatino Linotype"/>
          <w:color w:val="000000"/>
        </w:rPr>
        <w:t>, no cuenta con Manuales de Procedimientos en particular para las unidades administrativas que forman parte de la Dirección de Administración, tal como se muestra en la imagen siguiente:</w:t>
      </w:r>
    </w:p>
    <w:p w:rsidR="00E7045C" w:rsidRPr="00BE50A6" w:rsidRDefault="00E7045C" w:rsidP="00E7045C">
      <w:pPr>
        <w:spacing w:line="360" w:lineRule="auto"/>
        <w:ind w:right="-787"/>
        <w:jc w:val="both"/>
        <w:rPr>
          <w:rFonts w:ascii="Palatino Linotype" w:eastAsia="Palatino Linotype" w:hAnsi="Palatino Linotype" w:cs="Palatino Linotype"/>
          <w:color w:val="000000"/>
        </w:rPr>
      </w:pPr>
    </w:p>
    <w:p w:rsidR="00E7045C" w:rsidRPr="00BE50A6" w:rsidRDefault="00E7045C" w:rsidP="00E7045C">
      <w:pPr>
        <w:spacing w:line="360" w:lineRule="auto"/>
        <w:ind w:right="-787"/>
        <w:jc w:val="center"/>
        <w:rPr>
          <w:rFonts w:ascii="Palatino Linotype" w:eastAsia="Palatino Linotype" w:hAnsi="Palatino Linotype" w:cs="Palatino Linotype"/>
          <w:b/>
          <w:color w:val="000000"/>
        </w:rPr>
      </w:pPr>
      <w:r w:rsidRPr="00BE50A6">
        <w:rPr>
          <w:rFonts w:ascii="Palatino Linotype" w:eastAsia="Palatino Linotype" w:hAnsi="Palatino Linotype" w:cs="Palatino Linotype"/>
          <w:b/>
          <w:noProof/>
          <w:color w:val="000000"/>
          <w:lang w:val="es-MX"/>
        </w:rPr>
        <w:lastRenderedPageBreak/>
        <w:drawing>
          <wp:inline distT="0" distB="0" distL="0" distR="0" wp14:anchorId="67D32DDB" wp14:editId="0566D00E">
            <wp:extent cx="4816549" cy="3859083"/>
            <wp:effectExtent l="0" t="0" r="3175"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55278" cy="3890114"/>
                    </a:xfrm>
                    <a:prstGeom prst="rect">
                      <a:avLst/>
                    </a:prstGeom>
                  </pic:spPr>
                </pic:pic>
              </a:graphicData>
            </a:graphic>
          </wp:inline>
        </w:drawing>
      </w:r>
    </w:p>
    <w:p w:rsidR="00E7045C" w:rsidRPr="00BE50A6" w:rsidRDefault="00E7045C" w:rsidP="00E7045C">
      <w:pPr>
        <w:spacing w:line="360" w:lineRule="auto"/>
        <w:ind w:right="-787"/>
        <w:jc w:val="both"/>
        <w:rPr>
          <w:rFonts w:ascii="Palatino Linotype" w:eastAsia="Palatino Linotype" w:hAnsi="Palatino Linotype" w:cs="Palatino Linotype"/>
          <w:color w:val="000000"/>
        </w:rPr>
      </w:pPr>
    </w:p>
    <w:p w:rsidR="005E4718" w:rsidRPr="00BE50A6" w:rsidRDefault="005E4718" w:rsidP="005E4718">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BE50A6">
        <w:rPr>
          <w:rFonts w:ascii="Palatino Linotype" w:eastAsia="Palatino Linotype" w:hAnsi="Palatino Linotype" w:cs="Palatino Linotype"/>
          <w:color w:val="000000" w:themeColor="text1"/>
        </w:rPr>
        <w:t xml:space="preserve">En esa tesitura debe </w:t>
      </w:r>
      <w:r w:rsidRPr="00BE50A6">
        <w:rPr>
          <w:rFonts w:ascii="Palatino Linotype" w:eastAsia="Palatino Linotype" w:hAnsi="Palatino Linotype" w:cs="Palatino Linotype"/>
          <w:color w:val="000000"/>
        </w:rPr>
        <w:t>mencionarse</w:t>
      </w:r>
      <w:r w:rsidRPr="00BE50A6">
        <w:rPr>
          <w:rFonts w:ascii="Palatino Linotype" w:eastAsia="Palatino Linotype" w:hAnsi="Palatino Linotype" w:cs="Palatino Linotype"/>
          <w:color w:val="000000" w:themeColor="text1"/>
        </w:rPr>
        <w:t xml:space="preserve">, que los sujetos obligados no se encuentran obligados a generar documentos </w:t>
      </w:r>
      <w:r w:rsidRPr="00BE50A6">
        <w:rPr>
          <w:rFonts w:ascii="Palatino Linotype" w:eastAsia="Palatino Linotype" w:hAnsi="Palatino Linotype" w:cs="Palatino Linotype"/>
          <w:b/>
          <w:i/>
          <w:color w:val="000000" w:themeColor="text1"/>
        </w:rPr>
        <w:t>ad hoc</w:t>
      </w:r>
      <w:r w:rsidRPr="00BE50A6">
        <w:rPr>
          <w:rFonts w:ascii="Palatino Linotype" w:eastAsia="Palatino Linotype" w:hAnsi="Palatino Linotype" w:cs="Palatino Linotype"/>
          <w:color w:val="000000" w:themeColor="text1"/>
        </w:rPr>
        <w:t xml:space="preserve"> para atender las solicitudes de información de los particulares conforme a sus intereses particulares de los solicitantes. Como apoyo a lo anterior, es aplicable por analogía el </w:t>
      </w:r>
      <w:r w:rsidRPr="00BE50A6">
        <w:rPr>
          <w:rFonts w:ascii="Palatino Linotype" w:eastAsia="Palatino Linotype" w:hAnsi="Palatino Linotype" w:cs="Palatino Linotype"/>
          <w:b/>
          <w:color w:val="000000" w:themeColor="text1"/>
        </w:rPr>
        <w:t>Criterio 03/17</w:t>
      </w:r>
      <w:r w:rsidRPr="00BE50A6">
        <w:rPr>
          <w:rFonts w:ascii="Palatino Linotype" w:eastAsia="Palatino Linotype" w:hAnsi="Palatino Linotype" w:cs="Palatino Linotype"/>
          <w:color w:val="000000" w:themeColor="text1"/>
        </w:rPr>
        <w:t>, emitido por el entonces Pleno del Instituto Nacional de Transparencia, Acceso a la Información y Protección de Datos Personales (INAI), que a la letra dice:</w:t>
      </w:r>
    </w:p>
    <w:p w:rsidR="005E4718" w:rsidRPr="00BE50A6" w:rsidRDefault="005E4718" w:rsidP="005E4718">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BE50A6">
        <w:rPr>
          <w:rFonts w:ascii="Palatino Linotype" w:eastAsia="Palatino Linotype" w:hAnsi="Palatino Linotype" w:cs="Palatino Linotype"/>
          <w:b/>
          <w:i/>
          <w:color w:val="000000" w:themeColor="text1"/>
        </w:rPr>
        <w:t xml:space="preserve">“No existe obligación de elaborar documentos ad hoc para atender las solicitudes de acceso a la información. </w:t>
      </w:r>
      <w:r w:rsidRPr="00BE50A6">
        <w:rPr>
          <w:rFonts w:ascii="Palatino Linotype" w:eastAsia="Palatino Linotype" w:hAnsi="Palatino Linotype" w:cs="Palatino Linotype"/>
          <w:i/>
          <w:color w:val="000000" w:themeColor="text1"/>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w:t>
      </w:r>
      <w:r w:rsidRPr="00BE50A6">
        <w:rPr>
          <w:rFonts w:ascii="Palatino Linotype" w:eastAsia="Palatino Linotype" w:hAnsi="Palatino Linotype" w:cs="Palatino Linotype"/>
          <w:i/>
          <w:color w:val="000000" w:themeColor="text1"/>
        </w:rPr>
        <w:lastRenderedPageBreak/>
        <w:t>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5E4718" w:rsidRPr="00BE50A6" w:rsidRDefault="005E4718" w:rsidP="005E4718">
      <w:pPr>
        <w:pBdr>
          <w:top w:val="nil"/>
          <w:left w:val="nil"/>
          <w:bottom w:val="nil"/>
          <w:right w:val="nil"/>
          <w:between w:val="nil"/>
        </w:pBdr>
        <w:spacing w:line="360" w:lineRule="auto"/>
        <w:jc w:val="both"/>
        <w:rPr>
          <w:rFonts w:ascii="Palatino Linotype" w:eastAsia="Palatino Linotype" w:hAnsi="Palatino Linotype" w:cs="Palatino Linotype"/>
          <w:i/>
          <w:color w:val="000000" w:themeColor="text1"/>
        </w:rPr>
      </w:pPr>
    </w:p>
    <w:p w:rsidR="005E4718" w:rsidRPr="00BE50A6" w:rsidRDefault="005E4718" w:rsidP="005E4718">
      <w:pPr>
        <w:numPr>
          <w:ilvl w:val="0"/>
          <w:numId w:val="2"/>
        </w:numPr>
        <w:spacing w:line="360" w:lineRule="auto"/>
        <w:ind w:left="0" w:right="-787" w:firstLine="0"/>
        <w:jc w:val="both"/>
        <w:rPr>
          <w:rFonts w:ascii="Palatino Linotype" w:eastAsia="Palatino Linotype" w:hAnsi="Palatino Linotype" w:cs="Palatino Linotype"/>
          <w:i/>
          <w:color w:val="000000" w:themeColor="text1"/>
        </w:rPr>
      </w:pPr>
      <w:r w:rsidRPr="00BE50A6">
        <w:rPr>
          <w:rFonts w:ascii="Palatino Linotype" w:eastAsia="Palatino Linotype" w:hAnsi="Palatino Linotype" w:cs="Palatino Linotype"/>
          <w:color w:val="000000" w:themeColor="text1"/>
        </w:rPr>
        <w:t>Así las cosas, de lo anterior, se desprende, que la información generada, obtenida, adquirida, transmitida, administrada o en posesión de los Sujetos Obligados, será accesible de manera permanente a cualquier persona, privilegiando el principio de máxima publicidad de la información.</w:t>
      </w:r>
    </w:p>
    <w:p w:rsidR="005E4718" w:rsidRPr="00BE50A6" w:rsidRDefault="005E4718" w:rsidP="005E4718">
      <w:pPr>
        <w:spacing w:line="360" w:lineRule="auto"/>
        <w:jc w:val="both"/>
        <w:rPr>
          <w:rFonts w:ascii="Palatino Linotype" w:eastAsia="Palatino Linotype" w:hAnsi="Palatino Linotype" w:cs="Palatino Linotype"/>
          <w:color w:val="000000"/>
        </w:rPr>
      </w:pPr>
    </w:p>
    <w:p w:rsidR="005E4718" w:rsidRPr="00BE50A6" w:rsidRDefault="005E4718" w:rsidP="005E4718">
      <w:pPr>
        <w:numPr>
          <w:ilvl w:val="0"/>
          <w:numId w:val="2"/>
        </w:numPr>
        <w:spacing w:line="360" w:lineRule="auto"/>
        <w:ind w:left="0" w:right="-787" w:firstLine="0"/>
        <w:jc w:val="both"/>
        <w:rPr>
          <w:rFonts w:ascii="Palatino Linotype" w:eastAsia="Palatino Linotype" w:hAnsi="Palatino Linotype" w:cs="Palatino Linotype"/>
          <w:i/>
          <w:color w:val="000000" w:themeColor="text1"/>
        </w:rPr>
      </w:pPr>
      <w:r w:rsidRPr="00BE50A6">
        <w:rPr>
          <w:rFonts w:ascii="Palatino Linotype" w:eastAsia="Palatino Linotype" w:hAnsi="Palatino Linotype" w:cs="Palatino Linotype"/>
          <w:color w:val="000000" w:themeColor="text1"/>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rsidR="005E4718" w:rsidRPr="00BE50A6" w:rsidRDefault="005E4718" w:rsidP="005E4718">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BE50A6">
        <w:rPr>
          <w:rFonts w:ascii="Palatino Linotype" w:eastAsia="Palatino Linotype" w:hAnsi="Palatino Linotype" w:cs="Palatino Linotype"/>
          <w:i/>
          <w:color w:val="000000" w:themeColor="text1"/>
        </w:rPr>
        <w:t>“</w:t>
      </w:r>
      <w:r w:rsidRPr="00BE50A6">
        <w:rPr>
          <w:rFonts w:ascii="Palatino Linotype" w:eastAsia="Palatino Linotype" w:hAnsi="Palatino Linotype" w:cs="Palatino Linotype"/>
          <w:b/>
          <w:i/>
          <w:color w:val="000000" w:themeColor="text1"/>
        </w:rPr>
        <w:t>Artículo 12.</w:t>
      </w:r>
      <w:r w:rsidRPr="00BE50A6">
        <w:rPr>
          <w:rFonts w:ascii="Palatino Linotype" w:eastAsia="Palatino Linotype" w:hAnsi="Palatino Linotype" w:cs="Palatino Linotype"/>
          <w:i/>
          <w:color w:val="000000" w:themeColor="text1"/>
        </w:rPr>
        <w:t xml:space="preserve"> Quienes generen, recopilen, administren, manejen, procesen, archiven o conserven información pública serán responsables de la misma en los términos de las disposiciones jurídicas aplicables. </w:t>
      </w:r>
    </w:p>
    <w:p w:rsidR="005E4718" w:rsidRPr="00BE50A6" w:rsidRDefault="005E4718" w:rsidP="005E4718">
      <w:pPr>
        <w:pBdr>
          <w:top w:val="nil"/>
          <w:left w:val="nil"/>
          <w:bottom w:val="nil"/>
          <w:right w:val="nil"/>
          <w:between w:val="nil"/>
        </w:pBdr>
        <w:jc w:val="both"/>
        <w:rPr>
          <w:rFonts w:ascii="Palatino Linotype" w:eastAsia="Palatino Linotype" w:hAnsi="Palatino Linotype" w:cs="Palatino Linotype"/>
          <w:i/>
          <w:color w:val="000000" w:themeColor="text1"/>
        </w:rPr>
      </w:pPr>
    </w:p>
    <w:p w:rsidR="005E4718" w:rsidRPr="00BE50A6" w:rsidRDefault="005E4718" w:rsidP="005E4718">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BE50A6">
        <w:rPr>
          <w:rFonts w:ascii="Palatino Linotype" w:eastAsia="Palatino Linotype" w:hAnsi="Palatino Linotype" w:cs="Palatino Linotype"/>
          <w:b/>
          <w:i/>
          <w:color w:val="000000" w:themeColor="text1"/>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BE50A6">
        <w:rPr>
          <w:rFonts w:ascii="Palatino Linotype" w:eastAsia="Palatino Linotype" w:hAnsi="Palatino Linotype" w:cs="Palatino Linotype"/>
          <w:i/>
          <w:color w:val="000000" w:themeColor="text1"/>
        </w:rPr>
        <w:t>”</w:t>
      </w:r>
    </w:p>
    <w:p w:rsidR="00731CC7" w:rsidRPr="00BE50A6" w:rsidRDefault="00731CC7" w:rsidP="00731CC7">
      <w:pPr>
        <w:spacing w:line="360" w:lineRule="auto"/>
        <w:ind w:right="-787"/>
        <w:jc w:val="both"/>
        <w:rPr>
          <w:rFonts w:ascii="Palatino Linotype" w:eastAsia="Palatino Linotype" w:hAnsi="Palatino Linotype" w:cs="Palatino Linotype"/>
          <w:color w:val="000000"/>
        </w:rPr>
      </w:pPr>
    </w:p>
    <w:p w:rsidR="00127F84" w:rsidRPr="00BE50A6" w:rsidRDefault="00127F84" w:rsidP="00127F84">
      <w:pPr>
        <w:numPr>
          <w:ilvl w:val="0"/>
          <w:numId w:val="2"/>
        </w:numPr>
        <w:spacing w:line="360" w:lineRule="auto"/>
        <w:ind w:left="0" w:right="-787" w:firstLine="0"/>
        <w:jc w:val="both"/>
        <w:rPr>
          <w:rFonts w:ascii="Palatino Linotype" w:eastAsia="Palatino Linotype" w:hAnsi="Palatino Linotype" w:cs="Palatino Linotype"/>
          <w:i/>
          <w:color w:val="000000"/>
        </w:rPr>
      </w:pPr>
      <w:r w:rsidRPr="00BE50A6">
        <w:rPr>
          <w:rFonts w:ascii="Palatino Linotype" w:eastAsia="Palatino Linotype" w:hAnsi="Palatino Linotype" w:cs="Palatino Linotype"/>
          <w:color w:val="000000"/>
        </w:rPr>
        <w:t xml:space="preserve">Luego </w:t>
      </w:r>
      <w:r w:rsidRPr="00BE50A6">
        <w:rPr>
          <w:rFonts w:ascii="Palatino Linotype" w:hAnsi="Palatino Linotype" w:cs="Arial"/>
        </w:rPr>
        <w:t>entonces</w:t>
      </w:r>
      <w:r w:rsidRPr="00BE50A6">
        <w:rPr>
          <w:rFonts w:ascii="Palatino Linotype" w:eastAsia="Palatino Linotype" w:hAnsi="Palatino Linotype" w:cs="Palatino Linotype"/>
          <w:color w:val="000000"/>
        </w:rPr>
        <w:t xml:space="preserve"> la </w:t>
      </w:r>
      <w:r w:rsidRPr="00BE50A6">
        <w:rPr>
          <w:rFonts w:ascii="Palatino Linotype" w:hAnsi="Palatino Linotype" w:cs="Arial"/>
        </w:rPr>
        <w:t>obligación</w:t>
      </w:r>
      <w:r w:rsidRPr="00BE50A6">
        <w:rPr>
          <w:rFonts w:ascii="Palatino Linotype" w:eastAsia="Palatino Linotype" w:hAnsi="Palatino Linotype" w:cs="Palatino Linotype"/>
          <w:color w:val="000000"/>
        </w:rPr>
        <w:t xml:space="preserve"> de los Sujetos Obligados de dar acceso a la información pública </w:t>
      </w:r>
      <w:r w:rsidRPr="00BE50A6">
        <w:rPr>
          <w:rFonts w:ascii="Palatino Linotype" w:hAnsi="Palatino Linotype" w:cs="Arial"/>
        </w:rPr>
        <w:t>que</w:t>
      </w:r>
      <w:r w:rsidRPr="00BE50A6">
        <w:rPr>
          <w:rFonts w:ascii="Palatino Linotype" w:eastAsia="Palatino Linotype" w:hAnsi="Palatino Linotype" w:cs="Palatino Linotype"/>
          <w:color w:val="000000"/>
        </w:rPr>
        <w:t xml:space="preserve"> generen, administren o posean, se tendrá por cumplida cuando </w:t>
      </w:r>
      <w:r w:rsidRPr="00BE50A6">
        <w:rPr>
          <w:rFonts w:ascii="Palatino Linotype" w:eastAsia="Palatino Linotype" w:hAnsi="Palatino Linotype" w:cs="Palatino Linotype"/>
          <w:b/>
          <w:color w:val="000000"/>
        </w:rPr>
        <w:t xml:space="preserve">el solicitante </w:t>
      </w:r>
      <w:r w:rsidRPr="00BE50A6">
        <w:rPr>
          <w:rFonts w:ascii="Palatino Linotype" w:eastAsia="Palatino Linotype" w:hAnsi="Palatino Linotype" w:cs="Palatino Linotype"/>
          <w:b/>
          <w:color w:val="000000"/>
        </w:rPr>
        <w:lastRenderedPageBreak/>
        <w:t>tenga a su disposición la información requerida, como ha sucedido al caso concreto</w:t>
      </w:r>
      <w:r w:rsidRPr="00BE50A6">
        <w:rPr>
          <w:rFonts w:ascii="Palatino Linotype" w:eastAsia="Palatino Linotype" w:hAnsi="Palatino Linotype" w:cs="Palatino Linotype"/>
          <w:color w:val="000000"/>
        </w:rPr>
        <w:t xml:space="preserve">, en consecuencia, la solicitud de información </w:t>
      </w:r>
      <w:r w:rsidRPr="00BE50A6">
        <w:rPr>
          <w:rFonts w:ascii="Palatino Linotype" w:eastAsia="Palatino Linotype" w:hAnsi="Palatino Linotype" w:cs="Palatino Linotype"/>
          <w:b/>
          <w:color w:val="000000"/>
        </w:rPr>
        <w:t>ha quedado satisfecha</w:t>
      </w:r>
      <w:r w:rsidRPr="00BE50A6">
        <w:rPr>
          <w:rFonts w:ascii="Palatino Linotype" w:eastAsia="Palatino Linotype" w:hAnsi="Palatino Linotype" w:cs="Palatino Linotype"/>
          <w:color w:val="000000"/>
        </w:rPr>
        <w:t>.</w:t>
      </w:r>
      <w:r w:rsidRPr="00BE50A6">
        <w:rPr>
          <w:rFonts w:ascii="Palatino Linotype" w:eastAsia="Palatino Linotype" w:hAnsi="Palatino Linotype" w:cs="Palatino Linotype"/>
          <w:i/>
          <w:color w:val="000000"/>
        </w:rPr>
        <w:t xml:space="preserve"> </w:t>
      </w:r>
    </w:p>
    <w:p w:rsidR="00127F84" w:rsidRPr="00BE50A6" w:rsidRDefault="00127F84" w:rsidP="00127F84">
      <w:pPr>
        <w:spacing w:line="360" w:lineRule="auto"/>
        <w:ind w:right="-787"/>
        <w:jc w:val="both"/>
        <w:rPr>
          <w:rFonts w:ascii="Palatino Linotype" w:eastAsia="Palatino Linotype" w:hAnsi="Palatino Linotype" w:cs="Palatino Linotype"/>
        </w:rPr>
      </w:pPr>
    </w:p>
    <w:p w:rsidR="00127F84" w:rsidRPr="00BE50A6" w:rsidRDefault="00127F84" w:rsidP="00127F84">
      <w:pPr>
        <w:numPr>
          <w:ilvl w:val="0"/>
          <w:numId w:val="2"/>
        </w:numPr>
        <w:spacing w:line="360" w:lineRule="auto"/>
        <w:ind w:left="0" w:right="-787" w:firstLine="0"/>
        <w:jc w:val="both"/>
        <w:rPr>
          <w:rFonts w:ascii="Palatino Linotype" w:eastAsia="Palatino Linotype" w:hAnsi="Palatino Linotype" w:cs="Palatino Linotype"/>
          <w:b/>
          <w:color w:val="000000"/>
        </w:rPr>
      </w:pPr>
      <w:r w:rsidRPr="00BE50A6">
        <w:rPr>
          <w:rFonts w:ascii="Palatino Linotype" w:eastAsia="Palatino Linotype" w:hAnsi="Palatino Linotype" w:cs="Palatino Linotype"/>
        </w:rPr>
        <w:t xml:space="preserve">De </w:t>
      </w:r>
      <w:r w:rsidRPr="00BE50A6">
        <w:rPr>
          <w:rFonts w:ascii="Palatino Linotype" w:hAnsi="Palatino Linotype" w:cs="Arial"/>
        </w:rPr>
        <w:t>todo</w:t>
      </w:r>
      <w:r w:rsidRPr="00BE50A6">
        <w:rPr>
          <w:rFonts w:ascii="Palatino Linotype" w:eastAsia="Palatino Linotype" w:hAnsi="Palatino Linotype" w:cs="Palatino Linotype"/>
        </w:rPr>
        <w:t xml:space="preserve"> lo </w:t>
      </w:r>
      <w:r w:rsidRPr="00BE50A6">
        <w:rPr>
          <w:rFonts w:ascii="Palatino Linotype" w:hAnsi="Palatino Linotype" w:cs="Arial"/>
        </w:rPr>
        <w:t>expuesto</w:t>
      </w:r>
      <w:r w:rsidRPr="00BE50A6">
        <w:rPr>
          <w:rFonts w:ascii="Palatino Linotype" w:eastAsia="Palatino Linotype" w:hAnsi="Palatino Linotype" w:cs="Palatino Linotype"/>
        </w:rPr>
        <w:t xml:space="preserve">, se advierte que el </w:t>
      </w:r>
      <w:r w:rsidRPr="00BE50A6">
        <w:rPr>
          <w:rFonts w:ascii="Palatino Linotype" w:eastAsia="Palatino Linotype" w:hAnsi="Palatino Linotype" w:cs="Palatino Linotype"/>
          <w:b/>
        </w:rPr>
        <w:t>SUJETO OBLIGADO modificó su acto al complementar su respuesta en informe justificado, ratificando su respuesta inicial, pero agregando que no existen Manuales de Procedimientos en particular.</w:t>
      </w:r>
    </w:p>
    <w:p w:rsidR="00127F84" w:rsidRPr="00BE50A6" w:rsidRDefault="00127F84" w:rsidP="00127F84">
      <w:p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color w:val="000000"/>
        </w:rPr>
      </w:pPr>
    </w:p>
    <w:p w:rsidR="00127F84" w:rsidRPr="00BE50A6" w:rsidRDefault="00127F84" w:rsidP="00127F84">
      <w:pPr>
        <w:numPr>
          <w:ilvl w:val="0"/>
          <w:numId w:val="2"/>
        </w:numPr>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 xml:space="preserve">Luego </w:t>
      </w:r>
      <w:r w:rsidRPr="00BE50A6">
        <w:rPr>
          <w:rFonts w:ascii="Palatino Linotype" w:eastAsia="Palatino Linotype" w:hAnsi="Palatino Linotype" w:cs="Palatino Linotype"/>
        </w:rPr>
        <w:t>entonces</w:t>
      </w:r>
      <w:r w:rsidRPr="00BE50A6">
        <w:rPr>
          <w:rFonts w:ascii="Palatino Linotype" w:eastAsia="Palatino Linotype" w:hAnsi="Palatino Linotype" w:cs="Palatino Linotype"/>
          <w:color w:val="000000"/>
        </w:rPr>
        <w:t xml:space="preserve">, al haberse ampliado la respuesta inicial, resulta necesario invocar la fracción III, del artículo 192, de la </w:t>
      </w:r>
      <w:r w:rsidRPr="00BE50A6">
        <w:rPr>
          <w:rFonts w:ascii="Palatino Linotype" w:eastAsia="Palatino Linotype" w:hAnsi="Palatino Linotype" w:cs="Palatino Linotype"/>
          <w:b/>
          <w:color w:val="000000"/>
        </w:rPr>
        <w:t>Ley de Transparencia y Acceso a la Información Pública del Estado de México y Municipios</w:t>
      </w:r>
      <w:r w:rsidRPr="00BE50A6">
        <w:rPr>
          <w:rFonts w:ascii="Palatino Linotype" w:eastAsia="Palatino Linotype" w:hAnsi="Palatino Linotype" w:cs="Palatino Linotype"/>
          <w:color w:val="000000"/>
        </w:rPr>
        <w:t xml:space="preserve">, por contener la causal de sobreseimiento relativa a que el Sujeto Obligado </w:t>
      </w:r>
      <w:r w:rsidRPr="00BE50A6">
        <w:rPr>
          <w:rFonts w:ascii="Palatino Linotype" w:eastAsia="Palatino Linotype" w:hAnsi="Palatino Linotype" w:cs="Palatino Linotype"/>
          <w:b/>
          <w:color w:val="000000"/>
          <w:u w:val="single"/>
        </w:rPr>
        <w:t>modifique o revoque el acto</w:t>
      </w:r>
      <w:r w:rsidRPr="00BE50A6">
        <w:rPr>
          <w:rFonts w:ascii="Palatino Linotype" w:eastAsia="Palatino Linotype" w:hAnsi="Palatino Linotype" w:cs="Palatino Linotype"/>
          <w:color w:val="000000"/>
        </w:rPr>
        <w:t>; de ahí que la actualización de alguno de éstos trae como consecuencia que el medio de impugnación se concluya sin que se analice el objeto de estudio planteado, es decir se sobresea.</w:t>
      </w:r>
    </w:p>
    <w:p w:rsidR="00127F84" w:rsidRPr="00BE50A6" w:rsidRDefault="00127F84" w:rsidP="00127F84">
      <w:pPr>
        <w:spacing w:line="360" w:lineRule="auto"/>
        <w:jc w:val="both"/>
        <w:rPr>
          <w:rFonts w:ascii="Palatino Linotype" w:eastAsia="Palatino Linotype" w:hAnsi="Palatino Linotype" w:cs="Palatino Linotype"/>
        </w:rPr>
      </w:pPr>
    </w:p>
    <w:p w:rsidR="00127F84" w:rsidRPr="00BE50A6" w:rsidRDefault="00127F84" w:rsidP="004E4260">
      <w:pPr>
        <w:numPr>
          <w:ilvl w:val="0"/>
          <w:numId w:val="2"/>
        </w:numPr>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 xml:space="preserve">Para los efectos de esta resolución, es oportuno precisar los alcances jurídicos de la fracción III de </w:t>
      </w:r>
      <w:r w:rsidRPr="00BE50A6">
        <w:rPr>
          <w:rFonts w:ascii="Palatino Linotype" w:eastAsia="Palatino Linotype" w:hAnsi="Palatino Linotype" w:cs="Palatino Linotype"/>
        </w:rPr>
        <w:t>referencia</w:t>
      </w:r>
      <w:r w:rsidRPr="00BE50A6">
        <w:rPr>
          <w:rFonts w:ascii="Palatino Linotype" w:eastAsia="Palatino Linotype" w:hAnsi="Palatino Linotype" w:cs="Palatino Linotype"/>
          <w:color w:val="000000"/>
        </w:rPr>
        <w:t>, a saber:</w:t>
      </w:r>
    </w:p>
    <w:p w:rsidR="00127F84" w:rsidRPr="00BE50A6" w:rsidRDefault="00127F84" w:rsidP="00127F84">
      <w:pPr>
        <w:numPr>
          <w:ilvl w:val="0"/>
          <w:numId w:val="14"/>
        </w:numPr>
        <w:spacing w:line="360" w:lineRule="auto"/>
        <w:ind w:left="1134" w:right="616" w:firstLine="0"/>
        <w:jc w:val="both"/>
        <w:rPr>
          <w:rFonts w:ascii="Palatino Linotype" w:eastAsia="Palatino Linotype" w:hAnsi="Palatino Linotype" w:cs="Palatino Linotype"/>
        </w:rPr>
      </w:pPr>
      <w:r w:rsidRPr="00BE50A6">
        <w:rPr>
          <w:rFonts w:ascii="Palatino Linotype" w:eastAsia="Palatino Linotype" w:hAnsi="Palatino Linotype" w:cs="Palatino Linotype"/>
          <w:b/>
        </w:rPr>
        <w:t>Modifique el acto impugnado:</w:t>
      </w:r>
      <w:r w:rsidRPr="00BE50A6">
        <w:rPr>
          <w:rFonts w:ascii="Palatino Linotype" w:eastAsia="Palatino Linotype" w:hAnsi="Palatino Linotype" w:cs="Palatino Linotype"/>
        </w:rPr>
        <w:t xml:space="preserve"> Se actualiza cuando el </w:t>
      </w:r>
      <w:r w:rsidRPr="00BE50A6">
        <w:rPr>
          <w:rFonts w:ascii="Palatino Linotype" w:eastAsia="Palatino Linotype" w:hAnsi="Palatino Linotype" w:cs="Palatino Linotype"/>
          <w:b/>
        </w:rPr>
        <w:t>SUJETO OBLIGADO</w:t>
      </w:r>
      <w:r w:rsidRPr="00BE50A6">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127F84" w:rsidRPr="00BE50A6" w:rsidRDefault="00127F84" w:rsidP="00127F84">
      <w:pPr>
        <w:numPr>
          <w:ilvl w:val="0"/>
          <w:numId w:val="14"/>
        </w:numPr>
        <w:spacing w:line="360" w:lineRule="auto"/>
        <w:ind w:left="1134" w:right="616" w:firstLine="0"/>
        <w:jc w:val="both"/>
        <w:rPr>
          <w:rFonts w:ascii="Palatino Linotype" w:eastAsia="Palatino Linotype" w:hAnsi="Palatino Linotype" w:cs="Palatino Linotype"/>
        </w:rPr>
      </w:pPr>
      <w:r w:rsidRPr="00BE50A6">
        <w:rPr>
          <w:rFonts w:ascii="Palatino Linotype" w:eastAsia="Palatino Linotype" w:hAnsi="Palatino Linotype" w:cs="Palatino Linotype"/>
          <w:b/>
        </w:rPr>
        <w:t>Revoque el acto impugnado:</w:t>
      </w:r>
      <w:r w:rsidRPr="00BE50A6">
        <w:rPr>
          <w:rFonts w:ascii="Palatino Linotype" w:eastAsia="Palatino Linotype" w:hAnsi="Palatino Linotype" w:cs="Palatino Linotype"/>
        </w:rPr>
        <w:t xml:space="preserve"> En este supuesto, el </w:t>
      </w:r>
      <w:r w:rsidRPr="00BE50A6">
        <w:rPr>
          <w:rFonts w:ascii="Palatino Linotype" w:eastAsia="Palatino Linotype" w:hAnsi="Palatino Linotype" w:cs="Palatino Linotype"/>
          <w:b/>
        </w:rPr>
        <w:t>SUJETO OBLIGADO</w:t>
      </w:r>
      <w:r w:rsidRPr="00BE50A6">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127F84" w:rsidRPr="00BE50A6" w:rsidRDefault="00127F84" w:rsidP="004E4260">
      <w:pPr>
        <w:numPr>
          <w:ilvl w:val="0"/>
          <w:numId w:val="2"/>
        </w:numPr>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lastRenderedPageBreak/>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127F84" w:rsidRPr="00BE50A6" w:rsidRDefault="00127F84" w:rsidP="00127F84">
      <w:pPr>
        <w:spacing w:line="360" w:lineRule="auto"/>
        <w:jc w:val="both"/>
        <w:rPr>
          <w:rFonts w:ascii="Palatino Linotype" w:eastAsia="Palatino Linotype" w:hAnsi="Palatino Linotype" w:cs="Palatino Linotype"/>
        </w:rPr>
      </w:pPr>
    </w:p>
    <w:p w:rsidR="00127F84" w:rsidRPr="00BE50A6" w:rsidRDefault="00127F84" w:rsidP="004E4260">
      <w:pPr>
        <w:numPr>
          <w:ilvl w:val="0"/>
          <w:numId w:val="2"/>
        </w:numPr>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 xml:space="preserve">En el </w:t>
      </w:r>
      <w:r w:rsidRPr="00BE50A6">
        <w:rPr>
          <w:rFonts w:ascii="Palatino Linotype" w:eastAsia="Palatino Linotype" w:hAnsi="Palatino Linotype" w:cs="Palatino Linotype"/>
        </w:rPr>
        <w:t>presente</w:t>
      </w:r>
      <w:r w:rsidRPr="00BE50A6">
        <w:rPr>
          <w:rFonts w:ascii="Palatino Linotype" w:eastAsia="Palatino Linotype" w:hAnsi="Palatino Linotype" w:cs="Palatino Linotype"/>
          <w:color w:val="000000"/>
        </w:rPr>
        <w:t xml:space="preserve"> asunto, este Pleno advierte que el Sujeto Obligado con la información precisada a través del informe de justificado, </w:t>
      </w:r>
      <w:r w:rsidRPr="00BE50A6">
        <w:rPr>
          <w:rFonts w:ascii="Palatino Linotype" w:eastAsia="Palatino Linotype" w:hAnsi="Palatino Linotype" w:cs="Palatino Linotype"/>
          <w:b/>
          <w:color w:val="000000"/>
        </w:rPr>
        <w:t>modifica</w:t>
      </w:r>
      <w:r w:rsidRPr="00BE50A6">
        <w:rPr>
          <w:rFonts w:ascii="Palatino Linotype" w:eastAsia="Palatino Linotype" w:hAnsi="Palatino Linotype" w:cs="Palatino Linotype"/>
          <w:color w:val="000000"/>
        </w:rPr>
        <w:t xml:space="preserve"> el acto que le dio origen al recurso de revisión, lo que trae como consecuencia que el mismo quede sin materia, actualizándose de este modo, la hipótesis jurídica contenida en la fracción III, del citado artículo 192.</w:t>
      </w:r>
    </w:p>
    <w:p w:rsidR="00127F84" w:rsidRPr="00BE50A6" w:rsidRDefault="00127F84" w:rsidP="00127F84">
      <w:pPr>
        <w:spacing w:line="360" w:lineRule="auto"/>
        <w:rPr>
          <w:rFonts w:ascii="Palatino Linotype" w:eastAsia="Palatino Linotype" w:hAnsi="Palatino Linotype" w:cs="Palatino Linotype"/>
        </w:rPr>
      </w:pPr>
    </w:p>
    <w:p w:rsidR="00127F84" w:rsidRPr="00BE50A6" w:rsidRDefault="00127F84" w:rsidP="004E4260">
      <w:pPr>
        <w:numPr>
          <w:ilvl w:val="0"/>
          <w:numId w:val="2"/>
        </w:numPr>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 xml:space="preserve">De </w:t>
      </w:r>
      <w:r w:rsidRPr="00BE50A6">
        <w:rPr>
          <w:rFonts w:ascii="Palatino Linotype" w:eastAsia="Palatino Linotype" w:hAnsi="Palatino Linotype" w:cs="Palatino Linotype"/>
        </w:rPr>
        <w:t>este</w:t>
      </w:r>
      <w:r w:rsidRPr="00BE50A6">
        <w:rPr>
          <w:rFonts w:ascii="Palatino Linotype" w:eastAsia="Palatino Linotype" w:hAnsi="Palatino Linotype" w:cs="Palatino Linotype"/>
          <w:color w:val="000000"/>
        </w:rPr>
        <w:t xml:space="preserve"> modo, cuando el Sujeto Obligado</w:t>
      </w:r>
      <w:r w:rsidRPr="00BE50A6">
        <w:rPr>
          <w:rFonts w:ascii="Palatino Linotype" w:eastAsia="Palatino Linotype" w:hAnsi="Palatino Linotype" w:cs="Palatino Linotype"/>
          <w:b/>
          <w:color w:val="000000"/>
        </w:rPr>
        <w:t xml:space="preserve">, </w:t>
      </w:r>
      <w:r w:rsidRPr="00BE50A6">
        <w:rPr>
          <w:rFonts w:ascii="Palatino Linotype" w:eastAsia="Palatino Linotype" w:hAnsi="Palatino Linotype" w:cs="Palatino Linotype"/>
          <w:color w:val="000000"/>
        </w:rPr>
        <w:t>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controversia planteada, debido a que la afectación en su esfera de derechos fue restituida por la propia autoridad que emitió el acto motivo de impugnación.</w:t>
      </w:r>
    </w:p>
    <w:p w:rsidR="00127F84" w:rsidRPr="00BE50A6" w:rsidRDefault="00127F84" w:rsidP="00127F84">
      <w:pPr>
        <w:spacing w:line="360" w:lineRule="auto"/>
        <w:rPr>
          <w:rFonts w:ascii="Palatino Linotype" w:eastAsia="Palatino Linotype" w:hAnsi="Palatino Linotype" w:cs="Palatino Linotype"/>
        </w:rPr>
      </w:pPr>
    </w:p>
    <w:p w:rsidR="00127F84" w:rsidRPr="00BE50A6" w:rsidRDefault="00127F84" w:rsidP="004E4260">
      <w:pPr>
        <w:numPr>
          <w:ilvl w:val="0"/>
          <w:numId w:val="2"/>
        </w:numPr>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 xml:space="preserve">Sirve de sustento a lo anterior la siguiente jurisprudencia por contradicción, cuyo rubro, texto y </w:t>
      </w:r>
      <w:r w:rsidRPr="00BE50A6">
        <w:rPr>
          <w:rFonts w:ascii="Palatino Linotype" w:eastAsia="Palatino Linotype" w:hAnsi="Palatino Linotype" w:cs="Palatino Linotype"/>
        </w:rPr>
        <w:t>datos</w:t>
      </w:r>
      <w:r w:rsidRPr="00BE50A6">
        <w:rPr>
          <w:rFonts w:ascii="Palatino Linotype" w:eastAsia="Palatino Linotype" w:hAnsi="Palatino Linotype" w:cs="Palatino Linotype"/>
          <w:color w:val="000000"/>
        </w:rPr>
        <w:t xml:space="preserve"> de identificación son los siguientes:</w:t>
      </w:r>
    </w:p>
    <w:p w:rsidR="00127F84" w:rsidRPr="00BE50A6" w:rsidRDefault="00127F84" w:rsidP="00127F84">
      <w:pPr>
        <w:ind w:left="567" w:right="-291"/>
        <w:jc w:val="both"/>
        <w:rPr>
          <w:rFonts w:ascii="Palatino Linotype" w:eastAsia="Palatino Linotype" w:hAnsi="Palatino Linotype" w:cs="Palatino Linotype"/>
          <w:i/>
        </w:rPr>
      </w:pPr>
      <w:r w:rsidRPr="00BE50A6">
        <w:rPr>
          <w:rFonts w:ascii="Palatino Linotype" w:eastAsia="Palatino Linotype" w:hAnsi="Palatino Linotype" w:cs="Palatino Linotype"/>
          <w:b/>
          <w:i/>
        </w:rPr>
        <w:t xml:space="preserve">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w:t>
      </w:r>
      <w:r w:rsidRPr="00BE50A6">
        <w:rPr>
          <w:rFonts w:ascii="Palatino Linotype" w:eastAsia="Palatino Linotype" w:hAnsi="Palatino Linotype" w:cs="Palatino Linotype"/>
          <w:b/>
          <w:i/>
        </w:rPr>
        <w:lastRenderedPageBreak/>
        <w:t>AMPARO O EL MEDIO ORDINARIO DE DEFENSA QUE PROCEDA.</w:t>
      </w:r>
      <w:r w:rsidRPr="00BE50A6">
        <w:rPr>
          <w:rFonts w:ascii="Palatino Linotype" w:eastAsia="Palatino Linotype" w:hAnsi="Palatino Linotype" w:cs="Palatino Linotype"/>
          <w:i/>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127F84" w:rsidRPr="00BE50A6" w:rsidRDefault="00127F84" w:rsidP="00127F84">
      <w:pPr>
        <w:spacing w:line="360" w:lineRule="auto"/>
        <w:ind w:right="618"/>
        <w:jc w:val="both"/>
        <w:rPr>
          <w:rFonts w:ascii="Palatino Linotype" w:eastAsia="Palatino Linotype" w:hAnsi="Palatino Linotype" w:cs="Palatino Linotype"/>
          <w:i/>
        </w:rPr>
      </w:pPr>
    </w:p>
    <w:p w:rsidR="00127F84" w:rsidRPr="00BE50A6" w:rsidRDefault="00127F84" w:rsidP="004E4260">
      <w:pPr>
        <w:numPr>
          <w:ilvl w:val="0"/>
          <w:numId w:val="2"/>
        </w:numPr>
        <w:spacing w:line="360" w:lineRule="auto"/>
        <w:ind w:left="0" w:right="-787" w:firstLine="0"/>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color w:val="000000"/>
        </w:rPr>
        <w:t xml:space="preserve">La anterior </w:t>
      </w:r>
      <w:r w:rsidRPr="00BE50A6">
        <w:rPr>
          <w:rFonts w:ascii="Palatino Linotype" w:eastAsia="Palatino Linotype" w:hAnsi="Palatino Linotype" w:cs="Palatino Linotype"/>
        </w:rPr>
        <w:t>jurisprudencia</w:t>
      </w:r>
      <w:r w:rsidRPr="00BE50A6">
        <w:rPr>
          <w:rFonts w:ascii="Palatino Linotype" w:eastAsia="Palatino Linotype" w:hAnsi="Palatino Linotype" w:cs="Palatino Linotype"/>
          <w:color w:val="000000"/>
        </w:rPr>
        <w:t xml:space="preserve"> resulta aplicable al presente asunto, en dos aspectos:</w:t>
      </w:r>
    </w:p>
    <w:p w:rsidR="00127F84" w:rsidRPr="00BE50A6" w:rsidRDefault="00127F84" w:rsidP="00127F84">
      <w:pPr>
        <w:numPr>
          <w:ilvl w:val="0"/>
          <w:numId w:val="15"/>
        </w:numPr>
        <w:spacing w:line="360" w:lineRule="auto"/>
        <w:ind w:left="1134" w:right="618" w:firstLine="0"/>
        <w:jc w:val="both"/>
        <w:rPr>
          <w:rFonts w:ascii="Palatino Linotype" w:eastAsia="Palatino Linotype" w:hAnsi="Palatino Linotype" w:cs="Palatino Linotype"/>
        </w:rPr>
      </w:pPr>
      <w:r w:rsidRPr="00BE50A6">
        <w:rPr>
          <w:rFonts w:ascii="Palatino Linotype" w:eastAsia="Palatino Linotype" w:hAnsi="Palatino Linotype" w:cs="Palatino Linotype"/>
          <w:b/>
        </w:rPr>
        <w:t>La cesación de los efectos perniciosos del acto de autoridad:</w:t>
      </w:r>
      <w:r w:rsidRPr="00BE50A6">
        <w:rPr>
          <w:rFonts w:ascii="Palatino Linotype" w:eastAsia="Palatino Linotype" w:hAnsi="Palatino Linotype" w:cs="Palatino Linotype"/>
        </w:rPr>
        <w:t xml:space="preserve"> Al respecto, la Ley de Transparencia contempla la figura jurídica del sobreseimiento cuando el </w:t>
      </w:r>
      <w:r w:rsidRPr="00BE50A6">
        <w:rPr>
          <w:rFonts w:ascii="Palatino Linotype" w:eastAsia="Palatino Linotype" w:hAnsi="Palatino Linotype" w:cs="Palatino Linotype"/>
          <w:b/>
        </w:rPr>
        <w:t>SUJETO OBLIGADO</w:t>
      </w:r>
      <w:r w:rsidRPr="00BE50A6">
        <w:rPr>
          <w:rFonts w:ascii="Palatino Linotype" w:eastAsia="Palatino Linotype" w:hAnsi="Palatino Linotype" w:cs="Palatino Linotype"/>
        </w:rPr>
        <w:t xml:space="preserve"> de </w:t>
      </w:r>
      <w:r w:rsidRPr="00BE50A6">
        <w:rPr>
          <w:rFonts w:ascii="Palatino Linotype" w:eastAsia="Palatino Linotype" w:hAnsi="Palatino Linotype" w:cs="Palatino Linotype"/>
          <w:i/>
        </w:rPr>
        <w:t>motu proprio</w:t>
      </w:r>
      <w:r w:rsidRPr="00BE50A6">
        <w:rPr>
          <w:rFonts w:ascii="Palatino Linotype" w:eastAsia="Palatino Linotype" w:hAnsi="Palatino Linotype" w:cs="Palatino Linotype"/>
        </w:rPr>
        <w:t xml:space="preserve"> modifica o revoca de tal manera el acto motivo de la impugnación que lo deja sin materia; es decir, cesan los efectos de éste y el derecho de acceso a la información pública se encuentra satisfecho.</w:t>
      </w:r>
    </w:p>
    <w:p w:rsidR="00127F84" w:rsidRPr="00BE50A6" w:rsidRDefault="00127F84" w:rsidP="00127F84">
      <w:pPr>
        <w:numPr>
          <w:ilvl w:val="0"/>
          <w:numId w:val="15"/>
        </w:numPr>
        <w:spacing w:line="360" w:lineRule="auto"/>
        <w:ind w:left="1134" w:right="618" w:firstLine="0"/>
        <w:jc w:val="both"/>
        <w:rPr>
          <w:rFonts w:ascii="Palatino Linotype" w:eastAsia="Palatino Linotype" w:hAnsi="Palatino Linotype" w:cs="Palatino Linotype"/>
        </w:rPr>
      </w:pPr>
      <w:r w:rsidRPr="00BE50A6">
        <w:rPr>
          <w:rFonts w:ascii="Palatino Linotype" w:eastAsia="Palatino Linotype" w:hAnsi="Palatino Linotype" w:cs="Palatino Linotype"/>
          <w:b/>
        </w:rPr>
        <w:t>El momento procesal para modificar el acto impugnado:</w:t>
      </w:r>
      <w:r w:rsidRPr="00BE50A6">
        <w:rPr>
          <w:rFonts w:ascii="Palatino Linotype" w:eastAsia="Palatino Linotype" w:hAnsi="Palatino Linotype" w:cs="Palatino Linotype"/>
        </w:rPr>
        <w:t xml:space="preserve"> Para que se actualice el sobreseimiento de un recurso de revisión, el </w:t>
      </w:r>
      <w:r w:rsidRPr="00BE50A6">
        <w:rPr>
          <w:rFonts w:ascii="Palatino Linotype" w:eastAsia="Palatino Linotype" w:hAnsi="Palatino Linotype" w:cs="Palatino Linotype"/>
          <w:b/>
        </w:rPr>
        <w:t>SUJETO OBLIGADO</w:t>
      </w:r>
      <w:r w:rsidRPr="00BE50A6">
        <w:rPr>
          <w:rFonts w:ascii="Palatino Linotype" w:eastAsia="Palatino Linotype" w:hAnsi="Palatino Linotype" w:cs="Palatino Linotype"/>
        </w:rPr>
        <w:t xml:space="preserve"> puede entregar o completar la información al momento de rendir su informe de justificación o </w:t>
      </w:r>
      <w:r w:rsidRPr="00BE50A6">
        <w:rPr>
          <w:rFonts w:ascii="Palatino Linotype" w:eastAsia="Palatino Linotype" w:hAnsi="Palatino Linotype" w:cs="Palatino Linotype"/>
          <w:b/>
          <w:u w:val="single"/>
        </w:rPr>
        <w:t>posteriormente</w:t>
      </w:r>
      <w:r w:rsidRPr="00BE50A6">
        <w:rPr>
          <w:rFonts w:ascii="Palatino Linotype" w:eastAsia="Palatino Linotype" w:hAnsi="Palatino Linotype" w:cs="Palatino Linotype"/>
        </w:rPr>
        <w:t xml:space="preserve"> a éste, siempre y cuando el Pleno del Instituto no haya dictado resolución definitiva.</w:t>
      </w:r>
    </w:p>
    <w:p w:rsidR="00127F84" w:rsidRPr="00BE50A6" w:rsidRDefault="00127F84" w:rsidP="00127F84">
      <w:pPr>
        <w:pBdr>
          <w:top w:val="nil"/>
          <w:left w:val="nil"/>
          <w:bottom w:val="nil"/>
          <w:right w:val="nil"/>
          <w:between w:val="nil"/>
        </w:pBdr>
        <w:spacing w:line="360" w:lineRule="auto"/>
        <w:ind w:right="-787"/>
        <w:jc w:val="both"/>
        <w:rPr>
          <w:rFonts w:ascii="Palatino Linotype" w:eastAsia="Palatino Linotype" w:hAnsi="Palatino Linotype" w:cs="Palatino Linotype"/>
          <w:i/>
          <w:color w:val="000000"/>
        </w:rPr>
      </w:pPr>
    </w:p>
    <w:p w:rsidR="00127F84" w:rsidRPr="00BE50A6" w:rsidRDefault="00127F84" w:rsidP="004E4260">
      <w:pPr>
        <w:numPr>
          <w:ilvl w:val="0"/>
          <w:numId w:val="2"/>
        </w:numPr>
        <w:spacing w:line="360" w:lineRule="auto"/>
        <w:ind w:left="0" w:right="-787" w:firstLine="0"/>
        <w:jc w:val="both"/>
        <w:rPr>
          <w:rFonts w:ascii="Palatino Linotype" w:eastAsia="Palatino Linotype" w:hAnsi="Palatino Linotype" w:cs="Palatino Linotype"/>
          <w:b/>
          <w:u w:val="single"/>
        </w:rPr>
      </w:pPr>
      <w:r w:rsidRPr="00BE50A6">
        <w:rPr>
          <w:rFonts w:ascii="Palatino Linotype" w:eastAsia="Palatino Linotype" w:hAnsi="Palatino Linotype" w:cs="Palatino Linotype"/>
          <w:color w:val="000000"/>
        </w:rPr>
        <w:lastRenderedPageBreak/>
        <w:t>Bajo</w:t>
      </w:r>
      <w:r w:rsidRPr="00BE50A6">
        <w:rPr>
          <w:rFonts w:ascii="Palatino Linotype" w:eastAsia="Palatino Linotype" w:hAnsi="Palatino Linotype" w:cs="Palatino Linotype"/>
        </w:rPr>
        <w:t xml:space="preserve"> ese </w:t>
      </w:r>
      <w:r w:rsidRPr="00BE50A6">
        <w:rPr>
          <w:rFonts w:ascii="Palatino Linotype" w:eastAsia="Palatino Linotype" w:hAnsi="Palatino Linotype" w:cs="Palatino Linotype"/>
          <w:color w:val="000000"/>
        </w:rPr>
        <w:t>tenor</w:t>
      </w:r>
      <w:r w:rsidRPr="00BE50A6">
        <w:rPr>
          <w:rFonts w:ascii="Palatino Linotype" w:eastAsia="Palatino Linotype" w:hAnsi="Palatino Linotype" w:cs="Palatino Linotype"/>
        </w:rPr>
        <w:t xml:space="preserve"> con fundamento en la segunda hipótesis de la fracción I, del artículo 186, de la Ley de Transparencia y Acceso a la Información Pública del Estado de México y Municipios, se </w:t>
      </w:r>
      <w:r w:rsidRPr="00BE50A6">
        <w:rPr>
          <w:rFonts w:ascii="Palatino Linotype" w:eastAsia="Palatino Linotype" w:hAnsi="Palatino Linotype" w:cs="Palatino Linotype"/>
          <w:b/>
        </w:rPr>
        <w:t xml:space="preserve">SOBRESEE </w:t>
      </w:r>
      <w:r w:rsidRPr="00BE50A6">
        <w:rPr>
          <w:rFonts w:ascii="Palatino Linotype" w:eastAsia="Palatino Linotype" w:hAnsi="Palatino Linotype" w:cs="Palatino Linotype"/>
        </w:rPr>
        <w:t xml:space="preserve">el recurso de revisión </w:t>
      </w:r>
      <w:r w:rsidR="004E4260" w:rsidRPr="00BE50A6">
        <w:rPr>
          <w:rFonts w:ascii="Palatino Linotype" w:eastAsia="Palatino Linotype" w:hAnsi="Palatino Linotype" w:cs="Palatino Linotype"/>
          <w:b/>
          <w:color w:val="000000"/>
        </w:rPr>
        <w:t>14353</w:t>
      </w:r>
      <w:r w:rsidRPr="00BE50A6">
        <w:rPr>
          <w:rFonts w:ascii="Palatino Linotype" w:eastAsia="Palatino Linotype" w:hAnsi="Palatino Linotype" w:cs="Palatino Linotype"/>
          <w:b/>
          <w:color w:val="000000"/>
        </w:rPr>
        <w:t>/INFOEM/IP/RR/2025</w:t>
      </w:r>
      <w:r w:rsidRPr="00BE50A6">
        <w:rPr>
          <w:rFonts w:ascii="Palatino Linotype" w:eastAsia="Palatino Linotype" w:hAnsi="Palatino Linotype" w:cs="Palatino Linotype"/>
        </w:rPr>
        <w:t>, que ha sido materia del presente fallo.</w:t>
      </w:r>
    </w:p>
    <w:p w:rsidR="00127F84" w:rsidRPr="00BE50A6" w:rsidRDefault="00127F84" w:rsidP="00127F84">
      <w:pPr>
        <w:spacing w:line="360" w:lineRule="auto"/>
        <w:jc w:val="both"/>
        <w:rPr>
          <w:color w:val="000000"/>
        </w:rPr>
      </w:pPr>
    </w:p>
    <w:p w:rsidR="00127F84" w:rsidRPr="00BE50A6" w:rsidRDefault="00127F84" w:rsidP="004E4260">
      <w:pPr>
        <w:numPr>
          <w:ilvl w:val="0"/>
          <w:numId w:val="2"/>
        </w:numPr>
        <w:spacing w:line="360" w:lineRule="auto"/>
        <w:ind w:left="0" w:right="-787" w:firstLine="0"/>
        <w:jc w:val="both"/>
        <w:rPr>
          <w:rFonts w:ascii="Palatino Linotype" w:eastAsia="Palatino Linotype" w:hAnsi="Palatino Linotype" w:cs="Palatino Linotype"/>
        </w:rPr>
      </w:pPr>
      <w:r w:rsidRPr="00BE50A6">
        <w:rPr>
          <w:rFonts w:ascii="Palatino Linotype" w:eastAsia="Palatino Linotype" w:hAnsi="Palatino Linotype" w:cs="Palatino Linotype"/>
        </w:rPr>
        <w:t xml:space="preserve">Por lo expuesto, y con fundamento en lo prescrito en los artículos </w:t>
      </w:r>
      <w:r w:rsidRPr="00BE50A6">
        <w:rPr>
          <w:rFonts w:ascii="Palatino Linotype" w:eastAsia="Palatino Linotype" w:hAnsi="Palatino Linotype" w:cs="Palatino Linotype"/>
          <w:color w:val="000000"/>
        </w:rPr>
        <w:t xml:space="preserve">5, párrafos cuadragésimo cuarto, </w:t>
      </w:r>
      <w:r w:rsidRPr="00BE50A6">
        <w:rPr>
          <w:rFonts w:ascii="Palatino Linotype" w:eastAsia="Palatino Linotype" w:hAnsi="Palatino Linotype" w:cs="Palatino Linotype"/>
        </w:rPr>
        <w:t>cuadragésimo</w:t>
      </w:r>
      <w:r w:rsidRPr="00BE50A6">
        <w:rPr>
          <w:rFonts w:ascii="Palatino Linotype" w:eastAsia="Palatino Linotype" w:hAnsi="Palatino Linotype" w:cs="Palatino Linotype"/>
          <w:color w:val="000000"/>
        </w:rPr>
        <w:t xml:space="preserve"> quinto y cuadragésimo sexto, fracciones IV y V, de la Constitución Política del Estado Libre y Soberano de México</w:t>
      </w:r>
      <w:r w:rsidRPr="00BE50A6">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127F84" w:rsidRPr="00BE50A6" w:rsidRDefault="00127F84" w:rsidP="00127F84">
      <w:pPr>
        <w:ind w:right="278"/>
        <w:rPr>
          <w:rFonts w:ascii="Palatino Linotype" w:eastAsia="Palatino Linotype" w:hAnsi="Palatino Linotype" w:cs="Palatino Linotype"/>
        </w:rPr>
      </w:pPr>
    </w:p>
    <w:p w:rsidR="00127F84" w:rsidRPr="00BE50A6" w:rsidRDefault="00127F84" w:rsidP="00127F84">
      <w:pPr>
        <w:spacing w:line="360" w:lineRule="auto"/>
        <w:ind w:right="-858"/>
        <w:jc w:val="center"/>
        <w:rPr>
          <w:rFonts w:ascii="Palatino Linotype" w:eastAsia="Palatino Linotype" w:hAnsi="Palatino Linotype" w:cs="Palatino Linotype"/>
          <w:b/>
        </w:rPr>
      </w:pPr>
      <w:r w:rsidRPr="00BE50A6">
        <w:rPr>
          <w:rFonts w:ascii="Palatino Linotype" w:eastAsia="Palatino Linotype" w:hAnsi="Palatino Linotype" w:cs="Palatino Linotype"/>
          <w:b/>
        </w:rPr>
        <w:t>R E S U E L V E</w:t>
      </w:r>
    </w:p>
    <w:p w:rsidR="00127F84" w:rsidRPr="00BE50A6" w:rsidRDefault="00127F84" w:rsidP="00127F84">
      <w:pPr>
        <w:spacing w:line="360" w:lineRule="auto"/>
        <w:ind w:right="-787"/>
        <w:jc w:val="center"/>
        <w:rPr>
          <w:rFonts w:ascii="Palatino Linotype" w:eastAsia="Palatino Linotype" w:hAnsi="Palatino Linotype" w:cs="Palatino Linotype"/>
          <w:b/>
        </w:rPr>
      </w:pPr>
    </w:p>
    <w:p w:rsidR="00127F84" w:rsidRPr="00BE50A6" w:rsidRDefault="00127F84" w:rsidP="00127F84">
      <w:pPr>
        <w:spacing w:line="360" w:lineRule="auto"/>
        <w:ind w:right="-787"/>
        <w:jc w:val="both"/>
        <w:rPr>
          <w:rFonts w:ascii="Palatino Linotype" w:eastAsia="Palatino Linotype" w:hAnsi="Palatino Linotype" w:cs="Palatino Linotype"/>
        </w:rPr>
      </w:pPr>
      <w:r w:rsidRPr="00BE50A6">
        <w:rPr>
          <w:rFonts w:ascii="Palatino Linotype" w:eastAsia="Palatino Linotype" w:hAnsi="Palatino Linotype" w:cs="Palatino Linotype"/>
          <w:b/>
        </w:rPr>
        <w:t>PRIMERO</w:t>
      </w:r>
      <w:r w:rsidRPr="00BE50A6">
        <w:rPr>
          <w:rFonts w:ascii="Palatino Linotype" w:eastAsia="Palatino Linotype" w:hAnsi="Palatino Linotype" w:cs="Palatino Linotype"/>
        </w:rPr>
        <w:t xml:space="preserve">. Se </w:t>
      </w:r>
      <w:r w:rsidRPr="00BE50A6">
        <w:rPr>
          <w:rFonts w:ascii="Palatino Linotype" w:eastAsia="Palatino Linotype" w:hAnsi="Palatino Linotype" w:cs="Palatino Linotype"/>
          <w:b/>
        </w:rPr>
        <w:t>SOBRESEE</w:t>
      </w:r>
      <w:r w:rsidRPr="00BE50A6">
        <w:rPr>
          <w:rFonts w:ascii="Palatino Linotype" w:eastAsia="Palatino Linotype" w:hAnsi="Palatino Linotype" w:cs="Palatino Linotype"/>
        </w:rPr>
        <w:t xml:space="preserve"> el Recurso de Revisión número </w:t>
      </w:r>
      <w:r w:rsidR="004E4260" w:rsidRPr="00BE50A6">
        <w:rPr>
          <w:rFonts w:ascii="Palatino Linotype" w:eastAsia="Palatino Linotype" w:hAnsi="Palatino Linotype" w:cs="Palatino Linotype"/>
          <w:b/>
          <w:color w:val="000000"/>
        </w:rPr>
        <w:t>14353</w:t>
      </w:r>
      <w:r w:rsidRPr="00BE50A6">
        <w:rPr>
          <w:rFonts w:ascii="Palatino Linotype" w:eastAsia="Palatino Linotype" w:hAnsi="Palatino Linotype" w:cs="Palatino Linotype"/>
          <w:b/>
          <w:color w:val="000000"/>
        </w:rPr>
        <w:t>/INFOEM/IP/RR/2025</w:t>
      </w:r>
      <w:r w:rsidRPr="00BE50A6">
        <w:rPr>
          <w:rFonts w:ascii="Palatino Linotype" w:eastAsia="Palatino Linotype" w:hAnsi="Palatino Linotype" w:cs="Palatino Linotype"/>
        </w:rPr>
        <w:t xml:space="preserve">, conforme al artículo 192, fracción III, de la Ley de la Materia, porque al modificar la respuesta, el Recurso de Revisión quedó sin materia en términos del </w:t>
      </w:r>
      <w:r w:rsidRPr="00BE50A6">
        <w:rPr>
          <w:rFonts w:ascii="Palatino Linotype" w:eastAsia="Palatino Linotype" w:hAnsi="Palatino Linotype" w:cs="Palatino Linotype"/>
          <w:b/>
        </w:rPr>
        <w:t>Considerando Cuarto</w:t>
      </w:r>
      <w:r w:rsidRPr="00BE50A6">
        <w:rPr>
          <w:rFonts w:ascii="Palatino Linotype" w:eastAsia="Palatino Linotype" w:hAnsi="Palatino Linotype" w:cs="Palatino Linotype"/>
        </w:rPr>
        <w:t xml:space="preserve"> de la presente resolución.</w:t>
      </w:r>
    </w:p>
    <w:p w:rsidR="00127F84" w:rsidRPr="00BE50A6" w:rsidRDefault="00127F84" w:rsidP="00127F84">
      <w:pPr>
        <w:spacing w:line="360" w:lineRule="auto"/>
        <w:jc w:val="both"/>
        <w:rPr>
          <w:rFonts w:ascii="Palatino Linotype" w:eastAsia="Palatino Linotype" w:hAnsi="Palatino Linotype" w:cs="Palatino Linotype"/>
          <w:b/>
        </w:rPr>
      </w:pPr>
    </w:p>
    <w:p w:rsidR="00127F84" w:rsidRPr="00BE50A6" w:rsidRDefault="00127F84" w:rsidP="00127F84">
      <w:pPr>
        <w:spacing w:line="360" w:lineRule="auto"/>
        <w:ind w:right="-787"/>
        <w:jc w:val="both"/>
        <w:rPr>
          <w:rFonts w:ascii="Palatino Linotype" w:eastAsia="Palatino Linotype" w:hAnsi="Palatino Linotype" w:cs="Palatino Linotype"/>
          <w:color w:val="000000"/>
          <w:highlight w:val="white"/>
        </w:rPr>
      </w:pPr>
      <w:r w:rsidRPr="00BE50A6">
        <w:rPr>
          <w:rFonts w:ascii="Palatino Linotype" w:eastAsia="Palatino Linotype" w:hAnsi="Palatino Linotype" w:cs="Palatino Linotype"/>
          <w:b/>
        </w:rPr>
        <w:t xml:space="preserve">SEGUNDO. Notifíquese </w:t>
      </w:r>
      <w:r w:rsidRPr="00BE50A6">
        <w:rPr>
          <w:rFonts w:ascii="Palatino Linotype" w:eastAsia="Palatino Linotype" w:hAnsi="Palatino Linotype" w:cs="Palatino Linotype"/>
        </w:rPr>
        <w:t xml:space="preserve">al Titular de la Unidad de Transparencia del </w:t>
      </w:r>
      <w:r w:rsidRPr="00BE50A6">
        <w:rPr>
          <w:rFonts w:ascii="Palatino Linotype" w:eastAsia="Palatino Linotype" w:hAnsi="Palatino Linotype" w:cs="Palatino Linotype"/>
          <w:b/>
        </w:rPr>
        <w:t xml:space="preserve">SUJETO OBLIGADO </w:t>
      </w:r>
      <w:r w:rsidRPr="00BE50A6">
        <w:rPr>
          <w:rFonts w:ascii="Palatino Linotype" w:eastAsia="Palatino Linotype" w:hAnsi="Palatino Linotype" w:cs="Palatino Linotype"/>
        </w:rPr>
        <w:t>vía SAIMEX, para su conocimiento</w:t>
      </w:r>
      <w:r w:rsidRPr="00BE50A6">
        <w:rPr>
          <w:rFonts w:ascii="Palatino Linotype" w:eastAsia="Palatino Linotype" w:hAnsi="Palatino Linotype" w:cs="Palatino Linotype"/>
          <w:color w:val="000000"/>
          <w:highlight w:val="white"/>
        </w:rPr>
        <w:t>.</w:t>
      </w:r>
    </w:p>
    <w:p w:rsidR="00127F84" w:rsidRPr="00BE50A6" w:rsidRDefault="00127F84" w:rsidP="00127F84">
      <w:pPr>
        <w:shd w:val="clear" w:color="auto" w:fill="FFFFFF"/>
        <w:spacing w:line="360" w:lineRule="auto"/>
        <w:jc w:val="both"/>
        <w:rPr>
          <w:rFonts w:ascii="Palatino Linotype" w:eastAsia="Palatino Linotype" w:hAnsi="Palatino Linotype" w:cs="Palatino Linotype"/>
          <w:color w:val="000000"/>
          <w:highlight w:val="white"/>
        </w:rPr>
      </w:pPr>
    </w:p>
    <w:p w:rsidR="00127F84" w:rsidRPr="00BE50A6" w:rsidRDefault="00127F84" w:rsidP="00127F84">
      <w:pPr>
        <w:spacing w:line="360" w:lineRule="auto"/>
        <w:ind w:right="-787"/>
        <w:jc w:val="both"/>
        <w:rPr>
          <w:rFonts w:ascii="Palatino Linotype" w:eastAsia="Palatino Linotype" w:hAnsi="Palatino Linotype" w:cs="Palatino Linotype"/>
          <w:color w:val="000000"/>
          <w:highlight w:val="white"/>
        </w:rPr>
      </w:pPr>
      <w:r w:rsidRPr="00BE50A6">
        <w:rPr>
          <w:rFonts w:ascii="Palatino Linotype" w:eastAsia="Palatino Linotype" w:hAnsi="Palatino Linotype" w:cs="Palatino Linotype"/>
          <w:b/>
          <w:color w:val="000000"/>
        </w:rPr>
        <w:t>TERCERO</w:t>
      </w:r>
      <w:r w:rsidRPr="00BE50A6">
        <w:rPr>
          <w:rFonts w:ascii="Palatino Linotype" w:eastAsia="Palatino Linotype" w:hAnsi="Palatino Linotype" w:cs="Palatino Linotype"/>
          <w:b/>
          <w:color w:val="222222"/>
        </w:rPr>
        <w:t xml:space="preserve">. Notifíquese </w:t>
      </w:r>
      <w:r w:rsidRPr="00BE50A6">
        <w:rPr>
          <w:rFonts w:ascii="Palatino Linotype" w:eastAsia="Palatino Linotype" w:hAnsi="Palatino Linotype" w:cs="Palatino Linotype"/>
          <w:color w:val="222222"/>
        </w:rPr>
        <w:t>a</w:t>
      </w:r>
      <w:r w:rsidR="004A5025" w:rsidRPr="00BE50A6">
        <w:rPr>
          <w:rFonts w:ascii="Palatino Linotype" w:eastAsia="Palatino Linotype" w:hAnsi="Palatino Linotype" w:cs="Palatino Linotype"/>
          <w:color w:val="222222"/>
        </w:rPr>
        <w:t>l</w:t>
      </w:r>
      <w:r w:rsidRPr="00BE50A6">
        <w:rPr>
          <w:rFonts w:ascii="Palatino Linotype" w:eastAsia="Palatino Linotype" w:hAnsi="Palatino Linotype" w:cs="Palatino Linotype"/>
          <w:color w:val="222222"/>
        </w:rPr>
        <w:t xml:space="preserve"> </w:t>
      </w:r>
      <w:r w:rsidRPr="00BE50A6">
        <w:rPr>
          <w:rFonts w:ascii="Palatino Linotype" w:eastAsia="Palatino Linotype" w:hAnsi="Palatino Linotype" w:cs="Palatino Linotype"/>
          <w:b/>
          <w:color w:val="222222"/>
        </w:rPr>
        <w:t>RECURRENTE</w:t>
      </w:r>
      <w:r w:rsidRPr="00BE50A6">
        <w:rPr>
          <w:rFonts w:ascii="Palatino Linotype" w:eastAsia="Palatino Linotype" w:hAnsi="Palatino Linotype" w:cs="Palatino Linotype"/>
          <w:color w:val="222222"/>
        </w:rPr>
        <w:t xml:space="preserve"> la presente resolución vía SAIMEX</w:t>
      </w:r>
      <w:r w:rsidRPr="00BE50A6">
        <w:rPr>
          <w:rFonts w:ascii="Palatino Linotype" w:eastAsia="Palatino Linotype" w:hAnsi="Palatino Linotype" w:cs="Palatino Linotype"/>
          <w:color w:val="000000"/>
          <w:highlight w:val="white"/>
        </w:rPr>
        <w:t>.</w:t>
      </w:r>
    </w:p>
    <w:p w:rsidR="00127F84" w:rsidRPr="00BE50A6" w:rsidRDefault="00127F84" w:rsidP="00127F84">
      <w:pPr>
        <w:spacing w:line="360" w:lineRule="auto"/>
        <w:ind w:right="-787"/>
        <w:jc w:val="both"/>
        <w:rPr>
          <w:rFonts w:ascii="Palatino Linotype" w:eastAsia="Palatino Linotype" w:hAnsi="Palatino Linotype" w:cs="Palatino Linotype"/>
          <w:color w:val="000000"/>
          <w:highlight w:val="white"/>
        </w:rPr>
      </w:pPr>
    </w:p>
    <w:p w:rsidR="00B66449" w:rsidRPr="00BE50A6" w:rsidRDefault="00127F84">
      <w:pPr>
        <w:spacing w:line="360" w:lineRule="auto"/>
        <w:ind w:right="-787"/>
        <w:jc w:val="both"/>
        <w:rPr>
          <w:rFonts w:ascii="Palatino Linotype" w:eastAsia="Palatino Linotype" w:hAnsi="Palatino Linotype" w:cs="Palatino Linotype"/>
          <w:color w:val="000000"/>
        </w:rPr>
      </w:pPr>
      <w:r w:rsidRPr="00BE50A6">
        <w:rPr>
          <w:rFonts w:ascii="Palatino Linotype" w:eastAsia="Palatino Linotype" w:hAnsi="Palatino Linotype" w:cs="Palatino Linotype"/>
          <w:b/>
          <w:color w:val="222222"/>
        </w:rPr>
        <w:t xml:space="preserve">CUARTO. </w:t>
      </w:r>
      <w:r w:rsidR="004A5025" w:rsidRPr="00BE50A6">
        <w:rPr>
          <w:rFonts w:ascii="Palatino Linotype" w:eastAsia="Palatino Linotype" w:hAnsi="Palatino Linotype" w:cs="Palatino Linotype"/>
          <w:color w:val="000000"/>
        </w:rPr>
        <w:t>Se hace del conocimiento del</w:t>
      </w:r>
      <w:r w:rsidRPr="00BE50A6">
        <w:rPr>
          <w:rFonts w:ascii="Palatino Linotype" w:eastAsia="Palatino Linotype" w:hAnsi="Palatino Linotype" w:cs="Palatino Linotype"/>
          <w:b/>
          <w:color w:val="000000"/>
        </w:rPr>
        <w:t xml:space="preserve"> RECURRENTE</w:t>
      </w:r>
      <w:r w:rsidRPr="00BE50A6">
        <w:rPr>
          <w:rFonts w:ascii="Palatino Linotype" w:eastAsia="Palatino Linotype" w:hAnsi="Palatino Linotype" w:cs="Palatino Linotype"/>
          <w:color w:val="000000"/>
        </w:rPr>
        <w:t xml:space="preserve"> que, de conformidad con lo establecido en el artículo 196 de la Ley de Transparencia y Acceso a la Información Pública </w:t>
      </w:r>
      <w:r w:rsidRPr="00BE50A6">
        <w:rPr>
          <w:rFonts w:ascii="Palatino Linotype" w:eastAsia="Palatino Linotype" w:hAnsi="Palatino Linotype" w:cs="Palatino Linotype"/>
          <w:color w:val="000000"/>
        </w:rPr>
        <w:lastRenderedPageBreak/>
        <w:t>del Estado de México y Municipios, en caso de que considere que la resolución le cause algún perjuicio podrá impugnarla vía Juicio de Amparo en los términos de las leyes aplicables.</w:t>
      </w:r>
    </w:p>
    <w:p w:rsidR="00C6718E" w:rsidRPr="00BE50A6" w:rsidRDefault="00C6718E">
      <w:pPr>
        <w:spacing w:line="360" w:lineRule="auto"/>
        <w:ind w:right="-787"/>
        <w:jc w:val="both"/>
        <w:rPr>
          <w:rFonts w:ascii="Palatino Linotype" w:eastAsia="Palatino Linotype" w:hAnsi="Palatino Linotype" w:cs="Palatino Linotype"/>
          <w:color w:val="000000"/>
        </w:rPr>
      </w:pPr>
    </w:p>
    <w:p w:rsidR="00C6718E" w:rsidRPr="00BE50A6" w:rsidRDefault="00C6718E" w:rsidP="00C6718E">
      <w:pPr>
        <w:spacing w:before="240" w:after="240" w:line="360" w:lineRule="auto"/>
        <w:ind w:right="-433" w:firstLine="1"/>
        <w:jc w:val="both"/>
        <w:rPr>
          <w:rFonts w:ascii="Palatino Linotype" w:hAnsi="Palatino Linotype"/>
        </w:rPr>
      </w:pPr>
      <w:bookmarkStart w:id="8" w:name="_Hlk99014733"/>
      <w:r w:rsidRPr="00BE50A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BE50A6">
        <w:rPr>
          <w:rFonts w:ascii="Palatino Linotype" w:hAnsi="Palatino Linotype" w:cs="Palatino Linotype"/>
          <w:color w:val="000000" w:themeColor="text1"/>
        </w:rPr>
        <w:t>ALEXIS TAPIA RAMÍREZ.</w:t>
      </w:r>
    </w:p>
    <w:bookmarkEnd w:id="8"/>
    <w:p w:rsidR="00B66449" w:rsidRPr="00BE50A6" w:rsidRDefault="00B66449"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p w:rsidR="00E91D1E" w:rsidRPr="00BE50A6" w:rsidRDefault="00E91D1E" w:rsidP="00743F13">
      <w:pPr>
        <w:rPr>
          <w:rFonts w:ascii="Palatino Linotype" w:eastAsia="Palatino Linotype" w:hAnsi="Palatino Linotype" w:cs="Palatino Linotype"/>
        </w:rPr>
      </w:pPr>
    </w:p>
    <w:sectPr w:rsidR="00E91D1E" w:rsidRPr="00BE50A6">
      <w:headerReference w:type="even" r:id="rId11"/>
      <w:headerReference w:type="default" r:id="rId12"/>
      <w:footerReference w:type="default" r:id="rId13"/>
      <w:headerReference w:type="first" r:id="rId14"/>
      <w:footerReference w:type="first" r:id="rId15"/>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232" w:rsidRDefault="00F55232">
      <w:r>
        <w:separator/>
      </w:r>
    </w:p>
  </w:endnote>
  <w:endnote w:type="continuationSeparator" w:id="0">
    <w:p w:rsidR="00F55232" w:rsidRDefault="00F55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CC7" w:rsidRPr="00BE50A6" w:rsidRDefault="00731CC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BE50A6">
      <w:rPr>
        <w:rFonts w:ascii="Palatino Linotype" w:eastAsia="Palatino Linotype" w:hAnsi="Palatino Linotype" w:cs="Palatino Linotype"/>
        <w:color w:val="000000"/>
        <w:sz w:val="22"/>
        <w:szCs w:val="20"/>
      </w:rPr>
      <w:t xml:space="preserve">Página </w:t>
    </w:r>
    <w:r w:rsidRPr="00BE50A6">
      <w:rPr>
        <w:rFonts w:ascii="Palatino Linotype" w:eastAsia="Palatino Linotype" w:hAnsi="Palatino Linotype" w:cs="Palatino Linotype"/>
        <w:color w:val="000000"/>
        <w:sz w:val="22"/>
        <w:szCs w:val="20"/>
      </w:rPr>
      <w:fldChar w:fldCharType="begin"/>
    </w:r>
    <w:r w:rsidRPr="00BE50A6">
      <w:rPr>
        <w:rFonts w:ascii="Palatino Linotype" w:eastAsia="Palatino Linotype" w:hAnsi="Palatino Linotype" w:cs="Palatino Linotype"/>
        <w:color w:val="000000"/>
        <w:sz w:val="22"/>
        <w:szCs w:val="20"/>
      </w:rPr>
      <w:instrText>PAGE</w:instrText>
    </w:r>
    <w:r w:rsidRPr="00BE50A6">
      <w:rPr>
        <w:rFonts w:ascii="Palatino Linotype" w:eastAsia="Palatino Linotype" w:hAnsi="Palatino Linotype" w:cs="Palatino Linotype"/>
        <w:color w:val="000000"/>
        <w:sz w:val="22"/>
        <w:szCs w:val="20"/>
      </w:rPr>
      <w:fldChar w:fldCharType="separate"/>
    </w:r>
    <w:r w:rsidR="0084009E">
      <w:rPr>
        <w:rFonts w:ascii="Palatino Linotype" w:eastAsia="Palatino Linotype" w:hAnsi="Palatino Linotype" w:cs="Palatino Linotype"/>
        <w:noProof/>
        <w:color w:val="000000"/>
        <w:sz w:val="22"/>
        <w:szCs w:val="20"/>
      </w:rPr>
      <w:t>22</w:t>
    </w:r>
    <w:r w:rsidRPr="00BE50A6">
      <w:rPr>
        <w:rFonts w:ascii="Palatino Linotype" w:eastAsia="Palatino Linotype" w:hAnsi="Palatino Linotype" w:cs="Palatino Linotype"/>
        <w:color w:val="000000"/>
        <w:sz w:val="22"/>
        <w:szCs w:val="20"/>
      </w:rPr>
      <w:fldChar w:fldCharType="end"/>
    </w:r>
    <w:r w:rsidRPr="00BE50A6">
      <w:rPr>
        <w:rFonts w:ascii="Palatino Linotype" w:eastAsia="Palatino Linotype" w:hAnsi="Palatino Linotype" w:cs="Palatino Linotype"/>
        <w:color w:val="000000"/>
        <w:sz w:val="22"/>
        <w:szCs w:val="20"/>
      </w:rPr>
      <w:t xml:space="preserve"> de </w:t>
    </w:r>
    <w:r w:rsidRPr="00BE50A6">
      <w:rPr>
        <w:rFonts w:ascii="Palatino Linotype" w:eastAsia="Palatino Linotype" w:hAnsi="Palatino Linotype" w:cs="Palatino Linotype"/>
        <w:color w:val="000000"/>
        <w:sz w:val="22"/>
        <w:szCs w:val="20"/>
      </w:rPr>
      <w:fldChar w:fldCharType="begin"/>
    </w:r>
    <w:r w:rsidRPr="00BE50A6">
      <w:rPr>
        <w:rFonts w:ascii="Palatino Linotype" w:eastAsia="Palatino Linotype" w:hAnsi="Palatino Linotype" w:cs="Palatino Linotype"/>
        <w:color w:val="000000"/>
        <w:sz w:val="22"/>
        <w:szCs w:val="20"/>
      </w:rPr>
      <w:instrText>NUMPAGES</w:instrText>
    </w:r>
    <w:r w:rsidRPr="00BE50A6">
      <w:rPr>
        <w:rFonts w:ascii="Palatino Linotype" w:eastAsia="Palatino Linotype" w:hAnsi="Palatino Linotype" w:cs="Palatino Linotype"/>
        <w:color w:val="000000"/>
        <w:sz w:val="22"/>
        <w:szCs w:val="20"/>
      </w:rPr>
      <w:fldChar w:fldCharType="separate"/>
    </w:r>
    <w:r w:rsidR="0084009E">
      <w:rPr>
        <w:rFonts w:ascii="Palatino Linotype" w:eastAsia="Palatino Linotype" w:hAnsi="Palatino Linotype" w:cs="Palatino Linotype"/>
        <w:noProof/>
        <w:color w:val="000000"/>
        <w:sz w:val="22"/>
        <w:szCs w:val="20"/>
      </w:rPr>
      <w:t>24</w:t>
    </w:r>
    <w:r w:rsidRPr="00BE50A6">
      <w:rPr>
        <w:rFonts w:ascii="Palatino Linotype" w:eastAsia="Palatino Linotype" w:hAnsi="Palatino Linotype" w:cs="Palatino Linotype"/>
        <w:color w:val="000000"/>
        <w:sz w:val="22"/>
        <w:szCs w:val="20"/>
      </w:rPr>
      <w:fldChar w:fldCharType="end"/>
    </w:r>
  </w:p>
  <w:p w:rsidR="00731CC7" w:rsidRDefault="00731CC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CC7" w:rsidRPr="00BE50A6" w:rsidRDefault="00731CC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BE50A6">
      <w:rPr>
        <w:rFonts w:ascii="Palatino Linotype" w:eastAsia="Palatino Linotype" w:hAnsi="Palatino Linotype" w:cs="Palatino Linotype"/>
        <w:color w:val="000000"/>
        <w:sz w:val="22"/>
        <w:szCs w:val="20"/>
      </w:rPr>
      <w:t xml:space="preserve">Página </w:t>
    </w:r>
    <w:r w:rsidRPr="00BE50A6">
      <w:rPr>
        <w:rFonts w:ascii="Palatino Linotype" w:eastAsia="Palatino Linotype" w:hAnsi="Palatino Linotype" w:cs="Palatino Linotype"/>
        <w:color w:val="000000"/>
        <w:sz w:val="22"/>
        <w:szCs w:val="20"/>
      </w:rPr>
      <w:fldChar w:fldCharType="begin"/>
    </w:r>
    <w:r w:rsidRPr="00BE50A6">
      <w:rPr>
        <w:rFonts w:ascii="Palatino Linotype" w:eastAsia="Palatino Linotype" w:hAnsi="Palatino Linotype" w:cs="Palatino Linotype"/>
        <w:color w:val="000000"/>
        <w:sz w:val="22"/>
        <w:szCs w:val="20"/>
      </w:rPr>
      <w:instrText>PAGE</w:instrText>
    </w:r>
    <w:r w:rsidRPr="00BE50A6">
      <w:rPr>
        <w:rFonts w:ascii="Palatino Linotype" w:eastAsia="Palatino Linotype" w:hAnsi="Palatino Linotype" w:cs="Palatino Linotype"/>
        <w:color w:val="000000"/>
        <w:sz w:val="22"/>
        <w:szCs w:val="20"/>
      </w:rPr>
      <w:fldChar w:fldCharType="separate"/>
    </w:r>
    <w:r w:rsidR="0084009E">
      <w:rPr>
        <w:rFonts w:ascii="Palatino Linotype" w:eastAsia="Palatino Linotype" w:hAnsi="Palatino Linotype" w:cs="Palatino Linotype"/>
        <w:noProof/>
        <w:color w:val="000000"/>
        <w:sz w:val="22"/>
        <w:szCs w:val="20"/>
      </w:rPr>
      <w:t>1</w:t>
    </w:r>
    <w:r w:rsidRPr="00BE50A6">
      <w:rPr>
        <w:rFonts w:ascii="Palatino Linotype" w:eastAsia="Palatino Linotype" w:hAnsi="Palatino Linotype" w:cs="Palatino Linotype"/>
        <w:color w:val="000000"/>
        <w:sz w:val="22"/>
        <w:szCs w:val="20"/>
      </w:rPr>
      <w:fldChar w:fldCharType="end"/>
    </w:r>
    <w:r w:rsidRPr="00BE50A6">
      <w:rPr>
        <w:rFonts w:ascii="Palatino Linotype" w:eastAsia="Palatino Linotype" w:hAnsi="Palatino Linotype" w:cs="Palatino Linotype"/>
        <w:color w:val="000000"/>
        <w:sz w:val="22"/>
        <w:szCs w:val="20"/>
      </w:rPr>
      <w:t xml:space="preserve"> de </w:t>
    </w:r>
    <w:r w:rsidRPr="00BE50A6">
      <w:rPr>
        <w:rFonts w:ascii="Palatino Linotype" w:eastAsia="Palatino Linotype" w:hAnsi="Palatino Linotype" w:cs="Palatino Linotype"/>
        <w:color w:val="000000"/>
        <w:sz w:val="22"/>
        <w:szCs w:val="20"/>
      </w:rPr>
      <w:fldChar w:fldCharType="begin"/>
    </w:r>
    <w:r w:rsidRPr="00BE50A6">
      <w:rPr>
        <w:rFonts w:ascii="Palatino Linotype" w:eastAsia="Palatino Linotype" w:hAnsi="Palatino Linotype" w:cs="Palatino Linotype"/>
        <w:color w:val="000000"/>
        <w:sz w:val="22"/>
        <w:szCs w:val="20"/>
      </w:rPr>
      <w:instrText>NUMPAGES</w:instrText>
    </w:r>
    <w:r w:rsidRPr="00BE50A6">
      <w:rPr>
        <w:rFonts w:ascii="Palatino Linotype" w:eastAsia="Palatino Linotype" w:hAnsi="Palatino Linotype" w:cs="Palatino Linotype"/>
        <w:color w:val="000000"/>
        <w:sz w:val="22"/>
        <w:szCs w:val="20"/>
      </w:rPr>
      <w:fldChar w:fldCharType="separate"/>
    </w:r>
    <w:r w:rsidR="0084009E">
      <w:rPr>
        <w:rFonts w:ascii="Palatino Linotype" w:eastAsia="Palatino Linotype" w:hAnsi="Palatino Linotype" w:cs="Palatino Linotype"/>
        <w:noProof/>
        <w:color w:val="000000"/>
        <w:sz w:val="22"/>
        <w:szCs w:val="20"/>
      </w:rPr>
      <w:t>24</w:t>
    </w:r>
    <w:r w:rsidRPr="00BE50A6">
      <w:rPr>
        <w:rFonts w:ascii="Palatino Linotype" w:eastAsia="Palatino Linotype" w:hAnsi="Palatino Linotype" w:cs="Palatino Linotype"/>
        <w:color w:val="000000"/>
        <w:sz w:val="22"/>
        <w:szCs w:val="20"/>
      </w:rPr>
      <w:fldChar w:fldCharType="end"/>
    </w:r>
  </w:p>
  <w:p w:rsidR="00731CC7" w:rsidRDefault="00731CC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232" w:rsidRDefault="00F55232">
      <w:r>
        <w:separator/>
      </w:r>
    </w:p>
  </w:footnote>
  <w:footnote w:type="continuationSeparator" w:id="0">
    <w:p w:rsidR="00F55232" w:rsidRDefault="00F552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CC7" w:rsidRDefault="00F5523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087" w:type="dxa"/>
      <w:tblInd w:w="3544" w:type="dxa"/>
      <w:tblLayout w:type="fixed"/>
      <w:tblLook w:val="0400" w:firstRow="0" w:lastRow="0" w:firstColumn="0" w:lastColumn="0" w:noHBand="0" w:noVBand="1"/>
    </w:tblPr>
    <w:tblGrid>
      <w:gridCol w:w="2835"/>
      <w:gridCol w:w="4252"/>
    </w:tblGrid>
    <w:tr w:rsidR="00731CC7" w:rsidRPr="0039564D" w:rsidTr="00BE50A6">
      <w:trPr>
        <w:trHeight w:val="227"/>
      </w:trPr>
      <w:tc>
        <w:tcPr>
          <w:tcW w:w="2835" w:type="dxa"/>
        </w:tcPr>
        <w:p w:rsidR="00731CC7" w:rsidRPr="00BE50A6" w:rsidRDefault="00731CC7" w:rsidP="0039564D">
          <w:pPr>
            <w:jc w:val="right"/>
            <w:rPr>
              <w:rFonts w:ascii="Palatino Linotype" w:eastAsia="Palatino Linotype" w:hAnsi="Palatino Linotype" w:cs="Palatino Linotype"/>
              <w:b/>
              <w:szCs w:val="22"/>
            </w:rPr>
          </w:pPr>
          <w:r w:rsidRPr="00BE50A6">
            <w:rPr>
              <w:rFonts w:ascii="Palatino Linotype" w:eastAsia="Palatino Linotype" w:hAnsi="Palatino Linotype" w:cs="Palatino Linotype"/>
              <w:b/>
              <w:szCs w:val="22"/>
            </w:rPr>
            <w:t>Recurso de Revisión:</w:t>
          </w:r>
        </w:p>
      </w:tc>
      <w:tc>
        <w:tcPr>
          <w:tcW w:w="4252" w:type="dxa"/>
        </w:tcPr>
        <w:p w:rsidR="00731CC7" w:rsidRPr="00BE50A6" w:rsidRDefault="00731CC7" w:rsidP="0039564D">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BE50A6">
            <w:rPr>
              <w:rFonts w:ascii="Palatino Linotype" w:eastAsia="Palatino Linotype" w:hAnsi="Palatino Linotype" w:cs="Palatino Linotype"/>
              <w:color w:val="000000"/>
              <w:szCs w:val="22"/>
            </w:rPr>
            <w:t>14353/INFOEM/IP/RR/2025</w:t>
          </w:r>
        </w:p>
      </w:tc>
    </w:tr>
    <w:tr w:rsidR="00731CC7" w:rsidRPr="0039564D" w:rsidTr="00BE50A6">
      <w:trPr>
        <w:trHeight w:val="342"/>
      </w:trPr>
      <w:tc>
        <w:tcPr>
          <w:tcW w:w="2835" w:type="dxa"/>
        </w:tcPr>
        <w:p w:rsidR="00731CC7" w:rsidRPr="00BE50A6" w:rsidRDefault="00731CC7" w:rsidP="0039564D">
          <w:pPr>
            <w:jc w:val="right"/>
            <w:rPr>
              <w:rFonts w:ascii="Palatino Linotype" w:eastAsia="Palatino Linotype" w:hAnsi="Palatino Linotype" w:cs="Palatino Linotype"/>
              <w:b/>
              <w:szCs w:val="22"/>
            </w:rPr>
          </w:pPr>
          <w:r w:rsidRPr="00BE50A6">
            <w:rPr>
              <w:rFonts w:ascii="Palatino Linotype" w:eastAsia="Palatino Linotype" w:hAnsi="Palatino Linotype" w:cs="Palatino Linotype"/>
              <w:b/>
              <w:szCs w:val="22"/>
            </w:rPr>
            <w:t>Sujeto Obligado:</w:t>
          </w:r>
        </w:p>
      </w:tc>
      <w:tc>
        <w:tcPr>
          <w:tcW w:w="4252" w:type="dxa"/>
        </w:tcPr>
        <w:p w:rsidR="00731CC7" w:rsidRPr="00BE50A6" w:rsidRDefault="00731CC7" w:rsidP="0039564D">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BE50A6">
            <w:rPr>
              <w:rFonts w:ascii="Palatino Linotype" w:eastAsia="Palatino Linotype" w:hAnsi="Palatino Linotype" w:cs="Palatino Linotype"/>
              <w:color w:val="000000"/>
              <w:szCs w:val="22"/>
            </w:rPr>
            <w:t>Ayuntamiento de Atlacomulco</w:t>
          </w:r>
        </w:p>
      </w:tc>
    </w:tr>
    <w:tr w:rsidR="00731CC7" w:rsidRPr="0039564D" w:rsidTr="00BE50A6">
      <w:trPr>
        <w:trHeight w:val="342"/>
      </w:trPr>
      <w:tc>
        <w:tcPr>
          <w:tcW w:w="2835" w:type="dxa"/>
        </w:tcPr>
        <w:p w:rsidR="00731CC7" w:rsidRPr="00BE50A6" w:rsidRDefault="00731CC7" w:rsidP="0039564D">
          <w:pPr>
            <w:jc w:val="right"/>
            <w:rPr>
              <w:rFonts w:ascii="Palatino Linotype" w:eastAsia="Palatino Linotype" w:hAnsi="Palatino Linotype" w:cs="Palatino Linotype"/>
              <w:b/>
              <w:szCs w:val="22"/>
            </w:rPr>
          </w:pPr>
          <w:r w:rsidRPr="00BE50A6">
            <w:rPr>
              <w:rFonts w:ascii="Palatino Linotype" w:eastAsia="Palatino Linotype" w:hAnsi="Palatino Linotype" w:cs="Palatino Linotype"/>
              <w:b/>
              <w:szCs w:val="22"/>
            </w:rPr>
            <w:t>Comisionada Ponente:</w:t>
          </w:r>
        </w:p>
      </w:tc>
      <w:tc>
        <w:tcPr>
          <w:tcW w:w="4252" w:type="dxa"/>
        </w:tcPr>
        <w:p w:rsidR="00731CC7" w:rsidRPr="00BE50A6" w:rsidRDefault="00731CC7" w:rsidP="0039564D">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BE50A6">
            <w:rPr>
              <w:rFonts w:ascii="Palatino Linotype" w:eastAsia="Palatino Linotype" w:hAnsi="Palatino Linotype" w:cs="Palatino Linotype"/>
              <w:color w:val="000000"/>
              <w:szCs w:val="22"/>
            </w:rPr>
            <w:t>María del Rosario Mejía Ayala</w:t>
          </w:r>
        </w:p>
      </w:tc>
    </w:tr>
  </w:tbl>
  <w:p w:rsidR="00731CC7" w:rsidRDefault="00F55232">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228" w:type="dxa"/>
      <w:tblInd w:w="3402" w:type="dxa"/>
      <w:tblLayout w:type="fixed"/>
      <w:tblLook w:val="0400" w:firstRow="0" w:lastRow="0" w:firstColumn="0" w:lastColumn="0" w:noHBand="0" w:noVBand="1"/>
    </w:tblPr>
    <w:tblGrid>
      <w:gridCol w:w="2976"/>
      <w:gridCol w:w="4252"/>
    </w:tblGrid>
    <w:tr w:rsidR="00731CC7" w:rsidRPr="0039564D" w:rsidTr="00BE50A6">
      <w:trPr>
        <w:trHeight w:val="227"/>
      </w:trPr>
      <w:tc>
        <w:tcPr>
          <w:tcW w:w="2976" w:type="dxa"/>
        </w:tcPr>
        <w:p w:rsidR="00731CC7" w:rsidRPr="00BE50A6" w:rsidRDefault="00731CC7">
          <w:pPr>
            <w:jc w:val="right"/>
            <w:rPr>
              <w:rFonts w:ascii="Palatino Linotype" w:eastAsia="Palatino Linotype" w:hAnsi="Palatino Linotype" w:cs="Palatino Linotype"/>
              <w:b/>
              <w:szCs w:val="22"/>
            </w:rPr>
          </w:pPr>
          <w:r w:rsidRPr="00BE50A6">
            <w:rPr>
              <w:rFonts w:ascii="Palatino Linotype" w:eastAsia="Palatino Linotype" w:hAnsi="Palatino Linotype" w:cs="Palatino Linotype"/>
              <w:b/>
              <w:szCs w:val="22"/>
            </w:rPr>
            <w:t>Recurso de Revisión:</w:t>
          </w:r>
        </w:p>
      </w:tc>
      <w:tc>
        <w:tcPr>
          <w:tcW w:w="4252" w:type="dxa"/>
        </w:tcPr>
        <w:p w:rsidR="00731CC7" w:rsidRPr="00BE50A6" w:rsidRDefault="00731CC7">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BE50A6">
            <w:rPr>
              <w:rFonts w:ascii="Palatino Linotype" w:eastAsia="Palatino Linotype" w:hAnsi="Palatino Linotype" w:cs="Palatino Linotype"/>
              <w:color w:val="000000"/>
              <w:szCs w:val="22"/>
            </w:rPr>
            <w:t>14353/INFOEM/IP/RR/2025</w:t>
          </w:r>
        </w:p>
      </w:tc>
    </w:tr>
    <w:tr w:rsidR="00731CC7" w:rsidRPr="0039564D" w:rsidTr="00BE50A6">
      <w:trPr>
        <w:trHeight w:val="242"/>
      </w:trPr>
      <w:tc>
        <w:tcPr>
          <w:tcW w:w="2976" w:type="dxa"/>
        </w:tcPr>
        <w:p w:rsidR="00731CC7" w:rsidRPr="00BE50A6" w:rsidRDefault="00731CC7">
          <w:pPr>
            <w:jc w:val="right"/>
            <w:rPr>
              <w:rFonts w:ascii="Palatino Linotype" w:eastAsia="Palatino Linotype" w:hAnsi="Palatino Linotype" w:cs="Palatino Linotype"/>
              <w:b/>
              <w:szCs w:val="22"/>
            </w:rPr>
          </w:pPr>
          <w:r w:rsidRPr="00BE50A6">
            <w:rPr>
              <w:rFonts w:ascii="Palatino Linotype" w:eastAsia="Palatino Linotype" w:hAnsi="Palatino Linotype" w:cs="Palatino Linotype"/>
              <w:b/>
              <w:szCs w:val="22"/>
            </w:rPr>
            <w:t>Recurrente:</w:t>
          </w:r>
        </w:p>
      </w:tc>
      <w:tc>
        <w:tcPr>
          <w:tcW w:w="4252" w:type="dxa"/>
        </w:tcPr>
        <w:p w:rsidR="00731CC7" w:rsidRPr="00BE50A6" w:rsidRDefault="0084009E">
          <w:pPr>
            <w:rPr>
              <w:rFonts w:ascii="Palatino Linotype" w:hAnsi="Palatino Linotype"/>
              <w:szCs w:val="22"/>
            </w:rPr>
          </w:pPr>
          <w:r>
            <w:rPr>
              <w:rFonts w:ascii="Palatino Linotype" w:hAnsi="Palatino Linotype"/>
              <w:bCs/>
              <w:szCs w:val="22"/>
            </w:rPr>
            <w:t>XXXX</w:t>
          </w:r>
        </w:p>
      </w:tc>
    </w:tr>
    <w:tr w:rsidR="00731CC7" w:rsidRPr="0039564D" w:rsidTr="00BE50A6">
      <w:trPr>
        <w:trHeight w:val="342"/>
      </w:trPr>
      <w:tc>
        <w:tcPr>
          <w:tcW w:w="2976" w:type="dxa"/>
        </w:tcPr>
        <w:p w:rsidR="00731CC7" w:rsidRPr="00BE50A6" w:rsidRDefault="00731CC7">
          <w:pPr>
            <w:jc w:val="right"/>
            <w:rPr>
              <w:rFonts w:ascii="Palatino Linotype" w:eastAsia="Palatino Linotype" w:hAnsi="Palatino Linotype" w:cs="Palatino Linotype"/>
              <w:b/>
              <w:szCs w:val="22"/>
            </w:rPr>
          </w:pPr>
          <w:r w:rsidRPr="00BE50A6">
            <w:rPr>
              <w:rFonts w:ascii="Palatino Linotype" w:eastAsia="Palatino Linotype" w:hAnsi="Palatino Linotype" w:cs="Palatino Linotype"/>
              <w:b/>
              <w:szCs w:val="22"/>
            </w:rPr>
            <w:t>Sujeto Obligado:</w:t>
          </w:r>
        </w:p>
      </w:tc>
      <w:tc>
        <w:tcPr>
          <w:tcW w:w="4252" w:type="dxa"/>
        </w:tcPr>
        <w:p w:rsidR="00731CC7" w:rsidRPr="00BE50A6" w:rsidRDefault="00731CC7">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BE50A6">
            <w:rPr>
              <w:rFonts w:ascii="Palatino Linotype" w:eastAsia="Palatino Linotype" w:hAnsi="Palatino Linotype" w:cs="Palatino Linotype"/>
              <w:color w:val="000000"/>
              <w:szCs w:val="22"/>
            </w:rPr>
            <w:t>Ayuntamiento de Atlacomulco</w:t>
          </w:r>
        </w:p>
      </w:tc>
    </w:tr>
    <w:tr w:rsidR="00731CC7" w:rsidRPr="0039564D" w:rsidTr="00BE50A6">
      <w:trPr>
        <w:trHeight w:val="342"/>
      </w:trPr>
      <w:tc>
        <w:tcPr>
          <w:tcW w:w="2976" w:type="dxa"/>
        </w:tcPr>
        <w:p w:rsidR="00731CC7" w:rsidRPr="00BE50A6" w:rsidRDefault="00731CC7">
          <w:pPr>
            <w:jc w:val="right"/>
            <w:rPr>
              <w:rFonts w:ascii="Palatino Linotype" w:eastAsia="Palatino Linotype" w:hAnsi="Palatino Linotype" w:cs="Palatino Linotype"/>
              <w:b/>
              <w:szCs w:val="22"/>
            </w:rPr>
          </w:pPr>
          <w:r w:rsidRPr="00BE50A6">
            <w:rPr>
              <w:rFonts w:ascii="Palatino Linotype" w:eastAsia="Palatino Linotype" w:hAnsi="Palatino Linotype" w:cs="Palatino Linotype"/>
              <w:b/>
              <w:szCs w:val="22"/>
            </w:rPr>
            <w:t>Comisionada Ponente:</w:t>
          </w:r>
        </w:p>
      </w:tc>
      <w:tc>
        <w:tcPr>
          <w:tcW w:w="4252" w:type="dxa"/>
        </w:tcPr>
        <w:p w:rsidR="00731CC7" w:rsidRPr="00BE50A6" w:rsidRDefault="00731CC7">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BE50A6">
            <w:rPr>
              <w:rFonts w:ascii="Palatino Linotype" w:eastAsia="Palatino Linotype" w:hAnsi="Palatino Linotype" w:cs="Palatino Linotype"/>
              <w:color w:val="000000"/>
              <w:szCs w:val="22"/>
            </w:rPr>
            <w:t>María del Rosario Mejía Ayala</w:t>
          </w:r>
        </w:p>
      </w:tc>
    </w:tr>
  </w:tbl>
  <w:p w:rsidR="00731CC7" w:rsidRDefault="00F55232">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73.5pt;margin-top:-127.4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B5D87"/>
    <w:multiLevelType w:val="multilevel"/>
    <w:tmpl w:val="8C52C57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EB20D8"/>
    <w:multiLevelType w:val="multilevel"/>
    <w:tmpl w:val="8C52C57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C07C71"/>
    <w:multiLevelType w:val="hybridMultilevel"/>
    <w:tmpl w:val="2E84C36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2F092EAA"/>
    <w:multiLevelType w:val="multilevel"/>
    <w:tmpl w:val="BED6BDE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F5046A9"/>
    <w:multiLevelType w:val="multilevel"/>
    <w:tmpl w:val="EA7C5590"/>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5" w15:restartNumberingAfterBreak="0">
    <w:nsid w:val="41436C72"/>
    <w:multiLevelType w:val="multilevel"/>
    <w:tmpl w:val="2D989136"/>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6" w15:restartNumberingAfterBreak="0">
    <w:nsid w:val="41FB786E"/>
    <w:multiLevelType w:val="multilevel"/>
    <w:tmpl w:val="E14475B6"/>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54789F"/>
    <w:multiLevelType w:val="multilevel"/>
    <w:tmpl w:val="986AAC4E"/>
    <w:lvl w:ilvl="0">
      <w:start w:val="1"/>
      <w:numFmt w:val="decimal"/>
      <w:lvlText w:val="%1."/>
      <w:lvlJc w:val="left"/>
      <w:pPr>
        <w:ind w:left="1637"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E30405F"/>
    <w:multiLevelType w:val="hybridMultilevel"/>
    <w:tmpl w:val="7410F572"/>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 w15:restartNumberingAfterBreak="0">
    <w:nsid w:val="55D93C33"/>
    <w:multiLevelType w:val="multilevel"/>
    <w:tmpl w:val="588EA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FB73300"/>
    <w:multiLevelType w:val="multilevel"/>
    <w:tmpl w:val="84D6A308"/>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1" w15:restartNumberingAfterBreak="0">
    <w:nsid w:val="6AD54DCB"/>
    <w:multiLevelType w:val="multilevel"/>
    <w:tmpl w:val="7738390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2" w15:restartNumberingAfterBreak="0">
    <w:nsid w:val="6F6E23A7"/>
    <w:multiLevelType w:val="multilevel"/>
    <w:tmpl w:val="12442284"/>
    <w:lvl w:ilvl="0">
      <w:start w:val="1"/>
      <w:numFmt w:val="decimal"/>
      <w:pStyle w:val="Listaconvietas2"/>
      <w:lvlText w:val="%1)"/>
      <w:lvlJc w:val="left"/>
      <w:pPr>
        <w:ind w:left="2215" w:hanging="360"/>
      </w:pPr>
    </w:lvl>
    <w:lvl w:ilvl="1">
      <w:start w:val="1"/>
      <w:numFmt w:val="lowerLetter"/>
      <w:lvlText w:val="%2."/>
      <w:lvlJc w:val="left"/>
      <w:pPr>
        <w:ind w:left="2935" w:hanging="360"/>
      </w:pPr>
    </w:lvl>
    <w:lvl w:ilvl="2">
      <w:start w:val="1"/>
      <w:numFmt w:val="lowerRoman"/>
      <w:lvlText w:val="%3."/>
      <w:lvlJc w:val="right"/>
      <w:pPr>
        <w:ind w:left="3655" w:hanging="180"/>
      </w:pPr>
    </w:lvl>
    <w:lvl w:ilvl="3">
      <w:start w:val="1"/>
      <w:numFmt w:val="decimal"/>
      <w:lvlText w:val="%4."/>
      <w:lvlJc w:val="left"/>
      <w:pPr>
        <w:ind w:left="4375" w:hanging="360"/>
      </w:pPr>
    </w:lvl>
    <w:lvl w:ilvl="4">
      <w:start w:val="1"/>
      <w:numFmt w:val="lowerLetter"/>
      <w:lvlText w:val="%5."/>
      <w:lvlJc w:val="left"/>
      <w:pPr>
        <w:ind w:left="5095" w:hanging="360"/>
      </w:pPr>
    </w:lvl>
    <w:lvl w:ilvl="5">
      <w:start w:val="1"/>
      <w:numFmt w:val="lowerRoman"/>
      <w:lvlText w:val="%6."/>
      <w:lvlJc w:val="right"/>
      <w:pPr>
        <w:ind w:left="5815" w:hanging="180"/>
      </w:pPr>
    </w:lvl>
    <w:lvl w:ilvl="6">
      <w:start w:val="1"/>
      <w:numFmt w:val="decimal"/>
      <w:lvlText w:val="%7."/>
      <w:lvlJc w:val="left"/>
      <w:pPr>
        <w:ind w:left="6535" w:hanging="360"/>
      </w:pPr>
    </w:lvl>
    <w:lvl w:ilvl="7">
      <w:start w:val="1"/>
      <w:numFmt w:val="lowerLetter"/>
      <w:lvlText w:val="%8."/>
      <w:lvlJc w:val="left"/>
      <w:pPr>
        <w:ind w:left="7255" w:hanging="360"/>
      </w:pPr>
    </w:lvl>
    <w:lvl w:ilvl="8">
      <w:start w:val="1"/>
      <w:numFmt w:val="lowerRoman"/>
      <w:lvlText w:val="%9."/>
      <w:lvlJc w:val="right"/>
      <w:pPr>
        <w:ind w:left="7975" w:hanging="180"/>
      </w:pPr>
    </w:lvl>
  </w:abstractNum>
  <w:abstractNum w:abstractNumId="13" w15:restartNumberingAfterBreak="0">
    <w:nsid w:val="6FD876F4"/>
    <w:multiLevelType w:val="multilevel"/>
    <w:tmpl w:val="8592B93E"/>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
  </w:num>
  <w:num w:numId="3">
    <w:abstractNumId w:val="3"/>
  </w:num>
  <w:num w:numId="4">
    <w:abstractNumId w:val="10"/>
  </w:num>
  <w:num w:numId="5">
    <w:abstractNumId w:val="12"/>
  </w:num>
  <w:num w:numId="6">
    <w:abstractNumId w:val="2"/>
  </w:num>
  <w:num w:numId="7">
    <w:abstractNumId w:val="13"/>
  </w:num>
  <w:num w:numId="8">
    <w:abstractNumId w:val="8"/>
  </w:num>
  <w:num w:numId="9">
    <w:abstractNumId w:val="6"/>
  </w:num>
  <w:num w:numId="10">
    <w:abstractNumId w:val="9"/>
  </w:num>
  <w:num w:numId="11">
    <w:abstractNumId w:val="0"/>
  </w:num>
  <w:num w:numId="12">
    <w:abstractNumId w:val="14"/>
  </w:num>
  <w:num w:numId="13">
    <w:abstractNumId w:val="7"/>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449"/>
    <w:rsid w:val="00027C3D"/>
    <w:rsid w:val="000B0488"/>
    <w:rsid w:val="00127F84"/>
    <w:rsid w:val="00174A0B"/>
    <w:rsid w:val="001B003B"/>
    <w:rsid w:val="001E2AC6"/>
    <w:rsid w:val="001E698E"/>
    <w:rsid w:val="00216DAC"/>
    <w:rsid w:val="002B3B00"/>
    <w:rsid w:val="00343D41"/>
    <w:rsid w:val="0039564D"/>
    <w:rsid w:val="003E4ED3"/>
    <w:rsid w:val="003F53E6"/>
    <w:rsid w:val="00402D6F"/>
    <w:rsid w:val="00422924"/>
    <w:rsid w:val="004A5025"/>
    <w:rsid w:val="004C04A2"/>
    <w:rsid w:val="004C601B"/>
    <w:rsid w:val="004E4260"/>
    <w:rsid w:val="00546211"/>
    <w:rsid w:val="0056161D"/>
    <w:rsid w:val="005B674C"/>
    <w:rsid w:val="005E4718"/>
    <w:rsid w:val="006375E5"/>
    <w:rsid w:val="00671FCF"/>
    <w:rsid w:val="0067654F"/>
    <w:rsid w:val="00723E80"/>
    <w:rsid w:val="00731CC7"/>
    <w:rsid w:val="00743F13"/>
    <w:rsid w:val="007A7502"/>
    <w:rsid w:val="007C75C6"/>
    <w:rsid w:val="0084009E"/>
    <w:rsid w:val="00882CF2"/>
    <w:rsid w:val="008C1871"/>
    <w:rsid w:val="009E36B7"/>
    <w:rsid w:val="00A2205A"/>
    <w:rsid w:val="00AB1B98"/>
    <w:rsid w:val="00AC0084"/>
    <w:rsid w:val="00B66449"/>
    <w:rsid w:val="00BE50A6"/>
    <w:rsid w:val="00C41EBC"/>
    <w:rsid w:val="00C47D24"/>
    <w:rsid w:val="00C50F33"/>
    <w:rsid w:val="00C52F70"/>
    <w:rsid w:val="00C55AC9"/>
    <w:rsid w:val="00C6718E"/>
    <w:rsid w:val="00C93031"/>
    <w:rsid w:val="00CC656A"/>
    <w:rsid w:val="00D64CE8"/>
    <w:rsid w:val="00E7045C"/>
    <w:rsid w:val="00E85B94"/>
    <w:rsid w:val="00E91821"/>
    <w:rsid w:val="00E91D1E"/>
    <w:rsid w:val="00F552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DC4A5D9-7AAD-451A-B422-CAB9E8268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74A0B"/>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9">
    <w:name w:val="9"/>
    <w:basedOn w:val="TableNormal1"/>
    <w:tblPr>
      <w:tblStyleRowBandSize w:val="1"/>
      <w:tblStyleColBandSize w:val="1"/>
      <w:tblCellMar>
        <w:left w:w="70" w:type="dxa"/>
        <w:right w:w="70" w:type="dxa"/>
      </w:tblCellMar>
    </w:tblPr>
  </w:style>
  <w:style w:type="table" w:customStyle="1" w:styleId="8">
    <w:name w:val="8"/>
    <w:basedOn w:val="TableNormal1"/>
    <w:tblPr>
      <w:tblStyleRowBandSize w:val="1"/>
      <w:tblStyleColBandSize w:val="1"/>
      <w:tblCellMar>
        <w:left w:w="70" w:type="dxa"/>
        <w:right w:w="70" w:type="dxa"/>
      </w:tblCellMar>
    </w:tbl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70" w:type="dxa"/>
        <w:right w:w="70" w:type="dxa"/>
      </w:tblCellMar>
    </w:tblPr>
  </w:style>
  <w:style w:type="table" w:customStyle="1" w:styleId="5">
    <w:name w:val="5"/>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4">
    <w:name w:val="4"/>
    <w:basedOn w:val="TableNormal2"/>
    <w:tblPr>
      <w:tblStyleRowBandSize w:val="1"/>
      <w:tblStyleColBandSize w:val="1"/>
      <w:tblCellMar>
        <w:left w:w="115" w:type="dxa"/>
        <w:right w:w="115" w:type="dxa"/>
      </w:tblCellMar>
    </w:tblPr>
  </w:style>
  <w:style w:type="table" w:customStyle="1" w:styleId="3">
    <w:name w:val="3"/>
    <w:basedOn w:val="TableNormal2"/>
    <w:tblPr>
      <w:tblStyleRowBandSize w:val="1"/>
      <w:tblStyleColBandSize w:val="1"/>
      <w:tblCellMar>
        <w:left w:w="115" w:type="dxa"/>
        <w:right w:w="115" w:type="dxa"/>
      </w:tblCellMar>
    </w:tblPr>
  </w:style>
  <w:style w:type="table" w:customStyle="1" w:styleId="2">
    <w:name w:val="2"/>
    <w:basedOn w:val="TableNormal2"/>
    <w:tblPr>
      <w:tblStyleRowBandSize w:val="1"/>
      <w:tblStyleColBandSize w:val="1"/>
      <w:tblCellMar>
        <w:left w:w="70" w:type="dxa"/>
        <w:right w:w="70" w:type="dxa"/>
      </w:tblCellMar>
    </w:tblPr>
  </w:style>
  <w:style w:type="table" w:customStyle="1" w:styleId="1">
    <w:name w:val="1"/>
    <w:basedOn w:val="TableNormal2"/>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character" w:styleId="Refdecomentario">
    <w:name w:val="annotation reference"/>
    <w:basedOn w:val="Fuentedeprrafopredeter"/>
    <w:uiPriority w:val="99"/>
    <w:semiHidden/>
    <w:unhideWhenUsed/>
    <w:rsid w:val="00E52BA5"/>
    <w:rPr>
      <w:sz w:val="16"/>
      <w:szCs w:val="16"/>
    </w:rPr>
  </w:style>
  <w:style w:type="paragraph" w:styleId="Textocomentario">
    <w:name w:val="annotation text"/>
    <w:basedOn w:val="Normal"/>
    <w:link w:val="TextocomentarioCar"/>
    <w:uiPriority w:val="99"/>
    <w:semiHidden/>
    <w:unhideWhenUsed/>
    <w:rsid w:val="00E52BA5"/>
    <w:rPr>
      <w:sz w:val="20"/>
      <w:szCs w:val="20"/>
    </w:rPr>
  </w:style>
  <w:style w:type="character" w:customStyle="1" w:styleId="TextocomentarioCar">
    <w:name w:val="Texto comentario Car"/>
    <w:basedOn w:val="Fuentedeprrafopredeter"/>
    <w:link w:val="Textocomentario"/>
    <w:uiPriority w:val="99"/>
    <w:semiHidden/>
    <w:rsid w:val="00E52BA5"/>
    <w:rPr>
      <w:rFonts w:eastAsiaTheme="minorEastAsia"/>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52BA5"/>
    <w:rPr>
      <w:b/>
      <w:bCs/>
    </w:rPr>
  </w:style>
  <w:style w:type="character" w:customStyle="1" w:styleId="AsuntodelcomentarioCar">
    <w:name w:val="Asunto del comentario Car"/>
    <w:basedOn w:val="TextocomentarioCar"/>
    <w:link w:val="Asuntodelcomentario"/>
    <w:uiPriority w:val="99"/>
    <w:semiHidden/>
    <w:rsid w:val="00E52BA5"/>
    <w:rPr>
      <w:rFonts w:eastAsiaTheme="minorEastAsia"/>
      <w:b/>
      <w:bCs/>
      <w:sz w:val="20"/>
      <w:szCs w:val="20"/>
      <w:lang w:eastAsia="es-ES"/>
    </w:rPr>
  </w:style>
  <w:style w:type="paragraph" w:styleId="Textodeglobo">
    <w:name w:val="Balloon Text"/>
    <w:basedOn w:val="Normal"/>
    <w:link w:val="TextodegloboCar"/>
    <w:uiPriority w:val="99"/>
    <w:semiHidden/>
    <w:unhideWhenUsed/>
    <w:rsid w:val="00E52BA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2BA5"/>
    <w:rPr>
      <w:rFonts w:ascii="Segoe UI" w:eastAsiaTheme="minorEastAsia" w:hAnsi="Segoe UI" w:cs="Segoe UI"/>
      <w:sz w:val="18"/>
      <w:szCs w:val="18"/>
      <w:lang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Kq1XJDuNaqrqd/v+7LT3SmnedA==">CgMxLjAyCGguZ2pkZ3hzMgloLjMwajB6bGwyCWguMWZvYjl0ZTIJaC4zem55c2g3MgloLjJldDkycDAyCWguMXQzaDVzZjIJaC4xa3N2NHV2MgloLjNyZGNyam4yCGgubG54Yno5OAByITFza0dBM2dWSzhBNllFVTBxTXVOb3dNeFh0aEdNckNQNw==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24</Pages>
  <Words>5560</Words>
  <Characters>30583</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36071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42</cp:revision>
  <cp:lastPrinted>2026-06-05T16:55:00Z</cp:lastPrinted>
  <dcterms:created xsi:type="dcterms:W3CDTF">2026-05-25T18:37:00Z</dcterms:created>
  <dcterms:modified xsi:type="dcterms:W3CDTF">2026-06-10T19:23:00Z</dcterms:modified>
</cp:coreProperties>
</file>