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FCD1A" w14:textId="544AA044" w:rsidR="00532AE4" w:rsidRPr="0037486F" w:rsidRDefault="00A76F12">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37486F">
        <w:rPr>
          <w:rFonts w:ascii="Palatino Linotype" w:eastAsia="Palatino Linotype" w:hAnsi="Palatino Linotype" w:cs="Palatino Linotype"/>
          <w:sz w:val="22"/>
          <w:szCs w:val="22"/>
        </w:rPr>
        <w:t>Resolución del Pleno del Instituto de Transparencia, Acceso a la Información Pública y Protección de Datos</w:t>
      </w:r>
      <w:r w:rsidR="0091408A" w:rsidRPr="0037486F">
        <w:rPr>
          <w:rFonts w:ascii="Palatino Linotype" w:eastAsia="Palatino Linotype" w:hAnsi="Palatino Linotype" w:cs="Palatino Linotype"/>
          <w:sz w:val="22"/>
          <w:szCs w:val="22"/>
        </w:rPr>
        <w:t xml:space="preserve"> </w:t>
      </w:r>
      <w:r w:rsidRPr="0037486F">
        <w:rPr>
          <w:rFonts w:ascii="Palatino Linotype" w:eastAsia="Palatino Linotype" w:hAnsi="Palatino Linotype" w:cs="Palatino Linotype"/>
          <w:sz w:val="22"/>
          <w:szCs w:val="22"/>
        </w:rPr>
        <w:t xml:space="preserve">Personales del Estado de México y Municipios, con domicilio en Metepec, Estado de México, de </w:t>
      </w:r>
      <w:r w:rsidR="001D7FD5" w:rsidRPr="0037486F">
        <w:rPr>
          <w:rFonts w:ascii="Palatino Linotype" w:eastAsia="Palatino Linotype" w:hAnsi="Palatino Linotype" w:cs="Palatino Linotype"/>
          <w:sz w:val="22"/>
          <w:szCs w:val="22"/>
        </w:rPr>
        <w:t>cinco</w:t>
      </w:r>
      <w:r w:rsidR="00E55CFA" w:rsidRPr="0037486F">
        <w:rPr>
          <w:rFonts w:ascii="Palatino Linotype" w:eastAsia="Palatino Linotype" w:hAnsi="Palatino Linotype" w:cs="Palatino Linotype"/>
          <w:sz w:val="22"/>
          <w:szCs w:val="22"/>
        </w:rPr>
        <w:t xml:space="preserve"> de </w:t>
      </w:r>
      <w:r w:rsidR="001D7FD5" w:rsidRPr="0037486F">
        <w:rPr>
          <w:rFonts w:ascii="Palatino Linotype" w:eastAsia="Palatino Linotype" w:hAnsi="Palatino Linotype" w:cs="Palatino Linotype"/>
          <w:sz w:val="22"/>
          <w:szCs w:val="22"/>
        </w:rPr>
        <w:t>marzo</w:t>
      </w:r>
      <w:r w:rsidR="00E55CFA" w:rsidRPr="0037486F">
        <w:rPr>
          <w:rFonts w:ascii="Palatino Linotype" w:eastAsia="Palatino Linotype" w:hAnsi="Palatino Linotype" w:cs="Palatino Linotype"/>
          <w:sz w:val="22"/>
          <w:szCs w:val="22"/>
        </w:rPr>
        <w:t xml:space="preserve"> de dos mil veintiséis</w:t>
      </w:r>
      <w:r w:rsidRPr="0037486F">
        <w:rPr>
          <w:rFonts w:ascii="Palatino Linotype" w:eastAsia="Palatino Linotype" w:hAnsi="Palatino Linotype" w:cs="Palatino Linotype"/>
          <w:sz w:val="22"/>
          <w:szCs w:val="22"/>
        </w:rPr>
        <w:t xml:space="preserve">. </w:t>
      </w:r>
    </w:p>
    <w:p w14:paraId="13FC4B2B" w14:textId="77777777" w:rsidR="00532AE4" w:rsidRPr="0037486F" w:rsidRDefault="00532AE4">
      <w:pPr>
        <w:spacing w:line="360" w:lineRule="auto"/>
        <w:jc w:val="both"/>
        <w:rPr>
          <w:rFonts w:ascii="Palatino Linotype" w:eastAsia="Palatino Linotype" w:hAnsi="Palatino Linotype" w:cs="Palatino Linotype"/>
          <w:b/>
          <w:sz w:val="22"/>
          <w:szCs w:val="22"/>
        </w:rPr>
      </w:pPr>
    </w:p>
    <w:p w14:paraId="50DC799A" w14:textId="309B9C5C" w:rsidR="00532AE4" w:rsidRPr="0037486F" w:rsidRDefault="00A76F12">
      <w:pPr>
        <w:spacing w:line="360" w:lineRule="auto"/>
        <w:jc w:val="both"/>
        <w:rPr>
          <w:rFonts w:ascii="Palatino Linotype" w:eastAsia="Palatino Linotype" w:hAnsi="Palatino Linotype" w:cs="Palatino Linotype"/>
          <w:sz w:val="22"/>
          <w:szCs w:val="22"/>
        </w:rPr>
      </w:pPr>
      <w:r w:rsidRPr="0037486F">
        <w:rPr>
          <w:rFonts w:ascii="Palatino Linotype" w:eastAsia="Palatino Linotype" w:hAnsi="Palatino Linotype" w:cs="Palatino Linotype"/>
          <w:b/>
          <w:sz w:val="22"/>
          <w:szCs w:val="22"/>
        </w:rPr>
        <w:t xml:space="preserve">Visto </w:t>
      </w:r>
      <w:r w:rsidRPr="0037486F">
        <w:rPr>
          <w:rFonts w:ascii="Palatino Linotype" w:eastAsia="Palatino Linotype" w:hAnsi="Palatino Linotype" w:cs="Palatino Linotype"/>
          <w:sz w:val="22"/>
          <w:szCs w:val="22"/>
        </w:rPr>
        <w:t xml:space="preserve">el expediente relativo al recurso de revisión </w:t>
      </w:r>
      <w:r w:rsidR="001D7FD5" w:rsidRPr="0037486F">
        <w:rPr>
          <w:rFonts w:ascii="Palatino Linotype" w:eastAsia="Palatino Linotype" w:hAnsi="Palatino Linotype" w:cs="Palatino Linotype"/>
          <w:b/>
          <w:bCs/>
          <w:sz w:val="22"/>
          <w:szCs w:val="22"/>
        </w:rPr>
        <w:t>01094</w:t>
      </w:r>
      <w:r w:rsidRPr="0037486F">
        <w:rPr>
          <w:rFonts w:ascii="Palatino Linotype" w:eastAsia="Palatino Linotype" w:hAnsi="Palatino Linotype" w:cs="Palatino Linotype"/>
          <w:b/>
          <w:sz w:val="22"/>
          <w:szCs w:val="22"/>
        </w:rPr>
        <w:t>/INFOEM/IP/RR/202</w:t>
      </w:r>
      <w:r w:rsidR="001D7FD5" w:rsidRPr="0037486F">
        <w:rPr>
          <w:rFonts w:ascii="Palatino Linotype" w:eastAsia="Palatino Linotype" w:hAnsi="Palatino Linotype" w:cs="Palatino Linotype"/>
          <w:b/>
          <w:sz w:val="22"/>
          <w:szCs w:val="22"/>
        </w:rPr>
        <w:t>6</w:t>
      </w:r>
      <w:r w:rsidRPr="0037486F">
        <w:rPr>
          <w:rFonts w:ascii="Palatino Linotype" w:eastAsia="Palatino Linotype" w:hAnsi="Palatino Linotype" w:cs="Palatino Linotype"/>
          <w:sz w:val="22"/>
          <w:szCs w:val="22"/>
        </w:rPr>
        <w:t xml:space="preserve">, </w:t>
      </w:r>
      <w:r w:rsidRPr="0037486F">
        <w:rPr>
          <w:rFonts w:ascii="Palatino Linotype" w:eastAsia="Palatino Linotype" w:hAnsi="Palatino Linotype" w:cs="Palatino Linotype"/>
        </w:rPr>
        <w:t xml:space="preserve">interpuesto </w:t>
      </w:r>
      <w:r w:rsidR="0061438F" w:rsidRPr="0037486F">
        <w:rPr>
          <w:rFonts w:ascii="Palatino Linotype" w:eastAsia="Palatino Linotype" w:hAnsi="Palatino Linotype" w:cs="Palatino Linotype"/>
        </w:rPr>
        <w:t>por</w:t>
      </w:r>
      <w:r w:rsidR="00445501" w:rsidRPr="00445501">
        <w:rPr>
          <w:rFonts w:ascii="Palatino Linotype" w:eastAsia="Palatino Linotype" w:hAnsi="Palatino Linotype" w:cs="Palatino Linotype"/>
          <w:b/>
          <w:sz w:val="21"/>
          <w:szCs w:val="21"/>
          <w:lang w:val="es-ES"/>
        </w:rPr>
        <w:t xml:space="preserve"> </w:t>
      </w:r>
      <w:r w:rsidR="00445501">
        <w:rPr>
          <w:rFonts w:ascii="Palatino Linotype" w:eastAsia="Palatino Linotype" w:hAnsi="Palatino Linotype" w:cs="Palatino Linotype"/>
          <w:b/>
          <w:sz w:val="21"/>
          <w:szCs w:val="21"/>
          <w:lang w:val="es-ES"/>
        </w:rPr>
        <w:t>XXXXX XXXXXXX XXXXX</w:t>
      </w:r>
      <w:r w:rsidRPr="0037486F">
        <w:rPr>
          <w:rFonts w:ascii="Palatino Linotype" w:eastAsia="Palatino Linotype" w:hAnsi="Palatino Linotype" w:cs="Palatino Linotype"/>
          <w:b/>
        </w:rPr>
        <w:t>,</w:t>
      </w:r>
      <w:r w:rsidRPr="0037486F">
        <w:rPr>
          <w:rFonts w:ascii="Palatino Linotype" w:eastAsia="Palatino Linotype" w:hAnsi="Palatino Linotype" w:cs="Palatino Linotype"/>
        </w:rPr>
        <w:t xml:space="preserve"> en lo sucesivo la parte </w:t>
      </w:r>
      <w:r w:rsidRPr="0037486F">
        <w:rPr>
          <w:rFonts w:ascii="Palatino Linotype" w:eastAsia="Palatino Linotype" w:hAnsi="Palatino Linotype" w:cs="Palatino Linotype"/>
          <w:b/>
        </w:rPr>
        <w:t>RECURRENTE</w:t>
      </w:r>
      <w:r w:rsidRPr="0037486F">
        <w:rPr>
          <w:rFonts w:ascii="Palatino Linotype" w:eastAsia="Palatino Linotype" w:hAnsi="Palatino Linotype" w:cs="Palatino Linotype"/>
          <w:b/>
          <w:sz w:val="22"/>
          <w:szCs w:val="22"/>
        </w:rPr>
        <w:t xml:space="preserve">, </w:t>
      </w:r>
      <w:r w:rsidRPr="0037486F">
        <w:rPr>
          <w:rFonts w:ascii="Palatino Linotype" w:eastAsia="Palatino Linotype" w:hAnsi="Palatino Linotype" w:cs="Palatino Linotype"/>
          <w:sz w:val="22"/>
          <w:szCs w:val="22"/>
        </w:rPr>
        <w:t>en contra de la falta de respuesta a la solicitud de acceso a la información con número de folio</w:t>
      </w:r>
      <w:r w:rsidRPr="0037486F">
        <w:rPr>
          <w:rFonts w:ascii="Verdana" w:eastAsia="Verdana" w:hAnsi="Verdana" w:cs="Verdana"/>
          <w:b/>
          <w:sz w:val="22"/>
          <w:szCs w:val="22"/>
        </w:rPr>
        <w:t> </w:t>
      </w:r>
      <w:r w:rsidR="001D7FD5" w:rsidRPr="0037486F">
        <w:rPr>
          <w:rFonts w:ascii="Palatino Linotype" w:eastAsia="Palatino Linotype" w:hAnsi="Palatino Linotype" w:cs="Palatino Linotype"/>
          <w:b/>
        </w:rPr>
        <w:t>01325/TEPOTZOT/IP/2025</w:t>
      </w:r>
      <w:r w:rsidR="00EF743D" w:rsidRPr="0037486F">
        <w:rPr>
          <w:rFonts w:ascii="Palatino Linotype" w:eastAsia="Palatino Linotype" w:hAnsi="Palatino Linotype" w:cs="Palatino Linotype"/>
          <w:b/>
        </w:rPr>
        <w:t xml:space="preserve">, </w:t>
      </w:r>
      <w:r w:rsidRPr="0037486F">
        <w:rPr>
          <w:rFonts w:ascii="Palatino Linotype" w:eastAsia="Palatino Linotype" w:hAnsi="Palatino Linotype" w:cs="Palatino Linotype"/>
          <w:sz w:val="22"/>
          <w:szCs w:val="22"/>
        </w:rPr>
        <w:t xml:space="preserve">por parte del </w:t>
      </w:r>
      <w:r w:rsidR="00024779" w:rsidRPr="0037486F">
        <w:rPr>
          <w:rFonts w:ascii="Palatino Linotype" w:eastAsia="Palatino Linotype" w:hAnsi="Palatino Linotype" w:cs="Palatino Linotype"/>
          <w:b/>
          <w:sz w:val="22"/>
          <w:szCs w:val="22"/>
        </w:rPr>
        <w:t>Ayuntamiento de T</w:t>
      </w:r>
      <w:r w:rsidR="00E55CFA" w:rsidRPr="0037486F">
        <w:rPr>
          <w:rFonts w:ascii="Palatino Linotype" w:eastAsia="Palatino Linotype" w:hAnsi="Palatino Linotype" w:cs="Palatino Linotype"/>
          <w:b/>
          <w:sz w:val="22"/>
          <w:szCs w:val="22"/>
        </w:rPr>
        <w:t>epotzotlán</w:t>
      </w:r>
      <w:r w:rsidR="00390FDA" w:rsidRPr="0037486F">
        <w:rPr>
          <w:rFonts w:ascii="Palatino Linotype" w:eastAsia="Palatino Linotype" w:hAnsi="Palatino Linotype" w:cs="Palatino Linotype"/>
          <w:b/>
          <w:sz w:val="22"/>
          <w:szCs w:val="22"/>
        </w:rPr>
        <w:t>,</w:t>
      </w:r>
      <w:r w:rsidRPr="0037486F">
        <w:rPr>
          <w:rFonts w:ascii="Palatino Linotype" w:eastAsia="Palatino Linotype" w:hAnsi="Palatino Linotype" w:cs="Palatino Linotype"/>
          <w:sz w:val="22"/>
          <w:szCs w:val="22"/>
        </w:rPr>
        <w:t xml:space="preserve"> en lo sucesivo el </w:t>
      </w:r>
      <w:r w:rsidRPr="0037486F">
        <w:rPr>
          <w:rFonts w:ascii="Palatino Linotype" w:eastAsia="Palatino Linotype" w:hAnsi="Palatino Linotype" w:cs="Palatino Linotype"/>
          <w:b/>
          <w:sz w:val="22"/>
          <w:szCs w:val="22"/>
        </w:rPr>
        <w:t xml:space="preserve">SUJETO OBLIGADO; </w:t>
      </w:r>
      <w:r w:rsidRPr="0037486F">
        <w:rPr>
          <w:rFonts w:ascii="Palatino Linotype" w:eastAsia="Palatino Linotype" w:hAnsi="Palatino Linotype" w:cs="Palatino Linotype"/>
          <w:sz w:val="22"/>
          <w:szCs w:val="22"/>
        </w:rPr>
        <w:t xml:space="preserve">se procede a dictar la presente resolución, con base en lo siguiente. </w:t>
      </w:r>
    </w:p>
    <w:p w14:paraId="3531DFA3" w14:textId="77777777" w:rsidR="00532AE4" w:rsidRPr="0037486F" w:rsidRDefault="00532AE4">
      <w:pPr>
        <w:spacing w:line="360" w:lineRule="auto"/>
        <w:jc w:val="both"/>
        <w:rPr>
          <w:rFonts w:ascii="Palatino Linotype" w:eastAsia="Palatino Linotype" w:hAnsi="Palatino Linotype" w:cs="Palatino Linotype"/>
          <w:sz w:val="22"/>
          <w:szCs w:val="22"/>
        </w:rPr>
      </w:pPr>
    </w:p>
    <w:p w14:paraId="555D501F" w14:textId="77777777" w:rsidR="00532AE4" w:rsidRPr="0037486F" w:rsidRDefault="00A76F12">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sz w:val="22"/>
          <w:szCs w:val="22"/>
        </w:rPr>
      </w:pPr>
      <w:r w:rsidRPr="0037486F">
        <w:rPr>
          <w:rFonts w:ascii="Palatino Linotype" w:eastAsia="Palatino Linotype" w:hAnsi="Palatino Linotype" w:cs="Palatino Linotype"/>
          <w:b/>
          <w:sz w:val="22"/>
          <w:szCs w:val="22"/>
        </w:rPr>
        <w:t>A N T E C E D E N T E S:</w:t>
      </w:r>
    </w:p>
    <w:p w14:paraId="77D7A248" w14:textId="77777777" w:rsidR="00532AE4" w:rsidRPr="0037486F" w:rsidRDefault="00532AE4">
      <w:pPr>
        <w:pBdr>
          <w:top w:val="nil"/>
          <w:left w:val="nil"/>
          <w:bottom w:val="nil"/>
          <w:right w:val="nil"/>
          <w:between w:val="nil"/>
        </w:pBdr>
        <w:spacing w:line="360" w:lineRule="auto"/>
        <w:ind w:left="1077"/>
        <w:rPr>
          <w:rFonts w:ascii="Palatino Linotype" w:eastAsia="Palatino Linotype" w:hAnsi="Palatino Linotype" w:cs="Palatino Linotype"/>
          <w:b/>
          <w:sz w:val="22"/>
          <w:szCs w:val="22"/>
        </w:rPr>
      </w:pPr>
    </w:p>
    <w:p w14:paraId="26798903" w14:textId="4CE3E539" w:rsidR="00532AE4" w:rsidRPr="0037486F" w:rsidRDefault="00A76F12">
      <w:pPr>
        <w:spacing w:line="360" w:lineRule="auto"/>
        <w:jc w:val="both"/>
        <w:rPr>
          <w:rFonts w:ascii="Palatino Linotype" w:eastAsia="Palatino Linotype" w:hAnsi="Palatino Linotype" w:cs="Palatino Linotype"/>
          <w:sz w:val="22"/>
          <w:szCs w:val="22"/>
        </w:rPr>
      </w:pPr>
      <w:r w:rsidRPr="0037486F">
        <w:rPr>
          <w:rFonts w:ascii="Palatino Linotype" w:eastAsia="Palatino Linotype" w:hAnsi="Palatino Linotype" w:cs="Palatino Linotype"/>
          <w:b/>
          <w:sz w:val="22"/>
          <w:szCs w:val="22"/>
        </w:rPr>
        <w:t xml:space="preserve">1. Solicitud de acceso a la información. </w:t>
      </w:r>
      <w:r w:rsidR="00EE5E30" w:rsidRPr="0037486F">
        <w:rPr>
          <w:rFonts w:ascii="Palatino Linotype" w:eastAsia="Palatino Linotype" w:hAnsi="Palatino Linotype" w:cs="Palatino Linotype"/>
          <w:sz w:val="22"/>
          <w:szCs w:val="22"/>
        </w:rPr>
        <w:t xml:space="preserve">Con fecha </w:t>
      </w:r>
      <w:r w:rsidR="001D7FD5" w:rsidRPr="0037486F">
        <w:rPr>
          <w:rFonts w:ascii="Palatino Linotype" w:eastAsia="Palatino Linotype" w:hAnsi="Palatino Linotype" w:cs="Palatino Linotype"/>
          <w:b/>
          <w:sz w:val="22"/>
          <w:szCs w:val="22"/>
        </w:rPr>
        <w:t>veintiuno</w:t>
      </w:r>
      <w:r w:rsidR="0012087F" w:rsidRPr="0037486F">
        <w:rPr>
          <w:rFonts w:ascii="Palatino Linotype" w:eastAsia="Palatino Linotype" w:hAnsi="Palatino Linotype" w:cs="Palatino Linotype"/>
          <w:b/>
          <w:sz w:val="22"/>
          <w:szCs w:val="22"/>
        </w:rPr>
        <w:t xml:space="preserve"> de noviembre</w:t>
      </w:r>
      <w:r w:rsidR="00111565" w:rsidRPr="0037486F">
        <w:rPr>
          <w:rFonts w:ascii="Palatino Linotype" w:eastAsia="Palatino Linotype" w:hAnsi="Palatino Linotype" w:cs="Palatino Linotype"/>
          <w:b/>
          <w:sz w:val="22"/>
          <w:szCs w:val="22"/>
        </w:rPr>
        <w:t xml:space="preserve"> </w:t>
      </w:r>
      <w:r w:rsidRPr="0037486F">
        <w:rPr>
          <w:rFonts w:ascii="Palatino Linotype" w:eastAsia="Palatino Linotype" w:hAnsi="Palatino Linotype" w:cs="Palatino Linotype"/>
          <w:b/>
          <w:sz w:val="22"/>
          <w:szCs w:val="22"/>
        </w:rPr>
        <w:t>de dos mil veinticinco</w:t>
      </w:r>
      <w:r w:rsidRPr="0037486F">
        <w:rPr>
          <w:rFonts w:ascii="Palatino Linotype" w:eastAsia="Palatino Linotype" w:hAnsi="Palatino Linotype" w:cs="Palatino Linotype"/>
          <w:sz w:val="22"/>
          <w:szCs w:val="22"/>
        </w:rPr>
        <w:t xml:space="preserve">, la parte </w:t>
      </w:r>
      <w:r w:rsidRPr="0037486F">
        <w:rPr>
          <w:rFonts w:ascii="Palatino Linotype" w:eastAsia="Palatino Linotype" w:hAnsi="Palatino Linotype" w:cs="Palatino Linotype"/>
          <w:b/>
          <w:sz w:val="22"/>
          <w:szCs w:val="22"/>
        </w:rPr>
        <w:t xml:space="preserve">RECURRENTE </w:t>
      </w:r>
      <w:r w:rsidRPr="0037486F">
        <w:rPr>
          <w:rFonts w:ascii="Palatino Linotype" w:eastAsia="Palatino Linotype" w:hAnsi="Palatino Linotype" w:cs="Palatino Linotype"/>
          <w:sz w:val="22"/>
          <w:szCs w:val="22"/>
        </w:rPr>
        <w:t xml:space="preserve">formuló a través del Sistema de Acceso a la Información Mexiquense, en adelante </w:t>
      </w:r>
      <w:r w:rsidRPr="0037486F">
        <w:rPr>
          <w:rFonts w:ascii="Palatino Linotype" w:eastAsia="Palatino Linotype" w:hAnsi="Palatino Linotype" w:cs="Palatino Linotype"/>
          <w:b/>
          <w:sz w:val="22"/>
          <w:szCs w:val="22"/>
        </w:rPr>
        <w:t>SAIMEX,</w:t>
      </w:r>
      <w:r w:rsidRPr="0037486F">
        <w:rPr>
          <w:rFonts w:ascii="Palatino Linotype" w:eastAsia="Palatino Linotype" w:hAnsi="Palatino Linotype" w:cs="Palatino Linotype"/>
          <w:sz w:val="22"/>
          <w:szCs w:val="22"/>
        </w:rPr>
        <w:t xml:space="preserve"> solicitud de información al </w:t>
      </w:r>
      <w:r w:rsidRPr="0037486F">
        <w:rPr>
          <w:rFonts w:ascii="Palatino Linotype" w:eastAsia="Palatino Linotype" w:hAnsi="Palatino Linotype" w:cs="Palatino Linotype"/>
          <w:b/>
          <w:sz w:val="22"/>
          <w:szCs w:val="22"/>
        </w:rPr>
        <w:t>SUJETO OBLIGADO</w:t>
      </w:r>
      <w:r w:rsidRPr="0037486F">
        <w:rPr>
          <w:rFonts w:ascii="Palatino Linotype" w:eastAsia="Palatino Linotype" w:hAnsi="Palatino Linotype" w:cs="Palatino Linotype"/>
          <w:sz w:val="22"/>
          <w:szCs w:val="22"/>
        </w:rPr>
        <w:t xml:space="preserve"> requiriéndole lo siguiente:</w:t>
      </w:r>
    </w:p>
    <w:p w14:paraId="2A00D1E9" w14:textId="77777777" w:rsidR="00482CD2" w:rsidRPr="0037486F" w:rsidRDefault="00482CD2" w:rsidP="00AB5F77">
      <w:pPr>
        <w:ind w:left="567" w:right="616"/>
        <w:jc w:val="both"/>
        <w:rPr>
          <w:rFonts w:ascii="Palatino Linotype" w:eastAsia="Palatino Linotype" w:hAnsi="Palatino Linotype" w:cs="Palatino Linotype"/>
          <w:i/>
          <w:sz w:val="22"/>
          <w:szCs w:val="22"/>
        </w:rPr>
      </w:pPr>
    </w:p>
    <w:p w14:paraId="0BF34AC3" w14:textId="6B4F7F8E" w:rsidR="00532AE4" w:rsidRPr="0037486F" w:rsidRDefault="00482CD2" w:rsidP="001D7FD5">
      <w:pPr>
        <w:ind w:left="567" w:right="616"/>
        <w:jc w:val="both"/>
        <w:rPr>
          <w:rFonts w:ascii="Palatino Linotype" w:eastAsia="Palatino Linotype" w:hAnsi="Palatino Linotype" w:cs="Palatino Linotype"/>
          <w:i/>
          <w:sz w:val="22"/>
          <w:szCs w:val="22"/>
        </w:rPr>
      </w:pPr>
      <w:r w:rsidRPr="0037486F">
        <w:rPr>
          <w:rFonts w:ascii="Palatino Linotype" w:eastAsia="Palatino Linotype" w:hAnsi="Palatino Linotype" w:cs="Palatino Linotype"/>
          <w:i/>
          <w:sz w:val="22"/>
          <w:szCs w:val="22"/>
        </w:rPr>
        <w:t>¿</w:t>
      </w:r>
      <w:r w:rsidR="001D7FD5" w:rsidRPr="0037486F">
        <w:rPr>
          <w:rFonts w:ascii="Palatino Linotype" w:eastAsia="Palatino Linotype" w:hAnsi="Palatino Linotype" w:cs="Palatino Linotype"/>
          <w:i/>
          <w:sz w:val="22"/>
          <w:szCs w:val="22"/>
        </w:rPr>
        <w:t>Con fundamento en los artículos 134 de la Constitución Política de los Estados Unidos Mexicanos y 26 de la Ley de Obras Públicas y Servicios Relacionados con las Mismas del Estado de México y Municipios, solicito se informe: ¿Cuáles son las empresas que han recibido más contratos durante su administración, cuál es su relación con funcionarios municipales, y por qué se repiten adjudicaciones a los mismos proveedores?</w:t>
      </w:r>
      <w:r w:rsidRPr="0037486F">
        <w:rPr>
          <w:rFonts w:ascii="Palatino Linotype" w:eastAsia="Palatino Linotype" w:hAnsi="Palatino Linotype" w:cs="Palatino Linotype"/>
          <w:i/>
          <w:sz w:val="22"/>
          <w:szCs w:val="22"/>
        </w:rPr>
        <w:t xml:space="preserve">? </w:t>
      </w:r>
      <w:r w:rsidR="00A76F12" w:rsidRPr="0037486F">
        <w:rPr>
          <w:rFonts w:ascii="Palatino Linotype" w:eastAsia="Palatino Linotype" w:hAnsi="Palatino Linotype" w:cs="Palatino Linotype"/>
          <w:i/>
          <w:sz w:val="22"/>
          <w:szCs w:val="22"/>
        </w:rPr>
        <w:t>(Sic)</w:t>
      </w:r>
    </w:p>
    <w:p w14:paraId="0F87CB2C" w14:textId="77777777" w:rsidR="00532AE4" w:rsidRPr="0037486F" w:rsidRDefault="00532AE4">
      <w:pPr>
        <w:spacing w:line="360" w:lineRule="auto"/>
        <w:jc w:val="both"/>
        <w:rPr>
          <w:rFonts w:ascii="Palatino Linotype" w:eastAsia="Palatino Linotype" w:hAnsi="Palatino Linotype" w:cs="Palatino Linotype"/>
          <w:b/>
          <w:sz w:val="22"/>
          <w:szCs w:val="22"/>
        </w:rPr>
      </w:pPr>
    </w:p>
    <w:p w14:paraId="678A1087" w14:textId="77777777" w:rsidR="00532AE4" w:rsidRPr="0037486F" w:rsidRDefault="00A76F12">
      <w:pPr>
        <w:spacing w:line="360" w:lineRule="auto"/>
        <w:jc w:val="both"/>
        <w:rPr>
          <w:rFonts w:ascii="Palatino Linotype" w:eastAsia="Palatino Linotype" w:hAnsi="Palatino Linotype" w:cs="Palatino Linotype"/>
          <w:sz w:val="22"/>
          <w:szCs w:val="22"/>
        </w:rPr>
      </w:pPr>
      <w:r w:rsidRPr="0037486F">
        <w:rPr>
          <w:rFonts w:ascii="Palatino Linotype" w:eastAsia="Palatino Linotype" w:hAnsi="Palatino Linotype" w:cs="Palatino Linotype"/>
          <w:b/>
          <w:sz w:val="22"/>
          <w:szCs w:val="22"/>
        </w:rPr>
        <w:t xml:space="preserve">Modalidad elegida para la entrega de la información: </w:t>
      </w:r>
      <w:r w:rsidRPr="0037486F">
        <w:rPr>
          <w:rFonts w:ascii="Palatino Linotype" w:eastAsia="Palatino Linotype" w:hAnsi="Palatino Linotype" w:cs="Palatino Linotype"/>
          <w:sz w:val="22"/>
          <w:szCs w:val="22"/>
        </w:rPr>
        <w:t>a través del SAIMEX.</w:t>
      </w:r>
    </w:p>
    <w:p w14:paraId="36A8F811" w14:textId="77777777" w:rsidR="00532AE4" w:rsidRPr="0037486F" w:rsidRDefault="00532AE4">
      <w:pPr>
        <w:spacing w:line="360" w:lineRule="auto"/>
        <w:jc w:val="both"/>
        <w:rPr>
          <w:rFonts w:ascii="Palatino Linotype" w:eastAsia="Palatino Linotype" w:hAnsi="Palatino Linotype" w:cs="Palatino Linotype"/>
          <w:sz w:val="22"/>
          <w:szCs w:val="22"/>
        </w:rPr>
      </w:pPr>
    </w:p>
    <w:p w14:paraId="0B4162AB" w14:textId="2BDCBC9A" w:rsidR="00532AE4" w:rsidRPr="0037486F" w:rsidRDefault="00D763D8">
      <w:pPr>
        <w:spacing w:line="360" w:lineRule="auto"/>
        <w:jc w:val="both"/>
        <w:rPr>
          <w:rFonts w:ascii="Palatino Linotype" w:eastAsia="Palatino Linotype" w:hAnsi="Palatino Linotype" w:cs="Palatino Linotype"/>
          <w:b/>
          <w:sz w:val="22"/>
          <w:szCs w:val="22"/>
        </w:rPr>
      </w:pPr>
      <w:r w:rsidRPr="0037486F">
        <w:rPr>
          <w:rFonts w:ascii="Palatino Linotype" w:eastAsia="Palatino Linotype" w:hAnsi="Palatino Linotype" w:cs="Palatino Linotype"/>
          <w:b/>
          <w:sz w:val="22"/>
          <w:szCs w:val="22"/>
        </w:rPr>
        <w:t xml:space="preserve">2. </w:t>
      </w:r>
      <w:r w:rsidR="00A76F12" w:rsidRPr="0037486F">
        <w:rPr>
          <w:rFonts w:ascii="Palatino Linotype" w:eastAsia="Palatino Linotype" w:hAnsi="Palatino Linotype" w:cs="Palatino Linotype"/>
          <w:b/>
          <w:sz w:val="22"/>
          <w:szCs w:val="22"/>
        </w:rPr>
        <w:t xml:space="preserve">Respuesta. </w:t>
      </w:r>
      <w:r w:rsidR="00A76F12" w:rsidRPr="0037486F">
        <w:rPr>
          <w:rFonts w:ascii="Palatino Linotype" w:eastAsia="Palatino Linotype" w:hAnsi="Palatino Linotype" w:cs="Palatino Linotype"/>
          <w:sz w:val="22"/>
          <w:szCs w:val="22"/>
        </w:rPr>
        <w:t xml:space="preserve">El </w:t>
      </w:r>
      <w:r w:rsidR="00A76F12" w:rsidRPr="0037486F">
        <w:rPr>
          <w:rFonts w:ascii="Palatino Linotype" w:eastAsia="Palatino Linotype" w:hAnsi="Palatino Linotype" w:cs="Palatino Linotype"/>
          <w:b/>
          <w:sz w:val="22"/>
          <w:szCs w:val="22"/>
        </w:rPr>
        <w:t xml:space="preserve">SUJETO OBLIGADO </w:t>
      </w:r>
      <w:r w:rsidR="00A76F12" w:rsidRPr="0037486F">
        <w:rPr>
          <w:rFonts w:ascii="Palatino Linotype" w:eastAsia="Palatino Linotype" w:hAnsi="Palatino Linotype" w:cs="Palatino Linotype"/>
          <w:sz w:val="22"/>
          <w:szCs w:val="22"/>
        </w:rPr>
        <w:t xml:space="preserve">fue omiso en proporcionar respuesta. </w:t>
      </w:r>
    </w:p>
    <w:p w14:paraId="66730054" w14:textId="77777777" w:rsidR="00532AE4" w:rsidRPr="0037486F" w:rsidRDefault="00532AE4">
      <w:pPr>
        <w:spacing w:line="360" w:lineRule="auto"/>
        <w:jc w:val="both"/>
        <w:rPr>
          <w:rFonts w:ascii="Palatino Linotype" w:eastAsia="Palatino Linotype" w:hAnsi="Palatino Linotype" w:cs="Palatino Linotype"/>
          <w:sz w:val="22"/>
          <w:szCs w:val="22"/>
        </w:rPr>
      </w:pPr>
    </w:p>
    <w:p w14:paraId="64E077EC" w14:textId="6EEFB1EB" w:rsidR="00532AE4" w:rsidRPr="0037486F" w:rsidRDefault="008869C2">
      <w:pPr>
        <w:spacing w:line="360" w:lineRule="auto"/>
        <w:jc w:val="both"/>
        <w:rPr>
          <w:rFonts w:ascii="Palatino Linotype" w:eastAsia="Palatino Linotype" w:hAnsi="Palatino Linotype" w:cs="Palatino Linotype"/>
          <w:sz w:val="22"/>
          <w:szCs w:val="22"/>
        </w:rPr>
      </w:pPr>
      <w:r w:rsidRPr="0037486F">
        <w:rPr>
          <w:rFonts w:ascii="Palatino Linotype" w:eastAsia="Palatino Linotype" w:hAnsi="Palatino Linotype" w:cs="Palatino Linotype"/>
          <w:b/>
          <w:sz w:val="22"/>
          <w:szCs w:val="22"/>
        </w:rPr>
        <w:t>3</w:t>
      </w:r>
      <w:r w:rsidR="00A76F12" w:rsidRPr="0037486F">
        <w:rPr>
          <w:rFonts w:ascii="Palatino Linotype" w:eastAsia="Palatino Linotype" w:hAnsi="Palatino Linotype" w:cs="Palatino Linotype"/>
          <w:b/>
          <w:sz w:val="22"/>
          <w:szCs w:val="22"/>
        </w:rPr>
        <w:t xml:space="preserve">. Interposición del recurso de revisión. </w:t>
      </w:r>
      <w:r w:rsidR="00A76F12" w:rsidRPr="0037486F">
        <w:rPr>
          <w:rFonts w:ascii="Palatino Linotype" w:eastAsia="Palatino Linotype" w:hAnsi="Palatino Linotype" w:cs="Palatino Linotype"/>
          <w:sz w:val="22"/>
          <w:szCs w:val="22"/>
        </w:rPr>
        <w:t xml:space="preserve">Inconforme la parte solicitante con la falta de respuesta del </w:t>
      </w:r>
      <w:r w:rsidR="00A76F12" w:rsidRPr="0037486F">
        <w:rPr>
          <w:rFonts w:ascii="Palatino Linotype" w:eastAsia="Palatino Linotype" w:hAnsi="Palatino Linotype" w:cs="Palatino Linotype"/>
          <w:b/>
          <w:sz w:val="22"/>
          <w:szCs w:val="22"/>
        </w:rPr>
        <w:t>SUJETO OBLIGADO</w:t>
      </w:r>
      <w:r w:rsidR="00A76F12" w:rsidRPr="0037486F">
        <w:rPr>
          <w:rFonts w:ascii="Palatino Linotype" w:eastAsia="Palatino Linotype" w:hAnsi="Palatino Linotype" w:cs="Palatino Linotype"/>
          <w:sz w:val="22"/>
          <w:szCs w:val="22"/>
        </w:rPr>
        <w:t>,</w:t>
      </w:r>
      <w:r w:rsidR="00C1728D" w:rsidRPr="0037486F">
        <w:rPr>
          <w:rFonts w:ascii="Palatino Linotype" w:eastAsia="Palatino Linotype" w:hAnsi="Palatino Linotype" w:cs="Palatino Linotype"/>
          <w:sz w:val="22"/>
          <w:szCs w:val="22"/>
        </w:rPr>
        <w:t xml:space="preserve"> el veinticinco de enero de dos mil veintiséis</w:t>
      </w:r>
      <w:r w:rsidR="00A76F12" w:rsidRPr="0037486F">
        <w:rPr>
          <w:rFonts w:ascii="Palatino Linotype" w:eastAsia="Palatino Linotype" w:hAnsi="Palatino Linotype" w:cs="Palatino Linotype"/>
          <w:sz w:val="22"/>
          <w:szCs w:val="22"/>
        </w:rPr>
        <w:t xml:space="preserve"> interpuso recurso de revisión a través del SAIMEX</w:t>
      </w:r>
      <w:r w:rsidR="00C1728D" w:rsidRPr="0037486F">
        <w:rPr>
          <w:rFonts w:ascii="Palatino Linotype" w:eastAsia="Palatino Linotype" w:hAnsi="Palatino Linotype" w:cs="Palatino Linotype"/>
          <w:sz w:val="22"/>
          <w:szCs w:val="22"/>
        </w:rPr>
        <w:t>, el cual se tuvo por presentado el</w:t>
      </w:r>
      <w:r w:rsidR="00A76F12" w:rsidRPr="0037486F">
        <w:rPr>
          <w:rFonts w:ascii="Palatino Linotype" w:eastAsia="Palatino Linotype" w:hAnsi="Palatino Linotype" w:cs="Palatino Linotype"/>
          <w:sz w:val="22"/>
          <w:szCs w:val="22"/>
        </w:rPr>
        <w:t xml:space="preserve"> </w:t>
      </w:r>
      <w:r w:rsidR="001D7FD5" w:rsidRPr="0037486F">
        <w:rPr>
          <w:rFonts w:ascii="Palatino Linotype" w:eastAsia="Palatino Linotype" w:hAnsi="Palatino Linotype" w:cs="Palatino Linotype"/>
          <w:b/>
          <w:sz w:val="22"/>
          <w:szCs w:val="22"/>
        </w:rPr>
        <w:t>veintiséis de enero de dos mil veintiséis</w:t>
      </w:r>
      <w:r w:rsidR="00A76F12" w:rsidRPr="0037486F">
        <w:rPr>
          <w:rFonts w:ascii="Palatino Linotype" w:eastAsia="Palatino Linotype" w:hAnsi="Palatino Linotype" w:cs="Palatino Linotype"/>
          <w:sz w:val="22"/>
          <w:szCs w:val="22"/>
        </w:rPr>
        <w:t>, expresando lo siguiente:</w:t>
      </w:r>
    </w:p>
    <w:p w14:paraId="126577AC" w14:textId="77777777" w:rsidR="00532AE4" w:rsidRPr="0037486F" w:rsidRDefault="00532AE4">
      <w:pPr>
        <w:spacing w:line="360" w:lineRule="auto"/>
        <w:jc w:val="both"/>
        <w:rPr>
          <w:rFonts w:ascii="Palatino Linotype" w:eastAsia="Palatino Linotype" w:hAnsi="Palatino Linotype" w:cs="Palatino Linotype"/>
          <w:sz w:val="22"/>
          <w:szCs w:val="22"/>
        </w:rPr>
      </w:pPr>
    </w:p>
    <w:p w14:paraId="59ACBA47" w14:textId="49F12E5F" w:rsidR="00532AE4" w:rsidRPr="0037486F" w:rsidRDefault="00A76F12" w:rsidP="00107A78">
      <w:pPr>
        <w:spacing w:line="276" w:lineRule="auto"/>
        <w:ind w:left="567" w:right="616"/>
        <w:jc w:val="both"/>
        <w:rPr>
          <w:rFonts w:ascii="Palatino Linotype" w:eastAsia="Palatino Linotype" w:hAnsi="Palatino Linotype" w:cs="Palatino Linotype"/>
          <w:i/>
          <w:sz w:val="22"/>
          <w:szCs w:val="22"/>
        </w:rPr>
      </w:pPr>
      <w:r w:rsidRPr="0037486F">
        <w:rPr>
          <w:rFonts w:ascii="Palatino Linotype" w:eastAsia="Palatino Linotype" w:hAnsi="Palatino Linotype" w:cs="Palatino Linotype"/>
          <w:b/>
          <w:sz w:val="22"/>
          <w:szCs w:val="22"/>
        </w:rPr>
        <w:t>a) Acto impugnado</w:t>
      </w:r>
      <w:r w:rsidRPr="0037486F">
        <w:rPr>
          <w:rFonts w:ascii="Palatino Linotype" w:eastAsia="Palatino Linotype" w:hAnsi="Palatino Linotype" w:cs="Palatino Linotype"/>
          <w:b/>
          <w:i/>
          <w:sz w:val="22"/>
          <w:szCs w:val="22"/>
        </w:rPr>
        <w:t xml:space="preserve">. </w:t>
      </w:r>
      <w:r w:rsidR="00A27295" w:rsidRPr="0037486F">
        <w:rPr>
          <w:rFonts w:ascii="Palatino Linotype" w:eastAsia="Palatino Linotype" w:hAnsi="Palatino Linotype" w:cs="Palatino Linotype"/>
          <w:b/>
          <w:i/>
          <w:sz w:val="22"/>
          <w:szCs w:val="22"/>
        </w:rPr>
        <w:t>“</w:t>
      </w:r>
      <w:r w:rsidR="001D7FD5" w:rsidRPr="0037486F">
        <w:rPr>
          <w:rFonts w:ascii="Palatino Linotype" w:eastAsia="Palatino Linotype" w:hAnsi="Palatino Linotype" w:cs="Palatino Linotype"/>
          <w:i/>
          <w:sz w:val="22"/>
          <w:szCs w:val="22"/>
        </w:rPr>
        <w:t>Con fundamento en los artículos 134 de la Constitución Política de los Estados Unidos Mexicanos y 26 de la Ley de Obras Públicas y Servicios Relacionados con las Mismas del Estado de México y Municipios, solicito se informe: ¿Cuáles son las empresas que han recibido más contratos durante su administración, cuál es su relación con funcionarios municipales, y por qué se repiten adjudicaciones a los mismos proveedores?</w:t>
      </w:r>
      <w:r w:rsidR="00EE0A87" w:rsidRPr="0037486F">
        <w:rPr>
          <w:rFonts w:ascii="Palatino Linotype" w:eastAsia="Palatino Linotype" w:hAnsi="Palatino Linotype" w:cs="Palatino Linotype"/>
          <w:i/>
          <w:sz w:val="22"/>
          <w:szCs w:val="22"/>
        </w:rPr>
        <w:t xml:space="preserve">” </w:t>
      </w:r>
      <w:r w:rsidRPr="0037486F">
        <w:rPr>
          <w:rFonts w:ascii="Palatino Linotype" w:eastAsia="Palatino Linotype" w:hAnsi="Palatino Linotype" w:cs="Palatino Linotype"/>
          <w:i/>
          <w:sz w:val="22"/>
          <w:szCs w:val="22"/>
        </w:rPr>
        <w:t>(Sic)</w:t>
      </w:r>
    </w:p>
    <w:p w14:paraId="527329DB" w14:textId="77777777" w:rsidR="00532AE4" w:rsidRPr="0037486F" w:rsidRDefault="00532AE4" w:rsidP="00107A78">
      <w:pPr>
        <w:spacing w:line="276" w:lineRule="auto"/>
        <w:ind w:left="567" w:right="616"/>
        <w:rPr>
          <w:rFonts w:ascii="Palatino Linotype" w:eastAsia="Palatino Linotype" w:hAnsi="Palatino Linotype" w:cs="Palatino Linotype"/>
          <w:b/>
          <w:sz w:val="22"/>
          <w:szCs w:val="22"/>
        </w:rPr>
      </w:pPr>
    </w:p>
    <w:p w14:paraId="27199E43" w14:textId="58A9E6D3" w:rsidR="00532AE4" w:rsidRPr="0037486F" w:rsidRDefault="00A76F12" w:rsidP="00107A78">
      <w:pPr>
        <w:spacing w:line="276" w:lineRule="auto"/>
        <w:ind w:left="567" w:right="616"/>
        <w:jc w:val="both"/>
        <w:rPr>
          <w:rFonts w:ascii="Palatino Linotype" w:eastAsia="Palatino Linotype" w:hAnsi="Palatino Linotype" w:cs="Palatino Linotype"/>
          <w:i/>
          <w:sz w:val="22"/>
          <w:szCs w:val="22"/>
        </w:rPr>
      </w:pPr>
      <w:r w:rsidRPr="0037486F">
        <w:rPr>
          <w:rFonts w:ascii="Palatino Linotype" w:eastAsia="Palatino Linotype" w:hAnsi="Palatino Linotype" w:cs="Palatino Linotype"/>
          <w:b/>
          <w:sz w:val="22"/>
          <w:szCs w:val="22"/>
        </w:rPr>
        <w:t xml:space="preserve">b) Motivos de inconformidad. </w:t>
      </w:r>
      <w:r w:rsidRPr="0037486F">
        <w:rPr>
          <w:rFonts w:ascii="Palatino Linotype" w:eastAsia="Palatino Linotype" w:hAnsi="Palatino Linotype" w:cs="Palatino Linotype"/>
          <w:i/>
          <w:sz w:val="22"/>
          <w:szCs w:val="22"/>
        </w:rPr>
        <w:t>“</w:t>
      </w:r>
      <w:r w:rsidR="001D7FD5" w:rsidRPr="0037486F">
        <w:rPr>
          <w:rFonts w:ascii="Palatino Linotype" w:eastAsia="Palatino Linotype" w:hAnsi="Palatino Linotype" w:cs="Palatino Linotype"/>
          <w:i/>
          <w:sz w:val="22"/>
          <w:szCs w:val="22"/>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w:t>
      </w:r>
      <w:r w:rsidR="001D7FD5" w:rsidRPr="0037486F">
        <w:rPr>
          <w:rFonts w:ascii="Palatino Linotype" w:eastAsia="Palatino Linotype" w:hAnsi="Palatino Linotype" w:cs="Palatino Linotype"/>
          <w:i/>
          <w:sz w:val="22"/>
          <w:szCs w:val="22"/>
        </w:rPr>
        <w:lastRenderedPageBreak/>
        <w:t>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00A27295" w:rsidRPr="0037486F">
        <w:rPr>
          <w:rFonts w:ascii="Palatino Linotype" w:eastAsia="Palatino Linotype" w:hAnsi="Palatino Linotype" w:cs="Palatino Linotype"/>
          <w:i/>
          <w:sz w:val="22"/>
          <w:szCs w:val="22"/>
        </w:rPr>
        <w:t>”</w:t>
      </w:r>
      <w:r w:rsidRPr="0037486F">
        <w:rPr>
          <w:rFonts w:ascii="Palatino Linotype" w:eastAsia="Palatino Linotype" w:hAnsi="Palatino Linotype" w:cs="Palatino Linotype"/>
          <w:i/>
          <w:sz w:val="22"/>
          <w:szCs w:val="22"/>
        </w:rPr>
        <w:t xml:space="preserve"> (Sic)</w:t>
      </w:r>
    </w:p>
    <w:p w14:paraId="1CD932CE" w14:textId="77777777" w:rsidR="00532AE4" w:rsidRPr="0037486F" w:rsidRDefault="00532AE4">
      <w:pPr>
        <w:spacing w:line="360" w:lineRule="auto"/>
        <w:jc w:val="both"/>
        <w:rPr>
          <w:rFonts w:ascii="Palatino Linotype" w:eastAsia="Palatino Linotype" w:hAnsi="Palatino Linotype" w:cs="Palatino Linotype"/>
          <w:i/>
          <w:sz w:val="22"/>
          <w:szCs w:val="22"/>
        </w:rPr>
      </w:pPr>
    </w:p>
    <w:p w14:paraId="537EC0BB" w14:textId="7DFC5DEA" w:rsidR="00532AE4" w:rsidRPr="0037486F" w:rsidRDefault="008869C2">
      <w:pPr>
        <w:spacing w:line="360" w:lineRule="auto"/>
        <w:jc w:val="both"/>
        <w:rPr>
          <w:rFonts w:ascii="Palatino Linotype" w:eastAsia="Palatino Linotype" w:hAnsi="Palatino Linotype" w:cs="Palatino Linotype"/>
          <w:sz w:val="22"/>
          <w:szCs w:val="22"/>
        </w:rPr>
      </w:pPr>
      <w:r w:rsidRPr="0037486F">
        <w:rPr>
          <w:rFonts w:ascii="Palatino Linotype" w:eastAsia="Palatino Linotype" w:hAnsi="Palatino Linotype" w:cs="Palatino Linotype"/>
          <w:b/>
          <w:sz w:val="22"/>
          <w:szCs w:val="22"/>
        </w:rPr>
        <w:t>4</w:t>
      </w:r>
      <w:r w:rsidR="00A76F12" w:rsidRPr="0037486F">
        <w:rPr>
          <w:rFonts w:ascii="Palatino Linotype" w:eastAsia="Palatino Linotype" w:hAnsi="Palatino Linotype" w:cs="Palatino Linotype"/>
          <w:b/>
          <w:sz w:val="22"/>
          <w:szCs w:val="22"/>
        </w:rPr>
        <w:t xml:space="preserve">. Turno. </w:t>
      </w:r>
      <w:r w:rsidR="00A76F12" w:rsidRPr="0037486F">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00A76F12" w:rsidRPr="0037486F">
        <w:rPr>
          <w:rFonts w:ascii="Palatino Linotype" w:eastAsia="Palatino Linotype" w:hAnsi="Palatino Linotype" w:cs="Palatino Linotype"/>
          <w:b/>
          <w:sz w:val="22"/>
          <w:szCs w:val="22"/>
        </w:rPr>
        <w:t>Guadalupe Ramírez Peña</w:t>
      </w:r>
      <w:r w:rsidR="00A76F12" w:rsidRPr="0037486F">
        <w:rPr>
          <w:rFonts w:ascii="Palatino Linotype" w:eastAsia="Palatino Linotype" w:hAnsi="Palatino Linotype" w:cs="Palatino Linotype"/>
          <w:sz w:val="22"/>
          <w:szCs w:val="22"/>
        </w:rPr>
        <w:t>, a efecto de presentar al Pleno el proyecto de resolución correspondiente.</w:t>
      </w:r>
    </w:p>
    <w:p w14:paraId="40B4B31B" w14:textId="77777777" w:rsidR="00532AE4" w:rsidRPr="0037486F" w:rsidRDefault="00532AE4">
      <w:pPr>
        <w:spacing w:line="360" w:lineRule="auto"/>
        <w:jc w:val="both"/>
        <w:rPr>
          <w:rFonts w:ascii="Palatino Linotype" w:eastAsia="Palatino Linotype" w:hAnsi="Palatino Linotype" w:cs="Palatino Linotype"/>
          <w:sz w:val="22"/>
          <w:szCs w:val="22"/>
        </w:rPr>
      </w:pPr>
    </w:p>
    <w:p w14:paraId="6F47DF3C" w14:textId="3FFF952E" w:rsidR="00532AE4" w:rsidRPr="0037486F" w:rsidRDefault="008869C2">
      <w:pPr>
        <w:spacing w:line="360" w:lineRule="auto"/>
        <w:jc w:val="both"/>
        <w:rPr>
          <w:rFonts w:ascii="Palatino Linotype" w:eastAsia="Palatino Linotype" w:hAnsi="Palatino Linotype" w:cs="Palatino Linotype"/>
          <w:sz w:val="22"/>
          <w:szCs w:val="22"/>
        </w:rPr>
      </w:pPr>
      <w:r w:rsidRPr="0037486F">
        <w:rPr>
          <w:rFonts w:ascii="Palatino Linotype" w:eastAsia="Palatino Linotype" w:hAnsi="Palatino Linotype" w:cs="Palatino Linotype"/>
          <w:b/>
          <w:sz w:val="22"/>
          <w:szCs w:val="22"/>
        </w:rPr>
        <w:t>5</w:t>
      </w:r>
      <w:r w:rsidR="00A76F12" w:rsidRPr="0037486F">
        <w:rPr>
          <w:rFonts w:ascii="Palatino Linotype" w:eastAsia="Palatino Linotype" w:hAnsi="Palatino Linotype" w:cs="Palatino Linotype"/>
          <w:b/>
          <w:sz w:val="22"/>
          <w:szCs w:val="22"/>
        </w:rPr>
        <w:t xml:space="preserve">. Admisión. </w:t>
      </w:r>
      <w:r w:rsidR="000672C5" w:rsidRPr="0037486F">
        <w:rPr>
          <w:rFonts w:ascii="Palatino Linotype" w:eastAsia="Palatino Linotype" w:hAnsi="Palatino Linotype" w:cs="Palatino Linotype"/>
          <w:sz w:val="22"/>
          <w:szCs w:val="22"/>
        </w:rPr>
        <w:t xml:space="preserve">En </w:t>
      </w:r>
      <w:r w:rsidR="00A8506B" w:rsidRPr="0037486F">
        <w:rPr>
          <w:rFonts w:ascii="Palatino Linotype" w:eastAsia="Palatino Linotype" w:hAnsi="Palatino Linotype" w:cs="Palatino Linotype"/>
          <w:sz w:val="22"/>
          <w:szCs w:val="22"/>
        </w:rPr>
        <w:t xml:space="preserve">fecha </w:t>
      </w:r>
      <w:r w:rsidR="001D7FD5" w:rsidRPr="0037486F">
        <w:rPr>
          <w:rFonts w:ascii="Palatino Linotype" w:eastAsia="Palatino Linotype" w:hAnsi="Palatino Linotype" w:cs="Palatino Linotype"/>
          <w:b/>
          <w:sz w:val="22"/>
          <w:szCs w:val="22"/>
        </w:rPr>
        <w:t>treinta de enero de dos mil veintiséis</w:t>
      </w:r>
      <w:r w:rsidR="00A8506B" w:rsidRPr="0037486F">
        <w:rPr>
          <w:rFonts w:ascii="Palatino Linotype" w:eastAsia="Palatino Linotype" w:hAnsi="Palatino Linotype" w:cs="Palatino Linotype"/>
          <w:sz w:val="22"/>
          <w:szCs w:val="22"/>
        </w:rPr>
        <w:t>,</w:t>
      </w:r>
      <w:r w:rsidR="000E7889" w:rsidRPr="0037486F">
        <w:rPr>
          <w:rFonts w:ascii="Palatino Linotype" w:eastAsia="Palatino Linotype" w:hAnsi="Palatino Linotype" w:cs="Palatino Linotype"/>
          <w:sz w:val="22"/>
          <w:szCs w:val="22"/>
        </w:rPr>
        <w:t xml:space="preserve"> </w:t>
      </w:r>
      <w:r w:rsidR="00A76F12" w:rsidRPr="0037486F">
        <w:rPr>
          <w:rFonts w:ascii="Palatino Linotype" w:eastAsia="Palatino Linotype" w:hAnsi="Palatino Linotype" w:cs="Palatino Linotype"/>
          <w:sz w:val="22"/>
          <w:szCs w:val="22"/>
        </w:rPr>
        <w:t xml:space="preserve">en términos de lo dispuesto en el artículo 185 fracciones I, II y IV de la Ley de Transparencia y Acceso a la Información </w:t>
      </w:r>
      <w:r w:rsidR="00A76F12" w:rsidRPr="0037486F">
        <w:rPr>
          <w:rFonts w:ascii="Palatino Linotype" w:eastAsia="Palatino Linotype" w:hAnsi="Palatino Linotype" w:cs="Palatino Linotype"/>
          <w:sz w:val="22"/>
          <w:szCs w:val="22"/>
        </w:rPr>
        <w:lastRenderedPageBreak/>
        <w:t>Pública del Estado de México y Municipios, se admitió a trámite el recurso de revisión al rubro indicado.</w:t>
      </w:r>
    </w:p>
    <w:p w14:paraId="334BE521" w14:textId="77777777" w:rsidR="00532AE4" w:rsidRPr="0037486F" w:rsidRDefault="00532AE4">
      <w:pPr>
        <w:spacing w:line="360" w:lineRule="auto"/>
        <w:jc w:val="both"/>
        <w:rPr>
          <w:rFonts w:ascii="Palatino Linotype" w:eastAsia="Palatino Linotype" w:hAnsi="Palatino Linotype" w:cs="Palatino Linotype"/>
          <w:sz w:val="22"/>
          <w:szCs w:val="22"/>
        </w:rPr>
      </w:pPr>
    </w:p>
    <w:p w14:paraId="01A1DEDC" w14:textId="642ADFC3" w:rsidR="00532AE4" w:rsidRPr="0037486F" w:rsidRDefault="008869C2">
      <w:pPr>
        <w:widowControl w:val="0"/>
        <w:spacing w:line="360" w:lineRule="auto"/>
        <w:ind w:right="49"/>
        <w:jc w:val="both"/>
        <w:rPr>
          <w:rFonts w:ascii="Palatino Linotype" w:eastAsia="Palatino Linotype" w:hAnsi="Palatino Linotype" w:cs="Palatino Linotype"/>
          <w:sz w:val="22"/>
          <w:szCs w:val="22"/>
        </w:rPr>
      </w:pPr>
      <w:r w:rsidRPr="0037486F">
        <w:rPr>
          <w:rFonts w:ascii="Palatino Linotype" w:eastAsia="Palatino Linotype" w:hAnsi="Palatino Linotype" w:cs="Palatino Linotype"/>
          <w:b/>
          <w:sz w:val="22"/>
          <w:szCs w:val="22"/>
        </w:rPr>
        <w:t>6</w:t>
      </w:r>
      <w:r w:rsidR="00A76F12" w:rsidRPr="0037486F">
        <w:rPr>
          <w:rFonts w:ascii="Palatino Linotype" w:eastAsia="Palatino Linotype" w:hAnsi="Palatino Linotype" w:cs="Palatino Linotype"/>
          <w:b/>
          <w:sz w:val="22"/>
          <w:szCs w:val="22"/>
        </w:rPr>
        <w:t>. Manifestaciones</w:t>
      </w:r>
      <w:r w:rsidR="00A76F12" w:rsidRPr="0037486F">
        <w:rPr>
          <w:rFonts w:ascii="Palatino Linotype" w:eastAsia="Palatino Linotype" w:hAnsi="Palatino Linotype" w:cs="Palatino Linotype"/>
          <w:sz w:val="22"/>
          <w:szCs w:val="22"/>
        </w:rPr>
        <w:t>. Las partes fueron omisas en rendir manifestaciones, como se observa a continuación en la siguiente imagen</w:t>
      </w:r>
      <w:r w:rsidR="008A261D" w:rsidRPr="0037486F">
        <w:rPr>
          <w:rFonts w:ascii="Palatino Linotype" w:eastAsia="Palatino Linotype" w:hAnsi="Palatino Linotype" w:cs="Palatino Linotype"/>
          <w:sz w:val="22"/>
          <w:szCs w:val="22"/>
        </w:rPr>
        <w:t>.</w:t>
      </w:r>
      <w:r w:rsidR="00EE0A87" w:rsidRPr="0037486F">
        <w:rPr>
          <w:rFonts w:ascii="Palatino Linotype" w:eastAsia="Palatino Linotype" w:hAnsi="Palatino Linotype" w:cs="Palatino Linotype"/>
          <w:sz w:val="22"/>
          <w:szCs w:val="22"/>
        </w:rPr>
        <w:t xml:space="preserve"> </w:t>
      </w:r>
    </w:p>
    <w:p w14:paraId="39EF566B" w14:textId="7B6E5AB2" w:rsidR="00532AE4" w:rsidRPr="0037486F" w:rsidRDefault="00A76F12">
      <w:pPr>
        <w:spacing w:line="360" w:lineRule="auto"/>
        <w:jc w:val="both"/>
        <w:rPr>
          <w:rFonts w:ascii="Palatino Linotype" w:eastAsia="Palatino Linotype" w:hAnsi="Palatino Linotype" w:cs="Palatino Linotype"/>
          <w:sz w:val="22"/>
          <w:szCs w:val="22"/>
        </w:rPr>
      </w:pPr>
      <w:r w:rsidRPr="0037486F">
        <w:rPr>
          <w:rFonts w:ascii="Palatino Linotype" w:eastAsia="Palatino Linotype" w:hAnsi="Palatino Linotype" w:cs="Palatino Linotype"/>
          <w:sz w:val="22"/>
          <w:szCs w:val="22"/>
        </w:rPr>
        <w:t xml:space="preserve"> </w:t>
      </w:r>
      <w:r w:rsidR="00545D67" w:rsidRPr="0037486F">
        <w:rPr>
          <w:rFonts w:ascii="Palatino Linotype" w:eastAsia="Palatino Linotype" w:hAnsi="Palatino Linotype" w:cs="Palatino Linotype"/>
          <w:noProof/>
          <w:sz w:val="22"/>
          <w:szCs w:val="22"/>
        </w:rPr>
        <w:drawing>
          <wp:inline distT="0" distB="0" distL="0" distR="0" wp14:anchorId="539A4BAF" wp14:editId="7ABC05AD">
            <wp:extent cx="5612130" cy="1597660"/>
            <wp:effectExtent l="0" t="0" r="762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2130" cy="1597660"/>
                    </a:xfrm>
                    <a:prstGeom prst="rect">
                      <a:avLst/>
                    </a:prstGeom>
                  </pic:spPr>
                </pic:pic>
              </a:graphicData>
            </a:graphic>
          </wp:inline>
        </w:drawing>
      </w:r>
    </w:p>
    <w:p w14:paraId="27F6C75E" w14:textId="77777777" w:rsidR="00545D67" w:rsidRPr="0037486F" w:rsidRDefault="00545D67">
      <w:pPr>
        <w:spacing w:line="360" w:lineRule="auto"/>
        <w:jc w:val="both"/>
        <w:rPr>
          <w:rFonts w:ascii="Palatino Linotype" w:eastAsia="Palatino Linotype" w:hAnsi="Palatino Linotype" w:cs="Palatino Linotype"/>
          <w:b/>
          <w:sz w:val="22"/>
          <w:szCs w:val="22"/>
        </w:rPr>
      </w:pPr>
    </w:p>
    <w:p w14:paraId="2DD31F10" w14:textId="2803EA3C" w:rsidR="00532AE4" w:rsidRPr="0037486F" w:rsidRDefault="008869C2">
      <w:pPr>
        <w:spacing w:line="360" w:lineRule="auto"/>
        <w:jc w:val="both"/>
        <w:rPr>
          <w:rFonts w:ascii="Palatino Linotype" w:eastAsia="Palatino Linotype" w:hAnsi="Palatino Linotype" w:cs="Palatino Linotype"/>
          <w:sz w:val="22"/>
          <w:szCs w:val="22"/>
        </w:rPr>
      </w:pPr>
      <w:r w:rsidRPr="0037486F">
        <w:rPr>
          <w:rFonts w:ascii="Palatino Linotype" w:eastAsia="Palatino Linotype" w:hAnsi="Palatino Linotype" w:cs="Palatino Linotype"/>
          <w:b/>
          <w:sz w:val="22"/>
          <w:szCs w:val="22"/>
        </w:rPr>
        <w:t>7</w:t>
      </w:r>
      <w:r w:rsidR="00A76F12" w:rsidRPr="0037486F">
        <w:rPr>
          <w:rFonts w:ascii="Palatino Linotype" w:eastAsia="Palatino Linotype" w:hAnsi="Palatino Linotype" w:cs="Palatino Linotype"/>
          <w:b/>
          <w:sz w:val="22"/>
          <w:szCs w:val="22"/>
        </w:rPr>
        <w:t xml:space="preserve">. Cierre de instrucción. </w:t>
      </w:r>
      <w:r w:rsidR="00A76F12" w:rsidRPr="0037486F">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00EE0A87" w:rsidRPr="0037486F">
        <w:rPr>
          <w:rFonts w:ascii="Palatino Linotype" w:eastAsia="Palatino Linotype" w:hAnsi="Palatino Linotype" w:cs="Palatino Linotype"/>
          <w:b/>
          <w:sz w:val="22"/>
          <w:szCs w:val="22"/>
        </w:rPr>
        <w:t xml:space="preserve">doce de </w:t>
      </w:r>
      <w:r w:rsidR="00545D67" w:rsidRPr="0037486F">
        <w:rPr>
          <w:rFonts w:ascii="Palatino Linotype" w:eastAsia="Palatino Linotype" w:hAnsi="Palatino Linotype" w:cs="Palatino Linotype"/>
          <w:b/>
          <w:sz w:val="22"/>
          <w:szCs w:val="22"/>
        </w:rPr>
        <w:t>febrero</w:t>
      </w:r>
      <w:r w:rsidR="00EE0A87" w:rsidRPr="0037486F">
        <w:rPr>
          <w:rFonts w:ascii="Palatino Linotype" w:eastAsia="Palatino Linotype" w:hAnsi="Palatino Linotype" w:cs="Palatino Linotype"/>
          <w:b/>
          <w:sz w:val="22"/>
          <w:szCs w:val="22"/>
        </w:rPr>
        <w:t xml:space="preserve"> de dos mil veintiséis</w:t>
      </w:r>
      <w:r w:rsidR="00A76F12" w:rsidRPr="0037486F">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175B861A" w14:textId="77777777" w:rsidR="00532AE4" w:rsidRPr="0037486F" w:rsidRDefault="00532AE4">
      <w:pPr>
        <w:spacing w:line="360" w:lineRule="auto"/>
        <w:jc w:val="both"/>
        <w:rPr>
          <w:rFonts w:ascii="Palatino Linotype" w:eastAsia="Palatino Linotype" w:hAnsi="Palatino Linotype" w:cs="Palatino Linotype"/>
          <w:sz w:val="22"/>
          <w:szCs w:val="22"/>
        </w:rPr>
      </w:pPr>
    </w:p>
    <w:p w14:paraId="2D344C64" w14:textId="77777777" w:rsidR="00532AE4" w:rsidRPr="0037486F" w:rsidRDefault="00A76F12">
      <w:pPr>
        <w:spacing w:line="360" w:lineRule="auto"/>
        <w:jc w:val="both"/>
        <w:rPr>
          <w:rFonts w:ascii="Palatino Linotype" w:eastAsia="Palatino Linotype" w:hAnsi="Palatino Linotype" w:cs="Palatino Linotype"/>
          <w:sz w:val="22"/>
          <w:szCs w:val="22"/>
        </w:rPr>
      </w:pPr>
      <w:r w:rsidRPr="0037486F">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4A6373F7" w14:textId="393DB9DE" w:rsidR="00532AE4" w:rsidRPr="0037486F" w:rsidRDefault="00532AE4">
      <w:pPr>
        <w:spacing w:line="360" w:lineRule="auto"/>
        <w:jc w:val="both"/>
        <w:rPr>
          <w:rFonts w:ascii="Palatino Linotype" w:eastAsia="Palatino Linotype" w:hAnsi="Palatino Linotype" w:cs="Palatino Linotype"/>
          <w:sz w:val="22"/>
          <w:szCs w:val="22"/>
        </w:rPr>
      </w:pPr>
    </w:p>
    <w:p w14:paraId="10104AB9" w14:textId="5C0F6336" w:rsidR="00545D67" w:rsidRPr="0037486F" w:rsidRDefault="00545D67">
      <w:pPr>
        <w:spacing w:line="360" w:lineRule="auto"/>
        <w:jc w:val="both"/>
        <w:rPr>
          <w:rFonts w:ascii="Palatino Linotype" w:eastAsia="Palatino Linotype" w:hAnsi="Palatino Linotype" w:cs="Palatino Linotype"/>
          <w:sz w:val="22"/>
          <w:szCs w:val="22"/>
        </w:rPr>
      </w:pPr>
    </w:p>
    <w:p w14:paraId="555DFDCF" w14:textId="11DEDD52" w:rsidR="00545D67" w:rsidRPr="0037486F" w:rsidRDefault="00545D67">
      <w:pPr>
        <w:spacing w:line="360" w:lineRule="auto"/>
        <w:jc w:val="both"/>
        <w:rPr>
          <w:rFonts w:ascii="Palatino Linotype" w:eastAsia="Palatino Linotype" w:hAnsi="Palatino Linotype" w:cs="Palatino Linotype"/>
          <w:sz w:val="22"/>
          <w:szCs w:val="22"/>
        </w:rPr>
      </w:pPr>
    </w:p>
    <w:p w14:paraId="2DDD5494" w14:textId="77777777" w:rsidR="00545D67" w:rsidRPr="0037486F" w:rsidRDefault="00545D67">
      <w:pPr>
        <w:spacing w:line="360" w:lineRule="auto"/>
        <w:jc w:val="both"/>
        <w:rPr>
          <w:rFonts w:ascii="Palatino Linotype" w:eastAsia="Palatino Linotype" w:hAnsi="Palatino Linotype" w:cs="Palatino Linotype"/>
          <w:sz w:val="22"/>
          <w:szCs w:val="22"/>
        </w:rPr>
      </w:pPr>
    </w:p>
    <w:p w14:paraId="6464AA30" w14:textId="77777777" w:rsidR="00532AE4" w:rsidRPr="0037486F" w:rsidRDefault="00A76F12">
      <w:pPr>
        <w:widowControl w:val="0"/>
        <w:spacing w:line="360" w:lineRule="auto"/>
        <w:jc w:val="center"/>
        <w:rPr>
          <w:rFonts w:ascii="Palatino Linotype" w:eastAsia="Palatino Linotype" w:hAnsi="Palatino Linotype" w:cs="Palatino Linotype"/>
          <w:b/>
          <w:sz w:val="22"/>
          <w:szCs w:val="22"/>
        </w:rPr>
      </w:pPr>
      <w:r w:rsidRPr="0037486F">
        <w:rPr>
          <w:rFonts w:ascii="Palatino Linotype" w:eastAsia="Palatino Linotype" w:hAnsi="Palatino Linotype" w:cs="Palatino Linotype"/>
          <w:b/>
          <w:sz w:val="22"/>
          <w:szCs w:val="22"/>
        </w:rPr>
        <w:lastRenderedPageBreak/>
        <w:t>II. C O N S I D E R A N D O S</w:t>
      </w:r>
    </w:p>
    <w:p w14:paraId="04E1DD04" w14:textId="77777777" w:rsidR="00532AE4" w:rsidRPr="0037486F" w:rsidRDefault="00532AE4">
      <w:pPr>
        <w:widowControl w:val="0"/>
        <w:pBdr>
          <w:top w:val="nil"/>
          <w:left w:val="nil"/>
          <w:bottom w:val="nil"/>
          <w:right w:val="nil"/>
          <w:between w:val="nil"/>
        </w:pBdr>
        <w:spacing w:line="360" w:lineRule="auto"/>
        <w:ind w:left="1080"/>
        <w:rPr>
          <w:rFonts w:ascii="Palatino Linotype" w:eastAsia="Palatino Linotype" w:hAnsi="Palatino Linotype" w:cs="Palatino Linotype"/>
          <w:b/>
          <w:sz w:val="22"/>
          <w:szCs w:val="22"/>
        </w:rPr>
      </w:pPr>
    </w:p>
    <w:p w14:paraId="606801A8" w14:textId="2644C8A2" w:rsidR="00532AE4" w:rsidRPr="0037486F" w:rsidRDefault="00A76F12" w:rsidP="005231DC">
      <w:pPr>
        <w:spacing w:line="360" w:lineRule="auto"/>
        <w:jc w:val="both"/>
        <w:rPr>
          <w:rFonts w:ascii="Palatino Linotype" w:eastAsia="Palatino Linotype" w:hAnsi="Palatino Linotype" w:cs="Palatino Linotype"/>
          <w:sz w:val="22"/>
          <w:szCs w:val="22"/>
        </w:rPr>
      </w:pPr>
      <w:r w:rsidRPr="0037486F">
        <w:rPr>
          <w:rFonts w:ascii="Palatino Linotype" w:eastAsia="Palatino Linotype" w:hAnsi="Palatino Linotype" w:cs="Palatino Linotype"/>
          <w:b/>
          <w:sz w:val="22"/>
          <w:szCs w:val="22"/>
        </w:rPr>
        <w:t>Primero. Competencia.</w:t>
      </w:r>
      <w:r w:rsidRPr="0037486F">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w:t>
      </w:r>
      <w:r w:rsidR="009100C5" w:rsidRPr="0037486F">
        <w:rPr>
          <w:rFonts w:ascii="Palatino Linotype" w:eastAsia="Palatino Linotype" w:hAnsi="Palatino Linotype" w:cs="Palatino Linotype"/>
          <w:sz w:val="22"/>
          <w:szCs w:val="22"/>
        </w:rPr>
        <w:t>5 párrafos cuadragésimo cuarto, cuadragésimo quinto y cuadragésimo sexto, fracciones IV y V de la Constitución Política del Estado Libre y Soberano de México; transitorio Cuarto del Decreto número 198 de la “LXII” Legislatura del Estado de México</w:t>
      </w:r>
      <w:r w:rsidRPr="0037486F">
        <w:rPr>
          <w:rFonts w:ascii="Palatino Linotype" w:eastAsia="Palatino Linotype" w:hAnsi="Palatino Linotype" w:cs="Palatino Linotype"/>
          <w:sz w:val="22"/>
          <w:szCs w:val="22"/>
        </w:rPr>
        <w:t>;</w:t>
      </w:r>
      <w:r w:rsidR="005231DC" w:rsidRPr="0037486F">
        <w:rPr>
          <w:rFonts w:ascii="Palatino Linotype" w:eastAsia="Palatino Linotype" w:hAnsi="Palatino Linotype" w:cs="Palatino Linotype"/>
          <w:sz w:val="22"/>
          <w:szCs w:val="22"/>
        </w:rPr>
        <w:t xml:space="preserve"> </w:t>
      </w:r>
      <w:r w:rsidRPr="0037486F">
        <w:rPr>
          <w:rFonts w:ascii="Palatino Linotype" w:eastAsia="Palatino Linotype" w:hAnsi="Palatino Linotype" w:cs="Palatino Linotype"/>
          <w:sz w:val="22"/>
          <w:szCs w:val="22"/>
        </w:rPr>
        <w:t>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11148092" w14:textId="77777777" w:rsidR="00532AE4" w:rsidRPr="0037486F" w:rsidRDefault="00532AE4">
      <w:pPr>
        <w:spacing w:line="360" w:lineRule="auto"/>
        <w:jc w:val="both"/>
        <w:rPr>
          <w:rFonts w:ascii="Palatino Linotype" w:eastAsia="Palatino Linotype" w:hAnsi="Palatino Linotype" w:cs="Palatino Linotype"/>
          <w:sz w:val="22"/>
          <w:szCs w:val="22"/>
        </w:rPr>
      </w:pPr>
    </w:p>
    <w:p w14:paraId="5A952227" w14:textId="77777777" w:rsidR="00532AE4" w:rsidRPr="0037486F" w:rsidRDefault="00A76F12">
      <w:pPr>
        <w:spacing w:line="360" w:lineRule="auto"/>
        <w:jc w:val="both"/>
        <w:rPr>
          <w:rFonts w:ascii="Palatino Linotype" w:eastAsia="Palatino Linotype" w:hAnsi="Palatino Linotype" w:cs="Palatino Linotype"/>
          <w:sz w:val="22"/>
          <w:szCs w:val="22"/>
        </w:rPr>
      </w:pPr>
      <w:r w:rsidRPr="0037486F">
        <w:rPr>
          <w:rFonts w:ascii="Palatino Linotype" w:eastAsia="Palatino Linotype" w:hAnsi="Palatino Linotype" w:cs="Palatino Linotype"/>
          <w:b/>
          <w:sz w:val="22"/>
          <w:szCs w:val="22"/>
        </w:rPr>
        <w:t xml:space="preserve">Segundo. Oportunidad y Procedibilidad del Recurso de Revisión. </w:t>
      </w:r>
      <w:r w:rsidRPr="0037486F">
        <w:rPr>
          <w:rFonts w:ascii="Palatino Linotype" w:eastAsia="Palatino Linotype" w:hAnsi="Palatino Linotype" w:cs="Palatino Linotype"/>
          <w:sz w:val="22"/>
          <w:szCs w:val="22"/>
        </w:rPr>
        <w:t>Por cuanto hace a la oportunidad del recurso de revisión</w:t>
      </w:r>
      <w:r w:rsidRPr="0037486F">
        <w:rPr>
          <w:rFonts w:ascii="Palatino Linotype" w:eastAsia="Palatino Linotype" w:hAnsi="Palatino Linotype" w:cs="Palatino Linotype"/>
          <w:b/>
          <w:sz w:val="22"/>
          <w:szCs w:val="22"/>
        </w:rPr>
        <w:t xml:space="preserve"> </w:t>
      </w:r>
      <w:r w:rsidRPr="0037486F">
        <w:rPr>
          <w:rFonts w:ascii="Palatino Linotype" w:eastAsia="Palatino Linotype" w:hAnsi="Palatino Linotype" w:cs="Palatino Linotype"/>
          <w:sz w:val="22"/>
          <w:szCs w:val="22"/>
        </w:rPr>
        <w:t>es necesario considerar lo previsto en los artículos 163, párrafo primero; 166, penúltimo párrafo y 178, párrafo segundo; de la Ley de Transparencia y Acceso a la Información Pública del Estado de México y Municipios, de cuya interpretación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264C0617" w14:textId="77777777" w:rsidR="00532AE4" w:rsidRPr="0037486F" w:rsidRDefault="00532AE4">
      <w:pPr>
        <w:spacing w:line="360" w:lineRule="auto"/>
        <w:jc w:val="both"/>
        <w:rPr>
          <w:rFonts w:ascii="Palatino Linotype" w:eastAsia="Palatino Linotype" w:hAnsi="Palatino Linotype" w:cs="Palatino Linotype"/>
          <w:sz w:val="22"/>
          <w:szCs w:val="22"/>
        </w:rPr>
      </w:pPr>
    </w:p>
    <w:p w14:paraId="4D92649D" w14:textId="77777777" w:rsidR="00532AE4" w:rsidRPr="0037486F" w:rsidRDefault="00A76F12">
      <w:pPr>
        <w:spacing w:line="360" w:lineRule="auto"/>
        <w:jc w:val="both"/>
        <w:rPr>
          <w:rFonts w:ascii="Palatino Linotype" w:eastAsia="Palatino Linotype" w:hAnsi="Palatino Linotype" w:cs="Palatino Linotype"/>
          <w:sz w:val="22"/>
          <w:szCs w:val="22"/>
        </w:rPr>
      </w:pPr>
      <w:r w:rsidRPr="0037486F">
        <w:rPr>
          <w:rFonts w:ascii="Palatino Linotype" w:eastAsia="Palatino Linotype" w:hAnsi="Palatino Linotype" w:cs="Palatino Linotype"/>
          <w:sz w:val="22"/>
          <w:szCs w:val="22"/>
        </w:rPr>
        <w:lastRenderedPageBreak/>
        <w:t xml:space="preserve">Derivado de lo anterior, se constituye la figura jurídica de la </w:t>
      </w:r>
      <w:r w:rsidRPr="0037486F">
        <w:rPr>
          <w:rFonts w:ascii="Palatino Linotype" w:eastAsia="Palatino Linotype" w:hAnsi="Palatino Linotype" w:cs="Palatino Linotype"/>
          <w:b/>
          <w:sz w:val="22"/>
          <w:szCs w:val="22"/>
        </w:rPr>
        <w:t>NEGATIVA FICTA</w:t>
      </w:r>
      <w:r w:rsidRPr="0037486F">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042AC716" w14:textId="77777777" w:rsidR="00532AE4" w:rsidRPr="0037486F" w:rsidRDefault="00532AE4">
      <w:pPr>
        <w:spacing w:line="360" w:lineRule="auto"/>
        <w:jc w:val="both"/>
        <w:rPr>
          <w:rFonts w:ascii="Palatino Linotype" w:eastAsia="Palatino Linotype" w:hAnsi="Palatino Linotype" w:cs="Palatino Linotype"/>
          <w:sz w:val="22"/>
          <w:szCs w:val="22"/>
        </w:rPr>
      </w:pPr>
    </w:p>
    <w:p w14:paraId="7824479E" w14:textId="77777777" w:rsidR="00532AE4" w:rsidRPr="0037486F" w:rsidRDefault="00A76F12">
      <w:pPr>
        <w:spacing w:line="360" w:lineRule="auto"/>
        <w:jc w:val="both"/>
        <w:rPr>
          <w:rFonts w:ascii="Palatino Linotype" w:eastAsia="Palatino Linotype" w:hAnsi="Palatino Linotype" w:cs="Palatino Linotype"/>
          <w:sz w:val="22"/>
          <w:szCs w:val="22"/>
        </w:rPr>
      </w:pPr>
      <w:r w:rsidRPr="0037486F">
        <w:rPr>
          <w:rFonts w:ascii="Palatino Linotype" w:eastAsia="Palatino Linotype" w:hAnsi="Palatino Linotype" w:cs="Palatino Linotype"/>
          <w:sz w:val="22"/>
          <w:szCs w:val="22"/>
        </w:rPr>
        <w:t xml:space="preserve">De tal manera, en el presente recurso de revisión se actualizó la negativa ficta por parte del </w:t>
      </w:r>
      <w:r w:rsidRPr="0037486F">
        <w:rPr>
          <w:rFonts w:ascii="Palatino Linotype" w:eastAsia="Palatino Linotype" w:hAnsi="Palatino Linotype" w:cs="Palatino Linotype"/>
          <w:b/>
          <w:sz w:val="22"/>
          <w:szCs w:val="22"/>
        </w:rPr>
        <w:t>SUJETO OBLIGADO</w:t>
      </w:r>
      <w:r w:rsidRPr="0037486F">
        <w:rPr>
          <w:rFonts w:ascii="Palatino Linotype" w:eastAsia="Palatino Linotype" w:hAnsi="Palatino Linotype" w:cs="Palatino Linotype"/>
          <w:sz w:val="22"/>
          <w:szCs w:val="22"/>
        </w:rPr>
        <w:t xml:space="preserve"> al no haber respondido a la parte </w:t>
      </w:r>
      <w:r w:rsidRPr="0037486F">
        <w:rPr>
          <w:rFonts w:ascii="Palatino Linotype" w:eastAsia="Palatino Linotype" w:hAnsi="Palatino Linotype" w:cs="Palatino Linotype"/>
          <w:b/>
          <w:sz w:val="22"/>
          <w:szCs w:val="22"/>
        </w:rPr>
        <w:t>RECURRENTE</w:t>
      </w:r>
      <w:r w:rsidRPr="0037486F">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pero que el hecho simple de no responder apareja una forma por omisión de negar el acceso a la información.</w:t>
      </w:r>
    </w:p>
    <w:p w14:paraId="22DC742F" w14:textId="77777777" w:rsidR="00532AE4" w:rsidRPr="0037486F" w:rsidRDefault="00532AE4">
      <w:pPr>
        <w:spacing w:line="360" w:lineRule="auto"/>
        <w:jc w:val="both"/>
        <w:rPr>
          <w:rFonts w:ascii="Palatino Linotype" w:eastAsia="Palatino Linotype" w:hAnsi="Palatino Linotype" w:cs="Palatino Linotype"/>
          <w:sz w:val="22"/>
          <w:szCs w:val="22"/>
        </w:rPr>
      </w:pPr>
    </w:p>
    <w:p w14:paraId="7E61E53E" w14:textId="77777777" w:rsidR="00532AE4" w:rsidRPr="0037486F" w:rsidRDefault="00A76F12">
      <w:pPr>
        <w:spacing w:line="360" w:lineRule="auto"/>
        <w:jc w:val="both"/>
        <w:rPr>
          <w:rFonts w:ascii="Palatino Linotype" w:eastAsia="Palatino Linotype" w:hAnsi="Palatino Linotype" w:cs="Palatino Linotype"/>
          <w:sz w:val="22"/>
          <w:szCs w:val="22"/>
        </w:rPr>
      </w:pPr>
      <w:r w:rsidRPr="0037486F">
        <w:rPr>
          <w:rFonts w:ascii="Palatino Linotype" w:eastAsia="Palatino Linotype" w:hAnsi="Palatino Linotype" w:cs="Palatino Linotype"/>
          <w:sz w:val="22"/>
          <w:szCs w:val="22"/>
        </w:rPr>
        <w:t>Si a ello se le suma lo previsto en el párrafo segundo del artículo 178, párrafo segundo</w:t>
      </w:r>
      <w:r w:rsidRPr="0037486F">
        <w:rPr>
          <w:rFonts w:ascii="Palatino Linotype" w:eastAsia="Palatino Linotype" w:hAnsi="Palatino Linotype" w:cs="Palatino Linotype"/>
          <w:sz w:val="22"/>
          <w:szCs w:val="22"/>
          <w:vertAlign w:val="superscript"/>
        </w:rPr>
        <w:footnoteReference w:id="1"/>
      </w:r>
      <w:r w:rsidRPr="0037486F">
        <w:rPr>
          <w:rFonts w:ascii="Palatino Linotype" w:eastAsia="Palatino Linotype" w:hAnsi="Palatino Linotype" w:cs="Palatino Linotype"/>
          <w:sz w:val="22"/>
          <w:szCs w:val="22"/>
        </w:rPr>
        <w:t xml:space="preserve"> de la Ley de Transparencia y Acceso a la Información Pública vigente en la entidad.</w:t>
      </w:r>
    </w:p>
    <w:p w14:paraId="0CA4883E" w14:textId="77777777" w:rsidR="00532AE4" w:rsidRPr="0037486F" w:rsidRDefault="00532AE4">
      <w:pPr>
        <w:spacing w:line="360" w:lineRule="auto"/>
        <w:jc w:val="both"/>
        <w:rPr>
          <w:rFonts w:ascii="Palatino Linotype" w:eastAsia="Palatino Linotype" w:hAnsi="Palatino Linotype" w:cs="Palatino Linotype"/>
          <w:sz w:val="22"/>
          <w:szCs w:val="22"/>
        </w:rPr>
      </w:pPr>
    </w:p>
    <w:p w14:paraId="1F0B6ACC" w14:textId="77777777" w:rsidR="00532AE4" w:rsidRPr="0037486F" w:rsidRDefault="00A76F12">
      <w:pPr>
        <w:spacing w:line="360" w:lineRule="auto"/>
        <w:jc w:val="both"/>
        <w:rPr>
          <w:rFonts w:ascii="Palatino Linotype" w:eastAsia="Palatino Linotype" w:hAnsi="Palatino Linotype" w:cs="Palatino Linotype"/>
          <w:sz w:val="22"/>
          <w:szCs w:val="22"/>
        </w:rPr>
      </w:pPr>
      <w:r w:rsidRPr="0037486F">
        <w:rPr>
          <w:rFonts w:ascii="Palatino Linotype" w:eastAsia="Palatino Linotype" w:hAnsi="Palatino Linotype" w:cs="Palatino Linotype"/>
          <w:sz w:val="22"/>
          <w:szCs w:val="22"/>
        </w:rPr>
        <w:t>Lo anterior encuentra sustento en el CRITERIO número 0001-15, aprobado por unanimidad del Pleno del Instituto de Transparencia, Acceso a la Información Pública y Protección de Datos Personales del Estado de México y Municipios, publicado en el Periódico Oficial del Estado de México “Gaceta del Gobierno”, el veintitrés de abril de dos mil quince, que establece:</w:t>
      </w:r>
    </w:p>
    <w:p w14:paraId="140CD766" w14:textId="77777777" w:rsidR="00532AE4" w:rsidRPr="0037486F" w:rsidRDefault="00532AE4">
      <w:pPr>
        <w:spacing w:line="360" w:lineRule="auto"/>
        <w:jc w:val="both"/>
        <w:rPr>
          <w:i/>
          <w:sz w:val="22"/>
          <w:szCs w:val="22"/>
        </w:rPr>
      </w:pPr>
    </w:p>
    <w:p w14:paraId="4BB01BE0" w14:textId="77777777" w:rsidR="00532AE4" w:rsidRPr="0037486F" w:rsidRDefault="00A76F12">
      <w:pPr>
        <w:ind w:left="567" w:right="616"/>
        <w:jc w:val="both"/>
        <w:rPr>
          <w:rFonts w:ascii="Palatino Linotype" w:eastAsia="Palatino Linotype" w:hAnsi="Palatino Linotype" w:cs="Palatino Linotype"/>
          <w:b/>
          <w:i/>
          <w:sz w:val="22"/>
          <w:szCs w:val="22"/>
        </w:rPr>
      </w:pPr>
      <w:r w:rsidRPr="0037486F">
        <w:rPr>
          <w:rFonts w:ascii="Palatino Linotype" w:eastAsia="Palatino Linotype" w:hAnsi="Palatino Linotype" w:cs="Palatino Linotype"/>
          <w:i/>
          <w:sz w:val="22"/>
          <w:szCs w:val="22"/>
        </w:rPr>
        <w:t>“</w:t>
      </w:r>
      <w:r w:rsidRPr="0037486F">
        <w:rPr>
          <w:rFonts w:ascii="Palatino Linotype" w:eastAsia="Palatino Linotype" w:hAnsi="Palatino Linotype" w:cs="Palatino Linotype"/>
          <w:b/>
          <w:i/>
          <w:sz w:val="22"/>
          <w:szCs w:val="22"/>
        </w:rPr>
        <w:t>CRITERIO 0001-15 NEGATIVA FICTA. PLAZO PARA INTERPONER EL RECURSO DE REVISIÓN TRATÁNDOSE DE</w:t>
      </w:r>
      <w:r w:rsidRPr="0037486F">
        <w:rPr>
          <w:rFonts w:ascii="Palatino Linotype" w:eastAsia="Palatino Linotype" w:hAnsi="Palatino Linotype" w:cs="Palatino Linotype"/>
          <w:i/>
          <w:sz w:val="22"/>
          <w:szCs w:val="22"/>
        </w:rPr>
        <w:t xml:space="preserve">. El artículo 48, párrafo tercero de la Ley de Transparencia y Acceso a la Información Pública del Estado de México y </w:t>
      </w:r>
      <w:r w:rsidRPr="0037486F">
        <w:rPr>
          <w:rFonts w:ascii="Palatino Linotype" w:eastAsia="Palatino Linotype" w:hAnsi="Palatino Linotype" w:cs="Palatino Linotype"/>
          <w:i/>
          <w:sz w:val="22"/>
          <w:szCs w:val="22"/>
        </w:rPr>
        <w:lastRenderedPageBreak/>
        <w:t>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3E2A4694" w14:textId="77777777" w:rsidR="00532AE4" w:rsidRPr="0037486F" w:rsidRDefault="00532AE4">
      <w:pPr>
        <w:ind w:left="567" w:right="851"/>
        <w:jc w:val="both"/>
        <w:rPr>
          <w:rFonts w:ascii="Palatino Linotype" w:eastAsia="Palatino Linotype" w:hAnsi="Palatino Linotype" w:cs="Palatino Linotype"/>
          <w:i/>
          <w:sz w:val="22"/>
          <w:szCs w:val="22"/>
        </w:rPr>
      </w:pPr>
    </w:p>
    <w:p w14:paraId="76E26C4F" w14:textId="169CE5C8" w:rsidR="00532AE4" w:rsidRPr="0037486F" w:rsidRDefault="00A76F12">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37486F">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37486F">
        <w:rPr>
          <w:rFonts w:ascii="Palatino Linotype" w:eastAsia="Palatino Linotype" w:hAnsi="Palatino Linotype" w:cs="Palatino Linotype"/>
          <w:b/>
          <w:sz w:val="22"/>
          <w:szCs w:val="22"/>
        </w:rPr>
        <w:t>EL</w:t>
      </w:r>
      <w:r w:rsidRPr="0037486F">
        <w:rPr>
          <w:rFonts w:ascii="Palatino Linotype" w:eastAsia="Palatino Linotype" w:hAnsi="Palatino Linotype" w:cs="Palatino Linotype"/>
          <w:sz w:val="22"/>
          <w:szCs w:val="22"/>
        </w:rPr>
        <w:t xml:space="preserve"> </w:t>
      </w:r>
      <w:r w:rsidRPr="0037486F">
        <w:rPr>
          <w:rFonts w:ascii="Palatino Linotype" w:eastAsia="Palatino Linotype" w:hAnsi="Palatino Linotype" w:cs="Palatino Linotype"/>
          <w:b/>
          <w:sz w:val="22"/>
          <w:szCs w:val="22"/>
        </w:rPr>
        <w:t>SAIMEX</w:t>
      </w:r>
      <w:r w:rsidRPr="0037486F">
        <w:rPr>
          <w:rFonts w:ascii="Palatino Linotype" w:eastAsia="Palatino Linotype" w:hAnsi="Palatino Linotype" w:cs="Palatino Linotype"/>
          <w:sz w:val="22"/>
          <w:szCs w:val="22"/>
        </w:rPr>
        <w:t>.</w:t>
      </w:r>
    </w:p>
    <w:p w14:paraId="1C27DB56" w14:textId="40163621" w:rsidR="00B503D1" w:rsidRPr="0037486F" w:rsidRDefault="00B503D1">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3A000848" w14:textId="77777777" w:rsidR="00532AE4" w:rsidRPr="0037486F" w:rsidRDefault="00A76F12">
      <w:pPr>
        <w:spacing w:line="360" w:lineRule="auto"/>
        <w:jc w:val="both"/>
        <w:rPr>
          <w:rFonts w:ascii="Palatino Linotype" w:eastAsia="Palatino Linotype" w:hAnsi="Palatino Linotype" w:cs="Palatino Linotype"/>
          <w:sz w:val="22"/>
          <w:szCs w:val="22"/>
        </w:rPr>
      </w:pPr>
      <w:r w:rsidRPr="0037486F">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37486F">
        <w:rPr>
          <w:rFonts w:ascii="Palatino Linotype" w:eastAsia="Palatino Linotype" w:hAnsi="Palatino Linotype" w:cs="Palatino Linotype"/>
          <w:b/>
          <w:sz w:val="22"/>
          <w:szCs w:val="22"/>
        </w:rPr>
        <w:t>RECURRENTE</w:t>
      </w:r>
      <w:r w:rsidRPr="0037486F">
        <w:rPr>
          <w:rFonts w:ascii="Palatino Linotype" w:eastAsia="Palatino Linotype" w:hAnsi="Palatino Linotype" w:cs="Palatino Linotype"/>
          <w:sz w:val="22"/>
          <w:szCs w:val="22"/>
        </w:rPr>
        <w:t>, en términos del artículo 179, fracción VII del ordenamiento legal de la materia, que a la letra dice:</w:t>
      </w:r>
    </w:p>
    <w:p w14:paraId="2E4A863A" w14:textId="77777777" w:rsidR="00532AE4" w:rsidRPr="0037486F" w:rsidRDefault="00532AE4">
      <w:pPr>
        <w:spacing w:line="360" w:lineRule="auto"/>
        <w:jc w:val="both"/>
        <w:rPr>
          <w:rFonts w:ascii="Palatino Linotype" w:eastAsia="Palatino Linotype" w:hAnsi="Palatino Linotype" w:cs="Palatino Linotype"/>
          <w:sz w:val="22"/>
          <w:szCs w:val="22"/>
        </w:rPr>
      </w:pPr>
    </w:p>
    <w:p w14:paraId="7C0C3143" w14:textId="77777777" w:rsidR="00532AE4" w:rsidRPr="0037486F" w:rsidRDefault="00A76F12">
      <w:pPr>
        <w:ind w:left="567" w:right="616"/>
        <w:jc w:val="both"/>
        <w:rPr>
          <w:rFonts w:ascii="Palatino Linotype" w:eastAsia="Palatino Linotype" w:hAnsi="Palatino Linotype" w:cs="Palatino Linotype"/>
          <w:sz w:val="22"/>
          <w:szCs w:val="22"/>
        </w:rPr>
      </w:pPr>
      <w:r w:rsidRPr="0037486F">
        <w:rPr>
          <w:rFonts w:ascii="Palatino Linotype" w:eastAsia="Palatino Linotype" w:hAnsi="Palatino Linotype" w:cs="Palatino Linotype"/>
          <w:i/>
          <w:sz w:val="22"/>
          <w:szCs w:val="22"/>
        </w:rPr>
        <w:t>“</w:t>
      </w:r>
      <w:r w:rsidRPr="0037486F">
        <w:rPr>
          <w:rFonts w:ascii="Palatino Linotype" w:eastAsia="Palatino Linotype" w:hAnsi="Palatino Linotype" w:cs="Palatino Linotype"/>
          <w:b/>
          <w:sz w:val="22"/>
          <w:szCs w:val="22"/>
        </w:rPr>
        <w:t>Artículo 179.</w:t>
      </w:r>
      <w:r w:rsidRPr="0037486F">
        <w:rPr>
          <w:rFonts w:ascii="Palatino Linotype" w:eastAsia="Palatino Linotype" w:hAnsi="Palatino Linotype" w:cs="Palatino Linotype"/>
          <w:i/>
          <w:sz w:val="22"/>
          <w:szCs w:val="22"/>
        </w:rPr>
        <w:t xml:space="preserve">El recurso de revisión es un medio de protección que la Ley otorga a los particulares, para hacer valer su derecho de acceso a la información pública, y procederá en contra de las siguientes causas: </w:t>
      </w:r>
      <w:r w:rsidRPr="0037486F">
        <w:rPr>
          <w:rFonts w:ascii="Palatino Linotype" w:eastAsia="Palatino Linotype" w:hAnsi="Palatino Linotype" w:cs="Palatino Linotype"/>
          <w:sz w:val="22"/>
          <w:szCs w:val="22"/>
        </w:rPr>
        <w:t> </w:t>
      </w:r>
    </w:p>
    <w:p w14:paraId="7ACAE181" w14:textId="77777777" w:rsidR="00532AE4" w:rsidRPr="0037486F" w:rsidRDefault="00A76F12">
      <w:pPr>
        <w:ind w:left="567" w:right="616"/>
        <w:jc w:val="both"/>
        <w:rPr>
          <w:rFonts w:ascii="Palatino Linotype" w:eastAsia="Palatino Linotype" w:hAnsi="Palatino Linotype" w:cs="Palatino Linotype"/>
          <w:sz w:val="22"/>
          <w:szCs w:val="22"/>
        </w:rPr>
      </w:pPr>
      <w:r w:rsidRPr="0037486F">
        <w:rPr>
          <w:rFonts w:ascii="Palatino Linotype" w:eastAsia="Palatino Linotype" w:hAnsi="Palatino Linotype" w:cs="Palatino Linotype"/>
          <w:sz w:val="22"/>
          <w:szCs w:val="22"/>
        </w:rPr>
        <w:t>…</w:t>
      </w:r>
    </w:p>
    <w:p w14:paraId="543A0FF7" w14:textId="77777777" w:rsidR="00532AE4" w:rsidRPr="0037486F" w:rsidRDefault="00A76F12">
      <w:pPr>
        <w:numPr>
          <w:ilvl w:val="0"/>
          <w:numId w:val="4"/>
        </w:numPr>
        <w:ind w:left="567" w:right="616" w:firstLine="0"/>
        <w:jc w:val="both"/>
        <w:rPr>
          <w:rFonts w:ascii="Palatino Linotype" w:eastAsia="Palatino Linotype" w:hAnsi="Palatino Linotype" w:cs="Palatino Linotype"/>
          <w:i/>
          <w:sz w:val="22"/>
          <w:szCs w:val="22"/>
        </w:rPr>
      </w:pPr>
      <w:r w:rsidRPr="0037486F">
        <w:rPr>
          <w:rFonts w:ascii="Palatino Linotype" w:eastAsia="Palatino Linotype" w:hAnsi="Palatino Linotype" w:cs="Palatino Linotype"/>
          <w:i/>
          <w:sz w:val="22"/>
          <w:szCs w:val="22"/>
        </w:rPr>
        <w:t>La falta de respuesta a una solicitud de acceso a la información…</w:t>
      </w:r>
    </w:p>
    <w:p w14:paraId="52836B8B" w14:textId="77777777" w:rsidR="00532AE4" w:rsidRPr="0037486F" w:rsidRDefault="00532AE4">
      <w:pPr>
        <w:spacing w:line="360" w:lineRule="auto"/>
        <w:ind w:right="1041"/>
        <w:jc w:val="both"/>
        <w:rPr>
          <w:rFonts w:ascii="Palatino Linotype" w:eastAsia="Palatino Linotype" w:hAnsi="Palatino Linotype" w:cs="Palatino Linotype"/>
          <w:i/>
          <w:sz w:val="22"/>
          <w:szCs w:val="22"/>
        </w:rPr>
      </w:pPr>
    </w:p>
    <w:p w14:paraId="6525AA9C" w14:textId="77777777" w:rsidR="00107A78" w:rsidRPr="0037486F" w:rsidRDefault="00A76F12" w:rsidP="00107A78">
      <w:pPr>
        <w:spacing w:line="360" w:lineRule="auto"/>
        <w:jc w:val="both"/>
        <w:rPr>
          <w:rFonts w:ascii="Palatino Linotype" w:eastAsia="Palatino Linotype" w:hAnsi="Palatino Linotype" w:cs="Palatino Linotype"/>
          <w:sz w:val="22"/>
          <w:szCs w:val="22"/>
        </w:rPr>
      </w:pPr>
      <w:r w:rsidRPr="0037486F">
        <w:rPr>
          <w:rFonts w:ascii="Palatino Linotype" w:eastAsia="Palatino Linotype" w:hAnsi="Palatino Linotype" w:cs="Palatino Linotype"/>
          <w:b/>
          <w:sz w:val="22"/>
          <w:szCs w:val="22"/>
        </w:rPr>
        <w:t xml:space="preserve">Tercero. </w:t>
      </w:r>
      <w:bookmarkStart w:id="1" w:name="_heading=h.ibiie51sawl6" w:colFirst="0" w:colLast="0"/>
      <w:bookmarkEnd w:id="1"/>
      <w:r w:rsidR="00107A78" w:rsidRPr="0037486F">
        <w:rPr>
          <w:rFonts w:ascii="Palatino Linotype" w:eastAsia="Palatino Linotype" w:hAnsi="Palatino Linotype" w:cs="Palatino Linotype"/>
          <w:b/>
          <w:sz w:val="22"/>
          <w:szCs w:val="22"/>
        </w:rPr>
        <w:t>Análisis de las causales de improcedencia y sobreseimiento del recurso de revisión.</w:t>
      </w:r>
      <w:r w:rsidR="00107A78" w:rsidRPr="0037486F">
        <w:rPr>
          <w:sz w:val="22"/>
          <w:szCs w:val="22"/>
        </w:rPr>
        <w:t xml:space="preserve"> </w:t>
      </w:r>
      <w:r w:rsidR="00107A78" w:rsidRPr="0037486F">
        <w:rPr>
          <w:rFonts w:ascii="Palatino Linotype" w:eastAsia="Palatino Linotype" w:hAnsi="Palatino Linotype" w:cs="Palatino Linotype"/>
          <w:sz w:val="22"/>
          <w:szCs w:val="22"/>
        </w:rPr>
        <w:t xml:space="preserve">Es menester resaltar que en el procedimiento de acceso a la información pública y de los medios de impugnación de la materia, se advierten diversos supuestos de procedibilidad que deben estudiarse con la finalidad de dar cumplimiento a los principios </w:t>
      </w:r>
      <w:r w:rsidR="00107A78" w:rsidRPr="0037486F">
        <w:rPr>
          <w:rFonts w:ascii="Palatino Linotype" w:eastAsia="Palatino Linotype" w:hAnsi="Palatino Linotype" w:cs="Palatino Linotype"/>
          <w:sz w:val="22"/>
          <w:szCs w:val="22"/>
        </w:rPr>
        <w:lastRenderedPageBreak/>
        <w:t>de legalidad y objetividad inmersos en el artículo 9 de Ley de Transparencia y Acceso a la Información Pública del Estado de México y Municipios, en correlación con la seguridad jurídica que debe generar lo actuado ante este Organismo garante.</w:t>
      </w:r>
    </w:p>
    <w:p w14:paraId="710F0A85" w14:textId="77777777" w:rsidR="00107A78" w:rsidRPr="0037486F" w:rsidRDefault="00107A78" w:rsidP="00107A78">
      <w:pPr>
        <w:spacing w:line="360" w:lineRule="auto"/>
        <w:jc w:val="both"/>
        <w:rPr>
          <w:sz w:val="22"/>
          <w:szCs w:val="22"/>
        </w:rPr>
      </w:pPr>
    </w:p>
    <w:p w14:paraId="69138713" w14:textId="77777777" w:rsidR="00107A78" w:rsidRPr="0037486F" w:rsidRDefault="00107A78" w:rsidP="00107A78">
      <w:pPr>
        <w:spacing w:line="360" w:lineRule="auto"/>
        <w:jc w:val="both"/>
        <w:rPr>
          <w:rFonts w:ascii="Palatino Linotype" w:eastAsia="Palatino Linotype" w:hAnsi="Palatino Linotype" w:cs="Palatino Linotype"/>
          <w:sz w:val="22"/>
          <w:szCs w:val="22"/>
        </w:rPr>
      </w:pPr>
      <w:r w:rsidRPr="0037486F">
        <w:rPr>
          <w:rFonts w:ascii="Palatino Linotype" w:eastAsia="Palatino Linotype" w:hAnsi="Palatino Linotype" w:cs="Palatino Linotype"/>
          <w:sz w:val="22"/>
          <w:szCs w:val="22"/>
        </w:rPr>
        <w:t>Siendo una facultad legal entrar al estudio de las causas de improcedencia que hagan valer las partes o que se adviertan de oficio por este Instituto; presupuestos procesales de inicio o trámite de un proceso que dotan de seguridad jurídica las resoluciones emitidas por este organismo colegiado, máxime que se trata de una figura procesal adoptada en la ley de la materia, la cual permite dilucidar alguna causal que impida el estudio y resolución de un asunto en su fondo, cuando una vez admitido el recurso de revisión se advierta una causa de improcedencia que permita sobreseerlo. Estudio de causales de improcedencia que no son incompatibles con el derecho de acceso a la justicia, ya que éste no se coarta por regular causas de improcedencia y sobreseimiento con tales fines.</w:t>
      </w:r>
    </w:p>
    <w:p w14:paraId="2D31E05C" w14:textId="77777777" w:rsidR="00107A78" w:rsidRPr="0037486F" w:rsidRDefault="00107A78" w:rsidP="00107A78">
      <w:pPr>
        <w:spacing w:line="360" w:lineRule="auto"/>
        <w:jc w:val="both"/>
        <w:rPr>
          <w:sz w:val="22"/>
          <w:szCs w:val="22"/>
        </w:rPr>
      </w:pPr>
    </w:p>
    <w:p w14:paraId="6D78F7F2" w14:textId="77777777" w:rsidR="00107A78" w:rsidRPr="0037486F" w:rsidRDefault="00107A78" w:rsidP="00107A78">
      <w:pPr>
        <w:spacing w:line="360" w:lineRule="auto"/>
        <w:ind w:right="51"/>
        <w:jc w:val="both"/>
        <w:rPr>
          <w:rFonts w:ascii="Palatino Linotype" w:eastAsia="Palatino Linotype" w:hAnsi="Palatino Linotype" w:cs="Palatino Linotype"/>
          <w:sz w:val="22"/>
          <w:szCs w:val="22"/>
        </w:rPr>
      </w:pPr>
      <w:r w:rsidRPr="0037486F">
        <w:rPr>
          <w:rFonts w:ascii="Palatino Linotype" w:eastAsia="Palatino Linotype" w:hAnsi="Palatino Linotype" w:cs="Palatino Linotype"/>
          <w:sz w:val="22"/>
          <w:szCs w:val="22"/>
        </w:rPr>
        <w:t>De manera preliminar en el caso concreto conviene analizar si se actualiza alguna de las causales de sobreseimiento del recurso de revisión, para ello, en principio, es de recordar que la parte Recurrente solicitó textualmente lo siguiente:</w:t>
      </w:r>
    </w:p>
    <w:p w14:paraId="54CCE68A" w14:textId="77777777" w:rsidR="00107A78" w:rsidRPr="0037486F" w:rsidRDefault="00107A78" w:rsidP="00107A78">
      <w:pPr>
        <w:spacing w:line="360" w:lineRule="auto"/>
        <w:jc w:val="both"/>
        <w:rPr>
          <w:rFonts w:ascii="Palatino Linotype" w:eastAsia="Palatino Linotype" w:hAnsi="Palatino Linotype" w:cs="Palatino Linotype"/>
          <w:sz w:val="22"/>
          <w:szCs w:val="22"/>
        </w:rPr>
      </w:pPr>
    </w:p>
    <w:p w14:paraId="53B51E10" w14:textId="3B877CAD" w:rsidR="00107A78" w:rsidRPr="0037486F" w:rsidRDefault="00107A78" w:rsidP="00545D67">
      <w:pPr>
        <w:ind w:left="851" w:right="616"/>
        <w:jc w:val="both"/>
        <w:rPr>
          <w:rFonts w:ascii="Palatino Linotype" w:eastAsia="Palatino Linotype" w:hAnsi="Palatino Linotype" w:cs="Palatino Linotype"/>
          <w:i/>
          <w:sz w:val="22"/>
          <w:szCs w:val="22"/>
        </w:rPr>
      </w:pPr>
      <w:r w:rsidRPr="0037486F">
        <w:rPr>
          <w:rFonts w:ascii="Palatino Linotype" w:eastAsia="Palatino Linotype" w:hAnsi="Palatino Linotype" w:cs="Palatino Linotype"/>
          <w:i/>
          <w:sz w:val="22"/>
          <w:szCs w:val="22"/>
        </w:rPr>
        <w:t>“</w:t>
      </w:r>
      <w:r w:rsidR="00545D67" w:rsidRPr="0037486F">
        <w:rPr>
          <w:rFonts w:ascii="Palatino Linotype" w:eastAsia="Palatino Linotype" w:hAnsi="Palatino Linotype" w:cs="Palatino Linotype"/>
          <w:i/>
          <w:sz w:val="22"/>
          <w:szCs w:val="22"/>
        </w:rPr>
        <w:t>Con fundamento en los artículos 134 de la Constitución Política de los Estados Unidos Mexicanos y 26 de la Ley de Obras Públicas y Servicios Relacionados con las Mismas del Estado de México y Municipios, solicito se informe: ¿Cuáles son las empresas que han recibido más contratos durante su administración, cuál es su relación con funcionarios municipales, y por qué se repiten adjudicaciones a los mismos proveedores?</w:t>
      </w:r>
      <w:r w:rsidRPr="0037486F">
        <w:rPr>
          <w:rFonts w:ascii="Palatino Linotype" w:eastAsia="Palatino Linotype" w:hAnsi="Palatino Linotype" w:cs="Palatino Linotype"/>
          <w:i/>
          <w:sz w:val="22"/>
          <w:szCs w:val="22"/>
        </w:rPr>
        <w:t>” (Sic)</w:t>
      </w:r>
    </w:p>
    <w:p w14:paraId="664F3529" w14:textId="77777777" w:rsidR="00107A78" w:rsidRPr="0037486F" w:rsidRDefault="00107A78" w:rsidP="00107A78">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07B74E93" w14:textId="77777777" w:rsidR="00107A78" w:rsidRPr="0037486F" w:rsidRDefault="00107A78" w:rsidP="00107A78">
      <w:pPr>
        <w:spacing w:line="360" w:lineRule="auto"/>
        <w:ind w:right="49"/>
        <w:jc w:val="both"/>
        <w:rPr>
          <w:rFonts w:ascii="Palatino Linotype" w:eastAsia="Palatino Linotype" w:hAnsi="Palatino Linotype" w:cs="Palatino Linotype"/>
          <w:sz w:val="22"/>
          <w:szCs w:val="22"/>
        </w:rPr>
      </w:pPr>
      <w:r w:rsidRPr="0037486F">
        <w:rPr>
          <w:rFonts w:ascii="Palatino Linotype" w:eastAsia="Palatino Linotype" w:hAnsi="Palatino Linotype" w:cs="Palatino Linotype"/>
          <w:sz w:val="22"/>
          <w:szCs w:val="22"/>
        </w:rPr>
        <w:t xml:space="preserve">El Sujeto Obligado fue omiso en pronunciarse al respecto tanto en respuesta como en informe justificado, lo que, nos lleva a configurar la figura de la negativa ficta. </w:t>
      </w:r>
    </w:p>
    <w:p w14:paraId="1E4E075D" w14:textId="77777777" w:rsidR="00107A78" w:rsidRPr="0037486F" w:rsidRDefault="00107A78" w:rsidP="00107A78">
      <w:pPr>
        <w:spacing w:line="360" w:lineRule="auto"/>
        <w:ind w:right="49"/>
        <w:jc w:val="both"/>
        <w:rPr>
          <w:rFonts w:ascii="Palatino Linotype" w:eastAsia="Palatino Linotype" w:hAnsi="Palatino Linotype" w:cs="Palatino Linotype"/>
          <w:sz w:val="22"/>
          <w:szCs w:val="22"/>
        </w:rPr>
      </w:pPr>
    </w:p>
    <w:p w14:paraId="327D49D6" w14:textId="77777777" w:rsidR="00107A78" w:rsidRPr="0037486F" w:rsidRDefault="00107A78" w:rsidP="00107A78">
      <w:pPr>
        <w:spacing w:line="360" w:lineRule="auto"/>
        <w:ind w:right="49"/>
        <w:jc w:val="both"/>
        <w:rPr>
          <w:rFonts w:ascii="Palatino Linotype" w:eastAsia="Palatino Linotype" w:hAnsi="Palatino Linotype" w:cs="Palatino Linotype"/>
          <w:sz w:val="22"/>
          <w:szCs w:val="22"/>
        </w:rPr>
      </w:pPr>
      <w:r w:rsidRPr="0037486F">
        <w:rPr>
          <w:rFonts w:ascii="Palatino Linotype" w:eastAsia="Palatino Linotype" w:hAnsi="Palatino Linotype" w:cs="Palatino Linotype"/>
          <w:sz w:val="22"/>
          <w:szCs w:val="22"/>
        </w:rPr>
        <w:lastRenderedPageBreak/>
        <w:t>Ahora bien, si bien es cierto, la interposición del Recurso de Revisión resulta procedente en términos de la fracción VII de la Ley de Transparencia y Acceso a la Información Pública del Estado de México y Municipios, también lo es que del análisis realizado a la solicitud de información, se advirtió que estos versan en requerimientos que no pueden ser atendidas a través de la vía del Derecho de Acceso a la Información Pública, debido a que se trata de un ejercicio del derecho de petición de la parte Recurrente.</w:t>
      </w:r>
    </w:p>
    <w:p w14:paraId="0B86626C" w14:textId="77777777" w:rsidR="00107A78" w:rsidRPr="0037486F" w:rsidRDefault="00107A78" w:rsidP="00107A78">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3D7A8E3E" w14:textId="77777777" w:rsidR="00107A78" w:rsidRPr="0037486F" w:rsidRDefault="00107A78" w:rsidP="00107A78">
      <w:pPr>
        <w:spacing w:line="360" w:lineRule="auto"/>
        <w:jc w:val="both"/>
        <w:rPr>
          <w:rFonts w:ascii="Palatino Linotype" w:eastAsia="Palatino Linotype" w:hAnsi="Palatino Linotype" w:cs="Palatino Linotype"/>
          <w:i/>
          <w:sz w:val="22"/>
          <w:szCs w:val="22"/>
        </w:rPr>
      </w:pPr>
      <w:r w:rsidRPr="0037486F">
        <w:rPr>
          <w:rFonts w:ascii="Palatino Linotype" w:eastAsia="Palatino Linotype" w:hAnsi="Palatino Linotype" w:cs="Palatino Linotype"/>
          <w:sz w:val="22"/>
          <w:szCs w:val="22"/>
        </w:rPr>
        <w:t xml:space="preserve">A efecto de sustentar lo anterior, es preciso mencionar que David Cienfuegos Salgado, concibe al derecho de petición como </w:t>
      </w:r>
      <w:r w:rsidRPr="0037486F">
        <w:rPr>
          <w:rFonts w:ascii="Palatino Linotype" w:eastAsia="Palatino Linotype" w:hAnsi="Palatino Linotype" w:cs="Palatino Linotype"/>
          <w:i/>
          <w:sz w:val="22"/>
          <w:szCs w:val="22"/>
        </w:rPr>
        <w:t>“</w:t>
      </w:r>
      <w:r w:rsidRPr="0037486F">
        <w:rPr>
          <w:rFonts w:ascii="Palatino Linotype" w:eastAsia="Palatino Linotype" w:hAnsi="Palatino Linotype" w:cs="Palatino Linotype"/>
          <w:b/>
          <w:i/>
          <w:sz w:val="22"/>
          <w:szCs w:val="22"/>
          <w:u w:val="single"/>
        </w:rPr>
        <w:t>el derecho de toda persona a ser escuchado por quienes ejercen el poder público</w:t>
      </w:r>
      <w:r w:rsidRPr="0037486F">
        <w:rPr>
          <w:rFonts w:ascii="Palatino Linotype" w:eastAsia="Palatino Linotype" w:hAnsi="Palatino Linotype" w:cs="Palatino Linotype"/>
          <w:i/>
          <w:sz w:val="22"/>
          <w:szCs w:val="22"/>
        </w:rPr>
        <w:t xml:space="preserve">”  </w:t>
      </w:r>
    </w:p>
    <w:p w14:paraId="21AFC587" w14:textId="77777777" w:rsidR="00107A78" w:rsidRPr="0037486F" w:rsidRDefault="00107A78" w:rsidP="00107A78">
      <w:pPr>
        <w:spacing w:line="360" w:lineRule="auto"/>
        <w:jc w:val="both"/>
        <w:rPr>
          <w:rFonts w:ascii="Palatino Linotype" w:eastAsia="Palatino Linotype" w:hAnsi="Palatino Linotype" w:cs="Palatino Linotype"/>
          <w:i/>
          <w:sz w:val="22"/>
          <w:szCs w:val="22"/>
        </w:rPr>
      </w:pPr>
    </w:p>
    <w:p w14:paraId="6F39A02F" w14:textId="77777777" w:rsidR="00107A78" w:rsidRPr="0037486F" w:rsidRDefault="00107A78" w:rsidP="00107A78">
      <w:pPr>
        <w:spacing w:line="360" w:lineRule="auto"/>
        <w:jc w:val="both"/>
        <w:rPr>
          <w:rFonts w:ascii="Palatino Linotype" w:eastAsia="Palatino Linotype" w:hAnsi="Palatino Linotype" w:cs="Palatino Linotype"/>
          <w:sz w:val="22"/>
          <w:szCs w:val="22"/>
        </w:rPr>
      </w:pPr>
      <w:r w:rsidRPr="0037486F">
        <w:rPr>
          <w:rFonts w:ascii="Palatino Linotype" w:eastAsia="Palatino Linotype" w:hAnsi="Palatino Linotype" w:cs="Palatino Linotype"/>
          <w:sz w:val="22"/>
          <w:szCs w:val="22"/>
        </w:rPr>
        <w:t xml:space="preserve">De la misma manera, Miguel Carbonell en su libro </w:t>
      </w:r>
      <w:r w:rsidRPr="0037486F">
        <w:rPr>
          <w:rFonts w:ascii="Palatino Linotype" w:eastAsia="Palatino Linotype" w:hAnsi="Palatino Linotype" w:cs="Palatino Linotype"/>
          <w:i/>
          <w:sz w:val="22"/>
          <w:szCs w:val="22"/>
        </w:rPr>
        <w:t xml:space="preserve">“Los derechos fundamentales” </w:t>
      </w:r>
      <w:r w:rsidRPr="0037486F">
        <w:rPr>
          <w:rFonts w:ascii="Palatino Linotype" w:eastAsia="Palatino Linotype" w:hAnsi="Palatino Linotype" w:cs="Palatino Linotype"/>
          <w:sz w:val="22"/>
          <w:szCs w:val="22"/>
        </w:rPr>
        <w:t xml:space="preserve">refiere que el derecho de petición se ha entendido de dos distintitas maneras, a saber: como un derecho fundamental de participación política ya que permite a los particulares trasladar a las autoridades sus </w:t>
      </w:r>
      <w:r w:rsidRPr="0037486F">
        <w:rPr>
          <w:rFonts w:ascii="Palatino Linotype" w:eastAsia="Palatino Linotype" w:hAnsi="Palatino Linotype" w:cs="Palatino Linotype"/>
          <w:b/>
          <w:sz w:val="22"/>
          <w:szCs w:val="22"/>
        </w:rPr>
        <w:t>inquietudes, quejas</w:t>
      </w:r>
      <w:r w:rsidRPr="0037486F">
        <w:rPr>
          <w:rFonts w:ascii="Palatino Linotype" w:eastAsia="Palatino Linotype" w:hAnsi="Palatino Linotype" w:cs="Palatino Linotype"/>
          <w:sz w:val="22"/>
          <w:szCs w:val="22"/>
        </w:rPr>
        <w:t xml:space="preserve">, sugerencias y requerimientos en cualquier materia o asunto; y como una </w:t>
      </w:r>
      <w:r w:rsidRPr="0037486F">
        <w:rPr>
          <w:rFonts w:ascii="Palatino Linotype" w:eastAsia="Palatino Linotype" w:hAnsi="Palatino Linotype" w:cs="Palatino Linotype"/>
          <w:b/>
          <w:sz w:val="22"/>
          <w:szCs w:val="22"/>
        </w:rPr>
        <w:t>forma específica de la libertad de expresión</w:t>
      </w:r>
      <w:r w:rsidRPr="0037486F">
        <w:rPr>
          <w:rFonts w:ascii="Palatino Linotype" w:eastAsia="Palatino Linotype" w:hAnsi="Palatino Linotype" w:cs="Palatino Linotype"/>
          <w:sz w:val="22"/>
          <w:szCs w:val="22"/>
        </w:rPr>
        <w:t xml:space="preserve">, en tanto que permite expresarse frente a las autoridades. </w:t>
      </w:r>
    </w:p>
    <w:p w14:paraId="10C32A9B" w14:textId="77777777" w:rsidR="00107A78" w:rsidRPr="0037486F" w:rsidRDefault="00107A78" w:rsidP="00107A78">
      <w:pPr>
        <w:spacing w:line="360" w:lineRule="auto"/>
        <w:jc w:val="both"/>
        <w:rPr>
          <w:rFonts w:ascii="Palatino Linotype" w:eastAsia="Palatino Linotype" w:hAnsi="Palatino Linotype" w:cs="Palatino Linotype"/>
          <w:sz w:val="22"/>
          <w:szCs w:val="22"/>
        </w:rPr>
      </w:pPr>
    </w:p>
    <w:p w14:paraId="2A4635C8" w14:textId="77777777" w:rsidR="00107A78" w:rsidRPr="0037486F" w:rsidRDefault="00107A78" w:rsidP="00107A78">
      <w:pPr>
        <w:spacing w:line="360" w:lineRule="auto"/>
        <w:jc w:val="both"/>
        <w:rPr>
          <w:rFonts w:ascii="Palatino Linotype" w:eastAsia="Palatino Linotype" w:hAnsi="Palatino Linotype" w:cs="Palatino Linotype"/>
          <w:sz w:val="22"/>
          <w:szCs w:val="22"/>
        </w:rPr>
      </w:pPr>
      <w:r w:rsidRPr="0037486F">
        <w:rPr>
          <w:rFonts w:ascii="Palatino Linotype" w:eastAsia="Palatino Linotype" w:hAnsi="Palatino Linotype" w:cs="Palatino Linotype"/>
          <w:sz w:val="22"/>
          <w:szCs w:val="22"/>
        </w:rPr>
        <w:t>De igual manera que el derecho de petición se traduce en la obligación de todos los funcionarios y autoridades de permitir a los ciudadanos de dirigirse a ellos en demanda de lo que deseen expresar o solicitar y responder de dicha demanda por escrito, de forma congruente y en un plazo breve.</w:t>
      </w:r>
    </w:p>
    <w:p w14:paraId="6289F958" w14:textId="77777777" w:rsidR="00107A78" w:rsidRPr="0037486F" w:rsidRDefault="00107A78" w:rsidP="00107A78">
      <w:pPr>
        <w:spacing w:line="360" w:lineRule="auto"/>
        <w:jc w:val="both"/>
        <w:rPr>
          <w:rFonts w:ascii="Palatino Linotype" w:eastAsia="Palatino Linotype" w:hAnsi="Palatino Linotype" w:cs="Palatino Linotype"/>
          <w:sz w:val="22"/>
          <w:szCs w:val="22"/>
          <w:vertAlign w:val="superscript"/>
        </w:rPr>
      </w:pPr>
    </w:p>
    <w:p w14:paraId="622F8DF1" w14:textId="77777777" w:rsidR="00107A78" w:rsidRPr="0037486F" w:rsidRDefault="00107A78" w:rsidP="00107A78">
      <w:pPr>
        <w:spacing w:line="360" w:lineRule="auto"/>
        <w:jc w:val="both"/>
        <w:rPr>
          <w:rFonts w:ascii="Palatino Linotype" w:eastAsia="Palatino Linotype" w:hAnsi="Palatino Linotype" w:cs="Palatino Linotype"/>
          <w:sz w:val="22"/>
          <w:szCs w:val="22"/>
        </w:rPr>
      </w:pPr>
      <w:r w:rsidRPr="0037486F">
        <w:rPr>
          <w:rFonts w:ascii="Palatino Linotype" w:eastAsia="Palatino Linotype" w:hAnsi="Palatino Linotype" w:cs="Palatino Linotype"/>
          <w:sz w:val="22"/>
          <w:szCs w:val="22"/>
        </w:rPr>
        <w:t xml:space="preserve">Por otro lado, el autor anteriormente citado, indica que el </w:t>
      </w:r>
      <w:r w:rsidRPr="0037486F">
        <w:rPr>
          <w:rFonts w:ascii="Palatino Linotype" w:eastAsia="Palatino Linotype" w:hAnsi="Palatino Linotype" w:cs="Palatino Linotype"/>
          <w:b/>
          <w:sz w:val="22"/>
          <w:szCs w:val="22"/>
        </w:rPr>
        <w:t>derecho de acceso a la información pública</w:t>
      </w:r>
      <w:r w:rsidRPr="0037486F">
        <w:rPr>
          <w:rFonts w:ascii="Palatino Linotype" w:eastAsia="Palatino Linotype" w:hAnsi="Palatino Linotype" w:cs="Palatino Linotype"/>
          <w:sz w:val="22"/>
          <w:szCs w:val="22"/>
        </w:rPr>
        <w:t xml:space="preserve"> es el derecho de conocer la información de carácter público que se genera o está en posesión de los órganos del poder público o de los sujetos que utilizan o se </w:t>
      </w:r>
      <w:r w:rsidRPr="0037486F">
        <w:rPr>
          <w:rFonts w:ascii="Palatino Linotype" w:eastAsia="Palatino Linotype" w:hAnsi="Palatino Linotype" w:cs="Palatino Linotype"/>
          <w:sz w:val="22"/>
          <w:szCs w:val="22"/>
        </w:rPr>
        <w:lastRenderedPageBreak/>
        <w:t>benefician con recursos provenientes del Estado, es el derecho que tienen los ciudadanos para acceder a documentos y datos que obren en el poder del gobierno.</w:t>
      </w:r>
    </w:p>
    <w:p w14:paraId="556542BF" w14:textId="77777777" w:rsidR="00107A78" w:rsidRPr="0037486F" w:rsidRDefault="00107A78" w:rsidP="00107A78">
      <w:pPr>
        <w:spacing w:line="360" w:lineRule="auto"/>
        <w:jc w:val="both"/>
        <w:rPr>
          <w:rFonts w:ascii="Palatino Linotype" w:eastAsia="Palatino Linotype" w:hAnsi="Palatino Linotype" w:cs="Palatino Linotype"/>
          <w:sz w:val="22"/>
          <w:szCs w:val="22"/>
        </w:rPr>
      </w:pPr>
    </w:p>
    <w:p w14:paraId="28BE7E51" w14:textId="77777777" w:rsidR="00107A78" w:rsidRPr="0037486F" w:rsidRDefault="00107A78" w:rsidP="00107A78">
      <w:pPr>
        <w:spacing w:line="360" w:lineRule="auto"/>
        <w:jc w:val="both"/>
        <w:rPr>
          <w:rFonts w:ascii="Palatino Linotype" w:eastAsia="Palatino Linotype" w:hAnsi="Palatino Linotype" w:cs="Palatino Linotype"/>
          <w:sz w:val="22"/>
          <w:szCs w:val="22"/>
        </w:rPr>
      </w:pPr>
      <w:r w:rsidRPr="0037486F">
        <w:rPr>
          <w:rFonts w:ascii="Palatino Linotype" w:eastAsia="Palatino Linotype" w:hAnsi="Palatino Linotype" w:cs="Palatino Linotype"/>
          <w:sz w:val="22"/>
          <w:szCs w:val="22"/>
        </w:rPr>
        <w:t>Por su parte Ernesto Villanueva define al derecho de acceso a la información pública como la prerrogativa de la persona para acceder a datos, registros y todo tipo de informaciones en poder de las entidades públicas y empresas privadas que ejercen gasto público o cumplen funciones de autoridad, con las excepciones taxativas que establezca la ley en una sociedad democrática.</w:t>
      </w:r>
    </w:p>
    <w:p w14:paraId="2F00B69A" w14:textId="77777777" w:rsidR="00107A78" w:rsidRPr="0037486F" w:rsidRDefault="00107A78" w:rsidP="00107A78">
      <w:pPr>
        <w:spacing w:line="360" w:lineRule="auto"/>
        <w:jc w:val="both"/>
        <w:rPr>
          <w:rFonts w:ascii="Palatino Linotype" w:eastAsia="Palatino Linotype" w:hAnsi="Palatino Linotype" w:cs="Palatino Linotype"/>
          <w:sz w:val="22"/>
          <w:szCs w:val="22"/>
        </w:rPr>
      </w:pPr>
    </w:p>
    <w:p w14:paraId="496A0F3B" w14:textId="77777777" w:rsidR="00107A78" w:rsidRPr="0037486F" w:rsidRDefault="00107A78" w:rsidP="00107A78">
      <w:pPr>
        <w:spacing w:line="360" w:lineRule="auto"/>
        <w:ind w:right="99"/>
        <w:jc w:val="both"/>
        <w:rPr>
          <w:rFonts w:ascii="Palatino Linotype" w:eastAsia="Palatino Linotype" w:hAnsi="Palatino Linotype" w:cs="Palatino Linotype"/>
          <w:sz w:val="22"/>
          <w:szCs w:val="22"/>
        </w:rPr>
      </w:pPr>
      <w:r w:rsidRPr="0037486F">
        <w:rPr>
          <w:rFonts w:ascii="Palatino Linotype" w:eastAsia="Palatino Linotype" w:hAnsi="Palatino Linotype" w:cs="Palatino Linotype"/>
          <w:sz w:val="22"/>
          <w:szCs w:val="22"/>
        </w:rPr>
        <w:t xml:space="preserve">De lo anterior se puede concluir que la distinción entre el </w:t>
      </w:r>
      <w:r w:rsidRPr="0037486F">
        <w:rPr>
          <w:rFonts w:ascii="Palatino Linotype" w:eastAsia="Palatino Linotype" w:hAnsi="Palatino Linotype" w:cs="Palatino Linotype"/>
          <w:b/>
          <w:sz w:val="22"/>
          <w:szCs w:val="22"/>
        </w:rPr>
        <w:t>derecho de petición</w:t>
      </w:r>
      <w:r w:rsidRPr="0037486F">
        <w:rPr>
          <w:rFonts w:ascii="Palatino Linotype" w:eastAsia="Palatino Linotype" w:hAnsi="Palatino Linotype" w:cs="Palatino Linotype"/>
          <w:sz w:val="22"/>
          <w:szCs w:val="22"/>
        </w:rPr>
        <w:t xml:space="preserve"> y el derecho de acceso a la información descansa, principalmente, en que la pretensión del peticionario consiste generalmente en obligar a la autoridad responsable a que actúe en el sentido de contestar lo solicitado, mientras que en el derecho de acceso a la información pública la pretensión radica en que se permita el acceso a datos y todo tipo de documentación que tenga el carácter de información pública, que sea generada, administrada o se encuentre en posesión de los considerados Sujetos Obligados por la Ley de la Materia.</w:t>
      </w:r>
    </w:p>
    <w:p w14:paraId="04D729BF" w14:textId="77777777" w:rsidR="00107A78" w:rsidRPr="0037486F" w:rsidRDefault="00107A78" w:rsidP="00107A78">
      <w:pPr>
        <w:spacing w:line="360" w:lineRule="auto"/>
        <w:ind w:right="99"/>
        <w:jc w:val="both"/>
        <w:rPr>
          <w:rFonts w:ascii="Palatino Linotype" w:eastAsia="Palatino Linotype" w:hAnsi="Palatino Linotype" w:cs="Palatino Linotype"/>
          <w:sz w:val="22"/>
          <w:szCs w:val="22"/>
        </w:rPr>
      </w:pPr>
    </w:p>
    <w:p w14:paraId="4D6939A9" w14:textId="77777777" w:rsidR="00107A78" w:rsidRPr="0037486F" w:rsidRDefault="00107A78" w:rsidP="00107A78">
      <w:pPr>
        <w:spacing w:line="360" w:lineRule="auto"/>
        <w:jc w:val="both"/>
        <w:rPr>
          <w:rFonts w:ascii="Palatino Linotype" w:eastAsia="Palatino Linotype" w:hAnsi="Palatino Linotype" w:cs="Palatino Linotype"/>
          <w:sz w:val="22"/>
          <w:szCs w:val="22"/>
        </w:rPr>
      </w:pPr>
      <w:r w:rsidRPr="0037486F">
        <w:rPr>
          <w:rFonts w:ascii="Palatino Linotype" w:eastAsia="Palatino Linotype" w:hAnsi="Palatino Linotype" w:cs="Palatino Linotype"/>
          <w:sz w:val="22"/>
          <w:szCs w:val="22"/>
        </w:rPr>
        <w:t>Ante ello, de conformidad con lo que establece el artículo 12 de la Ley de Transparencia y Acceso a la Información Pública del Estado de México y Municipios, los sujetos obligados no se encuentran constreñidos a entregar información que no obra en sus archivos o generarla conforme al interés de los solicitantes.</w:t>
      </w:r>
    </w:p>
    <w:p w14:paraId="58D5E7DA" w14:textId="77777777" w:rsidR="00107A78" w:rsidRPr="0037486F" w:rsidRDefault="00107A78" w:rsidP="00107A78">
      <w:pPr>
        <w:spacing w:line="360" w:lineRule="auto"/>
        <w:jc w:val="both"/>
        <w:rPr>
          <w:rFonts w:ascii="Palatino Linotype" w:eastAsia="Palatino Linotype" w:hAnsi="Palatino Linotype" w:cs="Palatino Linotype"/>
          <w:sz w:val="22"/>
          <w:szCs w:val="22"/>
        </w:rPr>
      </w:pPr>
    </w:p>
    <w:p w14:paraId="212C7FC5" w14:textId="77777777" w:rsidR="00107A78" w:rsidRPr="0037486F" w:rsidRDefault="00107A78" w:rsidP="00107A78">
      <w:pPr>
        <w:spacing w:line="360" w:lineRule="auto"/>
        <w:jc w:val="both"/>
        <w:rPr>
          <w:rFonts w:ascii="Palatino Linotype" w:eastAsia="Palatino Linotype" w:hAnsi="Palatino Linotype" w:cs="Palatino Linotype"/>
          <w:b/>
          <w:sz w:val="22"/>
          <w:szCs w:val="22"/>
        </w:rPr>
      </w:pPr>
      <w:r w:rsidRPr="0037486F">
        <w:rPr>
          <w:rFonts w:ascii="Palatino Linotype" w:eastAsia="Palatino Linotype" w:hAnsi="Palatino Linotype" w:cs="Palatino Linotype"/>
          <w:b/>
          <w:sz w:val="22"/>
          <w:szCs w:val="22"/>
        </w:rPr>
        <w:t xml:space="preserve">En ese sentido, se tiene que, la solicitud de información se relaciona con el ejercicio del derecho de petición, por lo que esta no puede atenderse vía acceso a la información pública. </w:t>
      </w:r>
    </w:p>
    <w:p w14:paraId="432E7FC8" w14:textId="77777777" w:rsidR="00107A78" w:rsidRPr="0037486F" w:rsidRDefault="00107A78" w:rsidP="00107A78">
      <w:pPr>
        <w:spacing w:line="360" w:lineRule="auto"/>
        <w:ind w:right="96"/>
        <w:jc w:val="both"/>
        <w:rPr>
          <w:rFonts w:ascii="Palatino Linotype" w:eastAsia="Palatino Linotype" w:hAnsi="Palatino Linotype" w:cs="Palatino Linotype"/>
          <w:sz w:val="22"/>
          <w:szCs w:val="22"/>
        </w:rPr>
      </w:pPr>
    </w:p>
    <w:p w14:paraId="69E905FA" w14:textId="77777777" w:rsidR="00107A78" w:rsidRPr="0037486F" w:rsidRDefault="00107A78" w:rsidP="00107A78">
      <w:pPr>
        <w:spacing w:line="360" w:lineRule="auto"/>
        <w:ind w:right="96"/>
        <w:jc w:val="both"/>
        <w:rPr>
          <w:rFonts w:ascii="Palatino Linotype" w:eastAsia="Palatino Linotype" w:hAnsi="Palatino Linotype" w:cs="Palatino Linotype"/>
          <w:sz w:val="22"/>
          <w:szCs w:val="22"/>
        </w:rPr>
      </w:pPr>
      <w:r w:rsidRPr="0037486F">
        <w:rPr>
          <w:rFonts w:ascii="Palatino Linotype" w:eastAsia="Palatino Linotype" w:hAnsi="Palatino Linotype" w:cs="Palatino Linotype"/>
          <w:sz w:val="22"/>
          <w:szCs w:val="22"/>
        </w:rPr>
        <w:lastRenderedPageBreak/>
        <w:t>Por ello, en virtud de los argumentos expuestos con anterioridad así como del análisis realizado a las constancias que obran en el expediente electrónico del SAIMEX, se determina sobreseer el presente recurso de revisión por actualizarse la causal de sobreseimiento prevista en la fracción IV del artículo 192 de la Ley de Transparencia y Acceso a la Información Pública del Estado de México y Municipios en su correlación con las causales de improcedencia contempladas en las fracciones VI del artículo 191 del ordenamiento legal en cita, los que se transcriben a continuación, para un mejor entendimiento:</w:t>
      </w:r>
    </w:p>
    <w:p w14:paraId="2B973E5C" w14:textId="77777777" w:rsidR="00107A78" w:rsidRPr="0037486F" w:rsidRDefault="00107A78" w:rsidP="00107A78">
      <w:pPr>
        <w:spacing w:line="360" w:lineRule="auto"/>
        <w:ind w:right="96"/>
        <w:jc w:val="both"/>
        <w:rPr>
          <w:rFonts w:ascii="Palatino Linotype" w:eastAsia="Palatino Linotype" w:hAnsi="Palatino Linotype" w:cs="Palatino Linotype"/>
          <w:sz w:val="22"/>
          <w:szCs w:val="22"/>
        </w:rPr>
      </w:pPr>
    </w:p>
    <w:p w14:paraId="64401088" w14:textId="77777777" w:rsidR="00107A78" w:rsidRPr="0037486F" w:rsidRDefault="00107A78" w:rsidP="00107A78">
      <w:pPr>
        <w:tabs>
          <w:tab w:val="left" w:pos="7938"/>
        </w:tabs>
        <w:spacing w:line="276" w:lineRule="auto"/>
        <w:ind w:left="567" w:right="902"/>
        <w:jc w:val="both"/>
        <w:rPr>
          <w:rFonts w:ascii="Palatino Linotype" w:eastAsia="Palatino Linotype" w:hAnsi="Palatino Linotype" w:cs="Palatino Linotype"/>
          <w:i/>
          <w:sz w:val="22"/>
          <w:szCs w:val="22"/>
        </w:rPr>
      </w:pPr>
      <w:r w:rsidRPr="0037486F">
        <w:rPr>
          <w:rFonts w:ascii="Palatino Linotype" w:eastAsia="Palatino Linotype" w:hAnsi="Palatino Linotype" w:cs="Palatino Linotype"/>
          <w:i/>
          <w:sz w:val="22"/>
          <w:szCs w:val="22"/>
        </w:rPr>
        <w:t>“</w:t>
      </w:r>
      <w:r w:rsidRPr="0037486F">
        <w:rPr>
          <w:rFonts w:ascii="Palatino Linotype" w:eastAsia="Palatino Linotype" w:hAnsi="Palatino Linotype" w:cs="Palatino Linotype"/>
          <w:b/>
          <w:i/>
          <w:sz w:val="22"/>
          <w:szCs w:val="22"/>
        </w:rPr>
        <w:t>Artículo 191</w:t>
      </w:r>
      <w:r w:rsidRPr="0037486F">
        <w:rPr>
          <w:rFonts w:ascii="Palatino Linotype" w:eastAsia="Palatino Linotype" w:hAnsi="Palatino Linotype" w:cs="Palatino Linotype"/>
          <w:i/>
          <w:sz w:val="22"/>
          <w:szCs w:val="22"/>
        </w:rPr>
        <w:t xml:space="preserve">. </w:t>
      </w:r>
      <w:r w:rsidRPr="0037486F">
        <w:rPr>
          <w:rFonts w:ascii="Palatino Linotype" w:eastAsia="Palatino Linotype" w:hAnsi="Palatino Linotype" w:cs="Palatino Linotype"/>
          <w:b/>
          <w:i/>
          <w:sz w:val="22"/>
          <w:szCs w:val="22"/>
        </w:rPr>
        <w:t>El recurso</w:t>
      </w:r>
      <w:r w:rsidRPr="0037486F">
        <w:rPr>
          <w:rFonts w:ascii="Palatino Linotype" w:eastAsia="Palatino Linotype" w:hAnsi="Palatino Linotype" w:cs="Palatino Linotype"/>
          <w:i/>
          <w:sz w:val="22"/>
          <w:szCs w:val="22"/>
        </w:rPr>
        <w:t xml:space="preserve"> </w:t>
      </w:r>
      <w:r w:rsidRPr="0037486F">
        <w:rPr>
          <w:rFonts w:ascii="Palatino Linotype" w:eastAsia="Palatino Linotype" w:hAnsi="Palatino Linotype" w:cs="Palatino Linotype"/>
          <w:b/>
          <w:i/>
          <w:sz w:val="22"/>
          <w:szCs w:val="22"/>
        </w:rPr>
        <w:t xml:space="preserve">será </w:t>
      </w:r>
      <w:r w:rsidRPr="0037486F">
        <w:rPr>
          <w:rFonts w:ascii="Palatino Linotype" w:eastAsia="Palatino Linotype" w:hAnsi="Palatino Linotype" w:cs="Palatino Linotype"/>
          <w:i/>
          <w:sz w:val="22"/>
          <w:szCs w:val="22"/>
        </w:rPr>
        <w:t xml:space="preserve">desechado por </w:t>
      </w:r>
      <w:r w:rsidRPr="0037486F">
        <w:rPr>
          <w:rFonts w:ascii="Palatino Linotype" w:eastAsia="Palatino Linotype" w:hAnsi="Palatino Linotype" w:cs="Palatino Linotype"/>
          <w:b/>
          <w:i/>
          <w:sz w:val="22"/>
          <w:szCs w:val="22"/>
        </w:rPr>
        <w:t>improcedente cuando</w:t>
      </w:r>
      <w:r w:rsidRPr="0037486F">
        <w:rPr>
          <w:rFonts w:ascii="Palatino Linotype" w:eastAsia="Palatino Linotype" w:hAnsi="Palatino Linotype" w:cs="Palatino Linotype"/>
          <w:i/>
          <w:sz w:val="22"/>
          <w:szCs w:val="22"/>
        </w:rPr>
        <w:t>:</w:t>
      </w:r>
    </w:p>
    <w:p w14:paraId="08C72BB1" w14:textId="77777777" w:rsidR="00107A78" w:rsidRPr="0037486F" w:rsidRDefault="00107A78" w:rsidP="00107A78">
      <w:pPr>
        <w:tabs>
          <w:tab w:val="left" w:pos="7938"/>
        </w:tabs>
        <w:spacing w:line="276" w:lineRule="auto"/>
        <w:ind w:left="567" w:right="902"/>
        <w:jc w:val="both"/>
        <w:rPr>
          <w:rFonts w:ascii="Palatino Linotype" w:eastAsia="Palatino Linotype" w:hAnsi="Palatino Linotype" w:cs="Palatino Linotype"/>
          <w:i/>
          <w:sz w:val="22"/>
          <w:szCs w:val="22"/>
        </w:rPr>
      </w:pPr>
      <w:r w:rsidRPr="0037486F">
        <w:rPr>
          <w:rFonts w:ascii="Palatino Linotype" w:eastAsia="Palatino Linotype" w:hAnsi="Palatino Linotype" w:cs="Palatino Linotype"/>
          <w:i/>
          <w:sz w:val="22"/>
          <w:szCs w:val="22"/>
        </w:rPr>
        <w:t>…</w:t>
      </w:r>
    </w:p>
    <w:p w14:paraId="5BE3E98F" w14:textId="77777777" w:rsidR="00107A78" w:rsidRPr="0037486F" w:rsidRDefault="00107A78" w:rsidP="00107A78">
      <w:pPr>
        <w:tabs>
          <w:tab w:val="left" w:pos="7938"/>
        </w:tabs>
        <w:spacing w:line="276" w:lineRule="auto"/>
        <w:ind w:left="567" w:right="902"/>
        <w:jc w:val="both"/>
        <w:rPr>
          <w:rFonts w:ascii="Palatino Linotype" w:eastAsia="Palatino Linotype" w:hAnsi="Palatino Linotype" w:cs="Palatino Linotype"/>
          <w:b/>
          <w:i/>
          <w:sz w:val="22"/>
          <w:szCs w:val="22"/>
        </w:rPr>
      </w:pPr>
      <w:r w:rsidRPr="0037486F">
        <w:rPr>
          <w:rFonts w:ascii="Palatino Linotype" w:eastAsia="Palatino Linotype" w:hAnsi="Palatino Linotype" w:cs="Palatino Linotype"/>
          <w:b/>
          <w:i/>
          <w:sz w:val="22"/>
          <w:szCs w:val="22"/>
        </w:rPr>
        <w:t>VI. Se trate de una consulta</w:t>
      </w:r>
      <w:r w:rsidRPr="0037486F">
        <w:rPr>
          <w:rFonts w:ascii="Palatino Linotype" w:eastAsia="Palatino Linotype" w:hAnsi="Palatino Linotype" w:cs="Palatino Linotype"/>
          <w:i/>
          <w:sz w:val="22"/>
          <w:szCs w:val="22"/>
        </w:rPr>
        <w:t>, o trámite en específico</w:t>
      </w:r>
      <w:r w:rsidRPr="0037486F">
        <w:rPr>
          <w:rFonts w:ascii="Palatino Linotype" w:eastAsia="Palatino Linotype" w:hAnsi="Palatino Linotype" w:cs="Palatino Linotype"/>
          <w:b/>
          <w:i/>
          <w:sz w:val="22"/>
          <w:szCs w:val="22"/>
        </w:rPr>
        <w:t xml:space="preserve">; </w:t>
      </w:r>
    </w:p>
    <w:p w14:paraId="5183FEFF" w14:textId="77777777" w:rsidR="00107A78" w:rsidRPr="0037486F" w:rsidRDefault="00107A78" w:rsidP="00107A78">
      <w:pPr>
        <w:tabs>
          <w:tab w:val="left" w:pos="7938"/>
        </w:tabs>
        <w:spacing w:line="276" w:lineRule="auto"/>
        <w:ind w:left="567" w:right="902"/>
        <w:jc w:val="both"/>
        <w:rPr>
          <w:rFonts w:ascii="Palatino Linotype" w:eastAsia="Palatino Linotype" w:hAnsi="Palatino Linotype" w:cs="Palatino Linotype"/>
          <w:b/>
          <w:i/>
          <w:sz w:val="22"/>
          <w:szCs w:val="22"/>
        </w:rPr>
      </w:pPr>
      <w:r w:rsidRPr="0037486F">
        <w:rPr>
          <w:rFonts w:ascii="Palatino Linotype" w:eastAsia="Palatino Linotype" w:hAnsi="Palatino Linotype" w:cs="Palatino Linotype"/>
          <w:b/>
          <w:i/>
          <w:sz w:val="22"/>
          <w:szCs w:val="22"/>
        </w:rPr>
        <w:t>…</w:t>
      </w:r>
    </w:p>
    <w:p w14:paraId="4FDA53A1" w14:textId="77777777" w:rsidR="00107A78" w:rsidRPr="0037486F" w:rsidRDefault="00107A78" w:rsidP="00107A78">
      <w:pPr>
        <w:tabs>
          <w:tab w:val="left" w:pos="7938"/>
        </w:tabs>
        <w:spacing w:line="276" w:lineRule="auto"/>
        <w:ind w:left="567" w:right="902"/>
        <w:jc w:val="both"/>
        <w:rPr>
          <w:rFonts w:ascii="Palatino Linotype" w:eastAsia="Palatino Linotype" w:hAnsi="Palatino Linotype" w:cs="Palatino Linotype"/>
          <w:i/>
          <w:sz w:val="22"/>
          <w:szCs w:val="22"/>
        </w:rPr>
      </w:pPr>
      <w:r w:rsidRPr="0037486F">
        <w:rPr>
          <w:rFonts w:ascii="Palatino Linotype" w:eastAsia="Palatino Linotype" w:hAnsi="Palatino Linotype" w:cs="Palatino Linotype"/>
          <w:b/>
          <w:i/>
          <w:sz w:val="22"/>
          <w:szCs w:val="22"/>
        </w:rPr>
        <w:t>Artículo 192.</w:t>
      </w:r>
      <w:r w:rsidRPr="0037486F">
        <w:rPr>
          <w:rFonts w:ascii="Palatino Linotype" w:eastAsia="Palatino Linotype" w:hAnsi="Palatino Linotype" w:cs="Palatino Linotype"/>
          <w:i/>
          <w:sz w:val="22"/>
          <w:szCs w:val="22"/>
        </w:rPr>
        <w:t xml:space="preserve"> El recurso será sobreseído, en todo o en parte, cuando una vez admitido, se actualicen alguno de los siguientes supuestos:</w:t>
      </w:r>
    </w:p>
    <w:p w14:paraId="05C71CE9" w14:textId="77777777" w:rsidR="00107A78" w:rsidRPr="0037486F" w:rsidRDefault="00107A78" w:rsidP="00107A78">
      <w:pPr>
        <w:tabs>
          <w:tab w:val="left" w:pos="7938"/>
        </w:tabs>
        <w:spacing w:line="276" w:lineRule="auto"/>
        <w:ind w:left="567" w:right="902"/>
        <w:jc w:val="both"/>
        <w:rPr>
          <w:rFonts w:ascii="Palatino Linotype" w:eastAsia="Palatino Linotype" w:hAnsi="Palatino Linotype" w:cs="Palatino Linotype"/>
          <w:i/>
          <w:sz w:val="22"/>
          <w:szCs w:val="22"/>
        </w:rPr>
      </w:pPr>
      <w:r w:rsidRPr="0037486F">
        <w:rPr>
          <w:rFonts w:ascii="Palatino Linotype" w:eastAsia="Palatino Linotype" w:hAnsi="Palatino Linotype" w:cs="Palatino Linotype"/>
          <w:i/>
          <w:sz w:val="22"/>
          <w:szCs w:val="22"/>
        </w:rPr>
        <w:t>…</w:t>
      </w:r>
    </w:p>
    <w:p w14:paraId="42ACCCD1" w14:textId="77777777" w:rsidR="00107A78" w:rsidRPr="0037486F" w:rsidRDefault="00107A78" w:rsidP="00107A78">
      <w:pPr>
        <w:tabs>
          <w:tab w:val="left" w:pos="7938"/>
        </w:tabs>
        <w:spacing w:line="276" w:lineRule="auto"/>
        <w:ind w:left="567" w:right="902"/>
        <w:jc w:val="both"/>
        <w:rPr>
          <w:rFonts w:ascii="Palatino Linotype" w:eastAsia="Palatino Linotype" w:hAnsi="Palatino Linotype" w:cs="Palatino Linotype"/>
          <w:i/>
          <w:sz w:val="22"/>
          <w:szCs w:val="22"/>
        </w:rPr>
      </w:pPr>
      <w:r w:rsidRPr="0037486F">
        <w:rPr>
          <w:rFonts w:ascii="Palatino Linotype" w:eastAsia="Palatino Linotype" w:hAnsi="Palatino Linotype" w:cs="Palatino Linotype"/>
          <w:b/>
          <w:i/>
          <w:sz w:val="22"/>
          <w:szCs w:val="22"/>
        </w:rPr>
        <w:t>IV</w:t>
      </w:r>
      <w:r w:rsidRPr="0037486F">
        <w:rPr>
          <w:rFonts w:ascii="Palatino Linotype" w:eastAsia="Palatino Linotype" w:hAnsi="Palatino Linotype" w:cs="Palatino Linotype"/>
          <w:i/>
          <w:sz w:val="22"/>
          <w:szCs w:val="22"/>
        </w:rPr>
        <w:t xml:space="preserve">. Admitido el recurso de revisión, </w:t>
      </w:r>
      <w:r w:rsidRPr="0037486F">
        <w:rPr>
          <w:rFonts w:ascii="Palatino Linotype" w:eastAsia="Palatino Linotype" w:hAnsi="Palatino Linotype" w:cs="Palatino Linotype"/>
          <w:b/>
          <w:i/>
          <w:sz w:val="22"/>
          <w:szCs w:val="22"/>
        </w:rPr>
        <w:t>aparezca alguna causal de improcedencia</w:t>
      </w:r>
      <w:r w:rsidRPr="0037486F">
        <w:rPr>
          <w:rFonts w:ascii="Palatino Linotype" w:eastAsia="Palatino Linotype" w:hAnsi="Palatino Linotype" w:cs="Palatino Linotype"/>
          <w:i/>
          <w:sz w:val="22"/>
          <w:szCs w:val="22"/>
        </w:rPr>
        <w:t xml:space="preserve"> en los términos de la presente Ley. “</w:t>
      </w:r>
    </w:p>
    <w:p w14:paraId="7A3A5446" w14:textId="77777777" w:rsidR="00107A78" w:rsidRPr="0037486F" w:rsidRDefault="00107A78" w:rsidP="00107A78">
      <w:pPr>
        <w:tabs>
          <w:tab w:val="left" w:pos="7938"/>
        </w:tabs>
        <w:spacing w:line="360" w:lineRule="auto"/>
        <w:ind w:left="567" w:right="902"/>
        <w:jc w:val="both"/>
        <w:rPr>
          <w:rFonts w:ascii="Palatino Linotype" w:eastAsia="Palatino Linotype" w:hAnsi="Palatino Linotype" w:cs="Palatino Linotype"/>
          <w:i/>
          <w:sz w:val="22"/>
          <w:szCs w:val="22"/>
        </w:rPr>
      </w:pPr>
    </w:p>
    <w:p w14:paraId="2AC00647" w14:textId="77777777" w:rsidR="00107A78" w:rsidRPr="0037486F" w:rsidRDefault="00107A78" w:rsidP="00107A78">
      <w:pPr>
        <w:spacing w:line="360" w:lineRule="auto"/>
        <w:jc w:val="both"/>
        <w:rPr>
          <w:rFonts w:ascii="Palatino Linotype" w:eastAsia="Palatino Linotype" w:hAnsi="Palatino Linotype" w:cs="Palatino Linotype"/>
          <w:sz w:val="22"/>
          <w:szCs w:val="22"/>
        </w:rPr>
      </w:pPr>
      <w:r w:rsidRPr="0037486F">
        <w:rPr>
          <w:rFonts w:ascii="Palatino Linotype" w:eastAsia="Palatino Linotype" w:hAnsi="Palatino Linotype" w:cs="Palatino Linotype"/>
          <w:sz w:val="22"/>
          <w:szCs w:val="22"/>
        </w:rPr>
        <w:t xml:space="preserve">Siendo el </w:t>
      </w:r>
      <w:r w:rsidRPr="0037486F">
        <w:rPr>
          <w:rFonts w:ascii="Palatino Linotype" w:eastAsia="Palatino Linotype" w:hAnsi="Palatino Linotype" w:cs="Palatino Linotype"/>
          <w:b/>
          <w:i/>
          <w:sz w:val="22"/>
          <w:szCs w:val="22"/>
        </w:rPr>
        <w:t>sobreseimiento</w:t>
      </w:r>
      <w:r w:rsidRPr="0037486F">
        <w:rPr>
          <w:rFonts w:ascii="Palatino Linotype" w:eastAsia="Palatino Linotype" w:hAnsi="Palatino Linotype" w:cs="Palatino Linotype"/>
          <w:b/>
          <w:sz w:val="22"/>
          <w:szCs w:val="22"/>
        </w:rPr>
        <w:t xml:space="preserve"> </w:t>
      </w:r>
      <w:r w:rsidRPr="0037486F">
        <w:rPr>
          <w:rFonts w:ascii="Palatino Linotype" w:eastAsia="Palatino Linotype" w:hAnsi="Palatino Linotype" w:cs="Palatino Linotype"/>
          <w:sz w:val="22"/>
          <w:szCs w:val="22"/>
        </w:rPr>
        <w:t>un acto que da por terminado el procedimiento administrativo de impugnación sin resolver el fondo de la cuestión planteada, por presentarse causas que impiden a la autoridad referirse a lo sustancial de lo planteado por el recurrente, los efectos del sobreseimiento consisten en dar por concluido el recurso administrativo sin entrar al estudio de fondo del asunto de que se trate; lo anterior con apoyo en el criterio del Poder Judicial de la Federación con rubro:</w:t>
      </w:r>
    </w:p>
    <w:p w14:paraId="23BDAD95" w14:textId="77777777" w:rsidR="00107A78" w:rsidRPr="0037486F" w:rsidRDefault="00107A78" w:rsidP="00107A78">
      <w:pPr>
        <w:spacing w:line="360" w:lineRule="auto"/>
        <w:jc w:val="both"/>
        <w:rPr>
          <w:rFonts w:ascii="Palatino Linotype" w:eastAsia="Palatino Linotype" w:hAnsi="Palatino Linotype" w:cs="Palatino Linotype"/>
          <w:sz w:val="22"/>
          <w:szCs w:val="22"/>
        </w:rPr>
      </w:pPr>
    </w:p>
    <w:p w14:paraId="3EB8F429" w14:textId="77777777" w:rsidR="00107A78" w:rsidRPr="0037486F" w:rsidRDefault="00107A78" w:rsidP="00107A78">
      <w:pPr>
        <w:spacing w:line="276" w:lineRule="auto"/>
        <w:ind w:left="567" w:right="902"/>
        <w:jc w:val="both"/>
        <w:rPr>
          <w:rFonts w:ascii="Palatino Linotype" w:eastAsia="Palatino Linotype" w:hAnsi="Palatino Linotype" w:cs="Palatino Linotype"/>
          <w:b/>
          <w:i/>
          <w:sz w:val="22"/>
          <w:szCs w:val="22"/>
        </w:rPr>
      </w:pPr>
      <w:r w:rsidRPr="0037486F">
        <w:rPr>
          <w:rFonts w:ascii="Palatino Linotype" w:eastAsia="Palatino Linotype" w:hAnsi="Palatino Linotype" w:cs="Palatino Linotype"/>
          <w:i/>
          <w:sz w:val="22"/>
          <w:szCs w:val="22"/>
        </w:rPr>
        <w:t>“</w:t>
      </w:r>
      <w:r w:rsidRPr="0037486F">
        <w:rPr>
          <w:rFonts w:ascii="Palatino Linotype" w:eastAsia="Palatino Linotype" w:hAnsi="Palatino Linotype" w:cs="Palatino Linotype"/>
          <w:b/>
          <w:i/>
          <w:sz w:val="22"/>
          <w:szCs w:val="22"/>
        </w:rPr>
        <w:t xml:space="preserve">SOBRESEIMIENTO, NO PERMITE ENTRAR AL ESTUDIO DE LAS CUESTIONES DE FONDO. </w:t>
      </w:r>
      <w:r w:rsidRPr="0037486F">
        <w:rPr>
          <w:rFonts w:ascii="Palatino Linotype" w:eastAsia="Palatino Linotype" w:hAnsi="Palatino Linotype" w:cs="Palatino Linotype"/>
          <w:i/>
          <w:sz w:val="22"/>
          <w:szCs w:val="22"/>
        </w:rPr>
        <w:t xml:space="preserve">No causa agravio la sentencia que no se ocupa de los razonamientos tendientes a demostrar la inconstitucionalidad de los actos </w:t>
      </w:r>
      <w:r w:rsidRPr="0037486F">
        <w:rPr>
          <w:rFonts w:ascii="Palatino Linotype" w:eastAsia="Palatino Linotype" w:hAnsi="Palatino Linotype" w:cs="Palatino Linotype"/>
          <w:i/>
          <w:sz w:val="22"/>
          <w:szCs w:val="22"/>
        </w:rPr>
        <w:lastRenderedPageBreak/>
        <w:t xml:space="preserve">reclamados de las autoridades responsables, que constituyen el problema de fondo, si se decreta el sobreseimiento del juicio.” </w:t>
      </w:r>
    </w:p>
    <w:p w14:paraId="587BAA3A" w14:textId="77777777" w:rsidR="00107A78" w:rsidRPr="0037486F" w:rsidRDefault="00107A78" w:rsidP="00107A78">
      <w:pPr>
        <w:spacing w:line="360" w:lineRule="auto"/>
        <w:jc w:val="both"/>
        <w:rPr>
          <w:rFonts w:ascii="Palatino Linotype" w:eastAsia="Palatino Linotype" w:hAnsi="Palatino Linotype" w:cs="Palatino Linotype"/>
          <w:sz w:val="22"/>
          <w:szCs w:val="22"/>
        </w:rPr>
      </w:pPr>
    </w:p>
    <w:p w14:paraId="1B3E4B0A" w14:textId="77777777" w:rsidR="00107A78" w:rsidRPr="0037486F" w:rsidRDefault="00107A78" w:rsidP="00107A78">
      <w:pPr>
        <w:spacing w:line="360" w:lineRule="auto"/>
        <w:jc w:val="both"/>
        <w:rPr>
          <w:rFonts w:ascii="Palatino Linotype" w:eastAsia="Palatino Linotype" w:hAnsi="Palatino Linotype" w:cs="Palatino Linotype"/>
          <w:sz w:val="22"/>
          <w:szCs w:val="22"/>
        </w:rPr>
      </w:pPr>
      <w:r w:rsidRPr="0037486F">
        <w:rPr>
          <w:rFonts w:ascii="Palatino Linotype" w:eastAsia="Palatino Linotype" w:hAnsi="Palatino Linotype" w:cs="Palatino Linotype"/>
          <w:sz w:val="22"/>
          <w:szCs w:val="22"/>
        </w:rPr>
        <w:t>Cabe destacar que la decisión de este Organismo Colegiado de sobreseer el recurso de revisión no implica una limitación o negación a la justicia, según lo ha establecido el Poder Judicial Federal, en el criterio que es aplicable por analogía, con rubro:</w:t>
      </w:r>
    </w:p>
    <w:p w14:paraId="3FD17B8D" w14:textId="77777777" w:rsidR="00107A78" w:rsidRPr="0037486F" w:rsidRDefault="00107A78" w:rsidP="00107A78">
      <w:pPr>
        <w:spacing w:line="360" w:lineRule="auto"/>
        <w:jc w:val="both"/>
        <w:rPr>
          <w:rFonts w:ascii="Palatino Linotype" w:eastAsia="Palatino Linotype" w:hAnsi="Palatino Linotype" w:cs="Palatino Linotype"/>
          <w:sz w:val="22"/>
          <w:szCs w:val="22"/>
        </w:rPr>
      </w:pPr>
    </w:p>
    <w:p w14:paraId="627D9D8C" w14:textId="77777777" w:rsidR="00107A78" w:rsidRPr="0037486F" w:rsidRDefault="00107A78" w:rsidP="00107A78">
      <w:pPr>
        <w:spacing w:line="276" w:lineRule="auto"/>
        <w:ind w:left="567" w:right="567"/>
        <w:jc w:val="both"/>
        <w:rPr>
          <w:rFonts w:ascii="Palatino Linotype" w:eastAsia="Palatino Linotype" w:hAnsi="Palatino Linotype" w:cs="Palatino Linotype"/>
          <w:b/>
          <w:i/>
          <w:sz w:val="22"/>
          <w:szCs w:val="22"/>
        </w:rPr>
      </w:pPr>
      <w:r w:rsidRPr="0037486F">
        <w:rPr>
          <w:rFonts w:ascii="Palatino Linotype" w:eastAsia="Palatino Linotype" w:hAnsi="Palatino Linotype" w:cs="Palatino Linotype"/>
          <w:b/>
          <w:i/>
          <w:sz w:val="22"/>
          <w:szCs w:val="22"/>
        </w:rPr>
        <w:t xml:space="preserve">“DESECHAMIENTO O SOBRESEIMIENTO EN EL JUICIO DE AMPARO. NO IMPLICA DENEGACIÓN DE JUSTICIA NI GENERA INSEGURIDAD JURÍDICA” </w:t>
      </w:r>
      <w:r w:rsidRPr="0037486F">
        <w:rPr>
          <w:rFonts w:ascii="Palatino Linotype" w:eastAsia="Palatino Linotype" w:hAnsi="Palatino Linotype" w:cs="Palatino Linotype"/>
          <w:i/>
          <w:sz w:val="22"/>
          <w:szCs w:val="22"/>
        </w:rPr>
        <w:t xml:space="preserve">Cuando se desecha una demanda de amparo o se sobresee en el juicio, ello no implica denegar justicia ni genera inseguridad jurídica, ya que la obligación de los tribunales no es tramitar y resolver en el fondo todos los asuntos sometidos a su consideración en forma favorable a los intereses del solicitante, sino que se circunscribe a la posibilidad que tiene cualquier individuo de acudir ante los órganos jurisdiccionales, con su promoción (demanda), a la cual debe darse el trámite acorde a las formalidades rectoras del procedimiento respectivo, dentro de las cuales el legislador previó las causales de improcedencia y sobreseimiento. Así, cuando el juzgador o tribunal de amparo se funda en una de ellas para desechar o sobreseer en un juicio, imparte justicia, puesto que el acceso a ella no se ve menoscabado, sino que es efectivo, ni se deja en estado de indefensión al promovente, no obstante sea desfavorable, al no poder negar que se da respuesta a la petición de amparo, con independencia de que no comparta el sentido de la resolución, dado que de esa forma quien imparte justicia se pronuncia sobre la acción, diciendo así el derecho y permitiendo que impere el orden jurídico.” </w:t>
      </w:r>
    </w:p>
    <w:p w14:paraId="0811EF16" w14:textId="77777777" w:rsidR="00107A78" w:rsidRPr="0037486F" w:rsidRDefault="00107A78" w:rsidP="00107A78">
      <w:pPr>
        <w:spacing w:line="360" w:lineRule="auto"/>
        <w:jc w:val="both"/>
        <w:rPr>
          <w:rFonts w:ascii="Palatino Linotype" w:eastAsia="Palatino Linotype" w:hAnsi="Palatino Linotype" w:cs="Palatino Linotype"/>
          <w:sz w:val="22"/>
          <w:szCs w:val="22"/>
        </w:rPr>
      </w:pPr>
    </w:p>
    <w:p w14:paraId="330DCFB2" w14:textId="408F5330" w:rsidR="00107A78" w:rsidRPr="0037486F" w:rsidRDefault="00107A78" w:rsidP="00107A78">
      <w:pPr>
        <w:spacing w:line="360" w:lineRule="auto"/>
        <w:ind w:right="49"/>
        <w:jc w:val="both"/>
        <w:rPr>
          <w:rFonts w:ascii="Palatino Linotype" w:eastAsia="Palatino Linotype" w:hAnsi="Palatino Linotype" w:cs="Palatino Linotype"/>
          <w:sz w:val="22"/>
          <w:szCs w:val="22"/>
        </w:rPr>
      </w:pPr>
      <w:r w:rsidRPr="0037486F">
        <w:rPr>
          <w:rFonts w:ascii="Palatino Linotype" w:eastAsia="Palatino Linotype" w:hAnsi="Palatino Linotype" w:cs="Palatino Linotype"/>
          <w:sz w:val="22"/>
          <w:szCs w:val="22"/>
        </w:rPr>
        <w:t>Así las cosas, con fundamento en lo prescrito en los artículos 5 párrafos cuadragésimo cuarto, cuadragésimo quinto y cuadragésimo sexto, fracciones IV y V de la Constitución Política del Estado Libre y Soberano de México; transitorio Cuarto del Decreto número 198 de la “LXII” Legislatura del Estado de México; 2, fracción II; 29, 36 fracciones I y II; 176, 178, 179, 181, 185, 191 fracción VI y 192, fracción IV, de la Ley de Transparencia y Acceso a la Información Pública del Estado de México y Municipios, este Pleno:</w:t>
      </w:r>
    </w:p>
    <w:p w14:paraId="0F6C1724" w14:textId="77777777" w:rsidR="00107A78" w:rsidRPr="0037486F" w:rsidRDefault="00107A78" w:rsidP="00107A78">
      <w:pPr>
        <w:numPr>
          <w:ilvl w:val="0"/>
          <w:numId w:val="6"/>
        </w:num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r w:rsidRPr="0037486F">
        <w:rPr>
          <w:rFonts w:ascii="Palatino Linotype" w:eastAsia="Palatino Linotype" w:hAnsi="Palatino Linotype" w:cs="Palatino Linotype"/>
          <w:b/>
          <w:sz w:val="22"/>
          <w:szCs w:val="22"/>
        </w:rPr>
        <w:lastRenderedPageBreak/>
        <w:t>R E S U E L V E:</w:t>
      </w:r>
    </w:p>
    <w:p w14:paraId="40C08071" w14:textId="77777777" w:rsidR="00107A78" w:rsidRPr="0037486F" w:rsidRDefault="00107A78" w:rsidP="00107A78">
      <w:pPr>
        <w:spacing w:line="360" w:lineRule="auto"/>
        <w:ind w:right="49"/>
        <w:jc w:val="both"/>
        <w:rPr>
          <w:rFonts w:ascii="Palatino Linotype" w:eastAsia="Palatino Linotype" w:hAnsi="Palatino Linotype" w:cs="Palatino Linotype"/>
          <w:b/>
          <w:sz w:val="22"/>
          <w:szCs w:val="22"/>
        </w:rPr>
      </w:pPr>
      <w:bookmarkStart w:id="2" w:name="_heading=h.3znysh7" w:colFirst="0" w:colLast="0"/>
      <w:bookmarkEnd w:id="2"/>
    </w:p>
    <w:p w14:paraId="340C4A04" w14:textId="03E96DAE" w:rsidR="00107A78" w:rsidRPr="0037486F" w:rsidRDefault="00107A78" w:rsidP="00107A78">
      <w:pPr>
        <w:spacing w:line="360" w:lineRule="auto"/>
        <w:jc w:val="both"/>
        <w:rPr>
          <w:rFonts w:ascii="Palatino Linotype" w:eastAsia="Palatino Linotype" w:hAnsi="Palatino Linotype" w:cs="Palatino Linotype"/>
          <w:b/>
          <w:bCs/>
          <w:sz w:val="22"/>
          <w:szCs w:val="22"/>
        </w:rPr>
      </w:pPr>
      <w:bookmarkStart w:id="3" w:name="_heading=h.auyd5bfpspp0" w:colFirst="0" w:colLast="0"/>
      <w:bookmarkEnd w:id="3"/>
      <w:r w:rsidRPr="0037486F">
        <w:rPr>
          <w:rFonts w:ascii="Palatino Linotype" w:eastAsia="Palatino Linotype" w:hAnsi="Palatino Linotype" w:cs="Palatino Linotype"/>
          <w:b/>
          <w:sz w:val="22"/>
          <w:szCs w:val="22"/>
        </w:rPr>
        <w:t>Primero.</w:t>
      </w:r>
      <w:r w:rsidRPr="0037486F">
        <w:rPr>
          <w:rFonts w:ascii="Palatino Linotype" w:eastAsia="Palatino Linotype" w:hAnsi="Palatino Linotype" w:cs="Palatino Linotype"/>
          <w:sz w:val="22"/>
          <w:szCs w:val="22"/>
        </w:rPr>
        <w:t xml:space="preserve"> Se </w:t>
      </w:r>
      <w:r w:rsidRPr="0037486F">
        <w:rPr>
          <w:rFonts w:ascii="Palatino Linotype" w:eastAsia="Palatino Linotype" w:hAnsi="Palatino Linotype" w:cs="Palatino Linotype"/>
          <w:b/>
          <w:sz w:val="22"/>
          <w:szCs w:val="22"/>
        </w:rPr>
        <w:t>SOBRESEE</w:t>
      </w:r>
      <w:r w:rsidRPr="0037486F">
        <w:rPr>
          <w:rFonts w:ascii="Palatino Linotype" w:eastAsia="Palatino Linotype" w:hAnsi="Palatino Linotype" w:cs="Palatino Linotype"/>
          <w:sz w:val="22"/>
          <w:szCs w:val="22"/>
        </w:rPr>
        <w:t xml:space="preserve"> el Recurso de Revisión número </w:t>
      </w:r>
      <w:r w:rsidR="00545D67" w:rsidRPr="0037486F">
        <w:rPr>
          <w:rFonts w:ascii="Palatino Linotype" w:eastAsia="Palatino Linotype" w:hAnsi="Palatino Linotype" w:cs="Palatino Linotype"/>
          <w:b/>
          <w:bCs/>
          <w:sz w:val="22"/>
          <w:szCs w:val="22"/>
        </w:rPr>
        <w:t>01094</w:t>
      </w:r>
      <w:r w:rsidRPr="0037486F">
        <w:rPr>
          <w:rFonts w:ascii="Palatino Linotype" w:eastAsia="Palatino Linotype" w:hAnsi="Palatino Linotype" w:cs="Palatino Linotype"/>
          <w:b/>
          <w:sz w:val="22"/>
          <w:szCs w:val="22"/>
        </w:rPr>
        <w:t>/INFOEM/IP/RR/202</w:t>
      </w:r>
      <w:r w:rsidR="00545D67" w:rsidRPr="0037486F">
        <w:rPr>
          <w:rFonts w:ascii="Palatino Linotype" w:eastAsia="Palatino Linotype" w:hAnsi="Palatino Linotype" w:cs="Palatino Linotype"/>
          <w:b/>
          <w:sz w:val="22"/>
          <w:szCs w:val="22"/>
        </w:rPr>
        <w:t>6</w:t>
      </w:r>
      <w:r w:rsidRPr="0037486F">
        <w:rPr>
          <w:rFonts w:ascii="Palatino Linotype" w:eastAsia="Palatino Linotype" w:hAnsi="Palatino Linotype" w:cs="Palatino Linotype"/>
          <w:sz w:val="22"/>
          <w:szCs w:val="22"/>
        </w:rPr>
        <w:t xml:space="preserve">, por actualizarse la causal de improcedencia prevista en la fracción IV del artículo 192, en relación con la fracción VI del artículo 191, ambos de la Ley de Transparencia vigente en la entidad, en términos del Considerando </w:t>
      </w:r>
      <w:r w:rsidRPr="0037486F">
        <w:rPr>
          <w:rFonts w:ascii="Palatino Linotype" w:eastAsia="Palatino Linotype" w:hAnsi="Palatino Linotype" w:cs="Palatino Linotype"/>
          <w:b/>
          <w:sz w:val="22"/>
          <w:szCs w:val="22"/>
        </w:rPr>
        <w:t>TERCERO</w:t>
      </w:r>
      <w:r w:rsidRPr="0037486F">
        <w:rPr>
          <w:rFonts w:ascii="Palatino Linotype" w:eastAsia="Palatino Linotype" w:hAnsi="Palatino Linotype" w:cs="Palatino Linotype"/>
          <w:sz w:val="22"/>
          <w:szCs w:val="22"/>
        </w:rPr>
        <w:t xml:space="preserve"> de la presente resolución.</w:t>
      </w:r>
    </w:p>
    <w:p w14:paraId="5680428F" w14:textId="77777777" w:rsidR="00107A78" w:rsidRPr="0037486F" w:rsidRDefault="00107A78" w:rsidP="00107A78">
      <w:pPr>
        <w:spacing w:line="360" w:lineRule="auto"/>
        <w:jc w:val="both"/>
        <w:rPr>
          <w:rFonts w:ascii="Palatino Linotype" w:eastAsia="Palatino Linotype" w:hAnsi="Palatino Linotype" w:cs="Palatino Linotype"/>
          <w:sz w:val="22"/>
          <w:szCs w:val="22"/>
        </w:rPr>
      </w:pPr>
    </w:p>
    <w:p w14:paraId="11865041" w14:textId="77777777" w:rsidR="00107A78" w:rsidRPr="0037486F" w:rsidRDefault="00107A78" w:rsidP="00107A78">
      <w:pPr>
        <w:spacing w:line="360" w:lineRule="auto"/>
        <w:jc w:val="both"/>
        <w:rPr>
          <w:rFonts w:ascii="Palatino Linotype" w:eastAsia="Palatino Linotype" w:hAnsi="Palatino Linotype" w:cs="Palatino Linotype"/>
          <w:b/>
          <w:sz w:val="22"/>
          <w:szCs w:val="22"/>
        </w:rPr>
      </w:pPr>
      <w:r w:rsidRPr="0037486F">
        <w:rPr>
          <w:rFonts w:ascii="Palatino Linotype" w:eastAsia="Palatino Linotype" w:hAnsi="Palatino Linotype" w:cs="Palatino Linotype"/>
          <w:b/>
          <w:sz w:val="22"/>
          <w:szCs w:val="22"/>
        </w:rPr>
        <w:t>Segundo. Notifíquese vía SAIMEX</w:t>
      </w:r>
      <w:r w:rsidRPr="0037486F">
        <w:rPr>
          <w:rFonts w:ascii="Palatino Linotype" w:eastAsia="Palatino Linotype" w:hAnsi="Palatino Linotype" w:cs="Palatino Linotype"/>
          <w:sz w:val="22"/>
          <w:szCs w:val="22"/>
        </w:rPr>
        <w:t>,</w:t>
      </w:r>
      <w:r w:rsidRPr="0037486F">
        <w:rPr>
          <w:rFonts w:ascii="Palatino Linotype" w:eastAsia="Palatino Linotype" w:hAnsi="Palatino Linotype" w:cs="Palatino Linotype"/>
          <w:b/>
          <w:sz w:val="22"/>
          <w:szCs w:val="22"/>
        </w:rPr>
        <w:t xml:space="preserve"> </w:t>
      </w:r>
      <w:r w:rsidRPr="0037486F">
        <w:rPr>
          <w:rFonts w:ascii="Palatino Linotype" w:eastAsia="Palatino Linotype" w:hAnsi="Palatino Linotype" w:cs="Palatino Linotype"/>
          <w:sz w:val="22"/>
          <w:szCs w:val="22"/>
        </w:rPr>
        <w:t>al Responsable de la Unidad de Transparencia del</w:t>
      </w:r>
      <w:r w:rsidRPr="0037486F">
        <w:rPr>
          <w:rFonts w:ascii="Palatino Linotype" w:eastAsia="Palatino Linotype" w:hAnsi="Palatino Linotype" w:cs="Palatino Linotype"/>
          <w:b/>
          <w:sz w:val="22"/>
          <w:szCs w:val="22"/>
        </w:rPr>
        <w:t xml:space="preserve"> SUJETO OBLIGADO </w:t>
      </w:r>
      <w:r w:rsidRPr="0037486F">
        <w:rPr>
          <w:rFonts w:ascii="Palatino Linotype" w:eastAsia="Palatino Linotype" w:hAnsi="Palatino Linotype" w:cs="Palatino Linotype"/>
          <w:sz w:val="22"/>
          <w:szCs w:val="22"/>
        </w:rPr>
        <w:t>la presente resolución, para su conocimiento, lo anterior en términos del artículo 189 de la Ley de Transparencia y Acceso a la Información Pública del Estado de México y Municipios.</w:t>
      </w:r>
    </w:p>
    <w:p w14:paraId="68C17B18" w14:textId="77777777" w:rsidR="00107A78" w:rsidRPr="0037486F" w:rsidRDefault="00107A78" w:rsidP="00107A78">
      <w:pPr>
        <w:spacing w:line="360" w:lineRule="auto"/>
        <w:jc w:val="both"/>
        <w:rPr>
          <w:rFonts w:ascii="Palatino Linotype" w:eastAsia="Palatino Linotype" w:hAnsi="Palatino Linotype" w:cs="Palatino Linotype"/>
          <w:sz w:val="22"/>
          <w:szCs w:val="22"/>
        </w:rPr>
      </w:pPr>
    </w:p>
    <w:p w14:paraId="619C2B5F" w14:textId="77777777" w:rsidR="00107A78" w:rsidRPr="0037486F" w:rsidRDefault="00107A78" w:rsidP="00107A78">
      <w:pPr>
        <w:spacing w:line="360" w:lineRule="auto"/>
        <w:jc w:val="both"/>
        <w:rPr>
          <w:rFonts w:ascii="Palatino Linotype" w:eastAsia="Palatino Linotype" w:hAnsi="Palatino Linotype" w:cs="Palatino Linotype"/>
          <w:sz w:val="22"/>
          <w:szCs w:val="22"/>
        </w:rPr>
      </w:pPr>
      <w:r w:rsidRPr="0037486F">
        <w:rPr>
          <w:rFonts w:ascii="Palatino Linotype" w:eastAsia="Palatino Linotype" w:hAnsi="Palatino Linotype" w:cs="Palatino Linotype"/>
          <w:b/>
          <w:sz w:val="22"/>
          <w:szCs w:val="22"/>
        </w:rPr>
        <w:t xml:space="preserve">Tercero.  Notifíquese vía SAIMEX, </w:t>
      </w:r>
      <w:r w:rsidRPr="0037486F">
        <w:rPr>
          <w:rFonts w:ascii="Palatino Linotype" w:eastAsia="Palatino Linotype" w:hAnsi="Palatino Linotype" w:cs="Palatino Linotype"/>
          <w:sz w:val="22"/>
          <w:szCs w:val="22"/>
        </w:rPr>
        <w:t xml:space="preserve">la presente resolución al </w:t>
      </w:r>
      <w:r w:rsidRPr="0037486F">
        <w:rPr>
          <w:rFonts w:ascii="Palatino Linotype" w:eastAsia="Palatino Linotype" w:hAnsi="Palatino Linotype" w:cs="Palatino Linotype"/>
          <w:b/>
          <w:sz w:val="22"/>
          <w:szCs w:val="22"/>
        </w:rPr>
        <w:t>RECURRENTE</w:t>
      </w:r>
      <w:r w:rsidRPr="0037486F">
        <w:rPr>
          <w:rFonts w:ascii="Palatino Linotype" w:eastAsia="Palatino Linotype" w:hAnsi="Palatino Linotype" w:cs="Palatino Linotype"/>
          <w:sz w:val="22"/>
          <w:szCs w:val="22"/>
        </w:rPr>
        <w:t>, y hágase del conocimiento que en caso de que considere que la presente resolución le causa algún perjuicio, podrá promover el Juicio de Amparo en los términos de las leyes aplicables, de acuerdo con lo estipulado por el artículo 196 de la Ley de Transparencia y Acceso a la Información Pública del Estado de México y Municipios.</w:t>
      </w:r>
    </w:p>
    <w:p w14:paraId="7F049394" w14:textId="3F38CBAE" w:rsidR="00532AE4" w:rsidRPr="0037486F" w:rsidRDefault="00532AE4" w:rsidP="00107A78">
      <w:pPr>
        <w:tabs>
          <w:tab w:val="left" w:pos="8647"/>
        </w:tabs>
        <w:spacing w:line="360" w:lineRule="auto"/>
        <w:jc w:val="both"/>
        <w:rPr>
          <w:rFonts w:ascii="Palatino Linotype" w:eastAsia="Palatino Linotype" w:hAnsi="Palatino Linotype" w:cs="Palatino Linotype"/>
          <w:sz w:val="22"/>
          <w:szCs w:val="22"/>
        </w:rPr>
      </w:pPr>
    </w:p>
    <w:p w14:paraId="6D9E81A2" w14:textId="4409C760" w:rsidR="00532AE4" w:rsidRPr="0037486F" w:rsidRDefault="00A76F12">
      <w:pPr>
        <w:spacing w:line="360" w:lineRule="auto"/>
        <w:ind w:right="49"/>
        <w:jc w:val="both"/>
        <w:rPr>
          <w:rFonts w:ascii="Palatino Linotype" w:eastAsia="Palatino Linotype" w:hAnsi="Palatino Linotype" w:cs="Palatino Linotype"/>
          <w:sz w:val="22"/>
          <w:szCs w:val="22"/>
        </w:rPr>
        <w:sectPr w:rsidR="00532AE4" w:rsidRPr="0037486F">
          <w:headerReference w:type="default" r:id="rId10"/>
          <w:footerReference w:type="default" r:id="rId11"/>
          <w:headerReference w:type="first" r:id="rId12"/>
          <w:footerReference w:type="first" r:id="rId13"/>
          <w:pgSz w:w="12240" w:h="15840"/>
          <w:pgMar w:top="1985" w:right="1701" w:bottom="1701" w:left="1701" w:header="709" w:footer="709" w:gutter="0"/>
          <w:pgNumType w:start="1"/>
          <w:cols w:space="720"/>
          <w:titlePg/>
        </w:sectPr>
      </w:pPr>
      <w:bookmarkStart w:id="4" w:name="_heading=h.1fob9te" w:colFirst="0" w:colLast="0"/>
      <w:bookmarkEnd w:id="4"/>
      <w:r w:rsidRPr="0037486F">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545D67" w:rsidRPr="0037486F">
        <w:rPr>
          <w:rFonts w:ascii="Palatino Linotype" w:eastAsia="Palatino Linotype" w:hAnsi="Palatino Linotype" w:cs="Palatino Linotype"/>
          <w:sz w:val="22"/>
          <w:szCs w:val="22"/>
        </w:rPr>
        <w:t>OCTAVA</w:t>
      </w:r>
      <w:r w:rsidRPr="0037486F">
        <w:rPr>
          <w:rFonts w:ascii="Palatino Linotype" w:eastAsia="Palatino Linotype" w:hAnsi="Palatino Linotype" w:cs="Palatino Linotype"/>
          <w:sz w:val="22"/>
          <w:szCs w:val="22"/>
        </w:rPr>
        <w:t xml:space="preserve"> SESIÓN ORDINARIA CELEBRADA EL </w:t>
      </w:r>
      <w:r w:rsidR="00545D67" w:rsidRPr="0037486F">
        <w:rPr>
          <w:rFonts w:ascii="Palatino Linotype" w:eastAsia="Palatino Linotype" w:hAnsi="Palatino Linotype" w:cs="Palatino Linotype"/>
          <w:sz w:val="22"/>
          <w:szCs w:val="22"/>
        </w:rPr>
        <w:t>CINCO DE MARZO</w:t>
      </w:r>
      <w:r w:rsidR="00DF5516" w:rsidRPr="0037486F">
        <w:rPr>
          <w:rFonts w:ascii="Palatino Linotype" w:eastAsia="Palatino Linotype" w:hAnsi="Palatino Linotype" w:cs="Palatino Linotype"/>
          <w:sz w:val="22"/>
          <w:szCs w:val="22"/>
        </w:rPr>
        <w:t xml:space="preserve"> DE DOS MIL VEINTISÉIS</w:t>
      </w:r>
      <w:r w:rsidRPr="0037486F">
        <w:rPr>
          <w:rFonts w:ascii="Palatino Linotype" w:eastAsia="Palatino Linotype" w:hAnsi="Palatino Linotype" w:cs="Palatino Linotype"/>
          <w:sz w:val="22"/>
          <w:szCs w:val="22"/>
        </w:rPr>
        <w:t xml:space="preserve">, ANTE EL SECRETARIO TÉCNICO DEL PLENO ALEXIS TAPIA RAMÍREZ. </w:t>
      </w:r>
    </w:p>
    <w:p w14:paraId="74E02134" w14:textId="77777777" w:rsidR="00532AE4" w:rsidRPr="0037486F" w:rsidRDefault="00532AE4">
      <w:pPr>
        <w:tabs>
          <w:tab w:val="left" w:pos="709"/>
        </w:tabs>
        <w:spacing w:line="360" w:lineRule="auto"/>
        <w:jc w:val="both"/>
        <w:rPr>
          <w:rFonts w:ascii="Palatino Linotype" w:eastAsia="Palatino Linotype" w:hAnsi="Palatino Linotype" w:cs="Palatino Linotype"/>
          <w:sz w:val="22"/>
          <w:szCs w:val="22"/>
        </w:rPr>
      </w:pPr>
    </w:p>
    <w:p w14:paraId="5566C3BF" w14:textId="77777777" w:rsidR="00532AE4" w:rsidRPr="0037486F" w:rsidRDefault="00532AE4">
      <w:pPr>
        <w:rPr>
          <w:sz w:val="22"/>
          <w:szCs w:val="22"/>
        </w:rPr>
      </w:pPr>
    </w:p>
    <w:sectPr w:rsidR="00532AE4" w:rsidRPr="0037486F">
      <w:headerReference w:type="first" r:id="rId14"/>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0E3B6" w14:textId="77777777" w:rsidR="004A2996" w:rsidRDefault="004A2996">
      <w:r>
        <w:separator/>
      </w:r>
    </w:p>
  </w:endnote>
  <w:endnote w:type="continuationSeparator" w:id="0">
    <w:p w14:paraId="060C2BED" w14:textId="77777777" w:rsidR="004A2996" w:rsidRDefault="004A2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CFD0" w14:textId="181820D6" w:rsidR="00532AE4" w:rsidRDefault="00A76F12">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color w:val="000000"/>
        <w:sz w:val="20"/>
        <w:szCs w:val="20"/>
      </w:rPr>
      <w:t xml:space="preserve">Página </w:t>
    </w:r>
    <w:r>
      <w:rPr>
        <w:rFonts w:ascii="Arial" w:eastAsia="Arial" w:hAnsi="Arial" w:cs="Arial"/>
        <w:b/>
        <w:color w:val="000000"/>
        <w:sz w:val="20"/>
        <w:szCs w:val="20"/>
      </w:rPr>
      <w:fldChar w:fldCharType="begin"/>
    </w:r>
    <w:r>
      <w:rPr>
        <w:rFonts w:ascii="Arial" w:eastAsia="Arial" w:hAnsi="Arial" w:cs="Arial"/>
        <w:b/>
        <w:color w:val="000000"/>
        <w:sz w:val="20"/>
        <w:szCs w:val="20"/>
      </w:rPr>
      <w:instrText>PAGE</w:instrText>
    </w:r>
    <w:r>
      <w:rPr>
        <w:rFonts w:ascii="Arial" w:eastAsia="Arial" w:hAnsi="Arial" w:cs="Arial"/>
        <w:b/>
        <w:color w:val="000000"/>
        <w:sz w:val="20"/>
        <w:szCs w:val="20"/>
      </w:rPr>
      <w:fldChar w:fldCharType="separate"/>
    </w:r>
    <w:r w:rsidR="00202EFC">
      <w:rPr>
        <w:rFonts w:ascii="Arial" w:eastAsia="Arial" w:hAnsi="Arial" w:cs="Arial"/>
        <w:b/>
        <w:noProof/>
        <w:color w:val="000000"/>
        <w:sz w:val="20"/>
        <w:szCs w:val="20"/>
      </w:rPr>
      <w:t>12</w:t>
    </w:r>
    <w:r>
      <w:rPr>
        <w:rFonts w:ascii="Arial" w:eastAsia="Arial" w:hAnsi="Arial" w:cs="Arial"/>
        <w:b/>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color w:val="000000"/>
        <w:sz w:val="20"/>
        <w:szCs w:val="20"/>
      </w:rPr>
      <w:fldChar w:fldCharType="begin"/>
    </w:r>
    <w:r>
      <w:rPr>
        <w:rFonts w:ascii="Arial" w:eastAsia="Arial" w:hAnsi="Arial" w:cs="Arial"/>
        <w:b/>
        <w:color w:val="000000"/>
        <w:sz w:val="20"/>
        <w:szCs w:val="20"/>
      </w:rPr>
      <w:instrText>NUMPAGES</w:instrText>
    </w:r>
    <w:r>
      <w:rPr>
        <w:rFonts w:ascii="Arial" w:eastAsia="Arial" w:hAnsi="Arial" w:cs="Arial"/>
        <w:b/>
        <w:color w:val="000000"/>
        <w:sz w:val="20"/>
        <w:szCs w:val="20"/>
      </w:rPr>
      <w:fldChar w:fldCharType="separate"/>
    </w:r>
    <w:r w:rsidR="00202EFC">
      <w:rPr>
        <w:rFonts w:ascii="Arial" w:eastAsia="Arial" w:hAnsi="Arial" w:cs="Arial"/>
        <w:b/>
        <w:noProof/>
        <w:color w:val="000000"/>
        <w:sz w:val="20"/>
        <w:szCs w:val="20"/>
      </w:rPr>
      <w:t>14</w:t>
    </w:r>
    <w:r>
      <w:rPr>
        <w:rFonts w:ascii="Arial" w:eastAsia="Arial" w:hAnsi="Arial" w:cs="Arial"/>
        <w:b/>
        <w:color w:val="000000"/>
        <w:sz w:val="20"/>
        <w:szCs w:val="20"/>
      </w:rPr>
      <w:fldChar w:fldCharType="end"/>
    </w:r>
  </w:p>
  <w:p w14:paraId="1B9C2466" w14:textId="77777777" w:rsidR="00532AE4" w:rsidRDefault="00532AE4">
    <w:pPr>
      <w:pBdr>
        <w:top w:val="nil"/>
        <w:left w:val="nil"/>
        <w:bottom w:val="nil"/>
        <w:right w:val="nil"/>
        <w:between w:val="nil"/>
      </w:pBdr>
      <w:tabs>
        <w:tab w:val="center" w:pos="4252"/>
        <w:tab w:val="right" w:pos="8504"/>
      </w:tabs>
      <w:rPr>
        <w:color w:val="000000"/>
      </w:rPr>
    </w:pPr>
  </w:p>
  <w:p w14:paraId="502D1B9F" w14:textId="77777777" w:rsidR="00532AE4" w:rsidRDefault="00532AE4">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70723" w14:textId="3A8FFA9F" w:rsidR="00532AE4" w:rsidRDefault="00A76F12">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color w:val="000000"/>
        <w:sz w:val="20"/>
        <w:szCs w:val="20"/>
      </w:rPr>
      <w:t xml:space="preserve">Página </w:t>
    </w:r>
    <w:r>
      <w:rPr>
        <w:rFonts w:ascii="Arial" w:eastAsia="Arial" w:hAnsi="Arial" w:cs="Arial"/>
        <w:b/>
        <w:color w:val="000000"/>
        <w:sz w:val="20"/>
        <w:szCs w:val="20"/>
      </w:rPr>
      <w:fldChar w:fldCharType="begin"/>
    </w:r>
    <w:r>
      <w:rPr>
        <w:rFonts w:ascii="Arial" w:eastAsia="Arial" w:hAnsi="Arial" w:cs="Arial"/>
        <w:b/>
        <w:color w:val="000000"/>
        <w:sz w:val="20"/>
        <w:szCs w:val="20"/>
      </w:rPr>
      <w:instrText>PAGE</w:instrText>
    </w:r>
    <w:r>
      <w:rPr>
        <w:rFonts w:ascii="Arial" w:eastAsia="Arial" w:hAnsi="Arial" w:cs="Arial"/>
        <w:b/>
        <w:color w:val="000000"/>
        <w:sz w:val="20"/>
        <w:szCs w:val="20"/>
      </w:rPr>
      <w:fldChar w:fldCharType="separate"/>
    </w:r>
    <w:r w:rsidR="00202EFC">
      <w:rPr>
        <w:rFonts w:ascii="Arial" w:eastAsia="Arial" w:hAnsi="Arial" w:cs="Arial"/>
        <w:b/>
        <w:noProof/>
        <w:color w:val="000000"/>
        <w:sz w:val="20"/>
        <w:szCs w:val="20"/>
      </w:rPr>
      <w:t>14</w:t>
    </w:r>
    <w:r>
      <w:rPr>
        <w:rFonts w:ascii="Arial" w:eastAsia="Arial" w:hAnsi="Arial" w:cs="Arial"/>
        <w:b/>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color w:val="000000"/>
        <w:sz w:val="20"/>
        <w:szCs w:val="20"/>
      </w:rPr>
      <w:fldChar w:fldCharType="begin"/>
    </w:r>
    <w:r>
      <w:rPr>
        <w:rFonts w:ascii="Arial" w:eastAsia="Arial" w:hAnsi="Arial" w:cs="Arial"/>
        <w:b/>
        <w:color w:val="000000"/>
        <w:sz w:val="20"/>
        <w:szCs w:val="20"/>
      </w:rPr>
      <w:instrText>NUMPAGES</w:instrText>
    </w:r>
    <w:r>
      <w:rPr>
        <w:rFonts w:ascii="Arial" w:eastAsia="Arial" w:hAnsi="Arial" w:cs="Arial"/>
        <w:b/>
        <w:color w:val="000000"/>
        <w:sz w:val="20"/>
        <w:szCs w:val="20"/>
      </w:rPr>
      <w:fldChar w:fldCharType="separate"/>
    </w:r>
    <w:r w:rsidR="00202EFC">
      <w:rPr>
        <w:rFonts w:ascii="Arial" w:eastAsia="Arial" w:hAnsi="Arial" w:cs="Arial"/>
        <w:b/>
        <w:noProof/>
        <w:color w:val="000000"/>
        <w:sz w:val="20"/>
        <w:szCs w:val="20"/>
      </w:rPr>
      <w:t>14</w:t>
    </w:r>
    <w:r>
      <w:rPr>
        <w:rFonts w:ascii="Arial" w:eastAsia="Arial" w:hAnsi="Arial" w:cs="Arial"/>
        <w:b/>
        <w:color w:val="000000"/>
        <w:sz w:val="20"/>
        <w:szCs w:val="20"/>
      </w:rPr>
      <w:fldChar w:fldCharType="end"/>
    </w:r>
  </w:p>
  <w:p w14:paraId="0679A01C"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34DBE" w14:textId="77777777" w:rsidR="004A2996" w:rsidRDefault="004A2996">
      <w:r>
        <w:separator/>
      </w:r>
    </w:p>
  </w:footnote>
  <w:footnote w:type="continuationSeparator" w:id="0">
    <w:p w14:paraId="43A5D4B8" w14:textId="77777777" w:rsidR="004A2996" w:rsidRDefault="004A2996">
      <w:r>
        <w:continuationSeparator/>
      </w:r>
    </w:p>
  </w:footnote>
  <w:footnote w:id="1">
    <w:p w14:paraId="27BF9B37" w14:textId="77777777" w:rsidR="00532AE4" w:rsidRDefault="00A76F12">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7CB263AB" w14:textId="77777777" w:rsidR="00532AE4" w:rsidRDefault="00A76F12">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62A69D64" w14:textId="77777777" w:rsidR="00532AE4" w:rsidRDefault="00A76F12">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12D84" w14:textId="77777777" w:rsidR="00532AE4" w:rsidRDefault="00532AE4">
    <w:pPr>
      <w:widowControl w:val="0"/>
      <w:pBdr>
        <w:top w:val="nil"/>
        <w:left w:val="nil"/>
        <w:bottom w:val="nil"/>
        <w:right w:val="nil"/>
        <w:between w:val="nil"/>
      </w:pBdr>
      <w:spacing w:line="276" w:lineRule="auto"/>
      <w:rPr>
        <w:rFonts w:ascii="Calibri" w:eastAsia="Calibri" w:hAnsi="Calibri" w:cs="Calibri"/>
        <w:color w:val="000000"/>
      </w:rPr>
    </w:pPr>
  </w:p>
  <w:tbl>
    <w:tblPr>
      <w:tblStyle w:val="a6"/>
      <w:tblW w:w="5528" w:type="dxa"/>
      <w:tblInd w:w="3261" w:type="dxa"/>
      <w:tblLayout w:type="fixed"/>
      <w:tblLook w:val="0400" w:firstRow="0" w:lastRow="0" w:firstColumn="0" w:lastColumn="0" w:noHBand="0" w:noVBand="1"/>
    </w:tblPr>
    <w:tblGrid>
      <w:gridCol w:w="2552"/>
      <w:gridCol w:w="2976"/>
    </w:tblGrid>
    <w:tr w:rsidR="00532AE4" w14:paraId="77695D58" w14:textId="77777777">
      <w:tc>
        <w:tcPr>
          <w:tcW w:w="2552" w:type="dxa"/>
          <w:vAlign w:val="center"/>
        </w:tcPr>
        <w:p w14:paraId="216C0C8D"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Recurso de Revisión:</w:t>
          </w:r>
        </w:p>
      </w:tc>
      <w:tc>
        <w:tcPr>
          <w:tcW w:w="2976" w:type="dxa"/>
          <w:vAlign w:val="center"/>
        </w:tcPr>
        <w:p w14:paraId="492A50C4" w14:textId="7DF060DF" w:rsidR="00532AE4" w:rsidRPr="00FD7160" w:rsidRDefault="00545D67" w:rsidP="00BE3FD2">
          <w:pPr>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01094</w:t>
          </w:r>
          <w:r w:rsidR="00A76F12" w:rsidRPr="00FD7160">
            <w:rPr>
              <w:rFonts w:ascii="Palatino Linotype" w:eastAsia="Palatino Linotype" w:hAnsi="Palatino Linotype" w:cs="Palatino Linotype"/>
              <w:b/>
              <w:sz w:val="21"/>
              <w:szCs w:val="21"/>
            </w:rPr>
            <w:t>/INFOEM/IP/RR/202</w:t>
          </w:r>
          <w:r>
            <w:rPr>
              <w:rFonts w:ascii="Palatino Linotype" w:eastAsia="Palatino Linotype" w:hAnsi="Palatino Linotype" w:cs="Palatino Linotype"/>
              <w:b/>
              <w:sz w:val="21"/>
              <w:szCs w:val="21"/>
            </w:rPr>
            <w:t>6</w:t>
          </w:r>
          <w:r w:rsidR="00A76F12" w:rsidRPr="00FD7160">
            <w:rPr>
              <w:rFonts w:ascii="Palatino Linotype" w:eastAsia="Palatino Linotype" w:hAnsi="Palatino Linotype" w:cs="Palatino Linotype"/>
              <w:b/>
              <w:sz w:val="21"/>
              <w:szCs w:val="21"/>
            </w:rPr>
            <w:t xml:space="preserve"> </w:t>
          </w:r>
        </w:p>
      </w:tc>
    </w:tr>
    <w:tr w:rsidR="00532AE4" w14:paraId="1B16C492" w14:textId="77777777">
      <w:trPr>
        <w:trHeight w:val="228"/>
      </w:trPr>
      <w:tc>
        <w:tcPr>
          <w:tcW w:w="2552" w:type="dxa"/>
          <w:shd w:val="clear" w:color="auto" w:fill="auto"/>
          <w:vAlign w:val="center"/>
        </w:tcPr>
        <w:p w14:paraId="202EF99F"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Sujeto obligado:</w:t>
          </w:r>
        </w:p>
        <w:p w14:paraId="452B1DF5" w14:textId="77777777" w:rsidR="00532AE4" w:rsidRDefault="00532AE4">
          <w:pPr>
            <w:rPr>
              <w:rFonts w:ascii="Palatino Linotype" w:eastAsia="Palatino Linotype" w:hAnsi="Palatino Linotype" w:cs="Palatino Linotype"/>
              <w:b/>
              <w:sz w:val="21"/>
              <w:szCs w:val="21"/>
            </w:rPr>
          </w:pPr>
        </w:p>
      </w:tc>
      <w:tc>
        <w:tcPr>
          <w:tcW w:w="2976" w:type="dxa"/>
          <w:shd w:val="clear" w:color="auto" w:fill="auto"/>
          <w:vAlign w:val="center"/>
        </w:tcPr>
        <w:p w14:paraId="222907A3" w14:textId="7E7976F5" w:rsidR="00532AE4" w:rsidRPr="00FD7160" w:rsidRDefault="00024779" w:rsidP="00E55CFA">
          <w:pPr>
            <w:jc w:val="both"/>
            <w:rPr>
              <w:rFonts w:ascii="Palatino Linotype" w:eastAsia="Palatino Linotype" w:hAnsi="Palatino Linotype" w:cs="Palatino Linotype"/>
              <w:b/>
              <w:sz w:val="21"/>
              <w:szCs w:val="21"/>
            </w:rPr>
          </w:pPr>
          <w:r w:rsidRPr="00FD7160">
            <w:rPr>
              <w:rFonts w:ascii="Palatino Linotype" w:eastAsia="Palatino Linotype" w:hAnsi="Palatino Linotype" w:cs="Palatino Linotype"/>
              <w:b/>
              <w:sz w:val="21"/>
              <w:szCs w:val="21"/>
            </w:rPr>
            <w:t>Ayuntamiento de T</w:t>
          </w:r>
          <w:r w:rsidR="00E55CFA" w:rsidRPr="00FD7160">
            <w:rPr>
              <w:rFonts w:ascii="Palatino Linotype" w:eastAsia="Palatino Linotype" w:hAnsi="Palatino Linotype" w:cs="Palatino Linotype"/>
              <w:b/>
              <w:sz w:val="21"/>
              <w:szCs w:val="21"/>
            </w:rPr>
            <w:t>epotzotlán</w:t>
          </w:r>
        </w:p>
      </w:tc>
    </w:tr>
    <w:tr w:rsidR="00532AE4" w14:paraId="299BE161" w14:textId="77777777">
      <w:tc>
        <w:tcPr>
          <w:tcW w:w="2552" w:type="dxa"/>
          <w:vAlign w:val="center"/>
        </w:tcPr>
        <w:p w14:paraId="537FCC09"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Comisionada ponente:</w:t>
          </w:r>
        </w:p>
      </w:tc>
      <w:tc>
        <w:tcPr>
          <w:tcW w:w="2976" w:type="dxa"/>
          <w:vAlign w:val="center"/>
        </w:tcPr>
        <w:p w14:paraId="68C35B8B" w14:textId="77777777" w:rsidR="00532AE4" w:rsidRDefault="00A76F12">
          <w:pPr>
            <w:ind w:right="-533"/>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Guadalupe Ramírez Peña.</w:t>
          </w:r>
        </w:p>
      </w:tc>
    </w:tr>
  </w:tbl>
  <w:p w14:paraId="5C21FFB5" w14:textId="77777777" w:rsidR="00532AE4" w:rsidRDefault="00A76F12">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lang w:val="es-MX"/>
      </w:rPr>
      <w:drawing>
        <wp:anchor distT="0" distB="0" distL="0" distR="0" simplePos="0" relativeHeight="251658240" behindDoc="1" locked="0" layoutInCell="1" hidden="0" allowOverlap="1" wp14:anchorId="6413D670" wp14:editId="681685D7">
          <wp:simplePos x="0" y="0"/>
          <wp:positionH relativeFrom="column">
            <wp:posOffset>-689274</wp:posOffset>
          </wp:positionH>
          <wp:positionV relativeFrom="paragraph">
            <wp:posOffset>-1171012</wp:posOffset>
          </wp:positionV>
          <wp:extent cx="7635875" cy="9943465"/>
          <wp:effectExtent l="0" t="0" r="0" b="0"/>
          <wp:wrapNone/>
          <wp:docPr id="1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82779" w14:textId="2DC9C0A6" w:rsidR="00532AE4" w:rsidRDefault="00A76F12">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tbl>
    <w:tblPr>
      <w:tblStyle w:val="a7"/>
      <w:tblW w:w="6238" w:type="dxa"/>
      <w:tblInd w:w="3119" w:type="dxa"/>
      <w:tblLayout w:type="fixed"/>
      <w:tblLook w:val="0400" w:firstRow="0" w:lastRow="0" w:firstColumn="0" w:lastColumn="0" w:noHBand="0" w:noVBand="1"/>
    </w:tblPr>
    <w:tblGrid>
      <w:gridCol w:w="2551"/>
      <w:gridCol w:w="3687"/>
    </w:tblGrid>
    <w:tr w:rsidR="00532AE4" w14:paraId="3D0D3AF5" w14:textId="77777777">
      <w:tc>
        <w:tcPr>
          <w:tcW w:w="2551" w:type="dxa"/>
          <w:vAlign w:val="center"/>
        </w:tcPr>
        <w:p w14:paraId="042F2C58"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Recurso de Revisión:</w:t>
          </w:r>
        </w:p>
      </w:tc>
      <w:tc>
        <w:tcPr>
          <w:tcW w:w="3687" w:type="dxa"/>
          <w:vAlign w:val="center"/>
        </w:tcPr>
        <w:p w14:paraId="20C4E837" w14:textId="1133C936" w:rsidR="00532AE4" w:rsidRPr="00FD7160" w:rsidRDefault="001D7FD5" w:rsidP="009B6117">
          <w:pPr>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01094</w:t>
          </w:r>
          <w:r w:rsidR="00A76F12" w:rsidRPr="00FD7160">
            <w:rPr>
              <w:rFonts w:ascii="Palatino Linotype" w:eastAsia="Palatino Linotype" w:hAnsi="Palatino Linotype" w:cs="Palatino Linotype"/>
              <w:b/>
              <w:sz w:val="21"/>
              <w:szCs w:val="21"/>
            </w:rPr>
            <w:t>/INFOEM/IP/RR/202</w:t>
          </w:r>
          <w:r>
            <w:rPr>
              <w:rFonts w:ascii="Palatino Linotype" w:eastAsia="Palatino Linotype" w:hAnsi="Palatino Linotype" w:cs="Palatino Linotype"/>
              <w:b/>
              <w:sz w:val="21"/>
              <w:szCs w:val="21"/>
            </w:rPr>
            <w:t>6</w:t>
          </w:r>
        </w:p>
      </w:tc>
    </w:tr>
    <w:tr w:rsidR="00532AE4" w14:paraId="75B806F0" w14:textId="77777777">
      <w:tc>
        <w:tcPr>
          <w:tcW w:w="2551" w:type="dxa"/>
          <w:vAlign w:val="center"/>
        </w:tcPr>
        <w:p w14:paraId="3F9B8C97" w14:textId="0C3BCC92" w:rsidR="00532AE4" w:rsidRDefault="00FD7160">
          <w:pPr>
            <w:ind w:left="35" w:hanging="35"/>
            <w:rPr>
              <w:rFonts w:ascii="Palatino Linotype" w:eastAsia="Palatino Linotype" w:hAnsi="Palatino Linotype" w:cs="Palatino Linotype"/>
              <w:b/>
              <w:sz w:val="21"/>
              <w:szCs w:val="21"/>
            </w:rPr>
          </w:pPr>
          <w:r>
            <w:rPr>
              <w:noProof/>
              <w:lang w:val="es-MX"/>
            </w:rPr>
            <w:drawing>
              <wp:anchor distT="0" distB="0" distL="0" distR="0" simplePos="0" relativeHeight="251659264" behindDoc="1" locked="0" layoutInCell="1" hidden="0" allowOverlap="1" wp14:anchorId="43196C50" wp14:editId="29E441C9">
                <wp:simplePos x="0" y="0"/>
                <wp:positionH relativeFrom="column">
                  <wp:posOffset>-2834005</wp:posOffset>
                </wp:positionH>
                <wp:positionV relativeFrom="paragraph">
                  <wp:posOffset>-479425</wp:posOffset>
                </wp:positionV>
                <wp:extent cx="7635875" cy="9943465"/>
                <wp:effectExtent l="0" t="0" r="0" b="0"/>
                <wp:wrapNone/>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14:sizeRelH relativeFrom="margin">
                  <wp14:pctWidth>0</wp14:pctWidth>
                </wp14:sizeRelH>
                <wp14:sizeRelV relativeFrom="margin">
                  <wp14:pctHeight>0</wp14:pctHeight>
                </wp14:sizeRelV>
              </wp:anchor>
            </w:drawing>
          </w:r>
          <w:r w:rsidR="000B2E9A">
            <w:rPr>
              <w:noProof/>
              <w:lang w:val="es-MX"/>
            </w:rPr>
            <w:t>6</w:t>
          </w:r>
          <w:r w:rsidR="00A76F12">
            <w:rPr>
              <w:rFonts w:ascii="Palatino Linotype" w:eastAsia="Palatino Linotype" w:hAnsi="Palatino Linotype" w:cs="Palatino Linotype"/>
              <w:b/>
              <w:sz w:val="21"/>
              <w:szCs w:val="21"/>
            </w:rPr>
            <w:t>Recurrente:</w:t>
          </w:r>
        </w:p>
      </w:tc>
      <w:tc>
        <w:tcPr>
          <w:tcW w:w="3687" w:type="dxa"/>
          <w:vAlign w:val="center"/>
        </w:tcPr>
        <w:p w14:paraId="4D6D508D" w14:textId="4E7BF1F2" w:rsidR="00532AE4" w:rsidRPr="00FD7160" w:rsidRDefault="00445501">
          <w:pPr>
            <w:ind w:right="452"/>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lang w:val="es-ES"/>
            </w:rPr>
            <w:t>XXXXX XXXXXXX XXXXX</w:t>
          </w:r>
        </w:p>
      </w:tc>
    </w:tr>
    <w:tr w:rsidR="00532AE4" w14:paraId="33C0EB5C" w14:textId="77777777">
      <w:trPr>
        <w:trHeight w:val="228"/>
      </w:trPr>
      <w:tc>
        <w:tcPr>
          <w:tcW w:w="2551" w:type="dxa"/>
          <w:vAlign w:val="center"/>
        </w:tcPr>
        <w:p w14:paraId="2FEF1D99"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Sujeto obligado:</w:t>
          </w:r>
        </w:p>
        <w:p w14:paraId="034F4C87" w14:textId="77777777" w:rsidR="00532AE4" w:rsidRDefault="00532AE4">
          <w:pPr>
            <w:rPr>
              <w:rFonts w:ascii="Palatino Linotype" w:eastAsia="Palatino Linotype" w:hAnsi="Palatino Linotype" w:cs="Palatino Linotype"/>
              <w:b/>
              <w:sz w:val="21"/>
              <w:szCs w:val="21"/>
            </w:rPr>
          </w:pPr>
        </w:p>
      </w:tc>
      <w:tc>
        <w:tcPr>
          <w:tcW w:w="3687" w:type="dxa"/>
          <w:vAlign w:val="center"/>
        </w:tcPr>
        <w:p w14:paraId="143797A2" w14:textId="75D51680" w:rsidR="00532AE4" w:rsidRPr="00FD7160" w:rsidRDefault="00024779" w:rsidP="00E55CFA">
          <w:pPr>
            <w:ind w:right="452"/>
            <w:jc w:val="both"/>
            <w:rPr>
              <w:rFonts w:ascii="Palatino Linotype" w:eastAsia="Palatino Linotype" w:hAnsi="Palatino Linotype" w:cs="Palatino Linotype"/>
              <w:b/>
              <w:sz w:val="21"/>
              <w:szCs w:val="21"/>
            </w:rPr>
          </w:pPr>
          <w:r w:rsidRPr="00FD7160">
            <w:rPr>
              <w:rFonts w:ascii="Palatino Linotype" w:eastAsia="Palatino Linotype" w:hAnsi="Palatino Linotype" w:cs="Palatino Linotype"/>
              <w:b/>
              <w:sz w:val="21"/>
              <w:szCs w:val="21"/>
            </w:rPr>
            <w:t xml:space="preserve">Ayuntamiento de </w:t>
          </w:r>
          <w:r w:rsidR="00E55CFA" w:rsidRPr="00FD7160">
            <w:rPr>
              <w:rFonts w:ascii="Palatino Linotype" w:eastAsia="Palatino Linotype" w:hAnsi="Palatino Linotype" w:cs="Palatino Linotype"/>
              <w:b/>
              <w:sz w:val="21"/>
              <w:szCs w:val="21"/>
            </w:rPr>
            <w:t>Tepotzotlán</w:t>
          </w:r>
        </w:p>
      </w:tc>
    </w:tr>
    <w:tr w:rsidR="00532AE4" w14:paraId="4BEC1E4A" w14:textId="77777777">
      <w:tc>
        <w:tcPr>
          <w:tcW w:w="2551" w:type="dxa"/>
          <w:vAlign w:val="center"/>
        </w:tcPr>
        <w:p w14:paraId="0B11FA2C"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Comisionada ponente:</w:t>
          </w:r>
        </w:p>
      </w:tc>
      <w:tc>
        <w:tcPr>
          <w:tcW w:w="3687" w:type="dxa"/>
          <w:vAlign w:val="center"/>
        </w:tcPr>
        <w:p w14:paraId="4BB723FA" w14:textId="77777777" w:rsidR="00532AE4" w:rsidRDefault="00A76F12">
          <w:pPr>
            <w:ind w:right="-533"/>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Guadalupe Ramírez Peña</w:t>
          </w:r>
        </w:p>
      </w:tc>
    </w:tr>
  </w:tbl>
  <w:p w14:paraId="3C52C903"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0C666" w14:textId="77777777" w:rsidR="00532AE4" w:rsidRDefault="00A76F12">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5CA7F40C"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5C28"/>
    <w:multiLevelType w:val="multilevel"/>
    <w:tmpl w:val="493265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4C909ED"/>
    <w:multiLevelType w:val="multilevel"/>
    <w:tmpl w:val="D48A4D3C"/>
    <w:lvl w:ilvl="0">
      <w:start w:val="7"/>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602AE8"/>
    <w:multiLevelType w:val="multilevel"/>
    <w:tmpl w:val="625826F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3FC6237"/>
    <w:multiLevelType w:val="multilevel"/>
    <w:tmpl w:val="5E7C14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4B63B1A"/>
    <w:multiLevelType w:val="multilevel"/>
    <w:tmpl w:val="3A90F27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75E33CE"/>
    <w:multiLevelType w:val="multilevel"/>
    <w:tmpl w:val="520617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55169859">
    <w:abstractNumId w:val="3"/>
  </w:num>
  <w:num w:numId="2" w16cid:durableId="1189100688">
    <w:abstractNumId w:val="5"/>
  </w:num>
  <w:num w:numId="3" w16cid:durableId="1723556638">
    <w:abstractNumId w:val="0"/>
  </w:num>
  <w:num w:numId="4" w16cid:durableId="1693875332">
    <w:abstractNumId w:val="1"/>
  </w:num>
  <w:num w:numId="5" w16cid:durableId="1396272649">
    <w:abstractNumId w:val="4"/>
  </w:num>
  <w:num w:numId="6" w16cid:durableId="13631686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AE4"/>
    <w:rsid w:val="00001C96"/>
    <w:rsid w:val="00022DB6"/>
    <w:rsid w:val="00024779"/>
    <w:rsid w:val="000255E8"/>
    <w:rsid w:val="00026738"/>
    <w:rsid w:val="000672C5"/>
    <w:rsid w:val="00095E46"/>
    <w:rsid w:val="0009768A"/>
    <w:rsid w:val="00097E14"/>
    <w:rsid w:val="000A27C2"/>
    <w:rsid w:val="000B2D33"/>
    <w:rsid w:val="000B2E9A"/>
    <w:rsid w:val="000B42A5"/>
    <w:rsid w:val="000B673F"/>
    <w:rsid w:val="000E1DD7"/>
    <w:rsid w:val="000E63FD"/>
    <w:rsid w:val="000E7889"/>
    <w:rsid w:val="00107A78"/>
    <w:rsid w:val="00111565"/>
    <w:rsid w:val="0012087F"/>
    <w:rsid w:val="001375F3"/>
    <w:rsid w:val="00142C2A"/>
    <w:rsid w:val="001577D2"/>
    <w:rsid w:val="00160B51"/>
    <w:rsid w:val="0017202B"/>
    <w:rsid w:val="00181147"/>
    <w:rsid w:val="00182B72"/>
    <w:rsid w:val="001A1911"/>
    <w:rsid w:val="001D7FD5"/>
    <w:rsid w:val="001E0FB7"/>
    <w:rsid w:val="00202EFC"/>
    <w:rsid w:val="0021726A"/>
    <w:rsid w:val="002222E9"/>
    <w:rsid w:val="002275D9"/>
    <w:rsid w:val="00233E62"/>
    <w:rsid w:val="002502E3"/>
    <w:rsid w:val="00256FA6"/>
    <w:rsid w:val="0027510F"/>
    <w:rsid w:val="002814DC"/>
    <w:rsid w:val="002839FA"/>
    <w:rsid w:val="002859C5"/>
    <w:rsid w:val="0029155A"/>
    <w:rsid w:val="002A005F"/>
    <w:rsid w:val="002B2F77"/>
    <w:rsid w:val="002C008A"/>
    <w:rsid w:val="002C0C22"/>
    <w:rsid w:val="002C2E41"/>
    <w:rsid w:val="002E359C"/>
    <w:rsid w:val="002F6686"/>
    <w:rsid w:val="0031405F"/>
    <w:rsid w:val="003352D2"/>
    <w:rsid w:val="0037486F"/>
    <w:rsid w:val="003755B9"/>
    <w:rsid w:val="00384A61"/>
    <w:rsid w:val="00390FDA"/>
    <w:rsid w:val="003A1F72"/>
    <w:rsid w:val="003A5E74"/>
    <w:rsid w:val="003A67EA"/>
    <w:rsid w:val="003B6362"/>
    <w:rsid w:val="003E725C"/>
    <w:rsid w:val="003F0242"/>
    <w:rsid w:val="004338F4"/>
    <w:rsid w:val="00440AF2"/>
    <w:rsid w:val="00443ACD"/>
    <w:rsid w:val="00445501"/>
    <w:rsid w:val="00445F72"/>
    <w:rsid w:val="004472A8"/>
    <w:rsid w:val="00452503"/>
    <w:rsid w:val="00482CD2"/>
    <w:rsid w:val="0049221F"/>
    <w:rsid w:val="004972E0"/>
    <w:rsid w:val="004A2996"/>
    <w:rsid w:val="004B5CF1"/>
    <w:rsid w:val="004B7B66"/>
    <w:rsid w:val="004D2E4E"/>
    <w:rsid w:val="004F703B"/>
    <w:rsid w:val="005043C3"/>
    <w:rsid w:val="005231DC"/>
    <w:rsid w:val="00525777"/>
    <w:rsid w:val="00532AE4"/>
    <w:rsid w:val="00545D67"/>
    <w:rsid w:val="00584E44"/>
    <w:rsid w:val="005A79AC"/>
    <w:rsid w:val="005B06C7"/>
    <w:rsid w:val="005C3790"/>
    <w:rsid w:val="005F2D09"/>
    <w:rsid w:val="005F71E2"/>
    <w:rsid w:val="006108C0"/>
    <w:rsid w:val="0061438F"/>
    <w:rsid w:val="00615C99"/>
    <w:rsid w:val="00633D0E"/>
    <w:rsid w:val="00656E72"/>
    <w:rsid w:val="00686A48"/>
    <w:rsid w:val="006E680C"/>
    <w:rsid w:val="006F4F00"/>
    <w:rsid w:val="00707403"/>
    <w:rsid w:val="0071274F"/>
    <w:rsid w:val="00717646"/>
    <w:rsid w:val="007576B0"/>
    <w:rsid w:val="007623E7"/>
    <w:rsid w:val="00773F12"/>
    <w:rsid w:val="007B0474"/>
    <w:rsid w:val="007C29CF"/>
    <w:rsid w:val="007D2674"/>
    <w:rsid w:val="007D52C3"/>
    <w:rsid w:val="007E48BB"/>
    <w:rsid w:val="007F5288"/>
    <w:rsid w:val="008044DE"/>
    <w:rsid w:val="00806557"/>
    <w:rsid w:val="0081329C"/>
    <w:rsid w:val="00826355"/>
    <w:rsid w:val="00854178"/>
    <w:rsid w:val="008869C2"/>
    <w:rsid w:val="008A261D"/>
    <w:rsid w:val="008B5DD8"/>
    <w:rsid w:val="008C62CB"/>
    <w:rsid w:val="008C7415"/>
    <w:rsid w:val="008D793F"/>
    <w:rsid w:val="009100C5"/>
    <w:rsid w:val="0091408A"/>
    <w:rsid w:val="00914E95"/>
    <w:rsid w:val="00950D94"/>
    <w:rsid w:val="00960D36"/>
    <w:rsid w:val="009752BC"/>
    <w:rsid w:val="00982101"/>
    <w:rsid w:val="00994B65"/>
    <w:rsid w:val="009B6117"/>
    <w:rsid w:val="009C3B23"/>
    <w:rsid w:val="009D197C"/>
    <w:rsid w:val="00A27295"/>
    <w:rsid w:val="00A34F3E"/>
    <w:rsid w:val="00A3559A"/>
    <w:rsid w:val="00A71477"/>
    <w:rsid w:val="00A76F12"/>
    <w:rsid w:val="00A8506B"/>
    <w:rsid w:val="00AB3D3A"/>
    <w:rsid w:val="00AB5F77"/>
    <w:rsid w:val="00AB6A2A"/>
    <w:rsid w:val="00AB76D8"/>
    <w:rsid w:val="00AC6B80"/>
    <w:rsid w:val="00AD14F5"/>
    <w:rsid w:val="00AD43F4"/>
    <w:rsid w:val="00AD6661"/>
    <w:rsid w:val="00AE0B9D"/>
    <w:rsid w:val="00B04425"/>
    <w:rsid w:val="00B06C15"/>
    <w:rsid w:val="00B10389"/>
    <w:rsid w:val="00B174AA"/>
    <w:rsid w:val="00B20997"/>
    <w:rsid w:val="00B267B6"/>
    <w:rsid w:val="00B30D2B"/>
    <w:rsid w:val="00B33431"/>
    <w:rsid w:val="00B503D1"/>
    <w:rsid w:val="00B568E9"/>
    <w:rsid w:val="00B64FEA"/>
    <w:rsid w:val="00B76CCE"/>
    <w:rsid w:val="00B81E44"/>
    <w:rsid w:val="00BB1677"/>
    <w:rsid w:val="00BC6C53"/>
    <w:rsid w:val="00BD2189"/>
    <w:rsid w:val="00BE3596"/>
    <w:rsid w:val="00BE3FD2"/>
    <w:rsid w:val="00C1728D"/>
    <w:rsid w:val="00C24C97"/>
    <w:rsid w:val="00C52987"/>
    <w:rsid w:val="00C5586C"/>
    <w:rsid w:val="00CA5B0F"/>
    <w:rsid w:val="00CC5F5E"/>
    <w:rsid w:val="00CD03F3"/>
    <w:rsid w:val="00D11150"/>
    <w:rsid w:val="00D21C70"/>
    <w:rsid w:val="00D21D23"/>
    <w:rsid w:val="00D30ED9"/>
    <w:rsid w:val="00D368E9"/>
    <w:rsid w:val="00D65E9E"/>
    <w:rsid w:val="00D763D8"/>
    <w:rsid w:val="00DA70B4"/>
    <w:rsid w:val="00DD2558"/>
    <w:rsid w:val="00DD32DE"/>
    <w:rsid w:val="00DD5465"/>
    <w:rsid w:val="00DE2CA6"/>
    <w:rsid w:val="00DF5516"/>
    <w:rsid w:val="00DF7523"/>
    <w:rsid w:val="00E0584E"/>
    <w:rsid w:val="00E113C2"/>
    <w:rsid w:val="00E23DB9"/>
    <w:rsid w:val="00E27793"/>
    <w:rsid w:val="00E30E0D"/>
    <w:rsid w:val="00E32375"/>
    <w:rsid w:val="00E34516"/>
    <w:rsid w:val="00E40BD5"/>
    <w:rsid w:val="00E55CFA"/>
    <w:rsid w:val="00E733A4"/>
    <w:rsid w:val="00E76A96"/>
    <w:rsid w:val="00E94299"/>
    <w:rsid w:val="00EB171E"/>
    <w:rsid w:val="00EB5C62"/>
    <w:rsid w:val="00EE0A87"/>
    <w:rsid w:val="00EE5E30"/>
    <w:rsid w:val="00EF743D"/>
    <w:rsid w:val="00F20586"/>
    <w:rsid w:val="00F54F55"/>
    <w:rsid w:val="00FA1A00"/>
    <w:rsid w:val="00FD7160"/>
    <w:rsid w:val="00FE50F6"/>
    <w:rsid w:val="00FF414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FE6C8"/>
  <w15:docId w15:val="{5CAA09FE-0F77-41A9-9F45-1DB86A729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0332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JX0W1HCN9gFbMVjgdwbWw/QMSQ==">CgMxLjAyCGguZ2pkZ3hzMg5oLnVmbGRsZzF6NWNxZTIJaC4zZHk2dmttMgloLjN6bnlzaDcyDmguaWJpaWU1MXNhd2w2MgloLjFmb2I5dGU4AHIhMUNSTGJwa08yUGlFMUdXSElzMUR3eVFBbnF4ck5jMmo2</go:docsCustomData>
</go:gDocsCustomXmlDataStorage>
</file>

<file path=customXml/itemProps1.xml><?xml version="1.0" encoding="utf-8"?>
<ds:datastoreItem xmlns:ds="http://schemas.openxmlformats.org/officeDocument/2006/customXml" ds:itemID="{37ADD394-29A3-43B2-AF4A-166E3E305FA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3603</Words>
  <Characters>19818</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Windows</dc:creator>
  <cp:lastModifiedBy>ADRIANA INFOEM</cp:lastModifiedBy>
  <cp:revision>2</cp:revision>
  <cp:lastPrinted>2026-01-23T19:21:00Z</cp:lastPrinted>
  <dcterms:created xsi:type="dcterms:W3CDTF">2026-03-25T23:30:00Z</dcterms:created>
  <dcterms:modified xsi:type="dcterms:W3CDTF">2026-03-25T23:30:00Z</dcterms:modified>
</cp:coreProperties>
</file>