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7B572" w14:textId="77777777" w:rsidR="00770763" w:rsidRDefault="00770763">
      <w:pPr>
        <w:widowControl w:val="0"/>
        <w:pBdr>
          <w:top w:val="nil"/>
          <w:left w:val="nil"/>
          <w:bottom w:val="nil"/>
          <w:right w:val="nil"/>
          <w:between w:val="nil"/>
        </w:pBdr>
        <w:spacing w:line="276" w:lineRule="auto"/>
      </w:pPr>
    </w:p>
    <w:p w14:paraId="2EF8C72F" w14:textId="77777777" w:rsidR="00770763" w:rsidRDefault="00770763">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CCFBDC3" w14:textId="65ADC11D" w:rsidR="00770763" w:rsidRPr="002E68D9" w:rsidRDefault="00C21923" w:rsidP="002E68D9">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RESOLUCIÓN DEL RECURSO DE REVISIÓN 13046/INFOEM/ICR-115/IP/RR/2025</w:t>
      </w:r>
    </w:p>
    <w:sdt>
      <w:sdtPr>
        <w:rPr>
          <w:rFonts w:ascii="Palatino Linotype" w:eastAsia="Palatino Linotype" w:hAnsi="Palatino Linotype" w:cs="Palatino Linotype"/>
          <w:color w:val="000000"/>
          <w:sz w:val="22"/>
          <w:szCs w:val="22"/>
          <w:lang w:val="es-ES"/>
        </w:rPr>
        <w:id w:val="789625836"/>
        <w:docPartObj>
          <w:docPartGallery w:val="Table of Contents"/>
          <w:docPartUnique/>
        </w:docPartObj>
      </w:sdtPr>
      <w:sdtEndPr>
        <w:rPr>
          <w:b/>
          <w:bCs/>
        </w:rPr>
      </w:sdtEndPr>
      <w:sdtContent>
        <w:p w14:paraId="3E8500DD" w14:textId="06A7747D" w:rsidR="002E68D9" w:rsidRPr="002E68D9" w:rsidRDefault="002E68D9" w:rsidP="002E68D9">
          <w:pPr>
            <w:keepNext/>
            <w:keepLines/>
            <w:spacing w:line="360" w:lineRule="auto"/>
            <w:rPr>
              <w:rFonts w:ascii="Palatino Linotype" w:hAnsi="Palatino Linotype"/>
              <w:sz w:val="22"/>
              <w:szCs w:val="22"/>
            </w:rPr>
          </w:pPr>
        </w:p>
        <w:p w14:paraId="0F7EF2E2" w14:textId="77777777" w:rsidR="002E68D9" w:rsidRPr="002E68D9" w:rsidRDefault="002E68D9" w:rsidP="002E68D9">
          <w:pPr>
            <w:spacing w:line="360" w:lineRule="auto"/>
            <w:jc w:val="both"/>
            <w:rPr>
              <w:rFonts w:ascii="Palatino Linotype" w:eastAsia="Palatino Linotype" w:hAnsi="Palatino Linotype" w:cs="Palatino Linotype"/>
              <w:color w:val="000000"/>
              <w:sz w:val="22"/>
              <w:szCs w:val="22"/>
            </w:rPr>
          </w:pPr>
        </w:p>
        <w:p w14:paraId="38F6F479" w14:textId="77777777" w:rsidR="002E68D9" w:rsidRPr="002E68D9" w:rsidRDefault="002E68D9">
          <w:pPr>
            <w:pStyle w:val="TDC1"/>
            <w:rPr>
              <w:rFonts w:ascii="Palatino Linotype" w:eastAsiaTheme="minorEastAsia" w:hAnsi="Palatino Linotype" w:cstheme="minorBidi"/>
              <w:noProof/>
              <w:sz w:val="22"/>
              <w:szCs w:val="22"/>
            </w:rPr>
          </w:pPr>
          <w:r w:rsidRPr="002E68D9">
            <w:rPr>
              <w:rFonts w:ascii="Palatino Linotype" w:eastAsia="Palatino Linotype" w:hAnsi="Palatino Linotype" w:cs="Palatino Linotype"/>
              <w:color w:val="000000"/>
              <w:sz w:val="22"/>
              <w:szCs w:val="22"/>
            </w:rPr>
            <w:fldChar w:fldCharType="begin"/>
          </w:r>
          <w:r w:rsidRPr="002E68D9">
            <w:rPr>
              <w:rFonts w:ascii="Palatino Linotype" w:eastAsia="Palatino Linotype" w:hAnsi="Palatino Linotype" w:cs="Palatino Linotype"/>
              <w:color w:val="000000"/>
              <w:sz w:val="22"/>
              <w:szCs w:val="22"/>
            </w:rPr>
            <w:instrText xml:space="preserve"> TOC \o "1-3" \h \z \u </w:instrText>
          </w:r>
          <w:r w:rsidRPr="002E68D9">
            <w:rPr>
              <w:rFonts w:ascii="Palatino Linotype" w:eastAsia="Palatino Linotype" w:hAnsi="Palatino Linotype" w:cs="Palatino Linotype"/>
              <w:color w:val="000000"/>
              <w:sz w:val="22"/>
              <w:szCs w:val="22"/>
            </w:rPr>
            <w:fldChar w:fldCharType="separate"/>
          </w:r>
          <w:hyperlink w:anchor="_Toc225433857" w:history="1">
            <w:r w:rsidRPr="002E68D9">
              <w:rPr>
                <w:rStyle w:val="Hipervnculo"/>
                <w:rFonts w:ascii="Palatino Linotype" w:hAnsi="Palatino Linotype"/>
                <w:noProof/>
                <w:sz w:val="22"/>
                <w:szCs w:val="22"/>
              </w:rPr>
              <w:t>A N T E C E D E N T E S</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_Toc225433857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2</w:t>
            </w:r>
            <w:r w:rsidRPr="002E68D9">
              <w:rPr>
                <w:rFonts w:ascii="Palatino Linotype" w:hAnsi="Palatino Linotype"/>
                <w:noProof/>
                <w:webHidden/>
                <w:sz w:val="22"/>
                <w:szCs w:val="22"/>
              </w:rPr>
              <w:fldChar w:fldCharType="end"/>
            </w:r>
          </w:hyperlink>
        </w:p>
        <w:p w14:paraId="750D989A"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58" w:history="1">
            <w:r w:rsidRPr="002E68D9">
              <w:rPr>
                <w:rStyle w:val="Hipervnculo"/>
                <w:rFonts w:ascii="Palatino Linotype" w:hAnsi="Palatino Linotype"/>
                <w:noProof/>
                <w:sz w:val="22"/>
                <w:szCs w:val="22"/>
              </w:rPr>
              <w:t>I. Presentación de la solicitud de información</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_Toc225433858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2</w:t>
            </w:r>
            <w:r w:rsidRPr="002E68D9">
              <w:rPr>
                <w:rFonts w:ascii="Palatino Linotype" w:hAnsi="Palatino Linotype"/>
                <w:noProof/>
                <w:webHidden/>
                <w:sz w:val="22"/>
                <w:szCs w:val="22"/>
              </w:rPr>
              <w:fldChar w:fldCharType="end"/>
            </w:r>
          </w:hyperlink>
        </w:p>
        <w:p w14:paraId="25A43333"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59" w:history="1">
            <w:r w:rsidRPr="002E68D9">
              <w:rPr>
                <w:rStyle w:val="Hipervnculo"/>
                <w:rFonts w:ascii="Palatino Linotype" w:hAnsi="Palatino Linotype"/>
                <w:noProof/>
                <w:sz w:val="22"/>
                <w:szCs w:val="22"/>
              </w:rPr>
              <w:t>II.  Respuesta del Sujeto Obligado</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_Toc225433859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4</w:t>
            </w:r>
            <w:r w:rsidRPr="002E68D9">
              <w:rPr>
                <w:rFonts w:ascii="Palatino Linotype" w:hAnsi="Palatino Linotype"/>
                <w:noProof/>
                <w:webHidden/>
                <w:sz w:val="22"/>
                <w:szCs w:val="22"/>
              </w:rPr>
              <w:fldChar w:fldCharType="end"/>
            </w:r>
          </w:hyperlink>
        </w:p>
        <w:p w14:paraId="274CEAB2"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0" w:history="1">
            <w:r w:rsidRPr="002E68D9">
              <w:rPr>
                <w:rStyle w:val="Hipervnculo"/>
                <w:rFonts w:ascii="Palatino Linotype" w:hAnsi="Palatino Linotype"/>
                <w:noProof/>
                <w:sz w:val="22"/>
                <w:szCs w:val="22"/>
              </w:rPr>
              <w:t>III. Interposición del Recurso de Revisión</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_Toc225433860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4</w:t>
            </w:r>
            <w:r w:rsidRPr="002E68D9">
              <w:rPr>
                <w:rFonts w:ascii="Palatino Linotype" w:hAnsi="Palatino Linotype"/>
                <w:noProof/>
                <w:webHidden/>
                <w:sz w:val="22"/>
                <w:szCs w:val="22"/>
              </w:rPr>
              <w:fldChar w:fldCharType="end"/>
            </w:r>
          </w:hyperlink>
        </w:p>
        <w:p w14:paraId="4CD466DC"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1" w:history="1">
            <w:r w:rsidRPr="002E68D9">
              <w:rPr>
                <w:rStyle w:val="Hipervnculo"/>
                <w:rFonts w:ascii="Palatino Linotype" w:hAnsi="Palatino Linotype"/>
                <w:noProof/>
                <w:sz w:val="22"/>
                <w:szCs w:val="22"/>
              </w:rPr>
              <w:t>IV. Trámite del Recurso de Revisión ante el Instituto</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_Toc225433861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5</w:t>
            </w:r>
            <w:r w:rsidRPr="002E68D9">
              <w:rPr>
                <w:rFonts w:ascii="Palatino Linotype" w:hAnsi="Palatino Linotype"/>
                <w:noProof/>
                <w:webHidden/>
                <w:sz w:val="22"/>
                <w:szCs w:val="22"/>
              </w:rPr>
              <w:fldChar w:fldCharType="end"/>
            </w:r>
          </w:hyperlink>
        </w:p>
        <w:p w14:paraId="0B7AE89B"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2" w:history="1">
            <w:r w:rsidRPr="002E68D9">
              <w:rPr>
                <w:rStyle w:val="Hipervnculo"/>
                <w:rFonts w:ascii="Palatino Linotype" w:hAnsi="Palatino Linotype"/>
                <w:noProof/>
                <w:sz w:val="22"/>
                <w:szCs w:val="22"/>
              </w:rPr>
              <w:t>V. Entrega de la información en cumplimiento a la Resolución del Recurso de Revisión 13046/INFOEM/IP/RR/2025</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_Toc225433862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6</w:t>
            </w:r>
            <w:r w:rsidRPr="002E68D9">
              <w:rPr>
                <w:rFonts w:ascii="Palatino Linotype" w:hAnsi="Palatino Linotype"/>
                <w:noProof/>
                <w:webHidden/>
                <w:sz w:val="22"/>
                <w:szCs w:val="22"/>
              </w:rPr>
              <w:fldChar w:fldCharType="end"/>
            </w:r>
          </w:hyperlink>
        </w:p>
        <w:p w14:paraId="053A3E41"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3" w:history="1">
            <w:r w:rsidRPr="002E68D9">
              <w:rPr>
                <w:rStyle w:val="Hipervnculo"/>
                <w:rFonts w:ascii="Palatino Linotype" w:hAnsi="Palatino Linotype"/>
                <w:noProof/>
                <w:sz w:val="22"/>
                <w:szCs w:val="22"/>
              </w:rPr>
              <w:t>VI. Interposición del Recurso de Revisión 13046/INFOEM/ICR-115/IP/RR/2025</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_Toc225433863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7</w:t>
            </w:r>
            <w:r w:rsidRPr="002E68D9">
              <w:rPr>
                <w:rFonts w:ascii="Palatino Linotype" w:hAnsi="Palatino Linotype"/>
                <w:noProof/>
                <w:webHidden/>
                <w:sz w:val="22"/>
                <w:szCs w:val="22"/>
              </w:rPr>
              <w:fldChar w:fldCharType="end"/>
            </w:r>
          </w:hyperlink>
        </w:p>
        <w:p w14:paraId="26730314"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4" w:history="1">
            <w:r w:rsidRPr="002E68D9">
              <w:rPr>
                <w:rStyle w:val="Hipervnculo"/>
                <w:rFonts w:ascii="Palatino Linotype" w:hAnsi="Palatino Linotype"/>
                <w:noProof/>
                <w:sz w:val="22"/>
                <w:szCs w:val="22"/>
              </w:rPr>
              <w:t>VII. Trámite del Recurso de Revisión número 13046/INFOEM/ICR-115/IP/RR/2025</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_Toc225433864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8</w:t>
            </w:r>
            <w:r w:rsidRPr="002E68D9">
              <w:rPr>
                <w:rFonts w:ascii="Palatino Linotype" w:hAnsi="Palatino Linotype"/>
                <w:noProof/>
                <w:webHidden/>
                <w:sz w:val="22"/>
                <w:szCs w:val="22"/>
              </w:rPr>
              <w:fldChar w:fldCharType="end"/>
            </w:r>
          </w:hyperlink>
        </w:p>
        <w:p w14:paraId="2549EA56" w14:textId="77777777" w:rsidR="002E68D9" w:rsidRPr="002E68D9" w:rsidRDefault="002E68D9">
          <w:pPr>
            <w:pStyle w:val="TDC1"/>
            <w:rPr>
              <w:rFonts w:ascii="Palatino Linotype" w:eastAsiaTheme="minorEastAsia" w:hAnsi="Palatino Linotype" w:cstheme="minorBidi"/>
              <w:noProof/>
              <w:sz w:val="22"/>
              <w:szCs w:val="22"/>
            </w:rPr>
          </w:pPr>
          <w:hyperlink w:anchor="_Toc225433865" w:history="1">
            <w:r w:rsidRPr="002E68D9">
              <w:rPr>
                <w:rStyle w:val="Hipervnculo"/>
                <w:rFonts w:ascii="Palatino Linotype" w:hAnsi="Palatino Linotype"/>
                <w:noProof/>
                <w:sz w:val="22"/>
                <w:szCs w:val="22"/>
              </w:rPr>
              <w:t>C O N S I D E R A N D O S</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_Toc225433865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9</w:t>
            </w:r>
            <w:r w:rsidRPr="002E68D9">
              <w:rPr>
                <w:rFonts w:ascii="Palatino Linotype" w:hAnsi="Palatino Linotype"/>
                <w:noProof/>
                <w:webHidden/>
                <w:sz w:val="22"/>
                <w:szCs w:val="22"/>
              </w:rPr>
              <w:fldChar w:fldCharType="end"/>
            </w:r>
          </w:hyperlink>
        </w:p>
        <w:p w14:paraId="1FAFB771"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6" w:history="1">
            <w:r w:rsidRPr="002E68D9">
              <w:rPr>
                <w:rStyle w:val="Hipervnculo"/>
                <w:rFonts w:ascii="Palatino Linotype" w:hAnsi="Palatino Linotype"/>
                <w:noProof/>
                <w:sz w:val="22"/>
                <w:szCs w:val="22"/>
              </w:rPr>
              <w:t>PRIMERO. Competencia</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_Toc225433866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9</w:t>
            </w:r>
            <w:r w:rsidRPr="002E68D9">
              <w:rPr>
                <w:rFonts w:ascii="Palatino Linotype" w:hAnsi="Palatino Linotype"/>
                <w:noProof/>
                <w:webHidden/>
                <w:sz w:val="22"/>
                <w:szCs w:val="22"/>
              </w:rPr>
              <w:fldChar w:fldCharType="end"/>
            </w:r>
          </w:hyperlink>
        </w:p>
        <w:p w14:paraId="331D277E"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7" w:history="1">
            <w:r w:rsidRPr="002E68D9">
              <w:rPr>
                <w:rStyle w:val="Hipervnculo"/>
                <w:rFonts w:ascii="Palatino Linotype" w:hAnsi="Palatino Linotype"/>
                <w:noProof/>
                <w:sz w:val="22"/>
                <w:szCs w:val="22"/>
              </w:rPr>
              <w:t>SEGUNDO. Causales de improcedencia y Sobreseimiento</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_Toc225433867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9</w:t>
            </w:r>
            <w:r w:rsidRPr="002E68D9">
              <w:rPr>
                <w:rFonts w:ascii="Palatino Linotype" w:hAnsi="Palatino Linotype"/>
                <w:noProof/>
                <w:webHidden/>
                <w:sz w:val="22"/>
                <w:szCs w:val="22"/>
              </w:rPr>
              <w:fldChar w:fldCharType="end"/>
            </w:r>
          </w:hyperlink>
        </w:p>
        <w:p w14:paraId="0080E485"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8" w:history="1">
            <w:r w:rsidRPr="002E68D9">
              <w:rPr>
                <w:rStyle w:val="Hipervnculo"/>
                <w:rFonts w:ascii="Palatino Linotype" w:hAnsi="Palatino Linotype"/>
                <w:noProof/>
                <w:sz w:val="22"/>
                <w:szCs w:val="22"/>
              </w:rPr>
              <w:t>TERCERO. Determinación de la Controversia</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_Toc225433868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12</w:t>
            </w:r>
            <w:r w:rsidRPr="002E68D9">
              <w:rPr>
                <w:rFonts w:ascii="Palatino Linotype" w:hAnsi="Palatino Linotype"/>
                <w:noProof/>
                <w:webHidden/>
                <w:sz w:val="22"/>
                <w:szCs w:val="22"/>
              </w:rPr>
              <w:fldChar w:fldCharType="end"/>
            </w:r>
          </w:hyperlink>
        </w:p>
        <w:p w14:paraId="6BCB6A53"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69" w:history="1">
            <w:r w:rsidRPr="002E68D9">
              <w:rPr>
                <w:rStyle w:val="Hipervnculo"/>
                <w:rFonts w:ascii="Palatino Linotype" w:hAnsi="Palatino Linotype"/>
                <w:noProof/>
                <w:sz w:val="22"/>
                <w:szCs w:val="22"/>
              </w:rPr>
              <w:t>CUARTO. Marco normativo aplicable en materia de transparencia y acceso a la información pública</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_Toc225433869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14</w:t>
            </w:r>
            <w:r w:rsidRPr="002E68D9">
              <w:rPr>
                <w:rFonts w:ascii="Palatino Linotype" w:hAnsi="Palatino Linotype"/>
                <w:noProof/>
                <w:webHidden/>
                <w:sz w:val="22"/>
                <w:szCs w:val="22"/>
              </w:rPr>
              <w:fldChar w:fldCharType="end"/>
            </w:r>
          </w:hyperlink>
        </w:p>
        <w:p w14:paraId="75BAF234"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70" w:history="1">
            <w:r w:rsidRPr="002E68D9">
              <w:rPr>
                <w:rStyle w:val="Hipervnculo"/>
                <w:rFonts w:ascii="Palatino Linotype" w:hAnsi="Palatino Linotype"/>
                <w:noProof/>
                <w:sz w:val="22"/>
                <w:szCs w:val="22"/>
              </w:rPr>
              <w:t>QUINTO. Estudio de Fondo</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_Toc225433870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15</w:t>
            </w:r>
            <w:r w:rsidRPr="002E68D9">
              <w:rPr>
                <w:rFonts w:ascii="Palatino Linotype" w:hAnsi="Palatino Linotype"/>
                <w:noProof/>
                <w:webHidden/>
                <w:sz w:val="22"/>
                <w:szCs w:val="22"/>
              </w:rPr>
              <w:fldChar w:fldCharType="end"/>
            </w:r>
          </w:hyperlink>
        </w:p>
        <w:p w14:paraId="1FEAAA9B" w14:textId="77777777" w:rsidR="002E68D9" w:rsidRPr="002E68D9" w:rsidRDefault="002E68D9">
          <w:pPr>
            <w:pStyle w:val="TDC2"/>
            <w:tabs>
              <w:tab w:val="right" w:leader="dot" w:pos="9034"/>
            </w:tabs>
            <w:rPr>
              <w:rFonts w:ascii="Palatino Linotype" w:eastAsiaTheme="minorEastAsia" w:hAnsi="Palatino Linotype" w:cstheme="minorBidi"/>
              <w:noProof/>
              <w:sz w:val="22"/>
              <w:szCs w:val="22"/>
            </w:rPr>
          </w:pPr>
          <w:hyperlink w:anchor="_Toc225433871" w:history="1">
            <w:r w:rsidRPr="002E68D9">
              <w:rPr>
                <w:rStyle w:val="Hipervnculo"/>
                <w:rFonts w:ascii="Palatino Linotype" w:hAnsi="Palatino Linotype"/>
                <w:noProof/>
                <w:sz w:val="22"/>
                <w:szCs w:val="22"/>
              </w:rPr>
              <w:t>SEXTO. Decisión</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_Toc225433871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33</w:t>
            </w:r>
            <w:r w:rsidRPr="002E68D9">
              <w:rPr>
                <w:rFonts w:ascii="Palatino Linotype" w:hAnsi="Palatino Linotype"/>
                <w:noProof/>
                <w:webHidden/>
                <w:sz w:val="22"/>
                <w:szCs w:val="22"/>
              </w:rPr>
              <w:fldChar w:fldCharType="end"/>
            </w:r>
          </w:hyperlink>
        </w:p>
        <w:p w14:paraId="089FBD93" w14:textId="77777777" w:rsidR="002E68D9" w:rsidRPr="002E68D9" w:rsidRDefault="002E68D9">
          <w:pPr>
            <w:pStyle w:val="TDC1"/>
            <w:rPr>
              <w:rFonts w:ascii="Palatino Linotype" w:eastAsiaTheme="minorEastAsia" w:hAnsi="Palatino Linotype" w:cstheme="minorBidi"/>
              <w:noProof/>
              <w:sz w:val="22"/>
              <w:szCs w:val="22"/>
            </w:rPr>
          </w:pPr>
          <w:hyperlink w:anchor="_Toc225433872" w:history="1">
            <w:r w:rsidRPr="002E68D9">
              <w:rPr>
                <w:rStyle w:val="Hipervnculo"/>
                <w:rFonts w:ascii="Palatino Linotype" w:hAnsi="Palatino Linotype"/>
                <w:noProof/>
                <w:sz w:val="22"/>
                <w:szCs w:val="22"/>
              </w:rPr>
              <w:t>R E S U E L V E</w:t>
            </w:r>
            <w:r w:rsidRPr="002E68D9">
              <w:rPr>
                <w:rFonts w:ascii="Palatino Linotype" w:hAnsi="Palatino Linotype"/>
                <w:noProof/>
                <w:webHidden/>
                <w:sz w:val="22"/>
                <w:szCs w:val="22"/>
              </w:rPr>
              <w:tab/>
            </w:r>
            <w:r w:rsidRPr="002E68D9">
              <w:rPr>
                <w:rFonts w:ascii="Palatino Linotype" w:hAnsi="Palatino Linotype"/>
                <w:noProof/>
                <w:webHidden/>
                <w:sz w:val="22"/>
                <w:szCs w:val="22"/>
              </w:rPr>
              <w:fldChar w:fldCharType="begin"/>
            </w:r>
            <w:r w:rsidRPr="002E68D9">
              <w:rPr>
                <w:rFonts w:ascii="Palatino Linotype" w:hAnsi="Palatino Linotype"/>
                <w:noProof/>
                <w:webHidden/>
                <w:sz w:val="22"/>
                <w:szCs w:val="22"/>
              </w:rPr>
              <w:instrText xml:space="preserve"> PAGEREF _Toc225433872 \h </w:instrText>
            </w:r>
            <w:r w:rsidRPr="002E68D9">
              <w:rPr>
                <w:rFonts w:ascii="Palatino Linotype" w:hAnsi="Palatino Linotype"/>
                <w:noProof/>
                <w:webHidden/>
                <w:sz w:val="22"/>
                <w:szCs w:val="22"/>
              </w:rPr>
            </w:r>
            <w:r w:rsidRPr="002E68D9">
              <w:rPr>
                <w:rFonts w:ascii="Palatino Linotype" w:hAnsi="Palatino Linotype"/>
                <w:noProof/>
                <w:webHidden/>
                <w:sz w:val="22"/>
                <w:szCs w:val="22"/>
              </w:rPr>
              <w:fldChar w:fldCharType="separate"/>
            </w:r>
            <w:r w:rsidR="000B2ABA">
              <w:rPr>
                <w:rFonts w:ascii="Palatino Linotype" w:hAnsi="Palatino Linotype"/>
                <w:noProof/>
                <w:webHidden/>
                <w:sz w:val="22"/>
                <w:szCs w:val="22"/>
              </w:rPr>
              <w:t>34</w:t>
            </w:r>
            <w:r w:rsidRPr="002E68D9">
              <w:rPr>
                <w:rFonts w:ascii="Palatino Linotype" w:hAnsi="Palatino Linotype"/>
                <w:noProof/>
                <w:webHidden/>
                <w:sz w:val="22"/>
                <w:szCs w:val="22"/>
              </w:rPr>
              <w:fldChar w:fldCharType="end"/>
            </w:r>
          </w:hyperlink>
        </w:p>
        <w:p w14:paraId="1E498CB3" w14:textId="77777777" w:rsidR="002E68D9" w:rsidRPr="002E68D9" w:rsidRDefault="002E68D9" w:rsidP="002E68D9">
          <w:pPr>
            <w:spacing w:line="360" w:lineRule="auto"/>
            <w:jc w:val="both"/>
            <w:rPr>
              <w:rFonts w:ascii="Palatino Linotype" w:eastAsia="Palatino Linotype" w:hAnsi="Palatino Linotype" w:cs="Palatino Linotype"/>
              <w:b/>
              <w:bCs/>
              <w:color w:val="000000"/>
              <w:sz w:val="22"/>
              <w:szCs w:val="22"/>
              <w:lang w:val="es-ES"/>
            </w:rPr>
          </w:pPr>
          <w:r w:rsidRPr="002E68D9">
            <w:rPr>
              <w:rFonts w:ascii="Palatino Linotype" w:eastAsia="Palatino Linotype" w:hAnsi="Palatino Linotype" w:cs="Palatino Linotype"/>
              <w:b/>
              <w:bCs/>
              <w:color w:val="000000"/>
              <w:sz w:val="22"/>
              <w:szCs w:val="22"/>
              <w:lang w:val="es-ES"/>
            </w:rPr>
            <w:fldChar w:fldCharType="end"/>
          </w:r>
        </w:p>
      </w:sdtContent>
    </w:sdt>
    <w:p w14:paraId="58AFD17B" w14:textId="55D6578A" w:rsidR="00770763" w:rsidRDefault="00770763">
      <w:pPr>
        <w:spacing w:line="360" w:lineRule="auto"/>
        <w:jc w:val="both"/>
      </w:pPr>
    </w:p>
    <w:p w14:paraId="1AE93974" w14:textId="77777777" w:rsidR="002E68D9" w:rsidRDefault="002E68D9">
      <w:pPr>
        <w:spacing w:line="360" w:lineRule="auto"/>
        <w:jc w:val="both"/>
      </w:pPr>
    </w:p>
    <w:p w14:paraId="004DD556" w14:textId="77777777" w:rsidR="002E68D9" w:rsidRPr="00773862" w:rsidRDefault="002E68D9">
      <w:pPr>
        <w:spacing w:line="360" w:lineRule="auto"/>
        <w:jc w:val="both"/>
        <w:rPr>
          <w:rFonts w:ascii="Palatino Linotype" w:eastAsia="Palatino Linotype" w:hAnsi="Palatino Linotype" w:cs="Palatino Linotype"/>
          <w:color w:val="000000"/>
          <w:sz w:val="22"/>
          <w:szCs w:val="22"/>
        </w:rPr>
      </w:pPr>
    </w:p>
    <w:p w14:paraId="6C044E3F"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sidRPr="00773862">
        <w:rPr>
          <w:rFonts w:ascii="Palatino Linotype" w:eastAsia="Palatino Linotype" w:hAnsi="Palatino Linotype" w:cs="Palatino Linotype"/>
          <w:sz w:val="22"/>
          <w:szCs w:val="22"/>
        </w:rPr>
        <w:t xml:space="preserve">Protección de Datos Personales del Estado de México y Municipios, con domicilio en Metepec, Estado de México, de fecha veinticinco de marzo de dos mil veintiséis. </w:t>
      </w:r>
    </w:p>
    <w:p w14:paraId="7C3ABCAC" w14:textId="77777777" w:rsidR="00770763" w:rsidRPr="00773862" w:rsidRDefault="00770763">
      <w:pPr>
        <w:spacing w:line="360" w:lineRule="auto"/>
        <w:ind w:left="708" w:hanging="708"/>
        <w:jc w:val="both"/>
        <w:rPr>
          <w:rFonts w:ascii="Palatino Linotype" w:eastAsia="Palatino Linotype" w:hAnsi="Palatino Linotype" w:cs="Palatino Linotype"/>
          <w:color w:val="000000"/>
          <w:sz w:val="22"/>
          <w:szCs w:val="22"/>
        </w:rPr>
      </w:pPr>
    </w:p>
    <w:p w14:paraId="74650100" w14:textId="3A5BE18E"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 xml:space="preserve">VISTO </w:t>
      </w:r>
      <w:r w:rsidRPr="00773862">
        <w:rPr>
          <w:rFonts w:ascii="Palatino Linotype" w:eastAsia="Palatino Linotype" w:hAnsi="Palatino Linotype" w:cs="Palatino Linotype"/>
          <w:color w:val="000000"/>
          <w:sz w:val="22"/>
          <w:szCs w:val="22"/>
        </w:rPr>
        <w:t xml:space="preserve">el expediente conformado con motivo del Recurso de Revisión 13046/INFOEM/ICR-115/IP/RR/2025, interpuesto por </w:t>
      </w:r>
      <w:r w:rsidR="00C53024" w:rsidRPr="00C53024">
        <w:rPr>
          <w:rFonts w:ascii="Palatino Linotype" w:eastAsia="Palatino Linotype" w:hAnsi="Palatino Linotype" w:cs="Palatino Linotype"/>
          <w:color w:val="000000"/>
          <w:sz w:val="22"/>
          <w:szCs w:val="22"/>
          <w:highlight w:val="black"/>
        </w:rPr>
        <w:t>XXXXXX</w:t>
      </w:r>
      <w:r w:rsidRPr="00773862">
        <w:rPr>
          <w:rFonts w:ascii="Palatino Linotype" w:eastAsia="Palatino Linotype" w:hAnsi="Palatino Linotype" w:cs="Palatino Linotype"/>
          <w:color w:val="000000"/>
          <w:sz w:val="22"/>
          <w:szCs w:val="22"/>
        </w:rPr>
        <w:t xml:space="preserve">, en lo sucesivo la persona </w:t>
      </w:r>
      <w:r w:rsidRPr="00773862">
        <w:rPr>
          <w:rFonts w:ascii="Palatino Linotype" w:eastAsia="Palatino Linotype" w:hAnsi="Palatino Linotype" w:cs="Palatino Linotype"/>
          <w:color w:val="0D0D0D"/>
          <w:sz w:val="22"/>
          <w:szCs w:val="22"/>
        </w:rPr>
        <w:t>Recurrente o Particular</w:t>
      </w:r>
      <w:r w:rsidRPr="00773862">
        <w:rPr>
          <w:rFonts w:ascii="Palatino Linotype" w:eastAsia="Palatino Linotype" w:hAnsi="Palatino Linotype" w:cs="Palatino Linotype"/>
          <w:color w:val="000000"/>
          <w:sz w:val="22"/>
          <w:szCs w:val="22"/>
        </w:rPr>
        <w:t xml:space="preserve">, en contra de la respuesta del Sujeto Obligado, </w:t>
      </w:r>
      <w:r w:rsidRPr="00773862">
        <w:rPr>
          <w:rFonts w:ascii="Palatino Linotype" w:eastAsia="Palatino Linotype" w:hAnsi="Palatino Linotype" w:cs="Palatino Linotype"/>
          <w:sz w:val="22"/>
          <w:szCs w:val="22"/>
        </w:rPr>
        <w:t>Ayuntamiento de Tepotzotlán</w:t>
      </w:r>
      <w:r w:rsidRPr="00773862">
        <w:rPr>
          <w:rFonts w:ascii="Palatino Linotype" w:eastAsia="Palatino Linotype" w:hAnsi="Palatino Linotype" w:cs="Palatino Linotype"/>
          <w:color w:val="000000"/>
          <w:sz w:val="22"/>
          <w:szCs w:val="22"/>
        </w:rPr>
        <w:t xml:space="preserve">, a la solicitud de acceso a la información pública 00477/TEPOTZOT/IP/2025, en cumplimiento a la determinación del diverso con número </w:t>
      </w:r>
      <w:r w:rsidRPr="00773862">
        <w:rPr>
          <w:rFonts w:ascii="Palatino Linotype" w:eastAsia="Palatino Linotype" w:hAnsi="Palatino Linotype" w:cs="Palatino Linotype"/>
          <w:sz w:val="22"/>
          <w:szCs w:val="22"/>
        </w:rPr>
        <w:t xml:space="preserve">13046/INFOEM/IP/RR/2025, </w:t>
      </w:r>
      <w:r w:rsidRPr="00773862">
        <w:rPr>
          <w:rFonts w:ascii="Palatino Linotype" w:eastAsia="Palatino Linotype" w:hAnsi="Palatino Linotype" w:cs="Palatino Linotype"/>
          <w:color w:val="000000"/>
          <w:sz w:val="22"/>
          <w:szCs w:val="22"/>
        </w:rPr>
        <w:t>se emite la presente Resolución, con base en los Antecedentes y Considerandos que a continuación se exponen:</w:t>
      </w:r>
    </w:p>
    <w:p w14:paraId="61E45A34" w14:textId="77777777" w:rsidR="00770763" w:rsidRPr="00773862" w:rsidRDefault="00770763">
      <w:pPr>
        <w:pStyle w:val="Subttulo"/>
        <w:spacing w:after="0"/>
      </w:pPr>
    </w:p>
    <w:p w14:paraId="10656AD0" w14:textId="77777777" w:rsidR="00770763" w:rsidRPr="00773862" w:rsidRDefault="00C21923">
      <w:pPr>
        <w:pStyle w:val="Ttulo1"/>
      </w:pPr>
      <w:bookmarkStart w:id="0" w:name="_heading=h.wioiokl32ico" w:colFirst="0" w:colLast="0"/>
      <w:bookmarkStart w:id="1" w:name="_Toc225433857"/>
      <w:bookmarkEnd w:id="0"/>
      <w:r w:rsidRPr="00773862">
        <w:t>A N T E C E D E N T E S</w:t>
      </w:r>
      <w:bookmarkEnd w:id="1"/>
    </w:p>
    <w:p w14:paraId="1DBF72F3" w14:textId="77777777" w:rsidR="00770763" w:rsidRPr="00773862" w:rsidRDefault="00770763">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54A98F65" w14:textId="77777777" w:rsidR="00770763" w:rsidRPr="00773862" w:rsidRDefault="00C21923">
      <w:pPr>
        <w:pStyle w:val="Ttulo2"/>
      </w:pPr>
      <w:bookmarkStart w:id="2" w:name="_heading=h.eqhlbtbn410f" w:colFirst="0" w:colLast="0"/>
      <w:bookmarkStart w:id="3" w:name="_Toc225433858"/>
      <w:bookmarkEnd w:id="2"/>
      <w:r w:rsidRPr="00773862">
        <w:t>I. Presentación de la solicitud de información</w:t>
      </w:r>
      <w:bookmarkEnd w:id="3"/>
    </w:p>
    <w:p w14:paraId="07EEFB99" w14:textId="77777777" w:rsidR="00770763" w:rsidRPr="00773862" w:rsidRDefault="00770763">
      <w:pPr>
        <w:tabs>
          <w:tab w:val="left" w:pos="567"/>
        </w:tabs>
        <w:spacing w:line="360" w:lineRule="auto"/>
        <w:jc w:val="both"/>
        <w:rPr>
          <w:rFonts w:ascii="Palatino Linotype" w:eastAsia="Palatino Linotype" w:hAnsi="Palatino Linotype" w:cs="Palatino Linotype"/>
          <w:sz w:val="22"/>
          <w:szCs w:val="22"/>
        </w:rPr>
      </w:pPr>
    </w:p>
    <w:p w14:paraId="7636D141"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El veintinueve de agosto de dos mil veinticinco</w:t>
      </w:r>
      <w:r w:rsidRPr="00773862">
        <w:rPr>
          <w:rFonts w:ascii="Palatino Linotype" w:eastAsia="Palatino Linotype" w:hAnsi="Palatino Linotype" w:cs="Palatino Linotype"/>
          <w:sz w:val="22"/>
          <w:szCs w:val="22"/>
        </w:rPr>
        <w:t>, el Particular presentó una solicitud de acceso a la información pública, a través del Sistema de Acceso a la Información Mexiquense (SAIMEX), ante el Ayuntamiento de Tepotzotlán, en los siguientes términos:</w:t>
      </w:r>
    </w:p>
    <w:p w14:paraId="30069F0E"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9109A0E" w14:textId="77777777" w:rsidR="00770763" w:rsidRPr="00773862" w:rsidRDefault="00C21923">
      <w:pPr>
        <w:tabs>
          <w:tab w:val="left" w:pos="4667"/>
        </w:tabs>
        <w:spacing w:line="360" w:lineRule="auto"/>
        <w:ind w:left="567" w:right="567"/>
        <w:jc w:val="both"/>
        <w:rPr>
          <w:rFonts w:ascii="Palatino Linotype" w:eastAsia="Palatino Linotype" w:hAnsi="Palatino Linotype" w:cs="Palatino Linotype"/>
          <w:b/>
          <w:bCs/>
          <w:i/>
          <w:iCs/>
        </w:rPr>
      </w:pPr>
      <w:r w:rsidRPr="00773862">
        <w:rPr>
          <w:rFonts w:ascii="Palatino Linotype" w:eastAsia="Palatino Linotype" w:hAnsi="Palatino Linotype" w:cs="Palatino Linotype"/>
          <w:b/>
          <w:bCs/>
          <w:i/>
          <w:iCs/>
        </w:rPr>
        <w:t>“DESCRIPCIÓN CLARA Y PRECISA DE LA INFORMACIÓN SOLICITADA</w:t>
      </w:r>
    </w:p>
    <w:p w14:paraId="5CF2C6E1" w14:textId="77777777" w:rsidR="00770763" w:rsidRPr="00773862" w:rsidRDefault="00C21923">
      <w:pPr>
        <w:tabs>
          <w:tab w:val="left" w:pos="4667"/>
        </w:tabs>
        <w:spacing w:line="360" w:lineRule="auto"/>
        <w:ind w:left="567"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Se describe en el presente documento anexo” (Sic.)</w:t>
      </w:r>
    </w:p>
    <w:p w14:paraId="68C47DA1" w14:textId="77777777" w:rsidR="00770763" w:rsidRPr="00773862" w:rsidRDefault="00770763">
      <w:pPr>
        <w:tabs>
          <w:tab w:val="left" w:pos="2712"/>
        </w:tabs>
        <w:spacing w:line="360" w:lineRule="auto"/>
        <w:ind w:right="567"/>
        <w:jc w:val="both"/>
        <w:rPr>
          <w:rFonts w:ascii="Palatino Linotype" w:eastAsia="Palatino Linotype" w:hAnsi="Palatino Linotype" w:cs="Palatino Linotype"/>
          <w:i/>
          <w:iCs/>
        </w:rPr>
      </w:pPr>
    </w:p>
    <w:p w14:paraId="551465CD" w14:textId="77777777" w:rsidR="00770763" w:rsidRPr="00773862" w:rsidRDefault="00C21923">
      <w:pPr>
        <w:tabs>
          <w:tab w:val="left" w:pos="4667"/>
        </w:tabs>
        <w:spacing w:line="360" w:lineRule="auto"/>
        <w:ind w:left="567" w:right="567"/>
        <w:jc w:val="both"/>
        <w:rPr>
          <w:rFonts w:ascii="Palatino Linotype" w:eastAsia="Palatino Linotype" w:hAnsi="Palatino Linotype" w:cs="Palatino Linotype"/>
          <w:b/>
          <w:bCs/>
          <w:i/>
          <w:iCs/>
        </w:rPr>
      </w:pPr>
      <w:r w:rsidRPr="00773862">
        <w:rPr>
          <w:rFonts w:ascii="Palatino Linotype" w:eastAsia="Palatino Linotype" w:hAnsi="Palatino Linotype" w:cs="Palatino Linotype"/>
          <w:b/>
          <w:bCs/>
          <w:i/>
          <w:iCs/>
        </w:rPr>
        <w:t>“MODALIDAD DE ENTREGA</w:t>
      </w:r>
    </w:p>
    <w:p w14:paraId="0A923AEC" w14:textId="77777777" w:rsidR="00770763" w:rsidRPr="00773862" w:rsidRDefault="00C21923">
      <w:pPr>
        <w:spacing w:line="360" w:lineRule="auto"/>
        <w:ind w:left="567"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A través del SAIMEX” </w:t>
      </w:r>
    </w:p>
    <w:p w14:paraId="26EB3438" w14:textId="77777777" w:rsidR="00770763" w:rsidRPr="00773862" w:rsidRDefault="00770763">
      <w:pPr>
        <w:spacing w:line="360" w:lineRule="auto"/>
        <w:ind w:right="567"/>
        <w:jc w:val="both"/>
        <w:rPr>
          <w:rFonts w:ascii="Palatino Linotype" w:eastAsia="Palatino Linotype" w:hAnsi="Palatino Linotype" w:cs="Palatino Linotype"/>
          <w:i/>
          <w:iCs/>
        </w:rPr>
      </w:pPr>
    </w:p>
    <w:p w14:paraId="283F22EF" w14:textId="77777777" w:rsidR="00770763" w:rsidRPr="00773862" w:rsidRDefault="00C21923">
      <w:pPr>
        <w:spacing w:line="360" w:lineRule="auto"/>
        <w:ind w:right="567"/>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Asimismo, el Particular adjuntó un escrito libre donde menciona lo siguiente:</w:t>
      </w:r>
    </w:p>
    <w:p w14:paraId="192BF575" w14:textId="77777777" w:rsidR="00770763" w:rsidRPr="00773862" w:rsidRDefault="00770763">
      <w:pPr>
        <w:spacing w:line="360" w:lineRule="auto"/>
        <w:ind w:right="567"/>
        <w:jc w:val="both"/>
        <w:rPr>
          <w:rFonts w:ascii="Palatino Linotype" w:eastAsia="Palatino Linotype" w:hAnsi="Palatino Linotype" w:cs="Palatino Linotype"/>
          <w:sz w:val="22"/>
          <w:szCs w:val="22"/>
        </w:rPr>
      </w:pPr>
    </w:p>
    <w:p w14:paraId="467439AF"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lastRenderedPageBreak/>
        <w:t xml:space="preserve">“… C. Presidenta Municipal Constitucional de Tepotzotlán </w:t>
      </w:r>
    </w:p>
    <w:p w14:paraId="73D5C08B"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Presente. </w:t>
      </w:r>
    </w:p>
    <w:p w14:paraId="6A4889C2" w14:textId="77777777" w:rsidR="00770763" w:rsidRPr="00773862" w:rsidRDefault="00770763">
      <w:pPr>
        <w:spacing w:line="360" w:lineRule="auto"/>
        <w:ind w:left="708" w:right="567"/>
        <w:jc w:val="both"/>
        <w:rPr>
          <w:rFonts w:ascii="Palatino Linotype" w:eastAsia="Palatino Linotype" w:hAnsi="Palatino Linotype" w:cs="Palatino Linotype"/>
          <w:i/>
          <w:iCs/>
        </w:rPr>
      </w:pPr>
    </w:p>
    <w:p w14:paraId="7BD9BBA7"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En mi carácter de ciudadano y en ejercicio del derecho de petición consagrado en el artículo 8° de la Constitución Política de los Estados Unidos Mexicanos, me permito solicitarle un </w:t>
      </w:r>
      <w:r w:rsidRPr="00773862">
        <w:rPr>
          <w:rFonts w:ascii="Palatino Linotype" w:eastAsia="Palatino Linotype" w:hAnsi="Palatino Linotype" w:cs="Palatino Linotype"/>
          <w:b/>
          <w:bCs/>
          <w:i/>
          <w:iCs/>
        </w:rPr>
        <w:t>informe detallado, preciso y transparente</w:t>
      </w:r>
      <w:r w:rsidRPr="00773862">
        <w:rPr>
          <w:rFonts w:ascii="Palatino Linotype" w:eastAsia="Palatino Linotype" w:hAnsi="Palatino Linotype" w:cs="Palatino Linotype"/>
          <w:i/>
          <w:iCs/>
        </w:rPr>
        <w:t xml:space="preserve"> sobre los funcionarios y servidores públicos que hayan trabajado o trabajen en la administración municipal de Tepotzotlán y que hayan recibido sanciones administrativas graves. </w:t>
      </w:r>
    </w:p>
    <w:p w14:paraId="6B00F040" w14:textId="77777777" w:rsidR="00770763" w:rsidRPr="00773862" w:rsidRDefault="00770763">
      <w:pPr>
        <w:spacing w:line="360" w:lineRule="auto"/>
        <w:ind w:left="708" w:right="567"/>
        <w:jc w:val="both"/>
        <w:rPr>
          <w:rFonts w:ascii="Palatino Linotype" w:eastAsia="Palatino Linotype" w:hAnsi="Palatino Linotype" w:cs="Palatino Linotype"/>
          <w:i/>
          <w:iCs/>
        </w:rPr>
      </w:pPr>
    </w:p>
    <w:p w14:paraId="1E0DA763"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Dado que se trata de información de interés público y vinculada directamente a la </w:t>
      </w:r>
      <w:r w:rsidRPr="00773862">
        <w:rPr>
          <w:rFonts w:ascii="Palatino Linotype" w:eastAsia="Palatino Linotype" w:hAnsi="Palatino Linotype" w:cs="Palatino Linotype"/>
          <w:b/>
          <w:bCs/>
          <w:i/>
          <w:iCs/>
        </w:rPr>
        <w:t>responsabilidad administrativa</w:t>
      </w:r>
      <w:r w:rsidRPr="00773862">
        <w:rPr>
          <w:rFonts w:ascii="Palatino Linotype" w:eastAsia="Palatino Linotype" w:hAnsi="Palatino Linotype" w:cs="Palatino Linotype"/>
          <w:i/>
          <w:iCs/>
        </w:rPr>
        <w:t xml:space="preserve">, solicito que sea </w:t>
      </w:r>
      <w:r w:rsidRPr="00773862">
        <w:rPr>
          <w:rFonts w:ascii="Palatino Linotype" w:eastAsia="Palatino Linotype" w:hAnsi="Palatino Linotype" w:cs="Palatino Linotype"/>
          <w:b/>
          <w:bCs/>
          <w:i/>
          <w:iCs/>
        </w:rPr>
        <w:t>usted, en lo personal, quien emita la respuesta</w:t>
      </w:r>
      <w:r w:rsidRPr="00773862">
        <w:rPr>
          <w:rFonts w:ascii="Palatino Linotype" w:eastAsia="Palatino Linotype" w:hAnsi="Palatino Linotype" w:cs="Palatino Linotype"/>
          <w:i/>
          <w:iCs/>
        </w:rPr>
        <w:t xml:space="preserve">, sin delegar a ningún funcionario de menor jerarquía, y que la misma sea debidamente firmada y respaldada por la autoridad que encabeza la presidencia. </w:t>
      </w:r>
    </w:p>
    <w:p w14:paraId="0CDB363E" w14:textId="77777777" w:rsidR="00770763" w:rsidRPr="00773862" w:rsidRDefault="00770763">
      <w:pPr>
        <w:spacing w:line="360" w:lineRule="auto"/>
        <w:ind w:left="708" w:right="567"/>
        <w:jc w:val="both"/>
        <w:rPr>
          <w:rFonts w:ascii="Palatino Linotype" w:eastAsia="Palatino Linotype" w:hAnsi="Palatino Linotype" w:cs="Palatino Linotype"/>
          <w:i/>
          <w:iCs/>
        </w:rPr>
      </w:pPr>
    </w:p>
    <w:p w14:paraId="50BCA19E"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A continuación, solicito se indique de manera puntual: </w:t>
      </w:r>
    </w:p>
    <w:p w14:paraId="6F9113F8"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1</w:t>
      </w:r>
      <w:r w:rsidRPr="00773862">
        <w:rPr>
          <w:rFonts w:ascii="Palatino Linotype" w:eastAsia="Palatino Linotype" w:hAnsi="Palatino Linotype" w:cs="Palatino Linotype"/>
          <w:b/>
          <w:bCs/>
          <w:i/>
          <w:iCs/>
        </w:rPr>
        <w:t>. Nombre completo</w:t>
      </w:r>
      <w:r w:rsidRPr="00773862">
        <w:rPr>
          <w:rFonts w:ascii="Palatino Linotype" w:eastAsia="Palatino Linotype" w:hAnsi="Palatino Linotype" w:cs="Palatino Linotype"/>
          <w:i/>
          <w:iCs/>
        </w:rPr>
        <w:t xml:space="preserve"> del funcionario sancionado. </w:t>
      </w:r>
    </w:p>
    <w:p w14:paraId="2BB80EAD"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2. </w:t>
      </w:r>
      <w:r w:rsidRPr="00773862">
        <w:rPr>
          <w:rFonts w:ascii="Palatino Linotype" w:eastAsia="Palatino Linotype" w:hAnsi="Palatino Linotype" w:cs="Palatino Linotype"/>
          <w:b/>
          <w:bCs/>
          <w:i/>
          <w:iCs/>
        </w:rPr>
        <w:t>Cargo que desempeñaba</w:t>
      </w:r>
      <w:r w:rsidRPr="00773862">
        <w:rPr>
          <w:rFonts w:ascii="Palatino Linotype" w:eastAsia="Palatino Linotype" w:hAnsi="Palatino Linotype" w:cs="Palatino Linotype"/>
          <w:i/>
          <w:iCs/>
        </w:rPr>
        <w:t xml:space="preserve"> al momento de la sanción. </w:t>
      </w:r>
    </w:p>
    <w:p w14:paraId="4F17C6CF"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3. </w:t>
      </w:r>
      <w:r w:rsidRPr="00773862">
        <w:rPr>
          <w:rFonts w:ascii="Palatino Linotype" w:eastAsia="Palatino Linotype" w:hAnsi="Palatino Linotype" w:cs="Palatino Linotype"/>
          <w:b/>
          <w:bCs/>
          <w:i/>
          <w:iCs/>
        </w:rPr>
        <w:t>Tipo de sanción administrativa</w:t>
      </w:r>
      <w:r w:rsidRPr="00773862">
        <w:rPr>
          <w:rFonts w:ascii="Palatino Linotype" w:eastAsia="Palatino Linotype" w:hAnsi="Palatino Linotype" w:cs="Palatino Linotype"/>
          <w:i/>
          <w:iCs/>
        </w:rPr>
        <w:t xml:space="preserve"> impuesta (amonestación, destitución, inhabilitación, multa, etc.). </w:t>
      </w:r>
    </w:p>
    <w:p w14:paraId="5E32C35F"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4. </w:t>
      </w:r>
      <w:r w:rsidRPr="00773862">
        <w:rPr>
          <w:rFonts w:ascii="Palatino Linotype" w:eastAsia="Palatino Linotype" w:hAnsi="Palatino Linotype" w:cs="Palatino Linotype"/>
          <w:b/>
          <w:bCs/>
          <w:i/>
          <w:iCs/>
        </w:rPr>
        <w:t>Motivo o causa de la sanción</w:t>
      </w:r>
      <w:r w:rsidRPr="00773862">
        <w:rPr>
          <w:rFonts w:ascii="Palatino Linotype" w:eastAsia="Palatino Linotype" w:hAnsi="Palatino Linotype" w:cs="Palatino Linotype"/>
          <w:i/>
          <w:iCs/>
        </w:rPr>
        <w:t xml:space="preserve">, explicando los hechos que derivaron en la misma. </w:t>
      </w:r>
    </w:p>
    <w:p w14:paraId="5C7DFAFC"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5. </w:t>
      </w:r>
      <w:r w:rsidRPr="00773862">
        <w:rPr>
          <w:rFonts w:ascii="Palatino Linotype" w:eastAsia="Palatino Linotype" w:hAnsi="Palatino Linotype" w:cs="Palatino Linotype"/>
          <w:b/>
          <w:bCs/>
          <w:i/>
          <w:iCs/>
        </w:rPr>
        <w:t>Fecha de la imposición</w:t>
      </w:r>
      <w:r w:rsidRPr="00773862">
        <w:rPr>
          <w:rFonts w:ascii="Palatino Linotype" w:eastAsia="Palatino Linotype" w:hAnsi="Palatino Linotype" w:cs="Palatino Linotype"/>
          <w:i/>
          <w:iCs/>
        </w:rPr>
        <w:t xml:space="preserve"> de la sanción y, en su caso, el tiempo de vigencia de la misma. </w:t>
      </w:r>
    </w:p>
    <w:p w14:paraId="68128FD4"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6. </w:t>
      </w:r>
      <w:r w:rsidRPr="00773862">
        <w:rPr>
          <w:rFonts w:ascii="Palatino Linotype" w:eastAsia="Palatino Linotype" w:hAnsi="Palatino Linotype" w:cs="Palatino Linotype"/>
          <w:b/>
          <w:bCs/>
          <w:i/>
          <w:iCs/>
        </w:rPr>
        <w:t>Órgano o autoridad que determinó la sanción</w:t>
      </w:r>
      <w:r w:rsidRPr="00773862">
        <w:rPr>
          <w:rFonts w:ascii="Palatino Linotype" w:eastAsia="Palatino Linotype" w:hAnsi="Palatino Linotype" w:cs="Palatino Linotype"/>
          <w:i/>
          <w:iCs/>
        </w:rPr>
        <w:t xml:space="preserve">, con copia de la resolución o documento oficial que la respalde. </w:t>
      </w:r>
    </w:p>
    <w:p w14:paraId="2B24A2A4"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7. Medidas tomadas para garantizar que la sanción se cumpla y que no se repitan actos irregulares similares. </w:t>
      </w:r>
    </w:p>
    <w:p w14:paraId="37803343" w14:textId="77777777" w:rsidR="00770763" w:rsidRPr="00773862" w:rsidRDefault="00770763">
      <w:pPr>
        <w:spacing w:line="360" w:lineRule="auto"/>
        <w:ind w:left="708" w:right="567"/>
        <w:jc w:val="both"/>
        <w:rPr>
          <w:rFonts w:ascii="Palatino Linotype" w:eastAsia="Palatino Linotype" w:hAnsi="Palatino Linotype" w:cs="Palatino Linotype"/>
          <w:i/>
          <w:iCs/>
        </w:rPr>
      </w:pPr>
    </w:p>
    <w:p w14:paraId="4C3B6855"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Presidenta, la ciudadanía de Tepotzotlán tiene derecho a conocer </w:t>
      </w:r>
      <w:r w:rsidRPr="00773862">
        <w:rPr>
          <w:rFonts w:ascii="Palatino Linotype" w:eastAsia="Palatino Linotype" w:hAnsi="Palatino Linotype" w:cs="Palatino Linotype"/>
          <w:b/>
          <w:bCs/>
          <w:i/>
          <w:iCs/>
        </w:rPr>
        <w:t>quiénes en la administración han incumplido la ley o las normas municipales</w:t>
      </w:r>
      <w:r w:rsidRPr="00773862">
        <w:rPr>
          <w:rFonts w:ascii="Palatino Linotype" w:eastAsia="Palatino Linotype" w:hAnsi="Palatino Linotype" w:cs="Palatino Linotype"/>
          <w:i/>
          <w:iCs/>
        </w:rPr>
        <w:t xml:space="preserve"> y cómo se han aplicado las sanciones </w:t>
      </w:r>
      <w:r w:rsidRPr="00773862">
        <w:rPr>
          <w:rFonts w:ascii="Palatino Linotype" w:eastAsia="Palatino Linotype" w:hAnsi="Palatino Linotype" w:cs="Palatino Linotype"/>
          <w:i/>
          <w:iCs/>
        </w:rPr>
        <w:lastRenderedPageBreak/>
        <w:t xml:space="preserve">correspondientes. La transparencia en este tema es indispensable para fortalecer la confianza en la gestión pública y evitar impunidad. </w:t>
      </w:r>
    </w:p>
    <w:p w14:paraId="1E1E5A4D" w14:textId="77777777" w:rsidR="00770763" w:rsidRPr="00773862" w:rsidRDefault="00770763">
      <w:pPr>
        <w:spacing w:line="360" w:lineRule="auto"/>
        <w:ind w:left="708" w:right="567"/>
        <w:jc w:val="both"/>
        <w:rPr>
          <w:rFonts w:ascii="Palatino Linotype" w:eastAsia="Palatino Linotype" w:hAnsi="Palatino Linotype" w:cs="Palatino Linotype"/>
          <w:i/>
          <w:iCs/>
        </w:rPr>
      </w:pPr>
    </w:p>
    <w:p w14:paraId="0D7AF226"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Por lo anterior, </w:t>
      </w:r>
      <w:r w:rsidRPr="00773862">
        <w:rPr>
          <w:rFonts w:ascii="Palatino Linotype" w:eastAsia="Palatino Linotype" w:hAnsi="Palatino Linotype" w:cs="Palatino Linotype"/>
          <w:b/>
          <w:bCs/>
          <w:i/>
          <w:iCs/>
        </w:rPr>
        <w:t>solicito que la respuesta sea emitida directamente por usted</w:t>
      </w:r>
      <w:r w:rsidRPr="00773862">
        <w:rPr>
          <w:rFonts w:ascii="Palatino Linotype" w:eastAsia="Palatino Linotype" w:hAnsi="Palatino Linotype" w:cs="Palatino Linotype"/>
          <w:i/>
          <w:iCs/>
        </w:rPr>
        <w:t>, debidamente firmada, fundada y motivada, acompañada de la documentación que respalde cada caso, dentro de los plazos que establece la Ley de Transparencia y Acceso a la Información Pública.</w:t>
      </w:r>
    </w:p>
    <w:p w14:paraId="40A85BCB" w14:textId="77777777" w:rsidR="00770763" w:rsidRPr="00773862" w:rsidRDefault="00770763">
      <w:pPr>
        <w:spacing w:line="360" w:lineRule="auto"/>
        <w:ind w:left="708" w:right="567"/>
        <w:jc w:val="both"/>
        <w:rPr>
          <w:rFonts w:ascii="Palatino Linotype" w:eastAsia="Palatino Linotype" w:hAnsi="Palatino Linotype" w:cs="Palatino Linotype"/>
          <w:i/>
          <w:iCs/>
        </w:rPr>
      </w:pPr>
    </w:p>
    <w:p w14:paraId="15D6593C"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 Quedo en espera de su respuesta.</w:t>
      </w:r>
    </w:p>
    <w:p w14:paraId="5B2A0825" w14:textId="77777777" w:rsidR="00770763" w:rsidRPr="00773862" w:rsidRDefault="00C21923">
      <w:pPr>
        <w:spacing w:line="360" w:lineRule="auto"/>
        <w:ind w:left="708"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w:t>
      </w:r>
    </w:p>
    <w:p w14:paraId="768759DE" w14:textId="77777777" w:rsidR="00770763" w:rsidRPr="00773862" w:rsidRDefault="00770763">
      <w:pPr>
        <w:spacing w:line="360" w:lineRule="auto"/>
        <w:ind w:right="567"/>
        <w:jc w:val="both"/>
        <w:rPr>
          <w:rFonts w:ascii="Palatino Linotype" w:eastAsia="Palatino Linotype" w:hAnsi="Palatino Linotype" w:cs="Palatino Linotype"/>
          <w:sz w:val="22"/>
          <w:szCs w:val="22"/>
        </w:rPr>
      </w:pPr>
    </w:p>
    <w:p w14:paraId="418F7F1A" w14:textId="77777777" w:rsidR="00770763" w:rsidRPr="00773862" w:rsidRDefault="00C21923">
      <w:pPr>
        <w:pStyle w:val="Ttulo2"/>
      </w:pPr>
      <w:bookmarkStart w:id="4" w:name="_heading=h.um7ha8z7bdux" w:colFirst="0" w:colLast="0"/>
      <w:bookmarkStart w:id="5" w:name="_Toc225433859"/>
      <w:bookmarkEnd w:id="4"/>
      <w:r w:rsidRPr="00773862">
        <w:t>II.  Respuesta del Sujeto Obligado</w:t>
      </w:r>
      <w:bookmarkEnd w:id="5"/>
    </w:p>
    <w:p w14:paraId="390BE030"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17A45FD1"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773862">
        <w:rPr>
          <w:rFonts w:ascii="Palatino Linotype" w:eastAsia="Palatino Linotype" w:hAnsi="Palatino Linotype" w:cs="Palatino Linotype"/>
          <w:b/>
          <w:bCs/>
          <w:sz w:val="22"/>
          <w:szCs w:val="22"/>
        </w:rPr>
        <w:t xml:space="preserve"> Ayuntamiento de Tepotzotlán</w:t>
      </w:r>
      <w:r w:rsidRPr="00773862">
        <w:rPr>
          <w:rFonts w:ascii="Palatino Linotype" w:eastAsia="Palatino Linotype" w:hAnsi="Palatino Linotype" w:cs="Palatino Linotype"/>
          <w:color w:val="000000"/>
          <w:sz w:val="22"/>
          <w:szCs w:val="22"/>
        </w:rPr>
        <w:t xml:space="preserve">, omitió dar respuesta a la solicitud de información, por lo que se </w:t>
      </w:r>
      <w:r w:rsidRPr="00773862">
        <w:rPr>
          <w:rFonts w:ascii="Palatino Linotype" w:eastAsia="Palatino Linotype" w:hAnsi="Palatino Linotype" w:cs="Palatino Linotype"/>
          <w:b/>
          <w:bCs/>
          <w:color w:val="000000"/>
          <w:sz w:val="22"/>
          <w:szCs w:val="22"/>
        </w:rPr>
        <w:t>configura la negativa ficta</w:t>
      </w:r>
      <w:r w:rsidRPr="00773862">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17FC8841"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4E03E959" w14:textId="77777777" w:rsidR="00770763" w:rsidRPr="00773862" w:rsidRDefault="00C21923">
      <w:pPr>
        <w:pStyle w:val="Ttulo2"/>
      </w:pPr>
      <w:bookmarkStart w:id="6" w:name="_heading=h.kxjg9p12jo62" w:colFirst="0" w:colLast="0"/>
      <w:bookmarkStart w:id="7" w:name="_Toc225433860"/>
      <w:bookmarkEnd w:id="6"/>
      <w:r w:rsidRPr="00773862">
        <w:t>III. Interposición del Recurso de Revisión</w:t>
      </w:r>
      <w:bookmarkEnd w:id="7"/>
    </w:p>
    <w:p w14:paraId="071BDCF8"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52F8BD35"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color w:val="000000"/>
          <w:sz w:val="22"/>
          <w:szCs w:val="22"/>
        </w:rPr>
        <w:t xml:space="preserve">El trece de noviembre de dos mil veinticinco, el Particular interpuso un Recurso de Revisión ante este Instituto, a través del Sistema de Acceso a la Información Mexiquense (SAIMEX), en </w:t>
      </w:r>
      <w:r w:rsidRPr="00773862">
        <w:rPr>
          <w:rFonts w:ascii="Palatino Linotype" w:eastAsia="Palatino Linotype" w:hAnsi="Palatino Linotype" w:cs="Palatino Linotype"/>
          <w:color w:val="000000"/>
          <w:sz w:val="22"/>
          <w:szCs w:val="22"/>
        </w:rPr>
        <w:lastRenderedPageBreak/>
        <w:t>contra de la falta de respuesta por el</w:t>
      </w:r>
      <w:r w:rsidRPr="00773862">
        <w:rPr>
          <w:rFonts w:ascii="Palatino Linotype" w:eastAsia="Palatino Linotype" w:hAnsi="Palatino Linotype" w:cs="Palatino Linotype"/>
          <w:sz w:val="22"/>
          <w:szCs w:val="22"/>
        </w:rPr>
        <w:t xml:space="preserve"> Sujeto Obligado</w:t>
      </w:r>
      <w:r w:rsidRPr="00773862">
        <w:rPr>
          <w:rFonts w:ascii="Palatino Linotype" w:eastAsia="Palatino Linotype" w:hAnsi="Palatino Linotype" w:cs="Palatino Linotype"/>
          <w:color w:val="000000"/>
          <w:sz w:val="22"/>
          <w:szCs w:val="22"/>
        </w:rPr>
        <w:t xml:space="preserve">, a la solicitud de información, en los siguientes términos: </w:t>
      </w:r>
    </w:p>
    <w:p w14:paraId="2B7F6D0D"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2875A8C" w14:textId="77777777" w:rsidR="00770763" w:rsidRPr="00773862" w:rsidRDefault="00C21923">
      <w:pPr>
        <w:spacing w:line="360" w:lineRule="auto"/>
        <w:ind w:left="567" w:right="567"/>
        <w:jc w:val="both"/>
        <w:rPr>
          <w:rFonts w:ascii="Palatino Linotype" w:eastAsia="Palatino Linotype" w:hAnsi="Palatino Linotype" w:cs="Palatino Linotype"/>
          <w:i/>
          <w:iCs/>
          <w:color w:val="000000"/>
        </w:rPr>
      </w:pPr>
      <w:r w:rsidRPr="00773862">
        <w:rPr>
          <w:rFonts w:ascii="Palatino Linotype" w:eastAsia="Palatino Linotype" w:hAnsi="Palatino Linotype" w:cs="Palatino Linotype"/>
          <w:b/>
          <w:bCs/>
          <w:i/>
          <w:iCs/>
          <w:color w:val="000000"/>
        </w:rPr>
        <w:t>“ACTO IMPUGNADO</w:t>
      </w:r>
    </w:p>
    <w:p w14:paraId="2DA989FF" w14:textId="77777777" w:rsidR="00770763" w:rsidRPr="00773862" w:rsidRDefault="00C21923">
      <w:pPr>
        <w:spacing w:line="360" w:lineRule="auto"/>
        <w:ind w:left="567" w:right="567"/>
        <w:rPr>
          <w:rFonts w:ascii="Palatino Linotype" w:eastAsia="Palatino Linotype" w:hAnsi="Palatino Linotype" w:cs="Palatino Linotype"/>
          <w:i/>
          <w:iCs/>
          <w:color w:val="000000"/>
        </w:rPr>
      </w:pPr>
      <w:r w:rsidRPr="00773862">
        <w:rPr>
          <w:rFonts w:ascii="Palatino Linotype" w:eastAsia="Palatino Linotype" w:hAnsi="Palatino Linotype" w:cs="Palatino Linotype"/>
          <w:i/>
          <w:iCs/>
          <w:color w:val="000000"/>
        </w:rPr>
        <w:t>no hay respuesta”</w:t>
      </w:r>
      <w:r w:rsidRPr="00773862">
        <w:rPr>
          <w:rFonts w:ascii="Palatino Linotype" w:eastAsia="Palatino Linotype" w:hAnsi="Palatino Linotype" w:cs="Palatino Linotype"/>
          <w:i/>
          <w:iCs/>
        </w:rPr>
        <w:t xml:space="preserve"> (Sic.)</w:t>
      </w:r>
    </w:p>
    <w:p w14:paraId="5C1FCD02" w14:textId="77777777" w:rsidR="00770763" w:rsidRPr="00773862" w:rsidRDefault="00770763">
      <w:pPr>
        <w:spacing w:line="360" w:lineRule="auto"/>
        <w:ind w:right="567"/>
        <w:jc w:val="both"/>
        <w:rPr>
          <w:rFonts w:ascii="Palatino Linotype" w:eastAsia="Palatino Linotype" w:hAnsi="Palatino Linotype" w:cs="Palatino Linotype"/>
          <w:i/>
          <w:iCs/>
          <w:color w:val="000000"/>
        </w:rPr>
      </w:pPr>
    </w:p>
    <w:p w14:paraId="4B08A99B" w14:textId="77777777" w:rsidR="00770763" w:rsidRPr="00773862" w:rsidRDefault="00C21923">
      <w:pPr>
        <w:spacing w:line="360" w:lineRule="auto"/>
        <w:ind w:left="567" w:right="567"/>
        <w:rPr>
          <w:rFonts w:ascii="Palatino Linotype" w:eastAsia="Palatino Linotype" w:hAnsi="Palatino Linotype" w:cs="Palatino Linotype"/>
          <w:b/>
          <w:bCs/>
          <w:i/>
          <w:iCs/>
        </w:rPr>
      </w:pPr>
      <w:r w:rsidRPr="00773862">
        <w:rPr>
          <w:rFonts w:ascii="Palatino Linotype" w:eastAsia="Palatino Linotype" w:hAnsi="Palatino Linotype" w:cs="Palatino Linotype"/>
          <w:b/>
          <w:bCs/>
          <w:i/>
          <w:iCs/>
        </w:rPr>
        <w:t>“RAZONES O MOTIVOS DE LA INCONFORMIDAD</w:t>
      </w:r>
    </w:p>
    <w:p w14:paraId="265F7E05" w14:textId="77777777" w:rsidR="00770763" w:rsidRPr="00773862" w:rsidRDefault="00C21923">
      <w:pPr>
        <w:spacing w:line="360" w:lineRule="auto"/>
        <w:ind w:left="567" w:right="567"/>
        <w:rPr>
          <w:rFonts w:ascii="Palatino Linotype" w:eastAsia="Palatino Linotype" w:hAnsi="Palatino Linotype" w:cs="Palatino Linotype"/>
          <w:i/>
          <w:iCs/>
          <w:color w:val="000000"/>
        </w:rPr>
      </w:pPr>
      <w:r w:rsidRPr="00773862">
        <w:rPr>
          <w:rFonts w:ascii="Palatino Linotype" w:eastAsia="Palatino Linotype" w:hAnsi="Palatino Linotype" w:cs="Palatino Linotype"/>
          <w:i/>
          <w:iCs/>
          <w:color w:val="000000"/>
        </w:rPr>
        <w:t xml:space="preserve">no hay respuesta” </w:t>
      </w:r>
      <w:r w:rsidRPr="00773862">
        <w:rPr>
          <w:rFonts w:ascii="Palatino Linotype" w:eastAsia="Palatino Linotype" w:hAnsi="Palatino Linotype" w:cs="Palatino Linotype"/>
          <w:i/>
          <w:iCs/>
        </w:rPr>
        <w:t>(Sic.)</w:t>
      </w:r>
    </w:p>
    <w:p w14:paraId="38725012" w14:textId="77777777" w:rsidR="00770763" w:rsidRPr="00773862" w:rsidRDefault="00770763">
      <w:pPr>
        <w:spacing w:line="360" w:lineRule="auto"/>
        <w:ind w:left="567" w:right="567"/>
        <w:rPr>
          <w:rFonts w:ascii="Palatino Linotype" w:eastAsia="Palatino Linotype" w:hAnsi="Palatino Linotype" w:cs="Palatino Linotype"/>
          <w:i/>
          <w:iCs/>
          <w:color w:val="000000"/>
        </w:rPr>
      </w:pPr>
    </w:p>
    <w:p w14:paraId="14769C9B" w14:textId="77777777" w:rsidR="00770763" w:rsidRPr="00773862" w:rsidRDefault="00C21923">
      <w:pPr>
        <w:pStyle w:val="Ttulo2"/>
      </w:pPr>
      <w:bookmarkStart w:id="8" w:name="_heading=h.7l5zs6z341tx" w:colFirst="0" w:colLast="0"/>
      <w:bookmarkStart w:id="9" w:name="_Toc225433861"/>
      <w:bookmarkEnd w:id="8"/>
      <w:r w:rsidRPr="00773862">
        <w:t>IV. Trámite del Recurso de Revisión ante el Instituto</w:t>
      </w:r>
      <w:bookmarkEnd w:id="9"/>
    </w:p>
    <w:p w14:paraId="2562A686"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549B2FB4"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 xml:space="preserve">a) Turno del Recurso de Revisión. </w:t>
      </w:r>
      <w:r w:rsidRPr="00773862">
        <w:rPr>
          <w:rFonts w:ascii="Palatino Linotype" w:eastAsia="Palatino Linotype" w:hAnsi="Palatino Linotype" w:cs="Palatino Linotype"/>
          <w:color w:val="000000"/>
          <w:sz w:val="22"/>
          <w:szCs w:val="22"/>
        </w:rPr>
        <w:t xml:space="preserve">El trece de noviembre de dos mil veinticinco, el Sistema de Acceso a la Información Mexiquense (SAIMEX), asignó el número de expediente </w:t>
      </w:r>
      <w:r w:rsidRPr="00773862">
        <w:rPr>
          <w:rFonts w:ascii="Palatino Linotype" w:eastAsia="Palatino Linotype" w:hAnsi="Palatino Linotype" w:cs="Palatino Linotype"/>
          <w:b/>
          <w:bCs/>
          <w:color w:val="000000"/>
          <w:sz w:val="22"/>
          <w:szCs w:val="22"/>
        </w:rPr>
        <w:t>13046/INFOEM/IP/RR/2025</w:t>
      </w:r>
      <w:r w:rsidRPr="00773862">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082021A"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769786FE"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 xml:space="preserve">b) Admisión del Recurso de Revisión. </w:t>
      </w:r>
      <w:r w:rsidRPr="00773862">
        <w:rPr>
          <w:rFonts w:ascii="Palatino Linotype" w:eastAsia="Palatino Linotype" w:hAnsi="Palatino Linotype" w:cs="Palatino Linotype"/>
          <w:color w:val="000000"/>
          <w:sz w:val="22"/>
          <w:szCs w:val="22"/>
        </w:rPr>
        <w:t>El diecinueve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E22BF87"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061A5E43" w14:textId="77777777" w:rsidR="00770763" w:rsidRPr="00773862" w:rsidRDefault="00C21923">
      <w:pPr>
        <w:spacing w:line="360" w:lineRule="auto"/>
        <w:jc w:val="both"/>
        <w:rPr>
          <w:rFonts w:ascii="Palatino Linotype" w:eastAsia="Palatino Linotype" w:hAnsi="Palatino Linotype" w:cs="Palatino Linotype"/>
          <w:b/>
          <w:bCs/>
          <w:sz w:val="22"/>
          <w:szCs w:val="22"/>
        </w:rPr>
      </w:pPr>
      <w:r w:rsidRPr="00773862">
        <w:rPr>
          <w:rFonts w:ascii="Palatino Linotype" w:eastAsia="Palatino Linotype" w:hAnsi="Palatino Linotype" w:cs="Palatino Linotype"/>
          <w:b/>
          <w:bCs/>
          <w:color w:val="000000"/>
          <w:sz w:val="22"/>
          <w:szCs w:val="22"/>
        </w:rPr>
        <w:lastRenderedPageBreak/>
        <w:t>c)</w:t>
      </w:r>
      <w:r w:rsidRPr="00773862">
        <w:rPr>
          <w:rFonts w:ascii="Palatino Linotype" w:eastAsia="Palatino Linotype" w:hAnsi="Palatino Linotype" w:cs="Palatino Linotype"/>
          <w:color w:val="000000"/>
          <w:sz w:val="22"/>
          <w:szCs w:val="22"/>
        </w:rPr>
        <w:t xml:space="preserve"> </w:t>
      </w:r>
      <w:r w:rsidRPr="00773862">
        <w:rPr>
          <w:rFonts w:ascii="Palatino Linotype" w:eastAsia="Palatino Linotype" w:hAnsi="Palatino Linotype" w:cs="Palatino Linotype"/>
          <w:b/>
          <w:bCs/>
          <w:sz w:val="22"/>
          <w:szCs w:val="22"/>
        </w:rPr>
        <w:t xml:space="preserve">Informe Justificado y Manifestaciones. </w:t>
      </w:r>
      <w:r w:rsidRPr="00773862">
        <w:rPr>
          <w:rFonts w:ascii="Palatino Linotype" w:eastAsia="Palatino Linotype" w:hAnsi="Palatino Linotype" w:cs="Palatino Linotype"/>
          <w:sz w:val="22"/>
          <w:szCs w:val="22"/>
        </w:rPr>
        <w:t>Las partes fueron omisas en emitir manifestaciones o alegatos.</w:t>
      </w:r>
    </w:p>
    <w:p w14:paraId="3C9ED701" w14:textId="77777777" w:rsidR="00770763" w:rsidRPr="00773862" w:rsidRDefault="00770763">
      <w:pPr>
        <w:spacing w:line="360" w:lineRule="auto"/>
        <w:jc w:val="both"/>
        <w:rPr>
          <w:rFonts w:ascii="Palatino Linotype" w:eastAsia="Palatino Linotype" w:hAnsi="Palatino Linotype" w:cs="Palatino Linotype"/>
          <w:b/>
          <w:bCs/>
          <w:sz w:val="22"/>
          <w:szCs w:val="22"/>
        </w:rPr>
      </w:pPr>
    </w:p>
    <w:p w14:paraId="34AB10B7"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b/>
          <w:bCs/>
          <w:sz w:val="22"/>
          <w:szCs w:val="22"/>
        </w:rPr>
        <w:t xml:space="preserve">d) Cierre de instrucción. </w:t>
      </w:r>
      <w:r w:rsidRPr="00773862">
        <w:rPr>
          <w:rFonts w:ascii="Palatino Linotype" w:eastAsia="Palatino Linotype" w:hAnsi="Palatino Linotype" w:cs="Palatino Linotype"/>
          <w:sz w:val="22"/>
          <w:szCs w:val="22"/>
        </w:rPr>
        <w:t xml:space="preserve">El ocho de diciembre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21ACFDAC"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48C6403"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b/>
          <w:bCs/>
          <w:sz w:val="22"/>
          <w:szCs w:val="22"/>
        </w:rPr>
        <w:t xml:space="preserve">e) Notificación de la Resolución del Recurso de Revisión. </w:t>
      </w:r>
      <w:r w:rsidRPr="00773862">
        <w:rPr>
          <w:rFonts w:ascii="Palatino Linotype" w:eastAsia="Palatino Linotype" w:hAnsi="Palatino Linotype" w:cs="Palatino Linotype"/>
          <w:sz w:val="22"/>
          <w:szCs w:val="22"/>
        </w:rPr>
        <w:t>El dieciséis de diciembre de dos mil veinticinco, se notificó por medio del Sistema de Acceso a la Información Mexiquense (SAIMEX), a las partes, la resolución del Medio de Impugnación previamente referido.</w:t>
      </w:r>
    </w:p>
    <w:p w14:paraId="18E5873B" w14:textId="77777777" w:rsidR="00770763" w:rsidRPr="00773862" w:rsidRDefault="00770763">
      <w:pPr>
        <w:spacing w:line="360" w:lineRule="auto"/>
        <w:jc w:val="both"/>
        <w:rPr>
          <w:rFonts w:ascii="Palatino Linotype" w:eastAsia="Palatino Linotype" w:hAnsi="Palatino Linotype" w:cs="Palatino Linotype"/>
          <w:color w:val="FF0000"/>
          <w:sz w:val="22"/>
          <w:szCs w:val="22"/>
        </w:rPr>
      </w:pPr>
    </w:p>
    <w:p w14:paraId="3881A87E" w14:textId="77777777" w:rsidR="00770763" w:rsidRPr="00773862" w:rsidRDefault="00C21923">
      <w:pPr>
        <w:pStyle w:val="Ttulo2"/>
        <w:jc w:val="both"/>
      </w:pPr>
      <w:bookmarkStart w:id="10" w:name="_heading=h.fifhou7tua2b" w:colFirst="0" w:colLast="0"/>
      <w:bookmarkStart w:id="11" w:name="_Toc225433862"/>
      <w:bookmarkEnd w:id="10"/>
      <w:r w:rsidRPr="00773862">
        <w:t>V. Entrega de la información en cumplimiento a la Resolución del Recurso de Revisión 13046/INFOEM/IP/RR/2025</w:t>
      </w:r>
      <w:bookmarkEnd w:id="11"/>
    </w:p>
    <w:p w14:paraId="6129BD3E" w14:textId="77777777" w:rsidR="00770763" w:rsidRPr="00773862" w:rsidRDefault="00770763">
      <w:pPr>
        <w:spacing w:line="360" w:lineRule="auto"/>
        <w:jc w:val="both"/>
        <w:rPr>
          <w:rFonts w:ascii="Palatino Linotype" w:eastAsia="Palatino Linotype" w:hAnsi="Palatino Linotype" w:cs="Palatino Linotype"/>
          <w:b/>
          <w:bCs/>
          <w:color w:val="FF0000"/>
          <w:sz w:val="22"/>
          <w:szCs w:val="22"/>
        </w:rPr>
      </w:pPr>
    </w:p>
    <w:p w14:paraId="194DDAB4"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El nueve de febrero de dos mil veintiséis, el Sujeto Obligado notificó a través del Sistema de Acceso a la Información Mexiquense (SAIMEX), la entrega de información en relación con el Recurso de Revisión 13046/INFOEM/IP/RR/2025, a través del oficio número HAST/SA/OI/0179/2026, del veintinueve de enero de dos mil veintiséis, suscrito por el Secretario del Ayuntamiento y dirigido a la Titular de la Unidad de Transparencia, por medio del cual mencionó lo siguiente:</w:t>
      </w:r>
    </w:p>
    <w:p w14:paraId="5ACBE370"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5AE1146E" w14:textId="77777777" w:rsidR="00770763" w:rsidRPr="00773862" w:rsidRDefault="00C21923">
      <w:pPr>
        <w:spacing w:line="360" w:lineRule="auto"/>
        <w:ind w:left="708"/>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lastRenderedPageBreak/>
        <w:t>“… Al respecto, resulta aplicable lo establecido en la Ley de Responsabilidades Administrativas del Estado de México y Municipios, en la cual se describe el mecanismo para la calificación de las faltas administrativas, así como la autoridad encargada de investigarlas y emitir las sanciones correspondientes.</w:t>
      </w:r>
    </w:p>
    <w:p w14:paraId="07D9AA83" w14:textId="77777777" w:rsidR="00770763" w:rsidRPr="00773862" w:rsidRDefault="00770763">
      <w:pPr>
        <w:spacing w:line="360" w:lineRule="auto"/>
        <w:ind w:left="708"/>
        <w:jc w:val="both"/>
        <w:rPr>
          <w:rFonts w:ascii="Palatino Linotype" w:eastAsia="Palatino Linotype" w:hAnsi="Palatino Linotype" w:cs="Palatino Linotype"/>
          <w:i/>
          <w:iCs/>
        </w:rPr>
      </w:pPr>
    </w:p>
    <w:p w14:paraId="446F224E" w14:textId="77777777" w:rsidR="00770763" w:rsidRPr="00773862" w:rsidRDefault="00C21923">
      <w:pPr>
        <w:spacing w:line="360" w:lineRule="auto"/>
        <w:ind w:left="708"/>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En este sentido, en términos del artículo 12 de la Ley de Transparencia y Acceso a la Información Pública del Estado de México y Municipios, la Presidencia Municipal no genera expedientes relacionados a sanciones administrativas de cualquier índole, además de protegerse la información en los casos de seguimiento a responsabilidades administrativas conforme a lo señalado en el artículo 140 del ordenamiento normativo citado.</w:t>
      </w:r>
    </w:p>
    <w:p w14:paraId="7683E572" w14:textId="77777777" w:rsidR="00770763" w:rsidRPr="00773862" w:rsidRDefault="00770763">
      <w:pPr>
        <w:spacing w:line="360" w:lineRule="auto"/>
        <w:ind w:left="708"/>
        <w:jc w:val="both"/>
        <w:rPr>
          <w:rFonts w:ascii="Palatino Linotype" w:eastAsia="Palatino Linotype" w:hAnsi="Palatino Linotype" w:cs="Palatino Linotype"/>
          <w:i/>
          <w:iCs/>
        </w:rPr>
      </w:pPr>
    </w:p>
    <w:p w14:paraId="3D0641D2" w14:textId="77777777" w:rsidR="00770763" w:rsidRPr="00773862" w:rsidRDefault="00C21923">
      <w:pPr>
        <w:spacing w:line="360" w:lineRule="auto"/>
        <w:ind w:left="708"/>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Finalmente, la respuesta se emite desde la Secretaría del Ayuntamiento ejerciendo las facultades de la Ley Orgánica Municipal, el Bando Municipal de Tepotzotlán y el Reglamento Interno de la Secretaría del Ayuntamiento.</w:t>
      </w:r>
    </w:p>
    <w:p w14:paraId="3417F56C" w14:textId="77777777" w:rsidR="00770763" w:rsidRPr="00773862" w:rsidRDefault="00C21923">
      <w:pPr>
        <w:spacing w:line="360" w:lineRule="auto"/>
        <w:ind w:left="708"/>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w:t>
      </w:r>
    </w:p>
    <w:p w14:paraId="162F0BCD" w14:textId="77777777" w:rsidR="00770763" w:rsidRPr="00773862" w:rsidRDefault="00770763">
      <w:pPr>
        <w:spacing w:line="360" w:lineRule="auto"/>
        <w:jc w:val="both"/>
        <w:rPr>
          <w:rFonts w:ascii="Palatino Linotype" w:eastAsia="Palatino Linotype" w:hAnsi="Palatino Linotype" w:cs="Palatino Linotype"/>
          <w:b/>
          <w:bCs/>
          <w:color w:val="FF0000"/>
        </w:rPr>
      </w:pPr>
    </w:p>
    <w:p w14:paraId="25E4699A" w14:textId="77777777" w:rsidR="00770763" w:rsidRPr="00773862" w:rsidRDefault="00C21923">
      <w:pPr>
        <w:pStyle w:val="Ttulo2"/>
        <w:jc w:val="both"/>
      </w:pPr>
      <w:bookmarkStart w:id="12" w:name="_heading=h.otlydu8be3x6" w:colFirst="0" w:colLast="0"/>
      <w:bookmarkStart w:id="13" w:name="_Toc225433863"/>
      <w:bookmarkEnd w:id="12"/>
      <w:r w:rsidRPr="00773862">
        <w:t>VI. Interposición del Recurso de Revisión 13046/INFOEM/ICR-115/IP/RR/2025</w:t>
      </w:r>
      <w:bookmarkEnd w:id="13"/>
    </w:p>
    <w:p w14:paraId="46B40047" w14:textId="77777777" w:rsidR="00770763" w:rsidRPr="00773862" w:rsidRDefault="00770763">
      <w:pPr>
        <w:spacing w:line="360" w:lineRule="auto"/>
        <w:jc w:val="both"/>
        <w:rPr>
          <w:rFonts w:ascii="Palatino Linotype" w:eastAsia="Palatino Linotype" w:hAnsi="Palatino Linotype" w:cs="Palatino Linotype"/>
          <w:b/>
          <w:bCs/>
          <w:color w:val="FF0000"/>
          <w:sz w:val="22"/>
          <w:szCs w:val="22"/>
        </w:rPr>
      </w:pPr>
    </w:p>
    <w:p w14:paraId="027B7AA4" w14:textId="77777777" w:rsidR="00770763" w:rsidRPr="00773862" w:rsidRDefault="00C21923">
      <w:pPr>
        <w:widowControl w:val="0"/>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El veinte de febrero de dos mil veintiséis, se recibió en este Instituto, a través del Sistema de Acceso a la Información Mexiquense (SAIMEX), el Recurso de Revisión interpuesto por la parte Recurrente, en contra de la respuesta del Sujeto Obligado, en cumplimiento a la Resolución referida en el Antecedente V, en los siguientes términos:</w:t>
      </w:r>
    </w:p>
    <w:p w14:paraId="561C86B2" w14:textId="77777777" w:rsidR="00770763" w:rsidRPr="00773862" w:rsidRDefault="00770763">
      <w:pPr>
        <w:widowControl w:val="0"/>
        <w:spacing w:line="360" w:lineRule="auto"/>
        <w:jc w:val="both"/>
        <w:rPr>
          <w:rFonts w:ascii="Palatino Linotype" w:eastAsia="Palatino Linotype" w:hAnsi="Palatino Linotype" w:cs="Palatino Linotype"/>
          <w:color w:val="FF0000"/>
          <w:sz w:val="22"/>
          <w:szCs w:val="22"/>
        </w:rPr>
      </w:pPr>
    </w:p>
    <w:p w14:paraId="1F683F73" w14:textId="77777777" w:rsidR="00770763" w:rsidRPr="00773862" w:rsidRDefault="00C21923">
      <w:pPr>
        <w:tabs>
          <w:tab w:val="left" w:pos="4667"/>
        </w:tabs>
        <w:spacing w:line="360" w:lineRule="auto"/>
        <w:ind w:left="567" w:right="567"/>
        <w:jc w:val="both"/>
        <w:rPr>
          <w:rFonts w:ascii="Palatino Linotype" w:eastAsia="Palatino Linotype" w:hAnsi="Palatino Linotype" w:cs="Palatino Linotype"/>
          <w:b/>
          <w:bCs/>
          <w:i/>
          <w:iCs/>
        </w:rPr>
      </w:pPr>
      <w:r w:rsidRPr="00773862">
        <w:rPr>
          <w:rFonts w:ascii="Palatino Linotype" w:eastAsia="Palatino Linotype" w:hAnsi="Palatino Linotype" w:cs="Palatino Linotype"/>
          <w:b/>
          <w:bCs/>
          <w:i/>
          <w:iCs/>
        </w:rPr>
        <w:t>“ACTO IMPUGNADO</w:t>
      </w:r>
    </w:p>
    <w:p w14:paraId="7D56CEA7" w14:textId="77777777" w:rsidR="00770763" w:rsidRPr="00773862" w:rsidRDefault="00C21923">
      <w:pPr>
        <w:spacing w:line="360" w:lineRule="auto"/>
        <w:ind w:left="567"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 no </w:t>
      </w:r>
      <w:proofErr w:type="spellStart"/>
      <w:r w:rsidRPr="00773862">
        <w:rPr>
          <w:rFonts w:ascii="Palatino Linotype" w:eastAsia="Palatino Linotype" w:hAnsi="Palatino Linotype" w:cs="Palatino Linotype"/>
          <w:i/>
          <w:iCs/>
        </w:rPr>
        <w:t>respondio</w:t>
      </w:r>
      <w:proofErr w:type="spellEnd"/>
      <w:r w:rsidRPr="00773862">
        <w:rPr>
          <w:rFonts w:ascii="Palatino Linotype" w:eastAsia="Palatino Linotype" w:hAnsi="Palatino Linotype" w:cs="Palatino Linotype"/>
          <w:i/>
          <w:iCs/>
        </w:rPr>
        <w:t xml:space="preserve"> lo solicitado “(Sic)</w:t>
      </w:r>
    </w:p>
    <w:p w14:paraId="0642DF7F" w14:textId="77777777" w:rsidR="00770763" w:rsidRPr="00773862" w:rsidRDefault="00770763">
      <w:pPr>
        <w:spacing w:line="360" w:lineRule="auto"/>
        <w:ind w:left="567" w:right="567"/>
        <w:jc w:val="both"/>
        <w:rPr>
          <w:rFonts w:ascii="Palatino Linotype" w:eastAsia="Palatino Linotype" w:hAnsi="Palatino Linotype" w:cs="Palatino Linotype"/>
          <w:i/>
          <w:iCs/>
        </w:rPr>
      </w:pPr>
    </w:p>
    <w:p w14:paraId="4E84C44E" w14:textId="77777777" w:rsidR="00770763" w:rsidRPr="00773862" w:rsidRDefault="00C21923">
      <w:pPr>
        <w:spacing w:line="360" w:lineRule="auto"/>
        <w:ind w:left="567" w:right="567"/>
        <w:jc w:val="both"/>
        <w:rPr>
          <w:rFonts w:ascii="Palatino Linotype" w:eastAsia="Palatino Linotype" w:hAnsi="Palatino Linotype" w:cs="Palatino Linotype"/>
          <w:b/>
          <w:bCs/>
          <w:i/>
          <w:iCs/>
        </w:rPr>
      </w:pPr>
      <w:r w:rsidRPr="00773862">
        <w:rPr>
          <w:rFonts w:ascii="Palatino Linotype" w:eastAsia="Palatino Linotype" w:hAnsi="Palatino Linotype" w:cs="Palatino Linotype"/>
          <w:b/>
          <w:bCs/>
          <w:i/>
          <w:iCs/>
        </w:rPr>
        <w:t>“RAZONES O MOTIVOS DE LA INCONFORMIDAD</w:t>
      </w:r>
    </w:p>
    <w:p w14:paraId="566BD4E1" w14:textId="77777777" w:rsidR="00770763" w:rsidRPr="00773862" w:rsidRDefault="00C21923">
      <w:pPr>
        <w:spacing w:line="360" w:lineRule="auto"/>
        <w:ind w:left="567" w:right="567"/>
        <w:jc w:val="both"/>
        <w:rPr>
          <w:rFonts w:ascii="Palatino Linotype" w:eastAsia="Palatino Linotype" w:hAnsi="Palatino Linotype" w:cs="Palatino Linotype"/>
          <w:i/>
          <w:iCs/>
        </w:rPr>
      </w:pPr>
      <w:r w:rsidRPr="00773862">
        <w:rPr>
          <w:rFonts w:ascii="Palatino Linotype" w:eastAsia="Palatino Linotype" w:hAnsi="Palatino Linotype" w:cs="Palatino Linotype"/>
          <w:i/>
          <w:iCs/>
        </w:rPr>
        <w:t xml:space="preserve">no </w:t>
      </w:r>
      <w:proofErr w:type="spellStart"/>
      <w:proofErr w:type="gramStart"/>
      <w:r w:rsidRPr="00773862">
        <w:rPr>
          <w:rFonts w:ascii="Palatino Linotype" w:eastAsia="Palatino Linotype" w:hAnsi="Palatino Linotype" w:cs="Palatino Linotype"/>
          <w:i/>
          <w:iCs/>
        </w:rPr>
        <w:t>reso¡</w:t>
      </w:r>
      <w:proofErr w:type="gramEnd"/>
      <w:r w:rsidRPr="00773862">
        <w:rPr>
          <w:rFonts w:ascii="Palatino Linotype" w:eastAsia="Palatino Linotype" w:hAnsi="Palatino Linotype" w:cs="Palatino Linotype"/>
          <w:i/>
          <w:iCs/>
        </w:rPr>
        <w:t>pondio</w:t>
      </w:r>
      <w:proofErr w:type="spellEnd"/>
      <w:r w:rsidRPr="00773862">
        <w:rPr>
          <w:rFonts w:ascii="Palatino Linotype" w:eastAsia="Palatino Linotype" w:hAnsi="Palatino Linotype" w:cs="Palatino Linotype"/>
          <w:i/>
          <w:iCs/>
        </w:rPr>
        <w:t xml:space="preserve"> “(Sic)</w:t>
      </w:r>
    </w:p>
    <w:p w14:paraId="01D28ED6" w14:textId="77777777" w:rsidR="00770763" w:rsidRPr="00773862" w:rsidRDefault="00770763">
      <w:pPr>
        <w:widowControl w:val="0"/>
        <w:spacing w:line="360" w:lineRule="auto"/>
        <w:jc w:val="both"/>
        <w:rPr>
          <w:rFonts w:ascii="Palatino Linotype" w:eastAsia="Palatino Linotype" w:hAnsi="Palatino Linotype" w:cs="Palatino Linotype"/>
          <w:color w:val="FF0000"/>
          <w:sz w:val="24"/>
          <w:szCs w:val="24"/>
        </w:rPr>
      </w:pPr>
    </w:p>
    <w:p w14:paraId="05BE6C15" w14:textId="77777777" w:rsidR="00770763" w:rsidRPr="00773862" w:rsidRDefault="00C21923">
      <w:pPr>
        <w:pStyle w:val="Ttulo2"/>
        <w:jc w:val="both"/>
      </w:pPr>
      <w:bookmarkStart w:id="14" w:name="_heading=h.46nrwswr66ko" w:colFirst="0" w:colLast="0"/>
      <w:bookmarkStart w:id="15" w:name="_Toc225433864"/>
      <w:bookmarkEnd w:id="14"/>
      <w:r w:rsidRPr="00773862">
        <w:t>VII. Trámite del Recurso de Revisión número 13046/INFOEM/ICR-115/IP/RR/2025</w:t>
      </w:r>
      <w:bookmarkEnd w:id="15"/>
    </w:p>
    <w:p w14:paraId="754507EB" w14:textId="77777777" w:rsidR="00770763" w:rsidRPr="00773862" w:rsidRDefault="00770763">
      <w:pPr>
        <w:spacing w:line="360" w:lineRule="auto"/>
        <w:jc w:val="both"/>
        <w:rPr>
          <w:rFonts w:ascii="Palatino Linotype" w:eastAsia="Palatino Linotype" w:hAnsi="Palatino Linotype" w:cs="Palatino Linotype"/>
          <w:b/>
          <w:bCs/>
          <w:color w:val="FF0000"/>
          <w:sz w:val="22"/>
          <w:szCs w:val="22"/>
        </w:rPr>
      </w:pPr>
    </w:p>
    <w:p w14:paraId="744DAC3C" w14:textId="77777777" w:rsidR="00770763" w:rsidRPr="00773862" w:rsidRDefault="00C21923">
      <w:pPr>
        <w:tabs>
          <w:tab w:val="center" w:pos="4560"/>
          <w:tab w:val="left" w:pos="8207"/>
        </w:tabs>
        <w:spacing w:line="360" w:lineRule="auto"/>
        <w:jc w:val="both"/>
        <w:rPr>
          <w:rFonts w:ascii="Palatino Linotype" w:eastAsia="Palatino Linotype" w:hAnsi="Palatino Linotype" w:cs="Palatino Linotype"/>
          <w:sz w:val="22"/>
          <w:szCs w:val="22"/>
        </w:rPr>
      </w:pPr>
      <w:bookmarkStart w:id="16" w:name="_heading=h.oacfeznecwnd" w:colFirst="0" w:colLast="0"/>
      <w:bookmarkEnd w:id="16"/>
      <w:r w:rsidRPr="00773862">
        <w:rPr>
          <w:rFonts w:ascii="Palatino Linotype" w:eastAsia="Palatino Linotype" w:hAnsi="Palatino Linotype" w:cs="Palatino Linotype"/>
          <w:b/>
          <w:bCs/>
          <w:sz w:val="22"/>
          <w:szCs w:val="22"/>
        </w:rPr>
        <w:t>a) Turno del Recurso de Revisión.</w:t>
      </w:r>
      <w:r w:rsidRPr="00773862">
        <w:rPr>
          <w:rFonts w:ascii="Palatino Linotype" w:eastAsia="Palatino Linotype" w:hAnsi="Palatino Linotype" w:cs="Palatino Linotype"/>
          <w:sz w:val="22"/>
          <w:szCs w:val="22"/>
        </w:rPr>
        <w:t xml:space="preserve"> El veinte de febrero de dos mil veintiséis, el Sistema de Acceso a la Información Mexiquense (SAIMEX), asignó el número de expediente </w:t>
      </w:r>
      <w:r w:rsidRPr="00773862">
        <w:rPr>
          <w:rFonts w:ascii="Palatino Linotype" w:eastAsia="Palatino Linotype" w:hAnsi="Palatino Linotype" w:cs="Palatino Linotype"/>
          <w:b/>
          <w:bCs/>
          <w:sz w:val="22"/>
          <w:szCs w:val="22"/>
        </w:rPr>
        <w:t>13046/INFOEM/ICR-115/IP/RR/2025</w:t>
      </w:r>
      <w:r w:rsidRPr="00773862">
        <w:rPr>
          <w:rFonts w:ascii="Palatino Linotype" w:eastAsia="Palatino Linotype" w:hAnsi="Palatino Linotype" w:cs="Palatino Linotype"/>
          <w:sz w:val="22"/>
          <w:szCs w:val="22"/>
        </w:rPr>
        <w:t xml:space="preserve">, al Medio de Impugnación que nos ocupa, con base en el sistema aprobado por el Pleno de este Organismo Garante y los turnó al </w:t>
      </w:r>
      <w:r w:rsidRPr="00773862">
        <w:rPr>
          <w:rFonts w:ascii="Palatino Linotype" w:eastAsia="Palatino Linotype" w:hAnsi="Palatino Linotype" w:cs="Palatino Linotype"/>
          <w:b/>
          <w:bCs/>
          <w:sz w:val="22"/>
          <w:szCs w:val="22"/>
        </w:rPr>
        <w:t>Comisionado Ponente Luis Gustavo Parra Noriega</w:t>
      </w:r>
      <w:r w:rsidRPr="00773862">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62D55DAD" w14:textId="77777777" w:rsidR="00770763" w:rsidRPr="00773862" w:rsidRDefault="00770763">
      <w:pPr>
        <w:spacing w:line="360" w:lineRule="auto"/>
        <w:jc w:val="both"/>
        <w:rPr>
          <w:rFonts w:ascii="Palatino Linotype" w:eastAsia="Palatino Linotype" w:hAnsi="Palatino Linotype" w:cs="Palatino Linotype"/>
          <w:color w:val="FF0000"/>
          <w:sz w:val="22"/>
          <w:szCs w:val="22"/>
        </w:rPr>
      </w:pPr>
    </w:p>
    <w:p w14:paraId="2E7794A2"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b/>
          <w:bCs/>
          <w:sz w:val="22"/>
          <w:szCs w:val="22"/>
        </w:rPr>
        <w:t xml:space="preserve">b) Admisión del Recurso de Revisión. </w:t>
      </w:r>
      <w:r w:rsidRPr="00773862">
        <w:rPr>
          <w:rFonts w:ascii="Palatino Linotype" w:eastAsia="Palatino Linotype" w:hAnsi="Palatino Linotype" w:cs="Palatino Linotype"/>
          <w:sz w:val="22"/>
          <w:szCs w:val="22"/>
        </w:rPr>
        <w:t xml:space="preserve">El veinticinco de febrero de dos mil veintiséis, se acordó la admisión del Recurso de Revisión número </w:t>
      </w:r>
      <w:r w:rsidRPr="00773862">
        <w:rPr>
          <w:rFonts w:ascii="Palatino Linotype" w:eastAsia="Palatino Linotype" w:hAnsi="Palatino Linotype" w:cs="Palatino Linotype"/>
          <w:b/>
          <w:bCs/>
          <w:sz w:val="22"/>
          <w:szCs w:val="22"/>
        </w:rPr>
        <w:t>13046/INFOEM/ICR-115/IP/RR/2025</w:t>
      </w:r>
      <w:r w:rsidRPr="00773862">
        <w:rPr>
          <w:rFonts w:ascii="Palatino Linotype" w:eastAsia="Palatino Linotype" w:hAnsi="Palatino Linotype" w:cs="Palatino Linotype"/>
          <w:sz w:val="22"/>
          <w:szCs w:val="22"/>
        </w:rPr>
        <w:t>, 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773862">
        <w:rPr>
          <w:rFonts w:ascii="Palatino Linotype" w:eastAsia="Palatino Linotype" w:hAnsi="Palatino Linotype" w:cs="Palatino Linotype"/>
          <w:b/>
          <w:bCs/>
          <w:sz w:val="22"/>
          <w:szCs w:val="22"/>
        </w:rPr>
        <w:t xml:space="preserve"> </w:t>
      </w:r>
    </w:p>
    <w:p w14:paraId="3C8DDC13" w14:textId="77777777" w:rsidR="00770763" w:rsidRPr="00773862" w:rsidRDefault="00770763">
      <w:pPr>
        <w:spacing w:line="360" w:lineRule="auto"/>
        <w:jc w:val="both"/>
        <w:rPr>
          <w:rFonts w:ascii="Palatino Linotype" w:eastAsia="Palatino Linotype" w:hAnsi="Palatino Linotype" w:cs="Palatino Linotype"/>
          <w:color w:val="FF0000"/>
          <w:sz w:val="22"/>
          <w:szCs w:val="22"/>
        </w:rPr>
      </w:pPr>
    </w:p>
    <w:p w14:paraId="29409AD9"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b/>
          <w:bCs/>
          <w:sz w:val="22"/>
          <w:szCs w:val="22"/>
        </w:rPr>
        <w:t xml:space="preserve">c) Informe Justificado y Manifestaciones. </w:t>
      </w:r>
      <w:r w:rsidRPr="00773862">
        <w:rPr>
          <w:rFonts w:ascii="Palatino Linotype" w:eastAsia="Palatino Linotype" w:hAnsi="Palatino Linotype" w:cs="Palatino Linotype"/>
          <w:sz w:val="22"/>
          <w:szCs w:val="22"/>
        </w:rPr>
        <w:t>Las partes fueron omisas en emitir manifestaciones o alegatos.</w:t>
      </w:r>
    </w:p>
    <w:p w14:paraId="2E81376C" w14:textId="77777777" w:rsidR="00770763" w:rsidRPr="00773862" w:rsidRDefault="00770763">
      <w:pPr>
        <w:spacing w:line="360" w:lineRule="auto"/>
        <w:jc w:val="both"/>
        <w:rPr>
          <w:rFonts w:ascii="Palatino Linotype" w:eastAsia="Palatino Linotype" w:hAnsi="Palatino Linotype" w:cs="Palatino Linotype"/>
          <w:b/>
          <w:bCs/>
          <w:color w:val="FF0000"/>
          <w:sz w:val="22"/>
          <w:szCs w:val="22"/>
        </w:rPr>
      </w:pPr>
    </w:p>
    <w:p w14:paraId="2E37F3BE"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b/>
          <w:bCs/>
          <w:sz w:val="22"/>
          <w:szCs w:val="22"/>
        </w:rPr>
        <w:t>d) Cierre de instrucción.</w:t>
      </w:r>
      <w:r w:rsidRPr="00773862">
        <w:rPr>
          <w:rFonts w:ascii="Palatino Linotype" w:eastAsia="Palatino Linotype" w:hAnsi="Palatino Linotype" w:cs="Palatino Linotype"/>
          <w:sz w:val="22"/>
          <w:szCs w:val="22"/>
        </w:rPr>
        <w:t xml:space="preserve"> El dieciocho de marzo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w:t>
      </w:r>
      <w:r w:rsidRPr="00773862">
        <w:rPr>
          <w:rFonts w:ascii="Palatino Linotype" w:eastAsia="Palatino Linotype" w:hAnsi="Palatino Linotype" w:cs="Palatino Linotype"/>
          <w:sz w:val="22"/>
          <w:szCs w:val="22"/>
        </w:rPr>
        <w:lastRenderedPageBreak/>
        <w:t>Pública del Estado de México y Municipios, mismo que fue notificado el mismo día, a través del Sistema de Acceso a la Información Mexiquense (SAIMEX).</w:t>
      </w:r>
    </w:p>
    <w:p w14:paraId="338E7AC5" w14:textId="77777777" w:rsidR="00770763" w:rsidRPr="00773862" w:rsidRDefault="00770763">
      <w:pPr>
        <w:spacing w:line="360" w:lineRule="auto"/>
        <w:jc w:val="both"/>
        <w:rPr>
          <w:rFonts w:ascii="Palatino Linotype" w:eastAsia="Palatino Linotype" w:hAnsi="Palatino Linotype" w:cs="Palatino Linotype"/>
          <w:b/>
          <w:bCs/>
          <w:sz w:val="18"/>
          <w:szCs w:val="18"/>
        </w:rPr>
      </w:pPr>
    </w:p>
    <w:p w14:paraId="7C089AA0"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120DBC4"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149BE0EC" w14:textId="77777777" w:rsidR="00770763" w:rsidRPr="00773862" w:rsidRDefault="00C21923">
      <w:pPr>
        <w:pStyle w:val="Ttulo1"/>
      </w:pPr>
      <w:bookmarkStart w:id="17" w:name="_heading=h.77zkedte0rwv" w:colFirst="0" w:colLast="0"/>
      <w:bookmarkStart w:id="18" w:name="_Toc225433865"/>
      <w:bookmarkEnd w:id="17"/>
      <w:r w:rsidRPr="00773862">
        <w:t>C O N S I D E R A N D O S</w:t>
      </w:r>
      <w:bookmarkEnd w:id="18"/>
    </w:p>
    <w:p w14:paraId="3B1074CF" w14:textId="77777777" w:rsidR="00770763" w:rsidRPr="00773862" w:rsidRDefault="00770763">
      <w:pPr>
        <w:spacing w:line="360" w:lineRule="auto"/>
        <w:jc w:val="both"/>
        <w:rPr>
          <w:rFonts w:ascii="Palatino Linotype" w:eastAsia="Palatino Linotype" w:hAnsi="Palatino Linotype" w:cs="Palatino Linotype"/>
          <w:b/>
          <w:bCs/>
          <w:sz w:val="22"/>
          <w:szCs w:val="22"/>
        </w:rPr>
      </w:pPr>
    </w:p>
    <w:p w14:paraId="015DF016" w14:textId="77777777" w:rsidR="00770763" w:rsidRPr="00773862" w:rsidRDefault="00C21923">
      <w:pPr>
        <w:pStyle w:val="Ttulo2"/>
      </w:pPr>
      <w:bookmarkStart w:id="19" w:name="_heading=h.5wmi5latvh15" w:colFirst="0" w:colLast="0"/>
      <w:bookmarkStart w:id="20" w:name="_Toc225433866"/>
      <w:bookmarkEnd w:id="19"/>
      <w:r w:rsidRPr="00773862">
        <w:t>PRIMERO. Competencia</w:t>
      </w:r>
      <w:bookmarkEnd w:id="20"/>
    </w:p>
    <w:p w14:paraId="0BD02907" w14:textId="77777777" w:rsidR="00770763" w:rsidRPr="00773862" w:rsidRDefault="00770763">
      <w:pPr>
        <w:spacing w:line="360" w:lineRule="auto"/>
        <w:jc w:val="both"/>
        <w:rPr>
          <w:rFonts w:ascii="Palatino Linotype" w:eastAsia="Palatino Linotype" w:hAnsi="Palatino Linotype" w:cs="Palatino Linotype"/>
          <w:b/>
          <w:bCs/>
          <w:sz w:val="22"/>
          <w:szCs w:val="22"/>
        </w:rPr>
      </w:pPr>
    </w:p>
    <w:p w14:paraId="4BC2AB63" w14:textId="77777777" w:rsidR="00770763" w:rsidRPr="00773862" w:rsidRDefault="00C21923">
      <w:pPr>
        <w:spacing w:line="360" w:lineRule="auto"/>
        <w:jc w:val="both"/>
        <w:rPr>
          <w:rFonts w:ascii="Palatino Linotype" w:eastAsia="Palatino Linotype" w:hAnsi="Palatino Linotype" w:cs="Palatino Linotype"/>
          <w:b/>
          <w:bCs/>
          <w:sz w:val="22"/>
          <w:szCs w:val="22"/>
        </w:rPr>
      </w:pPr>
      <w:r w:rsidRPr="00773862">
        <w:rPr>
          <w:rFonts w:ascii="Palatino Linotype" w:eastAsia="Palatino Linotype" w:hAnsi="Palatino Linotype" w:cs="Palatino Linotype"/>
          <w:color w:val="000000"/>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635E300"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C5233B1" w14:textId="77777777" w:rsidR="00770763" w:rsidRPr="00773862" w:rsidRDefault="00C21923">
      <w:pPr>
        <w:pStyle w:val="Ttulo2"/>
      </w:pPr>
      <w:bookmarkStart w:id="21" w:name="_heading=h.b59jho5c5c50" w:colFirst="0" w:colLast="0"/>
      <w:bookmarkStart w:id="22" w:name="_Toc225433867"/>
      <w:bookmarkEnd w:id="21"/>
      <w:r w:rsidRPr="00773862">
        <w:t>SEGUNDO. Causales de improcedencia y Sobreseimiento</w:t>
      </w:r>
      <w:bookmarkEnd w:id="22"/>
    </w:p>
    <w:p w14:paraId="5895EC15"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A8ED938"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r w:rsidRPr="00773862">
        <w:rPr>
          <w:rFonts w:ascii="Palatino Linotype" w:eastAsia="Palatino Linotype" w:hAnsi="Palatino Linotype" w:cs="Palatino Linotype"/>
          <w:i/>
          <w:iCs/>
          <w:sz w:val="22"/>
          <w:szCs w:val="22"/>
        </w:rPr>
        <w:t>litis</w:t>
      </w:r>
      <w:r w:rsidRPr="00773862">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252FE8ED"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3A078CB0" w14:textId="77777777" w:rsidR="00770763" w:rsidRPr="00773862" w:rsidRDefault="00C21923">
      <w:pPr>
        <w:spacing w:line="360" w:lineRule="auto"/>
        <w:jc w:val="both"/>
        <w:rPr>
          <w:rFonts w:ascii="Palatino Linotype" w:eastAsia="Palatino Linotype" w:hAnsi="Palatino Linotype" w:cs="Palatino Linotype"/>
          <w:b/>
          <w:bCs/>
          <w:sz w:val="22"/>
          <w:szCs w:val="22"/>
        </w:rPr>
      </w:pPr>
      <w:r w:rsidRPr="00773862">
        <w:rPr>
          <w:rFonts w:ascii="Palatino Linotype" w:eastAsia="Palatino Linotype" w:hAnsi="Palatino Linotype" w:cs="Palatino Linotype"/>
          <w:b/>
          <w:bCs/>
          <w:sz w:val="22"/>
          <w:szCs w:val="22"/>
        </w:rPr>
        <w:t>Causales de improcedencia</w:t>
      </w:r>
    </w:p>
    <w:p w14:paraId="4EAD0571"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5EB6A128"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F5164F5"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109AD449"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ECEC0B9"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7CC448A1"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Ahora bien, el último párrafo, de dicho artículo, establece que procede un Medio de Impugnación, en contra de las respuestas otorgadas por los sujetos obligados, en cumplimiento a una resolución de otro diverso, en el cual, la controversia recaiga, en la falta de respuesta a una solicitud de información.</w:t>
      </w:r>
    </w:p>
    <w:p w14:paraId="11233703"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F021E92"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En ese orden de ideas, cabe referir que en el expediente con número de folio 13046/INFOEM/IP/RR/2025, se dictó Resolución, en la cual se determinó como causal de procedencia, la fracción VII, del artículo 179 de la Ley de Transparencia y Acceso a la Información Pública del Estado de México y Municipios, es decir, de la falta de respuesta; además, se concluyó ORDENAR al Ayuntamiento de Tepotzotlán, a emitir respuesta a la solicitud de información con número 00477/TEPOTZOT/IP/2025, materia del presente Recurso de Revisión.</w:t>
      </w:r>
    </w:p>
    <w:p w14:paraId="5F5B8E85"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56776918"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Ahora bien, mediante el Sistema de Acceso a la Información Mexiquense (SAIMEX), el Sujeto Obligado emitió respuesta al requerimiento de información previamente referido, en cumplimiento a la Resolución del Recurso de Revisión con número 13046/INFOEM/IP/RR/2025, en donde solicita al área competente de conocer lo solicitado de respuesta inmediatamente. </w:t>
      </w:r>
    </w:p>
    <w:p w14:paraId="3E07A352"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46116651"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Así, el ahora Recurrente se inconformó de dicha respuesta, al agraviarse de la entrega de información que no corresponde con lo solicitado, por lo cual, se concluye que se actualiza el último párrafo del artículo 179 de la Ley de Transparencia y Acceso a la Información Pública del Estado de México y Municipios, toda vez que la controversia en el Recurso de Revisión 13046/INFOEM/IP/RR/2025, se fijó en la falta de respuesta al requerimiento informativo. Así, ante la contestación que recayó, derivada de dicha determinación, procede el presente Medio de Impugnación.</w:t>
      </w:r>
    </w:p>
    <w:p w14:paraId="248F0FFD"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1F65193B"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Además, en el caso concreto, resulta aplicable el supuesto previsto en la fracción VI, de dicho artículo, dado que el Particular, se inconformó de la entrega de información que no </w:t>
      </w:r>
      <w:r w:rsidRPr="00773862">
        <w:rPr>
          <w:rFonts w:ascii="Palatino Linotype" w:eastAsia="Palatino Linotype" w:hAnsi="Palatino Linotype" w:cs="Palatino Linotype"/>
          <w:sz w:val="22"/>
          <w:szCs w:val="22"/>
        </w:rPr>
        <w:lastRenderedPageBreak/>
        <w:t>corresponde con lo solicitado; por lo que resulta procedente el presente Medio de Impugnación.</w:t>
      </w:r>
    </w:p>
    <w:p w14:paraId="0485A861"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169950B5" w14:textId="77777777" w:rsidR="00770763" w:rsidRPr="00773862" w:rsidRDefault="00C21923">
      <w:pPr>
        <w:spacing w:line="360" w:lineRule="auto"/>
        <w:jc w:val="both"/>
        <w:rPr>
          <w:rFonts w:ascii="Palatino Linotype" w:eastAsia="Palatino Linotype" w:hAnsi="Palatino Linotype" w:cs="Palatino Linotype"/>
          <w:b/>
          <w:bCs/>
          <w:color w:val="0D0D0D"/>
          <w:sz w:val="22"/>
          <w:szCs w:val="22"/>
        </w:rPr>
      </w:pPr>
      <w:r w:rsidRPr="00773862">
        <w:rPr>
          <w:rFonts w:ascii="Palatino Linotype" w:eastAsia="Palatino Linotype" w:hAnsi="Palatino Linotype" w:cs="Palatino Linotype"/>
          <w:b/>
          <w:bCs/>
          <w:color w:val="0D0D0D"/>
          <w:sz w:val="22"/>
          <w:szCs w:val="22"/>
        </w:rPr>
        <w:t>Causales de sobreseimiento</w:t>
      </w:r>
    </w:p>
    <w:p w14:paraId="12B9DD77" w14:textId="77777777" w:rsidR="00770763" w:rsidRPr="00773862" w:rsidRDefault="00770763">
      <w:pPr>
        <w:spacing w:line="360" w:lineRule="auto"/>
        <w:jc w:val="both"/>
        <w:rPr>
          <w:rFonts w:ascii="Palatino Linotype" w:eastAsia="Palatino Linotype" w:hAnsi="Palatino Linotype" w:cs="Palatino Linotype"/>
          <w:color w:val="0D0D0D"/>
          <w:sz w:val="22"/>
          <w:szCs w:val="22"/>
        </w:rPr>
      </w:pPr>
    </w:p>
    <w:p w14:paraId="7F71CA0F" w14:textId="77777777" w:rsidR="00770763" w:rsidRPr="00773862" w:rsidRDefault="00C21923">
      <w:pPr>
        <w:spacing w:line="360" w:lineRule="auto"/>
        <w:jc w:val="both"/>
        <w:rPr>
          <w:rFonts w:ascii="Palatino Linotype" w:eastAsia="Palatino Linotype" w:hAnsi="Palatino Linotype" w:cs="Palatino Linotype"/>
          <w:color w:val="0D0D0D"/>
          <w:sz w:val="22"/>
          <w:szCs w:val="22"/>
        </w:rPr>
      </w:pPr>
      <w:r w:rsidRPr="00773862">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4B61AB9E" w14:textId="77777777" w:rsidR="00770763" w:rsidRPr="00773862" w:rsidRDefault="00770763">
      <w:pPr>
        <w:spacing w:line="360" w:lineRule="auto"/>
        <w:jc w:val="both"/>
        <w:rPr>
          <w:rFonts w:ascii="Palatino Linotype" w:eastAsia="Palatino Linotype" w:hAnsi="Palatino Linotype" w:cs="Palatino Linotype"/>
          <w:color w:val="0D0D0D"/>
          <w:sz w:val="22"/>
          <w:szCs w:val="22"/>
        </w:rPr>
      </w:pPr>
    </w:p>
    <w:p w14:paraId="7D01A423"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302C774"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5CAA86FA" w14:textId="77777777" w:rsidR="00770763" w:rsidRPr="00773862" w:rsidRDefault="00C21923">
      <w:pPr>
        <w:spacing w:line="360" w:lineRule="auto"/>
        <w:jc w:val="both"/>
        <w:rPr>
          <w:rFonts w:ascii="Palatino Linotype" w:eastAsia="Palatino Linotype" w:hAnsi="Palatino Linotype" w:cs="Palatino Linotype"/>
          <w:color w:val="0D0D0D"/>
          <w:sz w:val="22"/>
          <w:szCs w:val="22"/>
        </w:rPr>
      </w:pPr>
      <w:r w:rsidRPr="00773862">
        <w:rPr>
          <w:rFonts w:ascii="Palatino Linotype" w:eastAsia="Palatino Linotype" w:hAnsi="Palatino Linotype" w:cs="Palatino Linotype"/>
          <w:color w:val="0D0D0D"/>
          <w:sz w:val="22"/>
          <w:szCs w:val="22"/>
        </w:rPr>
        <w:t xml:space="preserve">Por tales motivos, se considera procedente entrar al fondo del presente asunto. </w:t>
      </w:r>
    </w:p>
    <w:p w14:paraId="15091CDC" w14:textId="77777777" w:rsidR="00770763" w:rsidRPr="00773862" w:rsidRDefault="00770763">
      <w:pPr>
        <w:spacing w:line="360" w:lineRule="auto"/>
        <w:jc w:val="both"/>
        <w:rPr>
          <w:rFonts w:ascii="Palatino Linotype" w:eastAsia="Palatino Linotype" w:hAnsi="Palatino Linotype" w:cs="Palatino Linotype"/>
          <w:color w:val="0D0D0D"/>
          <w:sz w:val="22"/>
          <w:szCs w:val="22"/>
        </w:rPr>
      </w:pPr>
    </w:p>
    <w:p w14:paraId="19A4D6F3" w14:textId="77777777" w:rsidR="00770763" w:rsidRPr="00773862" w:rsidRDefault="00C21923">
      <w:pPr>
        <w:pStyle w:val="Ttulo2"/>
      </w:pPr>
      <w:bookmarkStart w:id="23" w:name="_heading=h.rq1zokp95v6c" w:colFirst="0" w:colLast="0"/>
      <w:bookmarkStart w:id="24" w:name="_Toc225433868"/>
      <w:bookmarkEnd w:id="23"/>
      <w:r w:rsidRPr="00773862">
        <w:t>TERCERO. Determinación de la Controversia</w:t>
      </w:r>
      <w:bookmarkEnd w:id="24"/>
    </w:p>
    <w:p w14:paraId="63D6F680"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48BB7E9E" w14:textId="77777777" w:rsidR="00770763" w:rsidRPr="00773862" w:rsidRDefault="00C21923">
      <w:pPr>
        <w:tabs>
          <w:tab w:val="left" w:pos="4962"/>
        </w:tabs>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conocer un informe detallado, preciso y transparente sobre los funcionarios y servidores públicos que hayan trabajado o trabajen en la administración municipal de Tepotzotlán y que hayan recibido sanciones administrativas graves.</w:t>
      </w:r>
    </w:p>
    <w:p w14:paraId="5BF53F60" w14:textId="77777777" w:rsidR="00770763" w:rsidRPr="00773862" w:rsidRDefault="00770763">
      <w:pPr>
        <w:tabs>
          <w:tab w:val="left" w:pos="4962"/>
        </w:tabs>
        <w:spacing w:line="360" w:lineRule="auto"/>
        <w:jc w:val="both"/>
        <w:rPr>
          <w:rFonts w:ascii="Palatino Linotype" w:eastAsia="Palatino Linotype" w:hAnsi="Palatino Linotype" w:cs="Palatino Linotype"/>
          <w:color w:val="000000"/>
          <w:sz w:val="22"/>
          <w:szCs w:val="22"/>
        </w:rPr>
      </w:pPr>
    </w:p>
    <w:p w14:paraId="6A8D26C1" w14:textId="77777777" w:rsidR="00770763" w:rsidRPr="00773862" w:rsidRDefault="00C21923">
      <w:pPr>
        <w:spacing w:line="360" w:lineRule="auto"/>
        <w:ind w:right="-28"/>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lastRenderedPageBreak/>
        <w:t xml:space="preserve">Ante la falta de respuesta del Ente Recurrido, el Particular, justamente se inconformó porque no le dieron contestación a su requerimiento de información, lo cual se actualiza el supuesto previsto en el artículo 179, fracción VII, de la Ley de Transparencia y Acceso a la Información Pública del Estado de México y Municipios. Así las cosas, una vez admitido y notificado el Recurso de Revisión a las partes, fueron omisos en emitir manifestaciones o alegatos. </w:t>
      </w:r>
    </w:p>
    <w:p w14:paraId="4414B4FF" w14:textId="77777777" w:rsidR="00770763" w:rsidRPr="00773862" w:rsidRDefault="00770763">
      <w:pPr>
        <w:tabs>
          <w:tab w:val="left" w:pos="4962"/>
        </w:tabs>
        <w:spacing w:line="360" w:lineRule="auto"/>
        <w:jc w:val="both"/>
        <w:rPr>
          <w:rFonts w:ascii="Palatino Linotype" w:eastAsia="Palatino Linotype" w:hAnsi="Palatino Linotype" w:cs="Palatino Linotype"/>
          <w:color w:val="000000"/>
          <w:sz w:val="22"/>
          <w:szCs w:val="22"/>
        </w:rPr>
      </w:pPr>
    </w:p>
    <w:p w14:paraId="69707047" w14:textId="77777777" w:rsidR="00770763" w:rsidRPr="00773862" w:rsidRDefault="00C21923">
      <w:pPr>
        <w:tabs>
          <w:tab w:val="left" w:pos="4962"/>
        </w:tabs>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Mediante la Resolución del Recurso de Revisión 13046/INFOEM/IP/RR/2025, el Pleno de este Instituto, determinó como </w:t>
      </w:r>
      <w:r w:rsidRPr="00773862">
        <w:rPr>
          <w:rFonts w:ascii="Palatino Linotype" w:eastAsia="Palatino Linotype" w:hAnsi="Palatino Linotype" w:cs="Palatino Linotype"/>
          <w:b/>
          <w:bCs/>
          <w:color w:val="000000"/>
          <w:sz w:val="22"/>
          <w:szCs w:val="22"/>
        </w:rPr>
        <w:t>FUNDADO</w:t>
      </w:r>
      <w:r w:rsidRPr="00773862">
        <w:rPr>
          <w:rFonts w:ascii="Palatino Linotype" w:eastAsia="Palatino Linotype" w:hAnsi="Palatino Linotype" w:cs="Palatino Linotype"/>
          <w:color w:val="000000"/>
          <w:sz w:val="22"/>
          <w:szCs w:val="22"/>
        </w:rPr>
        <w:t xml:space="preserve"> el agravio del Particular y se estableció procedente </w:t>
      </w:r>
      <w:r w:rsidRPr="00773862">
        <w:rPr>
          <w:rFonts w:ascii="Palatino Linotype" w:eastAsia="Palatino Linotype" w:hAnsi="Palatino Linotype" w:cs="Palatino Linotype"/>
          <w:b/>
          <w:bCs/>
          <w:color w:val="000000"/>
          <w:sz w:val="22"/>
          <w:szCs w:val="22"/>
        </w:rPr>
        <w:t>ORDENAR</w:t>
      </w:r>
      <w:r w:rsidRPr="00773862">
        <w:rPr>
          <w:rFonts w:ascii="Palatino Linotype" w:eastAsia="Palatino Linotype" w:hAnsi="Palatino Linotype" w:cs="Palatino Linotype"/>
          <w:color w:val="000000"/>
          <w:sz w:val="22"/>
          <w:szCs w:val="22"/>
        </w:rPr>
        <w:t xml:space="preserve"> al Ayuntamiento de Tepotzotlán, a efecto de que diera respuesta a la solicitud de información.</w:t>
      </w:r>
    </w:p>
    <w:p w14:paraId="1990453D" w14:textId="77777777" w:rsidR="00770763" w:rsidRPr="00773862" w:rsidRDefault="00770763">
      <w:pPr>
        <w:tabs>
          <w:tab w:val="left" w:pos="4962"/>
        </w:tabs>
        <w:spacing w:line="360" w:lineRule="auto"/>
        <w:jc w:val="both"/>
        <w:rPr>
          <w:rFonts w:ascii="Palatino Linotype" w:eastAsia="Palatino Linotype" w:hAnsi="Palatino Linotype" w:cs="Palatino Linotype"/>
          <w:color w:val="000000"/>
          <w:sz w:val="22"/>
          <w:szCs w:val="22"/>
        </w:rPr>
      </w:pPr>
    </w:p>
    <w:p w14:paraId="4EBCE8C9" w14:textId="77777777" w:rsidR="00770763" w:rsidRPr="00773862" w:rsidRDefault="00C21923">
      <w:pPr>
        <w:tabs>
          <w:tab w:val="left" w:pos="4962"/>
        </w:tabs>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En cumplimiento a la determinación previamente señalada, el Sujeto Obligado a través del Secretario del Ayuntamiento mencionó que la Presidencia Municipal no genera expedientes relacionados a sanciones administrativas de cualquier índole, además de protegerse la información en los casos de seguimiento a responsabilidades administrativas conforme a lo señalado en el artículo 140 del ordenamiento normativo citado; ante dicha circunstancia el particular se inconformó de la entrega de información que no corresponde con lo solicitado, lo cual se actualiza el supuesto previsto en el artículo 179, fracción VI, de la Ley de Transparencia y Acceso a la Información Pública del Estado de México y Municipios. Así las cosas, una vez admitido y notificado el Recurso de Revisión a las partes, fueron omisas en emitir manifestaciones o alegatos.</w:t>
      </w:r>
    </w:p>
    <w:p w14:paraId="403B46A1" w14:textId="77777777" w:rsidR="00770763" w:rsidRPr="00773862" w:rsidRDefault="00770763">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3D115FA3" w14:textId="77777777" w:rsidR="00770763" w:rsidRPr="00773862" w:rsidRDefault="00C21923">
      <w:pPr>
        <w:tabs>
          <w:tab w:val="left" w:pos="4962"/>
        </w:tabs>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el escrito </w:t>
      </w:r>
      <w:proofErr w:type="spellStart"/>
      <w:r w:rsidRPr="00773862">
        <w:rPr>
          <w:rFonts w:ascii="Palatino Linotype" w:eastAsia="Palatino Linotype" w:hAnsi="Palatino Linotype" w:cs="Palatino Linotype"/>
          <w:sz w:val="22"/>
          <w:szCs w:val="22"/>
        </w:rPr>
        <w:t>recursal</w:t>
      </w:r>
      <w:proofErr w:type="spellEnd"/>
      <w:r w:rsidRPr="00773862">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w:t>
      </w:r>
      <w:r w:rsidRPr="00773862">
        <w:rPr>
          <w:rFonts w:ascii="Palatino Linotype" w:eastAsia="Palatino Linotype" w:hAnsi="Palatino Linotype" w:cs="Palatino Linotype"/>
          <w:sz w:val="22"/>
          <w:szCs w:val="22"/>
        </w:rPr>
        <w:lastRenderedPageBreak/>
        <w:t>fracción IV, de la Ley de Transparencia y Acceso a la Información Pública del Estado de México y Municipios.</w:t>
      </w:r>
    </w:p>
    <w:p w14:paraId="5E8EBF30" w14:textId="77777777" w:rsidR="00770763" w:rsidRPr="00773862" w:rsidRDefault="00770763">
      <w:pPr>
        <w:tabs>
          <w:tab w:val="left" w:pos="4962"/>
        </w:tabs>
        <w:spacing w:line="360" w:lineRule="auto"/>
        <w:jc w:val="both"/>
        <w:rPr>
          <w:rFonts w:ascii="Palatino Linotype" w:eastAsia="Palatino Linotype" w:hAnsi="Palatino Linotype" w:cs="Palatino Linotype"/>
          <w:sz w:val="22"/>
          <w:szCs w:val="22"/>
        </w:rPr>
      </w:pPr>
    </w:p>
    <w:p w14:paraId="25497F83" w14:textId="77777777" w:rsidR="00770763" w:rsidRPr="00773862" w:rsidRDefault="00C21923">
      <w:pPr>
        <w:pStyle w:val="Ttulo2"/>
        <w:jc w:val="both"/>
      </w:pPr>
      <w:bookmarkStart w:id="25" w:name="_heading=h.xmcmimfezyzq" w:colFirst="0" w:colLast="0"/>
      <w:bookmarkStart w:id="26" w:name="_Toc225433869"/>
      <w:bookmarkEnd w:id="25"/>
      <w:r w:rsidRPr="00773862">
        <w:t>CUARTO. Marco normativo aplicable en materia de transparencia y acceso a la información pública</w:t>
      </w:r>
      <w:bookmarkEnd w:id="26"/>
    </w:p>
    <w:p w14:paraId="0FAD8DB9"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1022B07A"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DD8E9A0"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25876689"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6754D37"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6D2020B4"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04937E8C"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296A7CBB"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753FCA6D"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2B45B627"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C69C811"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712CFC1B"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D08008"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ACCA639" w14:textId="77777777" w:rsidR="00770763" w:rsidRPr="00773862" w:rsidRDefault="00C21923">
      <w:pPr>
        <w:pStyle w:val="Ttulo2"/>
      </w:pPr>
      <w:bookmarkStart w:id="27" w:name="_heading=h.j9zqlutvocci" w:colFirst="0" w:colLast="0"/>
      <w:bookmarkStart w:id="28" w:name="_Toc225433870"/>
      <w:bookmarkEnd w:id="27"/>
      <w:r w:rsidRPr="00773862">
        <w:t>QUINTO. Estudio de Fondo</w:t>
      </w:r>
      <w:bookmarkEnd w:id="28"/>
    </w:p>
    <w:p w14:paraId="6811A116" w14:textId="77777777" w:rsidR="00770763" w:rsidRPr="00773862" w:rsidRDefault="00770763"/>
    <w:p w14:paraId="075DB4AB"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Expuestas las posturas de las partes, se procede al análisis de los agravios hechos valer por la persona Recurrente, por lo que, en principio es necesario contextualizar la solicitud de información.</w:t>
      </w:r>
    </w:p>
    <w:p w14:paraId="30E8B846"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6AF21916"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Al respecto, el artículo 3, fracciones XII y XIII y 52, de la Ley de Responsabilidades Administrativas del Estado de México y Municipios, establece que, las faltas administrativas son graves y no graves, así como las faltas cometidas por particulares conforme a lo dispuesto en la presente Ley, asimismo, las faltas administrativas graves son las cometidas por los servidores públicos catalogadas como graves, </w:t>
      </w:r>
      <w:r w:rsidRPr="00773862">
        <w:rPr>
          <w:rFonts w:ascii="Palatino Linotype" w:eastAsia="Palatino Linotype" w:hAnsi="Palatino Linotype" w:cs="Palatino Linotype"/>
          <w:b/>
          <w:bCs/>
          <w:sz w:val="22"/>
          <w:szCs w:val="22"/>
        </w:rPr>
        <w:t>cuya imposición de sanciones le corresponde al Tribunal de Justicia Administrativa del Estado de México</w:t>
      </w:r>
      <w:r w:rsidRPr="00773862">
        <w:rPr>
          <w:rFonts w:ascii="Palatino Linotype" w:eastAsia="Palatino Linotype" w:hAnsi="Palatino Linotype" w:cs="Palatino Linotype"/>
          <w:sz w:val="22"/>
          <w:szCs w:val="22"/>
        </w:rPr>
        <w:t>, y son las siguientes:</w:t>
      </w:r>
    </w:p>
    <w:p w14:paraId="64B96204"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36F22B90"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cohecho. </w:t>
      </w:r>
    </w:p>
    <w:p w14:paraId="037E13AD"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peculado. </w:t>
      </w:r>
    </w:p>
    <w:p w14:paraId="16C57797"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El desvío de recursos públicos.</w:t>
      </w:r>
    </w:p>
    <w:p w14:paraId="3089A7FC"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La utilización indebida de información. </w:t>
      </w:r>
    </w:p>
    <w:p w14:paraId="2BFE3701"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abuso de funciones. </w:t>
      </w:r>
    </w:p>
    <w:p w14:paraId="5290EDA4"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Cometer o tolerar conductas de hostigamiento y acoso sexual. </w:t>
      </w:r>
    </w:p>
    <w:p w14:paraId="1CF982F9"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El actuar bajo conflicto de interés.</w:t>
      </w:r>
    </w:p>
    <w:p w14:paraId="2B224E7E"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lastRenderedPageBreak/>
        <w:t xml:space="preserve">La contratación indebida. </w:t>
      </w:r>
    </w:p>
    <w:p w14:paraId="5E2A0EEA"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El enriquecimiento oculto u ocultamiento de conflicto de interés.</w:t>
      </w:r>
    </w:p>
    <w:p w14:paraId="0E8B0A5E"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tráfico de influencias. </w:t>
      </w:r>
    </w:p>
    <w:p w14:paraId="07196615"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encubrimiento. </w:t>
      </w:r>
    </w:p>
    <w:p w14:paraId="746DF45D"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desacato. </w:t>
      </w:r>
    </w:p>
    <w:p w14:paraId="39449197"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La obstrucción de la Justicia. </w:t>
      </w:r>
    </w:p>
    <w:p w14:paraId="169226CC" w14:textId="77777777" w:rsidR="00770763" w:rsidRPr="00773862" w:rsidRDefault="00C2192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La Injerencia Sindical.</w:t>
      </w:r>
    </w:p>
    <w:p w14:paraId="7FE72AE2"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62652AF1"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En ese sentido, el artículo 14, del ordenamiento mencionado, precisa que, cuando las autoridades investigadoras determinen que de los actos u omisiones investigados se desprende que el servidor público incurrió en la comisión de faltas administrativas graves, se deberá substanciar el procedimiento para que el Tribunal de Justicia Administrativa sea quien imponga la sanción que corresponda a dicha falta administrativa grave.</w:t>
      </w:r>
    </w:p>
    <w:p w14:paraId="5E2D4FB8"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B581C77"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Asimismo, el artículo 193, de la Ley mencionada, establece que, las sentencias definitivas deberán contener lo siguiente: </w:t>
      </w:r>
    </w:p>
    <w:p w14:paraId="4E48B3CE"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5626D6FA"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Lugar, fecha y autoridad resolutora correspondiente. </w:t>
      </w:r>
    </w:p>
    <w:p w14:paraId="2B12194D"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La motivación y fundamentación que la sustentan, incluyendo la competencia de la autoridad resolutora. </w:t>
      </w:r>
    </w:p>
    <w:p w14:paraId="706168B3"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Los antecedentes del asunto. </w:t>
      </w:r>
    </w:p>
    <w:p w14:paraId="63FA910A"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La fijación clara y precisa de los hechos controvertidos por las partes. </w:t>
      </w:r>
    </w:p>
    <w:p w14:paraId="1E9B09C5"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La valoración de cada una de las pruebas admitidas y desahogadas. </w:t>
      </w:r>
    </w:p>
    <w:p w14:paraId="3CD29BF0"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análisis lógico jurídico en que se sustente la emisión de la resolución. </w:t>
      </w:r>
    </w:p>
    <w:p w14:paraId="76B52A10" w14:textId="77777777" w:rsidR="00770763" w:rsidRPr="00773862" w:rsidRDefault="00C2192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En el caso de que se hayan ocasionado daños y perjuicios a la Hacienda Pública Estatal o Municipal o al patrimonio de los entes públicos, se deberá señalar la existencia de la </w:t>
      </w:r>
      <w:r w:rsidRPr="00773862">
        <w:rPr>
          <w:rFonts w:ascii="Palatino Linotype" w:eastAsia="Palatino Linotype" w:hAnsi="Palatino Linotype" w:cs="Palatino Linotype"/>
          <w:color w:val="000000"/>
          <w:sz w:val="22"/>
          <w:szCs w:val="22"/>
        </w:rPr>
        <w:lastRenderedPageBreak/>
        <w:t xml:space="preserve">relación de causalidad entre la conducta calificada como falta administrativa grave o falta de particulares y la lesión producida, la valoración del daño o perjuicio causado, así como la determinación del monto de la indemnización, explicitando los criterios utilizados para su cuantificación. </w:t>
      </w:r>
    </w:p>
    <w:p w14:paraId="1F1BACE3"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El pronunciamiento sobre la existencia o inexistencia de los hechos que la presente Ley establece como falta administrativa grave o falta de particulares y de ser el caso, la acreditación plena de la responsabilidad del servidor público o particular vinculado con dichas faltas. </w:t>
      </w:r>
    </w:p>
    <w:p w14:paraId="03C44AB9" w14:textId="77777777" w:rsidR="00770763" w:rsidRPr="00773862" w:rsidRDefault="00C2192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Cuando derivado del conocimiento del asunto, la autoridad resolutora advierta la probable comisión de faltas administrativas imputables a otra u otras personas podrá ordenar en su fallo, el inicio de la investigación correspondiente. </w:t>
      </w:r>
    </w:p>
    <w:p w14:paraId="1C734EE9"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La sanción a imponer al servidor público o particular que haya sido declarado responsable. </w:t>
      </w:r>
    </w:p>
    <w:p w14:paraId="0EA700DD"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La determinación de existencia o inexistencia de la comisión de las faltas administrativas. </w:t>
      </w:r>
    </w:p>
    <w:p w14:paraId="37D8C4F3" w14:textId="77777777" w:rsidR="00770763" w:rsidRPr="00773862" w:rsidRDefault="00C2192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Los puntos resolutivos, que deberán precisar la forma en que deberá cumplirse la resolución.</w:t>
      </w:r>
    </w:p>
    <w:p w14:paraId="12086DA1"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68627AAC"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Ahora bien, el artículo 38, del Bando Municipal de Tepotzotlán, dos mil veinticinco, en relación con el Manual de Organización de la Contraloría Interna Municipal, precisan que, la Contraloría Interna Municipal a través de la Unidad Administrativa de Investigación y Substanciación, se encargaran de lo siguiente:</w:t>
      </w:r>
    </w:p>
    <w:p w14:paraId="250919BD"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692D27CC" w14:textId="77777777" w:rsidR="00770763" w:rsidRPr="00773862" w:rsidRDefault="00C2192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Emitir el Informe de Presunta Responsabilidad Administrativa (IPRA) que contenga la calificación de la falta administrativa grave o no grave, dirigido a la Unidad </w:t>
      </w:r>
      <w:r w:rsidRPr="00773862">
        <w:rPr>
          <w:rFonts w:ascii="Palatino Linotype" w:eastAsia="Palatino Linotype" w:hAnsi="Palatino Linotype" w:cs="Palatino Linotype"/>
          <w:color w:val="000000"/>
          <w:sz w:val="22"/>
          <w:szCs w:val="22"/>
        </w:rPr>
        <w:lastRenderedPageBreak/>
        <w:t>Administrativa de Substanciación a efecto de iniciar el procedimiento de responsabilidad administrativo correspondiente.</w:t>
      </w:r>
    </w:p>
    <w:p w14:paraId="045CA989" w14:textId="77777777" w:rsidR="00770763" w:rsidRPr="00773862" w:rsidRDefault="00C2192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Substanciar y dirigir el procedimiento de presunta responsabilidad tratándose de faltas graves hasta el cierre de la audiencia inicial y remitir los autos originales del expediente al Tribunal de Justicia Administrativa del Estado de México para su resolución correspondiente.  </w:t>
      </w:r>
    </w:p>
    <w:p w14:paraId="71E099E0" w14:textId="77777777" w:rsidR="00770763" w:rsidRPr="00773862" w:rsidRDefault="00C2192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Ejecutar el control y registro de los asuntos de su competencia.  </w:t>
      </w:r>
    </w:p>
    <w:p w14:paraId="507C0D8D" w14:textId="77777777" w:rsidR="00770763" w:rsidRPr="00773862" w:rsidRDefault="00C2192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Alimentar el Sistema Integral de Responsabilidades (SIR). De las resoluciones que hayan causado ejecutoria.</w:t>
      </w:r>
    </w:p>
    <w:p w14:paraId="4220B8B5" w14:textId="77777777" w:rsidR="00770763" w:rsidRPr="00773862" w:rsidRDefault="00770763">
      <w:pPr>
        <w:spacing w:line="360" w:lineRule="auto"/>
        <w:jc w:val="both"/>
        <w:rPr>
          <w:rFonts w:ascii="Palatino Linotype" w:eastAsia="Palatino Linotype" w:hAnsi="Palatino Linotype" w:cs="Palatino Linotype"/>
        </w:rPr>
      </w:pPr>
    </w:p>
    <w:p w14:paraId="7C5AD376"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Finalmente, cabe precisar que el Particular no señaló el periodo del cual solicitó la información por lo que se estará a lo establecido en el Criterio de Interpretación, con clave de control SO/003/2019, de la Segunda Época, emitido por el Instituto Nacional de Transparencia, Acceso a la Información y Protección de Datos Personales, donde menciona que,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36F62A8" w14:textId="77777777" w:rsidR="00770763" w:rsidRPr="00773862" w:rsidRDefault="00770763">
      <w:pPr>
        <w:spacing w:line="360" w:lineRule="auto"/>
        <w:jc w:val="both"/>
        <w:rPr>
          <w:rFonts w:ascii="Palatino Linotype" w:eastAsia="Palatino Linotype" w:hAnsi="Palatino Linotype" w:cs="Palatino Linotype"/>
        </w:rPr>
      </w:pPr>
    </w:p>
    <w:p w14:paraId="2328AC90"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Así, se logra vislumbrar que la pretensión de la persona Recurrente es obtener, un informe detallado, preciso y transparente (en su caso, las resoluciones), por parte de la Presidente Municipal, de los servidores públicos por faltas administrativas graves, del veintinueve de agosto de dos mil veinticuatro al veintinueve de agosto de dos mil veinticinco, que contenga lo siguiente:</w:t>
      </w:r>
    </w:p>
    <w:p w14:paraId="6A70C882" w14:textId="77777777" w:rsidR="00770763" w:rsidRPr="00773862" w:rsidRDefault="00770763">
      <w:pPr>
        <w:spacing w:line="360" w:lineRule="auto"/>
        <w:jc w:val="both"/>
      </w:pPr>
    </w:p>
    <w:p w14:paraId="03C905E9" w14:textId="77777777" w:rsidR="00770763" w:rsidRPr="00773862" w:rsidRDefault="00C219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Nombre completo del funcionario sancionado;</w:t>
      </w:r>
    </w:p>
    <w:p w14:paraId="51F47796" w14:textId="77777777" w:rsidR="00770763" w:rsidRPr="00773862" w:rsidRDefault="00C219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lastRenderedPageBreak/>
        <w:t>Cargo que desempeñaba al momento de la sanción;</w:t>
      </w:r>
    </w:p>
    <w:p w14:paraId="2A9C9B52" w14:textId="77777777" w:rsidR="00770763" w:rsidRPr="00773862" w:rsidRDefault="00C219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Tipo de sanción administrativa impuesta (amonestación, destitución, inhabilitación, multa, etc.):</w:t>
      </w:r>
    </w:p>
    <w:p w14:paraId="54FF6CDC" w14:textId="77777777" w:rsidR="00770763" w:rsidRPr="00773862" w:rsidRDefault="00C219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Motivo o causa de la sanción, explicando los hechos que derivaron en la misma;</w:t>
      </w:r>
    </w:p>
    <w:p w14:paraId="6600061E" w14:textId="77777777" w:rsidR="00770763" w:rsidRPr="00773862" w:rsidRDefault="00C219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Fecha de la imposición de la sanción y, en su caso, el tiempo de vigencia de la misma;</w:t>
      </w:r>
    </w:p>
    <w:p w14:paraId="29F790B4" w14:textId="77777777" w:rsidR="00770763" w:rsidRPr="00773862" w:rsidRDefault="00C219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Órgano o autoridad que determinó la sanción, y</w:t>
      </w:r>
    </w:p>
    <w:p w14:paraId="19772122" w14:textId="77777777" w:rsidR="00770763" w:rsidRPr="00773862" w:rsidRDefault="00C219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Medidas tomadas para garantizar que la sanción se cumpla y que no se repitan actos irregulares similares.</w:t>
      </w:r>
    </w:p>
    <w:p w14:paraId="0A3EE3BB"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29B33043"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Cabe precisar que, si bien el Particular requirió que diera respuesta la Presidenta Municipal, en materia de transparencia la faculta de pronunciarse de la información es el área competente, así que de conformidad con el artículo 162 de la Ley de Transparencia y Acceso a la Información Pública del Estado de México y Municipios, el área competente de conocer de la información solicitada, en este caso, es la Contraloría Interna Municipal del Ayuntamiento de Tepotzotlán.</w:t>
      </w:r>
    </w:p>
    <w:p w14:paraId="5A4F3E13"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2D0D4089"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Establecida dicha circunstancia, de las constancias que obran en el expediente electrónico, se advierte que el Sujeto Obligado dio respuesta a través de la Secretaria del Ayuntamiento;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071953E"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507764AF"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Así y de lo plasmado en párrafos anteriores, se logra colegir que el Sujeto Obligado no cumplió con el procedimiento de búsqueda establecido en el artículo 162 de la Ley de Transparencia y Acceso a la Información Pública del Estado de México y Municipios, toda vez que no turno la solicitud de información al área competente de tener la información solicitada, a saber, la Contraloría Interna Municipal.</w:t>
      </w:r>
    </w:p>
    <w:p w14:paraId="0F5E5C7A"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320E7210"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En respuesta, el Secretario del Ayuntamiento mencionó que la Presidencia Municipal no genera expedientes relacionados a sanciones administrativas de cualquier índole, además deberá protegerse la información en los casos de seguimiento a responsabilidades administrativas conforme a lo señalado en el artículo 140 del ordenamiento normativo citado; </w:t>
      </w:r>
      <w:r w:rsidRPr="00773862">
        <w:rPr>
          <w:rFonts w:ascii="Palatino Linotype" w:eastAsia="Palatino Linotype" w:hAnsi="Palatino Linotype" w:cs="Palatino Linotype"/>
          <w:color w:val="000000"/>
          <w:sz w:val="22"/>
          <w:szCs w:val="22"/>
        </w:rPr>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6F3A9D10"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36A85311"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72878E83"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573218A"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Así, es posible concluir que la inexistencia presupone la competencia del sujeto obligado para conocer de la información, pero por alguna circunstancia, la documentación solicitada no obra en sus archivos; sin embargo, para poder acreditar dicha circunstancia, se considera que los </w:t>
      </w:r>
      <w:r w:rsidRPr="00773862">
        <w:rPr>
          <w:rFonts w:ascii="Palatino Linotype" w:eastAsia="Palatino Linotype" w:hAnsi="Palatino Linotype" w:cs="Palatino Linotype"/>
          <w:color w:val="000000"/>
          <w:sz w:val="22"/>
          <w:szCs w:val="22"/>
        </w:rPr>
        <w:lastRenderedPageBreak/>
        <w:t>Sujetos Obligados, primero deben realizar una indagación en todos los archivos de las áreas con funciones para conocer de lo peticionado.</w:t>
      </w:r>
    </w:p>
    <w:p w14:paraId="3CDA7EFA"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546207A"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hasta agotar por completo las posibilidades de indagación.</w:t>
      </w:r>
    </w:p>
    <w:p w14:paraId="0E58B221"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7BB64C3D"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Además, según Calero, Natalia (2016), en la “Ley General de Transparencia y Acceso a la Información Pública Comentada” (p. 408), para que exista una búsqueda exhaustiva y razonable, se debe hacer una indagación consiente y minuciosa en sus archivos físicos y electrónicos. </w:t>
      </w:r>
    </w:p>
    <w:p w14:paraId="1B97BF77"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7990316"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4182814"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1DC64CE0"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En ese contexto, de conformidad con los criterios orientadores con clave de control SO/012/2010 y SO/004/2019, emitidos por el entonces Instituto Nacional de Transparencia, Acceso a la Información y Protección de Datos Personales, traídos por analogía, vigentes a la fecha de la solicitud, se colige que los sujetos obligados para acreditar que se realizó una búsqueda exhaustiva y razonable, deben de proporcionar los elementos suficientes del carácter exhaustivo de la indagación realizada, a saber, los siguientes:</w:t>
      </w:r>
    </w:p>
    <w:p w14:paraId="5B7FFD66"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8290B98" w14:textId="77777777" w:rsidR="00770763" w:rsidRPr="00773862" w:rsidRDefault="00C21923">
      <w:pPr>
        <w:numPr>
          <w:ilvl w:val="0"/>
          <w:numId w:val="6"/>
        </w:num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lastRenderedPageBreak/>
        <w:t>Motivación por las que se buscó la información, en determinadas unidades administrativas;</w:t>
      </w:r>
    </w:p>
    <w:p w14:paraId="39AEA262" w14:textId="77777777" w:rsidR="00770763" w:rsidRPr="00773862" w:rsidRDefault="00C21923">
      <w:pPr>
        <w:numPr>
          <w:ilvl w:val="0"/>
          <w:numId w:val="6"/>
        </w:num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Los criterios de búsqueda utilizados, y</w:t>
      </w:r>
    </w:p>
    <w:p w14:paraId="7B984D1C" w14:textId="77777777" w:rsidR="00770763" w:rsidRPr="00773862" w:rsidRDefault="00C21923">
      <w:pPr>
        <w:numPr>
          <w:ilvl w:val="0"/>
          <w:numId w:val="6"/>
        </w:num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Las circunstancias que fueron tomadas en cuenta.</w:t>
      </w:r>
    </w:p>
    <w:p w14:paraId="1CD31E44"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6A3CCA2D"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De tales circunstancias, se considera que para que los Sujetos Obligado justifiquen que realizaron una búsqueda exhaustiva y razonable, deben indicar de manera clara, lo siguiente:</w:t>
      </w:r>
    </w:p>
    <w:p w14:paraId="39251862"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F2540FD" w14:textId="77777777" w:rsidR="00770763" w:rsidRPr="00773862" w:rsidRDefault="00C21923">
      <w:pPr>
        <w:numPr>
          <w:ilvl w:val="0"/>
          <w:numId w:val="7"/>
        </w:num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Las áreas donde se buscó la información;</w:t>
      </w:r>
    </w:p>
    <w:p w14:paraId="333B1E80" w14:textId="77777777" w:rsidR="00770763" w:rsidRPr="00773862" w:rsidRDefault="00C21923">
      <w:pPr>
        <w:numPr>
          <w:ilvl w:val="0"/>
          <w:numId w:val="7"/>
        </w:num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Tipo de archivos buscados (físicos o electrónicos);</w:t>
      </w:r>
    </w:p>
    <w:p w14:paraId="7E0DE040" w14:textId="77777777" w:rsidR="00770763" w:rsidRPr="00773862" w:rsidRDefault="00C21923">
      <w:pPr>
        <w:numPr>
          <w:ilvl w:val="0"/>
          <w:numId w:val="7"/>
        </w:num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Los criterios de búsqueda utilizados, y </w:t>
      </w:r>
    </w:p>
    <w:p w14:paraId="7560E996" w14:textId="77777777" w:rsidR="00770763" w:rsidRPr="00773862" w:rsidRDefault="00C21923">
      <w:pPr>
        <w:numPr>
          <w:ilvl w:val="0"/>
          <w:numId w:val="7"/>
        </w:num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Las circunstancias que fueron tomadas en cuenta.</w:t>
      </w:r>
    </w:p>
    <w:p w14:paraId="21EE26E4"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4856B4FF"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Conforme a lo anterior, se logra vislumbrar que, el Sujeto Obligado no acreditó que haya realizado una búsqueda exhaustiva y razonable en sus archivos, ya que no turno la solicitud al área competente de tener la información, a saber, la Contraloría Interna Municipal encargada de substanciar y dirigir el procedimiento de presunta responsabilidad tratándose de faltas graves hasta el cierre de la audiencia inicial y remitir los autos originales del expediente al Tribunal de Justicia Administrativa del Estado de México para su resolución correspondiente.</w:t>
      </w:r>
    </w:p>
    <w:p w14:paraId="416A6F02"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B31676F"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Además, de conformidad con el artículo 19, fracción V, de la Ley de Responsabilidades administrativas del Estado de México y Municipios, la resolución, deberá notificarse personalmente al servidor público y al jefe inmediato o al titular de la dependencia, municipio u organismo auxiliar, para los efectos de su ejecución, en un término que no exceda de diez días hábiles, por lo que, el Sujeto Obligado si bien no se encarga de imponer  sanciones por la </w:t>
      </w:r>
      <w:r w:rsidRPr="00773862">
        <w:rPr>
          <w:rFonts w:ascii="Palatino Linotype" w:eastAsia="Palatino Linotype" w:hAnsi="Palatino Linotype" w:cs="Palatino Linotype"/>
          <w:color w:val="000000"/>
          <w:sz w:val="22"/>
          <w:szCs w:val="22"/>
        </w:rPr>
        <w:lastRenderedPageBreak/>
        <w:t>comisión de faltas administrativas graves, se le notificara la resolución para los efectos de su ejecución.</w:t>
      </w:r>
    </w:p>
    <w:p w14:paraId="2159E0A6"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100BF32F"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 Por ende no acredito la búsqueda exhaustiva en sus archivos, los criterios de búsqueda utilizados y las circunstancias que fueron tomadas en cuenta para localizar la información, lo cual da como resultado que el agravio sea </w:t>
      </w:r>
      <w:r w:rsidRPr="00773862">
        <w:rPr>
          <w:rFonts w:ascii="Palatino Linotype" w:eastAsia="Palatino Linotype" w:hAnsi="Palatino Linotype" w:cs="Palatino Linotype"/>
          <w:b/>
          <w:bCs/>
          <w:color w:val="000000"/>
          <w:sz w:val="22"/>
          <w:szCs w:val="22"/>
        </w:rPr>
        <w:t>FUNDADO</w:t>
      </w:r>
      <w:r w:rsidRPr="00773862">
        <w:rPr>
          <w:rFonts w:ascii="Palatino Linotype" w:eastAsia="Palatino Linotype" w:hAnsi="Palatino Linotype" w:cs="Palatino Linotype"/>
          <w:color w:val="000000"/>
          <w:sz w:val="22"/>
          <w:szCs w:val="22"/>
        </w:rPr>
        <w:t>.</w:t>
      </w:r>
    </w:p>
    <w:p w14:paraId="357D125D"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1A364DC8" w14:textId="1F7DAF3C"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sz w:val="22"/>
          <w:szCs w:val="22"/>
        </w:rPr>
        <w:t>Por tal circunstancia, p</w:t>
      </w:r>
      <w:r w:rsidRPr="00773862">
        <w:rPr>
          <w:rFonts w:ascii="Palatino Linotype" w:eastAsia="Palatino Linotype" w:hAnsi="Palatino Linotype" w:cs="Palatino Linotype"/>
          <w:color w:val="000000"/>
          <w:sz w:val="22"/>
          <w:szCs w:val="22"/>
        </w:rPr>
        <w:t xml:space="preserve">ara atender el requerimiento de la información, el Sujeto Obligado deberá realizar una búsqueda exhaustiva y razonable, en los archivos de la Contraloría Interna Municipal, a efecto de que proporcione, </w:t>
      </w:r>
      <w:r w:rsidR="006258FB" w:rsidRPr="00773862">
        <w:rPr>
          <w:rFonts w:ascii="Palatino Linotype" w:eastAsia="Palatino Linotype" w:hAnsi="Palatino Linotype" w:cs="Palatino Linotype"/>
          <w:color w:val="000000"/>
          <w:sz w:val="22"/>
          <w:szCs w:val="22"/>
        </w:rPr>
        <w:t xml:space="preserve">respecto a </w:t>
      </w:r>
      <w:r w:rsidRPr="00773862">
        <w:rPr>
          <w:rFonts w:ascii="Palatino Linotype" w:eastAsia="Palatino Linotype" w:hAnsi="Palatino Linotype" w:cs="Palatino Linotype"/>
          <w:color w:val="000000"/>
          <w:sz w:val="22"/>
          <w:szCs w:val="22"/>
        </w:rPr>
        <w:t xml:space="preserve">los servidores públicos </w:t>
      </w:r>
      <w:r w:rsidR="006258FB" w:rsidRPr="00773862">
        <w:rPr>
          <w:rFonts w:ascii="Palatino Linotype" w:eastAsia="Palatino Linotype" w:hAnsi="Palatino Linotype" w:cs="Palatino Linotype"/>
          <w:color w:val="000000"/>
          <w:sz w:val="22"/>
          <w:szCs w:val="22"/>
        </w:rPr>
        <w:t xml:space="preserve">sancionados </w:t>
      </w:r>
      <w:r w:rsidRPr="00773862">
        <w:rPr>
          <w:rFonts w:ascii="Palatino Linotype" w:eastAsia="Palatino Linotype" w:hAnsi="Palatino Linotype" w:cs="Palatino Linotype"/>
          <w:color w:val="000000"/>
          <w:sz w:val="22"/>
          <w:szCs w:val="22"/>
        </w:rPr>
        <w:t xml:space="preserve">por faltas administrativas graves, del veintinueve de agosto de dos mil veinticuatro al veintinueve de agosto de dos mil veinticinco, </w:t>
      </w:r>
      <w:r w:rsidR="006258FB" w:rsidRPr="00773862">
        <w:rPr>
          <w:rFonts w:ascii="Palatino Linotype" w:eastAsia="Palatino Linotype" w:hAnsi="Palatino Linotype" w:cs="Palatino Linotype"/>
          <w:color w:val="000000"/>
          <w:sz w:val="22"/>
          <w:szCs w:val="22"/>
        </w:rPr>
        <w:t>los documentos donde conste lo siguiente</w:t>
      </w:r>
      <w:r w:rsidRPr="00773862">
        <w:rPr>
          <w:rFonts w:ascii="Palatino Linotype" w:eastAsia="Palatino Linotype" w:hAnsi="Palatino Linotype" w:cs="Palatino Linotype"/>
          <w:color w:val="000000"/>
          <w:sz w:val="22"/>
          <w:szCs w:val="22"/>
        </w:rPr>
        <w:t>:</w:t>
      </w:r>
    </w:p>
    <w:p w14:paraId="3052BCE3"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71251206" w14:textId="77777777" w:rsidR="00770763" w:rsidRPr="00773862" w:rsidRDefault="00C21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Nombre completo del funcionario sancionado;</w:t>
      </w:r>
    </w:p>
    <w:p w14:paraId="36316DE9" w14:textId="77777777" w:rsidR="00770763" w:rsidRPr="00773862" w:rsidRDefault="00C21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Cargo que desempeñaba al momento de la sanción;</w:t>
      </w:r>
    </w:p>
    <w:p w14:paraId="215255B1" w14:textId="77777777" w:rsidR="00770763" w:rsidRPr="00773862" w:rsidRDefault="00C21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Tipo de sanción administrativa impuesta (amonestación, destitución, inhabilitación, multa, etc.):</w:t>
      </w:r>
    </w:p>
    <w:p w14:paraId="6EAE3D2B" w14:textId="77777777" w:rsidR="00770763" w:rsidRPr="00773862" w:rsidRDefault="00C21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Motivo o causa de la sanción, explicando los hechos que derivaron en la misma;</w:t>
      </w:r>
    </w:p>
    <w:p w14:paraId="2D6D7A9B" w14:textId="77777777" w:rsidR="00770763" w:rsidRPr="00773862" w:rsidRDefault="00C21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Fecha de la imposición de la sanción y, en su caso, el tiempo de vigencia de la misma;</w:t>
      </w:r>
    </w:p>
    <w:p w14:paraId="5C055A02" w14:textId="77777777" w:rsidR="00770763" w:rsidRPr="00773862" w:rsidRDefault="00C21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Órgano o autoridad que determinó la sanción, y</w:t>
      </w:r>
    </w:p>
    <w:p w14:paraId="545AE66D" w14:textId="77777777" w:rsidR="00770763" w:rsidRPr="00773862" w:rsidRDefault="00C21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Medidas tomadas para garantizar que la sanción se cumpla y que no se repitan actos irregulares similares.</w:t>
      </w:r>
    </w:p>
    <w:p w14:paraId="3E46CC6C" w14:textId="77777777" w:rsidR="00770763" w:rsidRPr="00773862" w:rsidRDefault="0077076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3D1D297F" w14:textId="77777777" w:rsidR="00770763" w:rsidRPr="00773862" w:rsidRDefault="00C21923">
      <w:pPr>
        <w:spacing w:line="360" w:lineRule="auto"/>
        <w:ind w:right="-93"/>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w:t>
      </w:r>
      <w:r w:rsidRPr="00773862">
        <w:rPr>
          <w:rFonts w:ascii="Palatino Linotype" w:eastAsia="Palatino Linotype" w:hAnsi="Palatino Linotype" w:cs="Palatino Linotype"/>
          <w:sz w:val="22"/>
          <w:szCs w:val="22"/>
        </w:rPr>
        <w:lastRenderedPageBreak/>
        <w:t>estado en que esta se encuentre; por lo que, la entrega no comprende el procesamiento de la misma, ni presentarla conforme al interés del Solicitante, además, que tampoco deberá generarla, resumirla, efectuar cálculos o practicar investigaciones.</w:t>
      </w:r>
    </w:p>
    <w:p w14:paraId="22CDB3F2" w14:textId="77777777" w:rsidR="00770763" w:rsidRPr="00773862" w:rsidRDefault="00770763">
      <w:pPr>
        <w:widowControl w:val="0"/>
        <w:spacing w:line="360" w:lineRule="auto"/>
        <w:jc w:val="both"/>
        <w:rPr>
          <w:rFonts w:ascii="Palatino Linotype" w:eastAsia="Palatino Linotype" w:hAnsi="Palatino Linotype" w:cs="Palatino Linotype"/>
          <w:sz w:val="22"/>
          <w:szCs w:val="22"/>
        </w:rPr>
      </w:pPr>
    </w:p>
    <w:p w14:paraId="487D1757" w14:textId="77777777" w:rsidR="00770763" w:rsidRPr="00773862" w:rsidRDefault="00C21923">
      <w:pPr>
        <w:widowControl w:val="0"/>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773862">
        <w:rPr>
          <w:rFonts w:ascii="Palatino Linotype" w:eastAsia="Palatino Linotype" w:hAnsi="Palatino Linotype" w:cs="Palatino Linotype"/>
          <w:i/>
          <w:iCs/>
          <w:sz w:val="22"/>
          <w:szCs w:val="22"/>
        </w:rPr>
        <w:t>ad hoc</w:t>
      </w:r>
      <w:r w:rsidRPr="00773862">
        <w:rPr>
          <w:rFonts w:ascii="Palatino Linotype" w:eastAsia="Palatino Linotype" w:hAnsi="Palatino Linotype" w:cs="Palatino Linotype"/>
          <w:sz w:val="22"/>
          <w:szCs w:val="22"/>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01F548F0" w14:textId="77777777" w:rsidR="00770763" w:rsidRPr="00773862" w:rsidRDefault="00770763">
      <w:pPr>
        <w:widowControl w:val="0"/>
        <w:spacing w:line="360" w:lineRule="auto"/>
        <w:jc w:val="both"/>
        <w:rPr>
          <w:rFonts w:ascii="Palatino Linotype" w:eastAsia="Palatino Linotype" w:hAnsi="Palatino Linotype" w:cs="Palatino Linotype"/>
          <w:sz w:val="22"/>
          <w:szCs w:val="22"/>
        </w:rPr>
      </w:pPr>
    </w:p>
    <w:p w14:paraId="39FBDAFB" w14:textId="72B45C9B"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w:t>
      </w:r>
      <w:r w:rsidR="006258FB" w:rsidRPr="00773862">
        <w:rPr>
          <w:rFonts w:ascii="Palatino Linotype" w:eastAsia="Palatino Linotype" w:hAnsi="Palatino Linotype" w:cs="Palatino Linotype"/>
          <w:sz w:val="22"/>
          <w:szCs w:val="22"/>
        </w:rPr>
        <w:t>, que de manera enunciativa, mas no limitativa, este Instituto advierte que la mayoría de la información peticionada, obra en las resoluciones emitidas.</w:t>
      </w:r>
    </w:p>
    <w:p w14:paraId="0E0CA715"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16727738"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Ahora bien, cabe precisar que se trata de sanciones por faltas administrativas graves, por lo que es procedente analizar si se trata de información pública o privada.</w:t>
      </w:r>
    </w:p>
    <w:p w14:paraId="405467BA"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11C0FE2" w14:textId="77777777" w:rsidR="00770763" w:rsidRPr="00773862" w:rsidRDefault="00C21923">
      <w:pPr>
        <w:spacing w:line="360" w:lineRule="auto"/>
        <w:jc w:val="both"/>
        <w:rPr>
          <w:rFonts w:ascii="Palatino Linotype" w:eastAsia="Palatino Linotype" w:hAnsi="Palatino Linotype" w:cs="Palatino Linotype"/>
          <w:b/>
          <w:bCs/>
          <w:color w:val="000000"/>
          <w:sz w:val="22"/>
          <w:szCs w:val="22"/>
        </w:rPr>
      </w:pPr>
      <w:r w:rsidRPr="00773862">
        <w:rPr>
          <w:rFonts w:ascii="Palatino Linotype" w:eastAsia="Palatino Linotype" w:hAnsi="Palatino Linotype" w:cs="Palatino Linotype"/>
          <w:b/>
          <w:bCs/>
          <w:color w:val="000000"/>
          <w:sz w:val="22"/>
          <w:szCs w:val="22"/>
        </w:rPr>
        <w:t>Procedimientos de responsabilidades administrativas, por faltas graves.</w:t>
      </w:r>
    </w:p>
    <w:p w14:paraId="2C9A0541"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BC85247" w14:textId="77777777" w:rsidR="00770763" w:rsidRPr="00773862" w:rsidRDefault="00C21923">
      <w:pPr>
        <w:spacing w:line="360" w:lineRule="auto"/>
        <w:jc w:val="both"/>
        <w:rPr>
          <w:rFonts w:ascii="Palatino Linotype" w:eastAsia="Palatino Linotype" w:hAnsi="Palatino Linotype" w:cs="Palatino Linotype"/>
          <w:b/>
          <w:bCs/>
          <w:color w:val="000000"/>
          <w:sz w:val="22"/>
          <w:szCs w:val="22"/>
        </w:rPr>
      </w:pPr>
      <w:r w:rsidRPr="00773862">
        <w:rPr>
          <w:rFonts w:ascii="Palatino Linotype" w:eastAsia="Palatino Linotype" w:hAnsi="Palatino Linotype" w:cs="Palatino Linotype"/>
          <w:color w:val="000000"/>
          <w:sz w:val="22"/>
          <w:szCs w:val="22"/>
        </w:rPr>
        <w:t xml:space="preserve">Al respecto, cabe señalar que, si bien entregar el nombre del servidor público que obtuvo una sanción administrativa, podría generar una percepción negativa de éste, ocasionando un </w:t>
      </w:r>
      <w:r w:rsidRPr="00773862">
        <w:rPr>
          <w:rFonts w:ascii="Palatino Linotype" w:eastAsia="Palatino Linotype" w:hAnsi="Palatino Linotype" w:cs="Palatino Linotype"/>
          <w:color w:val="000000"/>
          <w:sz w:val="22"/>
          <w:szCs w:val="22"/>
        </w:rPr>
        <w:lastRenderedPageBreak/>
        <w:t xml:space="preserve">perjuicio en su </w:t>
      </w:r>
      <w:r w:rsidRPr="00773862">
        <w:rPr>
          <w:rFonts w:ascii="Palatino Linotype" w:eastAsia="Palatino Linotype" w:hAnsi="Palatino Linotype" w:cs="Palatino Linotype"/>
          <w:b/>
          <w:bCs/>
          <w:color w:val="000000"/>
          <w:sz w:val="22"/>
          <w:szCs w:val="22"/>
        </w:rPr>
        <w:t xml:space="preserve">honor, intimidad, buena imagen y nombre, así como a su vida privada, </w:t>
      </w:r>
      <w:r w:rsidRPr="00773862">
        <w:rPr>
          <w:rFonts w:ascii="Palatino Linotype" w:eastAsia="Palatino Linotype" w:hAnsi="Palatino Linotype" w:cs="Palatino Linotype"/>
          <w:color w:val="000000"/>
          <w:sz w:val="22"/>
          <w:szCs w:val="22"/>
        </w:rPr>
        <w:t xml:space="preserve">también lo es, que en el presente caso se trata de </w:t>
      </w:r>
      <w:r w:rsidRPr="00773862">
        <w:rPr>
          <w:rFonts w:ascii="Palatino Linotype" w:eastAsia="Palatino Linotype" w:hAnsi="Palatino Linotype" w:cs="Palatino Linotype"/>
          <w:b/>
          <w:bCs/>
          <w:color w:val="000000"/>
          <w:sz w:val="22"/>
          <w:szCs w:val="22"/>
        </w:rPr>
        <w:t>faltas graves.</w:t>
      </w:r>
    </w:p>
    <w:p w14:paraId="3F092D98"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E270076"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Al respecto, en términos del artículo 52 y 82 de la Ley de Responsabilidades Administrativas del Estado de México y Municipios, establece que son faltas administrativas graves, cuando un servidor público cometa cohecho, peculado, desvío de recursos públicos, abuso de funciones, realizar hostigamiento y acoso sexual, enriquecimiento oculto, tráfico de influencias, entre otros, los cuales recaer en diversas sanciones, entre las que se encuentran la destitución o en su caso, la sanción económica.</w:t>
      </w:r>
    </w:p>
    <w:p w14:paraId="1949A81B"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39C2C33D"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cohecho, peculado y enriquecimiento ilícito.</w:t>
      </w:r>
    </w:p>
    <w:p w14:paraId="7FC8D42C"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6809418"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Conforme a lo anterior, se logra vislumbrar que las faltas administrativas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1DBE3D27"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63CD23E"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En ese orden de ideas, si bien los expedientes de procedimientos de responsabilidades administrativas por faltas graves, en caso de existir, podrían generar una percepción negativa de éste, ocasionando un perjuicio en su honor, intimidad y buena imagen de un trabajador gubernamental, también lo es que existe un interés público en darlas a conocer, pues establecen que el actuar de un servidor público, en ejercicio de sus atribuciones, fue en contra </w:t>
      </w:r>
      <w:r w:rsidRPr="00773862">
        <w:rPr>
          <w:rFonts w:ascii="Palatino Linotype" w:eastAsia="Palatino Linotype" w:hAnsi="Palatino Linotype" w:cs="Palatino Linotype"/>
          <w:color w:val="000000"/>
          <w:sz w:val="22"/>
          <w:szCs w:val="22"/>
        </w:rPr>
        <w:lastRenderedPageBreak/>
        <w:t>de las disposiciones normativas aplicables y que causaron un perjuicio a otras personas o al erario público.</w:t>
      </w:r>
    </w:p>
    <w:p w14:paraId="065A5C89"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539C963C" w14:textId="77777777" w:rsidR="00770763" w:rsidRPr="00773862" w:rsidRDefault="00C21923">
      <w:pPr>
        <w:spacing w:line="360" w:lineRule="auto"/>
        <w:ind w:right="-93"/>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Ante tales circunstancias, se desprende que, en el caso concreto, sobreviene una </w:t>
      </w:r>
      <w:r w:rsidRPr="00773862">
        <w:rPr>
          <w:rFonts w:ascii="Palatino Linotype" w:eastAsia="Palatino Linotype" w:hAnsi="Palatino Linotype" w:cs="Palatino Linotype"/>
          <w:b/>
          <w:bCs/>
          <w:color w:val="000000"/>
          <w:sz w:val="22"/>
          <w:szCs w:val="22"/>
        </w:rPr>
        <w:t>colisión de derechos fundamentales,</w:t>
      </w:r>
      <w:r w:rsidRPr="00773862">
        <w:rPr>
          <w:rFonts w:ascii="Palatino Linotype" w:eastAsia="Palatino Linotype" w:hAnsi="Palatino Linotype" w:cs="Palatino Linotype"/>
          <w:color w:val="000000"/>
          <w:sz w:val="22"/>
          <w:szCs w:val="22"/>
        </w:rPr>
        <w:t xml:space="preserve"> esto es, por una parte, se tiene el derecho de acceso a la información del Particular para conocer la información en análisis, y por la otra, el derecho a la protección de la vida privada de un servidor público, lo cual implica dar a conocer que este estuvo en un procedimiento de responsabilidad administrativa por falta grave.</w:t>
      </w:r>
    </w:p>
    <w:p w14:paraId="393C6AEB" w14:textId="77777777" w:rsidR="00770763" w:rsidRPr="00773862" w:rsidRDefault="00770763">
      <w:pPr>
        <w:spacing w:line="360" w:lineRule="auto"/>
        <w:ind w:left="720" w:right="-93"/>
        <w:jc w:val="both"/>
        <w:rPr>
          <w:rFonts w:ascii="Palatino Linotype" w:eastAsia="Palatino Linotype" w:hAnsi="Palatino Linotype" w:cs="Palatino Linotype"/>
          <w:color w:val="000000"/>
          <w:sz w:val="22"/>
          <w:szCs w:val="22"/>
        </w:rPr>
      </w:pPr>
    </w:p>
    <w:p w14:paraId="5DDE7B28" w14:textId="77777777" w:rsidR="00770763" w:rsidRPr="00773862" w:rsidRDefault="00C21923">
      <w:pPr>
        <w:spacing w:line="360" w:lineRule="auto"/>
        <w:ind w:right="-93"/>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3B2799CE" w14:textId="77777777" w:rsidR="00770763" w:rsidRPr="00773862" w:rsidRDefault="00770763">
      <w:pPr>
        <w:spacing w:line="360" w:lineRule="auto"/>
        <w:ind w:right="-93"/>
        <w:jc w:val="both"/>
        <w:rPr>
          <w:rFonts w:ascii="Palatino Linotype" w:eastAsia="Palatino Linotype" w:hAnsi="Palatino Linotype" w:cs="Palatino Linotype"/>
          <w:color w:val="000000"/>
          <w:sz w:val="22"/>
          <w:szCs w:val="22"/>
        </w:rPr>
      </w:pPr>
    </w:p>
    <w:p w14:paraId="7944395E" w14:textId="77777777" w:rsidR="00770763" w:rsidRPr="00773862" w:rsidRDefault="00C21923">
      <w:pPr>
        <w:spacing w:line="360" w:lineRule="auto"/>
        <w:ind w:right="-93"/>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Por cuanto hace a la colisión entre el derecho a la información y el derecho a la intimidad o a la vida privada, el Poder Judicial de la Federación ha sostenido la </w:t>
      </w:r>
      <w:r w:rsidRPr="00773862">
        <w:rPr>
          <w:rFonts w:ascii="Palatino Linotype" w:eastAsia="Palatino Linotype" w:hAnsi="Palatino Linotype" w:cs="Palatino Linotype"/>
          <w:b/>
          <w:bCs/>
          <w:color w:val="000000"/>
          <w:sz w:val="22"/>
          <w:szCs w:val="22"/>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773862">
        <w:rPr>
          <w:rFonts w:ascii="Palatino Linotype" w:eastAsia="Palatino Linotype" w:hAnsi="Palatino Linotype" w:cs="Palatino Linotype"/>
          <w:color w:val="000000"/>
          <w:sz w:val="22"/>
          <w:szCs w:val="22"/>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4959BA91" w14:textId="77777777" w:rsidR="00770763" w:rsidRPr="00773862" w:rsidRDefault="00770763">
      <w:pPr>
        <w:spacing w:line="360" w:lineRule="auto"/>
        <w:rPr>
          <w:rFonts w:ascii="Palatino Linotype" w:eastAsia="Palatino Linotype" w:hAnsi="Palatino Linotype" w:cs="Palatino Linotype"/>
          <w:color w:val="000000"/>
          <w:sz w:val="22"/>
          <w:szCs w:val="22"/>
        </w:rPr>
      </w:pPr>
    </w:p>
    <w:p w14:paraId="12572A6A"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En ese mismo sentido y atendiendo a la naturaleza del derecho a la protección de datos personales, por analogía, este debe ceder cuando exista un interés público mayor de acuerdo </w:t>
      </w:r>
      <w:r w:rsidRPr="00773862">
        <w:rPr>
          <w:rFonts w:ascii="Palatino Linotype" w:eastAsia="Palatino Linotype" w:hAnsi="Palatino Linotype" w:cs="Palatino Linotype"/>
          <w:color w:val="000000"/>
          <w:sz w:val="22"/>
          <w:szCs w:val="22"/>
        </w:rPr>
        <w:lastRenderedPageBreak/>
        <w:t xml:space="preserve">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3502E0E7" w14:textId="77777777" w:rsidR="00770763" w:rsidRPr="00773862" w:rsidRDefault="00770763">
      <w:pPr>
        <w:spacing w:line="360" w:lineRule="auto"/>
        <w:ind w:right="49"/>
        <w:jc w:val="both"/>
        <w:rPr>
          <w:rFonts w:ascii="Palatino Linotype" w:eastAsia="Palatino Linotype" w:hAnsi="Palatino Linotype" w:cs="Palatino Linotype"/>
          <w:color w:val="000000"/>
          <w:sz w:val="22"/>
          <w:szCs w:val="22"/>
        </w:rPr>
      </w:pPr>
    </w:p>
    <w:p w14:paraId="4A7AC0D4" w14:textId="77777777" w:rsidR="00770763" w:rsidRPr="00773862" w:rsidRDefault="00C21923">
      <w:pPr>
        <w:numPr>
          <w:ilvl w:val="0"/>
          <w:numId w:val="2"/>
        </w:numPr>
        <w:spacing w:line="360" w:lineRule="auto"/>
        <w:ind w:left="426" w:right="49" w:hanging="426"/>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Idoneidad:</w:t>
      </w:r>
      <w:r w:rsidRPr="00773862">
        <w:rPr>
          <w:rFonts w:ascii="Palatino Linotype" w:eastAsia="Palatino Linotype" w:hAnsi="Palatino Linotype" w:cs="Palatino Linotype"/>
          <w:color w:val="000000"/>
          <w:sz w:val="22"/>
          <w:szCs w:val="22"/>
        </w:rPr>
        <w:t xml:space="preserve"> La legitimidad del derecho adoptado como preferente, que sea el adecuado para el logro de un fin constitucionalmente válido o apto para conseguir el fin pretendido;</w:t>
      </w:r>
    </w:p>
    <w:p w14:paraId="624466B8" w14:textId="77777777" w:rsidR="00770763" w:rsidRPr="00773862" w:rsidRDefault="00770763">
      <w:pPr>
        <w:spacing w:line="360" w:lineRule="auto"/>
        <w:ind w:left="426" w:right="49"/>
        <w:jc w:val="both"/>
        <w:rPr>
          <w:rFonts w:ascii="Palatino Linotype" w:eastAsia="Palatino Linotype" w:hAnsi="Palatino Linotype" w:cs="Palatino Linotype"/>
          <w:color w:val="000000"/>
          <w:sz w:val="22"/>
          <w:szCs w:val="22"/>
        </w:rPr>
      </w:pPr>
    </w:p>
    <w:p w14:paraId="75259BA6" w14:textId="77777777" w:rsidR="00770763" w:rsidRPr="00773862" w:rsidRDefault="00C21923">
      <w:pPr>
        <w:numPr>
          <w:ilvl w:val="0"/>
          <w:numId w:val="2"/>
        </w:numPr>
        <w:spacing w:line="360" w:lineRule="auto"/>
        <w:ind w:left="426" w:right="49" w:hanging="426"/>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Necesidad:</w:t>
      </w:r>
      <w:r w:rsidRPr="00773862">
        <w:rPr>
          <w:rFonts w:ascii="Palatino Linotype" w:eastAsia="Palatino Linotype" w:hAnsi="Palatino Linotype" w:cs="Palatino Linotype"/>
          <w:color w:val="000000"/>
          <w:sz w:val="22"/>
          <w:szCs w:val="22"/>
        </w:rPr>
        <w:t xml:space="preserve"> La falta de un medio alternativo menos lesivo a la apertura de la información, para satisfacer el interés público, y</w:t>
      </w:r>
    </w:p>
    <w:p w14:paraId="3ED12458" w14:textId="77777777" w:rsidR="00770763" w:rsidRPr="00773862" w:rsidRDefault="00770763">
      <w:pPr>
        <w:spacing w:line="360" w:lineRule="auto"/>
        <w:ind w:left="426" w:right="49"/>
        <w:jc w:val="both"/>
        <w:rPr>
          <w:rFonts w:ascii="Palatino Linotype" w:eastAsia="Palatino Linotype" w:hAnsi="Palatino Linotype" w:cs="Palatino Linotype"/>
          <w:color w:val="000000"/>
          <w:sz w:val="22"/>
          <w:szCs w:val="22"/>
        </w:rPr>
      </w:pPr>
    </w:p>
    <w:p w14:paraId="786C1351" w14:textId="77777777" w:rsidR="00770763" w:rsidRPr="00773862" w:rsidRDefault="00C21923">
      <w:pPr>
        <w:numPr>
          <w:ilvl w:val="0"/>
          <w:numId w:val="2"/>
        </w:numPr>
        <w:spacing w:line="360" w:lineRule="auto"/>
        <w:ind w:left="426" w:right="49" w:hanging="426"/>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Proporcionalidad:</w:t>
      </w:r>
      <w:r w:rsidRPr="00773862">
        <w:rPr>
          <w:rFonts w:ascii="Palatino Linotype" w:eastAsia="Palatino Linotype" w:hAnsi="Palatino Linotype" w:cs="Palatino Linotype"/>
          <w:color w:val="000000"/>
          <w:sz w:val="22"/>
          <w:szCs w:val="22"/>
        </w:rPr>
        <w:t xml:space="preserve"> El equilibrio entre perjuicio y beneficio a favor del interés público, a fin de que la decisión tomada represente un beneficio mayor al perjuicio que podría causar a la población.</w:t>
      </w:r>
    </w:p>
    <w:p w14:paraId="652DF1FA" w14:textId="77777777" w:rsidR="00770763" w:rsidRPr="00773862" w:rsidRDefault="00770763">
      <w:pPr>
        <w:spacing w:line="360" w:lineRule="auto"/>
        <w:ind w:right="-93"/>
        <w:jc w:val="both"/>
        <w:rPr>
          <w:rFonts w:ascii="Palatino Linotype" w:eastAsia="Palatino Linotype" w:hAnsi="Palatino Linotype" w:cs="Palatino Linotype"/>
          <w:color w:val="000000"/>
          <w:sz w:val="22"/>
          <w:szCs w:val="22"/>
        </w:rPr>
      </w:pPr>
    </w:p>
    <w:p w14:paraId="2EA8DEDC"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1F7A6C00"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368DF9D1" w14:textId="77777777" w:rsidR="00770763" w:rsidRPr="00773862" w:rsidRDefault="00C21923">
      <w:pPr>
        <w:spacing w:line="360" w:lineRule="auto"/>
        <w:jc w:val="both"/>
        <w:rPr>
          <w:rFonts w:ascii="Palatino Linotype" w:eastAsia="Palatino Linotype" w:hAnsi="Palatino Linotype" w:cs="Palatino Linotype"/>
          <w:b/>
          <w:bCs/>
          <w:color w:val="000000"/>
          <w:sz w:val="22"/>
          <w:szCs w:val="22"/>
        </w:rPr>
      </w:pPr>
      <w:r w:rsidRPr="00773862">
        <w:rPr>
          <w:rFonts w:ascii="Palatino Linotype" w:eastAsia="Palatino Linotype" w:hAnsi="Palatino Linotype" w:cs="Palatino Linotype"/>
          <w:b/>
          <w:bCs/>
          <w:color w:val="000000"/>
          <w:sz w:val="22"/>
          <w:szCs w:val="22"/>
        </w:rPr>
        <w:t>a) Idoneidad</w:t>
      </w:r>
      <w:r w:rsidRPr="00773862">
        <w:rPr>
          <w:rFonts w:ascii="Palatino Linotype" w:eastAsia="Palatino Linotype" w:hAnsi="Palatino Linotype" w:cs="Palatino Linotype"/>
          <w:color w:val="000000"/>
          <w:sz w:val="22"/>
          <w:szCs w:val="22"/>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7FB59B24"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750DBA92"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lastRenderedPageBreak/>
        <w:t>Sin embargo, en el presente caso, existen dos fines válidos para otorgar los expedientes de procedimientos de responsabilidades administrativas graves, en caso de existir; los cuales, consisten en transparentar, por un lado, el desempeño de dichos trabajadores en cuestión en el ejercicio de sus funciones, con la finalidad de calificar su actuar, ello con independencia de que tal funcionario también revista el carácter de persona física identificada e identificable, y por otro lado, la actividad desplegada por la Contraloría Municipal de dicho ente y del Tribunal de Justicia Administrativa del Estado de México, en la investigación y determinación de los asuntos. Aunado, a que se relacionan dichas faltas, con actos de corrupción.</w:t>
      </w:r>
    </w:p>
    <w:p w14:paraId="2ABB750B"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7485E02A"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4EF59BCD"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3F66DAB8"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67E1971D"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46F1E4F"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En ese sentido, el hecho de que los servidores públicos concluyan sus funciones, no implica que termine el mayor nivel de tolerancia frente a la crítica de su desempeño, es decir, no significa que una vez que el servidor público termine su encargo, debe estar vedado publicar </w:t>
      </w:r>
      <w:r w:rsidRPr="00773862">
        <w:rPr>
          <w:rFonts w:ascii="Palatino Linotype" w:eastAsia="Palatino Linotype" w:hAnsi="Palatino Linotype" w:cs="Palatino Linotype"/>
          <w:color w:val="000000"/>
          <w:sz w:val="22"/>
          <w:szCs w:val="22"/>
        </w:rPr>
        <w:lastRenderedPageBreak/>
        <w:t xml:space="preserve">información </w:t>
      </w:r>
      <w:r w:rsidRPr="00773862">
        <w:rPr>
          <w:rFonts w:ascii="Palatino Linotype" w:eastAsia="Palatino Linotype" w:hAnsi="Palatino Linotype" w:cs="Palatino Linotype"/>
          <w:b/>
          <w:bCs/>
          <w:color w:val="000000"/>
          <w:sz w:val="22"/>
          <w:szCs w:val="22"/>
        </w:rPr>
        <w:t>respecto de su desempeño</w:t>
      </w:r>
      <w:r w:rsidRPr="00773862">
        <w:rPr>
          <w:rFonts w:ascii="Palatino Linotype" w:eastAsia="Palatino Linotype" w:hAnsi="Palatino Linotype" w:cs="Palatino Linotype"/>
          <w:color w:val="000000"/>
          <w:sz w:val="22"/>
          <w:szCs w:val="22"/>
        </w:rPr>
        <w:t xml:space="preserve"> o que se termine el mayor nivel de tolerancia que debe tener frente a la crítica, sino que ese mayor nivel de tolerancia, sólo se tiene frente a la información de interés público.</w:t>
      </w:r>
    </w:p>
    <w:p w14:paraId="79E9349A" w14:textId="77777777" w:rsidR="00F17915" w:rsidRPr="00773862" w:rsidRDefault="00F17915">
      <w:pPr>
        <w:spacing w:line="360" w:lineRule="auto"/>
        <w:jc w:val="both"/>
        <w:rPr>
          <w:rFonts w:ascii="Palatino Linotype" w:eastAsia="Palatino Linotype" w:hAnsi="Palatino Linotype" w:cs="Palatino Linotype"/>
          <w:color w:val="000000"/>
          <w:sz w:val="22"/>
          <w:szCs w:val="22"/>
        </w:rPr>
      </w:pPr>
    </w:p>
    <w:p w14:paraId="45EA9052"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En ese contexto, dado que la información se relaciona con el actuar de los servidores públicos, </w:t>
      </w:r>
      <w:r w:rsidRPr="00773862">
        <w:rPr>
          <w:rFonts w:ascii="Palatino Linotype" w:eastAsia="Palatino Linotype" w:hAnsi="Palatino Linotype" w:cs="Palatino Linotype"/>
          <w:b/>
          <w:bCs/>
          <w:color w:val="000000"/>
          <w:sz w:val="22"/>
          <w:szCs w:val="22"/>
        </w:rPr>
        <w:t xml:space="preserve">existe un interés público por conocer </w:t>
      </w:r>
      <w:r w:rsidRPr="00773862">
        <w:rPr>
          <w:rFonts w:ascii="Palatino Linotype" w:eastAsia="Palatino Linotype" w:hAnsi="Palatino Linotype" w:cs="Palatino Linotype"/>
          <w:color w:val="000000"/>
          <w:sz w:val="22"/>
          <w:szCs w:val="22"/>
        </w:rPr>
        <w:t xml:space="preserve">los expedientes en análisis vinculados con el nombre del servidor público sancionado, y, por lo tanto, la información del interés del Particular no es susceptible de protección en tanto que su vinculación con una persona determinada reviste un interés público mayor de ser dado a conocer. </w:t>
      </w:r>
    </w:p>
    <w:p w14:paraId="52AF688A"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E4A4C4D"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Lo anterior, ya que como se precisó en párrafos anteriores, proporcionar la información de referencia, garantizaría la rendición de cuentas por parte de la Contraloría Municipal y del Tribunal de Justicia Administrativa del Estado de México, relativo a su actuación, teniendo como consecuencia que los ciudadanos tengan confianza en sus autoridades, al poder conocer las denuncias que dieron origen a investigaciones a su cargo y que hayan concluido con resolución en donde se determine que un servidor público realizó una o varias faltas administrativas graves, relacionadas al ejercicio de las funciones.</w:t>
      </w:r>
    </w:p>
    <w:p w14:paraId="735DFB77"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7784E7BB" w14:textId="1A1A909C"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Además, que, con dicha información, se estaría revelando que el desempeño de los servidores públicos </w:t>
      </w:r>
      <w:r w:rsidR="00777976" w:rsidRPr="00773862">
        <w:rPr>
          <w:rFonts w:ascii="Palatino Linotype" w:eastAsia="Palatino Linotype" w:hAnsi="Palatino Linotype" w:cs="Palatino Linotype"/>
          <w:color w:val="000000"/>
          <w:sz w:val="22"/>
          <w:szCs w:val="22"/>
        </w:rPr>
        <w:t>sancionados</w:t>
      </w:r>
      <w:r w:rsidRPr="00773862">
        <w:rPr>
          <w:rFonts w:ascii="Palatino Linotype" w:eastAsia="Palatino Linotype" w:hAnsi="Palatino Linotype" w:cs="Palatino Linotype"/>
          <w:color w:val="000000"/>
          <w:sz w:val="22"/>
          <w:szCs w:val="22"/>
        </w:rPr>
        <w:t xml:space="preserve"> no fue conforme a derecho, asimismo, de dar a conocer que los referidos acreditaron que había cometido faltas graves e inclusive actos de corrupción.</w:t>
      </w:r>
    </w:p>
    <w:p w14:paraId="40BAF987"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60038EFA"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0390EBFC"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69B9C9E2"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 xml:space="preserve">b) Necesidad: </w:t>
      </w:r>
      <w:r w:rsidRPr="00773862">
        <w:rPr>
          <w:rFonts w:ascii="Palatino Linotype" w:eastAsia="Palatino Linotype" w:hAnsi="Palatino Linotype" w:cs="Palatino Linotype"/>
          <w:color w:val="000000"/>
          <w:sz w:val="22"/>
          <w:szCs w:val="22"/>
        </w:rPr>
        <w:t>Por otra parte, este Instituto observa que también se actualiza el principio de necesidad, ya que no existe un medio menos oneroso para lograr el fin válido, pues se estima necesaria la difusión, en caso de existir, de la información requerida, es decir, de los expedientes en análisis vinculándolos al servidor público sancionado, pues se relacionan con el ejercicio de sus funciones de los cargos ocupados, a fin de que los ciudadanos identifiquen el tipo de desempeño efectuado por el trabajador, en el ejercicio de sus atribuciones, con la finalidad de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administrativas instauradas en su contra, que en su caso obren en los archivos.</w:t>
      </w:r>
    </w:p>
    <w:p w14:paraId="1782CACE"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0FAB034D"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Además, ello permite evaluar la actuación tanto del Tribunal de Justicia Administrativa del Estado de México, como de la Contraloría Municipal, pues se podrá advertir la forma en la que ejercieron las funciones que legalmente tienen conferidas.</w:t>
      </w:r>
    </w:p>
    <w:p w14:paraId="2EAA58DF"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582029D1"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Lo anterior, considerando que sólo por esta vía se podría lograr el acceso a la información correspondiente a los documentos del interés del Particular, para garantizar la rendición de cuentas sobre su actuación, así como, la de los servidores públicos sancionados; situación que se robustece con el hecho, de que el artículo 27 de la Ley General de Responsabilidades Administrativas, cuarto párrafo, específica que se hará público, las constancias de sanciones o de inhabilitación que se encuentren firmes, en contra de los servidores públicos que hayan sido sancionados por actos vinculados con faltas administrativas graves; de la misma manera, lo prevé el artículo 28, de la Ley de Responsabilidades Administrativas del Estado de México.</w:t>
      </w:r>
    </w:p>
    <w:p w14:paraId="64F129B7"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12DA35D0"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lastRenderedPageBreak/>
        <w:t>En tal virtud, por la trascendencia social de la materia del requerimiento, el derecho de acceso a la información deberá prevalecer sobre el derecho a la privacidad; aunado, a que, por disposición legal, la información relacionada con faltas graves de servidores públicos, guardan el carácter de público.</w:t>
      </w:r>
    </w:p>
    <w:p w14:paraId="584F285B"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6FCC02F2"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c) Proporcionalidad en sentido estricto:</w:t>
      </w:r>
      <w:r w:rsidRPr="00773862">
        <w:rPr>
          <w:rFonts w:ascii="Palatino Linotype" w:eastAsia="Palatino Linotype" w:hAnsi="Palatino Linotype" w:cs="Palatino Linotype"/>
          <w:color w:val="000000"/>
          <w:sz w:val="22"/>
          <w:szCs w:val="22"/>
        </w:rPr>
        <w:t xml:space="preserve"> El sacrificio de la protección del nombre de los servidores públicos, en caso de que haya sido sujeto a proceso y cuente con una resolución condenatoria por haber cometido faltas administrativas graves, relacionadas con el desempeño de sus funciones, como medio para lograr el fin válido señalado, se justifica en razón de que se satisface el interés público en conocer el desempeño de sus funciones como trabajador gubernamental, esto es, que no actuó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009A0098"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F15724E"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64CEDED2"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6F470460"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127FD68E"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4D56CCD8"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Lo anterior se robustece con el hecho de que la difusión de la información solicitada contribuiría a garantizar el ejercicio de acceso a la información, a favorecer la rendición de </w:t>
      </w:r>
      <w:r w:rsidRPr="00773862">
        <w:rPr>
          <w:rFonts w:ascii="Palatino Linotype" w:eastAsia="Palatino Linotype" w:hAnsi="Palatino Linotype" w:cs="Palatino Linotype"/>
          <w:color w:val="000000"/>
          <w:sz w:val="22"/>
          <w:szCs w:val="22"/>
        </w:rPr>
        <w:lastRenderedPageBreak/>
        <w:t xml:space="preserve">cuentas a los ciudadanos, de manera que puedan valorar el desempeño de los sujetos obligados y servidores públicos, además de fortalecer el escrutinio ciudadano sobre las actividades sustantivas de los sujetos obligados. Por tanto, se concluye que, al tenor de la ponderación realizada, se cumple con los tres elementos para darle preminencia, en el caso concreto, </w:t>
      </w:r>
      <w:r w:rsidRPr="00773862">
        <w:rPr>
          <w:rFonts w:ascii="Palatino Linotype" w:eastAsia="Palatino Linotype" w:hAnsi="Palatino Linotype" w:cs="Palatino Linotype"/>
          <w:b/>
          <w:bCs/>
          <w:color w:val="000000"/>
          <w:sz w:val="22"/>
          <w:szCs w:val="22"/>
        </w:rPr>
        <w:t>al derecho de acceso a la información.</w:t>
      </w:r>
    </w:p>
    <w:p w14:paraId="15FD4A58" w14:textId="77777777" w:rsidR="00770763" w:rsidRPr="00773862" w:rsidRDefault="00770763">
      <w:pPr>
        <w:spacing w:line="360" w:lineRule="auto"/>
        <w:jc w:val="both"/>
        <w:rPr>
          <w:rFonts w:ascii="Palatino Linotype" w:eastAsia="Palatino Linotype" w:hAnsi="Palatino Linotype" w:cs="Palatino Linotype"/>
          <w:b/>
          <w:bCs/>
          <w:color w:val="000000"/>
          <w:sz w:val="22"/>
          <w:szCs w:val="22"/>
        </w:rPr>
      </w:pPr>
    </w:p>
    <w:p w14:paraId="3119DD93"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Así, se determina que en los expedientes de procedimientos de responsabilidades administrativas por faltas graves, que se encuentran relacionadas con el desempeño de sus funciones como servidores públicos, el nombre de estos guardan la naturaleza pública, en razón de que, si bien es cierto la difusión de los mismos afectaría los derechos a la confidencialidad, a la privacidad, al honor y a la propia imagen, también lo es que </w:t>
      </w:r>
      <w:r w:rsidRPr="00773862">
        <w:rPr>
          <w:rFonts w:ascii="Palatino Linotype" w:eastAsia="Palatino Linotype" w:hAnsi="Palatino Linotype" w:cs="Palatino Linotype"/>
          <w:b/>
          <w:bCs/>
          <w:color w:val="000000"/>
          <w:sz w:val="22"/>
          <w:szCs w:val="22"/>
        </w:rPr>
        <w:t>tratándose de asuntos relacionados con actos de corrupción, al ser faltas graves, tales prerrogativas quedan supeditadas al interés mayor de conocer tales eventualidades</w:t>
      </w:r>
      <w:r w:rsidRPr="00773862">
        <w:rPr>
          <w:rFonts w:ascii="Palatino Linotype" w:eastAsia="Palatino Linotype" w:hAnsi="Palatino Linotype" w:cs="Palatino Linotype"/>
          <w:color w:val="000000"/>
          <w:sz w:val="22"/>
          <w:szCs w:val="22"/>
        </w:rPr>
        <w:t xml:space="preserve"> y por lo tanto no precede su clasificación en términos del artículo 143, fracción I de la Ley de la materia. Situación que va acorde a lo establecido en el Criterio Reiterado 02/2024, de la Tercera Época, emitido por el Organismo Garante.</w:t>
      </w:r>
    </w:p>
    <w:p w14:paraId="48560E71"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2874EE2D"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Finalmente, no pasa desapercibido para este Instituto que los documentos que den cuenta de lo solicitado, pudieran contener datos confidenciales, tales como nombres, teléfonos, correos electrónicos, todo de particulares;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8E2081F"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025E4397"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5539F6A" w14:textId="77777777" w:rsidR="00770763" w:rsidRPr="00773862" w:rsidRDefault="00770763">
      <w:pPr>
        <w:spacing w:line="360" w:lineRule="auto"/>
        <w:ind w:right="-28"/>
        <w:jc w:val="both"/>
        <w:rPr>
          <w:rFonts w:ascii="Palatino Linotype" w:eastAsia="Palatino Linotype" w:hAnsi="Palatino Linotype" w:cs="Palatino Linotype"/>
          <w:color w:val="000000"/>
          <w:sz w:val="22"/>
          <w:szCs w:val="22"/>
        </w:rPr>
      </w:pPr>
    </w:p>
    <w:p w14:paraId="2417A21E" w14:textId="77777777" w:rsidR="00770763" w:rsidRPr="00773862" w:rsidRDefault="00C21923">
      <w:pPr>
        <w:pStyle w:val="Ttulo2"/>
      </w:pPr>
      <w:bookmarkStart w:id="29" w:name="_heading=h.o5dn2f22xrbx" w:colFirst="0" w:colLast="0"/>
      <w:bookmarkStart w:id="30" w:name="_Toc225433871"/>
      <w:bookmarkEnd w:id="29"/>
      <w:r w:rsidRPr="00773862">
        <w:t>SEXTO. Decisión</w:t>
      </w:r>
      <w:bookmarkEnd w:id="30"/>
    </w:p>
    <w:p w14:paraId="39B32600"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28C5A452"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773862">
        <w:rPr>
          <w:rFonts w:ascii="Palatino Linotype" w:eastAsia="Palatino Linotype" w:hAnsi="Palatino Linotype" w:cs="Palatino Linotype"/>
          <w:b/>
          <w:bCs/>
          <w:sz w:val="22"/>
          <w:szCs w:val="22"/>
        </w:rPr>
        <w:t xml:space="preserve">REVOCAR </w:t>
      </w:r>
      <w:r w:rsidRPr="00773862">
        <w:rPr>
          <w:rFonts w:ascii="Palatino Linotype" w:eastAsia="Palatino Linotype" w:hAnsi="Palatino Linotype" w:cs="Palatino Linotype"/>
          <w:sz w:val="22"/>
          <w:szCs w:val="22"/>
        </w:rPr>
        <w:t xml:space="preserve">la respuesta del Ayuntamiento de Tepotzotlán, </w:t>
      </w:r>
      <w:r w:rsidRPr="00773862">
        <w:rPr>
          <w:rFonts w:ascii="Palatino Linotype" w:eastAsia="Palatino Linotype" w:hAnsi="Palatino Linotype" w:cs="Palatino Linotype"/>
          <w:color w:val="000000"/>
          <w:sz w:val="22"/>
          <w:szCs w:val="22"/>
        </w:rPr>
        <w:t>a efecto de que entregue la información solicitada.</w:t>
      </w:r>
    </w:p>
    <w:p w14:paraId="413D9ADB"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736A9ED2" w14:textId="77777777" w:rsidR="00770763" w:rsidRPr="00773862" w:rsidRDefault="00C21923">
      <w:pPr>
        <w:spacing w:line="360" w:lineRule="auto"/>
        <w:jc w:val="both"/>
        <w:rPr>
          <w:rFonts w:ascii="Palatino Linotype" w:eastAsia="Palatino Linotype" w:hAnsi="Palatino Linotype" w:cs="Palatino Linotype"/>
          <w:b/>
          <w:bCs/>
          <w:sz w:val="22"/>
          <w:szCs w:val="22"/>
        </w:rPr>
      </w:pPr>
      <w:r w:rsidRPr="00773862">
        <w:rPr>
          <w:rFonts w:ascii="Palatino Linotype" w:eastAsia="Palatino Linotype" w:hAnsi="Palatino Linotype" w:cs="Palatino Linotype"/>
          <w:b/>
          <w:bCs/>
          <w:sz w:val="22"/>
          <w:szCs w:val="22"/>
        </w:rPr>
        <w:t>Términos de la Resolución para conocimiento del Particular</w:t>
      </w:r>
    </w:p>
    <w:p w14:paraId="5C5BC145" w14:textId="77777777" w:rsidR="00770763" w:rsidRPr="00773862" w:rsidRDefault="00770763">
      <w:pPr>
        <w:spacing w:line="360" w:lineRule="auto"/>
        <w:jc w:val="both"/>
        <w:rPr>
          <w:rFonts w:ascii="Palatino Linotype" w:eastAsia="Palatino Linotype" w:hAnsi="Palatino Linotype" w:cs="Palatino Linotype"/>
          <w:b/>
          <w:bCs/>
          <w:sz w:val="22"/>
          <w:szCs w:val="22"/>
        </w:rPr>
      </w:pPr>
    </w:p>
    <w:p w14:paraId="47124BF5"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Se le hace del conocimiento al Particular, que, en el presente caso, se le da la razón, pues el Sujeto Obligado no turno la solicitud de información al área competente de generarla, poseerla o administrarla, por lo que, deberá hacer entrega de la información.</w:t>
      </w:r>
    </w:p>
    <w:p w14:paraId="23F8D251"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1BA93EE0"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Finalmente, se le hace del conocimiento al Particular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46DDDBDC"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48486183"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Por lo expuesto y fundado, este Pleno:</w:t>
      </w:r>
    </w:p>
    <w:p w14:paraId="1BD1A939"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55559FE3" w14:textId="77777777" w:rsidR="00770763" w:rsidRPr="00773862" w:rsidRDefault="00C21923">
      <w:pPr>
        <w:pStyle w:val="Ttulo1"/>
      </w:pPr>
      <w:bookmarkStart w:id="31" w:name="_heading=h.pahatfewqc5" w:colFirst="0" w:colLast="0"/>
      <w:bookmarkStart w:id="32" w:name="_Toc225433872"/>
      <w:bookmarkEnd w:id="31"/>
      <w:r w:rsidRPr="00773862">
        <w:lastRenderedPageBreak/>
        <w:t>R E S U E L V E</w:t>
      </w:r>
      <w:bookmarkEnd w:id="32"/>
    </w:p>
    <w:p w14:paraId="50E39970" w14:textId="77777777" w:rsidR="00770763" w:rsidRPr="00773862" w:rsidRDefault="00770763">
      <w:pPr>
        <w:spacing w:line="360" w:lineRule="auto"/>
        <w:jc w:val="both"/>
        <w:rPr>
          <w:rFonts w:ascii="Palatino Linotype" w:eastAsia="Palatino Linotype" w:hAnsi="Palatino Linotype" w:cs="Palatino Linotype"/>
          <w:b/>
          <w:bCs/>
          <w:sz w:val="22"/>
          <w:szCs w:val="22"/>
        </w:rPr>
      </w:pPr>
    </w:p>
    <w:p w14:paraId="46822C96"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sz w:val="22"/>
          <w:szCs w:val="22"/>
        </w:rPr>
        <w:t xml:space="preserve">PRIMERO. </w:t>
      </w:r>
      <w:r w:rsidRPr="00773862">
        <w:rPr>
          <w:rFonts w:ascii="Palatino Linotype" w:eastAsia="Palatino Linotype" w:hAnsi="Palatino Linotype" w:cs="Palatino Linotype"/>
          <w:color w:val="000000"/>
          <w:sz w:val="22"/>
          <w:szCs w:val="22"/>
        </w:rPr>
        <w:t xml:space="preserve">Se </w:t>
      </w:r>
      <w:r w:rsidRPr="00773862">
        <w:rPr>
          <w:rFonts w:ascii="Palatino Linotype" w:eastAsia="Palatino Linotype" w:hAnsi="Palatino Linotype" w:cs="Palatino Linotype"/>
          <w:b/>
          <w:bCs/>
          <w:color w:val="000000"/>
          <w:sz w:val="22"/>
          <w:szCs w:val="22"/>
        </w:rPr>
        <w:t xml:space="preserve">REVOCA </w:t>
      </w:r>
      <w:r w:rsidRPr="00773862">
        <w:rPr>
          <w:rFonts w:ascii="Palatino Linotype" w:eastAsia="Palatino Linotype" w:hAnsi="Palatino Linotype" w:cs="Palatino Linotype"/>
          <w:color w:val="000000"/>
          <w:sz w:val="22"/>
          <w:szCs w:val="22"/>
        </w:rPr>
        <w:t xml:space="preserve">la respuesta entregada por el Ayuntamiento de Tepotzotlán, en cumplimiento a la Resolución del Recurso de Revisión </w:t>
      </w:r>
      <w:r w:rsidRPr="00773862">
        <w:rPr>
          <w:rFonts w:ascii="Palatino Linotype" w:eastAsia="Palatino Linotype" w:hAnsi="Palatino Linotype" w:cs="Palatino Linotype"/>
          <w:sz w:val="22"/>
          <w:szCs w:val="22"/>
        </w:rPr>
        <w:t>13046/INFOEM/IP/RR/2025</w:t>
      </w:r>
      <w:r w:rsidRPr="00773862">
        <w:rPr>
          <w:rFonts w:ascii="Palatino Linotype" w:eastAsia="Palatino Linotype" w:hAnsi="Palatino Linotype" w:cs="Palatino Linotype"/>
          <w:color w:val="000000"/>
          <w:sz w:val="22"/>
          <w:szCs w:val="22"/>
        </w:rPr>
        <w:t xml:space="preserve">, por resultar </w:t>
      </w:r>
      <w:r w:rsidRPr="00773862">
        <w:rPr>
          <w:rFonts w:ascii="Palatino Linotype" w:eastAsia="Palatino Linotype" w:hAnsi="Palatino Linotype" w:cs="Palatino Linotype"/>
          <w:b/>
          <w:bCs/>
          <w:color w:val="000000"/>
          <w:sz w:val="22"/>
          <w:szCs w:val="22"/>
        </w:rPr>
        <w:t xml:space="preserve">FUNDADAS </w:t>
      </w:r>
      <w:r w:rsidRPr="00773862">
        <w:rPr>
          <w:rFonts w:ascii="Palatino Linotype" w:eastAsia="Palatino Linotype" w:hAnsi="Palatino Linotype" w:cs="Palatino Linotype"/>
          <w:color w:val="000000"/>
          <w:sz w:val="22"/>
          <w:szCs w:val="22"/>
        </w:rPr>
        <w:t xml:space="preserve">las razones o motivos de inconformidad hechos valer por el Recurrente, en términos de los considerandos </w:t>
      </w:r>
      <w:r w:rsidRPr="00773862">
        <w:rPr>
          <w:rFonts w:ascii="Palatino Linotype" w:eastAsia="Palatino Linotype" w:hAnsi="Palatino Linotype" w:cs="Palatino Linotype"/>
          <w:b/>
          <w:bCs/>
          <w:color w:val="000000"/>
          <w:sz w:val="22"/>
          <w:szCs w:val="22"/>
        </w:rPr>
        <w:t>QUINTO</w:t>
      </w:r>
      <w:r w:rsidRPr="00773862">
        <w:rPr>
          <w:rFonts w:ascii="Palatino Linotype" w:eastAsia="Palatino Linotype" w:hAnsi="Palatino Linotype" w:cs="Palatino Linotype"/>
          <w:color w:val="000000"/>
          <w:sz w:val="22"/>
          <w:szCs w:val="22"/>
        </w:rPr>
        <w:t xml:space="preserve"> y </w:t>
      </w:r>
      <w:r w:rsidRPr="00773862">
        <w:rPr>
          <w:rFonts w:ascii="Palatino Linotype" w:eastAsia="Palatino Linotype" w:hAnsi="Palatino Linotype" w:cs="Palatino Linotype"/>
          <w:b/>
          <w:bCs/>
          <w:color w:val="000000"/>
          <w:sz w:val="22"/>
          <w:szCs w:val="22"/>
        </w:rPr>
        <w:t>SEXTO</w:t>
      </w:r>
      <w:r w:rsidRPr="00773862">
        <w:rPr>
          <w:rFonts w:ascii="Palatino Linotype" w:eastAsia="Palatino Linotype" w:hAnsi="Palatino Linotype" w:cs="Palatino Linotype"/>
          <w:color w:val="000000"/>
          <w:sz w:val="22"/>
          <w:szCs w:val="22"/>
        </w:rPr>
        <w:t xml:space="preserve"> de la presente Resolución.</w:t>
      </w:r>
    </w:p>
    <w:p w14:paraId="0AF55A9A" w14:textId="77777777" w:rsidR="00770763" w:rsidRPr="00773862" w:rsidRDefault="00770763">
      <w:pPr>
        <w:spacing w:line="360" w:lineRule="auto"/>
        <w:jc w:val="both"/>
        <w:rPr>
          <w:rFonts w:ascii="Palatino Linotype" w:eastAsia="Palatino Linotype" w:hAnsi="Palatino Linotype" w:cs="Palatino Linotype"/>
          <w:color w:val="000000"/>
          <w:sz w:val="22"/>
          <w:szCs w:val="22"/>
        </w:rPr>
      </w:pPr>
    </w:p>
    <w:p w14:paraId="01A16CD6" w14:textId="2DF44DAC"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b/>
          <w:bCs/>
          <w:color w:val="000000"/>
          <w:sz w:val="22"/>
          <w:szCs w:val="22"/>
        </w:rPr>
        <w:t xml:space="preserve">SEGUNDO. </w:t>
      </w:r>
      <w:r w:rsidRPr="00773862">
        <w:rPr>
          <w:rFonts w:ascii="Palatino Linotype" w:eastAsia="Palatino Linotype" w:hAnsi="Palatino Linotype" w:cs="Palatino Linotype"/>
          <w:color w:val="000000"/>
          <w:sz w:val="22"/>
          <w:szCs w:val="22"/>
        </w:rPr>
        <w:t xml:space="preserve">Se </w:t>
      </w:r>
      <w:r w:rsidRPr="00773862">
        <w:rPr>
          <w:rFonts w:ascii="Palatino Linotype" w:eastAsia="Palatino Linotype" w:hAnsi="Palatino Linotype" w:cs="Palatino Linotype"/>
          <w:b/>
          <w:bCs/>
          <w:color w:val="000000"/>
          <w:sz w:val="22"/>
          <w:szCs w:val="22"/>
        </w:rPr>
        <w:t>ORDENA</w:t>
      </w:r>
      <w:r w:rsidRPr="00773862">
        <w:rPr>
          <w:rFonts w:ascii="Palatino Linotype" w:eastAsia="Palatino Linotype" w:hAnsi="Palatino Linotype" w:cs="Palatino Linotype"/>
          <w:color w:val="000000"/>
          <w:sz w:val="22"/>
          <w:szCs w:val="22"/>
        </w:rPr>
        <w:t xml:space="preserve"> al Ente Recurrido</w:t>
      </w:r>
      <w:r w:rsidRPr="00773862">
        <w:rPr>
          <w:rFonts w:ascii="Palatino Linotype" w:eastAsia="Palatino Linotype" w:hAnsi="Palatino Linotype" w:cs="Palatino Linotype"/>
          <w:b/>
          <w:bCs/>
          <w:color w:val="000000"/>
          <w:sz w:val="22"/>
          <w:szCs w:val="22"/>
        </w:rPr>
        <w:t xml:space="preserve">, </w:t>
      </w:r>
      <w:r w:rsidRPr="00773862">
        <w:rPr>
          <w:rFonts w:ascii="Palatino Linotype" w:eastAsia="Palatino Linotype" w:hAnsi="Palatino Linotype" w:cs="Palatino Linotype"/>
          <w:color w:val="000000"/>
          <w:sz w:val="22"/>
          <w:szCs w:val="22"/>
        </w:rPr>
        <w:t>a efecto de que previa búsqueda exhaustiva y razonable, entregue a través del Sistema de Acceso a la Información Mexiquense (SAIMEX), en su caso, en versión pública</w:t>
      </w:r>
      <w:r w:rsidRPr="00773862">
        <w:rPr>
          <w:rFonts w:ascii="Palatino Linotype" w:eastAsia="Palatino Linotype" w:hAnsi="Palatino Linotype" w:cs="Palatino Linotype"/>
          <w:sz w:val="22"/>
          <w:szCs w:val="22"/>
        </w:rPr>
        <w:t xml:space="preserve">, </w:t>
      </w:r>
      <w:r w:rsidR="003541FC" w:rsidRPr="00773862">
        <w:rPr>
          <w:rFonts w:ascii="Palatino Linotype" w:eastAsia="Palatino Linotype" w:hAnsi="Palatino Linotype" w:cs="Palatino Linotype"/>
          <w:color w:val="000000"/>
          <w:sz w:val="22"/>
          <w:szCs w:val="22"/>
        </w:rPr>
        <w:t xml:space="preserve">de los servidores </w:t>
      </w:r>
      <w:r w:rsidR="006258FB" w:rsidRPr="00773862">
        <w:rPr>
          <w:rFonts w:ascii="Palatino Linotype" w:eastAsia="Palatino Linotype" w:hAnsi="Palatino Linotype" w:cs="Palatino Linotype"/>
          <w:color w:val="000000"/>
          <w:sz w:val="22"/>
          <w:szCs w:val="22"/>
        </w:rPr>
        <w:t xml:space="preserve">públicos sancionados </w:t>
      </w:r>
      <w:r w:rsidR="003541FC" w:rsidRPr="00773862">
        <w:rPr>
          <w:rFonts w:ascii="Palatino Linotype" w:eastAsia="Palatino Linotype" w:hAnsi="Palatino Linotype" w:cs="Palatino Linotype"/>
          <w:color w:val="000000"/>
          <w:sz w:val="22"/>
          <w:szCs w:val="22"/>
        </w:rPr>
        <w:t xml:space="preserve">por faltas administrativas graves, del veintinueve de agosto de dos mil veinticuatro al veintinueve de agosto de dos mil veinticinco, </w:t>
      </w:r>
      <w:r w:rsidRPr="00773862">
        <w:rPr>
          <w:rFonts w:ascii="Palatino Linotype" w:eastAsia="Palatino Linotype" w:hAnsi="Palatino Linotype" w:cs="Palatino Linotype"/>
          <w:sz w:val="22"/>
          <w:szCs w:val="22"/>
        </w:rPr>
        <w:t>los documentos que contengan lo siguiente:</w:t>
      </w:r>
    </w:p>
    <w:p w14:paraId="7F206425" w14:textId="77777777" w:rsidR="00770763" w:rsidRPr="00773862" w:rsidRDefault="00770763" w:rsidP="003541F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8AECA08" w14:textId="77777777" w:rsidR="00770763" w:rsidRPr="00773862" w:rsidRDefault="00C21923">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Nombre completo del funcionario sancionado;</w:t>
      </w:r>
    </w:p>
    <w:p w14:paraId="0489440A" w14:textId="77777777" w:rsidR="00770763" w:rsidRPr="00773862" w:rsidRDefault="00C21923">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Cargo que desempeñaba al momento de la sanción;</w:t>
      </w:r>
    </w:p>
    <w:p w14:paraId="2103F0C7" w14:textId="2143FA42" w:rsidR="00770763" w:rsidRPr="00773862" w:rsidRDefault="00C21923">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 xml:space="preserve">Tipo de sanción administrativa impuesta (amonestación, destitución, inhabilitación, multa, </w:t>
      </w:r>
      <w:r w:rsidR="006258FB" w:rsidRPr="00773862">
        <w:rPr>
          <w:rFonts w:ascii="Palatino Linotype" w:eastAsia="Palatino Linotype" w:hAnsi="Palatino Linotype" w:cs="Palatino Linotype"/>
          <w:color w:val="000000"/>
          <w:sz w:val="22"/>
          <w:szCs w:val="22"/>
        </w:rPr>
        <w:t>entre otros</w:t>
      </w:r>
      <w:r w:rsidRPr="00773862">
        <w:rPr>
          <w:rFonts w:ascii="Palatino Linotype" w:eastAsia="Palatino Linotype" w:hAnsi="Palatino Linotype" w:cs="Palatino Linotype"/>
          <w:color w:val="000000"/>
          <w:sz w:val="22"/>
          <w:szCs w:val="22"/>
        </w:rPr>
        <w:t>);</w:t>
      </w:r>
    </w:p>
    <w:p w14:paraId="2F38BE29" w14:textId="24EA080F" w:rsidR="00770763" w:rsidRPr="00773862" w:rsidRDefault="00C21923">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Motivo o causa de la sanción;</w:t>
      </w:r>
    </w:p>
    <w:p w14:paraId="2EE409C1" w14:textId="77777777" w:rsidR="00770763" w:rsidRPr="00773862" w:rsidRDefault="00C21923">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Fecha de la imposición de la sanción y, en su caso, el tiempo de vigencia de la misma;</w:t>
      </w:r>
    </w:p>
    <w:p w14:paraId="7D57094D" w14:textId="77777777" w:rsidR="00770763" w:rsidRPr="00773862" w:rsidRDefault="00C21923">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Órgano o autoridad que determinó la sanción, y</w:t>
      </w:r>
    </w:p>
    <w:p w14:paraId="0F0CC729" w14:textId="77777777" w:rsidR="00770763" w:rsidRPr="00773862" w:rsidRDefault="00C21923">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color w:val="000000"/>
          <w:sz w:val="22"/>
          <w:szCs w:val="22"/>
        </w:rPr>
        <w:t>Medidas tomadas para garantizar que la sanción se cumpla y que no se repitan actos irregulares similares.</w:t>
      </w:r>
    </w:p>
    <w:p w14:paraId="784130DB"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77FC2DE7" w14:textId="77777777" w:rsidR="00770763" w:rsidRPr="00773862" w:rsidRDefault="00C21923">
      <w:pPr>
        <w:spacing w:line="360" w:lineRule="auto"/>
        <w:jc w:val="both"/>
        <w:rPr>
          <w:rFonts w:ascii="Palatino Linotype" w:eastAsia="Palatino Linotype" w:hAnsi="Palatino Linotype" w:cs="Palatino Linotype"/>
          <w:sz w:val="22"/>
          <w:szCs w:val="22"/>
        </w:rPr>
      </w:pPr>
      <w:r w:rsidRPr="00773862">
        <w:rPr>
          <w:rFonts w:ascii="Palatino Linotype" w:eastAsia="Palatino Linotype" w:hAnsi="Palatino Linotype" w:cs="Palatino Linotype"/>
          <w:sz w:val="22"/>
          <w:szCs w:val="22"/>
        </w:rPr>
        <w:t xml:space="preserve">Además, de ser necesario, deberá proporcionar el Acuerdo de Clasificación donde el Comité de Transparencia, confirme la eliminación de los datos o información, en la versión pública, </w:t>
      </w:r>
      <w:r w:rsidRPr="00773862">
        <w:rPr>
          <w:rFonts w:ascii="Palatino Linotype" w:eastAsia="Palatino Linotype" w:hAnsi="Palatino Linotype" w:cs="Palatino Linotype"/>
          <w:sz w:val="22"/>
          <w:szCs w:val="22"/>
        </w:rPr>
        <w:lastRenderedPageBreak/>
        <w:t>en términos del Considerando QUINTO, de conformidad con los artículos 49, fracciones II y VIII y 132, fracción II de la Ley de Transparencia y Acceso a la Información Pública del Estado de México y Municipios.</w:t>
      </w:r>
    </w:p>
    <w:p w14:paraId="2079E9EF" w14:textId="77777777" w:rsidR="00770763" w:rsidRPr="00773862" w:rsidRDefault="00770763">
      <w:pPr>
        <w:spacing w:line="360" w:lineRule="auto"/>
        <w:jc w:val="both"/>
        <w:rPr>
          <w:rFonts w:ascii="Palatino Linotype" w:eastAsia="Palatino Linotype" w:hAnsi="Palatino Linotype" w:cs="Palatino Linotype"/>
          <w:sz w:val="22"/>
          <w:szCs w:val="22"/>
        </w:rPr>
      </w:pPr>
    </w:p>
    <w:p w14:paraId="001048C6" w14:textId="77777777" w:rsidR="00770763" w:rsidRPr="00773862" w:rsidRDefault="00C21923">
      <w:pPr>
        <w:spacing w:line="360" w:lineRule="auto"/>
        <w:ind w:right="-28"/>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 xml:space="preserve">TERCERO. NOTIFÍQUESE POR SAIMEX </w:t>
      </w:r>
      <w:r w:rsidRPr="00773862">
        <w:rPr>
          <w:rFonts w:ascii="Palatino Linotype" w:eastAsia="Palatino Linotype" w:hAnsi="Palatino Linotype" w:cs="Palatino Linotype"/>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BC48A55" w14:textId="77777777" w:rsidR="00770763" w:rsidRPr="00773862" w:rsidRDefault="00770763">
      <w:pPr>
        <w:spacing w:line="360" w:lineRule="auto"/>
        <w:ind w:right="-28"/>
        <w:jc w:val="both"/>
        <w:rPr>
          <w:rFonts w:ascii="Palatino Linotype" w:eastAsia="Palatino Linotype" w:hAnsi="Palatino Linotype" w:cs="Palatino Linotype"/>
          <w:color w:val="000000"/>
          <w:sz w:val="22"/>
          <w:szCs w:val="22"/>
        </w:rPr>
      </w:pPr>
    </w:p>
    <w:p w14:paraId="0DFB8D6A" w14:textId="77777777" w:rsidR="00770763" w:rsidRPr="00773862" w:rsidRDefault="00C21923">
      <w:pPr>
        <w:spacing w:line="360" w:lineRule="auto"/>
        <w:jc w:val="both"/>
        <w:rPr>
          <w:rFonts w:ascii="Palatino Linotype" w:eastAsia="Palatino Linotype" w:hAnsi="Palatino Linotype" w:cs="Palatino Linotype"/>
          <w:color w:val="000000"/>
          <w:sz w:val="22"/>
          <w:szCs w:val="22"/>
        </w:rPr>
      </w:pPr>
      <w:r w:rsidRPr="00773862">
        <w:rPr>
          <w:rFonts w:ascii="Palatino Linotype" w:eastAsia="Palatino Linotype" w:hAnsi="Palatino Linotype" w:cs="Palatino Linotype"/>
          <w:b/>
          <w:bCs/>
          <w:color w:val="000000"/>
          <w:sz w:val="22"/>
          <w:szCs w:val="22"/>
        </w:rPr>
        <w:t>CUARTO. NOTIFÍQUESE POR SAIMEX</w:t>
      </w:r>
      <w:r w:rsidRPr="00773862">
        <w:rPr>
          <w:rFonts w:ascii="Palatino Linotype" w:eastAsia="Palatino Linotype" w:hAnsi="Palatino Linotype" w:cs="Palatino Linotype"/>
          <w:color w:val="000000"/>
          <w:sz w:val="22"/>
          <w:szCs w:val="22"/>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66CD4ED" w14:textId="77777777" w:rsidR="00770763" w:rsidRPr="00773862" w:rsidRDefault="00770763">
      <w:pPr>
        <w:spacing w:line="360" w:lineRule="auto"/>
        <w:jc w:val="both"/>
        <w:rPr>
          <w:rFonts w:ascii="Palatino Linotype" w:eastAsia="Palatino Linotype" w:hAnsi="Palatino Linotype" w:cs="Palatino Linotype"/>
          <w:b/>
          <w:bCs/>
          <w:sz w:val="22"/>
          <w:szCs w:val="22"/>
        </w:rPr>
      </w:pPr>
    </w:p>
    <w:p w14:paraId="183138F9" w14:textId="77777777" w:rsidR="00770763" w:rsidRDefault="00C21923">
      <w:pPr>
        <w:spacing w:line="360" w:lineRule="auto"/>
        <w:jc w:val="both"/>
        <w:rPr>
          <w:rFonts w:ascii="Palatino Linotype" w:eastAsia="Palatino Linotype" w:hAnsi="Palatino Linotype" w:cs="Palatino Linotype"/>
          <w:color w:val="000000"/>
          <w:sz w:val="22"/>
          <w:szCs w:val="22"/>
        </w:rPr>
      </w:pPr>
      <w:bookmarkStart w:id="33" w:name="_heading=h.npfvk25ewo98" w:colFirst="0" w:colLast="0"/>
      <w:bookmarkEnd w:id="33"/>
      <w:r w:rsidRPr="00773862">
        <w:rPr>
          <w:rFonts w:ascii="Palatino Linotype" w:eastAsia="Palatino Linotype" w:hAnsi="Palatino Linotype" w:cs="Palatino Linotype"/>
          <w:color w:val="000000"/>
          <w:sz w:val="22"/>
          <w:szCs w:val="22"/>
        </w:rPr>
        <w:t>ASÍ LO RESUELVE, POR </w:t>
      </w:r>
      <w:r w:rsidRPr="00773862">
        <w:rPr>
          <w:rFonts w:ascii="Palatino Linotype" w:eastAsia="Palatino Linotype" w:hAnsi="Palatino Linotype" w:cs="Palatino Linotype"/>
          <w:b/>
          <w:bCs/>
          <w:color w:val="000000"/>
          <w:sz w:val="22"/>
          <w:szCs w:val="22"/>
        </w:rPr>
        <w:t>UNANIMIDAD</w:t>
      </w:r>
      <w:r w:rsidRPr="00773862">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w:t>
      </w:r>
      <w:r w:rsidRPr="00773862">
        <w:rPr>
          <w:rFonts w:ascii="Palatino Linotype" w:eastAsia="Palatino Linotype" w:hAnsi="Palatino Linotype" w:cs="Palatino Linotype"/>
          <w:color w:val="000000"/>
          <w:sz w:val="22"/>
          <w:szCs w:val="22"/>
        </w:rPr>
        <w:lastRenderedPageBreak/>
        <w:t>CELEBRADA EL VEINTICINCO DE MARZO DE DOS MIL VEINTISÉIS, ANTE EL SECRETARIO TÉCNICO DEL PLENO, ALEXIS TAPIA RAMÍREZ.</w:t>
      </w:r>
      <w:r>
        <w:rPr>
          <w:rFonts w:ascii="Palatino Linotype" w:eastAsia="Palatino Linotype" w:hAnsi="Palatino Linotype" w:cs="Palatino Linotype"/>
          <w:color w:val="000000"/>
          <w:sz w:val="22"/>
          <w:szCs w:val="22"/>
        </w:rPr>
        <w:t xml:space="preserve"> </w:t>
      </w:r>
    </w:p>
    <w:p w14:paraId="33636492" w14:textId="77777777" w:rsidR="00770763" w:rsidRDefault="00770763">
      <w:pPr>
        <w:spacing w:line="360" w:lineRule="auto"/>
        <w:jc w:val="both"/>
        <w:rPr>
          <w:rFonts w:ascii="Palatino Linotype" w:eastAsia="Palatino Linotype" w:hAnsi="Palatino Linotype" w:cs="Palatino Linotype"/>
          <w:sz w:val="22"/>
          <w:szCs w:val="22"/>
        </w:rPr>
      </w:pPr>
    </w:p>
    <w:p w14:paraId="0715FA98" w14:textId="77777777" w:rsidR="00770763" w:rsidRDefault="00770763">
      <w:pPr>
        <w:spacing w:line="360" w:lineRule="auto"/>
        <w:jc w:val="both"/>
        <w:rPr>
          <w:rFonts w:ascii="Palatino Linotype" w:eastAsia="Palatino Linotype" w:hAnsi="Palatino Linotype" w:cs="Palatino Linotype"/>
          <w:sz w:val="22"/>
          <w:szCs w:val="22"/>
        </w:rPr>
      </w:pPr>
    </w:p>
    <w:p w14:paraId="713B5A67" w14:textId="77777777" w:rsidR="00770763" w:rsidRDefault="00770763">
      <w:pPr>
        <w:spacing w:line="360" w:lineRule="auto"/>
        <w:jc w:val="both"/>
        <w:rPr>
          <w:rFonts w:ascii="Palatino Linotype" w:eastAsia="Palatino Linotype" w:hAnsi="Palatino Linotype" w:cs="Palatino Linotype"/>
          <w:sz w:val="22"/>
          <w:szCs w:val="22"/>
        </w:rPr>
      </w:pPr>
    </w:p>
    <w:p w14:paraId="0D0822AC" w14:textId="77777777" w:rsidR="00770763" w:rsidRDefault="00770763">
      <w:pPr>
        <w:spacing w:line="360" w:lineRule="auto"/>
        <w:jc w:val="both"/>
        <w:rPr>
          <w:rFonts w:ascii="Palatino Linotype" w:eastAsia="Palatino Linotype" w:hAnsi="Palatino Linotype" w:cs="Palatino Linotype"/>
          <w:sz w:val="22"/>
          <w:szCs w:val="22"/>
        </w:rPr>
      </w:pPr>
    </w:p>
    <w:p w14:paraId="0C26E0B4" w14:textId="77777777" w:rsidR="00770763" w:rsidRDefault="00770763">
      <w:pPr>
        <w:spacing w:line="360" w:lineRule="auto"/>
        <w:jc w:val="both"/>
        <w:rPr>
          <w:rFonts w:ascii="Palatino Linotype" w:eastAsia="Palatino Linotype" w:hAnsi="Palatino Linotype" w:cs="Palatino Linotype"/>
          <w:sz w:val="22"/>
          <w:szCs w:val="22"/>
        </w:rPr>
      </w:pPr>
    </w:p>
    <w:p w14:paraId="4A87000E" w14:textId="77777777" w:rsidR="00770763" w:rsidRDefault="00770763">
      <w:pPr>
        <w:spacing w:line="360" w:lineRule="auto"/>
        <w:jc w:val="both"/>
        <w:rPr>
          <w:rFonts w:ascii="Palatino Linotype" w:eastAsia="Palatino Linotype" w:hAnsi="Palatino Linotype" w:cs="Palatino Linotype"/>
          <w:sz w:val="22"/>
          <w:szCs w:val="22"/>
        </w:rPr>
      </w:pPr>
    </w:p>
    <w:p w14:paraId="3819E870" w14:textId="77777777" w:rsidR="00770763" w:rsidRDefault="00770763">
      <w:pPr>
        <w:spacing w:line="360" w:lineRule="auto"/>
        <w:jc w:val="both"/>
        <w:rPr>
          <w:rFonts w:ascii="Palatino Linotype" w:eastAsia="Palatino Linotype" w:hAnsi="Palatino Linotype" w:cs="Palatino Linotype"/>
          <w:sz w:val="22"/>
          <w:szCs w:val="22"/>
        </w:rPr>
      </w:pPr>
    </w:p>
    <w:p w14:paraId="54F6D1E0" w14:textId="77777777" w:rsidR="00770763" w:rsidRDefault="00770763">
      <w:pPr>
        <w:spacing w:line="360" w:lineRule="auto"/>
        <w:jc w:val="both"/>
        <w:rPr>
          <w:rFonts w:ascii="Palatino Linotype" w:eastAsia="Palatino Linotype" w:hAnsi="Palatino Linotype" w:cs="Palatino Linotype"/>
          <w:sz w:val="22"/>
          <w:szCs w:val="22"/>
        </w:rPr>
      </w:pPr>
    </w:p>
    <w:p w14:paraId="1BDE5944" w14:textId="77777777" w:rsidR="00770763" w:rsidRDefault="00770763">
      <w:pPr>
        <w:spacing w:line="360" w:lineRule="auto"/>
        <w:jc w:val="both"/>
        <w:rPr>
          <w:rFonts w:ascii="Palatino Linotype" w:eastAsia="Palatino Linotype" w:hAnsi="Palatino Linotype" w:cs="Palatino Linotype"/>
          <w:b/>
          <w:bCs/>
          <w:sz w:val="22"/>
          <w:szCs w:val="22"/>
        </w:rPr>
      </w:pPr>
    </w:p>
    <w:p w14:paraId="3C1345D8" w14:textId="77777777" w:rsidR="00770763" w:rsidRDefault="00770763">
      <w:pPr>
        <w:spacing w:line="360" w:lineRule="auto"/>
        <w:jc w:val="both"/>
        <w:rPr>
          <w:rFonts w:ascii="Palatino Linotype" w:eastAsia="Palatino Linotype" w:hAnsi="Palatino Linotype" w:cs="Palatino Linotype"/>
          <w:sz w:val="22"/>
          <w:szCs w:val="22"/>
        </w:rPr>
      </w:pPr>
    </w:p>
    <w:p w14:paraId="4A6B3587" w14:textId="77777777" w:rsidR="00770763" w:rsidRDefault="00770763">
      <w:pPr>
        <w:spacing w:line="360" w:lineRule="auto"/>
        <w:jc w:val="both"/>
        <w:rPr>
          <w:rFonts w:ascii="Palatino Linotype" w:eastAsia="Palatino Linotype" w:hAnsi="Palatino Linotype" w:cs="Palatino Linotype"/>
          <w:sz w:val="22"/>
          <w:szCs w:val="22"/>
        </w:rPr>
      </w:pPr>
    </w:p>
    <w:p w14:paraId="0DF14F84" w14:textId="77777777" w:rsidR="00770763" w:rsidRDefault="00770763">
      <w:pPr>
        <w:spacing w:line="360" w:lineRule="auto"/>
        <w:jc w:val="both"/>
        <w:rPr>
          <w:rFonts w:ascii="Palatino Linotype" w:eastAsia="Palatino Linotype" w:hAnsi="Palatino Linotype" w:cs="Palatino Linotype"/>
          <w:sz w:val="22"/>
          <w:szCs w:val="22"/>
        </w:rPr>
      </w:pPr>
    </w:p>
    <w:p w14:paraId="7D843BC3" w14:textId="77777777" w:rsidR="00770763" w:rsidRDefault="00770763">
      <w:pPr>
        <w:spacing w:line="360" w:lineRule="auto"/>
        <w:ind w:right="-93"/>
        <w:jc w:val="both"/>
        <w:rPr>
          <w:rFonts w:ascii="Palatino Linotype" w:eastAsia="Palatino Linotype" w:hAnsi="Palatino Linotype" w:cs="Palatino Linotype"/>
          <w:sz w:val="22"/>
          <w:szCs w:val="22"/>
        </w:rPr>
      </w:pPr>
    </w:p>
    <w:p w14:paraId="54F5AC9D" w14:textId="77777777" w:rsidR="00770763" w:rsidRDefault="00770763">
      <w:pPr>
        <w:spacing w:line="360" w:lineRule="auto"/>
        <w:jc w:val="both"/>
        <w:rPr>
          <w:rFonts w:ascii="Palatino Linotype" w:eastAsia="Palatino Linotype" w:hAnsi="Palatino Linotype" w:cs="Palatino Linotype"/>
          <w:sz w:val="22"/>
          <w:szCs w:val="22"/>
        </w:rPr>
      </w:pPr>
    </w:p>
    <w:p w14:paraId="6FEBD7C7" w14:textId="77777777" w:rsidR="00770763" w:rsidRDefault="00770763">
      <w:pPr>
        <w:spacing w:line="360" w:lineRule="auto"/>
        <w:jc w:val="both"/>
        <w:rPr>
          <w:rFonts w:ascii="Palatino Linotype" w:eastAsia="Palatino Linotype" w:hAnsi="Palatino Linotype" w:cs="Palatino Linotype"/>
          <w:sz w:val="22"/>
          <w:szCs w:val="22"/>
        </w:rPr>
      </w:pPr>
    </w:p>
    <w:p w14:paraId="45C1D7D7" w14:textId="77777777" w:rsidR="00770763" w:rsidRDefault="00770763">
      <w:pPr>
        <w:spacing w:line="360" w:lineRule="auto"/>
      </w:pPr>
    </w:p>
    <w:p w14:paraId="38823856" w14:textId="77777777" w:rsidR="00770763" w:rsidRDefault="00770763">
      <w:pPr>
        <w:spacing w:line="360" w:lineRule="auto"/>
      </w:pPr>
    </w:p>
    <w:p w14:paraId="76B7FDED" w14:textId="77777777" w:rsidR="00770763" w:rsidRDefault="00770763">
      <w:pPr>
        <w:spacing w:line="360" w:lineRule="auto"/>
      </w:pPr>
    </w:p>
    <w:p w14:paraId="0B956044" w14:textId="77777777" w:rsidR="00770763" w:rsidRDefault="00770763">
      <w:pPr>
        <w:spacing w:line="360" w:lineRule="auto"/>
      </w:pPr>
    </w:p>
    <w:p w14:paraId="7C9ACB38" w14:textId="77777777" w:rsidR="00770763" w:rsidRDefault="00770763">
      <w:pPr>
        <w:spacing w:line="360" w:lineRule="auto"/>
      </w:pPr>
    </w:p>
    <w:p w14:paraId="59731E3A" w14:textId="77777777" w:rsidR="00770763" w:rsidRDefault="00770763">
      <w:pPr>
        <w:spacing w:line="360" w:lineRule="auto"/>
        <w:jc w:val="both"/>
        <w:rPr>
          <w:rFonts w:ascii="Palatino Linotype" w:eastAsia="Palatino Linotype" w:hAnsi="Palatino Linotype" w:cs="Palatino Linotype"/>
          <w:color w:val="000000"/>
          <w:sz w:val="22"/>
          <w:szCs w:val="22"/>
        </w:rPr>
      </w:pPr>
    </w:p>
    <w:sectPr w:rsidR="00770763">
      <w:headerReference w:type="default" r:id="rId8"/>
      <w:footerReference w:type="default" r:id="rId9"/>
      <w:headerReference w:type="first" r:id="rId10"/>
      <w:footerReference w:type="first" r:id="rId11"/>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B79E5" w14:textId="77777777" w:rsidR="00642AB6" w:rsidRDefault="00642AB6">
      <w:r>
        <w:separator/>
      </w:r>
    </w:p>
  </w:endnote>
  <w:endnote w:type="continuationSeparator" w:id="0">
    <w:p w14:paraId="4541F352" w14:textId="77777777" w:rsidR="00642AB6" w:rsidRDefault="00642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CF99C02B-2D40-4EF3-ABE9-A7922212420B}"/>
    <w:embedBold r:id="rId2" w:fontKey="{88B7B162-D36A-4EF7-9237-5A202F8110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DDE85DCF-AB4F-454F-9A58-B9E5331F41D9}"/>
    <w:embedBold r:id="rId4" w:fontKey="{ADB0A79D-7A0C-431D-972C-218F9E270696}"/>
    <w:embedItalic r:id="rId5" w:fontKey="{DE6D8BFE-9096-45E4-A55D-E627D7927955}"/>
    <w:embedBoldItalic r:id="rId6" w:fontKey="{89378240-BC9C-4593-8140-F1F6CB17D8D8}"/>
  </w:font>
  <w:font w:name="Calibri">
    <w:panose1 w:val="020F0502020204030204"/>
    <w:charset w:val="00"/>
    <w:family w:val="swiss"/>
    <w:pitch w:val="variable"/>
    <w:sig w:usb0="E4002EFF" w:usb1="C200247B" w:usb2="00000009" w:usb3="00000000" w:csb0="000001FF" w:csb1="00000000"/>
    <w:embedRegular r:id="rId7" w:fontKey="{54949D6B-1619-47B8-9488-D52CA82A1EF3}"/>
    <w:embedBold r:id="rId8" w:fontKey="{5855D10D-7B0C-4343-8099-AA830476C173}"/>
  </w:font>
  <w:font w:name="Century Gothic">
    <w:panose1 w:val="020B0502020202020204"/>
    <w:charset w:val="00"/>
    <w:family w:val="swiss"/>
    <w:pitch w:val="variable"/>
    <w:sig w:usb0="00000287" w:usb1="00000000" w:usb2="00000000" w:usb3="00000000" w:csb0="0000009F" w:csb1="00000000"/>
    <w:embedRegular r:id="rId9" w:fontKey="{187377DE-F0AD-4CA0-A729-61664B59D429}"/>
  </w:font>
  <w:font w:name="Segoe UI">
    <w:panose1 w:val="020B0502040204020203"/>
    <w:charset w:val="00"/>
    <w:family w:val="swiss"/>
    <w:pitch w:val="variable"/>
    <w:sig w:usb0="E4002EFF" w:usb1="C000E47F" w:usb2="00000009" w:usb3="00000000" w:csb0="000001FF" w:csb1="00000000"/>
    <w:embedRegular r:id="rId10" w:fontKey="{BD59CBD7-450E-4F3B-9D4C-3E5F8B208014}"/>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11" w:fontKey="{68B8CAD0-33C7-485D-9163-AB3F9952E4D4}"/>
  </w:font>
  <w:font w:name="Tahoma">
    <w:panose1 w:val="020B0604030504040204"/>
    <w:charset w:val="00"/>
    <w:family w:val="swiss"/>
    <w:pitch w:val="variable"/>
    <w:sig w:usb0="E1002EFF" w:usb1="C000605B" w:usb2="00000029" w:usb3="00000000" w:csb0="000101FF" w:csb1="00000000"/>
    <w:embedBold r:id="rId12" w:fontKey="{5EEB7C0F-4F50-40C2-B90D-AD76A7E9477C}"/>
  </w:font>
  <w:font w:name="Garamond">
    <w:panose1 w:val="02020404030301010803"/>
    <w:charset w:val="00"/>
    <w:family w:val="roman"/>
    <w:pitch w:val="variable"/>
    <w:sig w:usb0="00000287" w:usb1="00000000" w:usb2="00000000" w:usb3="00000000" w:csb0="0000009F" w:csb1="00000000"/>
    <w:embedRegular r:id="rId13" w:fontKey="{BB8B43AB-F369-4772-AFFB-D9DD84C382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AEEB" w14:textId="77777777" w:rsidR="00770763" w:rsidRDefault="00770763">
    <w:pPr>
      <w:pBdr>
        <w:top w:val="nil"/>
        <w:left w:val="nil"/>
        <w:bottom w:val="nil"/>
        <w:right w:val="nil"/>
        <w:between w:val="nil"/>
      </w:pBdr>
      <w:tabs>
        <w:tab w:val="center" w:pos="4419"/>
        <w:tab w:val="right" w:pos="8838"/>
      </w:tabs>
      <w:jc w:val="right"/>
      <w:rPr>
        <w:color w:val="000000"/>
        <w:sz w:val="26"/>
        <w:szCs w:val="26"/>
      </w:rPr>
    </w:pPr>
  </w:p>
  <w:p w14:paraId="4E1E5FF0" w14:textId="77777777" w:rsidR="00770763" w:rsidRDefault="00C2192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B2ABA">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B2ABA">
      <w:rPr>
        <w:b/>
        <w:bCs/>
        <w:noProof/>
        <w:color w:val="000000"/>
        <w:sz w:val="24"/>
        <w:szCs w:val="24"/>
      </w:rPr>
      <w:t>37</w:t>
    </w:r>
    <w:r>
      <w:rPr>
        <w:b/>
        <w:bCs/>
        <w:color w:val="000000"/>
        <w:sz w:val="24"/>
        <w:szCs w:val="24"/>
      </w:rPr>
      <w:fldChar w:fldCharType="end"/>
    </w:r>
  </w:p>
  <w:p w14:paraId="7E53499C" w14:textId="77777777" w:rsidR="00770763" w:rsidRDefault="0077076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BDD6" w14:textId="77777777" w:rsidR="00770763" w:rsidRDefault="00770763">
    <w:pPr>
      <w:pBdr>
        <w:top w:val="nil"/>
        <w:left w:val="nil"/>
        <w:bottom w:val="nil"/>
        <w:right w:val="nil"/>
        <w:between w:val="nil"/>
      </w:pBdr>
      <w:tabs>
        <w:tab w:val="center" w:pos="4419"/>
        <w:tab w:val="right" w:pos="8838"/>
      </w:tabs>
      <w:jc w:val="right"/>
      <w:rPr>
        <w:color w:val="000000"/>
      </w:rPr>
    </w:pPr>
  </w:p>
  <w:p w14:paraId="1D5BB99A" w14:textId="77777777" w:rsidR="00770763" w:rsidRDefault="00C2192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B2AB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B2ABA">
      <w:rPr>
        <w:b/>
        <w:bCs/>
        <w:noProof/>
        <w:color w:val="000000"/>
        <w:sz w:val="24"/>
        <w:szCs w:val="24"/>
      </w:rPr>
      <w:t>37</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CF167" w14:textId="77777777" w:rsidR="00642AB6" w:rsidRDefault="00642AB6">
      <w:r>
        <w:separator/>
      </w:r>
    </w:p>
  </w:footnote>
  <w:footnote w:type="continuationSeparator" w:id="0">
    <w:p w14:paraId="148A4B4D" w14:textId="77777777" w:rsidR="00642AB6" w:rsidRDefault="00642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EB31" w14:textId="77777777" w:rsidR="00770763" w:rsidRDefault="0077076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1985" w:type="dxa"/>
      <w:tblLayout w:type="fixed"/>
      <w:tblLook w:val="0400" w:firstRow="0" w:lastRow="0" w:firstColumn="0" w:lastColumn="0" w:noHBand="0" w:noVBand="1"/>
    </w:tblPr>
    <w:tblGrid>
      <w:gridCol w:w="8222"/>
    </w:tblGrid>
    <w:tr w:rsidR="00770763" w14:paraId="7FC5F508" w14:textId="77777777">
      <w:trPr>
        <w:trHeight w:val="1412"/>
      </w:trPr>
      <w:tc>
        <w:tcPr>
          <w:tcW w:w="8222" w:type="dxa"/>
        </w:tcPr>
        <w:p w14:paraId="4CD48FF7" w14:textId="77777777" w:rsidR="00770763" w:rsidRDefault="00770763"/>
        <w:tbl>
          <w:tblPr>
            <w:tblStyle w:val="a0"/>
            <w:tblW w:w="6700" w:type="dxa"/>
            <w:tblInd w:w="889"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770763" w14:paraId="30D15CFB" w14:textId="77777777">
            <w:trPr>
              <w:trHeight w:val="144"/>
            </w:trPr>
            <w:tc>
              <w:tcPr>
                <w:tcW w:w="2552" w:type="dxa"/>
              </w:tcPr>
              <w:p w14:paraId="11A3D66B"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5565789F"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13046/INFOEM/ICR-115/IP/RR/2025</w:t>
                </w:r>
              </w:p>
            </w:tc>
          </w:tr>
          <w:tr w:rsidR="00770763" w14:paraId="6393A6F2" w14:textId="77777777">
            <w:trPr>
              <w:trHeight w:val="144"/>
            </w:trPr>
            <w:tc>
              <w:tcPr>
                <w:tcW w:w="2552" w:type="dxa"/>
              </w:tcPr>
              <w:p w14:paraId="6AE8CE44"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003DF2AE"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Tepotzotlán</w:t>
                </w:r>
              </w:p>
            </w:tc>
          </w:tr>
          <w:tr w:rsidR="00770763" w14:paraId="60905BD9" w14:textId="77777777">
            <w:trPr>
              <w:trHeight w:val="138"/>
            </w:trPr>
            <w:tc>
              <w:tcPr>
                <w:tcW w:w="2552" w:type="dxa"/>
              </w:tcPr>
              <w:p w14:paraId="3278726D"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51CA7FA9"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1D206B6D" w14:textId="77777777" w:rsidR="00770763" w:rsidRDefault="00770763">
          <w:pPr>
            <w:tabs>
              <w:tab w:val="right" w:pos="8838"/>
            </w:tabs>
            <w:ind w:left="-28"/>
            <w:jc w:val="both"/>
            <w:rPr>
              <w:rFonts w:ascii="Arial" w:eastAsia="Arial" w:hAnsi="Arial" w:cs="Arial"/>
              <w:b/>
              <w:bCs/>
              <w:sz w:val="22"/>
              <w:szCs w:val="22"/>
            </w:rPr>
          </w:pPr>
        </w:p>
      </w:tc>
    </w:tr>
  </w:tbl>
  <w:p w14:paraId="68563C33" w14:textId="77777777" w:rsidR="00770763" w:rsidRDefault="00642AB6">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038E4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4.15pt;margin-top:-12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32A4" w14:textId="77777777" w:rsidR="00770763" w:rsidRDefault="00642AB6">
    <w:r>
      <w:rPr>
        <w:rFonts w:ascii="Palatino Linotype" w:eastAsia="Palatino Linotype" w:hAnsi="Palatino Linotype" w:cs="Palatino Linotype"/>
        <w:b/>
        <w:bCs/>
        <w:sz w:val="22"/>
        <w:szCs w:val="22"/>
      </w:rPr>
      <w:pict w14:anchorId="04E45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100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02"/>
      <w:gridCol w:w="2405"/>
      <w:gridCol w:w="4257"/>
    </w:tblGrid>
    <w:tr w:rsidR="00770763" w14:paraId="00C8429D" w14:textId="77777777">
      <w:trPr>
        <w:trHeight w:val="466"/>
      </w:trPr>
      <w:tc>
        <w:tcPr>
          <w:tcW w:w="3402" w:type="dxa"/>
          <w:vAlign w:val="bottom"/>
        </w:tcPr>
        <w:p w14:paraId="32CBAB6D"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4A7C332A"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19C39F70" w14:textId="77777777" w:rsidR="00770763" w:rsidRDefault="00C21923">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13046/INFOEM/ICR-115/IP/RR/2025</w:t>
          </w:r>
        </w:p>
      </w:tc>
    </w:tr>
    <w:tr w:rsidR="00770763" w14:paraId="7219B51B" w14:textId="77777777">
      <w:trPr>
        <w:trHeight w:val="119"/>
      </w:trPr>
      <w:tc>
        <w:tcPr>
          <w:tcW w:w="3402" w:type="dxa"/>
        </w:tcPr>
        <w:p w14:paraId="1DB039FC"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tcPr>
        <w:p w14:paraId="0CAD2DD3" w14:textId="77777777" w:rsidR="00770763" w:rsidRDefault="00C2192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6AC3BC3F" w14:textId="713CCFFD" w:rsidR="00770763" w:rsidRDefault="00C53024">
          <w:pPr>
            <w:tabs>
              <w:tab w:val="right" w:pos="8838"/>
            </w:tabs>
            <w:spacing w:line="276" w:lineRule="auto"/>
            <w:ind w:right="-246"/>
            <w:jc w:val="both"/>
            <w:rPr>
              <w:rFonts w:ascii="Palatino Linotype" w:eastAsia="Palatino Linotype" w:hAnsi="Palatino Linotype" w:cs="Palatino Linotype"/>
              <w:sz w:val="22"/>
              <w:szCs w:val="22"/>
            </w:rPr>
          </w:pPr>
          <w:r w:rsidRPr="00C53024">
            <w:rPr>
              <w:rFonts w:ascii="Palatino Linotype" w:eastAsia="Palatino Linotype" w:hAnsi="Palatino Linotype" w:cs="Palatino Linotype"/>
              <w:sz w:val="22"/>
              <w:szCs w:val="22"/>
              <w:highlight w:val="black"/>
            </w:rPr>
            <w:t>XXXXXX</w:t>
          </w:r>
        </w:p>
      </w:tc>
    </w:tr>
    <w:tr w:rsidR="00770763" w14:paraId="5515528F" w14:textId="77777777">
      <w:trPr>
        <w:trHeight w:val="234"/>
      </w:trPr>
      <w:tc>
        <w:tcPr>
          <w:tcW w:w="3402" w:type="dxa"/>
        </w:tcPr>
        <w:p w14:paraId="5F45CAD6"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tcPr>
        <w:p w14:paraId="138361AA" w14:textId="77777777" w:rsidR="00770763" w:rsidRDefault="00C21923">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32467C24" w14:textId="77777777" w:rsidR="00770763" w:rsidRDefault="00C21923">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Tepotzotlán</w:t>
          </w:r>
        </w:p>
      </w:tc>
    </w:tr>
    <w:tr w:rsidR="00770763" w14:paraId="26D0D531" w14:textId="77777777">
      <w:trPr>
        <w:trHeight w:val="234"/>
      </w:trPr>
      <w:tc>
        <w:tcPr>
          <w:tcW w:w="3402" w:type="dxa"/>
        </w:tcPr>
        <w:p w14:paraId="2E0D1DDA"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tcPr>
        <w:p w14:paraId="483F0F3C" w14:textId="77777777" w:rsidR="00770763" w:rsidRDefault="00C21923">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36383EE0" w14:textId="77777777" w:rsidR="00770763" w:rsidRDefault="00C2192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348F8D05" w14:textId="77777777" w:rsidR="00770763" w:rsidRDefault="00770763">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830D8"/>
    <w:multiLevelType w:val="multilevel"/>
    <w:tmpl w:val="17546D96"/>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CC7D10"/>
    <w:multiLevelType w:val="multilevel"/>
    <w:tmpl w:val="33B40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181D23"/>
    <w:multiLevelType w:val="multilevel"/>
    <w:tmpl w:val="FC781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230093"/>
    <w:multiLevelType w:val="multilevel"/>
    <w:tmpl w:val="45762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1B7E9D"/>
    <w:multiLevelType w:val="multilevel"/>
    <w:tmpl w:val="33C2F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8F588F"/>
    <w:multiLevelType w:val="multilevel"/>
    <w:tmpl w:val="68D41D52"/>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315C6B"/>
    <w:multiLevelType w:val="multilevel"/>
    <w:tmpl w:val="92045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523073"/>
    <w:multiLevelType w:val="multilevel"/>
    <w:tmpl w:val="AE28AD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52B4FD0"/>
    <w:multiLevelType w:val="multilevel"/>
    <w:tmpl w:val="497EC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921B95"/>
    <w:multiLevelType w:val="multilevel"/>
    <w:tmpl w:val="D35AA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0866612">
    <w:abstractNumId w:val="5"/>
  </w:num>
  <w:num w:numId="2" w16cid:durableId="567808746">
    <w:abstractNumId w:val="0"/>
  </w:num>
  <w:num w:numId="3" w16cid:durableId="1060858345">
    <w:abstractNumId w:val="8"/>
  </w:num>
  <w:num w:numId="4" w16cid:durableId="656812175">
    <w:abstractNumId w:val="6"/>
  </w:num>
  <w:num w:numId="5" w16cid:durableId="1959752026">
    <w:abstractNumId w:val="1"/>
  </w:num>
  <w:num w:numId="6" w16cid:durableId="1887721425">
    <w:abstractNumId w:val="3"/>
  </w:num>
  <w:num w:numId="7" w16cid:durableId="1773938535">
    <w:abstractNumId w:val="9"/>
  </w:num>
  <w:num w:numId="8" w16cid:durableId="65538898">
    <w:abstractNumId w:val="4"/>
  </w:num>
  <w:num w:numId="9" w16cid:durableId="300842534">
    <w:abstractNumId w:val="2"/>
  </w:num>
  <w:num w:numId="10" w16cid:durableId="21054176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763"/>
    <w:rsid w:val="00052329"/>
    <w:rsid w:val="00091632"/>
    <w:rsid w:val="000A1A07"/>
    <w:rsid w:val="000B2ABA"/>
    <w:rsid w:val="002E68D9"/>
    <w:rsid w:val="003541FC"/>
    <w:rsid w:val="003F62A6"/>
    <w:rsid w:val="00494432"/>
    <w:rsid w:val="004E0B46"/>
    <w:rsid w:val="00576284"/>
    <w:rsid w:val="005F1B32"/>
    <w:rsid w:val="006258FB"/>
    <w:rsid w:val="00642AB6"/>
    <w:rsid w:val="00770763"/>
    <w:rsid w:val="00773862"/>
    <w:rsid w:val="00777976"/>
    <w:rsid w:val="00C21923"/>
    <w:rsid w:val="00C53024"/>
    <w:rsid w:val="00CC0CF6"/>
    <w:rsid w:val="00E341F8"/>
    <w:rsid w:val="00F17915"/>
    <w:rsid w:val="00FB35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3A360"/>
  <w15:docId w15:val="{3BC5F52A-0C1E-4800-BCAA-93D6209ED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Fuerte">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XBZGAbxzkeJMITQ/+vnom6EwWQ==">CgMxLjAyDmgud2lvaW9rbDMyaWNvMg5oLmVxaGxidGJuNDEwZjIOaC51bTdoYTh6N2JkdXgyDmgua3hqZzlwMTJqbzYyMg5oLjdsNXpzNnozNDF0eDIOaC5maWZob3U3dHVhMmIyDmgub3RseWR1OGJlM3g2Mg5oLjQ2bnJ3c3dyNjZrbzIOaC5vYWNmZXpuZWN3bmQyDmguNzd6a2VkdGUwcnd2Mg5oLjV3bWk1bGF0dmgxNTIOaC5iNTlqaG81YzVjNTAyDmgucnExem9rcDk1djZjMg5oLnhtY21pbWZlenl6cTIOaC5qOXpxbHV0dm9jY2kyDmgubzVkbjJmMjJ4cmJ4Mg1oLnBhaGF0ZmV3cWM1Mg5oLm5wZnZrMjVld285ODgAciExRTZzMlY3MXRKU0RYOEN3aTdaU0poU3JBREFueHlCW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8902</Words>
  <Characters>48964</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Israel Martinez Serrano</cp:lastModifiedBy>
  <cp:revision>5</cp:revision>
  <cp:lastPrinted>2026-03-27T16:23:00Z</cp:lastPrinted>
  <dcterms:created xsi:type="dcterms:W3CDTF">2026-03-27T16:23:00Z</dcterms:created>
  <dcterms:modified xsi:type="dcterms:W3CDTF">2026-04-08T23:54:00Z</dcterms:modified>
</cp:coreProperties>
</file>