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851" w:rsidRPr="00980A22" w:rsidRDefault="00D47851" w:rsidP="00D47851">
      <w:pPr>
        <w:spacing w:line="360" w:lineRule="auto"/>
        <w:rPr>
          <w:rFonts w:ascii="Palatino Linotype" w:hAnsi="Palatino Linotype"/>
        </w:rPr>
      </w:pPr>
      <w:r w:rsidRPr="00980A22">
        <w:rPr>
          <w:rFonts w:ascii="Palatino Linotype" w:hAnsi="Palatino Linotype"/>
        </w:rPr>
        <w:t>Resolución del Pleno del Instituto de Transparencia, Acceso a la Informac</w:t>
      </w:r>
      <w:bookmarkStart w:id="0" w:name="_GoBack"/>
      <w:bookmarkEnd w:id="0"/>
      <w:r w:rsidRPr="00980A22">
        <w:rPr>
          <w:rFonts w:ascii="Palatino Linotype" w:hAnsi="Palatino Linotype"/>
        </w:rPr>
        <w:t>ión Pública y Protección de Datos Personales del Estado de México y Municipios, con domicilio en Metepec, Estado de México, a diecisiete de septiembre de dos mil veintiséis.</w:t>
      </w:r>
    </w:p>
    <w:p w:rsidR="00D47851" w:rsidRPr="00980A22" w:rsidRDefault="00D47851" w:rsidP="00D47851">
      <w:pPr>
        <w:spacing w:line="360" w:lineRule="auto"/>
        <w:jc w:val="both"/>
        <w:rPr>
          <w:rFonts w:ascii="Palatino Linotype" w:hAnsi="Palatino Linotype"/>
        </w:rPr>
      </w:pPr>
    </w:p>
    <w:p w:rsidR="00D47851" w:rsidRPr="00980A22" w:rsidRDefault="00D47851" w:rsidP="00D47851">
      <w:pPr>
        <w:tabs>
          <w:tab w:val="left" w:pos="1701"/>
        </w:tabs>
        <w:spacing w:line="360" w:lineRule="auto"/>
        <w:jc w:val="both"/>
        <w:rPr>
          <w:rFonts w:ascii="Palatino Linotype" w:eastAsiaTheme="minorHAnsi" w:hAnsi="Palatino Linotype" w:cs="Arial"/>
          <w:b/>
          <w:lang w:val="es-MX" w:eastAsia="en-US"/>
        </w:rPr>
      </w:pPr>
      <w:r w:rsidRPr="00980A22">
        <w:rPr>
          <w:rFonts w:ascii="Palatino Linotype" w:hAnsi="Palatino Linotype"/>
          <w:b/>
        </w:rPr>
        <w:t>VISTO</w:t>
      </w:r>
      <w:r w:rsidRPr="00980A22">
        <w:rPr>
          <w:rFonts w:ascii="Palatino Linotype" w:hAnsi="Palatino Linotype"/>
        </w:rPr>
        <w:t xml:space="preserve"> el expediente formado con motivo del recurso de revisión </w:t>
      </w:r>
      <w:r w:rsidRPr="00980A22">
        <w:rPr>
          <w:rFonts w:ascii="Palatino Linotype" w:hAnsi="Palatino Linotype"/>
          <w:b/>
        </w:rPr>
        <w:t xml:space="preserve">06407/INFOEM/IP/RR/2026, </w:t>
      </w:r>
      <w:r w:rsidRPr="00980A22">
        <w:rPr>
          <w:rFonts w:ascii="Palatino Linotype" w:eastAsiaTheme="minorHAnsi" w:hAnsi="Palatino Linotype" w:cs="Arial"/>
          <w:lang w:val="es-MX" w:eastAsia="en-US"/>
        </w:rPr>
        <w:t xml:space="preserve">interpuesto por un particular que no proporcionó nombre o </w:t>
      </w:r>
      <w:r w:rsidR="001E17D4" w:rsidRPr="00980A22">
        <w:rPr>
          <w:rFonts w:ascii="Palatino Linotype" w:eastAsiaTheme="minorHAnsi" w:hAnsi="Palatino Linotype" w:cs="Arial"/>
          <w:lang w:val="es-MX" w:eastAsia="en-US"/>
        </w:rPr>
        <w:t>seudónimo</w:t>
      </w:r>
      <w:r w:rsidRPr="00980A22">
        <w:rPr>
          <w:rFonts w:ascii="Palatino Linotype" w:eastAsiaTheme="minorHAnsi" w:hAnsi="Palatino Linotype" w:cs="Arial"/>
          <w:lang w:val="es-MX" w:eastAsia="en-US"/>
        </w:rPr>
        <w:t xml:space="preserve">, en lo sucesivo </w:t>
      </w:r>
      <w:r w:rsidRPr="00980A22">
        <w:rPr>
          <w:rFonts w:ascii="Palatino Linotype" w:eastAsiaTheme="minorHAnsi" w:hAnsi="Palatino Linotype" w:cs="Arial"/>
          <w:b/>
          <w:lang w:val="es-MX" w:eastAsia="en-US"/>
        </w:rPr>
        <w:t>la parte Recurrente</w:t>
      </w:r>
      <w:r w:rsidRPr="00980A22">
        <w:rPr>
          <w:rFonts w:ascii="Palatino Linotype" w:eastAsiaTheme="minorHAnsi" w:hAnsi="Palatino Linotype" w:cs="Arial"/>
          <w:lang w:val="es-MX" w:eastAsia="en-US"/>
        </w:rPr>
        <w:t>, en contra de la respuesta de</w:t>
      </w:r>
      <w:r w:rsidR="001E17D4" w:rsidRPr="00980A22">
        <w:rPr>
          <w:rFonts w:ascii="Palatino Linotype" w:eastAsiaTheme="minorHAnsi" w:hAnsi="Palatino Linotype" w:cs="Arial"/>
          <w:lang w:val="es-MX" w:eastAsia="en-US"/>
        </w:rPr>
        <w:t xml:space="preserve"> </w:t>
      </w:r>
      <w:r w:rsidRPr="00980A22">
        <w:rPr>
          <w:rFonts w:ascii="Palatino Linotype" w:eastAsiaTheme="minorHAnsi" w:hAnsi="Palatino Linotype" w:cs="Arial"/>
          <w:lang w:val="es-MX" w:eastAsia="en-US"/>
        </w:rPr>
        <w:t>l</w:t>
      </w:r>
      <w:r w:rsidR="001E17D4" w:rsidRPr="00980A22">
        <w:rPr>
          <w:rFonts w:ascii="Palatino Linotype" w:eastAsiaTheme="minorHAnsi" w:hAnsi="Palatino Linotype" w:cs="Arial"/>
          <w:lang w:val="es-MX" w:eastAsia="en-US"/>
        </w:rPr>
        <w:t>a</w:t>
      </w:r>
      <w:r w:rsidRPr="00980A22">
        <w:rPr>
          <w:rFonts w:ascii="Palatino Linotype" w:eastAsiaTheme="minorHAnsi" w:hAnsi="Palatino Linotype" w:cs="Arial"/>
          <w:lang w:val="es-MX" w:eastAsia="en-US"/>
        </w:rPr>
        <w:t xml:space="preserve"> </w:t>
      </w:r>
      <w:r w:rsidRPr="00980A22">
        <w:rPr>
          <w:rFonts w:ascii="Palatino Linotype" w:hAnsi="Palatino Linotype"/>
          <w:b/>
        </w:rPr>
        <w:t>Secretaría de Finanzas</w:t>
      </w:r>
      <w:r w:rsidRPr="00980A22">
        <w:rPr>
          <w:rFonts w:ascii="Palatino Linotype" w:eastAsiaTheme="minorHAnsi" w:hAnsi="Palatino Linotype" w:cs="Arial"/>
          <w:b/>
          <w:lang w:val="es-MX" w:eastAsia="en-US"/>
        </w:rPr>
        <w:t xml:space="preserve">, </w:t>
      </w:r>
      <w:r w:rsidRPr="00980A22">
        <w:rPr>
          <w:rFonts w:ascii="Palatino Linotype" w:eastAsiaTheme="minorHAnsi" w:hAnsi="Palatino Linotype" w:cs="Arial"/>
          <w:lang w:val="es-MX" w:eastAsia="en-US"/>
        </w:rPr>
        <w:t>en lo subsecuente</w:t>
      </w:r>
      <w:r w:rsidRPr="00980A22">
        <w:rPr>
          <w:rFonts w:ascii="Palatino Linotype" w:eastAsiaTheme="minorHAnsi" w:hAnsi="Palatino Linotype" w:cs="Arial"/>
          <w:b/>
          <w:lang w:val="es-MX" w:eastAsia="en-US"/>
        </w:rPr>
        <w:t xml:space="preserve"> el Sujeto Obligado, </w:t>
      </w:r>
      <w:r w:rsidRPr="00980A22">
        <w:rPr>
          <w:rFonts w:ascii="Palatino Linotype" w:eastAsiaTheme="minorHAnsi" w:hAnsi="Palatino Linotype" w:cs="Arial"/>
          <w:lang w:val="es-MX" w:eastAsia="en-US"/>
        </w:rPr>
        <w:t>se procede a dictar la presente resolución.</w:t>
      </w:r>
    </w:p>
    <w:p w:rsidR="00D47851" w:rsidRPr="00980A22" w:rsidRDefault="00D47851" w:rsidP="00D47851">
      <w:pPr>
        <w:spacing w:line="360" w:lineRule="auto"/>
        <w:jc w:val="both"/>
        <w:rPr>
          <w:rFonts w:ascii="Palatino Linotype" w:hAnsi="Palatino Linotype"/>
          <w:b/>
          <w:bCs/>
          <w:spacing w:val="60"/>
          <w:lang w:val="es-ES_tradnl"/>
        </w:rPr>
      </w:pPr>
    </w:p>
    <w:p w:rsidR="00D47851" w:rsidRPr="00980A22" w:rsidRDefault="00D47851" w:rsidP="00D47851">
      <w:pPr>
        <w:spacing w:line="360" w:lineRule="auto"/>
        <w:jc w:val="center"/>
        <w:rPr>
          <w:rFonts w:ascii="Palatino Linotype" w:hAnsi="Palatino Linotype"/>
          <w:b/>
          <w:bCs/>
          <w:spacing w:val="60"/>
          <w:sz w:val="28"/>
          <w:lang w:val="es-ES_tradnl"/>
        </w:rPr>
      </w:pPr>
      <w:r w:rsidRPr="00980A22">
        <w:rPr>
          <w:rFonts w:ascii="Palatino Linotype" w:hAnsi="Palatino Linotype"/>
          <w:b/>
          <w:bCs/>
          <w:spacing w:val="60"/>
          <w:sz w:val="28"/>
          <w:lang w:val="es-ES_tradnl"/>
        </w:rPr>
        <w:t>RESULTANDO</w:t>
      </w:r>
    </w:p>
    <w:p w:rsidR="00D47851" w:rsidRPr="00980A22" w:rsidRDefault="00D47851" w:rsidP="00D47851">
      <w:pPr>
        <w:spacing w:line="360" w:lineRule="auto"/>
        <w:jc w:val="center"/>
        <w:rPr>
          <w:rFonts w:ascii="Palatino Linotype" w:hAnsi="Palatino Linotype"/>
          <w:b/>
          <w:bCs/>
          <w:spacing w:val="60"/>
          <w:lang w:val="es-ES_tradnl"/>
        </w:rPr>
      </w:pPr>
    </w:p>
    <w:p w:rsidR="00D47851" w:rsidRPr="00980A22" w:rsidRDefault="00D47851" w:rsidP="00D47851">
      <w:pPr>
        <w:spacing w:line="360" w:lineRule="auto"/>
        <w:jc w:val="both"/>
        <w:rPr>
          <w:rFonts w:ascii="Palatino Linotype" w:hAnsi="Palatino Linotype"/>
          <w:b/>
          <w:sz w:val="28"/>
          <w:szCs w:val="28"/>
        </w:rPr>
      </w:pPr>
      <w:r w:rsidRPr="00980A22">
        <w:rPr>
          <w:rFonts w:ascii="Palatino Linotype" w:hAnsi="Palatino Linotype"/>
          <w:b/>
          <w:sz w:val="28"/>
          <w:szCs w:val="28"/>
        </w:rPr>
        <w:t>PRIMERO. De la Solicitud de Información.</w:t>
      </w:r>
    </w:p>
    <w:p w:rsidR="00D47851" w:rsidRPr="00980A22" w:rsidRDefault="00D47851" w:rsidP="00D47851">
      <w:pPr>
        <w:spacing w:line="360" w:lineRule="auto"/>
        <w:jc w:val="both"/>
        <w:rPr>
          <w:rFonts w:ascii="Palatino Linotype" w:hAnsi="Palatino Linotype"/>
        </w:rPr>
      </w:pPr>
      <w:r w:rsidRPr="00980A22">
        <w:rPr>
          <w:rFonts w:ascii="Palatino Linotype" w:hAnsi="Palatino Linotype"/>
        </w:rPr>
        <w:t xml:space="preserve">En fecha </w:t>
      </w:r>
      <w:r w:rsidR="001E17D4" w:rsidRPr="00980A22">
        <w:rPr>
          <w:rFonts w:ascii="Palatino Linotype" w:hAnsi="Palatino Linotype"/>
          <w:b/>
        </w:rPr>
        <w:t>ocho de junio</w:t>
      </w:r>
      <w:r w:rsidRPr="00980A22">
        <w:rPr>
          <w:rFonts w:ascii="Palatino Linotype" w:hAnsi="Palatino Linotype"/>
          <w:b/>
        </w:rPr>
        <w:t xml:space="preserve"> de dos mil veintiséis</w:t>
      </w:r>
      <w:r w:rsidRPr="00980A22">
        <w:rPr>
          <w:rFonts w:ascii="Palatino Linotype" w:hAnsi="Palatino Linotype"/>
        </w:rPr>
        <w:t>, el</w:t>
      </w:r>
      <w:r w:rsidRPr="00980A22">
        <w:rPr>
          <w:rFonts w:ascii="Palatino Linotype" w:hAnsi="Palatino Linotype"/>
          <w:b/>
        </w:rPr>
        <w:t xml:space="preserve"> Recurrente</w:t>
      </w:r>
      <w:r w:rsidRPr="00980A22">
        <w:rPr>
          <w:rFonts w:ascii="Palatino Linotype" w:hAnsi="Palatino Linotype"/>
        </w:rPr>
        <w:t xml:space="preserve"> presentó a través del Sistema de Acceso a la Información Mexiquense (</w:t>
      </w:r>
      <w:r w:rsidRPr="00980A22">
        <w:rPr>
          <w:rFonts w:ascii="Palatino Linotype" w:hAnsi="Palatino Linotype"/>
          <w:b/>
        </w:rPr>
        <w:t>SAIMEX)</w:t>
      </w:r>
      <w:r w:rsidRPr="00980A22">
        <w:rPr>
          <w:rFonts w:ascii="Palatino Linotype" w:hAnsi="Palatino Linotype"/>
        </w:rPr>
        <w:t>, ante el</w:t>
      </w:r>
      <w:r w:rsidRPr="00980A22">
        <w:rPr>
          <w:rFonts w:ascii="Palatino Linotype" w:hAnsi="Palatino Linotype"/>
          <w:b/>
        </w:rPr>
        <w:t xml:space="preserve"> Sujeto Obligado</w:t>
      </w:r>
      <w:r w:rsidRPr="00980A22">
        <w:rPr>
          <w:rFonts w:ascii="Palatino Linotype" w:hAnsi="Palatino Linotype"/>
        </w:rPr>
        <w:t xml:space="preserve">, solicitud de acceso a la información pública, a la que se les asignó el número de expediente </w:t>
      </w:r>
      <w:r w:rsidR="001E17D4" w:rsidRPr="00980A22">
        <w:rPr>
          <w:rFonts w:ascii="Palatino Linotype" w:hAnsi="Palatino Linotype"/>
          <w:b/>
          <w:bCs/>
        </w:rPr>
        <w:t>00864/SF/IP/2026</w:t>
      </w:r>
      <w:r w:rsidRPr="00980A22">
        <w:rPr>
          <w:rFonts w:ascii="Palatino Linotype" w:hAnsi="Palatino Linotype"/>
          <w:b/>
          <w:bCs/>
        </w:rPr>
        <w:t xml:space="preserve">, </w:t>
      </w:r>
      <w:r w:rsidRPr="00980A22">
        <w:rPr>
          <w:rFonts w:ascii="Palatino Linotype" w:hAnsi="Palatino Linotype"/>
        </w:rPr>
        <w:t>mediante la cual solicitó, lo siguiente:</w:t>
      </w:r>
    </w:p>
    <w:p w:rsidR="00D47851" w:rsidRPr="00980A22" w:rsidRDefault="00D47851" w:rsidP="00D47851">
      <w:pPr>
        <w:spacing w:line="360" w:lineRule="auto"/>
        <w:jc w:val="both"/>
        <w:rPr>
          <w:rFonts w:ascii="Palatino Linotype" w:hAnsi="Palatino Linotype" w:cs="Arial"/>
        </w:rPr>
      </w:pPr>
    </w:p>
    <w:p w:rsidR="00D47851" w:rsidRPr="00980A22" w:rsidRDefault="00D47851" w:rsidP="00D47851">
      <w:pPr>
        <w:spacing w:line="276" w:lineRule="auto"/>
        <w:ind w:left="567" w:right="616"/>
        <w:jc w:val="both"/>
        <w:rPr>
          <w:rFonts w:ascii="Palatino Linotype" w:hAnsi="Palatino Linotype"/>
          <w:bCs/>
          <w:i/>
          <w:sz w:val="22"/>
        </w:rPr>
      </w:pPr>
      <w:r w:rsidRPr="00980A22">
        <w:rPr>
          <w:rFonts w:ascii="Palatino Linotype" w:hAnsi="Palatino Linotype"/>
          <w:bCs/>
          <w:i/>
          <w:sz w:val="22"/>
        </w:rPr>
        <w:t>“</w:t>
      </w:r>
      <w:r w:rsidR="001E17D4" w:rsidRPr="00980A22">
        <w:rPr>
          <w:rFonts w:ascii="Palatino Linotype" w:hAnsi="Palatino Linotype"/>
          <w:bCs/>
          <w:i/>
          <w:sz w:val="22"/>
        </w:rPr>
        <w:t>Cual es el promedio de hojas qué se gastan las áreas staff por dependencia, diferenciado cada una de ellas y que costo del presupuesto de egreso representa</w:t>
      </w:r>
      <w:r w:rsidRPr="00980A22">
        <w:rPr>
          <w:rFonts w:ascii="Palatino Linotype" w:hAnsi="Palatino Linotype"/>
          <w:bCs/>
          <w:i/>
          <w:sz w:val="22"/>
        </w:rPr>
        <w:t>” (Sic)</w:t>
      </w:r>
    </w:p>
    <w:p w:rsidR="00D47851" w:rsidRPr="00980A22" w:rsidRDefault="00D47851" w:rsidP="00D47851">
      <w:pPr>
        <w:spacing w:line="360" w:lineRule="auto"/>
        <w:ind w:left="567" w:right="616"/>
        <w:jc w:val="both"/>
        <w:rPr>
          <w:rFonts w:ascii="Palatino Linotype" w:hAnsi="Palatino Linotype"/>
          <w:bCs/>
        </w:rPr>
      </w:pPr>
    </w:p>
    <w:p w:rsidR="00D47851" w:rsidRPr="00980A22" w:rsidRDefault="00D47851" w:rsidP="00D47851">
      <w:pPr>
        <w:spacing w:line="360" w:lineRule="auto"/>
        <w:jc w:val="both"/>
        <w:rPr>
          <w:rFonts w:ascii="Palatino Linotype" w:hAnsi="Palatino Linotype"/>
          <w:szCs w:val="28"/>
          <w:lang w:val="es-MX"/>
        </w:rPr>
      </w:pPr>
      <w:r w:rsidRPr="00980A22">
        <w:rPr>
          <w:rFonts w:ascii="Palatino Linotype" w:hAnsi="Palatino Linotype"/>
          <w:szCs w:val="28"/>
          <w:lang w:val="es-MX"/>
        </w:rPr>
        <w:t>Modalidad de entrega:</w:t>
      </w:r>
      <w:r w:rsidRPr="00980A22">
        <w:rPr>
          <w:rFonts w:ascii="Palatino Linotype" w:hAnsi="Palatino Linotype"/>
          <w:b/>
          <w:i/>
          <w:szCs w:val="28"/>
          <w:lang w:val="es-MX"/>
        </w:rPr>
        <w:t xml:space="preserve"> a través del SAIMEX   </w:t>
      </w:r>
    </w:p>
    <w:p w:rsidR="00D47851" w:rsidRPr="00980A22" w:rsidRDefault="00D47851" w:rsidP="00D47851">
      <w:pPr>
        <w:spacing w:line="360" w:lineRule="auto"/>
        <w:jc w:val="both"/>
        <w:rPr>
          <w:rFonts w:ascii="Palatino Linotype" w:hAnsi="Palatino Linotype"/>
          <w:b/>
          <w:sz w:val="28"/>
          <w:szCs w:val="28"/>
          <w:lang w:val="es-MX"/>
        </w:rPr>
      </w:pPr>
    </w:p>
    <w:p w:rsidR="00D47851" w:rsidRPr="00980A22" w:rsidRDefault="00D47851" w:rsidP="00D47851">
      <w:pPr>
        <w:spacing w:line="360" w:lineRule="auto"/>
        <w:jc w:val="both"/>
        <w:rPr>
          <w:rFonts w:ascii="Palatino Linotype" w:hAnsi="Palatino Linotype" w:cs="Arial"/>
          <w:b/>
          <w:sz w:val="28"/>
          <w:szCs w:val="20"/>
        </w:rPr>
      </w:pPr>
      <w:r w:rsidRPr="00980A22">
        <w:rPr>
          <w:rFonts w:ascii="Palatino Linotype" w:hAnsi="Palatino Linotype"/>
          <w:b/>
          <w:sz w:val="28"/>
          <w:szCs w:val="28"/>
          <w:lang w:val="es-MX"/>
        </w:rPr>
        <w:t xml:space="preserve">SEGUNDO. </w:t>
      </w:r>
      <w:r w:rsidRPr="00980A22">
        <w:rPr>
          <w:rFonts w:ascii="Palatino Linotype" w:hAnsi="Palatino Linotype" w:cs="Arial"/>
          <w:b/>
          <w:sz w:val="28"/>
          <w:szCs w:val="20"/>
        </w:rPr>
        <w:t>De la respuesta del Sujeto Obligado.</w:t>
      </w:r>
    </w:p>
    <w:p w:rsidR="00D47851" w:rsidRPr="00980A22" w:rsidRDefault="00D47851" w:rsidP="00D47851">
      <w:pPr>
        <w:spacing w:line="360" w:lineRule="auto"/>
        <w:jc w:val="both"/>
        <w:rPr>
          <w:rFonts w:ascii="Palatino Linotype" w:hAnsi="Palatino Linotype"/>
        </w:rPr>
      </w:pPr>
      <w:r w:rsidRPr="00980A22">
        <w:rPr>
          <w:rFonts w:ascii="Palatino Linotype" w:hAnsi="Palatino Linotype"/>
        </w:rPr>
        <w:lastRenderedPageBreak/>
        <w:t xml:space="preserve">Como se advierte de las constancias del expediente electrónico, en fecha </w:t>
      </w:r>
      <w:r w:rsidR="001E17D4" w:rsidRPr="00980A22">
        <w:rPr>
          <w:rFonts w:ascii="Palatino Linotype" w:hAnsi="Palatino Linotype"/>
          <w:b/>
        </w:rPr>
        <w:t>diecisiete</w:t>
      </w:r>
      <w:r w:rsidRPr="00980A22">
        <w:rPr>
          <w:rFonts w:ascii="Palatino Linotype" w:hAnsi="Palatino Linotype"/>
          <w:b/>
        </w:rPr>
        <w:t xml:space="preserve"> de junio de dos mil veintiséis</w:t>
      </w:r>
      <w:r w:rsidRPr="00980A22">
        <w:rPr>
          <w:rFonts w:ascii="Palatino Linotype" w:hAnsi="Palatino Linotype"/>
        </w:rPr>
        <w:t xml:space="preserve">, el </w:t>
      </w:r>
      <w:r w:rsidRPr="00980A22">
        <w:rPr>
          <w:rFonts w:ascii="Palatino Linotype" w:hAnsi="Palatino Linotype"/>
          <w:b/>
        </w:rPr>
        <w:t>Sujeto Obligado</w:t>
      </w:r>
      <w:r w:rsidRPr="00980A22">
        <w:rPr>
          <w:rFonts w:ascii="Palatino Linotype" w:hAnsi="Palatino Linotype"/>
        </w:rPr>
        <w:t xml:space="preserve"> hizo entrega al </w:t>
      </w:r>
      <w:r w:rsidRPr="00980A22">
        <w:rPr>
          <w:rFonts w:ascii="Palatino Linotype" w:hAnsi="Palatino Linotype"/>
          <w:b/>
        </w:rPr>
        <w:t>Recurrente</w:t>
      </w:r>
      <w:r w:rsidRPr="00980A22">
        <w:rPr>
          <w:rFonts w:ascii="Palatino Linotype" w:hAnsi="Palatino Linotype"/>
        </w:rPr>
        <w:t xml:space="preserve"> de la respuesta emitida a la solicitud de información, en los términos siguientes:</w:t>
      </w:r>
    </w:p>
    <w:p w:rsidR="00D47851" w:rsidRPr="00980A22" w:rsidRDefault="00D47851" w:rsidP="00D47851">
      <w:pPr>
        <w:spacing w:line="360" w:lineRule="auto"/>
        <w:jc w:val="both"/>
        <w:rPr>
          <w:rFonts w:ascii="Palatino Linotype" w:hAnsi="Palatino Linotype"/>
        </w:rPr>
      </w:pPr>
    </w:p>
    <w:p w:rsidR="001E17D4" w:rsidRPr="00980A22" w:rsidRDefault="00D47851" w:rsidP="001E17D4">
      <w:pPr>
        <w:spacing w:line="276" w:lineRule="auto"/>
        <w:ind w:left="567" w:right="616"/>
        <w:jc w:val="both"/>
        <w:rPr>
          <w:rFonts w:ascii="Palatino Linotype" w:hAnsi="Palatino Linotype"/>
          <w:bCs/>
          <w:i/>
          <w:sz w:val="22"/>
        </w:rPr>
      </w:pPr>
      <w:r w:rsidRPr="00980A22">
        <w:rPr>
          <w:rFonts w:ascii="Palatino Linotype" w:hAnsi="Palatino Linotype"/>
          <w:bCs/>
          <w:i/>
          <w:sz w:val="22"/>
        </w:rPr>
        <w:t>“</w:t>
      </w:r>
      <w:r w:rsidR="001E17D4" w:rsidRPr="00980A22">
        <w:rPr>
          <w:rFonts w:ascii="Palatino Linotype" w:hAnsi="Palatino Linotype"/>
          <w:bCs/>
          <w:i/>
          <w:sz w:val="22"/>
        </w:rPr>
        <w:t>En respuesta a la solicitud recibida, nos permitimos hacer de su conocimiento que con fundamento en el artículo 53, Fracciones: II, V y VI de la Ley de Transparencia y Acceso a la Información Pública del Estado de México y Municipios, le contestamos que:</w:t>
      </w:r>
    </w:p>
    <w:p w:rsidR="00D47851" w:rsidRPr="00980A22" w:rsidRDefault="001E17D4" w:rsidP="001E17D4">
      <w:pPr>
        <w:spacing w:line="276" w:lineRule="auto"/>
        <w:ind w:left="567" w:right="616"/>
        <w:jc w:val="both"/>
        <w:rPr>
          <w:rFonts w:ascii="Palatino Linotype" w:hAnsi="Palatino Linotype"/>
          <w:bCs/>
          <w:i/>
          <w:sz w:val="22"/>
        </w:rPr>
      </w:pPr>
      <w:r w:rsidRPr="00980A22">
        <w:rPr>
          <w:rFonts w:ascii="Palatino Linotype" w:hAnsi="Palatino Linotype"/>
          <w:bCs/>
          <w:i/>
          <w:sz w:val="22"/>
        </w:rPr>
        <w:t>Sobre el particular, sírvase encontrar en archivo adjunto copia del oficio de notificación número 20700004S/UT-1733/2026, mediante el cual se detalla lo referente a su solicitud.</w:t>
      </w:r>
      <w:r w:rsidR="00D47851" w:rsidRPr="00980A22">
        <w:rPr>
          <w:rFonts w:ascii="Palatino Linotype" w:hAnsi="Palatino Linotype"/>
          <w:bCs/>
          <w:i/>
          <w:sz w:val="22"/>
        </w:rPr>
        <w:t>”</w:t>
      </w:r>
    </w:p>
    <w:p w:rsidR="00D47851" w:rsidRPr="00980A22" w:rsidRDefault="00D47851" w:rsidP="00D47851">
      <w:pPr>
        <w:spacing w:line="360" w:lineRule="auto"/>
        <w:jc w:val="both"/>
        <w:rPr>
          <w:rFonts w:ascii="Palatino Linotype" w:hAnsi="Palatino Linotype" w:cs="Arial"/>
        </w:rPr>
      </w:pPr>
    </w:p>
    <w:p w:rsidR="00D47851" w:rsidRPr="00980A22" w:rsidRDefault="00D47851" w:rsidP="001E17D4">
      <w:pPr>
        <w:spacing w:line="360" w:lineRule="auto"/>
        <w:ind w:right="616"/>
        <w:jc w:val="both"/>
        <w:rPr>
          <w:rFonts w:ascii="Palatino Linotype" w:hAnsi="Palatino Linotype"/>
          <w:b/>
          <w:bCs/>
          <w:i/>
        </w:rPr>
      </w:pPr>
      <w:r w:rsidRPr="00980A22">
        <w:rPr>
          <w:rFonts w:ascii="Palatino Linotype" w:hAnsi="Palatino Linotype"/>
          <w:bCs/>
        </w:rPr>
        <w:t>Adicionalmente, el Sujeto Obligado adjuntó los archivos electrónicos denominados “</w:t>
      </w:r>
      <w:r w:rsidR="001E17D4" w:rsidRPr="00980A22">
        <w:rPr>
          <w:rFonts w:ascii="Palatino Linotype" w:hAnsi="Palatino Linotype"/>
          <w:b/>
          <w:bCs/>
          <w:i/>
        </w:rPr>
        <w:t>00864 - COORD ADVA.pdf” y “SOLICITANTE - 00864.pdf</w:t>
      </w:r>
      <w:r w:rsidRPr="00980A22">
        <w:rPr>
          <w:rFonts w:ascii="Palatino Linotype" w:hAnsi="Palatino Linotype"/>
          <w:b/>
          <w:bCs/>
          <w:i/>
        </w:rPr>
        <w:t>”</w:t>
      </w:r>
      <w:r w:rsidRPr="00980A22">
        <w:rPr>
          <w:rFonts w:ascii="Palatino Linotype" w:hAnsi="Palatino Linotype"/>
          <w:bCs/>
        </w:rPr>
        <w:t xml:space="preserve">, mismos que no se reproducen por ser del conocimiento de las partes, sin embargo, serán materia de estudio en el considerando respectivo. </w:t>
      </w:r>
    </w:p>
    <w:p w:rsidR="00D47851" w:rsidRPr="00980A22" w:rsidRDefault="00D47851" w:rsidP="00D47851">
      <w:pPr>
        <w:spacing w:line="360" w:lineRule="auto"/>
        <w:ind w:right="616"/>
        <w:jc w:val="both"/>
        <w:rPr>
          <w:rFonts w:ascii="Palatino Linotype" w:hAnsi="Palatino Linotype"/>
          <w:bCs/>
        </w:rPr>
      </w:pPr>
    </w:p>
    <w:p w:rsidR="00D47851" w:rsidRPr="00980A22" w:rsidRDefault="00D47851" w:rsidP="00D47851">
      <w:pPr>
        <w:spacing w:line="360" w:lineRule="auto"/>
        <w:ind w:right="51"/>
        <w:jc w:val="both"/>
        <w:rPr>
          <w:rFonts w:ascii="Palatino Linotype" w:hAnsi="Palatino Linotype"/>
          <w:b/>
          <w:sz w:val="28"/>
        </w:rPr>
      </w:pPr>
      <w:r w:rsidRPr="00980A22">
        <w:rPr>
          <w:rFonts w:ascii="Palatino Linotype" w:hAnsi="Palatino Linotype" w:cs="Arial"/>
          <w:b/>
          <w:sz w:val="28"/>
          <w:szCs w:val="20"/>
        </w:rPr>
        <w:t>TERCERO</w:t>
      </w:r>
      <w:r w:rsidRPr="00980A22">
        <w:rPr>
          <w:rFonts w:ascii="Palatino Linotype" w:hAnsi="Palatino Linotype" w:cs="Arial"/>
          <w:b/>
          <w:sz w:val="28"/>
          <w:szCs w:val="22"/>
          <w:lang w:val="es-MX"/>
        </w:rPr>
        <w:t>.</w:t>
      </w:r>
      <w:r w:rsidRPr="00980A22">
        <w:rPr>
          <w:rFonts w:ascii="Palatino Linotype" w:hAnsi="Palatino Linotype" w:cs="Arial"/>
          <w:b/>
          <w:szCs w:val="22"/>
          <w:lang w:val="es-MX"/>
        </w:rPr>
        <w:t xml:space="preserve"> </w:t>
      </w:r>
      <w:r w:rsidRPr="00980A22">
        <w:rPr>
          <w:rFonts w:ascii="Palatino Linotype" w:hAnsi="Palatino Linotype"/>
          <w:b/>
          <w:sz w:val="28"/>
        </w:rPr>
        <w:t>Del recurso de revisión.</w:t>
      </w:r>
    </w:p>
    <w:p w:rsidR="00D47851" w:rsidRPr="00980A22" w:rsidRDefault="00D47851" w:rsidP="00D47851">
      <w:pPr>
        <w:spacing w:line="360" w:lineRule="auto"/>
        <w:ind w:right="51"/>
        <w:jc w:val="both"/>
        <w:rPr>
          <w:rFonts w:ascii="Palatino Linotype" w:hAnsi="Palatino Linotype" w:cs="Arial"/>
        </w:rPr>
      </w:pPr>
      <w:r w:rsidRPr="00980A22">
        <w:rPr>
          <w:rFonts w:ascii="Palatino Linotype" w:hAnsi="Palatino Linotype" w:cs="Arial"/>
        </w:rPr>
        <w:t xml:space="preserve">Inconforme ante la respuesta emitida por parte del </w:t>
      </w:r>
      <w:r w:rsidRPr="00980A22">
        <w:rPr>
          <w:rFonts w:ascii="Palatino Linotype" w:hAnsi="Palatino Linotype" w:cs="Arial"/>
          <w:b/>
        </w:rPr>
        <w:t>Sujeto Obligado</w:t>
      </w:r>
      <w:r w:rsidRPr="00980A22">
        <w:rPr>
          <w:rFonts w:ascii="Palatino Linotype" w:hAnsi="Palatino Linotype" w:cs="Arial"/>
        </w:rPr>
        <w:t>, el día</w:t>
      </w:r>
      <w:r w:rsidRPr="00980A22">
        <w:rPr>
          <w:rFonts w:ascii="Palatino Linotype" w:hAnsi="Palatino Linotype"/>
        </w:rPr>
        <w:t xml:space="preserve"> </w:t>
      </w:r>
      <w:r w:rsidR="001E17D4" w:rsidRPr="00980A22">
        <w:rPr>
          <w:rFonts w:ascii="Palatino Linotype" w:hAnsi="Palatino Linotype"/>
          <w:b/>
        </w:rPr>
        <w:t>diecisiete</w:t>
      </w:r>
      <w:r w:rsidRPr="00980A22">
        <w:rPr>
          <w:rFonts w:ascii="Palatino Linotype" w:hAnsi="Palatino Linotype"/>
          <w:b/>
        </w:rPr>
        <w:t xml:space="preserve"> de junio de dos mil veintiséis</w:t>
      </w:r>
      <w:r w:rsidRPr="00980A22">
        <w:rPr>
          <w:rFonts w:ascii="Palatino Linotype" w:hAnsi="Palatino Linotype" w:cs="Arial"/>
        </w:rPr>
        <w:t>, la parte</w:t>
      </w:r>
      <w:r w:rsidRPr="00980A22">
        <w:rPr>
          <w:rFonts w:ascii="Palatino Linotype" w:hAnsi="Palatino Linotype" w:cs="Arial"/>
          <w:b/>
          <w:color w:val="000000"/>
        </w:rPr>
        <w:t xml:space="preserve"> Recurrente</w:t>
      </w:r>
      <w:r w:rsidRPr="00980A22">
        <w:rPr>
          <w:rFonts w:ascii="Palatino Linotype" w:hAnsi="Palatino Linotype" w:cs="Arial"/>
          <w:color w:val="000000"/>
        </w:rPr>
        <w:t xml:space="preserve"> </w:t>
      </w:r>
      <w:r w:rsidRPr="00980A22">
        <w:rPr>
          <w:rFonts w:ascii="Palatino Linotype" w:hAnsi="Palatino Linotype" w:cs="Arial"/>
        </w:rPr>
        <w:t>interpuso el presente recurso de revisión, quedando registrado en el</w:t>
      </w:r>
      <w:r w:rsidRPr="00980A22">
        <w:rPr>
          <w:rFonts w:ascii="Palatino Linotype" w:eastAsia="Arial Unicode MS" w:hAnsi="Palatino Linotype" w:cs="Arial"/>
          <w:b/>
        </w:rPr>
        <w:t xml:space="preserve"> SAIMEX</w:t>
      </w:r>
      <w:r w:rsidRPr="00980A22">
        <w:rPr>
          <w:rFonts w:ascii="Palatino Linotype" w:eastAsia="Arial Unicode MS" w:hAnsi="Palatino Linotype" w:cs="Arial"/>
        </w:rPr>
        <w:t xml:space="preserve"> con el número de recurso </w:t>
      </w:r>
      <w:r w:rsidRPr="00980A22">
        <w:rPr>
          <w:rFonts w:ascii="Palatino Linotype" w:eastAsia="Arial Unicode MS" w:hAnsi="Palatino Linotype" w:cs="Arial"/>
          <w:b/>
        </w:rPr>
        <w:t>06407/INFOEM/IP/RR/2026</w:t>
      </w:r>
      <w:r w:rsidRPr="00980A22">
        <w:rPr>
          <w:rFonts w:ascii="Palatino Linotype" w:hAnsi="Palatino Linotype"/>
          <w:b/>
        </w:rPr>
        <w:t xml:space="preserve">, </w:t>
      </w:r>
      <w:r w:rsidRPr="00980A22">
        <w:rPr>
          <w:rFonts w:ascii="Palatino Linotype" w:hAnsi="Palatino Linotype" w:cs="Arial"/>
        </w:rPr>
        <w:t>en el que expresó como:</w:t>
      </w:r>
    </w:p>
    <w:p w:rsidR="00D47851" w:rsidRPr="00980A22" w:rsidRDefault="00D47851" w:rsidP="00D47851">
      <w:pPr>
        <w:pStyle w:val="Prrafodelista"/>
        <w:numPr>
          <w:ilvl w:val="0"/>
          <w:numId w:val="1"/>
        </w:numPr>
        <w:spacing w:line="360" w:lineRule="auto"/>
        <w:ind w:right="51"/>
        <w:contextualSpacing w:val="0"/>
        <w:jc w:val="both"/>
        <w:rPr>
          <w:rFonts w:ascii="Palatino Linotype" w:hAnsi="Palatino Linotype" w:cs="Arial"/>
        </w:rPr>
      </w:pPr>
      <w:r w:rsidRPr="00980A22">
        <w:rPr>
          <w:rFonts w:ascii="Palatino Linotype" w:hAnsi="Palatino Linotype" w:cs="Arial"/>
          <w:b/>
        </w:rPr>
        <w:t>Acto impugnado</w:t>
      </w:r>
      <w:r w:rsidRPr="00980A22">
        <w:rPr>
          <w:rFonts w:ascii="Palatino Linotype" w:hAnsi="Palatino Linotype" w:cs="Arial"/>
        </w:rPr>
        <w:t>:</w:t>
      </w:r>
    </w:p>
    <w:p w:rsidR="00D47851" w:rsidRPr="00980A22" w:rsidRDefault="00D47851" w:rsidP="00D47851">
      <w:pPr>
        <w:pStyle w:val="INFOEM"/>
        <w:spacing w:line="240" w:lineRule="auto"/>
      </w:pPr>
      <w:r w:rsidRPr="00980A22">
        <w:t>“</w:t>
      </w:r>
      <w:r w:rsidR="001E17D4" w:rsidRPr="00980A22">
        <w:t>La respuesta no dice absolutamente nada</w:t>
      </w:r>
      <w:r w:rsidRPr="00980A22">
        <w:t>” (Sic)</w:t>
      </w:r>
    </w:p>
    <w:p w:rsidR="00D47851" w:rsidRPr="00980A22" w:rsidRDefault="00D47851" w:rsidP="00D47851">
      <w:pPr>
        <w:pStyle w:val="Prrafodelista"/>
        <w:numPr>
          <w:ilvl w:val="0"/>
          <w:numId w:val="1"/>
        </w:numPr>
        <w:spacing w:line="360" w:lineRule="auto"/>
        <w:ind w:right="51"/>
        <w:contextualSpacing w:val="0"/>
        <w:jc w:val="both"/>
        <w:rPr>
          <w:rFonts w:ascii="Palatino Linotype" w:hAnsi="Palatino Linotype" w:cs="Arial"/>
        </w:rPr>
      </w:pPr>
      <w:r w:rsidRPr="00980A22">
        <w:rPr>
          <w:rFonts w:ascii="Palatino Linotype" w:hAnsi="Palatino Linotype" w:cs="Arial"/>
          <w:b/>
        </w:rPr>
        <w:t>Motivos o razones de inconformidad</w:t>
      </w:r>
      <w:r w:rsidRPr="00980A22">
        <w:rPr>
          <w:rFonts w:ascii="Palatino Linotype" w:hAnsi="Palatino Linotype" w:cs="Arial"/>
        </w:rPr>
        <w:t>:</w:t>
      </w:r>
    </w:p>
    <w:p w:rsidR="00D47851" w:rsidRPr="00980A22" w:rsidRDefault="00D47851" w:rsidP="00D47851">
      <w:pPr>
        <w:pStyle w:val="INFOEM"/>
        <w:ind w:left="780"/>
      </w:pPr>
      <w:r w:rsidRPr="00980A22">
        <w:lastRenderedPageBreak/>
        <w:t>“</w:t>
      </w:r>
      <w:r w:rsidR="001E17D4" w:rsidRPr="00980A22">
        <w:t>Es ilógico que no sepan cuantas hojas gastan. Las compran con dinero público que por cierto compran con dinero público, así que claro que debe de haber un registro de los costos y consumo. Lo que pasa es que no me quieren dar la información</w:t>
      </w:r>
      <w:r w:rsidRPr="00980A22">
        <w:t>” (Sic)</w:t>
      </w:r>
    </w:p>
    <w:p w:rsidR="00D47851" w:rsidRPr="00980A22" w:rsidRDefault="00D47851" w:rsidP="00D47851">
      <w:pPr>
        <w:spacing w:before="240" w:line="360" w:lineRule="auto"/>
        <w:jc w:val="both"/>
        <w:rPr>
          <w:rFonts w:ascii="Palatino Linotype" w:hAnsi="Palatino Linotype" w:cs="Arial"/>
          <w:szCs w:val="22"/>
          <w:lang w:val="es-MX"/>
        </w:rPr>
      </w:pPr>
    </w:p>
    <w:p w:rsidR="00D47851" w:rsidRPr="00980A22" w:rsidRDefault="00D47851" w:rsidP="00D47851">
      <w:pPr>
        <w:spacing w:before="240" w:line="360" w:lineRule="auto"/>
        <w:jc w:val="both"/>
        <w:rPr>
          <w:rFonts w:ascii="Palatino Linotype" w:hAnsi="Palatino Linotype" w:cs="Arial"/>
          <w:b/>
        </w:rPr>
      </w:pPr>
      <w:r w:rsidRPr="00980A22">
        <w:rPr>
          <w:rFonts w:ascii="Palatino Linotype" w:hAnsi="Palatino Linotype" w:cs="Arial"/>
          <w:b/>
          <w:sz w:val="28"/>
          <w:szCs w:val="22"/>
          <w:lang w:val="es-MX"/>
        </w:rPr>
        <w:t>CUARTO</w:t>
      </w:r>
      <w:r w:rsidRPr="00980A22">
        <w:rPr>
          <w:rFonts w:ascii="Palatino Linotype" w:hAnsi="Palatino Linotype" w:cs="Arial"/>
          <w:b/>
          <w:lang w:val="es-ES_tradnl"/>
        </w:rPr>
        <w:t>.</w:t>
      </w:r>
      <w:r w:rsidRPr="00980A22">
        <w:rPr>
          <w:rFonts w:ascii="Palatino Linotype" w:hAnsi="Palatino Linotype" w:cs="Arial"/>
          <w:b/>
          <w:szCs w:val="22"/>
          <w:lang w:val="es-MX"/>
        </w:rPr>
        <w:t xml:space="preserve"> </w:t>
      </w:r>
      <w:r w:rsidRPr="00980A22">
        <w:rPr>
          <w:rFonts w:ascii="Palatino Linotype" w:hAnsi="Palatino Linotype" w:cs="Arial"/>
          <w:b/>
          <w:sz w:val="28"/>
          <w:szCs w:val="28"/>
        </w:rPr>
        <w:t>Del turno y admisión del recurso de revisión.</w:t>
      </w:r>
    </w:p>
    <w:p w:rsidR="00D47851" w:rsidRPr="00980A22" w:rsidRDefault="00D47851" w:rsidP="00D47851">
      <w:pPr>
        <w:spacing w:before="240" w:line="360" w:lineRule="auto"/>
        <w:jc w:val="both"/>
        <w:rPr>
          <w:rFonts w:ascii="Palatino Linotype" w:hAnsi="Palatino Linotype" w:cs="Arial"/>
          <w:sz w:val="28"/>
        </w:rPr>
      </w:pPr>
      <w:r w:rsidRPr="00980A22">
        <w:rPr>
          <w:rFonts w:ascii="Palatino Linotype" w:hAnsi="Palatino Linotype"/>
        </w:rPr>
        <w:t xml:space="preserve">El medio de impugnación fue turnado a la entonces Comisionada </w:t>
      </w:r>
      <w:r w:rsidRPr="00980A22">
        <w:rPr>
          <w:rFonts w:ascii="Palatino Linotype" w:hAnsi="Palatino Linotype"/>
          <w:b/>
        </w:rPr>
        <w:t>Sharon Cristina Morales Martínez,</w:t>
      </w:r>
      <w:r w:rsidRPr="00980A22">
        <w:rPr>
          <w:rFonts w:ascii="Palatino Linotype" w:hAnsi="Palatino Linotype"/>
        </w:rPr>
        <w:t xml:space="preserve"> por medio del sistema electrónico SAIMEX, en términos del artículo 185, fracción I, de la Ley de Transparencia y Acceso a la información Pública del Estado de México y Municipios, del cual recayó acuerdo de </w:t>
      </w:r>
      <w:r w:rsidRPr="00980A22">
        <w:rPr>
          <w:rFonts w:ascii="Palatino Linotype" w:hAnsi="Palatino Linotype"/>
          <w:b/>
        </w:rPr>
        <w:t>admisión</w:t>
      </w:r>
      <w:r w:rsidRPr="00980A22">
        <w:rPr>
          <w:rFonts w:ascii="Palatino Linotype" w:hAnsi="Palatino Linotype"/>
        </w:rPr>
        <w:t xml:space="preserve"> en fecha </w:t>
      </w:r>
      <w:r w:rsidRPr="00980A22">
        <w:rPr>
          <w:rFonts w:ascii="Palatino Linotype" w:hAnsi="Palatino Linotype"/>
          <w:b/>
        </w:rPr>
        <w:t>veintidós de junio de dos mil veintiséis</w:t>
      </w:r>
      <w:r w:rsidRPr="00980A22">
        <w:rPr>
          <w:rFonts w:ascii="Palatino Linotype" w:hAnsi="Palatino Linotype"/>
        </w:rPr>
        <w:t>, determinándose en ellos, un plazo de siete días para que las partes manifestaran lo que a su derecho corresponda en términos del numeral ya citado.</w:t>
      </w:r>
    </w:p>
    <w:p w:rsidR="00D47851" w:rsidRPr="00980A22" w:rsidRDefault="00D47851" w:rsidP="00D47851">
      <w:pPr>
        <w:spacing w:line="360" w:lineRule="auto"/>
        <w:ind w:right="49"/>
        <w:jc w:val="both"/>
        <w:rPr>
          <w:rFonts w:ascii="Palatino Linotype" w:hAnsi="Palatino Linotype" w:cs="Arial"/>
          <w:lang w:val="es-ES_tradnl"/>
        </w:rPr>
      </w:pPr>
    </w:p>
    <w:p w:rsidR="00D47851" w:rsidRPr="00980A22" w:rsidRDefault="00D47851" w:rsidP="00D47851">
      <w:pPr>
        <w:spacing w:line="360" w:lineRule="auto"/>
        <w:ind w:right="49"/>
        <w:jc w:val="both"/>
        <w:rPr>
          <w:rFonts w:ascii="Palatino Linotype" w:eastAsia="Calibri" w:hAnsi="Palatino Linotype" w:cs="Arial"/>
          <w:lang w:val="es-MX" w:eastAsia="en-US"/>
        </w:rPr>
      </w:pPr>
      <w:r w:rsidRPr="00980A22">
        <w:rPr>
          <w:rFonts w:ascii="Palatino Linotype" w:hAnsi="Palatino Linotype" w:cs="Arial"/>
          <w:b/>
          <w:sz w:val="28"/>
          <w:szCs w:val="28"/>
          <w:lang w:val="es-ES_tradnl"/>
        </w:rPr>
        <w:t>QUINTO</w:t>
      </w:r>
      <w:r w:rsidRPr="00980A22">
        <w:rPr>
          <w:rFonts w:ascii="Palatino Linotype" w:hAnsi="Palatino Linotype" w:cs="Arial"/>
          <w:b/>
          <w:lang w:val="es-ES_tradnl"/>
        </w:rPr>
        <w:t>.</w:t>
      </w:r>
      <w:r w:rsidRPr="00980A22">
        <w:rPr>
          <w:rFonts w:ascii="Palatino Linotype" w:hAnsi="Palatino Linotype" w:cs="Arial"/>
          <w:lang w:val="es-ES_tradnl"/>
        </w:rPr>
        <w:t xml:space="preserve"> </w:t>
      </w:r>
      <w:r w:rsidRPr="00980A22">
        <w:rPr>
          <w:rFonts w:ascii="Palatino Linotype" w:hAnsi="Palatino Linotype" w:cs="Arial"/>
          <w:b/>
          <w:sz w:val="28"/>
          <w:szCs w:val="28"/>
        </w:rPr>
        <w:t>De la etapa de instrucción.</w:t>
      </w:r>
    </w:p>
    <w:p w:rsidR="00D47851" w:rsidRPr="00980A22" w:rsidRDefault="00D47851" w:rsidP="00D47851">
      <w:pPr>
        <w:spacing w:line="360" w:lineRule="auto"/>
        <w:jc w:val="both"/>
        <w:rPr>
          <w:rFonts w:ascii="Palatino Linotype" w:hAnsi="Palatino Linotype" w:cs="Arial"/>
        </w:rPr>
      </w:pPr>
      <w:r w:rsidRPr="00980A22">
        <w:rPr>
          <w:rFonts w:ascii="Palatino Linotype" w:hAnsi="Palatino Linotype" w:cs="Arial"/>
        </w:rPr>
        <w:t xml:space="preserve">De las constancias que obran en el expediente electrónico del SAIMEX, se advierte que el </w:t>
      </w:r>
      <w:r w:rsidRPr="00980A22">
        <w:rPr>
          <w:rFonts w:ascii="Palatino Linotype" w:hAnsi="Palatino Linotype" w:cs="Arial"/>
          <w:b/>
        </w:rPr>
        <w:t>Sujeto Obligado</w:t>
      </w:r>
      <w:r w:rsidRPr="00980A22">
        <w:rPr>
          <w:rFonts w:ascii="Palatino Linotype" w:hAnsi="Palatino Linotype" w:cs="Arial"/>
        </w:rPr>
        <w:t xml:space="preserve"> rindió su informe justificado en fecha </w:t>
      </w:r>
      <w:r w:rsidR="001E17D4" w:rsidRPr="00980A22">
        <w:rPr>
          <w:rFonts w:ascii="Palatino Linotype" w:hAnsi="Palatino Linotype" w:cs="Arial"/>
        </w:rPr>
        <w:t>veinticinco de junio</w:t>
      </w:r>
      <w:r w:rsidRPr="00980A22">
        <w:rPr>
          <w:rFonts w:ascii="Palatino Linotype" w:hAnsi="Palatino Linotype" w:cs="Arial"/>
        </w:rPr>
        <w:t xml:space="preserve"> de dos mil veintiséis, por medio de los archivos electrónicos </w:t>
      </w:r>
      <w:r w:rsidRPr="00980A22">
        <w:rPr>
          <w:rFonts w:ascii="Palatino Linotype" w:hAnsi="Palatino Linotype" w:cs="Arial"/>
          <w:b/>
          <w:i/>
        </w:rPr>
        <w:t>“</w:t>
      </w:r>
      <w:r w:rsidR="001E17D4" w:rsidRPr="00980A22">
        <w:rPr>
          <w:rFonts w:ascii="Palatino Linotype" w:hAnsi="Palatino Linotype" w:cs="Arial"/>
          <w:b/>
          <w:i/>
        </w:rPr>
        <w:t>RR 06407-2026 INFORME JUSTIFICADO.pdf</w:t>
      </w:r>
      <w:r w:rsidRPr="00980A22">
        <w:rPr>
          <w:rFonts w:ascii="Palatino Linotype" w:hAnsi="Palatino Linotype" w:cs="Arial"/>
          <w:b/>
          <w:i/>
        </w:rPr>
        <w:t>” y “</w:t>
      </w:r>
      <w:r w:rsidR="001E17D4" w:rsidRPr="00980A22">
        <w:rPr>
          <w:rFonts w:ascii="Palatino Linotype" w:hAnsi="Palatino Linotype" w:cs="Arial"/>
          <w:b/>
          <w:i/>
        </w:rPr>
        <w:t>06407- 00864 Coord Admin.pdf</w:t>
      </w:r>
      <w:r w:rsidRPr="00980A22">
        <w:rPr>
          <w:rFonts w:ascii="Palatino Linotype" w:hAnsi="Palatino Linotype" w:cs="Arial"/>
          <w:b/>
          <w:i/>
        </w:rPr>
        <w:t xml:space="preserve">”, </w:t>
      </w:r>
      <w:r w:rsidRPr="00980A22">
        <w:rPr>
          <w:rFonts w:ascii="Palatino Linotype" w:hAnsi="Palatino Linotype" w:cs="Arial"/>
        </w:rPr>
        <w:t xml:space="preserve">mismos que fueron puestos a la vista del Recurrente. </w:t>
      </w:r>
    </w:p>
    <w:p w:rsidR="00D47851" w:rsidRPr="00980A22" w:rsidRDefault="00D47851" w:rsidP="00D47851">
      <w:pPr>
        <w:spacing w:line="360" w:lineRule="auto"/>
        <w:jc w:val="both"/>
        <w:rPr>
          <w:rFonts w:ascii="Palatino Linotype" w:hAnsi="Palatino Linotype"/>
        </w:rPr>
      </w:pPr>
    </w:p>
    <w:p w:rsidR="00D47851" w:rsidRPr="00980A22" w:rsidRDefault="00D47851" w:rsidP="00D47851">
      <w:pPr>
        <w:spacing w:line="360" w:lineRule="auto"/>
        <w:jc w:val="both"/>
        <w:rPr>
          <w:rFonts w:ascii="Palatino Linotype" w:hAnsi="Palatino Linotype" w:cs="Arial"/>
        </w:rPr>
      </w:pPr>
      <w:r w:rsidRPr="00980A22">
        <w:rPr>
          <w:rFonts w:ascii="Palatino Linotype" w:hAnsi="Palatino Linotype" w:cs="Arial"/>
        </w:rPr>
        <w:t xml:space="preserve">Así mismo, se aprecia que no se llevaron a cabo audiencias durante la sustanciación del recurso de revisión, ni se ofrecieron pruebas por parte del </w:t>
      </w:r>
      <w:r w:rsidRPr="00980A22">
        <w:rPr>
          <w:rFonts w:ascii="Palatino Linotype" w:hAnsi="Palatino Linotype" w:cs="Arial"/>
          <w:b/>
        </w:rPr>
        <w:t>Recurrente</w:t>
      </w:r>
      <w:r w:rsidRPr="00980A22">
        <w:rPr>
          <w:rFonts w:ascii="Palatino Linotype" w:hAnsi="Palatino Linotype" w:cs="Arial"/>
        </w:rPr>
        <w:t xml:space="preserve">; todo lo </w:t>
      </w:r>
      <w:r w:rsidRPr="00980A22">
        <w:rPr>
          <w:rFonts w:ascii="Palatino Linotype" w:hAnsi="Palatino Linotype" w:cs="Arial"/>
        </w:rPr>
        <w:lastRenderedPageBreak/>
        <w:t>anterior en términos de los artículos 185 fracciones II y IV, y 195 de la Ley de Transparencia y Acceso a la Información Pública del Estado de México y Municipios.</w:t>
      </w:r>
    </w:p>
    <w:p w:rsidR="00D47851" w:rsidRPr="00980A22" w:rsidRDefault="00D47851" w:rsidP="00D47851">
      <w:pPr>
        <w:spacing w:line="360" w:lineRule="auto"/>
        <w:jc w:val="both"/>
        <w:rPr>
          <w:rFonts w:ascii="Palatino Linotype" w:eastAsia="Calibri" w:hAnsi="Palatino Linotype" w:cs="Arial"/>
          <w:b/>
          <w:sz w:val="28"/>
          <w:szCs w:val="28"/>
          <w:lang w:val="es-MX" w:eastAsia="en-US"/>
        </w:rPr>
      </w:pPr>
    </w:p>
    <w:p w:rsidR="00D47851" w:rsidRPr="00980A22" w:rsidRDefault="00D47851" w:rsidP="00D47851">
      <w:pPr>
        <w:spacing w:line="360" w:lineRule="auto"/>
        <w:jc w:val="both"/>
        <w:rPr>
          <w:rFonts w:ascii="Palatino Linotype" w:eastAsia="Calibri" w:hAnsi="Palatino Linotype" w:cs="Arial"/>
          <w:b/>
          <w:sz w:val="28"/>
          <w:szCs w:val="28"/>
          <w:lang w:val="es-MX" w:eastAsia="en-US"/>
        </w:rPr>
      </w:pPr>
      <w:r w:rsidRPr="00980A22">
        <w:rPr>
          <w:rFonts w:ascii="Palatino Linotype" w:eastAsia="Calibri" w:hAnsi="Palatino Linotype" w:cs="Arial"/>
          <w:b/>
          <w:sz w:val="28"/>
          <w:szCs w:val="28"/>
          <w:lang w:val="es-MX" w:eastAsia="en-US"/>
        </w:rPr>
        <w:t>SEXTO. Del Returno.</w:t>
      </w:r>
    </w:p>
    <w:p w:rsidR="00D47851" w:rsidRPr="00980A22" w:rsidRDefault="00D47851" w:rsidP="00D47851">
      <w:pPr>
        <w:spacing w:line="360" w:lineRule="auto"/>
        <w:jc w:val="both"/>
        <w:rPr>
          <w:rFonts w:ascii="Palatino Linotype" w:eastAsia="Calibri" w:hAnsi="Palatino Linotype" w:cs="Arial"/>
          <w:bCs/>
          <w:szCs w:val="22"/>
          <w:lang w:val="es-ES_tradnl"/>
        </w:rPr>
      </w:pPr>
      <w:r w:rsidRPr="00980A22">
        <w:rPr>
          <w:rFonts w:ascii="Palatino Linotype" w:eastAsia="Calibri" w:hAnsi="Palatino Linotype" w:cs="Arial"/>
          <w:bCs/>
          <w:szCs w:val="22"/>
          <w:lang w:val="es-ES_tradnl"/>
        </w:rPr>
        <w:t xml:space="preserve">En fecha </w:t>
      </w:r>
      <w:r w:rsidRPr="00980A22">
        <w:rPr>
          <w:rFonts w:ascii="Palatino Linotype" w:eastAsia="Calibri" w:hAnsi="Palatino Linotype" w:cs="Arial"/>
          <w:b/>
          <w:bCs/>
          <w:szCs w:val="22"/>
          <w:lang w:val="es-ES_tradnl"/>
        </w:rPr>
        <w:t>diecinueve de agosto de dos mil veintiséis</w:t>
      </w:r>
      <w:r w:rsidRPr="00980A22">
        <w:rPr>
          <w:rFonts w:ascii="Palatino Linotype" w:eastAsia="Calibri" w:hAnsi="Palatino Linotype" w:cs="Arial"/>
          <w:bCs/>
          <w:szCs w:val="22"/>
          <w:lang w:val="es-ES_tradnl"/>
        </w:rPr>
        <w:t>, por acuerdo del Pleno</w:t>
      </w:r>
      <w:r w:rsidR="001E17D4" w:rsidRPr="00980A22">
        <w:rPr>
          <w:rFonts w:ascii="Palatino Linotype" w:eastAsia="Calibri" w:hAnsi="Palatino Linotype" w:cs="Arial"/>
          <w:bCs/>
          <w:szCs w:val="22"/>
          <w:lang w:val="es-ES_tradnl"/>
        </w:rPr>
        <w:t xml:space="preserve"> de</w:t>
      </w:r>
      <w:r w:rsidRPr="00980A22">
        <w:rPr>
          <w:rFonts w:ascii="Palatino Linotype" w:eastAsia="Calibri" w:hAnsi="Palatino Linotype" w:cs="Arial"/>
          <w:bCs/>
          <w:szCs w:val="22"/>
          <w:lang w:val="es-ES_tradnl"/>
        </w:rPr>
        <w:t xml:space="preserve"> este Instituto, el recurso de revisión citado al rubro fue returnado, al Comisionado Presidente José Martínez Vilchis para su resolución y presentación al Pleno.</w:t>
      </w:r>
    </w:p>
    <w:p w:rsidR="00D47851" w:rsidRPr="00980A22" w:rsidRDefault="00D47851" w:rsidP="00D47851">
      <w:pPr>
        <w:spacing w:line="360" w:lineRule="auto"/>
        <w:jc w:val="both"/>
        <w:rPr>
          <w:rFonts w:ascii="Palatino Linotype" w:eastAsia="Calibri" w:hAnsi="Palatino Linotype" w:cs="Arial"/>
          <w:szCs w:val="28"/>
          <w:lang w:val="es-MX" w:eastAsia="en-US"/>
        </w:rPr>
      </w:pPr>
    </w:p>
    <w:p w:rsidR="00D47851" w:rsidRPr="00980A22" w:rsidRDefault="00D47851" w:rsidP="00D47851">
      <w:pPr>
        <w:spacing w:line="360" w:lineRule="auto"/>
        <w:jc w:val="both"/>
        <w:rPr>
          <w:rFonts w:ascii="Palatino Linotype" w:eastAsia="Calibri" w:hAnsi="Palatino Linotype" w:cs="Arial"/>
          <w:b/>
          <w:sz w:val="28"/>
          <w:lang w:val="es-ES_tradnl"/>
        </w:rPr>
      </w:pPr>
      <w:r w:rsidRPr="00980A22">
        <w:rPr>
          <w:rFonts w:ascii="Palatino Linotype" w:eastAsia="Calibri" w:hAnsi="Palatino Linotype" w:cs="Arial"/>
          <w:b/>
          <w:sz w:val="28"/>
          <w:lang w:val="es-ES_tradnl"/>
        </w:rPr>
        <w:t>SÉPTIMO. De la ampliación del término para resolver.</w:t>
      </w:r>
    </w:p>
    <w:p w:rsidR="00D47851" w:rsidRPr="00980A22" w:rsidRDefault="00D47851" w:rsidP="00D47851">
      <w:pPr>
        <w:spacing w:line="360" w:lineRule="auto"/>
        <w:jc w:val="both"/>
        <w:rPr>
          <w:rFonts w:ascii="Palatino Linotype" w:hAnsi="Palatino Linotype" w:cs="Arial"/>
        </w:rPr>
      </w:pPr>
      <w:r w:rsidRPr="00980A22">
        <w:rPr>
          <w:rFonts w:ascii="Palatino Linotype" w:hAnsi="Palatino Linotype" w:cs="Arial"/>
        </w:rPr>
        <w:t xml:space="preserve">De las constancias que integran el expediente electrónico, se advierte que han transcurrido los términos de Ley, para la emisión de la resolución en el presente recurso de revisión, por lo que en fecha </w:t>
      </w:r>
      <w:r w:rsidR="001E17D4" w:rsidRPr="00980A22">
        <w:rPr>
          <w:rFonts w:ascii="Palatino Linotype" w:hAnsi="Palatino Linotype" w:cs="Arial"/>
          <w:b/>
        </w:rPr>
        <w:t>tres</w:t>
      </w:r>
      <w:r w:rsidRPr="00980A22">
        <w:rPr>
          <w:rFonts w:ascii="Palatino Linotype" w:hAnsi="Palatino Linotype" w:cs="Arial"/>
          <w:b/>
        </w:rPr>
        <w:t xml:space="preserve"> de septiembre de dos mil veintiséis</w:t>
      </w:r>
      <w:r w:rsidRPr="00980A22">
        <w:rPr>
          <w:rFonts w:ascii="Palatino Linotype" w:hAnsi="Palatino Linotype" w:cs="Arial"/>
        </w:rPr>
        <w:t>, se notificó a las partes el acuerdo por el que se ordena ampliar el plazo para la emisión de la resolución, en términos del artículo 181 párrafo tercero de la Ley de Transparencia y Acceso a la Información Pública del Estado de México y Municipios, ordenándose turnar los expedientes a la resolución que en derecho proceda.</w:t>
      </w:r>
    </w:p>
    <w:p w:rsidR="00D47851" w:rsidRPr="00980A22" w:rsidRDefault="00D47851" w:rsidP="00D47851">
      <w:pPr>
        <w:spacing w:line="360" w:lineRule="auto"/>
        <w:jc w:val="both"/>
        <w:rPr>
          <w:rFonts w:ascii="Palatino Linotype" w:hAnsi="Palatino Linotype" w:cs="Arial"/>
        </w:rPr>
      </w:pPr>
    </w:p>
    <w:p w:rsidR="00D47851" w:rsidRPr="00980A22" w:rsidRDefault="00D47851" w:rsidP="00D47851">
      <w:pPr>
        <w:spacing w:line="360" w:lineRule="auto"/>
        <w:jc w:val="both"/>
        <w:rPr>
          <w:rFonts w:ascii="Palatino Linotype" w:hAnsi="Palatino Linotype" w:cs="Arial"/>
        </w:rPr>
      </w:pPr>
    </w:p>
    <w:p w:rsidR="00D47851" w:rsidRPr="00980A22" w:rsidRDefault="00D47851" w:rsidP="00D47851">
      <w:pPr>
        <w:spacing w:line="360" w:lineRule="auto"/>
        <w:jc w:val="both"/>
        <w:rPr>
          <w:rFonts w:ascii="Palatino Linotype" w:hAnsi="Palatino Linotype" w:cs="Arial"/>
          <w:b/>
          <w:sz w:val="28"/>
          <w:szCs w:val="28"/>
        </w:rPr>
      </w:pPr>
      <w:r w:rsidRPr="00980A22">
        <w:rPr>
          <w:rFonts w:ascii="Palatino Linotype" w:eastAsia="Calibri" w:hAnsi="Palatino Linotype" w:cs="Arial"/>
          <w:b/>
          <w:sz w:val="28"/>
          <w:lang w:val="es-ES_tradnl"/>
        </w:rPr>
        <w:t>OCTAVO</w:t>
      </w:r>
      <w:r w:rsidRPr="00980A22">
        <w:rPr>
          <w:rFonts w:ascii="Palatino Linotype" w:hAnsi="Palatino Linotype" w:cs="Arial"/>
          <w:b/>
          <w:sz w:val="28"/>
          <w:szCs w:val="28"/>
        </w:rPr>
        <w:t>. Del Cierre de Instrucción.</w:t>
      </w:r>
    </w:p>
    <w:p w:rsidR="00D47851" w:rsidRPr="00980A22" w:rsidRDefault="00D47851" w:rsidP="00D47851">
      <w:pPr>
        <w:spacing w:line="360" w:lineRule="auto"/>
        <w:jc w:val="both"/>
        <w:rPr>
          <w:rFonts w:ascii="Palatino Linotype" w:hAnsi="Palatino Linotype" w:cs="Arial"/>
        </w:rPr>
      </w:pPr>
      <w:r w:rsidRPr="00980A22">
        <w:rPr>
          <w:rFonts w:ascii="Palatino Linotype" w:hAnsi="Palatino Linotype" w:cs="Arial"/>
        </w:rPr>
        <w:t xml:space="preserve">Por lo que una vez transcurrido el periodo otorgado a las partes de siete días hábiles para realizar sus manifestaciones en el acuerdo de admisión, y no habiendo prueba pendiente por desahogar, ni que documentos que integrar al expediente electrónico, se decretó el cierre de instrucción en fecha </w:t>
      </w:r>
      <w:r w:rsidR="001E17D4" w:rsidRPr="00980A22">
        <w:rPr>
          <w:rFonts w:ascii="Palatino Linotype" w:hAnsi="Palatino Linotype" w:cs="Arial"/>
          <w:b/>
        </w:rPr>
        <w:t>tres</w:t>
      </w:r>
      <w:r w:rsidRPr="00980A22">
        <w:rPr>
          <w:rFonts w:ascii="Palatino Linotype" w:hAnsi="Palatino Linotype" w:cs="Arial"/>
          <w:b/>
        </w:rPr>
        <w:t xml:space="preserve"> de septiembre de dos mil veintiséis</w:t>
      </w:r>
      <w:r w:rsidRPr="00980A22">
        <w:rPr>
          <w:rFonts w:ascii="Palatino Linotype" w:hAnsi="Palatino Linotype" w:cs="Arial"/>
        </w:rPr>
        <w:t xml:space="preserve">, en términos del artículo 185 fracción VI de la Ley de Transparencia y Acceso a la </w:t>
      </w:r>
      <w:r w:rsidRPr="00980A22">
        <w:rPr>
          <w:rFonts w:ascii="Palatino Linotype" w:hAnsi="Palatino Linotype" w:cs="Arial"/>
        </w:rPr>
        <w:lastRenderedPageBreak/>
        <w:t>Información Pública del Estado de México y Municipios, ordenándose turnar el expediente a la resolución que en derecho proceda.</w:t>
      </w:r>
    </w:p>
    <w:p w:rsidR="00D47851" w:rsidRPr="00980A22" w:rsidRDefault="00D47851" w:rsidP="00D47851">
      <w:pPr>
        <w:spacing w:line="360" w:lineRule="auto"/>
        <w:jc w:val="both"/>
        <w:rPr>
          <w:rFonts w:ascii="Palatino Linotype" w:hAnsi="Palatino Linotype" w:cs="Arial"/>
        </w:rPr>
      </w:pPr>
    </w:p>
    <w:p w:rsidR="00D47851" w:rsidRPr="00980A22" w:rsidRDefault="00D47851" w:rsidP="00D47851">
      <w:pPr>
        <w:spacing w:line="360" w:lineRule="auto"/>
        <w:jc w:val="center"/>
        <w:rPr>
          <w:rFonts w:ascii="Palatino Linotype" w:hAnsi="Palatino Linotype"/>
          <w:b/>
          <w:bCs/>
          <w:spacing w:val="60"/>
          <w:sz w:val="28"/>
          <w:lang w:val="es-ES_tradnl"/>
        </w:rPr>
      </w:pPr>
      <w:r w:rsidRPr="00980A22">
        <w:rPr>
          <w:rFonts w:ascii="Palatino Linotype" w:hAnsi="Palatino Linotype"/>
          <w:b/>
          <w:bCs/>
          <w:spacing w:val="60"/>
          <w:sz w:val="28"/>
          <w:lang w:val="es-ES_tradnl"/>
        </w:rPr>
        <w:t>CONSIDERANDO</w:t>
      </w:r>
    </w:p>
    <w:p w:rsidR="00D47851" w:rsidRPr="00980A22" w:rsidRDefault="00D47851" w:rsidP="00D47851">
      <w:pPr>
        <w:spacing w:line="360" w:lineRule="auto"/>
        <w:ind w:right="49"/>
        <w:jc w:val="both"/>
        <w:rPr>
          <w:rFonts w:ascii="Palatino Linotype" w:hAnsi="Palatino Linotype"/>
          <w:szCs w:val="28"/>
        </w:rPr>
      </w:pPr>
    </w:p>
    <w:p w:rsidR="00D47851" w:rsidRPr="00980A22" w:rsidRDefault="00D47851" w:rsidP="00D47851">
      <w:pPr>
        <w:spacing w:line="360" w:lineRule="auto"/>
        <w:ind w:right="49"/>
        <w:jc w:val="both"/>
        <w:rPr>
          <w:rFonts w:ascii="Palatino Linotype" w:hAnsi="Palatino Linotype"/>
          <w:b/>
          <w:sz w:val="28"/>
          <w:szCs w:val="28"/>
        </w:rPr>
      </w:pPr>
      <w:r w:rsidRPr="00980A22">
        <w:rPr>
          <w:rFonts w:ascii="Palatino Linotype" w:hAnsi="Palatino Linotype"/>
          <w:b/>
          <w:sz w:val="28"/>
          <w:szCs w:val="28"/>
        </w:rPr>
        <w:t>PRIMERO.</w:t>
      </w:r>
      <w:r w:rsidRPr="00980A22">
        <w:rPr>
          <w:rFonts w:ascii="Palatino Linotype" w:hAnsi="Palatino Linotype"/>
          <w:sz w:val="28"/>
          <w:szCs w:val="28"/>
        </w:rPr>
        <w:t xml:space="preserve"> </w:t>
      </w:r>
      <w:r w:rsidRPr="00980A22">
        <w:rPr>
          <w:rFonts w:ascii="Palatino Linotype" w:hAnsi="Palatino Linotype"/>
          <w:b/>
          <w:sz w:val="28"/>
          <w:szCs w:val="28"/>
        </w:rPr>
        <w:t xml:space="preserve">Competencia. </w:t>
      </w:r>
    </w:p>
    <w:p w:rsidR="00D47851" w:rsidRPr="00980A22" w:rsidRDefault="00D47851" w:rsidP="00D47851">
      <w:pPr>
        <w:tabs>
          <w:tab w:val="left" w:pos="3402"/>
        </w:tabs>
        <w:spacing w:line="360" w:lineRule="auto"/>
        <w:jc w:val="both"/>
        <w:rPr>
          <w:rFonts w:ascii="Palatino Linotype" w:hAnsi="Palatino Linotype"/>
        </w:rPr>
      </w:pPr>
      <w:r w:rsidRPr="00980A22">
        <w:rPr>
          <w:rFonts w:ascii="Palatino Linotype" w:hAnsi="Palatino Linotype"/>
        </w:rPr>
        <w:t>Este Instituto de Transparencia, Acceso a la Información Pública y Protección de Datos Personales del Estado de México y Municipios, es competente para conocer y resolver el presente Recurso de Revisión, conforme a lo dispuesto en el artículo 5o párrafos trigésimo tercero, trigésimo noveno, cuadragésimo y cuadragésimo primero, fracción VIII de la Constitución Política del Estado Libre y Soberano de México; 1, 81, 82 fracciones I y III, 119, 127, 128 y 129, de la Ley de Protección de Datos Personales en Posesión de Sujetos Obligados del Estado de México y Municipios;  1, 2, fracción II, 13, 29, 36, fracciones I y II, 176, 178, 179, 181, párrafo tercero, 185 y 194, de la Ley de Transparencia y Acceso a la Información Pública del Estado de México y Municipios de aplicación supletoria de la citada Ley de Protección de Datos en términos de su artículo 11; 9, fracciones I y XXIV, 11 y 14, fracción I del Reglamento Interior del Instituto de Transparencia, Acceso a la Información Pública y Protección de Datos Personales del Estado de México y Municipios.</w:t>
      </w:r>
    </w:p>
    <w:p w:rsidR="00D47851" w:rsidRPr="00980A22" w:rsidRDefault="00D47851" w:rsidP="00D47851">
      <w:pPr>
        <w:spacing w:before="240" w:line="360" w:lineRule="auto"/>
        <w:jc w:val="both"/>
        <w:rPr>
          <w:rFonts w:ascii="Palatino Linotype" w:eastAsia="Calibri" w:hAnsi="Palatino Linotype"/>
          <w:b/>
          <w:color w:val="000000" w:themeColor="text1"/>
        </w:rPr>
      </w:pPr>
    </w:p>
    <w:p w:rsidR="00D47851" w:rsidRPr="00980A22" w:rsidRDefault="00D47851" w:rsidP="00D47851">
      <w:pPr>
        <w:pStyle w:val="Prrafodelista"/>
        <w:autoSpaceDE w:val="0"/>
        <w:autoSpaceDN w:val="0"/>
        <w:adjustRightInd w:val="0"/>
        <w:spacing w:before="240" w:after="160" w:line="360" w:lineRule="auto"/>
        <w:ind w:left="0"/>
        <w:jc w:val="both"/>
        <w:rPr>
          <w:rFonts w:ascii="Palatino Linotype" w:hAnsi="Palatino Linotype" w:cs="Arial"/>
          <w:b/>
        </w:rPr>
      </w:pPr>
      <w:r w:rsidRPr="00980A22">
        <w:rPr>
          <w:rFonts w:ascii="Palatino Linotype" w:hAnsi="Palatino Linotype" w:cs="Arial"/>
          <w:b/>
          <w:sz w:val="28"/>
        </w:rPr>
        <w:t>SEGUNDO</w:t>
      </w:r>
      <w:r w:rsidRPr="00980A22">
        <w:rPr>
          <w:rFonts w:ascii="Palatino Linotype" w:hAnsi="Palatino Linotype" w:cs="Arial"/>
          <w:b/>
        </w:rPr>
        <w:t xml:space="preserve">. </w:t>
      </w:r>
      <w:r w:rsidRPr="00980A22">
        <w:rPr>
          <w:rFonts w:ascii="Palatino Linotype" w:hAnsi="Palatino Linotype" w:cs="Arial"/>
          <w:b/>
          <w:sz w:val="28"/>
          <w:szCs w:val="28"/>
        </w:rPr>
        <w:t>Sobre los alcances del recurso de revisión.</w:t>
      </w:r>
      <w:r w:rsidRPr="00980A22">
        <w:rPr>
          <w:rFonts w:ascii="Palatino Linotype" w:hAnsi="Palatino Linotype" w:cs="Arial"/>
          <w:b/>
        </w:rPr>
        <w:t xml:space="preserve"> </w:t>
      </w:r>
    </w:p>
    <w:p w:rsidR="00D47851" w:rsidRPr="00980A22" w:rsidRDefault="00D47851" w:rsidP="00D47851">
      <w:pPr>
        <w:pStyle w:val="Prrafodelista"/>
        <w:autoSpaceDE w:val="0"/>
        <w:autoSpaceDN w:val="0"/>
        <w:adjustRightInd w:val="0"/>
        <w:spacing w:before="240" w:after="160" w:line="360" w:lineRule="auto"/>
        <w:ind w:left="0"/>
        <w:jc w:val="both"/>
        <w:rPr>
          <w:rFonts w:ascii="Palatino Linotype" w:hAnsi="Palatino Linotype" w:cs="Arial"/>
        </w:rPr>
      </w:pPr>
      <w:r w:rsidRPr="00980A22">
        <w:rPr>
          <w:rFonts w:ascii="Palatino Linotype" w:hAnsi="Palatino Linotype" w:cs="Arial"/>
        </w:rPr>
        <w:t xml:space="preserve">Derivado de la impugnación realizada, es preciso e importante señalar que el recurso de revisión inmerso en la Ley de Transparencia vigente en la entidad, tiene el fin y </w:t>
      </w:r>
      <w:r w:rsidRPr="00980A22">
        <w:rPr>
          <w:rFonts w:ascii="Palatino Linotype" w:hAnsi="Palatino Linotype" w:cs="Arial"/>
        </w:rPr>
        <w:lastRenderedPageBreak/>
        <w:t>alcance que señalan los numerales 176, 179, 181 párrafo cuarto, 194 y 195 y demás aplicables de la Ley de Transparencia y Acceso a la Información Pública del Estado de México y Municipios vigente, el cual será analizado conforme a las actuaciones que obren en el expediente electrónico, con la finalidad de reparar cualquier posible afectación al derecho de acceso a la información pública y garantizando el principio rector de máxima publicidad.</w:t>
      </w:r>
    </w:p>
    <w:p w:rsidR="00D47851" w:rsidRPr="00980A22" w:rsidRDefault="00D47851" w:rsidP="00D47851">
      <w:pPr>
        <w:autoSpaceDE w:val="0"/>
        <w:autoSpaceDN w:val="0"/>
        <w:adjustRightInd w:val="0"/>
        <w:spacing w:before="240" w:line="360" w:lineRule="auto"/>
        <w:jc w:val="both"/>
        <w:rPr>
          <w:rFonts w:ascii="Palatino Linotype" w:hAnsi="Palatino Linotype" w:cs="Arial"/>
        </w:rPr>
      </w:pPr>
      <w:r w:rsidRPr="00980A22">
        <w:rPr>
          <w:rFonts w:ascii="Palatino Linotype" w:hAnsi="Palatino Linotype" w:cs="Arial"/>
        </w:rPr>
        <w:t>El Recurso de Revisión en estudio contiene los elementos normativos de validez exigidos en la Ley de Transparencia y Acceso a la Información Pública del Estado de México y Municipios, establecidos en el artículo 180 que enuncia:</w:t>
      </w:r>
    </w:p>
    <w:p w:rsidR="00D47851" w:rsidRPr="00980A22" w:rsidRDefault="00D47851" w:rsidP="00D47851">
      <w:pPr>
        <w:autoSpaceDE w:val="0"/>
        <w:autoSpaceDN w:val="0"/>
        <w:adjustRightInd w:val="0"/>
        <w:spacing w:before="240" w:line="360" w:lineRule="auto"/>
        <w:ind w:left="1134"/>
        <w:jc w:val="both"/>
        <w:rPr>
          <w:rFonts w:ascii="Palatino Linotype" w:hAnsi="Palatino Linotype" w:cs="Arial"/>
          <w:i/>
        </w:rPr>
      </w:pPr>
      <w:r w:rsidRPr="00980A22">
        <w:rPr>
          <w:rFonts w:ascii="Palatino Linotype" w:hAnsi="Palatino Linotype" w:cs="Arial"/>
          <w:i/>
        </w:rPr>
        <w:t xml:space="preserve">“Artículo 180. El recurso de revisión contendrá: </w:t>
      </w:r>
    </w:p>
    <w:p w:rsidR="00D47851" w:rsidRPr="00980A22" w:rsidRDefault="00D47851" w:rsidP="00D47851">
      <w:pPr>
        <w:autoSpaceDE w:val="0"/>
        <w:autoSpaceDN w:val="0"/>
        <w:adjustRightInd w:val="0"/>
        <w:ind w:left="1134"/>
        <w:jc w:val="both"/>
        <w:rPr>
          <w:rFonts w:ascii="Palatino Linotype" w:hAnsi="Palatino Linotype" w:cs="Arial"/>
          <w:i/>
          <w:lang w:val="es-ES_tradnl"/>
        </w:rPr>
      </w:pPr>
      <w:r w:rsidRPr="00980A22">
        <w:rPr>
          <w:rFonts w:ascii="Palatino Linotype" w:hAnsi="Palatino Linotype" w:cs="Arial"/>
          <w:i/>
          <w:lang w:val="es-ES_tradnl"/>
        </w:rPr>
        <w:t xml:space="preserve">I. El sujeto obligado ante la cual se presentó la solicitud; </w:t>
      </w:r>
    </w:p>
    <w:p w:rsidR="00D47851" w:rsidRPr="00980A22" w:rsidRDefault="00D47851" w:rsidP="00D47851">
      <w:pPr>
        <w:autoSpaceDE w:val="0"/>
        <w:autoSpaceDN w:val="0"/>
        <w:adjustRightInd w:val="0"/>
        <w:ind w:left="1134" w:right="567"/>
        <w:jc w:val="both"/>
        <w:rPr>
          <w:rFonts w:ascii="Palatino Linotype" w:hAnsi="Palatino Linotype" w:cs="Arial"/>
          <w:i/>
          <w:lang w:val="es-ES_tradnl"/>
        </w:rPr>
      </w:pPr>
      <w:r w:rsidRPr="00980A22">
        <w:rPr>
          <w:rFonts w:ascii="Palatino Linotype" w:hAnsi="Palatino Linotype" w:cs="Arial"/>
          <w:b/>
          <w:i/>
          <w:lang w:val="es-ES_tradnl"/>
        </w:rPr>
        <w:t>II. El nombre del solicitante que recurre</w:t>
      </w:r>
      <w:r w:rsidRPr="00980A22">
        <w:rPr>
          <w:rFonts w:ascii="Palatino Linotype" w:hAnsi="Palatino Linotype" w:cs="Arial"/>
          <w:i/>
          <w:lang w:val="es-ES_tradnl"/>
        </w:rPr>
        <w:t xml:space="preserve"> o de su representante y, en su caso, del tercero interesado, así como la dirección o medio que señale para recibir notificaciones;</w:t>
      </w:r>
    </w:p>
    <w:p w:rsidR="00D47851" w:rsidRPr="00980A22" w:rsidRDefault="00D47851" w:rsidP="00D47851">
      <w:pPr>
        <w:autoSpaceDE w:val="0"/>
        <w:autoSpaceDN w:val="0"/>
        <w:adjustRightInd w:val="0"/>
        <w:ind w:left="1134"/>
        <w:jc w:val="both"/>
        <w:rPr>
          <w:rFonts w:ascii="Palatino Linotype" w:hAnsi="Palatino Linotype" w:cs="Arial"/>
          <w:i/>
          <w:lang w:val="es-ES_tradnl"/>
        </w:rPr>
      </w:pPr>
      <w:r w:rsidRPr="00980A22">
        <w:rPr>
          <w:rFonts w:ascii="Palatino Linotype" w:hAnsi="Palatino Linotype" w:cs="Arial"/>
          <w:i/>
          <w:lang w:val="es-ES_tradnl"/>
        </w:rPr>
        <w:t>III. El número de folio de respuesta de la solicitud de acceso;</w:t>
      </w:r>
    </w:p>
    <w:p w:rsidR="00D47851" w:rsidRPr="00980A22" w:rsidRDefault="00D47851" w:rsidP="00D47851">
      <w:pPr>
        <w:autoSpaceDE w:val="0"/>
        <w:autoSpaceDN w:val="0"/>
        <w:adjustRightInd w:val="0"/>
        <w:ind w:left="1134" w:right="567"/>
        <w:jc w:val="both"/>
        <w:rPr>
          <w:rFonts w:ascii="Palatino Linotype" w:hAnsi="Palatino Linotype" w:cs="Arial"/>
          <w:i/>
          <w:lang w:val="es-ES_tradnl"/>
        </w:rPr>
      </w:pPr>
      <w:r w:rsidRPr="00980A22">
        <w:rPr>
          <w:rFonts w:ascii="Palatino Linotype" w:hAnsi="Palatino Linotype" w:cs="Arial"/>
          <w:i/>
          <w:lang w:val="es-ES_tradnl"/>
        </w:rPr>
        <w:t>IV. La fecha en que fue notificada la respuesta al solicitante o tuvo conocimiento del acto reclamado, o de presentación de la solicitud, en caso de falta de respuesta;</w:t>
      </w:r>
    </w:p>
    <w:p w:rsidR="00D47851" w:rsidRPr="00980A22" w:rsidRDefault="00D47851" w:rsidP="00D47851">
      <w:pPr>
        <w:autoSpaceDE w:val="0"/>
        <w:autoSpaceDN w:val="0"/>
        <w:adjustRightInd w:val="0"/>
        <w:ind w:left="1134" w:right="567"/>
        <w:jc w:val="both"/>
        <w:rPr>
          <w:rFonts w:ascii="Palatino Linotype" w:hAnsi="Palatino Linotype" w:cs="Arial"/>
          <w:i/>
          <w:lang w:val="es-ES_tradnl"/>
        </w:rPr>
      </w:pPr>
      <w:r w:rsidRPr="00980A22">
        <w:rPr>
          <w:rFonts w:ascii="Palatino Linotype" w:hAnsi="Palatino Linotype" w:cs="Arial"/>
          <w:i/>
          <w:lang w:val="es-ES_tradnl"/>
        </w:rPr>
        <w:t>V. El acto que se recurre;</w:t>
      </w:r>
    </w:p>
    <w:p w:rsidR="00D47851" w:rsidRPr="00980A22" w:rsidRDefault="00D47851" w:rsidP="00D47851">
      <w:pPr>
        <w:autoSpaceDE w:val="0"/>
        <w:autoSpaceDN w:val="0"/>
        <w:adjustRightInd w:val="0"/>
        <w:ind w:left="1134"/>
        <w:jc w:val="both"/>
        <w:rPr>
          <w:rFonts w:ascii="Palatino Linotype" w:hAnsi="Palatino Linotype" w:cs="Arial"/>
          <w:i/>
          <w:lang w:val="es-ES_tradnl"/>
        </w:rPr>
      </w:pPr>
      <w:r w:rsidRPr="00980A22">
        <w:rPr>
          <w:rFonts w:ascii="Palatino Linotype" w:hAnsi="Palatino Linotype" w:cs="Arial"/>
          <w:i/>
          <w:lang w:val="es-ES_tradnl"/>
        </w:rPr>
        <w:t>VI. Las razones o motivos de inconformidad;</w:t>
      </w:r>
    </w:p>
    <w:p w:rsidR="00D47851" w:rsidRPr="00980A22" w:rsidRDefault="00D47851" w:rsidP="00D47851">
      <w:pPr>
        <w:autoSpaceDE w:val="0"/>
        <w:autoSpaceDN w:val="0"/>
        <w:adjustRightInd w:val="0"/>
        <w:ind w:left="1134" w:right="567"/>
        <w:jc w:val="both"/>
        <w:rPr>
          <w:rFonts w:ascii="Palatino Linotype" w:hAnsi="Palatino Linotype" w:cs="Arial"/>
          <w:i/>
          <w:lang w:val="es-ES_tradnl"/>
        </w:rPr>
      </w:pPr>
      <w:r w:rsidRPr="00980A22">
        <w:rPr>
          <w:rFonts w:ascii="Palatino Linotype" w:hAnsi="Palatino Linotype" w:cs="Arial"/>
          <w:i/>
          <w:lang w:val="es-ES_tradnl"/>
        </w:rPr>
        <w:t xml:space="preserve">VII. La copia de la respuesta que se impugna y, en su caso, de la notificación correspondiente, en el caso de respuesta de la solicitud; y </w:t>
      </w:r>
    </w:p>
    <w:p w:rsidR="00D47851" w:rsidRPr="00980A22" w:rsidRDefault="00D47851" w:rsidP="00D47851">
      <w:pPr>
        <w:autoSpaceDE w:val="0"/>
        <w:autoSpaceDN w:val="0"/>
        <w:adjustRightInd w:val="0"/>
        <w:ind w:left="1134" w:right="567"/>
        <w:jc w:val="both"/>
        <w:rPr>
          <w:rFonts w:ascii="Palatino Linotype" w:hAnsi="Palatino Linotype" w:cs="Arial"/>
          <w:i/>
          <w:lang w:val="es-ES_tradnl"/>
        </w:rPr>
      </w:pPr>
      <w:r w:rsidRPr="00980A22">
        <w:rPr>
          <w:rFonts w:ascii="Palatino Linotype" w:hAnsi="Palatino Linotype" w:cs="Arial"/>
          <w:i/>
          <w:lang w:val="es-ES_tradnl"/>
        </w:rPr>
        <w:t xml:space="preserve">VIII. Firma del recurrente, en su caso, cuando se presente por escrito, requisito sin el cual se dará trámite al recurso. </w:t>
      </w:r>
    </w:p>
    <w:p w:rsidR="00D47851" w:rsidRPr="00980A22" w:rsidRDefault="00D47851" w:rsidP="00D47851">
      <w:pPr>
        <w:autoSpaceDE w:val="0"/>
        <w:autoSpaceDN w:val="0"/>
        <w:adjustRightInd w:val="0"/>
        <w:spacing w:before="240" w:line="276" w:lineRule="auto"/>
        <w:ind w:left="1134" w:right="567"/>
        <w:jc w:val="both"/>
        <w:rPr>
          <w:rFonts w:ascii="Palatino Linotype" w:hAnsi="Palatino Linotype" w:cs="Arial"/>
          <w:i/>
          <w:lang w:val="es-ES_tradnl"/>
        </w:rPr>
      </w:pPr>
      <w:r w:rsidRPr="00980A22">
        <w:rPr>
          <w:rFonts w:ascii="Palatino Linotype" w:hAnsi="Palatino Linotype" w:cs="Arial"/>
          <w:i/>
          <w:lang w:val="es-ES_tradnl"/>
        </w:rPr>
        <w:t xml:space="preserve">Adicionalmente, se podrán anexar las pruebas y demás elementos que considere procedentes someter a juicio del Instituto. </w:t>
      </w:r>
    </w:p>
    <w:p w:rsidR="00D47851" w:rsidRPr="00980A22" w:rsidRDefault="00D47851" w:rsidP="00D47851">
      <w:pPr>
        <w:autoSpaceDE w:val="0"/>
        <w:autoSpaceDN w:val="0"/>
        <w:adjustRightInd w:val="0"/>
        <w:spacing w:before="240" w:line="276" w:lineRule="auto"/>
        <w:ind w:left="1134" w:right="567"/>
        <w:jc w:val="both"/>
        <w:rPr>
          <w:rFonts w:ascii="Palatino Linotype" w:hAnsi="Palatino Linotype" w:cs="Arial"/>
          <w:i/>
          <w:lang w:val="es-ES_tradnl"/>
        </w:rPr>
      </w:pPr>
      <w:r w:rsidRPr="00980A22">
        <w:rPr>
          <w:rFonts w:ascii="Palatino Linotype" w:hAnsi="Palatino Linotype" w:cs="Arial"/>
          <w:i/>
          <w:lang w:val="es-ES_tradnl"/>
        </w:rPr>
        <w:t xml:space="preserve">En ningún caso será necesario que el particular ratifique el recurso de revisión interpuesto. </w:t>
      </w:r>
    </w:p>
    <w:p w:rsidR="00D47851" w:rsidRPr="00980A22" w:rsidRDefault="00D47851" w:rsidP="00D47851">
      <w:pPr>
        <w:autoSpaceDE w:val="0"/>
        <w:autoSpaceDN w:val="0"/>
        <w:adjustRightInd w:val="0"/>
        <w:spacing w:before="240" w:line="360" w:lineRule="auto"/>
        <w:ind w:left="1134" w:right="567"/>
        <w:jc w:val="both"/>
        <w:rPr>
          <w:rFonts w:ascii="Palatino Linotype" w:hAnsi="Palatino Linotype" w:cs="Arial"/>
        </w:rPr>
      </w:pPr>
      <w:r w:rsidRPr="00980A22">
        <w:rPr>
          <w:rFonts w:ascii="Palatino Linotype" w:eastAsia="Calibri" w:hAnsi="Palatino Linotype" w:cs="Arial"/>
          <w:b/>
          <w:i/>
        </w:rPr>
        <w:lastRenderedPageBreak/>
        <w:t>En caso de que el recurso se interponga de manera electrónica no será indispensable que contengan los requisitos establecidos en las fracciones II, IV, VII y VIII.”</w:t>
      </w:r>
    </w:p>
    <w:p w:rsidR="00D47851" w:rsidRPr="00980A22" w:rsidRDefault="00D47851" w:rsidP="00D47851">
      <w:pPr>
        <w:autoSpaceDE w:val="0"/>
        <w:autoSpaceDN w:val="0"/>
        <w:adjustRightInd w:val="0"/>
        <w:spacing w:before="240" w:line="360" w:lineRule="auto"/>
        <w:jc w:val="both"/>
        <w:rPr>
          <w:rFonts w:ascii="Palatino Linotype" w:hAnsi="Palatino Linotype"/>
        </w:rPr>
      </w:pPr>
      <w:r w:rsidRPr="00980A22">
        <w:rPr>
          <w:rFonts w:ascii="Palatino Linotype" w:hAnsi="Palatino Linotype"/>
        </w:rPr>
        <w:t>Cabe señalar que El Recurrente ejerció de manera anónima su derecho de acceso a la información pública, sin embargo, no es motivo para desechar las solicitudes de acceso a la información pública conforme a lo previsto en el artículo 155, penúltimo párrafo de la Ley de Transparencia y Acceso a la Información Pública del Estado de México y Municipios que señala lo siguiente:</w:t>
      </w:r>
    </w:p>
    <w:tbl>
      <w:tblPr>
        <w:tblStyle w:val="Tablaconcuadrcula1"/>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tblGrid>
      <w:tr w:rsidR="00D47851" w:rsidRPr="00980A22" w:rsidTr="00505192">
        <w:trPr>
          <w:trHeight w:val="1360"/>
        </w:trPr>
        <w:tc>
          <w:tcPr>
            <w:tcW w:w="7982" w:type="dxa"/>
          </w:tcPr>
          <w:p w:rsidR="00D47851" w:rsidRPr="00980A22" w:rsidRDefault="00D47851" w:rsidP="00505192">
            <w:pPr>
              <w:autoSpaceDE w:val="0"/>
              <w:autoSpaceDN w:val="0"/>
              <w:adjustRightInd w:val="0"/>
              <w:spacing w:before="240" w:line="360" w:lineRule="auto"/>
              <w:jc w:val="both"/>
              <w:rPr>
                <w:rFonts w:ascii="Palatino Linotype" w:hAnsi="Palatino Linotype"/>
                <w:i/>
              </w:rPr>
            </w:pPr>
            <w:r w:rsidRPr="00980A22">
              <w:rPr>
                <w:rFonts w:ascii="Palatino Linotype" w:hAnsi="Palatino Linotype"/>
                <w:i/>
              </w:rPr>
              <w:t xml:space="preserve">“Las solicitudes anónimas, con nombre incompleto o seudónimo serán procedentes para su trámite por parte del sujeto obligado ante quien se presente. No podrá requerirse información adicional con motivo del nombre proporcionado por el solicitante.” </w:t>
            </w:r>
          </w:p>
        </w:tc>
      </w:tr>
    </w:tbl>
    <w:p w:rsidR="00D47851" w:rsidRPr="00980A22" w:rsidRDefault="00D47851" w:rsidP="00D47851">
      <w:pPr>
        <w:autoSpaceDE w:val="0"/>
        <w:autoSpaceDN w:val="0"/>
        <w:adjustRightInd w:val="0"/>
        <w:spacing w:before="240" w:line="360" w:lineRule="auto"/>
        <w:jc w:val="both"/>
        <w:rPr>
          <w:rFonts w:ascii="Palatino Linotype" w:hAnsi="Palatino Linotype"/>
        </w:rPr>
      </w:pPr>
      <w:r w:rsidRPr="00980A22">
        <w:rPr>
          <w:rFonts w:ascii="Palatino Linotype" w:hAnsi="Palatino Linotype"/>
        </w:rPr>
        <w:t>Robusteciendo lo anterior se encuentra lo dispuesto en los artículos 6, Apartado A, fracciones III y IV, de la Constitución Política de los Estados Unidos Mexicanos y 5 párrafos vigésimo, vigésimo primero y vigésimo segundo, de la Constitución Política del Estado Libre y Soberano de México, se establece lo siguiente:</w:t>
      </w: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tblGrid>
      <w:tr w:rsidR="00D47851" w:rsidRPr="00980A22" w:rsidTr="00505192">
        <w:trPr>
          <w:jc w:val="center"/>
        </w:trPr>
        <w:tc>
          <w:tcPr>
            <w:tcW w:w="8075" w:type="dxa"/>
          </w:tcPr>
          <w:p w:rsidR="00D47851" w:rsidRPr="00980A22" w:rsidRDefault="00D47851" w:rsidP="00505192">
            <w:pPr>
              <w:autoSpaceDE w:val="0"/>
              <w:autoSpaceDN w:val="0"/>
              <w:adjustRightInd w:val="0"/>
              <w:spacing w:before="240" w:line="360" w:lineRule="auto"/>
              <w:jc w:val="center"/>
              <w:rPr>
                <w:rFonts w:ascii="Palatino Linotype" w:hAnsi="Palatino Linotype"/>
                <w:b/>
                <w:i/>
              </w:rPr>
            </w:pPr>
            <w:r w:rsidRPr="00980A22">
              <w:rPr>
                <w:rFonts w:ascii="Palatino Linotype" w:hAnsi="Palatino Linotype"/>
                <w:b/>
                <w:i/>
              </w:rPr>
              <w:t xml:space="preserve">Constitución Política de los Estados Unidos Mexicanos </w:t>
            </w:r>
          </w:p>
          <w:p w:rsidR="00D47851" w:rsidRPr="00980A22" w:rsidRDefault="00D47851" w:rsidP="00505192">
            <w:pPr>
              <w:autoSpaceDE w:val="0"/>
              <w:autoSpaceDN w:val="0"/>
              <w:adjustRightInd w:val="0"/>
              <w:spacing w:before="240" w:line="360" w:lineRule="auto"/>
              <w:jc w:val="both"/>
              <w:rPr>
                <w:rFonts w:ascii="Palatino Linotype" w:hAnsi="Palatino Linotype"/>
                <w:i/>
              </w:rPr>
            </w:pPr>
            <w:r w:rsidRPr="00980A22">
              <w:rPr>
                <w:rFonts w:ascii="Palatino Linotype" w:hAnsi="Palatino Linotype"/>
                <w:i/>
              </w:rPr>
              <w:t xml:space="preserve">“Artículo 6°.- La manifestación de las ideas no será objeto de ninguna inquisición judicial o administrativa, sino en el caso de que ataque a la moral, la vida privada o los derechos de terceros, provoque algún delito, o perturbe el orden público; el derecho de réplica será ejercido en los términos dispuestos por la ley. El derecho a la información será garantizado por el Estado. </w:t>
            </w:r>
          </w:p>
          <w:p w:rsidR="00D47851" w:rsidRPr="00980A22" w:rsidRDefault="00D47851" w:rsidP="00505192">
            <w:pPr>
              <w:autoSpaceDE w:val="0"/>
              <w:autoSpaceDN w:val="0"/>
              <w:adjustRightInd w:val="0"/>
              <w:spacing w:before="240" w:line="360" w:lineRule="auto"/>
              <w:jc w:val="both"/>
              <w:rPr>
                <w:rFonts w:ascii="Palatino Linotype" w:hAnsi="Palatino Linotype"/>
                <w:i/>
              </w:rPr>
            </w:pPr>
            <w:r w:rsidRPr="00980A22">
              <w:rPr>
                <w:rFonts w:ascii="Palatino Linotype" w:hAnsi="Palatino Linotype"/>
                <w:i/>
              </w:rPr>
              <w:lastRenderedPageBreak/>
              <w:t xml:space="preserve">(…) </w:t>
            </w:r>
          </w:p>
          <w:p w:rsidR="00D47851" w:rsidRPr="00980A22" w:rsidRDefault="00D47851" w:rsidP="00505192">
            <w:pPr>
              <w:autoSpaceDE w:val="0"/>
              <w:autoSpaceDN w:val="0"/>
              <w:adjustRightInd w:val="0"/>
              <w:spacing w:before="240" w:line="360" w:lineRule="auto"/>
              <w:jc w:val="both"/>
              <w:rPr>
                <w:rFonts w:ascii="Palatino Linotype" w:hAnsi="Palatino Linotype"/>
                <w:i/>
              </w:rPr>
            </w:pPr>
            <w:r w:rsidRPr="00980A22">
              <w:rPr>
                <w:rFonts w:ascii="Palatino Linotype" w:hAnsi="Palatino Linotype"/>
                <w:i/>
              </w:rPr>
              <w:t>Para efectos de lo dispuesto en el presente artículo se observará lo siguiente: A. Para el ejercicio del derecho de acceso a la información, la Federación, los Estados y el Distrito Federal, en el ámbito de sus respectivas competencias, se regirán por los siguientes principios y bases:</w:t>
            </w:r>
          </w:p>
          <w:p w:rsidR="00D47851" w:rsidRPr="00980A22" w:rsidRDefault="00D47851" w:rsidP="00505192">
            <w:pPr>
              <w:autoSpaceDE w:val="0"/>
              <w:autoSpaceDN w:val="0"/>
              <w:adjustRightInd w:val="0"/>
              <w:spacing w:before="240" w:line="360" w:lineRule="auto"/>
              <w:jc w:val="both"/>
              <w:rPr>
                <w:rFonts w:ascii="Palatino Linotype" w:hAnsi="Palatino Linotype"/>
                <w:i/>
              </w:rPr>
            </w:pPr>
            <w:r w:rsidRPr="00980A22">
              <w:rPr>
                <w:rFonts w:ascii="Palatino Linotype" w:hAnsi="Palatino Linotype"/>
                <w:i/>
              </w:rPr>
              <w:t xml:space="preserve"> (…) </w:t>
            </w:r>
          </w:p>
          <w:p w:rsidR="00D47851" w:rsidRPr="00980A22" w:rsidRDefault="00D47851" w:rsidP="00505192">
            <w:pPr>
              <w:autoSpaceDE w:val="0"/>
              <w:autoSpaceDN w:val="0"/>
              <w:adjustRightInd w:val="0"/>
              <w:spacing w:before="240" w:line="360" w:lineRule="auto"/>
              <w:jc w:val="both"/>
              <w:rPr>
                <w:rFonts w:ascii="Palatino Linotype" w:hAnsi="Palatino Linotype"/>
                <w:i/>
              </w:rPr>
            </w:pPr>
            <w:r w:rsidRPr="00980A22">
              <w:rPr>
                <w:rFonts w:ascii="Palatino Linotype" w:hAnsi="Palatino Linotype"/>
                <w:i/>
              </w:rPr>
              <w:t>III. Toda persona, sin necesidad de acreditar interés alguno o justificar su utilización, tendrá acceso gratuito a la información pública, a sus datos personales o a la rectificación de éstos.</w:t>
            </w:r>
          </w:p>
          <w:p w:rsidR="00D47851" w:rsidRPr="00980A22" w:rsidRDefault="00D47851" w:rsidP="00505192">
            <w:pPr>
              <w:autoSpaceDE w:val="0"/>
              <w:autoSpaceDN w:val="0"/>
              <w:adjustRightInd w:val="0"/>
              <w:spacing w:before="240" w:line="360" w:lineRule="auto"/>
              <w:jc w:val="both"/>
              <w:rPr>
                <w:rFonts w:ascii="Palatino Linotype" w:hAnsi="Palatino Linotype" w:cs="Arial"/>
                <w:i/>
              </w:rPr>
            </w:pPr>
            <w:r w:rsidRPr="00980A22">
              <w:rPr>
                <w:rFonts w:ascii="Palatino Linotype" w:hAnsi="Palatino Linotype" w:cs="Arial"/>
                <w:i/>
              </w:rPr>
              <w:t>IV. Se establecerán mecanismos de acceso a la información y procedimientos de revisión expeditos que se sustanciarán ante los organismos autónomos especializados e imparciales que establece esta Constitución.”</w:t>
            </w:r>
          </w:p>
          <w:p w:rsidR="00D47851" w:rsidRPr="00980A22" w:rsidRDefault="00D47851" w:rsidP="00505192">
            <w:pPr>
              <w:autoSpaceDE w:val="0"/>
              <w:autoSpaceDN w:val="0"/>
              <w:adjustRightInd w:val="0"/>
              <w:spacing w:before="240" w:line="360" w:lineRule="auto"/>
              <w:jc w:val="both"/>
              <w:rPr>
                <w:rFonts w:ascii="Palatino Linotype" w:hAnsi="Palatino Linotype" w:cs="Arial"/>
                <w:b/>
                <w:i/>
              </w:rPr>
            </w:pPr>
            <w:r w:rsidRPr="00980A22">
              <w:rPr>
                <w:rFonts w:ascii="Palatino Linotype" w:hAnsi="Palatino Linotype" w:cs="Arial"/>
                <w:b/>
                <w:i/>
              </w:rPr>
              <w:t>Constitución Política del Estado Libre y Soberano de México</w:t>
            </w:r>
          </w:p>
          <w:p w:rsidR="00D47851" w:rsidRPr="00980A22" w:rsidRDefault="00D47851" w:rsidP="00505192">
            <w:pPr>
              <w:autoSpaceDE w:val="0"/>
              <w:autoSpaceDN w:val="0"/>
              <w:adjustRightInd w:val="0"/>
              <w:spacing w:before="240" w:line="360" w:lineRule="auto"/>
              <w:jc w:val="both"/>
              <w:rPr>
                <w:rFonts w:ascii="Palatino Linotype" w:eastAsia="Calibri" w:hAnsi="Palatino Linotype" w:cs="Arial"/>
                <w:i/>
                <w:lang w:val="es-ES_tradnl" w:eastAsia="es-MX"/>
              </w:rPr>
            </w:pPr>
            <w:r w:rsidRPr="00980A22">
              <w:rPr>
                <w:rFonts w:ascii="Palatino Linotype" w:eastAsia="Calibri" w:hAnsi="Palatino Linotype" w:cs="Arial"/>
                <w:i/>
                <w:lang w:val="es-ES_tradnl" w:eastAsia="es-MX"/>
              </w:rPr>
              <w:t>“Artículo 5.- En el Estado de México todas las personas gozarán de los derechos humanos reconocidos en la Constitución Política de los Estados Unidos Mexicanos, en los tratados internacionales en los que el Estado mexicano sea parte, en esta Constitución y en las leyes que de ésta emanen, por lo que gozarán de las garantía para su protección, las cuales no podrán restringirse ni suspenderse salvo en los casos y bajo las condiciones que la Constitución Política de los Estados Unidos Mexicanos establece.</w:t>
            </w:r>
          </w:p>
          <w:p w:rsidR="00D47851" w:rsidRPr="00980A22" w:rsidRDefault="00D47851" w:rsidP="00505192">
            <w:pPr>
              <w:autoSpaceDE w:val="0"/>
              <w:autoSpaceDN w:val="0"/>
              <w:adjustRightInd w:val="0"/>
              <w:spacing w:before="240" w:line="360" w:lineRule="auto"/>
              <w:jc w:val="both"/>
              <w:rPr>
                <w:rFonts w:ascii="Palatino Linotype" w:eastAsia="Calibri" w:hAnsi="Palatino Linotype" w:cs="Arial"/>
                <w:i/>
                <w:lang w:val="es-ES_tradnl" w:eastAsia="es-MX"/>
              </w:rPr>
            </w:pPr>
            <w:r w:rsidRPr="00980A22">
              <w:rPr>
                <w:rFonts w:ascii="Palatino Linotype" w:eastAsia="Calibri" w:hAnsi="Palatino Linotype" w:cs="Arial"/>
                <w:i/>
                <w:lang w:val="es-ES_tradnl" w:eastAsia="es-MX"/>
              </w:rPr>
              <w:t>(…)</w:t>
            </w:r>
          </w:p>
          <w:p w:rsidR="00D47851" w:rsidRPr="00980A22" w:rsidRDefault="00D47851" w:rsidP="00505192">
            <w:pPr>
              <w:autoSpaceDE w:val="0"/>
              <w:autoSpaceDN w:val="0"/>
              <w:adjustRightInd w:val="0"/>
              <w:spacing w:before="240" w:line="360" w:lineRule="auto"/>
              <w:jc w:val="both"/>
              <w:rPr>
                <w:rFonts w:ascii="Palatino Linotype" w:eastAsia="Calibri" w:hAnsi="Palatino Linotype" w:cs="Arial"/>
                <w:i/>
                <w:lang w:val="es-ES_tradnl" w:eastAsia="es-MX"/>
              </w:rPr>
            </w:pPr>
            <w:r w:rsidRPr="00980A22">
              <w:rPr>
                <w:rFonts w:ascii="Palatino Linotype" w:eastAsia="Calibri" w:hAnsi="Palatino Linotype" w:cs="Arial"/>
                <w:i/>
                <w:lang w:val="es-ES_tradnl" w:eastAsia="es-MX"/>
              </w:rPr>
              <w:lastRenderedPageBreak/>
              <w:t>Toda persona en el Estado de México, tiene derecho al libre acceso a la información plural y oportuna, así como a buscar recibir y difundir información e ideas de toda índole por cualquier medio de expresión.</w:t>
            </w:r>
          </w:p>
          <w:p w:rsidR="00D47851" w:rsidRPr="00980A22" w:rsidRDefault="00D47851" w:rsidP="00505192">
            <w:pPr>
              <w:autoSpaceDE w:val="0"/>
              <w:autoSpaceDN w:val="0"/>
              <w:adjustRightInd w:val="0"/>
              <w:spacing w:before="240" w:line="360" w:lineRule="auto"/>
              <w:jc w:val="both"/>
              <w:rPr>
                <w:rFonts w:ascii="Palatino Linotype" w:eastAsia="Calibri" w:hAnsi="Palatino Linotype" w:cs="Arial"/>
                <w:i/>
                <w:lang w:val="es-ES_tradnl" w:eastAsia="es-MX"/>
              </w:rPr>
            </w:pPr>
            <w:r w:rsidRPr="00980A22">
              <w:rPr>
                <w:rFonts w:ascii="Palatino Linotype" w:eastAsia="Calibri" w:hAnsi="Palatino Linotype" w:cs="Arial"/>
                <w:i/>
                <w:lang w:val="es-ES_tradnl" w:eastAsia="es-MX"/>
              </w:rPr>
              <w:t>(…)</w:t>
            </w:r>
          </w:p>
          <w:p w:rsidR="00D47851" w:rsidRPr="00980A22" w:rsidRDefault="00D47851" w:rsidP="00505192">
            <w:pPr>
              <w:autoSpaceDE w:val="0"/>
              <w:autoSpaceDN w:val="0"/>
              <w:adjustRightInd w:val="0"/>
              <w:spacing w:before="240" w:line="360" w:lineRule="auto"/>
              <w:jc w:val="both"/>
              <w:rPr>
                <w:rFonts w:ascii="Palatino Linotype" w:eastAsia="Calibri" w:hAnsi="Palatino Linotype" w:cs="Arial"/>
                <w:i/>
                <w:lang w:val="es-ES_tradnl" w:eastAsia="es-MX"/>
              </w:rPr>
            </w:pPr>
            <w:r w:rsidRPr="00980A22">
              <w:rPr>
                <w:rFonts w:ascii="Palatino Linotype" w:eastAsia="Calibri" w:hAnsi="Palatino Linotype" w:cs="Arial"/>
                <w:i/>
                <w:lang w:val="es-ES_tradnl" w:eastAsia="es-MX"/>
              </w:rPr>
              <w:t>El derecho a la información será garantizado por el Estado. La ley establecerá las previsiones que permitan asegurar la protección, el respeto y la difusión de este derecho.</w:t>
            </w:r>
          </w:p>
          <w:p w:rsidR="00D47851" w:rsidRPr="00980A22" w:rsidRDefault="00D47851" w:rsidP="00505192">
            <w:pPr>
              <w:autoSpaceDE w:val="0"/>
              <w:autoSpaceDN w:val="0"/>
              <w:adjustRightInd w:val="0"/>
              <w:spacing w:before="240" w:line="360" w:lineRule="auto"/>
              <w:jc w:val="both"/>
              <w:rPr>
                <w:rFonts w:ascii="Palatino Linotype" w:eastAsia="Calibri" w:hAnsi="Palatino Linotype" w:cs="Arial"/>
                <w:i/>
                <w:lang w:val="es-ES_tradnl" w:eastAsia="es-MX"/>
              </w:rPr>
            </w:pPr>
            <w:r w:rsidRPr="00980A22">
              <w:rPr>
                <w:rFonts w:ascii="Palatino Linotype" w:eastAsia="Calibri" w:hAnsi="Palatino Linotype" w:cs="Arial"/>
                <w:i/>
                <w:lang w:val="es-ES_tradnl" w:eastAsia="es-MX"/>
              </w:rPr>
              <w:t>Para garantizar el ejercicio del derecho de transparencia, acceso a la información pública y protección de datos personales, los poderes públicos y los organismos autónomos, transparentarán sus acciones, en términos de las disposiciones aplicables, la información será oportuna, clara, veraz y de fácil acceso. Este derecho se regirá por los principios y bases siguientes:</w:t>
            </w:r>
          </w:p>
          <w:p w:rsidR="00D47851" w:rsidRPr="00980A22" w:rsidRDefault="00D47851" w:rsidP="00505192">
            <w:pPr>
              <w:autoSpaceDE w:val="0"/>
              <w:autoSpaceDN w:val="0"/>
              <w:adjustRightInd w:val="0"/>
              <w:spacing w:before="240" w:line="360" w:lineRule="auto"/>
              <w:jc w:val="both"/>
              <w:rPr>
                <w:rFonts w:ascii="Palatino Linotype" w:eastAsia="Calibri" w:hAnsi="Palatino Linotype" w:cs="Arial"/>
                <w:i/>
                <w:lang w:val="es-ES_tradnl" w:eastAsia="es-MX"/>
              </w:rPr>
            </w:pPr>
            <w:r w:rsidRPr="00980A22">
              <w:rPr>
                <w:rFonts w:ascii="Palatino Linotype" w:eastAsia="Calibri" w:hAnsi="Palatino Linotype" w:cs="Arial"/>
                <w:i/>
                <w:lang w:val="es-ES_tradnl" w:eastAsia="es-MX"/>
              </w:rPr>
              <w:t>III. Toda persona, sin necesidad de acreditar interés alguno o justificar su utilización, tendrá acceso gratuito a la información pública, a sus datos personales o a la rectificación de éstos;</w:t>
            </w:r>
          </w:p>
          <w:p w:rsidR="00D47851" w:rsidRPr="00980A22" w:rsidRDefault="00D47851" w:rsidP="00505192">
            <w:pPr>
              <w:autoSpaceDE w:val="0"/>
              <w:autoSpaceDN w:val="0"/>
              <w:adjustRightInd w:val="0"/>
              <w:spacing w:before="240" w:line="360" w:lineRule="auto"/>
              <w:jc w:val="both"/>
              <w:rPr>
                <w:rFonts w:ascii="Palatino Linotype" w:eastAsia="Calibri" w:hAnsi="Palatino Linotype" w:cs="Arial"/>
                <w:i/>
                <w:lang w:val="es-ES_tradnl" w:eastAsia="es-MX"/>
              </w:rPr>
            </w:pPr>
            <w:r w:rsidRPr="00980A22">
              <w:rPr>
                <w:rFonts w:ascii="Palatino Linotype" w:eastAsia="Calibri" w:hAnsi="Palatino Linotype" w:cs="Arial"/>
                <w:i/>
                <w:lang w:val="es-ES_tradnl" w:eastAsia="es-MX"/>
              </w:rPr>
              <w:t>IV. Se establecerán mecanismos de acceso a la información y procedimientos de revisión expeditos que se sustanciarán ante el organismo autónomo especializado e imparcial que establece esta Constitución.</w:t>
            </w:r>
          </w:p>
          <w:p w:rsidR="00D47851" w:rsidRPr="00980A22" w:rsidRDefault="00D47851" w:rsidP="00505192">
            <w:pPr>
              <w:autoSpaceDE w:val="0"/>
              <w:autoSpaceDN w:val="0"/>
              <w:adjustRightInd w:val="0"/>
              <w:spacing w:before="240" w:line="360" w:lineRule="auto"/>
              <w:jc w:val="both"/>
              <w:rPr>
                <w:rFonts w:ascii="Palatino Linotype" w:hAnsi="Palatino Linotype" w:cs="Arial"/>
                <w:i/>
              </w:rPr>
            </w:pPr>
            <w:r w:rsidRPr="00980A22">
              <w:rPr>
                <w:rFonts w:ascii="Palatino Linotype" w:hAnsi="Palatino Linotype" w:cs="Arial"/>
                <w:i/>
              </w:rPr>
              <w:t>(…)</w:t>
            </w:r>
          </w:p>
          <w:p w:rsidR="00D47851" w:rsidRPr="00980A22" w:rsidRDefault="00D47851" w:rsidP="00505192">
            <w:pPr>
              <w:autoSpaceDE w:val="0"/>
              <w:autoSpaceDN w:val="0"/>
              <w:adjustRightInd w:val="0"/>
              <w:spacing w:before="240" w:line="360" w:lineRule="auto"/>
              <w:jc w:val="both"/>
              <w:rPr>
                <w:rFonts w:ascii="Palatino Linotype" w:hAnsi="Palatino Linotype" w:cs="Arial"/>
                <w:i/>
              </w:rPr>
            </w:pPr>
            <w:r w:rsidRPr="00980A22">
              <w:rPr>
                <w:rFonts w:ascii="Palatino Linotype" w:hAnsi="Palatino Linotype" w:cs="Arial"/>
                <w:i/>
              </w:rPr>
              <w:t xml:space="preserve">VIII. El Estado contará con un organismo autónomo, especializado, imparcial, colegiado, con personalidad jurídica y patrimonio propio, con plena autonomía </w:t>
            </w:r>
            <w:r w:rsidRPr="00980A22">
              <w:rPr>
                <w:rFonts w:ascii="Palatino Linotype" w:hAnsi="Palatino Linotype" w:cs="Arial"/>
                <w:i/>
              </w:rPr>
              <w:lastRenderedPageBreak/>
              <w:t>técnica y de gestión, con capacidad para decidir sobre el ejercicio de su presupuesto y determinar su organización interna, responsable de garantizar el cumplimiento del derecho de transparencia, acceso a la información pública y a la protección de datos personales en posesión de los sujetos obligados en los términos que establezca la ley. (…)”</w:t>
            </w:r>
          </w:p>
        </w:tc>
      </w:tr>
    </w:tbl>
    <w:p w:rsidR="00D47851" w:rsidRPr="00980A22" w:rsidRDefault="00D47851" w:rsidP="00D47851">
      <w:pPr>
        <w:autoSpaceDE w:val="0"/>
        <w:autoSpaceDN w:val="0"/>
        <w:adjustRightInd w:val="0"/>
        <w:spacing w:before="240" w:line="360" w:lineRule="auto"/>
        <w:jc w:val="both"/>
        <w:rPr>
          <w:rFonts w:ascii="Palatino Linotype" w:hAnsi="Palatino Linotype"/>
        </w:rPr>
      </w:pPr>
      <w:r w:rsidRPr="00980A22">
        <w:rPr>
          <w:rFonts w:ascii="Palatino Linotype" w:hAnsi="Palatino Linotype"/>
        </w:rPr>
        <w:lastRenderedPageBreak/>
        <w:t xml:space="preserve">Por lo cual, de una interpretación sistemática, conforme y progresiva del derecho humano de acceso a la información pública se aprecia que toda persona, sin necesidad de acreditar interés alguno o justificar su utilización, deberá tener acceso a la información pública, es decir, dicho derecho fundamental exime a quien lo ejerce, de acreditar su legitimación en la causa o su interés en el asunto, lo que permite la posibilidad de que, </w:t>
      </w:r>
      <w:r w:rsidRPr="00980A22">
        <w:rPr>
          <w:rFonts w:ascii="Palatino Linotype" w:hAnsi="Palatino Linotype"/>
          <w:b/>
          <w:u w:val="single"/>
        </w:rPr>
        <w:t>incluso, la solicitud de acceso a la información pueda ser anónima o no contener un nombre que identifique al solicitante o que permita tener certeza sobre su identidad</w:t>
      </w:r>
      <w:r w:rsidRPr="00980A22">
        <w:rPr>
          <w:rFonts w:ascii="Palatino Linotype" w:hAnsi="Palatino Linotype"/>
        </w:rPr>
        <w:t xml:space="preserve">. </w:t>
      </w:r>
    </w:p>
    <w:p w:rsidR="00D47851" w:rsidRPr="00980A22" w:rsidRDefault="00D47851" w:rsidP="00D47851">
      <w:pPr>
        <w:pStyle w:val="Prrafodelista"/>
        <w:autoSpaceDE w:val="0"/>
        <w:autoSpaceDN w:val="0"/>
        <w:adjustRightInd w:val="0"/>
        <w:spacing w:before="240" w:after="160" w:line="360" w:lineRule="auto"/>
        <w:ind w:left="0"/>
        <w:jc w:val="both"/>
        <w:rPr>
          <w:rFonts w:ascii="Palatino Linotype" w:hAnsi="Palatino Linotype"/>
        </w:rPr>
      </w:pPr>
      <w:r w:rsidRPr="00980A22">
        <w:rPr>
          <w:rFonts w:ascii="Palatino Linotype" w:hAnsi="Palatino Linotype"/>
        </w:rPr>
        <w:t>En conclusión, se cubrieron los requisitos de procedencia y procedibilidad y conforme a las constancias que obran en el expediente.</w:t>
      </w:r>
    </w:p>
    <w:p w:rsidR="00D47851" w:rsidRPr="00980A22" w:rsidRDefault="00D47851" w:rsidP="00D47851">
      <w:pPr>
        <w:pStyle w:val="Prrafodelista"/>
        <w:autoSpaceDE w:val="0"/>
        <w:autoSpaceDN w:val="0"/>
        <w:adjustRightInd w:val="0"/>
        <w:spacing w:before="240" w:after="160" w:line="360" w:lineRule="auto"/>
        <w:ind w:left="0"/>
        <w:jc w:val="both"/>
        <w:rPr>
          <w:rFonts w:ascii="Palatino Linotype" w:hAnsi="Palatino Linotype" w:cs="Arial"/>
        </w:rPr>
      </w:pPr>
    </w:p>
    <w:p w:rsidR="00D47851" w:rsidRPr="00980A22" w:rsidRDefault="00D47851" w:rsidP="00D47851">
      <w:pPr>
        <w:pStyle w:val="Prrafodelista"/>
        <w:autoSpaceDE w:val="0"/>
        <w:autoSpaceDN w:val="0"/>
        <w:adjustRightInd w:val="0"/>
        <w:spacing w:before="240" w:after="160" w:line="360" w:lineRule="auto"/>
        <w:ind w:left="0"/>
        <w:jc w:val="both"/>
        <w:rPr>
          <w:rFonts w:ascii="Palatino Linotype" w:hAnsi="Palatino Linotype" w:cs="Arial"/>
          <w:b/>
          <w:sz w:val="28"/>
          <w:szCs w:val="28"/>
        </w:rPr>
      </w:pPr>
      <w:r w:rsidRPr="00980A22">
        <w:rPr>
          <w:rFonts w:ascii="Palatino Linotype" w:hAnsi="Palatino Linotype" w:cs="Arial"/>
          <w:b/>
          <w:sz w:val="28"/>
        </w:rPr>
        <w:t>TERCERO</w:t>
      </w:r>
      <w:r w:rsidRPr="00980A22">
        <w:rPr>
          <w:rFonts w:ascii="Palatino Linotype" w:hAnsi="Palatino Linotype" w:cs="Arial"/>
          <w:b/>
        </w:rPr>
        <w:t xml:space="preserve">. </w:t>
      </w:r>
      <w:r w:rsidRPr="00980A22">
        <w:rPr>
          <w:rFonts w:ascii="Palatino Linotype" w:hAnsi="Palatino Linotype" w:cs="Arial"/>
          <w:b/>
          <w:sz w:val="28"/>
          <w:szCs w:val="28"/>
        </w:rPr>
        <w:t>De las causas de improcedencia.</w:t>
      </w:r>
    </w:p>
    <w:p w:rsidR="00D47851" w:rsidRPr="00980A22" w:rsidRDefault="00D47851" w:rsidP="00D47851">
      <w:pPr>
        <w:pStyle w:val="Prrafodelista"/>
        <w:autoSpaceDE w:val="0"/>
        <w:autoSpaceDN w:val="0"/>
        <w:adjustRightInd w:val="0"/>
        <w:spacing w:before="240" w:after="160" w:line="360" w:lineRule="auto"/>
        <w:ind w:left="0"/>
        <w:jc w:val="both"/>
        <w:rPr>
          <w:rFonts w:ascii="Palatino Linotype" w:hAnsi="Palatino Linotype" w:cs="Arial"/>
        </w:rPr>
      </w:pPr>
      <w:r w:rsidRPr="00980A22">
        <w:rPr>
          <w:rFonts w:ascii="Palatino Linotype" w:hAnsi="Palatino Linotype" w:cs="Arial"/>
        </w:rPr>
        <w:t>En el procedimiento de acceso a la información y de los medios de impugnación de la materia, se advierten diversos supuestos de procedibilidad, los cuales deben estudiarse con la finalidad de dar cumplimiento a los principios de legalidad y objetividad inmersos en el artículo 9 de Ley de Transparencia y Acceso a la Información Pública del Estado de México y Municipios, en correlación con la seguridad jurídica que debe generar lo actuado ante este Organismo garante.</w:t>
      </w:r>
    </w:p>
    <w:p w:rsidR="00D47851" w:rsidRPr="00980A22" w:rsidRDefault="00D47851" w:rsidP="00D47851">
      <w:pPr>
        <w:pStyle w:val="Prrafodelista"/>
        <w:autoSpaceDE w:val="0"/>
        <w:autoSpaceDN w:val="0"/>
        <w:adjustRightInd w:val="0"/>
        <w:spacing w:line="360" w:lineRule="auto"/>
        <w:ind w:left="0"/>
        <w:jc w:val="both"/>
        <w:rPr>
          <w:rFonts w:ascii="Palatino Linotype" w:hAnsi="Palatino Linotype" w:cs="Arial"/>
        </w:rPr>
      </w:pPr>
      <w:r w:rsidRPr="00980A22">
        <w:rPr>
          <w:rFonts w:ascii="Palatino Linotype" w:hAnsi="Palatino Linotype" w:cs="Arial"/>
        </w:rPr>
        <w:lastRenderedPageBreak/>
        <w:t>Siendo facultad de este Órgano entrar al estudio de las causas de improcedencia que hagan valer las partes o que se adviertan de oficio por este Resolutor y por ende objeto de análisis previo al estudio de fondo del asunto, en los presupuestos procesales sobre el inicio o trámite de un proceso, generando eficacia jurídica en las resoluciones, máxime que se trata de una figura procesal adoptada en la ley de la materia, la cual impide su estudio y resolución cuando una vez admitido el recurso de revisión se advierta una causa de improcedencia que permita sobreseer el recurso de revisión, sin estudiar el fondo del asunto; circunstancias anteriores que no son incompatibles con el derecho de acceso a la justicia, ya que éste no se coarta por regular causas de improcedencia y sobreseimiento con tales fines</w:t>
      </w:r>
      <w:r w:rsidRPr="00980A22">
        <w:rPr>
          <w:rStyle w:val="Refdenotaalpie"/>
          <w:rFonts w:ascii="Palatino Linotype" w:hAnsi="Palatino Linotype" w:cs="Arial"/>
        </w:rPr>
        <w:footnoteReference w:id="1"/>
      </w:r>
      <w:r w:rsidRPr="00980A22">
        <w:rPr>
          <w:rFonts w:ascii="Palatino Linotype" w:hAnsi="Palatino Linotype" w:cs="Arial"/>
        </w:rPr>
        <w:t>. Así las cosas, del análisis de los expedientes electrónicos no se advierte ninguna causa de improcedencia que se actualice ni mucho menos alguna hecha valer por alguna de las partes, procediendo al estudio del fondo del asunto, en los siguientes términos.</w:t>
      </w:r>
    </w:p>
    <w:p w:rsidR="00D47851" w:rsidRPr="00980A22" w:rsidRDefault="00D47851" w:rsidP="00D47851">
      <w:pPr>
        <w:tabs>
          <w:tab w:val="left" w:pos="709"/>
        </w:tabs>
        <w:spacing w:before="240" w:line="360" w:lineRule="auto"/>
        <w:ind w:right="51"/>
        <w:jc w:val="both"/>
        <w:rPr>
          <w:rFonts w:ascii="Palatino Linotype" w:hAnsi="Palatino Linotype"/>
          <w:b/>
          <w:sz w:val="28"/>
          <w:szCs w:val="28"/>
        </w:rPr>
      </w:pPr>
    </w:p>
    <w:p w:rsidR="00D47851" w:rsidRPr="00980A22" w:rsidRDefault="00D47851" w:rsidP="00D47851">
      <w:pPr>
        <w:tabs>
          <w:tab w:val="left" w:pos="709"/>
        </w:tabs>
        <w:spacing w:before="240" w:line="360" w:lineRule="auto"/>
        <w:ind w:right="51"/>
        <w:jc w:val="both"/>
        <w:rPr>
          <w:rFonts w:ascii="Palatino Linotype" w:hAnsi="Palatino Linotype"/>
          <w:b/>
          <w:sz w:val="28"/>
          <w:szCs w:val="28"/>
        </w:rPr>
      </w:pPr>
      <w:r w:rsidRPr="00980A22">
        <w:rPr>
          <w:rFonts w:ascii="Palatino Linotype" w:hAnsi="Palatino Linotype"/>
          <w:b/>
          <w:sz w:val="28"/>
          <w:szCs w:val="28"/>
        </w:rPr>
        <w:t xml:space="preserve">CUARTO. Estudio y resolución del asunto </w:t>
      </w:r>
      <w:r w:rsidRPr="00980A22">
        <w:rPr>
          <w:rFonts w:ascii="Palatino Linotype" w:hAnsi="Palatino Linotype"/>
          <w:b/>
          <w:sz w:val="28"/>
          <w:szCs w:val="28"/>
        </w:rPr>
        <w:tab/>
      </w:r>
    </w:p>
    <w:p w:rsidR="00D47851" w:rsidRPr="00980A22" w:rsidRDefault="00D47851" w:rsidP="00D47851">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rPr>
      </w:pPr>
      <w:r w:rsidRPr="00980A22">
        <w:rPr>
          <w:rFonts w:ascii="Palatino Linotype" w:eastAsia="Palatino Linotype" w:hAnsi="Palatino Linotype" w:cs="Palatino Linotype"/>
          <w:color w:val="000000"/>
        </w:rPr>
        <w:lastRenderedPageBreak/>
        <w:t>El análisis y resolución del presente recurso, se funda en el contenido íntegro de las actuaciones que obran en el expediente electrónico, para así estar en posibilidad este Órgano Colegiado de dictar el fallo correspondiente conforme a derecho, tomando en consideración los elementos aportados por las partes y respetando en todo momento al principio de máxima publicidad consagrado en nuestra Constitución Federal, Local y demás leyes aplicables en la materia, así como en los tratados internacionales en los que el Estado Mexicano sea parte, en concordancia con el párrafo tercero del artículo 1 de la Constitución Federal y el diverso 8 de la Ley de Transparencia local.</w:t>
      </w:r>
    </w:p>
    <w:p w:rsidR="00D47851" w:rsidRPr="00980A22" w:rsidRDefault="00D47851" w:rsidP="00D47851">
      <w:pPr>
        <w:autoSpaceDE w:val="0"/>
        <w:autoSpaceDN w:val="0"/>
        <w:adjustRightInd w:val="0"/>
        <w:ind w:right="567"/>
        <w:rPr>
          <w:rFonts w:ascii="Palatino Linotype" w:eastAsia="Calibri" w:hAnsi="Palatino Linotype" w:cs="Arial"/>
        </w:rPr>
      </w:pPr>
    </w:p>
    <w:p w:rsidR="00D47851" w:rsidRPr="00980A22" w:rsidRDefault="00D47851" w:rsidP="00D47851">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rPr>
      </w:pPr>
      <w:r w:rsidRPr="00980A22">
        <w:rPr>
          <w:rFonts w:ascii="Palatino Linotype" w:eastAsia="Palatino Linotype" w:hAnsi="Palatino Linotype" w:cs="Palatino Linotype"/>
          <w:color w:val="000000"/>
        </w:rPr>
        <w:t>Ahora bien, el artículo 179 de la Ley de Transparencia establece las causales para la procedencia del recurso de revisión, tal como se transcribe:</w:t>
      </w:r>
    </w:p>
    <w:p w:rsidR="00D47851" w:rsidRPr="00980A22" w:rsidRDefault="00D47851" w:rsidP="00D47851">
      <w:pPr>
        <w:pStyle w:val="Citas"/>
      </w:pPr>
      <w:r w:rsidRPr="00980A22">
        <w:rPr>
          <w:b/>
        </w:rPr>
        <w:t>Artículo 179.</w:t>
      </w:r>
      <w:r w:rsidRPr="00980A22">
        <w:t xml:space="preserve"> El recurso de revisión es un medio de protección que la Ley otorga a los particulares, para hacer valer su derecho de acceso a la información pública, y procederá en contra de las siguientes causas: </w:t>
      </w:r>
    </w:p>
    <w:p w:rsidR="00D47851" w:rsidRPr="00980A22" w:rsidRDefault="00D47851" w:rsidP="00D47851">
      <w:pPr>
        <w:pStyle w:val="Citas"/>
        <w:numPr>
          <w:ilvl w:val="0"/>
          <w:numId w:val="2"/>
        </w:numPr>
        <w:spacing w:before="0" w:after="0" w:line="240" w:lineRule="auto"/>
        <w:rPr>
          <w:b/>
        </w:rPr>
      </w:pPr>
      <w:r w:rsidRPr="00980A22">
        <w:rPr>
          <w:b/>
        </w:rPr>
        <w:t xml:space="preserve">La negativa a la información solicitada; </w:t>
      </w:r>
    </w:p>
    <w:p w:rsidR="00D47851" w:rsidRPr="00980A22" w:rsidRDefault="00D47851" w:rsidP="00D47851">
      <w:pPr>
        <w:pStyle w:val="Citas"/>
        <w:numPr>
          <w:ilvl w:val="0"/>
          <w:numId w:val="2"/>
        </w:numPr>
        <w:spacing w:before="0" w:after="0" w:line="240" w:lineRule="auto"/>
      </w:pPr>
      <w:r w:rsidRPr="00980A22">
        <w:t xml:space="preserve">La clasificación de la información; </w:t>
      </w:r>
    </w:p>
    <w:p w:rsidR="00D47851" w:rsidRPr="00980A22" w:rsidRDefault="00D47851" w:rsidP="00D47851">
      <w:pPr>
        <w:pStyle w:val="Citas"/>
        <w:numPr>
          <w:ilvl w:val="0"/>
          <w:numId w:val="2"/>
        </w:numPr>
        <w:spacing w:before="0" w:after="0" w:line="240" w:lineRule="auto"/>
      </w:pPr>
      <w:r w:rsidRPr="00980A22">
        <w:t xml:space="preserve">La declaración de inexistencia de la información; </w:t>
      </w:r>
    </w:p>
    <w:p w:rsidR="00D47851" w:rsidRPr="00980A22" w:rsidRDefault="00D47851" w:rsidP="00D47851">
      <w:pPr>
        <w:pStyle w:val="Citas"/>
        <w:numPr>
          <w:ilvl w:val="0"/>
          <w:numId w:val="2"/>
        </w:numPr>
        <w:spacing w:before="0" w:after="0" w:line="240" w:lineRule="auto"/>
      </w:pPr>
      <w:r w:rsidRPr="00980A22">
        <w:t xml:space="preserve">La declaración de incompetencia por el sujeto obligado; </w:t>
      </w:r>
    </w:p>
    <w:p w:rsidR="00D47851" w:rsidRPr="00980A22" w:rsidRDefault="00D47851" w:rsidP="00D47851">
      <w:pPr>
        <w:pStyle w:val="Citas"/>
        <w:numPr>
          <w:ilvl w:val="0"/>
          <w:numId w:val="2"/>
        </w:numPr>
        <w:spacing w:before="0" w:after="0" w:line="240" w:lineRule="auto"/>
      </w:pPr>
      <w:r w:rsidRPr="00980A22">
        <w:t xml:space="preserve">La entrega de información incompleta; </w:t>
      </w:r>
    </w:p>
    <w:p w:rsidR="00D47851" w:rsidRPr="00980A22" w:rsidRDefault="00D47851" w:rsidP="00D47851">
      <w:pPr>
        <w:pStyle w:val="Citas"/>
        <w:numPr>
          <w:ilvl w:val="0"/>
          <w:numId w:val="2"/>
        </w:numPr>
        <w:spacing w:before="0" w:after="0" w:line="240" w:lineRule="auto"/>
      </w:pPr>
      <w:r w:rsidRPr="00980A22">
        <w:t xml:space="preserve">La entrega de información que no corresponda con lo solicitado; </w:t>
      </w:r>
    </w:p>
    <w:p w:rsidR="00D47851" w:rsidRPr="00980A22" w:rsidRDefault="00D47851" w:rsidP="00D47851">
      <w:pPr>
        <w:pStyle w:val="Citas"/>
        <w:numPr>
          <w:ilvl w:val="0"/>
          <w:numId w:val="2"/>
        </w:numPr>
        <w:spacing w:before="0" w:after="0" w:line="240" w:lineRule="auto"/>
      </w:pPr>
      <w:r w:rsidRPr="00980A22">
        <w:t xml:space="preserve">La falta de respuesta a una solicitud de acceso a la información; </w:t>
      </w:r>
    </w:p>
    <w:p w:rsidR="00D47851" w:rsidRPr="00980A22" w:rsidRDefault="00D47851" w:rsidP="00D47851">
      <w:pPr>
        <w:pStyle w:val="Citas"/>
        <w:numPr>
          <w:ilvl w:val="0"/>
          <w:numId w:val="2"/>
        </w:numPr>
        <w:spacing w:before="0" w:after="0" w:line="240" w:lineRule="auto"/>
      </w:pPr>
      <w:r w:rsidRPr="00980A22">
        <w:t xml:space="preserve">La notificación, entrega o puesta a disposición de información en una modalidad o formato distinto al solicitado; </w:t>
      </w:r>
    </w:p>
    <w:p w:rsidR="00D47851" w:rsidRPr="00980A22" w:rsidRDefault="00D47851" w:rsidP="00D47851">
      <w:pPr>
        <w:pStyle w:val="Citas"/>
        <w:numPr>
          <w:ilvl w:val="0"/>
          <w:numId w:val="2"/>
        </w:numPr>
        <w:spacing w:before="0" w:after="0" w:line="240" w:lineRule="auto"/>
      </w:pPr>
      <w:r w:rsidRPr="00980A22">
        <w:t xml:space="preserve">La entrega o puesta a disposición de información en un formato incomprensible y/o no accesible para el solicitante; </w:t>
      </w:r>
    </w:p>
    <w:p w:rsidR="00D47851" w:rsidRPr="00980A22" w:rsidRDefault="00D47851" w:rsidP="00D47851">
      <w:pPr>
        <w:pStyle w:val="Citas"/>
        <w:numPr>
          <w:ilvl w:val="0"/>
          <w:numId w:val="2"/>
        </w:numPr>
        <w:spacing w:before="0" w:after="0" w:line="240" w:lineRule="auto"/>
      </w:pPr>
      <w:r w:rsidRPr="00980A22">
        <w:t xml:space="preserve">Los costos o tiempos de entrega de la información; </w:t>
      </w:r>
    </w:p>
    <w:p w:rsidR="00D47851" w:rsidRPr="00980A22" w:rsidRDefault="00D47851" w:rsidP="00D47851">
      <w:pPr>
        <w:pStyle w:val="Citas"/>
        <w:numPr>
          <w:ilvl w:val="0"/>
          <w:numId w:val="2"/>
        </w:numPr>
        <w:spacing w:before="0" w:after="0" w:line="240" w:lineRule="auto"/>
      </w:pPr>
      <w:r w:rsidRPr="00980A22">
        <w:t xml:space="preserve">La falta de trámite a una solicitud; </w:t>
      </w:r>
    </w:p>
    <w:p w:rsidR="00D47851" w:rsidRPr="00980A22" w:rsidRDefault="00D47851" w:rsidP="00D47851">
      <w:pPr>
        <w:pStyle w:val="Citas"/>
        <w:numPr>
          <w:ilvl w:val="0"/>
          <w:numId w:val="2"/>
        </w:numPr>
        <w:spacing w:before="0" w:after="0" w:line="240" w:lineRule="auto"/>
      </w:pPr>
      <w:r w:rsidRPr="00980A22">
        <w:t xml:space="preserve">La negativa a permitir la consulta directa de la información; </w:t>
      </w:r>
    </w:p>
    <w:p w:rsidR="00D47851" w:rsidRPr="00980A22" w:rsidRDefault="00D47851" w:rsidP="00D47851">
      <w:pPr>
        <w:pStyle w:val="Citas"/>
        <w:numPr>
          <w:ilvl w:val="0"/>
          <w:numId w:val="2"/>
        </w:numPr>
        <w:spacing w:before="0" w:after="0" w:line="240" w:lineRule="auto"/>
      </w:pPr>
      <w:r w:rsidRPr="00980A22">
        <w:t xml:space="preserve">La falta, deficiencia o insuficiencia de la fundamentación y/o motivación en la respuesta; y </w:t>
      </w:r>
    </w:p>
    <w:p w:rsidR="00D47851" w:rsidRPr="00980A22" w:rsidRDefault="00D47851" w:rsidP="00D47851">
      <w:pPr>
        <w:pStyle w:val="Citas"/>
        <w:numPr>
          <w:ilvl w:val="0"/>
          <w:numId w:val="2"/>
        </w:numPr>
        <w:spacing w:before="0" w:after="0" w:line="240" w:lineRule="auto"/>
      </w:pPr>
      <w:r w:rsidRPr="00980A22">
        <w:t xml:space="preserve">La orientación a un trámite específico. </w:t>
      </w:r>
    </w:p>
    <w:p w:rsidR="00D47851" w:rsidRPr="00980A22" w:rsidRDefault="00D47851" w:rsidP="00D47851">
      <w:pPr>
        <w:pStyle w:val="Citas"/>
        <w:spacing w:line="240" w:lineRule="auto"/>
      </w:pPr>
      <w:r w:rsidRPr="00980A22">
        <w:lastRenderedPageBreak/>
        <w:t>La respuesta que den los sujetos obligados derivada de la resolución a un recurso de revisión que proceda por las causales señaladas en las fracciones IV, VII, IX, X, XI y XII es susceptible de ser impugnada de nueva cuenta, mediante recurso de revisión, ante el Instituto.</w:t>
      </w:r>
    </w:p>
    <w:p w:rsidR="00D47851" w:rsidRPr="00980A22" w:rsidRDefault="00D47851" w:rsidP="00D47851">
      <w:pPr>
        <w:autoSpaceDE w:val="0"/>
        <w:autoSpaceDN w:val="0"/>
        <w:adjustRightInd w:val="0"/>
        <w:ind w:right="567"/>
        <w:rPr>
          <w:rFonts w:ascii="Palatino Linotype" w:eastAsia="Calibri" w:hAnsi="Palatino Linotype" w:cs="Arial"/>
        </w:rPr>
      </w:pPr>
    </w:p>
    <w:p w:rsidR="00D47851" w:rsidRPr="00980A22" w:rsidRDefault="00D47851" w:rsidP="00D47851">
      <w:pPr>
        <w:spacing w:line="360" w:lineRule="auto"/>
        <w:jc w:val="both"/>
        <w:rPr>
          <w:rFonts w:ascii="Palatino Linotype" w:hAnsi="Palatino Linotype" w:cs="Tahoma"/>
          <w:bCs/>
        </w:rPr>
      </w:pPr>
      <w:r w:rsidRPr="00980A22">
        <w:rPr>
          <w:rFonts w:ascii="Palatino Linotype" w:hAnsi="Palatino Linotype" w:cs="Tahoma"/>
          <w:bCs/>
        </w:rPr>
        <w:t xml:space="preserve">Bajo estas líneas argumentativas, al retomar y delimitar los requerimientos del ahora </w:t>
      </w:r>
      <w:r w:rsidRPr="00980A22">
        <w:rPr>
          <w:rFonts w:ascii="Palatino Linotype" w:hAnsi="Palatino Linotype" w:cs="Tahoma"/>
          <w:b/>
          <w:bCs/>
        </w:rPr>
        <w:t>Recurrente</w:t>
      </w:r>
      <w:r w:rsidRPr="00980A22">
        <w:rPr>
          <w:rFonts w:ascii="Palatino Linotype" w:hAnsi="Palatino Linotype" w:cs="Tahoma"/>
          <w:bCs/>
        </w:rPr>
        <w:t>, de manera objetiva se precisa que requiere la siguiente información:</w:t>
      </w:r>
    </w:p>
    <w:p w:rsidR="00D47851" w:rsidRPr="00980A22" w:rsidRDefault="00B63365" w:rsidP="00B63365">
      <w:pPr>
        <w:pStyle w:val="Prrafodelista"/>
        <w:numPr>
          <w:ilvl w:val="0"/>
          <w:numId w:val="3"/>
        </w:numPr>
        <w:tabs>
          <w:tab w:val="left" w:pos="1828"/>
        </w:tabs>
        <w:spacing w:line="360" w:lineRule="auto"/>
        <w:contextualSpacing w:val="0"/>
        <w:jc w:val="both"/>
        <w:rPr>
          <w:rFonts w:ascii="Palatino Linotype" w:hAnsi="Palatino Linotype" w:cs="Tahoma"/>
          <w:bCs/>
        </w:rPr>
      </w:pPr>
      <w:r w:rsidRPr="00980A22">
        <w:rPr>
          <w:rFonts w:ascii="Palatino Linotype" w:hAnsi="Palatino Linotype" w:cs="Tahoma"/>
          <w:bCs/>
        </w:rPr>
        <w:t>Cuál es el promedio de hojas qué se gastan las áreas staff por dependencia, diferenciado cada una de ellas y que costo del presupuesto de egreso representa</w:t>
      </w:r>
      <w:r w:rsidR="00D47851" w:rsidRPr="00980A22">
        <w:rPr>
          <w:rFonts w:ascii="Palatino Linotype" w:hAnsi="Palatino Linotype" w:cs="Tahoma"/>
          <w:bCs/>
        </w:rPr>
        <w:t xml:space="preserve">. </w:t>
      </w:r>
    </w:p>
    <w:p w:rsidR="00D47851" w:rsidRPr="00980A22" w:rsidRDefault="00D47851" w:rsidP="00D47851">
      <w:pPr>
        <w:spacing w:before="240" w:line="360" w:lineRule="auto"/>
        <w:jc w:val="both"/>
        <w:rPr>
          <w:rFonts w:ascii="Palatino Linotype" w:hAnsi="Palatino Linotype" w:cs="Arial"/>
        </w:rPr>
      </w:pPr>
    </w:p>
    <w:p w:rsidR="00D47851" w:rsidRPr="00980A22" w:rsidRDefault="00D47851" w:rsidP="00B63365">
      <w:pPr>
        <w:spacing w:line="360" w:lineRule="auto"/>
        <w:jc w:val="both"/>
        <w:rPr>
          <w:rFonts w:ascii="Palatino Linotype" w:hAnsi="Palatino Linotype" w:cs="Arial"/>
          <w:b/>
        </w:rPr>
      </w:pPr>
      <w:r w:rsidRPr="00980A22">
        <w:rPr>
          <w:rFonts w:ascii="Palatino Linotype" w:hAnsi="Palatino Linotype" w:cs="Arial"/>
        </w:rPr>
        <w:t xml:space="preserve">De conformidad con las constancias que obran en el expediente electrónico, se observa que el </w:t>
      </w:r>
      <w:r w:rsidRPr="00980A22">
        <w:rPr>
          <w:rFonts w:ascii="Palatino Linotype" w:hAnsi="Palatino Linotype" w:cs="Arial"/>
          <w:b/>
        </w:rPr>
        <w:t>Sujeto Obligado</w:t>
      </w:r>
      <w:r w:rsidRPr="00980A22">
        <w:rPr>
          <w:rFonts w:ascii="Palatino Linotype" w:hAnsi="Palatino Linotype" w:cs="Arial"/>
        </w:rPr>
        <w:t xml:space="preserve"> dio respuesta por medio del sistema SAIMEX, a la solicitud de información</w:t>
      </w:r>
      <w:r w:rsidRPr="00980A22">
        <w:rPr>
          <w:rFonts w:ascii="Palatino Linotype" w:eastAsia="Palatino Linotype" w:hAnsi="Palatino Linotype" w:cs="Palatino Linotype"/>
          <w:b/>
          <w:color w:val="000000"/>
        </w:rPr>
        <w:t xml:space="preserve"> </w:t>
      </w:r>
      <w:r w:rsidR="001E17D4" w:rsidRPr="00980A22">
        <w:rPr>
          <w:rFonts w:ascii="Palatino Linotype" w:hAnsi="Palatino Linotype" w:cs="Arial"/>
          <w:b/>
        </w:rPr>
        <w:t>00864/SF/IP/2026</w:t>
      </w:r>
      <w:r w:rsidRPr="00980A22">
        <w:rPr>
          <w:rFonts w:ascii="Palatino Linotype" w:hAnsi="Palatino Linotype" w:cs="Arial"/>
          <w:b/>
        </w:rPr>
        <w:t xml:space="preserve">, </w:t>
      </w:r>
      <w:r w:rsidRPr="00980A22">
        <w:rPr>
          <w:rFonts w:ascii="Palatino Linotype" w:hAnsi="Palatino Linotype" w:cs="Arial"/>
        </w:rPr>
        <w:t>a través de los archivos electrónicos</w:t>
      </w:r>
      <w:r w:rsidRPr="00980A22">
        <w:rPr>
          <w:rFonts w:ascii="Palatino Linotype" w:hAnsi="Palatino Linotype" w:cs="Arial"/>
          <w:b/>
        </w:rPr>
        <w:t>:</w:t>
      </w:r>
    </w:p>
    <w:p w:rsidR="00B63365" w:rsidRPr="00980A22" w:rsidRDefault="00B63365" w:rsidP="00B63365">
      <w:pPr>
        <w:pStyle w:val="Prrafodelista"/>
        <w:numPr>
          <w:ilvl w:val="0"/>
          <w:numId w:val="4"/>
        </w:numPr>
        <w:spacing w:before="240" w:line="360" w:lineRule="auto"/>
        <w:jc w:val="both"/>
        <w:rPr>
          <w:rFonts w:ascii="Palatino Linotype" w:hAnsi="Palatino Linotype" w:cs="Arial"/>
          <w:b/>
          <w:i/>
        </w:rPr>
      </w:pPr>
      <w:r w:rsidRPr="00980A22">
        <w:rPr>
          <w:rFonts w:ascii="Palatino Linotype" w:hAnsi="Palatino Linotype" w:cs="Arial"/>
          <w:b/>
          <w:i/>
        </w:rPr>
        <w:t xml:space="preserve">00864 - COORD ADVA.pdf: </w:t>
      </w:r>
      <w:r w:rsidRPr="00980A22">
        <w:rPr>
          <w:rFonts w:ascii="Palatino Linotype" w:hAnsi="Palatino Linotype" w:cs="Arial"/>
        </w:rPr>
        <w:t>oficio número 20700002000100S/IP/0083/2026, de fecha 16 de junio de 2026, firmado por el Servidor Público Habilitado de la Coordinación Administrativa, en el que re</w:t>
      </w:r>
      <w:r w:rsidR="004A47D8" w:rsidRPr="00980A22">
        <w:rPr>
          <w:rFonts w:ascii="Palatino Linotype" w:hAnsi="Palatino Linotype" w:cs="Arial"/>
        </w:rPr>
        <w:t>fiere lo siguiente:</w:t>
      </w:r>
    </w:p>
    <w:p w:rsidR="004A47D8" w:rsidRPr="00980A22" w:rsidRDefault="004A47D8" w:rsidP="004A47D8">
      <w:pPr>
        <w:pStyle w:val="Citas"/>
      </w:pPr>
      <w:r w:rsidRPr="00980A22">
        <w:t>“…</w:t>
      </w:r>
    </w:p>
    <w:p w:rsidR="004A47D8" w:rsidRPr="00980A22" w:rsidRDefault="004A47D8" w:rsidP="004A47D8">
      <w:pPr>
        <w:pStyle w:val="Citas"/>
      </w:pPr>
      <w:r w:rsidRPr="00980A22">
        <w:rPr>
          <w:lang w:val="es-ES"/>
        </w:rPr>
        <w:t xml:space="preserve">Al respecto, me permito comentarle que después de haber realizado una búsqueda exhaustiva y razonable en los archivos que obran en la Subdirección de Servicios; se informa que </w:t>
      </w:r>
      <w:r w:rsidRPr="00980A22">
        <w:rPr>
          <w:b/>
          <w:u w:val="single"/>
          <w:lang w:val="es-ES"/>
        </w:rPr>
        <w:t>cada Área es responsable del consumo de sus hojas y no existen lineamientos publicados para tener y/o llevar un control de su consumo, por tal hecho, se desconoce el promedio de hojas gastadas por las Áreas Staff de la Secretaría de Finanzas del Gobierno del Estado de México; con relación al costo del presupuesto de egresos que representa, no se cuenta con el dato por la razón expuesta</w:t>
      </w:r>
      <w:r w:rsidRPr="00980A22">
        <w:rPr>
          <w:lang w:val="es-ES"/>
        </w:rPr>
        <w:t>.</w:t>
      </w:r>
    </w:p>
    <w:p w:rsidR="004A47D8" w:rsidRPr="00980A22" w:rsidRDefault="004A47D8" w:rsidP="004A47D8">
      <w:pPr>
        <w:pStyle w:val="Citas"/>
      </w:pPr>
      <w:r w:rsidRPr="00980A22">
        <w:lastRenderedPageBreak/>
        <w:t>…” (Sic)</w:t>
      </w:r>
    </w:p>
    <w:p w:rsidR="00D47851" w:rsidRPr="00980A22" w:rsidRDefault="00B63365" w:rsidP="004A47D8">
      <w:pPr>
        <w:pStyle w:val="Prrafodelista"/>
        <w:numPr>
          <w:ilvl w:val="0"/>
          <w:numId w:val="4"/>
        </w:numPr>
        <w:spacing w:before="240" w:line="360" w:lineRule="auto"/>
        <w:jc w:val="both"/>
        <w:rPr>
          <w:rFonts w:ascii="Palatino Linotype" w:hAnsi="Palatino Linotype" w:cs="Arial"/>
          <w:b/>
          <w:i/>
        </w:rPr>
      </w:pPr>
      <w:r w:rsidRPr="00980A22">
        <w:rPr>
          <w:rFonts w:ascii="Palatino Linotype" w:hAnsi="Palatino Linotype" w:cs="Arial"/>
          <w:b/>
          <w:i/>
        </w:rPr>
        <w:t>SOLICITANTE - 00864.pdf</w:t>
      </w:r>
      <w:r w:rsidR="00D47851" w:rsidRPr="00980A22">
        <w:rPr>
          <w:rFonts w:ascii="Palatino Linotype" w:hAnsi="Palatino Linotype" w:cs="Arial"/>
          <w:b/>
          <w:i/>
        </w:rPr>
        <w:t xml:space="preserve">: </w:t>
      </w:r>
      <w:r w:rsidR="00D47851" w:rsidRPr="00980A22">
        <w:rPr>
          <w:rFonts w:ascii="Palatino Linotype" w:hAnsi="Palatino Linotype" w:cs="Arial"/>
        </w:rPr>
        <w:t xml:space="preserve">oficio número </w:t>
      </w:r>
      <w:r w:rsidR="004A47D8" w:rsidRPr="00980A22">
        <w:rPr>
          <w:rFonts w:ascii="Palatino Linotype" w:hAnsi="Palatino Linotype" w:cs="Arial"/>
        </w:rPr>
        <w:t>20700004S/UT-1733/2026</w:t>
      </w:r>
      <w:r w:rsidR="00D47851" w:rsidRPr="00980A22">
        <w:rPr>
          <w:rFonts w:ascii="Palatino Linotype" w:hAnsi="Palatino Linotype" w:cs="Arial"/>
        </w:rPr>
        <w:t xml:space="preserve">, de fecha </w:t>
      </w:r>
      <w:r w:rsidR="004A47D8" w:rsidRPr="00980A22">
        <w:rPr>
          <w:rFonts w:ascii="Palatino Linotype" w:hAnsi="Palatino Linotype" w:cs="Arial"/>
        </w:rPr>
        <w:t>17</w:t>
      </w:r>
      <w:r w:rsidR="00D47851" w:rsidRPr="00980A22">
        <w:rPr>
          <w:rFonts w:ascii="Palatino Linotype" w:hAnsi="Palatino Linotype" w:cs="Arial"/>
        </w:rPr>
        <w:t xml:space="preserve"> de </w:t>
      </w:r>
      <w:r w:rsidR="004A47D8" w:rsidRPr="00980A22">
        <w:rPr>
          <w:rFonts w:ascii="Palatino Linotype" w:hAnsi="Palatino Linotype" w:cs="Arial"/>
        </w:rPr>
        <w:t>junio</w:t>
      </w:r>
      <w:r w:rsidR="00D47851" w:rsidRPr="00980A22">
        <w:rPr>
          <w:rFonts w:ascii="Palatino Linotype" w:hAnsi="Palatino Linotype" w:cs="Arial"/>
        </w:rPr>
        <w:t xml:space="preserve"> de 2026, firmado por </w:t>
      </w:r>
      <w:r w:rsidR="004A47D8" w:rsidRPr="00980A22">
        <w:rPr>
          <w:rFonts w:ascii="Palatino Linotype" w:hAnsi="Palatino Linotype" w:cs="Arial"/>
        </w:rPr>
        <w:t xml:space="preserve">el Jefe de la Unidad de Información, Planeación, Programación y Evaluación y Titular de la Unidad de Transparencia, por medio del cual refiere remitir al solicitante el oficio descrito en el punto anterior. </w:t>
      </w:r>
    </w:p>
    <w:p w:rsidR="00D47851" w:rsidRPr="00980A22" w:rsidRDefault="00D47851" w:rsidP="00D47851">
      <w:pPr>
        <w:spacing w:line="360" w:lineRule="auto"/>
        <w:jc w:val="both"/>
        <w:rPr>
          <w:rFonts w:ascii="Palatino Linotype" w:hAnsi="Palatino Linotype" w:cs="Arial"/>
          <w:bCs/>
        </w:rPr>
      </w:pPr>
    </w:p>
    <w:p w:rsidR="00D47851" w:rsidRPr="00980A22" w:rsidRDefault="00D47851" w:rsidP="00D47851">
      <w:pPr>
        <w:spacing w:line="360" w:lineRule="auto"/>
        <w:jc w:val="both"/>
        <w:rPr>
          <w:rFonts w:ascii="Palatino Linotype" w:hAnsi="Palatino Linotype"/>
          <w:i/>
        </w:rPr>
      </w:pPr>
      <w:r w:rsidRPr="00980A22">
        <w:rPr>
          <w:rFonts w:ascii="Palatino Linotype" w:hAnsi="Palatino Linotype" w:cs="Arial"/>
          <w:bCs/>
        </w:rPr>
        <w:t xml:space="preserve">Es así como, derivado de la respuesta emitida por </w:t>
      </w:r>
      <w:r w:rsidRPr="00980A22">
        <w:rPr>
          <w:rFonts w:ascii="Palatino Linotype" w:hAnsi="Palatino Linotype" w:cs="Arial"/>
          <w:b/>
          <w:bCs/>
        </w:rPr>
        <w:t>El Sujeto Obligado</w:t>
      </w:r>
      <w:r w:rsidRPr="00980A22">
        <w:rPr>
          <w:rFonts w:ascii="Palatino Linotype" w:hAnsi="Palatino Linotype" w:cs="Arial"/>
          <w:bCs/>
        </w:rPr>
        <w:t xml:space="preserve">, </w:t>
      </w:r>
      <w:r w:rsidRPr="00980A22">
        <w:rPr>
          <w:rFonts w:ascii="Palatino Linotype" w:hAnsi="Palatino Linotype" w:cs="Arial"/>
          <w:b/>
          <w:bCs/>
        </w:rPr>
        <w:t>el Recurrente</w:t>
      </w:r>
      <w:r w:rsidRPr="00980A22">
        <w:rPr>
          <w:rFonts w:ascii="Palatino Linotype" w:hAnsi="Palatino Linotype" w:cs="Arial"/>
          <w:bCs/>
        </w:rPr>
        <w:t>, interpuso el presente recurso de revisión, señalando sustancialmente como sus razones o motivos de inconformidad, lo siguiente:</w:t>
      </w:r>
      <w:r w:rsidRPr="00980A22" w:rsidDel="00107C3B">
        <w:rPr>
          <w:rFonts w:ascii="Palatino Linotype" w:hAnsi="Palatino Linotype"/>
          <w:b/>
          <w:i/>
        </w:rPr>
        <w:t xml:space="preserve"> </w:t>
      </w:r>
      <w:r w:rsidRPr="00980A22">
        <w:rPr>
          <w:rFonts w:ascii="Palatino Linotype" w:hAnsi="Palatino Linotype"/>
          <w:i/>
        </w:rPr>
        <w:t>“</w:t>
      </w:r>
      <w:r w:rsidR="004A47D8" w:rsidRPr="00980A22">
        <w:rPr>
          <w:rFonts w:ascii="Palatino Linotype" w:hAnsi="Palatino Linotype"/>
          <w:i/>
        </w:rPr>
        <w:t>Es ilógico que no sepan cuantas hojas gastan. Las compran con dinero público que por cierto compran con dinero público, así que claro que debe de haber un registro de los costos y consumo. Lo que pasa es que no me quieren dar la información</w:t>
      </w:r>
      <w:r w:rsidRPr="00980A22">
        <w:rPr>
          <w:rFonts w:ascii="Palatino Linotype" w:hAnsi="Palatino Linotype"/>
          <w:i/>
        </w:rPr>
        <w:t>” (Sic)</w:t>
      </w:r>
    </w:p>
    <w:p w:rsidR="00D47851" w:rsidRPr="00980A22" w:rsidRDefault="00D47851" w:rsidP="00D47851">
      <w:pPr>
        <w:spacing w:line="360" w:lineRule="auto"/>
        <w:jc w:val="both"/>
        <w:rPr>
          <w:rFonts w:ascii="Palatino Linotype" w:eastAsia="Calibri" w:hAnsi="Palatino Linotype" w:cs="Calibri"/>
          <w:lang w:val="es-ES_tradnl" w:eastAsia="es-MX"/>
        </w:rPr>
      </w:pPr>
    </w:p>
    <w:p w:rsidR="00505192" w:rsidRPr="00980A22" w:rsidRDefault="00D47851" w:rsidP="00D47851">
      <w:pPr>
        <w:pStyle w:val="Textoindependiente"/>
        <w:spacing w:line="360" w:lineRule="auto"/>
        <w:jc w:val="both"/>
        <w:rPr>
          <w:rFonts w:ascii="Palatino Linotype" w:eastAsia="Calibri" w:hAnsi="Palatino Linotype"/>
          <w:sz w:val="24"/>
          <w:lang w:val="es-ES_tradnl" w:eastAsia="es-MX"/>
        </w:rPr>
      </w:pPr>
      <w:r w:rsidRPr="00980A22">
        <w:rPr>
          <w:rFonts w:ascii="Palatino Linotype" w:eastAsia="Calibri" w:hAnsi="Palatino Linotype"/>
          <w:sz w:val="24"/>
          <w:lang w:val="es-ES_tradnl" w:eastAsia="es-MX"/>
        </w:rPr>
        <w:t>De las constancias que obran en el expediente electrónico del SAIMEX, se advierte que el Sujeto Obligado rindió su informe justificado por medio de los arc</w:t>
      </w:r>
      <w:r w:rsidR="00505192" w:rsidRPr="00980A22">
        <w:rPr>
          <w:rFonts w:ascii="Palatino Linotype" w:eastAsia="Calibri" w:hAnsi="Palatino Linotype"/>
          <w:sz w:val="24"/>
          <w:lang w:val="es-ES_tradnl" w:eastAsia="es-MX"/>
        </w:rPr>
        <w:t xml:space="preserve">hivos electrónicos denominados </w:t>
      </w:r>
    </w:p>
    <w:p w:rsidR="00505192" w:rsidRPr="00980A22" w:rsidRDefault="004A47D8" w:rsidP="00505192">
      <w:pPr>
        <w:pStyle w:val="Textoindependiente"/>
        <w:numPr>
          <w:ilvl w:val="0"/>
          <w:numId w:val="4"/>
        </w:numPr>
        <w:spacing w:line="360" w:lineRule="auto"/>
        <w:jc w:val="both"/>
        <w:rPr>
          <w:rFonts w:ascii="Palatino Linotype" w:eastAsia="Calibri" w:hAnsi="Palatino Linotype"/>
          <w:sz w:val="28"/>
          <w:lang w:val="es-ES_tradnl" w:eastAsia="es-MX"/>
        </w:rPr>
      </w:pPr>
      <w:r w:rsidRPr="00980A22">
        <w:rPr>
          <w:rFonts w:ascii="Palatino Linotype" w:eastAsia="Calibri" w:hAnsi="Palatino Linotype"/>
          <w:b/>
          <w:i/>
          <w:sz w:val="24"/>
          <w:lang w:val="es-ES_tradnl" w:eastAsia="es-MX"/>
        </w:rPr>
        <w:t>RR 06407-2026 INFORME JUSTIFICADO.pdf</w:t>
      </w:r>
      <w:r w:rsidR="00505192" w:rsidRPr="00980A22">
        <w:rPr>
          <w:rFonts w:ascii="Palatino Linotype" w:eastAsia="Calibri" w:hAnsi="Palatino Linotype"/>
          <w:b/>
          <w:i/>
          <w:sz w:val="24"/>
          <w:lang w:val="es-ES_tradnl" w:eastAsia="es-MX"/>
        </w:rPr>
        <w:t xml:space="preserve">: </w:t>
      </w:r>
      <w:r w:rsidR="00A45B56" w:rsidRPr="00980A22">
        <w:rPr>
          <w:rFonts w:ascii="Palatino Linotype" w:hAnsi="Palatino Linotype" w:cs="Arial"/>
          <w:sz w:val="24"/>
        </w:rPr>
        <w:t>el Jefe de la Unidad de Información, Planeación, Programación y Evaluación y Titular de la Unidad de Transparencia ratifica su respuesta y remite el siguiente oficio.</w:t>
      </w:r>
    </w:p>
    <w:p w:rsidR="00D47851" w:rsidRPr="00980A22" w:rsidRDefault="004A47D8" w:rsidP="00505192">
      <w:pPr>
        <w:pStyle w:val="Textoindependiente"/>
        <w:numPr>
          <w:ilvl w:val="0"/>
          <w:numId w:val="4"/>
        </w:numPr>
        <w:spacing w:line="360" w:lineRule="auto"/>
        <w:jc w:val="both"/>
        <w:rPr>
          <w:rFonts w:ascii="Palatino Linotype" w:eastAsia="Calibri" w:hAnsi="Palatino Linotype"/>
          <w:sz w:val="24"/>
          <w:lang w:val="es-ES_tradnl" w:eastAsia="es-MX"/>
        </w:rPr>
      </w:pPr>
      <w:r w:rsidRPr="00980A22">
        <w:rPr>
          <w:rFonts w:ascii="Palatino Linotype" w:eastAsia="Calibri" w:hAnsi="Palatino Linotype"/>
          <w:b/>
          <w:i/>
          <w:sz w:val="24"/>
          <w:lang w:val="es-ES_tradnl" w:eastAsia="es-MX"/>
        </w:rPr>
        <w:t>06407- 00864 Coord Admin.pdf</w:t>
      </w:r>
      <w:r w:rsidR="00505192" w:rsidRPr="00980A22">
        <w:rPr>
          <w:rFonts w:ascii="Palatino Linotype" w:eastAsia="Calibri" w:hAnsi="Palatino Linotype"/>
          <w:b/>
          <w:i/>
          <w:sz w:val="24"/>
          <w:lang w:val="es-ES_tradnl" w:eastAsia="es-MX"/>
        </w:rPr>
        <w:t>:</w:t>
      </w:r>
      <w:r w:rsidR="00D47851" w:rsidRPr="00980A22">
        <w:rPr>
          <w:rFonts w:ascii="Palatino Linotype" w:eastAsia="Calibri" w:hAnsi="Palatino Linotype"/>
          <w:sz w:val="24"/>
          <w:lang w:val="es-ES_tradnl" w:eastAsia="es-MX"/>
        </w:rPr>
        <w:t xml:space="preserve"> </w:t>
      </w:r>
      <w:r w:rsidR="00505192" w:rsidRPr="00980A22">
        <w:rPr>
          <w:rFonts w:ascii="Palatino Linotype" w:eastAsia="Calibri" w:hAnsi="Palatino Linotype"/>
          <w:sz w:val="24"/>
          <w:lang w:val="es-ES_tradnl" w:eastAsia="es-MX"/>
        </w:rPr>
        <w:t>oficio número  20700002000100S/IP/118/2026, de fecha 23 de junio de 2026, firmado por el Servidor Público Habilitado de la Coordinación Administrativa, por medio del cual refiere lo siguiente:</w:t>
      </w:r>
    </w:p>
    <w:p w:rsidR="00505192" w:rsidRPr="00980A22" w:rsidRDefault="00505192" w:rsidP="00505192">
      <w:pPr>
        <w:pStyle w:val="Citas"/>
      </w:pPr>
      <w:r w:rsidRPr="00980A22">
        <w:t>“…</w:t>
      </w:r>
    </w:p>
    <w:p w:rsidR="00505192" w:rsidRPr="00980A22" w:rsidRDefault="00505192" w:rsidP="00505192">
      <w:pPr>
        <w:pStyle w:val="Citas"/>
      </w:pPr>
      <w:r w:rsidRPr="00980A22">
        <w:rPr>
          <w:lang w:val="es-ES"/>
        </w:rPr>
        <w:lastRenderedPageBreak/>
        <w:t xml:space="preserve">Al respecto, me permito ratificar lo establecido en el oficio 20700002000100S/IP/0083/2026, mediante el cual se expuso que no existen lineamientos publicados para tener y/o llevar un control de consumo de hojas, no obstante lo anterior, es menester señalar que durante el ejercicio fiscal 2025 se formalizó el contrato número CB/A/58/2025, derivado de la Licitación Publica Nacional Presencial LPNP-075-2025, lo cual derivo la </w:t>
      </w:r>
      <w:r w:rsidRPr="00980A22">
        <w:rPr>
          <w:b/>
          <w:lang w:val="es-ES"/>
        </w:rPr>
        <w:t>adquisición de 330 cajas de papel bond tamaño carta y 80 cajas de papel bond tamaño oficio</w:t>
      </w:r>
      <w:r w:rsidRPr="00980A22">
        <w:rPr>
          <w:lang w:val="es-ES"/>
        </w:rPr>
        <w:t xml:space="preserve">, para la Coordinación Administrativa de la Secretaria de Finanzas, por un importe global de </w:t>
      </w:r>
      <w:r w:rsidRPr="00980A22">
        <w:rPr>
          <w:b/>
          <w:lang w:val="es-ES"/>
        </w:rPr>
        <w:t xml:space="preserve">$276,367.76 </w:t>
      </w:r>
      <w:r w:rsidRPr="00980A22">
        <w:rPr>
          <w:lang w:val="es-ES"/>
        </w:rPr>
        <w:t>antes de I.V.A., es importante mencionar que a la fecha del presente, aun se cuenta con inventario de dichos insumos, por lo que se continua suministrando papel a las áreas mencionadas; por otro lado, en los registros no se encuentra el costo que representa en el presupuesto de egresos.</w:t>
      </w:r>
    </w:p>
    <w:p w:rsidR="00505192" w:rsidRPr="00980A22" w:rsidRDefault="00505192" w:rsidP="00505192">
      <w:pPr>
        <w:pStyle w:val="Citas"/>
      </w:pPr>
      <w:r w:rsidRPr="00980A22">
        <w:t>…” (Sic)</w:t>
      </w:r>
    </w:p>
    <w:p w:rsidR="00D47851" w:rsidRPr="00980A22" w:rsidRDefault="00D47851" w:rsidP="00D47851">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lang w:val="es-ES_tradnl" w:eastAsia="es-MX"/>
        </w:rPr>
      </w:pPr>
    </w:p>
    <w:p w:rsidR="00D47851" w:rsidRPr="00980A22" w:rsidRDefault="00D47851" w:rsidP="00D47851">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lang w:val="es-ES_tradnl" w:eastAsia="es-MX"/>
        </w:rPr>
      </w:pPr>
      <w:r w:rsidRPr="00980A22">
        <w:rPr>
          <w:rFonts w:ascii="Palatino Linotype" w:eastAsia="Palatino Linotype" w:hAnsi="Palatino Linotype" w:cs="Palatino Linotype"/>
          <w:color w:val="000000"/>
          <w:lang w:val="es-ES_tradnl" w:eastAsia="es-MX"/>
        </w:rPr>
        <w:t xml:space="preserve">Ahora bien, quedando establecido lo anterior, este Órgano Garante considera viable realizar el estudio en aras de establecer si la respuesta del Sujeto Obligado colma la pretensión del Recurrente, así como calificar los motivos de inconformidad del particular. </w:t>
      </w: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20"/>
        <w:gridCol w:w="5103"/>
        <w:gridCol w:w="1168"/>
      </w:tblGrid>
      <w:tr w:rsidR="00D47851" w:rsidRPr="00980A22" w:rsidTr="00061C5D">
        <w:trPr>
          <w:trHeight w:val="359"/>
        </w:trPr>
        <w:tc>
          <w:tcPr>
            <w:tcW w:w="2820" w:type="dxa"/>
            <w:shd w:val="clear" w:color="auto" w:fill="E7E6E6" w:themeFill="background2"/>
          </w:tcPr>
          <w:p w:rsidR="00D47851" w:rsidRPr="00980A22" w:rsidRDefault="00D47851" w:rsidP="00505192">
            <w:pPr>
              <w:spacing w:line="360" w:lineRule="auto"/>
              <w:jc w:val="center"/>
              <w:rPr>
                <w:rFonts w:ascii="Palatino Linotype" w:hAnsi="Palatino Linotype"/>
                <w:b/>
                <w:i/>
                <w:color w:val="000000"/>
              </w:rPr>
            </w:pPr>
            <w:r w:rsidRPr="00980A22">
              <w:rPr>
                <w:rFonts w:ascii="Palatino Linotype" w:hAnsi="Palatino Linotype"/>
                <w:b/>
                <w:i/>
                <w:color w:val="000000"/>
              </w:rPr>
              <w:t>Requerimientos</w:t>
            </w:r>
          </w:p>
        </w:tc>
        <w:tc>
          <w:tcPr>
            <w:tcW w:w="5103" w:type="dxa"/>
            <w:shd w:val="clear" w:color="auto" w:fill="E7E6E6" w:themeFill="background2"/>
          </w:tcPr>
          <w:p w:rsidR="00D47851" w:rsidRPr="00980A22" w:rsidRDefault="004D5A9F" w:rsidP="00505192">
            <w:pPr>
              <w:spacing w:line="360" w:lineRule="auto"/>
              <w:jc w:val="center"/>
              <w:rPr>
                <w:rFonts w:ascii="Palatino Linotype" w:hAnsi="Palatino Linotype"/>
                <w:b/>
                <w:i/>
                <w:color w:val="000000"/>
              </w:rPr>
            </w:pPr>
            <w:r w:rsidRPr="00980A22">
              <w:rPr>
                <w:rFonts w:ascii="Palatino Linotype" w:hAnsi="Palatino Linotype"/>
                <w:b/>
                <w:i/>
                <w:color w:val="000000"/>
              </w:rPr>
              <w:t>Informe justificado</w:t>
            </w:r>
          </w:p>
        </w:tc>
        <w:tc>
          <w:tcPr>
            <w:tcW w:w="1168" w:type="dxa"/>
            <w:shd w:val="clear" w:color="auto" w:fill="E7E6E6" w:themeFill="background2"/>
          </w:tcPr>
          <w:p w:rsidR="00D47851" w:rsidRPr="00980A22" w:rsidRDefault="00D47851" w:rsidP="00505192">
            <w:pPr>
              <w:spacing w:line="360" w:lineRule="auto"/>
              <w:jc w:val="center"/>
              <w:rPr>
                <w:rFonts w:ascii="Palatino Linotype" w:hAnsi="Palatino Linotype"/>
                <w:b/>
                <w:i/>
                <w:color w:val="000000"/>
              </w:rPr>
            </w:pPr>
            <w:r w:rsidRPr="00980A22">
              <w:rPr>
                <w:rFonts w:ascii="Palatino Linotype" w:hAnsi="Palatino Linotype"/>
                <w:b/>
                <w:i/>
                <w:color w:val="000000"/>
              </w:rPr>
              <w:t>Colma</w:t>
            </w:r>
          </w:p>
        </w:tc>
      </w:tr>
      <w:tr w:rsidR="00D47851" w:rsidRPr="00980A22" w:rsidTr="00061C5D">
        <w:trPr>
          <w:trHeight w:val="2656"/>
        </w:trPr>
        <w:tc>
          <w:tcPr>
            <w:tcW w:w="2820" w:type="dxa"/>
          </w:tcPr>
          <w:p w:rsidR="00D47851" w:rsidRPr="00980A22" w:rsidRDefault="00061C5D" w:rsidP="00505192">
            <w:pPr>
              <w:tabs>
                <w:tab w:val="left" w:pos="1828"/>
              </w:tabs>
              <w:jc w:val="both"/>
              <w:rPr>
                <w:rFonts w:ascii="Palatino Linotype" w:hAnsi="Palatino Linotype" w:cs="Tahoma"/>
                <w:bCs/>
              </w:rPr>
            </w:pPr>
            <w:r w:rsidRPr="00980A22">
              <w:rPr>
                <w:rFonts w:ascii="Palatino Linotype" w:hAnsi="Palatino Linotype" w:cs="Tahoma"/>
                <w:bCs/>
              </w:rPr>
              <w:t>Cuál es el promedio de hojas qué se gastan las áreas staff por dependencia, diferenciado cada una de ellas y que costo del presupuesto de egreso representa.</w:t>
            </w:r>
          </w:p>
        </w:tc>
        <w:tc>
          <w:tcPr>
            <w:tcW w:w="5103" w:type="dxa"/>
          </w:tcPr>
          <w:p w:rsidR="00D47851" w:rsidRPr="00980A22" w:rsidRDefault="00A45B56" w:rsidP="00505192">
            <w:pPr>
              <w:pStyle w:val="INFOEM"/>
              <w:spacing w:before="0" w:line="240" w:lineRule="auto"/>
              <w:ind w:left="0" w:right="0"/>
              <w:rPr>
                <w:i w:val="0"/>
                <w:szCs w:val="22"/>
                <w:lang w:val="es-ES"/>
              </w:rPr>
            </w:pPr>
            <w:r w:rsidRPr="00980A22">
              <w:rPr>
                <w:i w:val="0"/>
                <w:szCs w:val="22"/>
                <w:lang w:val="es-ES"/>
              </w:rPr>
              <w:t xml:space="preserve">El Servidor Público Habilitado de la Coordinación Administrativa informó que en el 2025 se adquirieron  330 cajas de papel bond tamaño carta y 80 cajas de papel bond tamaño oficio, por un importe global de </w:t>
            </w:r>
            <w:r w:rsidRPr="00980A22">
              <w:rPr>
                <w:b/>
                <w:i w:val="0"/>
                <w:szCs w:val="22"/>
                <w:lang w:val="es-ES"/>
              </w:rPr>
              <w:t xml:space="preserve">$276,367.76 </w:t>
            </w:r>
            <w:r w:rsidRPr="00980A22">
              <w:rPr>
                <w:i w:val="0"/>
                <w:szCs w:val="22"/>
                <w:lang w:val="es-ES"/>
              </w:rPr>
              <w:t xml:space="preserve">antes de I.V.A. Por otro lado, informa que, a la fecha de la solicitud aún se siguen suministrando papel a las áreas. </w:t>
            </w:r>
          </w:p>
        </w:tc>
        <w:tc>
          <w:tcPr>
            <w:tcW w:w="1168" w:type="dxa"/>
          </w:tcPr>
          <w:p w:rsidR="00D47851" w:rsidRPr="00980A22" w:rsidRDefault="00D47851" w:rsidP="00505192">
            <w:pPr>
              <w:jc w:val="center"/>
              <w:rPr>
                <w:rFonts w:ascii="Palatino Linotype" w:hAnsi="Palatino Linotype"/>
                <w:b/>
                <w:i/>
                <w:color w:val="000000"/>
              </w:rPr>
            </w:pPr>
            <w:r w:rsidRPr="00980A22">
              <w:rPr>
                <w:rFonts w:ascii="Palatino Linotype" w:hAnsi="Palatino Linotype"/>
                <w:b/>
                <w:i/>
                <w:color w:val="000000"/>
              </w:rPr>
              <w:t>Sí</w:t>
            </w:r>
          </w:p>
        </w:tc>
      </w:tr>
    </w:tbl>
    <w:p w:rsidR="00D47851" w:rsidRPr="00980A22" w:rsidRDefault="00D47851" w:rsidP="00D47851">
      <w:pPr>
        <w:spacing w:line="360" w:lineRule="auto"/>
        <w:jc w:val="both"/>
        <w:rPr>
          <w:rFonts w:ascii="Palatino Linotype" w:hAnsi="Palatino Linotype"/>
          <w:color w:val="000000"/>
        </w:rPr>
      </w:pPr>
    </w:p>
    <w:p w:rsidR="00505192" w:rsidRPr="00980A22" w:rsidRDefault="00505192" w:rsidP="00505192">
      <w:pPr>
        <w:autoSpaceDE w:val="0"/>
        <w:autoSpaceDN w:val="0"/>
        <w:adjustRightInd w:val="0"/>
        <w:spacing w:line="360" w:lineRule="auto"/>
        <w:jc w:val="both"/>
        <w:rPr>
          <w:rFonts w:ascii="Palatino Linotype" w:eastAsiaTheme="minorHAnsi" w:hAnsi="Palatino Linotype" w:cstheme="minorBidi"/>
          <w:szCs w:val="22"/>
          <w:lang w:val="es-MX" w:eastAsia="en-US"/>
        </w:rPr>
      </w:pPr>
    </w:p>
    <w:p w:rsidR="00505192" w:rsidRPr="00980A22" w:rsidRDefault="00505192" w:rsidP="00505192">
      <w:pPr>
        <w:spacing w:after="160" w:line="360" w:lineRule="auto"/>
        <w:jc w:val="both"/>
        <w:rPr>
          <w:rFonts w:ascii="Palatino Linotype" w:eastAsiaTheme="minorHAnsi" w:hAnsi="Palatino Linotype" w:cs="Arial"/>
          <w:color w:val="000000"/>
          <w:szCs w:val="22"/>
          <w:lang w:val="es-MX" w:eastAsia="en-US"/>
        </w:rPr>
      </w:pPr>
      <w:r w:rsidRPr="00980A22">
        <w:rPr>
          <w:rFonts w:ascii="Palatino Linotype" w:eastAsiaTheme="minorHAnsi" w:hAnsi="Palatino Linotype" w:cs="Arial"/>
          <w:color w:val="000000"/>
          <w:szCs w:val="22"/>
          <w:lang w:val="es-MX" w:eastAsia="en-US"/>
        </w:rPr>
        <w:t>En síntesis, el derecho de acceso a la información pública se satisface en aquellos casos en que se entregue el soporte documental en que conste la información pública, toda vez que, los Sujetos Obligados</w:t>
      </w:r>
      <w:r w:rsidRPr="00980A22">
        <w:rPr>
          <w:rFonts w:ascii="Palatino Linotype" w:eastAsiaTheme="minorHAnsi" w:hAnsi="Palatino Linotype" w:cs="Arial"/>
          <w:b/>
          <w:color w:val="000000"/>
          <w:szCs w:val="22"/>
          <w:lang w:val="es-MX" w:eastAsia="en-US"/>
        </w:rPr>
        <w:t xml:space="preserve"> </w:t>
      </w:r>
      <w:r w:rsidRPr="00980A22">
        <w:rPr>
          <w:rFonts w:ascii="Palatino Linotype" w:eastAsiaTheme="minorHAnsi" w:hAnsi="Palatino Linotype" w:cs="Arial"/>
          <w:color w:val="000000"/>
          <w:szCs w:val="22"/>
          <w:lang w:val="es-MX" w:eastAsia="en-US"/>
        </w:rPr>
        <w:t xml:space="preserve">no tienen el deber de generar, poseer o administrar la información pública con el grado de detalle solicitado; esto es, que no tienen el deber de generar un documento </w:t>
      </w:r>
      <w:r w:rsidRPr="00980A22">
        <w:rPr>
          <w:rFonts w:ascii="Palatino Linotype" w:eastAsiaTheme="minorHAnsi" w:hAnsi="Palatino Linotype" w:cs="Arial"/>
          <w:i/>
          <w:color w:val="000000"/>
          <w:szCs w:val="22"/>
          <w:lang w:val="es-MX" w:eastAsia="en-US"/>
        </w:rPr>
        <w:t>ad hoc</w:t>
      </w:r>
      <w:r w:rsidRPr="00980A22">
        <w:rPr>
          <w:rFonts w:ascii="Palatino Linotype" w:eastAsiaTheme="minorHAnsi" w:hAnsi="Palatino Linotype" w:cs="Arial"/>
          <w:color w:val="000000"/>
          <w:szCs w:val="22"/>
          <w:lang w:val="es-MX" w:eastAsia="en-US"/>
        </w:rPr>
        <w:t>, para satisfacer el derecho de acceso a la información pública.</w:t>
      </w:r>
    </w:p>
    <w:p w:rsidR="00505192" w:rsidRPr="00980A22" w:rsidRDefault="00505192" w:rsidP="00505192">
      <w:pPr>
        <w:rPr>
          <w:lang w:val="es-MX"/>
        </w:rPr>
      </w:pPr>
    </w:p>
    <w:p w:rsidR="00505192" w:rsidRPr="00980A22" w:rsidRDefault="00505192" w:rsidP="00505192">
      <w:pPr>
        <w:spacing w:after="160" w:line="360" w:lineRule="auto"/>
        <w:jc w:val="both"/>
        <w:rPr>
          <w:rFonts w:ascii="Palatino Linotype" w:eastAsiaTheme="minorHAnsi" w:hAnsi="Palatino Linotype" w:cs="Arial"/>
          <w:color w:val="000000"/>
          <w:szCs w:val="22"/>
          <w:lang w:val="es-MX" w:eastAsia="en-US"/>
        </w:rPr>
      </w:pPr>
      <w:r w:rsidRPr="00980A22">
        <w:rPr>
          <w:rFonts w:ascii="Palatino Linotype" w:eastAsiaTheme="minorHAnsi" w:hAnsi="Palatino Linotype" w:cs="Arial"/>
          <w:color w:val="000000"/>
          <w:szCs w:val="22"/>
          <w:lang w:val="es-MX" w:eastAsia="en-US"/>
        </w:rPr>
        <w:t xml:space="preserve">Como apoyo a lo anterior, es aplicable el Criterio orientador 03-17, emitido por </w:t>
      </w:r>
      <w:r w:rsidRPr="00980A22">
        <w:rPr>
          <w:rFonts w:ascii="Palatino Linotype" w:eastAsia="Arial Unicode MS" w:hAnsi="Palatino Linotype" w:cs="Arial"/>
          <w:color w:val="000000"/>
          <w:szCs w:val="22"/>
          <w:lang w:val="es-MX" w:eastAsia="en-US"/>
        </w:rPr>
        <w:t>el entonces Instituto Nacional de Transparencia, Acceso a la Información y Protección de Datos Personales,</w:t>
      </w:r>
      <w:r w:rsidRPr="00980A22">
        <w:rPr>
          <w:rFonts w:ascii="Palatino Linotype" w:eastAsiaTheme="minorHAnsi" w:hAnsi="Palatino Linotype" w:cstheme="minorBidi"/>
          <w:bCs/>
          <w:color w:val="000000"/>
          <w:szCs w:val="22"/>
          <w:lang w:val="es-MX" w:eastAsia="en-US"/>
        </w:rPr>
        <w:t xml:space="preserve"> que dice:</w:t>
      </w:r>
      <w:r w:rsidRPr="00980A22">
        <w:rPr>
          <w:rFonts w:ascii="Palatino Linotype" w:eastAsiaTheme="minorHAnsi" w:hAnsi="Palatino Linotype" w:cstheme="minorBidi"/>
          <w:b/>
          <w:bCs/>
          <w:color w:val="000000"/>
          <w:szCs w:val="22"/>
          <w:lang w:val="es-MX" w:eastAsia="en-US"/>
        </w:rPr>
        <w:t xml:space="preserve"> </w:t>
      </w:r>
    </w:p>
    <w:p w:rsidR="00505192" w:rsidRPr="00980A22" w:rsidRDefault="00505192" w:rsidP="00505192">
      <w:pPr>
        <w:spacing w:after="160" w:line="259" w:lineRule="auto"/>
        <w:ind w:left="851" w:right="850"/>
        <w:jc w:val="both"/>
        <w:rPr>
          <w:rFonts w:ascii="Palatino Linotype" w:eastAsiaTheme="minorHAnsi" w:hAnsi="Palatino Linotype" w:cs="Arial"/>
          <w:color w:val="000000"/>
          <w:sz w:val="2"/>
          <w:szCs w:val="22"/>
          <w:lang w:val="es-MX" w:eastAsia="en-US"/>
        </w:rPr>
      </w:pPr>
    </w:p>
    <w:p w:rsidR="00505192" w:rsidRPr="00980A22" w:rsidRDefault="00505192" w:rsidP="00505192">
      <w:pPr>
        <w:spacing w:after="160" w:line="259" w:lineRule="auto"/>
        <w:ind w:left="567" w:right="567"/>
        <w:jc w:val="both"/>
        <w:rPr>
          <w:rFonts w:ascii="Palatino Linotype" w:eastAsiaTheme="minorHAnsi" w:hAnsi="Palatino Linotype" w:cs="Arial"/>
          <w:i/>
          <w:color w:val="000000"/>
          <w:sz w:val="22"/>
          <w:szCs w:val="22"/>
          <w:lang w:val="es-MX" w:eastAsia="en-US"/>
        </w:rPr>
      </w:pPr>
      <w:r w:rsidRPr="00980A22">
        <w:rPr>
          <w:rFonts w:ascii="Palatino Linotype" w:eastAsiaTheme="minorHAnsi" w:hAnsi="Palatino Linotype" w:cs="Arial"/>
          <w:i/>
          <w:color w:val="000000"/>
          <w:sz w:val="22"/>
          <w:szCs w:val="22"/>
          <w:lang w:val="es-MX" w:eastAsia="en-US"/>
        </w:rPr>
        <w:t>“</w:t>
      </w:r>
      <w:r w:rsidRPr="00980A22">
        <w:rPr>
          <w:rFonts w:ascii="Palatino Linotype" w:eastAsiaTheme="minorHAnsi" w:hAnsi="Palatino Linotype" w:cs="Arial"/>
          <w:b/>
          <w:i/>
          <w:color w:val="000000"/>
          <w:sz w:val="22"/>
          <w:szCs w:val="22"/>
          <w:lang w:val="es-MX" w:eastAsia="en-US"/>
        </w:rPr>
        <w:t>No existe obligación de elaborar documentos ad hoc para atender las solicitudes de acceso a la información.</w:t>
      </w:r>
      <w:r w:rsidRPr="00980A22">
        <w:rPr>
          <w:rFonts w:ascii="Palatino Linotype" w:eastAsiaTheme="minorHAnsi" w:hAnsi="Palatino Linotype" w:cs="Arial"/>
          <w:i/>
          <w:color w:val="000000"/>
          <w:sz w:val="22"/>
          <w:szCs w:val="22"/>
          <w:lang w:val="es-MX" w:eastAsia="en-US"/>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p>
    <w:p w:rsidR="00505192" w:rsidRPr="00980A22" w:rsidRDefault="00505192" w:rsidP="00505192">
      <w:pPr>
        <w:spacing w:after="160" w:line="259" w:lineRule="auto"/>
        <w:ind w:left="567" w:right="567"/>
        <w:jc w:val="both"/>
        <w:rPr>
          <w:rFonts w:ascii="Palatino Linotype" w:eastAsiaTheme="minorHAnsi" w:hAnsi="Palatino Linotype" w:cs="Arial"/>
          <w:i/>
          <w:color w:val="000000"/>
          <w:sz w:val="2"/>
          <w:szCs w:val="22"/>
          <w:lang w:val="es-MX" w:eastAsia="en-US"/>
        </w:rPr>
      </w:pPr>
    </w:p>
    <w:p w:rsidR="00505192" w:rsidRPr="00980A22" w:rsidRDefault="00505192" w:rsidP="00505192">
      <w:pPr>
        <w:spacing w:after="160" w:line="259" w:lineRule="auto"/>
        <w:ind w:left="567" w:right="567"/>
        <w:jc w:val="both"/>
        <w:rPr>
          <w:rFonts w:ascii="Palatino Linotype" w:eastAsiaTheme="minorHAnsi" w:hAnsi="Palatino Linotype" w:cs="Arial"/>
          <w:i/>
          <w:color w:val="000000"/>
          <w:sz w:val="22"/>
          <w:szCs w:val="22"/>
          <w:lang w:val="es-MX" w:eastAsia="en-US"/>
        </w:rPr>
      </w:pPr>
      <w:r w:rsidRPr="00980A22">
        <w:rPr>
          <w:rFonts w:ascii="Palatino Linotype" w:eastAsiaTheme="minorHAnsi" w:hAnsi="Palatino Linotype" w:cs="Arial"/>
          <w:i/>
          <w:color w:val="000000"/>
          <w:sz w:val="22"/>
          <w:szCs w:val="22"/>
          <w:lang w:val="es-MX" w:eastAsia="en-US"/>
        </w:rPr>
        <w:t xml:space="preserve">Resoluciones: </w:t>
      </w:r>
    </w:p>
    <w:p w:rsidR="00505192" w:rsidRPr="00980A22" w:rsidRDefault="00505192" w:rsidP="00505192">
      <w:pPr>
        <w:spacing w:after="160"/>
        <w:ind w:left="567" w:right="567"/>
        <w:jc w:val="both"/>
        <w:rPr>
          <w:rFonts w:ascii="Palatino Linotype" w:eastAsiaTheme="minorHAnsi" w:hAnsi="Palatino Linotype" w:cs="Arial"/>
          <w:i/>
          <w:color w:val="000000"/>
          <w:sz w:val="22"/>
          <w:szCs w:val="22"/>
          <w:lang w:val="es-MX" w:eastAsia="en-US"/>
        </w:rPr>
      </w:pPr>
      <w:r w:rsidRPr="00980A22">
        <w:rPr>
          <w:rFonts w:ascii="Palatino Linotype" w:eastAsiaTheme="minorHAnsi" w:hAnsi="Palatino Linotype" w:cs="Arial"/>
          <w:i/>
          <w:color w:val="000000"/>
          <w:sz w:val="22"/>
          <w:szCs w:val="22"/>
          <w:lang w:val="es-MX" w:eastAsia="en-US"/>
        </w:rPr>
        <w:sym w:font="Symbol" w:char="F0B7"/>
      </w:r>
      <w:r w:rsidRPr="00980A22">
        <w:rPr>
          <w:rFonts w:ascii="Palatino Linotype" w:eastAsiaTheme="minorHAnsi" w:hAnsi="Palatino Linotype" w:cs="Arial"/>
          <w:i/>
          <w:color w:val="000000"/>
          <w:sz w:val="22"/>
          <w:szCs w:val="22"/>
          <w:lang w:val="es-MX" w:eastAsia="en-US"/>
        </w:rPr>
        <w:t xml:space="preserve"> RRA 0050/16. Instituto Nacional para la Evaluación de la Educación. 13 julio de 2016. Por unanimidad. Comisionado Ponente: Francisco Javier Acuña Llamas.</w:t>
      </w:r>
    </w:p>
    <w:p w:rsidR="00505192" w:rsidRPr="00980A22" w:rsidRDefault="00505192" w:rsidP="00505192">
      <w:pPr>
        <w:spacing w:after="160"/>
        <w:ind w:left="567" w:right="567"/>
        <w:jc w:val="both"/>
        <w:rPr>
          <w:rFonts w:ascii="Palatino Linotype" w:eastAsiaTheme="minorHAnsi" w:hAnsi="Palatino Linotype" w:cs="Arial"/>
          <w:i/>
          <w:color w:val="000000"/>
          <w:sz w:val="22"/>
          <w:szCs w:val="22"/>
          <w:lang w:val="es-MX" w:eastAsia="en-US"/>
        </w:rPr>
      </w:pPr>
      <w:r w:rsidRPr="00980A22">
        <w:rPr>
          <w:rFonts w:ascii="Palatino Linotype" w:eastAsiaTheme="minorHAnsi" w:hAnsi="Palatino Linotype" w:cs="Arial"/>
          <w:i/>
          <w:color w:val="000000"/>
          <w:sz w:val="22"/>
          <w:szCs w:val="22"/>
          <w:lang w:val="es-MX" w:eastAsia="en-US"/>
        </w:rPr>
        <w:sym w:font="Symbol" w:char="F0B7"/>
      </w:r>
      <w:r w:rsidRPr="00980A22">
        <w:rPr>
          <w:rFonts w:ascii="Palatino Linotype" w:eastAsiaTheme="minorHAnsi" w:hAnsi="Palatino Linotype" w:cs="Arial"/>
          <w:i/>
          <w:color w:val="000000"/>
          <w:sz w:val="22"/>
          <w:szCs w:val="22"/>
          <w:lang w:val="es-MX" w:eastAsia="en-US"/>
        </w:rPr>
        <w:t xml:space="preserve"> RRA 0310/16. Instituto Nacional de Transparencia, Acceso a la Información y Protección de Datos Personales. 10 de agosto de 2016. Por unanimidad. Comisionada Ponente. Areli Cano Guadiana. </w:t>
      </w:r>
    </w:p>
    <w:p w:rsidR="00505192" w:rsidRPr="00980A22" w:rsidRDefault="00505192" w:rsidP="00505192">
      <w:pPr>
        <w:spacing w:after="160"/>
        <w:ind w:left="567" w:right="567"/>
        <w:jc w:val="both"/>
        <w:rPr>
          <w:rFonts w:ascii="Palatino Linotype" w:eastAsiaTheme="minorHAnsi" w:hAnsi="Palatino Linotype" w:cs="Arial"/>
          <w:i/>
          <w:color w:val="000000"/>
          <w:sz w:val="22"/>
          <w:szCs w:val="22"/>
          <w:lang w:val="es-MX" w:eastAsia="en-US"/>
        </w:rPr>
      </w:pPr>
      <w:r w:rsidRPr="00980A22">
        <w:rPr>
          <w:rFonts w:ascii="Palatino Linotype" w:eastAsiaTheme="minorHAnsi" w:hAnsi="Palatino Linotype" w:cs="Arial"/>
          <w:i/>
          <w:color w:val="000000"/>
          <w:sz w:val="22"/>
          <w:szCs w:val="22"/>
          <w:lang w:val="es-MX" w:eastAsia="en-US"/>
        </w:rPr>
        <w:lastRenderedPageBreak/>
        <w:sym w:font="Symbol" w:char="F0B7"/>
      </w:r>
      <w:r w:rsidRPr="00980A22">
        <w:rPr>
          <w:rFonts w:ascii="Palatino Linotype" w:eastAsiaTheme="minorHAnsi" w:hAnsi="Palatino Linotype" w:cs="Arial"/>
          <w:i/>
          <w:color w:val="000000"/>
          <w:sz w:val="22"/>
          <w:szCs w:val="22"/>
          <w:lang w:val="es-MX" w:eastAsia="en-US"/>
        </w:rPr>
        <w:t xml:space="preserve"> RRA 1889/16. Secretaría de Hacienda y Crédito Público. 05 de octubre de 2016. Por unanimidad. Comisionada Ponente. Ximena Puente de la Mora.”</w:t>
      </w:r>
    </w:p>
    <w:p w:rsidR="00505192" w:rsidRPr="00980A22" w:rsidRDefault="00505192" w:rsidP="00505192">
      <w:pPr>
        <w:autoSpaceDE w:val="0"/>
        <w:autoSpaceDN w:val="0"/>
        <w:adjustRightInd w:val="0"/>
        <w:spacing w:line="360" w:lineRule="auto"/>
        <w:jc w:val="both"/>
        <w:rPr>
          <w:rFonts w:ascii="Palatino Linotype" w:eastAsiaTheme="minorHAnsi" w:hAnsi="Palatino Linotype" w:cs="Arial"/>
          <w:lang w:val="es-MX" w:eastAsia="en-US"/>
        </w:rPr>
      </w:pPr>
    </w:p>
    <w:p w:rsidR="00505192" w:rsidRPr="00980A22" w:rsidRDefault="00505192" w:rsidP="00505192">
      <w:pPr>
        <w:autoSpaceDE w:val="0"/>
        <w:autoSpaceDN w:val="0"/>
        <w:adjustRightInd w:val="0"/>
        <w:spacing w:line="360" w:lineRule="auto"/>
        <w:jc w:val="both"/>
        <w:rPr>
          <w:rFonts w:ascii="Palatino Linotype" w:eastAsiaTheme="minorHAnsi" w:hAnsi="Palatino Linotype" w:cs="Arial"/>
          <w:lang w:val="es-MX" w:eastAsia="en-US"/>
        </w:rPr>
      </w:pPr>
      <w:r w:rsidRPr="00980A22">
        <w:rPr>
          <w:rFonts w:ascii="Palatino Linotype" w:eastAsiaTheme="minorHAnsi" w:hAnsi="Palatino Linotype" w:cs="Arial"/>
          <w:lang w:val="es-MX" w:eastAsia="en-US"/>
        </w:rPr>
        <w:t xml:space="preserve">Aunado a lo antes expuesto, la respuesta emitida por </w:t>
      </w:r>
      <w:r w:rsidRPr="00980A22">
        <w:rPr>
          <w:rFonts w:ascii="Palatino Linotype" w:eastAsiaTheme="minorHAnsi" w:hAnsi="Palatino Linotype" w:cs="Arial"/>
          <w:b/>
          <w:lang w:val="es-MX" w:eastAsia="en-US"/>
        </w:rPr>
        <w:t>El Sujeto Obligado</w:t>
      </w:r>
      <w:r w:rsidRPr="00980A22">
        <w:rPr>
          <w:rFonts w:ascii="Palatino Linotype" w:eastAsiaTheme="minorHAnsi" w:hAnsi="Palatino Linotype" w:cs="Arial"/>
          <w:lang w:val="es-MX" w:eastAsia="en-US"/>
        </w:rPr>
        <w:t xml:space="preserve"> tiene la presunción legal de ser verídica, considerado que fue emitida por un servidor público en ejercicio de sus funciones, lo que conlleva la presunción de veracidad de todo acto administrativo.</w:t>
      </w:r>
    </w:p>
    <w:p w:rsidR="00505192" w:rsidRPr="00980A22" w:rsidRDefault="00505192" w:rsidP="00505192">
      <w:pPr>
        <w:rPr>
          <w:sz w:val="2"/>
          <w:lang w:val="es-MX"/>
        </w:rPr>
      </w:pPr>
    </w:p>
    <w:p w:rsidR="00505192" w:rsidRPr="00980A22" w:rsidRDefault="00505192" w:rsidP="00505192">
      <w:pPr>
        <w:rPr>
          <w:sz w:val="2"/>
          <w:lang w:val="es-MX"/>
        </w:rPr>
      </w:pPr>
    </w:p>
    <w:p w:rsidR="00505192" w:rsidRPr="00980A22" w:rsidRDefault="00505192" w:rsidP="00505192">
      <w:pPr>
        <w:autoSpaceDE w:val="0"/>
        <w:autoSpaceDN w:val="0"/>
        <w:adjustRightInd w:val="0"/>
        <w:spacing w:line="360" w:lineRule="auto"/>
        <w:jc w:val="both"/>
        <w:rPr>
          <w:rFonts w:ascii="Palatino Linotype" w:eastAsiaTheme="minorHAnsi" w:hAnsi="Palatino Linotype" w:cs="Arial"/>
          <w:szCs w:val="22"/>
          <w:lang w:val="es-MX" w:eastAsia="en-US"/>
        </w:rPr>
      </w:pPr>
    </w:p>
    <w:p w:rsidR="00505192" w:rsidRPr="00980A22" w:rsidRDefault="00505192" w:rsidP="00505192">
      <w:pPr>
        <w:autoSpaceDE w:val="0"/>
        <w:autoSpaceDN w:val="0"/>
        <w:adjustRightInd w:val="0"/>
        <w:spacing w:line="360" w:lineRule="auto"/>
        <w:jc w:val="both"/>
        <w:rPr>
          <w:rFonts w:ascii="Palatino Linotype" w:hAnsi="Palatino Linotype" w:cs="Arial"/>
        </w:rPr>
      </w:pPr>
      <w:r w:rsidRPr="00980A22">
        <w:rPr>
          <w:rFonts w:ascii="Palatino Linotype" w:eastAsiaTheme="minorHAnsi" w:hAnsi="Palatino Linotype" w:cs="Arial"/>
          <w:szCs w:val="22"/>
          <w:lang w:val="es-MX" w:eastAsia="en-US"/>
        </w:rPr>
        <w:t xml:space="preserve">En conclusión, la ley de la materia establece </w:t>
      </w:r>
      <w:r w:rsidRPr="00980A22">
        <w:rPr>
          <w:rFonts w:ascii="Palatino Linotype" w:hAnsi="Palatino Linotype" w:cs="Arial"/>
        </w:rPr>
        <w:t>en la fracción III, del artículo 192, de la Ley de Transparencia vigente en la entidad, que a la letra establecen:</w:t>
      </w:r>
    </w:p>
    <w:p w:rsidR="00505192" w:rsidRPr="00980A22" w:rsidRDefault="00505192" w:rsidP="00505192">
      <w:pPr>
        <w:spacing w:line="259" w:lineRule="auto"/>
        <w:rPr>
          <w:rFonts w:asciiTheme="minorHAnsi" w:eastAsiaTheme="minorHAnsi" w:hAnsiTheme="minorHAnsi" w:cstheme="minorBidi"/>
          <w:sz w:val="22"/>
          <w:szCs w:val="22"/>
        </w:rPr>
      </w:pPr>
    </w:p>
    <w:p w:rsidR="00505192" w:rsidRPr="00980A22" w:rsidRDefault="00505192" w:rsidP="00505192">
      <w:pPr>
        <w:autoSpaceDE w:val="0"/>
        <w:autoSpaceDN w:val="0"/>
        <w:adjustRightInd w:val="0"/>
        <w:ind w:left="708"/>
        <w:jc w:val="both"/>
        <w:rPr>
          <w:rFonts w:ascii="Palatino Linotype" w:hAnsi="Palatino Linotype"/>
          <w:i/>
          <w:sz w:val="22"/>
        </w:rPr>
      </w:pPr>
      <w:r w:rsidRPr="00980A22">
        <w:rPr>
          <w:rFonts w:ascii="Palatino Linotype" w:hAnsi="Palatino Linotype"/>
          <w:b/>
          <w:i/>
          <w:sz w:val="22"/>
        </w:rPr>
        <w:t xml:space="preserve">“Artículo 192. </w:t>
      </w:r>
      <w:r w:rsidRPr="00980A22">
        <w:rPr>
          <w:rFonts w:ascii="Palatino Linotype" w:hAnsi="Palatino Linotype"/>
          <w:b/>
          <w:i/>
          <w:sz w:val="22"/>
          <w:u w:val="single"/>
        </w:rPr>
        <w:t>El recurso será sobreseído, en todo o en parte, cuando una vez admitido, se actualicen alguno de los siguientes supuestos</w:t>
      </w:r>
      <w:r w:rsidRPr="00980A22">
        <w:rPr>
          <w:rFonts w:ascii="Palatino Linotype" w:hAnsi="Palatino Linotype"/>
          <w:i/>
          <w:sz w:val="22"/>
        </w:rPr>
        <w:t>:</w:t>
      </w:r>
    </w:p>
    <w:p w:rsidR="00505192" w:rsidRPr="00980A22" w:rsidRDefault="00505192" w:rsidP="00505192">
      <w:pPr>
        <w:numPr>
          <w:ilvl w:val="0"/>
          <w:numId w:val="8"/>
        </w:numPr>
        <w:autoSpaceDE w:val="0"/>
        <w:autoSpaceDN w:val="0"/>
        <w:adjustRightInd w:val="0"/>
        <w:spacing w:after="160" w:line="259" w:lineRule="auto"/>
        <w:jc w:val="both"/>
        <w:rPr>
          <w:rFonts w:ascii="Palatino Linotype" w:hAnsi="Palatino Linotype"/>
          <w:i/>
          <w:sz w:val="22"/>
        </w:rPr>
      </w:pPr>
      <w:r w:rsidRPr="00980A22">
        <w:rPr>
          <w:rFonts w:ascii="Palatino Linotype" w:hAnsi="Palatino Linotype"/>
          <w:i/>
          <w:sz w:val="22"/>
        </w:rPr>
        <w:t xml:space="preserve">El recurrente se desista expresamente del recurso; </w:t>
      </w:r>
    </w:p>
    <w:p w:rsidR="00505192" w:rsidRPr="00980A22" w:rsidRDefault="00505192" w:rsidP="00505192">
      <w:pPr>
        <w:numPr>
          <w:ilvl w:val="0"/>
          <w:numId w:val="8"/>
        </w:numPr>
        <w:autoSpaceDE w:val="0"/>
        <w:autoSpaceDN w:val="0"/>
        <w:adjustRightInd w:val="0"/>
        <w:spacing w:after="160" w:line="259" w:lineRule="auto"/>
        <w:jc w:val="both"/>
        <w:rPr>
          <w:rFonts w:ascii="Palatino Linotype" w:hAnsi="Palatino Linotype" w:cs="Arial"/>
          <w:i/>
          <w:sz w:val="22"/>
        </w:rPr>
      </w:pPr>
      <w:r w:rsidRPr="00980A22">
        <w:rPr>
          <w:rFonts w:ascii="Palatino Linotype" w:hAnsi="Palatino Linotype"/>
          <w:i/>
          <w:sz w:val="22"/>
        </w:rPr>
        <w:t xml:space="preserve">El recurrente fallezca o, tratándose de personas jurídicas colectivas, se disuelva; </w:t>
      </w:r>
    </w:p>
    <w:p w:rsidR="00505192" w:rsidRPr="00980A22" w:rsidRDefault="00505192" w:rsidP="00505192">
      <w:pPr>
        <w:numPr>
          <w:ilvl w:val="0"/>
          <w:numId w:val="8"/>
        </w:numPr>
        <w:autoSpaceDE w:val="0"/>
        <w:autoSpaceDN w:val="0"/>
        <w:adjustRightInd w:val="0"/>
        <w:spacing w:after="160" w:line="259" w:lineRule="auto"/>
        <w:jc w:val="both"/>
        <w:rPr>
          <w:rFonts w:ascii="Palatino Linotype" w:hAnsi="Palatino Linotype" w:cs="Arial"/>
          <w:i/>
          <w:sz w:val="22"/>
        </w:rPr>
      </w:pPr>
      <w:r w:rsidRPr="00980A22">
        <w:rPr>
          <w:rFonts w:ascii="Palatino Linotype" w:hAnsi="Palatino Linotype"/>
          <w:b/>
          <w:i/>
          <w:sz w:val="22"/>
          <w:u w:val="single"/>
        </w:rPr>
        <w:t>El sujeto obligado responsable del acto lo modifique o revoque de tal manera que el recurso de revisión quede sin materia</w:t>
      </w:r>
      <w:r w:rsidRPr="00980A22">
        <w:rPr>
          <w:rFonts w:ascii="Palatino Linotype" w:hAnsi="Palatino Linotype"/>
          <w:i/>
          <w:sz w:val="22"/>
        </w:rPr>
        <w:t xml:space="preserve">; </w:t>
      </w:r>
    </w:p>
    <w:p w:rsidR="00505192" w:rsidRPr="00980A22" w:rsidRDefault="00505192" w:rsidP="00505192">
      <w:pPr>
        <w:numPr>
          <w:ilvl w:val="0"/>
          <w:numId w:val="8"/>
        </w:numPr>
        <w:autoSpaceDE w:val="0"/>
        <w:autoSpaceDN w:val="0"/>
        <w:adjustRightInd w:val="0"/>
        <w:spacing w:after="160" w:line="259" w:lineRule="auto"/>
        <w:jc w:val="both"/>
        <w:rPr>
          <w:rFonts w:ascii="Palatino Linotype" w:hAnsi="Palatino Linotype" w:cs="Arial"/>
          <w:i/>
          <w:sz w:val="22"/>
        </w:rPr>
      </w:pPr>
      <w:r w:rsidRPr="00980A22">
        <w:rPr>
          <w:rFonts w:ascii="Palatino Linotype" w:hAnsi="Palatino Linotype"/>
          <w:i/>
          <w:sz w:val="22"/>
        </w:rPr>
        <w:t xml:space="preserve">Admitido el recurso de revisión, aparezca alguna causal de improcedencia en los términos de la presente Ley; y </w:t>
      </w:r>
    </w:p>
    <w:p w:rsidR="00505192" w:rsidRPr="00980A22" w:rsidRDefault="00505192" w:rsidP="00505192">
      <w:pPr>
        <w:numPr>
          <w:ilvl w:val="0"/>
          <w:numId w:val="8"/>
        </w:numPr>
        <w:autoSpaceDE w:val="0"/>
        <w:autoSpaceDN w:val="0"/>
        <w:adjustRightInd w:val="0"/>
        <w:spacing w:after="160" w:line="259" w:lineRule="auto"/>
        <w:jc w:val="both"/>
        <w:rPr>
          <w:rFonts w:ascii="Palatino Linotype" w:hAnsi="Palatino Linotype" w:cs="Arial"/>
          <w:i/>
          <w:sz w:val="22"/>
        </w:rPr>
      </w:pPr>
      <w:r w:rsidRPr="00980A22">
        <w:rPr>
          <w:rFonts w:ascii="Palatino Linotype" w:hAnsi="Palatino Linotype"/>
          <w:i/>
          <w:sz w:val="22"/>
        </w:rPr>
        <w:t>Cuando por cualquier motivo quede sin materia el recurso.”</w:t>
      </w:r>
    </w:p>
    <w:p w:rsidR="00505192" w:rsidRPr="00980A22" w:rsidRDefault="00505192" w:rsidP="00505192">
      <w:pPr>
        <w:spacing w:after="160" w:line="259" w:lineRule="auto"/>
        <w:rPr>
          <w:rFonts w:ascii="Palatino Linotype" w:eastAsiaTheme="minorHAnsi" w:hAnsi="Palatino Linotype" w:cstheme="minorBidi"/>
          <w:szCs w:val="22"/>
        </w:rPr>
      </w:pPr>
    </w:p>
    <w:p w:rsidR="00505192" w:rsidRPr="00980A22" w:rsidRDefault="00505192" w:rsidP="00505192">
      <w:pPr>
        <w:spacing w:after="160" w:line="360" w:lineRule="auto"/>
        <w:jc w:val="both"/>
        <w:rPr>
          <w:rFonts w:ascii="Palatino Linotype" w:eastAsiaTheme="minorHAnsi" w:hAnsi="Palatino Linotype" w:cs="Arial"/>
          <w:lang w:val="es-MX" w:eastAsia="en-US"/>
        </w:rPr>
      </w:pPr>
      <w:r w:rsidRPr="00980A22">
        <w:rPr>
          <w:rFonts w:ascii="Palatino Linotype" w:eastAsiaTheme="minorHAnsi" w:hAnsi="Palatino Linotype" w:cs="Arial"/>
          <w:lang w:val="es-MX" w:eastAsia="en-US"/>
        </w:rPr>
        <w:t>Por otra parte, la doctrina del sobreseimiento provoca que un procedimiento se suspenda o se resuelva en definitiva sin que se entre al estudio de los agravios o motivos de inconformidad. Este mismo criterio es compartido por el más alto tribunal del país en múltiples jurisprudencias, por lo que a continuación se agrega una de ellas que sirve como orientador en esta resolución:</w:t>
      </w:r>
    </w:p>
    <w:p w:rsidR="00505192" w:rsidRPr="00980A22" w:rsidRDefault="00505192" w:rsidP="00505192">
      <w:pPr>
        <w:spacing w:after="160" w:line="360" w:lineRule="auto"/>
        <w:jc w:val="both"/>
        <w:rPr>
          <w:rFonts w:ascii="Palatino Linotype" w:eastAsiaTheme="minorHAnsi" w:hAnsi="Palatino Linotype" w:cs="Arial"/>
          <w:lang w:val="es-MX" w:eastAsia="en-US"/>
        </w:rPr>
      </w:pPr>
    </w:p>
    <w:p w:rsidR="00505192" w:rsidRPr="00980A22" w:rsidRDefault="00505192" w:rsidP="00505192">
      <w:pPr>
        <w:spacing w:after="160" w:line="360" w:lineRule="auto"/>
        <w:ind w:left="851" w:right="851"/>
        <w:jc w:val="both"/>
        <w:rPr>
          <w:rFonts w:ascii="Palatino Linotype" w:eastAsiaTheme="minorHAnsi" w:hAnsi="Palatino Linotype" w:cs="Arial"/>
          <w:b/>
          <w:i/>
          <w:sz w:val="22"/>
          <w:szCs w:val="22"/>
          <w:lang w:val="es-MX" w:eastAsia="en-US"/>
        </w:rPr>
      </w:pPr>
      <w:r w:rsidRPr="00980A22">
        <w:rPr>
          <w:rFonts w:ascii="Palatino Linotype" w:eastAsiaTheme="minorHAnsi" w:hAnsi="Palatino Linotype" w:cs="Arial"/>
          <w:b/>
          <w:i/>
          <w:sz w:val="22"/>
          <w:szCs w:val="22"/>
          <w:lang w:val="es-MX" w:eastAsia="en-US"/>
        </w:rPr>
        <w:lastRenderedPageBreak/>
        <w:t>“SOBRESEIMIENTO EN EL JUICIO DE AMPARO DIRECTO. IMPIDE EL ESTUDIO DE LAS VIOLACIONES PROCESALES PLANTEADAS EN LOS CONCEPTOS DE VIOLACIÓN.</w:t>
      </w:r>
    </w:p>
    <w:p w:rsidR="00505192" w:rsidRPr="00980A22" w:rsidRDefault="00505192" w:rsidP="00505192">
      <w:pPr>
        <w:spacing w:after="160" w:line="360" w:lineRule="auto"/>
        <w:ind w:left="851" w:right="851"/>
        <w:jc w:val="both"/>
        <w:rPr>
          <w:rFonts w:ascii="Palatino Linotype" w:eastAsiaTheme="minorHAnsi" w:hAnsi="Palatino Linotype" w:cstheme="minorBidi"/>
          <w:i/>
          <w:color w:val="000000"/>
          <w:sz w:val="22"/>
          <w:szCs w:val="22"/>
          <w:lang w:val="es-MX" w:eastAsia="en-US"/>
        </w:rPr>
      </w:pPr>
      <w:r w:rsidRPr="00980A22">
        <w:rPr>
          <w:rFonts w:ascii="Palatino Linotype" w:eastAsiaTheme="minorHAnsi" w:hAnsi="Palatino Linotype" w:cs="Arial"/>
          <w:b/>
          <w:i/>
          <w:sz w:val="22"/>
          <w:szCs w:val="22"/>
          <w:u w:val="single"/>
          <w:lang w:val="es-MX" w:eastAsia="en-US"/>
        </w:rPr>
        <w:t>El sobreseimiento</w:t>
      </w:r>
      <w:r w:rsidRPr="00980A22">
        <w:rPr>
          <w:rFonts w:ascii="Palatino Linotype" w:eastAsiaTheme="minorHAnsi" w:hAnsi="Palatino Linotype" w:cs="Arial"/>
          <w:b/>
          <w:i/>
          <w:sz w:val="22"/>
          <w:szCs w:val="22"/>
          <w:lang w:val="es-MX" w:eastAsia="en-US"/>
        </w:rPr>
        <w:t xml:space="preserve"> </w:t>
      </w:r>
      <w:r w:rsidRPr="00980A22">
        <w:rPr>
          <w:rFonts w:ascii="Palatino Linotype" w:eastAsiaTheme="minorHAnsi" w:hAnsi="Palatino Linotype" w:cs="Arial"/>
          <w:i/>
          <w:sz w:val="22"/>
          <w:szCs w:val="22"/>
          <w:lang w:val="es-MX" w:eastAsia="en-US"/>
        </w:rPr>
        <w:t xml:space="preserve">en el juicio de amparo directo </w:t>
      </w:r>
      <w:r w:rsidRPr="00980A22">
        <w:rPr>
          <w:rFonts w:ascii="Palatino Linotype" w:eastAsiaTheme="minorHAnsi" w:hAnsi="Palatino Linotype" w:cs="Arial"/>
          <w:b/>
          <w:i/>
          <w:sz w:val="22"/>
          <w:szCs w:val="22"/>
          <w:u w:val="single"/>
          <w:lang w:val="es-MX" w:eastAsia="en-US"/>
        </w:rPr>
        <w:t>provoca la terminación de la controversia planteada</w:t>
      </w:r>
      <w:r w:rsidRPr="00980A22">
        <w:rPr>
          <w:rFonts w:ascii="Palatino Linotype" w:eastAsiaTheme="minorHAnsi" w:hAnsi="Palatino Linotype" w:cs="Arial"/>
          <w:b/>
          <w:i/>
          <w:sz w:val="22"/>
          <w:szCs w:val="22"/>
          <w:lang w:val="es-MX" w:eastAsia="en-US"/>
        </w:rPr>
        <w:t xml:space="preserve"> </w:t>
      </w:r>
      <w:r w:rsidRPr="00980A22">
        <w:rPr>
          <w:rFonts w:ascii="Palatino Linotype" w:eastAsiaTheme="minorHAnsi" w:hAnsi="Palatino Linotype" w:cs="Arial"/>
          <w:i/>
          <w:sz w:val="22"/>
          <w:szCs w:val="22"/>
          <w:lang w:val="es-MX" w:eastAsia="en-US"/>
        </w:rPr>
        <w:t>por el quejoso en la demanda de amparo</w:t>
      </w:r>
      <w:r w:rsidRPr="00980A22">
        <w:rPr>
          <w:rFonts w:ascii="Calibri" w:eastAsiaTheme="minorHAnsi" w:hAnsi="Calibri" w:cstheme="minorBidi"/>
          <w:color w:val="000000"/>
          <w:sz w:val="26"/>
          <w:szCs w:val="26"/>
          <w:lang w:val="es-MX" w:eastAsia="en-US"/>
        </w:rPr>
        <w:t xml:space="preserve"> </w:t>
      </w:r>
      <w:r w:rsidRPr="00980A22">
        <w:rPr>
          <w:rFonts w:ascii="Palatino Linotype" w:eastAsiaTheme="minorHAnsi" w:hAnsi="Palatino Linotype" w:cstheme="minorBidi"/>
          <w:i/>
          <w:color w:val="000000"/>
          <w:sz w:val="22"/>
          <w:szCs w:val="22"/>
          <w:lang w:val="es-MX" w:eastAsia="en-US"/>
        </w:rPr>
        <w:t xml:space="preserve">provoca la terminación de la controversia planteada por el quejoso en la demanda de </w:t>
      </w:r>
      <w:r w:rsidRPr="00980A22">
        <w:rPr>
          <w:rFonts w:ascii="Palatino Linotype" w:eastAsiaTheme="minorHAnsi" w:hAnsi="Palatino Linotype" w:cstheme="minorBidi"/>
          <w:b/>
          <w:i/>
          <w:color w:val="000000"/>
          <w:sz w:val="22"/>
          <w:szCs w:val="22"/>
          <w:lang w:val="es-MX" w:eastAsia="en-US"/>
        </w:rPr>
        <w:t>amparo</w:t>
      </w:r>
      <w:r w:rsidRPr="00980A22">
        <w:rPr>
          <w:rFonts w:ascii="Palatino Linotype" w:eastAsiaTheme="minorHAnsi" w:hAnsi="Palatino Linotype" w:cstheme="minorBidi"/>
          <w:i/>
          <w:color w:val="000000"/>
          <w:sz w:val="22"/>
          <w:szCs w:val="22"/>
          <w:lang w:val="es-MX" w:eastAsia="en-US"/>
        </w:rPr>
        <w:t>, sin hacer un pronunciamiento de fondo sobre la legalidad o ilegalidad de la sentencia reclamada. Por consiguiente, si al sobreseerse en el</w:t>
      </w:r>
      <w:r w:rsidRPr="00980A22">
        <w:rPr>
          <w:rFonts w:ascii="Palatino Linotype" w:eastAsiaTheme="minorHAnsi" w:hAnsi="Palatino Linotype" w:cstheme="minorBidi"/>
          <w:b/>
          <w:i/>
          <w:color w:val="000000"/>
          <w:sz w:val="22"/>
          <w:szCs w:val="22"/>
          <w:lang w:val="es-MX" w:eastAsia="en-US"/>
        </w:rPr>
        <w:t xml:space="preserve"> juicio </w:t>
      </w:r>
      <w:r w:rsidRPr="00980A22">
        <w:rPr>
          <w:rFonts w:ascii="Palatino Linotype" w:eastAsiaTheme="minorHAnsi" w:hAnsi="Palatino Linotype" w:cstheme="minorBidi"/>
          <w:i/>
          <w:color w:val="000000"/>
          <w:sz w:val="22"/>
          <w:szCs w:val="22"/>
          <w:lang w:val="es-MX" w:eastAsia="en-US"/>
        </w:rPr>
        <w:t xml:space="preserve">de </w:t>
      </w:r>
      <w:r w:rsidRPr="00980A22">
        <w:rPr>
          <w:rFonts w:ascii="Palatino Linotype" w:eastAsiaTheme="minorHAnsi" w:hAnsi="Palatino Linotype" w:cstheme="minorBidi"/>
          <w:b/>
          <w:i/>
          <w:color w:val="000000"/>
          <w:sz w:val="22"/>
          <w:szCs w:val="22"/>
          <w:lang w:val="es-MX" w:eastAsia="en-US"/>
        </w:rPr>
        <w:t>amparo</w:t>
      </w:r>
      <w:r w:rsidRPr="00980A22">
        <w:rPr>
          <w:rFonts w:ascii="Palatino Linotype" w:eastAsiaTheme="minorHAnsi" w:hAnsi="Palatino Linotype" w:cstheme="minorBidi"/>
          <w:i/>
          <w:color w:val="000000"/>
          <w:sz w:val="22"/>
          <w:szCs w:val="22"/>
          <w:lang w:val="es-MX" w:eastAsia="en-US"/>
        </w:rPr>
        <w:t xml:space="preserve"> no se pueden estudiar los planteamientos que se hacen valer en contra del fallo reclamado, tampoco se deben analizar las</w:t>
      </w:r>
      <w:r w:rsidRPr="00980A22">
        <w:rPr>
          <w:rFonts w:ascii="Palatino Linotype" w:eastAsiaTheme="minorHAnsi" w:hAnsi="Palatino Linotype" w:cstheme="minorBidi"/>
          <w:b/>
          <w:i/>
          <w:color w:val="000000"/>
          <w:sz w:val="22"/>
          <w:szCs w:val="22"/>
          <w:lang w:val="es-MX" w:eastAsia="en-US"/>
        </w:rPr>
        <w:t xml:space="preserve"> violaciones procesales</w:t>
      </w:r>
      <w:r w:rsidRPr="00980A22">
        <w:rPr>
          <w:rFonts w:ascii="Palatino Linotype" w:eastAsiaTheme="minorHAnsi" w:hAnsi="Palatino Linotype" w:cstheme="minorBidi"/>
          <w:i/>
          <w:color w:val="000000"/>
          <w:sz w:val="22"/>
          <w:szCs w:val="22"/>
          <w:lang w:val="es-MX" w:eastAsia="en-US"/>
        </w:rPr>
        <w:t xml:space="preserve"> propuestas en los </w:t>
      </w:r>
      <w:r w:rsidRPr="00980A22">
        <w:rPr>
          <w:rFonts w:ascii="Palatino Linotype" w:eastAsiaTheme="minorHAnsi" w:hAnsi="Palatino Linotype" w:cstheme="minorBidi"/>
          <w:b/>
          <w:i/>
          <w:color w:val="000000"/>
          <w:sz w:val="22"/>
          <w:szCs w:val="22"/>
          <w:lang w:val="es-MX" w:eastAsia="en-US"/>
        </w:rPr>
        <w:t xml:space="preserve">conceptos </w:t>
      </w:r>
      <w:r w:rsidRPr="00980A22">
        <w:rPr>
          <w:rFonts w:ascii="Palatino Linotype" w:eastAsiaTheme="minorHAnsi" w:hAnsi="Palatino Linotype" w:cstheme="minorBidi"/>
          <w:i/>
          <w:color w:val="000000"/>
          <w:sz w:val="22"/>
          <w:szCs w:val="22"/>
          <w:lang w:val="es-MX" w:eastAsia="en-US"/>
        </w:rPr>
        <w:t xml:space="preserve">de </w:t>
      </w:r>
      <w:r w:rsidRPr="00980A22">
        <w:rPr>
          <w:rFonts w:ascii="Palatino Linotype" w:eastAsiaTheme="minorHAnsi" w:hAnsi="Palatino Linotype" w:cstheme="minorBidi"/>
          <w:b/>
          <w:i/>
          <w:color w:val="000000"/>
          <w:sz w:val="22"/>
          <w:szCs w:val="22"/>
          <w:lang w:val="es-MX" w:eastAsia="en-US"/>
        </w:rPr>
        <w:t>violación</w:t>
      </w:r>
      <w:r w:rsidRPr="00980A22">
        <w:rPr>
          <w:rFonts w:ascii="Palatino Linotype" w:eastAsiaTheme="minorHAnsi" w:hAnsi="Palatino Linotype" w:cstheme="minorBidi"/>
          <w:i/>
          <w:color w:val="000000"/>
          <w:sz w:val="22"/>
          <w:szCs w:val="22"/>
          <w:lang w:val="es-MX" w:eastAsia="en-US"/>
        </w:rPr>
        <w:t xml:space="preserve">, dado que, la principal consecuencia del </w:t>
      </w:r>
      <w:r w:rsidRPr="00980A22">
        <w:rPr>
          <w:rFonts w:ascii="Palatino Linotype" w:eastAsiaTheme="minorHAnsi" w:hAnsi="Palatino Linotype" w:cstheme="minorBidi"/>
          <w:b/>
          <w:i/>
          <w:color w:val="000000"/>
          <w:sz w:val="22"/>
          <w:szCs w:val="22"/>
          <w:lang w:val="es-MX" w:eastAsia="en-US"/>
        </w:rPr>
        <w:t>sobreseimiento</w:t>
      </w:r>
      <w:r w:rsidRPr="00980A22">
        <w:rPr>
          <w:rFonts w:ascii="Palatino Linotype" w:eastAsiaTheme="minorHAnsi" w:hAnsi="Palatino Linotype" w:cstheme="minorBidi"/>
          <w:i/>
          <w:color w:val="000000"/>
          <w:sz w:val="22"/>
          <w:szCs w:val="22"/>
          <w:lang w:val="es-MX" w:eastAsia="en-US"/>
        </w:rPr>
        <w:t xml:space="preserve"> es poner fin al </w:t>
      </w:r>
      <w:r w:rsidRPr="00980A22">
        <w:rPr>
          <w:rFonts w:ascii="Palatino Linotype" w:eastAsiaTheme="minorHAnsi" w:hAnsi="Palatino Linotype" w:cstheme="minorBidi"/>
          <w:b/>
          <w:i/>
          <w:color w:val="000000"/>
          <w:sz w:val="22"/>
          <w:szCs w:val="22"/>
          <w:lang w:val="es-MX" w:eastAsia="en-US"/>
        </w:rPr>
        <w:t xml:space="preserve">juicio </w:t>
      </w:r>
      <w:r w:rsidRPr="00980A22">
        <w:rPr>
          <w:rFonts w:ascii="Palatino Linotype" w:eastAsiaTheme="minorHAnsi" w:hAnsi="Palatino Linotype" w:cstheme="minorBidi"/>
          <w:i/>
          <w:color w:val="000000"/>
          <w:sz w:val="22"/>
          <w:szCs w:val="22"/>
          <w:lang w:val="es-MX" w:eastAsia="en-US"/>
        </w:rPr>
        <w:t xml:space="preserve">de </w:t>
      </w:r>
      <w:r w:rsidRPr="00980A22">
        <w:rPr>
          <w:rFonts w:ascii="Palatino Linotype" w:eastAsiaTheme="minorHAnsi" w:hAnsi="Palatino Linotype" w:cstheme="minorBidi"/>
          <w:b/>
          <w:i/>
          <w:color w:val="000000"/>
          <w:sz w:val="22"/>
          <w:szCs w:val="22"/>
          <w:lang w:val="es-MX" w:eastAsia="en-US"/>
        </w:rPr>
        <w:t xml:space="preserve">amparo </w:t>
      </w:r>
      <w:r w:rsidRPr="00980A22">
        <w:rPr>
          <w:rFonts w:ascii="Palatino Linotype" w:eastAsiaTheme="minorHAnsi" w:hAnsi="Palatino Linotype" w:cstheme="minorBidi"/>
          <w:i/>
          <w:color w:val="000000"/>
          <w:sz w:val="22"/>
          <w:szCs w:val="22"/>
          <w:lang w:val="es-MX" w:eastAsia="en-US"/>
        </w:rPr>
        <w:t>sin resolver la controversia en sus méritos.  </w:t>
      </w:r>
    </w:p>
    <w:p w:rsidR="00505192" w:rsidRPr="00980A22" w:rsidRDefault="00505192" w:rsidP="00505192">
      <w:pPr>
        <w:spacing w:after="160" w:line="360" w:lineRule="auto"/>
        <w:ind w:left="851" w:right="851"/>
        <w:jc w:val="both"/>
        <w:rPr>
          <w:rFonts w:ascii="Palatino Linotype" w:eastAsiaTheme="minorHAnsi" w:hAnsi="Palatino Linotype" w:cs="Arial"/>
          <w:b/>
          <w:i/>
          <w:sz w:val="22"/>
          <w:szCs w:val="22"/>
          <w:lang w:val="es-MX" w:eastAsia="en-US"/>
        </w:rPr>
      </w:pPr>
      <w:r w:rsidRPr="00980A22">
        <w:rPr>
          <w:rFonts w:ascii="Palatino Linotype" w:eastAsiaTheme="minorHAnsi" w:hAnsi="Palatino Linotype" w:cs="Arial"/>
          <w:b/>
          <w:i/>
          <w:sz w:val="22"/>
          <w:szCs w:val="22"/>
          <w:lang w:val="es-MX" w:eastAsia="en-US"/>
        </w:rPr>
        <w:t>SÉPTIMO TRIBUNAL COLEGIADO EN MATERIA CIVIL DEL PRIMER CIRCUITO.</w:t>
      </w:r>
    </w:p>
    <w:p w:rsidR="00505192" w:rsidRPr="00980A22" w:rsidRDefault="00505192" w:rsidP="00505192">
      <w:pPr>
        <w:spacing w:after="160" w:line="360" w:lineRule="auto"/>
        <w:ind w:left="851" w:right="851"/>
        <w:jc w:val="both"/>
        <w:rPr>
          <w:rFonts w:ascii="Palatino Linotype" w:eastAsiaTheme="minorHAnsi" w:hAnsi="Palatino Linotype" w:cs="Arial"/>
          <w:i/>
          <w:sz w:val="22"/>
          <w:szCs w:val="22"/>
          <w:lang w:val="es-MX" w:eastAsia="en-US"/>
        </w:rPr>
      </w:pPr>
      <w:r w:rsidRPr="00980A22">
        <w:rPr>
          <w:rFonts w:ascii="Palatino Linotype" w:eastAsiaTheme="minorHAnsi" w:hAnsi="Palatino Linotype" w:cs="Arial"/>
          <w:i/>
          <w:sz w:val="22"/>
          <w:szCs w:val="22"/>
          <w:lang w:val="es-MX" w:eastAsia="en-US"/>
        </w:rPr>
        <w:t>Amparo directo 699/2008. Mariana Leticia González Steele. 13 de noviembre de 2008. Unanimidad de votos. Ponente: Sara Judith Montalvo Trejo. Secretario: Arnulfo Mateos García.”</w:t>
      </w:r>
      <w:r w:rsidRPr="00980A22">
        <w:rPr>
          <w:rFonts w:ascii="Palatino Linotype" w:hAnsi="Palatino Linotype"/>
          <w:b/>
          <w:i/>
          <w:sz w:val="22"/>
          <w:szCs w:val="22"/>
          <w:lang w:val="es-ES_tradnl"/>
        </w:rPr>
        <w:t xml:space="preserve"> [Sic]</w:t>
      </w:r>
    </w:p>
    <w:p w:rsidR="00505192" w:rsidRPr="00980A22" w:rsidRDefault="00505192" w:rsidP="00505192">
      <w:pPr>
        <w:autoSpaceDE w:val="0"/>
        <w:autoSpaceDN w:val="0"/>
        <w:adjustRightInd w:val="0"/>
        <w:spacing w:line="360" w:lineRule="auto"/>
        <w:jc w:val="both"/>
        <w:rPr>
          <w:rFonts w:ascii="Palatino Linotype" w:hAnsi="Palatino Linotype" w:cs="Arial"/>
        </w:rPr>
      </w:pPr>
    </w:p>
    <w:p w:rsidR="00505192" w:rsidRPr="00980A22" w:rsidRDefault="00505192" w:rsidP="00505192">
      <w:pPr>
        <w:autoSpaceDE w:val="0"/>
        <w:autoSpaceDN w:val="0"/>
        <w:adjustRightInd w:val="0"/>
        <w:spacing w:line="360" w:lineRule="auto"/>
        <w:jc w:val="both"/>
        <w:rPr>
          <w:rFonts w:ascii="Palatino Linotype" w:hAnsi="Palatino Linotype" w:cs="Arial"/>
        </w:rPr>
      </w:pPr>
      <w:r w:rsidRPr="00980A22">
        <w:rPr>
          <w:rFonts w:ascii="Palatino Linotype" w:hAnsi="Palatino Linotype" w:cs="Arial"/>
        </w:rPr>
        <w:t>Por lo que hace a los requisitos de procedencia del sobreseimiento en términos del artículo 192, de la Ley de Transparencia estatal se establece lo siguiente:</w:t>
      </w:r>
    </w:p>
    <w:p w:rsidR="00505192" w:rsidRPr="00980A22" w:rsidRDefault="00505192" w:rsidP="00505192"/>
    <w:p w:rsidR="00505192" w:rsidRPr="00980A22" w:rsidRDefault="00505192" w:rsidP="00505192">
      <w:pPr>
        <w:numPr>
          <w:ilvl w:val="0"/>
          <w:numId w:val="7"/>
        </w:numPr>
        <w:autoSpaceDE w:val="0"/>
        <w:autoSpaceDN w:val="0"/>
        <w:adjustRightInd w:val="0"/>
        <w:spacing w:after="160" w:line="360" w:lineRule="auto"/>
        <w:ind w:left="851" w:right="850" w:firstLine="10"/>
        <w:jc w:val="both"/>
        <w:rPr>
          <w:rFonts w:ascii="Palatino Linotype" w:hAnsi="Palatino Linotype" w:cs="Arial"/>
        </w:rPr>
      </w:pPr>
      <w:r w:rsidRPr="00980A22">
        <w:rPr>
          <w:rFonts w:ascii="Palatino Linotype" w:hAnsi="Palatino Linotype" w:cs="Arial"/>
        </w:rPr>
        <w:t xml:space="preserve">Mediante acuerdo de fecha </w:t>
      </w:r>
      <w:r w:rsidR="00A45B56" w:rsidRPr="00980A22">
        <w:rPr>
          <w:rFonts w:ascii="Palatino Linotype" w:hAnsi="Palatino Linotype" w:cs="Arial"/>
          <w:b/>
        </w:rPr>
        <w:t>veintidós de junio</w:t>
      </w:r>
      <w:r w:rsidRPr="00980A22">
        <w:rPr>
          <w:rFonts w:ascii="Palatino Linotype" w:hAnsi="Palatino Linotype" w:cs="Arial"/>
          <w:b/>
        </w:rPr>
        <w:t xml:space="preserve"> de dos mil veintiséis</w:t>
      </w:r>
      <w:r w:rsidRPr="00980A22">
        <w:rPr>
          <w:rFonts w:ascii="Palatino Linotype" w:hAnsi="Palatino Linotype" w:cs="Arial"/>
        </w:rPr>
        <w:t xml:space="preserve">, </w:t>
      </w:r>
      <w:r w:rsidR="00A45B56" w:rsidRPr="00980A22">
        <w:rPr>
          <w:rFonts w:ascii="Palatino Linotype" w:hAnsi="Palatino Linotype" w:cs="Arial"/>
        </w:rPr>
        <w:t>la entonces Comisionada</w:t>
      </w:r>
      <w:r w:rsidRPr="00980A22">
        <w:rPr>
          <w:rFonts w:ascii="Palatino Linotype" w:hAnsi="Palatino Linotype" w:cs="Arial"/>
        </w:rPr>
        <w:t xml:space="preserve"> </w:t>
      </w:r>
      <w:r w:rsidR="00A45B56" w:rsidRPr="00980A22">
        <w:rPr>
          <w:rFonts w:ascii="Palatino Linotype" w:hAnsi="Palatino Linotype" w:cs="Arial"/>
          <w:b/>
        </w:rPr>
        <w:t>Sharon Cristina Morales Martínez</w:t>
      </w:r>
      <w:r w:rsidRPr="00980A22">
        <w:rPr>
          <w:rFonts w:ascii="Palatino Linotype" w:hAnsi="Palatino Linotype" w:cs="Arial"/>
        </w:rPr>
        <w:t>, admitió a trámite el recurso de revisión que nos ocupa</w:t>
      </w:r>
      <w:r w:rsidRPr="00980A22">
        <w:rPr>
          <w:rFonts w:ascii="Palatino Linotype" w:hAnsi="Palatino Linotype" w:cs="Arial"/>
          <w:lang w:val="es-MX"/>
        </w:rPr>
        <w:t>.</w:t>
      </w:r>
    </w:p>
    <w:p w:rsidR="00505192" w:rsidRPr="00980A22" w:rsidRDefault="00505192" w:rsidP="00505192">
      <w:pPr>
        <w:rPr>
          <w:lang w:val="es-MX"/>
        </w:rPr>
      </w:pPr>
    </w:p>
    <w:p w:rsidR="00505192" w:rsidRPr="00980A22" w:rsidRDefault="00505192" w:rsidP="00505192">
      <w:pPr>
        <w:numPr>
          <w:ilvl w:val="0"/>
          <w:numId w:val="7"/>
        </w:numPr>
        <w:autoSpaceDE w:val="0"/>
        <w:autoSpaceDN w:val="0"/>
        <w:adjustRightInd w:val="0"/>
        <w:spacing w:after="160" w:line="360" w:lineRule="auto"/>
        <w:ind w:left="851" w:right="850" w:firstLine="10"/>
        <w:jc w:val="both"/>
      </w:pPr>
      <w:r w:rsidRPr="00980A22">
        <w:rPr>
          <w:rFonts w:ascii="Palatino Linotype" w:hAnsi="Palatino Linotype" w:cs="Arial"/>
        </w:rPr>
        <w:lastRenderedPageBreak/>
        <w:t xml:space="preserve">Lo esgrimido por </w:t>
      </w:r>
      <w:r w:rsidRPr="00980A22">
        <w:rPr>
          <w:rFonts w:ascii="Palatino Linotype" w:hAnsi="Palatino Linotype" w:cs="Arial"/>
          <w:b/>
        </w:rPr>
        <w:t>el Recurrente</w:t>
      </w:r>
      <w:r w:rsidRPr="00980A22">
        <w:rPr>
          <w:rFonts w:ascii="Palatino Linotype" w:hAnsi="Palatino Linotype" w:cs="Arial"/>
        </w:rPr>
        <w:t xml:space="preserve"> dentro del recurso de revisión impugnado queda sin materia, toda vez que </w:t>
      </w:r>
      <w:r w:rsidRPr="00980A22">
        <w:rPr>
          <w:rFonts w:ascii="Palatino Linotype" w:hAnsi="Palatino Linotype" w:cs="Arial"/>
          <w:b/>
        </w:rPr>
        <w:t>El Sujeto Obligado</w:t>
      </w:r>
      <w:r w:rsidRPr="00980A22">
        <w:rPr>
          <w:rFonts w:ascii="Palatino Linotype" w:hAnsi="Palatino Linotype" w:cs="Arial"/>
        </w:rPr>
        <w:t xml:space="preserve"> colmó el derecho de acceso a la información del </w:t>
      </w:r>
      <w:r w:rsidRPr="00980A22">
        <w:rPr>
          <w:rFonts w:ascii="Palatino Linotype" w:hAnsi="Palatino Linotype" w:cs="Arial"/>
          <w:b/>
        </w:rPr>
        <w:t>Recurrente</w:t>
      </w:r>
      <w:r w:rsidRPr="00980A22">
        <w:rPr>
          <w:rFonts w:ascii="Palatino Linotype" w:hAnsi="Palatino Linotype" w:cs="Arial"/>
        </w:rPr>
        <w:t>,</w:t>
      </w:r>
      <w:r w:rsidRPr="00980A22">
        <w:rPr>
          <w:rFonts w:ascii="Palatino Linotype" w:hAnsi="Palatino Linotype" w:cs="Arial"/>
          <w:b/>
        </w:rPr>
        <w:t xml:space="preserve"> </w:t>
      </w:r>
      <w:r w:rsidRPr="00980A22">
        <w:rPr>
          <w:rFonts w:ascii="Palatino Linotype" w:hAnsi="Palatino Linotype" w:cs="Arial"/>
        </w:rPr>
        <w:t xml:space="preserve">ello al modificar su respuesta primigenia, mediante la información remitida en su informe justificado, en fecha </w:t>
      </w:r>
      <w:r w:rsidR="00A45B56" w:rsidRPr="00980A22">
        <w:rPr>
          <w:rFonts w:ascii="Palatino Linotype" w:hAnsi="Palatino Linotype" w:cs="Arial"/>
          <w:b/>
        </w:rPr>
        <w:t>veinticinco</w:t>
      </w:r>
      <w:r w:rsidRPr="00980A22">
        <w:rPr>
          <w:rFonts w:ascii="Palatino Linotype" w:hAnsi="Palatino Linotype" w:cs="Arial"/>
          <w:b/>
        </w:rPr>
        <w:t xml:space="preserve"> de junio de dos mil veintiséis.</w:t>
      </w:r>
    </w:p>
    <w:p w:rsidR="00505192" w:rsidRPr="00980A22" w:rsidRDefault="00505192" w:rsidP="00505192">
      <w:pPr>
        <w:numPr>
          <w:ilvl w:val="0"/>
          <w:numId w:val="7"/>
        </w:numPr>
        <w:autoSpaceDE w:val="0"/>
        <w:autoSpaceDN w:val="0"/>
        <w:adjustRightInd w:val="0"/>
        <w:spacing w:after="160" w:line="360" w:lineRule="auto"/>
        <w:ind w:left="851" w:right="850" w:firstLine="10"/>
        <w:jc w:val="both"/>
        <w:rPr>
          <w:rFonts w:ascii="Palatino Linotype" w:hAnsi="Palatino Linotype" w:cs="Arial"/>
        </w:rPr>
      </w:pPr>
      <w:r w:rsidRPr="00980A22">
        <w:rPr>
          <w:rFonts w:ascii="Palatino Linotype" w:hAnsi="Palatino Linotype" w:cs="Arial"/>
        </w:rPr>
        <w:t xml:space="preserve">El recurso </w:t>
      </w:r>
      <w:r w:rsidRPr="00980A22">
        <w:rPr>
          <w:rFonts w:ascii="Palatino Linotype" w:hAnsi="Palatino Linotype" w:cs="Arial"/>
          <w:b/>
          <w:bCs/>
          <w:lang w:val="es-MX" w:eastAsia="es-MX"/>
        </w:rPr>
        <w:t>06407/INFOEM/IP/RR/2026</w:t>
      </w:r>
      <w:r w:rsidRPr="00980A22">
        <w:rPr>
          <w:rFonts w:ascii="Palatino Linotype" w:hAnsi="Palatino Linotype" w:cs="Arial"/>
          <w:bCs/>
          <w:lang w:eastAsia="es-MX"/>
        </w:rPr>
        <w:t>,</w:t>
      </w:r>
      <w:r w:rsidRPr="00980A22">
        <w:rPr>
          <w:rFonts w:ascii="Palatino Linotype" w:hAnsi="Palatino Linotype" w:cs="Arial"/>
        </w:rPr>
        <w:t xml:space="preserve"> no actualiza ninguna hipótesis de las inmersas en el numeral 179, de la Ley en materia vigente en la entidad. </w:t>
      </w:r>
    </w:p>
    <w:p w:rsidR="00505192" w:rsidRPr="00980A22" w:rsidRDefault="00505192" w:rsidP="00505192">
      <w:pPr>
        <w:autoSpaceDE w:val="0"/>
        <w:autoSpaceDN w:val="0"/>
        <w:adjustRightInd w:val="0"/>
        <w:spacing w:line="360" w:lineRule="auto"/>
        <w:jc w:val="both"/>
        <w:rPr>
          <w:rFonts w:ascii="Palatino Linotype" w:hAnsi="Palatino Linotype"/>
        </w:rPr>
      </w:pPr>
    </w:p>
    <w:p w:rsidR="00505192" w:rsidRPr="00980A22" w:rsidRDefault="00505192" w:rsidP="00505192">
      <w:pPr>
        <w:autoSpaceDE w:val="0"/>
        <w:autoSpaceDN w:val="0"/>
        <w:adjustRightInd w:val="0"/>
        <w:spacing w:line="360" w:lineRule="auto"/>
        <w:jc w:val="both"/>
        <w:rPr>
          <w:rFonts w:ascii="Palatino Linotype" w:hAnsi="Palatino Linotype"/>
          <w:b/>
          <w:u w:val="single"/>
        </w:rPr>
      </w:pPr>
      <w:r w:rsidRPr="00980A22">
        <w:rPr>
          <w:rFonts w:ascii="Palatino Linotype" w:hAnsi="Palatino Linotype"/>
        </w:rPr>
        <w:t xml:space="preserve">Es importante resaltar a manera de analogía que la Suprema Corte de Justicia de la Nación mediante el número 2 de la Serie </w:t>
      </w:r>
      <w:r w:rsidRPr="00980A22">
        <w:rPr>
          <w:rFonts w:ascii="Palatino Linotype" w:hAnsi="Palatino Linotype"/>
          <w:i/>
        </w:rPr>
        <w:t xml:space="preserve">Estudios Introductorios sobre el Juicio de Amparo </w:t>
      </w:r>
      <w:r w:rsidRPr="00980A22">
        <w:rPr>
          <w:rFonts w:ascii="Palatino Linotype" w:hAnsi="Palatino Linotype"/>
        </w:rPr>
        <w:t xml:space="preserve">relativo a </w:t>
      </w:r>
      <w:r w:rsidRPr="00980A22">
        <w:rPr>
          <w:rFonts w:ascii="Palatino Linotype" w:hAnsi="Palatino Linotype"/>
          <w:i/>
        </w:rPr>
        <w:t xml:space="preserve">LA IMPROCEDENCIA DE LA ACCIÓN DE AMPARO </w:t>
      </w:r>
      <w:r w:rsidRPr="00980A22">
        <w:rPr>
          <w:rFonts w:ascii="Palatino Linotype" w:hAnsi="Palatino Linotype"/>
        </w:rPr>
        <w:t xml:space="preserve">definió a la improcedencia del amparo como la institución jurídica procesal en la que, al actualizarse ciertas circunstancias previstas en la Constitución Federal, en la Ley de Amparo o en la Jurisprudencia, el órgano jurisdiccional se ve impedido para analizar y resolver el fondo del asunto y que la causa de improcedencia puede tenerse por acreditada desde el momento en que se presenta la demanda de amparo, </w:t>
      </w:r>
      <w:r w:rsidRPr="00980A22">
        <w:rPr>
          <w:rFonts w:ascii="Palatino Linotype" w:hAnsi="Palatino Linotype"/>
          <w:b/>
          <w:u w:val="single"/>
        </w:rPr>
        <w:t>lo que generará que la demanda sea desechada; o bien, después de admitida la demanda, lo que tendrá como consecuencia que se sobresea en el juicio.</w:t>
      </w:r>
    </w:p>
    <w:p w:rsidR="00505192" w:rsidRPr="00980A22" w:rsidRDefault="00505192" w:rsidP="00505192">
      <w:pPr>
        <w:autoSpaceDE w:val="0"/>
        <w:autoSpaceDN w:val="0"/>
        <w:adjustRightInd w:val="0"/>
        <w:spacing w:line="360" w:lineRule="auto"/>
        <w:jc w:val="both"/>
        <w:rPr>
          <w:rFonts w:ascii="Palatino Linotype" w:hAnsi="Palatino Linotype"/>
        </w:rPr>
      </w:pPr>
    </w:p>
    <w:p w:rsidR="00505192" w:rsidRPr="00980A22" w:rsidRDefault="00505192" w:rsidP="00505192">
      <w:pPr>
        <w:autoSpaceDE w:val="0"/>
        <w:autoSpaceDN w:val="0"/>
        <w:adjustRightInd w:val="0"/>
        <w:spacing w:after="240" w:line="360" w:lineRule="auto"/>
        <w:jc w:val="both"/>
        <w:rPr>
          <w:rFonts w:ascii="Palatino Linotype" w:hAnsi="Palatino Linotype"/>
        </w:rPr>
      </w:pPr>
      <w:r w:rsidRPr="00980A22">
        <w:rPr>
          <w:rFonts w:ascii="Palatino Linotype" w:hAnsi="Palatino Linotype"/>
        </w:rPr>
        <w:t xml:space="preserve">Por lo tanto, en mérito de lo expuesto en líneas anteriores, </w:t>
      </w:r>
      <w:r w:rsidRPr="00980A22">
        <w:rPr>
          <w:rFonts w:ascii="Palatino Linotype" w:hAnsi="Palatino Linotype" w:cs="Arial"/>
          <w:b/>
        </w:rPr>
        <w:t xml:space="preserve">con fundamento en la fracción III del artículo 192, </w:t>
      </w:r>
      <w:r w:rsidRPr="00980A22">
        <w:rPr>
          <w:rFonts w:ascii="Palatino Linotype" w:hAnsi="Palatino Linotype" w:cs="Arial"/>
        </w:rPr>
        <w:t xml:space="preserve">de la Ley de Transparencia y Acceso a la Información </w:t>
      </w:r>
      <w:r w:rsidRPr="00980A22">
        <w:rPr>
          <w:rFonts w:ascii="Palatino Linotype" w:hAnsi="Palatino Linotype" w:cs="Arial"/>
        </w:rPr>
        <w:lastRenderedPageBreak/>
        <w:t xml:space="preserve">Pública del Estado de México y Municipios, se </w:t>
      </w:r>
      <w:r w:rsidRPr="00980A22">
        <w:rPr>
          <w:rFonts w:ascii="Palatino Linotype" w:hAnsi="Palatino Linotype" w:cs="Arial"/>
          <w:b/>
        </w:rPr>
        <w:t xml:space="preserve">SOBRESEE </w:t>
      </w:r>
      <w:r w:rsidRPr="00980A22">
        <w:rPr>
          <w:rFonts w:ascii="Palatino Linotype" w:hAnsi="Palatino Linotype" w:cs="Arial"/>
        </w:rPr>
        <w:t xml:space="preserve">el recurso de revisión </w:t>
      </w:r>
      <w:r w:rsidRPr="00980A22">
        <w:rPr>
          <w:rFonts w:ascii="Palatino Linotype" w:hAnsi="Palatino Linotype" w:cs="Arial"/>
          <w:b/>
        </w:rPr>
        <w:t>06407/INFOEM/IP/RR/2026</w:t>
      </w:r>
      <w:r w:rsidRPr="00980A22">
        <w:rPr>
          <w:rFonts w:ascii="Palatino Linotype" w:hAnsi="Palatino Linotype" w:cs="Arial"/>
        </w:rPr>
        <w:t>,</w:t>
      </w:r>
      <w:r w:rsidRPr="00980A22">
        <w:rPr>
          <w:rFonts w:ascii="Palatino Linotype" w:hAnsi="Palatino Linotype"/>
        </w:rPr>
        <w:t xml:space="preserve"> que ha sido materia del presente fallo.</w:t>
      </w:r>
    </w:p>
    <w:p w:rsidR="00505192" w:rsidRPr="00980A22" w:rsidRDefault="00505192" w:rsidP="00505192">
      <w:pPr>
        <w:spacing w:line="360" w:lineRule="auto"/>
        <w:jc w:val="both"/>
        <w:rPr>
          <w:rFonts w:ascii="Palatino Linotype" w:hAnsi="Palatino Linotype"/>
          <w:lang w:val="es-MX"/>
        </w:rPr>
      </w:pPr>
      <w:r w:rsidRPr="00980A22">
        <w:rPr>
          <w:rFonts w:ascii="Palatino Linotype" w:hAnsi="Palatino Linotype"/>
          <w:lang w:val="es-MX"/>
        </w:rPr>
        <w:t>Por lo antes expuesto y fundado es de resolverse y,</w:t>
      </w:r>
    </w:p>
    <w:p w:rsidR="00505192" w:rsidRPr="00980A22" w:rsidRDefault="00505192" w:rsidP="00505192">
      <w:pPr>
        <w:spacing w:after="160" w:line="360" w:lineRule="auto"/>
        <w:contextualSpacing/>
        <w:jc w:val="both"/>
        <w:rPr>
          <w:rFonts w:ascii="Palatino Linotype" w:eastAsia="MS Mincho" w:hAnsi="Palatino Linotype" w:cstheme="minorBidi"/>
          <w:sz w:val="22"/>
          <w:szCs w:val="22"/>
          <w:lang w:val="es-MX" w:eastAsia="en-US"/>
        </w:rPr>
      </w:pPr>
    </w:p>
    <w:p w:rsidR="00505192" w:rsidRPr="00980A22" w:rsidRDefault="00505192" w:rsidP="00505192">
      <w:pPr>
        <w:spacing w:before="240" w:after="240" w:line="360" w:lineRule="auto"/>
        <w:jc w:val="center"/>
        <w:rPr>
          <w:rFonts w:ascii="Palatino Linotype" w:eastAsiaTheme="minorHAnsi" w:hAnsi="Palatino Linotype" w:cstheme="minorBidi"/>
          <w:b/>
          <w:spacing w:val="60"/>
          <w:sz w:val="28"/>
          <w:lang w:val="es-MX" w:eastAsia="en-US"/>
        </w:rPr>
      </w:pPr>
      <w:r w:rsidRPr="00980A22">
        <w:rPr>
          <w:rFonts w:ascii="Palatino Linotype" w:eastAsiaTheme="minorHAnsi" w:hAnsi="Palatino Linotype" w:cstheme="minorBidi"/>
          <w:b/>
          <w:spacing w:val="60"/>
          <w:sz w:val="28"/>
          <w:lang w:val="es-MX" w:eastAsia="en-US"/>
        </w:rPr>
        <w:t>S E RESUELVE</w:t>
      </w:r>
    </w:p>
    <w:p w:rsidR="00505192" w:rsidRPr="00980A22" w:rsidRDefault="00505192" w:rsidP="00505192">
      <w:pPr>
        <w:spacing w:line="360" w:lineRule="auto"/>
        <w:jc w:val="both"/>
        <w:rPr>
          <w:rFonts w:ascii="Palatino Linotype" w:eastAsiaTheme="minorHAnsi" w:hAnsi="Palatino Linotype" w:cs="Arial"/>
          <w:lang w:val="es-ES_tradnl" w:eastAsia="en-US"/>
        </w:rPr>
      </w:pPr>
      <w:r w:rsidRPr="00980A22">
        <w:rPr>
          <w:rFonts w:ascii="Palatino Linotype" w:hAnsi="Palatino Linotype" w:cstheme="minorBidi"/>
          <w:b/>
          <w:bCs/>
          <w:sz w:val="28"/>
          <w:szCs w:val="22"/>
          <w:lang w:val="es-MX" w:eastAsia="es-MX"/>
        </w:rPr>
        <w:t>PRIMERO</w:t>
      </w:r>
      <w:r w:rsidRPr="00980A22">
        <w:rPr>
          <w:rFonts w:ascii="Palatino Linotype" w:hAnsi="Palatino Linotype" w:cstheme="minorBidi"/>
          <w:sz w:val="28"/>
          <w:szCs w:val="22"/>
          <w:lang w:val="es-MX" w:eastAsia="es-MX"/>
        </w:rPr>
        <w:t xml:space="preserve">. </w:t>
      </w:r>
      <w:r w:rsidRPr="00980A22">
        <w:rPr>
          <w:rFonts w:ascii="Palatino Linotype" w:eastAsiaTheme="minorHAnsi" w:hAnsi="Palatino Linotype" w:cs="Arial"/>
          <w:lang w:val="es-ES_tradnl" w:eastAsia="en-US"/>
        </w:rPr>
        <w:t xml:space="preserve">Se </w:t>
      </w:r>
      <w:r w:rsidRPr="00980A22">
        <w:rPr>
          <w:rFonts w:ascii="Palatino Linotype" w:eastAsiaTheme="minorHAnsi" w:hAnsi="Palatino Linotype" w:cs="Arial"/>
          <w:b/>
          <w:lang w:val="es-ES_tradnl" w:eastAsia="en-US"/>
        </w:rPr>
        <w:t>SOBRESEE</w:t>
      </w:r>
      <w:r w:rsidRPr="00980A22">
        <w:rPr>
          <w:rFonts w:ascii="Palatino Linotype" w:eastAsiaTheme="minorHAnsi" w:hAnsi="Palatino Linotype" w:cs="Arial"/>
          <w:lang w:val="es-ES_tradnl" w:eastAsia="en-US"/>
        </w:rPr>
        <w:t xml:space="preserve"> el recurso de revisión número </w:t>
      </w:r>
      <w:r w:rsidRPr="00980A22">
        <w:rPr>
          <w:rFonts w:ascii="Palatino Linotype" w:eastAsiaTheme="minorEastAsia" w:hAnsi="Palatino Linotype" w:cstheme="minorBidi"/>
          <w:b/>
          <w:lang w:val="es-ES_tradnl" w:eastAsia="en-US"/>
        </w:rPr>
        <w:t>06407/INFOEM/IP/RR/2026</w:t>
      </w:r>
      <w:r w:rsidRPr="00980A22">
        <w:rPr>
          <w:rFonts w:ascii="Palatino Linotype" w:eastAsiaTheme="minorEastAsia" w:hAnsi="Palatino Linotype" w:cstheme="minorBidi"/>
          <w:lang w:val="es-ES_tradnl" w:eastAsia="en-US"/>
        </w:rPr>
        <w:t>, porque al modificar la respuesta el recurso quedó sin materia</w:t>
      </w:r>
      <w:r w:rsidRPr="00980A22">
        <w:rPr>
          <w:rFonts w:asciiTheme="minorHAnsi" w:eastAsiaTheme="minorHAnsi" w:hAnsiTheme="minorHAnsi" w:cstheme="minorBidi"/>
          <w:sz w:val="22"/>
          <w:szCs w:val="22"/>
          <w:lang w:val="es-MX" w:eastAsia="en-US"/>
        </w:rPr>
        <w:t xml:space="preserve"> </w:t>
      </w:r>
      <w:r w:rsidRPr="00980A22">
        <w:rPr>
          <w:rFonts w:ascii="Palatino Linotype" w:eastAsiaTheme="minorEastAsia" w:hAnsi="Palatino Linotype" w:cstheme="minorBidi"/>
          <w:lang w:val="es-ES_tradnl" w:eastAsia="en-US"/>
        </w:rPr>
        <w:t xml:space="preserve">conforme a lo dispuesto en el artículo 192 fracción III de la Ley de Transparencia y Acceso a la Información Pública del Estado de México y Municipios, en términos del Considerando </w:t>
      </w:r>
      <w:r w:rsidRPr="00980A22">
        <w:rPr>
          <w:rFonts w:ascii="Palatino Linotype" w:eastAsiaTheme="minorEastAsia" w:hAnsi="Palatino Linotype" w:cstheme="minorBidi"/>
          <w:b/>
          <w:lang w:val="es-ES_tradnl" w:eastAsia="en-US"/>
        </w:rPr>
        <w:t xml:space="preserve">CUARTO </w:t>
      </w:r>
      <w:r w:rsidRPr="00980A22">
        <w:rPr>
          <w:rFonts w:ascii="Palatino Linotype" w:eastAsiaTheme="minorEastAsia" w:hAnsi="Palatino Linotype" w:cstheme="minorBidi"/>
          <w:lang w:val="es-ES_tradnl" w:eastAsia="en-US"/>
        </w:rPr>
        <w:t>de la presente resolución.</w:t>
      </w:r>
    </w:p>
    <w:p w:rsidR="00505192" w:rsidRPr="00980A22" w:rsidRDefault="00505192" w:rsidP="00505192">
      <w:pPr>
        <w:spacing w:line="360" w:lineRule="auto"/>
        <w:jc w:val="both"/>
        <w:rPr>
          <w:rFonts w:ascii="Palatino Linotype" w:eastAsiaTheme="minorHAnsi" w:hAnsi="Palatino Linotype" w:cstheme="minorBidi"/>
          <w:b/>
          <w:lang w:val="es-MX" w:eastAsia="en-US"/>
        </w:rPr>
      </w:pPr>
    </w:p>
    <w:p w:rsidR="00505192" w:rsidRPr="00980A22" w:rsidRDefault="00505192" w:rsidP="00505192">
      <w:pPr>
        <w:spacing w:line="360" w:lineRule="auto"/>
        <w:jc w:val="both"/>
        <w:rPr>
          <w:rFonts w:ascii="Palatino Linotype" w:eastAsiaTheme="minorHAnsi" w:hAnsi="Palatino Linotype" w:cstheme="minorBidi"/>
          <w:lang w:val="es-MX" w:eastAsia="en-US"/>
        </w:rPr>
      </w:pPr>
      <w:r w:rsidRPr="00980A22">
        <w:rPr>
          <w:rFonts w:ascii="Palatino Linotype" w:eastAsiaTheme="minorHAnsi" w:hAnsi="Palatino Linotype" w:cstheme="minorBidi"/>
          <w:b/>
          <w:sz w:val="28"/>
          <w:lang w:val="es-MX" w:eastAsia="en-US"/>
        </w:rPr>
        <w:t>SEGUNDO.</w:t>
      </w:r>
      <w:r w:rsidRPr="00980A22">
        <w:rPr>
          <w:rFonts w:ascii="Palatino Linotype" w:eastAsiaTheme="minorHAnsi" w:hAnsi="Palatino Linotype" w:cs="Arial"/>
          <w:sz w:val="28"/>
          <w:lang w:val="es-MX" w:eastAsia="en-US"/>
        </w:rPr>
        <w:t xml:space="preserve"> </w:t>
      </w:r>
      <w:r w:rsidRPr="00980A22">
        <w:rPr>
          <w:rFonts w:ascii="Palatino Linotype" w:eastAsiaTheme="minorHAnsi" w:hAnsi="Palatino Linotype" w:cstheme="minorBidi"/>
          <w:b/>
          <w:lang w:val="es-MX" w:eastAsia="en-US"/>
        </w:rPr>
        <w:t>NOTIFÍQUESE</w:t>
      </w:r>
      <w:r w:rsidRPr="00980A22">
        <w:rPr>
          <w:rFonts w:ascii="Palatino Linotype" w:eastAsiaTheme="minorHAnsi" w:hAnsi="Palatino Linotype" w:cstheme="minorBidi"/>
          <w:lang w:val="es-MX" w:eastAsia="en-US"/>
        </w:rPr>
        <w:t xml:space="preserve"> vía Sistema de Acceso a la Información Mexiquense (</w:t>
      </w:r>
      <w:r w:rsidRPr="00980A22">
        <w:rPr>
          <w:rFonts w:ascii="Palatino Linotype" w:eastAsiaTheme="minorHAnsi" w:hAnsi="Palatino Linotype" w:cstheme="minorBidi"/>
          <w:b/>
          <w:lang w:val="es-MX" w:eastAsia="en-US"/>
        </w:rPr>
        <w:t>SAIMEX)</w:t>
      </w:r>
      <w:r w:rsidRPr="00980A22">
        <w:rPr>
          <w:rFonts w:ascii="Palatino Linotype" w:eastAsiaTheme="minorHAnsi" w:hAnsi="Palatino Linotype" w:cstheme="minorBidi"/>
          <w:lang w:val="es-MX" w:eastAsia="en-US"/>
        </w:rPr>
        <w:t xml:space="preserve">, la presente resolución al Titular de la Unidad de Transparencia del </w:t>
      </w:r>
      <w:r w:rsidRPr="00980A22">
        <w:rPr>
          <w:rFonts w:ascii="Palatino Linotype" w:eastAsiaTheme="minorHAnsi" w:hAnsi="Palatino Linotype" w:cstheme="minorBidi"/>
          <w:b/>
          <w:lang w:val="es-MX" w:eastAsia="en-US"/>
        </w:rPr>
        <w:t>Sujeto Obligado</w:t>
      </w:r>
      <w:r w:rsidRPr="00980A22">
        <w:rPr>
          <w:rFonts w:ascii="Palatino Linotype" w:eastAsiaTheme="minorHAnsi" w:hAnsi="Palatino Linotype" w:cstheme="minorBidi"/>
          <w:lang w:val="es-MX" w:eastAsia="en-US"/>
        </w:rPr>
        <w:t>.</w:t>
      </w:r>
    </w:p>
    <w:p w:rsidR="00505192" w:rsidRPr="00980A22" w:rsidRDefault="00505192" w:rsidP="00505192">
      <w:pPr>
        <w:autoSpaceDE w:val="0"/>
        <w:autoSpaceDN w:val="0"/>
        <w:adjustRightInd w:val="0"/>
        <w:spacing w:line="360" w:lineRule="auto"/>
        <w:jc w:val="both"/>
        <w:rPr>
          <w:rFonts w:ascii="Palatino Linotype" w:hAnsi="Palatino Linotype" w:cs="Arial"/>
          <w:b/>
          <w:sz w:val="28"/>
          <w:szCs w:val="28"/>
        </w:rPr>
      </w:pPr>
    </w:p>
    <w:p w:rsidR="00505192" w:rsidRPr="00980A22" w:rsidRDefault="00505192" w:rsidP="00505192">
      <w:pPr>
        <w:autoSpaceDE w:val="0"/>
        <w:autoSpaceDN w:val="0"/>
        <w:adjustRightInd w:val="0"/>
        <w:spacing w:before="240" w:line="360" w:lineRule="auto"/>
        <w:jc w:val="both"/>
        <w:rPr>
          <w:rFonts w:ascii="Palatino Linotype" w:hAnsi="Palatino Linotype" w:cs="Arial"/>
          <w:b/>
        </w:rPr>
      </w:pPr>
      <w:r w:rsidRPr="00980A22">
        <w:rPr>
          <w:rFonts w:ascii="Palatino Linotype" w:hAnsi="Palatino Linotype" w:cs="Arial"/>
          <w:b/>
          <w:sz w:val="28"/>
          <w:szCs w:val="28"/>
        </w:rPr>
        <w:t>TERCERO</w:t>
      </w:r>
      <w:r w:rsidRPr="00980A22">
        <w:rPr>
          <w:rFonts w:ascii="Palatino Linotype" w:hAnsi="Palatino Linotype" w:cs="Arial"/>
          <w:sz w:val="28"/>
          <w:szCs w:val="28"/>
        </w:rPr>
        <w:t>.</w:t>
      </w:r>
      <w:r w:rsidRPr="00980A22">
        <w:rPr>
          <w:rFonts w:ascii="Palatino Linotype" w:hAnsi="Palatino Linotype" w:cs="Arial"/>
        </w:rPr>
        <w:t xml:space="preserve"> </w:t>
      </w:r>
      <w:r w:rsidRPr="00980A22">
        <w:rPr>
          <w:rFonts w:ascii="Palatino Linotype" w:hAnsi="Palatino Linotype" w:cs="Arial"/>
          <w:b/>
          <w:bCs/>
          <w:color w:val="222222"/>
          <w:shd w:val="clear" w:color="auto" w:fill="FFFFFF"/>
        </w:rPr>
        <w:t>Notifíquese</w:t>
      </w:r>
      <w:r w:rsidRPr="00980A22">
        <w:rPr>
          <w:rFonts w:ascii="Palatino Linotype" w:hAnsi="Palatino Linotype" w:cs="Arial"/>
        </w:rPr>
        <w:t xml:space="preserve"> la presente resolución a </w:t>
      </w:r>
      <w:r w:rsidRPr="00980A22">
        <w:rPr>
          <w:rFonts w:ascii="Palatino Linotype" w:eastAsiaTheme="minorHAnsi" w:hAnsi="Palatino Linotype" w:cstheme="minorBidi"/>
          <w:szCs w:val="22"/>
          <w:lang w:val="es-MX" w:eastAsia="en-US"/>
        </w:rPr>
        <w:t xml:space="preserve">la parte </w:t>
      </w:r>
      <w:r w:rsidRPr="00980A22">
        <w:rPr>
          <w:rFonts w:ascii="Palatino Linotype" w:hAnsi="Palatino Linotype" w:cs="Arial"/>
          <w:b/>
        </w:rPr>
        <w:t xml:space="preserve">RECURRENTE </w:t>
      </w:r>
      <w:r w:rsidRPr="00980A22">
        <w:rPr>
          <w:rFonts w:ascii="Palatino Linotype" w:hAnsi="Palatino Linotype" w:cs="Arial"/>
        </w:rPr>
        <w:t xml:space="preserve">a través del Sistema de Acceso a la Información Mexiquense </w:t>
      </w:r>
      <w:r w:rsidRPr="00980A22">
        <w:rPr>
          <w:rFonts w:ascii="Palatino Linotype" w:hAnsi="Palatino Linotype" w:cs="Arial"/>
          <w:b/>
        </w:rPr>
        <w:t>(SAIMEX).</w:t>
      </w:r>
    </w:p>
    <w:p w:rsidR="00505192" w:rsidRPr="00980A22" w:rsidRDefault="00505192" w:rsidP="00505192">
      <w:pPr>
        <w:autoSpaceDE w:val="0"/>
        <w:autoSpaceDN w:val="0"/>
        <w:adjustRightInd w:val="0"/>
        <w:spacing w:line="360" w:lineRule="auto"/>
        <w:jc w:val="both"/>
        <w:rPr>
          <w:rFonts w:ascii="Palatino Linotype" w:hAnsi="Palatino Linotype" w:cs="Arial"/>
          <w:b/>
        </w:rPr>
      </w:pPr>
    </w:p>
    <w:p w:rsidR="00505192" w:rsidRPr="00980A22" w:rsidRDefault="00505192" w:rsidP="00505192">
      <w:pPr>
        <w:autoSpaceDE w:val="0"/>
        <w:autoSpaceDN w:val="0"/>
        <w:adjustRightInd w:val="0"/>
        <w:spacing w:before="240" w:line="360" w:lineRule="auto"/>
        <w:jc w:val="both"/>
        <w:rPr>
          <w:rFonts w:ascii="Palatino Linotype" w:hAnsi="Palatino Linotype" w:cs="Arial"/>
        </w:rPr>
      </w:pPr>
      <w:r w:rsidRPr="00980A22">
        <w:rPr>
          <w:rFonts w:ascii="Palatino Linotype" w:hAnsi="Palatino Linotype" w:cs="Arial"/>
          <w:b/>
          <w:sz w:val="28"/>
          <w:szCs w:val="28"/>
        </w:rPr>
        <w:t xml:space="preserve">CUARTO. </w:t>
      </w:r>
      <w:r w:rsidRPr="00980A22">
        <w:rPr>
          <w:rFonts w:ascii="Palatino Linotype" w:hAnsi="Palatino Linotype" w:cs="Arial"/>
        </w:rPr>
        <w:t xml:space="preserve">Se hace del conocimiento de </w:t>
      </w:r>
      <w:r w:rsidRPr="00980A22">
        <w:rPr>
          <w:rFonts w:ascii="Palatino Linotype" w:eastAsiaTheme="minorHAnsi" w:hAnsi="Palatino Linotype" w:cstheme="minorBidi"/>
          <w:szCs w:val="22"/>
          <w:lang w:val="es-MX" w:eastAsia="en-US"/>
        </w:rPr>
        <w:t xml:space="preserve">la parte </w:t>
      </w:r>
      <w:r w:rsidRPr="00980A22">
        <w:rPr>
          <w:rFonts w:ascii="Palatino Linotype" w:hAnsi="Palatino Linotype" w:cs="Arial"/>
          <w:b/>
        </w:rPr>
        <w:t xml:space="preserve">RECURRENTE </w:t>
      </w:r>
      <w:r w:rsidRPr="00980A22">
        <w:rPr>
          <w:rFonts w:ascii="Palatino Linotype" w:hAnsi="Palatino Linotype" w:cs="Arial"/>
        </w:rPr>
        <w:t xml:space="preserve">que, de conformidad con lo establecido en el artículo 196 de la Ley de Transparencia y Acceso a la Información Pública del Estado de México y Municipios, en caso de que considere que </w:t>
      </w:r>
      <w:r w:rsidRPr="00980A22">
        <w:rPr>
          <w:rFonts w:ascii="Palatino Linotype" w:hAnsi="Palatino Linotype" w:cs="Arial"/>
        </w:rPr>
        <w:lastRenderedPageBreak/>
        <w:t xml:space="preserve">la resolución le cause algún perjuicio podrá impugnarla vía juicio de amparo en los términos de las leyes aplicables. </w:t>
      </w:r>
    </w:p>
    <w:p w:rsidR="00D47851" w:rsidRPr="00980A22" w:rsidRDefault="00D47851" w:rsidP="00D47851">
      <w:pPr>
        <w:spacing w:line="360" w:lineRule="auto"/>
        <w:jc w:val="both"/>
        <w:rPr>
          <w:rFonts w:ascii="Palatino Linotype" w:hAnsi="Palatino Linotype"/>
          <w:color w:val="000000"/>
        </w:rPr>
      </w:pPr>
    </w:p>
    <w:p w:rsidR="00D47851" w:rsidRPr="00980A22" w:rsidRDefault="00980A22" w:rsidP="00D47851">
      <w:pPr>
        <w:spacing w:line="360" w:lineRule="auto"/>
        <w:jc w:val="both"/>
        <w:rPr>
          <w:rFonts w:ascii="Palatino Linotype" w:hAnsi="Palatino Linotype" w:cs="Arial"/>
          <w:sz w:val="20"/>
        </w:rPr>
      </w:pPr>
      <w:r w:rsidRPr="00980A22">
        <w:rPr>
          <w:rFonts w:ascii="Palatino Linotype" w:eastAsiaTheme="minorHAnsi" w:hAnsi="Palatino Linotype" w:cs="Arial"/>
          <w:lang w:val="es-MX" w:eastAsia="en-US"/>
        </w:rPr>
        <w:t>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 EN LA TRIGÉSIMA TERCERA SESIÓN ORDINARIA CELEBRADA EL DIECISIETE DE SEPTIEMBRE DE DOS MIL VEINTISÉIS, ANTE EL SECRETARIO TÉCNICO DEL PLENO, ALEXIS TAPIA RAMÍREZ</w:t>
      </w:r>
      <w:r w:rsidR="00D47851" w:rsidRPr="00980A22">
        <w:rPr>
          <w:rFonts w:ascii="Palatino Linotype" w:hAnsi="Palatino Linotype" w:cs="Arial"/>
        </w:rPr>
        <w:t>. ---------------------------------------------------------------------------------------------------------------------------------------------------------------------------------------------------------------------------------------------------------------------------------------------------------------------------------------------------------------------------------------------------------------------------------------------------------------------------------------------------------------------------------------------------------------------------------------------------------------------------------------------------------</w:t>
      </w:r>
    </w:p>
    <w:p w:rsidR="00D47851" w:rsidRPr="003D6D55" w:rsidRDefault="00D47851" w:rsidP="00D47851">
      <w:pPr>
        <w:pStyle w:val="Textoindependiente"/>
        <w:spacing w:after="0" w:line="360" w:lineRule="auto"/>
        <w:jc w:val="both"/>
        <w:rPr>
          <w:rFonts w:ascii="Palatino Linotype" w:eastAsiaTheme="minorEastAsia" w:hAnsi="Palatino Linotype"/>
          <w:color w:val="000000" w:themeColor="text1"/>
          <w:sz w:val="20"/>
          <w:szCs w:val="24"/>
          <w:lang w:val="es-ES_tradnl" w:eastAsia="es-ES"/>
        </w:rPr>
      </w:pPr>
      <w:r w:rsidRPr="00980A22">
        <w:rPr>
          <w:rFonts w:ascii="Palatino Linotype" w:hAnsi="Palatino Linotype" w:cs="Arial"/>
          <w:sz w:val="16"/>
        </w:rPr>
        <w:t>JMV/CCR/LMST</w:t>
      </w:r>
    </w:p>
    <w:p w:rsidR="00D47851" w:rsidRPr="005323D1" w:rsidRDefault="00D47851" w:rsidP="00D47851">
      <w:pPr>
        <w:spacing w:line="360" w:lineRule="auto"/>
        <w:jc w:val="both"/>
        <w:rPr>
          <w:rFonts w:ascii="Palatino Linotype" w:hAnsi="Palatino Linotype" w:cs="Arial"/>
          <w:sz w:val="20"/>
        </w:rPr>
      </w:pPr>
    </w:p>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r>
        <w:t xml:space="preserve"> </w:t>
      </w:r>
    </w:p>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D47851" w:rsidRDefault="00D47851" w:rsidP="00D47851"/>
    <w:p w:rsidR="00E33864" w:rsidRDefault="00E33864"/>
    <w:sectPr w:rsidR="00E33864" w:rsidSect="00505192">
      <w:headerReference w:type="default" r:id="rId7"/>
      <w:footerReference w:type="default" r:id="rId8"/>
      <w:headerReference w:type="first" r:id="rId9"/>
      <w:footerReference w:type="first" r:id="rId10"/>
      <w:pgSz w:w="12240" w:h="15840"/>
      <w:pgMar w:top="1418" w:right="1418" w:bottom="1418" w:left="1701" w:header="709" w:footer="10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620" w:rsidRDefault="00024620" w:rsidP="00D47851">
      <w:r>
        <w:separator/>
      </w:r>
    </w:p>
  </w:endnote>
  <w:endnote w:type="continuationSeparator" w:id="0">
    <w:p w:rsidR="00024620" w:rsidRDefault="00024620" w:rsidP="00D47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192" w:rsidRPr="00A2780F" w:rsidRDefault="00505192" w:rsidP="00505192">
    <w:pPr>
      <w:pStyle w:val="Piedepgina"/>
      <w:jc w:val="right"/>
      <w:rPr>
        <w:rFonts w:ascii="Arial" w:hAnsi="Arial" w:cs="Arial"/>
        <w:sz w:val="20"/>
        <w:szCs w:val="20"/>
      </w:rPr>
    </w:pPr>
    <w:r>
      <w:rPr>
        <w:rFonts w:ascii="Arial" w:hAnsi="Arial" w:cs="Arial"/>
        <w:b/>
        <w:bCs/>
        <w:sz w:val="20"/>
        <w:szCs w:val="20"/>
      </w:rPr>
      <w:t xml:space="preserve">Página </w:t>
    </w:r>
    <w:r w:rsidRPr="00986599">
      <w:rPr>
        <w:rFonts w:ascii="Arial" w:hAnsi="Arial" w:cs="Arial"/>
        <w:b/>
        <w:bCs/>
        <w:sz w:val="20"/>
        <w:szCs w:val="20"/>
      </w:rPr>
      <w:fldChar w:fldCharType="begin"/>
    </w:r>
    <w:r w:rsidRPr="00986599">
      <w:rPr>
        <w:rFonts w:ascii="Arial" w:hAnsi="Arial" w:cs="Arial"/>
        <w:b/>
        <w:bCs/>
        <w:sz w:val="20"/>
        <w:szCs w:val="20"/>
      </w:rPr>
      <w:instrText>PAGE</w:instrText>
    </w:r>
    <w:r w:rsidRPr="00986599">
      <w:rPr>
        <w:rFonts w:ascii="Arial" w:hAnsi="Arial" w:cs="Arial"/>
        <w:b/>
        <w:bCs/>
        <w:sz w:val="20"/>
        <w:szCs w:val="20"/>
      </w:rPr>
      <w:fldChar w:fldCharType="separate"/>
    </w:r>
    <w:r w:rsidR="000A28A2">
      <w:rPr>
        <w:rFonts w:ascii="Arial" w:hAnsi="Arial" w:cs="Arial"/>
        <w:b/>
        <w:bCs/>
        <w:noProof/>
        <w:sz w:val="20"/>
        <w:szCs w:val="20"/>
      </w:rPr>
      <w:t>4</w:t>
    </w:r>
    <w:r w:rsidRPr="00986599">
      <w:rPr>
        <w:rFonts w:ascii="Arial" w:hAnsi="Arial" w:cs="Arial"/>
        <w:b/>
        <w:bCs/>
        <w:sz w:val="20"/>
        <w:szCs w:val="20"/>
      </w:rPr>
      <w:fldChar w:fldCharType="end"/>
    </w:r>
    <w:r w:rsidRPr="00986599">
      <w:rPr>
        <w:rFonts w:ascii="Arial" w:hAnsi="Arial" w:cs="Arial"/>
        <w:sz w:val="20"/>
        <w:szCs w:val="20"/>
      </w:rPr>
      <w:t xml:space="preserve"> de </w:t>
    </w:r>
    <w:r w:rsidRPr="00986599">
      <w:rPr>
        <w:rFonts w:ascii="Arial" w:hAnsi="Arial" w:cs="Arial"/>
        <w:b/>
        <w:bCs/>
        <w:sz w:val="20"/>
        <w:szCs w:val="20"/>
      </w:rPr>
      <w:fldChar w:fldCharType="begin"/>
    </w:r>
    <w:r w:rsidRPr="00986599">
      <w:rPr>
        <w:rFonts w:ascii="Arial" w:hAnsi="Arial" w:cs="Arial"/>
        <w:b/>
        <w:bCs/>
        <w:sz w:val="20"/>
        <w:szCs w:val="20"/>
      </w:rPr>
      <w:instrText>NUMPAGES</w:instrText>
    </w:r>
    <w:r w:rsidRPr="00986599">
      <w:rPr>
        <w:rFonts w:ascii="Arial" w:hAnsi="Arial" w:cs="Arial"/>
        <w:b/>
        <w:bCs/>
        <w:sz w:val="20"/>
        <w:szCs w:val="20"/>
      </w:rPr>
      <w:fldChar w:fldCharType="separate"/>
    </w:r>
    <w:r w:rsidR="000A28A2">
      <w:rPr>
        <w:rFonts w:ascii="Arial" w:hAnsi="Arial" w:cs="Arial"/>
        <w:b/>
        <w:bCs/>
        <w:noProof/>
        <w:sz w:val="20"/>
        <w:szCs w:val="20"/>
      </w:rPr>
      <w:t>22</w:t>
    </w:r>
    <w:r w:rsidRPr="00986599">
      <w:rPr>
        <w:rFonts w:ascii="Arial" w:hAnsi="Arial" w:cs="Arial"/>
        <w:b/>
        <w:bCs/>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192" w:rsidRPr="00070856" w:rsidRDefault="00505192" w:rsidP="00505192">
    <w:pPr>
      <w:pStyle w:val="Piedepgina"/>
      <w:jc w:val="right"/>
      <w:rPr>
        <w:rFonts w:ascii="Arial" w:hAnsi="Arial" w:cs="Arial"/>
        <w:sz w:val="20"/>
        <w:szCs w:val="20"/>
      </w:rPr>
    </w:pPr>
    <w:r>
      <w:rPr>
        <w:rFonts w:ascii="Arial" w:hAnsi="Arial" w:cs="Arial"/>
        <w:b/>
        <w:bCs/>
        <w:sz w:val="20"/>
        <w:szCs w:val="20"/>
      </w:rPr>
      <w:t xml:space="preserve">Página </w:t>
    </w:r>
    <w:r w:rsidRPr="00986599">
      <w:rPr>
        <w:rFonts w:ascii="Arial" w:hAnsi="Arial" w:cs="Arial"/>
        <w:b/>
        <w:bCs/>
        <w:sz w:val="20"/>
        <w:szCs w:val="20"/>
      </w:rPr>
      <w:fldChar w:fldCharType="begin"/>
    </w:r>
    <w:r w:rsidRPr="00986599">
      <w:rPr>
        <w:rFonts w:ascii="Arial" w:hAnsi="Arial" w:cs="Arial"/>
        <w:b/>
        <w:bCs/>
        <w:sz w:val="20"/>
        <w:szCs w:val="20"/>
      </w:rPr>
      <w:instrText>PAGE</w:instrText>
    </w:r>
    <w:r w:rsidRPr="00986599">
      <w:rPr>
        <w:rFonts w:ascii="Arial" w:hAnsi="Arial" w:cs="Arial"/>
        <w:b/>
        <w:bCs/>
        <w:sz w:val="20"/>
        <w:szCs w:val="20"/>
      </w:rPr>
      <w:fldChar w:fldCharType="separate"/>
    </w:r>
    <w:r w:rsidR="000A28A2">
      <w:rPr>
        <w:rFonts w:ascii="Arial" w:hAnsi="Arial" w:cs="Arial"/>
        <w:b/>
        <w:bCs/>
        <w:noProof/>
        <w:sz w:val="20"/>
        <w:szCs w:val="20"/>
      </w:rPr>
      <w:t>1</w:t>
    </w:r>
    <w:r w:rsidRPr="00986599">
      <w:rPr>
        <w:rFonts w:ascii="Arial" w:hAnsi="Arial" w:cs="Arial"/>
        <w:b/>
        <w:bCs/>
        <w:sz w:val="20"/>
        <w:szCs w:val="20"/>
      </w:rPr>
      <w:fldChar w:fldCharType="end"/>
    </w:r>
    <w:r w:rsidRPr="00986599">
      <w:rPr>
        <w:rFonts w:ascii="Arial" w:hAnsi="Arial" w:cs="Arial"/>
        <w:sz w:val="20"/>
        <w:szCs w:val="20"/>
      </w:rPr>
      <w:t xml:space="preserve"> de </w:t>
    </w:r>
    <w:r w:rsidRPr="00986599">
      <w:rPr>
        <w:rFonts w:ascii="Arial" w:hAnsi="Arial" w:cs="Arial"/>
        <w:b/>
        <w:bCs/>
        <w:sz w:val="20"/>
        <w:szCs w:val="20"/>
      </w:rPr>
      <w:fldChar w:fldCharType="begin"/>
    </w:r>
    <w:r w:rsidRPr="00986599">
      <w:rPr>
        <w:rFonts w:ascii="Arial" w:hAnsi="Arial" w:cs="Arial"/>
        <w:b/>
        <w:bCs/>
        <w:sz w:val="20"/>
        <w:szCs w:val="20"/>
      </w:rPr>
      <w:instrText>NUMPAGES</w:instrText>
    </w:r>
    <w:r w:rsidRPr="00986599">
      <w:rPr>
        <w:rFonts w:ascii="Arial" w:hAnsi="Arial" w:cs="Arial"/>
        <w:b/>
        <w:bCs/>
        <w:sz w:val="20"/>
        <w:szCs w:val="20"/>
      </w:rPr>
      <w:fldChar w:fldCharType="separate"/>
    </w:r>
    <w:r w:rsidR="000A28A2">
      <w:rPr>
        <w:rFonts w:ascii="Arial" w:hAnsi="Arial" w:cs="Arial"/>
        <w:b/>
        <w:bCs/>
        <w:noProof/>
        <w:sz w:val="20"/>
        <w:szCs w:val="20"/>
      </w:rPr>
      <w:t>22</w:t>
    </w:r>
    <w:r w:rsidRPr="00986599">
      <w:rPr>
        <w:rFonts w:ascii="Arial" w:hAnsi="Arial" w:cs="Arial"/>
        <w:b/>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620" w:rsidRDefault="00024620" w:rsidP="00D47851">
      <w:r>
        <w:separator/>
      </w:r>
    </w:p>
  </w:footnote>
  <w:footnote w:type="continuationSeparator" w:id="0">
    <w:p w:rsidR="00024620" w:rsidRDefault="00024620" w:rsidP="00D47851">
      <w:r>
        <w:continuationSeparator/>
      </w:r>
    </w:p>
  </w:footnote>
  <w:footnote w:id="1">
    <w:p w:rsidR="00505192" w:rsidRPr="005552A8" w:rsidRDefault="00505192" w:rsidP="00D47851">
      <w:pPr>
        <w:jc w:val="both"/>
        <w:rPr>
          <w:rFonts w:ascii="Palatino Linotype" w:hAnsi="Palatino Linotype"/>
          <w:b/>
          <w:bCs/>
          <w:i/>
          <w:sz w:val="16"/>
          <w:szCs w:val="16"/>
          <w:lang w:eastAsia="es-MX"/>
        </w:rPr>
      </w:pPr>
      <w:r>
        <w:rPr>
          <w:rStyle w:val="Refdenotaalpie"/>
        </w:rPr>
        <w:footnoteRef/>
      </w:r>
      <w:r>
        <w:t xml:space="preserve"> </w:t>
      </w:r>
      <w:r w:rsidRPr="005552A8">
        <w:rPr>
          <w:rFonts w:ascii="Palatino Linotype" w:hAnsi="Palatino Linotype"/>
          <w:b/>
          <w:bCs/>
          <w:i/>
          <w:sz w:val="16"/>
          <w:szCs w:val="16"/>
        </w:rPr>
        <w:t>IMPROCEDENCIA Y SOBRESEIMIENTO EN EL JUICIO DE AMPARO. LAS CAUSAS PREVISTAS EN LOS ARTÍCULOS 73 Y 74 DE LA LEY DE LA MATERIA, RESPECTIVAMENTE, NO SON INCOMPATIBLES CON EL ARTÍCULO 25.1 DE LA CONVENCIÓN AMERICANA SOBRE DERECHOS HUMANOS.</w:t>
      </w:r>
    </w:p>
    <w:p w:rsidR="00505192" w:rsidRPr="005552A8" w:rsidRDefault="00505192" w:rsidP="00D47851">
      <w:pPr>
        <w:jc w:val="both"/>
        <w:rPr>
          <w:rFonts w:ascii="Palatino Linotype" w:hAnsi="Palatino Linotype"/>
          <w:i/>
          <w:sz w:val="16"/>
          <w:szCs w:val="16"/>
        </w:rPr>
      </w:pPr>
      <w:r w:rsidRPr="005552A8">
        <w:rPr>
          <w:rFonts w:ascii="Palatino Linotype" w:hAnsi="Palatino Linotype"/>
          <w:i/>
          <w:sz w:val="16"/>
          <w:szCs w:val="16"/>
        </w:rPr>
        <w:t>Del examen de compatibilidad de los artículos</w:t>
      </w:r>
      <w:r w:rsidRPr="005552A8">
        <w:rPr>
          <w:rStyle w:val="apple-converted-space"/>
          <w:rFonts w:ascii="Palatino Linotype" w:hAnsi="Palatino Linotype"/>
          <w:i/>
          <w:sz w:val="16"/>
          <w:szCs w:val="16"/>
        </w:rPr>
        <w:t> </w:t>
      </w:r>
      <w:hyperlink r:id="rId1" w:history="1">
        <w:r w:rsidRPr="005552A8">
          <w:rPr>
            <w:rStyle w:val="Hipervnculo"/>
            <w:rFonts w:ascii="Palatino Linotype" w:hAnsi="Palatino Linotype"/>
            <w:i/>
            <w:sz w:val="16"/>
            <w:szCs w:val="16"/>
          </w:rPr>
          <w:t>73 y 74 de la Ley de Amparo</w:t>
        </w:r>
      </w:hyperlink>
      <w:r w:rsidRPr="005552A8">
        <w:rPr>
          <w:rStyle w:val="apple-converted-space"/>
          <w:rFonts w:ascii="Palatino Linotype" w:hAnsi="Palatino Linotype"/>
          <w:i/>
          <w:sz w:val="16"/>
          <w:szCs w:val="16"/>
        </w:rPr>
        <w:t> </w:t>
      </w:r>
      <w:r w:rsidRPr="005552A8">
        <w:rPr>
          <w:rFonts w:ascii="Palatino Linotype" w:hAnsi="Palatino Linotype"/>
          <w:i/>
          <w:sz w:val="16"/>
          <w:szCs w:val="16"/>
        </w:rPr>
        <w:t>con el artículo</w:t>
      </w:r>
      <w:r w:rsidRPr="005552A8">
        <w:rPr>
          <w:rStyle w:val="apple-converted-space"/>
          <w:rFonts w:ascii="Palatino Linotype" w:hAnsi="Palatino Linotype"/>
          <w:i/>
          <w:sz w:val="16"/>
          <w:szCs w:val="16"/>
        </w:rPr>
        <w:t> </w:t>
      </w:r>
      <w:hyperlink r:id="rId2" w:history="1">
        <w:r w:rsidRPr="005552A8">
          <w:rPr>
            <w:rStyle w:val="Hipervnculo"/>
            <w:rFonts w:ascii="Palatino Linotype" w:hAnsi="Palatino Linotype"/>
            <w:i/>
            <w:sz w:val="16"/>
            <w:szCs w:val="16"/>
          </w:rPr>
          <w:t>25.1 de la Convención Americana sobre Derechos Humanos</w:t>
        </w:r>
      </w:hyperlink>
      <w:r w:rsidRPr="005552A8">
        <w:rPr>
          <w:rStyle w:val="apple-converted-space"/>
          <w:rFonts w:ascii="Palatino Linotype" w:hAnsi="Palatino Linotype"/>
          <w:i/>
          <w:sz w:val="16"/>
          <w:szCs w:val="16"/>
        </w:rPr>
        <w:t> </w:t>
      </w:r>
      <w:r w:rsidRPr="005552A8">
        <w:rPr>
          <w:rFonts w:ascii="Palatino Linotype" w:hAnsi="Palatino Linotype"/>
          <w:b/>
          <w:i/>
          <w:sz w:val="16"/>
          <w:szCs w:val="16"/>
          <w:u w:val="single"/>
        </w:rPr>
        <w:t>no se advierte que el derecho interno desatienda los estándares que pretenden proteger los derechos humanos en dicho tratado, por regular causas de improcedencia y sobreseimiento que impiden abordar el estudio de fondo del asunto en el juicio de amparo,</w:t>
      </w:r>
      <w:r w:rsidRPr="005552A8">
        <w:rPr>
          <w:rFonts w:ascii="Palatino Linotype" w:hAnsi="Palatino Linotype"/>
          <w:i/>
          <w:sz w:val="16"/>
          <w:szCs w:val="16"/>
        </w:rPr>
        <w:t xml:space="preserve"> en virtud de que el propósito de condicionar el acceso a los tribunales para evitar un sobrecargo de casos sin mérito, es en sí legítimo, por lo que esa compatibilidad, en cuanto a los requisitos para la admisibilidad de los recursos dependerá, en principio, de los siguientes criterios: no pueden ser irracionales ni de tal naturaleza que despojen al derecho de su esencia, ni discriminatorios y, en el caso, la razonabilidad de esas causas se justifica por la viabilidad de que una eventual sentencia concesoria tenga un ámbito de protección concreto y no entre en conflicto con el orden jurídico, no son de tal naturaleza que despojen al derecho de su esencia ni tampoco son discriminatorias, pues no existe alguna condicionante para su aplicabilidad, en función de cuestiones personales o particulares del quejoso. Por tanto, las indicadas causas de improcedencia y sobreseimiento no son incompatibles con el citado precepto 25.1, pues no impiden decidir sencilla, rápida y efectivamente sobre los derechos fundamentales reclamados como violados dentro del juicio de garantías.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872" w:type="dxa"/>
      <w:tblInd w:w="1200" w:type="dxa"/>
      <w:tblLayout w:type="fixed"/>
      <w:tblLook w:val="04A0" w:firstRow="1" w:lastRow="0" w:firstColumn="1" w:lastColumn="0" w:noHBand="0" w:noVBand="1"/>
    </w:tblPr>
    <w:tblGrid>
      <w:gridCol w:w="3620"/>
      <w:gridCol w:w="4252"/>
    </w:tblGrid>
    <w:tr w:rsidR="00505192" w:rsidRPr="008F2CCC" w:rsidTr="00505192">
      <w:tc>
        <w:tcPr>
          <w:tcW w:w="3620" w:type="dxa"/>
        </w:tcPr>
        <w:p w:rsidR="00505192" w:rsidRPr="007E5FC4" w:rsidRDefault="00505192" w:rsidP="00505192">
          <w:pPr>
            <w:spacing w:line="276"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Recurso de revisión:</w:t>
          </w:r>
        </w:p>
      </w:tc>
      <w:tc>
        <w:tcPr>
          <w:tcW w:w="4252" w:type="dxa"/>
          <w:vAlign w:val="center"/>
        </w:tcPr>
        <w:p w:rsidR="00505192" w:rsidRPr="00664658" w:rsidRDefault="00505192" w:rsidP="00D47851">
          <w:pPr>
            <w:spacing w:line="276" w:lineRule="auto"/>
            <w:jc w:val="right"/>
            <w:rPr>
              <w:rFonts w:ascii="Palatino Linotype" w:hAnsi="Palatino Linotype"/>
              <w:b/>
              <w:sz w:val="22"/>
              <w:szCs w:val="22"/>
              <w:lang w:val="es-ES_tradnl"/>
            </w:rPr>
          </w:pPr>
          <w:r>
            <w:rPr>
              <w:rFonts w:ascii="Palatino Linotype" w:hAnsi="Palatino Linotype"/>
              <w:b/>
              <w:sz w:val="22"/>
              <w:szCs w:val="22"/>
              <w:lang w:val="es-ES_tradnl"/>
            </w:rPr>
            <w:t>06407/INFOEM/IP/RR/2026</w:t>
          </w:r>
        </w:p>
      </w:tc>
    </w:tr>
    <w:tr w:rsidR="00505192" w:rsidRPr="008F2CCC" w:rsidTr="00505192">
      <w:tc>
        <w:tcPr>
          <w:tcW w:w="3620" w:type="dxa"/>
        </w:tcPr>
        <w:p w:rsidR="00505192" w:rsidRPr="007E5FC4" w:rsidRDefault="00505192" w:rsidP="00505192">
          <w:pPr>
            <w:spacing w:line="276"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Sujeto Obligado:</w:t>
          </w:r>
        </w:p>
      </w:tc>
      <w:tc>
        <w:tcPr>
          <w:tcW w:w="4252" w:type="dxa"/>
          <w:vAlign w:val="center"/>
        </w:tcPr>
        <w:p w:rsidR="00505192" w:rsidRPr="00664658" w:rsidRDefault="00505192" w:rsidP="00505192">
          <w:pPr>
            <w:spacing w:line="276" w:lineRule="auto"/>
            <w:jc w:val="right"/>
            <w:rPr>
              <w:rFonts w:ascii="Palatino Linotype" w:hAnsi="Palatino Linotype"/>
              <w:b/>
              <w:sz w:val="22"/>
              <w:szCs w:val="22"/>
              <w:lang w:val="es-ES_tradnl"/>
            </w:rPr>
          </w:pPr>
          <w:r w:rsidRPr="00D47851">
            <w:rPr>
              <w:rFonts w:ascii="Palatino Linotype" w:hAnsi="Palatino Linotype"/>
              <w:b/>
              <w:sz w:val="22"/>
              <w:szCs w:val="22"/>
            </w:rPr>
            <w:t>Secretaría de Finanzas</w:t>
          </w:r>
        </w:p>
      </w:tc>
    </w:tr>
    <w:tr w:rsidR="00505192" w:rsidRPr="008F2CCC" w:rsidTr="00505192">
      <w:trPr>
        <w:trHeight w:val="228"/>
      </w:trPr>
      <w:tc>
        <w:tcPr>
          <w:tcW w:w="3620" w:type="dxa"/>
        </w:tcPr>
        <w:p w:rsidR="00505192" w:rsidRPr="007E5FC4" w:rsidRDefault="00505192" w:rsidP="00505192">
          <w:pPr>
            <w:spacing w:line="276"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Comisionado Ponente:</w:t>
          </w:r>
        </w:p>
      </w:tc>
      <w:tc>
        <w:tcPr>
          <w:tcW w:w="4252" w:type="dxa"/>
        </w:tcPr>
        <w:p w:rsidR="00505192" w:rsidRPr="00664658" w:rsidRDefault="00505192" w:rsidP="00505192">
          <w:pPr>
            <w:spacing w:line="276" w:lineRule="auto"/>
            <w:jc w:val="right"/>
            <w:rPr>
              <w:rFonts w:ascii="Palatino Linotype" w:hAnsi="Palatino Linotype"/>
              <w:b/>
              <w:sz w:val="22"/>
              <w:szCs w:val="22"/>
              <w:lang w:val="es-ES_tradnl"/>
            </w:rPr>
          </w:pPr>
          <w:r>
            <w:rPr>
              <w:rFonts w:ascii="Palatino Linotype" w:hAnsi="Palatino Linotype"/>
              <w:b/>
              <w:sz w:val="22"/>
              <w:szCs w:val="22"/>
              <w:lang w:val="es-ES_tradnl"/>
            </w:rPr>
            <w:t>José Martínez Vilchis</w:t>
          </w:r>
        </w:p>
      </w:tc>
    </w:tr>
  </w:tbl>
  <w:p w:rsidR="00505192" w:rsidRDefault="00505192" w:rsidP="00505192">
    <w:pPr>
      <w:pStyle w:val="Encabezado"/>
      <w:tabs>
        <w:tab w:val="clear" w:pos="4252"/>
        <w:tab w:val="clear" w:pos="8504"/>
        <w:tab w:val="left" w:pos="2326"/>
      </w:tabs>
      <w:rPr>
        <w:rFonts w:ascii="Palatino Linotype" w:hAnsi="Palatino Linotype"/>
        <w:sz w:val="20"/>
      </w:rPr>
    </w:pPr>
  </w:p>
  <w:p w:rsidR="00505192" w:rsidRPr="001779E0" w:rsidRDefault="00505192" w:rsidP="00505192">
    <w:pPr>
      <w:pStyle w:val="Encabezado"/>
      <w:tabs>
        <w:tab w:val="clear" w:pos="4252"/>
        <w:tab w:val="clear" w:pos="8504"/>
        <w:tab w:val="left" w:pos="2326"/>
      </w:tabs>
      <w:rPr>
        <w:rFonts w:ascii="Palatino Linotype" w:hAnsi="Palatino Linotype"/>
        <w:sz w:val="20"/>
      </w:rPr>
    </w:pPr>
    <w:r>
      <w:rPr>
        <w:rFonts w:ascii="Palatino Linotype" w:hAnsi="Palatino Linotype" w:cs="Arial"/>
        <w:b/>
        <w:noProof/>
        <w:szCs w:val="20"/>
        <w:lang w:val="es-MX" w:eastAsia="es-MX"/>
      </w:rPr>
      <w:drawing>
        <wp:anchor distT="0" distB="0" distL="114300" distR="114300" simplePos="0" relativeHeight="251659264" behindDoc="1" locked="0" layoutInCell="0" allowOverlap="1" wp14:anchorId="7DD5D5BE" wp14:editId="0F75D2E3">
          <wp:simplePos x="0" y="0"/>
          <wp:positionH relativeFrom="page">
            <wp:align>left</wp:align>
          </wp:positionH>
          <wp:positionV relativeFrom="page">
            <wp:posOffset>35560</wp:posOffset>
          </wp:positionV>
          <wp:extent cx="7705725" cy="10048875"/>
          <wp:effectExtent l="0" t="0" r="9525" b="9525"/>
          <wp:wrapNone/>
          <wp:docPr id="7" name="Imagen 7" descr="logo info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nfoe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5725" cy="100488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513" w:type="dxa"/>
      <w:tblInd w:w="1635" w:type="dxa"/>
      <w:tblLayout w:type="fixed"/>
      <w:tblLook w:val="04A0" w:firstRow="1" w:lastRow="0" w:firstColumn="1" w:lastColumn="0" w:noHBand="0" w:noVBand="1"/>
    </w:tblPr>
    <w:tblGrid>
      <w:gridCol w:w="2977"/>
      <w:gridCol w:w="4536"/>
    </w:tblGrid>
    <w:tr w:rsidR="00505192" w:rsidRPr="008F2CCC" w:rsidTr="00505192">
      <w:tc>
        <w:tcPr>
          <w:tcW w:w="2977" w:type="dxa"/>
        </w:tcPr>
        <w:p w:rsidR="00505192" w:rsidRPr="007E5FC4" w:rsidRDefault="00505192" w:rsidP="00505192">
          <w:pPr>
            <w:spacing w:line="360"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Recurso de revisión:</w:t>
          </w:r>
        </w:p>
      </w:tc>
      <w:tc>
        <w:tcPr>
          <w:tcW w:w="4536" w:type="dxa"/>
          <w:vAlign w:val="center"/>
        </w:tcPr>
        <w:p w:rsidR="00505192" w:rsidRPr="008F2CCC" w:rsidRDefault="00505192" w:rsidP="00D47851">
          <w:pPr>
            <w:spacing w:line="360" w:lineRule="auto"/>
            <w:jc w:val="right"/>
            <w:rPr>
              <w:rFonts w:ascii="Palatino Linotype" w:hAnsi="Palatino Linotype"/>
              <w:b/>
              <w:sz w:val="22"/>
              <w:szCs w:val="22"/>
              <w:lang w:val="es-ES_tradnl"/>
            </w:rPr>
          </w:pPr>
          <w:r>
            <w:rPr>
              <w:rFonts w:ascii="Palatino Linotype" w:hAnsi="Palatino Linotype"/>
              <w:b/>
              <w:sz w:val="22"/>
              <w:szCs w:val="22"/>
              <w:lang w:val="es-ES_tradnl"/>
            </w:rPr>
            <w:t>06407/INFOEM/IP/RR/2026</w:t>
          </w:r>
        </w:p>
      </w:tc>
    </w:tr>
    <w:tr w:rsidR="00505192" w:rsidRPr="008F2CCC" w:rsidTr="00505192">
      <w:tc>
        <w:tcPr>
          <w:tcW w:w="2977" w:type="dxa"/>
          <w:vAlign w:val="center"/>
        </w:tcPr>
        <w:p w:rsidR="00505192" w:rsidRPr="007E5FC4" w:rsidRDefault="00505192" w:rsidP="00505192">
          <w:pPr>
            <w:spacing w:line="360"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Recurrente:</w:t>
          </w:r>
        </w:p>
      </w:tc>
      <w:tc>
        <w:tcPr>
          <w:tcW w:w="4536" w:type="dxa"/>
          <w:vAlign w:val="center"/>
        </w:tcPr>
        <w:p w:rsidR="00505192" w:rsidRPr="008F2CCC" w:rsidRDefault="000A28A2" w:rsidP="00505192">
          <w:pPr>
            <w:spacing w:line="360" w:lineRule="auto"/>
            <w:jc w:val="right"/>
            <w:rPr>
              <w:rFonts w:ascii="Palatino Linotype" w:hAnsi="Palatino Linotype"/>
              <w:b/>
              <w:sz w:val="22"/>
              <w:szCs w:val="22"/>
              <w:lang w:val="es-ES_tradnl"/>
            </w:rPr>
          </w:pPr>
          <w:r>
            <w:rPr>
              <w:rFonts w:ascii="Palatino Linotype" w:hAnsi="Palatino Linotype"/>
              <w:b/>
              <w:sz w:val="22"/>
              <w:szCs w:val="22"/>
              <w:lang w:val="es-ES_tradnl"/>
            </w:rPr>
            <w:t>xxxx</w:t>
          </w:r>
        </w:p>
      </w:tc>
    </w:tr>
    <w:tr w:rsidR="00505192" w:rsidRPr="008F2CCC" w:rsidTr="00505192">
      <w:trPr>
        <w:trHeight w:val="228"/>
      </w:trPr>
      <w:tc>
        <w:tcPr>
          <w:tcW w:w="2977" w:type="dxa"/>
        </w:tcPr>
        <w:p w:rsidR="00505192" w:rsidRPr="007E5FC4" w:rsidRDefault="00505192" w:rsidP="00505192">
          <w:pPr>
            <w:spacing w:line="360"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Sujeto Obligado:</w:t>
          </w:r>
        </w:p>
      </w:tc>
      <w:tc>
        <w:tcPr>
          <w:tcW w:w="4536" w:type="dxa"/>
          <w:vAlign w:val="center"/>
        </w:tcPr>
        <w:p w:rsidR="00505192" w:rsidRPr="00DC41C8" w:rsidRDefault="00505192" w:rsidP="00505192">
          <w:pPr>
            <w:spacing w:line="360" w:lineRule="auto"/>
            <w:jc w:val="right"/>
            <w:rPr>
              <w:rFonts w:ascii="Palatino Linotype" w:hAnsi="Palatino Linotype"/>
              <w:b/>
              <w:sz w:val="22"/>
              <w:szCs w:val="22"/>
            </w:rPr>
          </w:pPr>
          <w:r w:rsidRPr="00D47851">
            <w:rPr>
              <w:rFonts w:ascii="Palatino Linotype" w:hAnsi="Palatino Linotype"/>
              <w:b/>
              <w:sz w:val="22"/>
              <w:szCs w:val="22"/>
            </w:rPr>
            <w:t>Secretaría de Finanzas</w:t>
          </w:r>
        </w:p>
      </w:tc>
    </w:tr>
    <w:tr w:rsidR="00505192" w:rsidRPr="008F2CCC" w:rsidTr="00505192">
      <w:tc>
        <w:tcPr>
          <w:tcW w:w="2977" w:type="dxa"/>
        </w:tcPr>
        <w:p w:rsidR="00505192" w:rsidRPr="007E5FC4" w:rsidRDefault="00505192" w:rsidP="00505192">
          <w:pPr>
            <w:spacing w:line="360"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Comisionado Ponente:</w:t>
          </w:r>
        </w:p>
      </w:tc>
      <w:tc>
        <w:tcPr>
          <w:tcW w:w="4536" w:type="dxa"/>
        </w:tcPr>
        <w:p w:rsidR="00505192" w:rsidRPr="008F2CCC" w:rsidRDefault="00505192" w:rsidP="00505192">
          <w:pPr>
            <w:spacing w:line="360" w:lineRule="auto"/>
            <w:jc w:val="right"/>
            <w:rPr>
              <w:rFonts w:ascii="Palatino Linotype" w:hAnsi="Palatino Linotype"/>
              <w:b/>
              <w:sz w:val="22"/>
              <w:szCs w:val="22"/>
              <w:lang w:val="es-ES_tradnl"/>
            </w:rPr>
          </w:pPr>
          <w:r>
            <w:rPr>
              <w:rFonts w:ascii="Palatino Linotype" w:hAnsi="Palatino Linotype"/>
              <w:b/>
              <w:sz w:val="22"/>
              <w:szCs w:val="22"/>
              <w:lang w:val="es-ES_tradnl"/>
            </w:rPr>
            <w:t>José Martínez Vilchis</w:t>
          </w:r>
        </w:p>
      </w:tc>
    </w:tr>
  </w:tbl>
  <w:p w:rsidR="00505192" w:rsidRPr="009F1AB6" w:rsidRDefault="00505192">
    <w:pPr>
      <w:pStyle w:val="Encabezado"/>
      <w:rPr>
        <w:sz w:val="10"/>
      </w:rPr>
    </w:pPr>
    <w:r>
      <w:rPr>
        <w:rFonts w:ascii="Palatino Linotype" w:hAnsi="Palatino Linotype" w:cs="Arial"/>
        <w:b/>
        <w:noProof/>
        <w:szCs w:val="20"/>
        <w:lang w:val="es-MX" w:eastAsia="es-MX"/>
      </w:rPr>
      <w:drawing>
        <wp:anchor distT="0" distB="0" distL="114300" distR="114300" simplePos="0" relativeHeight="251660288" behindDoc="1" locked="0" layoutInCell="0" allowOverlap="1" wp14:anchorId="3628017E" wp14:editId="37CE0D00">
          <wp:simplePos x="0" y="0"/>
          <wp:positionH relativeFrom="page">
            <wp:align>left</wp:align>
          </wp:positionH>
          <wp:positionV relativeFrom="page">
            <wp:align>top</wp:align>
          </wp:positionV>
          <wp:extent cx="7705725" cy="10048875"/>
          <wp:effectExtent l="0" t="0" r="9525" b="9525"/>
          <wp:wrapNone/>
          <wp:docPr id="4" name="Imagen 4" descr="logo info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nfoe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5725" cy="100488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763CCF"/>
    <w:multiLevelType w:val="hybridMultilevel"/>
    <w:tmpl w:val="D584B0C0"/>
    <w:lvl w:ilvl="0" w:tplc="7DBAA7A4">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 w15:restartNumberingAfterBreak="0">
    <w:nsid w:val="1B8456F2"/>
    <w:multiLevelType w:val="hybridMultilevel"/>
    <w:tmpl w:val="4C70B8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AF2AA8"/>
    <w:multiLevelType w:val="hybridMultilevel"/>
    <w:tmpl w:val="87426FB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0CF2C4D"/>
    <w:multiLevelType w:val="hybridMultilevel"/>
    <w:tmpl w:val="8834BD4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2406E06"/>
    <w:multiLevelType w:val="hybridMultilevel"/>
    <w:tmpl w:val="DF8A5F3A"/>
    <w:lvl w:ilvl="0" w:tplc="8C2A99AE">
      <w:start w:val="1"/>
      <w:numFmt w:val="decimal"/>
      <w:lvlText w:val="%1."/>
      <w:lvlJc w:val="left"/>
      <w:pPr>
        <w:ind w:left="2258" w:hanging="720"/>
      </w:pPr>
      <w:rPr>
        <w:rFonts w:ascii="Palatino Linotype" w:hAnsi="Palatino Linotype" w:hint="default"/>
        <w:b/>
        <w:sz w:val="24"/>
        <w:szCs w:val="24"/>
      </w:rPr>
    </w:lvl>
    <w:lvl w:ilvl="1" w:tplc="080A0019" w:tentative="1">
      <w:start w:val="1"/>
      <w:numFmt w:val="lowerLetter"/>
      <w:lvlText w:val="%2."/>
      <w:lvlJc w:val="left"/>
      <w:pPr>
        <w:ind w:left="2210" w:hanging="360"/>
      </w:pPr>
    </w:lvl>
    <w:lvl w:ilvl="2" w:tplc="080A001B" w:tentative="1">
      <w:start w:val="1"/>
      <w:numFmt w:val="lowerRoman"/>
      <w:lvlText w:val="%3."/>
      <w:lvlJc w:val="right"/>
      <w:pPr>
        <w:ind w:left="2930" w:hanging="180"/>
      </w:pPr>
    </w:lvl>
    <w:lvl w:ilvl="3" w:tplc="080A000F" w:tentative="1">
      <w:start w:val="1"/>
      <w:numFmt w:val="decimal"/>
      <w:lvlText w:val="%4."/>
      <w:lvlJc w:val="left"/>
      <w:pPr>
        <w:ind w:left="3650" w:hanging="360"/>
      </w:pPr>
    </w:lvl>
    <w:lvl w:ilvl="4" w:tplc="080A0019" w:tentative="1">
      <w:start w:val="1"/>
      <w:numFmt w:val="lowerLetter"/>
      <w:lvlText w:val="%5."/>
      <w:lvlJc w:val="left"/>
      <w:pPr>
        <w:ind w:left="4370" w:hanging="360"/>
      </w:pPr>
    </w:lvl>
    <w:lvl w:ilvl="5" w:tplc="080A001B" w:tentative="1">
      <w:start w:val="1"/>
      <w:numFmt w:val="lowerRoman"/>
      <w:lvlText w:val="%6."/>
      <w:lvlJc w:val="right"/>
      <w:pPr>
        <w:ind w:left="5090" w:hanging="180"/>
      </w:pPr>
    </w:lvl>
    <w:lvl w:ilvl="6" w:tplc="080A000F" w:tentative="1">
      <w:start w:val="1"/>
      <w:numFmt w:val="decimal"/>
      <w:lvlText w:val="%7."/>
      <w:lvlJc w:val="left"/>
      <w:pPr>
        <w:ind w:left="5810" w:hanging="360"/>
      </w:pPr>
    </w:lvl>
    <w:lvl w:ilvl="7" w:tplc="080A0019" w:tentative="1">
      <w:start w:val="1"/>
      <w:numFmt w:val="lowerLetter"/>
      <w:lvlText w:val="%8."/>
      <w:lvlJc w:val="left"/>
      <w:pPr>
        <w:ind w:left="6530" w:hanging="360"/>
      </w:pPr>
    </w:lvl>
    <w:lvl w:ilvl="8" w:tplc="080A001B" w:tentative="1">
      <w:start w:val="1"/>
      <w:numFmt w:val="lowerRoman"/>
      <w:lvlText w:val="%9."/>
      <w:lvlJc w:val="right"/>
      <w:pPr>
        <w:ind w:left="7250" w:hanging="180"/>
      </w:pPr>
    </w:lvl>
  </w:abstractNum>
  <w:abstractNum w:abstractNumId="5" w15:restartNumberingAfterBreak="0">
    <w:nsid w:val="373530B1"/>
    <w:multiLevelType w:val="hybridMultilevel"/>
    <w:tmpl w:val="B6C4F5E0"/>
    <w:lvl w:ilvl="0" w:tplc="22AEF9CE">
      <w:start w:val="1"/>
      <w:numFmt w:val="upperRoman"/>
      <w:lvlText w:val="%1."/>
      <w:lvlJc w:val="left"/>
      <w:pPr>
        <w:ind w:left="1488" w:hanging="720"/>
      </w:pPr>
      <w:rPr>
        <w:rFonts w:hint="default"/>
        <w:b/>
      </w:rPr>
    </w:lvl>
    <w:lvl w:ilvl="1" w:tplc="080A0019" w:tentative="1">
      <w:start w:val="1"/>
      <w:numFmt w:val="lowerLetter"/>
      <w:lvlText w:val="%2."/>
      <w:lvlJc w:val="left"/>
      <w:pPr>
        <w:ind w:left="1848" w:hanging="360"/>
      </w:pPr>
    </w:lvl>
    <w:lvl w:ilvl="2" w:tplc="080A001B" w:tentative="1">
      <w:start w:val="1"/>
      <w:numFmt w:val="lowerRoman"/>
      <w:lvlText w:val="%3."/>
      <w:lvlJc w:val="right"/>
      <w:pPr>
        <w:ind w:left="2568" w:hanging="180"/>
      </w:pPr>
    </w:lvl>
    <w:lvl w:ilvl="3" w:tplc="080A000F" w:tentative="1">
      <w:start w:val="1"/>
      <w:numFmt w:val="decimal"/>
      <w:lvlText w:val="%4."/>
      <w:lvlJc w:val="left"/>
      <w:pPr>
        <w:ind w:left="3288" w:hanging="360"/>
      </w:pPr>
    </w:lvl>
    <w:lvl w:ilvl="4" w:tplc="080A0019" w:tentative="1">
      <w:start w:val="1"/>
      <w:numFmt w:val="lowerLetter"/>
      <w:lvlText w:val="%5."/>
      <w:lvlJc w:val="left"/>
      <w:pPr>
        <w:ind w:left="4008" w:hanging="360"/>
      </w:pPr>
    </w:lvl>
    <w:lvl w:ilvl="5" w:tplc="080A001B" w:tentative="1">
      <w:start w:val="1"/>
      <w:numFmt w:val="lowerRoman"/>
      <w:lvlText w:val="%6."/>
      <w:lvlJc w:val="right"/>
      <w:pPr>
        <w:ind w:left="4728" w:hanging="180"/>
      </w:pPr>
    </w:lvl>
    <w:lvl w:ilvl="6" w:tplc="080A000F" w:tentative="1">
      <w:start w:val="1"/>
      <w:numFmt w:val="decimal"/>
      <w:lvlText w:val="%7."/>
      <w:lvlJc w:val="left"/>
      <w:pPr>
        <w:ind w:left="5448" w:hanging="360"/>
      </w:pPr>
    </w:lvl>
    <w:lvl w:ilvl="7" w:tplc="080A0019" w:tentative="1">
      <w:start w:val="1"/>
      <w:numFmt w:val="lowerLetter"/>
      <w:lvlText w:val="%8."/>
      <w:lvlJc w:val="left"/>
      <w:pPr>
        <w:ind w:left="6168" w:hanging="360"/>
      </w:pPr>
    </w:lvl>
    <w:lvl w:ilvl="8" w:tplc="080A001B" w:tentative="1">
      <w:start w:val="1"/>
      <w:numFmt w:val="lowerRoman"/>
      <w:lvlText w:val="%9."/>
      <w:lvlJc w:val="right"/>
      <w:pPr>
        <w:ind w:left="6888" w:hanging="180"/>
      </w:pPr>
    </w:lvl>
  </w:abstractNum>
  <w:abstractNum w:abstractNumId="6" w15:restartNumberingAfterBreak="0">
    <w:nsid w:val="59C76195"/>
    <w:multiLevelType w:val="hybridMultilevel"/>
    <w:tmpl w:val="A2288504"/>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7" w15:restartNumberingAfterBreak="0">
    <w:nsid w:val="79FB755A"/>
    <w:multiLevelType w:val="hybridMultilevel"/>
    <w:tmpl w:val="4A08A07C"/>
    <w:lvl w:ilvl="0" w:tplc="623C2982">
      <w:start w:val="1"/>
      <w:numFmt w:val="lowerLetter"/>
      <w:lvlText w:val="%1)"/>
      <w:lvlJc w:val="left"/>
      <w:pPr>
        <w:ind w:left="780" w:hanging="360"/>
      </w:pPr>
      <w:rPr>
        <w:b/>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num w:numId="1">
    <w:abstractNumId w:val="7"/>
  </w:num>
  <w:num w:numId="2">
    <w:abstractNumId w:val="0"/>
  </w:num>
  <w:num w:numId="3">
    <w:abstractNumId w:val="2"/>
  </w:num>
  <w:num w:numId="4">
    <w:abstractNumId w:val="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851"/>
    <w:rsid w:val="00024620"/>
    <w:rsid w:val="00061C5D"/>
    <w:rsid w:val="000A28A2"/>
    <w:rsid w:val="00190F47"/>
    <w:rsid w:val="001E17D4"/>
    <w:rsid w:val="004A47D8"/>
    <w:rsid w:val="004D5A9F"/>
    <w:rsid w:val="00505192"/>
    <w:rsid w:val="00980A22"/>
    <w:rsid w:val="00A45B56"/>
    <w:rsid w:val="00B63365"/>
    <w:rsid w:val="00D47851"/>
    <w:rsid w:val="00E3386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54A78A-E7CC-4769-831B-D225ED13F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85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D47851"/>
    <w:pPr>
      <w:ind w:left="720"/>
      <w:contextualSpacing/>
    </w:pPr>
  </w:style>
  <w:style w:type="paragraph" w:styleId="Encabezado">
    <w:name w:val="header"/>
    <w:basedOn w:val="Normal"/>
    <w:link w:val="EncabezadoCar"/>
    <w:uiPriority w:val="99"/>
    <w:unhideWhenUsed/>
    <w:rsid w:val="00D47851"/>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D47851"/>
    <w:rPr>
      <w:rFonts w:eastAsiaTheme="minorEastAsia"/>
      <w:sz w:val="24"/>
      <w:szCs w:val="24"/>
      <w:lang w:val="es-ES_tradnl" w:eastAsia="es-ES"/>
    </w:rPr>
  </w:style>
  <w:style w:type="paragraph" w:styleId="Piedepgina">
    <w:name w:val="footer"/>
    <w:basedOn w:val="Normal"/>
    <w:link w:val="PiedepginaCar"/>
    <w:uiPriority w:val="99"/>
    <w:unhideWhenUsed/>
    <w:rsid w:val="00D47851"/>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D47851"/>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D47851"/>
    <w:rPr>
      <w:rFonts w:ascii="Times New Roman" w:eastAsia="Times New Roman" w:hAnsi="Times New Roman" w:cs="Times New Roman"/>
      <w:sz w:val="24"/>
      <w:szCs w:val="24"/>
      <w:lang w:val="es-ES" w:eastAsia="es-ES"/>
    </w:rPr>
  </w:style>
  <w:style w:type="character" w:styleId="Hipervnculo">
    <w:name w:val="Hyperlink"/>
    <w:aliases w:val="Hipervínculo1,Hipervínculo11,Hipervínculo12,Hipervínculo13,Hipervínculo14,Hipervínculo15"/>
    <w:basedOn w:val="Fuentedeprrafopredeter"/>
    <w:uiPriority w:val="99"/>
    <w:unhideWhenUsed/>
    <w:rsid w:val="00D47851"/>
    <w:rPr>
      <w:color w:val="0563C1" w:themeColor="hyperlink"/>
      <w:u w:val="single"/>
    </w:rPr>
  </w:style>
  <w:style w:type="paragraph" w:customStyle="1" w:styleId="INFOEM">
    <w:name w:val="INFOEM"/>
    <w:basedOn w:val="Normal"/>
    <w:qFormat/>
    <w:rsid w:val="00D47851"/>
    <w:pPr>
      <w:spacing w:before="240" w:after="160" w:line="360" w:lineRule="auto"/>
      <w:ind w:left="851" w:right="851"/>
      <w:jc w:val="both"/>
    </w:pPr>
    <w:rPr>
      <w:rFonts w:ascii="Palatino Linotype" w:eastAsiaTheme="minorHAnsi" w:hAnsi="Palatino Linotype" w:cstheme="minorBidi"/>
      <w:i/>
      <w:sz w:val="22"/>
      <w:szCs w:val="14"/>
      <w:lang w:val="es-MX" w:eastAsia="en-US"/>
    </w:rPr>
  </w:style>
  <w:style w:type="character" w:customStyle="1" w:styleId="apple-converted-space">
    <w:name w:val="apple-converted-space"/>
    <w:basedOn w:val="Fuentedeprrafopredeter"/>
    <w:rsid w:val="00D47851"/>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iPriority w:val="99"/>
    <w:unhideWhenUsed/>
    <w:qFormat/>
    <w:rsid w:val="00D47851"/>
    <w:rPr>
      <w:vertAlign w:val="superscript"/>
    </w:rPr>
  </w:style>
  <w:style w:type="paragraph" w:customStyle="1" w:styleId="Citas">
    <w:name w:val="Citas"/>
    <w:basedOn w:val="Normal"/>
    <w:qFormat/>
    <w:rsid w:val="00D47851"/>
    <w:pPr>
      <w:spacing w:before="240" w:after="160" w:line="360" w:lineRule="auto"/>
      <w:ind w:left="851" w:right="851"/>
      <w:jc w:val="both"/>
    </w:pPr>
    <w:rPr>
      <w:rFonts w:ascii="Palatino Linotype" w:eastAsiaTheme="minorHAnsi" w:hAnsi="Palatino Linotype" w:cs="Arial"/>
      <w:i/>
      <w:sz w:val="22"/>
      <w:szCs w:val="22"/>
      <w:lang w:val="es-MX" w:eastAsia="en-US"/>
    </w:rPr>
  </w:style>
  <w:style w:type="paragraph" w:styleId="Textoindependiente">
    <w:name w:val="Body Text"/>
    <w:basedOn w:val="Normal"/>
    <w:link w:val="TextoindependienteCar"/>
    <w:uiPriority w:val="1"/>
    <w:unhideWhenUsed/>
    <w:qFormat/>
    <w:rsid w:val="00D47851"/>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1"/>
    <w:rsid w:val="00D47851"/>
  </w:style>
  <w:style w:type="table" w:styleId="Tablaconcuadrcula">
    <w:name w:val="Table Grid"/>
    <w:basedOn w:val="Tablanormal"/>
    <w:uiPriority w:val="39"/>
    <w:rsid w:val="00D47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D47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javascript:AbrirModal(2)" TargetMode="External"/><Relationship Id="rId1" Type="http://schemas.openxmlformats.org/officeDocument/2006/relationships/hyperlink" Target="javascript:AbrirModal(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22</Pages>
  <Words>4745</Words>
  <Characters>26098</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INFOEM492</cp:lastModifiedBy>
  <cp:revision>7</cp:revision>
  <cp:lastPrinted>2026-09-18T18:21:00Z</cp:lastPrinted>
  <dcterms:created xsi:type="dcterms:W3CDTF">2026-09-03T18:53:00Z</dcterms:created>
  <dcterms:modified xsi:type="dcterms:W3CDTF">2026-09-21T21:06:00Z</dcterms:modified>
</cp:coreProperties>
</file>