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6E145" w14:textId="4C69F005" w:rsidR="00566EB9" w:rsidRPr="00785ED2" w:rsidRDefault="00D41CCE">
      <w:pPr>
        <w:spacing w:before="240" w:after="240" w:line="360" w:lineRule="auto"/>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785ED2">
        <w:rPr>
          <w:rFonts w:ascii="Palatino Linotype" w:eastAsia="Palatino Linotype" w:hAnsi="Palatino Linotype" w:cs="Palatino Linotype"/>
          <w:b/>
          <w:sz w:val="22"/>
          <w:szCs w:val="22"/>
        </w:rPr>
        <w:t xml:space="preserve">a </w:t>
      </w:r>
      <w:r w:rsidR="00473CF8" w:rsidRPr="00785ED2">
        <w:rPr>
          <w:rFonts w:ascii="Palatino Linotype" w:eastAsia="Palatino Linotype" w:hAnsi="Palatino Linotype" w:cs="Palatino Linotype"/>
          <w:b/>
          <w:sz w:val="22"/>
          <w:szCs w:val="22"/>
        </w:rPr>
        <w:t>cinco de marzo</w:t>
      </w:r>
      <w:r w:rsidR="009502A3" w:rsidRPr="00785ED2">
        <w:rPr>
          <w:rFonts w:ascii="Palatino Linotype" w:eastAsia="Palatino Linotype" w:hAnsi="Palatino Linotype" w:cs="Palatino Linotype"/>
          <w:b/>
          <w:sz w:val="22"/>
          <w:szCs w:val="22"/>
        </w:rPr>
        <w:t xml:space="preserve"> de dos mil veintiséis</w:t>
      </w:r>
      <w:r w:rsidRPr="00785ED2">
        <w:rPr>
          <w:rFonts w:ascii="Palatino Linotype" w:eastAsia="Palatino Linotype" w:hAnsi="Palatino Linotype" w:cs="Palatino Linotype"/>
          <w:sz w:val="22"/>
          <w:szCs w:val="22"/>
        </w:rPr>
        <w:t xml:space="preserve">. </w:t>
      </w:r>
    </w:p>
    <w:p w14:paraId="74DCE31D" w14:textId="257F8D0A" w:rsidR="00566EB9" w:rsidRPr="00785ED2" w:rsidRDefault="00D41CCE">
      <w:pPr>
        <w:spacing w:before="240" w:after="240" w:line="360" w:lineRule="auto"/>
        <w:jc w:val="both"/>
        <w:rPr>
          <w:rFonts w:ascii="Palatino Linotype" w:eastAsia="Palatino Linotype" w:hAnsi="Palatino Linotype" w:cs="Palatino Linotype"/>
          <w:sz w:val="22"/>
          <w:szCs w:val="22"/>
        </w:rPr>
      </w:pPr>
      <w:bookmarkStart w:id="0" w:name="_heading=h.4d34og8" w:colFirst="0" w:colLast="0"/>
      <w:bookmarkEnd w:id="0"/>
      <w:r w:rsidRPr="00785ED2">
        <w:rPr>
          <w:rFonts w:ascii="Palatino Linotype" w:eastAsia="Palatino Linotype" w:hAnsi="Palatino Linotype" w:cs="Palatino Linotype"/>
          <w:b/>
          <w:sz w:val="22"/>
          <w:szCs w:val="22"/>
        </w:rPr>
        <w:t>Visto</w:t>
      </w:r>
      <w:r w:rsidRPr="00785ED2">
        <w:rPr>
          <w:rFonts w:ascii="Palatino Linotype" w:eastAsia="Palatino Linotype" w:hAnsi="Palatino Linotype" w:cs="Palatino Linotype"/>
          <w:sz w:val="22"/>
          <w:szCs w:val="22"/>
        </w:rPr>
        <w:t xml:space="preserve"> el expediente formado con motivo del recurso de revisión </w:t>
      </w:r>
      <w:r w:rsidR="00EC625C" w:rsidRPr="00785ED2">
        <w:rPr>
          <w:rFonts w:ascii="Palatino Linotype" w:eastAsia="Palatino Linotype" w:hAnsi="Palatino Linotype" w:cs="Palatino Linotype"/>
          <w:b/>
          <w:sz w:val="22"/>
          <w:szCs w:val="22"/>
        </w:rPr>
        <w:t>09859</w:t>
      </w:r>
      <w:r w:rsidRPr="00785ED2">
        <w:rPr>
          <w:rFonts w:ascii="Palatino Linotype" w:eastAsia="Palatino Linotype" w:hAnsi="Palatino Linotype" w:cs="Palatino Linotype"/>
          <w:b/>
          <w:sz w:val="22"/>
          <w:szCs w:val="22"/>
        </w:rPr>
        <w:t>/INFOEM/IP/RR/2025</w:t>
      </w:r>
      <w:r w:rsidRPr="00785ED2">
        <w:rPr>
          <w:rFonts w:ascii="Palatino Linotype" w:eastAsia="Palatino Linotype" w:hAnsi="Palatino Linotype" w:cs="Palatino Linotype"/>
          <w:sz w:val="22"/>
          <w:szCs w:val="22"/>
        </w:rPr>
        <w:t>, interpuesto por</w:t>
      </w:r>
      <w:r w:rsidR="003F0A9C" w:rsidRPr="00785ED2">
        <w:t xml:space="preserve"> </w:t>
      </w:r>
      <w:r w:rsidR="0062435A" w:rsidRPr="0062435A">
        <w:rPr>
          <w:rFonts w:ascii="Palatino Linotype" w:eastAsia="Palatino Linotype" w:hAnsi="Palatino Linotype" w:cs="Palatino Linotype"/>
          <w:b/>
          <w:bCs/>
          <w:sz w:val="22"/>
          <w:szCs w:val="22"/>
        </w:rPr>
        <w:t>XXXXXX XXXXXXX XXXXXX XXXX</w:t>
      </w:r>
      <w:r w:rsidRPr="0062435A">
        <w:rPr>
          <w:rFonts w:ascii="Palatino Linotype" w:eastAsia="Palatino Linotype" w:hAnsi="Palatino Linotype" w:cs="Palatino Linotype"/>
          <w:b/>
          <w:bCs/>
          <w:sz w:val="22"/>
          <w:szCs w:val="22"/>
        </w:rPr>
        <w:t>,</w:t>
      </w:r>
      <w:r w:rsidRPr="00785ED2">
        <w:rPr>
          <w:rFonts w:ascii="Palatino Linotype" w:eastAsia="Palatino Linotype" w:hAnsi="Palatino Linotype" w:cs="Palatino Linotype"/>
          <w:sz w:val="22"/>
          <w:szCs w:val="22"/>
        </w:rPr>
        <w:t xml:space="preserve"> en lo sucesivo</w:t>
      </w:r>
      <w:r w:rsidRPr="00785ED2">
        <w:rPr>
          <w:rFonts w:ascii="Palatino Linotype" w:eastAsia="Palatino Linotype" w:hAnsi="Palatino Linotype" w:cs="Palatino Linotype"/>
          <w:b/>
          <w:sz w:val="22"/>
          <w:szCs w:val="22"/>
        </w:rPr>
        <w:t xml:space="preserve"> la parte</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en contra de la respuesta a su solicitud por parte del</w:t>
      </w:r>
      <w:r w:rsidR="003F0A9C" w:rsidRPr="00785ED2">
        <w:rPr>
          <w:rFonts w:ascii="Palatino Linotype" w:eastAsia="Palatino Linotype" w:hAnsi="Palatino Linotype" w:cs="Palatino Linotype"/>
          <w:sz w:val="22"/>
          <w:szCs w:val="22"/>
        </w:rPr>
        <w:t xml:space="preserve"> </w:t>
      </w:r>
      <w:r w:rsidR="00EC625C" w:rsidRPr="00785ED2">
        <w:rPr>
          <w:rFonts w:ascii="Palatino Linotype" w:eastAsia="Palatino Linotype" w:hAnsi="Palatino Linotype" w:cs="Palatino Linotype"/>
          <w:b/>
          <w:bCs/>
          <w:sz w:val="22"/>
          <w:szCs w:val="22"/>
        </w:rPr>
        <w:t>Oficialía Mayor</w:t>
      </w:r>
      <w:r w:rsidR="00C30DDF" w:rsidRPr="00785ED2">
        <w:rPr>
          <w:rFonts w:ascii="Palatino Linotype" w:eastAsia="Palatino Linotype" w:hAnsi="Palatino Linotype" w:cs="Palatino Linotype"/>
          <w:b/>
          <w:bCs/>
          <w:sz w:val="22"/>
          <w:szCs w:val="22"/>
        </w:rPr>
        <w:t>,</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 xml:space="preserve">en lo sucesivo el </w:t>
      </w:r>
      <w:r w:rsidRPr="00785ED2">
        <w:rPr>
          <w:rFonts w:ascii="Palatino Linotype" w:eastAsia="Palatino Linotype" w:hAnsi="Palatino Linotype" w:cs="Palatino Linotype"/>
          <w:b/>
          <w:sz w:val="22"/>
          <w:szCs w:val="22"/>
        </w:rPr>
        <w:t xml:space="preserve">Sujeto Obligado, </w:t>
      </w:r>
      <w:r w:rsidRPr="00785ED2">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785ED2" w:rsidRDefault="00D41CCE">
      <w:pPr>
        <w:spacing w:before="240" w:after="240" w:line="360" w:lineRule="auto"/>
        <w:jc w:val="center"/>
        <w:rPr>
          <w:rFonts w:ascii="Palatino Linotype" w:eastAsia="Palatino Linotype" w:hAnsi="Palatino Linotype" w:cs="Palatino Linotype"/>
          <w:b/>
          <w:sz w:val="22"/>
          <w:szCs w:val="22"/>
        </w:rPr>
      </w:pPr>
      <w:r w:rsidRPr="00785ED2">
        <w:rPr>
          <w:rFonts w:ascii="Palatino Linotype" w:eastAsia="Palatino Linotype" w:hAnsi="Palatino Linotype" w:cs="Palatino Linotype"/>
          <w:b/>
          <w:sz w:val="22"/>
          <w:szCs w:val="22"/>
        </w:rPr>
        <w:t>I. A N T E C E D E N T E S</w:t>
      </w:r>
    </w:p>
    <w:p w14:paraId="336C0FED" w14:textId="47D4286C" w:rsidR="00566EB9" w:rsidRPr="00785ED2" w:rsidRDefault="00D41CCE">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1. Solicitud de acceso a la información.</w:t>
      </w:r>
      <w:r w:rsidRPr="00785ED2">
        <w:rPr>
          <w:rFonts w:ascii="Palatino Linotype" w:eastAsia="Palatino Linotype" w:hAnsi="Palatino Linotype" w:cs="Palatino Linotype"/>
          <w:sz w:val="22"/>
          <w:szCs w:val="22"/>
        </w:rPr>
        <w:t xml:space="preserve"> El</w:t>
      </w:r>
      <w:r w:rsidR="00B253BE" w:rsidRPr="00785ED2">
        <w:rPr>
          <w:rFonts w:ascii="Palatino Linotype" w:eastAsia="Palatino Linotype" w:hAnsi="Palatino Linotype" w:cs="Palatino Linotype"/>
          <w:sz w:val="22"/>
          <w:szCs w:val="22"/>
        </w:rPr>
        <w:t xml:space="preserve"> </w:t>
      </w:r>
      <w:r w:rsidR="00EC625C" w:rsidRPr="00785ED2">
        <w:rPr>
          <w:rFonts w:ascii="Palatino Linotype" w:eastAsia="Palatino Linotype" w:hAnsi="Palatino Linotype" w:cs="Palatino Linotype"/>
          <w:b/>
          <w:sz w:val="22"/>
          <w:szCs w:val="22"/>
        </w:rPr>
        <w:t>dieciséis</w:t>
      </w:r>
      <w:r w:rsidR="004C4BEC" w:rsidRPr="00785ED2">
        <w:rPr>
          <w:rFonts w:ascii="Palatino Linotype" w:eastAsia="Palatino Linotype" w:hAnsi="Palatino Linotype" w:cs="Palatino Linotype"/>
          <w:b/>
          <w:sz w:val="22"/>
          <w:szCs w:val="22"/>
        </w:rPr>
        <w:t xml:space="preserve"> de julio de dos mil veinticinco</w:t>
      </w:r>
      <w:r w:rsidRPr="00785ED2">
        <w:rPr>
          <w:rFonts w:ascii="Palatino Linotype" w:eastAsia="Palatino Linotype" w:hAnsi="Palatino Linotype" w:cs="Palatino Linotype"/>
          <w:b/>
          <w:sz w:val="22"/>
          <w:szCs w:val="22"/>
        </w:rPr>
        <w:t>,</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la parte</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 xml:space="preserve">Recurrente </w:t>
      </w:r>
      <w:r w:rsidRPr="00785ED2">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la solicitud de acceso a la información pública a la que se le asignó el </w:t>
      </w:r>
      <w:r w:rsidR="005D6FD9" w:rsidRPr="00785ED2">
        <w:rPr>
          <w:rFonts w:ascii="Palatino Linotype" w:eastAsia="Palatino Linotype" w:hAnsi="Palatino Linotype" w:cs="Palatino Linotype"/>
          <w:sz w:val="22"/>
          <w:szCs w:val="22"/>
        </w:rPr>
        <w:t>número</w:t>
      </w:r>
      <w:r w:rsidR="000B7385" w:rsidRPr="00785ED2">
        <w:t xml:space="preserve"> </w:t>
      </w:r>
      <w:r w:rsidR="00EC625C" w:rsidRPr="00785ED2">
        <w:rPr>
          <w:rFonts w:ascii="Palatino Linotype" w:eastAsia="Palatino Linotype" w:hAnsi="Palatino Linotype" w:cs="Palatino Linotype"/>
          <w:b/>
          <w:bCs/>
          <w:sz w:val="22"/>
          <w:szCs w:val="22"/>
        </w:rPr>
        <w:t>00216/OFICIALIA/IP/2025</w:t>
      </w:r>
      <w:r w:rsidR="00B253BE" w:rsidRPr="00785ED2">
        <w:rPr>
          <w:rFonts w:ascii="Palatino Linotype" w:eastAsia="Palatino Linotype" w:hAnsi="Palatino Linotype" w:cs="Palatino Linotype"/>
          <w:b/>
          <w:sz w:val="22"/>
          <w:szCs w:val="22"/>
        </w:rPr>
        <w:t>;</w:t>
      </w:r>
      <w:r w:rsidR="009E4671"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sz w:val="22"/>
          <w:szCs w:val="22"/>
        </w:rPr>
        <w:t xml:space="preserve">mediante la cual requirió la información siguiente: </w:t>
      </w:r>
    </w:p>
    <w:p w14:paraId="53ABC3AC" w14:textId="255FA29D" w:rsidR="00566EB9" w:rsidRPr="00785ED2" w:rsidRDefault="008C4074" w:rsidP="00A34E50">
      <w:pPr>
        <w:spacing w:before="240" w:after="240"/>
        <w:ind w:left="567" w:right="474"/>
        <w:jc w:val="both"/>
        <w:rPr>
          <w:rFonts w:ascii="Palatino Linotype" w:eastAsia="Palatino Linotype" w:hAnsi="Palatino Linotype" w:cs="Palatino Linotype"/>
          <w:i/>
          <w:sz w:val="22"/>
          <w:szCs w:val="22"/>
        </w:rPr>
      </w:pPr>
      <w:bookmarkStart w:id="1" w:name="_heading=h.gjdgxs" w:colFirst="0" w:colLast="0"/>
      <w:bookmarkEnd w:id="1"/>
      <w:r w:rsidRPr="00785ED2">
        <w:rPr>
          <w:rFonts w:ascii="Palatino Linotype" w:eastAsia="Palatino Linotype" w:hAnsi="Palatino Linotype" w:cs="Palatino Linotype"/>
          <w:i/>
          <w:sz w:val="22"/>
          <w:szCs w:val="22"/>
        </w:rPr>
        <w:t>“</w:t>
      </w:r>
      <w:r w:rsidR="00A34E50" w:rsidRPr="00785ED2">
        <w:rPr>
          <w:rFonts w:ascii="Palatino Linotype" w:eastAsia="Palatino Linotype" w:hAnsi="Palatino Linotype" w:cs="Palatino Linotype"/>
          <w:i/>
          <w:sz w:val="22"/>
          <w:szCs w:val="22"/>
        </w:rPr>
        <w:t xml:space="preserve">or este medio, solicito de manera respetuosa y con fundamento en la Ley de Transparencia y Acceso a la Información Pública del Estado de México y Municipios, copia o versión electrónica del historial de percepciones salariales del servidor público Fernando Gustavo Pantoja Sánchez, con clave ISSEMYM </w:t>
      </w:r>
      <w:r w:rsidR="006763CA">
        <w:rPr>
          <w:rFonts w:ascii="Palatino Linotype" w:eastAsia="Palatino Linotype" w:hAnsi="Palatino Linotype" w:cs="Palatino Linotype"/>
          <w:i/>
          <w:sz w:val="22"/>
          <w:szCs w:val="22"/>
        </w:rPr>
        <w:t>XXXXXXX</w:t>
      </w:r>
      <w:r w:rsidR="00A34E50" w:rsidRPr="00785ED2">
        <w:rPr>
          <w:rFonts w:ascii="Palatino Linotype" w:eastAsia="Palatino Linotype" w:hAnsi="Palatino Linotype" w:cs="Palatino Linotype"/>
          <w:i/>
          <w:sz w:val="22"/>
          <w:szCs w:val="22"/>
        </w:rPr>
        <w:t xml:space="preserve">, quien laboró en el Gobierno del Estado de México como profesor adscrito a la Secretaría de Educación. Requiero la siguiente información: Años: desde 1989 hasta la fecha de su baja, renuncia o jubilación. Datos solicitados: categoría o puesto, rango o nivel, sueldo mensual bruto y sueldo mensual neto, ordenado por año. Sin incluir datos personales sensibles distintos a su nombre completo y clave ISSEMYM. Fundamento la solicitud en mi derecho de acceso a la información pública relativa a remuneraciones de servidores públicos, de conformidad con los principios de máxima publicidad y rendición de cuentas. Agradezco de antemano la orientación en caso de requerirse alguna aclaración. “En caso de que esta Unidad de </w:t>
      </w:r>
      <w:r w:rsidR="00A34E50" w:rsidRPr="00785ED2">
        <w:rPr>
          <w:rFonts w:ascii="Palatino Linotype" w:eastAsia="Palatino Linotype" w:hAnsi="Palatino Linotype" w:cs="Palatino Linotype"/>
          <w:i/>
          <w:sz w:val="22"/>
          <w:szCs w:val="22"/>
        </w:rPr>
        <w:lastRenderedPageBreak/>
        <w:t>Transparencia se declare incompetente, solicito amablemente se canalice la solicitud a la instancia competente, de conformidad con el artículo 167 de la Ley de Transparencia del Estado de México y Municipios. No omito comentar que sea a solictado con anterioridad a la secretaria de finanzas, al issemym, y a a la secretaria de educacion y se han declarado incompetentes, señalando a la oficialia mayor como el sujero obligado.</w:t>
      </w:r>
      <w:r w:rsidR="00C30DDF" w:rsidRPr="00785ED2">
        <w:rPr>
          <w:rFonts w:ascii="Palatino Linotype" w:eastAsia="Palatino Linotype" w:hAnsi="Palatino Linotype" w:cs="Palatino Linotype"/>
          <w:i/>
          <w:sz w:val="22"/>
          <w:szCs w:val="22"/>
        </w:rPr>
        <w:t>”</w:t>
      </w:r>
      <w:r w:rsidR="00D41CCE" w:rsidRPr="00785ED2">
        <w:rPr>
          <w:rFonts w:ascii="Palatino Linotype" w:eastAsia="Palatino Linotype" w:hAnsi="Palatino Linotype" w:cs="Palatino Linotype"/>
          <w:i/>
          <w:sz w:val="22"/>
          <w:szCs w:val="22"/>
        </w:rPr>
        <w:t xml:space="preserve"> (Sic) </w:t>
      </w:r>
    </w:p>
    <w:p w14:paraId="0A94F1DC" w14:textId="5F62243F" w:rsidR="00A34E50" w:rsidRPr="00785ED2" w:rsidRDefault="00A34E50" w:rsidP="00A34E50">
      <w:pPr>
        <w:spacing w:before="240" w:after="240"/>
        <w:ind w:left="567" w:right="47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Adjunto a la solicitud, la persona solicitante anexó la siguiente información:</w:t>
      </w:r>
    </w:p>
    <w:p w14:paraId="53157F78" w14:textId="50EAD530" w:rsidR="00A34E50" w:rsidRPr="00785ED2" w:rsidRDefault="00A34E50" w:rsidP="00A34E50">
      <w:pPr>
        <w:pStyle w:val="Prrafodelista"/>
        <w:numPr>
          <w:ilvl w:val="0"/>
          <w:numId w:val="32"/>
        </w:numPr>
        <w:spacing w:before="240" w:after="240"/>
        <w:ind w:right="47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Oficio signado por la Jefa del Departamento de Acceso a la Información Institucional del ISSEMYM con relación a una diversa solicitud donde se requiere información similar como la del presente asunto, se declara incompetente, orientando al solicitante a dirigir su requerimiento a la Secretaría de Educación de la entidad.</w:t>
      </w:r>
    </w:p>
    <w:p w14:paraId="669C5477" w14:textId="28502A96" w:rsidR="00A34E50" w:rsidRPr="00785ED2" w:rsidRDefault="00A34E50" w:rsidP="00A34E50">
      <w:pPr>
        <w:pStyle w:val="Prrafodelista"/>
        <w:numPr>
          <w:ilvl w:val="0"/>
          <w:numId w:val="32"/>
        </w:numPr>
        <w:spacing w:before="240" w:after="240"/>
        <w:ind w:right="47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Acuerdo de incompetencia de la Secretaría de Finanzas con relación a una diversa solicitud donde se requiere información similar como la del presente asunto, orientando al solicitante a dirigir su requerimiento a la Secretaría de Educación de la entidad.</w:t>
      </w:r>
    </w:p>
    <w:p w14:paraId="267E7BF5" w14:textId="5BB6BAB3" w:rsidR="00B1522F" w:rsidRPr="00785ED2" w:rsidRDefault="00B1522F" w:rsidP="00A34E50">
      <w:pPr>
        <w:pStyle w:val="Prrafodelista"/>
        <w:numPr>
          <w:ilvl w:val="0"/>
          <w:numId w:val="32"/>
        </w:numPr>
        <w:spacing w:before="240" w:after="240"/>
        <w:ind w:right="47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Oficio signado por el Titular de la Secretaría de Educación, Ciencia y Tecnología e Innovación, a través del cual se declara incompetente para conocer de un requerimiento de información similar, orientando al particular a dirigir su solicitud a la Oficialía Mayor, por ser la dependencia competente.</w:t>
      </w:r>
    </w:p>
    <w:p w14:paraId="5C016E86" w14:textId="61B36502" w:rsidR="00A34E50" w:rsidRPr="00785ED2" w:rsidRDefault="00A34E50" w:rsidP="00A34E50">
      <w:pPr>
        <w:pStyle w:val="Prrafodelista"/>
        <w:spacing w:before="240" w:after="240"/>
        <w:ind w:left="927" w:right="474"/>
        <w:jc w:val="both"/>
        <w:rPr>
          <w:rFonts w:ascii="Palatino Linotype" w:eastAsia="Palatino Linotype" w:hAnsi="Palatino Linotype" w:cs="Palatino Linotype"/>
          <w:sz w:val="22"/>
          <w:szCs w:val="22"/>
        </w:rPr>
      </w:pPr>
    </w:p>
    <w:p w14:paraId="7F7E8FBF" w14:textId="77777777" w:rsidR="00566EB9" w:rsidRPr="00785ED2" w:rsidRDefault="00D41CCE">
      <w:pPr>
        <w:spacing w:before="240" w:after="240"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Modalidad de Entrega:</w:t>
      </w:r>
      <w:r w:rsidRPr="00785ED2">
        <w:rPr>
          <w:rFonts w:ascii="Palatino Linotype" w:eastAsia="Palatino Linotype" w:hAnsi="Palatino Linotype" w:cs="Palatino Linotype"/>
          <w:sz w:val="22"/>
          <w:szCs w:val="22"/>
        </w:rPr>
        <w:t xml:space="preserve"> a través del Sistema de Acceso a la Información Mexiquense (SAIMEX).</w:t>
      </w:r>
    </w:p>
    <w:p w14:paraId="355D92AA" w14:textId="52FF74C0" w:rsidR="00566EB9" w:rsidRPr="00785ED2" w:rsidRDefault="00D41CCE">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bookmarkStart w:id="2" w:name="_heading=h.3dy6vkm" w:colFirst="0" w:colLast="0"/>
      <w:bookmarkEnd w:id="2"/>
      <w:r w:rsidRPr="00785ED2">
        <w:rPr>
          <w:rFonts w:ascii="Palatino Linotype" w:eastAsia="Palatino Linotype" w:hAnsi="Palatino Linotype" w:cs="Palatino Linotype"/>
          <w:b/>
          <w:sz w:val="22"/>
          <w:szCs w:val="22"/>
        </w:rPr>
        <w:t>2.</w:t>
      </w:r>
      <w:r w:rsidR="000B7385" w:rsidRPr="00785ED2">
        <w:rPr>
          <w:rFonts w:ascii="Palatino Linotype" w:hAnsi="Palatino Linotype"/>
          <w:b/>
        </w:rPr>
        <w:t xml:space="preserve"> </w:t>
      </w:r>
      <w:r w:rsidR="0096349E" w:rsidRPr="00785ED2">
        <w:rPr>
          <w:rFonts w:ascii="Palatino Linotype" w:eastAsia="Palatino Linotype" w:hAnsi="Palatino Linotype" w:cs="Palatino Linotype"/>
          <w:b/>
          <w:sz w:val="22"/>
          <w:szCs w:val="22"/>
        </w:rPr>
        <w:t>Respuesta</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 xml:space="preserve">El </w:t>
      </w:r>
      <w:r w:rsidR="00D66F77" w:rsidRPr="00785ED2">
        <w:rPr>
          <w:rFonts w:ascii="Palatino Linotype" w:eastAsia="Palatino Linotype" w:hAnsi="Palatino Linotype" w:cs="Palatino Linotype"/>
          <w:b/>
          <w:sz w:val="22"/>
          <w:szCs w:val="22"/>
        </w:rPr>
        <w:t>veinte de agosto</w:t>
      </w:r>
      <w:r w:rsidR="00FF113B" w:rsidRPr="00785ED2">
        <w:rPr>
          <w:rFonts w:ascii="Palatino Linotype" w:eastAsia="Palatino Linotype" w:hAnsi="Palatino Linotype" w:cs="Palatino Linotype"/>
          <w:b/>
          <w:sz w:val="22"/>
          <w:szCs w:val="22"/>
        </w:rPr>
        <w:t xml:space="preserve"> d</w:t>
      </w:r>
      <w:r w:rsidR="0096349E" w:rsidRPr="00785ED2">
        <w:rPr>
          <w:rFonts w:ascii="Palatino Linotype" w:eastAsia="Palatino Linotype" w:hAnsi="Palatino Linotype" w:cs="Palatino Linotype"/>
          <w:b/>
          <w:sz w:val="22"/>
          <w:szCs w:val="22"/>
        </w:rPr>
        <w:t xml:space="preserve">e </w:t>
      </w:r>
      <w:r w:rsidRPr="00785ED2">
        <w:rPr>
          <w:rFonts w:ascii="Palatino Linotype" w:eastAsia="Palatino Linotype" w:hAnsi="Palatino Linotype" w:cs="Palatino Linotype"/>
          <w:b/>
          <w:sz w:val="22"/>
          <w:szCs w:val="22"/>
        </w:rPr>
        <w:t>dos mil veinticinco</w:t>
      </w:r>
      <w:r w:rsidRPr="00785ED2">
        <w:rPr>
          <w:rFonts w:ascii="Palatino Linotype" w:eastAsia="Palatino Linotype" w:hAnsi="Palatino Linotype" w:cs="Palatino Linotype"/>
          <w:sz w:val="22"/>
          <w:szCs w:val="22"/>
        </w:rPr>
        <w:t xml:space="preserve">, el </w:t>
      </w:r>
      <w:r w:rsidRPr="00785ED2">
        <w:rPr>
          <w:rFonts w:ascii="Palatino Linotype" w:eastAsia="Palatino Linotype" w:hAnsi="Palatino Linotype" w:cs="Palatino Linotype"/>
          <w:b/>
          <w:sz w:val="22"/>
          <w:szCs w:val="22"/>
        </w:rPr>
        <w:t xml:space="preserve">Sujeto Obligado </w:t>
      </w:r>
      <w:r w:rsidRPr="00785ED2">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61D05C65" w14:textId="590C4FEA" w:rsidR="00566EB9" w:rsidRPr="00785ED2" w:rsidRDefault="00D41CCE">
      <w:pPr>
        <w:spacing w:before="240" w:after="240"/>
        <w:ind w:left="567"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00D66F77" w:rsidRPr="00785ED2">
        <w:rPr>
          <w:rFonts w:ascii="Palatino Linotype" w:eastAsia="Palatino Linotype" w:hAnsi="Palatino Linotype" w:cs="Palatino Linotype"/>
          <w:i/>
          <w:sz w:val="22"/>
          <w:szCs w:val="22"/>
        </w:rPr>
        <w:t>Se adjunta oficio de respuesta.</w:t>
      </w:r>
      <w:r w:rsidRPr="00785ED2">
        <w:rPr>
          <w:rFonts w:ascii="Palatino Linotype" w:eastAsia="Palatino Linotype" w:hAnsi="Palatino Linotype" w:cs="Palatino Linotype"/>
          <w:i/>
          <w:sz w:val="22"/>
          <w:szCs w:val="22"/>
        </w:rPr>
        <w:t>” (Sic)</w:t>
      </w:r>
    </w:p>
    <w:p w14:paraId="11758A54" w14:textId="5E07B7F0" w:rsidR="00566EB9" w:rsidRPr="00785ED2"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Adjunto a la respuesta, el </w:t>
      </w:r>
      <w:r w:rsidRPr="00785ED2">
        <w:rPr>
          <w:rFonts w:ascii="Palatino Linotype" w:eastAsia="Palatino Linotype" w:hAnsi="Palatino Linotype" w:cs="Palatino Linotype"/>
          <w:b/>
          <w:sz w:val="22"/>
          <w:szCs w:val="22"/>
        </w:rPr>
        <w:t xml:space="preserve">Sujeto Obligado </w:t>
      </w:r>
      <w:r w:rsidRPr="00785ED2">
        <w:rPr>
          <w:rFonts w:ascii="Palatino Linotype" w:eastAsia="Palatino Linotype" w:hAnsi="Palatino Linotype" w:cs="Palatino Linotype"/>
          <w:sz w:val="22"/>
          <w:szCs w:val="22"/>
        </w:rPr>
        <w:t xml:space="preserve">hizo entrega </w:t>
      </w:r>
      <w:r w:rsidR="006C0C4B" w:rsidRPr="00785ED2">
        <w:rPr>
          <w:rFonts w:ascii="Palatino Linotype" w:eastAsia="Palatino Linotype" w:hAnsi="Palatino Linotype" w:cs="Palatino Linotype"/>
          <w:sz w:val="22"/>
          <w:szCs w:val="22"/>
        </w:rPr>
        <w:t xml:space="preserve">de </w:t>
      </w:r>
      <w:r w:rsidRPr="00785ED2">
        <w:rPr>
          <w:rFonts w:ascii="Palatino Linotype" w:eastAsia="Palatino Linotype" w:hAnsi="Palatino Linotype" w:cs="Palatino Linotype"/>
          <w:sz w:val="22"/>
          <w:szCs w:val="22"/>
        </w:rPr>
        <w:t>la siguiente información:</w:t>
      </w:r>
    </w:p>
    <w:p w14:paraId="654860C0" w14:textId="77777777" w:rsidR="00CD0D49" w:rsidRPr="00785ED2" w:rsidRDefault="00CD0D4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B86A108" w14:textId="29407D13" w:rsidR="00444401" w:rsidRPr="00785ED2" w:rsidRDefault="00444401" w:rsidP="00444401">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Oficio del </w:t>
      </w:r>
      <w:r w:rsidR="00AD60AE" w:rsidRPr="00785ED2">
        <w:rPr>
          <w:rFonts w:ascii="Palatino Linotype" w:eastAsia="Palatino Linotype" w:hAnsi="Palatino Linotype" w:cs="Palatino Linotype"/>
          <w:sz w:val="22"/>
          <w:szCs w:val="22"/>
        </w:rPr>
        <w:t>19</w:t>
      </w:r>
      <w:r w:rsidR="00D66F77" w:rsidRPr="00785ED2">
        <w:rPr>
          <w:rFonts w:ascii="Palatino Linotype" w:eastAsia="Palatino Linotype" w:hAnsi="Palatino Linotype" w:cs="Palatino Linotype"/>
          <w:sz w:val="22"/>
          <w:szCs w:val="22"/>
        </w:rPr>
        <w:t xml:space="preserve"> de agosto</w:t>
      </w:r>
      <w:r w:rsidRPr="00785ED2">
        <w:rPr>
          <w:rFonts w:ascii="Palatino Linotype" w:eastAsia="Palatino Linotype" w:hAnsi="Palatino Linotype" w:cs="Palatino Linotype"/>
          <w:sz w:val="22"/>
          <w:szCs w:val="22"/>
        </w:rPr>
        <w:t xml:space="preserve"> de 2025, a través del cual </w:t>
      </w:r>
      <w:r w:rsidR="00D66F77" w:rsidRPr="00785ED2">
        <w:rPr>
          <w:rFonts w:ascii="Palatino Linotype" w:eastAsia="Palatino Linotype" w:hAnsi="Palatino Linotype" w:cs="Palatino Linotype"/>
          <w:sz w:val="22"/>
          <w:szCs w:val="22"/>
        </w:rPr>
        <w:t>el Titular de la Unidad de Transparencia, remite la respuesta del servidor público habilitado de la Dirección General de Personal de la Oficialía Mayor.</w:t>
      </w:r>
    </w:p>
    <w:p w14:paraId="7168C9F0" w14:textId="773BCDE0" w:rsidR="00403B19" w:rsidRPr="00785ED2" w:rsidRDefault="00403B19" w:rsidP="00444401">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 xml:space="preserve">Oficio del </w:t>
      </w:r>
      <w:r w:rsidR="00D66F77" w:rsidRPr="00785ED2">
        <w:rPr>
          <w:rFonts w:ascii="Palatino Linotype" w:eastAsia="Palatino Linotype" w:hAnsi="Palatino Linotype" w:cs="Palatino Linotype"/>
          <w:sz w:val="22"/>
          <w:szCs w:val="22"/>
        </w:rPr>
        <w:t>20 de agosto de 2025, a través del cual el servidor público habilitado de la Dirección General de Personal de la Oficialía Mayor</w:t>
      </w:r>
      <w:r w:rsidR="00D66F77" w:rsidRPr="00785ED2">
        <w:rPr>
          <w:lang w:val="es-MX"/>
        </w:rPr>
        <w:t xml:space="preserve"> </w:t>
      </w:r>
      <w:r w:rsidR="00D66F77" w:rsidRPr="00785ED2">
        <w:rPr>
          <w:rFonts w:ascii="Palatino Linotype" w:eastAsia="Palatino Linotype" w:hAnsi="Palatino Linotype" w:cs="Palatino Linotype"/>
          <w:sz w:val="22"/>
          <w:szCs w:val="22"/>
          <w:lang w:val="es-MX"/>
        </w:rPr>
        <w:t xml:space="preserve">informa que la información solicitada constituye un trámite personal, para el que se debe acreditar interés legítimo y jurídico; ello, ya que el </w:t>
      </w:r>
      <w:r w:rsidR="0034791F" w:rsidRPr="00785ED2">
        <w:rPr>
          <w:rFonts w:ascii="Palatino Linotype" w:eastAsia="Palatino Linotype" w:hAnsi="Palatino Linotype" w:cs="Palatino Linotype"/>
          <w:sz w:val="22"/>
          <w:szCs w:val="22"/>
          <w:lang w:val="es-MX"/>
        </w:rPr>
        <w:t>Sistema de Acceso a la Información Mexiquense, (SAIMEX), no es la vía para obtener el historial de percepciones salariales, por lo que se orienta a la persona solicitante para que acuda de manera personal a gestionar el trámite referido, denominado "Emisión de constancias de percepciones y deducciones", a las oficinas de la Subdirección de Control de Pagos, ubicadas en Avenida Miguel Hidalgo Ote. No. 216, Portal Madero, Edificio Monroy, Col. Centro, C.P. 50000, Toluca, Estado de México, con número telefónico 722 2138877 Ext. 312, donde podrá ejercer su derecho de petición, cumpliendo con los requisitos inherentes al trámite referido.</w:t>
      </w:r>
    </w:p>
    <w:p w14:paraId="1A06375D" w14:textId="77777777" w:rsidR="00444401" w:rsidRPr="00785ED2" w:rsidRDefault="00444401" w:rsidP="00444401">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96F4330" w14:textId="4482D8E7" w:rsidR="00566EB9" w:rsidRPr="00785ED2"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b/>
          <w:sz w:val="22"/>
          <w:szCs w:val="22"/>
        </w:rPr>
        <w:t xml:space="preserve">3. Interposición del recurso de revisión. </w:t>
      </w:r>
      <w:r w:rsidRPr="00785ED2">
        <w:rPr>
          <w:rFonts w:ascii="Palatino Linotype" w:eastAsia="Palatino Linotype" w:hAnsi="Palatino Linotype" w:cs="Palatino Linotype"/>
          <w:sz w:val="22"/>
          <w:szCs w:val="22"/>
        </w:rPr>
        <w:t xml:space="preserve">Inconforme con los términos de la respuesta emitida por parte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el</w:t>
      </w:r>
      <w:r w:rsidRPr="00785ED2">
        <w:rPr>
          <w:rFonts w:ascii="Palatino Linotype" w:eastAsia="Palatino Linotype" w:hAnsi="Palatino Linotype" w:cs="Palatino Linotype"/>
          <w:b/>
          <w:sz w:val="22"/>
          <w:szCs w:val="22"/>
        </w:rPr>
        <w:t xml:space="preserve"> </w:t>
      </w:r>
      <w:r w:rsidR="0034791F" w:rsidRPr="00785ED2">
        <w:rPr>
          <w:rFonts w:ascii="Palatino Linotype" w:eastAsia="Palatino Linotype" w:hAnsi="Palatino Linotype" w:cs="Palatino Linotype"/>
          <w:b/>
          <w:sz w:val="22"/>
          <w:szCs w:val="22"/>
        </w:rPr>
        <w:t>veinte de agosto</w:t>
      </w:r>
      <w:r w:rsidRPr="00785ED2">
        <w:rPr>
          <w:rFonts w:ascii="Palatino Linotype" w:eastAsia="Palatino Linotype" w:hAnsi="Palatino Linotype" w:cs="Palatino Linotype"/>
          <w:b/>
          <w:sz w:val="22"/>
          <w:szCs w:val="22"/>
        </w:rPr>
        <w:t xml:space="preserve"> de dos mil veinticinco,</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la parte</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interpuso el recurso de revisión a través de </w:t>
      </w:r>
      <w:r w:rsidR="00315AC1" w:rsidRPr="00785ED2">
        <w:rPr>
          <w:rFonts w:ascii="Palatino Linotype" w:eastAsia="Palatino Linotype" w:hAnsi="Palatino Linotype" w:cs="Palatino Linotype"/>
          <w:b/>
          <w:sz w:val="22"/>
          <w:szCs w:val="22"/>
        </w:rPr>
        <w:t>SAIMEX</w:t>
      </w:r>
      <w:r w:rsidR="00AA72A1" w:rsidRPr="00785ED2">
        <w:rPr>
          <w:rFonts w:ascii="Palatino Linotype" w:eastAsia="Palatino Linotype" w:hAnsi="Palatino Linotype" w:cs="Palatino Linotype"/>
          <w:b/>
          <w:sz w:val="22"/>
          <w:szCs w:val="22"/>
        </w:rPr>
        <w:t>,</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en donde se manifestó de la siguiente manera:</w:t>
      </w:r>
    </w:p>
    <w:p w14:paraId="4C715CE2" w14:textId="28620B9C" w:rsidR="00566EB9" w:rsidRPr="00785ED2" w:rsidRDefault="00D41CCE">
      <w:pPr>
        <w:tabs>
          <w:tab w:val="left" w:pos="2745"/>
        </w:tabs>
        <w:spacing w:before="240" w:after="240" w:line="276" w:lineRule="auto"/>
        <w:ind w:left="567" w:right="900"/>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b/>
          <w:sz w:val="22"/>
          <w:szCs w:val="22"/>
        </w:rPr>
        <w:t xml:space="preserve">a) Acto impugnado: </w:t>
      </w:r>
      <w:r w:rsidRPr="00785ED2">
        <w:rPr>
          <w:rFonts w:ascii="Palatino Linotype" w:eastAsia="Palatino Linotype" w:hAnsi="Palatino Linotype" w:cs="Palatino Linotype"/>
          <w:i/>
          <w:sz w:val="22"/>
          <w:szCs w:val="22"/>
        </w:rPr>
        <w:t>“</w:t>
      </w:r>
      <w:r w:rsidR="008C573F" w:rsidRPr="00785ED2">
        <w:rPr>
          <w:rFonts w:ascii="Palatino Linotype" w:eastAsia="Palatino Linotype" w:hAnsi="Palatino Linotype" w:cs="Palatino Linotype"/>
          <w:i/>
          <w:sz w:val="22"/>
          <w:szCs w:val="22"/>
        </w:rPr>
        <w:t>La respuesta contenida en el Oficio número 238 emitido por la Dirección General de Personal de la Oficialía Mayor, relativo a la solicitud de información con folio 00216/OFICIALIA/IP/2025, mediante el cual se negó la entrega de información bajo el argumento de que se trata de un “trámite personal”.</w:t>
      </w:r>
      <w:r w:rsidRPr="00785ED2">
        <w:rPr>
          <w:rFonts w:ascii="Palatino Linotype" w:eastAsia="Palatino Linotype" w:hAnsi="Palatino Linotype" w:cs="Palatino Linotype"/>
          <w:i/>
          <w:sz w:val="22"/>
          <w:szCs w:val="22"/>
        </w:rPr>
        <w:t>” (Sic)</w:t>
      </w:r>
    </w:p>
    <w:p w14:paraId="340518C7" w14:textId="05F1ED42" w:rsidR="00566EB9" w:rsidRPr="00785ED2" w:rsidRDefault="00D41CCE">
      <w:pPr>
        <w:spacing w:line="276" w:lineRule="auto"/>
        <w:ind w:left="567" w:right="900"/>
        <w:jc w:val="both"/>
        <w:rPr>
          <w:rFonts w:ascii="Palatino Linotype" w:eastAsia="Palatino Linotype" w:hAnsi="Palatino Linotype" w:cs="Palatino Linotype"/>
          <w:i/>
          <w:sz w:val="22"/>
          <w:szCs w:val="22"/>
        </w:rPr>
      </w:pPr>
      <w:bookmarkStart w:id="3" w:name="_heading=h.30j0zll" w:colFirst="0" w:colLast="0"/>
      <w:bookmarkEnd w:id="3"/>
      <w:r w:rsidRPr="00785ED2">
        <w:rPr>
          <w:rFonts w:ascii="Palatino Linotype" w:eastAsia="Palatino Linotype" w:hAnsi="Palatino Linotype" w:cs="Palatino Linotype"/>
          <w:b/>
          <w:sz w:val="22"/>
          <w:szCs w:val="22"/>
        </w:rPr>
        <w:t>b) Razones o motivos de inconformidad</w:t>
      </w:r>
      <w:r w:rsidRPr="00785ED2">
        <w:rPr>
          <w:rFonts w:ascii="Palatino Linotype" w:eastAsia="Palatino Linotype" w:hAnsi="Palatino Linotype" w:cs="Palatino Linotype"/>
          <w:sz w:val="22"/>
          <w:szCs w:val="22"/>
        </w:rPr>
        <w:t xml:space="preserve">: </w:t>
      </w:r>
      <w:r w:rsidR="004F6A1F" w:rsidRPr="00785ED2">
        <w:rPr>
          <w:rFonts w:ascii="Palatino Linotype" w:eastAsia="Palatino Linotype" w:hAnsi="Palatino Linotype" w:cs="Palatino Linotype"/>
          <w:i/>
          <w:sz w:val="22"/>
          <w:szCs w:val="22"/>
        </w:rPr>
        <w:t>“</w:t>
      </w:r>
      <w:r w:rsidR="008C573F" w:rsidRPr="00785ED2">
        <w:rPr>
          <w:rFonts w:ascii="Palatino Linotype" w:eastAsia="Palatino Linotype" w:hAnsi="Palatino Linotype" w:cs="Palatino Linotype"/>
          <w:i/>
          <w:sz w:val="22"/>
          <w:szCs w:val="22"/>
        </w:rPr>
        <w:t xml:space="preserve">lll ACTO QUE SE IMPUGNA La respuesta contenida en el Oficio número 238 emitido por la Dirección General de Personal de la Oficialía Mayor, relativo a la solicitud de información con folio 00216/OFICIALIA/IP/2025, mediante el cual se negó la entrega de información bajo el argumento de que se trata de un “trámite personal”. III. ANTECEDENTES 1. El día [fecha de solicitud] presenté solicitud de información con folio 00216/ OFICIALIA /2025, en la que pedí: “El sueldo que percibió el servidor público Fernando Gustavo Pantoja Sánchez, clave ISSEMYM </w:t>
      </w:r>
      <w:r w:rsidR="006763CA">
        <w:rPr>
          <w:rFonts w:ascii="Palatino Linotype" w:eastAsia="Palatino Linotype" w:hAnsi="Palatino Linotype" w:cs="Palatino Linotype"/>
          <w:i/>
          <w:sz w:val="22"/>
          <w:szCs w:val="22"/>
        </w:rPr>
        <w:t>XXXXXXX</w:t>
      </w:r>
      <w:bookmarkStart w:id="4" w:name="_GoBack"/>
      <w:bookmarkEnd w:id="4"/>
      <w:r w:rsidR="008C573F" w:rsidRPr="00785ED2">
        <w:rPr>
          <w:rFonts w:ascii="Palatino Linotype" w:eastAsia="Palatino Linotype" w:hAnsi="Palatino Linotype" w:cs="Palatino Linotype"/>
          <w:i/>
          <w:sz w:val="22"/>
          <w:szCs w:val="22"/>
        </w:rPr>
        <w:t xml:space="preserve">, quien laboró como Profesor en la Secretaría de Educación del Gobierno del Estado de México, ordenado por categoría y rango, por año y mes, desde 1989 hasta su baja por jubilación y/o renuncia, especificando sueldo bruto y neto conforme al tabulador </w:t>
      </w:r>
      <w:r w:rsidR="008C573F" w:rsidRPr="00785ED2">
        <w:rPr>
          <w:rFonts w:ascii="Palatino Linotype" w:eastAsia="Palatino Linotype" w:hAnsi="Palatino Linotype" w:cs="Palatino Linotype"/>
          <w:i/>
          <w:sz w:val="22"/>
          <w:szCs w:val="22"/>
        </w:rPr>
        <w:lastRenderedPageBreak/>
        <w:t xml:space="preserve">oficial, sin incluir datos personales sensibles”. 2. Mediante Oficio número 238, emitido por la Dirección General de Personal de la Oficialía Mayor, se resolvió negar la información argumentando que se trata de un trámite personal. IV. AGRAVIOS 1. Violación al principio de máxima publicidad o El artículo 6º de la Constitución Federal y el artículo 1 de la Ley de Transparencia del Estado de México y Municipios establecen que toda la información en posesión de los sujetos obligados es pública. o El artículo 24 fracción V de la LTAIPEMyM ordena publicar de oficio la información relativa a las remuneraciones y percepciones de los servidores públicos. 2. Clasificación indebida como “trámite personal” o El sueldo, categoría y rango de un servidor público no son un dato personal sensible, sino información pública relativa al uso de recursos públicos. o La Ley Federal de Remuneraciones de los Servidores Públicos (art. 6) obliga a transparentar la totalidad de las remuneraciones. 3. Violación al derecho de acceso a la información o El Oficio 238 incumple con el deber de fundar y motivar de manera adecuada una negativa. o </w:t>
      </w:r>
      <w:r w:rsidR="008C573F" w:rsidRPr="00785ED2">
        <w:rPr>
          <w:rFonts w:ascii="Palatino Linotype" w:eastAsia="Palatino Linotype" w:hAnsi="Palatino Linotype" w:cs="Palatino Linotype"/>
          <w:b/>
          <w:i/>
          <w:sz w:val="22"/>
          <w:szCs w:val="22"/>
        </w:rPr>
        <w:t>El argumento de “trámite personal” no tiene sustento legal, ya que no se pidió una gestión individual ni se vulnera la privacidad del ex servidor, sino información laboral pública</w:t>
      </w:r>
      <w:r w:rsidR="008C573F" w:rsidRPr="00785ED2">
        <w:rPr>
          <w:rFonts w:ascii="Palatino Linotype" w:eastAsia="Palatino Linotype" w:hAnsi="Palatino Linotype" w:cs="Palatino Linotype"/>
          <w:i/>
          <w:sz w:val="22"/>
          <w:szCs w:val="22"/>
        </w:rPr>
        <w:t xml:space="preserve">. 4. Interés legítimo del solicitante o Como ciudadano tengo derecho a conocer cómo se aplicaron los recursos públicos en las remuneraciones de los servidores docentes. o El artículo 5 de la LTAIPEMyM establece que, en caso de duda, debe prevalecer el acceso a la información bajo el principio de máxima publicidad. V. PETICIONES Por lo anterior, solicito respetuosamente al INFOEM: 1. Tener por interpuesto este recurso de revisión contra el Oficio número 238 de la Dirección General de Personal de la Oficialía Mayor. 2. Revocar la respuesta emitida por dicho Oficio, al ser contraria a la Constitución y a la LTAIPEMyM. </w:t>
      </w:r>
      <w:r w:rsidR="008C573F" w:rsidRPr="00785ED2">
        <w:rPr>
          <w:rFonts w:ascii="Palatino Linotype" w:eastAsia="Palatino Linotype" w:hAnsi="Palatino Linotype" w:cs="Palatino Linotype"/>
          <w:b/>
          <w:i/>
          <w:sz w:val="22"/>
          <w:szCs w:val="22"/>
        </w:rPr>
        <w:t>3. Ordenar Al sujeto obligado que entregue la información solicitada, consistente en: o Categoría y rango desempeñados por año. o Sueldo mensual bruto y neto, ordenado por año y mes, desde 1989 hasta la fecha de baja por jubilación y/o renuncia. o Conforme al tabulador oficial de sueldos, sin incluir datos personales sensibles.</w:t>
      </w:r>
      <w:r w:rsidR="008C573F" w:rsidRPr="00785ED2">
        <w:rPr>
          <w:rFonts w:ascii="Palatino Linotype" w:eastAsia="Palatino Linotype" w:hAnsi="Palatino Linotype" w:cs="Palatino Linotype"/>
          <w:i/>
          <w:sz w:val="22"/>
          <w:szCs w:val="22"/>
        </w:rPr>
        <w:t xml:space="preserve"> VI. DERECHO APLICABLE • Constitución Política de los Estados Unidos Mexicanos, artículo 6º. • Ley de Transparencia y Acceso a la Información Pública del Estado de México y Municipios, artículos 1, 5, 24 fracción V, 165 a 167. • Ley Federal de Remuneraciones de los Servidores Públicos, artículo 6. VII. PROTESTA Protesto lo necesario. Atentamente, GUSTAVO ALEJANDRO PANTOJA DÍAZ Solicitante</w:t>
      </w:r>
      <w:r w:rsidRPr="00785ED2">
        <w:rPr>
          <w:rFonts w:ascii="Palatino Linotype" w:eastAsia="Palatino Linotype" w:hAnsi="Palatino Linotype" w:cs="Palatino Linotype"/>
          <w:i/>
          <w:sz w:val="22"/>
          <w:szCs w:val="22"/>
        </w:rPr>
        <w:t>” (Sic)</w:t>
      </w:r>
    </w:p>
    <w:p w14:paraId="347A8C65" w14:textId="77777777" w:rsidR="007C6EC0" w:rsidRPr="00785ED2" w:rsidRDefault="007C6EC0">
      <w:pPr>
        <w:spacing w:line="276" w:lineRule="auto"/>
        <w:ind w:left="567" w:right="900"/>
        <w:jc w:val="both"/>
        <w:rPr>
          <w:rFonts w:ascii="Palatino Linotype" w:eastAsia="Palatino Linotype" w:hAnsi="Palatino Linotype" w:cs="Palatino Linotype"/>
          <w:i/>
          <w:sz w:val="22"/>
          <w:szCs w:val="22"/>
        </w:rPr>
      </w:pPr>
    </w:p>
    <w:p w14:paraId="4294597E" w14:textId="77777777" w:rsidR="00566EB9" w:rsidRPr="00785ED2" w:rsidRDefault="00566EB9" w:rsidP="00B768CB">
      <w:pPr>
        <w:spacing w:line="276" w:lineRule="auto"/>
        <w:ind w:right="900"/>
        <w:jc w:val="both"/>
        <w:rPr>
          <w:rFonts w:ascii="Palatino Linotype" w:eastAsia="Palatino Linotype" w:hAnsi="Palatino Linotype" w:cs="Palatino Linotype"/>
          <w:i/>
          <w:sz w:val="22"/>
          <w:szCs w:val="22"/>
        </w:rPr>
      </w:pPr>
    </w:p>
    <w:p w14:paraId="503A1063" w14:textId="77777777" w:rsidR="00566EB9" w:rsidRPr="00785ED2" w:rsidRDefault="00D41CCE">
      <w:pPr>
        <w:spacing w:line="360" w:lineRule="auto"/>
        <w:ind w:right="51"/>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 xml:space="preserve">4. Turno. </w:t>
      </w:r>
      <w:r w:rsidRPr="00785ED2">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785ED2">
        <w:rPr>
          <w:rFonts w:ascii="Palatino Linotype" w:eastAsia="Palatino Linotype" w:hAnsi="Palatino Linotype" w:cs="Palatino Linotype"/>
          <w:b/>
          <w:sz w:val="22"/>
          <w:szCs w:val="22"/>
        </w:rPr>
        <w:t xml:space="preserve">Guadalupe Ramírez Peña, </w:t>
      </w:r>
      <w:r w:rsidRPr="00785ED2">
        <w:rPr>
          <w:rFonts w:ascii="Palatino Linotype" w:eastAsia="Palatino Linotype" w:hAnsi="Palatino Linotype" w:cs="Palatino Linotype"/>
          <w:sz w:val="22"/>
          <w:szCs w:val="22"/>
        </w:rPr>
        <w:t>a efecto de que analizara sobre su admisión o su desechamiento.</w:t>
      </w:r>
    </w:p>
    <w:p w14:paraId="5E938918" w14:textId="77777777" w:rsidR="00566EB9" w:rsidRPr="00785ED2" w:rsidRDefault="00566EB9">
      <w:pPr>
        <w:spacing w:line="360" w:lineRule="auto"/>
        <w:ind w:right="51"/>
        <w:jc w:val="both"/>
        <w:rPr>
          <w:rFonts w:ascii="Palatino Linotype" w:eastAsia="Palatino Linotype" w:hAnsi="Palatino Linotype" w:cs="Palatino Linotype"/>
          <w:sz w:val="22"/>
          <w:szCs w:val="22"/>
        </w:rPr>
      </w:pPr>
    </w:p>
    <w:p w14:paraId="5CFF4378" w14:textId="432D5DBB" w:rsidR="00566EB9" w:rsidRPr="00785ED2" w:rsidRDefault="00D41CCE">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5. Admisión del Recurso de revisión.</w:t>
      </w:r>
      <w:r w:rsidRPr="00785ED2">
        <w:rPr>
          <w:rFonts w:ascii="Palatino Linotype" w:eastAsia="Palatino Linotype" w:hAnsi="Palatino Linotype" w:cs="Palatino Linotype"/>
          <w:sz w:val="22"/>
          <w:szCs w:val="22"/>
        </w:rPr>
        <w:t xml:space="preserve"> El </w:t>
      </w:r>
      <w:r w:rsidR="008C573F" w:rsidRPr="00785ED2">
        <w:rPr>
          <w:rFonts w:ascii="Palatino Linotype" w:eastAsia="Palatino Linotype" w:hAnsi="Palatino Linotype" w:cs="Palatino Linotype"/>
          <w:b/>
          <w:sz w:val="22"/>
          <w:szCs w:val="22"/>
        </w:rPr>
        <w:t>veinti</w:t>
      </w:r>
      <w:r w:rsidR="009751DF" w:rsidRPr="00785ED2">
        <w:rPr>
          <w:rFonts w:ascii="Palatino Linotype" w:eastAsia="Palatino Linotype" w:hAnsi="Palatino Linotype" w:cs="Palatino Linotype"/>
          <w:b/>
          <w:sz w:val="22"/>
          <w:szCs w:val="22"/>
        </w:rPr>
        <w:t>cinco de agosto</w:t>
      </w:r>
      <w:r w:rsidRPr="00785ED2">
        <w:rPr>
          <w:rFonts w:ascii="Palatino Linotype" w:eastAsia="Palatino Linotype" w:hAnsi="Palatino Linotype" w:cs="Palatino Linotype"/>
          <w:b/>
          <w:sz w:val="22"/>
          <w:szCs w:val="22"/>
        </w:rPr>
        <w:t xml:space="preserve"> de dos mil veinticinco, </w:t>
      </w:r>
      <w:r w:rsidRPr="00785ED2">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785ED2">
        <w:rPr>
          <w:rFonts w:ascii="Palatino Linotype" w:eastAsia="Palatino Linotype" w:hAnsi="Palatino Linotype" w:cs="Palatino Linotype"/>
          <w:b/>
          <w:sz w:val="22"/>
          <w:szCs w:val="22"/>
        </w:rPr>
        <w:t xml:space="preserve">Sujeto Obligado </w:t>
      </w:r>
      <w:r w:rsidRPr="00785ED2">
        <w:rPr>
          <w:rFonts w:ascii="Palatino Linotype" w:eastAsia="Palatino Linotype" w:hAnsi="Palatino Linotype" w:cs="Palatino Linotype"/>
          <w:sz w:val="22"/>
          <w:szCs w:val="22"/>
        </w:rPr>
        <w:t>presentara su informe justificado.</w:t>
      </w:r>
    </w:p>
    <w:p w14:paraId="47CC460F"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76A005F6" w14:textId="6248A732" w:rsidR="008C573F" w:rsidRPr="00785ED2" w:rsidRDefault="00D41CC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785ED2">
        <w:rPr>
          <w:rFonts w:ascii="Palatino Linotype" w:eastAsia="Palatino Linotype" w:hAnsi="Palatino Linotype" w:cs="Palatino Linotype"/>
          <w:b/>
          <w:sz w:val="22"/>
          <w:szCs w:val="22"/>
        </w:rPr>
        <w:t>6. Manifestaciones</w:t>
      </w:r>
      <w:r w:rsidRPr="00785ED2">
        <w:rPr>
          <w:rFonts w:ascii="Palatino Linotype" w:eastAsia="Palatino Linotype" w:hAnsi="Palatino Linotype" w:cs="Palatino Linotype"/>
          <w:sz w:val="22"/>
          <w:szCs w:val="22"/>
        </w:rPr>
        <w:t xml:space="preserve">. </w:t>
      </w:r>
      <w:r w:rsidR="00B768CB" w:rsidRPr="00785ED2">
        <w:rPr>
          <w:rFonts w:ascii="Palatino Linotype" w:eastAsia="Palatino Linotype" w:hAnsi="Palatino Linotype" w:cs="Palatino Linotype"/>
          <w:sz w:val="22"/>
          <w:szCs w:val="22"/>
        </w:rPr>
        <w:t xml:space="preserve">De las constancias que integran el expediente en que se actúa se advierte que </w:t>
      </w:r>
      <w:r w:rsidR="008C573F" w:rsidRPr="00785ED2">
        <w:rPr>
          <w:rFonts w:ascii="Palatino Linotype" w:eastAsia="Palatino Linotype" w:hAnsi="Palatino Linotype" w:cs="Palatino Linotype"/>
          <w:sz w:val="22"/>
          <w:szCs w:val="22"/>
        </w:rPr>
        <w:t xml:space="preserve">en fecha </w:t>
      </w:r>
      <w:r w:rsidR="008C573F" w:rsidRPr="00785ED2">
        <w:rPr>
          <w:rFonts w:ascii="Palatino Linotype" w:eastAsia="Palatino Linotype" w:hAnsi="Palatino Linotype" w:cs="Palatino Linotype"/>
          <w:b/>
          <w:sz w:val="22"/>
          <w:szCs w:val="22"/>
        </w:rPr>
        <w:t xml:space="preserve">nueve de septiembre de dos mil veinticinco, </w:t>
      </w:r>
      <w:r w:rsidR="00AD60AE" w:rsidRPr="00785ED2">
        <w:rPr>
          <w:rFonts w:ascii="Palatino Linotype" w:eastAsia="Palatino Linotype" w:hAnsi="Palatino Linotype" w:cs="Palatino Linotype"/>
          <w:sz w:val="22"/>
          <w:szCs w:val="22"/>
        </w:rPr>
        <w:t xml:space="preserve">la parte </w:t>
      </w:r>
      <w:r w:rsidR="00AD60AE" w:rsidRPr="00785ED2">
        <w:rPr>
          <w:rFonts w:ascii="Palatino Linotype" w:eastAsia="Palatino Linotype" w:hAnsi="Palatino Linotype" w:cs="Palatino Linotype"/>
          <w:b/>
          <w:sz w:val="22"/>
          <w:szCs w:val="22"/>
        </w:rPr>
        <w:t xml:space="preserve">Recurrente </w:t>
      </w:r>
      <w:r w:rsidR="00AD60AE" w:rsidRPr="00785ED2">
        <w:rPr>
          <w:rFonts w:ascii="Palatino Linotype" w:eastAsia="Palatino Linotype" w:hAnsi="Palatino Linotype" w:cs="Palatino Linotype"/>
          <w:sz w:val="22"/>
          <w:szCs w:val="22"/>
        </w:rPr>
        <w:t>realizó manifestaciones a través de la siguiente información:</w:t>
      </w:r>
    </w:p>
    <w:p w14:paraId="18430B19" w14:textId="77777777" w:rsidR="00AD60AE" w:rsidRPr="00785ED2" w:rsidRDefault="00AD60A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7DE55D8" w14:textId="2CAC9E35" w:rsidR="00AD60AE" w:rsidRPr="00785ED2" w:rsidRDefault="00AD60A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00782F02" w:rsidRPr="00785ED2">
        <w:rPr>
          <w:rFonts w:ascii="Palatino Linotype" w:eastAsia="Palatino Linotype" w:hAnsi="Palatino Linotype" w:cs="Palatino Linotype"/>
          <w:sz w:val="22"/>
          <w:szCs w:val="22"/>
        </w:rPr>
        <w:t>Escrito de alegatos, a través del cual la persona solicitante reitera sus motivos de inconformidad</w:t>
      </w:r>
      <w:r w:rsidR="00327469" w:rsidRPr="00785ED2">
        <w:rPr>
          <w:rFonts w:ascii="Palatino Linotype" w:eastAsia="Palatino Linotype" w:hAnsi="Palatino Linotype" w:cs="Palatino Linotype"/>
          <w:b/>
          <w:sz w:val="22"/>
          <w:szCs w:val="22"/>
        </w:rPr>
        <w:t>, en razón de que el particular precisa que no solicitó constancias de percepciones ni deducciones, sino información pública, consistente en la categoría o puesto, rango o nivel, sueldo bruto y neto mensual, por año, del servidor público en cuestión, desde 1989 hasta la fecha de su baja, renuncia o jubilación.</w:t>
      </w:r>
    </w:p>
    <w:p w14:paraId="76965D74" w14:textId="77777777" w:rsidR="00782F02" w:rsidRPr="00785ED2" w:rsidRDefault="00782F02"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018C30BE" w14:textId="7DFA7D00" w:rsidR="00782F02" w:rsidRPr="00785ED2" w:rsidRDefault="00782F02"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-Credencial para votar, expedida por el Instituto Nacional Electoral a nombre del particular.</w:t>
      </w:r>
    </w:p>
    <w:p w14:paraId="7B9E1A98" w14:textId="77777777" w:rsidR="00AD60AE" w:rsidRPr="00785ED2" w:rsidRDefault="00AD60A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5F0D8111" w14:textId="7681A464" w:rsidR="00AD60AE" w:rsidRPr="00785ED2" w:rsidRDefault="00AD60A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 Oficio del 19 de agosto de 2025, signado por el Jefe de la Unidad y Servidor Público Habilitado de la Dirección General de Personal; mismo que fue entregado en respuesta.</w:t>
      </w:r>
    </w:p>
    <w:p w14:paraId="2A0B02F1" w14:textId="77777777" w:rsidR="00AD60AE" w:rsidRPr="00785ED2" w:rsidRDefault="00AD60A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6A1628D" w14:textId="01B85742" w:rsidR="00B768CB" w:rsidRPr="00785ED2" w:rsidRDefault="008C573F"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su lado, </w:t>
      </w:r>
      <w:r w:rsidR="00B768CB" w:rsidRPr="00785ED2">
        <w:rPr>
          <w:rFonts w:ascii="Palatino Linotype" w:eastAsia="Palatino Linotype" w:hAnsi="Palatino Linotype" w:cs="Palatino Linotype"/>
          <w:sz w:val="22"/>
          <w:szCs w:val="22"/>
        </w:rPr>
        <w:t xml:space="preserve">el </w:t>
      </w:r>
      <w:r w:rsidR="00B768CB" w:rsidRPr="00785ED2">
        <w:rPr>
          <w:rFonts w:ascii="Palatino Linotype" w:eastAsia="Palatino Linotype" w:hAnsi="Palatino Linotype" w:cs="Palatino Linotype"/>
          <w:b/>
          <w:sz w:val="22"/>
          <w:szCs w:val="22"/>
        </w:rPr>
        <w:t xml:space="preserve">Sujeto Obligado </w:t>
      </w:r>
      <w:r w:rsidR="00B768CB" w:rsidRPr="00785ED2">
        <w:rPr>
          <w:rFonts w:ascii="Palatino Linotype" w:eastAsia="Palatino Linotype" w:hAnsi="Palatino Linotype" w:cs="Palatino Linotype"/>
          <w:sz w:val="22"/>
          <w:szCs w:val="22"/>
        </w:rPr>
        <w:t xml:space="preserve">en fecha </w:t>
      </w:r>
      <w:r w:rsidRPr="00785ED2">
        <w:rPr>
          <w:rFonts w:ascii="Palatino Linotype" w:eastAsia="Palatino Linotype" w:hAnsi="Palatino Linotype" w:cs="Palatino Linotype"/>
          <w:b/>
          <w:sz w:val="22"/>
          <w:szCs w:val="22"/>
        </w:rPr>
        <w:t>tres de septiembre</w:t>
      </w:r>
      <w:r w:rsidR="00B768CB" w:rsidRPr="00785ED2">
        <w:rPr>
          <w:rFonts w:ascii="Palatino Linotype" w:eastAsia="Palatino Linotype" w:hAnsi="Palatino Linotype" w:cs="Palatino Linotype"/>
          <w:b/>
          <w:sz w:val="22"/>
          <w:szCs w:val="22"/>
        </w:rPr>
        <w:t xml:space="preserve"> de dos mil veinticinco, </w:t>
      </w:r>
      <w:r w:rsidR="00B768CB" w:rsidRPr="00785ED2">
        <w:rPr>
          <w:rFonts w:ascii="Palatino Linotype" w:eastAsia="Palatino Linotype" w:hAnsi="Palatino Linotype" w:cs="Palatino Linotype"/>
          <w:sz w:val="22"/>
          <w:szCs w:val="22"/>
        </w:rPr>
        <w:t>rindió su informe justificado a través de</w:t>
      </w:r>
      <w:r w:rsidR="009751DF" w:rsidRPr="00785ED2">
        <w:rPr>
          <w:rFonts w:ascii="Palatino Linotype" w:eastAsia="Palatino Linotype" w:hAnsi="Palatino Linotype" w:cs="Palatino Linotype"/>
          <w:sz w:val="22"/>
          <w:szCs w:val="22"/>
        </w:rPr>
        <w:t>l</w:t>
      </w:r>
      <w:r w:rsidR="00B768CB" w:rsidRPr="00785ED2">
        <w:rPr>
          <w:rFonts w:ascii="Palatino Linotype" w:eastAsia="Palatino Linotype" w:hAnsi="Palatino Linotype" w:cs="Palatino Linotype"/>
          <w:sz w:val="22"/>
          <w:szCs w:val="22"/>
        </w:rPr>
        <w:t xml:space="preserve"> archivo electrónico denominado </w:t>
      </w:r>
      <w:r w:rsidRPr="00785ED2">
        <w:rPr>
          <w:rFonts w:ascii="Palatino Linotype" w:eastAsia="Palatino Linotype" w:hAnsi="Palatino Linotype" w:cs="Palatino Linotype"/>
          <w:b/>
          <w:i/>
          <w:sz w:val="22"/>
          <w:szCs w:val="22"/>
        </w:rPr>
        <w:t>216 fin.pdf</w:t>
      </w:r>
      <w:r w:rsidR="00B768CB" w:rsidRPr="00785ED2">
        <w:rPr>
          <w:rFonts w:ascii="Palatino Linotype" w:eastAsia="Palatino Linotype" w:hAnsi="Palatino Linotype" w:cs="Palatino Linotype"/>
          <w:b/>
          <w:i/>
          <w:sz w:val="22"/>
          <w:szCs w:val="22"/>
        </w:rPr>
        <w:t>”</w:t>
      </w:r>
      <w:r w:rsidR="00B768CB" w:rsidRPr="00785ED2">
        <w:rPr>
          <w:rFonts w:ascii="Palatino Linotype" w:eastAsia="Palatino Linotype" w:hAnsi="Palatino Linotype" w:cs="Palatino Linotype"/>
          <w:b/>
          <w:sz w:val="22"/>
          <w:szCs w:val="22"/>
        </w:rPr>
        <w:t xml:space="preserve">, </w:t>
      </w:r>
      <w:r w:rsidR="00B768CB" w:rsidRPr="00785ED2">
        <w:rPr>
          <w:rFonts w:ascii="Palatino Linotype" w:eastAsia="Palatino Linotype" w:hAnsi="Palatino Linotype" w:cs="Palatino Linotype"/>
          <w:sz w:val="22"/>
          <w:szCs w:val="22"/>
        </w:rPr>
        <w:t>a través de</w:t>
      </w:r>
      <w:r w:rsidR="009751DF" w:rsidRPr="00785ED2">
        <w:rPr>
          <w:rFonts w:ascii="Palatino Linotype" w:eastAsia="Palatino Linotype" w:hAnsi="Palatino Linotype" w:cs="Palatino Linotype"/>
          <w:sz w:val="22"/>
          <w:szCs w:val="22"/>
        </w:rPr>
        <w:t xml:space="preserve">l </w:t>
      </w:r>
      <w:r w:rsidR="00B768CB" w:rsidRPr="00785ED2">
        <w:rPr>
          <w:rFonts w:ascii="Palatino Linotype" w:eastAsia="Palatino Linotype" w:hAnsi="Palatino Linotype" w:cs="Palatino Linotype"/>
          <w:sz w:val="22"/>
          <w:szCs w:val="22"/>
        </w:rPr>
        <w:t>cual en lo medular s</w:t>
      </w:r>
      <w:r w:rsidR="009751DF" w:rsidRPr="00785ED2">
        <w:rPr>
          <w:rFonts w:ascii="Palatino Linotype" w:eastAsia="Palatino Linotype" w:hAnsi="Palatino Linotype" w:cs="Palatino Linotype"/>
          <w:sz w:val="22"/>
          <w:szCs w:val="22"/>
        </w:rPr>
        <w:t>e ratificó la respuesta inicial</w:t>
      </w:r>
      <w:r w:rsidRPr="00785ED2">
        <w:rPr>
          <w:rFonts w:ascii="Palatino Linotype" w:eastAsia="Palatino Linotype" w:hAnsi="Palatino Linotype" w:cs="Palatino Linotype"/>
          <w:sz w:val="22"/>
          <w:szCs w:val="22"/>
        </w:rPr>
        <w:t>.</w:t>
      </w:r>
    </w:p>
    <w:p w14:paraId="184E8A33" w14:textId="77777777" w:rsidR="00B768CB" w:rsidRPr="00785ED2"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8188B3D" w14:textId="66CF590A" w:rsidR="00B768CB" w:rsidRPr="00785ED2"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noProof/>
          <w:sz w:val="22"/>
          <w:szCs w:val="22"/>
        </w:rPr>
        <w:t>Documento</w:t>
      </w:r>
      <w:r w:rsidR="00E3568F" w:rsidRPr="00785ED2">
        <w:rPr>
          <w:rFonts w:ascii="Palatino Linotype" w:eastAsia="Palatino Linotype" w:hAnsi="Palatino Linotype" w:cs="Palatino Linotype"/>
          <w:noProof/>
          <w:sz w:val="22"/>
          <w:szCs w:val="22"/>
        </w:rPr>
        <w:t xml:space="preserve"> el </w:t>
      </w:r>
      <w:r w:rsidRPr="00785ED2">
        <w:rPr>
          <w:rFonts w:ascii="Palatino Linotype" w:eastAsia="Palatino Linotype" w:hAnsi="Palatino Linotype" w:cs="Palatino Linotype"/>
          <w:noProof/>
          <w:sz w:val="22"/>
          <w:szCs w:val="22"/>
        </w:rPr>
        <w:t xml:space="preserve">anterior que fue puesto a la vista de la parte </w:t>
      </w:r>
      <w:r w:rsidRPr="00785ED2">
        <w:rPr>
          <w:rFonts w:ascii="Palatino Linotype" w:eastAsia="Palatino Linotype" w:hAnsi="Palatino Linotype" w:cs="Palatino Linotype"/>
          <w:b/>
          <w:noProof/>
          <w:sz w:val="22"/>
          <w:szCs w:val="22"/>
        </w:rPr>
        <w:t xml:space="preserve">Recurrente </w:t>
      </w:r>
      <w:r w:rsidRPr="00785ED2">
        <w:rPr>
          <w:rFonts w:ascii="Palatino Linotype" w:eastAsia="Palatino Linotype" w:hAnsi="Palatino Linotype" w:cs="Palatino Linotype"/>
          <w:noProof/>
          <w:sz w:val="22"/>
          <w:szCs w:val="22"/>
        </w:rPr>
        <w:t>a fin de que hiciera valer sus manifestaciones o rindiera alegatos que conforme a derecho resulten procedentes; no obstante, fue omisa en ejercer dicha prerrogativa.</w:t>
      </w:r>
    </w:p>
    <w:p w14:paraId="1EC0C473" w14:textId="073C1294" w:rsidR="00CB4E4D" w:rsidRPr="00785ED2" w:rsidRDefault="00CB4E4D" w:rsidP="00CB4E4D">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34B62814" w14:textId="77665926"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8.</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Ampliación del término para resolver</w:t>
      </w:r>
      <w:r w:rsidRPr="00785ED2">
        <w:rPr>
          <w:rFonts w:ascii="Palatino Linotype" w:eastAsia="Palatino Linotype" w:hAnsi="Palatino Linotype" w:cs="Palatino Linotype"/>
          <w:sz w:val="22"/>
          <w:szCs w:val="22"/>
        </w:rPr>
        <w:t xml:space="preserve">. Mediante acuerdo del </w:t>
      </w:r>
      <w:r w:rsidR="00E3568F" w:rsidRPr="00785ED2">
        <w:rPr>
          <w:rFonts w:ascii="Palatino Linotype" w:eastAsia="Palatino Linotype" w:hAnsi="Palatino Linotype" w:cs="Palatino Linotype"/>
          <w:b/>
          <w:sz w:val="22"/>
          <w:szCs w:val="22"/>
        </w:rPr>
        <w:t>veinticinco</w:t>
      </w:r>
      <w:r w:rsidR="004F6A1F" w:rsidRPr="00785ED2">
        <w:rPr>
          <w:rFonts w:ascii="Palatino Linotype" w:eastAsia="Palatino Linotype" w:hAnsi="Palatino Linotype" w:cs="Palatino Linotype"/>
          <w:b/>
          <w:sz w:val="22"/>
          <w:szCs w:val="22"/>
        </w:rPr>
        <w:t xml:space="preserve"> de febrero</w:t>
      </w:r>
      <w:r w:rsidRPr="00785ED2">
        <w:rPr>
          <w:rFonts w:ascii="Palatino Linotype" w:eastAsia="Palatino Linotype" w:hAnsi="Palatino Linotype" w:cs="Palatino Linotype"/>
          <w:b/>
          <w:sz w:val="22"/>
          <w:szCs w:val="22"/>
        </w:rPr>
        <w:t xml:space="preserve"> de dos mil veintiséis</w:t>
      </w:r>
      <w:r w:rsidRPr="00785ED2">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14:paraId="4B2C6261"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00C6F849" w14:textId="77777777" w:rsidR="00B768CB" w:rsidRPr="00785ED2" w:rsidRDefault="00B768CB" w:rsidP="00B768CB">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C2FC236"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7F3A8C92"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42FCBA2"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38A3AC71"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A1B336E"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0090EEA3"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1F9770"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7E0194AD"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DB1B938" w14:textId="77777777" w:rsidR="00B768CB" w:rsidRPr="00785ED2" w:rsidRDefault="00B768CB" w:rsidP="00B768CB">
      <w:pPr>
        <w:spacing w:line="360" w:lineRule="auto"/>
        <w:jc w:val="both"/>
        <w:rPr>
          <w:rFonts w:ascii="Palatino Linotype" w:eastAsia="Palatino Linotype" w:hAnsi="Palatino Linotype" w:cs="Palatino Linotype"/>
          <w:strike/>
          <w:sz w:val="22"/>
          <w:szCs w:val="22"/>
        </w:rPr>
      </w:pPr>
    </w:p>
    <w:p w14:paraId="461B634C" w14:textId="77777777" w:rsidR="00B768CB" w:rsidRPr="00785ED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Complejidad del Asunto:</w:t>
      </w:r>
      <w:r w:rsidRPr="00785ED2">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23BD3F2A" w14:textId="77777777" w:rsidR="00B768CB" w:rsidRPr="00785ED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Actividad Procesal del interesado</w:t>
      </w:r>
      <w:r w:rsidRPr="00785ED2">
        <w:rPr>
          <w:rFonts w:ascii="Palatino Linotype" w:eastAsia="Palatino Linotype" w:hAnsi="Palatino Linotype" w:cs="Palatino Linotype"/>
          <w:sz w:val="22"/>
          <w:szCs w:val="22"/>
        </w:rPr>
        <w:t>. Acciones u omisiones del interesado.</w:t>
      </w:r>
    </w:p>
    <w:p w14:paraId="2E2CFEF5" w14:textId="77777777" w:rsidR="00B768CB" w:rsidRPr="00785ED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Conducta de la Autoridad:</w:t>
      </w:r>
      <w:r w:rsidRPr="00785ED2">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0F3DC889" w14:textId="77777777" w:rsidR="00B768CB" w:rsidRPr="00785ED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La afectación generada en la situación jurídica de la persona involucrada en el proceso:</w:t>
      </w:r>
      <w:r w:rsidRPr="00785ED2">
        <w:rPr>
          <w:rFonts w:ascii="Palatino Linotype" w:eastAsia="Palatino Linotype" w:hAnsi="Palatino Linotype" w:cs="Palatino Linotype"/>
          <w:sz w:val="22"/>
          <w:szCs w:val="22"/>
        </w:rPr>
        <w:t xml:space="preserve"> Violación a sus derechos humanos.</w:t>
      </w:r>
    </w:p>
    <w:p w14:paraId="5042E6D7" w14:textId="77777777" w:rsidR="00B768CB" w:rsidRPr="00785ED2" w:rsidRDefault="00B768CB" w:rsidP="00B768CB">
      <w:pPr>
        <w:tabs>
          <w:tab w:val="left" w:pos="993"/>
        </w:tabs>
        <w:spacing w:line="360" w:lineRule="auto"/>
        <w:ind w:left="567" w:right="900"/>
        <w:jc w:val="both"/>
        <w:rPr>
          <w:rFonts w:ascii="Palatino Linotype" w:eastAsia="Palatino Linotype" w:hAnsi="Palatino Linotype" w:cs="Palatino Linotype"/>
          <w:sz w:val="22"/>
          <w:szCs w:val="22"/>
        </w:rPr>
      </w:pPr>
    </w:p>
    <w:p w14:paraId="319EB35A"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modo que, cuando se trate de un asunto excepcional, por alguna o todas las características mencionadas; o bien, cuando el ingreso de asuntos al órgano </w:t>
      </w:r>
      <w:r w:rsidRPr="00785ED2">
        <w:rPr>
          <w:rFonts w:ascii="Palatino Linotype" w:eastAsia="Palatino Linotype" w:hAnsi="Palatino Linotype" w:cs="Palatino Linotype"/>
          <w:sz w:val="22"/>
          <w:szCs w:val="22"/>
        </w:rPr>
        <w:lastRenderedPageBreak/>
        <w:t>jurisdiccional o cuasi jurisdiccional respectivo supere notoriamente al que podría considerarse normal, debe concluirse que es una excluyente de responsabilidad en relación con la actuación del funcionario, como ha acontecido en el caso que nos ocupa.</w:t>
      </w:r>
    </w:p>
    <w:p w14:paraId="30535717"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0840ED91"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785ED2">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785ED2">
        <w:rPr>
          <w:rFonts w:ascii="Palatino Linotype" w:eastAsia="Palatino Linotype" w:hAnsi="Palatino Linotype" w:cs="Palatino Linotype"/>
          <w:sz w:val="22"/>
          <w:szCs w:val="22"/>
        </w:rPr>
        <w:t>, visible en la Gaceta del Seminario Judicial de la Federación con el registro digital 205635.</w:t>
      </w:r>
    </w:p>
    <w:p w14:paraId="3DE68FD8" w14:textId="77777777" w:rsidR="00B768CB" w:rsidRPr="00785ED2" w:rsidRDefault="00B768CB" w:rsidP="00B768CB">
      <w:pPr>
        <w:spacing w:line="360" w:lineRule="auto"/>
        <w:jc w:val="both"/>
        <w:rPr>
          <w:rFonts w:ascii="Palatino Linotype" w:eastAsia="Palatino Linotype" w:hAnsi="Palatino Linotype" w:cs="Palatino Linotype"/>
          <w:b/>
          <w:sz w:val="22"/>
          <w:szCs w:val="22"/>
        </w:rPr>
      </w:pPr>
    </w:p>
    <w:p w14:paraId="512925D6"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29D70D0"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5CFDAEE2"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B2AED58"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p>
    <w:p w14:paraId="08E00943" w14:textId="77777777" w:rsidR="00B768CB" w:rsidRPr="00785ED2" w:rsidRDefault="00B768CB" w:rsidP="00B768CB">
      <w:pPr>
        <w:spacing w:line="360" w:lineRule="auto"/>
        <w:ind w:left="851" w:right="90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i/>
          <w:sz w:val="22"/>
          <w:szCs w:val="22"/>
        </w:rPr>
        <w:t xml:space="preserve">“PLAZO RAZONABLE PARA RESOLVER. DIMENSIÓN Y EFECTOS DE ESTE CONCEPTO CUANDO SE ADUCE EXCESIVA CARGA DE </w:t>
      </w:r>
      <w:r w:rsidRPr="00785ED2">
        <w:rPr>
          <w:rFonts w:ascii="Palatino Linotype" w:eastAsia="Palatino Linotype" w:hAnsi="Palatino Linotype" w:cs="Palatino Linotype"/>
          <w:b/>
          <w:i/>
          <w:sz w:val="22"/>
          <w:szCs w:val="22"/>
        </w:rPr>
        <w:lastRenderedPageBreak/>
        <w:t>TRABAJO</w:t>
      </w: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sz w:val="22"/>
          <w:szCs w:val="22"/>
        </w:rPr>
        <w:t xml:space="preserve"> consultable en el Seminario Judicial de la Federación y su gaceta, con el registro digital 2002351.</w:t>
      </w:r>
    </w:p>
    <w:p w14:paraId="15CFFCF9" w14:textId="77777777" w:rsidR="00B768CB" w:rsidRPr="00785ED2" w:rsidRDefault="00B768CB" w:rsidP="00B768CB">
      <w:pPr>
        <w:spacing w:line="360" w:lineRule="auto"/>
        <w:ind w:left="851" w:right="90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785ED2">
        <w:rPr>
          <w:rFonts w:ascii="Palatino Linotype" w:eastAsia="Palatino Linotype" w:hAnsi="Palatino Linotype" w:cs="Palatino Linotype"/>
          <w:sz w:val="22"/>
          <w:szCs w:val="22"/>
        </w:rPr>
        <w:t>, visible en el Seminario Judicial de la Federación y su gaceta, con el registro digital 2002350.</w:t>
      </w:r>
    </w:p>
    <w:p w14:paraId="6728A7AF" w14:textId="77777777" w:rsidR="00B768CB" w:rsidRPr="00785ED2" w:rsidRDefault="00B768CB" w:rsidP="00B768CB">
      <w:pPr>
        <w:spacing w:line="360" w:lineRule="auto"/>
        <w:ind w:left="851" w:right="900"/>
        <w:jc w:val="both"/>
        <w:rPr>
          <w:rFonts w:ascii="Palatino Linotype" w:eastAsia="Palatino Linotype" w:hAnsi="Palatino Linotype" w:cs="Palatino Linotype"/>
          <w:sz w:val="22"/>
          <w:szCs w:val="22"/>
        </w:rPr>
      </w:pPr>
    </w:p>
    <w:p w14:paraId="1DB5CC81" w14:textId="77777777" w:rsidR="00B768CB" w:rsidRPr="00785ED2" w:rsidRDefault="00B768CB" w:rsidP="00B768C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C250D84" w14:textId="7D277B4B" w:rsidR="00326383" w:rsidRPr="00785ED2" w:rsidRDefault="00326383"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59855FF2" w14:textId="19002B16" w:rsidR="00D90F2D" w:rsidRPr="00785ED2" w:rsidRDefault="00B768CB" w:rsidP="00D90F2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9</w:t>
      </w:r>
      <w:r w:rsidR="00D41CCE" w:rsidRPr="00785ED2">
        <w:rPr>
          <w:rFonts w:ascii="Palatino Linotype" w:eastAsia="Palatino Linotype" w:hAnsi="Palatino Linotype" w:cs="Palatino Linotype"/>
          <w:b/>
          <w:sz w:val="22"/>
          <w:szCs w:val="22"/>
        </w:rPr>
        <w:t xml:space="preserve">. </w:t>
      </w:r>
      <w:r w:rsidR="00D90F2D" w:rsidRPr="00785ED2">
        <w:rPr>
          <w:rFonts w:ascii="Palatino Linotype" w:eastAsia="Palatino Linotype" w:hAnsi="Palatino Linotype" w:cs="Palatino Linotype"/>
          <w:b/>
          <w:sz w:val="22"/>
          <w:szCs w:val="22"/>
        </w:rPr>
        <w:t xml:space="preserve">Cierre de instrucción. </w:t>
      </w:r>
      <w:r w:rsidR="00D90F2D" w:rsidRPr="00785ED2">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E3568F" w:rsidRPr="00785ED2">
        <w:rPr>
          <w:rFonts w:ascii="Palatino Linotype" w:eastAsia="Palatino Linotype" w:hAnsi="Palatino Linotype" w:cs="Palatino Linotype"/>
          <w:b/>
          <w:sz w:val="22"/>
          <w:szCs w:val="22"/>
        </w:rPr>
        <w:t>cuatro de marzo</w:t>
      </w:r>
      <w:r w:rsidR="00834E96" w:rsidRPr="00785ED2">
        <w:rPr>
          <w:rFonts w:ascii="Palatino Linotype" w:eastAsia="Palatino Linotype" w:hAnsi="Palatino Linotype" w:cs="Palatino Linotype"/>
          <w:b/>
          <w:sz w:val="22"/>
          <w:szCs w:val="22"/>
        </w:rPr>
        <w:t xml:space="preserve"> de dos mil </w:t>
      </w:r>
      <w:r w:rsidR="00CB4E4D" w:rsidRPr="00785ED2">
        <w:rPr>
          <w:rFonts w:ascii="Palatino Linotype" w:eastAsia="Palatino Linotype" w:hAnsi="Palatino Linotype" w:cs="Palatino Linotype"/>
          <w:b/>
          <w:sz w:val="22"/>
          <w:szCs w:val="22"/>
        </w:rPr>
        <w:t>veintiséis</w:t>
      </w:r>
      <w:r w:rsidR="00834E96" w:rsidRPr="00785ED2">
        <w:rPr>
          <w:rFonts w:ascii="Palatino Linotype" w:eastAsia="Palatino Linotype" w:hAnsi="Palatino Linotype" w:cs="Palatino Linotype"/>
          <w:b/>
          <w:sz w:val="22"/>
          <w:szCs w:val="22"/>
        </w:rPr>
        <w:t>,</w:t>
      </w:r>
      <w:r w:rsidR="00D90F2D" w:rsidRPr="00785ED2">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1392D23" w14:textId="77777777" w:rsidR="00D90F2D" w:rsidRPr="00785ED2" w:rsidRDefault="00D90F2D"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785ED2" w:rsidRDefault="00D41CCE" w:rsidP="003525E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785ED2" w:rsidRDefault="00D41CCE">
      <w:pPr>
        <w:widowControl w:val="0"/>
        <w:spacing w:before="240" w:after="240" w:line="360" w:lineRule="auto"/>
        <w:jc w:val="center"/>
        <w:rPr>
          <w:rFonts w:ascii="Palatino Linotype" w:eastAsia="Palatino Linotype" w:hAnsi="Palatino Linotype" w:cs="Palatino Linotype"/>
          <w:b/>
          <w:sz w:val="22"/>
          <w:szCs w:val="22"/>
        </w:rPr>
      </w:pPr>
      <w:r w:rsidRPr="00785ED2">
        <w:rPr>
          <w:rFonts w:ascii="Palatino Linotype" w:eastAsia="Palatino Linotype" w:hAnsi="Palatino Linotype" w:cs="Palatino Linotype"/>
          <w:b/>
          <w:sz w:val="22"/>
          <w:szCs w:val="22"/>
        </w:rPr>
        <w:t>II. C O N S I D E R A N D O S</w:t>
      </w:r>
    </w:p>
    <w:p w14:paraId="172CA64E" w14:textId="4E501B22" w:rsidR="00566EB9" w:rsidRPr="00785ED2" w:rsidRDefault="00D41CCE">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Primero. Competencia.</w:t>
      </w:r>
      <w:r w:rsidRPr="00785ED2">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w:t>
      </w:r>
      <w:r w:rsidRPr="00785ED2">
        <w:rPr>
          <w:rFonts w:ascii="Palatino Linotype" w:eastAsia="Palatino Linotype" w:hAnsi="Palatino Linotype" w:cs="Palatino Linotype"/>
          <w:sz w:val="22"/>
          <w:szCs w:val="22"/>
        </w:rPr>
        <w:lastRenderedPageBreak/>
        <w:t xml:space="preserve">Estados Unidos Mexicanos; </w:t>
      </w:r>
      <w:r w:rsidR="00834E96" w:rsidRPr="00785ED2">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785ED2">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F4BCFA"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160296F8" w14:textId="77777777" w:rsidR="00566EB9" w:rsidRPr="00785ED2" w:rsidRDefault="00D41CCE">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785ED2">
        <w:rPr>
          <w:rFonts w:ascii="Palatino Linotype" w:eastAsia="Palatino Linotype" w:hAnsi="Palatino Linotype" w:cs="Palatino Linotype"/>
          <w:b/>
          <w:sz w:val="22"/>
          <w:szCs w:val="22"/>
        </w:rPr>
        <w:t>Segundo. Oportunidad y Procedibilidad del Recurso de Revisión</w:t>
      </w:r>
      <w:r w:rsidRPr="00785ED2">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7C665AE4"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7DB9E2DF" w14:textId="0EE5B340" w:rsidR="00566EB9" w:rsidRPr="00785ED2" w:rsidRDefault="00D41CCE">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785ED2">
        <w:rPr>
          <w:rFonts w:ascii="Palatino Linotype" w:eastAsia="Palatino Linotype" w:hAnsi="Palatino Linotype" w:cs="Palatino Linotype"/>
          <w:b/>
          <w:sz w:val="22"/>
          <w:szCs w:val="22"/>
        </w:rPr>
        <w:t xml:space="preserve">Sujeto Obligado </w:t>
      </w:r>
      <w:r w:rsidRPr="00785ED2">
        <w:rPr>
          <w:rFonts w:ascii="Palatino Linotype" w:eastAsia="Palatino Linotype" w:hAnsi="Palatino Linotype" w:cs="Palatino Linotype"/>
          <w:sz w:val="22"/>
          <w:szCs w:val="22"/>
        </w:rPr>
        <w:t>remitió la respuesta a la solicitud de información el</w:t>
      </w:r>
      <w:r w:rsidR="00251B80" w:rsidRPr="00785ED2">
        <w:t xml:space="preserve"> </w:t>
      </w:r>
      <w:r w:rsidR="00476893" w:rsidRPr="00785ED2">
        <w:rPr>
          <w:rFonts w:ascii="Palatino Linotype" w:eastAsia="Palatino Linotype" w:hAnsi="Palatino Linotype" w:cs="Palatino Linotype"/>
          <w:b/>
          <w:sz w:val="22"/>
          <w:szCs w:val="22"/>
        </w:rPr>
        <w:t>veinte de agosto de dos mil veinticinco</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 xml:space="preserve">mientras que el recurso de revisión interpuesto por </w:t>
      </w:r>
      <w:r w:rsidRPr="00785ED2">
        <w:rPr>
          <w:rFonts w:ascii="Palatino Linotype" w:eastAsia="Palatino Linotype" w:hAnsi="Palatino Linotype" w:cs="Palatino Linotype"/>
          <w:b/>
          <w:sz w:val="22"/>
          <w:szCs w:val="22"/>
        </w:rPr>
        <w:t>la parte</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se tuvo por presentado el </w:t>
      </w:r>
      <w:r w:rsidR="00476893" w:rsidRPr="00785ED2">
        <w:rPr>
          <w:rFonts w:ascii="Palatino Linotype" w:eastAsia="Palatino Linotype" w:hAnsi="Palatino Linotype" w:cs="Palatino Linotype"/>
          <w:b/>
          <w:sz w:val="22"/>
          <w:szCs w:val="22"/>
        </w:rPr>
        <w:t>veinte de agosto de dos mil veinticinco</w:t>
      </w:r>
      <w:r w:rsidR="004F6A1F"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sz w:val="22"/>
          <w:szCs w:val="22"/>
        </w:rPr>
        <w:t xml:space="preserve">esto es, </w:t>
      </w:r>
      <w:r w:rsidR="00D760EC" w:rsidRPr="00785ED2">
        <w:rPr>
          <w:rFonts w:ascii="Palatino Linotype" w:eastAsia="Palatino Linotype" w:hAnsi="Palatino Linotype" w:cs="Palatino Linotype"/>
          <w:sz w:val="22"/>
          <w:szCs w:val="22"/>
        </w:rPr>
        <w:t xml:space="preserve">el </w:t>
      </w:r>
      <w:r w:rsidR="00476893" w:rsidRPr="00785ED2">
        <w:rPr>
          <w:rFonts w:ascii="Palatino Linotype" w:eastAsia="Palatino Linotype" w:hAnsi="Palatino Linotype" w:cs="Palatino Linotype"/>
          <w:b/>
          <w:sz w:val="22"/>
          <w:szCs w:val="22"/>
          <w:u w:val="single"/>
        </w:rPr>
        <w:t>mismo día</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en que se tuvo conocimiento de la respuesta impugnada</w:t>
      </w:r>
      <w:r w:rsidRPr="00785ED2">
        <w:rPr>
          <w:rFonts w:ascii="Palatino Linotype" w:eastAsia="Palatino Linotype" w:hAnsi="Palatino Linotype" w:cs="Palatino Linotype"/>
          <w:sz w:val="22"/>
          <w:szCs w:val="22"/>
        </w:rPr>
        <w:t xml:space="preserve">. </w:t>
      </w:r>
    </w:p>
    <w:p w14:paraId="5F418390"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26C61AC7" w14:textId="77777777" w:rsidR="00D760EC" w:rsidRPr="00785ED2" w:rsidRDefault="00D760EC" w:rsidP="00D760EC">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2CCBF051" w14:textId="77777777" w:rsidR="00476893" w:rsidRPr="00785ED2" w:rsidRDefault="00476893" w:rsidP="00D760EC">
      <w:pPr>
        <w:spacing w:line="360" w:lineRule="auto"/>
        <w:jc w:val="both"/>
        <w:rPr>
          <w:rFonts w:ascii="Palatino Linotype" w:eastAsia="Palatino Linotype" w:hAnsi="Palatino Linotype" w:cs="Palatino Linotype"/>
          <w:sz w:val="22"/>
          <w:szCs w:val="22"/>
        </w:rPr>
      </w:pPr>
    </w:p>
    <w:p w14:paraId="73592EC5" w14:textId="77777777" w:rsidR="00476893" w:rsidRPr="00785ED2" w:rsidRDefault="00476893" w:rsidP="0047689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w:t>
      </w:r>
      <w:r w:rsidRPr="00785ED2">
        <w:rPr>
          <w:rFonts w:ascii="Palatino Linotype" w:eastAsia="Palatino Linotype" w:hAnsi="Palatino Linotype" w:cs="Palatino Linotype"/>
          <w:sz w:val="22"/>
          <w:szCs w:val="22"/>
        </w:rPr>
        <w:lastRenderedPageBreak/>
        <w:t>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3F643FAA" w14:textId="77777777" w:rsidR="00476893" w:rsidRPr="00785ED2" w:rsidRDefault="00476893" w:rsidP="00476893">
      <w:pPr>
        <w:spacing w:line="360" w:lineRule="auto"/>
        <w:jc w:val="both"/>
        <w:rPr>
          <w:rFonts w:ascii="Palatino Linotype" w:eastAsia="Palatino Linotype" w:hAnsi="Palatino Linotype" w:cs="Palatino Linotype"/>
          <w:sz w:val="22"/>
          <w:szCs w:val="22"/>
        </w:rPr>
      </w:pPr>
    </w:p>
    <w:p w14:paraId="03EB3F98" w14:textId="77777777" w:rsidR="00476893" w:rsidRPr="00785ED2" w:rsidRDefault="00476893" w:rsidP="00476893">
      <w:pPr>
        <w:spacing w:line="276" w:lineRule="auto"/>
        <w:ind w:left="567" w:right="616"/>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i/>
          <w:sz w:val="22"/>
          <w:szCs w:val="22"/>
        </w:rPr>
        <w:t>“RECURSO DE RECLAMACIÓN. SU INTERPOSICIÓN NO ES EXTEMPORÁNEA SI SE REALIZA ANTES DE QUE INICIE EL PLAZO PARA HACERLO</w:t>
      </w:r>
      <w:r w:rsidRPr="00785ED2">
        <w:rPr>
          <w:rFonts w:ascii="Palatino Linotype" w:eastAsia="Palatino Linotype" w:hAnsi="Palatino Linotype" w:cs="Palatino Linotype"/>
          <w:i/>
          <w:sz w:val="22"/>
          <w:szCs w:val="22"/>
        </w:rPr>
        <w:t>.</w:t>
      </w:r>
    </w:p>
    <w:p w14:paraId="72F34DBB" w14:textId="77777777" w:rsidR="00476893" w:rsidRPr="00785ED2" w:rsidRDefault="00476893" w:rsidP="00476893">
      <w:pPr>
        <w:spacing w:line="276" w:lineRule="auto"/>
        <w:ind w:left="567" w:right="616"/>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i/>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18FE067F" w14:textId="77777777" w:rsidR="00D760EC" w:rsidRPr="00785ED2" w:rsidRDefault="00D760EC" w:rsidP="00D760EC">
      <w:pPr>
        <w:spacing w:line="360" w:lineRule="auto"/>
        <w:jc w:val="both"/>
        <w:rPr>
          <w:rFonts w:ascii="Palatino Linotype" w:eastAsia="Palatino Linotype" w:hAnsi="Palatino Linotype" w:cs="Palatino Linotype"/>
          <w:sz w:val="22"/>
          <w:szCs w:val="22"/>
        </w:rPr>
      </w:pPr>
    </w:p>
    <w:p w14:paraId="6313809A" w14:textId="77777777" w:rsidR="00D760EC" w:rsidRPr="00785ED2" w:rsidRDefault="00D760EC" w:rsidP="00D760EC">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785ED2">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1881407C" w14:textId="77777777" w:rsidR="00944282" w:rsidRPr="00785ED2" w:rsidRDefault="00944282" w:rsidP="00944282">
      <w:pPr>
        <w:tabs>
          <w:tab w:val="left" w:pos="7938"/>
        </w:tabs>
        <w:spacing w:line="360" w:lineRule="auto"/>
        <w:jc w:val="both"/>
        <w:rPr>
          <w:rFonts w:ascii="Palatino Linotype" w:eastAsia="Palatino Linotype" w:hAnsi="Palatino Linotype" w:cs="Palatino Linotype"/>
          <w:sz w:val="22"/>
          <w:szCs w:val="22"/>
        </w:rPr>
      </w:pPr>
    </w:p>
    <w:p w14:paraId="7B14A438" w14:textId="2BD805FD" w:rsidR="00566EB9" w:rsidRPr="00785ED2" w:rsidRDefault="00D41CCE">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Finalmente, se advierte que resulta procedente la interposición del recurso, según lo manifestado por </w:t>
      </w:r>
      <w:r w:rsidRPr="00785ED2">
        <w:rPr>
          <w:rFonts w:ascii="Palatino Linotype" w:eastAsia="Palatino Linotype" w:hAnsi="Palatino Linotype" w:cs="Palatino Linotype"/>
          <w:b/>
          <w:sz w:val="22"/>
          <w:szCs w:val="22"/>
        </w:rPr>
        <w:t>la parte</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en sus motivos de inconformidad, de acuerdo </w:t>
      </w:r>
      <w:r w:rsidR="007F1130" w:rsidRPr="00785ED2">
        <w:rPr>
          <w:rFonts w:ascii="Palatino Linotype" w:eastAsia="Palatino Linotype" w:hAnsi="Palatino Linotype" w:cs="Palatino Linotype"/>
          <w:sz w:val="22"/>
          <w:szCs w:val="22"/>
        </w:rPr>
        <w:t xml:space="preserve">al artículo 179, </w:t>
      </w:r>
      <w:r w:rsidR="00366B0E" w:rsidRPr="00785ED2">
        <w:rPr>
          <w:rFonts w:ascii="Palatino Linotype" w:eastAsia="Palatino Linotype" w:hAnsi="Palatino Linotype" w:cs="Palatino Linotype"/>
          <w:sz w:val="22"/>
          <w:szCs w:val="22"/>
        </w:rPr>
        <w:t>fra</w:t>
      </w:r>
      <w:r w:rsidR="00914756" w:rsidRPr="00785ED2">
        <w:rPr>
          <w:rFonts w:ascii="Palatino Linotype" w:eastAsia="Palatino Linotype" w:hAnsi="Palatino Linotype" w:cs="Palatino Linotype"/>
          <w:sz w:val="22"/>
          <w:szCs w:val="22"/>
        </w:rPr>
        <w:t xml:space="preserve">cción </w:t>
      </w:r>
      <w:r w:rsidR="00E443D5" w:rsidRPr="00785ED2">
        <w:rPr>
          <w:rFonts w:ascii="Palatino Linotype" w:eastAsia="Palatino Linotype" w:hAnsi="Palatino Linotype" w:cs="Palatino Linotype"/>
          <w:sz w:val="22"/>
          <w:szCs w:val="22"/>
        </w:rPr>
        <w:t>V</w:t>
      </w:r>
      <w:r w:rsidR="00C260B3" w:rsidRPr="00785ED2">
        <w:rPr>
          <w:rFonts w:ascii="Palatino Linotype" w:eastAsia="Palatino Linotype" w:hAnsi="Palatino Linotype" w:cs="Palatino Linotype"/>
          <w:sz w:val="22"/>
          <w:szCs w:val="22"/>
        </w:rPr>
        <w:t>I</w:t>
      </w:r>
      <w:r w:rsidRPr="00785ED2">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57F4480A" w14:textId="77777777" w:rsidR="00566EB9" w:rsidRPr="00785ED2" w:rsidRDefault="00D41CCE">
      <w:pPr>
        <w:ind w:left="567"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lastRenderedPageBreak/>
        <w:t>“</w:t>
      </w:r>
      <w:r w:rsidRPr="00785ED2">
        <w:rPr>
          <w:rFonts w:ascii="Palatino Linotype" w:eastAsia="Palatino Linotype" w:hAnsi="Palatino Linotype" w:cs="Palatino Linotype"/>
          <w:b/>
          <w:i/>
          <w:sz w:val="22"/>
          <w:szCs w:val="22"/>
        </w:rPr>
        <w:t>Artículo 179.</w:t>
      </w:r>
      <w:r w:rsidRPr="00785ED2">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0602E745" w14:textId="3FB5EA2B" w:rsidR="00476893" w:rsidRPr="00785ED2" w:rsidRDefault="00476893">
      <w:pPr>
        <w:ind w:left="567"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1EEE6BEC" w14:textId="77777777" w:rsidR="00476893" w:rsidRPr="00785ED2" w:rsidRDefault="00476893" w:rsidP="00A5656A">
      <w:pPr>
        <w:ind w:left="567" w:right="902"/>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 xml:space="preserve">I. La negativa a la información solicitada; </w:t>
      </w:r>
    </w:p>
    <w:p w14:paraId="33F808AB" w14:textId="3BAEF24F" w:rsidR="00566EB9" w:rsidRPr="00785ED2" w:rsidRDefault="00D41CCE" w:rsidP="00A5656A">
      <w:pPr>
        <w:ind w:left="567"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4D715A18" w14:textId="77777777" w:rsidR="00566EB9" w:rsidRPr="00785ED2" w:rsidRDefault="00566EB9">
      <w:pPr>
        <w:ind w:left="567"/>
        <w:rPr>
          <w:rFonts w:ascii="Palatino Linotype" w:eastAsia="Palatino Linotype" w:hAnsi="Palatino Linotype" w:cs="Palatino Linotype"/>
          <w:b/>
          <w:i/>
          <w:sz w:val="22"/>
          <w:szCs w:val="22"/>
        </w:rPr>
      </w:pPr>
    </w:p>
    <w:p w14:paraId="109A199F" w14:textId="77777777" w:rsidR="00566EB9" w:rsidRPr="00785ED2" w:rsidRDefault="00D41CCE">
      <w:pPr>
        <w:ind w:left="567" w:right="900"/>
        <w:jc w:val="right"/>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 </w:t>
      </w:r>
      <w:r w:rsidRPr="00785ED2">
        <w:rPr>
          <w:rFonts w:ascii="Palatino Linotype" w:eastAsia="Palatino Linotype" w:hAnsi="Palatino Linotype" w:cs="Palatino Linotype"/>
          <w:i/>
          <w:sz w:val="22"/>
          <w:szCs w:val="22"/>
        </w:rPr>
        <w:t>(Énfasis añadido)</w:t>
      </w:r>
    </w:p>
    <w:p w14:paraId="7E7E4929" w14:textId="77777777" w:rsidR="00527C07" w:rsidRPr="00785ED2" w:rsidRDefault="00527C07">
      <w:pPr>
        <w:ind w:left="567" w:right="900"/>
        <w:jc w:val="right"/>
        <w:rPr>
          <w:rFonts w:ascii="Palatino Linotype" w:eastAsia="Palatino Linotype" w:hAnsi="Palatino Linotype" w:cs="Palatino Linotype"/>
          <w:b/>
          <w:i/>
          <w:sz w:val="22"/>
          <w:szCs w:val="22"/>
        </w:rPr>
      </w:pPr>
    </w:p>
    <w:p w14:paraId="5961701D" w14:textId="06930F34" w:rsidR="00C501F7" w:rsidRPr="00785ED2" w:rsidRDefault="00C501F7" w:rsidP="00C501F7">
      <w:pPr>
        <w:spacing w:line="360" w:lineRule="auto"/>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b/>
          <w:sz w:val="22"/>
          <w:szCs w:val="22"/>
        </w:rPr>
        <w:t xml:space="preserve">Tercero. Materia de la revisión. </w:t>
      </w:r>
      <w:r w:rsidRPr="00785ED2">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785ED2">
        <w:rPr>
          <w:rFonts w:ascii="Palatino Linotype" w:eastAsia="Palatino Linotype" w:hAnsi="Palatino Linotype" w:cs="Palatino Linotype"/>
          <w:b/>
          <w:sz w:val="22"/>
          <w:szCs w:val="22"/>
        </w:rPr>
        <w:t xml:space="preserve">verificar si la </w:t>
      </w:r>
      <w:r w:rsidR="00527C07" w:rsidRPr="00785ED2">
        <w:rPr>
          <w:rFonts w:ascii="Palatino Linotype" w:eastAsia="Palatino Linotype" w:hAnsi="Palatino Linotype" w:cs="Palatino Linotype"/>
          <w:b/>
          <w:sz w:val="22"/>
          <w:szCs w:val="22"/>
        </w:rPr>
        <w:t xml:space="preserve">información otorgada </w:t>
      </w:r>
      <w:r w:rsidRPr="00785ED2">
        <w:rPr>
          <w:rFonts w:ascii="Palatino Linotype" w:eastAsia="Palatino Linotype" w:hAnsi="Palatino Linotype" w:cs="Palatino Linotype"/>
          <w:b/>
          <w:sz w:val="22"/>
          <w:szCs w:val="22"/>
        </w:rPr>
        <w:t xml:space="preserve">por el Sujeto Obligado </w:t>
      </w:r>
      <w:r w:rsidR="00527C07" w:rsidRPr="00785ED2">
        <w:rPr>
          <w:rFonts w:ascii="Palatino Linotype" w:eastAsia="Palatino Linotype" w:hAnsi="Palatino Linotype" w:cs="Palatino Linotype"/>
          <w:b/>
          <w:sz w:val="22"/>
          <w:szCs w:val="22"/>
        </w:rPr>
        <w:t>es adecuada y suficiente</w:t>
      </w:r>
      <w:r w:rsidRPr="00785ED2">
        <w:rPr>
          <w:rFonts w:ascii="Palatino Linotype" w:eastAsia="Palatino Linotype" w:hAnsi="Palatino Linotype" w:cs="Palatino Linotype"/>
          <w:b/>
          <w:sz w:val="22"/>
          <w:szCs w:val="22"/>
        </w:rPr>
        <w:t xml:space="preserve"> para satisfacer el derecho de acceso a la información pública de la parte Recurrente,</w:t>
      </w:r>
      <w:r w:rsidRPr="00785ED2">
        <w:rPr>
          <w:rFonts w:ascii="Palatino Linotype" w:eastAsia="Palatino Linotype" w:hAnsi="Palatino Linotype" w:cs="Palatino Linotype"/>
          <w:sz w:val="22"/>
          <w:szCs w:val="22"/>
        </w:rPr>
        <w:t xml:space="preserve"> o en su defecto, en caso de ser procedente, ordenar la entrega de la información oportuna.</w:t>
      </w:r>
    </w:p>
    <w:p w14:paraId="0A16ECCC" w14:textId="77777777" w:rsidR="00C501F7" w:rsidRPr="00785ED2" w:rsidRDefault="00C501F7" w:rsidP="00C501F7">
      <w:pPr>
        <w:spacing w:line="360" w:lineRule="auto"/>
        <w:jc w:val="both"/>
        <w:rPr>
          <w:rFonts w:ascii="Palatino Linotype" w:eastAsia="Palatino Linotype" w:hAnsi="Palatino Linotype" w:cs="Palatino Linotype"/>
          <w:sz w:val="22"/>
          <w:szCs w:val="22"/>
        </w:rPr>
      </w:pPr>
    </w:p>
    <w:p w14:paraId="238E79E6" w14:textId="271B300D" w:rsidR="00815093" w:rsidRPr="00785ED2" w:rsidRDefault="00815093" w:rsidP="008150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 xml:space="preserve">Cuarto. Estudio del asunto. </w:t>
      </w:r>
      <w:r w:rsidRPr="00785ED2">
        <w:rPr>
          <w:rFonts w:ascii="Palatino Linotype" w:eastAsia="Palatino Linotype" w:hAnsi="Palatino Linotype" w:cs="Palatino Linotype"/>
          <w:sz w:val="22"/>
          <w:szCs w:val="22"/>
        </w:rPr>
        <w:t xml:space="preserve">Antes de entrar al análisis de los pronunciamientos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785ED2" w:rsidRDefault="00815093" w:rsidP="00815093">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4</w:t>
      </w:r>
      <w:r w:rsidRPr="00785ED2">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w:t>
      </w:r>
      <w:r w:rsidRPr="00785ED2">
        <w:rPr>
          <w:rFonts w:ascii="Palatino Linotype" w:eastAsia="Palatino Linotype" w:hAnsi="Palatino Linotype" w:cs="Palatino Linotype"/>
          <w:i/>
          <w:sz w:val="22"/>
          <w:szCs w:val="22"/>
        </w:rPr>
        <w:lastRenderedPageBreak/>
        <w:t xml:space="preserve">solicitar información pública, sin necesidad de acreditar personalidad ni interés jurídico. </w:t>
      </w:r>
    </w:p>
    <w:p w14:paraId="2D4AAB55"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785ED2">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785ED2">
        <w:rPr>
          <w:rFonts w:ascii="Palatino Linotype" w:eastAsia="Palatino Linotype" w:hAnsi="Palatino Linotype" w:cs="Palatino Linotype"/>
          <w:i/>
          <w:sz w:val="22"/>
          <w:szCs w:val="22"/>
        </w:rPr>
        <w:t>.”</w:t>
      </w:r>
    </w:p>
    <w:p w14:paraId="27FF723E"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p>
    <w:p w14:paraId="0DCE7F1E"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p>
    <w:p w14:paraId="0B86D026" w14:textId="77777777" w:rsidR="00815093" w:rsidRPr="00785ED2" w:rsidRDefault="00815093" w:rsidP="00815093">
      <w:pPr>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12.-</w:t>
      </w:r>
      <w:r w:rsidRPr="00785ED2">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785ED2" w:rsidRDefault="00815093" w:rsidP="00815093">
      <w:pPr>
        <w:ind w:left="851" w:right="843"/>
        <w:jc w:val="both"/>
        <w:rPr>
          <w:rFonts w:ascii="Palatino Linotype" w:eastAsia="Palatino Linotype" w:hAnsi="Palatino Linotype" w:cs="Palatino Linotype"/>
          <w:i/>
          <w:sz w:val="22"/>
          <w:szCs w:val="22"/>
        </w:rPr>
      </w:pPr>
    </w:p>
    <w:p w14:paraId="6E815018" w14:textId="77777777" w:rsidR="00815093" w:rsidRPr="00785ED2" w:rsidRDefault="00815093" w:rsidP="00815093">
      <w:pPr>
        <w:ind w:left="851" w:right="843"/>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 xml:space="preserve">La obligación de proporcionar información no comprende el </w:t>
      </w:r>
      <w:r w:rsidRPr="00785ED2">
        <w:rPr>
          <w:rFonts w:ascii="Palatino Linotype" w:eastAsia="Palatino Linotype" w:hAnsi="Palatino Linotype" w:cs="Palatino Linotype"/>
          <w:b/>
          <w:i/>
          <w:sz w:val="22"/>
          <w:szCs w:val="22"/>
        </w:rPr>
        <w:lastRenderedPageBreak/>
        <w:t xml:space="preserve">procesamiento de la misma, ni el presentarla conforme al interés del solicitante; no estarán obligados a generarla, resumirla, efectuar cálculos o practicar investigaciones”. </w:t>
      </w:r>
    </w:p>
    <w:p w14:paraId="71EAA8B2" w14:textId="77777777" w:rsidR="00815093" w:rsidRPr="00785ED2" w:rsidRDefault="00815093" w:rsidP="00815093">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785ED2" w:rsidRDefault="00815093" w:rsidP="00815093">
      <w:pPr>
        <w:spacing w:line="360" w:lineRule="auto"/>
        <w:ind w:right="-93"/>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785ED2" w:rsidRDefault="00815093" w:rsidP="00815093">
      <w:pPr>
        <w:spacing w:line="360" w:lineRule="auto"/>
        <w:ind w:right="-93"/>
        <w:jc w:val="both"/>
        <w:rPr>
          <w:rFonts w:ascii="Palatino Linotype" w:eastAsia="Palatino Linotype" w:hAnsi="Palatino Linotype" w:cs="Palatino Linotype"/>
          <w:sz w:val="22"/>
          <w:szCs w:val="22"/>
        </w:rPr>
      </w:pPr>
    </w:p>
    <w:p w14:paraId="245CD779" w14:textId="77777777" w:rsidR="00815093" w:rsidRPr="00785ED2" w:rsidRDefault="00815093" w:rsidP="00815093">
      <w:pPr>
        <w:spacing w:line="360" w:lineRule="auto"/>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785ED2">
        <w:rPr>
          <w:rFonts w:ascii="Palatino Linotype" w:eastAsia="Palatino Linotype" w:hAnsi="Palatino Linotype" w:cs="Palatino Linotype"/>
          <w:b/>
          <w:sz w:val="22"/>
          <w:szCs w:val="22"/>
        </w:rPr>
        <w:t xml:space="preserve"> </w:t>
      </w:r>
    </w:p>
    <w:p w14:paraId="18C30F28" w14:textId="77777777" w:rsidR="00815093" w:rsidRPr="00785ED2" w:rsidRDefault="00815093" w:rsidP="00815093">
      <w:pPr>
        <w:spacing w:line="360" w:lineRule="auto"/>
        <w:jc w:val="both"/>
        <w:rPr>
          <w:rFonts w:ascii="Palatino Linotype" w:eastAsia="Palatino Linotype" w:hAnsi="Palatino Linotype" w:cs="Palatino Linotype"/>
          <w:b/>
          <w:sz w:val="22"/>
          <w:szCs w:val="22"/>
        </w:rPr>
      </w:pPr>
    </w:p>
    <w:p w14:paraId="0E292EFA"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No existe obligación de elaborar documentos ad hoc para atender las solicitudes de acceso a la información.</w:t>
      </w:r>
      <w:r w:rsidRPr="00785ED2">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785ED2" w:rsidRDefault="00815093" w:rsidP="00815093">
      <w:pPr>
        <w:spacing w:line="360" w:lineRule="auto"/>
        <w:ind w:right="-93"/>
        <w:jc w:val="both"/>
        <w:rPr>
          <w:rFonts w:ascii="Palatino Linotype" w:eastAsia="Palatino Linotype" w:hAnsi="Palatino Linotype" w:cs="Palatino Linotype"/>
          <w:sz w:val="22"/>
          <w:szCs w:val="22"/>
        </w:rPr>
      </w:pPr>
    </w:p>
    <w:p w14:paraId="458818E7"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esa tesitura, el artículo 24 en su último párrafo de la Ley de la Materia, dispone que los Sujetos Obligados sólo proporcionarán la información pública que generen, administren o </w:t>
      </w:r>
      <w:r w:rsidRPr="00785ED2">
        <w:rPr>
          <w:rFonts w:ascii="Palatino Linotype" w:eastAsia="Palatino Linotype" w:hAnsi="Palatino Linotype" w:cs="Palatino Linotype"/>
          <w:sz w:val="22"/>
          <w:szCs w:val="22"/>
        </w:rPr>
        <w:lastRenderedPageBreak/>
        <w:t>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p>
    <w:p w14:paraId="009F3769" w14:textId="77777777" w:rsidR="00815093" w:rsidRPr="00785ED2" w:rsidRDefault="00815093" w:rsidP="00815093">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785ED2" w:rsidRDefault="00815093" w:rsidP="00815093">
      <w:pPr>
        <w:spacing w:line="360" w:lineRule="auto"/>
        <w:ind w:right="49"/>
        <w:jc w:val="both"/>
        <w:rPr>
          <w:rFonts w:ascii="Palatino Linotype" w:eastAsia="Palatino Linotype" w:hAnsi="Palatino Linotype" w:cs="Palatino Linotype"/>
          <w:sz w:val="22"/>
          <w:szCs w:val="22"/>
        </w:rPr>
      </w:pPr>
    </w:p>
    <w:p w14:paraId="3FBB19FC"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p>
    <w:p w14:paraId="52D4C9E0"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 xml:space="preserve">Artículo 3. </w:t>
      </w:r>
      <w:r w:rsidRPr="00785ED2">
        <w:rPr>
          <w:rFonts w:ascii="Palatino Linotype" w:eastAsia="Palatino Linotype" w:hAnsi="Palatino Linotype" w:cs="Palatino Linotype"/>
          <w:i/>
          <w:sz w:val="22"/>
          <w:szCs w:val="22"/>
        </w:rPr>
        <w:t>Para los efectos de la presente Ley se entenderá por:</w:t>
      </w:r>
    </w:p>
    <w:p w14:paraId="4851850B"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7A69DBB2"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XI. Documento:</w:t>
      </w:r>
      <w:r w:rsidRPr="00785ED2">
        <w:rPr>
          <w:rFonts w:ascii="Palatino Linotype" w:eastAsia="Palatino Linotype" w:hAnsi="Palatino Linotype" w:cs="Palatino Linotype"/>
          <w:i/>
          <w:sz w:val="22"/>
          <w:szCs w:val="22"/>
        </w:rPr>
        <w:t xml:space="preserve"> Los expedientes, reportes, estudios, actas</w:t>
      </w:r>
      <w:r w:rsidRPr="00785ED2">
        <w:rPr>
          <w:rFonts w:ascii="Palatino Linotype" w:eastAsia="Palatino Linotype" w:hAnsi="Palatino Linotype" w:cs="Palatino Linotype"/>
          <w:b/>
          <w:i/>
          <w:sz w:val="22"/>
          <w:szCs w:val="22"/>
        </w:rPr>
        <w:t>,</w:t>
      </w:r>
      <w:r w:rsidRPr="00785ED2">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785ED2" w:rsidRDefault="00815093" w:rsidP="00815093">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p>
    <w:p w14:paraId="68DE4DCD" w14:textId="77777777" w:rsidR="00815093" w:rsidRPr="00785ED2" w:rsidRDefault="00815093" w:rsidP="00815093">
      <w:pPr>
        <w:spacing w:line="276" w:lineRule="auto"/>
        <w:ind w:left="851" w:right="843"/>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sz w:val="22"/>
          <w:szCs w:val="22"/>
        </w:rPr>
        <w:t>“</w:t>
      </w:r>
      <w:r w:rsidRPr="00785ED2">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785ED2">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785ED2" w:rsidRDefault="00815093" w:rsidP="00815093">
      <w:pPr>
        <w:spacing w:line="276" w:lineRule="auto"/>
        <w:ind w:left="851" w:right="843"/>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785ED2" w:rsidRDefault="00815093" w:rsidP="00815093">
      <w:pPr>
        <w:spacing w:line="276" w:lineRule="auto"/>
        <w:ind w:left="851" w:right="843"/>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785ED2" w:rsidRDefault="00815093" w:rsidP="00815093">
      <w:pPr>
        <w:spacing w:line="276" w:lineRule="auto"/>
        <w:ind w:left="851" w:right="843"/>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785ED2" w:rsidRDefault="00815093" w:rsidP="00815093">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785ED2" w:rsidRDefault="00815093" w:rsidP="0081509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ahí que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w:t>
      </w:r>
      <w:r w:rsidRPr="00785ED2">
        <w:rPr>
          <w:rFonts w:ascii="Palatino Linotype" w:eastAsia="Palatino Linotype" w:hAnsi="Palatino Linotype" w:cs="Palatino Linotype"/>
          <w:sz w:val="22"/>
          <w:szCs w:val="22"/>
        </w:rPr>
        <w:lastRenderedPageBreak/>
        <w:t>acuerdo con sus facultades, atribuciones y obligaciones señaladas por la Ley en la materia</w:t>
      </w:r>
      <w:r w:rsidRPr="00785ED2">
        <w:rPr>
          <w:rFonts w:ascii="Palatino Linotype" w:eastAsia="Palatino Linotype" w:hAnsi="Palatino Linotype" w:cs="Palatino Linotype"/>
          <w:sz w:val="22"/>
          <w:szCs w:val="22"/>
          <w:vertAlign w:val="superscript"/>
        </w:rPr>
        <w:footnoteReference w:id="1"/>
      </w:r>
      <w:r w:rsidRPr="00785ED2">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785ED2">
        <w:rPr>
          <w:rFonts w:ascii="Palatino Linotype" w:eastAsia="Palatino Linotype" w:hAnsi="Palatino Linotype" w:cs="Palatino Linotype"/>
          <w:sz w:val="22"/>
          <w:szCs w:val="22"/>
          <w:vertAlign w:val="superscript"/>
        </w:rPr>
        <w:footnoteReference w:id="2"/>
      </w:r>
      <w:r w:rsidRPr="00785ED2">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785ED2"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785ED2"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Dicho lo anterior, en el caso se analizará el agravio hecho valer por la parte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785ED2">
        <w:rPr>
          <w:rFonts w:ascii="Palatino Linotype" w:eastAsia="Palatino Linotype" w:hAnsi="Palatino Linotype" w:cs="Palatino Linotype"/>
          <w:b/>
          <w:sz w:val="22"/>
          <w:szCs w:val="22"/>
          <w:u w:val="single"/>
        </w:rPr>
        <w:t>la negativa a la información solicitada.</w:t>
      </w:r>
    </w:p>
    <w:p w14:paraId="61A53953" w14:textId="77777777" w:rsidR="00815093" w:rsidRPr="00785ED2"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D1C3E46" w14:textId="03C881FA" w:rsidR="002B1723" w:rsidRPr="00785ED2" w:rsidRDefault="00815093" w:rsidP="00E443D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Para ello, conviene iniciar el presente estudio señalando que la persona solicitante requirió del </w:t>
      </w:r>
      <w:r w:rsidRPr="00785ED2">
        <w:rPr>
          <w:rFonts w:ascii="Palatino Linotype" w:eastAsia="Palatino Linotype" w:hAnsi="Palatino Linotype" w:cs="Palatino Linotype"/>
          <w:b/>
          <w:sz w:val="22"/>
          <w:szCs w:val="22"/>
        </w:rPr>
        <w:t>Sujeto Obligado</w:t>
      </w:r>
      <w:r w:rsidR="00E443D5" w:rsidRPr="00785ED2">
        <w:rPr>
          <w:rFonts w:ascii="Palatino Linotype" w:eastAsia="Palatino Linotype" w:hAnsi="Palatino Linotype" w:cs="Palatino Linotype"/>
          <w:sz w:val="22"/>
          <w:szCs w:val="22"/>
        </w:rPr>
        <w:t xml:space="preserve">, </w:t>
      </w:r>
      <w:r w:rsidR="00F333AD" w:rsidRPr="00785ED2">
        <w:rPr>
          <w:rFonts w:ascii="Palatino Linotype" w:eastAsia="Palatino Linotype" w:hAnsi="Palatino Linotype" w:cs="Palatino Linotype"/>
          <w:b/>
          <w:sz w:val="22"/>
          <w:szCs w:val="22"/>
        </w:rPr>
        <w:t>del servidor público señalado en la solicitud de información</w:t>
      </w:r>
      <w:r w:rsidR="00F333AD" w:rsidRPr="00785ED2">
        <w:rPr>
          <w:rFonts w:ascii="Palatino Linotype" w:eastAsia="Palatino Linotype" w:hAnsi="Palatino Linotype" w:cs="Palatino Linotype"/>
          <w:sz w:val="22"/>
          <w:szCs w:val="22"/>
        </w:rPr>
        <w:t xml:space="preserve">, </w:t>
      </w:r>
      <w:r w:rsidR="00F333AD" w:rsidRPr="00785ED2">
        <w:rPr>
          <w:rFonts w:ascii="Palatino Linotype" w:eastAsia="Palatino Linotype" w:hAnsi="Palatino Linotype" w:cs="Palatino Linotype"/>
          <w:b/>
          <w:sz w:val="22"/>
          <w:szCs w:val="22"/>
        </w:rPr>
        <w:t>quien laboró como profesor adscrito a la Secretaría de Educación de la Entidad,</w:t>
      </w:r>
      <w:r w:rsidR="00F333AD" w:rsidRPr="00785ED2">
        <w:rPr>
          <w:rFonts w:ascii="Palatino Linotype" w:eastAsia="Palatino Linotype" w:hAnsi="Palatino Linotype" w:cs="Palatino Linotype"/>
          <w:sz w:val="22"/>
          <w:szCs w:val="22"/>
        </w:rPr>
        <w:t xml:space="preserve"> </w:t>
      </w:r>
      <w:r w:rsidR="00E443D5" w:rsidRPr="00785ED2">
        <w:rPr>
          <w:rFonts w:ascii="Palatino Linotype" w:eastAsia="Palatino Linotype" w:hAnsi="Palatino Linotype" w:cs="Palatino Linotype"/>
          <w:sz w:val="22"/>
          <w:szCs w:val="22"/>
        </w:rPr>
        <w:t>medularmente lo siguiente:</w:t>
      </w:r>
    </w:p>
    <w:p w14:paraId="4A9FC865" w14:textId="77777777" w:rsidR="00EF4569" w:rsidRPr="00785ED2" w:rsidRDefault="00EF4569" w:rsidP="00E443D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3BB0714" w14:textId="418C5ED5" w:rsidR="00EF4569" w:rsidRPr="00785ED2" w:rsidRDefault="00EF4569" w:rsidP="00EF4569">
      <w:pPr>
        <w:pStyle w:val="Prrafodelista"/>
        <w:numPr>
          <w:ilvl w:val="0"/>
          <w:numId w:val="33"/>
        </w:numPr>
        <w:pBdr>
          <w:top w:val="nil"/>
          <w:left w:val="nil"/>
          <w:bottom w:val="nil"/>
          <w:right w:val="nil"/>
          <w:between w:val="nil"/>
        </w:pBdr>
        <w:spacing w:line="360" w:lineRule="auto"/>
        <w:ind w:left="360" w:right="-1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Copia o versión electrónica de</w:t>
      </w:r>
      <w:r w:rsidR="00F333AD" w:rsidRPr="00785ED2">
        <w:rPr>
          <w:rFonts w:ascii="Palatino Linotype" w:eastAsia="Palatino Linotype" w:hAnsi="Palatino Linotype" w:cs="Palatino Linotype"/>
          <w:b/>
          <w:sz w:val="22"/>
          <w:szCs w:val="22"/>
        </w:rPr>
        <w:t xml:space="preserve"> su</w:t>
      </w:r>
      <w:r w:rsidRPr="00785ED2">
        <w:rPr>
          <w:rFonts w:ascii="Palatino Linotype" w:eastAsia="Palatino Linotype" w:hAnsi="Palatino Linotype" w:cs="Palatino Linotype"/>
          <w:b/>
          <w:sz w:val="22"/>
          <w:szCs w:val="22"/>
        </w:rPr>
        <w:t xml:space="preserve"> histo</w:t>
      </w:r>
      <w:r w:rsidR="00F333AD" w:rsidRPr="00785ED2">
        <w:rPr>
          <w:rFonts w:ascii="Palatino Linotype" w:eastAsia="Palatino Linotype" w:hAnsi="Palatino Linotype" w:cs="Palatino Linotype"/>
          <w:b/>
          <w:sz w:val="22"/>
          <w:szCs w:val="22"/>
        </w:rPr>
        <w:t>rial de percepciones salariales.</w:t>
      </w:r>
    </w:p>
    <w:p w14:paraId="790B7449" w14:textId="77777777" w:rsidR="00EF4569" w:rsidRPr="00785ED2" w:rsidRDefault="00EF4569" w:rsidP="00EF4569">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6F331CBE" w14:textId="0E1563FD" w:rsidR="00E443D5" w:rsidRPr="00785ED2" w:rsidRDefault="00F333AD" w:rsidP="00F333AD">
      <w:pPr>
        <w:pStyle w:val="Prrafodelista"/>
        <w:numPr>
          <w:ilvl w:val="0"/>
          <w:numId w:val="33"/>
        </w:numPr>
        <w:pBdr>
          <w:top w:val="nil"/>
          <w:left w:val="nil"/>
          <w:bottom w:val="nil"/>
          <w:right w:val="nil"/>
          <w:between w:val="nil"/>
        </w:pBdr>
        <w:spacing w:line="360" w:lineRule="auto"/>
        <w:ind w:left="426" w:right="-1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D</w:t>
      </w:r>
      <w:r w:rsidR="00EF4569" w:rsidRPr="00785ED2">
        <w:rPr>
          <w:rFonts w:ascii="Palatino Linotype" w:eastAsia="Palatino Linotype" w:hAnsi="Palatino Linotype" w:cs="Palatino Linotype"/>
          <w:b/>
          <w:sz w:val="22"/>
          <w:szCs w:val="22"/>
        </w:rPr>
        <w:t>esde 1989 hasta la fecha de</w:t>
      </w:r>
      <w:r w:rsidRPr="00785ED2">
        <w:rPr>
          <w:rFonts w:ascii="Palatino Linotype" w:eastAsia="Palatino Linotype" w:hAnsi="Palatino Linotype" w:cs="Palatino Linotype"/>
          <w:b/>
          <w:sz w:val="22"/>
          <w:szCs w:val="22"/>
        </w:rPr>
        <w:t xml:space="preserve"> su baja, renuncia o jubilación, los siguientes datos:</w:t>
      </w:r>
      <w:r w:rsidR="00EF4569" w:rsidRPr="00785ED2">
        <w:rPr>
          <w:rFonts w:ascii="Palatino Linotype" w:eastAsia="Palatino Linotype" w:hAnsi="Palatino Linotype" w:cs="Palatino Linotype"/>
          <w:b/>
          <w:sz w:val="22"/>
          <w:szCs w:val="22"/>
        </w:rPr>
        <w:t xml:space="preserve"> categoría o puesto, rango o nivel, sueldo </w:t>
      </w:r>
      <w:r w:rsidRPr="00785ED2">
        <w:rPr>
          <w:rFonts w:ascii="Palatino Linotype" w:eastAsia="Palatino Linotype" w:hAnsi="Palatino Linotype" w:cs="Palatino Linotype"/>
          <w:b/>
          <w:sz w:val="22"/>
          <w:szCs w:val="22"/>
        </w:rPr>
        <w:t>bruto y neto mensual, por año</w:t>
      </w:r>
      <w:r w:rsidR="00EF4569" w:rsidRPr="00785ED2">
        <w:rPr>
          <w:rFonts w:ascii="Palatino Linotype" w:eastAsia="Palatino Linotype" w:hAnsi="Palatino Linotype" w:cs="Palatino Linotype"/>
          <w:sz w:val="22"/>
          <w:szCs w:val="22"/>
        </w:rPr>
        <w:t>.</w:t>
      </w:r>
    </w:p>
    <w:p w14:paraId="4BE2DA71" w14:textId="77777777" w:rsidR="0096775D" w:rsidRPr="00785ED2" w:rsidRDefault="0096775D" w:rsidP="0097075C">
      <w:pPr>
        <w:rPr>
          <w:rFonts w:ascii="Palatino Linotype" w:eastAsia="Palatino Linotype" w:hAnsi="Palatino Linotype" w:cs="Palatino Linotype"/>
          <w:b/>
          <w:sz w:val="22"/>
          <w:szCs w:val="22"/>
        </w:rPr>
      </w:pPr>
    </w:p>
    <w:p w14:paraId="27817BA1" w14:textId="67A2DF5D" w:rsidR="00347952" w:rsidRPr="00785ED2" w:rsidRDefault="00347952"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785ED2">
        <w:rPr>
          <w:rFonts w:ascii="Palatino Linotype" w:eastAsia="Palatino Linotype" w:hAnsi="Palatino Linotype" w:cs="Palatino Linotype"/>
          <w:sz w:val="22"/>
          <w:szCs w:val="22"/>
        </w:rPr>
        <w:lastRenderedPageBreak/>
        <w:t>A lo anterior, el particular motivo su solicitud en el hecho de que la misma información ha sido requerida a la Secretaría de Finanzas, al ISSEMYM y a la Secretaría de Educación de la entidad, quienes se han declarado incompetentes para conocer de lo requerido; y, como sustento de ello</w:t>
      </w:r>
      <w:r w:rsidR="004F636B" w:rsidRPr="00785ED2">
        <w:rPr>
          <w:rFonts w:ascii="Palatino Linotype" w:eastAsia="Palatino Linotype" w:hAnsi="Palatino Linotype" w:cs="Palatino Linotype"/>
          <w:sz w:val="22"/>
          <w:szCs w:val="22"/>
        </w:rPr>
        <w:t>,</w:t>
      </w:r>
      <w:r w:rsidRPr="00785ED2">
        <w:rPr>
          <w:rFonts w:ascii="Palatino Linotype" w:eastAsia="Palatino Linotype" w:hAnsi="Palatino Linotype" w:cs="Palatino Linotype"/>
          <w:sz w:val="22"/>
          <w:szCs w:val="22"/>
        </w:rPr>
        <w:t xml:space="preserve"> como anexos al requerimiento de información, se adjuntaron los oficios y acuerdo, donde dichos entes públicos se declaran incompetentes, además de orientar al particular a presentar su solicitud a la Oficialía Mayor.</w:t>
      </w:r>
    </w:p>
    <w:p w14:paraId="2D70A941" w14:textId="77777777" w:rsidR="00347952" w:rsidRPr="00785ED2" w:rsidRDefault="00347952"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839EFF1" w14:textId="015422C5" w:rsidR="007949E9" w:rsidRPr="00785ED2" w:rsidRDefault="004F636B"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Precisado, en atención al requerimiento de información, </w:t>
      </w:r>
      <w:r w:rsidR="005D2BC9" w:rsidRPr="00785ED2">
        <w:rPr>
          <w:rFonts w:ascii="Palatino Linotype" w:eastAsia="Palatino Linotype" w:hAnsi="Palatino Linotype" w:cs="Palatino Linotype"/>
          <w:b/>
          <w:sz w:val="22"/>
          <w:szCs w:val="22"/>
        </w:rPr>
        <w:t xml:space="preserve">el Sujeto Obligado </w:t>
      </w:r>
      <w:r w:rsidRPr="00785ED2">
        <w:rPr>
          <w:rFonts w:ascii="Palatino Linotype" w:eastAsia="Palatino Linotype" w:hAnsi="Palatino Linotype" w:cs="Palatino Linotype"/>
          <w:sz w:val="22"/>
          <w:szCs w:val="22"/>
        </w:rPr>
        <w:t xml:space="preserve">en respuesta, </w:t>
      </w:r>
      <w:r w:rsidR="00CB4E4D" w:rsidRPr="00785ED2">
        <w:rPr>
          <w:rFonts w:ascii="Palatino Linotype" w:eastAsia="Palatino Linotype" w:hAnsi="Palatino Linotype" w:cs="Palatino Linotype"/>
          <w:sz w:val="22"/>
          <w:szCs w:val="22"/>
        </w:rPr>
        <w:t xml:space="preserve">se pronunció por conducto </w:t>
      </w:r>
      <w:r w:rsidR="007949E9" w:rsidRPr="00785ED2">
        <w:rPr>
          <w:rFonts w:ascii="Palatino Linotype" w:eastAsia="Palatino Linotype" w:hAnsi="Palatino Linotype" w:cs="Palatino Linotype"/>
          <w:sz w:val="22"/>
          <w:szCs w:val="22"/>
        </w:rPr>
        <w:t>de</w:t>
      </w:r>
      <w:r w:rsidR="00E443D5" w:rsidRPr="00785ED2">
        <w:rPr>
          <w:rFonts w:ascii="Palatino Linotype" w:eastAsia="Palatino Linotype" w:hAnsi="Palatino Linotype" w:cs="Palatino Linotype"/>
          <w:sz w:val="22"/>
          <w:szCs w:val="22"/>
        </w:rPr>
        <w:t xml:space="preserve">l </w:t>
      </w:r>
      <w:r w:rsidRPr="00785ED2">
        <w:rPr>
          <w:rFonts w:ascii="Palatino Linotype" w:eastAsia="Palatino Linotype" w:hAnsi="Palatino Linotype" w:cs="Palatino Linotype"/>
          <w:sz w:val="22"/>
          <w:szCs w:val="22"/>
        </w:rPr>
        <w:t>servidor público habilitado de la Dirección General de Personal de la Oficialía Mayor, quien en lo medular refirió que lo requerido versaba en un trámite personal denominado “Emisión de constancias de percepciones y deducciones” para el cual se debía acreditar interés legítimo y jurídico; y, que en tal virtud se orientaba a la persona solicitante para que acudiera de manera personal a gestionar el trámite en las oficinas de la Subdirección de Control de Pagos, señalando dirección y datos de contacto, para que se ejerza el d</w:t>
      </w:r>
      <w:r w:rsidR="00EF05F7" w:rsidRPr="00785ED2">
        <w:rPr>
          <w:rFonts w:ascii="Palatino Linotype" w:eastAsia="Palatino Linotype" w:hAnsi="Palatino Linotype" w:cs="Palatino Linotype"/>
          <w:sz w:val="22"/>
          <w:szCs w:val="22"/>
        </w:rPr>
        <w:t>erecho de petición correspondiente.</w:t>
      </w:r>
    </w:p>
    <w:p w14:paraId="398D5E45" w14:textId="77777777" w:rsidR="00AB76DE" w:rsidRPr="00785ED2" w:rsidRDefault="00AB76DE"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B713241" w14:textId="64F83AE9" w:rsidR="00566EB9" w:rsidRPr="00785ED2" w:rsidRDefault="00D41CCE">
      <w:pPr>
        <w:spacing w:line="360" w:lineRule="auto"/>
        <w:ind w:right="49"/>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Inconforme con la respuesta, la parte </w:t>
      </w:r>
      <w:r w:rsidRPr="00785ED2">
        <w:rPr>
          <w:rFonts w:ascii="Palatino Linotype" w:eastAsia="Palatino Linotype" w:hAnsi="Palatino Linotype" w:cs="Palatino Linotype"/>
          <w:b/>
          <w:sz w:val="22"/>
          <w:szCs w:val="22"/>
        </w:rPr>
        <w:t xml:space="preserve">Recurrente </w:t>
      </w:r>
      <w:r w:rsidRPr="00785ED2">
        <w:rPr>
          <w:rFonts w:ascii="Palatino Linotype" w:eastAsia="Palatino Linotype" w:hAnsi="Palatino Linotype" w:cs="Palatino Linotype"/>
          <w:sz w:val="22"/>
          <w:szCs w:val="22"/>
        </w:rPr>
        <w:t xml:space="preserve">promovió el presente recurso de revisión en el que a manera de motivos de inconformidad </w:t>
      </w:r>
      <w:r w:rsidRPr="00785ED2">
        <w:rPr>
          <w:rFonts w:ascii="Palatino Linotype" w:eastAsia="Palatino Linotype" w:hAnsi="Palatino Linotype" w:cs="Palatino Linotype"/>
          <w:b/>
          <w:sz w:val="22"/>
          <w:szCs w:val="22"/>
        </w:rPr>
        <w:t xml:space="preserve">se adolece medularmente de </w:t>
      </w:r>
      <w:r w:rsidR="00CC3F4A" w:rsidRPr="00785ED2">
        <w:rPr>
          <w:rFonts w:ascii="Palatino Linotype" w:eastAsia="Palatino Linotype" w:hAnsi="Palatino Linotype" w:cs="Palatino Linotype"/>
          <w:b/>
          <w:sz w:val="22"/>
          <w:szCs w:val="22"/>
        </w:rPr>
        <w:t xml:space="preserve">la </w:t>
      </w:r>
      <w:r w:rsidR="00EF05F7" w:rsidRPr="00785ED2">
        <w:rPr>
          <w:rFonts w:ascii="Palatino Linotype" w:eastAsia="Palatino Linotype" w:hAnsi="Palatino Linotype" w:cs="Palatino Linotype"/>
          <w:b/>
          <w:sz w:val="22"/>
          <w:szCs w:val="22"/>
        </w:rPr>
        <w:t xml:space="preserve">negativa a la entrega de la información, </w:t>
      </w:r>
      <w:r w:rsidR="00FB6FCF" w:rsidRPr="00785ED2">
        <w:rPr>
          <w:rFonts w:ascii="Palatino Linotype" w:eastAsia="Palatino Linotype" w:hAnsi="Palatino Linotype" w:cs="Palatino Linotype"/>
          <w:b/>
          <w:sz w:val="22"/>
          <w:szCs w:val="22"/>
        </w:rPr>
        <w:t xml:space="preserve">en razón de que el particular precisa que no pretende realizar una gestión individual ni vulnerar la privacidad del servidor público, pues a lo que pretende acceder es a información pública, </w:t>
      </w:r>
      <w:r w:rsidR="00EF05F7" w:rsidRPr="00785ED2">
        <w:rPr>
          <w:rFonts w:ascii="Palatino Linotype" w:eastAsia="Palatino Linotype" w:hAnsi="Palatino Linotype" w:cs="Palatino Linotype"/>
          <w:b/>
          <w:sz w:val="22"/>
          <w:szCs w:val="22"/>
        </w:rPr>
        <w:t>consistente en la categoría o puesto, rango o nivel, sueldo bruto y neto mensual, por año, del servidor público en cuestión, desde 1989 hasta la fecha de su baja, renuncia o jubilación.</w:t>
      </w:r>
    </w:p>
    <w:p w14:paraId="666CD6A1" w14:textId="77777777" w:rsidR="006F7A2A" w:rsidRPr="00785ED2" w:rsidRDefault="006F7A2A">
      <w:pPr>
        <w:spacing w:line="360" w:lineRule="auto"/>
        <w:ind w:right="49"/>
        <w:jc w:val="both"/>
        <w:rPr>
          <w:rFonts w:ascii="Palatino Linotype" w:eastAsia="Palatino Linotype" w:hAnsi="Palatino Linotype" w:cs="Palatino Linotype"/>
          <w:sz w:val="22"/>
          <w:szCs w:val="22"/>
        </w:rPr>
      </w:pPr>
    </w:p>
    <w:p w14:paraId="60A1B589" w14:textId="77777777" w:rsidR="00566EB9" w:rsidRPr="00785ED2" w:rsidRDefault="00D41CCE">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Admitido el presente recurso de revisión, en términos del artículo 185 fracción II</w:t>
      </w:r>
      <w:r w:rsidRPr="00785ED2">
        <w:rPr>
          <w:rFonts w:ascii="Palatino Linotype" w:eastAsia="Palatino Linotype" w:hAnsi="Palatino Linotype" w:cs="Palatino Linotype"/>
          <w:sz w:val="22"/>
          <w:szCs w:val="22"/>
          <w:vertAlign w:val="superscript"/>
        </w:rPr>
        <w:footnoteReference w:id="3"/>
      </w:r>
      <w:r w:rsidRPr="00785ED2">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36BE4560"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20F07F66" w14:textId="54F53137" w:rsidR="001F1B56" w:rsidRPr="00785ED2" w:rsidRDefault="00CB4E4D" w:rsidP="001F1B56">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las constancias que integran el expediente en que se actúa se advierte que </w:t>
      </w:r>
      <w:r w:rsidR="007949E9" w:rsidRPr="00785ED2">
        <w:rPr>
          <w:rFonts w:ascii="Palatino Linotype" w:eastAsia="Palatino Linotype" w:hAnsi="Palatino Linotype" w:cs="Palatino Linotype"/>
          <w:sz w:val="22"/>
          <w:szCs w:val="22"/>
        </w:rPr>
        <w:t xml:space="preserve">el </w:t>
      </w:r>
      <w:r w:rsidR="007949E9" w:rsidRPr="00785ED2">
        <w:rPr>
          <w:rFonts w:ascii="Palatino Linotype" w:eastAsia="Palatino Linotype" w:hAnsi="Palatino Linotype" w:cs="Palatino Linotype"/>
          <w:b/>
          <w:sz w:val="22"/>
          <w:szCs w:val="22"/>
        </w:rPr>
        <w:t xml:space="preserve">Sujeto Obligado </w:t>
      </w:r>
      <w:r w:rsidR="007949E9" w:rsidRPr="00785ED2">
        <w:rPr>
          <w:rFonts w:ascii="Palatino Linotype" w:eastAsia="Palatino Linotype" w:hAnsi="Palatino Linotype" w:cs="Palatino Linotype"/>
          <w:sz w:val="22"/>
          <w:szCs w:val="22"/>
        </w:rPr>
        <w:t>rindió su informe justificado, ratificando su respuesta inicial.</w:t>
      </w:r>
    </w:p>
    <w:p w14:paraId="5D6DE1AC" w14:textId="77777777" w:rsidR="007949E9" w:rsidRPr="00785ED2" w:rsidRDefault="007949E9" w:rsidP="001F1B56">
      <w:pPr>
        <w:spacing w:line="360" w:lineRule="auto"/>
        <w:jc w:val="both"/>
        <w:rPr>
          <w:rFonts w:ascii="Palatino Linotype" w:eastAsia="Palatino Linotype" w:hAnsi="Palatino Linotype" w:cs="Palatino Linotype"/>
          <w:sz w:val="22"/>
          <w:szCs w:val="22"/>
        </w:rPr>
      </w:pPr>
    </w:p>
    <w:p w14:paraId="5B776364" w14:textId="549E7B4B" w:rsidR="007949E9" w:rsidRPr="00785ED2" w:rsidRDefault="007949E9" w:rsidP="001F1B56">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su lado, la parte </w:t>
      </w:r>
      <w:r w:rsidRPr="00785ED2">
        <w:rPr>
          <w:rFonts w:ascii="Palatino Linotype" w:eastAsia="Palatino Linotype" w:hAnsi="Palatino Linotype" w:cs="Palatino Linotype"/>
          <w:b/>
          <w:sz w:val="22"/>
          <w:szCs w:val="22"/>
        </w:rPr>
        <w:t xml:space="preserve">Recurrente </w:t>
      </w:r>
      <w:r w:rsidR="00CB499B" w:rsidRPr="00785ED2">
        <w:rPr>
          <w:rFonts w:ascii="Palatino Linotype" w:eastAsia="Palatino Linotype" w:hAnsi="Palatino Linotype" w:cs="Palatino Linotype"/>
          <w:sz w:val="22"/>
          <w:szCs w:val="22"/>
        </w:rPr>
        <w:t>rindió manifestaciones en las que medularmente ratifica sus motivos de inconformidad,</w:t>
      </w:r>
      <w:r w:rsidR="00FB6FCF" w:rsidRPr="00785ED2">
        <w:rPr>
          <w:rFonts w:ascii="Palatino Linotype" w:eastAsia="Palatino Linotype" w:hAnsi="Palatino Linotype" w:cs="Palatino Linotype"/>
          <w:sz w:val="22"/>
          <w:szCs w:val="22"/>
        </w:rPr>
        <w:t xml:space="preserve"> </w:t>
      </w:r>
      <w:r w:rsidR="00FB6FCF" w:rsidRPr="00785ED2">
        <w:rPr>
          <w:rFonts w:ascii="Palatino Linotype" w:eastAsia="Palatino Linotype" w:hAnsi="Palatino Linotype" w:cs="Palatino Linotype"/>
          <w:b/>
          <w:sz w:val="22"/>
          <w:szCs w:val="22"/>
        </w:rPr>
        <w:t>señalando que</w:t>
      </w:r>
      <w:r w:rsidR="00CB499B" w:rsidRPr="00785ED2">
        <w:rPr>
          <w:rFonts w:ascii="Palatino Linotype" w:eastAsia="Palatino Linotype" w:hAnsi="Palatino Linotype" w:cs="Palatino Linotype"/>
          <w:sz w:val="22"/>
          <w:szCs w:val="22"/>
        </w:rPr>
        <w:t xml:space="preserve"> </w:t>
      </w:r>
      <w:r w:rsidR="00FB6FCF" w:rsidRPr="00785ED2">
        <w:rPr>
          <w:rFonts w:ascii="Palatino Linotype" w:eastAsia="Palatino Linotype" w:hAnsi="Palatino Linotype" w:cs="Palatino Linotype"/>
          <w:b/>
          <w:sz w:val="22"/>
          <w:szCs w:val="22"/>
        </w:rPr>
        <w:t>no solicitó constancias de percepciones ni deducciones, sino información pública, consistente en la categoría o puesto, rango o nivel, sueldo bruto y neto mensual, por año, del servidor público en cuestión, desde 1989 hasta la fecha de su baja, renuncia o jubilación.</w:t>
      </w:r>
    </w:p>
    <w:p w14:paraId="1D841FEC" w14:textId="77777777" w:rsidR="00CB4E4D" w:rsidRPr="00785ED2" w:rsidRDefault="00CB4E4D" w:rsidP="00B7233F">
      <w:pPr>
        <w:spacing w:line="360" w:lineRule="auto"/>
        <w:jc w:val="both"/>
        <w:rPr>
          <w:rFonts w:ascii="Palatino Linotype" w:eastAsia="Palatino Linotype" w:hAnsi="Palatino Linotype" w:cs="Palatino Linotype"/>
          <w:sz w:val="22"/>
          <w:szCs w:val="22"/>
        </w:rPr>
      </w:pPr>
    </w:p>
    <w:p w14:paraId="10171B13" w14:textId="590F20D6" w:rsidR="00CB499B" w:rsidRPr="00785ED2" w:rsidRDefault="00CB499B" w:rsidP="00CB499B">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Acotado lo anterior, en el caso no pasa por desapercibido que </w:t>
      </w:r>
      <w:r w:rsidRPr="00785ED2">
        <w:rPr>
          <w:rFonts w:ascii="Palatino Linotype" w:eastAsia="Palatino Linotype" w:hAnsi="Palatino Linotype" w:cs="Palatino Linotype"/>
          <w:b/>
          <w:sz w:val="22"/>
          <w:szCs w:val="22"/>
        </w:rPr>
        <w:t>los motivos de inconformidad no versan sobre la totalidad de la información requerida</w:t>
      </w:r>
      <w:r w:rsidRPr="00785ED2">
        <w:rPr>
          <w:rFonts w:ascii="Palatino Linotype" w:eastAsia="Palatino Linotype" w:hAnsi="Palatino Linotype" w:cs="Palatino Linotype"/>
          <w:sz w:val="22"/>
          <w:szCs w:val="22"/>
        </w:rPr>
        <w:t xml:space="preserve">, sino de que </w:t>
      </w:r>
      <w:r w:rsidRPr="00785ED2">
        <w:rPr>
          <w:rFonts w:ascii="Palatino Linotype" w:eastAsia="Palatino Linotype" w:hAnsi="Palatino Linotype" w:cs="Palatino Linotype"/>
          <w:b/>
          <w:sz w:val="22"/>
          <w:szCs w:val="22"/>
        </w:rPr>
        <w:t>no se proporcionó información laboral pública de un servidor público, consistente en</w:t>
      </w:r>
      <w:r w:rsidR="003C2774" w:rsidRPr="00785ED2">
        <w:rPr>
          <w:rFonts w:ascii="Palatino Linotype" w:eastAsia="Palatino Linotype" w:hAnsi="Palatino Linotype" w:cs="Palatino Linotype"/>
          <w:sz w:val="22"/>
          <w:szCs w:val="22"/>
        </w:rPr>
        <w:t xml:space="preserve">: </w:t>
      </w:r>
      <w:r w:rsidR="003C2774" w:rsidRPr="00785ED2">
        <w:rPr>
          <w:rFonts w:ascii="Palatino Linotype" w:eastAsia="Palatino Linotype" w:hAnsi="Palatino Linotype" w:cs="Palatino Linotype"/>
          <w:b/>
          <w:sz w:val="22"/>
          <w:szCs w:val="22"/>
        </w:rPr>
        <w:t xml:space="preserve">puesto, categoría, nivel o rango, </w:t>
      </w:r>
      <w:r w:rsidRPr="00785ED2">
        <w:rPr>
          <w:rFonts w:ascii="Palatino Linotype" w:eastAsia="Palatino Linotype" w:hAnsi="Palatino Linotype" w:cs="Palatino Linotype"/>
          <w:b/>
          <w:sz w:val="22"/>
          <w:szCs w:val="22"/>
        </w:rPr>
        <w:t>sueldo bruto y neto, de manera mensual, desde 1989 hasta su baja.</w:t>
      </w:r>
    </w:p>
    <w:p w14:paraId="592B7739" w14:textId="77777777" w:rsidR="00CB499B" w:rsidRPr="00785ED2" w:rsidRDefault="00CB499B" w:rsidP="00CB499B">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p>
    <w:p w14:paraId="61766531" w14:textId="202C5E65" w:rsidR="00CB499B" w:rsidRPr="00785ED2" w:rsidRDefault="00CB499B" w:rsidP="00CB499B">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En consecuencia, se considera que el particular no impugna el punto relativo a la “</w:t>
      </w:r>
      <w:r w:rsidRPr="00785ED2">
        <w:rPr>
          <w:rFonts w:ascii="Palatino Linotype" w:eastAsia="Palatino Linotype" w:hAnsi="Palatino Linotype" w:cs="Palatino Linotype"/>
          <w:b/>
          <w:i/>
          <w:sz w:val="22"/>
          <w:szCs w:val="22"/>
        </w:rPr>
        <w:t>Copia o versión electrónica del historial de percepciones salariales</w:t>
      </w:r>
      <w:r w:rsidRPr="00785ED2">
        <w:rPr>
          <w:rFonts w:ascii="Palatino Linotype" w:eastAsia="Palatino Linotype" w:hAnsi="Palatino Linotype" w:cs="Palatino Linotype"/>
          <w:sz w:val="22"/>
          <w:szCs w:val="22"/>
        </w:rPr>
        <w:t>”, del servidor público referido en la solicitud de información, sino únicamente de la falta de entrega de los</w:t>
      </w:r>
      <w:r w:rsidR="00AF5FF4" w:rsidRPr="00785ED2">
        <w:rPr>
          <w:rFonts w:ascii="Palatino Linotype" w:eastAsia="Palatino Linotype" w:hAnsi="Palatino Linotype" w:cs="Palatino Linotype"/>
          <w:sz w:val="22"/>
          <w:szCs w:val="22"/>
        </w:rPr>
        <w:t xml:space="preserve"> siguientes datos </w:t>
      </w:r>
      <w:r w:rsidR="00AF5FF4" w:rsidRPr="00785ED2">
        <w:rPr>
          <w:rFonts w:ascii="Palatino Linotype" w:eastAsia="Palatino Linotype" w:hAnsi="Palatino Linotype" w:cs="Palatino Linotype"/>
          <w:sz w:val="22"/>
          <w:szCs w:val="22"/>
        </w:rPr>
        <w:lastRenderedPageBreak/>
        <w:t xml:space="preserve">de dicho servidor público: </w:t>
      </w:r>
      <w:r w:rsidR="003C2774" w:rsidRPr="00785ED2">
        <w:rPr>
          <w:rFonts w:ascii="Palatino Linotype" w:eastAsia="Palatino Linotype" w:hAnsi="Palatino Linotype" w:cs="Palatino Linotype"/>
          <w:b/>
          <w:sz w:val="22"/>
          <w:szCs w:val="22"/>
        </w:rPr>
        <w:t xml:space="preserve">puesto, categoría, nivel  o rango, </w:t>
      </w:r>
      <w:r w:rsidR="00AF5FF4" w:rsidRPr="00785ED2">
        <w:rPr>
          <w:rFonts w:ascii="Palatino Linotype" w:eastAsia="Palatino Linotype" w:hAnsi="Palatino Linotype" w:cs="Palatino Linotype"/>
          <w:b/>
          <w:sz w:val="22"/>
          <w:szCs w:val="22"/>
        </w:rPr>
        <w:t>sueldo bruto y neto, de manera mensual, desde 1989 hasta su baja</w:t>
      </w:r>
      <w:r w:rsidR="00F55694" w:rsidRPr="00785ED2">
        <w:rPr>
          <w:rFonts w:ascii="Palatino Linotype" w:eastAsia="Palatino Linotype" w:hAnsi="Palatino Linotype" w:cs="Palatino Linotype"/>
          <w:b/>
          <w:sz w:val="22"/>
          <w:szCs w:val="22"/>
        </w:rPr>
        <w:t>.</w:t>
      </w:r>
    </w:p>
    <w:p w14:paraId="1614F8F9" w14:textId="77777777" w:rsidR="00CB499B" w:rsidRPr="00785ED2" w:rsidRDefault="00CB499B" w:rsidP="00CB499B">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DA018B6"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Lo anterior es así, debido a que cuando la parte </w:t>
      </w:r>
      <w:r w:rsidRPr="00785ED2">
        <w:rPr>
          <w:rFonts w:ascii="Palatino Linotype" w:eastAsia="Palatino Linotype" w:hAnsi="Palatino Linotype" w:cs="Palatino Linotype"/>
          <w:b/>
          <w:sz w:val="22"/>
          <w:szCs w:val="22"/>
        </w:rPr>
        <w:t xml:space="preserve">Recurrente </w:t>
      </w:r>
      <w:r w:rsidRPr="00785ED2">
        <w:rPr>
          <w:rFonts w:ascii="Palatino Linotype" w:eastAsia="Palatino Linotype" w:hAnsi="Palatino Linotype" w:cs="Palatino Linotype"/>
          <w:sz w:val="22"/>
          <w:szCs w:val="22"/>
        </w:rPr>
        <w:t xml:space="preserve">impugna la respuesta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y este no expresa Razón o Motivo de Inconformidad en contra de todos los rubros solicitados, los rubros no impugnados deben declararse atendidos, pues se entiende que la parte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ésta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p>
    <w:p w14:paraId="41E0D70F"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p>
    <w:p w14:paraId="69A7253A" w14:textId="77777777" w:rsidR="00CB499B" w:rsidRPr="00785ED2" w:rsidRDefault="00CB499B" w:rsidP="00CB499B">
      <w:pPr>
        <w:spacing w:line="276" w:lineRule="auto"/>
        <w:ind w:left="567"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“REVISIÓN EN AMPARO. LOS RESOLUTIVOS NO COMBATIDOS DEBEN DECLARARSE FIRMES. </w:t>
      </w:r>
      <w:r w:rsidRPr="00785ED2">
        <w:rPr>
          <w:rFonts w:ascii="Palatino Linotype" w:eastAsia="Palatino Linotype" w:hAnsi="Palatino Linotype" w:cs="Palatino Linotype"/>
          <w:i/>
          <w:sz w:val="22"/>
          <w:szCs w:val="22"/>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4C4C068C" w14:textId="77777777" w:rsidR="00CB499B" w:rsidRPr="00785ED2" w:rsidRDefault="00CB499B" w:rsidP="00CB499B">
      <w:pPr>
        <w:spacing w:line="276" w:lineRule="auto"/>
        <w:ind w:left="567" w:right="616"/>
        <w:jc w:val="both"/>
        <w:rPr>
          <w:rFonts w:ascii="Palatino Linotype" w:eastAsia="Palatino Linotype" w:hAnsi="Palatino Linotype" w:cs="Palatino Linotype"/>
          <w:i/>
          <w:sz w:val="22"/>
          <w:szCs w:val="22"/>
        </w:rPr>
      </w:pPr>
    </w:p>
    <w:p w14:paraId="1BA418F4"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Consecuentemente, se insiste, ante la falta de impugnación eficaz de todos los rubros solicitados, </w:t>
      </w:r>
      <w:r w:rsidRPr="00785ED2">
        <w:rPr>
          <w:rFonts w:ascii="Palatino Linotype" w:eastAsia="Palatino Linotype" w:hAnsi="Palatino Linotype" w:cs="Palatino Linotype"/>
          <w:b/>
          <w:sz w:val="22"/>
          <w:szCs w:val="22"/>
        </w:rPr>
        <w:t>los no impugnados deben declararse consentidos.</w:t>
      </w:r>
    </w:p>
    <w:p w14:paraId="015E184B"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p>
    <w:p w14:paraId="11D6ABF2"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Lo anterior se sustenta con lo plasmado en el criterio orientador 01/20 emitido por el entonces Instituto Nacional de Transparencia, Acceso a la Información, y Protección de Datos Personales, INAI, que lleva por rubro y texto los siguientes: </w:t>
      </w:r>
    </w:p>
    <w:p w14:paraId="738F2D51"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p>
    <w:p w14:paraId="56CA6FED" w14:textId="77777777" w:rsidR="00CB499B" w:rsidRPr="00785ED2" w:rsidRDefault="00CB499B" w:rsidP="00CB499B">
      <w:pPr>
        <w:pBdr>
          <w:top w:val="nil"/>
          <w:left w:val="nil"/>
          <w:bottom w:val="nil"/>
          <w:right w:val="nil"/>
          <w:between w:val="nil"/>
        </w:pBdr>
        <w:spacing w:line="276" w:lineRule="auto"/>
        <w:ind w:left="567"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 xml:space="preserve">Actos consentidos tácitamente. Improcedencia de su análisis. </w:t>
      </w:r>
      <w:r w:rsidRPr="00785ED2">
        <w:rPr>
          <w:rFonts w:ascii="Palatino Linotype" w:eastAsia="Palatino Linotype" w:hAnsi="Palatino Linotype" w:cs="Palatino Linotype"/>
          <w:i/>
          <w:sz w:val="22"/>
          <w:szCs w:val="22"/>
        </w:rPr>
        <w:t xml:space="preserve">Si en su recurso de revisión, la persona recurrente no expresó inconformidad alguna con </w:t>
      </w:r>
      <w:r w:rsidRPr="00785ED2">
        <w:rPr>
          <w:rFonts w:ascii="Palatino Linotype" w:eastAsia="Palatino Linotype" w:hAnsi="Palatino Linotype" w:cs="Palatino Linotype"/>
          <w:i/>
          <w:sz w:val="22"/>
          <w:szCs w:val="22"/>
        </w:rPr>
        <w:lastRenderedPageBreak/>
        <w:t>ciertas partes de la respuesta otorgada, se entienden tácitamente consentidas, por ende, no deben formar parte del estudio de fondo de la resolución que emite el Instituto.”</w:t>
      </w:r>
    </w:p>
    <w:p w14:paraId="2F34C41F" w14:textId="77777777" w:rsidR="00CB499B" w:rsidRPr="00785ED2" w:rsidRDefault="00CB499B" w:rsidP="00CB499B">
      <w:pPr>
        <w:pBdr>
          <w:top w:val="nil"/>
          <w:left w:val="nil"/>
          <w:bottom w:val="nil"/>
          <w:right w:val="nil"/>
          <w:between w:val="nil"/>
        </w:pBdr>
        <w:spacing w:line="360" w:lineRule="auto"/>
        <w:ind w:left="567" w:right="902"/>
        <w:jc w:val="both"/>
        <w:rPr>
          <w:rFonts w:ascii="Palatino Linotype" w:eastAsia="Palatino Linotype" w:hAnsi="Palatino Linotype" w:cs="Palatino Linotype"/>
          <w:i/>
          <w:sz w:val="22"/>
          <w:szCs w:val="22"/>
        </w:rPr>
      </w:pPr>
    </w:p>
    <w:p w14:paraId="165497C1" w14:textId="77777777" w:rsidR="00CB499B" w:rsidRPr="00785ED2" w:rsidRDefault="00CB499B" w:rsidP="00CB499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Asimismo, resulta aplicable por analogía la tesis jurisprudencial número VI.3o.C. J/60, publicada en el Semanario Judicial de la Federación y su Gaceta bajo el número de registro 176,608 que a la letra dice:</w:t>
      </w:r>
    </w:p>
    <w:p w14:paraId="464E8D52" w14:textId="77777777" w:rsidR="00CB499B" w:rsidRPr="00785ED2" w:rsidRDefault="00CB499B" w:rsidP="00CB499B">
      <w:pPr>
        <w:spacing w:line="360" w:lineRule="auto"/>
        <w:ind w:left="851" w:right="900"/>
        <w:jc w:val="both"/>
        <w:rPr>
          <w:rFonts w:ascii="Palatino Linotype" w:eastAsia="Palatino Linotype" w:hAnsi="Palatino Linotype" w:cs="Palatino Linotype"/>
          <w:b/>
          <w:i/>
          <w:smallCaps/>
          <w:sz w:val="22"/>
          <w:szCs w:val="22"/>
        </w:rPr>
      </w:pPr>
    </w:p>
    <w:p w14:paraId="4E906432" w14:textId="77777777" w:rsidR="00CB499B" w:rsidRPr="00785ED2" w:rsidRDefault="00CB499B" w:rsidP="00CB499B">
      <w:pPr>
        <w:tabs>
          <w:tab w:val="left" w:pos="851"/>
          <w:tab w:val="left" w:pos="1276"/>
        </w:tabs>
        <w:spacing w:line="276" w:lineRule="auto"/>
        <w:ind w:left="567" w:right="70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i/>
          <w:smallCaps/>
          <w:sz w:val="22"/>
          <w:szCs w:val="22"/>
        </w:rPr>
        <w:t xml:space="preserve">“ACTOS CONSENTIDOS. SON LOS QUE NO SE IMPUGNAN MEDIANTE EL RECURSO IDÓNEO. </w:t>
      </w:r>
      <w:r w:rsidRPr="00785ED2">
        <w:rPr>
          <w:rFonts w:ascii="Palatino Linotype" w:eastAsia="Palatino Linotype" w:hAnsi="Palatino Linotype" w:cs="Palatino Linotype"/>
          <w:i/>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460B11A" w14:textId="77777777" w:rsidR="00CB499B" w:rsidRPr="00785ED2" w:rsidRDefault="00CB499B" w:rsidP="00CB499B">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C76EB3D" w14:textId="612DFF63" w:rsidR="00CB499B" w:rsidRPr="00785ED2" w:rsidRDefault="00CB499B" w:rsidP="00CB499B">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tanto, el presente estudio versara únicamente respecto </w:t>
      </w:r>
      <w:r w:rsidR="00F55694" w:rsidRPr="00785ED2">
        <w:rPr>
          <w:rFonts w:ascii="Palatino Linotype" w:eastAsia="Palatino Linotype" w:hAnsi="Palatino Linotype" w:cs="Palatino Linotype"/>
          <w:sz w:val="22"/>
          <w:szCs w:val="22"/>
        </w:rPr>
        <w:t xml:space="preserve">la falta de entrega de los siguientes datos del servidor público señalado en la solicitud: </w:t>
      </w:r>
      <w:r w:rsidR="003C2774" w:rsidRPr="00785ED2">
        <w:rPr>
          <w:rFonts w:ascii="Palatino Linotype" w:eastAsia="Palatino Linotype" w:hAnsi="Palatino Linotype" w:cs="Palatino Linotype"/>
          <w:b/>
          <w:sz w:val="22"/>
          <w:szCs w:val="22"/>
        </w:rPr>
        <w:t xml:space="preserve">puesto, categoría, </w:t>
      </w:r>
      <w:r w:rsidR="00FB6FCF" w:rsidRPr="00785ED2">
        <w:rPr>
          <w:rFonts w:ascii="Palatino Linotype" w:eastAsia="Palatino Linotype" w:hAnsi="Palatino Linotype" w:cs="Palatino Linotype"/>
          <w:b/>
          <w:sz w:val="22"/>
          <w:szCs w:val="22"/>
        </w:rPr>
        <w:t xml:space="preserve">nivel </w:t>
      </w:r>
      <w:r w:rsidR="00F55694" w:rsidRPr="00785ED2">
        <w:rPr>
          <w:rFonts w:ascii="Palatino Linotype" w:eastAsia="Palatino Linotype" w:hAnsi="Palatino Linotype" w:cs="Palatino Linotype"/>
          <w:b/>
          <w:sz w:val="22"/>
          <w:szCs w:val="22"/>
        </w:rPr>
        <w:t>o rango, sueldo bruto y neto, de manera mensual, desde 1989 hasta su baja.</w:t>
      </w:r>
    </w:p>
    <w:p w14:paraId="170F9334" w14:textId="6E983AA1" w:rsidR="00CB499B" w:rsidRPr="00785ED2" w:rsidRDefault="00CB499B" w:rsidP="008736CC">
      <w:pPr>
        <w:spacing w:line="360" w:lineRule="auto"/>
        <w:jc w:val="both"/>
        <w:rPr>
          <w:rFonts w:ascii="Palatino Linotype" w:eastAsia="Palatino Linotype" w:hAnsi="Palatino Linotype" w:cs="Palatino Linotype"/>
          <w:sz w:val="22"/>
          <w:szCs w:val="22"/>
        </w:rPr>
      </w:pPr>
    </w:p>
    <w:p w14:paraId="610E293F" w14:textId="3A106E5F" w:rsidR="009123CF" w:rsidRPr="00785ED2" w:rsidRDefault="009123CF" w:rsidP="008736CC">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Dicho lo anterior, y atendiendo que el servidor público de quien se requiere la información laboró para una dependencia adscrita al sector central del Poder Ejecutivo del Estado, esto es, la </w:t>
      </w:r>
      <w:r w:rsidRPr="00785ED2">
        <w:rPr>
          <w:rFonts w:ascii="Palatino Linotype" w:eastAsia="Palatino Linotype" w:hAnsi="Palatino Linotype" w:cs="Palatino Linotype"/>
          <w:b/>
          <w:sz w:val="22"/>
          <w:szCs w:val="22"/>
        </w:rPr>
        <w:t>Secretaría de Educación,</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bCs/>
          <w:sz w:val="22"/>
          <w:szCs w:val="22"/>
        </w:rPr>
        <w:t>Ciencia, Tecnología e Innovación</w:t>
      </w:r>
      <w:r w:rsidRPr="00785ED2">
        <w:rPr>
          <w:rFonts w:ascii="Palatino Linotype" w:eastAsia="Palatino Linotype" w:hAnsi="Palatino Linotype" w:cs="Palatino Linotype"/>
          <w:sz w:val="22"/>
          <w:szCs w:val="22"/>
        </w:rPr>
        <w:t xml:space="preserve">, es oportuno hacer las siguientes precisiones con relación a la competencia de la </w:t>
      </w:r>
      <w:r w:rsidRPr="00785ED2">
        <w:rPr>
          <w:rFonts w:ascii="Palatino Linotype" w:eastAsia="Palatino Linotype" w:hAnsi="Palatino Linotype" w:cs="Palatino Linotype"/>
          <w:b/>
          <w:sz w:val="22"/>
          <w:szCs w:val="22"/>
        </w:rPr>
        <w:t>Oficialía Mayor</w:t>
      </w:r>
      <w:r w:rsidR="00AD3142" w:rsidRPr="00785ED2">
        <w:rPr>
          <w:rFonts w:ascii="Palatino Linotype" w:eastAsia="Palatino Linotype" w:hAnsi="Palatino Linotype" w:cs="Palatino Linotype"/>
          <w:sz w:val="22"/>
          <w:szCs w:val="22"/>
        </w:rPr>
        <w:t xml:space="preserve"> para conocer de lo requerido:</w:t>
      </w:r>
    </w:p>
    <w:p w14:paraId="266208FE" w14:textId="77777777" w:rsidR="009123CF" w:rsidRPr="00785ED2" w:rsidRDefault="009123CF" w:rsidP="008736CC">
      <w:pPr>
        <w:spacing w:line="360" w:lineRule="auto"/>
        <w:jc w:val="both"/>
        <w:rPr>
          <w:rFonts w:ascii="Palatino Linotype" w:eastAsia="Palatino Linotype" w:hAnsi="Palatino Linotype" w:cs="Palatino Linotype"/>
          <w:sz w:val="22"/>
          <w:szCs w:val="22"/>
        </w:rPr>
      </w:pPr>
    </w:p>
    <w:p w14:paraId="404E5C3C" w14:textId="77777777" w:rsidR="009123CF" w:rsidRPr="00785ED2" w:rsidRDefault="009123CF" w:rsidP="009123CF">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Como parte de la reestructuración de las dependencias del Poder Ejecutivo del Estado, que estableció el Decreto número 182 publicado en el Periódico Oficial “Gaceta del  Gobierno” del Estado de México, el once de septiembre de dos mil veintitrés, por medio del cual se expidió la Ley Orgánica de la Administración Pública del Estado de México vigente, se </w:t>
      </w:r>
      <w:r w:rsidRPr="00785ED2">
        <w:rPr>
          <w:rFonts w:ascii="Palatino Linotype" w:eastAsia="Palatino Linotype" w:hAnsi="Palatino Linotype" w:cs="Palatino Linotype"/>
          <w:sz w:val="22"/>
          <w:szCs w:val="22"/>
        </w:rPr>
        <w:lastRenderedPageBreak/>
        <w:t>determinó la creación de la Oficialía Mayor, para atender los temas administrativos a cargo de la Secretaría de Finanzas, con la finalidad de permitir, a través de una dependencia especializada, una mejor aplicación de los recursos fiscales, que le dé prioridad al manejo de los recursos humanos, materiales y técnicos que fortalezcan el desempeño de todas las áreas del Poder Ejecutivo, por consiguiente, las áreas existentes en la Secretaría de Finanzas que tenían a su cargo los temas administrativos, se integraron a la Oficialía Mayor.</w:t>
      </w:r>
    </w:p>
    <w:p w14:paraId="19353FBE" w14:textId="77777777" w:rsidR="009123CF" w:rsidRPr="00785ED2" w:rsidRDefault="009123CF" w:rsidP="009123CF">
      <w:pPr>
        <w:spacing w:line="360" w:lineRule="auto"/>
        <w:ind w:right="49"/>
        <w:jc w:val="both"/>
        <w:rPr>
          <w:rFonts w:ascii="Palatino Linotype" w:eastAsia="Palatino Linotype" w:hAnsi="Palatino Linotype" w:cs="Palatino Linotype"/>
          <w:sz w:val="22"/>
          <w:szCs w:val="22"/>
        </w:rPr>
      </w:pPr>
    </w:p>
    <w:p w14:paraId="2ADB1C9D" w14:textId="77777777" w:rsidR="009123CF" w:rsidRPr="00785ED2" w:rsidRDefault="009123CF" w:rsidP="009123CF">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tal sentido, mediante el Acuerdo por el que se transfieren los recursos de la Subsecretaría de Administración de la Secretaría de Finanzas a la Oficialía Mayor, publicado en el Periódico Oficial “Gaceta del Gobierno” del Estado de México, el veintisiete de septiembre de dos mil veintitrés, se transfirieron </w:t>
      </w:r>
      <w:r w:rsidRPr="00785ED2">
        <w:rPr>
          <w:rFonts w:ascii="Palatino Linotype" w:eastAsia="Palatino Linotype" w:hAnsi="Palatino Linotype" w:cs="Palatino Linotype"/>
          <w:b/>
          <w:sz w:val="22"/>
          <w:szCs w:val="22"/>
        </w:rPr>
        <w:t xml:space="preserve">los recursos  humanos, materiales, presupuestales y financieros de la Subsecretaría de Administración de la Secretaría de Finanzas, a la Oficialía Mayor,  </w:t>
      </w:r>
      <w:r w:rsidRPr="00785ED2">
        <w:rPr>
          <w:rFonts w:ascii="Palatino Linotype" w:eastAsia="Palatino Linotype" w:hAnsi="Palatino Linotype" w:cs="Palatino Linotype"/>
          <w:b/>
          <w:sz w:val="22"/>
          <w:szCs w:val="22"/>
          <w:u w:val="single"/>
        </w:rPr>
        <w:t>con excepción de los relativos a la Dirección General del Sistema Estatal de Informática</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la cual continuaría adscrita a la Secretaría de Finanzas; en consecuencia, las referencias realizadas en disposiciones jurídicas, legales, reglamentarias, administrativas, y en cualquier tipo de documentación a la Subsecretaría de Administración o a la Secretaría de Finanzas en materia de planeación, organización, normatividad y dirección de la administración y desarrollo de los recursos humanos, materiales y servicios para el apoyo administrativo y tecnológico que requieran las dependencias del Poder Ejecutivo del Estado, con excepción de las que correspondan a la Dirección General del Sistema Estatal de Informática, se entenderán hechas a la Oficialía Mayor, de conformidad con los artículos Segundo y Tercero del Acuerdo:</w:t>
      </w:r>
    </w:p>
    <w:p w14:paraId="32E57C8A" w14:textId="77777777" w:rsidR="009123CF" w:rsidRPr="00785ED2" w:rsidRDefault="009123CF" w:rsidP="009123CF">
      <w:pPr>
        <w:spacing w:before="120" w:after="120"/>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SEGUNDO</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 xml:space="preserve">Los recursos humanos, materiales, presupuestales y financieros de la </w:t>
      </w:r>
      <w:r w:rsidRPr="00785ED2">
        <w:rPr>
          <w:rFonts w:ascii="Palatino Linotype" w:eastAsia="Palatino Linotype" w:hAnsi="Palatino Linotype" w:cs="Palatino Linotype"/>
          <w:b/>
          <w:i/>
          <w:sz w:val="22"/>
          <w:szCs w:val="22"/>
          <w:u w:val="single"/>
        </w:rPr>
        <w:t>Subsecretaría de Administración de la Secretaría de Finanzas</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u w:val="single"/>
        </w:rPr>
        <w:t>con excepción de los relativos a la Dirección General del Sistema Estatal de Informática, que continuará adscrita a la Secretaría de Finanzas</w:t>
      </w:r>
      <w:r w:rsidRPr="00785ED2">
        <w:rPr>
          <w:rFonts w:ascii="Palatino Linotype" w:eastAsia="Palatino Linotype" w:hAnsi="Palatino Linotype" w:cs="Palatino Linotype"/>
          <w:b/>
          <w:i/>
          <w:sz w:val="22"/>
          <w:szCs w:val="22"/>
        </w:rPr>
        <w:t xml:space="preserve">, serán transferidos </w:t>
      </w:r>
      <w:r w:rsidRPr="00785ED2">
        <w:rPr>
          <w:rFonts w:ascii="Palatino Linotype" w:eastAsia="Palatino Linotype" w:hAnsi="Palatino Linotype" w:cs="Palatino Linotype"/>
          <w:i/>
          <w:sz w:val="22"/>
          <w:szCs w:val="22"/>
        </w:rPr>
        <w:t xml:space="preserve">a partir de la entrada en vigor del presente Acuerdo </w:t>
      </w:r>
      <w:r w:rsidRPr="00785ED2">
        <w:rPr>
          <w:rFonts w:ascii="Palatino Linotype" w:eastAsia="Palatino Linotype" w:hAnsi="Palatino Linotype" w:cs="Palatino Linotype"/>
          <w:b/>
          <w:i/>
          <w:sz w:val="22"/>
          <w:szCs w:val="22"/>
        </w:rPr>
        <w:t xml:space="preserve">a la Oficialía Mayor. </w:t>
      </w:r>
      <w:r w:rsidRPr="00785ED2">
        <w:rPr>
          <w:rFonts w:ascii="Palatino Linotype" w:eastAsia="Palatino Linotype" w:hAnsi="Palatino Linotype" w:cs="Palatino Linotype"/>
          <w:i/>
          <w:sz w:val="22"/>
          <w:szCs w:val="22"/>
        </w:rPr>
        <w:t xml:space="preserve">La Secretaría de Finanzas deberá llevar </w:t>
      </w:r>
      <w:r w:rsidRPr="00785ED2">
        <w:rPr>
          <w:rFonts w:ascii="Palatino Linotype" w:eastAsia="Palatino Linotype" w:hAnsi="Palatino Linotype" w:cs="Palatino Linotype"/>
          <w:i/>
          <w:sz w:val="22"/>
          <w:szCs w:val="22"/>
        </w:rPr>
        <w:lastRenderedPageBreak/>
        <w:t>a cabo las acciones necesarias que permitan a la Oficialía Mayor ejercer sus atribuciones y cumplir con sus obligaciones relativas al pago de las prestaciones económicas de los recursos humanos, materiales y financieros, así como las derivadas de los contratos de arrendamiento de bienes muebles e inmuebles, de ejecución de obra pública y los correspondientes a la adquisición de los bienes y servicios.</w:t>
      </w:r>
    </w:p>
    <w:p w14:paraId="28E79B3E" w14:textId="77777777" w:rsidR="009123CF" w:rsidRPr="00785ED2" w:rsidRDefault="009123CF" w:rsidP="009123CF">
      <w:pPr>
        <w:spacing w:before="120" w:after="120"/>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TERCERO</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 xml:space="preserve">Las referencias realizadas en disposiciones jurídicas, legales, reglamentarias, administrativas, y en cualquier tipo de documentación a la Subsecretaría de Administración o a la Secretaría de Finanzas en materia de planeación, organización, normatividad y dirección de la administración y desarrollo de los recursos humanos, materiales y servicios para el apoyo administrativo y tecnológico </w:t>
      </w:r>
      <w:r w:rsidRPr="00785ED2">
        <w:rPr>
          <w:rFonts w:ascii="Palatino Linotype" w:eastAsia="Palatino Linotype" w:hAnsi="Palatino Linotype" w:cs="Palatino Linotype"/>
          <w:i/>
          <w:sz w:val="22"/>
          <w:szCs w:val="22"/>
        </w:rPr>
        <w:t xml:space="preserve">que requieran las dependencias del Poder Ejecutivo del Estado, con excepción de las que correspondan a la Dirección General del Sistema Estatal de Informática, </w:t>
      </w:r>
      <w:r w:rsidRPr="00785ED2">
        <w:rPr>
          <w:rFonts w:ascii="Palatino Linotype" w:eastAsia="Palatino Linotype" w:hAnsi="Palatino Linotype" w:cs="Palatino Linotype"/>
          <w:b/>
          <w:i/>
          <w:sz w:val="22"/>
          <w:szCs w:val="22"/>
        </w:rPr>
        <w:t>se entenderán hechas a la Oficialía Mayor.”</w:t>
      </w:r>
    </w:p>
    <w:p w14:paraId="583B5C95" w14:textId="77777777" w:rsidR="009123CF" w:rsidRPr="00785ED2" w:rsidRDefault="009123CF" w:rsidP="009123CF">
      <w:pPr>
        <w:tabs>
          <w:tab w:val="left" w:pos="2820"/>
        </w:tabs>
        <w:spacing w:before="240" w:after="240"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Posteriormente, mediante el Acuerdo por el que se transfieren los recursos de la Dirección General del Sistema Estatal de Informática a la Agencia Digital del Estado de México, publicado en el Periódico Oficial “Gaceta del Gobierno” del Estado de México, el veinticinco de abril de dos mil veinticuatro, se determinó que </w:t>
      </w:r>
      <w:r w:rsidRPr="00785ED2">
        <w:rPr>
          <w:rFonts w:ascii="Palatino Linotype" w:eastAsia="Palatino Linotype" w:hAnsi="Palatino Linotype" w:cs="Palatino Linotype"/>
          <w:b/>
          <w:sz w:val="22"/>
          <w:szCs w:val="22"/>
        </w:rPr>
        <w:t xml:space="preserve">los recursos humanos, materiales, presupuestales y financieros de la </w:t>
      </w:r>
      <w:r w:rsidRPr="00785ED2">
        <w:rPr>
          <w:rFonts w:ascii="Palatino Linotype" w:eastAsia="Palatino Linotype" w:hAnsi="Palatino Linotype" w:cs="Palatino Linotype"/>
          <w:b/>
          <w:sz w:val="22"/>
          <w:szCs w:val="22"/>
          <w:u w:val="single"/>
        </w:rPr>
        <w:t>Dirección General del Sistema Estatal de Informática</w:t>
      </w:r>
      <w:r w:rsidRPr="00785ED2">
        <w:rPr>
          <w:rFonts w:ascii="Palatino Linotype" w:eastAsia="Palatino Linotype" w:hAnsi="Palatino Linotype" w:cs="Palatino Linotype"/>
          <w:b/>
          <w:sz w:val="22"/>
          <w:szCs w:val="22"/>
        </w:rPr>
        <w:t>,</w:t>
      </w:r>
      <w:r w:rsidRPr="00785ED2">
        <w:rPr>
          <w:rFonts w:ascii="Palatino Linotype" w:eastAsia="Palatino Linotype" w:hAnsi="Palatino Linotype" w:cs="Palatino Linotype"/>
          <w:sz w:val="22"/>
          <w:szCs w:val="22"/>
        </w:rPr>
        <w:t xml:space="preserve"> incluyendo los que corresponden a la Dirección de Gobierno Digital, la Dirección de Ingeniería de la Información, la Dirección de Infraestructura Tecnológica y Comunicaciones, la Dirección de Normatividad de Tecnologías de la Información y Comunicación, y su Delegación Administrativa, así como sus unidades administrativas dependientes, </w:t>
      </w:r>
      <w:r w:rsidRPr="00785ED2">
        <w:rPr>
          <w:rFonts w:ascii="Palatino Linotype" w:eastAsia="Palatino Linotype" w:hAnsi="Palatino Linotype" w:cs="Palatino Linotype"/>
          <w:b/>
          <w:sz w:val="22"/>
          <w:szCs w:val="22"/>
        </w:rPr>
        <w:t xml:space="preserve">serán transferidos a la Agencia Digital del Estado de México, </w:t>
      </w:r>
      <w:r w:rsidRPr="00785ED2">
        <w:rPr>
          <w:rFonts w:ascii="Palatino Linotype" w:eastAsia="Palatino Linotype" w:hAnsi="Palatino Linotype" w:cs="Palatino Linotype"/>
          <w:b/>
          <w:sz w:val="22"/>
          <w:szCs w:val="22"/>
          <w:u w:val="single"/>
        </w:rPr>
        <w:t>con excepción de la Subdirección de Soporte de Nómina y el Departamento de Bases de Datos de Nómina, que se transfirieron a la Oficialía Mayor</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 xml:space="preserve">asimismo, las referencias realizadas en disposiciones jurídicas, legales, reglamentarias, administrativas, y en cualquier tipo de documentación a la Dirección General del Sistema Estatal de Informática o a la Secretaría de Finanzas exclusivamente como unidad jerárquica superior de la dicha Dirección, incluidas las relativas a recursos y servicios en materia tecnológica e informática, </w:t>
      </w:r>
      <w:r w:rsidRPr="00785ED2">
        <w:rPr>
          <w:rFonts w:ascii="Palatino Linotype" w:eastAsia="Palatino Linotype" w:hAnsi="Palatino Linotype" w:cs="Palatino Linotype"/>
          <w:sz w:val="22"/>
          <w:szCs w:val="22"/>
        </w:rPr>
        <w:lastRenderedPageBreak/>
        <w:t xml:space="preserve">se entenderán hechas a la Agencia Digital del Estado de México, </w:t>
      </w:r>
      <w:r w:rsidRPr="00785ED2">
        <w:rPr>
          <w:rFonts w:ascii="Palatino Linotype" w:eastAsia="Palatino Linotype" w:hAnsi="Palatino Linotype" w:cs="Palatino Linotype"/>
          <w:b/>
          <w:sz w:val="22"/>
          <w:szCs w:val="22"/>
        </w:rPr>
        <w:t xml:space="preserve">con excepción de las relativas a la Subdirección de Soporte de Nómina y el Departamento de Bases de Datos de Nómina, las cuales </w:t>
      </w:r>
      <w:r w:rsidRPr="00785ED2">
        <w:rPr>
          <w:rFonts w:ascii="Palatino Linotype" w:eastAsia="Palatino Linotype" w:hAnsi="Palatino Linotype" w:cs="Palatino Linotype"/>
          <w:b/>
          <w:sz w:val="22"/>
          <w:szCs w:val="22"/>
          <w:u w:val="single"/>
        </w:rPr>
        <w:t>se entenderán hechas a la Oficialía Mayor,</w:t>
      </w:r>
      <w:r w:rsidRPr="00785ED2">
        <w:rPr>
          <w:rFonts w:ascii="Palatino Linotype" w:eastAsia="Palatino Linotype" w:hAnsi="Palatino Linotype" w:cs="Palatino Linotype"/>
          <w:sz w:val="22"/>
          <w:szCs w:val="22"/>
        </w:rPr>
        <w:t xml:space="preserve"> según se lee en los artículos Segundo, párrafos primero y segundo, y Tercero párrafo primero del Acuerdo:</w:t>
      </w:r>
    </w:p>
    <w:p w14:paraId="785BAFC5" w14:textId="77777777" w:rsidR="009123CF" w:rsidRPr="00785ED2" w:rsidRDefault="009123CF" w:rsidP="009123CF">
      <w:pPr>
        <w:tabs>
          <w:tab w:val="left" w:pos="2820"/>
        </w:tabs>
        <w:spacing w:before="120" w:after="120"/>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ARTÍCULO SEGUNDO</w:t>
      </w:r>
      <w:r w:rsidRPr="00785ED2">
        <w:rPr>
          <w:rFonts w:ascii="Palatino Linotype" w:eastAsia="Palatino Linotype" w:hAnsi="Palatino Linotype" w:cs="Palatino Linotype"/>
          <w:i/>
          <w:sz w:val="22"/>
          <w:szCs w:val="22"/>
        </w:rPr>
        <w:t xml:space="preserve">. Los recursos humanos, materiales, presupuestales y financieros de la Dirección General del Sistema Estatal de Informática, incluyendo los que corresponden a la Dirección de Gobierno Digital, la Dirección de Ingeniería de la Información, la Dirección de Infraestructura Tecnológica y Comunicaciones, la Dirección de Normatividad de Tecnologías de la Información y Comunicación, y su Delegación Administrativa, así como sus unidades administrativas dependientes, con excepción de la Subdirección de Soporte de Nómina y el Departamento de Bases de Datos de Nómina, serán transferidos a la Agencia Digital del Estado de México. </w:t>
      </w:r>
    </w:p>
    <w:p w14:paraId="70730B21" w14:textId="77777777" w:rsidR="009123CF" w:rsidRPr="00785ED2" w:rsidRDefault="009123CF" w:rsidP="009123CF">
      <w:pPr>
        <w:tabs>
          <w:tab w:val="left" w:pos="2820"/>
        </w:tabs>
        <w:spacing w:before="120" w:after="120"/>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u w:val="single"/>
        </w:rPr>
        <w:t>La Subdirección de Soporte de Nómina y el Departamento de Bases de Datos de Nómina, incluyendo sus recursos humanos, materiales, presupuestales y financieros de serán transferidos a la Oficialía Mayor</w:t>
      </w:r>
      <w:r w:rsidRPr="00785ED2">
        <w:rPr>
          <w:rFonts w:ascii="Palatino Linotype" w:eastAsia="Palatino Linotype" w:hAnsi="Palatino Linotype" w:cs="Palatino Linotype"/>
          <w:i/>
          <w:sz w:val="22"/>
          <w:szCs w:val="22"/>
        </w:rPr>
        <w:t xml:space="preserve">. </w:t>
      </w:r>
    </w:p>
    <w:p w14:paraId="087EE6DB" w14:textId="77777777" w:rsidR="009123CF" w:rsidRPr="00785ED2" w:rsidRDefault="009123CF" w:rsidP="009123CF">
      <w:pPr>
        <w:tabs>
          <w:tab w:val="left" w:pos="2820"/>
        </w:tabs>
        <w:spacing w:before="120" w:after="120"/>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076B0866" w14:textId="77777777" w:rsidR="009123CF" w:rsidRPr="00785ED2" w:rsidRDefault="009123CF" w:rsidP="009123CF">
      <w:pPr>
        <w:tabs>
          <w:tab w:val="left" w:pos="2820"/>
        </w:tabs>
        <w:spacing w:before="120" w:after="120"/>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ARTÍCULO TERCERO. Las referencias realizadas en disposiciones jurídicas, legales, reglamentarias, administrativas, y en cualquier tipo de documentación</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a la Dirección General del Sistema Estatal de Informática o a la Secretaría de Finanzas</w:t>
      </w:r>
      <w:r w:rsidRPr="00785ED2">
        <w:rPr>
          <w:rFonts w:ascii="Palatino Linotype" w:eastAsia="Palatino Linotype" w:hAnsi="Palatino Linotype" w:cs="Palatino Linotype"/>
          <w:i/>
          <w:sz w:val="22"/>
          <w:szCs w:val="22"/>
        </w:rPr>
        <w:t xml:space="preserve"> exclusivamente como unidad jerárquica superior de la dicha Dirección, incluidas las relativas a recursos y servicios en materia tecnológica e informática, </w:t>
      </w:r>
      <w:r w:rsidRPr="00785ED2">
        <w:rPr>
          <w:rFonts w:ascii="Palatino Linotype" w:eastAsia="Palatino Linotype" w:hAnsi="Palatino Linotype" w:cs="Palatino Linotype"/>
          <w:b/>
          <w:i/>
          <w:sz w:val="22"/>
          <w:szCs w:val="22"/>
        </w:rPr>
        <w:t xml:space="preserve">se entenderán hechas a la Agencia Digital </w:t>
      </w:r>
      <w:r w:rsidRPr="00785ED2">
        <w:rPr>
          <w:rFonts w:ascii="Palatino Linotype" w:eastAsia="Palatino Linotype" w:hAnsi="Palatino Linotype" w:cs="Palatino Linotype"/>
          <w:i/>
          <w:sz w:val="22"/>
          <w:szCs w:val="22"/>
        </w:rPr>
        <w:t xml:space="preserve">del Estado de México, </w:t>
      </w:r>
      <w:r w:rsidRPr="00785ED2">
        <w:rPr>
          <w:rFonts w:ascii="Palatino Linotype" w:eastAsia="Palatino Linotype" w:hAnsi="Palatino Linotype" w:cs="Palatino Linotype"/>
          <w:b/>
          <w:i/>
          <w:sz w:val="22"/>
          <w:szCs w:val="22"/>
          <w:u w:val="single"/>
        </w:rPr>
        <w:t>con excepción de las relativas a la Subdirección de Soporte de Nómina y el Departamento de Bases de Datos de Nómina, las cuales se entenderán hechas a la Oficialía Mayor</w:t>
      </w:r>
      <w:r w:rsidRPr="00785ED2">
        <w:rPr>
          <w:rFonts w:ascii="Palatino Linotype" w:eastAsia="Palatino Linotype" w:hAnsi="Palatino Linotype" w:cs="Palatino Linotype"/>
          <w:i/>
          <w:sz w:val="22"/>
          <w:szCs w:val="22"/>
        </w:rPr>
        <w:t>…”</w:t>
      </w:r>
    </w:p>
    <w:p w14:paraId="302DE44F" w14:textId="77777777" w:rsidR="009123CF" w:rsidRPr="00785ED2" w:rsidRDefault="009123CF" w:rsidP="009123CF">
      <w:pPr>
        <w:tabs>
          <w:tab w:val="left" w:pos="2820"/>
          <w:tab w:val="left" w:pos="8647"/>
        </w:tabs>
        <w:spacing w:before="240" w:after="240" w:line="360" w:lineRule="auto"/>
        <w:ind w:right="49"/>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Con base en lo anterior, tomando como referencia el Manual General de Organización de la Secretaría de Finanzas, se precisa que la Coordinación de Servicios Auxiliares a Contingencias y Emergencias, la Dirección General de Personal, la Dirección General de Recursos Materiales, y la Dirección General de Innovación, </w:t>
      </w:r>
      <w:r w:rsidRPr="00785ED2">
        <w:rPr>
          <w:rFonts w:ascii="Palatino Linotype" w:eastAsia="Palatino Linotype" w:hAnsi="Palatino Linotype" w:cs="Palatino Linotype"/>
          <w:b/>
          <w:sz w:val="22"/>
          <w:szCs w:val="22"/>
        </w:rPr>
        <w:t>así como la Subdirección de Soporte de Nómina y el Departamento de Bases de Datos de Nómina,</w:t>
      </w:r>
      <w:r w:rsidRPr="00785ED2">
        <w:rPr>
          <w:rFonts w:ascii="Palatino Linotype" w:eastAsia="Palatino Linotype" w:hAnsi="Palatino Linotype" w:cs="Palatino Linotype"/>
          <w:sz w:val="22"/>
          <w:szCs w:val="22"/>
        </w:rPr>
        <w:t xml:space="preserve"> dependiente de esta última, que anteriormente formaban parte de la estructura orgánica de la Subsecretaría </w:t>
      </w:r>
      <w:r w:rsidRPr="00785ED2">
        <w:rPr>
          <w:rFonts w:ascii="Palatino Linotype" w:eastAsia="Palatino Linotype" w:hAnsi="Palatino Linotype" w:cs="Palatino Linotype"/>
          <w:sz w:val="22"/>
          <w:szCs w:val="22"/>
        </w:rPr>
        <w:lastRenderedPageBreak/>
        <w:t xml:space="preserve">de Administración de la Secretaria de Fianzas, </w:t>
      </w:r>
      <w:r w:rsidRPr="00785ED2">
        <w:rPr>
          <w:rFonts w:ascii="Palatino Linotype" w:eastAsia="Palatino Linotype" w:hAnsi="Palatino Linotype" w:cs="Palatino Linotype"/>
          <w:b/>
          <w:sz w:val="22"/>
          <w:szCs w:val="22"/>
        </w:rPr>
        <w:t>fueron transferidas a la Oficialía Mayor, derivado de los acuerdos a los que se ha hecho alusión.</w:t>
      </w:r>
    </w:p>
    <w:p w14:paraId="6B9C6777" w14:textId="77777777" w:rsidR="009123CF" w:rsidRPr="00785ED2" w:rsidRDefault="009123CF" w:rsidP="009123CF">
      <w:pPr>
        <w:tabs>
          <w:tab w:val="left" w:pos="2820"/>
          <w:tab w:val="left" w:pos="8647"/>
        </w:tabs>
        <w:spacing w:before="240" w:after="240" w:line="360" w:lineRule="auto"/>
        <w:ind w:right="49"/>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En este orden de ideas, respecto al tema que nos interesa, es oportuno referir que </w:t>
      </w:r>
      <w:r w:rsidRPr="00785ED2">
        <w:rPr>
          <w:rFonts w:ascii="Palatino Linotype" w:eastAsia="Palatino Linotype" w:hAnsi="Palatino Linotype" w:cs="Palatino Linotype"/>
          <w:b/>
          <w:sz w:val="22"/>
          <w:szCs w:val="22"/>
        </w:rPr>
        <w:t>la Dirección General de Personal, de conformidad con el artículo 10 del Reglamento Interior de la Oficialía Mayor, tiene a su cargo las siguientes atribuciones en su parte conducente:</w:t>
      </w:r>
    </w:p>
    <w:p w14:paraId="6A3A25FB" w14:textId="77777777" w:rsidR="009123CF" w:rsidRPr="00785ED2" w:rsidRDefault="009123CF" w:rsidP="009123CF">
      <w:pPr>
        <w:tabs>
          <w:tab w:val="left" w:pos="2820"/>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Proponer, desarrollar y coordinar, con la Secretaría de Finanzas, la operación y el control </w:t>
      </w:r>
      <w:r w:rsidRPr="00785ED2">
        <w:rPr>
          <w:rFonts w:ascii="Palatino Linotype" w:eastAsia="Palatino Linotype" w:hAnsi="Palatino Linotype" w:cs="Palatino Linotype"/>
          <w:b/>
          <w:bCs/>
          <w:sz w:val="22"/>
          <w:szCs w:val="22"/>
          <w:u w:val="single"/>
        </w:rPr>
        <w:t>del Sistema Integral de Movimientos al Personal</w:t>
      </w:r>
      <w:r w:rsidRPr="00785ED2">
        <w:rPr>
          <w:rFonts w:ascii="Palatino Linotype" w:eastAsia="Palatino Linotype" w:hAnsi="Palatino Linotype" w:cs="Palatino Linotype"/>
          <w:sz w:val="22"/>
          <w:szCs w:val="22"/>
        </w:rPr>
        <w:t>, así como las tecnologías de la información y comunicación que se requieran para el correcto desarrollo de sus funciones;</w:t>
      </w:r>
    </w:p>
    <w:p w14:paraId="53D001CC" w14:textId="77777777" w:rsidR="009123CF" w:rsidRPr="00785ED2" w:rsidRDefault="009123CF" w:rsidP="009123CF">
      <w:pPr>
        <w:tabs>
          <w:tab w:val="left" w:pos="2820"/>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Aplicar las disposiciones legales y normativas en materia de desarrollo y administración de personal para las personas servidoras públicas del sector central del Poder Ejecutivo;</w:t>
      </w:r>
    </w:p>
    <w:p w14:paraId="6DE1D35C" w14:textId="77777777" w:rsidR="009123CF" w:rsidRPr="00785ED2" w:rsidRDefault="009123CF" w:rsidP="009123CF">
      <w:pPr>
        <w:tabs>
          <w:tab w:val="left" w:pos="2820"/>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Proponer a la persona titular de la Oficialía Mayor los lineamientos que en materia de personal deben observar las dependencias y los organismos auxiliares del Poder Ejecutivo del Gobierno del Estado de México;</w:t>
      </w:r>
    </w:p>
    <w:p w14:paraId="0B7671FA" w14:textId="77777777" w:rsidR="009123CF" w:rsidRPr="00785ED2" w:rsidRDefault="009123CF" w:rsidP="009123CF">
      <w:pPr>
        <w:tabs>
          <w:tab w:val="left" w:pos="2820"/>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Aplicar las disposiciones que norman la remuneración y prestaciones que deban otorgarse a las personas servidoras públicas del Poder Ejecutivo del Gobierno del Estado, en concordancia con las estructuras orgánico-funcionales y los catálogos de puestos aprobados;</w:t>
      </w:r>
    </w:p>
    <w:p w14:paraId="59FF398B" w14:textId="77777777" w:rsidR="009123CF" w:rsidRPr="00785ED2" w:rsidRDefault="009123CF" w:rsidP="009123CF">
      <w:pPr>
        <w:tabs>
          <w:tab w:val="left" w:pos="2820"/>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Coordinar acciones con la Dirección General de Recaudación de la Secretaría de Finanzas para que, en forma oportuna, se entreguen los documentos de percepciones a las personas servidoras públicas del Poder Ejecutivo del Estado, cuando esta dirección actúe como centro de pago;</w:t>
      </w:r>
    </w:p>
    <w:p w14:paraId="2F4F6C67" w14:textId="1954D58F" w:rsidR="009123CF" w:rsidRPr="00785ED2" w:rsidRDefault="009123CF" w:rsidP="009123CF">
      <w:pPr>
        <w:tabs>
          <w:tab w:val="left" w:pos="8647"/>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su parte, el Manual General de Organización de la Secretaría de Finanzas establece que </w:t>
      </w:r>
      <w:r w:rsidR="00AD3142" w:rsidRPr="00785ED2">
        <w:rPr>
          <w:rFonts w:ascii="Palatino Linotype" w:eastAsia="Palatino Linotype" w:hAnsi="Palatino Linotype" w:cs="Palatino Linotype"/>
          <w:sz w:val="22"/>
          <w:szCs w:val="22"/>
        </w:rPr>
        <w:t xml:space="preserve">dicha </w:t>
      </w:r>
      <w:r w:rsidRPr="00785ED2">
        <w:rPr>
          <w:rFonts w:ascii="Palatino Linotype" w:eastAsia="Palatino Linotype" w:hAnsi="Palatino Linotype" w:cs="Palatino Linotype"/>
          <w:sz w:val="22"/>
          <w:szCs w:val="22"/>
        </w:rPr>
        <w:t>Dirección General de Personal</w:t>
      </w:r>
      <w:r w:rsidR="00AD3142" w:rsidRPr="00785ED2">
        <w:rPr>
          <w:rFonts w:ascii="Palatino Linotype" w:eastAsia="Palatino Linotype" w:hAnsi="Palatino Linotype" w:cs="Palatino Linotype"/>
          <w:sz w:val="22"/>
          <w:szCs w:val="22"/>
        </w:rPr>
        <w:t xml:space="preserve"> (</w:t>
      </w:r>
      <w:r w:rsidR="00AD3142" w:rsidRPr="00785ED2">
        <w:rPr>
          <w:rFonts w:ascii="Palatino Linotype" w:eastAsia="Palatino Linotype" w:hAnsi="Palatino Linotype" w:cs="Palatino Linotype"/>
          <w:sz w:val="22"/>
          <w:szCs w:val="22"/>
          <w:u w:val="single"/>
        </w:rPr>
        <w:t>hoy perteneciente a la Oficialía Mayor</w:t>
      </w:r>
      <w:r w:rsidR="00AD3142" w:rsidRPr="00785ED2">
        <w:rPr>
          <w:rFonts w:ascii="Palatino Linotype" w:eastAsia="Palatino Linotype" w:hAnsi="Palatino Linotype" w:cs="Palatino Linotype"/>
          <w:sz w:val="22"/>
          <w:szCs w:val="22"/>
        </w:rPr>
        <w:t>)</w:t>
      </w:r>
      <w:r w:rsidRPr="00785ED2">
        <w:rPr>
          <w:rFonts w:ascii="Palatino Linotype" w:eastAsia="Palatino Linotype" w:hAnsi="Palatino Linotype" w:cs="Palatino Linotype"/>
          <w:sz w:val="22"/>
          <w:szCs w:val="22"/>
        </w:rPr>
        <w:t>, a través de la Dirección de Remuneraciones al Personal, tiene las siguientes atribuciones en su parte conducente:</w:t>
      </w:r>
    </w:p>
    <w:p w14:paraId="14FE7C45" w14:textId="77777777" w:rsidR="009123CF" w:rsidRPr="00785ED2" w:rsidRDefault="009123CF" w:rsidP="009123CF">
      <w:pPr>
        <w:tabs>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 xml:space="preserve">− </w:t>
      </w:r>
      <w:r w:rsidRPr="00785ED2">
        <w:rPr>
          <w:rFonts w:ascii="Palatino Linotype" w:eastAsia="Palatino Linotype" w:hAnsi="Palatino Linotype" w:cs="Palatino Linotype"/>
          <w:b/>
          <w:sz w:val="22"/>
          <w:szCs w:val="22"/>
        </w:rPr>
        <w:t>Proporcionar a las coordinaciones administrativas</w:t>
      </w:r>
      <w:r w:rsidRPr="00785ED2">
        <w:rPr>
          <w:rFonts w:ascii="Palatino Linotype" w:eastAsia="Palatino Linotype" w:hAnsi="Palatino Linotype" w:cs="Palatino Linotype"/>
          <w:sz w:val="22"/>
          <w:szCs w:val="22"/>
        </w:rPr>
        <w:t xml:space="preserve"> o equivalentes de las dependencias y órganos administrativos desconcentrados del Poder Ejecutivo Estatal, </w:t>
      </w:r>
      <w:r w:rsidRPr="00785ED2">
        <w:rPr>
          <w:rFonts w:ascii="Palatino Linotype" w:eastAsia="Palatino Linotype" w:hAnsi="Palatino Linotype" w:cs="Palatino Linotype"/>
          <w:b/>
          <w:sz w:val="22"/>
          <w:szCs w:val="22"/>
        </w:rPr>
        <w:t>la información de las y los servidores públicos bajo su adscripción</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 xml:space="preserve">para la revisión del pago quincenal, </w:t>
      </w:r>
      <w:r w:rsidRPr="00785ED2">
        <w:rPr>
          <w:rFonts w:ascii="Palatino Linotype" w:eastAsia="Palatino Linotype" w:hAnsi="Palatino Linotype" w:cs="Palatino Linotype"/>
          <w:sz w:val="22"/>
          <w:szCs w:val="22"/>
        </w:rPr>
        <w:t xml:space="preserve">así como reportar las probables inconsistencias detectadas para su análisis y eventual regularización. </w:t>
      </w:r>
    </w:p>
    <w:p w14:paraId="01F2162C" w14:textId="77777777" w:rsidR="009123CF" w:rsidRPr="00785ED2" w:rsidRDefault="009123CF" w:rsidP="009123CF">
      <w:pPr>
        <w:tabs>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Instrumentar, en coordinación con la Dirección General de Recaudación y con las coordinaciones y delegaciones administrativas o equivalentes, los mecanismos que conduzcan a la entrega oportuna de las percepciones a las y los servidores públicos por la prestación de sus servicios.</w:t>
      </w:r>
    </w:p>
    <w:p w14:paraId="3F4944D1" w14:textId="77777777" w:rsidR="009123CF" w:rsidRPr="00785ED2" w:rsidRDefault="009123CF" w:rsidP="009123CF">
      <w:pPr>
        <w:tabs>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Elaborar y presentar a la Dirección General de Personal, para su validación, la orden de pago de sueldos de las y los servidores públicos</w:t>
      </w:r>
      <w:r w:rsidRPr="00785ED2">
        <w:rPr>
          <w:rFonts w:ascii="Palatino Linotype" w:eastAsia="Palatino Linotype" w:hAnsi="Palatino Linotype" w:cs="Palatino Linotype"/>
          <w:sz w:val="22"/>
          <w:szCs w:val="22"/>
        </w:rPr>
        <w:t>, y gestionar ante la Dirección General de Planeación y Gasto Público su autorización.</w:t>
      </w:r>
    </w:p>
    <w:p w14:paraId="78E1CD8E" w14:textId="77777777" w:rsidR="009123CF" w:rsidRPr="00785ED2" w:rsidRDefault="009123CF" w:rsidP="009123CF">
      <w:pPr>
        <w:tabs>
          <w:tab w:val="left" w:pos="8647"/>
        </w:tabs>
        <w:spacing w:before="240" w:after="240"/>
        <w:ind w:left="284"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Validar los recibos de pago de sueldos de contratos por tiempo y obra determinada, lista de raya,</w:t>
      </w:r>
      <w:r w:rsidRPr="00785ED2">
        <w:rPr>
          <w:rFonts w:ascii="Palatino Linotype" w:eastAsia="Palatino Linotype" w:hAnsi="Palatino Linotype" w:cs="Palatino Linotype"/>
          <w:sz w:val="22"/>
          <w:szCs w:val="22"/>
        </w:rPr>
        <w:t xml:space="preserve"> indemnización, riesgo de trabajo por enfermedad profesional y laudo arbitral, gestionados por las coordinaciones administrativas o equivalentes de las dependencias y órganos administrativos desconcentrados del Poder Ejecutivo del Estado.</w:t>
      </w:r>
    </w:p>
    <w:p w14:paraId="0997CA4F" w14:textId="77777777" w:rsidR="009123CF" w:rsidRPr="00785ED2" w:rsidRDefault="009123CF" w:rsidP="009123CF">
      <w:pPr>
        <w:tabs>
          <w:tab w:val="left" w:pos="8647"/>
        </w:tabs>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Asimismo, la Dirección de Remuneraciones al Personal se integra de la siguiente forma:</w:t>
      </w:r>
    </w:p>
    <w:p w14:paraId="1F38E6C8" w14:textId="77777777" w:rsidR="009123CF" w:rsidRPr="00785ED2" w:rsidRDefault="009123CF" w:rsidP="009123CF">
      <w:pPr>
        <w:spacing w:line="360" w:lineRule="auto"/>
        <w:jc w:val="center"/>
        <w:rPr>
          <w:rFonts w:ascii="Palatino Linotype" w:eastAsia="Palatino Linotype" w:hAnsi="Palatino Linotype" w:cs="Palatino Linotype"/>
          <w:sz w:val="22"/>
          <w:szCs w:val="22"/>
        </w:rPr>
      </w:pPr>
      <w:r w:rsidRPr="00785ED2">
        <w:rPr>
          <w:rFonts w:ascii="Palatino Linotype" w:eastAsia="Palatino Linotype" w:hAnsi="Palatino Linotype" w:cs="Palatino Linotype"/>
          <w:noProof/>
          <w:sz w:val="22"/>
          <w:szCs w:val="22"/>
        </w:rPr>
        <w:drawing>
          <wp:inline distT="0" distB="0" distL="0" distR="0" wp14:anchorId="185D3628" wp14:editId="4AF34F68">
            <wp:extent cx="2952000" cy="1544750"/>
            <wp:effectExtent l="0" t="0" r="0" b="0"/>
            <wp:docPr id="204833496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2952000" cy="1544750"/>
                    </a:xfrm>
                    <a:prstGeom prst="rect">
                      <a:avLst/>
                    </a:prstGeom>
                    <a:ln/>
                  </pic:spPr>
                </pic:pic>
              </a:graphicData>
            </a:graphic>
          </wp:inline>
        </w:drawing>
      </w:r>
    </w:p>
    <w:p w14:paraId="64FA5554" w14:textId="56305CF4" w:rsidR="009123CF" w:rsidRPr="00785ED2" w:rsidRDefault="009123CF"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este tenor, la </w:t>
      </w:r>
      <w:r w:rsidRPr="00785ED2">
        <w:rPr>
          <w:rFonts w:ascii="Palatino Linotype" w:eastAsia="Palatino Linotype" w:hAnsi="Palatino Linotype" w:cs="Palatino Linotype"/>
          <w:b/>
          <w:sz w:val="22"/>
          <w:szCs w:val="22"/>
        </w:rPr>
        <w:t xml:space="preserve">Subdirección de Actualización de Bases de Datos </w:t>
      </w:r>
      <w:r w:rsidR="00AD3142" w:rsidRPr="00785ED2">
        <w:rPr>
          <w:rFonts w:ascii="Palatino Linotype" w:eastAsia="Palatino Linotype" w:hAnsi="Palatino Linotype" w:cs="Palatino Linotype"/>
          <w:sz w:val="22"/>
          <w:szCs w:val="22"/>
        </w:rPr>
        <w:t>dependiente de la Dirección de Remuneraciones al Personal de la Dirección General de Personal</w:t>
      </w:r>
      <w:r w:rsidR="00AD3142"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 xml:space="preserve">se encarga de </w:t>
      </w:r>
      <w:r w:rsidRPr="00785ED2">
        <w:rPr>
          <w:rFonts w:ascii="Palatino Linotype" w:eastAsia="Palatino Linotype" w:hAnsi="Palatino Linotype" w:cs="Palatino Linotype"/>
          <w:sz w:val="22"/>
          <w:szCs w:val="22"/>
          <w:u w:val="single"/>
        </w:rPr>
        <w:t xml:space="preserve">analizar, actualizar y capturar la información correspondiente a los movimientos centralizados y en lote de las y los servidores públicos, así como administrar el acceso al Sistema de Nómina del Sector Central del Poder Ejecutivo para la operación de los movimientos descentralizados a las dependencias y órganos administrativos </w:t>
      </w:r>
      <w:r w:rsidRPr="00785ED2">
        <w:rPr>
          <w:rFonts w:ascii="Palatino Linotype" w:eastAsia="Palatino Linotype" w:hAnsi="Palatino Linotype" w:cs="Palatino Linotype"/>
          <w:sz w:val="22"/>
          <w:szCs w:val="22"/>
          <w:u w:val="single"/>
        </w:rPr>
        <w:lastRenderedPageBreak/>
        <w:t>desconcentrados del Poder Ejecutivo Estatal</w:t>
      </w:r>
      <w:r w:rsidRPr="00785ED2">
        <w:rPr>
          <w:rFonts w:ascii="Palatino Linotype" w:eastAsia="Palatino Linotype" w:hAnsi="Palatino Linotype" w:cs="Palatino Linotype"/>
          <w:sz w:val="22"/>
          <w:szCs w:val="22"/>
        </w:rPr>
        <w:t>, para lo cual se le confieren las siguientes atribuciones en su parte conducente:</w:t>
      </w:r>
    </w:p>
    <w:p w14:paraId="72A86D13"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Enviar las claves de acceso al Sistema de Nómina del Sector Central del Poder Ejecutivo</w:t>
      </w:r>
      <w:r w:rsidRPr="00785ED2">
        <w:rPr>
          <w:rFonts w:ascii="Palatino Linotype" w:eastAsia="Palatino Linotype" w:hAnsi="Palatino Linotype" w:cs="Palatino Linotype"/>
          <w:sz w:val="22"/>
          <w:szCs w:val="22"/>
        </w:rPr>
        <w:t xml:space="preserve">, generadas por el Departamento de Bases de Datos de Nómina adscrito a la Subdirección de Soporte de Nómina de la Oficialía Mayor, </w:t>
      </w:r>
      <w:r w:rsidRPr="00785ED2">
        <w:rPr>
          <w:rFonts w:ascii="Palatino Linotype" w:eastAsia="Palatino Linotype" w:hAnsi="Palatino Linotype" w:cs="Palatino Linotype"/>
          <w:b/>
          <w:sz w:val="22"/>
          <w:szCs w:val="22"/>
        </w:rPr>
        <w:t>a las coordinaciones administrativas</w:t>
      </w:r>
      <w:r w:rsidRPr="00785ED2">
        <w:rPr>
          <w:rFonts w:ascii="Palatino Linotype" w:eastAsia="Palatino Linotype" w:hAnsi="Palatino Linotype" w:cs="Palatino Linotype"/>
          <w:sz w:val="22"/>
          <w:szCs w:val="22"/>
        </w:rPr>
        <w:t xml:space="preserve"> o equivalentes </w:t>
      </w:r>
      <w:r w:rsidRPr="00785ED2">
        <w:rPr>
          <w:rFonts w:ascii="Palatino Linotype" w:eastAsia="Palatino Linotype" w:hAnsi="Palatino Linotype" w:cs="Palatino Linotype"/>
          <w:b/>
          <w:sz w:val="22"/>
          <w:szCs w:val="22"/>
        </w:rPr>
        <w:t>para la aplicación de los movimientos e incidencias</w:t>
      </w:r>
      <w:r w:rsidRPr="00785ED2">
        <w:rPr>
          <w:rFonts w:ascii="Palatino Linotype" w:eastAsia="Palatino Linotype" w:hAnsi="Palatino Linotype" w:cs="Palatino Linotype"/>
          <w:sz w:val="22"/>
          <w:szCs w:val="22"/>
        </w:rPr>
        <w:t xml:space="preserve"> descentralizadas que afecten las dependencias y órganos administrativos desconcentrados del Poder Ejecutivo del Estado. </w:t>
      </w:r>
    </w:p>
    <w:p w14:paraId="426D71E1"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Mantener estrecha coordinación con el Departamento de Bases de Datos de Nómina adscrito a la Subdirección de Soporte de Nómina de la Oficialía Mayor, en la operación del Sistema de Nómina del Sector Central del Poder Ejecutivo, así como solicitarle la aplicación de los movimientos en lote que deben ser procesados. </w:t>
      </w:r>
    </w:p>
    <w:p w14:paraId="7BB6A7DD" w14:textId="77777777" w:rsidR="009123CF" w:rsidRPr="00785ED2" w:rsidRDefault="009123CF" w:rsidP="009123CF">
      <w:pPr>
        <w:spacing w:before="240" w:after="240"/>
        <w:ind w:left="284"/>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u w:val="single"/>
        </w:rPr>
        <w:t>Proporcionar a las Coordinaciones Administrativas</w:t>
      </w:r>
      <w:r w:rsidRPr="00785ED2">
        <w:rPr>
          <w:rFonts w:ascii="Palatino Linotype" w:eastAsia="Palatino Linotype" w:hAnsi="Palatino Linotype" w:cs="Palatino Linotype"/>
          <w:sz w:val="22"/>
          <w:szCs w:val="22"/>
        </w:rPr>
        <w:t xml:space="preserve"> o equivalentes de las dependencias y órganos administrativos desconcentrados del Poder Ejecutivo Estatal, el listado alfabético de empleados y empleadas, así como </w:t>
      </w:r>
      <w:r w:rsidRPr="00785ED2">
        <w:rPr>
          <w:rFonts w:ascii="Palatino Linotype" w:eastAsia="Palatino Linotype" w:hAnsi="Palatino Linotype" w:cs="Palatino Linotype"/>
          <w:b/>
          <w:sz w:val="22"/>
          <w:szCs w:val="22"/>
          <w:u w:val="single"/>
        </w:rPr>
        <w:t>el resumen de percepciones y deducciones a la quincena, en medio magnético y por unidad administrativa</w:t>
      </w:r>
      <w:r w:rsidRPr="00785ED2">
        <w:rPr>
          <w:rFonts w:ascii="Palatino Linotype" w:eastAsia="Palatino Linotype" w:hAnsi="Palatino Linotype" w:cs="Palatino Linotype"/>
          <w:b/>
          <w:sz w:val="22"/>
          <w:szCs w:val="22"/>
        </w:rPr>
        <w:t>, a efecto de realizar la revisión del pago quincenal e identificar las posibles inconsistencias para su eventual regularización.</w:t>
      </w:r>
    </w:p>
    <w:p w14:paraId="2952D567"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Aplicar en el Sistema de Nómina del Sector Central del Poder Ejecutivo, las sanciones económicas que impongan las dependencias y unidades administrativas a las y los servidores públicos. </w:t>
      </w:r>
    </w:p>
    <w:p w14:paraId="69D19DAB"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Realizar la transmisión del abono en cuenta, así como los procesos bancarios de las y los servidores públicos que reciben sus percepciones por este medio y asegurarse del abono realizado.</w:t>
      </w:r>
    </w:p>
    <w:p w14:paraId="299A8D60" w14:textId="23373F76" w:rsidR="009123CF" w:rsidRPr="00785ED2" w:rsidRDefault="009123CF"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Mientras que la </w:t>
      </w:r>
      <w:r w:rsidRPr="00785ED2">
        <w:rPr>
          <w:rFonts w:ascii="Palatino Linotype" w:eastAsia="Palatino Linotype" w:hAnsi="Palatino Linotype" w:cs="Palatino Linotype"/>
          <w:b/>
          <w:sz w:val="22"/>
          <w:szCs w:val="22"/>
        </w:rPr>
        <w:t>Subdirección de Control de Pagos</w:t>
      </w:r>
      <w:r w:rsidR="00AD3142" w:rsidRPr="00785ED2">
        <w:rPr>
          <w:rFonts w:ascii="Palatino Linotype" w:eastAsia="Palatino Linotype" w:hAnsi="Palatino Linotype" w:cs="Palatino Linotype"/>
          <w:b/>
          <w:sz w:val="22"/>
          <w:szCs w:val="22"/>
        </w:rPr>
        <w:t xml:space="preserve">, </w:t>
      </w:r>
      <w:r w:rsidR="00AD3142" w:rsidRPr="00785ED2">
        <w:rPr>
          <w:rFonts w:ascii="Palatino Linotype" w:eastAsia="Palatino Linotype" w:hAnsi="Palatino Linotype" w:cs="Palatino Linotype"/>
          <w:sz w:val="22"/>
          <w:szCs w:val="22"/>
        </w:rPr>
        <w:t>también dependiente de la Dirección de Remuneraciones al Personal de la Dirección General de Personal</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se encarga de supervisar y entregar información de las remuneraciones a las servidoras públicas y los servidores públicos de las dependencias del Poder Ejecutivo Estatal, por la prestación de sus servicios, y cuenta con las siguientes funciones en su parte conducente:</w:t>
      </w:r>
    </w:p>
    <w:p w14:paraId="292E7710"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u w:val="single"/>
        </w:rPr>
        <w:t>Proporcionar asesoría a las coordinaciones administrativas</w:t>
      </w:r>
      <w:r w:rsidRPr="00785ED2">
        <w:rPr>
          <w:rFonts w:ascii="Palatino Linotype" w:eastAsia="Palatino Linotype" w:hAnsi="Palatino Linotype" w:cs="Palatino Linotype"/>
          <w:sz w:val="22"/>
          <w:szCs w:val="22"/>
        </w:rPr>
        <w:t xml:space="preserve"> o equivalentes de las dependencias y órganos administrativos desconcentrados del Poder Ejecutivo Estatal </w:t>
      </w:r>
      <w:r w:rsidRPr="00785ED2">
        <w:rPr>
          <w:rFonts w:ascii="Palatino Linotype" w:eastAsia="Palatino Linotype" w:hAnsi="Palatino Linotype" w:cs="Palatino Linotype"/>
          <w:b/>
          <w:sz w:val="22"/>
          <w:szCs w:val="22"/>
        </w:rPr>
        <w:lastRenderedPageBreak/>
        <w:t xml:space="preserve">para ingresar al Sistema de Emisión de Comprobantes de Percepciones y Deducciones, a través de la red Internet en la página del Gobierno (g2g), </w:t>
      </w:r>
      <w:r w:rsidRPr="00785ED2">
        <w:rPr>
          <w:rFonts w:ascii="Palatino Linotype" w:eastAsia="Palatino Linotype" w:hAnsi="Palatino Linotype" w:cs="Palatino Linotype"/>
          <w:b/>
          <w:sz w:val="22"/>
          <w:szCs w:val="22"/>
          <w:u w:val="single"/>
        </w:rPr>
        <w:t>para consultar los comprobantes de percepciones y deducciones correspondientes al pago de nómina quincenal,</w:t>
      </w:r>
      <w:r w:rsidRPr="00785ED2">
        <w:rPr>
          <w:rFonts w:ascii="Palatino Linotype" w:eastAsia="Palatino Linotype" w:hAnsi="Palatino Linotype" w:cs="Palatino Linotype"/>
          <w:sz w:val="22"/>
          <w:szCs w:val="22"/>
        </w:rPr>
        <w:t xml:space="preserve"> así como para detectar posibles inconsistencias para su eventual regularización.</w:t>
      </w:r>
    </w:p>
    <w:p w14:paraId="769A7CD2" w14:textId="30C9787F" w:rsidR="009123CF" w:rsidRPr="00785ED2" w:rsidRDefault="009123CF" w:rsidP="009123CF">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otro lado, </w:t>
      </w:r>
      <w:r w:rsidR="00AD3142" w:rsidRPr="00785ED2">
        <w:rPr>
          <w:rFonts w:ascii="Palatino Linotype" w:eastAsia="Palatino Linotype" w:hAnsi="Palatino Linotype" w:cs="Palatino Linotype"/>
          <w:sz w:val="22"/>
          <w:szCs w:val="22"/>
        </w:rPr>
        <w:t xml:space="preserve">la </w:t>
      </w:r>
      <w:r w:rsidRPr="00785ED2">
        <w:rPr>
          <w:rFonts w:ascii="Palatino Linotype" w:eastAsia="Palatino Linotype" w:hAnsi="Palatino Linotype" w:cs="Palatino Linotype"/>
          <w:b/>
          <w:sz w:val="22"/>
          <w:szCs w:val="22"/>
          <w:u w:val="single"/>
        </w:rPr>
        <w:t>Subdirección de Soporte de Nómina</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adscrita a la Oficialía Mayor, a partir de veinticinco de abril de dos mil veinticuatro</w:t>
      </w:r>
      <w:r w:rsidRPr="00785ED2">
        <w:rPr>
          <w:rFonts w:ascii="Palatino Linotype" w:eastAsia="Palatino Linotype" w:hAnsi="Palatino Linotype" w:cs="Palatino Linotype"/>
          <w:sz w:val="22"/>
          <w:szCs w:val="22"/>
        </w:rPr>
        <w:t xml:space="preserve">), de conformidad con el Manual General de Organización de la Secretaría de Finanzas se encarga de orientar e impulsar la aplicación de las tecnologías de la información y comunicación, administrar el Gobierno Digital y la Red Estatal de Telecomunicaciones del Gobierno del Estado de México, así como establecer y aplicar la normatividad correlativa y proporcionar soporte, asesoría y asistencia técnica a las dependencias y organismos auxiliares de la Administración Pública Estatal, órganos autónomos, ayuntamientos y notarías públicas, a efecto de contribuir a la simplificación de la gestión gubernamental y a la prestación de los servicios, y, a través de ella, elabora en coordinación con las unidades administrativas de la Dirección General de Personal, los procedimientos que integran el proceso de pago de sueldos en los sistemas de información automatizados vigentes, y </w:t>
      </w:r>
      <w:r w:rsidRPr="00785ED2">
        <w:rPr>
          <w:rFonts w:ascii="Palatino Linotype" w:eastAsia="Palatino Linotype" w:hAnsi="Palatino Linotype" w:cs="Palatino Linotype"/>
          <w:b/>
          <w:sz w:val="22"/>
          <w:szCs w:val="22"/>
        </w:rPr>
        <w:t>recibe, gestiona y entrega los productos de la nómina de las unidades administrativas usuarias</w:t>
      </w:r>
      <w:r w:rsidRPr="00785ED2">
        <w:rPr>
          <w:rFonts w:ascii="Palatino Linotype" w:eastAsia="Palatino Linotype" w:hAnsi="Palatino Linotype" w:cs="Palatino Linotype"/>
          <w:sz w:val="22"/>
          <w:szCs w:val="22"/>
        </w:rPr>
        <w:t>, así como verificar, registrar y controlar la información en trámite para su procesamiento, entre otras funciones.</w:t>
      </w:r>
    </w:p>
    <w:p w14:paraId="1FB38697" w14:textId="77777777" w:rsidR="009123CF" w:rsidRPr="00785ED2" w:rsidRDefault="009123CF" w:rsidP="009123CF">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La </w:t>
      </w:r>
      <w:r w:rsidRPr="00785ED2">
        <w:rPr>
          <w:rFonts w:ascii="Palatino Linotype" w:eastAsia="Palatino Linotype" w:hAnsi="Palatino Linotype" w:cs="Palatino Linotype"/>
          <w:b/>
          <w:sz w:val="22"/>
          <w:szCs w:val="22"/>
          <w:u w:val="single"/>
        </w:rPr>
        <w:t>Subdirección de Soporte de Nómina</w:t>
      </w:r>
      <w:r w:rsidRPr="00785ED2">
        <w:rPr>
          <w:rFonts w:ascii="Palatino Linotype" w:eastAsia="Palatino Linotype" w:hAnsi="Palatino Linotype" w:cs="Palatino Linotype"/>
          <w:sz w:val="22"/>
          <w:szCs w:val="22"/>
        </w:rPr>
        <w:t xml:space="preserve"> tiene bajo su adscripción al </w:t>
      </w:r>
      <w:r w:rsidRPr="00785ED2">
        <w:rPr>
          <w:rFonts w:ascii="Palatino Linotype" w:eastAsia="Palatino Linotype" w:hAnsi="Palatino Linotype" w:cs="Palatino Linotype"/>
          <w:b/>
          <w:sz w:val="22"/>
          <w:szCs w:val="22"/>
          <w:u w:val="single"/>
        </w:rPr>
        <w:t>Departamento de Bases de Datos de Nómina</w:t>
      </w:r>
      <w:r w:rsidRPr="00785ED2">
        <w:rPr>
          <w:rFonts w:ascii="Palatino Linotype" w:eastAsia="Palatino Linotype" w:hAnsi="Palatino Linotype" w:cs="Palatino Linotype"/>
          <w:sz w:val="22"/>
          <w:szCs w:val="22"/>
        </w:rPr>
        <w:t xml:space="preserve">, cuyo objetivo consiste en proporcionar soporte en la operación de la base de datos los sistemas de información automatizados vigentes que, en materia de recursos humanos opera la Dirección General de Personal, mediante la aplicación de las modificaciones requeridas para satisfacer las necesidades de información, y cuenta con las siguientes funciones en su parte conducente:  </w:t>
      </w:r>
    </w:p>
    <w:p w14:paraId="453F23E6"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Proporcionar soporte en la operación de la base de datos los sistemas de información automatizados vigentes que, en materia de recursos humanos opera la Dirección General </w:t>
      </w:r>
      <w:r w:rsidRPr="00785ED2">
        <w:rPr>
          <w:rFonts w:ascii="Palatino Linotype" w:eastAsia="Palatino Linotype" w:hAnsi="Palatino Linotype" w:cs="Palatino Linotype"/>
          <w:sz w:val="22"/>
          <w:szCs w:val="22"/>
        </w:rPr>
        <w:lastRenderedPageBreak/>
        <w:t>de Personal, mediante la aplicación de las modificaciones requeridas para satisfacer las necesidades de información.</w:t>
      </w:r>
    </w:p>
    <w:p w14:paraId="22510E9D"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Elaborar y documentar los procesos relacionados con las bases de datos de los sistemas de información automatizados</w:t>
      </w:r>
      <w:r w:rsidRPr="00785ED2">
        <w:rPr>
          <w:rFonts w:ascii="Palatino Linotype" w:eastAsia="Palatino Linotype" w:hAnsi="Palatino Linotype" w:cs="Palatino Linotype"/>
          <w:sz w:val="22"/>
          <w:szCs w:val="22"/>
        </w:rPr>
        <w:t xml:space="preserve"> vigentes de su responsabilidad.</w:t>
      </w:r>
    </w:p>
    <w:p w14:paraId="1AAA71A2"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Elaborar la documentación y ejecutar procedimientos para conducir las actividades y tareas que comprenden los procesos de mantenimiento, tanto de los sistemas de información automatizados vigentes como de las bases de datos a su cargo.</w:t>
      </w:r>
    </w:p>
    <w:p w14:paraId="17D60A1A" w14:textId="77777777" w:rsidR="009123CF" w:rsidRPr="00785ED2" w:rsidRDefault="009123CF" w:rsidP="009123CF">
      <w:pPr>
        <w:spacing w:before="240" w:after="240"/>
        <w:ind w:left="284"/>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Asesorar y capacitar sobre los sistemas de información automatizados</w:t>
      </w:r>
      <w:r w:rsidRPr="00785ED2">
        <w:rPr>
          <w:rFonts w:ascii="Palatino Linotype" w:eastAsia="Palatino Linotype" w:hAnsi="Palatino Linotype" w:cs="Palatino Linotype"/>
          <w:sz w:val="22"/>
          <w:szCs w:val="22"/>
        </w:rPr>
        <w:t xml:space="preserve"> vigentes y las bases de datos bajo su responsabilidad, </w:t>
      </w:r>
      <w:r w:rsidRPr="00785ED2">
        <w:rPr>
          <w:rFonts w:ascii="Palatino Linotype" w:eastAsia="Palatino Linotype" w:hAnsi="Palatino Linotype" w:cs="Palatino Linotype"/>
          <w:b/>
          <w:sz w:val="22"/>
          <w:szCs w:val="22"/>
        </w:rPr>
        <w:t>para que las personas usuarias de la Dirección General de Personal puedan operar el Sistema de Gestión y Administración de Personal.</w:t>
      </w:r>
    </w:p>
    <w:p w14:paraId="094E4E68" w14:textId="77777777" w:rsidR="009123CF" w:rsidRPr="00785ED2" w:rsidRDefault="009123CF" w:rsidP="009123CF">
      <w:pPr>
        <w:spacing w:before="240" w:after="240"/>
        <w:ind w:left="284"/>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u w:val="single"/>
        </w:rPr>
        <w:t>Generar las claves de acceso</w:t>
      </w:r>
      <w:r w:rsidRPr="00785ED2">
        <w:rPr>
          <w:rFonts w:ascii="Palatino Linotype" w:eastAsia="Palatino Linotype" w:hAnsi="Palatino Linotype" w:cs="Palatino Linotype"/>
          <w:sz w:val="22"/>
          <w:szCs w:val="22"/>
        </w:rPr>
        <w:t xml:space="preserve"> al Sistema Integral de Gestión y Administración de Personal (SIGAP), </w:t>
      </w:r>
      <w:r w:rsidRPr="00785ED2">
        <w:rPr>
          <w:rFonts w:ascii="Palatino Linotype" w:eastAsia="Palatino Linotype" w:hAnsi="Palatino Linotype" w:cs="Palatino Linotype"/>
          <w:b/>
          <w:sz w:val="22"/>
          <w:szCs w:val="22"/>
          <w:u w:val="single"/>
        </w:rPr>
        <w:t>para las coordinaciones administrativas</w:t>
      </w:r>
      <w:r w:rsidRPr="00785ED2">
        <w:rPr>
          <w:rFonts w:ascii="Palatino Linotype" w:eastAsia="Palatino Linotype" w:hAnsi="Palatino Linotype" w:cs="Palatino Linotype"/>
          <w:sz w:val="22"/>
          <w:szCs w:val="22"/>
        </w:rPr>
        <w:t xml:space="preserve"> o equivalentes que sean requeridas por la Dirección General de Personal.</w:t>
      </w:r>
    </w:p>
    <w:p w14:paraId="1C229FC9" w14:textId="79FF998C" w:rsidR="009123CF" w:rsidRPr="00785ED2" w:rsidRDefault="009123CF" w:rsidP="009123CF">
      <w:pPr>
        <w:widowControl w:val="0"/>
        <w:spacing w:before="240" w:after="240" w:line="360" w:lineRule="auto"/>
        <w:jc w:val="both"/>
        <w:rPr>
          <w:rFonts w:ascii="Palatino Linotype" w:eastAsia="Palatino Linotype" w:hAnsi="Palatino Linotype" w:cs="Palatino Linotype"/>
          <w:b/>
          <w:sz w:val="22"/>
          <w:szCs w:val="22"/>
          <w:u w:val="single"/>
        </w:rPr>
      </w:pPr>
      <w:r w:rsidRPr="00785ED2">
        <w:rPr>
          <w:rFonts w:ascii="Palatino Linotype" w:eastAsia="Palatino Linotype" w:hAnsi="Palatino Linotype" w:cs="Palatino Linotype"/>
          <w:sz w:val="22"/>
          <w:szCs w:val="22"/>
        </w:rPr>
        <w:t xml:space="preserve">Hasta este punto, se advierte que el pago por las remuneraciones de los servidores públicos adscritos a las dependencias del Poder Ejecutivo del Estado, es una atribución que le corresponde a la Dirección General de Personal, sin embargo, no debe perderse de vista que para tales efectos, se emplea el Sistema de Nómina del Sector Central del Poder Ejecutivo, </w:t>
      </w:r>
      <w:r w:rsidRPr="00785ED2">
        <w:rPr>
          <w:rFonts w:ascii="Palatino Linotype" w:eastAsia="Palatino Linotype" w:hAnsi="Palatino Linotype" w:cs="Palatino Linotype"/>
          <w:b/>
          <w:sz w:val="22"/>
          <w:szCs w:val="22"/>
        </w:rPr>
        <w:t xml:space="preserve">cuyas claves de acceso </w:t>
      </w:r>
      <w:r w:rsidRPr="00785ED2">
        <w:rPr>
          <w:rFonts w:ascii="Palatino Linotype" w:eastAsia="Palatino Linotype" w:hAnsi="Palatino Linotype" w:cs="Palatino Linotype"/>
          <w:sz w:val="22"/>
          <w:szCs w:val="22"/>
        </w:rPr>
        <w:t xml:space="preserve">generadas por el </w:t>
      </w:r>
      <w:r w:rsidRPr="00785ED2">
        <w:rPr>
          <w:rFonts w:ascii="Palatino Linotype" w:eastAsia="Palatino Linotype" w:hAnsi="Palatino Linotype" w:cs="Palatino Linotype"/>
          <w:b/>
          <w:sz w:val="22"/>
          <w:szCs w:val="22"/>
          <w:u w:val="single"/>
        </w:rPr>
        <w:t>Departamento de Bases de Datos de Nómina, adscrito a la Subdirección de Soporte de Nómina</w:t>
      </w:r>
      <w:r w:rsidRPr="00785ED2">
        <w:rPr>
          <w:rFonts w:ascii="Palatino Linotype" w:eastAsia="Palatino Linotype" w:hAnsi="Palatino Linotype" w:cs="Palatino Linotype"/>
          <w:sz w:val="22"/>
          <w:szCs w:val="22"/>
        </w:rPr>
        <w:t>,</w:t>
      </w:r>
      <w:r w:rsidRPr="00785ED2">
        <w:rPr>
          <w:rFonts w:ascii="Palatino Linotype" w:eastAsia="Palatino Linotype" w:hAnsi="Palatino Linotype" w:cs="Palatino Linotype"/>
          <w:b/>
          <w:sz w:val="22"/>
          <w:szCs w:val="22"/>
        </w:rPr>
        <w:t xml:space="preserve"> son enviadas a las coordinaciones administrativas o equivalentes</w:t>
      </w:r>
      <w:r w:rsidRPr="00785ED2">
        <w:rPr>
          <w:rFonts w:ascii="Palatino Linotype" w:eastAsia="Palatino Linotype" w:hAnsi="Palatino Linotype" w:cs="Palatino Linotype"/>
          <w:sz w:val="22"/>
          <w:szCs w:val="22"/>
        </w:rPr>
        <w:t xml:space="preserve"> de las dependencias del Poder Ejecutivo, para la aplicación de los movimientos e incidencias, lo que </w:t>
      </w:r>
      <w:r w:rsidRPr="00785ED2">
        <w:rPr>
          <w:rFonts w:ascii="Palatino Linotype" w:eastAsia="Palatino Linotype" w:hAnsi="Palatino Linotype" w:cs="Palatino Linotype"/>
          <w:b/>
          <w:sz w:val="22"/>
          <w:szCs w:val="22"/>
          <w:u w:val="single"/>
        </w:rPr>
        <w:t>se traduce en que</w:t>
      </w:r>
      <w:r w:rsidR="00911B76" w:rsidRPr="00785ED2">
        <w:rPr>
          <w:rFonts w:ascii="Palatino Linotype" w:eastAsia="Palatino Linotype" w:hAnsi="Palatino Linotype" w:cs="Palatino Linotype"/>
          <w:b/>
          <w:sz w:val="22"/>
          <w:szCs w:val="22"/>
          <w:u w:val="single"/>
        </w:rPr>
        <w:t xml:space="preserve">, además de la Oficialía Mayor, </w:t>
      </w:r>
      <w:r w:rsidRPr="00785ED2">
        <w:rPr>
          <w:rFonts w:ascii="Palatino Linotype" w:eastAsia="Palatino Linotype" w:hAnsi="Palatino Linotype" w:cs="Palatino Linotype"/>
          <w:b/>
          <w:sz w:val="22"/>
          <w:szCs w:val="22"/>
          <w:u w:val="single"/>
        </w:rPr>
        <w:t xml:space="preserve">las Coordinaciones Administrativas o equivalentes </w:t>
      </w:r>
      <w:r w:rsidR="00911B76" w:rsidRPr="00785ED2">
        <w:rPr>
          <w:rFonts w:ascii="Palatino Linotype" w:eastAsia="Palatino Linotype" w:hAnsi="Palatino Linotype" w:cs="Palatino Linotype"/>
          <w:b/>
          <w:sz w:val="22"/>
          <w:szCs w:val="22"/>
          <w:u w:val="single"/>
        </w:rPr>
        <w:t xml:space="preserve">de las dependencias del sector central como lo es la Secretaría de Educación de la Entidad, también </w:t>
      </w:r>
      <w:r w:rsidRPr="00785ED2">
        <w:rPr>
          <w:rFonts w:ascii="Palatino Linotype" w:eastAsia="Palatino Linotype" w:hAnsi="Palatino Linotype" w:cs="Palatino Linotype"/>
          <w:b/>
          <w:sz w:val="22"/>
          <w:szCs w:val="22"/>
          <w:u w:val="single"/>
        </w:rPr>
        <w:t>tienen acceso a dicho Sistema.</w:t>
      </w:r>
    </w:p>
    <w:p w14:paraId="775897BD" w14:textId="77777777" w:rsidR="009123CF" w:rsidRPr="00785ED2" w:rsidRDefault="009123CF" w:rsidP="009123CF">
      <w:pPr>
        <w:widowControl w:val="0"/>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el mismo orden de ideas, debe tomarse en consideración que la Subdirección de Actualización de Bases de Datos cuenta con la obligación de proporcionar el </w:t>
      </w:r>
      <w:r w:rsidRPr="00785ED2">
        <w:rPr>
          <w:rFonts w:ascii="Palatino Linotype" w:eastAsia="Palatino Linotype" w:hAnsi="Palatino Linotype" w:cs="Palatino Linotype"/>
          <w:b/>
          <w:sz w:val="22"/>
          <w:szCs w:val="22"/>
          <w:u w:val="single"/>
        </w:rPr>
        <w:t xml:space="preserve">listado de los servidores públicos y el resumen de percepciones y deducciones a la quincena en medio </w:t>
      </w:r>
      <w:r w:rsidRPr="00785ED2">
        <w:rPr>
          <w:rFonts w:ascii="Palatino Linotype" w:eastAsia="Palatino Linotype" w:hAnsi="Palatino Linotype" w:cs="Palatino Linotype"/>
          <w:b/>
          <w:sz w:val="22"/>
          <w:szCs w:val="22"/>
          <w:u w:val="single"/>
        </w:rPr>
        <w:lastRenderedPageBreak/>
        <w:t>magnético y por unidad administrativa,</w:t>
      </w:r>
      <w:r w:rsidRPr="00785ED2">
        <w:rPr>
          <w:rFonts w:ascii="Palatino Linotype" w:eastAsia="Palatino Linotype" w:hAnsi="Palatino Linotype" w:cs="Palatino Linotype"/>
          <w:sz w:val="22"/>
          <w:szCs w:val="22"/>
        </w:rPr>
        <w:t xml:space="preserve"> con la finalidad de que revisen el pago quincenal e identifiquen las posibles inconsistencias para su eventual regularización, para que posteriormente pueda realizar la transmisión del abono en cuenta, así como los procesos bancarios de los servidores públicos que reciben sus percepciones por dicho medio.</w:t>
      </w:r>
    </w:p>
    <w:p w14:paraId="1CC236EE" w14:textId="77777777" w:rsidR="009123CF" w:rsidRPr="00785ED2" w:rsidRDefault="009123CF" w:rsidP="009123CF">
      <w:pPr>
        <w:spacing w:before="240" w:after="240" w:line="360" w:lineRule="auto"/>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Mientras que </w:t>
      </w:r>
      <w:r w:rsidRPr="00785ED2">
        <w:rPr>
          <w:rFonts w:ascii="Palatino Linotype" w:eastAsia="Palatino Linotype" w:hAnsi="Palatino Linotype" w:cs="Palatino Linotype"/>
          <w:b/>
          <w:sz w:val="22"/>
          <w:szCs w:val="22"/>
        </w:rPr>
        <w:t>la Subdirección de Control de Pagos tiene el deber de proporcionar asesoría a las coordinaciones administrativas o equivalentes de las dependencias y órganos administrativos desconcentrados del Poder Ejecutivo Estatal</w:t>
      </w:r>
      <w:r w:rsidRPr="00785ED2">
        <w:rPr>
          <w:rFonts w:ascii="Palatino Linotype" w:eastAsia="Palatino Linotype" w:hAnsi="Palatino Linotype" w:cs="Palatino Linotype"/>
          <w:sz w:val="22"/>
          <w:szCs w:val="22"/>
        </w:rPr>
        <w:t xml:space="preserve"> para ingresar al Sistema de Emisión de Comprobantes de Percepciones y Deducciones, a través de la red Internet en la página del Gobierno (g2g), </w:t>
      </w:r>
      <w:r w:rsidRPr="00785ED2">
        <w:rPr>
          <w:rFonts w:ascii="Palatino Linotype" w:eastAsia="Palatino Linotype" w:hAnsi="Palatino Linotype" w:cs="Palatino Linotype"/>
          <w:b/>
          <w:sz w:val="22"/>
          <w:szCs w:val="22"/>
          <w:u w:val="single"/>
        </w:rPr>
        <w:t>para consultar los comprobantes de percepciones y deducciones correspondientes al pago de nómina quincenal</w:t>
      </w:r>
      <w:r w:rsidRPr="00785ED2">
        <w:rPr>
          <w:rFonts w:ascii="Palatino Linotype" w:eastAsia="Palatino Linotype" w:hAnsi="Palatino Linotype" w:cs="Palatino Linotype"/>
          <w:sz w:val="22"/>
          <w:szCs w:val="22"/>
          <w:u w:val="single"/>
        </w:rPr>
        <w:t>,</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así como para detectar posibles inconsistencias para su eventual regularización.</w:t>
      </w:r>
    </w:p>
    <w:p w14:paraId="0EDE96CA" w14:textId="77777777" w:rsidR="00911B76" w:rsidRPr="00785ED2" w:rsidRDefault="009123CF"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Con base en lo previo se</w:t>
      </w:r>
      <w:r w:rsidR="00911B76" w:rsidRPr="00785ED2">
        <w:rPr>
          <w:rFonts w:ascii="Palatino Linotype" w:eastAsia="Palatino Linotype" w:hAnsi="Palatino Linotype" w:cs="Palatino Linotype"/>
          <w:sz w:val="22"/>
          <w:szCs w:val="22"/>
        </w:rPr>
        <w:t xml:space="preserve"> arriba a las siguientes conclusiones:</w:t>
      </w:r>
    </w:p>
    <w:p w14:paraId="44DF75D2" w14:textId="77777777" w:rsidR="00911B76" w:rsidRPr="00785ED2" w:rsidRDefault="00911B76" w:rsidP="009123CF">
      <w:pPr>
        <w:spacing w:line="360" w:lineRule="auto"/>
        <w:jc w:val="both"/>
        <w:rPr>
          <w:rFonts w:ascii="Palatino Linotype" w:eastAsia="Palatino Linotype" w:hAnsi="Palatino Linotype" w:cs="Palatino Linotype"/>
          <w:sz w:val="22"/>
          <w:szCs w:val="22"/>
        </w:rPr>
      </w:pPr>
    </w:p>
    <w:p w14:paraId="00001FA6" w14:textId="77777777" w:rsidR="00AC3F77" w:rsidRPr="00785ED2" w:rsidRDefault="00911B76" w:rsidP="00AC3F77">
      <w:pPr>
        <w:pStyle w:val="Prrafodelista"/>
        <w:numPr>
          <w:ilvl w:val="0"/>
          <w:numId w:val="32"/>
        </w:numPr>
        <w:spacing w:line="360" w:lineRule="auto"/>
        <w:ind w:left="426"/>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sz w:val="22"/>
          <w:szCs w:val="22"/>
        </w:rPr>
        <w:t xml:space="preserve">Que, en efecto, el </w:t>
      </w:r>
      <w:r w:rsidRPr="00785ED2">
        <w:rPr>
          <w:rFonts w:ascii="Palatino Linotype" w:eastAsia="Palatino Linotype" w:hAnsi="Palatino Linotype" w:cs="Palatino Linotype"/>
          <w:b/>
          <w:sz w:val="22"/>
          <w:szCs w:val="22"/>
        </w:rPr>
        <w:t xml:space="preserve">Sujeto Obligado </w:t>
      </w:r>
      <w:r w:rsidRPr="00785ED2">
        <w:rPr>
          <w:rFonts w:ascii="Palatino Linotype" w:eastAsia="Palatino Linotype" w:hAnsi="Palatino Linotype" w:cs="Palatino Linotype"/>
          <w:sz w:val="22"/>
          <w:szCs w:val="22"/>
        </w:rPr>
        <w:t xml:space="preserve">cuenta con atribuciones para generar, administrar y/o poseer la nómina, los recibos de nómina o Comprobantes Fiscales Digitales por Internet de los servidores públicos adscritos a las dependencias del sector central del Poder Ejecutivo del Gobierno del Estado de México, como lo es la </w:t>
      </w:r>
      <w:r w:rsidRPr="00785ED2">
        <w:rPr>
          <w:rFonts w:ascii="Palatino Linotype" w:eastAsia="Palatino Linotype" w:hAnsi="Palatino Linotype" w:cs="Palatino Linotype"/>
          <w:sz w:val="22"/>
          <w:szCs w:val="22"/>
          <w:lang w:val="es-MX"/>
        </w:rPr>
        <w:t xml:space="preserve">Secretaría de Educación, </w:t>
      </w:r>
      <w:r w:rsidRPr="00785ED2">
        <w:rPr>
          <w:rFonts w:ascii="Palatino Linotype" w:eastAsia="Palatino Linotype" w:hAnsi="Palatino Linotype" w:cs="Palatino Linotype"/>
          <w:bCs/>
          <w:sz w:val="22"/>
          <w:szCs w:val="22"/>
          <w:lang w:val="es-MX"/>
        </w:rPr>
        <w:t>Ciencia, Tecnología e Innovación;</w:t>
      </w:r>
      <w:r w:rsidRPr="00785ED2">
        <w:rPr>
          <w:rFonts w:ascii="Palatino Linotype" w:eastAsia="Palatino Linotype" w:hAnsi="Palatino Linotype" w:cs="Palatino Linotype"/>
          <w:b/>
          <w:bCs/>
          <w:sz w:val="22"/>
          <w:szCs w:val="22"/>
          <w:lang w:val="es-MX"/>
        </w:rPr>
        <w:t xml:space="preserve"> </w:t>
      </w:r>
      <w:r w:rsidRPr="00785ED2">
        <w:rPr>
          <w:rFonts w:ascii="Palatino Linotype" w:eastAsia="Palatino Linotype" w:hAnsi="Palatino Linotype" w:cs="Palatino Linotype"/>
          <w:bCs/>
          <w:sz w:val="22"/>
          <w:szCs w:val="22"/>
          <w:lang w:val="es-MX"/>
        </w:rPr>
        <w:t>documentos en los cuales, se puede advertir datos como la categoría, nivel o rango del servidor público en cuestión, así como su sueldo bruto y neto mensual.</w:t>
      </w:r>
    </w:p>
    <w:p w14:paraId="45BAF004" w14:textId="77777777" w:rsidR="00AC3F77" w:rsidRPr="00785ED2" w:rsidRDefault="00AC3F77" w:rsidP="00AC3F77">
      <w:pPr>
        <w:pStyle w:val="Prrafodelista"/>
        <w:spacing w:line="360" w:lineRule="auto"/>
        <w:ind w:left="426"/>
        <w:jc w:val="both"/>
        <w:rPr>
          <w:rFonts w:ascii="Palatino Linotype" w:eastAsia="Palatino Linotype" w:hAnsi="Palatino Linotype" w:cs="Palatino Linotype"/>
          <w:b/>
          <w:sz w:val="22"/>
          <w:szCs w:val="22"/>
        </w:rPr>
      </w:pPr>
    </w:p>
    <w:p w14:paraId="6E51C529" w14:textId="17A92DA1" w:rsidR="009123CF" w:rsidRPr="00785ED2" w:rsidRDefault="00911B76" w:rsidP="009123CF">
      <w:pPr>
        <w:pStyle w:val="Prrafodelista"/>
        <w:numPr>
          <w:ilvl w:val="0"/>
          <w:numId w:val="32"/>
        </w:numPr>
        <w:spacing w:line="360" w:lineRule="auto"/>
        <w:ind w:left="426"/>
        <w:jc w:val="both"/>
        <w:rPr>
          <w:rFonts w:ascii="Palatino Linotype" w:eastAsia="Palatino Linotype" w:hAnsi="Palatino Linotype" w:cs="Palatino Linotype"/>
          <w:b/>
          <w:sz w:val="22"/>
          <w:szCs w:val="22"/>
        </w:rPr>
      </w:pPr>
      <w:r w:rsidRPr="00785ED2">
        <w:rPr>
          <w:rFonts w:ascii="Palatino Linotype" w:eastAsia="Palatino Linotype" w:hAnsi="Palatino Linotype" w:cs="Palatino Linotype"/>
          <w:bCs/>
          <w:sz w:val="22"/>
          <w:szCs w:val="22"/>
        </w:rPr>
        <w:t xml:space="preserve">Que, </w:t>
      </w:r>
      <w:r w:rsidRPr="00785ED2">
        <w:rPr>
          <w:rFonts w:ascii="Palatino Linotype" w:eastAsia="Palatino Linotype" w:hAnsi="Palatino Linotype" w:cs="Palatino Linotype"/>
          <w:b/>
          <w:bCs/>
          <w:sz w:val="22"/>
          <w:szCs w:val="22"/>
        </w:rPr>
        <w:t>además de la Oficialía Mayor, las dependencias del sector central del Poder Ejecutivo del Gobierno del Estado de México</w:t>
      </w:r>
      <w:r w:rsidR="00AC3F77" w:rsidRPr="00785ED2">
        <w:rPr>
          <w:rFonts w:ascii="Palatino Linotype" w:eastAsia="Palatino Linotype" w:hAnsi="Palatino Linotype" w:cs="Palatino Linotype"/>
          <w:b/>
          <w:bCs/>
          <w:sz w:val="22"/>
          <w:szCs w:val="22"/>
        </w:rPr>
        <w:t>, también pueden conocer de las documentales indicadas en el punto anterior</w:t>
      </w:r>
      <w:r w:rsidR="00AC3F77" w:rsidRPr="00785ED2">
        <w:rPr>
          <w:rFonts w:ascii="Palatino Linotype" w:eastAsia="Palatino Linotype" w:hAnsi="Palatino Linotype" w:cs="Palatino Linotype"/>
          <w:bCs/>
          <w:sz w:val="22"/>
          <w:szCs w:val="22"/>
        </w:rPr>
        <w:t xml:space="preserve">, pues conforme los argumentos expuestos, las coordinaciones administrativas de dependencias como la Secretaría de Educación, Ciencia, Tecnología e Innovación, tienen conocimiento del listado de los </w:t>
      </w:r>
      <w:r w:rsidR="00AC3F77" w:rsidRPr="00785ED2">
        <w:rPr>
          <w:rFonts w:ascii="Palatino Linotype" w:eastAsia="Palatino Linotype" w:hAnsi="Palatino Linotype" w:cs="Palatino Linotype"/>
          <w:bCs/>
          <w:sz w:val="22"/>
          <w:szCs w:val="22"/>
        </w:rPr>
        <w:lastRenderedPageBreak/>
        <w:t>servidores públicos y resumen de percepciones y deducciones de las quincenas correspondientes, ya que esta información le es remitida, en medio magnético y por unidad administrativa, por la Subdirección de Actualización de Bases de Datos (actualmente perteneciente a la Oficialía Mayor), con la finalidad de que se revise el pago quincenal y se identifiquen las posibles inconsistencias para su eventual regularización.</w:t>
      </w:r>
    </w:p>
    <w:p w14:paraId="7E5335FB" w14:textId="77777777" w:rsidR="00857905" w:rsidRPr="00785ED2" w:rsidRDefault="00857905" w:rsidP="00857905">
      <w:pPr>
        <w:pStyle w:val="Prrafodelista"/>
        <w:rPr>
          <w:rFonts w:ascii="Palatino Linotype" w:eastAsia="Palatino Linotype" w:hAnsi="Palatino Linotype" w:cs="Palatino Linotype"/>
          <w:b/>
          <w:sz w:val="22"/>
          <w:szCs w:val="22"/>
        </w:rPr>
      </w:pPr>
    </w:p>
    <w:p w14:paraId="50483CD9" w14:textId="77777777" w:rsidR="00857905" w:rsidRPr="00785ED2" w:rsidRDefault="00857905" w:rsidP="00857905">
      <w:pPr>
        <w:pStyle w:val="Prrafodelista"/>
        <w:spacing w:line="360" w:lineRule="auto"/>
        <w:ind w:left="426"/>
        <w:jc w:val="both"/>
        <w:rPr>
          <w:rFonts w:ascii="Palatino Linotype" w:eastAsia="Palatino Linotype" w:hAnsi="Palatino Linotype" w:cs="Palatino Linotype"/>
          <w:b/>
          <w:sz w:val="22"/>
          <w:szCs w:val="22"/>
        </w:rPr>
      </w:pPr>
    </w:p>
    <w:p w14:paraId="52829650" w14:textId="664FB33F" w:rsidR="00AC3F77" w:rsidRPr="00785ED2" w:rsidRDefault="009123CF" w:rsidP="00AC3F77">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esta manera, </w:t>
      </w:r>
      <w:r w:rsidR="00AC3F77" w:rsidRPr="00785ED2">
        <w:rPr>
          <w:rFonts w:ascii="Palatino Linotype" w:eastAsia="Palatino Linotype" w:hAnsi="Palatino Linotype" w:cs="Palatino Linotype"/>
          <w:sz w:val="22"/>
          <w:szCs w:val="22"/>
        </w:rPr>
        <w:t xml:space="preserve">atendiendo que en el presente asunto, hubo pronunciamiento del servidor público habilitado competente de la Dirección General de Personal de la Oficialía Mayor, que cuenta con </w:t>
      </w:r>
      <w:r w:rsidRPr="00785ED2">
        <w:rPr>
          <w:rFonts w:ascii="Palatino Linotype" w:eastAsia="Palatino Linotype" w:hAnsi="Palatino Linotype" w:cs="Palatino Linotype"/>
          <w:sz w:val="22"/>
          <w:szCs w:val="22"/>
        </w:rPr>
        <w:t xml:space="preserve">atribuciones para conocer </w:t>
      </w:r>
      <w:r w:rsidR="00AC3F77" w:rsidRPr="00785ED2">
        <w:rPr>
          <w:rFonts w:ascii="Palatino Linotype" w:eastAsia="Palatino Linotype" w:hAnsi="Palatino Linotype" w:cs="Palatino Linotype"/>
          <w:sz w:val="22"/>
          <w:szCs w:val="22"/>
        </w:rPr>
        <w:t xml:space="preserve">lo relativo a los documentos donde consta el cargo, nivel o rango, así como </w:t>
      </w:r>
      <w:r w:rsidRPr="00785ED2">
        <w:rPr>
          <w:rFonts w:ascii="Palatino Linotype" w:eastAsia="Palatino Linotype" w:hAnsi="Palatino Linotype" w:cs="Palatino Linotype"/>
          <w:sz w:val="22"/>
          <w:szCs w:val="22"/>
        </w:rPr>
        <w:t xml:space="preserve">las remuneraciones que perciben los servidores públicos adscritos </w:t>
      </w:r>
      <w:r w:rsidR="00AC3F77" w:rsidRPr="00785ED2">
        <w:rPr>
          <w:rFonts w:ascii="Palatino Linotype" w:eastAsia="Palatino Linotype" w:hAnsi="Palatino Linotype" w:cs="Palatino Linotype"/>
          <w:sz w:val="22"/>
          <w:szCs w:val="22"/>
        </w:rPr>
        <w:t>a las dependencias del sector central del Poder Ejecutivo del Estado de México, se considera que se dio cumplimiento al procedimiento establecido por el artículo 162 de la Ley de Transparencia y Acceso a la Información Pública del Estado de México y Municipios, ya que la Unidad de Transparencia turnó la solicitud al área en la que podría obrar la información de conformidad con la fracción XXXIX del artículo tercero de la legislación local vigente en materia de transparencia: </w:t>
      </w:r>
    </w:p>
    <w:p w14:paraId="76CD50DA" w14:textId="77777777" w:rsidR="00AC3F77" w:rsidRPr="00785ED2" w:rsidRDefault="00AC3F77" w:rsidP="00AC3F77"/>
    <w:p w14:paraId="3DA3BA93" w14:textId="77777777" w:rsidR="00AC3F77" w:rsidRPr="00785ED2" w:rsidRDefault="00AC3F77" w:rsidP="00AC3F77">
      <w:pPr>
        <w:pBdr>
          <w:top w:val="nil"/>
          <w:left w:val="nil"/>
          <w:bottom w:val="nil"/>
          <w:right w:val="nil"/>
          <w:between w:val="nil"/>
        </w:pBdr>
        <w:ind w:left="864" w:right="864"/>
        <w:jc w:val="both"/>
      </w:pPr>
      <w:r w:rsidRPr="00785ED2">
        <w:rPr>
          <w:rFonts w:ascii="Palatino Linotype" w:eastAsia="Palatino Linotype" w:hAnsi="Palatino Linotype" w:cs="Palatino Linotype"/>
          <w:i/>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D396B26" w14:textId="77777777" w:rsidR="00AC3F77" w:rsidRPr="00785ED2" w:rsidRDefault="00AC3F77" w:rsidP="00AC3F77"/>
    <w:p w14:paraId="2ED0712A" w14:textId="77777777" w:rsidR="00AC3F77" w:rsidRPr="00785ED2" w:rsidRDefault="00AC3F77" w:rsidP="00AC3F77">
      <w:pPr>
        <w:pBdr>
          <w:top w:val="nil"/>
          <w:left w:val="nil"/>
          <w:bottom w:val="nil"/>
          <w:right w:val="nil"/>
          <w:between w:val="nil"/>
        </w:pBdr>
        <w:shd w:val="clear" w:color="auto" w:fill="FFFFFF"/>
        <w:spacing w:line="360" w:lineRule="auto"/>
        <w:jc w:val="both"/>
        <w:rPr>
          <w:sz w:val="22"/>
          <w:szCs w:val="22"/>
        </w:rPr>
      </w:pPr>
      <w:r w:rsidRPr="00785ED2">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0D92225E" w14:textId="77777777" w:rsidR="00AC3F77" w:rsidRPr="00785ED2" w:rsidRDefault="00AC3F77" w:rsidP="00AC3F77"/>
    <w:p w14:paraId="3A3D15EA" w14:textId="77777777" w:rsidR="00AC3F77" w:rsidRPr="00785ED2" w:rsidRDefault="00AC3F77" w:rsidP="00AC3F77">
      <w:pPr>
        <w:pBdr>
          <w:top w:val="nil"/>
          <w:left w:val="nil"/>
          <w:bottom w:val="nil"/>
          <w:right w:val="nil"/>
          <w:between w:val="nil"/>
        </w:pBdr>
        <w:ind w:left="864" w:right="864"/>
        <w:jc w:val="both"/>
      </w:pPr>
      <w:r w:rsidRPr="00785ED2">
        <w:rPr>
          <w:rFonts w:ascii="Palatino Linotype" w:eastAsia="Palatino Linotype" w:hAnsi="Palatino Linotype" w:cs="Palatino Linotype"/>
          <w:i/>
          <w:sz w:val="22"/>
          <w:szCs w:val="22"/>
        </w:rPr>
        <w:lastRenderedPageBreak/>
        <w:t xml:space="preserve">“Artículo 162. Las unidades de transparencia deberán garantizar que las solicitudes </w:t>
      </w:r>
      <w:r w:rsidRPr="00785ED2">
        <w:rPr>
          <w:rFonts w:ascii="Palatino Linotype" w:eastAsia="Palatino Linotype" w:hAnsi="Palatino Linotype" w:cs="Palatino Linotype"/>
          <w:b/>
          <w:i/>
          <w:sz w:val="22"/>
          <w:szCs w:val="22"/>
        </w:rPr>
        <w:t xml:space="preserve">se turnen a todas las Áreas competentes </w:t>
      </w:r>
      <w:r w:rsidRPr="00785ED2">
        <w:rPr>
          <w:rFonts w:ascii="Palatino Linotype" w:eastAsia="Palatino Linotype" w:hAnsi="Palatino Linotype" w:cs="Palatino Linotype"/>
          <w:i/>
          <w:sz w:val="22"/>
          <w:szCs w:val="22"/>
        </w:rPr>
        <w:t>que cuenten con la información o deban tenerla de acuerdo a sus facultades, competencias y funciones, con el objeto de que realicen una búsqueda exhaustiva y razonable de la información solicitada.”</w:t>
      </w:r>
    </w:p>
    <w:p w14:paraId="547E7A76" w14:textId="77777777" w:rsidR="00AC3F77" w:rsidRPr="00785ED2" w:rsidRDefault="00AC3F77" w:rsidP="00AC3F77">
      <w:pPr>
        <w:spacing w:line="360" w:lineRule="auto"/>
        <w:jc w:val="both"/>
        <w:rPr>
          <w:rFonts w:ascii="Palatino Linotype" w:eastAsia="Palatino Linotype" w:hAnsi="Palatino Linotype" w:cs="Palatino Linotype"/>
          <w:sz w:val="22"/>
          <w:szCs w:val="22"/>
        </w:rPr>
      </w:pPr>
    </w:p>
    <w:p w14:paraId="26BD9825" w14:textId="0C6D6C9D" w:rsidR="00AC3F77" w:rsidRPr="00785ED2" w:rsidRDefault="00AC3F77"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Sin embargo, a pesar de que en el caso se pronunció el servidor público habilitado competente, a criterio de este Órgano Garante no se garantizó el derecho de acceso a la información pública, por las siguientes consideraciones:</w:t>
      </w:r>
    </w:p>
    <w:p w14:paraId="5CEC70BD" w14:textId="77777777" w:rsidR="00AC3F77" w:rsidRPr="00785ED2" w:rsidRDefault="00AC3F77" w:rsidP="009123CF">
      <w:pPr>
        <w:spacing w:line="360" w:lineRule="auto"/>
        <w:jc w:val="both"/>
        <w:rPr>
          <w:rFonts w:ascii="Palatino Linotype" w:eastAsia="Palatino Linotype" w:hAnsi="Palatino Linotype" w:cs="Palatino Linotype"/>
          <w:sz w:val="22"/>
          <w:szCs w:val="22"/>
        </w:rPr>
      </w:pPr>
    </w:p>
    <w:p w14:paraId="75ADFB38" w14:textId="07F892E5" w:rsidR="00AC3F77" w:rsidRPr="00785ED2" w:rsidRDefault="00AC3F77"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Del análisis a la respuesta, se advierte que el </w:t>
      </w:r>
      <w:r w:rsidR="00067482" w:rsidRPr="00785ED2">
        <w:rPr>
          <w:rFonts w:ascii="Palatino Linotype" w:eastAsia="Palatino Linotype" w:hAnsi="Palatino Linotype" w:cs="Palatino Linotype"/>
          <w:sz w:val="22"/>
          <w:szCs w:val="22"/>
        </w:rPr>
        <w:t>servidor público habilitado competente señaló que el requerimiento de información relativo a “</w:t>
      </w:r>
      <w:r w:rsidR="00067482" w:rsidRPr="00785ED2">
        <w:rPr>
          <w:rFonts w:ascii="Palatino Linotype" w:eastAsia="Palatino Linotype" w:hAnsi="Palatino Linotype" w:cs="Palatino Linotype"/>
          <w:b/>
          <w:i/>
          <w:sz w:val="22"/>
          <w:szCs w:val="22"/>
        </w:rPr>
        <w:t>historial de percepciones salariales</w:t>
      </w:r>
      <w:r w:rsidR="00067482" w:rsidRPr="00785ED2">
        <w:rPr>
          <w:rFonts w:ascii="Palatino Linotype" w:eastAsia="Palatino Linotype" w:hAnsi="Palatino Linotype" w:cs="Palatino Linotype"/>
          <w:sz w:val="22"/>
          <w:szCs w:val="22"/>
        </w:rPr>
        <w:t>” del servidor público señalado en la solicitud, era un trámite personal denominado “Emisión de constancias de percepciones y deducciones” para el cual se debía acreditar interés legítimo y jurídico, orientando a la persona solicitante para que acudiera de manera personal a gestionar el trámite en las oficinas de la Subdirección de Control de Pagos.</w:t>
      </w:r>
    </w:p>
    <w:p w14:paraId="66280260" w14:textId="77777777" w:rsidR="00067482" w:rsidRPr="00785ED2" w:rsidRDefault="00067482" w:rsidP="009123CF">
      <w:pPr>
        <w:spacing w:line="360" w:lineRule="auto"/>
        <w:jc w:val="both"/>
        <w:rPr>
          <w:rFonts w:ascii="Palatino Linotype" w:eastAsia="Palatino Linotype" w:hAnsi="Palatino Linotype" w:cs="Palatino Linotype"/>
          <w:sz w:val="22"/>
          <w:szCs w:val="22"/>
        </w:rPr>
      </w:pPr>
    </w:p>
    <w:p w14:paraId="27F01D01" w14:textId="2DF52BDF" w:rsidR="00067482" w:rsidRPr="00785ED2" w:rsidRDefault="00067482"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Sin embargo, </w:t>
      </w:r>
      <w:r w:rsidR="009B7724" w:rsidRPr="00785ED2">
        <w:rPr>
          <w:rFonts w:ascii="Palatino Linotype" w:eastAsia="Palatino Linotype" w:hAnsi="Palatino Linotype" w:cs="Palatino Linotype"/>
          <w:sz w:val="22"/>
          <w:szCs w:val="22"/>
        </w:rPr>
        <w:t>de acuerdo con</w:t>
      </w:r>
      <w:r w:rsidRPr="00785ED2">
        <w:rPr>
          <w:rFonts w:ascii="Palatino Linotype" w:eastAsia="Palatino Linotype" w:hAnsi="Palatino Linotype" w:cs="Palatino Linotype"/>
          <w:sz w:val="22"/>
          <w:szCs w:val="22"/>
        </w:rPr>
        <w:t xml:space="preserve"> los motivos de inconformidad, el particular precisa que no requiere </w:t>
      </w:r>
      <w:r w:rsidR="009B7724" w:rsidRPr="00785ED2">
        <w:rPr>
          <w:rFonts w:ascii="Palatino Linotype" w:eastAsia="Palatino Linotype" w:hAnsi="Palatino Linotype" w:cs="Palatino Linotype"/>
          <w:sz w:val="22"/>
          <w:szCs w:val="22"/>
        </w:rPr>
        <w:t>constancias de percepciones ni deducciones, sino información pública, consistente en la categoría o puesto, rango o nivel, sueldo bruto y neto mensual, por año, del servidor público en cuestión, desde 1989 hasta la fecha de su baja, renuncia o jubilación; razón por la cual se invocó la figura de actos consentidos para lo relativo al historial de percepciones salariales.</w:t>
      </w:r>
    </w:p>
    <w:p w14:paraId="340674DF" w14:textId="77777777" w:rsidR="009B7724" w:rsidRPr="00785ED2" w:rsidRDefault="009B7724" w:rsidP="009123CF">
      <w:pPr>
        <w:spacing w:line="360" w:lineRule="auto"/>
        <w:jc w:val="both"/>
        <w:rPr>
          <w:rFonts w:ascii="Palatino Linotype" w:eastAsia="Palatino Linotype" w:hAnsi="Palatino Linotype" w:cs="Palatino Linotype"/>
          <w:sz w:val="22"/>
          <w:szCs w:val="22"/>
        </w:rPr>
      </w:pPr>
    </w:p>
    <w:p w14:paraId="76BE4C26" w14:textId="2FF7E51C" w:rsidR="009B7724" w:rsidRPr="00785ED2" w:rsidRDefault="009B7724"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esta manera, atendiendo que el particular no pretende ejercer un derecho de acceso a datos personales, tal y como lo enfatiza en sus motivos de inconformidad y sus alegatos vertidos en la etapa de manifestaciones, </w:t>
      </w:r>
      <w:r w:rsidR="00415490" w:rsidRPr="00785ED2">
        <w:rPr>
          <w:rFonts w:ascii="Palatino Linotype" w:eastAsia="Palatino Linotype" w:hAnsi="Palatino Linotype" w:cs="Palatino Linotype"/>
          <w:sz w:val="22"/>
          <w:szCs w:val="22"/>
        </w:rPr>
        <w:t xml:space="preserve">sino únicamente al puesto, categoría, nivel  o rango, sueldo bruto y neto mensual, desde el 01 de enero de 1989 a la fecha de su baja, del servidor </w:t>
      </w:r>
      <w:r w:rsidR="00415490" w:rsidRPr="00785ED2">
        <w:rPr>
          <w:rFonts w:ascii="Palatino Linotype" w:eastAsia="Palatino Linotype" w:hAnsi="Palatino Linotype" w:cs="Palatino Linotype"/>
          <w:sz w:val="22"/>
          <w:szCs w:val="22"/>
        </w:rPr>
        <w:lastRenderedPageBreak/>
        <w:t xml:space="preserve">público referido en la solicitud; por ende, </w:t>
      </w:r>
      <w:r w:rsidRPr="00785ED2">
        <w:rPr>
          <w:rFonts w:ascii="Palatino Linotype" w:eastAsia="Palatino Linotype" w:hAnsi="Palatino Linotype" w:cs="Palatino Linotype"/>
          <w:sz w:val="22"/>
          <w:szCs w:val="22"/>
        </w:rPr>
        <w:t xml:space="preserve">se considera que </w:t>
      </w:r>
      <w:r w:rsidR="00415490" w:rsidRPr="00785ED2">
        <w:rPr>
          <w:rFonts w:ascii="Palatino Linotype" w:eastAsia="Palatino Linotype" w:hAnsi="Palatino Linotype" w:cs="Palatino Linotype"/>
          <w:sz w:val="22"/>
          <w:szCs w:val="22"/>
        </w:rPr>
        <w:t xml:space="preserve">se </w:t>
      </w:r>
      <w:r w:rsidRPr="00785ED2">
        <w:rPr>
          <w:rFonts w:ascii="Palatino Linotype" w:eastAsia="Palatino Linotype" w:hAnsi="Palatino Linotype" w:cs="Palatino Linotype"/>
          <w:sz w:val="22"/>
          <w:szCs w:val="22"/>
        </w:rPr>
        <w:t xml:space="preserve">pretende acceder a información pública, la cual es dable obtener mediante el </w:t>
      </w:r>
      <w:r w:rsidR="00415490" w:rsidRPr="00785ED2">
        <w:rPr>
          <w:rFonts w:ascii="Palatino Linotype" w:eastAsia="Palatino Linotype" w:hAnsi="Palatino Linotype" w:cs="Palatino Linotype"/>
          <w:sz w:val="22"/>
          <w:szCs w:val="22"/>
        </w:rPr>
        <w:t xml:space="preserve">ejercicio del </w:t>
      </w:r>
      <w:r w:rsidRPr="00785ED2">
        <w:rPr>
          <w:rFonts w:ascii="Palatino Linotype" w:eastAsia="Palatino Linotype" w:hAnsi="Palatino Linotype" w:cs="Palatino Linotype"/>
          <w:sz w:val="22"/>
          <w:szCs w:val="22"/>
        </w:rPr>
        <w:t>derecho de acceso a la información pública.</w:t>
      </w:r>
    </w:p>
    <w:p w14:paraId="541D1D51" w14:textId="2A662B9D" w:rsidR="00415490" w:rsidRPr="00785ED2" w:rsidRDefault="00415490" w:rsidP="009123CF">
      <w:pPr>
        <w:spacing w:line="360" w:lineRule="auto"/>
        <w:jc w:val="both"/>
        <w:rPr>
          <w:rFonts w:ascii="Palatino Linotype" w:eastAsia="Palatino Linotype" w:hAnsi="Palatino Linotype" w:cs="Palatino Linotype"/>
          <w:sz w:val="22"/>
          <w:szCs w:val="22"/>
        </w:rPr>
      </w:pPr>
    </w:p>
    <w:p w14:paraId="21ACCDAC" w14:textId="12073299" w:rsidR="003C2774" w:rsidRPr="00785ED2" w:rsidRDefault="00415490"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 lo anterior, no resulta óbice mencionar que de conformidad a las constancias que obran en el SAIMEX, el servidor público habilitado de la Dirección General de Personal, fue omiso en pronunciarse sobre el requerimiento señalado en el punto anterior; i</w:t>
      </w:r>
      <w:r w:rsidR="003C2774" w:rsidRPr="00785ED2">
        <w:rPr>
          <w:rFonts w:ascii="Palatino Linotype" w:eastAsia="Palatino Linotype" w:hAnsi="Palatino Linotype" w:cs="Palatino Linotype"/>
          <w:sz w:val="22"/>
          <w:szCs w:val="22"/>
        </w:rPr>
        <w:t>nformación que incluso se relaciona con una de las obligaciones de transparencia, previstas en la fracción VIII del artículo 92 de la Ley de Transparencia Local, a saber:</w:t>
      </w:r>
    </w:p>
    <w:p w14:paraId="28AE306F" w14:textId="77777777" w:rsidR="003C2774" w:rsidRPr="00785ED2" w:rsidRDefault="003C2774" w:rsidP="009123CF">
      <w:pPr>
        <w:spacing w:line="360" w:lineRule="auto"/>
        <w:jc w:val="both"/>
        <w:rPr>
          <w:rFonts w:ascii="Palatino Linotype" w:eastAsia="Palatino Linotype" w:hAnsi="Palatino Linotype" w:cs="Palatino Linotype"/>
          <w:sz w:val="22"/>
          <w:szCs w:val="22"/>
        </w:rPr>
      </w:pPr>
    </w:p>
    <w:p w14:paraId="3D84CFB1" w14:textId="56D517BA" w:rsidR="003C2774" w:rsidRPr="00785ED2" w:rsidRDefault="003C2774" w:rsidP="003C2774">
      <w:pPr>
        <w:spacing w:line="276" w:lineRule="auto"/>
        <w:ind w:left="567"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1642334" w14:textId="6983F72E" w:rsidR="003C2774" w:rsidRPr="00785ED2" w:rsidRDefault="003C2774" w:rsidP="003C2774">
      <w:pPr>
        <w:spacing w:line="276" w:lineRule="auto"/>
        <w:ind w:left="567"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06AE9D38" w14:textId="14950DD5" w:rsidR="003C2774" w:rsidRPr="00785ED2" w:rsidRDefault="003C2774" w:rsidP="003C2774">
      <w:pPr>
        <w:spacing w:line="276" w:lineRule="auto"/>
        <w:ind w:left="567" w:right="616"/>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7B821AE2" w14:textId="1F6A984A" w:rsidR="003C2774" w:rsidRPr="00785ED2" w:rsidRDefault="003C2774" w:rsidP="003C2774">
      <w:pPr>
        <w:spacing w:line="276" w:lineRule="auto"/>
        <w:ind w:left="567"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57611FF4" w14:textId="77777777" w:rsidR="003C2774" w:rsidRPr="00785ED2" w:rsidRDefault="003C2774" w:rsidP="003C2774">
      <w:pPr>
        <w:spacing w:line="276" w:lineRule="auto"/>
        <w:ind w:left="567" w:right="616"/>
        <w:jc w:val="both"/>
        <w:rPr>
          <w:rFonts w:ascii="Palatino Linotype" w:eastAsia="Palatino Linotype" w:hAnsi="Palatino Linotype" w:cs="Palatino Linotype"/>
          <w:i/>
          <w:sz w:val="22"/>
          <w:szCs w:val="22"/>
        </w:rPr>
      </w:pPr>
    </w:p>
    <w:p w14:paraId="4413C203" w14:textId="1368DDBC" w:rsidR="003C2774" w:rsidRPr="00785ED2" w:rsidRDefault="003C2774" w:rsidP="003C2774">
      <w:pPr>
        <w:spacing w:line="276" w:lineRule="auto"/>
        <w:ind w:left="567" w:right="616"/>
        <w:jc w:val="right"/>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(Énfasis añadido)</w:t>
      </w:r>
    </w:p>
    <w:p w14:paraId="1F79D7BE" w14:textId="77777777" w:rsidR="00415490" w:rsidRPr="00785ED2" w:rsidRDefault="00415490" w:rsidP="009123CF">
      <w:pPr>
        <w:spacing w:line="360" w:lineRule="auto"/>
        <w:jc w:val="both"/>
        <w:rPr>
          <w:rFonts w:ascii="Palatino Linotype" w:eastAsia="Palatino Linotype" w:hAnsi="Palatino Linotype" w:cs="Palatino Linotype"/>
          <w:sz w:val="22"/>
          <w:szCs w:val="22"/>
        </w:rPr>
      </w:pPr>
    </w:p>
    <w:p w14:paraId="2B208A13" w14:textId="3045A46F" w:rsidR="003C2774" w:rsidRPr="00785ED2" w:rsidRDefault="006B3458"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esta manera, </w:t>
      </w:r>
      <w:r w:rsidR="00415490" w:rsidRPr="00785ED2">
        <w:rPr>
          <w:rFonts w:ascii="Palatino Linotype" w:eastAsia="Palatino Linotype" w:hAnsi="Palatino Linotype" w:cs="Palatino Linotype"/>
          <w:sz w:val="22"/>
          <w:szCs w:val="22"/>
        </w:rPr>
        <w:t xml:space="preserve">resulta procedente </w:t>
      </w:r>
      <w:r w:rsidR="00415490" w:rsidRPr="00785ED2">
        <w:rPr>
          <w:rFonts w:ascii="Palatino Linotype" w:eastAsia="Palatino Linotype" w:hAnsi="Palatino Linotype" w:cs="Palatino Linotype"/>
          <w:b/>
          <w:sz w:val="22"/>
          <w:szCs w:val="22"/>
        </w:rPr>
        <w:t xml:space="preserve">Modificar </w:t>
      </w:r>
      <w:r w:rsidR="00415490" w:rsidRPr="00785ED2">
        <w:rPr>
          <w:rFonts w:ascii="Palatino Linotype" w:eastAsia="Palatino Linotype" w:hAnsi="Palatino Linotype" w:cs="Palatino Linotype"/>
          <w:sz w:val="22"/>
          <w:szCs w:val="22"/>
        </w:rPr>
        <w:t>la respuesta del ente obligado y ordenar que en cumplimiento a la presente resolución, se entregue, previa búsqueda exhaustiva y razonable, de ser procedente en versión pública, respecto del servidor público referido en la solicitud de información,</w:t>
      </w:r>
      <w:r w:rsidR="00415490" w:rsidRPr="00785ED2">
        <w:t xml:space="preserve"> </w:t>
      </w:r>
      <w:r w:rsidR="00415490" w:rsidRPr="00785ED2">
        <w:rPr>
          <w:rFonts w:ascii="Palatino Linotype" w:eastAsia="Palatino Linotype" w:hAnsi="Palatino Linotype" w:cs="Palatino Linotype"/>
          <w:sz w:val="22"/>
          <w:szCs w:val="22"/>
        </w:rPr>
        <w:t>desde el 01 de enero de 1989 a la fecha de su baja,</w:t>
      </w:r>
      <w:r w:rsidR="00857905" w:rsidRPr="00785ED2">
        <w:rPr>
          <w:rFonts w:ascii="Palatino Linotype" w:eastAsia="Palatino Linotype" w:hAnsi="Palatino Linotype" w:cs="Palatino Linotype"/>
          <w:sz w:val="22"/>
          <w:szCs w:val="22"/>
        </w:rPr>
        <w:t xml:space="preserve"> renuncia o jubilación,</w:t>
      </w:r>
      <w:r w:rsidR="00415490" w:rsidRPr="00785ED2">
        <w:rPr>
          <w:rFonts w:ascii="Palatino Linotype" w:eastAsia="Palatino Linotype" w:hAnsi="Palatino Linotype" w:cs="Palatino Linotype"/>
          <w:sz w:val="22"/>
          <w:szCs w:val="22"/>
        </w:rPr>
        <w:t xml:space="preserve"> el o los documentos donde conste lo siguiente:</w:t>
      </w:r>
    </w:p>
    <w:p w14:paraId="3C338BA8" w14:textId="77777777" w:rsidR="00415490" w:rsidRPr="00785ED2" w:rsidRDefault="00415490" w:rsidP="009123CF">
      <w:pPr>
        <w:spacing w:line="360" w:lineRule="auto"/>
        <w:jc w:val="both"/>
        <w:rPr>
          <w:rFonts w:ascii="Palatino Linotype" w:eastAsia="Palatino Linotype" w:hAnsi="Palatino Linotype" w:cs="Palatino Linotype"/>
          <w:sz w:val="22"/>
          <w:szCs w:val="22"/>
        </w:rPr>
      </w:pPr>
    </w:p>
    <w:p w14:paraId="2081886C" w14:textId="3FD96DB4" w:rsidR="00415490" w:rsidRPr="00785ED2" w:rsidRDefault="00415490" w:rsidP="00D32853">
      <w:pPr>
        <w:pStyle w:val="Prrafodelista"/>
        <w:numPr>
          <w:ilvl w:val="0"/>
          <w:numId w:val="33"/>
        </w:num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u w:val="single"/>
        </w:rPr>
        <w:lastRenderedPageBreak/>
        <w:t xml:space="preserve">El puesto, categoría, </w:t>
      </w:r>
      <w:r w:rsidR="00857905" w:rsidRPr="00785ED2">
        <w:rPr>
          <w:rFonts w:ascii="Palatino Linotype" w:eastAsia="Palatino Linotype" w:hAnsi="Palatino Linotype" w:cs="Palatino Linotype"/>
          <w:b/>
          <w:sz w:val="22"/>
          <w:szCs w:val="22"/>
          <w:u w:val="single"/>
        </w:rPr>
        <w:t>nivel o</w:t>
      </w:r>
      <w:r w:rsidRPr="00785ED2">
        <w:rPr>
          <w:rFonts w:ascii="Palatino Linotype" w:eastAsia="Palatino Linotype" w:hAnsi="Palatino Linotype" w:cs="Palatino Linotype"/>
          <w:b/>
          <w:sz w:val="22"/>
          <w:szCs w:val="22"/>
          <w:u w:val="single"/>
        </w:rPr>
        <w:t xml:space="preserve"> rango; y</w:t>
      </w:r>
    </w:p>
    <w:p w14:paraId="30395A56" w14:textId="54997DBE" w:rsidR="00415490" w:rsidRPr="00785ED2" w:rsidRDefault="00415490" w:rsidP="00D32853">
      <w:pPr>
        <w:pStyle w:val="Prrafodelista"/>
        <w:numPr>
          <w:ilvl w:val="0"/>
          <w:numId w:val="33"/>
        </w:num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u w:val="single"/>
        </w:rPr>
        <w:t>Sueldo bruto y neto mensual.</w:t>
      </w:r>
    </w:p>
    <w:p w14:paraId="3C34D9D4" w14:textId="77777777" w:rsidR="006B3458" w:rsidRPr="00785ED2" w:rsidRDefault="006B3458" w:rsidP="009123CF">
      <w:pPr>
        <w:spacing w:line="360" w:lineRule="auto"/>
        <w:jc w:val="both"/>
        <w:rPr>
          <w:rFonts w:ascii="Palatino Linotype" w:eastAsia="Palatino Linotype" w:hAnsi="Palatino Linotype" w:cs="Palatino Linotype"/>
          <w:sz w:val="22"/>
          <w:szCs w:val="22"/>
        </w:rPr>
      </w:pPr>
    </w:p>
    <w:p w14:paraId="001CF681" w14:textId="6A122377" w:rsidR="00D32853" w:rsidRPr="00785ED2" w:rsidRDefault="00D32853"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Con relación a lo ordenado conviene hacer la precisión de que, si bien la persona solicitante proporcionó una clave del ISSEMYM relacionada con el servidor de quien se pide la información, en el caso no se afirma ni se niega que la misma corresponda a la persona de quien el ente obligado proporcionará la información, dado que dicha clave corresponde a información confidencial en términos de la fracción I del artículo 143 de la Ley de Transparencia Local, la cual no se puede obtener mediante el ejercicio del derecho de acceso a la información pública.</w:t>
      </w:r>
    </w:p>
    <w:p w14:paraId="1331105F" w14:textId="77777777" w:rsidR="00D32853" w:rsidRPr="00785ED2" w:rsidRDefault="00D32853" w:rsidP="009123CF">
      <w:pPr>
        <w:spacing w:line="360" w:lineRule="auto"/>
        <w:jc w:val="both"/>
        <w:rPr>
          <w:rFonts w:ascii="Palatino Linotype" w:eastAsia="Palatino Linotype" w:hAnsi="Palatino Linotype" w:cs="Palatino Linotype"/>
          <w:sz w:val="22"/>
          <w:szCs w:val="22"/>
        </w:rPr>
      </w:pPr>
    </w:p>
    <w:p w14:paraId="5C4DD591" w14:textId="29A3E1C5" w:rsidR="00D32853" w:rsidRPr="00785ED2" w:rsidRDefault="00D32853" w:rsidP="009123CF">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Asimismo, para el caso </w:t>
      </w:r>
      <w:r w:rsidR="00990736" w:rsidRPr="00785ED2">
        <w:rPr>
          <w:rFonts w:ascii="Palatino Linotype" w:eastAsia="Palatino Linotype" w:hAnsi="Palatino Linotype" w:cs="Palatino Linotype"/>
          <w:sz w:val="22"/>
          <w:szCs w:val="22"/>
        </w:rPr>
        <w:t xml:space="preserve">de que el servidor público de quien se requiere la información, no hubiera causado baja a la fecha de la solicitud, </w:t>
      </w:r>
      <w:r w:rsidR="00857905" w:rsidRPr="00785ED2">
        <w:rPr>
          <w:rFonts w:ascii="Palatino Linotype" w:eastAsia="Palatino Linotype" w:hAnsi="Palatino Linotype" w:cs="Palatino Linotype"/>
          <w:sz w:val="22"/>
          <w:szCs w:val="22"/>
        </w:rPr>
        <w:t>deberá hacer entrega</w:t>
      </w:r>
      <w:r w:rsidR="00990736" w:rsidRPr="00785ED2">
        <w:rPr>
          <w:rFonts w:ascii="Palatino Linotype" w:eastAsia="Palatino Linotype" w:hAnsi="Palatino Linotype" w:cs="Palatino Linotype"/>
          <w:sz w:val="22"/>
          <w:szCs w:val="22"/>
        </w:rPr>
        <w:t xml:space="preserve"> de lo ordenado, </w:t>
      </w:r>
      <w:r w:rsidR="00857905" w:rsidRPr="00785ED2">
        <w:rPr>
          <w:rFonts w:ascii="Palatino Linotype" w:eastAsia="Palatino Linotype" w:hAnsi="Palatino Linotype" w:cs="Palatino Linotype"/>
          <w:sz w:val="22"/>
          <w:szCs w:val="22"/>
        </w:rPr>
        <w:t>hasta el</w:t>
      </w:r>
      <w:r w:rsidR="00990736" w:rsidRPr="00785ED2">
        <w:rPr>
          <w:rFonts w:ascii="Palatino Linotype" w:eastAsia="Palatino Linotype" w:hAnsi="Palatino Linotype" w:cs="Palatino Linotype"/>
          <w:sz w:val="22"/>
          <w:szCs w:val="22"/>
        </w:rPr>
        <w:t xml:space="preserve"> dieciséis de julio de dos mil veinticinco.</w:t>
      </w:r>
    </w:p>
    <w:p w14:paraId="7102EA24" w14:textId="77777777" w:rsidR="00D32853" w:rsidRPr="00785ED2" w:rsidRDefault="00D32853" w:rsidP="009123CF">
      <w:pPr>
        <w:spacing w:line="360" w:lineRule="auto"/>
        <w:jc w:val="both"/>
        <w:rPr>
          <w:rFonts w:ascii="Palatino Linotype" w:eastAsia="Palatino Linotype" w:hAnsi="Palatino Linotype" w:cs="Palatino Linotype"/>
          <w:sz w:val="22"/>
          <w:szCs w:val="22"/>
        </w:rPr>
      </w:pPr>
    </w:p>
    <w:p w14:paraId="53481652" w14:textId="776C5CCD" w:rsidR="00D32853" w:rsidRPr="00785ED2" w:rsidRDefault="00D32853" w:rsidP="00D32853">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Finalmente, también se precisa que, atendiendo que se ordena información desde el año de mil novecientos ochenta y nueve</w:t>
      </w:r>
      <w:r w:rsidRPr="00785ED2">
        <w:rPr>
          <w:rFonts w:ascii="Palatino Linotype" w:eastAsia="Palatino Linotype" w:hAnsi="Palatino Linotype" w:cs="Palatino Linotype"/>
          <w:sz w:val="22"/>
          <w:szCs w:val="22"/>
        </w:rPr>
        <w:t>, es conveniente señalar los siguientes conceptos de acuerdo a los Lineamientos para la Organización y Conservación de Archivos, emitidos por el Sistema Nacional de Transparencia, Acceso a la Información Pública y Protección de Datos Personales, cuyo objeto es “</w:t>
      </w:r>
      <w:r w:rsidRPr="00785ED2">
        <w:rPr>
          <w:rFonts w:ascii="Palatino Linotype" w:eastAsia="Palatino Linotype" w:hAnsi="Palatino Linotype" w:cs="Palatino Linotype"/>
          <w:i/>
          <w:sz w:val="22"/>
          <w:szCs w:val="22"/>
        </w:rPr>
        <w:t xml:space="preserve">establecer las políticas y criterios para la sistematización y digitalización, así como para </w:t>
      </w:r>
      <w:r w:rsidRPr="00785ED2">
        <w:rPr>
          <w:rFonts w:ascii="Palatino Linotype" w:eastAsia="Palatino Linotype" w:hAnsi="Palatino Linotype" w:cs="Palatino Linotype"/>
          <w:b/>
          <w:i/>
          <w:sz w:val="22"/>
          <w:szCs w:val="22"/>
        </w:rPr>
        <w:t>la custodia y conservación de los archivos</w:t>
      </w:r>
      <w:r w:rsidRPr="00785ED2">
        <w:rPr>
          <w:rFonts w:ascii="Palatino Linotype" w:eastAsia="Palatino Linotype" w:hAnsi="Palatino Linotype" w:cs="Palatino Linotype"/>
          <w:i/>
          <w:sz w:val="22"/>
          <w:szCs w:val="22"/>
        </w:rPr>
        <w:t xml:space="preserve"> en posesión de los sujetos obligados, con la finalidad de garantizar la disponibilidad, la localización eficiente de la información generada, obtenida, adquirida, transformada y contar con sistemas de información, ágiles y eficientes</w:t>
      </w:r>
      <w:r w:rsidRPr="00785ED2">
        <w:rPr>
          <w:rFonts w:ascii="Palatino Linotype" w:eastAsia="Palatino Linotype" w:hAnsi="Palatino Linotype" w:cs="Palatino Linotype"/>
          <w:sz w:val="22"/>
          <w:szCs w:val="22"/>
        </w:rPr>
        <w:t>”, al tenor de lo siguiente:</w:t>
      </w:r>
    </w:p>
    <w:p w14:paraId="0F8D2AFF"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Cuarto.</w:t>
      </w:r>
    </w:p>
    <w:p w14:paraId="35B73EFF"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51F8859E"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lastRenderedPageBreak/>
        <w:t>II. Archivo</w:t>
      </w:r>
      <w:r w:rsidRPr="00785ED2">
        <w:rPr>
          <w:rFonts w:ascii="Palatino Linotype" w:eastAsia="Palatino Linotype" w:hAnsi="Palatino Linotype" w:cs="Palatino Linotype"/>
          <w:i/>
          <w:sz w:val="22"/>
          <w:szCs w:val="22"/>
        </w:rPr>
        <w:t>: El conjunto orgánico de documentos en cualquier soporte, que son producidos o recibidos por los sujetos obligados o los particulares en el ejercicio de sus atribuciones o en el desarrollo de sus actividades;</w:t>
      </w:r>
    </w:p>
    <w:p w14:paraId="462AD517"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 Archivo de concentración</w:t>
      </w:r>
      <w:r w:rsidRPr="00785ED2">
        <w:rPr>
          <w:rFonts w:ascii="Palatino Linotype" w:eastAsia="Palatino Linotype" w:hAnsi="Palatino Linotype" w:cs="Palatino Linotype"/>
          <w:i/>
          <w:sz w:val="22"/>
          <w:szCs w:val="22"/>
        </w:rPr>
        <w:t>: La unidad de la administración de documentos cuya consulta es esporádica y que permanecen en ella hasta su transferencia secundaria o baja documental;</w:t>
      </w:r>
    </w:p>
    <w:p w14:paraId="743DB343"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IV. Archivo histórico</w:t>
      </w:r>
      <w:r w:rsidRPr="00785ED2">
        <w:rPr>
          <w:rFonts w:ascii="Palatino Linotype" w:eastAsia="Palatino Linotype" w:hAnsi="Palatino Linotype" w:cs="Palatino Linotype"/>
          <w:i/>
          <w:sz w:val="22"/>
          <w:szCs w:val="22"/>
        </w:rPr>
        <w:t>. La unidad responsable de la administración de los documentos de conservación permanente y que son fuente de acceso público;</w:t>
      </w:r>
    </w:p>
    <w:p w14:paraId="7E12FE5B"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 Archivo de trámite</w:t>
      </w:r>
      <w:r w:rsidRPr="00785ED2">
        <w:rPr>
          <w:rFonts w:ascii="Palatino Linotype" w:eastAsia="Palatino Linotype" w:hAnsi="Palatino Linotype" w:cs="Palatino Linotype"/>
          <w:i/>
          <w:sz w:val="22"/>
          <w:szCs w:val="22"/>
        </w:rPr>
        <w:t>: La unidad responsable de la administración de documentos de uso cotidiano y necesario para el ejercicio de las atribuciones de una unidad administrativa, los cuales permanecen en ella hasta su transferencia primaria;</w:t>
      </w:r>
    </w:p>
    <w:p w14:paraId="39B4F45A"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VIII. Baja documental</w:t>
      </w:r>
      <w:r w:rsidRPr="00785ED2">
        <w:rPr>
          <w:rFonts w:ascii="Palatino Linotype" w:eastAsia="Palatino Linotype" w:hAnsi="Palatino Linotype" w:cs="Palatino Linotype"/>
          <w:i/>
          <w:sz w:val="22"/>
          <w:szCs w:val="22"/>
        </w:rPr>
        <w:t>. La eliminación de aquella documentación que haya prescrito en sus valores administrativos, legales, fiscales, contables, y que no contenga valores históricos;</w:t>
      </w:r>
    </w:p>
    <w:p w14:paraId="6E0EEDF2"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4DCB412B"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 Ciclo vital del documento</w:t>
      </w:r>
      <w:r w:rsidRPr="00785ED2">
        <w:rPr>
          <w:rFonts w:ascii="Palatino Linotype" w:eastAsia="Palatino Linotype" w:hAnsi="Palatino Linotype" w:cs="Palatino Linotype"/>
          <w:i/>
          <w:sz w:val="22"/>
          <w:szCs w:val="22"/>
        </w:rPr>
        <w:t>: La etapas de los documentos desde su producción o recepción hasta su baja o transferencia a un archivo histórico;</w:t>
      </w:r>
    </w:p>
    <w:p w14:paraId="098FE9F6"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710F45F3"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XLVIII. Transferencia documental</w:t>
      </w:r>
      <w:r w:rsidRPr="00785ED2">
        <w:rPr>
          <w:rFonts w:ascii="Palatino Linotype" w:eastAsia="Palatino Linotype" w:hAnsi="Palatino Linotype" w:cs="Palatino Linotype"/>
          <w:i/>
          <w:sz w:val="22"/>
          <w:szCs w:val="22"/>
        </w:rPr>
        <w:t>: El 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71FB7555" w14:textId="77777777" w:rsidR="00D32853" w:rsidRPr="00785ED2" w:rsidRDefault="00D32853" w:rsidP="00D32853">
      <w:pPr>
        <w:spacing w:line="276" w:lineRule="auto"/>
        <w:ind w:left="851" w:right="567"/>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(Énfasis Añadido)</w:t>
      </w:r>
    </w:p>
    <w:p w14:paraId="56D13A09" w14:textId="77777777" w:rsidR="00D32853" w:rsidRPr="00785ED2" w:rsidRDefault="00D32853" w:rsidP="00D32853">
      <w:pPr>
        <w:spacing w:line="360" w:lineRule="auto"/>
        <w:ind w:right="49"/>
        <w:jc w:val="both"/>
        <w:rPr>
          <w:rFonts w:ascii="Palatino Linotype" w:eastAsia="Palatino Linotype" w:hAnsi="Palatino Linotype" w:cs="Palatino Linotype"/>
          <w:sz w:val="22"/>
          <w:szCs w:val="22"/>
        </w:rPr>
      </w:pPr>
    </w:p>
    <w:p w14:paraId="33AC445C" w14:textId="77777777" w:rsidR="00D32853" w:rsidRPr="00785ED2" w:rsidRDefault="00D32853" w:rsidP="00D32853">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lo expuesto, se colige que los documentos cuentan con un ciclo vital, entendiéndose como las etapas a las que se someten desde su producción o recepción hasta su baja o transferencia a un archivo histórico; siendo el Archivo de Trámite la primera etapa, en la que se depositan todos los archivos de uso cotidiano y que son necesarios para el ejercicio de las atribuciones de una entidad administrativa, y en la que permanecen hasta su transferencia primaria al Archivo de Concentración; en esta etapa se mantienen los archivos </w:t>
      </w:r>
      <w:r w:rsidRPr="00785ED2">
        <w:rPr>
          <w:rFonts w:ascii="Palatino Linotype" w:eastAsia="Palatino Linotype" w:hAnsi="Palatino Linotype" w:cs="Palatino Linotype"/>
          <w:sz w:val="22"/>
          <w:szCs w:val="22"/>
        </w:rPr>
        <w:lastRenderedPageBreak/>
        <w:t>de consulta esporádica y permanecen allí hasta su transferencia secundaria al Archivo Histórico o su baja documental.</w:t>
      </w:r>
    </w:p>
    <w:p w14:paraId="72C75622" w14:textId="77777777" w:rsidR="00D32853" w:rsidRPr="00785ED2" w:rsidRDefault="00D32853" w:rsidP="00D32853">
      <w:pPr>
        <w:spacing w:line="360" w:lineRule="auto"/>
        <w:ind w:right="49"/>
        <w:jc w:val="both"/>
        <w:rPr>
          <w:rFonts w:ascii="Palatino Linotype" w:eastAsia="Palatino Linotype" w:hAnsi="Palatino Linotype" w:cs="Palatino Linotype"/>
          <w:sz w:val="22"/>
          <w:szCs w:val="22"/>
        </w:rPr>
      </w:pPr>
    </w:p>
    <w:p w14:paraId="644058F3" w14:textId="77777777" w:rsidR="00D32853" w:rsidRPr="00785ED2" w:rsidRDefault="00D32853" w:rsidP="00D32853">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Por su parte, los Lineamientos para la Valoración, Selección y Baja de los Documentos, Expedientes y Series de Trámite Concluido en los Archivos del Estado de México, emitidos por la Comisión Dictaminadora de Depuración de Documentos, establecen lo siguiente en su parte conducente:</w:t>
      </w:r>
    </w:p>
    <w:p w14:paraId="13A15333" w14:textId="77777777" w:rsidR="00D32853" w:rsidRPr="00785ED2" w:rsidRDefault="00D32853" w:rsidP="00D32853">
      <w:pPr>
        <w:spacing w:line="360" w:lineRule="auto"/>
        <w:ind w:right="49"/>
        <w:jc w:val="both"/>
        <w:rPr>
          <w:rFonts w:ascii="Palatino Linotype" w:eastAsia="Palatino Linotype" w:hAnsi="Palatino Linotype" w:cs="Palatino Linotype"/>
          <w:sz w:val="22"/>
          <w:szCs w:val="22"/>
        </w:rPr>
      </w:pPr>
    </w:p>
    <w:p w14:paraId="2F0174BD"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20.</w:t>
      </w:r>
      <w:r w:rsidRPr="00785ED2">
        <w:rPr>
          <w:rFonts w:ascii="Palatino Linotype" w:eastAsia="Palatino Linotype" w:hAnsi="Palatino Linotype" w:cs="Palatino Linotype"/>
          <w:i/>
          <w:sz w:val="22"/>
          <w:szCs w:val="22"/>
        </w:rPr>
        <w:t xml:space="preserve"> Los expedientes de trámite concluido y los desclasificados se mantendrán íntegros por un periodo de dos años en los Archivos de Trámite de las Unidades Administrativas. Cumplido este plazo se podrá proceder a su selección preliminar y transferencia al Archivo de Concentración.”</w:t>
      </w:r>
    </w:p>
    <w:p w14:paraId="65E84CC0"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El periodo señalado se computará a partir del día siguiente a la fecha del documento con el cual se dé por concluido el asunto por el que los expedientes fueron creados.</w:t>
      </w:r>
    </w:p>
    <w:p w14:paraId="1BD556A4"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626992D7"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Artículo 27</w:t>
      </w:r>
      <w:r w:rsidRPr="00785ED2">
        <w:rPr>
          <w:rFonts w:ascii="Palatino Linotype" w:eastAsia="Palatino Linotype" w:hAnsi="Palatino Linotype" w:cs="Palatino Linotype"/>
          <w:i/>
          <w:sz w:val="22"/>
          <w:szCs w:val="22"/>
        </w:rPr>
        <w:t>.- Las Unidades Administrativas al realizar la transferencia de los expedientes de trámite concluido, señalarán en el Inventario correspondiente los plazos de conservación precaucional de éstos en el Archivo de Concentración.</w:t>
      </w:r>
    </w:p>
    <w:p w14:paraId="073323F7"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Para determinar el plazo de conservación precaucional deberán considerar el marco legal o administrativo bajo el cual se produjeron o recibieron los documentos y los siguientes períodos:</w:t>
      </w:r>
    </w:p>
    <w:p w14:paraId="4FF776BF" w14:textId="77777777" w:rsidR="00D32853" w:rsidRPr="00785ED2" w:rsidRDefault="00D32853" w:rsidP="00D32853">
      <w:pPr>
        <w:spacing w:line="276" w:lineRule="auto"/>
        <w:ind w:left="851" w:right="616"/>
        <w:jc w:val="both"/>
        <w:rPr>
          <w:rFonts w:ascii="Palatino Linotype" w:eastAsia="Palatino Linotype" w:hAnsi="Palatino Linotype" w:cs="Palatino Linotype"/>
          <w:b/>
          <w:i/>
          <w:sz w:val="22"/>
          <w:szCs w:val="22"/>
          <w:u w:val="single"/>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u w:val="single"/>
        </w:rPr>
        <w:t>6 años para expedientes con información administrativa;</w:t>
      </w:r>
    </w:p>
    <w:p w14:paraId="63936A2E"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6 años como mínimo para expedientes con información fiscal y presupuestal contable;</w:t>
      </w:r>
    </w:p>
    <w:p w14:paraId="295D5D06"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12 años como mínimo para expedientes con información jurídico-legal, obra pública y activo fijo; y</w:t>
      </w:r>
    </w:p>
    <w:p w14:paraId="7DC681BF"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IV.</w:t>
      </w:r>
      <w:r w:rsidRPr="00785ED2">
        <w:rPr>
          <w:rFonts w:ascii="Palatino Linotype" w:eastAsia="Palatino Linotype" w:hAnsi="Palatino Linotype" w:cs="Palatino Linotype"/>
          <w:i/>
          <w:sz w:val="22"/>
          <w:szCs w:val="22"/>
        </w:rPr>
        <w:t xml:space="preserve"> Cuando en la legislación se establezcan períodos de conservación mayores a los señalados en las fracciones I, II y III, se considerarán los estipulados en dicha legislación para efectos de realización del proceso de selección final.</w:t>
      </w:r>
    </w:p>
    <w:p w14:paraId="436C8308"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w:t>
      </w:r>
      <w:r w:rsidRPr="00785ED2">
        <w:rPr>
          <w:rFonts w:ascii="Palatino Linotype" w:eastAsia="Palatino Linotype" w:hAnsi="Palatino Linotype" w:cs="Palatino Linotype"/>
          <w:i/>
          <w:sz w:val="22"/>
          <w:szCs w:val="22"/>
        </w:rPr>
        <w:t>. Cuando las Unidades Administrativas no indique el plazo de conservación precaucional de sus expedientes en el Inventario correspondiente, los Archivos de Concentración podrán rechazar la transferencia de los expedientes.”</w:t>
      </w:r>
    </w:p>
    <w:p w14:paraId="34EBB37B"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51514CE6"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apego de lo anterior, se tiene que una vez que los documentos generados se consideran como trámite concluido, pasan a formar parte del Archivo de Trámite por dos años; concluido el plazo, se transfieren al Archivo de Concentración para mantenerse </w:t>
      </w:r>
      <w:r w:rsidRPr="00785ED2">
        <w:rPr>
          <w:rFonts w:ascii="Palatino Linotype" w:eastAsia="Palatino Linotype" w:hAnsi="Palatino Linotype" w:cs="Palatino Linotype"/>
          <w:b/>
          <w:sz w:val="22"/>
          <w:szCs w:val="22"/>
        </w:rPr>
        <w:t>allí por seis años cuando los expedientes contengan información administrativa; y una vez que concluye dicho periodo, los documentos pueden causar baja documental</w:t>
      </w:r>
      <w:r w:rsidRPr="00785ED2">
        <w:rPr>
          <w:rFonts w:ascii="Palatino Linotype" w:eastAsia="Palatino Linotype" w:hAnsi="Palatino Linotype" w:cs="Palatino Linotype"/>
          <w:sz w:val="22"/>
          <w:szCs w:val="22"/>
        </w:rPr>
        <w:t xml:space="preserve"> o bien, formar parte del Archivo Histórico.</w:t>
      </w:r>
    </w:p>
    <w:p w14:paraId="36FFFDE1"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15BB70EA"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Es de señalar que, para efectuar la baja, deberá emitirse el acta de baja documental, el cual se concibe como el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como paso previo a su transferencia a un Archivo de Concentración.</w:t>
      </w:r>
    </w:p>
    <w:p w14:paraId="52E7821F"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1677B32F" w14:textId="724AF218" w:rsidR="00D32853" w:rsidRPr="00785ED2" w:rsidRDefault="00D32853" w:rsidP="00D3285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ese sentido, tenemos que los documentos donde puede constar lo requerido y toda vez que datan desde el año mil novecientos ochenta y nueve, pudieran encontrarse en el supuesto de que agotaron su vida útil y/o no se consideraron de importancia para formar parte del Archivo Histórico, </w:t>
      </w:r>
      <w:r w:rsidRPr="00785ED2">
        <w:rPr>
          <w:rFonts w:ascii="Palatino Linotype" w:eastAsia="Palatino Linotype" w:hAnsi="Palatino Linotype" w:cs="Palatino Linotype"/>
          <w:b/>
          <w:sz w:val="22"/>
          <w:szCs w:val="22"/>
          <w:u w:val="single"/>
        </w:rPr>
        <w:t>pudiendo haber causado baja.</w:t>
      </w:r>
      <w:r w:rsidRPr="00785ED2">
        <w:rPr>
          <w:rFonts w:ascii="Palatino Linotype" w:eastAsia="Palatino Linotype" w:hAnsi="Palatino Linotype" w:cs="Palatino Linotype"/>
          <w:sz w:val="22"/>
          <w:szCs w:val="22"/>
        </w:rPr>
        <w:t> </w:t>
      </w:r>
    </w:p>
    <w:p w14:paraId="0921D656" w14:textId="77777777" w:rsidR="00D32853" w:rsidRPr="00785ED2" w:rsidRDefault="00D32853" w:rsidP="00D3285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22866EC" w14:textId="77777777" w:rsidR="00D32853" w:rsidRPr="00785ED2" w:rsidRDefault="00D32853" w:rsidP="00D3285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Sin embargo, cabe mencionar que el referir esto, no colma el derecho de acceso a la información de los ciudadanos; es decir, el simple pronunciamiento de las autoridades respecto a la baja documental o el hacer entrega al ciudadano del acta de baja como justificación de la negativa de la información, no es suficiente para satisfacer el ejercicio del derecho de acceso.</w:t>
      </w:r>
    </w:p>
    <w:p w14:paraId="13016918" w14:textId="77777777" w:rsidR="00D32853" w:rsidRPr="00785ED2" w:rsidRDefault="00D32853" w:rsidP="00D3285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8296CD9"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 xml:space="preserve">Atento a lo anterior, si derivado de la búsqueda que se efectúe,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no llegará a localizar información de alguna temporalidad, se deberá acreditar el destino de la misma, es decir; se deberá precisar si esta se envió a su archivo histórico o se procedió a su baja permanente, asimismo, deberá señalar las circunstancias de modo, tiempo y lugar que precedieron a la inexistencia de la información, con la finalidad de otorgar certeza jurídica a la persona solicitante.</w:t>
      </w:r>
    </w:p>
    <w:p w14:paraId="2841A457"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794A5978"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Sirve de apoyo a lo anterior por analogía el Criterio orientador 14-09 que emitió el entonces Instituto Nacional de Transparencia, Acceso a la Información y Protección de Datos Personales que a la letra dice:</w:t>
      </w:r>
    </w:p>
    <w:p w14:paraId="345755D1" w14:textId="77777777" w:rsidR="00D32853" w:rsidRPr="00785ED2" w:rsidRDefault="00D32853" w:rsidP="00D32853">
      <w:pPr>
        <w:ind w:left="850" w:right="901"/>
        <w:jc w:val="both"/>
        <w:rPr>
          <w:rFonts w:ascii="Palatino Linotype" w:eastAsia="Palatino Linotype" w:hAnsi="Palatino Linotype" w:cs="Palatino Linotype"/>
          <w:b/>
          <w:i/>
          <w:sz w:val="22"/>
          <w:szCs w:val="22"/>
        </w:rPr>
      </w:pPr>
    </w:p>
    <w:p w14:paraId="15840B45" w14:textId="77777777" w:rsidR="00D32853" w:rsidRPr="00785ED2" w:rsidRDefault="00D32853" w:rsidP="00D32853">
      <w:pPr>
        <w:spacing w:line="276" w:lineRule="auto"/>
        <w:ind w:left="850" w:right="901"/>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Cs/>
          <w:i/>
          <w:sz w:val="22"/>
          <w:szCs w:val="22"/>
        </w:rPr>
        <w:t>“</w:t>
      </w:r>
      <w:r w:rsidRPr="00785ED2">
        <w:rPr>
          <w:rFonts w:ascii="Palatino Linotype" w:eastAsia="Palatino Linotype" w:hAnsi="Palatino Linotype" w:cs="Palatino Linotype"/>
          <w:b/>
          <w:i/>
          <w:sz w:val="22"/>
          <w:szCs w:val="22"/>
        </w:rPr>
        <w:t>Baja documental</w:t>
      </w:r>
      <w:r w:rsidRPr="00785ED2">
        <w:rPr>
          <w:rFonts w:ascii="Palatino Linotype" w:eastAsia="Palatino Linotype" w:hAnsi="Palatino Linotype" w:cs="Palatino Linotype"/>
          <w:i/>
          <w:sz w:val="22"/>
          <w:szCs w:val="22"/>
        </w:rPr>
        <w:t xml:space="preserve">. Las dependencias y entidades deben proporcionar a los particulares el documento que acredite dicha situación. De conformidad con lo previsto en los artículos 24 y 46 de la Ley Federal de Transparencia y Acceso a la Información Pública Gubernamental 70, fracción V y 78, fracción III de su Reglamento, </w:t>
      </w:r>
      <w:r w:rsidRPr="00785ED2">
        <w:rPr>
          <w:rFonts w:ascii="Palatino Linotype" w:eastAsia="Palatino Linotype" w:hAnsi="Palatino Linotype" w:cs="Palatino Linotype"/>
          <w:b/>
          <w:i/>
          <w:sz w:val="22"/>
          <w:szCs w:val="22"/>
          <w:u w:val="single"/>
        </w:rPr>
        <w:t>las dependencias y entidades deberán expedir una resolución que comunique a los solicitantes la inexistencia de la información requerida, en caso de que ésta no sea localizada en los archivos de la dependencia o entidad de que se trate después de una búsqueda exhaustiva. En este supuesto, las dependencias y entidades deberán acompañar a la resolución por la que se confirma la declaración de inexistencia, el acta de baja documental, esto es, el documento mediante la cual se acredita la legal destrucción de la información solicitada,</w:t>
      </w:r>
      <w:r w:rsidRPr="00785ED2">
        <w:rPr>
          <w:rFonts w:ascii="Palatino Linotype" w:eastAsia="Palatino Linotype" w:hAnsi="Palatino Linotype" w:cs="Palatino Linotype"/>
          <w:i/>
          <w:sz w:val="22"/>
          <w:szCs w:val="22"/>
        </w:rPr>
        <w:t xml:space="preserve"> en todos aquellos casos en los que la normatividad en materia archivística prevea que la misma debe existir.”(Sic)</w:t>
      </w:r>
    </w:p>
    <w:p w14:paraId="05B10F77"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74AB00F3"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En tal caso la declaratoria formal de la inexistencia a la que se hace referencia deberá realizarse en términos de lo que señala el artículo 19, tercer párrafo, 49, fracciones II y XIII; 169 y 170 de la Ley de Transparencia y Acceso a la Información Pública del Estado de México y Municipios, que se leen como sigue:</w:t>
      </w:r>
    </w:p>
    <w:p w14:paraId="5F50575F" w14:textId="77777777" w:rsidR="00D32853" w:rsidRPr="00785ED2" w:rsidRDefault="00D32853" w:rsidP="00D32853">
      <w:pPr>
        <w:ind w:left="851" w:right="902"/>
        <w:jc w:val="both"/>
        <w:rPr>
          <w:rFonts w:ascii="Palatino Linotype" w:eastAsia="Palatino Linotype" w:hAnsi="Palatino Linotype" w:cs="Palatino Linotype"/>
          <w:i/>
          <w:sz w:val="22"/>
          <w:szCs w:val="22"/>
        </w:rPr>
      </w:pPr>
    </w:p>
    <w:p w14:paraId="2834C356"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19.</w:t>
      </w:r>
      <w:r w:rsidRPr="00785ED2">
        <w:rPr>
          <w:rFonts w:ascii="Palatino Linotype" w:eastAsia="Palatino Linotype" w:hAnsi="Palatino Linotype" w:cs="Palatino Linotype"/>
          <w:i/>
          <w:sz w:val="22"/>
          <w:szCs w:val="22"/>
        </w:rPr>
        <w:t xml:space="preserve"> (…)</w:t>
      </w:r>
    </w:p>
    <w:p w14:paraId="0B367C55"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Si el sujeto obligado, en el ejercicio de sus atribuciones, debía generar, poseer o administrar la información, pero ésta no se encuentra, el Comité de transparencia deberá emitir un acuerdo de inexistencia</w:t>
      </w:r>
      <w:r w:rsidRPr="00785ED2">
        <w:rPr>
          <w:rFonts w:ascii="Palatino Linotype" w:eastAsia="Palatino Linotype" w:hAnsi="Palatino Linotype" w:cs="Palatino Linotype"/>
          <w:i/>
          <w:sz w:val="22"/>
          <w:szCs w:val="22"/>
        </w:rPr>
        <w:t>, debidamente fundado y motivado, en el que detalle las razones del por qué no obra en sus archivos.”</w:t>
      </w:r>
    </w:p>
    <w:p w14:paraId="444C844C"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49.</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Los Comités de Transparencia</w:t>
      </w:r>
      <w:r w:rsidRPr="00785ED2">
        <w:rPr>
          <w:rFonts w:ascii="Palatino Linotype" w:eastAsia="Palatino Linotype" w:hAnsi="Palatino Linotype" w:cs="Palatino Linotype"/>
          <w:i/>
          <w:sz w:val="22"/>
          <w:szCs w:val="22"/>
        </w:rPr>
        <w:t xml:space="preserve"> tendrán las siguientes </w:t>
      </w:r>
      <w:r w:rsidRPr="00785ED2">
        <w:rPr>
          <w:rFonts w:ascii="Palatino Linotype" w:eastAsia="Palatino Linotype" w:hAnsi="Palatino Linotype" w:cs="Palatino Linotype"/>
          <w:b/>
          <w:i/>
          <w:sz w:val="22"/>
          <w:szCs w:val="22"/>
        </w:rPr>
        <w:t>atribuciones</w:t>
      </w:r>
      <w:r w:rsidRPr="00785ED2">
        <w:rPr>
          <w:rFonts w:ascii="Palatino Linotype" w:eastAsia="Palatino Linotype" w:hAnsi="Palatino Linotype" w:cs="Palatino Linotype"/>
          <w:i/>
          <w:sz w:val="22"/>
          <w:szCs w:val="22"/>
        </w:rPr>
        <w:t>:</w:t>
      </w:r>
    </w:p>
    <w:p w14:paraId="467C3306"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Confirmar, modificar o revocar las determinaciones que en materia de</w:t>
      </w:r>
      <w:r w:rsidRPr="00785ED2">
        <w:rPr>
          <w:rFonts w:ascii="Palatino Linotype" w:eastAsia="Palatino Linotype" w:hAnsi="Palatino Linotype" w:cs="Palatino Linotype"/>
          <w:i/>
          <w:sz w:val="22"/>
          <w:szCs w:val="22"/>
        </w:rPr>
        <w:t xml:space="preserve"> ampliación del plazo de respuesta, clasificación de la información y </w:t>
      </w:r>
      <w:r w:rsidRPr="00785ED2">
        <w:rPr>
          <w:rFonts w:ascii="Palatino Linotype" w:eastAsia="Palatino Linotype" w:hAnsi="Palatino Linotype" w:cs="Palatino Linotype"/>
          <w:b/>
          <w:i/>
          <w:sz w:val="22"/>
          <w:szCs w:val="22"/>
        </w:rPr>
        <w:t>declaración de inexistencia</w:t>
      </w:r>
      <w:r w:rsidRPr="00785ED2">
        <w:rPr>
          <w:rFonts w:ascii="Palatino Linotype" w:eastAsia="Palatino Linotype" w:hAnsi="Palatino Linotype" w:cs="Palatino Linotype"/>
          <w:i/>
          <w:sz w:val="22"/>
          <w:szCs w:val="22"/>
        </w:rPr>
        <w:t xml:space="preserve"> o de incompetencia realicen los titulares de las áreas de los sujetos obligados;</w:t>
      </w:r>
    </w:p>
    <w:p w14:paraId="25BE37BC"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XIII.</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Dictaminar las declaratorias de inexistencia de la información</w:t>
      </w:r>
      <w:r w:rsidRPr="00785ED2">
        <w:rPr>
          <w:rFonts w:ascii="Palatino Linotype" w:eastAsia="Palatino Linotype" w:hAnsi="Palatino Linotype" w:cs="Palatino Linotype"/>
          <w:i/>
          <w:sz w:val="22"/>
          <w:szCs w:val="22"/>
        </w:rPr>
        <w:t xml:space="preserve"> que les remitan las unidades administrativas y resolver en consecuencia…”</w:t>
      </w:r>
    </w:p>
    <w:p w14:paraId="0D6CF6E0"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169</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Cuando la información no se encuentre en los archivos del sujeto obligado, el Comité de Transparencia</w:t>
      </w:r>
      <w:r w:rsidRPr="00785ED2">
        <w:rPr>
          <w:rFonts w:ascii="Palatino Linotype" w:eastAsia="Palatino Linotype" w:hAnsi="Palatino Linotype" w:cs="Palatino Linotype"/>
          <w:i/>
          <w:sz w:val="22"/>
          <w:szCs w:val="22"/>
        </w:rPr>
        <w:t xml:space="preserve">: </w:t>
      </w:r>
    </w:p>
    <w:p w14:paraId="28479F1B"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Analizará el caso y tomará las medidas necesarias para localizar la información; </w:t>
      </w:r>
    </w:p>
    <w:p w14:paraId="5EAF9D55"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Expedirá una resolución que confirme la inexistencia del documento</w:t>
      </w:r>
      <w:r w:rsidRPr="00785ED2">
        <w:rPr>
          <w:rFonts w:ascii="Palatino Linotype" w:eastAsia="Palatino Linotype" w:hAnsi="Palatino Linotype" w:cs="Palatino Linotype"/>
          <w:i/>
          <w:sz w:val="22"/>
          <w:szCs w:val="22"/>
        </w:rPr>
        <w:t xml:space="preserve">; </w:t>
      </w:r>
    </w:p>
    <w:p w14:paraId="1233AD82"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63940FB8"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IV. </w:t>
      </w:r>
      <w:r w:rsidRPr="00785ED2">
        <w:rPr>
          <w:rFonts w:ascii="Palatino Linotype" w:eastAsia="Palatino Linotype" w:hAnsi="Palatino Linotype" w:cs="Palatino Linotype"/>
          <w:i/>
          <w:sz w:val="22"/>
          <w:szCs w:val="22"/>
        </w:rPr>
        <w:t xml:space="preserve">Notificará al órgano interno de control o equivalente del sujeto obligado quien, en su caso, deberá iniciar el procedimiento de responsabilidad administrativa que corresponda. </w:t>
      </w:r>
    </w:p>
    <w:p w14:paraId="422BE83A"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La Unidad de Transparencia deberá notificarlo al solicitante por escrito, en un plazo que no exceda de quince días hábiles contados a partir del día siguiente a la presentación de la solicitud. </w:t>
      </w:r>
    </w:p>
    <w:p w14:paraId="2978BF81"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Este plazo podrá ampliarse hasta por otros siete días hábiles, siempre que existan razones para ello, debiendo notificarse por escrito al solicitante.”</w:t>
      </w:r>
    </w:p>
    <w:p w14:paraId="185787D1"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170.</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La resolución del Comité de Transparencia que confirme la inexistencia de la información solicitada contendrá los elementos mínimos</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 xml:space="preserve">que permitan al solicitante tener la certeza de que se utilizó un criterio de </w:t>
      </w:r>
      <w:r w:rsidRPr="00785ED2">
        <w:rPr>
          <w:rFonts w:ascii="Palatino Linotype" w:eastAsia="Palatino Linotype" w:hAnsi="Palatino Linotype" w:cs="Palatino Linotype"/>
          <w:b/>
          <w:i/>
          <w:sz w:val="22"/>
          <w:szCs w:val="22"/>
        </w:rPr>
        <w:lastRenderedPageBreak/>
        <w:t>búsqueda exhaustivo</w:t>
      </w:r>
      <w:r w:rsidRPr="00785ED2">
        <w:rPr>
          <w:rFonts w:ascii="Palatino Linotype" w:eastAsia="Palatino Linotype" w:hAnsi="Palatino Linotype" w:cs="Palatino Linotype"/>
          <w:i/>
          <w:sz w:val="22"/>
          <w:szCs w:val="22"/>
        </w:rPr>
        <w:t>, además de señalar las circunstancias de tiempo, modo y lugar que generaron la existencia en cuestión y señalará al servidor público responsable de contar con la misma.”</w:t>
      </w:r>
    </w:p>
    <w:p w14:paraId="71020921"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p>
    <w:p w14:paraId="76253DA2"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Lo anterior, como se precisa, resulta necesario ya que el Acuerdo de Inexistencia emitido por el Comité de Transparencia, da certeza de las razones o motivos por las cuales no se localizó la información y del proceso realizado para localizar la misma, acreditando en un primer momento la búsqueda exhaustiva y razonable de la información en las áreas administrativas, lo cual constará mediante los oficios emitidos y las respuestas por parte de los servidores públicos de las áreas correspondientes, ello con la finalidad de que se informe si los documentos solicitados habían causado baja documental.</w:t>
      </w:r>
    </w:p>
    <w:p w14:paraId="0DBA596E"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410581E4"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Asimismo, resulta aplicable el Criterio reiterado número 08/19 emitido por Acuerdo del Pleno del Instituto de Transparencia y Acceso a la Información Pública del Estado de México y Municipios, que precisa:</w:t>
      </w:r>
    </w:p>
    <w:p w14:paraId="0B54D2C3" w14:textId="77777777" w:rsidR="00D32853" w:rsidRPr="00785ED2" w:rsidRDefault="00D32853" w:rsidP="00D32853">
      <w:pPr>
        <w:ind w:left="851" w:right="902"/>
        <w:jc w:val="both"/>
        <w:rPr>
          <w:rFonts w:ascii="Palatino Linotype" w:eastAsia="Palatino Linotype" w:hAnsi="Palatino Linotype" w:cs="Palatino Linotype"/>
          <w:i/>
          <w:sz w:val="22"/>
          <w:szCs w:val="22"/>
        </w:rPr>
      </w:pPr>
    </w:p>
    <w:p w14:paraId="50262887"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INEXISTENCIA DE LA INFORMACIÓN. SUPUESTOS PARA EMITIR LA RESOLUCIÓN DE LA</w:t>
      </w:r>
      <w:r w:rsidRPr="00785ED2">
        <w:rPr>
          <w:rFonts w:ascii="Palatino Linotype" w:eastAsia="Palatino Linotype" w:hAnsi="Palatino Linotype" w:cs="Palatino Linotype"/>
          <w:i/>
          <w:sz w:val="22"/>
          <w:szCs w:val="22"/>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w:t>
      </w:r>
      <w:r w:rsidRPr="00785ED2">
        <w:rPr>
          <w:rFonts w:ascii="Palatino Linotype" w:eastAsia="Palatino Linotype" w:hAnsi="Palatino Linotype" w:cs="Palatino Linotype"/>
          <w:i/>
          <w:sz w:val="22"/>
          <w:szCs w:val="22"/>
        </w:rPr>
        <w:lastRenderedPageBreak/>
        <w:t>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62EDAAE4"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52C1E397"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Lo anterior, obedece a lo establecido por el artículo 12 de la Ley de Transparencia y Acceso a la Información Pública del Estado de México y Municipios, el cual destaca que quienes generen, recopilen, administren, manejen, procesen, archiven o conserven información pública serán responsables de esta; vinculando inminentemente al servidor público con los documentos que por el ejercicio de sus funciones obra en su poder, lo que impone un compromiso en su cuidado y resguardo.</w:t>
      </w:r>
    </w:p>
    <w:p w14:paraId="44A13D6E" w14:textId="77777777" w:rsidR="00D32853" w:rsidRPr="00785ED2" w:rsidRDefault="00D32853" w:rsidP="00D32853">
      <w:pPr>
        <w:spacing w:before="240" w:after="240" w:line="360" w:lineRule="auto"/>
        <w:ind w:right="51"/>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 xml:space="preserve">Quinto. Versión Pública. </w:t>
      </w:r>
      <w:r w:rsidRPr="00785ED2">
        <w:rPr>
          <w:rFonts w:ascii="Palatino Linotype" w:eastAsia="Palatino Linotype" w:hAnsi="Palatino Linotype" w:cs="Palatino Linotype"/>
          <w:sz w:val="22"/>
          <w:szCs w:val="22"/>
        </w:rPr>
        <w:t>Como fue debidamente apuntado,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78BE8EAE" w14:textId="77777777" w:rsidR="00D32853" w:rsidRPr="00785ED2" w:rsidRDefault="00D32853" w:rsidP="00D32853">
      <w:pPr>
        <w:spacing w:before="240" w:after="240"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4174B4BA" w14:textId="77777777" w:rsidR="00D32853" w:rsidRPr="00785ED2" w:rsidRDefault="00D32853" w:rsidP="00D32853">
      <w:pPr>
        <w:spacing w:before="240" w:after="240"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354625CD" w14:textId="77777777" w:rsidR="00D32853" w:rsidRPr="00785ED2" w:rsidRDefault="00D32853" w:rsidP="00D32853">
      <w:pPr>
        <w:spacing w:before="240" w:after="240"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lastRenderedPageBreak/>
        <w:t>Al respecto, los artículos 3, fracciones IX, XX, XXI, XXXII, XLV; 6, 91, 132, 137, 143, fracción I, de la Ley de Transparencia y Acceso a la Información Pública del Estado de México y Municipios vigente establecen:</w:t>
      </w:r>
    </w:p>
    <w:p w14:paraId="5F250855"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sz w:val="22"/>
          <w:szCs w:val="22"/>
        </w:rPr>
        <w:t> </w:t>
      </w: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3.</w:t>
      </w:r>
      <w:r w:rsidRPr="00785ED2">
        <w:rPr>
          <w:rFonts w:ascii="Palatino Linotype" w:eastAsia="Palatino Linotype" w:hAnsi="Palatino Linotype" w:cs="Palatino Linotype"/>
          <w:i/>
          <w:sz w:val="22"/>
          <w:szCs w:val="22"/>
        </w:rPr>
        <w:t xml:space="preserve"> Para los efectos de la presente Ley se entenderá por:</w:t>
      </w:r>
    </w:p>
    <w:p w14:paraId="2ABD7D12"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4273ED5C"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IX. Datos personales</w:t>
      </w:r>
      <w:r w:rsidRPr="00785ED2">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7465C9BF"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7FF990BB"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XX. Información clasificada</w:t>
      </w:r>
      <w:r w:rsidRPr="00785ED2">
        <w:rPr>
          <w:rFonts w:ascii="Palatino Linotype" w:eastAsia="Palatino Linotype" w:hAnsi="Palatino Linotype" w:cs="Palatino Linotype"/>
          <w:i/>
          <w:sz w:val="22"/>
          <w:szCs w:val="22"/>
        </w:rPr>
        <w:t>: Aquella considerada por la presente Ley como reservada o confidencial;</w:t>
      </w:r>
    </w:p>
    <w:p w14:paraId="243248F3"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XXI. Información confidencial</w:t>
      </w:r>
      <w:r w:rsidRPr="00785ED2">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8256539"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0DA91879"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XXXII. Protección de Datos Personales</w:t>
      </w:r>
      <w:r w:rsidRPr="00785ED2">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2B1C887D"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00ACF589" w14:textId="77777777" w:rsidR="00D32853" w:rsidRPr="00785ED2" w:rsidRDefault="00D32853" w:rsidP="00D32853">
      <w:pPr>
        <w:tabs>
          <w:tab w:val="left" w:pos="1276"/>
        </w:tabs>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XLV. Versión pública</w:t>
      </w:r>
      <w:r w:rsidRPr="00785ED2">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06543F3F"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Artículo 6</w:t>
      </w:r>
      <w:r w:rsidRPr="00785ED2">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90B0962"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6773F476"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Artículo 91.</w:t>
      </w:r>
      <w:r w:rsidRPr="00785ED2">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785ED2">
        <w:rPr>
          <w:rFonts w:ascii="Palatino Linotype" w:eastAsia="Palatino Linotype" w:hAnsi="Palatino Linotype" w:cs="Palatino Linotype"/>
          <w:i/>
          <w:sz w:val="22"/>
          <w:szCs w:val="22"/>
        </w:rPr>
        <w:br/>
        <w:t>…</w:t>
      </w:r>
    </w:p>
    <w:p w14:paraId="6676371F"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lastRenderedPageBreak/>
        <w:t>Artículo 132.</w:t>
      </w:r>
      <w:r w:rsidRPr="00785ED2">
        <w:rPr>
          <w:rFonts w:ascii="Palatino Linotype" w:eastAsia="Palatino Linotype" w:hAnsi="Palatino Linotype" w:cs="Palatino Linotype"/>
          <w:i/>
          <w:sz w:val="22"/>
          <w:szCs w:val="22"/>
        </w:rPr>
        <w:t xml:space="preserve"> La clasificación de la información se llevará a cabo en el momento en que:</w:t>
      </w:r>
    </w:p>
    <w:p w14:paraId="602D7B73"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Se reciba una solicitud de acceso a la información;</w:t>
      </w:r>
    </w:p>
    <w:p w14:paraId="4BE5C6CA"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Se determine mediante resolución de autoridad competente; o</w:t>
      </w:r>
    </w:p>
    <w:p w14:paraId="49080F52"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554091C2"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w:t>
      </w:r>
    </w:p>
    <w:p w14:paraId="29249891"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Artículo 137.</w:t>
      </w:r>
      <w:r w:rsidRPr="00785ED2">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BFDCB63"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Artículo 143.</w:t>
      </w:r>
      <w:r w:rsidRPr="00785ED2">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52709790" w14:textId="77777777" w:rsidR="00D32853" w:rsidRPr="00785ED2" w:rsidRDefault="00D32853" w:rsidP="00D32853">
      <w:pPr>
        <w:spacing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4473603B" w14:textId="77777777" w:rsidR="00D32853" w:rsidRPr="00785ED2" w:rsidRDefault="00D32853" w:rsidP="00D32853">
      <w:pPr>
        <w:spacing w:before="240" w:after="240" w:line="360" w:lineRule="auto"/>
        <w:ind w:right="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193F8703" w14:textId="77777777" w:rsidR="00D32853" w:rsidRPr="00785ED2" w:rsidRDefault="00D32853" w:rsidP="00D32853">
      <w:pPr>
        <w:spacing w:before="240" w:after="240" w:line="360" w:lineRule="auto"/>
        <w:ind w:right="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Datos que deberá clasificar como confidenciales por tratarse precisamente de información privada, puesto que los datos personales son irrenunciables, intransferibles e indelegables </w:t>
      </w:r>
      <w:r w:rsidRPr="00785ED2">
        <w:rPr>
          <w:rFonts w:ascii="Palatino Linotype" w:eastAsia="Palatino Linotype" w:hAnsi="Palatino Linotype" w:cs="Palatino Linotype"/>
          <w:sz w:val="22"/>
          <w:szCs w:val="22"/>
        </w:rPr>
        <w:lastRenderedPageBreak/>
        <w:t>y los Sujetos Obligados no deberán hacer entrega de los mismos a personas ajenas a su titular.</w:t>
      </w:r>
    </w:p>
    <w:p w14:paraId="352B2DD2"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el caso específico, la información que se ordena si bien tiene el carácter información pública en razón de que se trata de documentos que se encuentran en posesión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785ED2">
        <w:rPr>
          <w:rFonts w:ascii="Palatino Linotype" w:eastAsia="Palatino Linotype" w:hAnsi="Palatino Linotype" w:cs="Palatino Linotype"/>
          <w:b/>
          <w:sz w:val="22"/>
          <w:szCs w:val="22"/>
        </w:rPr>
        <w:t>Registro Federal de Contribuyentes</w:t>
      </w:r>
      <w:r w:rsidRPr="00785ED2">
        <w:rPr>
          <w:rFonts w:ascii="Palatino Linotype" w:eastAsia="Palatino Linotype" w:hAnsi="Palatino Linotype" w:cs="Palatino Linotype"/>
          <w:sz w:val="22"/>
          <w:szCs w:val="22"/>
        </w:rPr>
        <w:t xml:space="preserve"> (RFC), la </w:t>
      </w:r>
      <w:r w:rsidRPr="00785ED2">
        <w:rPr>
          <w:rFonts w:ascii="Palatino Linotype" w:eastAsia="Palatino Linotype" w:hAnsi="Palatino Linotype" w:cs="Palatino Linotype"/>
          <w:b/>
          <w:sz w:val="22"/>
          <w:szCs w:val="22"/>
        </w:rPr>
        <w:t>Clave Única de Registro de Población</w:t>
      </w:r>
      <w:r w:rsidRPr="00785ED2">
        <w:rPr>
          <w:rFonts w:ascii="Palatino Linotype" w:eastAsia="Palatino Linotype" w:hAnsi="Palatino Linotype" w:cs="Palatino Linotype"/>
          <w:sz w:val="22"/>
          <w:szCs w:val="22"/>
        </w:rPr>
        <w:t xml:space="preserve"> (CURP), la </w:t>
      </w:r>
      <w:r w:rsidRPr="00785ED2">
        <w:rPr>
          <w:rFonts w:ascii="Palatino Linotype" w:eastAsia="Palatino Linotype" w:hAnsi="Palatino Linotype" w:cs="Palatino Linotype"/>
          <w:b/>
          <w:sz w:val="22"/>
          <w:szCs w:val="22"/>
        </w:rPr>
        <w:t>Clave de cualquier tipo de seguridad social</w:t>
      </w:r>
      <w:r w:rsidRPr="00785ED2">
        <w:rPr>
          <w:rFonts w:ascii="Palatino Linotype" w:eastAsia="Palatino Linotype" w:hAnsi="Palatino Linotype" w:cs="Palatino Linotype"/>
          <w:sz w:val="22"/>
          <w:szCs w:val="22"/>
        </w:rPr>
        <w:t xml:space="preserve"> (ISSEMYM, u otros), los </w:t>
      </w:r>
      <w:r w:rsidRPr="00785ED2">
        <w:rPr>
          <w:rFonts w:ascii="Palatino Linotype" w:eastAsia="Palatino Linotype" w:hAnsi="Palatino Linotype" w:cs="Palatino Linotype"/>
          <w:b/>
          <w:sz w:val="22"/>
          <w:szCs w:val="22"/>
        </w:rPr>
        <w:t>números de cuentas bancarias</w:t>
      </w:r>
      <w:r w:rsidRPr="00785ED2">
        <w:rPr>
          <w:rFonts w:ascii="Palatino Linotype" w:eastAsia="Palatino Linotype" w:hAnsi="Palatino Linotype" w:cs="Palatino Linotype"/>
          <w:sz w:val="22"/>
          <w:szCs w:val="22"/>
        </w:rPr>
        <w:t xml:space="preserve">, claves estandarizadas – interbancarias - (CLABES) y de tarjetas, los </w:t>
      </w:r>
      <w:r w:rsidRPr="00785ED2">
        <w:rPr>
          <w:rFonts w:ascii="Palatino Linotype" w:eastAsia="Palatino Linotype" w:hAnsi="Palatino Linotype" w:cs="Palatino Linotype"/>
          <w:b/>
          <w:sz w:val="22"/>
          <w:szCs w:val="22"/>
        </w:rPr>
        <w:t>préstamos o descuentos</w:t>
      </w:r>
      <w:r w:rsidRPr="00785ED2">
        <w:rPr>
          <w:rFonts w:ascii="Palatino Linotype" w:eastAsia="Palatino Linotype" w:hAnsi="Palatino Linotype" w:cs="Palatino Linotype"/>
          <w:sz w:val="22"/>
          <w:szCs w:val="22"/>
        </w:rPr>
        <w:t xml:space="preserve"> que se le hagan a la persona y que no tengan relación con los impuestos o la cuota por seguridad social, el</w:t>
      </w:r>
      <w:r w:rsidRPr="00785ED2">
        <w:rPr>
          <w:rFonts w:ascii="Palatino Linotype" w:eastAsia="Palatino Linotype" w:hAnsi="Palatino Linotype" w:cs="Palatino Linotype"/>
          <w:b/>
          <w:sz w:val="22"/>
          <w:szCs w:val="22"/>
        </w:rPr>
        <w:t xml:space="preserve"> número de empleado, </w:t>
      </w:r>
      <w:r w:rsidRPr="00785ED2">
        <w:rPr>
          <w:rFonts w:ascii="Palatino Linotype" w:eastAsia="Palatino Linotype" w:hAnsi="Palatino Linotype" w:cs="Palatino Linotype"/>
          <w:sz w:val="22"/>
          <w:szCs w:val="22"/>
        </w:rPr>
        <w:t xml:space="preserve">y, de ser el caso, el </w:t>
      </w:r>
      <w:r w:rsidRPr="00785ED2">
        <w:rPr>
          <w:rFonts w:ascii="Palatino Linotype" w:eastAsia="Palatino Linotype" w:hAnsi="Palatino Linotype" w:cs="Palatino Linotype"/>
          <w:b/>
          <w:sz w:val="22"/>
          <w:szCs w:val="22"/>
        </w:rPr>
        <w:t>folio fiscal</w:t>
      </w:r>
      <w:r w:rsidRPr="00785ED2">
        <w:rPr>
          <w:rFonts w:ascii="Palatino Linotype" w:eastAsia="Palatino Linotype" w:hAnsi="Palatino Linotype" w:cs="Palatino Linotype"/>
          <w:sz w:val="22"/>
          <w:szCs w:val="22"/>
        </w:rPr>
        <w:t xml:space="preserve">, la </w:t>
      </w:r>
      <w:r w:rsidRPr="00785ED2">
        <w:rPr>
          <w:rFonts w:ascii="Palatino Linotype" w:eastAsia="Palatino Linotype" w:hAnsi="Palatino Linotype" w:cs="Palatino Linotype"/>
          <w:b/>
          <w:sz w:val="22"/>
          <w:szCs w:val="22"/>
        </w:rPr>
        <w:t xml:space="preserve">cadena original, </w:t>
      </w:r>
      <w:r w:rsidRPr="00785ED2">
        <w:rPr>
          <w:rFonts w:ascii="Palatino Linotype" w:eastAsia="Palatino Linotype" w:hAnsi="Palatino Linotype" w:cs="Palatino Linotype"/>
          <w:sz w:val="22"/>
          <w:szCs w:val="22"/>
        </w:rPr>
        <w:t>los</w:t>
      </w:r>
      <w:r w:rsidRPr="00785ED2">
        <w:rPr>
          <w:rFonts w:ascii="Palatino Linotype" w:eastAsia="Palatino Linotype" w:hAnsi="Palatino Linotype" w:cs="Palatino Linotype"/>
          <w:b/>
          <w:sz w:val="22"/>
          <w:szCs w:val="22"/>
        </w:rPr>
        <w:t xml:space="preserve"> códigos bidimensionales o códigos QR,</w:t>
      </w:r>
      <w:r w:rsidRPr="00785ED2">
        <w:rPr>
          <w:rFonts w:ascii="Palatino Linotype" w:eastAsia="Palatino Linotype" w:hAnsi="Palatino Linotype" w:cs="Palatino Linotype"/>
          <w:sz w:val="22"/>
          <w:szCs w:val="22"/>
        </w:rPr>
        <w:t xml:space="preserve"> y cualquier información de carácter fiscal.</w:t>
      </w:r>
    </w:p>
    <w:p w14:paraId="54899FD0" w14:textId="77777777" w:rsidR="00D32853" w:rsidRPr="00785ED2" w:rsidRDefault="00D32853" w:rsidP="00D32853">
      <w:pPr>
        <w:spacing w:before="240" w:after="240" w:line="360" w:lineRule="auto"/>
        <w:ind w:right="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EC4D630"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cuanto hace al </w:t>
      </w:r>
      <w:r w:rsidRPr="00785ED2">
        <w:rPr>
          <w:rFonts w:ascii="Palatino Linotype" w:eastAsia="Palatino Linotype" w:hAnsi="Palatino Linotype" w:cs="Palatino Linotype"/>
          <w:b/>
          <w:sz w:val="22"/>
          <w:szCs w:val="22"/>
        </w:rPr>
        <w:t>Registro Federal de Contribuyentes, RFC,</w:t>
      </w:r>
      <w:r w:rsidRPr="00785ED2">
        <w:rPr>
          <w:rFonts w:ascii="Palatino Linotype" w:eastAsia="Palatino Linotype" w:hAnsi="Palatino Linotype" w:cs="Palatino Linotype"/>
          <w:sz w:val="22"/>
          <w:szCs w:val="22"/>
        </w:rPr>
        <w:t xml:space="preserve"> de las personas físicas, constituye un dato personal, pues se genera con caracteres alfanuméricos a partir del nombre y la fecha de nacimiento de cada persona, y finalmente la homoclave, por lo que </w:t>
      </w:r>
      <w:r w:rsidRPr="00785ED2">
        <w:rPr>
          <w:rFonts w:ascii="Palatino Linotype" w:eastAsia="Palatino Linotype" w:hAnsi="Palatino Linotype" w:cs="Palatino Linotype"/>
          <w:sz w:val="22"/>
          <w:szCs w:val="22"/>
        </w:rPr>
        <w:lastRenderedPageBreak/>
        <w:t>para su obtención es necesario acreditar ante la autoridad fiscal previamente la identidad de la persona, su fecha de nacimiento, entre otros aspectos.</w:t>
      </w:r>
    </w:p>
    <w:p w14:paraId="2059D14C"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30BF0CA1"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Lo anterior fue compartido por el entonces Instituto Nacional de Transparencia, Acceso a la Información y Protección de Datos Personales, INAI, a través del Criterio orientador con clave de control SO/019/2017, el cual es del tenor literal siguiente:</w:t>
      </w:r>
    </w:p>
    <w:p w14:paraId="2C5442EC"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Registro Federal de Contribuyentes (RFC) de personas físicas</w:t>
      </w:r>
      <w:r w:rsidRPr="00785ED2">
        <w:rPr>
          <w:rFonts w:ascii="Palatino Linotype" w:eastAsia="Palatino Linotype" w:hAnsi="Palatino Linotype" w:cs="Palatino Linotype"/>
          <w:i/>
          <w:sz w:val="22"/>
          <w:szCs w:val="22"/>
        </w:rPr>
        <w:t>. El RFC es una clave de carácter fiscal, única e irrepetible, que permite identificar al titular, su edad y fecha de nacimiento, por lo que es un dato personal de carácter confidencial.”</w:t>
      </w:r>
    </w:p>
    <w:p w14:paraId="379827AF" w14:textId="77777777" w:rsidR="00D32853" w:rsidRPr="00785ED2" w:rsidRDefault="00D32853" w:rsidP="00D32853">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63373725" w14:textId="77777777" w:rsidR="00D32853" w:rsidRPr="00785ED2" w:rsidRDefault="00D32853" w:rsidP="00D32853">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bookmarkStart w:id="9" w:name="_heading=h.44sinio" w:colFirst="0" w:colLast="0"/>
      <w:bookmarkEnd w:id="9"/>
      <w:r w:rsidRPr="00785ED2">
        <w:rPr>
          <w:rFonts w:ascii="Palatino Linotype" w:eastAsia="Palatino Linotype" w:hAnsi="Palatino Linotype" w:cs="Palatino Linotype"/>
          <w:sz w:val="22"/>
          <w:szCs w:val="22"/>
        </w:rPr>
        <w:t xml:space="preserve">De igual manera la </w:t>
      </w:r>
      <w:r w:rsidRPr="00785ED2">
        <w:rPr>
          <w:rFonts w:ascii="Palatino Linotype" w:eastAsia="Palatino Linotype" w:hAnsi="Palatino Linotype" w:cs="Palatino Linotype"/>
          <w:b/>
          <w:sz w:val="22"/>
          <w:szCs w:val="22"/>
        </w:rPr>
        <w:t>Clave Única de Registro de Población</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CURP,</w:t>
      </w:r>
      <w:r w:rsidRPr="00785ED2">
        <w:rPr>
          <w:rFonts w:ascii="Palatino Linotype" w:eastAsia="Palatino Linotype" w:hAnsi="Palatino Linotype" w:cs="Palatino Linotype"/>
          <w:sz w:val="22"/>
          <w:szCs w:val="22"/>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w:t>
      </w:r>
      <w:r w:rsidRPr="00785ED2">
        <w:rPr>
          <w:rFonts w:ascii="Palatino Linotype" w:eastAsia="Palatino Linotype" w:hAnsi="Palatino Linotype" w:cs="Palatino Linotype"/>
          <w:sz w:val="22"/>
          <w:szCs w:val="22"/>
        </w:rPr>
        <w:lastRenderedPageBreak/>
        <w:t>nacimiento; información que permite distinguirlo del resto de los habitantes, por tal motivo, se considera que es de carácter confidencial.</w:t>
      </w:r>
    </w:p>
    <w:p w14:paraId="584B66B9" w14:textId="77777777" w:rsidR="00D32853" w:rsidRPr="00785ED2" w:rsidRDefault="00D32853" w:rsidP="00D32853">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Argumento que era compartido por el entonces Instituto Nacional de Transparencia, Acceso a la Información y Protección de Datos Personales, INAI, conforme al Criterio de orientador con Clave de control SO/018/2017, el cual refiere:</w:t>
      </w:r>
    </w:p>
    <w:p w14:paraId="5FB0B0B4"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 “Clave Única de Registro de Población (CURP). </w:t>
      </w:r>
      <w:r w:rsidRPr="00785ED2">
        <w:rPr>
          <w:rFonts w:ascii="Palatino Linotype" w:eastAsia="Palatino Linotype" w:hAnsi="Palatino Linotype" w:cs="Palatino Linotype"/>
          <w:i/>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877E001"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lo que respecta a la </w:t>
      </w:r>
      <w:r w:rsidRPr="00785ED2">
        <w:rPr>
          <w:rFonts w:ascii="Palatino Linotype" w:eastAsia="Palatino Linotype" w:hAnsi="Palatino Linotype" w:cs="Palatino Linotype"/>
          <w:b/>
          <w:sz w:val="22"/>
          <w:szCs w:val="22"/>
        </w:rPr>
        <w:t>clave de seguridad social</w:t>
      </w:r>
      <w:r w:rsidRPr="00785ED2">
        <w:rPr>
          <w:rFonts w:ascii="Palatino Linotype" w:eastAsia="Palatino Linotype" w:hAnsi="Palatino Linotype" w:cs="Palatino Linotype"/>
          <w:sz w:val="22"/>
          <w:szCs w:val="22"/>
        </w:rPr>
        <w:t>, en virtud de que su divulgación no aporta a la transparencia o a la rendición de cuentas y sí provoca una transgresión a la vida privada e intimidad de la persona, esta información también resulta ser de carácter confidencial.</w:t>
      </w:r>
    </w:p>
    <w:p w14:paraId="49D94E72"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Respecto de los </w:t>
      </w:r>
      <w:r w:rsidRPr="00785ED2">
        <w:rPr>
          <w:rFonts w:ascii="Palatino Linotype" w:eastAsia="Palatino Linotype" w:hAnsi="Palatino Linotype" w:cs="Palatino Linotype"/>
          <w:b/>
          <w:sz w:val="22"/>
          <w:szCs w:val="22"/>
        </w:rPr>
        <w:t>números de cuentas bancari</w:t>
      </w:r>
      <w:r w:rsidRPr="00785ED2">
        <w:rPr>
          <w:rFonts w:ascii="Palatino Linotype" w:eastAsia="Palatino Linotype" w:hAnsi="Palatino Linotype" w:cs="Palatino Linotype"/>
          <w:sz w:val="22"/>
          <w:szCs w:val="22"/>
        </w:rPr>
        <w:t xml:space="preserve">as, </w:t>
      </w:r>
      <w:r w:rsidRPr="00785ED2">
        <w:rPr>
          <w:rFonts w:ascii="Palatino Linotype" w:eastAsia="Palatino Linotype" w:hAnsi="Palatino Linotype" w:cs="Palatino Linotype"/>
          <w:b/>
          <w:sz w:val="22"/>
          <w:szCs w:val="22"/>
        </w:rPr>
        <w:t>claves estandarizadas –interbancarias- (CLABES) y de tarjetas</w:t>
      </w:r>
      <w:r w:rsidRPr="00785ED2">
        <w:rPr>
          <w:rFonts w:ascii="Palatino Linotype" w:eastAsia="Palatino Linotype" w:hAnsi="Palatino Linotype" w:cs="Palatino Linotype"/>
          <w:sz w:val="22"/>
          <w:szCs w:val="22"/>
        </w:rPr>
        <w:t>, el Pleno de este Instituto ha determinado que esa información debe clasificarse como confidencial, y elaborarse una versión pública en la que se teste la misma.</w:t>
      </w:r>
    </w:p>
    <w:p w14:paraId="30A33B37"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0123719E"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lo anterior, el número de cuenta bancaria debe ser clasificado como confidencial con fundamento en las fracciones I y II del artículo 143 de la Ley de la Materia vigente en la </w:t>
      </w:r>
      <w:r w:rsidRPr="00785ED2">
        <w:rPr>
          <w:rFonts w:ascii="Palatino Linotype" w:eastAsia="Palatino Linotype" w:hAnsi="Palatino Linotype" w:cs="Palatino Linotype"/>
          <w:sz w:val="22"/>
          <w:szCs w:val="22"/>
        </w:rPr>
        <w:lastRenderedPageBreak/>
        <w:t>Entidad; en razón de que con su difusión se estaría poniendo en riesgo la seguridad de su titular.</w:t>
      </w:r>
    </w:p>
    <w:p w14:paraId="47CA7C8F" w14:textId="77777777" w:rsidR="00D32853" w:rsidRPr="00785ED2" w:rsidRDefault="00D32853" w:rsidP="00D32853">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14:paraId="3E1962B3"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Lo anterior no es así tratándose de las cuentas bancarias o claves interbancarias de los Sujetos Obligados ya que su publicidad cede a la rendición de cuentas al transparentar la forma en que son administrados los recursos públicos.</w:t>
      </w:r>
    </w:p>
    <w:p w14:paraId="6EEC4FC8"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Lo argumentado encuentra sustento en los Criterios orientadores con Clave de control SO/010/2017 y SO/011/2017, emitidos por el entonces Instituto Nacional de Transparencia, Acceso a la Información y Protección de Datos Personales, que llevan por rubro y texto los siguientes:</w:t>
      </w:r>
    </w:p>
    <w:p w14:paraId="7ABD94ED" w14:textId="77777777" w:rsidR="00D32853" w:rsidRPr="00785ED2" w:rsidRDefault="00D32853" w:rsidP="00D32853">
      <w:pPr>
        <w:spacing w:before="240" w:after="24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Cuentas bancarias y/o CLABE interbancaria de personas físicas y morales privadas.</w:t>
      </w:r>
      <w:r w:rsidRPr="00785ED2">
        <w:rPr>
          <w:rFonts w:ascii="Palatino Linotype" w:eastAsia="Palatino Linotype" w:hAnsi="Palatino Linotype" w:cs="Palatino Linotype"/>
          <w:i/>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607503E" w14:textId="77777777" w:rsidR="00D32853" w:rsidRPr="00785ED2" w:rsidRDefault="00D32853" w:rsidP="00D32853">
      <w:pPr>
        <w:spacing w:before="240" w:after="24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“Cuentas bancarias y/o CLABE interbancaria de sujetos obligados que reciben y/o transfieren recursos públicos, son información pública.</w:t>
      </w:r>
      <w:r w:rsidRPr="00785ED2">
        <w:rPr>
          <w:rFonts w:ascii="Palatino Linotype" w:eastAsia="Palatino Linotype" w:hAnsi="Palatino Linotype" w:cs="Palatino Linotype"/>
          <w:i/>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719E3602"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bookmarkStart w:id="10" w:name="_heading=h.z337ya" w:colFirst="0" w:colLast="0"/>
      <w:bookmarkEnd w:id="10"/>
      <w:r w:rsidRPr="00785ED2">
        <w:rPr>
          <w:rFonts w:ascii="Palatino Linotype" w:eastAsia="Palatino Linotype" w:hAnsi="Palatino Linotype" w:cs="Palatino Linotype"/>
          <w:sz w:val="22"/>
          <w:szCs w:val="22"/>
        </w:rPr>
        <w:lastRenderedPageBreak/>
        <w:t xml:space="preserve">Por cuanto hace a los </w:t>
      </w:r>
      <w:r w:rsidRPr="00785ED2">
        <w:rPr>
          <w:rFonts w:ascii="Palatino Linotype" w:eastAsia="Palatino Linotype" w:hAnsi="Palatino Linotype" w:cs="Palatino Linotype"/>
          <w:b/>
          <w:sz w:val="22"/>
          <w:szCs w:val="22"/>
        </w:rPr>
        <w:t>préstamos o descuentos de carácter personal</w:t>
      </w:r>
      <w:r w:rsidRPr="00785ED2">
        <w:rPr>
          <w:rFonts w:ascii="Palatino Linotype" w:eastAsia="Palatino Linotype" w:hAnsi="Palatino Linotype" w:cs="Palatino Linotype"/>
          <w:sz w:val="22"/>
          <w:szCs w:val="22"/>
        </w:rPr>
        <w:t>, en virtud de no tener relación con la prestación del servicio y al no involucrar instituciones públicas, se consideran datos confidenciales.</w:t>
      </w:r>
    </w:p>
    <w:p w14:paraId="5D8AE29C"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Para entender los límites y alcances de esta restricción, es oportuno recurrir al artículo 84 de la Ley del Trabajo de los Servidores Públicos del Estado y Municipios:</w:t>
      </w:r>
    </w:p>
    <w:p w14:paraId="34246C7D"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 xml:space="preserve">“ARTÍCULO 84. </w:t>
      </w:r>
      <w:r w:rsidRPr="00785ED2">
        <w:rPr>
          <w:rFonts w:ascii="Palatino Linotype" w:eastAsia="Palatino Linotype" w:hAnsi="Palatino Linotype" w:cs="Palatino Linotype"/>
          <w:i/>
          <w:sz w:val="22"/>
          <w:szCs w:val="22"/>
        </w:rPr>
        <w:t>Sólo podrán hacerse retenciones, descuentos o deducciones al sueldo de los servidores públicos por concepto de:</w:t>
      </w:r>
    </w:p>
    <w:p w14:paraId="7462CDE0"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Gravámenes fiscales relacionados con el sueldo;</w:t>
      </w:r>
    </w:p>
    <w:p w14:paraId="0D80FBBF"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Deudas contraídas con las instituciones públicas o dependencias por concepto de anticipos de sueldo, pagos hechos con exceso, errores o pérdidas debidamente comprobados;</w:t>
      </w:r>
    </w:p>
    <w:p w14:paraId="28467B1F"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Cuotas sindicales</w:t>
      </w:r>
      <w:r w:rsidRPr="00785ED2">
        <w:rPr>
          <w:rFonts w:ascii="Palatino Linotype" w:eastAsia="Palatino Linotype" w:hAnsi="Palatino Linotype" w:cs="Palatino Linotype"/>
          <w:i/>
          <w:sz w:val="22"/>
          <w:szCs w:val="22"/>
        </w:rPr>
        <w:t>;</w:t>
      </w:r>
    </w:p>
    <w:p w14:paraId="32EE1899"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IV.</w:t>
      </w:r>
      <w:r w:rsidRPr="00785ED2">
        <w:rPr>
          <w:rFonts w:ascii="Palatino Linotype" w:eastAsia="Palatino Linotype" w:hAnsi="Palatino Linotype" w:cs="Palatino Linotype"/>
          <w:i/>
          <w:sz w:val="22"/>
          <w:szCs w:val="22"/>
        </w:rPr>
        <w:t xml:space="preserve"> Cuotas de aportación a fondos para la constitución de cooperativas y de cajas de ahorro, siempre que el servidor público hubiese manifestado previamente, de manera expresa, su conformidad;</w:t>
      </w:r>
    </w:p>
    <w:p w14:paraId="7332723B"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w:t>
      </w:r>
      <w:r w:rsidRPr="00785ED2">
        <w:rPr>
          <w:rFonts w:ascii="Palatino Linotype" w:eastAsia="Palatino Linotype" w:hAnsi="Palatino Linotype" w:cs="Palatino Linotype"/>
          <w:i/>
          <w:sz w:val="22"/>
          <w:szCs w:val="22"/>
        </w:rPr>
        <w:t xml:space="preserve"> Descuentos ordenados por el Instituto de Seguridad Social del Estado de México y Municipios, con motivo de cuotas y obligaciones contraídas con éste por los servidores públicos;</w:t>
      </w:r>
    </w:p>
    <w:p w14:paraId="71553AAA"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VI.</w:t>
      </w:r>
      <w:r w:rsidRPr="00785ED2">
        <w:rPr>
          <w:rFonts w:ascii="Palatino Linotype" w:eastAsia="Palatino Linotype" w:hAnsi="Palatino Linotype" w:cs="Palatino Linotype"/>
          <w:i/>
          <w:sz w:val="22"/>
          <w:szCs w:val="22"/>
        </w:rPr>
        <w:t xml:space="preserve"> Obligaciones a cargo del servidor público con las que haya consentido, derivadas de la adquisición o del uso de habitaciones consideradas como de interés social;</w:t>
      </w:r>
    </w:p>
    <w:p w14:paraId="6DB88810"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VII.</w:t>
      </w:r>
      <w:r w:rsidRPr="00785ED2">
        <w:rPr>
          <w:rFonts w:ascii="Palatino Linotype" w:eastAsia="Palatino Linotype" w:hAnsi="Palatino Linotype" w:cs="Palatino Linotype"/>
          <w:i/>
          <w:sz w:val="22"/>
          <w:szCs w:val="22"/>
        </w:rPr>
        <w:t xml:space="preserve"> Faltas de puntualidad o de asistencia injustificadas;</w:t>
      </w:r>
    </w:p>
    <w:p w14:paraId="5B48B4D6"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VIII. Pensiones alimenticias ordenadas por la autoridad judicial;</w:t>
      </w:r>
      <w:r w:rsidRPr="00785ED2">
        <w:rPr>
          <w:rFonts w:ascii="Palatino Linotype" w:eastAsia="Palatino Linotype" w:hAnsi="Palatino Linotype" w:cs="Palatino Linotype"/>
          <w:i/>
          <w:sz w:val="22"/>
          <w:szCs w:val="22"/>
        </w:rPr>
        <w:t xml:space="preserve"> o</w:t>
      </w:r>
    </w:p>
    <w:p w14:paraId="0F4E6CA8"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IX. Cualquier otro convenido con instituciones de servicios y aceptado por el servidor público.</w:t>
      </w:r>
    </w:p>
    <w:p w14:paraId="4EAB269F"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El monto total de las retenciones, descuentos o deducciones no podrá exceder del 30% de la remuneración total, excepto en los casos a que se refieren las fracciones IV, V y </w:t>
      </w:r>
      <w:r w:rsidRPr="00785ED2">
        <w:rPr>
          <w:rFonts w:ascii="Palatino Linotype" w:eastAsia="Palatino Linotype" w:hAnsi="Palatino Linotype" w:cs="Palatino Linotype"/>
          <w:i/>
          <w:sz w:val="22"/>
          <w:szCs w:val="22"/>
        </w:rPr>
        <w:lastRenderedPageBreak/>
        <w:t xml:space="preserve">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16F58771"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Como se puede observar, el precepto citado establece claramente cuáles son esos descuentos o gravámenes que directamente se relacionan con las obligaciones adquiridas como servidores públicos y aquéllos que únicamente inciden en su vida privada. </w:t>
      </w:r>
    </w:p>
    <w:p w14:paraId="6459C02F"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De este modo, los </w:t>
      </w:r>
      <w:r w:rsidRPr="00785ED2">
        <w:rPr>
          <w:rFonts w:ascii="Palatino Linotype" w:eastAsia="Palatino Linotype" w:hAnsi="Palatino Linotype" w:cs="Palatino Linotype"/>
          <w:b/>
          <w:sz w:val="22"/>
          <w:szCs w:val="22"/>
        </w:rPr>
        <w:t>descuentos o deducciones por cuotas sindicales</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pensiones alimenticias</w:t>
      </w:r>
      <w:r w:rsidRPr="00785ED2">
        <w:rPr>
          <w:rFonts w:ascii="Palatino Linotype" w:eastAsia="Palatino Linotype" w:hAnsi="Palatino Linotype" w:cs="Palatino Linotype"/>
          <w:sz w:val="22"/>
          <w:szCs w:val="22"/>
        </w:rPr>
        <w:t xml:space="preserve"> o </w:t>
      </w:r>
      <w:r w:rsidRPr="00785ED2">
        <w:rPr>
          <w:rFonts w:ascii="Palatino Linotype" w:eastAsia="Palatino Linotype" w:hAnsi="Palatino Linotype" w:cs="Palatino Linotype"/>
          <w:b/>
          <w:sz w:val="22"/>
          <w:szCs w:val="22"/>
        </w:rPr>
        <w:t>créditos adquiridos con instituciones privadas</w:t>
      </w:r>
      <w:r w:rsidRPr="00785ED2">
        <w:rPr>
          <w:rFonts w:ascii="Palatino Linotype" w:eastAsia="Palatino Linotype" w:hAnsi="Palatino Linotype" w:cs="Palatino Linotype"/>
          <w:sz w:val="22"/>
          <w:szCs w:val="22"/>
        </w:rPr>
        <w:t xml:space="preserve">, entre otros que no se relacionen con el gasto público, al revelar parte de las decisiones que adopta una persona respecto del uso y destino de su remuneración salarial, lo cual incide en la manera en que se integra su patrimonio, </w:t>
      </w:r>
      <w:r w:rsidRPr="00785ED2">
        <w:rPr>
          <w:rFonts w:ascii="Palatino Linotype" w:eastAsia="Palatino Linotype" w:hAnsi="Palatino Linotype" w:cs="Palatino Linotype"/>
          <w:b/>
          <w:sz w:val="22"/>
          <w:szCs w:val="22"/>
        </w:rPr>
        <w:t>es información que no es de carácter público, sino que constituye información confidencial</w:t>
      </w:r>
      <w:r w:rsidRPr="00785ED2">
        <w:rPr>
          <w:rFonts w:ascii="Palatino Linotype" w:eastAsia="Palatino Linotype" w:hAnsi="Palatino Linotype" w:cs="Palatino Linotype"/>
          <w:sz w:val="22"/>
          <w:szCs w:val="22"/>
        </w:rPr>
        <w:t xml:space="preserve"> en virtud de que corresponde con decisiones personales, y por tanto, se debe clasificar.</w:t>
      </w:r>
    </w:p>
    <w:p w14:paraId="622EA583" w14:textId="77777777" w:rsidR="00D32853" w:rsidRPr="00785ED2" w:rsidRDefault="00D32853" w:rsidP="00D32853">
      <w:pPr>
        <w:pBdr>
          <w:top w:val="nil"/>
          <w:left w:val="nil"/>
          <w:bottom w:val="nil"/>
          <w:right w:val="nil"/>
          <w:between w:val="nil"/>
        </w:pBdr>
        <w:spacing w:after="20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Las claves y conceptos de los descuentos personales guardan también la misma naturaleza que los importes, ya que al hacerse públicas, es posible inferir que cierto servidor público tiene determinada deducción personal, misma que se relaciona con su esfera más íntima de privacidad, asimismo, en aquellos casos en los que sólo se tenga una deducción, inclusive es posible deducir el importe de la misma, derivado de los cálculos que se hagan respecto al sueldo bruto y sueldo neto.</w:t>
      </w:r>
    </w:p>
    <w:p w14:paraId="329075A5" w14:textId="77777777" w:rsidR="00D32853" w:rsidRPr="00785ED2" w:rsidRDefault="00D32853" w:rsidP="00D32853">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En conclusión, la información relacionada con los préstamos o descuentos de carácter personal, en virtud de no tener relación con la prestación del servicio y al no involucrar instituciones públicas, se consideran datos confidenciales.</w:t>
      </w:r>
    </w:p>
    <w:p w14:paraId="6AFE19B9"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bookmarkStart w:id="11" w:name="_heading=h.3j2qqm3" w:colFirst="0" w:colLast="0"/>
      <w:bookmarkEnd w:id="11"/>
      <w:r w:rsidRPr="00785ED2">
        <w:rPr>
          <w:rFonts w:ascii="Palatino Linotype" w:eastAsia="Palatino Linotype" w:hAnsi="Palatino Linotype" w:cs="Palatino Linotype"/>
          <w:sz w:val="22"/>
          <w:szCs w:val="22"/>
        </w:rPr>
        <w:lastRenderedPageBreak/>
        <w:t xml:space="preserve">Con relación al </w:t>
      </w:r>
      <w:r w:rsidRPr="00785ED2">
        <w:rPr>
          <w:rFonts w:ascii="Palatino Linotype" w:eastAsia="Palatino Linotype" w:hAnsi="Palatino Linotype" w:cs="Palatino Linotype"/>
          <w:b/>
          <w:sz w:val="22"/>
          <w:szCs w:val="22"/>
        </w:rPr>
        <w:t>número de empleado</w:t>
      </w:r>
      <w:r w:rsidRPr="00785ED2">
        <w:rPr>
          <w:rFonts w:ascii="Palatino Linotype" w:eastAsia="Palatino Linotype" w:hAnsi="Palatino Linotype" w:cs="Palatino Linotype"/>
          <w:sz w:val="22"/>
          <w:szCs w:val="22"/>
        </w:rPr>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785ED2">
        <w:rPr>
          <w:rFonts w:ascii="Palatino Linotype" w:eastAsia="Palatino Linotype" w:hAnsi="Palatino Linotype" w:cs="Palatino Linotype"/>
          <w:sz w:val="22"/>
          <w:szCs w:val="22"/>
          <w:vertAlign w:val="superscript"/>
        </w:rPr>
        <w:footnoteReference w:id="4"/>
      </w:r>
      <w:r w:rsidRPr="00785ED2">
        <w:rPr>
          <w:rFonts w:ascii="Palatino Linotype" w:eastAsia="Palatino Linotype" w:hAnsi="Palatino Linotype" w:cs="Palatino Linotype"/>
          <w:sz w:val="22"/>
          <w:szCs w:val="22"/>
        </w:rPr>
        <w:t>.</w:t>
      </w:r>
    </w:p>
    <w:p w14:paraId="312DC5CB"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se ha pronunciado sobre su publicidad, a través del Criterio orientador con Clave de control SO/006/2019, que indica lo siguiente:</w:t>
      </w:r>
    </w:p>
    <w:p w14:paraId="4409D2B0" w14:textId="77777777" w:rsidR="00D32853" w:rsidRPr="00785ED2" w:rsidRDefault="00D32853" w:rsidP="00D32853">
      <w:pPr>
        <w:tabs>
          <w:tab w:val="left" w:pos="7655"/>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 xml:space="preserve">Número de empleado. </w:t>
      </w:r>
      <w:r w:rsidRPr="00785ED2">
        <w:rPr>
          <w:rFonts w:ascii="Palatino Linotype" w:eastAsia="Palatino Linotype" w:hAnsi="Palatino Linotype" w:cs="Palatino Linotype"/>
          <w:i/>
          <w:sz w:val="22"/>
          <w:szCs w:val="22"/>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47E490E4"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deberá acatar lo establecido y de ser procedente, entregará el número de empleado o equivalente de los servidores públicos materia de la solicitud, o en su caso, los clasificará como información </w:t>
      </w:r>
      <w:r w:rsidRPr="00785ED2">
        <w:rPr>
          <w:rFonts w:ascii="Palatino Linotype" w:eastAsia="Palatino Linotype" w:hAnsi="Palatino Linotype" w:cs="Palatino Linotype"/>
          <w:sz w:val="22"/>
          <w:szCs w:val="22"/>
        </w:rPr>
        <w:lastRenderedPageBreak/>
        <w:t>confidencial, a través del Acuerdo emitido por su Comité de Transparencia conforme a la Ley de la Materia.</w:t>
      </w:r>
    </w:p>
    <w:p w14:paraId="26974456"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De la información fiscal</w:t>
      </w:r>
      <w:r w:rsidRPr="00785ED2">
        <w:rPr>
          <w:rFonts w:ascii="Palatino Linotype" w:eastAsia="Palatino Linotype" w:hAnsi="Palatino Linotype" w:cs="Palatino Linotype"/>
          <w:sz w:val="22"/>
          <w:szCs w:val="22"/>
        </w:rPr>
        <w:t xml:space="preserve">: </w:t>
      </w:r>
    </w:p>
    <w:p w14:paraId="142551FD" w14:textId="77777777" w:rsidR="00D32853" w:rsidRPr="00785ED2" w:rsidRDefault="00D32853" w:rsidP="00D32853">
      <w:pPr>
        <w:spacing w:line="360" w:lineRule="auto"/>
        <w:jc w:val="both"/>
        <w:rPr>
          <w:rFonts w:ascii="Palatino Linotype" w:eastAsia="Palatino Linotype" w:hAnsi="Palatino Linotype" w:cs="Palatino Linotype"/>
          <w:bCs/>
          <w:sz w:val="22"/>
          <w:szCs w:val="22"/>
          <w:lang w:val="es-ES"/>
        </w:rPr>
      </w:pPr>
      <w:r w:rsidRPr="00785ED2">
        <w:rPr>
          <w:rFonts w:ascii="Palatino Linotype" w:eastAsia="Palatino Linotype" w:hAnsi="Palatino Linotype" w:cs="Palatino Linotype"/>
          <w:sz w:val="22"/>
          <w:szCs w:val="22"/>
        </w:rPr>
        <w:t xml:space="preserve">Al respecto, conviene señalar que, </w:t>
      </w:r>
      <w:r w:rsidRPr="00785ED2">
        <w:rPr>
          <w:rFonts w:ascii="Palatino Linotype" w:eastAsia="Palatino Linotype" w:hAnsi="Palatino Linotype" w:cs="Palatino Linotype"/>
          <w:b/>
          <w:sz w:val="22"/>
          <w:szCs w:val="22"/>
          <w:u w:val="single"/>
        </w:rPr>
        <w:t>p</w:t>
      </w:r>
      <w:r w:rsidRPr="00785ED2">
        <w:rPr>
          <w:rFonts w:ascii="Palatino Linotype" w:eastAsia="Palatino Linotype" w:hAnsi="Palatino Linotype" w:cs="Palatino Linotype"/>
          <w:b/>
          <w:bCs/>
          <w:sz w:val="22"/>
          <w:szCs w:val="22"/>
          <w:u w:val="single"/>
          <w:lang w:val="es-ES"/>
        </w:rPr>
        <w:t>or lo que hace Folio Fiscal</w:t>
      </w:r>
      <w:r w:rsidRPr="00785ED2">
        <w:rPr>
          <w:rFonts w:ascii="Palatino Linotype" w:eastAsia="Palatino Linotype" w:hAnsi="Palatino Linotype" w:cs="Palatino Linotype"/>
          <w:bCs/>
          <w:sz w:val="22"/>
          <w:szCs w:val="22"/>
          <w:lang w:val="es-ES"/>
        </w:rPr>
        <w:t xml:space="preserve">, conforme al ANEXO 20 de la Segunda Resolución de modificaciones a la Resolución Miscelánea Fiscal,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w:t>
      </w:r>
    </w:p>
    <w:p w14:paraId="76C719F8" w14:textId="77777777" w:rsidR="00D32853" w:rsidRPr="00785ED2" w:rsidRDefault="00D32853" w:rsidP="00D32853">
      <w:pPr>
        <w:spacing w:line="360" w:lineRule="auto"/>
        <w:jc w:val="both"/>
        <w:rPr>
          <w:rFonts w:ascii="Palatino Linotype" w:eastAsia="Palatino Linotype" w:hAnsi="Palatino Linotype" w:cs="Palatino Linotype"/>
          <w:bCs/>
          <w:sz w:val="22"/>
          <w:szCs w:val="22"/>
          <w:lang w:val="es-ES"/>
        </w:rPr>
      </w:pPr>
    </w:p>
    <w:p w14:paraId="4F3C2EBC" w14:textId="77777777" w:rsidR="00D32853" w:rsidRPr="00785ED2" w:rsidRDefault="00D32853" w:rsidP="00D32853">
      <w:pPr>
        <w:spacing w:line="360" w:lineRule="auto"/>
        <w:jc w:val="both"/>
        <w:rPr>
          <w:rFonts w:ascii="Palatino Linotype" w:eastAsia="Palatino Linotype" w:hAnsi="Palatino Linotype" w:cs="Palatino Linotype"/>
          <w:sz w:val="22"/>
          <w:szCs w:val="22"/>
          <w:lang w:val="es-ES"/>
        </w:rPr>
      </w:pPr>
      <w:r w:rsidRPr="00785ED2">
        <w:rPr>
          <w:rFonts w:ascii="Palatino Linotype" w:eastAsia="Palatino Linotype" w:hAnsi="Palatino Linotype" w:cs="Palatino Linotype"/>
          <w:sz w:val="22"/>
          <w:szCs w:val="22"/>
          <w:lang w:val="es-ES"/>
        </w:rPr>
        <w:t xml:space="preserve">En ese contexto, del folio fiscal no se puede obtener información confidencial del emisor, pues solamente es un identificador del emisor, del cual su </w:t>
      </w:r>
      <w:r w:rsidRPr="00785ED2">
        <w:rPr>
          <w:rFonts w:ascii="Palatino Linotype" w:eastAsia="Palatino Linotype" w:hAnsi="Palatino Linotype" w:cs="Palatino Linotype"/>
          <w:bCs/>
          <w:sz w:val="22"/>
          <w:szCs w:val="22"/>
          <w:lang w:val="es-ES"/>
        </w:rPr>
        <w:t>transparencia</w:t>
      </w:r>
      <w:r w:rsidRPr="00785ED2">
        <w:rPr>
          <w:rFonts w:ascii="Palatino Linotype" w:eastAsia="Palatino Linotype" w:hAnsi="Palatino Linotype" w:cs="Palatino Linotype"/>
          <w:sz w:val="22"/>
          <w:szCs w:val="22"/>
          <w:lang w:val="es-ES"/>
        </w:rPr>
        <w:t xml:space="preserve"> ayuda a legitimar que el documento cumple con </w:t>
      </w:r>
      <w:r w:rsidRPr="00785ED2">
        <w:rPr>
          <w:rFonts w:ascii="Palatino Linotype" w:eastAsia="Palatino Linotype" w:hAnsi="Palatino Linotype" w:cs="Palatino Linotype"/>
          <w:bCs/>
          <w:sz w:val="22"/>
          <w:szCs w:val="22"/>
          <w:lang w:val="es-ES"/>
        </w:rPr>
        <w:t>todos</w:t>
      </w:r>
      <w:r w:rsidRPr="00785ED2">
        <w:rPr>
          <w:rFonts w:ascii="Palatino Linotype" w:eastAsia="Palatino Linotype" w:hAnsi="Palatino Linotype" w:cs="Palatino Linotype"/>
          <w:sz w:val="22"/>
          <w:szCs w:val="22"/>
          <w:lang w:val="es-ES"/>
        </w:rPr>
        <w:t xml:space="preserve"> los requisitos establecidos en la normatividad aplicable, sin necesidad algún dato personal, por lo que, </w:t>
      </w:r>
      <w:r w:rsidRPr="00785ED2">
        <w:rPr>
          <w:rFonts w:ascii="Palatino Linotype" w:eastAsia="Palatino Linotype" w:hAnsi="Palatino Linotype" w:cs="Palatino Linotype"/>
          <w:b/>
          <w:sz w:val="22"/>
          <w:szCs w:val="22"/>
          <w:lang w:val="es-ES"/>
        </w:rPr>
        <w:t>no se actualiza la clasificación</w:t>
      </w:r>
      <w:r w:rsidRPr="00785ED2">
        <w:rPr>
          <w:rFonts w:ascii="Palatino Linotype" w:eastAsia="Palatino Linotype" w:hAnsi="Palatino Linotype" w:cs="Palatino Linotype"/>
          <w:sz w:val="22"/>
          <w:szCs w:val="22"/>
          <w:lang w:val="es-ES"/>
        </w:rPr>
        <w:t>, en términos del artículo 143, fracción I de la Ley de la materia.</w:t>
      </w:r>
    </w:p>
    <w:p w14:paraId="52D9D503"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09CDB174"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La </w:t>
      </w:r>
      <w:r w:rsidRPr="00785ED2">
        <w:rPr>
          <w:rFonts w:ascii="Palatino Linotype" w:eastAsia="Palatino Linotype" w:hAnsi="Palatino Linotype" w:cs="Palatino Linotype"/>
          <w:b/>
          <w:sz w:val="22"/>
          <w:szCs w:val="22"/>
        </w:rPr>
        <w:t>Cadena Original</w:t>
      </w:r>
      <w:r w:rsidRPr="00785ED2">
        <w:rPr>
          <w:rFonts w:ascii="Palatino Linotype" w:eastAsia="Palatino Linotype" w:hAnsi="Palatino Linotype" w:cs="Palatino Linotype"/>
          <w:sz w:val="22"/>
          <w:szCs w:val="22"/>
        </w:rPr>
        <w:t xml:space="preserve"> es la secuencia de datos formada con la información contenida dentro de los comprobantes fiscales, entre los que podría encontrarse de manera enunciativa, más no limitativa, el RFC del receptor, es decir del servidor público. En dicho supuesto, la cadena original constituiría información que únicamente atañe al contribuyente, siendo tarea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analizar dicha circunstancia con la finalidad de proteger, de ser el caso, la información a través de su clasificación por actualizarse el supuesto de confidencialidad.</w:t>
      </w:r>
    </w:p>
    <w:p w14:paraId="331D6F0E"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Los </w:t>
      </w:r>
      <w:r w:rsidRPr="00785ED2">
        <w:rPr>
          <w:rFonts w:ascii="Palatino Linotype" w:eastAsia="Palatino Linotype" w:hAnsi="Palatino Linotype" w:cs="Palatino Linotype"/>
          <w:b/>
          <w:sz w:val="22"/>
          <w:szCs w:val="22"/>
        </w:rPr>
        <w:t>códigos bidimensionales</w:t>
      </w:r>
      <w:r w:rsidRPr="00785ED2">
        <w:rPr>
          <w:rFonts w:ascii="Palatino Linotype" w:eastAsia="Palatino Linotype" w:hAnsi="Palatino Linotype" w:cs="Palatino Linotype"/>
          <w:sz w:val="22"/>
          <w:szCs w:val="22"/>
        </w:rPr>
        <w:t xml:space="preserve"> o </w:t>
      </w:r>
      <w:r w:rsidRPr="00785ED2">
        <w:rPr>
          <w:rFonts w:ascii="Palatino Linotype" w:eastAsia="Palatino Linotype" w:hAnsi="Palatino Linotype" w:cs="Palatino Linotype"/>
          <w:b/>
          <w:sz w:val="22"/>
          <w:szCs w:val="22"/>
        </w:rPr>
        <w:t xml:space="preserve">códigos QR, </w:t>
      </w:r>
      <w:r w:rsidRPr="00785ED2">
        <w:rPr>
          <w:rFonts w:ascii="Palatino Linotype" w:eastAsia="Palatino Linotype" w:hAnsi="Palatino Linotype" w:cs="Palatino Linotype"/>
          <w:sz w:val="22"/>
          <w:szCs w:val="22"/>
        </w:rPr>
        <w:t xml:space="preserve">al corresponder a barras en dos dimensiones que, al igual que los códigos de barras o códigos unidimensionales, son utilizados para </w:t>
      </w:r>
      <w:r w:rsidRPr="00785ED2">
        <w:rPr>
          <w:rFonts w:ascii="Palatino Linotype" w:eastAsia="Palatino Linotype" w:hAnsi="Palatino Linotype" w:cs="Palatino Linotype"/>
          <w:sz w:val="22"/>
          <w:szCs w:val="22"/>
        </w:rPr>
        <w:lastRenderedPageBreak/>
        <w:t xml:space="preserve">almacenar diversos tipos de datos de manera codificada, los cuales a través de lectores que pueden ser obtenidos por cualquier persona, pueden contener datos personales, no susceptibles de conocimiento público, debiendo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analizar dicha circunstancia con la finalidad de determinar si se actualiza algún supuesto de confidencialidad.</w:t>
      </w:r>
    </w:p>
    <w:p w14:paraId="0B3A439B"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En tal sentido, si derivado del análisis efectuado por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en el presente caso,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vulnerar la esfera más íntima de privacidad de su titular, deberá clasificarla como confidencial, de manera fundada y motivada en términos del artículo 143, fracción I de la Ley de Transparencia y Acceso a la Información Pública del Estado de México y Municipios.</w:t>
      </w:r>
    </w:p>
    <w:p w14:paraId="55404AC7" w14:textId="77777777" w:rsidR="00D32853" w:rsidRPr="00785ED2" w:rsidRDefault="00D32853" w:rsidP="00D32853">
      <w:pPr>
        <w:spacing w:line="360" w:lineRule="auto"/>
        <w:jc w:val="both"/>
        <w:rPr>
          <w:rFonts w:ascii="Palatino Linotype" w:eastAsia="Palatino Linotype" w:hAnsi="Palatino Linotype" w:cs="Palatino Linotype"/>
          <w:sz w:val="22"/>
          <w:szCs w:val="22"/>
        </w:rPr>
      </w:pPr>
    </w:p>
    <w:p w14:paraId="1E819A59" w14:textId="77777777" w:rsidR="00D32853" w:rsidRPr="00785ED2" w:rsidRDefault="00D32853" w:rsidP="00D32853">
      <w:pPr>
        <w:spacing w:before="240" w:after="240" w:line="360" w:lineRule="auto"/>
        <w:ind w:right="50"/>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D0B0AF1"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“Artículo 49.</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Los Comités de Transparencia</w:t>
      </w:r>
      <w:r w:rsidRPr="00785ED2">
        <w:rPr>
          <w:rFonts w:ascii="Palatino Linotype" w:eastAsia="Palatino Linotype" w:hAnsi="Palatino Linotype" w:cs="Palatino Linotype"/>
          <w:i/>
          <w:sz w:val="22"/>
          <w:szCs w:val="22"/>
        </w:rPr>
        <w:t xml:space="preserve"> tendrán las siguientes atribuciones:</w:t>
      </w:r>
    </w:p>
    <w:p w14:paraId="5BAFABBF"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VIII. Aprobar, modificar o revocar la clasificación de la información</w:t>
      </w:r>
      <w:r w:rsidRPr="00785ED2">
        <w:rPr>
          <w:rFonts w:ascii="Palatino Linotype" w:eastAsia="Palatino Linotype" w:hAnsi="Palatino Linotype" w:cs="Palatino Linotype"/>
          <w:i/>
          <w:sz w:val="22"/>
          <w:szCs w:val="22"/>
        </w:rPr>
        <w:t>…”</w:t>
      </w:r>
    </w:p>
    <w:p w14:paraId="7D5CA350"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53.</w:t>
      </w:r>
      <w:r w:rsidRPr="00785ED2">
        <w:rPr>
          <w:rFonts w:ascii="Palatino Linotype" w:eastAsia="Palatino Linotype" w:hAnsi="Palatino Linotype" w:cs="Palatino Linotype"/>
          <w:i/>
          <w:sz w:val="22"/>
          <w:szCs w:val="22"/>
        </w:rPr>
        <w:t xml:space="preserve"> Las </w:t>
      </w:r>
      <w:r w:rsidRPr="00785ED2">
        <w:rPr>
          <w:rFonts w:ascii="Palatino Linotype" w:eastAsia="Palatino Linotype" w:hAnsi="Palatino Linotype" w:cs="Palatino Linotype"/>
          <w:b/>
          <w:i/>
          <w:sz w:val="22"/>
          <w:szCs w:val="22"/>
        </w:rPr>
        <w:t>Unidades de Transparencia</w:t>
      </w:r>
      <w:r w:rsidRPr="00785ED2">
        <w:rPr>
          <w:rFonts w:ascii="Palatino Linotype" w:eastAsia="Palatino Linotype" w:hAnsi="Palatino Linotype" w:cs="Palatino Linotype"/>
          <w:i/>
          <w:sz w:val="22"/>
          <w:szCs w:val="22"/>
        </w:rPr>
        <w:t xml:space="preserve"> tendrán las siguientes </w:t>
      </w:r>
      <w:r w:rsidRPr="00785ED2">
        <w:rPr>
          <w:rFonts w:ascii="Palatino Linotype" w:eastAsia="Palatino Linotype" w:hAnsi="Palatino Linotype" w:cs="Palatino Linotype"/>
          <w:b/>
          <w:i/>
          <w:sz w:val="22"/>
          <w:szCs w:val="22"/>
        </w:rPr>
        <w:t>funciones</w:t>
      </w:r>
      <w:r w:rsidRPr="00785ED2">
        <w:rPr>
          <w:rFonts w:ascii="Palatino Linotype" w:eastAsia="Palatino Linotype" w:hAnsi="Palatino Linotype" w:cs="Palatino Linotype"/>
          <w:i/>
          <w:sz w:val="22"/>
          <w:szCs w:val="22"/>
        </w:rPr>
        <w:t>:</w:t>
      </w:r>
    </w:p>
    <w:p w14:paraId="65F2279A"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lastRenderedPageBreak/>
        <w:t>X. Presentar ante el Comité, el proyecto de clasificación de información</w:t>
      </w:r>
      <w:r w:rsidRPr="00785ED2">
        <w:rPr>
          <w:rFonts w:ascii="Palatino Linotype" w:eastAsia="Palatino Linotype" w:hAnsi="Palatino Linotype" w:cs="Palatino Linotype"/>
          <w:i/>
          <w:sz w:val="22"/>
          <w:szCs w:val="22"/>
        </w:rPr>
        <w:t xml:space="preserve">…” </w:t>
      </w:r>
    </w:p>
    <w:p w14:paraId="15E61C62"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“Artículo 59.</w:t>
      </w:r>
      <w:r w:rsidRPr="00785ED2">
        <w:rPr>
          <w:rFonts w:ascii="Palatino Linotype" w:eastAsia="Palatino Linotype" w:hAnsi="Palatino Linotype" w:cs="Palatino Linotype"/>
          <w:i/>
          <w:sz w:val="22"/>
          <w:szCs w:val="22"/>
        </w:rPr>
        <w:t xml:space="preserve"> Los </w:t>
      </w:r>
      <w:r w:rsidRPr="00785ED2">
        <w:rPr>
          <w:rFonts w:ascii="Palatino Linotype" w:eastAsia="Palatino Linotype" w:hAnsi="Palatino Linotype" w:cs="Palatino Linotype"/>
          <w:b/>
          <w:i/>
          <w:sz w:val="22"/>
          <w:szCs w:val="22"/>
        </w:rPr>
        <w:t>servidores públicos habilitados</w:t>
      </w:r>
      <w:r w:rsidRPr="00785ED2">
        <w:rPr>
          <w:rFonts w:ascii="Palatino Linotype" w:eastAsia="Palatino Linotype" w:hAnsi="Palatino Linotype" w:cs="Palatino Linotype"/>
          <w:i/>
          <w:sz w:val="22"/>
          <w:szCs w:val="22"/>
        </w:rPr>
        <w:t xml:space="preserve"> tendrán las </w:t>
      </w:r>
      <w:r w:rsidRPr="00785ED2">
        <w:rPr>
          <w:rFonts w:ascii="Palatino Linotype" w:eastAsia="Palatino Linotype" w:hAnsi="Palatino Linotype" w:cs="Palatino Linotype"/>
          <w:b/>
          <w:i/>
          <w:sz w:val="22"/>
          <w:szCs w:val="22"/>
        </w:rPr>
        <w:t>funciones</w:t>
      </w:r>
      <w:r w:rsidRPr="00785ED2">
        <w:rPr>
          <w:rFonts w:ascii="Palatino Linotype" w:eastAsia="Palatino Linotype" w:hAnsi="Palatino Linotype" w:cs="Palatino Linotype"/>
          <w:i/>
          <w:sz w:val="22"/>
          <w:szCs w:val="22"/>
        </w:rPr>
        <w:t xml:space="preserve"> siguientes:</w:t>
      </w:r>
    </w:p>
    <w:p w14:paraId="37DBA27C"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785ED2">
        <w:rPr>
          <w:rFonts w:ascii="Palatino Linotype" w:eastAsia="Palatino Linotype" w:hAnsi="Palatino Linotype" w:cs="Palatino Linotype"/>
          <w:i/>
          <w:sz w:val="22"/>
          <w:szCs w:val="22"/>
        </w:rPr>
        <w:t>, la cual tendrá los fundamentos y argumentos en que se basa dicha propuesta…”</w:t>
      </w:r>
    </w:p>
    <w:p w14:paraId="7FF54270"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7F02C941"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28EFCB82"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Artículo 149.</w:t>
      </w:r>
      <w:r w:rsidRPr="00785ED2">
        <w:rPr>
          <w:rFonts w:ascii="Palatino Linotype" w:eastAsia="Palatino Linotype" w:hAnsi="Palatino Linotype" w:cs="Palatino Linotype"/>
          <w:i/>
          <w:sz w:val="22"/>
          <w:szCs w:val="22"/>
        </w:rPr>
        <w:t xml:space="preserve"> El </w:t>
      </w:r>
      <w:r w:rsidRPr="00785ED2">
        <w:rPr>
          <w:rFonts w:ascii="Palatino Linotype" w:eastAsia="Palatino Linotype" w:hAnsi="Palatino Linotype" w:cs="Palatino Linotype"/>
          <w:b/>
          <w:i/>
          <w:sz w:val="22"/>
          <w:szCs w:val="22"/>
        </w:rPr>
        <w:t>acuerdo que clasifique la información como confidencial</w:t>
      </w:r>
      <w:r w:rsidRPr="00785ED2">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125F0EAD" w14:textId="77777777" w:rsidR="00D32853" w:rsidRPr="00785ED2" w:rsidRDefault="00D32853" w:rsidP="00D32853">
      <w:pPr>
        <w:spacing w:before="240" w:after="240" w:line="360" w:lineRule="auto"/>
        <w:ind w:right="51"/>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Es decir,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w:t>
      </w:r>
      <w:r w:rsidRPr="00785ED2">
        <w:rPr>
          <w:rFonts w:ascii="Palatino Linotype" w:eastAsia="Palatino Linotype" w:hAnsi="Palatino Linotype" w:cs="Palatino Linotype"/>
          <w:sz w:val="22"/>
          <w:szCs w:val="22"/>
        </w:rPr>
        <w:lastRenderedPageBreak/>
        <w:t>de manera puntual las razones de la versión pública de la documentación entregada se estaría violentando el derecho de acceso a la información de la persona solicitante.</w:t>
      </w:r>
    </w:p>
    <w:p w14:paraId="63C2AB28" w14:textId="77777777" w:rsidR="00D32853" w:rsidRPr="00785ED2" w:rsidRDefault="00D32853" w:rsidP="00D32853">
      <w:pPr>
        <w:spacing w:before="240" w:after="240"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Atento a lo anterior, cabe señalar que el Comité de Transparencia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deberá emitir el acuerdo de clasificación de información debidamente fundado y motivado, en términos de los Lineamientos Segundo, fracción XVIII, y del Cuarto al Décimo Primero de los “Lineamientos Generales en materia de Clasificación y Desclasificación de la Información, así como para la elaboración de Versiones Públicas”, vigentes a la fecha de la solicitud que literalmente expresan:</w:t>
      </w:r>
    </w:p>
    <w:p w14:paraId="3E2D1318"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Segundo.-</w:t>
      </w:r>
      <w:r w:rsidRPr="00785ED2">
        <w:rPr>
          <w:rFonts w:ascii="Palatino Linotype" w:eastAsia="Palatino Linotype" w:hAnsi="Palatino Linotype" w:cs="Palatino Linotype"/>
          <w:i/>
          <w:sz w:val="22"/>
          <w:szCs w:val="22"/>
        </w:rPr>
        <w:t xml:space="preserve"> Para efectos de los presentes Lineamientos Generales, se entenderá por:</w:t>
      </w:r>
    </w:p>
    <w:p w14:paraId="62425955"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XVIII.</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Versión pública:</w:t>
      </w:r>
      <w:r w:rsidRPr="00785ED2">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785ED2">
        <w:rPr>
          <w:rFonts w:ascii="Palatino Linotype" w:eastAsia="Palatino Linotype" w:hAnsi="Palatino Linotype" w:cs="Palatino Linotype"/>
          <w:b/>
          <w:i/>
          <w:sz w:val="22"/>
          <w:szCs w:val="22"/>
        </w:rPr>
        <w:t>fundando y motivando la</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reserva o confidencialidad</w:t>
      </w:r>
      <w:r w:rsidRPr="00785ED2">
        <w:rPr>
          <w:rFonts w:ascii="Palatino Linotype" w:eastAsia="Palatino Linotype" w:hAnsi="Palatino Linotype" w:cs="Palatino Linotype"/>
          <w:i/>
          <w:sz w:val="22"/>
          <w:szCs w:val="22"/>
        </w:rPr>
        <w:t>, a través de la resolución que para tal efecto emita el Comité de Transparencia.</w:t>
      </w:r>
    </w:p>
    <w:p w14:paraId="2669F503"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w:t>
      </w:r>
    </w:p>
    <w:p w14:paraId="49E9337B"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Cuarto.</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Para clasificar la información como</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reservada o</w:t>
      </w:r>
      <w:r w:rsidRPr="00785ED2">
        <w:rPr>
          <w:rFonts w:ascii="Palatino Linotype" w:eastAsia="Palatino Linotype" w:hAnsi="Palatino Linotype" w:cs="Palatino Linotype"/>
          <w:i/>
          <w:sz w:val="22"/>
          <w:szCs w:val="22"/>
        </w:rPr>
        <w:t xml:space="preserve"> </w:t>
      </w:r>
      <w:r w:rsidRPr="00785ED2">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785ED2">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268C2CA"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58056F56"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Quinto.</w:t>
      </w:r>
      <w:r w:rsidRPr="00785ED2">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w:t>
      </w:r>
      <w:r w:rsidRPr="00785ED2">
        <w:rPr>
          <w:rFonts w:ascii="Palatino Linotype" w:eastAsia="Palatino Linotype" w:hAnsi="Palatino Linotype" w:cs="Palatino Linotype"/>
          <w:i/>
          <w:sz w:val="22"/>
          <w:szCs w:val="22"/>
        </w:rPr>
        <w:lastRenderedPageBreak/>
        <w:t>públicas para dar cumplimiento a las obligaciones de transparencia, observando lo dispuesto en la Ley General y las demás disposiciones aplicables en la materia.</w:t>
      </w:r>
    </w:p>
    <w:p w14:paraId="638D19AC"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Sexto.</w:t>
      </w:r>
      <w:r w:rsidRPr="00785ED2">
        <w:rPr>
          <w:rFonts w:ascii="Palatino Linotype" w:eastAsia="Palatino Linotype" w:hAnsi="Palatino Linotype" w:cs="Palatino Linotype"/>
          <w:i/>
          <w:sz w:val="22"/>
          <w:szCs w:val="22"/>
        </w:rPr>
        <w:t xml:space="preserve"> Se deroga.</w:t>
      </w:r>
    </w:p>
    <w:p w14:paraId="371EB6BF"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Séptimo.</w:t>
      </w:r>
      <w:r w:rsidRPr="00785ED2">
        <w:rPr>
          <w:rFonts w:ascii="Palatino Linotype" w:eastAsia="Palatino Linotype" w:hAnsi="Palatino Linotype" w:cs="Palatino Linotype"/>
          <w:i/>
          <w:sz w:val="22"/>
          <w:szCs w:val="22"/>
        </w:rPr>
        <w:t xml:space="preserve"> La clasificación de la información se llevará a cabo en el momento en que:</w:t>
      </w:r>
    </w:p>
    <w:p w14:paraId="3055A05E"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Se reciba una solicitud de acceso a la información;</w:t>
      </w:r>
    </w:p>
    <w:p w14:paraId="5FF60DF6"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7D829212"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152AB879"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i/>
          <w:sz w:val="22"/>
          <w:szCs w:val="22"/>
        </w:rPr>
        <w:t>conforme a su naturaleza, si encuadra en una causal de reserva o de confidencialidad.</w:t>
      </w:r>
    </w:p>
    <w:p w14:paraId="22F3BE38"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Octavo.</w:t>
      </w:r>
      <w:r w:rsidRPr="00785ED2">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BD53006"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3CA05389"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DB18443"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Noveno.</w:t>
      </w:r>
      <w:r w:rsidRPr="00785ED2">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E2BE1D8"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lastRenderedPageBreak/>
        <w:t>Décimo.</w:t>
      </w:r>
      <w:r w:rsidRPr="00785ED2">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483FDB4"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56A89AE3" w14:textId="77777777" w:rsidR="00D32853" w:rsidRPr="00785ED2" w:rsidRDefault="00D32853" w:rsidP="00D32853">
      <w:pPr>
        <w:tabs>
          <w:tab w:val="left" w:pos="8222"/>
        </w:tabs>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Décimo primero.</w:t>
      </w:r>
      <w:r w:rsidRPr="00785ED2">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D4ACEA8" w14:textId="77777777" w:rsidR="00D32853" w:rsidRPr="00785ED2" w:rsidRDefault="00D32853" w:rsidP="00D32853">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vigentes a la fecha de la solicitud, señalan lo siguiente:</w:t>
      </w:r>
    </w:p>
    <w:p w14:paraId="59E6D4DA" w14:textId="77777777" w:rsidR="00D32853" w:rsidRPr="00785ED2" w:rsidRDefault="00D32853" w:rsidP="00D32853">
      <w:pPr>
        <w:spacing w:after="200" w:line="276" w:lineRule="auto"/>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“Quincuagésimo. </w:t>
      </w:r>
      <w:r w:rsidRPr="00785ED2">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7809686" w14:textId="77777777" w:rsidR="00D32853" w:rsidRPr="00785ED2" w:rsidRDefault="00D32853" w:rsidP="00D32853">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Quincuagésimo primero. </w:t>
      </w:r>
      <w:r w:rsidRPr="00785ED2">
        <w:rPr>
          <w:rFonts w:ascii="Palatino Linotype" w:eastAsia="Palatino Linotype" w:hAnsi="Palatino Linotype" w:cs="Palatino Linotype"/>
          <w:i/>
          <w:sz w:val="22"/>
          <w:szCs w:val="22"/>
        </w:rPr>
        <w:t xml:space="preserve">Toda acta del Comité de Transparencia deberá contener: </w:t>
      </w:r>
    </w:p>
    <w:p w14:paraId="6B1B58A9"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El número de sesión y fecha; </w:t>
      </w:r>
    </w:p>
    <w:p w14:paraId="13253E43"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El nombre del área que solicitó la clasificación de información; </w:t>
      </w:r>
    </w:p>
    <w:p w14:paraId="16D2555A"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La fundamentación legal y motivación correspondiente; </w:t>
      </w:r>
    </w:p>
    <w:p w14:paraId="1E211C56"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IV</w:t>
      </w:r>
      <w:r w:rsidRPr="00785ED2">
        <w:rPr>
          <w:rFonts w:ascii="Palatino Linotype" w:eastAsia="Palatino Linotype" w:hAnsi="Palatino Linotype" w:cs="Palatino Linotype"/>
          <w:i/>
          <w:sz w:val="22"/>
          <w:szCs w:val="22"/>
        </w:rPr>
        <w:t xml:space="preserve">. La resolución o resoluciones aprobadas; y </w:t>
      </w:r>
    </w:p>
    <w:p w14:paraId="7748E362"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lastRenderedPageBreak/>
        <w:t>V</w:t>
      </w:r>
      <w:r w:rsidRPr="00785ED2">
        <w:rPr>
          <w:rFonts w:ascii="Palatino Linotype" w:eastAsia="Palatino Linotype" w:hAnsi="Palatino Linotype" w:cs="Palatino Linotype"/>
          <w:i/>
          <w:sz w:val="22"/>
          <w:szCs w:val="22"/>
        </w:rPr>
        <w:t xml:space="preserve">. La rúbrica o firma digital de cada integrante del Comité de Transparencia. </w:t>
      </w:r>
    </w:p>
    <w:p w14:paraId="42482621" w14:textId="77777777" w:rsidR="00D32853" w:rsidRPr="00785ED2" w:rsidRDefault="00D32853" w:rsidP="00D32853">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64EB9FD2"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Los motivos y razonamientos que sustenten la confirmación o modificación de la prueba de daño;</w:t>
      </w:r>
    </w:p>
    <w:p w14:paraId="3E5F2158"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Descripción de las partes o secciones reservadas, en caso de clasificación parcial</w:t>
      </w:r>
      <w:r w:rsidRPr="00785ED2">
        <w:rPr>
          <w:rFonts w:ascii="Palatino Linotype" w:eastAsia="Palatino Linotype" w:hAnsi="Palatino Linotype" w:cs="Palatino Linotype"/>
          <w:b/>
          <w:i/>
          <w:sz w:val="22"/>
          <w:szCs w:val="22"/>
        </w:rPr>
        <w:t xml:space="preserve">; </w:t>
      </w:r>
    </w:p>
    <w:p w14:paraId="628EEF94"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El periodo por el que mantendrá su clasificación y fecha de expiración; y </w:t>
      </w:r>
    </w:p>
    <w:p w14:paraId="2089ECF7" w14:textId="77777777" w:rsidR="00D32853" w:rsidRPr="00785ED2" w:rsidRDefault="00D32853" w:rsidP="00D32853">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IV.</w:t>
      </w:r>
      <w:r w:rsidRPr="00785ED2">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66547E4B" w14:textId="77777777" w:rsidR="00D32853" w:rsidRPr="00785ED2" w:rsidRDefault="00D32853" w:rsidP="00D32853">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527DF6C9" w14:textId="77777777" w:rsidR="00D32853" w:rsidRPr="00785ED2" w:rsidRDefault="00D32853" w:rsidP="00D32853">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5715A4E" w14:textId="77777777" w:rsidR="00D32853" w:rsidRPr="00785ED2" w:rsidRDefault="00D32853" w:rsidP="00D32853">
      <w:pPr>
        <w:spacing w:before="240" w:after="240"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vigentes a la fecha de la solicitud, que establecen lo siguiente:</w:t>
      </w:r>
    </w:p>
    <w:p w14:paraId="28A241A5"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r w:rsidRPr="00785ED2">
        <w:rPr>
          <w:rFonts w:ascii="Palatino Linotype" w:eastAsia="Palatino Linotype" w:hAnsi="Palatino Linotype" w:cs="Palatino Linotype"/>
          <w:b/>
          <w:i/>
          <w:sz w:val="22"/>
          <w:szCs w:val="22"/>
        </w:rPr>
        <w:t>Quincuagésimo segundo</w:t>
      </w:r>
      <w:r w:rsidRPr="00785ED2">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3BD3293"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lastRenderedPageBreak/>
        <w:t xml:space="preserve">En el caso específico de la clasificación y elaboración de versiones públicas de documentos que contengan información confidencial, las áreas de los sujetos obligados deberán: </w:t>
      </w:r>
    </w:p>
    <w:p w14:paraId="3C4A373A" w14:textId="77777777" w:rsidR="00D32853" w:rsidRPr="00785ED2" w:rsidRDefault="00D32853" w:rsidP="00D32853">
      <w:pPr>
        <w:spacing w:after="200" w:line="276" w:lineRule="auto"/>
        <w:ind w:left="1134"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w:t>
      </w:r>
      <w:r w:rsidRPr="00785ED2">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06356F6F" w14:textId="77777777" w:rsidR="00D32853" w:rsidRPr="00785ED2" w:rsidRDefault="00D32853" w:rsidP="00D32853">
      <w:pPr>
        <w:spacing w:after="200" w:line="276" w:lineRule="auto"/>
        <w:ind w:left="1134"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4B00B41D" w14:textId="77777777" w:rsidR="00D32853" w:rsidRPr="00785ED2" w:rsidRDefault="00D32853" w:rsidP="00D32853">
      <w:pPr>
        <w:spacing w:after="200" w:line="276" w:lineRule="auto"/>
        <w:ind w:left="1134"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Señalar las personas o instancias autorizadas a acceder a la información clasificada.</w:t>
      </w:r>
    </w:p>
    <w:p w14:paraId="750A9E9D"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3373E452" w14:textId="77777777" w:rsidR="00D32853" w:rsidRPr="00785ED2" w:rsidRDefault="00D32853" w:rsidP="00D32853">
      <w:pPr>
        <w:pBdr>
          <w:top w:val="nil"/>
          <w:left w:val="nil"/>
          <w:bottom w:val="nil"/>
          <w:right w:val="nil"/>
          <w:between w:val="nil"/>
        </w:pBd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w:t>
      </w:r>
    </w:p>
    <w:p w14:paraId="000AFE3A" w14:textId="77777777" w:rsidR="00D32853" w:rsidRPr="00785ED2" w:rsidRDefault="00D32853" w:rsidP="00D32853">
      <w:pPr>
        <w:pBdr>
          <w:top w:val="nil"/>
          <w:left w:val="nil"/>
          <w:bottom w:val="nil"/>
          <w:right w:val="nil"/>
          <w:between w:val="nil"/>
        </w:pBdr>
        <w:spacing w:after="200" w:line="276" w:lineRule="auto"/>
        <w:ind w:left="851" w:right="616"/>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 xml:space="preserve">Quincuagésimo cuarto. </w:t>
      </w:r>
      <w:r w:rsidRPr="00785ED2">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785ED2">
        <w:rPr>
          <w:rFonts w:ascii="Palatino Linotype" w:eastAsia="Palatino Linotype" w:hAnsi="Palatino Linotype" w:cs="Palatino Linotype"/>
          <w:b/>
          <w:i/>
          <w:sz w:val="22"/>
          <w:szCs w:val="22"/>
        </w:rPr>
        <w:t xml:space="preserve"> </w:t>
      </w:r>
    </w:p>
    <w:p w14:paraId="40C7A1C8"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 xml:space="preserve">Quincuagésimo quinto. </w:t>
      </w:r>
      <w:r w:rsidRPr="00785ED2">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5963DAA"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b/>
          <w:i/>
          <w:sz w:val="22"/>
          <w:szCs w:val="22"/>
        </w:rPr>
      </w:pPr>
      <w:r w:rsidRPr="00785ED2">
        <w:rPr>
          <w:rFonts w:ascii="Palatino Linotype" w:eastAsia="Palatino Linotype" w:hAnsi="Palatino Linotype" w:cs="Palatino Linotype"/>
          <w:b/>
          <w:i/>
          <w:sz w:val="22"/>
          <w:szCs w:val="22"/>
        </w:rPr>
        <w:t>...</w:t>
      </w:r>
    </w:p>
    <w:p w14:paraId="2FC8793A"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Quincuagésimo séptimo</w:t>
      </w:r>
      <w:r w:rsidRPr="00785ED2">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38DF7113" w14:textId="77777777" w:rsidR="00D32853" w:rsidRPr="00785ED2" w:rsidRDefault="00D32853" w:rsidP="00D32853">
      <w:pPr>
        <w:spacing w:after="200" w:line="276" w:lineRule="auto"/>
        <w:ind w:left="1134"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lastRenderedPageBreak/>
        <w:t>I</w:t>
      </w:r>
      <w:r w:rsidRPr="00785ED2">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6F01B8EC" w14:textId="77777777" w:rsidR="00D32853" w:rsidRPr="00785ED2" w:rsidRDefault="00D32853" w:rsidP="00D32853">
      <w:pPr>
        <w:spacing w:after="200" w:line="276" w:lineRule="auto"/>
        <w:ind w:left="1134"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w:t>
      </w:r>
      <w:r w:rsidRPr="00785ED2">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30201977" w14:textId="77777777" w:rsidR="00D32853" w:rsidRPr="00785ED2" w:rsidRDefault="00D32853" w:rsidP="00D32853">
      <w:pPr>
        <w:spacing w:after="200" w:line="276" w:lineRule="auto"/>
        <w:ind w:left="1134"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III</w:t>
      </w:r>
      <w:r w:rsidRPr="00785ED2">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A7DBB14"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247EC7BB" w14:textId="77777777" w:rsidR="00D32853" w:rsidRPr="00785ED2" w:rsidRDefault="00D32853" w:rsidP="00D32853">
      <w:pPr>
        <w:spacing w:after="200" w:line="276" w:lineRule="auto"/>
        <w:ind w:left="851" w:right="616"/>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b/>
          <w:i/>
          <w:sz w:val="22"/>
          <w:szCs w:val="22"/>
        </w:rPr>
        <w:t>Quincuagésimo octavo</w:t>
      </w:r>
      <w:r w:rsidRPr="00785ED2">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2EC12621" w14:textId="77777777" w:rsidR="00D32853" w:rsidRPr="00785ED2" w:rsidRDefault="00D32853" w:rsidP="00D32853">
      <w:pPr>
        <w:shd w:val="clear" w:color="auto" w:fill="FFFFFF"/>
        <w:spacing w:line="360" w:lineRule="auto"/>
        <w:ind w:right="51"/>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en el que se expongan los fundamentos y razonamientos que llevaron al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w:t>
      </w:r>
    </w:p>
    <w:p w14:paraId="62276342" w14:textId="77777777" w:rsidR="001C1690" w:rsidRPr="00785ED2" w:rsidRDefault="001C1690" w:rsidP="00075BA6">
      <w:pPr>
        <w:spacing w:line="360" w:lineRule="auto"/>
        <w:jc w:val="both"/>
        <w:rPr>
          <w:rFonts w:ascii="Palatino Linotype" w:eastAsia="Palatino Linotype" w:hAnsi="Palatino Linotype" w:cs="Palatino Linotype"/>
          <w:sz w:val="22"/>
          <w:szCs w:val="22"/>
        </w:rPr>
      </w:pPr>
    </w:p>
    <w:p w14:paraId="4055B6E1" w14:textId="04547334" w:rsidR="00E46813" w:rsidRPr="00785ED2" w:rsidRDefault="00E46813" w:rsidP="008823E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Así, con fundamento en lo prescrito en los artículos </w:t>
      </w:r>
      <w:r w:rsidR="00283851" w:rsidRPr="00785ED2">
        <w:rPr>
          <w:rFonts w:ascii="Palatino Linotype" w:eastAsia="Palatino Linotype" w:hAnsi="Palatino Linotype" w:cs="Palatino Linotype"/>
          <w:sz w:val="22"/>
          <w:szCs w:val="22"/>
        </w:rPr>
        <w:t xml:space="preserve">5 párrafos cuadragésimo cuarto, cuadragésimo quinto, cuadragésimo sexto, fracciones IV y V de la Constitución Política del </w:t>
      </w:r>
      <w:r w:rsidR="00283851" w:rsidRPr="00785ED2">
        <w:rPr>
          <w:rFonts w:ascii="Palatino Linotype" w:eastAsia="Palatino Linotype" w:hAnsi="Palatino Linotype" w:cs="Palatino Linotype"/>
          <w:sz w:val="22"/>
          <w:szCs w:val="22"/>
        </w:rPr>
        <w:lastRenderedPageBreak/>
        <w:t>Estado Libre y Soberano de México; Transitorio Cuarto, párrafo segundo del Decreto número 198 de la “LXII” Legislatura del Estado de México</w:t>
      </w:r>
      <w:r w:rsidRPr="00785ED2">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785ED2" w:rsidRDefault="00E46813" w:rsidP="00E46813">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785ED2" w:rsidRDefault="00E46813" w:rsidP="00E46813">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12" w:name="_heading=h.ijv98pntcd5s" w:colFirst="0" w:colLast="0"/>
      <w:bookmarkEnd w:id="12"/>
      <w:r w:rsidRPr="00785ED2">
        <w:rPr>
          <w:rFonts w:ascii="Palatino Linotype" w:eastAsia="Palatino Linotype" w:hAnsi="Palatino Linotype" w:cs="Palatino Linotype"/>
          <w:b/>
          <w:sz w:val="22"/>
          <w:szCs w:val="22"/>
        </w:rPr>
        <w:t>III. R E S U E L V E</w:t>
      </w:r>
    </w:p>
    <w:p w14:paraId="5C5DB69D" w14:textId="77777777" w:rsidR="00E46813" w:rsidRPr="00785ED2" w:rsidRDefault="00E46813" w:rsidP="00E46813">
      <w:pPr>
        <w:spacing w:line="360" w:lineRule="auto"/>
        <w:jc w:val="both"/>
        <w:rPr>
          <w:rFonts w:ascii="Palatino Linotype" w:eastAsia="Palatino Linotype" w:hAnsi="Palatino Linotype" w:cs="Palatino Linotype"/>
          <w:b/>
          <w:sz w:val="22"/>
          <w:szCs w:val="22"/>
        </w:rPr>
      </w:pPr>
      <w:bookmarkStart w:id="13" w:name="_heading=h.26in1rg" w:colFirst="0" w:colLast="0"/>
      <w:bookmarkEnd w:id="13"/>
    </w:p>
    <w:p w14:paraId="12338492" w14:textId="63D77828" w:rsidR="00E46813" w:rsidRPr="00785ED2" w:rsidRDefault="00E46813" w:rsidP="00E46813">
      <w:pPr>
        <w:spacing w:line="360" w:lineRule="auto"/>
        <w:jc w:val="both"/>
        <w:rPr>
          <w:rFonts w:ascii="Palatino Linotype" w:eastAsia="Palatino Linotype" w:hAnsi="Palatino Linotype" w:cs="Palatino Linotype"/>
          <w:b/>
          <w:sz w:val="22"/>
          <w:szCs w:val="22"/>
        </w:rPr>
      </w:pPr>
      <w:bookmarkStart w:id="14" w:name="_heading=h.h7nzb79wlra" w:colFirst="0" w:colLast="0"/>
      <w:bookmarkEnd w:id="14"/>
      <w:r w:rsidRPr="00785ED2">
        <w:rPr>
          <w:rFonts w:ascii="Palatino Linotype" w:eastAsia="Palatino Linotype" w:hAnsi="Palatino Linotype" w:cs="Palatino Linotype"/>
          <w:b/>
          <w:sz w:val="22"/>
          <w:szCs w:val="22"/>
        </w:rPr>
        <w:t xml:space="preserve">Primero. </w:t>
      </w:r>
      <w:r w:rsidRPr="00785ED2">
        <w:rPr>
          <w:rFonts w:ascii="Palatino Linotype" w:eastAsia="Palatino Linotype" w:hAnsi="Palatino Linotype" w:cs="Palatino Linotype"/>
          <w:sz w:val="22"/>
          <w:szCs w:val="22"/>
        </w:rPr>
        <w:t>Resultan</w:t>
      </w:r>
      <w:r w:rsidR="00457287" w:rsidRPr="00785ED2">
        <w:rPr>
          <w:rFonts w:ascii="Palatino Linotype" w:eastAsia="Palatino Linotype" w:hAnsi="Palatino Linotype" w:cs="Palatino Linotype"/>
          <w:sz w:val="22"/>
          <w:szCs w:val="22"/>
        </w:rPr>
        <w:t xml:space="preserve"> </w:t>
      </w:r>
      <w:r w:rsidR="00D14589" w:rsidRPr="00785ED2">
        <w:rPr>
          <w:rFonts w:ascii="Palatino Linotype" w:eastAsia="Palatino Linotype" w:hAnsi="Palatino Linotype" w:cs="Palatino Linotype"/>
          <w:b/>
          <w:sz w:val="22"/>
          <w:szCs w:val="22"/>
        </w:rPr>
        <w:t>f</w:t>
      </w:r>
      <w:r w:rsidRPr="00785ED2">
        <w:rPr>
          <w:rFonts w:ascii="Palatino Linotype" w:eastAsia="Palatino Linotype" w:hAnsi="Palatino Linotype" w:cs="Palatino Linotype"/>
          <w:b/>
          <w:sz w:val="22"/>
          <w:szCs w:val="22"/>
        </w:rPr>
        <w:t>undadas</w:t>
      </w:r>
      <w:r w:rsidRPr="00785ED2">
        <w:rPr>
          <w:rFonts w:ascii="Palatino Linotype" w:eastAsia="Palatino Linotype" w:hAnsi="Palatino Linotype" w:cs="Palatino Linotype"/>
          <w:sz w:val="22"/>
          <w:szCs w:val="22"/>
        </w:rPr>
        <w:t xml:space="preserve"> las razones o motivos de inconformidad hechos valer por la parte</w:t>
      </w:r>
      <w:r w:rsidRPr="00785ED2">
        <w:rPr>
          <w:rFonts w:ascii="Palatino Linotype" w:eastAsia="Palatino Linotype" w:hAnsi="Palatino Linotype" w:cs="Palatino Linotype"/>
          <w:b/>
          <w:sz w:val="22"/>
          <w:szCs w:val="22"/>
        </w:rPr>
        <w:t xml:space="preserve"> Recurrente</w:t>
      </w:r>
      <w:r w:rsidRPr="00785ED2">
        <w:rPr>
          <w:rFonts w:ascii="Palatino Linotype" w:eastAsia="Palatino Linotype" w:hAnsi="Palatino Linotype" w:cs="Palatino Linotype"/>
          <w:sz w:val="22"/>
          <w:szCs w:val="22"/>
        </w:rPr>
        <w:t xml:space="preserve"> en el recurso de revisión </w:t>
      </w:r>
      <w:r w:rsidR="00457287" w:rsidRPr="00785ED2">
        <w:rPr>
          <w:rFonts w:ascii="Palatino Linotype" w:eastAsia="Palatino Linotype" w:hAnsi="Palatino Linotype" w:cs="Palatino Linotype"/>
          <w:b/>
          <w:sz w:val="22"/>
          <w:szCs w:val="22"/>
        </w:rPr>
        <w:t>0</w:t>
      </w:r>
      <w:r w:rsidR="00D14589" w:rsidRPr="00785ED2">
        <w:rPr>
          <w:rFonts w:ascii="Palatino Linotype" w:eastAsia="Palatino Linotype" w:hAnsi="Palatino Linotype" w:cs="Palatino Linotype"/>
          <w:b/>
          <w:sz w:val="22"/>
          <w:szCs w:val="22"/>
        </w:rPr>
        <w:t>9859</w:t>
      </w:r>
      <w:r w:rsidRPr="00785ED2">
        <w:rPr>
          <w:rFonts w:ascii="Palatino Linotype" w:eastAsia="Palatino Linotype" w:hAnsi="Palatino Linotype" w:cs="Palatino Linotype"/>
          <w:b/>
          <w:sz w:val="22"/>
          <w:szCs w:val="22"/>
        </w:rPr>
        <w:t>/INFOEM/IP/RR/2025</w:t>
      </w:r>
      <w:r w:rsidRPr="00785ED2">
        <w:rPr>
          <w:rFonts w:ascii="Palatino Linotype" w:eastAsia="Palatino Linotype" w:hAnsi="Palatino Linotype" w:cs="Palatino Linotype"/>
          <w:sz w:val="22"/>
          <w:szCs w:val="22"/>
        </w:rPr>
        <w:t xml:space="preserve">; por lo que, en términos del </w:t>
      </w:r>
      <w:r w:rsidRPr="00785ED2">
        <w:rPr>
          <w:rFonts w:ascii="Palatino Linotype" w:eastAsia="Palatino Linotype" w:hAnsi="Palatino Linotype" w:cs="Palatino Linotype"/>
          <w:b/>
          <w:sz w:val="22"/>
          <w:szCs w:val="22"/>
        </w:rPr>
        <w:t>Considerando</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 xml:space="preserve">Cuarto </w:t>
      </w:r>
      <w:r w:rsidRPr="00785ED2">
        <w:rPr>
          <w:rFonts w:ascii="Palatino Linotype" w:eastAsia="Palatino Linotype" w:hAnsi="Palatino Linotype" w:cs="Palatino Linotype"/>
          <w:sz w:val="22"/>
          <w:szCs w:val="22"/>
        </w:rPr>
        <w:t xml:space="preserve">de esta resolución, se </w:t>
      </w:r>
      <w:r w:rsidR="00457287" w:rsidRPr="00785ED2">
        <w:rPr>
          <w:rFonts w:ascii="Palatino Linotype" w:eastAsia="Palatino Linotype" w:hAnsi="Palatino Linotype" w:cs="Palatino Linotype"/>
          <w:b/>
          <w:sz w:val="22"/>
          <w:szCs w:val="22"/>
        </w:rPr>
        <w:t>Modifi</w:t>
      </w:r>
      <w:r w:rsidR="00C534A8" w:rsidRPr="00785ED2">
        <w:rPr>
          <w:rFonts w:ascii="Palatino Linotype" w:eastAsia="Palatino Linotype" w:hAnsi="Palatino Linotype" w:cs="Palatino Linotype"/>
          <w:b/>
          <w:sz w:val="22"/>
          <w:szCs w:val="22"/>
        </w:rPr>
        <w:t>c</w:t>
      </w:r>
      <w:r w:rsidR="000A2FD6" w:rsidRPr="00785ED2">
        <w:rPr>
          <w:rFonts w:ascii="Palatino Linotype" w:eastAsia="Palatino Linotype" w:hAnsi="Palatino Linotype" w:cs="Palatino Linotype"/>
          <w:b/>
          <w:sz w:val="22"/>
          <w:szCs w:val="22"/>
        </w:rPr>
        <w:t>a</w:t>
      </w:r>
      <w:r w:rsidRPr="00785ED2">
        <w:rPr>
          <w:rFonts w:ascii="Palatino Linotype" w:eastAsia="Palatino Linotype" w:hAnsi="Palatino Linotype" w:cs="Palatino Linotype"/>
          <w:b/>
          <w:sz w:val="22"/>
          <w:szCs w:val="22"/>
        </w:rPr>
        <w:t xml:space="preserve"> </w:t>
      </w:r>
      <w:r w:rsidRPr="00785ED2">
        <w:rPr>
          <w:rFonts w:ascii="Palatino Linotype" w:eastAsia="Palatino Linotype" w:hAnsi="Palatino Linotype" w:cs="Palatino Linotype"/>
          <w:sz w:val="22"/>
          <w:szCs w:val="22"/>
        </w:rPr>
        <w:t xml:space="preserve">la respuesta emitida por el </w:t>
      </w:r>
      <w:r w:rsidRPr="00785ED2">
        <w:rPr>
          <w:rFonts w:ascii="Palatino Linotype" w:eastAsia="Palatino Linotype" w:hAnsi="Palatino Linotype" w:cs="Palatino Linotype"/>
          <w:b/>
          <w:sz w:val="22"/>
          <w:szCs w:val="22"/>
        </w:rPr>
        <w:t>Sujeto Obligado.</w:t>
      </w:r>
    </w:p>
    <w:p w14:paraId="5D719F37" w14:textId="77777777" w:rsidR="00E46813" w:rsidRPr="00785ED2" w:rsidRDefault="00E46813" w:rsidP="00E46813">
      <w:pPr>
        <w:spacing w:line="360" w:lineRule="auto"/>
        <w:jc w:val="both"/>
        <w:rPr>
          <w:rFonts w:ascii="Palatino Linotype" w:eastAsia="Palatino Linotype" w:hAnsi="Palatino Linotype" w:cs="Palatino Linotype"/>
          <w:b/>
          <w:sz w:val="22"/>
          <w:szCs w:val="22"/>
        </w:rPr>
      </w:pPr>
    </w:p>
    <w:p w14:paraId="68ADE2C4" w14:textId="7C31407B" w:rsidR="00D14589" w:rsidRPr="00785ED2" w:rsidRDefault="00E46813" w:rsidP="00D14589">
      <w:pPr>
        <w:spacing w:line="360" w:lineRule="auto"/>
        <w:jc w:val="both"/>
        <w:rPr>
          <w:rFonts w:ascii="Palatino Linotype" w:eastAsia="Palatino Linotype" w:hAnsi="Palatino Linotype" w:cs="Palatino Linotype"/>
          <w:sz w:val="22"/>
          <w:szCs w:val="22"/>
        </w:rPr>
      </w:pPr>
      <w:bookmarkStart w:id="15" w:name="_heading=h.2et92p0" w:colFirst="0" w:colLast="0"/>
      <w:bookmarkEnd w:id="15"/>
      <w:r w:rsidRPr="00785ED2">
        <w:rPr>
          <w:rFonts w:ascii="Palatino Linotype" w:eastAsia="Palatino Linotype" w:hAnsi="Palatino Linotype" w:cs="Palatino Linotype"/>
          <w:b/>
          <w:sz w:val="22"/>
          <w:szCs w:val="22"/>
        </w:rPr>
        <w:t xml:space="preserve">Segundo. </w:t>
      </w:r>
      <w:r w:rsidRPr="00785ED2">
        <w:rPr>
          <w:rFonts w:ascii="Palatino Linotype" w:eastAsia="Palatino Linotype" w:hAnsi="Palatino Linotype" w:cs="Palatino Linotype"/>
          <w:sz w:val="22"/>
          <w:szCs w:val="22"/>
        </w:rPr>
        <w:t xml:space="preserve">Se </w:t>
      </w:r>
      <w:r w:rsidRPr="00785ED2">
        <w:rPr>
          <w:rFonts w:ascii="Palatino Linotype" w:eastAsia="Palatino Linotype" w:hAnsi="Palatino Linotype" w:cs="Palatino Linotype"/>
          <w:b/>
          <w:sz w:val="22"/>
          <w:szCs w:val="22"/>
        </w:rPr>
        <w:t>Ordena</w:t>
      </w:r>
      <w:r w:rsidRPr="00785ED2">
        <w:rPr>
          <w:rFonts w:ascii="Palatino Linotype" w:eastAsia="Palatino Linotype" w:hAnsi="Palatino Linotype" w:cs="Palatino Linotype"/>
          <w:sz w:val="22"/>
          <w:szCs w:val="22"/>
        </w:rPr>
        <w:t xml:space="preserve"> al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en términos de los considerandos </w:t>
      </w:r>
      <w:r w:rsidRPr="00785ED2">
        <w:rPr>
          <w:rFonts w:ascii="Palatino Linotype" w:eastAsia="Palatino Linotype" w:hAnsi="Palatino Linotype" w:cs="Palatino Linotype"/>
          <w:b/>
          <w:sz w:val="22"/>
          <w:szCs w:val="22"/>
        </w:rPr>
        <w:t xml:space="preserve">Cuarto y Quinto </w:t>
      </w:r>
      <w:r w:rsidRPr="00785ED2">
        <w:rPr>
          <w:rFonts w:ascii="Palatino Linotype" w:eastAsia="Palatino Linotype" w:hAnsi="Palatino Linotype" w:cs="Palatino Linotype"/>
          <w:sz w:val="22"/>
          <w:szCs w:val="22"/>
        </w:rPr>
        <w:t xml:space="preserve">de esta resolución, </w:t>
      </w:r>
      <w:r w:rsidRPr="00785ED2">
        <w:rPr>
          <w:rFonts w:ascii="Palatino Linotype" w:eastAsia="Palatino Linotype" w:hAnsi="Palatino Linotype" w:cs="Palatino Linotype"/>
          <w:b/>
          <w:sz w:val="22"/>
          <w:szCs w:val="22"/>
        </w:rPr>
        <w:t xml:space="preserve">haga entrega vía Sistema de Acceso a la Información Mexiquense (SAIMEX), </w:t>
      </w:r>
      <w:r w:rsidR="00175679" w:rsidRPr="00785ED2">
        <w:rPr>
          <w:rFonts w:ascii="Palatino Linotype" w:eastAsia="Palatino Linotype" w:hAnsi="Palatino Linotype" w:cs="Palatino Linotype"/>
          <w:sz w:val="22"/>
          <w:szCs w:val="22"/>
        </w:rPr>
        <w:t xml:space="preserve">previa búsqueda exhaustiva y razonable, de ser procedente en versión pública, </w:t>
      </w:r>
      <w:r w:rsidR="00D14589" w:rsidRPr="00785ED2">
        <w:rPr>
          <w:rFonts w:ascii="Palatino Linotype" w:eastAsia="Palatino Linotype" w:hAnsi="Palatino Linotype" w:cs="Palatino Linotype"/>
          <w:sz w:val="22"/>
          <w:szCs w:val="22"/>
        </w:rPr>
        <w:t>respecto del servidor público referido en la solicitud de información,</w:t>
      </w:r>
      <w:r w:rsidR="00D14589" w:rsidRPr="00785ED2">
        <w:t xml:space="preserve"> </w:t>
      </w:r>
      <w:r w:rsidR="00D14589" w:rsidRPr="00785ED2">
        <w:rPr>
          <w:rFonts w:ascii="Palatino Linotype" w:eastAsia="Palatino Linotype" w:hAnsi="Palatino Linotype" w:cs="Palatino Linotype"/>
          <w:sz w:val="22"/>
          <w:szCs w:val="22"/>
        </w:rPr>
        <w:t>desde el 01 de enero de 1989 a la fecha de su baja,</w:t>
      </w:r>
      <w:r w:rsidR="00857905" w:rsidRPr="00785ED2">
        <w:rPr>
          <w:rFonts w:ascii="Palatino Linotype" w:eastAsia="Palatino Linotype" w:hAnsi="Palatino Linotype" w:cs="Palatino Linotype"/>
          <w:sz w:val="22"/>
          <w:szCs w:val="22"/>
        </w:rPr>
        <w:t xml:space="preserve"> renuncia o jubilación,</w:t>
      </w:r>
      <w:r w:rsidR="00D14589" w:rsidRPr="00785ED2">
        <w:rPr>
          <w:rFonts w:ascii="Palatino Linotype" w:eastAsia="Palatino Linotype" w:hAnsi="Palatino Linotype" w:cs="Palatino Linotype"/>
          <w:sz w:val="22"/>
          <w:szCs w:val="22"/>
        </w:rPr>
        <w:t xml:space="preserve"> el o los documentos donde conste lo siguiente:</w:t>
      </w:r>
    </w:p>
    <w:p w14:paraId="3E25A471" w14:textId="44FE3E6E" w:rsidR="00175679" w:rsidRPr="00785ED2" w:rsidRDefault="00175679" w:rsidP="00175679">
      <w:pPr>
        <w:spacing w:line="360" w:lineRule="auto"/>
        <w:jc w:val="both"/>
        <w:rPr>
          <w:rFonts w:ascii="Palatino Linotype" w:eastAsia="Palatino Linotype" w:hAnsi="Palatino Linotype" w:cs="Palatino Linotype"/>
          <w:sz w:val="22"/>
          <w:szCs w:val="22"/>
        </w:rPr>
      </w:pPr>
    </w:p>
    <w:p w14:paraId="2DFAD19D" w14:textId="3CE4E2B7" w:rsidR="00D14589" w:rsidRPr="00785ED2" w:rsidRDefault="00D14589" w:rsidP="00D14589">
      <w:pPr>
        <w:pStyle w:val="Prrafodelista"/>
        <w:numPr>
          <w:ilvl w:val="0"/>
          <w:numId w:val="33"/>
        </w:num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u w:val="single"/>
        </w:rPr>
        <w:t xml:space="preserve">El puesto, categoría, </w:t>
      </w:r>
      <w:r w:rsidR="00857905" w:rsidRPr="00785ED2">
        <w:rPr>
          <w:rFonts w:ascii="Palatino Linotype" w:eastAsia="Palatino Linotype" w:hAnsi="Palatino Linotype" w:cs="Palatino Linotype"/>
          <w:b/>
          <w:sz w:val="22"/>
          <w:szCs w:val="22"/>
          <w:u w:val="single"/>
        </w:rPr>
        <w:t>nivel o</w:t>
      </w:r>
      <w:r w:rsidRPr="00785ED2">
        <w:rPr>
          <w:rFonts w:ascii="Palatino Linotype" w:eastAsia="Palatino Linotype" w:hAnsi="Palatino Linotype" w:cs="Palatino Linotype"/>
          <w:b/>
          <w:sz w:val="22"/>
          <w:szCs w:val="22"/>
          <w:u w:val="single"/>
        </w:rPr>
        <w:t xml:space="preserve"> rango; y</w:t>
      </w:r>
    </w:p>
    <w:p w14:paraId="0A483933" w14:textId="77777777" w:rsidR="00D14589" w:rsidRPr="00785ED2" w:rsidRDefault="00D14589" w:rsidP="00D14589">
      <w:pPr>
        <w:pStyle w:val="Prrafodelista"/>
        <w:numPr>
          <w:ilvl w:val="0"/>
          <w:numId w:val="33"/>
        </w:num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u w:val="single"/>
        </w:rPr>
        <w:t>Sueldo bruto y neto mensual.</w:t>
      </w:r>
    </w:p>
    <w:p w14:paraId="1538DA60" w14:textId="77777777" w:rsidR="00175679" w:rsidRPr="00785ED2" w:rsidRDefault="00175679" w:rsidP="00175679">
      <w:pPr>
        <w:spacing w:line="360" w:lineRule="auto"/>
        <w:jc w:val="both"/>
        <w:rPr>
          <w:rFonts w:ascii="Palatino Linotype" w:eastAsia="Palatino Linotype" w:hAnsi="Palatino Linotype" w:cs="Palatino Linotype"/>
          <w:sz w:val="22"/>
          <w:szCs w:val="22"/>
        </w:rPr>
      </w:pPr>
    </w:p>
    <w:p w14:paraId="2AD61745" w14:textId="77777777" w:rsidR="00BE3178" w:rsidRPr="00785ED2" w:rsidRDefault="00BE3178" w:rsidP="00BE3178">
      <w:pPr>
        <w:ind w:left="360" w:right="474"/>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785ED2">
        <w:rPr>
          <w:rFonts w:ascii="Palatino Linotype" w:eastAsia="Palatino Linotype" w:hAnsi="Palatino Linotype" w:cs="Palatino Linotype"/>
          <w:b/>
          <w:i/>
          <w:sz w:val="22"/>
          <w:szCs w:val="22"/>
        </w:rPr>
        <w:t>la parte Recurrente</w:t>
      </w:r>
      <w:r w:rsidRPr="00785ED2">
        <w:rPr>
          <w:rFonts w:ascii="Palatino Linotype" w:eastAsia="Palatino Linotype" w:hAnsi="Palatino Linotype" w:cs="Palatino Linotype"/>
          <w:i/>
          <w:sz w:val="22"/>
          <w:szCs w:val="22"/>
        </w:rPr>
        <w:t>, mismo que igualmente hará de su conocimiento.</w:t>
      </w:r>
    </w:p>
    <w:p w14:paraId="604DE7ED" w14:textId="77777777" w:rsidR="00D14589" w:rsidRPr="00785ED2" w:rsidRDefault="00D14589" w:rsidP="00BE3178">
      <w:pPr>
        <w:ind w:left="360" w:right="474"/>
        <w:jc w:val="both"/>
        <w:rPr>
          <w:rFonts w:ascii="Palatino Linotype" w:eastAsia="Palatino Linotype" w:hAnsi="Palatino Linotype" w:cs="Palatino Linotype"/>
          <w:i/>
          <w:sz w:val="22"/>
          <w:szCs w:val="22"/>
        </w:rPr>
      </w:pPr>
    </w:p>
    <w:p w14:paraId="55F0FE19" w14:textId="3DB27F2F" w:rsidR="00D14589" w:rsidRPr="00785ED2" w:rsidRDefault="00D14589" w:rsidP="00857905">
      <w:pPr>
        <w:ind w:left="360" w:right="474"/>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lastRenderedPageBreak/>
        <w:t xml:space="preserve">Para el caso de que el servidor público de quien se requiere la información, </w:t>
      </w:r>
      <w:r w:rsidR="00857905" w:rsidRPr="00785ED2">
        <w:rPr>
          <w:rFonts w:ascii="Palatino Linotype" w:eastAsia="Palatino Linotype" w:hAnsi="Palatino Linotype" w:cs="Palatino Linotype"/>
          <w:i/>
          <w:sz w:val="22"/>
          <w:szCs w:val="22"/>
        </w:rPr>
        <w:t>no hubiera causado baja a la fecha de la solicitud, deberá hacer entrega de lo ordenado, hasta el dieciséis de julio de dos mil veinticinco.</w:t>
      </w:r>
    </w:p>
    <w:p w14:paraId="03C60FB6" w14:textId="77777777" w:rsidR="00857905" w:rsidRPr="00785ED2" w:rsidRDefault="00857905" w:rsidP="00857905">
      <w:pPr>
        <w:ind w:left="360" w:right="474"/>
        <w:jc w:val="both"/>
        <w:rPr>
          <w:rFonts w:ascii="Palatino Linotype" w:eastAsia="Palatino Linotype" w:hAnsi="Palatino Linotype" w:cs="Palatino Linotype"/>
          <w:i/>
          <w:sz w:val="22"/>
          <w:szCs w:val="22"/>
        </w:rPr>
      </w:pPr>
    </w:p>
    <w:p w14:paraId="08A6AC9E" w14:textId="77777777" w:rsidR="00D14589" w:rsidRPr="00785ED2" w:rsidRDefault="00D14589" w:rsidP="00D14589">
      <w:pPr>
        <w:ind w:left="360" w:right="474"/>
        <w:jc w:val="both"/>
        <w:rPr>
          <w:rFonts w:ascii="Palatino Linotype" w:eastAsia="Palatino Linotype" w:hAnsi="Palatino Linotype" w:cs="Palatino Linotype"/>
          <w:i/>
          <w:sz w:val="22"/>
          <w:szCs w:val="22"/>
        </w:rPr>
      </w:pPr>
      <w:r w:rsidRPr="00785ED2">
        <w:rPr>
          <w:rFonts w:ascii="Palatino Linotype" w:eastAsia="Palatino Linotype" w:hAnsi="Palatino Linotype" w:cs="Palatino Linotype"/>
          <w:i/>
          <w:sz w:val="22"/>
          <w:szCs w:val="22"/>
        </w:rPr>
        <w:t>Para el caso de no contar con la información que se ordena, por haber causado baja documental deberá emitir el Acuerdo de Inexistencia, en términos de los artículos 169 y 170 de la Ley de Transparencia y Acceso a la Información Pública del Estado de México y Municipios.</w:t>
      </w:r>
    </w:p>
    <w:p w14:paraId="68F73F21" w14:textId="77777777" w:rsidR="00A238AC" w:rsidRPr="00785ED2" w:rsidRDefault="00A238AC" w:rsidP="00E46813">
      <w:pPr>
        <w:spacing w:line="360" w:lineRule="auto"/>
        <w:jc w:val="both"/>
        <w:rPr>
          <w:rFonts w:ascii="Palatino Linotype" w:eastAsia="Palatino Linotype" w:hAnsi="Palatino Linotype" w:cs="Palatino Linotype"/>
          <w:b/>
          <w:sz w:val="22"/>
          <w:szCs w:val="22"/>
          <w:lang w:val="es-ES"/>
        </w:rPr>
      </w:pPr>
    </w:p>
    <w:p w14:paraId="7D45AA85" w14:textId="77777777" w:rsidR="00E46813" w:rsidRPr="00785ED2" w:rsidRDefault="00E46813" w:rsidP="00E46813">
      <w:pPr>
        <w:spacing w:line="360" w:lineRule="auto"/>
        <w:jc w:val="both"/>
        <w:rPr>
          <w:rFonts w:ascii="Palatino Linotype" w:eastAsia="Palatino Linotype" w:hAnsi="Palatino Linotype" w:cs="Palatino Linotype"/>
          <w:sz w:val="22"/>
          <w:szCs w:val="22"/>
        </w:rPr>
      </w:pPr>
      <w:bookmarkStart w:id="16" w:name="_heading=h.59npxyxpomjd" w:colFirst="0" w:colLast="0"/>
      <w:bookmarkEnd w:id="16"/>
      <w:r w:rsidRPr="00785ED2">
        <w:rPr>
          <w:rFonts w:ascii="Palatino Linotype" w:eastAsia="Palatino Linotype" w:hAnsi="Palatino Linotype" w:cs="Palatino Linotype"/>
          <w:b/>
          <w:sz w:val="22"/>
          <w:szCs w:val="22"/>
        </w:rPr>
        <w:t xml:space="preserve">Tercero. Notifíquese, </w:t>
      </w:r>
      <w:r w:rsidRPr="00785ED2">
        <w:rPr>
          <w:rFonts w:ascii="Palatino Linotype" w:eastAsia="Palatino Linotype" w:hAnsi="Palatino Linotype" w:cs="Palatino Linotype"/>
          <w:sz w:val="22"/>
          <w:szCs w:val="22"/>
        </w:rPr>
        <w:t xml:space="preserve">vía </w:t>
      </w:r>
      <w:r w:rsidRPr="00785ED2">
        <w:rPr>
          <w:rFonts w:ascii="Palatino Linotype" w:eastAsia="Palatino Linotype" w:hAnsi="Palatino Linotype" w:cs="Palatino Linotype"/>
          <w:b/>
          <w:sz w:val="22"/>
          <w:szCs w:val="22"/>
        </w:rPr>
        <w:t>SAIMEX</w:t>
      </w:r>
      <w:r w:rsidRPr="00785ED2">
        <w:rPr>
          <w:rFonts w:ascii="Palatino Linotype" w:eastAsia="Palatino Linotype" w:hAnsi="Palatino Linotype" w:cs="Palatino Linotype"/>
          <w:sz w:val="22"/>
          <w:szCs w:val="22"/>
        </w:rPr>
        <w:t xml:space="preserve">, al Titular de la Unidad de Transparencia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785ED2" w:rsidRDefault="00E46813" w:rsidP="00E46813">
      <w:pPr>
        <w:spacing w:line="360" w:lineRule="auto"/>
        <w:jc w:val="both"/>
        <w:rPr>
          <w:rFonts w:ascii="Palatino Linotype" w:eastAsia="Palatino Linotype" w:hAnsi="Palatino Linotype" w:cs="Palatino Linotype"/>
          <w:sz w:val="22"/>
          <w:szCs w:val="22"/>
        </w:rPr>
      </w:pPr>
    </w:p>
    <w:p w14:paraId="76107922" w14:textId="77777777" w:rsidR="00E46813" w:rsidRPr="00785ED2" w:rsidRDefault="00E46813" w:rsidP="00E46813">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Cuarto.</w:t>
      </w:r>
      <w:r w:rsidRPr="00785ED2">
        <w:rPr>
          <w:rFonts w:ascii="Palatino Linotype" w:eastAsia="Palatino Linotype" w:hAnsi="Palatino Linotype" w:cs="Palatino Linotype"/>
          <w:sz w:val="22"/>
          <w:szCs w:val="22"/>
        </w:rPr>
        <w:t xml:space="preserve"> </w:t>
      </w:r>
      <w:r w:rsidRPr="00785ED2">
        <w:rPr>
          <w:rFonts w:ascii="Palatino Linotype" w:eastAsia="Palatino Linotype" w:hAnsi="Palatino Linotype" w:cs="Palatino Linotype"/>
          <w:b/>
          <w:sz w:val="22"/>
          <w:szCs w:val="22"/>
        </w:rPr>
        <w:t xml:space="preserve">Notifíquese, </w:t>
      </w:r>
      <w:r w:rsidRPr="00785ED2">
        <w:rPr>
          <w:rFonts w:ascii="Palatino Linotype" w:eastAsia="Palatino Linotype" w:hAnsi="Palatino Linotype" w:cs="Palatino Linotype"/>
          <w:sz w:val="22"/>
          <w:szCs w:val="22"/>
        </w:rPr>
        <w:t xml:space="preserve">vía </w:t>
      </w:r>
      <w:r w:rsidRPr="00785ED2">
        <w:rPr>
          <w:rFonts w:ascii="Palatino Linotype" w:eastAsia="Palatino Linotype" w:hAnsi="Palatino Linotype" w:cs="Palatino Linotype"/>
          <w:b/>
          <w:sz w:val="22"/>
          <w:szCs w:val="22"/>
        </w:rPr>
        <w:t>SAIMEX</w:t>
      </w:r>
      <w:r w:rsidRPr="00785ED2">
        <w:rPr>
          <w:rFonts w:ascii="Palatino Linotype" w:eastAsia="Palatino Linotype" w:hAnsi="Palatino Linotype" w:cs="Palatino Linotype"/>
          <w:sz w:val="22"/>
          <w:szCs w:val="22"/>
        </w:rPr>
        <w:t xml:space="preserve">, al Titular de la Unidad de Transparencia del </w:t>
      </w:r>
      <w:r w:rsidRPr="00785ED2">
        <w:rPr>
          <w:rFonts w:ascii="Palatino Linotype" w:eastAsia="Palatino Linotype" w:hAnsi="Palatino Linotype" w:cs="Palatino Linotype"/>
          <w:b/>
          <w:sz w:val="22"/>
          <w:szCs w:val="22"/>
        </w:rPr>
        <w:t>Sujeto Obligado,</w:t>
      </w:r>
      <w:r w:rsidRPr="00785ED2">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785ED2" w:rsidRDefault="00E46813" w:rsidP="00E46813">
      <w:pPr>
        <w:spacing w:line="360" w:lineRule="auto"/>
        <w:ind w:right="49"/>
        <w:jc w:val="both"/>
        <w:rPr>
          <w:rFonts w:ascii="Palatino Linotype" w:eastAsia="Palatino Linotype" w:hAnsi="Palatino Linotype" w:cs="Palatino Linotype"/>
          <w:sz w:val="22"/>
          <w:szCs w:val="22"/>
        </w:rPr>
      </w:pPr>
    </w:p>
    <w:p w14:paraId="342BD9AA" w14:textId="77777777" w:rsidR="00AA5C57" w:rsidRPr="00785ED2" w:rsidRDefault="00E46813" w:rsidP="00AA5C57">
      <w:pPr>
        <w:spacing w:line="360" w:lineRule="auto"/>
        <w:ind w:right="49"/>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b/>
          <w:sz w:val="22"/>
          <w:szCs w:val="22"/>
        </w:rPr>
        <w:t xml:space="preserve">Quinto. Notifíquese vía SAIMEX, </w:t>
      </w:r>
      <w:r w:rsidRPr="00785ED2">
        <w:rPr>
          <w:rFonts w:ascii="Palatino Linotype" w:eastAsia="Palatino Linotype" w:hAnsi="Palatino Linotype" w:cs="Palatino Linotype"/>
          <w:sz w:val="22"/>
          <w:szCs w:val="22"/>
        </w:rPr>
        <w:t xml:space="preserve">la presente resolución a la parte </w:t>
      </w:r>
      <w:r w:rsidRPr="00785ED2">
        <w:rPr>
          <w:rFonts w:ascii="Palatino Linotype" w:eastAsia="Palatino Linotype" w:hAnsi="Palatino Linotype" w:cs="Palatino Linotype"/>
          <w:b/>
          <w:sz w:val="22"/>
          <w:szCs w:val="22"/>
        </w:rPr>
        <w:t>Recurrente</w:t>
      </w:r>
      <w:r w:rsidRPr="00785ED2">
        <w:rPr>
          <w:rFonts w:ascii="Palatino Linotype" w:eastAsia="Palatino Linotype" w:hAnsi="Palatino Linotype" w:cs="Palatino Linotype"/>
          <w:sz w:val="22"/>
          <w:szCs w:val="22"/>
        </w:rPr>
        <w:t xml:space="preserve">, y hágase del conocimiento que en caso de que considere que la presente resolución le causa algún perjuicio, podrá promover el Juicio de Amparo en los términos de las leyes aplicables, de </w:t>
      </w:r>
      <w:r w:rsidRPr="00785ED2">
        <w:rPr>
          <w:rFonts w:ascii="Palatino Linotype" w:eastAsia="Palatino Linotype" w:hAnsi="Palatino Linotype" w:cs="Palatino Linotype"/>
          <w:sz w:val="22"/>
          <w:szCs w:val="22"/>
        </w:rPr>
        <w:lastRenderedPageBreak/>
        <w:t>acuerdo a lo estipulado por el artículo 196 de la Ley de Transparencia y Acceso a la Información Pública del Estado de México y Municipios.</w:t>
      </w:r>
    </w:p>
    <w:p w14:paraId="1D3D46A8" w14:textId="77777777" w:rsidR="00FC2052" w:rsidRPr="00785ED2" w:rsidRDefault="00FC2052" w:rsidP="00172519">
      <w:pPr>
        <w:spacing w:line="360" w:lineRule="auto"/>
        <w:ind w:right="49"/>
        <w:jc w:val="both"/>
        <w:rPr>
          <w:rFonts w:ascii="Palatino Linotype" w:eastAsia="Palatino Linotype" w:hAnsi="Palatino Linotype" w:cs="Palatino Linotype"/>
          <w:sz w:val="22"/>
        </w:rPr>
      </w:pPr>
    </w:p>
    <w:p w14:paraId="0D8C7B7F" w14:textId="12A210D7" w:rsidR="00E46813" w:rsidRPr="00785ED2" w:rsidRDefault="00E46813" w:rsidP="00E46813">
      <w:pPr>
        <w:spacing w:line="360" w:lineRule="auto"/>
        <w:jc w:val="both"/>
        <w:rPr>
          <w:rFonts w:ascii="Palatino Linotype" w:eastAsia="Palatino Linotype" w:hAnsi="Palatino Linotype" w:cs="Palatino Linotype"/>
          <w:sz w:val="22"/>
          <w:szCs w:val="22"/>
        </w:rPr>
      </w:pPr>
      <w:r w:rsidRPr="00785ED2">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75679" w:rsidRPr="00785ED2">
        <w:rPr>
          <w:rFonts w:ascii="Palatino Linotype" w:eastAsia="Palatino Linotype" w:hAnsi="Palatino Linotype" w:cs="Palatino Linotype"/>
          <w:sz w:val="22"/>
          <w:szCs w:val="22"/>
        </w:rPr>
        <w:t>OCTAVA</w:t>
      </w:r>
      <w:r w:rsidRPr="00785ED2">
        <w:rPr>
          <w:rFonts w:ascii="Palatino Linotype" w:eastAsia="Palatino Linotype" w:hAnsi="Palatino Linotype" w:cs="Palatino Linotype"/>
          <w:sz w:val="22"/>
          <w:szCs w:val="22"/>
        </w:rPr>
        <w:t xml:space="preserve"> SESIÓN ORDINARIA, CELEBRADA EL </w:t>
      </w:r>
      <w:r w:rsidR="00175679" w:rsidRPr="00785ED2">
        <w:rPr>
          <w:rFonts w:ascii="Palatino Linotype" w:eastAsia="Palatino Linotype" w:hAnsi="Palatino Linotype" w:cs="Palatino Linotype"/>
          <w:sz w:val="22"/>
          <w:szCs w:val="22"/>
        </w:rPr>
        <w:t>CINCO DE MARZO</w:t>
      </w:r>
      <w:r w:rsidR="00283851" w:rsidRPr="00785ED2">
        <w:rPr>
          <w:rFonts w:ascii="Palatino Linotype" w:eastAsia="Palatino Linotype" w:hAnsi="Palatino Linotype" w:cs="Palatino Linotype"/>
          <w:sz w:val="22"/>
          <w:szCs w:val="22"/>
        </w:rPr>
        <w:t xml:space="preserve"> DE DOS MIL VEINTIS</w:t>
      </w:r>
      <w:r w:rsidR="00447635" w:rsidRPr="00785ED2">
        <w:rPr>
          <w:rFonts w:ascii="Palatino Linotype" w:eastAsia="Palatino Linotype" w:hAnsi="Palatino Linotype" w:cs="Palatino Linotype"/>
          <w:sz w:val="22"/>
          <w:szCs w:val="22"/>
        </w:rPr>
        <w:t>É</w:t>
      </w:r>
      <w:r w:rsidR="00283851" w:rsidRPr="00785ED2">
        <w:rPr>
          <w:rFonts w:ascii="Palatino Linotype" w:eastAsia="Palatino Linotype" w:hAnsi="Palatino Linotype" w:cs="Palatino Linotype"/>
          <w:sz w:val="22"/>
          <w:szCs w:val="22"/>
        </w:rPr>
        <w:t>IS</w:t>
      </w:r>
      <w:r w:rsidRPr="00785ED2">
        <w:rPr>
          <w:rFonts w:ascii="Palatino Linotype" w:eastAsia="Palatino Linotype" w:hAnsi="Palatino Linotype" w:cs="Palatino Linotype"/>
          <w:sz w:val="22"/>
          <w:szCs w:val="22"/>
        </w:rPr>
        <w:t xml:space="preserve">, ANTE EL SECRETARIO TÉCNICO DEL PLENO ALEXIS TAPIA RAMÍREZ. </w:t>
      </w:r>
    </w:p>
    <w:p w14:paraId="71B96CD4" w14:textId="3D32F32B" w:rsidR="00566EB9" w:rsidRPr="00785ED2" w:rsidRDefault="00566EB9">
      <w:pPr>
        <w:spacing w:line="360" w:lineRule="auto"/>
        <w:jc w:val="both"/>
        <w:rPr>
          <w:rFonts w:ascii="Palatino Linotype" w:eastAsia="Palatino Linotype" w:hAnsi="Palatino Linotype" w:cs="Palatino Linotype"/>
          <w:sz w:val="22"/>
          <w:szCs w:val="22"/>
        </w:rPr>
      </w:pPr>
    </w:p>
    <w:p w14:paraId="7190E2A5" w14:textId="77777777" w:rsidR="00566EB9" w:rsidRPr="00785ED2" w:rsidRDefault="00566EB9">
      <w:pPr>
        <w:rPr>
          <w:rFonts w:ascii="Palatino Linotype" w:eastAsia="Palatino Linotype" w:hAnsi="Palatino Linotype" w:cs="Palatino Linotype"/>
          <w:sz w:val="22"/>
          <w:szCs w:val="22"/>
        </w:rPr>
      </w:pPr>
      <w:bookmarkStart w:id="17" w:name="_heading=h.17dp8vu" w:colFirst="0" w:colLast="0"/>
      <w:bookmarkEnd w:id="17"/>
    </w:p>
    <w:p w14:paraId="5E53C7DB" w14:textId="77777777" w:rsidR="00566EB9" w:rsidRPr="00785ED2" w:rsidRDefault="00566EB9">
      <w:pPr>
        <w:rPr>
          <w:rFonts w:ascii="Palatino Linotype" w:eastAsia="Palatino Linotype" w:hAnsi="Palatino Linotype" w:cs="Palatino Linotype"/>
          <w:sz w:val="22"/>
          <w:szCs w:val="22"/>
        </w:rPr>
      </w:pPr>
    </w:p>
    <w:p w14:paraId="4F26F666" w14:textId="77777777" w:rsidR="00566EB9" w:rsidRPr="00785ED2" w:rsidRDefault="00566EB9">
      <w:pPr>
        <w:spacing w:line="360" w:lineRule="auto"/>
        <w:jc w:val="both"/>
        <w:rPr>
          <w:rFonts w:ascii="Palatino Linotype" w:eastAsia="Palatino Linotype" w:hAnsi="Palatino Linotype" w:cs="Palatino Linotype"/>
          <w:sz w:val="22"/>
          <w:szCs w:val="22"/>
        </w:rPr>
      </w:pPr>
      <w:bookmarkStart w:id="18" w:name="_heading=h.3rdcrjn" w:colFirst="0" w:colLast="0"/>
      <w:bookmarkEnd w:id="18"/>
    </w:p>
    <w:p w14:paraId="24C778BA"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136F50F6"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3081BB98" w14:textId="77777777" w:rsidR="00566EB9" w:rsidRPr="00785ED2" w:rsidRDefault="00566EB9">
      <w:pPr>
        <w:spacing w:line="360" w:lineRule="auto"/>
        <w:jc w:val="both"/>
        <w:rPr>
          <w:rFonts w:ascii="Palatino Linotype" w:eastAsia="Palatino Linotype" w:hAnsi="Palatino Linotype" w:cs="Palatino Linotype"/>
          <w:sz w:val="22"/>
          <w:szCs w:val="22"/>
        </w:rPr>
      </w:pPr>
      <w:bookmarkStart w:id="19" w:name="_heading=h.1t3h5sf" w:colFirst="0" w:colLast="0"/>
      <w:bookmarkEnd w:id="19"/>
    </w:p>
    <w:p w14:paraId="20B4F970"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59D1F85B"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67319D83"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75749E5A"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15EBD4E4"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1352DB6A"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6FDFC42C"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7675C48A"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1F01EC61"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27D5FDA9"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57710D9E"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27243C58"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342BBC8F"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0CED8375"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0ED8DA40"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30398C50"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2AC8A258"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6E08D62B"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640D2568" w14:textId="77777777" w:rsidR="00566EB9" w:rsidRPr="00785ED2" w:rsidRDefault="00566EB9">
      <w:pPr>
        <w:spacing w:line="360" w:lineRule="auto"/>
        <w:jc w:val="both"/>
        <w:rPr>
          <w:rFonts w:ascii="Palatino Linotype" w:eastAsia="Palatino Linotype" w:hAnsi="Palatino Linotype" w:cs="Palatino Linotype"/>
          <w:sz w:val="22"/>
          <w:szCs w:val="22"/>
        </w:rPr>
      </w:pPr>
    </w:p>
    <w:p w14:paraId="6760F54C" w14:textId="77777777" w:rsidR="00566EB9" w:rsidRPr="00785ED2" w:rsidRDefault="00566EB9">
      <w:pPr>
        <w:spacing w:line="360" w:lineRule="auto"/>
        <w:jc w:val="both"/>
        <w:rPr>
          <w:rFonts w:ascii="Palatino Linotype" w:eastAsia="Palatino Linotype" w:hAnsi="Palatino Linotype" w:cs="Palatino Linotype"/>
          <w:sz w:val="22"/>
          <w:szCs w:val="22"/>
        </w:rPr>
      </w:pPr>
    </w:p>
    <w:sectPr w:rsidR="00566EB9" w:rsidRPr="00785ED2">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1C7FC" w14:textId="77777777" w:rsidR="001019CA" w:rsidRDefault="001019CA">
      <w:r>
        <w:separator/>
      </w:r>
    </w:p>
  </w:endnote>
  <w:endnote w:type="continuationSeparator" w:id="0">
    <w:p w14:paraId="6D7A2492" w14:textId="77777777" w:rsidR="001019CA" w:rsidRDefault="0010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20FEE" w14:textId="18840488" w:rsidR="00D32853" w:rsidRDefault="00D3285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6763CA">
      <w:rPr>
        <w:rFonts w:ascii="Palatino Linotype" w:eastAsia="Palatino Linotype" w:hAnsi="Palatino Linotype" w:cs="Palatino Linotype"/>
        <w:b/>
        <w:noProof/>
        <w:color w:val="000000"/>
        <w:sz w:val="20"/>
        <w:szCs w:val="20"/>
      </w:rPr>
      <w:t>21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6763CA">
      <w:rPr>
        <w:rFonts w:ascii="Palatino Linotype" w:eastAsia="Palatino Linotype" w:hAnsi="Palatino Linotype" w:cs="Palatino Linotype"/>
        <w:b/>
        <w:noProof/>
        <w:color w:val="000000"/>
        <w:sz w:val="20"/>
        <w:szCs w:val="20"/>
      </w:rPr>
      <w:t>63</w:t>
    </w:r>
    <w:r>
      <w:rPr>
        <w:rFonts w:ascii="Palatino Linotype" w:eastAsia="Palatino Linotype" w:hAnsi="Palatino Linotype" w:cs="Palatino Linotype"/>
        <w:b/>
        <w:color w:val="000000"/>
        <w:sz w:val="20"/>
        <w:szCs w:val="20"/>
      </w:rPr>
      <w:fldChar w:fldCharType="end"/>
    </w:r>
  </w:p>
  <w:p w14:paraId="75EA14AB" w14:textId="77777777" w:rsidR="00D32853" w:rsidRDefault="00D32853">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4A6EB" w14:textId="67091034" w:rsidR="00D32853" w:rsidRDefault="00D3285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6763CA">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6763CA">
      <w:rPr>
        <w:rFonts w:ascii="Palatino Linotype" w:eastAsia="Palatino Linotype" w:hAnsi="Palatino Linotype" w:cs="Palatino Linotype"/>
        <w:b/>
        <w:noProof/>
        <w:color w:val="000000"/>
        <w:sz w:val="20"/>
        <w:szCs w:val="20"/>
      </w:rPr>
      <w:t>63</w:t>
    </w:r>
    <w:r>
      <w:rPr>
        <w:rFonts w:ascii="Palatino Linotype" w:eastAsia="Palatino Linotype" w:hAnsi="Palatino Linotype" w:cs="Palatino Linotype"/>
        <w:b/>
        <w:color w:val="000000"/>
        <w:sz w:val="20"/>
        <w:szCs w:val="20"/>
      </w:rPr>
      <w:fldChar w:fldCharType="end"/>
    </w:r>
  </w:p>
  <w:p w14:paraId="78844A60" w14:textId="77777777" w:rsidR="00D32853" w:rsidRDefault="00D32853">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5AB1E" w14:textId="77777777" w:rsidR="001019CA" w:rsidRDefault="001019CA">
      <w:r>
        <w:separator/>
      </w:r>
    </w:p>
  </w:footnote>
  <w:footnote w:type="continuationSeparator" w:id="0">
    <w:p w14:paraId="121C69A0" w14:textId="77777777" w:rsidR="001019CA" w:rsidRDefault="001019CA">
      <w:r>
        <w:continuationSeparator/>
      </w:r>
    </w:p>
  </w:footnote>
  <w:footnote w:id="1">
    <w:p w14:paraId="66458B8C" w14:textId="77777777" w:rsidR="00D32853" w:rsidRDefault="00D32853"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D32853" w:rsidRDefault="00D32853"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D32853" w:rsidRDefault="00D32853">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D32853" w:rsidRDefault="00D32853">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42E0879F" w14:textId="77777777" w:rsidR="00D32853" w:rsidRDefault="00D32853" w:rsidP="00D32853">
      <w:pPr>
        <w:pBdr>
          <w:top w:val="nil"/>
          <w:left w:val="nil"/>
          <w:bottom w:val="nil"/>
          <w:right w:val="nil"/>
          <w:between w:val="nil"/>
        </w:pBdr>
        <w:tabs>
          <w:tab w:val="right" w:pos="0"/>
        </w:tabs>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Resolución RRA2431/17 del Instituto Nacional de Transparencia, Acceso a la Información Pública y Protección de Datos Personales.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E653D" w14:textId="3D7A378C" w:rsidR="00D32853" w:rsidRDefault="00D32853">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D32853" w14:paraId="7556AAA7" w14:textId="77777777">
      <w:tc>
        <w:tcPr>
          <w:tcW w:w="2489" w:type="dxa"/>
          <w:shd w:val="clear" w:color="auto" w:fill="auto"/>
        </w:tcPr>
        <w:p w14:paraId="456E930D" w14:textId="77777777" w:rsidR="00D32853" w:rsidRDefault="00D32853">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3E0C34E9" w14:textId="7919F714" w:rsidR="00D32853" w:rsidRDefault="00D32853" w:rsidP="00EC625C">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09859</w:t>
          </w:r>
          <w:r w:rsidRPr="00AD0BFE">
            <w:rPr>
              <w:rFonts w:ascii="Palatino Linotype" w:eastAsia="Palatino Linotype" w:hAnsi="Palatino Linotype" w:cs="Palatino Linotype"/>
              <w:b/>
              <w:color w:val="000000" w:themeColor="text1"/>
              <w:sz w:val="22"/>
              <w:szCs w:val="22"/>
            </w:rPr>
            <w:t>/INFOEM/IP/RR/2025</w:t>
          </w:r>
        </w:p>
      </w:tc>
    </w:tr>
    <w:tr w:rsidR="00D32853" w14:paraId="625B5BC5" w14:textId="77777777">
      <w:trPr>
        <w:trHeight w:val="228"/>
      </w:trPr>
      <w:tc>
        <w:tcPr>
          <w:tcW w:w="2489" w:type="dxa"/>
          <w:shd w:val="clear" w:color="auto" w:fill="auto"/>
          <w:vAlign w:val="center"/>
        </w:tcPr>
        <w:p w14:paraId="18DDCAF9" w14:textId="77777777" w:rsidR="00D32853" w:rsidRDefault="00D32853">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29F10AC9" w:rsidR="00D32853" w:rsidRDefault="00D32853" w:rsidP="00075BA6">
          <w:pPr>
            <w:ind w:left="-45" w:right="1586"/>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Oficialía Mayor</w:t>
          </w:r>
        </w:p>
      </w:tc>
    </w:tr>
    <w:tr w:rsidR="00D32853" w14:paraId="5A94D834" w14:textId="77777777">
      <w:tc>
        <w:tcPr>
          <w:tcW w:w="2489" w:type="dxa"/>
          <w:shd w:val="clear" w:color="auto" w:fill="auto"/>
          <w:vAlign w:val="center"/>
        </w:tcPr>
        <w:p w14:paraId="65DC8F86" w14:textId="77777777" w:rsidR="00D32853" w:rsidRDefault="00D32853">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D32853" w:rsidRDefault="00D32853">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D32853" w:rsidRDefault="00D32853">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3966C" w14:textId="77777777" w:rsidR="00D32853" w:rsidRDefault="00D32853">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D32853" w14:paraId="626C0E2F" w14:textId="77777777">
      <w:tc>
        <w:tcPr>
          <w:tcW w:w="2551" w:type="dxa"/>
          <w:shd w:val="clear" w:color="auto" w:fill="auto"/>
          <w:vAlign w:val="center"/>
        </w:tcPr>
        <w:p w14:paraId="588E5159" w14:textId="77777777" w:rsidR="00D32853" w:rsidRDefault="00D32853">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6D3B24C" w14:textId="2B523C47" w:rsidR="00D32853" w:rsidRDefault="00D32853" w:rsidP="00EC625C">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09859/INFOEM/IP/RR/2025</w:t>
          </w:r>
        </w:p>
      </w:tc>
    </w:tr>
    <w:tr w:rsidR="00D32853" w14:paraId="600191AD" w14:textId="77777777">
      <w:trPr>
        <w:trHeight w:val="130"/>
      </w:trPr>
      <w:tc>
        <w:tcPr>
          <w:tcW w:w="2551" w:type="dxa"/>
          <w:shd w:val="clear" w:color="auto" w:fill="auto"/>
          <w:vAlign w:val="center"/>
        </w:tcPr>
        <w:p w14:paraId="66691596" w14:textId="77777777" w:rsidR="00D32853" w:rsidRDefault="00D32853">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341CF842" w:rsidR="00D32853" w:rsidRDefault="0062435A" w:rsidP="0062435A">
          <w:pPr>
            <w:ind w:left="-45" w:right="1444"/>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 xml:space="preserve">XXXXXX XXXXXXX XXXXXX XXXX </w:t>
          </w:r>
        </w:p>
      </w:tc>
    </w:tr>
    <w:tr w:rsidR="00D32853" w14:paraId="68112254" w14:textId="77777777">
      <w:trPr>
        <w:trHeight w:val="228"/>
      </w:trPr>
      <w:tc>
        <w:tcPr>
          <w:tcW w:w="2551" w:type="dxa"/>
          <w:shd w:val="clear" w:color="auto" w:fill="auto"/>
          <w:vAlign w:val="center"/>
        </w:tcPr>
        <w:p w14:paraId="373E7A5B" w14:textId="77777777" w:rsidR="00D32853" w:rsidRDefault="00D32853">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2C6CF47F" w:rsidR="00D32853" w:rsidRDefault="00D32853" w:rsidP="00FF113B">
          <w:pPr>
            <w:ind w:left="-45" w:right="1586"/>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Oficialía Mayor</w:t>
          </w:r>
        </w:p>
      </w:tc>
    </w:tr>
    <w:tr w:rsidR="00D32853" w14:paraId="38DC658C" w14:textId="77777777">
      <w:tc>
        <w:tcPr>
          <w:tcW w:w="2551" w:type="dxa"/>
          <w:shd w:val="clear" w:color="auto" w:fill="auto"/>
          <w:vAlign w:val="center"/>
        </w:tcPr>
        <w:p w14:paraId="745EE03B" w14:textId="77777777" w:rsidR="00D32853" w:rsidRDefault="00D32853">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D32853" w:rsidRDefault="00D32853">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D32853" w:rsidRDefault="00D32853">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D32853" w:rsidRDefault="00D328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6A24B81"/>
    <w:multiLevelType w:val="hybridMultilevel"/>
    <w:tmpl w:val="B11C35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363F59"/>
    <w:multiLevelType w:val="hybridMultilevel"/>
    <w:tmpl w:val="231C7544"/>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2535FB3"/>
    <w:multiLevelType w:val="hybridMultilevel"/>
    <w:tmpl w:val="65F4C902"/>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25C3A48"/>
    <w:multiLevelType w:val="hybridMultilevel"/>
    <w:tmpl w:val="1A9AD5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4311CA"/>
    <w:multiLevelType w:val="hybridMultilevel"/>
    <w:tmpl w:val="711224E0"/>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58618F0"/>
    <w:multiLevelType w:val="hybridMultilevel"/>
    <w:tmpl w:val="A9F8346E"/>
    <w:lvl w:ilvl="0" w:tplc="D28E258A">
      <w:start w:val="1"/>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7" w15:restartNumberingAfterBreak="0">
    <w:nsid w:val="3D45444A"/>
    <w:multiLevelType w:val="multilevel"/>
    <w:tmpl w:val="3FFC2A22"/>
    <w:lvl w:ilvl="0">
      <w:start w:val="1"/>
      <w:numFmt w:val="bullet"/>
      <w:lvlText w:val=""/>
      <w:lvlJc w:val="left"/>
      <w:pPr>
        <w:ind w:left="927" w:hanging="360"/>
      </w:pPr>
      <w:rPr>
        <w:rFonts w:ascii="Symbol" w:hAnsi="Symbol" w:hint="default"/>
        <w:b/>
      </w:rPr>
    </w:lvl>
    <w:lvl w:ilvl="1">
      <w:start w:val="1"/>
      <w:numFmt w:val="lowerLetter"/>
      <w:lvlText w:val="%2."/>
      <w:lvlJc w:val="left"/>
      <w:pPr>
        <w:ind w:left="1647" w:hanging="360"/>
      </w:pPr>
    </w:lvl>
    <w:lvl w:ilvl="2">
      <w:start w:val="8"/>
      <w:numFmt w:val="bullet"/>
      <w:lvlText w:val=""/>
      <w:lvlJc w:val="left"/>
      <w:pPr>
        <w:ind w:left="2367" w:hanging="180"/>
      </w:pPr>
      <w:rPr>
        <w:rFonts w:ascii="Symbol" w:eastAsia="Palatino Linotype" w:hAnsi="Symbol" w:cs="Palatino Linotype" w:hint="default"/>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5C96443"/>
    <w:multiLevelType w:val="hybridMultilevel"/>
    <w:tmpl w:val="F70C4AD6"/>
    <w:lvl w:ilvl="0" w:tplc="86DE94DC">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7432956"/>
    <w:multiLevelType w:val="multilevel"/>
    <w:tmpl w:val="954886A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8"/>
      <w:numFmt w:val="bullet"/>
      <w:lvlText w:val=""/>
      <w:lvlJc w:val="left"/>
      <w:pPr>
        <w:ind w:left="2367" w:hanging="180"/>
      </w:pPr>
      <w:rPr>
        <w:rFonts w:ascii="Symbol" w:eastAsia="Palatino Linotype" w:hAnsi="Symbol" w:cs="Palatino Linotype" w:hint="default"/>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84D7762"/>
    <w:multiLevelType w:val="hybridMultilevel"/>
    <w:tmpl w:val="7388A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CA52C10"/>
    <w:multiLevelType w:val="hybridMultilevel"/>
    <w:tmpl w:val="24948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AF0E3B"/>
    <w:multiLevelType w:val="hybridMultilevel"/>
    <w:tmpl w:val="2AE86F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66E708D9"/>
    <w:multiLevelType w:val="hybridMultilevel"/>
    <w:tmpl w:val="B11C35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4F03B6"/>
    <w:multiLevelType w:val="hybridMultilevel"/>
    <w:tmpl w:val="4D307EE2"/>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78F9330F"/>
    <w:multiLevelType w:val="hybridMultilevel"/>
    <w:tmpl w:val="F3C8D3B6"/>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24"/>
  </w:num>
  <w:num w:numId="3">
    <w:abstractNumId w:val="1"/>
  </w:num>
  <w:num w:numId="4">
    <w:abstractNumId w:val="6"/>
  </w:num>
  <w:num w:numId="5">
    <w:abstractNumId w:val="11"/>
  </w:num>
  <w:num w:numId="6">
    <w:abstractNumId w:val="21"/>
  </w:num>
  <w:num w:numId="7">
    <w:abstractNumId w:val="22"/>
  </w:num>
  <w:num w:numId="8">
    <w:abstractNumId w:val="4"/>
  </w:num>
  <w:num w:numId="9">
    <w:abstractNumId w:val="32"/>
  </w:num>
  <w:num w:numId="10">
    <w:abstractNumId w:val="3"/>
  </w:num>
  <w:num w:numId="11">
    <w:abstractNumId w:val="28"/>
  </w:num>
  <w:num w:numId="12">
    <w:abstractNumId w:val="10"/>
  </w:num>
  <w:num w:numId="13">
    <w:abstractNumId w:val="31"/>
  </w:num>
  <w:num w:numId="14">
    <w:abstractNumId w:val="5"/>
  </w:num>
  <w:num w:numId="15">
    <w:abstractNumId w:val="2"/>
  </w:num>
  <w:num w:numId="16">
    <w:abstractNumId w:val="27"/>
  </w:num>
  <w:num w:numId="17">
    <w:abstractNumId w:val="12"/>
  </w:num>
  <w:num w:numId="18">
    <w:abstractNumId w:val="25"/>
  </w:num>
  <w:num w:numId="19">
    <w:abstractNumId w:val="19"/>
  </w:num>
  <w:num w:numId="20">
    <w:abstractNumId w:val="13"/>
  </w:num>
  <w:num w:numId="21">
    <w:abstractNumId w:val="9"/>
  </w:num>
  <w:num w:numId="22">
    <w:abstractNumId w:val="18"/>
  </w:num>
  <w:num w:numId="23">
    <w:abstractNumId w:val="29"/>
  </w:num>
  <w:num w:numId="24">
    <w:abstractNumId w:val="15"/>
  </w:num>
  <w:num w:numId="25">
    <w:abstractNumId w:val="30"/>
  </w:num>
  <w:num w:numId="26">
    <w:abstractNumId w:val="8"/>
  </w:num>
  <w:num w:numId="27">
    <w:abstractNumId w:val="14"/>
  </w:num>
  <w:num w:numId="28">
    <w:abstractNumId w:val="20"/>
  </w:num>
  <w:num w:numId="29">
    <w:abstractNumId w:val="26"/>
  </w:num>
  <w:num w:numId="30">
    <w:abstractNumId w:val="7"/>
  </w:num>
  <w:num w:numId="31">
    <w:abstractNumId w:val="17"/>
  </w:num>
  <w:num w:numId="32">
    <w:abstractNumId w:val="16"/>
  </w:num>
  <w:num w:numId="33">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35E1"/>
    <w:rsid w:val="0001513E"/>
    <w:rsid w:val="00024AF6"/>
    <w:rsid w:val="0002687C"/>
    <w:rsid w:val="00030053"/>
    <w:rsid w:val="00031214"/>
    <w:rsid w:val="00036313"/>
    <w:rsid w:val="00045AA6"/>
    <w:rsid w:val="0005005A"/>
    <w:rsid w:val="00067482"/>
    <w:rsid w:val="00075098"/>
    <w:rsid w:val="00075BA6"/>
    <w:rsid w:val="0008100A"/>
    <w:rsid w:val="00083AB3"/>
    <w:rsid w:val="000A2FD6"/>
    <w:rsid w:val="000A3BFD"/>
    <w:rsid w:val="000A7763"/>
    <w:rsid w:val="000B0012"/>
    <w:rsid w:val="000B61DF"/>
    <w:rsid w:val="000B7385"/>
    <w:rsid w:val="000C4823"/>
    <w:rsid w:val="000D7A87"/>
    <w:rsid w:val="000E5E7B"/>
    <w:rsid w:val="001015A6"/>
    <w:rsid w:val="001019CA"/>
    <w:rsid w:val="00102B0F"/>
    <w:rsid w:val="00113B92"/>
    <w:rsid w:val="0011437B"/>
    <w:rsid w:val="001175EE"/>
    <w:rsid w:val="00117BD3"/>
    <w:rsid w:val="0012216B"/>
    <w:rsid w:val="001226FF"/>
    <w:rsid w:val="00122F5E"/>
    <w:rsid w:val="00124DCE"/>
    <w:rsid w:val="00131C5B"/>
    <w:rsid w:val="001419AC"/>
    <w:rsid w:val="001454E9"/>
    <w:rsid w:val="001528AE"/>
    <w:rsid w:val="0016332F"/>
    <w:rsid w:val="00164B97"/>
    <w:rsid w:val="00165869"/>
    <w:rsid w:val="0016688D"/>
    <w:rsid w:val="00167752"/>
    <w:rsid w:val="00172519"/>
    <w:rsid w:val="00175679"/>
    <w:rsid w:val="00177ED1"/>
    <w:rsid w:val="0018758A"/>
    <w:rsid w:val="001A5D10"/>
    <w:rsid w:val="001B4F9C"/>
    <w:rsid w:val="001B55EA"/>
    <w:rsid w:val="001C1690"/>
    <w:rsid w:val="001C2F8A"/>
    <w:rsid w:val="001C3928"/>
    <w:rsid w:val="001D086F"/>
    <w:rsid w:val="001E0B78"/>
    <w:rsid w:val="001E141A"/>
    <w:rsid w:val="001E1B7C"/>
    <w:rsid w:val="001E2F34"/>
    <w:rsid w:val="001E43F1"/>
    <w:rsid w:val="001F1B56"/>
    <w:rsid w:val="001F5948"/>
    <w:rsid w:val="00202542"/>
    <w:rsid w:val="002033C3"/>
    <w:rsid w:val="00207F9D"/>
    <w:rsid w:val="0021100A"/>
    <w:rsid w:val="002133D6"/>
    <w:rsid w:val="002272D8"/>
    <w:rsid w:val="00227CCB"/>
    <w:rsid w:val="00232509"/>
    <w:rsid w:val="0023481C"/>
    <w:rsid w:val="00235555"/>
    <w:rsid w:val="002425BC"/>
    <w:rsid w:val="00243D88"/>
    <w:rsid w:val="0024432B"/>
    <w:rsid w:val="002500B2"/>
    <w:rsid w:val="00251B80"/>
    <w:rsid w:val="00254724"/>
    <w:rsid w:val="00263672"/>
    <w:rsid w:val="00271266"/>
    <w:rsid w:val="0028208A"/>
    <w:rsid w:val="0028295D"/>
    <w:rsid w:val="00283851"/>
    <w:rsid w:val="002840DC"/>
    <w:rsid w:val="00294CBC"/>
    <w:rsid w:val="002B03D6"/>
    <w:rsid w:val="002B1723"/>
    <w:rsid w:val="002B2287"/>
    <w:rsid w:val="002B32B1"/>
    <w:rsid w:val="002B6843"/>
    <w:rsid w:val="002D03D2"/>
    <w:rsid w:val="002D1509"/>
    <w:rsid w:val="002E13F4"/>
    <w:rsid w:val="002E24B1"/>
    <w:rsid w:val="002E67FA"/>
    <w:rsid w:val="002E6A40"/>
    <w:rsid w:val="00315A9F"/>
    <w:rsid w:val="00315AC1"/>
    <w:rsid w:val="0031792E"/>
    <w:rsid w:val="0032148E"/>
    <w:rsid w:val="003234D3"/>
    <w:rsid w:val="00326383"/>
    <w:rsid w:val="00326509"/>
    <w:rsid w:val="00327469"/>
    <w:rsid w:val="003277C2"/>
    <w:rsid w:val="003317C8"/>
    <w:rsid w:val="00331E90"/>
    <w:rsid w:val="00332A98"/>
    <w:rsid w:val="00333A75"/>
    <w:rsid w:val="003349A5"/>
    <w:rsid w:val="00337C02"/>
    <w:rsid w:val="003477DE"/>
    <w:rsid w:val="0034791F"/>
    <w:rsid w:val="00347952"/>
    <w:rsid w:val="003525EB"/>
    <w:rsid w:val="00352E0E"/>
    <w:rsid w:val="00354BAE"/>
    <w:rsid w:val="003616D6"/>
    <w:rsid w:val="003658D3"/>
    <w:rsid w:val="00365DC1"/>
    <w:rsid w:val="00366B0E"/>
    <w:rsid w:val="00371A65"/>
    <w:rsid w:val="00373FA4"/>
    <w:rsid w:val="00375373"/>
    <w:rsid w:val="00375A51"/>
    <w:rsid w:val="00386B51"/>
    <w:rsid w:val="00390D4B"/>
    <w:rsid w:val="00391098"/>
    <w:rsid w:val="003911E0"/>
    <w:rsid w:val="00392E66"/>
    <w:rsid w:val="00395B88"/>
    <w:rsid w:val="00395E7A"/>
    <w:rsid w:val="003A6444"/>
    <w:rsid w:val="003C2774"/>
    <w:rsid w:val="003C3BA5"/>
    <w:rsid w:val="003C3D32"/>
    <w:rsid w:val="003C6BE6"/>
    <w:rsid w:val="003C77E9"/>
    <w:rsid w:val="003D640F"/>
    <w:rsid w:val="003E07EF"/>
    <w:rsid w:val="003E6F40"/>
    <w:rsid w:val="003F0A9C"/>
    <w:rsid w:val="003F126A"/>
    <w:rsid w:val="003F511A"/>
    <w:rsid w:val="00403B19"/>
    <w:rsid w:val="00405D29"/>
    <w:rsid w:val="00415225"/>
    <w:rsid w:val="00415490"/>
    <w:rsid w:val="00417D71"/>
    <w:rsid w:val="00432A40"/>
    <w:rsid w:val="0044354A"/>
    <w:rsid w:val="00444401"/>
    <w:rsid w:val="00445DF1"/>
    <w:rsid w:val="00447635"/>
    <w:rsid w:val="00450912"/>
    <w:rsid w:val="00450C8C"/>
    <w:rsid w:val="00452E1E"/>
    <w:rsid w:val="00453E98"/>
    <w:rsid w:val="00457287"/>
    <w:rsid w:val="00473CF8"/>
    <w:rsid w:val="00476893"/>
    <w:rsid w:val="00481145"/>
    <w:rsid w:val="0049022B"/>
    <w:rsid w:val="00491A5E"/>
    <w:rsid w:val="004A210C"/>
    <w:rsid w:val="004A3976"/>
    <w:rsid w:val="004A3E71"/>
    <w:rsid w:val="004A5568"/>
    <w:rsid w:val="004B63F5"/>
    <w:rsid w:val="004B6E8D"/>
    <w:rsid w:val="004C0BC8"/>
    <w:rsid w:val="004C4BEC"/>
    <w:rsid w:val="004C4DBA"/>
    <w:rsid w:val="004C74A9"/>
    <w:rsid w:val="004D706F"/>
    <w:rsid w:val="004E1B00"/>
    <w:rsid w:val="004E6B75"/>
    <w:rsid w:val="004F5310"/>
    <w:rsid w:val="004F636B"/>
    <w:rsid w:val="004F6A1F"/>
    <w:rsid w:val="005219CC"/>
    <w:rsid w:val="00527C07"/>
    <w:rsid w:val="0053297C"/>
    <w:rsid w:val="00534223"/>
    <w:rsid w:val="00546763"/>
    <w:rsid w:val="00551C8B"/>
    <w:rsid w:val="0055769E"/>
    <w:rsid w:val="0056015E"/>
    <w:rsid w:val="00563CA3"/>
    <w:rsid w:val="00566025"/>
    <w:rsid w:val="005663DE"/>
    <w:rsid w:val="00566BFD"/>
    <w:rsid w:val="00566EB9"/>
    <w:rsid w:val="005676DB"/>
    <w:rsid w:val="00573E0B"/>
    <w:rsid w:val="00590C08"/>
    <w:rsid w:val="00590E3A"/>
    <w:rsid w:val="005A2975"/>
    <w:rsid w:val="005B6A93"/>
    <w:rsid w:val="005B7414"/>
    <w:rsid w:val="005C5D8F"/>
    <w:rsid w:val="005C6922"/>
    <w:rsid w:val="005D2BC9"/>
    <w:rsid w:val="005D6FD9"/>
    <w:rsid w:val="005D733D"/>
    <w:rsid w:val="005E446C"/>
    <w:rsid w:val="005E5293"/>
    <w:rsid w:val="005E5CA3"/>
    <w:rsid w:val="005F6D08"/>
    <w:rsid w:val="00605F57"/>
    <w:rsid w:val="0060718E"/>
    <w:rsid w:val="00613B10"/>
    <w:rsid w:val="00613FD5"/>
    <w:rsid w:val="00616C7F"/>
    <w:rsid w:val="0062435A"/>
    <w:rsid w:val="00634BFC"/>
    <w:rsid w:val="00637A09"/>
    <w:rsid w:val="00646B8D"/>
    <w:rsid w:val="006507CF"/>
    <w:rsid w:val="006540B3"/>
    <w:rsid w:val="00656201"/>
    <w:rsid w:val="00656BFE"/>
    <w:rsid w:val="006575DA"/>
    <w:rsid w:val="00657A3C"/>
    <w:rsid w:val="00657E90"/>
    <w:rsid w:val="006605F1"/>
    <w:rsid w:val="00665AE4"/>
    <w:rsid w:val="0067075F"/>
    <w:rsid w:val="00672A19"/>
    <w:rsid w:val="006763CA"/>
    <w:rsid w:val="00683C7F"/>
    <w:rsid w:val="00683D27"/>
    <w:rsid w:val="006910D6"/>
    <w:rsid w:val="0069230B"/>
    <w:rsid w:val="00693CC1"/>
    <w:rsid w:val="00696E36"/>
    <w:rsid w:val="006A511B"/>
    <w:rsid w:val="006A6A26"/>
    <w:rsid w:val="006B3458"/>
    <w:rsid w:val="006B5FF8"/>
    <w:rsid w:val="006C0C4B"/>
    <w:rsid w:val="006C2BCC"/>
    <w:rsid w:val="006C4120"/>
    <w:rsid w:val="006D06C4"/>
    <w:rsid w:val="006D463F"/>
    <w:rsid w:val="006D4B8E"/>
    <w:rsid w:val="006E2B68"/>
    <w:rsid w:val="006F22AE"/>
    <w:rsid w:val="006F31AD"/>
    <w:rsid w:val="006F61B3"/>
    <w:rsid w:val="006F7A2A"/>
    <w:rsid w:val="00707279"/>
    <w:rsid w:val="00711C8A"/>
    <w:rsid w:val="00715193"/>
    <w:rsid w:val="007152F6"/>
    <w:rsid w:val="007274D4"/>
    <w:rsid w:val="00730B78"/>
    <w:rsid w:val="00731FE8"/>
    <w:rsid w:val="007328EE"/>
    <w:rsid w:val="007334B0"/>
    <w:rsid w:val="00735FBC"/>
    <w:rsid w:val="00736C21"/>
    <w:rsid w:val="007371FE"/>
    <w:rsid w:val="00750102"/>
    <w:rsid w:val="007552ED"/>
    <w:rsid w:val="00760E3C"/>
    <w:rsid w:val="00765481"/>
    <w:rsid w:val="00781D8E"/>
    <w:rsid w:val="00782F02"/>
    <w:rsid w:val="00785ED2"/>
    <w:rsid w:val="007949E9"/>
    <w:rsid w:val="00796322"/>
    <w:rsid w:val="007A102B"/>
    <w:rsid w:val="007A27F9"/>
    <w:rsid w:val="007A2EB2"/>
    <w:rsid w:val="007A4D33"/>
    <w:rsid w:val="007A5AC1"/>
    <w:rsid w:val="007B0468"/>
    <w:rsid w:val="007B451C"/>
    <w:rsid w:val="007C42F7"/>
    <w:rsid w:val="007C6EC0"/>
    <w:rsid w:val="007D0A7E"/>
    <w:rsid w:val="007E23D2"/>
    <w:rsid w:val="007E628C"/>
    <w:rsid w:val="007F1130"/>
    <w:rsid w:val="007F122A"/>
    <w:rsid w:val="007F60A0"/>
    <w:rsid w:val="00802826"/>
    <w:rsid w:val="00803341"/>
    <w:rsid w:val="00815093"/>
    <w:rsid w:val="00815F08"/>
    <w:rsid w:val="00820873"/>
    <w:rsid w:val="00820E6B"/>
    <w:rsid w:val="008218D8"/>
    <w:rsid w:val="008236F7"/>
    <w:rsid w:val="00824BA5"/>
    <w:rsid w:val="0082575D"/>
    <w:rsid w:val="008279BF"/>
    <w:rsid w:val="0083228B"/>
    <w:rsid w:val="00834E96"/>
    <w:rsid w:val="00835868"/>
    <w:rsid w:val="0083720C"/>
    <w:rsid w:val="00844198"/>
    <w:rsid w:val="008504EC"/>
    <w:rsid w:val="00851CF1"/>
    <w:rsid w:val="00855AB9"/>
    <w:rsid w:val="00857905"/>
    <w:rsid w:val="00863EFE"/>
    <w:rsid w:val="00865D38"/>
    <w:rsid w:val="008709FA"/>
    <w:rsid w:val="008736CC"/>
    <w:rsid w:val="008738D3"/>
    <w:rsid w:val="008740C3"/>
    <w:rsid w:val="008757F2"/>
    <w:rsid w:val="008759A0"/>
    <w:rsid w:val="008823E6"/>
    <w:rsid w:val="00882BEE"/>
    <w:rsid w:val="00892371"/>
    <w:rsid w:val="00895797"/>
    <w:rsid w:val="00897647"/>
    <w:rsid w:val="008B099C"/>
    <w:rsid w:val="008B2576"/>
    <w:rsid w:val="008B3920"/>
    <w:rsid w:val="008C4074"/>
    <w:rsid w:val="008C4D5B"/>
    <w:rsid w:val="008C542E"/>
    <w:rsid w:val="008C573F"/>
    <w:rsid w:val="008D206E"/>
    <w:rsid w:val="008D54FB"/>
    <w:rsid w:val="008E40E3"/>
    <w:rsid w:val="008F3BE3"/>
    <w:rsid w:val="009070A2"/>
    <w:rsid w:val="00911B76"/>
    <w:rsid w:val="009123CF"/>
    <w:rsid w:val="009136E3"/>
    <w:rsid w:val="009143AF"/>
    <w:rsid w:val="00914756"/>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6775D"/>
    <w:rsid w:val="0097075C"/>
    <w:rsid w:val="009751DF"/>
    <w:rsid w:val="00975927"/>
    <w:rsid w:val="00983228"/>
    <w:rsid w:val="009878C8"/>
    <w:rsid w:val="00990736"/>
    <w:rsid w:val="009A087F"/>
    <w:rsid w:val="009A52D3"/>
    <w:rsid w:val="009B206F"/>
    <w:rsid w:val="009B2156"/>
    <w:rsid w:val="009B7724"/>
    <w:rsid w:val="009C5EA5"/>
    <w:rsid w:val="009C7EC6"/>
    <w:rsid w:val="009D48FB"/>
    <w:rsid w:val="009D6C2F"/>
    <w:rsid w:val="009E44B9"/>
    <w:rsid w:val="009E4671"/>
    <w:rsid w:val="009E5819"/>
    <w:rsid w:val="009F0A60"/>
    <w:rsid w:val="009F0B5F"/>
    <w:rsid w:val="009F43E4"/>
    <w:rsid w:val="009F69D4"/>
    <w:rsid w:val="009F6A7A"/>
    <w:rsid w:val="009F75C9"/>
    <w:rsid w:val="00A024A5"/>
    <w:rsid w:val="00A02F20"/>
    <w:rsid w:val="00A0679C"/>
    <w:rsid w:val="00A107AD"/>
    <w:rsid w:val="00A238AC"/>
    <w:rsid w:val="00A2626A"/>
    <w:rsid w:val="00A26EA7"/>
    <w:rsid w:val="00A300C4"/>
    <w:rsid w:val="00A3094F"/>
    <w:rsid w:val="00A34E50"/>
    <w:rsid w:val="00A4027C"/>
    <w:rsid w:val="00A45362"/>
    <w:rsid w:val="00A47D43"/>
    <w:rsid w:val="00A5656A"/>
    <w:rsid w:val="00A56E46"/>
    <w:rsid w:val="00A57E85"/>
    <w:rsid w:val="00A64138"/>
    <w:rsid w:val="00A65C1E"/>
    <w:rsid w:val="00A7414A"/>
    <w:rsid w:val="00A76DB3"/>
    <w:rsid w:val="00A80C4E"/>
    <w:rsid w:val="00A84BDD"/>
    <w:rsid w:val="00A92286"/>
    <w:rsid w:val="00A97EE0"/>
    <w:rsid w:val="00AA58D2"/>
    <w:rsid w:val="00AA5C57"/>
    <w:rsid w:val="00AA72A1"/>
    <w:rsid w:val="00AB6BFB"/>
    <w:rsid w:val="00AB76DE"/>
    <w:rsid w:val="00AC0390"/>
    <w:rsid w:val="00AC0B07"/>
    <w:rsid w:val="00AC3F77"/>
    <w:rsid w:val="00AC7527"/>
    <w:rsid w:val="00AD0BFE"/>
    <w:rsid w:val="00AD3142"/>
    <w:rsid w:val="00AD60AE"/>
    <w:rsid w:val="00AE1497"/>
    <w:rsid w:val="00AE3979"/>
    <w:rsid w:val="00AE4B3A"/>
    <w:rsid w:val="00AE7F5C"/>
    <w:rsid w:val="00AF5C65"/>
    <w:rsid w:val="00AF5FF4"/>
    <w:rsid w:val="00B018E9"/>
    <w:rsid w:val="00B06031"/>
    <w:rsid w:val="00B0661B"/>
    <w:rsid w:val="00B1522F"/>
    <w:rsid w:val="00B20F68"/>
    <w:rsid w:val="00B253BE"/>
    <w:rsid w:val="00B26464"/>
    <w:rsid w:val="00B36420"/>
    <w:rsid w:val="00B40A9C"/>
    <w:rsid w:val="00B44821"/>
    <w:rsid w:val="00B54965"/>
    <w:rsid w:val="00B55BAC"/>
    <w:rsid w:val="00B60ED0"/>
    <w:rsid w:val="00B703F6"/>
    <w:rsid w:val="00B7138F"/>
    <w:rsid w:val="00B7233F"/>
    <w:rsid w:val="00B73893"/>
    <w:rsid w:val="00B768CB"/>
    <w:rsid w:val="00B90A60"/>
    <w:rsid w:val="00B91B04"/>
    <w:rsid w:val="00B967B3"/>
    <w:rsid w:val="00BA6B91"/>
    <w:rsid w:val="00BA6CBC"/>
    <w:rsid w:val="00BB0D0D"/>
    <w:rsid w:val="00BC0D1A"/>
    <w:rsid w:val="00BC37C5"/>
    <w:rsid w:val="00BD0CA9"/>
    <w:rsid w:val="00BD277A"/>
    <w:rsid w:val="00BE044C"/>
    <w:rsid w:val="00BE3178"/>
    <w:rsid w:val="00BF06FF"/>
    <w:rsid w:val="00BF42F3"/>
    <w:rsid w:val="00BF495C"/>
    <w:rsid w:val="00BF7ABA"/>
    <w:rsid w:val="00C01A23"/>
    <w:rsid w:val="00C11B14"/>
    <w:rsid w:val="00C16D27"/>
    <w:rsid w:val="00C17684"/>
    <w:rsid w:val="00C17968"/>
    <w:rsid w:val="00C23064"/>
    <w:rsid w:val="00C260B3"/>
    <w:rsid w:val="00C30DDF"/>
    <w:rsid w:val="00C37545"/>
    <w:rsid w:val="00C43B5F"/>
    <w:rsid w:val="00C45950"/>
    <w:rsid w:val="00C501F7"/>
    <w:rsid w:val="00C51E1C"/>
    <w:rsid w:val="00C534A8"/>
    <w:rsid w:val="00C54363"/>
    <w:rsid w:val="00C62E60"/>
    <w:rsid w:val="00C65BAF"/>
    <w:rsid w:val="00C66E98"/>
    <w:rsid w:val="00C70954"/>
    <w:rsid w:val="00C714D3"/>
    <w:rsid w:val="00C72EBA"/>
    <w:rsid w:val="00C776AC"/>
    <w:rsid w:val="00C80202"/>
    <w:rsid w:val="00C82B0D"/>
    <w:rsid w:val="00C86837"/>
    <w:rsid w:val="00C95B56"/>
    <w:rsid w:val="00C97375"/>
    <w:rsid w:val="00CA72CB"/>
    <w:rsid w:val="00CB2CB6"/>
    <w:rsid w:val="00CB499B"/>
    <w:rsid w:val="00CB4E4D"/>
    <w:rsid w:val="00CC3F4A"/>
    <w:rsid w:val="00CC6474"/>
    <w:rsid w:val="00CD0D49"/>
    <w:rsid w:val="00CD118F"/>
    <w:rsid w:val="00CD4A30"/>
    <w:rsid w:val="00CE150D"/>
    <w:rsid w:val="00CE24FC"/>
    <w:rsid w:val="00CF3D24"/>
    <w:rsid w:val="00CF6D16"/>
    <w:rsid w:val="00CF7F82"/>
    <w:rsid w:val="00D01812"/>
    <w:rsid w:val="00D01C02"/>
    <w:rsid w:val="00D11784"/>
    <w:rsid w:val="00D14589"/>
    <w:rsid w:val="00D2404A"/>
    <w:rsid w:val="00D32853"/>
    <w:rsid w:val="00D41CCE"/>
    <w:rsid w:val="00D42F35"/>
    <w:rsid w:val="00D434B1"/>
    <w:rsid w:val="00D441A8"/>
    <w:rsid w:val="00D470D8"/>
    <w:rsid w:val="00D476BC"/>
    <w:rsid w:val="00D47A4D"/>
    <w:rsid w:val="00D52C6F"/>
    <w:rsid w:val="00D53B2E"/>
    <w:rsid w:val="00D571D8"/>
    <w:rsid w:val="00D62E1F"/>
    <w:rsid w:val="00D65BC2"/>
    <w:rsid w:val="00D6615E"/>
    <w:rsid w:val="00D66F77"/>
    <w:rsid w:val="00D733CA"/>
    <w:rsid w:val="00D75270"/>
    <w:rsid w:val="00D760EC"/>
    <w:rsid w:val="00D84445"/>
    <w:rsid w:val="00D84E0A"/>
    <w:rsid w:val="00D90F2D"/>
    <w:rsid w:val="00D94197"/>
    <w:rsid w:val="00DA59BA"/>
    <w:rsid w:val="00DB2665"/>
    <w:rsid w:val="00DB61F5"/>
    <w:rsid w:val="00DB7E9A"/>
    <w:rsid w:val="00DC52FD"/>
    <w:rsid w:val="00DD485C"/>
    <w:rsid w:val="00DE7719"/>
    <w:rsid w:val="00DF27C3"/>
    <w:rsid w:val="00DF610F"/>
    <w:rsid w:val="00DF6AE8"/>
    <w:rsid w:val="00E015E5"/>
    <w:rsid w:val="00E05AA4"/>
    <w:rsid w:val="00E14A71"/>
    <w:rsid w:val="00E20754"/>
    <w:rsid w:val="00E24241"/>
    <w:rsid w:val="00E3568F"/>
    <w:rsid w:val="00E3778A"/>
    <w:rsid w:val="00E42C18"/>
    <w:rsid w:val="00E443D5"/>
    <w:rsid w:val="00E46813"/>
    <w:rsid w:val="00E61D09"/>
    <w:rsid w:val="00E63F0F"/>
    <w:rsid w:val="00E65C37"/>
    <w:rsid w:val="00E663D1"/>
    <w:rsid w:val="00E67A6B"/>
    <w:rsid w:val="00E712CE"/>
    <w:rsid w:val="00E712F5"/>
    <w:rsid w:val="00E72075"/>
    <w:rsid w:val="00E763EF"/>
    <w:rsid w:val="00E85282"/>
    <w:rsid w:val="00EA4063"/>
    <w:rsid w:val="00EB04D8"/>
    <w:rsid w:val="00EB4FD6"/>
    <w:rsid w:val="00EC141E"/>
    <w:rsid w:val="00EC1A3E"/>
    <w:rsid w:val="00EC3295"/>
    <w:rsid w:val="00EC36DD"/>
    <w:rsid w:val="00EC625C"/>
    <w:rsid w:val="00ED3457"/>
    <w:rsid w:val="00ED4D2B"/>
    <w:rsid w:val="00EE219C"/>
    <w:rsid w:val="00EE2D4F"/>
    <w:rsid w:val="00EF05F7"/>
    <w:rsid w:val="00EF0CB9"/>
    <w:rsid w:val="00EF4569"/>
    <w:rsid w:val="00F00869"/>
    <w:rsid w:val="00F06EB8"/>
    <w:rsid w:val="00F2386E"/>
    <w:rsid w:val="00F333AD"/>
    <w:rsid w:val="00F34A92"/>
    <w:rsid w:val="00F363DF"/>
    <w:rsid w:val="00F375C5"/>
    <w:rsid w:val="00F41E34"/>
    <w:rsid w:val="00F55694"/>
    <w:rsid w:val="00F569BD"/>
    <w:rsid w:val="00F57049"/>
    <w:rsid w:val="00F6279D"/>
    <w:rsid w:val="00F6296D"/>
    <w:rsid w:val="00F67B91"/>
    <w:rsid w:val="00F745FF"/>
    <w:rsid w:val="00F75C7A"/>
    <w:rsid w:val="00F823D1"/>
    <w:rsid w:val="00F832DD"/>
    <w:rsid w:val="00F84A44"/>
    <w:rsid w:val="00F91365"/>
    <w:rsid w:val="00F96D0C"/>
    <w:rsid w:val="00FA495D"/>
    <w:rsid w:val="00FA5277"/>
    <w:rsid w:val="00FA6C9C"/>
    <w:rsid w:val="00FA7084"/>
    <w:rsid w:val="00FB13C1"/>
    <w:rsid w:val="00FB1B38"/>
    <w:rsid w:val="00FB3D41"/>
    <w:rsid w:val="00FB657A"/>
    <w:rsid w:val="00FB6FCF"/>
    <w:rsid w:val="00FC2052"/>
    <w:rsid w:val="00FC73D6"/>
    <w:rsid w:val="00FD01DB"/>
    <w:rsid w:val="00FD093A"/>
    <w:rsid w:val="00FD572F"/>
    <w:rsid w:val="00FD58A8"/>
    <w:rsid w:val="00FF1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4"/>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E3568F"/>
    <w:rPr>
      <w:sz w:val="16"/>
      <w:szCs w:val="16"/>
    </w:rPr>
  </w:style>
  <w:style w:type="paragraph" w:styleId="Textocomentario">
    <w:name w:val="annotation text"/>
    <w:basedOn w:val="Normal"/>
    <w:link w:val="TextocomentarioCar"/>
    <w:uiPriority w:val="99"/>
    <w:semiHidden/>
    <w:unhideWhenUsed/>
    <w:rsid w:val="00E3568F"/>
    <w:rPr>
      <w:sz w:val="20"/>
      <w:szCs w:val="20"/>
    </w:rPr>
  </w:style>
  <w:style w:type="character" w:customStyle="1" w:styleId="TextocomentarioCar">
    <w:name w:val="Texto comentario Car"/>
    <w:basedOn w:val="Fuentedeprrafopredeter"/>
    <w:link w:val="Textocomentario"/>
    <w:uiPriority w:val="99"/>
    <w:semiHidden/>
    <w:rsid w:val="00E3568F"/>
    <w:rPr>
      <w:sz w:val="20"/>
      <w:szCs w:val="20"/>
    </w:rPr>
  </w:style>
  <w:style w:type="paragraph" w:styleId="Asuntodelcomentario">
    <w:name w:val="annotation subject"/>
    <w:basedOn w:val="Textocomentario"/>
    <w:next w:val="Textocomentario"/>
    <w:link w:val="AsuntodelcomentarioCar"/>
    <w:uiPriority w:val="99"/>
    <w:semiHidden/>
    <w:unhideWhenUsed/>
    <w:rsid w:val="00E3568F"/>
    <w:rPr>
      <w:b/>
      <w:bCs/>
    </w:rPr>
  </w:style>
  <w:style w:type="character" w:customStyle="1" w:styleId="AsuntodelcomentarioCar">
    <w:name w:val="Asunto del comentario Car"/>
    <w:basedOn w:val="TextocomentarioCar"/>
    <w:link w:val="Asuntodelcomentario"/>
    <w:uiPriority w:val="99"/>
    <w:semiHidden/>
    <w:rsid w:val="00E356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83351">
      <w:bodyDiv w:val="1"/>
      <w:marLeft w:val="0"/>
      <w:marRight w:val="0"/>
      <w:marTop w:val="0"/>
      <w:marBottom w:val="0"/>
      <w:divBdr>
        <w:top w:val="none" w:sz="0" w:space="0" w:color="auto"/>
        <w:left w:val="none" w:sz="0" w:space="0" w:color="auto"/>
        <w:bottom w:val="none" w:sz="0" w:space="0" w:color="auto"/>
        <w:right w:val="none" w:sz="0" w:space="0" w:color="auto"/>
      </w:divBdr>
    </w:div>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377967025">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18325</Words>
  <Characters>100792</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INFOEM-411</cp:lastModifiedBy>
  <cp:revision>3</cp:revision>
  <cp:lastPrinted>2026-01-29T23:58:00Z</cp:lastPrinted>
  <dcterms:created xsi:type="dcterms:W3CDTF">2026-04-07T18:17:00Z</dcterms:created>
  <dcterms:modified xsi:type="dcterms:W3CDTF">2026-04-17T18:23:00Z</dcterms:modified>
</cp:coreProperties>
</file>