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6D0B38F7" w:rsidR="00A50615" w:rsidRDefault="00C73479" w:rsidP="00D70FB2">
          <w:pPr>
            <w:pStyle w:val="Ttulode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DA4E7B">
            <w:rPr>
              <w:rFonts w:ascii="Palatino Linotype" w:eastAsia="Palatino Linotype" w:hAnsi="Palatino Linotype" w:cs="Palatino Linotype"/>
              <w:color w:val="000000" w:themeColor="text1"/>
              <w:sz w:val="22"/>
              <w:szCs w:val="22"/>
              <w:lang w:val="es-ES"/>
            </w:rPr>
            <w:t>01816/INFOEM/IP/RR/2026</w:t>
          </w:r>
        </w:p>
        <w:p w14:paraId="2A5AE77E" w14:textId="41DDEEA6" w:rsidR="00D70FB2" w:rsidRDefault="00A50615" w:rsidP="00D70FB2">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19992252" w:history="1">
            <w:r w:rsidR="00D70FB2" w:rsidRPr="006E0DC4">
              <w:rPr>
                <w:rStyle w:val="Hipervnculo"/>
                <w:noProof/>
              </w:rPr>
              <w:t>A N T E C E D E N T E S</w:t>
            </w:r>
            <w:r w:rsidR="00D70FB2">
              <w:rPr>
                <w:noProof/>
                <w:webHidden/>
              </w:rPr>
              <w:tab/>
            </w:r>
            <w:r w:rsidR="00D70FB2">
              <w:rPr>
                <w:noProof/>
                <w:webHidden/>
              </w:rPr>
              <w:fldChar w:fldCharType="begin"/>
            </w:r>
            <w:r w:rsidR="00D70FB2">
              <w:rPr>
                <w:noProof/>
                <w:webHidden/>
              </w:rPr>
              <w:instrText xml:space="preserve"> PAGEREF _Toc219992252 \h </w:instrText>
            </w:r>
            <w:r w:rsidR="00D70FB2">
              <w:rPr>
                <w:noProof/>
                <w:webHidden/>
              </w:rPr>
            </w:r>
            <w:r w:rsidR="00D70FB2">
              <w:rPr>
                <w:noProof/>
                <w:webHidden/>
              </w:rPr>
              <w:fldChar w:fldCharType="separate"/>
            </w:r>
            <w:r w:rsidR="004B5ED5">
              <w:rPr>
                <w:noProof/>
                <w:webHidden/>
              </w:rPr>
              <w:t>2</w:t>
            </w:r>
            <w:r w:rsidR="00D70FB2">
              <w:rPr>
                <w:noProof/>
                <w:webHidden/>
              </w:rPr>
              <w:fldChar w:fldCharType="end"/>
            </w:r>
          </w:hyperlink>
        </w:p>
        <w:p w14:paraId="7C6FA57C" w14:textId="11576FA5"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53" w:history="1">
            <w:r w:rsidR="00D70FB2" w:rsidRPr="006E0DC4">
              <w:rPr>
                <w:rStyle w:val="Hipervnculo"/>
                <w:noProof/>
              </w:rPr>
              <w:t>I. Presentación de la solicitud</w:t>
            </w:r>
            <w:r w:rsidR="00D70FB2">
              <w:rPr>
                <w:noProof/>
                <w:webHidden/>
              </w:rPr>
              <w:tab/>
            </w:r>
            <w:r w:rsidR="00D70FB2">
              <w:rPr>
                <w:noProof/>
                <w:webHidden/>
              </w:rPr>
              <w:fldChar w:fldCharType="begin"/>
            </w:r>
            <w:r w:rsidR="00D70FB2">
              <w:rPr>
                <w:noProof/>
                <w:webHidden/>
              </w:rPr>
              <w:instrText xml:space="preserve"> PAGEREF _Toc219992253 \h </w:instrText>
            </w:r>
            <w:r w:rsidR="00D70FB2">
              <w:rPr>
                <w:noProof/>
                <w:webHidden/>
              </w:rPr>
            </w:r>
            <w:r w:rsidR="00D70FB2">
              <w:rPr>
                <w:noProof/>
                <w:webHidden/>
              </w:rPr>
              <w:fldChar w:fldCharType="separate"/>
            </w:r>
            <w:r w:rsidR="004B5ED5">
              <w:rPr>
                <w:noProof/>
                <w:webHidden/>
              </w:rPr>
              <w:t>2</w:t>
            </w:r>
            <w:r w:rsidR="00D70FB2">
              <w:rPr>
                <w:noProof/>
                <w:webHidden/>
              </w:rPr>
              <w:fldChar w:fldCharType="end"/>
            </w:r>
          </w:hyperlink>
        </w:p>
        <w:p w14:paraId="622C88A5" w14:textId="147CEECD"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54" w:history="1">
            <w:r w:rsidR="00D70FB2" w:rsidRPr="006E0DC4">
              <w:rPr>
                <w:rStyle w:val="Hipervnculo"/>
                <w:noProof/>
              </w:rPr>
              <w:t>II. Respuesta del Sujeto Obligado</w:t>
            </w:r>
            <w:r w:rsidR="00D70FB2">
              <w:rPr>
                <w:noProof/>
                <w:webHidden/>
              </w:rPr>
              <w:tab/>
            </w:r>
            <w:r w:rsidR="00D70FB2">
              <w:rPr>
                <w:noProof/>
                <w:webHidden/>
              </w:rPr>
              <w:fldChar w:fldCharType="begin"/>
            </w:r>
            <w:r w:rsidR="00D70FB2">
              <w:rPr>
                <w:noProof/>
                <w:webHidden/>
              </w:rPr>
              <w:instrText xml:space="preserve"> PAGEREF _Toc219992254 \h </w:instrText>
            </w:r>
            <w:r w:rsidR="00D70FB2">
              <w:rPr>
                <w:noProof/>
                <w:webHidden/>
              </w:rPr>
            </w:r>
            <w:r w:rsidR="00D70FB2">
              <w:rPr>
                <w:noProof/>
                <w:webHidden/>
              </w:rPr>
              <w:fldChar w:fldCharType="separate"/>
            </w:r>
            <w:r w:rsidR="004B5ED5">
              <w:rPr>
                <w:noProof/>
                <w:webHidden/>
              </w:rPr>
              <w:t>2</w:t>
            </w:r>
            <w:r w:rsidR="00D70FB2">
              <w:rPr>
                <w:noProof/>
                <w:webHidden/>
              </w:rPr>
              <w:fldChar w:fldCharType="end"/>
            </w:r>
          </w:hyperlink>
        </w:p>
        <w:p w14:paraId="618312DB" w14:textId="41BE4306"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55" w:history="1">
            <w:r w:rsidR="00D70FB2" w:rsidRPr="006E0DC4">
              <w:rPr>
                <w:rStyle w:val="Hipervnculo"/>
                <w:noProof/>
              </w:rPr>
              <w:t>III. Interposición del Recurso de Revisión</w:t>
            </w:r>
            <w:r w:rsidR="00D70FB2">
              <w:rPr>
                <w:noProof/>
                <w:webHidden/>
              </w:rPr>
              <w:tab/>
            </w:r>
            <w:r w:rsidR="00D70FB2">
              <w:rPr>
                <w:noProof/>
                <w:webHidden/>
              </w:rPr>
              <w:fldChar w:fldCharType="begin"/>
            </w:r>
            <w:r w:rsidR="00D70FB2">
              <w:rPr>
                <w:noProof/>
                <w:webHidden/>
              </w:rPr>
              <w:instrText xml:space="preserve"> PAGEREF _Toc219992255 \h </w:instrText>
            </w:r>
            <w:r w:rsidR="00D70FB2">
              <w:rPr>
                <w:noProof/>
                <w:webHidden/>
              </w:rPr>
            </w:r>
            <w:r w:rsidR="00D70FB2">
              <w:rPr>
                <w:noProof/>
                <w:webHidden/>
              </w:rPr>
              <w:fldChar w:fldCharType="separate"/>
            </w:r>
            <w:r w:rsidR="004B5ED5">
              <w:rPr>
                <w:noProof/>
                <w:webHidden/>
              </w:rPr>
              <w:t>4</w:t>
            </w:r>
            <w:r w:rsidR="00D70FB2">
              <w:rPr>
                <w:noProof/>
                <w:webHidden/>
              </w:rPr>
              <w:fldChar w:fldCharType="end"/>
            </w:r>
          </w:hyperlink>
        </w:p>
        <w:p w14:paraId="7C77517E" w14:textId="1E689D30"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56" w:history="1">
            <w:r w:rsidR="00D70FB2" w:rsidRPr="006E0DC4">
              <w:rPr>
                <w:rStyle w:val="Hipervnculo"/>
                <w:noProof/>
              </w:rPr>
              <w:t>IV. Trámite del Recurso de Revisión ante este Instituto</w:t>
            </w:r>
            <w:r w:rsidR="00D70FB2">
              <w:rPr>
                <w:noProof/>
                <w:webHidden/>
              </w:rPr>
              <w:tab/>
            </w:r>
            <w:r w:rsidR="00D70FB2">
              <w:rPr>
                <w:noProof/>
                <w:webHidden/>
              </w:rPr>
              <w:fldChar w:fldCharType="begin"/>
            </w:r>
            <w:r w:rsidR="00D70FB2">
              <w:rPr>
                <w:noProof/>
                <w:webHidden/>
              </w:rPr>
              <w:instrText xml:space="preserve"> PAGEREF _Toc219992256 \h </w:instrText>
            </w:r>
            <w:r w:rsidR="00D70FB2">
              <w:rPr>
                <w:noProof/>
                <w:webHidden/>
              </w:rPr>
            </w:r>
            <w:r w:rsidR="00D70FB2">
              <w:rPr>
                <w:noProof/>
                <w:webHidden/>
              </w:rPr>
              <w:fldChar w:fldCharType="separate"/>
            </w:r>
            <w:r w:rsidR="004B5ED5">
              <w:rPr>
                <w:noProof/>
                <w:webHidden/>
              </w:rPr>
              <w:t>4</w:t>
            </w:r>
            <w:r w:rsidR="00D70FB2">
              <w:rPr>
                <w:noProof/>
                <w:webHidden/>
              </w:rPr>
              <w:fldChar w:fldCharType="end"/>
            </w:r>
          </w:hyperlink>
        </w:p>
        <w:p w14:paraId="087E4B3C" w14:textId="2DF8395B" w:rsidR="00D70FB2" w:rsidRDefault="00551F18" w:rsidP="00D70FB2">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219992257" w:history="1">
            <w:r w:rsidR="00D70FB2" w:rsidRPr="006E0DC4">
              <w:rPr>
                <w:rStyle w:val="Hipervnculo"/>
                <w:noProof/>
              </w:rPr>
              <w:t>C O N S I D E R A N D O S</w:t>
            </w:r>
            <w:r w:rsidR="00D70FB2">
              <w:rPr>
                <w:noProof/>
                <w:webHidden/>
              </w:rPr>
              <w:tab/>
            </w:r>
            <w:r w:rsidR="00D70FB2">
              <w:rPr>
                <w:noProof/>
                <w:webHidden/>
              </w:rPr>
              <w:fldChar w:fldCharType="begin"/>
            </w:r>
            <w:r w:rsidR="00D70FB2">
              <w:rPr>
                <w:noProof/>
                <w:webHidden/>
              </w:rPr>
              <w:instrText xml:space="preserve"> PAGEREF _Toc219992257 \h </w:instrText>
            </w:r>
            <w:r w:rsidR="00D70FB2">
              <w:rPr>
                <w:noProof/>
                <w:webHidden/>
              </w:rPr>
            </w:r>
            <w:r w:rsidR="00D70FB2">
              <w:rPr>
                <w:noProof/>
                <w:webHidden/>
              </w:rPr>
              <w:fldChar w:fldCharType="separate"/>
            </w:r>
            <w:r w:rsidR="004B5ED5">
              <w:rPr>
                <w:noProof/>
                <w:webHidden/>
              </w:rPr>
              <w:t>6</w:t>
            </w:r>
            <w:r w:rsidR="00D70FB2">
              <w:rPr>
                <w:noProof/>
                <w:webHidden/>
              </w:rPr>
              <w:fldChar w:fldCharType="end"/>
            </w:r>
          </w:hyperlink>
        </w:p>
        <w:p w14:paraId="7018E508" w14:textId="0045603B"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58" w:history="1">
            <w:r w:rsidR="00D70FB2" w:rsidRPr="006E0DC4">
              <w:rPr>
                <w:rStyle w:val="Hipervnculo"/>
                <w:noProof/>
              </w:rPr>
              <w:t>PRIMERO. Competencia</w:t>
            </w:r>
            <w:r w:rsidR="00D70FB2">
              <w:rPr>
                <w:noProof/>
                <w:webHidden/>
              </w:rPr>
              <w:tab/>
            </w:r>
            <w:r w:rsidR="00D70FB2">
              <w:rPr>
                <w:noProof/>
                <w:webHidden/>
              </w:rPr>
              <w:fldChar w:fldCharType="begin"/>
            </w:r>
            <w:r w:rsidR="00D70FB2">
              <w:rPr>
                <w:noProof/>
                <w:webHidden/>
              </w:rPr>
              <w:instrText xml:space="preserve"> PAGEREF _Toc219992258 \h </w:instrText>
            </w:r>
            <w:r w:rsidR="00D70FB2">
              <w:rPr>
                <w:noProof/>
                <w:webHidden/>
              </w:rPr>
            </w:r>
            <w:r w:rsidR="00D70FB2">
              <w:rPr>
                <w:noProof/>
                <w:webHidden/>
              </w:rPr>
              <w:fldChar w:fldCharType="separate"/>
            </w:r>
            <w:r w:rsidR="004B5ED5">
              <w:rPr>
                <w:noProof/>
                <w:webHidden/>
              </w:rPr>
              <w:t>6</w:t>
            </w:r>
            <w:r w:rsidR="00D70FB2">
              <w:rPr>
                <w:noProof/>
                <w:webHidden/>
              </w:rPr>
              <w:fldChar w:fldCharType="end"/>
            </w:r>
          </w:hyperlink>
        </w:p>
        <w:p w14:paraId="06175281" w14:textId="2B8A71D0"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59" w:history="1">
            <w:r w:rsidR="00D70FB2" w:rsidRPr="006E0DC4">
              <w:rPr>
                <w:rStyle w:val="Hipervnculo"/>
                <w:noProof/>
              </w:rPr>
              <w:t>SEGUNDO. Causales de improcedencia y sobreseimiento</w:t>
            </w:r>
            <w:r w:rsidR="00D70FB2">
              <w:rPr>
                <w:noProof/>
                <w:webHidden/>
              </w:rPr>
              <w:tab/>
            </w:r>
            <w:r w:rsidR="00D70FB2">
              <w:rPr>
                <w:noProof/>
                <w:webHidden/>
              </w:rPr>
              <w:fldChar w:fldCharType="begin"/>
            </w:r>
            <w:r w:rsidR="00D70FB2">
              <w:rPr>
                <w:noProof/>
                <w:webHidden/>
              </w:rPr>
              <w:instrText xml:space="preserve"> PAGEREF _Toc219992259 \h </w:instrText>
            </w:r>
            <w:r w:rsidR="00D70FB2">
              <w:rPr>
                <w:noProof/>
                <w:webHidden/>
              </w:rPr>
            </w:r>
            <w:r w:rsidR="00D70FB2">
              <w:rPr>
                <w:noProof/>
                <w:webHidden/>
              </w:rPr>
              <w:fldChar w:fldCharType="separate"/>
            </w:r>
            <w:r w:rsidR="004B5ED5">
              <w:rPr>
                <w:noProof/>
                <w:webHidden/>
              </w:rPr>
              <w:t>6</w:t>
            </w:r>
            <w:r w:rsidR="00D70FB2">
              <w:rPr>
                <w:noProof/>
                <w:webHidden/>
              </w:rPr>
              <w:fldChar w:fldCharType="end"/>
            </w:r>
          </w:hyperlink>
        </w:p>
        <w:p w14:paraId="47C4D63C" w14:textId="09BAF2E5"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60" w:history="1">
            <w:r w:rsidR="00D70FB2" w:rsidRPr="006E0DC4">
              <w:rPr>
                <w:rStyle w:val="Hipervnculo"/>
                <w:noProof/>
              </w:rPr>
              <w:t>TERCERO. Determinación de la Controversia.</w:t>
            </w:r>
            <w:r w:rsidR="00D70FB2">
              <w:rPr>
                <w:noProof/>
                <w:webHidden/>
              </w:rPr>
              <w:tab/>
            </w:r>
            <w:r w:rsidR="00D70FB2">
              <w:rPr>
                <w:noProof/>
                <w:webHidden/>
              </w:rPr>
              <w:fldChar w:fldCharType="begin"/>
            </w:r>
            <w:r w:rsidR="00D70FB2">
              <w:rPr>
                <w:noProof/>
                <w:webHidden/>
              </w:rPr>
              <w:instrText xml:space="preserve"> PAGEREF _Toc219992260 \h </w:instrText>
            </w:r>
            <w:r w:rsidR="00D70FB2">
              <w:rPr>
                <w:noProof/>
                <w:webHidden/>
              </w:rPr>
            </w:r>
            <w:r w:rsidR="00D70FB2">
              <w:rPr>
                <w:noProof/>
                <w:webHidden/>
              </w:rPr>
              <w:fldChar w:fldCharType="separate"/>
            </w:r>
            <w:r w:rsidR="004B5ED5">
              <w:rPr>
                <w:noProof/>
                <w:webHidden/>
              </w:rPr>
              <w:t>8</w:t>
            </w:r>
            <w:r w:rsidR="00D70FB2">
              <w:rPr>
                <w:noProof/>
                <w:webHidden/>
              </w:rPr>
              <w:fldChar w:fldCharType="end"/>
            </w:r>
          </w:hyperlink>
        </w:p>
        <w:p w14:paraId="655B9E8D" w14:textId="3A999A24"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61" w:history="1">
            <w:r w:rsidR="00D70FB2" w:rsidRPr="006E0DC4">
              <w:rPr>
                <w:rStyle w:val="Hipervnculo"/>
                <w:noProof/>
              </w:rPr>
              <w:t>CUARTO. Marco normativo aplicable en materia de transparencia y acceso a la información pública</w:t>
            </w:r>
            <w:r w:rsidR="00D70FB2">
              <w:rPr>
                <w:noProof/>
                <w:webHidden/>
              </w:rPr>
              <w:tab/>
            </w:r>
            <w:r w:rsidR="00D70FB2">
              <w:rPr>
                <w:noProof/>
                <w:webHidden/>
              </w:rPr>
              <w:fldChar w:fldCharType="begin"/>
            </w:r>
            <w:r w:rsidR="00D70FB2">
              <w:rPr>
                <w:noProof/>
                <w:webHidden/>
              </w:rPr>
              <w:instrText xml:space="preserve"> PAGEREF _Toc219992261 \h </w:instrText>
            </w:r>
            <w:r w:rsidR="00D70FB2">
              <w:rPr>
                <w:noProof/>
                <w:webHidden/>
              </w:rPr>
            </w:r>
            <w:r w:rsidR="00D70FB2">
              <w:rPr>
                <w:noProof/>
                <w:webHidden/>
              </w:rPr>
              <w:fldChar w:fldCharType="separate"/>
            </w:r>
            <w:r w:rsidR="004B5ED5">
              <w:rPr>
                <w:noProof/>
                <w:webHidden/>
              </w:rPr>
              <w:t>9</w:t>
            </w:r>
            <w:r w:rsidR="00D70FB2">
              <w:rPr>
                <w:noProof/>
                <w:webHidden/>
              </w:rPr>
              <w:fldChar w:fldCharType="end"/>
            </w:r>
          </w:hyperlink>
        </w:p>
        <w:p w14:paraId="06DE7080" w14:textId="054FCB70"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62" w:history="1">
            <w:r w:rsidR="00D70FB2" w:rsidRPr="006E0DC4">
              <w:rPr>
                <w:rStyle w:val="Hipervnculo"/>
                <w:caps/>
                <w:noProof/>
              </w:rPr>
              <w:t>Quinto.</w:t>
            </w:r>
            <w:r w:rsidR="00D70FB2" w:rsidRPr="006E0DC4">
              <w:rPr>
                <w:rStyle w:val="Hipervnculo"/>
                <w:noProof/>
              </w:rPr>
              <w:t xml:space="preserve"> Estudio de Fondo</w:t>
            </w:r>
            <w:r w:rsidR="00D70FB2">
              <w:rPr>
                <w:noProof/>
                <w:webHidden/>
              </w:rPr>
              <w:tab/>
            </w:r>
            <w:r w:rsidR="00D70FB2">
              <w:rPr>
                <w:noProof/>
                <w:webHidden/>
              </w:rPr>
              <w:fldChar w:fldCharType="begin"/>
            </w:r>
            <w:r w:rsidR="00D70FB2">
              <w:rPr>
                <w:noProof/>
                <w:webHidden/>
              </w:rPr>
              <w:instrText xml:space="preserve"> PAGEREF _Toc219992262 \h </w:instrText>
            </w:r>
            <w:r w:rsidR="00D70FB2">
              <w:rPr>
                <w:noProof/>
                <w:webHidden/>
              </w:rPr>
            </w:r>
            <w:r w:rsidR="00D70FB2">
              <w:rPr>
                <w:noProof/>
                <w:webHidden/>
              </w:rPr>
              <w:fldChar w:fldCharType="separate"/>
            </w:r>
            <w:r w:rsidR="004B5ED5">
              <w:rPr>
                <w:noProof/>
                <w:webHidden/>
              </w:rPr>
              <w:t>10</w:t>
            </w:r>
            <w:r w:rsidR="00D70FB2">
              <w:rPr>
                <w:noProof/>
                <w:webHidden/>
              </w:rPr>
              <w:fldChar w:fldCharType="end"/>
            </w:r>
          </w:hyperlink>
        </w:p>
        <w:p w14:paraId="1E8E99D8" w14:textId="5E723853" w:rsidR="00D70FB2" w:rsidRDefault="00551F18" w:rsidP="00D70FB2">
          <w:pPr>
            <w:pStyle w:val="TDC2"/>
            <w:rPr>
              <w:rFonts w:asciiTheme="minorHAnsi" w:eastAsiaTheme="minorEastAsia" w:hAnsiTheme="minorHAnsi" w:cstheme="minorBidi"/>
              <w:noProof/>
              <w:color w:val="auto"/>
              <w:kern w:val="2"/>
              <w14:ligatures w14:val="standardContextual"/>
            </w:rPr>
          </w:pPr>
          <w:hyperlink w:anchor="_Toc219992263" w:history="1">
            <w:r w:rsidR="00D70FB2" w:rsidRPr="006E0DC4">
              <w:rPr>
                <w:rStyle w:val="Hipervnculo"/>
                <w:noProof/>
                <w:lang w:eastAsia="en-US"/>
              </w:rPr>
              <w:t>SEXTO. Decisión</w:t>
            </w:r>
            <w:r w:rsidR="00D70FB2">
              <w:rPr>
                <w:noProof/>
                <w:webHidden/>
              </w:rPr>
              <w:tab/>
            </w:r>
            <w:r w:rsidR="00D70FB2">
              <w:rPr>
                <w:noProof/>
                <w:webHidden/>
              </w:rPr>
              <w:fldChar w:fldCharType="begin"/>
            </w:r>
            <w:r w:rsidR="00D70FB2">
              <w:rPr>
                <w:noProof/>
                <w:webHidden/>
              </w:rPr>
              <w:instrText xml:space="preserve"> PAGEREF _Toc219992263 \h </w:instrText>
            </w:r>
            <w:r w:rsidR="00D70FB2">
              <w:rPr>
                <w:noProof/>
                <w:webHidden/>
              </w:rPr>
            </w:r>
            <w:r w:rsidR="00D70FB2">
              <w:rPr>
                <w:noProof/>
                <w:webHidden/>
              </w:rPr>
              <w:fldChar w:fldCharType="separate"/>
            </w:r>
            <w:r w:rsidR="004B5ED5">
              <w:rPr>
                <w:noProof/>
                <w:webHidden/>
              </w:rPr>
              <w:t>35</w:t>
            </w:r>
            <w:r w:rsidR="00D70FB2">
              <w:rPr>
                <w:noProof/>
                <w:webHidden/>
              </w:rPr>
              <w:fldChar w:fldCharType="end"/>
            </w:r>
          </w:hyperlink>
        </w:p>
        <w:p w14:paraId="5FB0C7E9" w14:textId="54B8EA70" w:rsidR="00D70FB2" w:rsidRDefault="00551F18" w:rsidP="00D70FB2">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219992264" w:history="1">
            <w:r w:rsidR="00D70FB2" w:rsidRPr="006E0DC4">
              <w:rPr>
                <w:rStyle w:val="Hipervnculo"/>
                <w:noProof/>
                <w:lang w:eastAsia="en-US"/>
              </w:rPr>
              <w:t>R E S U E L V E</w:t>
            </w:r>
            <w:r w:rsidR="00D70FB2">
              <w:rPr>
                <w:noProof/>
                <w:webHidden/>
              </w:rPr>
              <w:tab/>
            </w:r>
            <w:r w:rsidR="00D70FB2">
              <w:rPr>
                <w:noProof/>
                <w:webHidden/>
              </w:rPr>
              <w:fldChar w:fldCharType="begin"/>
            </w:r>
            <w:r w:rsidR="00D70FB2">
              <w:rPr>
                <w:noProof/>
                <w:webHidden/>
              </w:rPr>
              <w:instrText xml:space="preserve"> PAGEREF _Toc219992264 \h </w:instrText>
            </w:r>
            <w:r w:rsidR="00D70FB2">
              <w:rPr>
                <w:noProof/>
                <w:webHidden/>
              </w:rPr>
            </w:r>
            <w:r w:rsidR="00D70FB2">
              <w:rPr>
                <w:noProof/>
                <w:webHidden/>
              </w:rPr>
              <w:fldChar w:fldCharType="separate"/>
            </w:r>
            <w:r w:rsidR="004B5ED5">
              <w:rPr>
                <w:noProof/>
                <w:webHidden/>
              </w:rPr>
              <w:t>35</w:t>
            </w:r>
            <w:r w:rsidR="00D70FB2">
              <w:rPr>
                <w:noProof/>
                <w:webHidden/>
              </w:rPr>
              <w:fldChar w:fldCharType="end"/>
            </w:r>
          </w:hyperlink>
        </w:p>
        <w:p w14:paraId="47B63EDE" w14:textId="1BF22AAF" w:rsidR="00A50615" w:rsidRDefault="00A50615" w:rsidP="00D70FB2">
          <w:pPr>
            <w:spacing w:after="0" w:line="360" w:lineRule="auto"/>
          </w:pPr>
          <w:r>
            <w:rPr>
              <w:b/>
              <w:bCs/>
              <w:lang w:val="es-ES"/>
            </w:rPr>
            <w:fldChar w:fldCharType="end"/>
          </w:r>
        </w:p>
      </w:sdtContent>
    </w:sdt>
    <w:p w14:paraId="1C288FC1" w14:textId="759EBB31" w:rsidR="00CE58A5" w:rsidRPr="0027513C" w:rsidRDefault="00C73479" w:rsidP="00D70FB2">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DA4E7B">
        <w:t>cinco de marzo</w:t>
      </w:r>
      <w:r w:rsidR="00AC3861">
        <w:t xml:space="preserve"> de dos mil veintiséis</w:t>
      </w:r>
      <w:r w:rsidR="00CE4466" w:rsidRPr="0027513C">
        <w:t>.</w:t>
      </w:r>
    </w:p>
    <w:p w14:paraId="5B1FA2B3" w14:textId="77777777" w:rsidR="00CE58A5" w:rsidRPr="0027513C" w:rsidRDefault="00CE58A5" w:rsidP="00D70FB2">
      <w:pPr>
        <w:spacing w:after="0" w:line="360" w:lineRule="auto"/>
        <w:rPr>
          <w:b/>
        </w:rPr>
      </w:pPr>
    </w:p>
    <w:p w14:paraId="67B180B8" w14:textId="5DCCF839" w:rsidR="00CE58A5" w:rsidRPr="0027513C" w:rsidRDefault="00CE4466" w:rsidP="00D70FB2">
      <w:pPr>
        <w:spacing w:after="0" w:line="360" w:lineRule="auto"/>
      </w:pPr>
      <w:r w:rsidRPr="0027513C">
        <w:rPr>
          <w:b/>
        </w:rPr>
        <w:t>VISTO</w:t>
      </w:r>
      <w:r w:rsidRPr="0027513C">
        <w:t xml:space="preserve"> el expediente conformado con motivo del Recurso de Revisión </w:t>
      </w:r>
      <w:r w:rsidR="00DA4E7B" w:rsidRPr="008D13F8">
        <w:rPr>
          <w:b/>
          <w:bCs/>
        </w:rPr>
        <w:t>01816/INFOEM/IP/RR/2026</w:t>
      </w:r>
      <w:r w:rsidRPr="00822564">
        <w:rPr>
          <w:bCs/>
        </w:rPr>
        <w:t xml:space="preserve">, interpuesto </w:t>
      </w:r>
      <w:r w:rsidR="001A54EF" w:rsidRPr="00822564">
        <w:rPr>
          <w:bCs/>
        </w:rPr>
        <w:t>por</w:t>
      </w:r>
      <w:r w:rsidR="00DA4E7B">
        <w:rPr>
          <w:bCs/>
        </w:rPr>
        <w:t xml:space="preserve"> </w:t>
      </w:r>
      <w:r w:rsidR="004B3EE5" w:rsidRPr="004B3EE5">
        <w:rPr>
          <w:bCs/>
          <w:highlight w:val="black"/>
        </w:rPr>
        <w:t>------------------------------</w:t>
      </w:r>
      <w:r w:rsidR="00DA4E7B">
        <w:rPr>
          <w:bCs/>
        </w:rPr>
        <w:t>, en lo sucesivo</w:t>
      </w:r>
      <w:r w:rsidR="001A54EF" w:rsidRPr="00822564">
        <w:rPr>
          <w:bCs/>
        </w:rPr>
        <w:t xml:space="preserve"> </w:t>
      </w:r>
      <w:r w:rsidR="00737F3D">
        <w:rPr>
          <w:bCs/>
        </w:rPr>
        <w:t>la persona</w:t>
      </w:r>
      <w:r w:rsidR="001E7F6D" w:rsidRPr="00822564">
        <w:rPr>
          <w:bCs/>
        </w:rPr>
        <w:t xml:space="preserve"> </w:t>
      </w:r>
      <w:r w:rsidRPr="00822564">
        <w:rPr>
          <w:bCs/>
        </w:rPr>
        <w:t xml:space="preserve">Recurrente o Particular, en contra de la respuesta del Sujeto Obligado, </w:t>
      </w:r>
      <w:r w:rsidR="002505EE" w:rsidRPr="008D13F8">
        <w:rPr>
          <w:b/>
          <w:bCs/>
        </w:rPr>
        <w:t>Ayuntamiento de Toluca</w:t>
      </w:r>
      <w:r w:rsidRPr="00822564">
        <w:rPr>
          <w:bCs/>
        </w:rPr>
        <w:t xml:space="preserve">, a la solicitud de acceso a la información </w:t>
      </w:r>
      <w:r w:rsidR="00DA4E7B">
        <w:rPr>
          <w:bCs/>
          <w:color w:val="0D0D0D"/>
        </w:rPr>
        <w:t>00788/TOLUCA/IP/2026</w:t>
      </w:r>
      <w:r w:rsidRPr="00822564">
        <w:rPr>
          <w:bCs/>
        </w:rPr>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D70FB2">
      <w:pPr>
        <w:spacing w:after="0" w:line="360" w:lineRule="auto"/>
      </w:pPr>
    </w:p>
    <w:p w14:paraId="73DD6C24" w14:textId="6D4C9EA9" w:rsidR="00CE58A5" w:rsidRPr="0027513C" w:rsidRDefault="00CE4466" w:rsidP="00D70FB2">
      <w:pPr>
        <w:pStyle w:val="Ttulo1"/>
        <w:spacing w:before="0" w:after="0"/>
      </w:pPr>
      <w:bookmarkStart w:id="0" w:name="_Toc179975594"/>
      <w:bookmarkStart w:id="1" w:name="_Toc219992252"/>
      <w:r w:rsidRPr="0027513C">
        <w:t>A N T E C E D E N T E S</w:t>
      </w:r>
      <w:bookmarkEnd w:id="0"/>
      <w:bookmarkEnd w:id="1"/>
    </w:p>
    <w:p w14:paraId="108A9D50" w14:textId="77777777" w:rsidR="00CE58A5" w:rsidRPr="0027513C" w:rsidRDefault="00CE58A5" w:rsidP="00D70FB2">
      <w:pPr>
        <w:spacing w:after="0" w:line="360" w:lineRule="auto"/>
      </w:pPr>
      <w:bookmarkStart w:id="2" w:name="_GoBack"/>
      <w:bookmarkEnd w:id="2"/>
    </w:p>
    <w:p w14:paraId="30C1BFAF" w14:textId="34BE2403" w:rsidR="00CE58A5" w:rsidRPr="0027513C" w:rsidRDefault="00CE4466" w:rsidP="00D70FB2">
      <w:pPr>
        <w:pStyle w:val="Ttulo2"/>
        <w:spacing w:before="0" w:after="0"/>
      </w:pPr>
      <w:bookmarkStart w:id="3" w:name="_Toc179975595"/>
      <w:bookmarkStart w:id="4" w:name="_Toc219992253"/>
      <w:r w:rsidRPr="0027513C">
        <w:t>I. Presentación</w:t>
      </w:r>
      <w:bookmarkEnd w:id="3"/>
      <w:r w:rsidRPr="0027513C">
        <w:t xml:space="preserve"> </w:t>
      </w:r>
      <w:r w:rsidR="00E57161">
        <w:t>de la solicitud</w:t>
      </w:r>
      <w:bookmarkEnd w:id="4"/>
    </w:p>
    <w:p w14:paraId="13E36A34" w14:textId="77777777" w:rsidR="00CE58A5" w:rsidRPr="0027513C" w:rsidRDefault="00CE58A5" w:rsidP="00D70FB2">
      <w:pPr>
        <w:tabs>
          <w:tab w:val="left" w:pos="567"/>
        </w:tabs>
        <w:spacing w:after="0" w:line="360" w:lineRule="auto"/>
      </w:pPr>
    </w:p>
    <w:p w14:paraId="166E0743" w14:textId="0B537589" w:rsidR="00CE58A5" w:rsidRPr="0027513C" w:rsidRDefault="00CE4466" w:rsidP="00D70FB2">
      <w:pPr>
        <w:spacing w:after="0" w:line="360" w:lineRule="auto"/>
      </w:pPr>
      <w:r w:rsidRPr="0027513C">
        <w:t xml:space="preserve">Con fecha </w:t>
      </w:r>
      <w:r w:rsidR="00DA4E7B">
        <w:t>veinte de enero</w:t>
      </w:r>
      <w:r w:rsidR="001B6F6D">
        <w:t xml:space="preserve"> </w:t>
      </w:r>
      <w:r w:rsidR="00EC3E83">
        <w:t xml:space="preserve">de dos mil </w:t>
      </w:r>
      <w:r w:rsidR="00DA4E7B">
        <w:t>veintiséis</w:t>
      </w:r>
      <w:r w:rsidRPr="0027513C">
        <w:t xml:space="preserve">, el Particular presentó una solicitud de acceso a la información </w:t>
      </w:r>
      <w:r w:rsidR="00412A97" w:rsidRPr="0027513C">
        <w:t>pública</w:t>
      </w:r>
      <w:r w:rsidR="00412A97">
        <w:t xml:space="preserve"> </w:t>
      </w:r>
      <w:r w:rsidR="00412A97"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D70FB2">
      <w:pPr>
        <w:spacing w:after="0" w:line="360" w:lineRule="auto"/>
      </w:pPr>
    </w:p>
    <w:p w14:paraId="65E84A9E" w14:textId="77777777" w:rsidR="00CE58A5" w:rsidRPr="0027513C" w:rsidRDefault="00CE4466" w:rsidP="00D70FB2">
      <w:pPr>
        <w:tabs>
          <w:tab w:val="left" w:pos="4667"/>
        </w:tabs>
        <w:spacing w:after="0" w:line="360" w:lineRule="auto"/>
        <w:ind w:left="567" w:right="567"/>
        <w:rPr>
          <w:b/>
          <w:i/>
          <w:sz w:val="20"/>
          <w:szCs w:val="20"/>
        </w:rPr>
      </w:pPr>
      <w:r w:rsidRPr="0027513C">
        <w:rPr>
          <w:b/>
          <w:i/>
          <w:sz w:val="20"/>
          <w:szCs w:val="20"/>
        </w:rPr>
        <w:t>“DESCRIPCIÓN CLARA Y PRECISA DE LA INFORMACIÓN SOLICITADA.</w:t>
      </w:r>
    </w:p>
    <w:p w14:paraId="1B838018" w14:textId="38AC740D" w:rsidR="00CE58A5" w:rsidRPr="0027513C" w:rsidRDefault="00DA4E7B" w:rsidP="00D70FB2">
      <w:pPr>
        <w:tabs>
          <w:tab w:val="left" w:pos="4667"/>
        </w:tabs>
        <w:spacing w:after="0" w:line="360" w:lineRule="auto"/>
        <w:ind w:left="567" w:right="567"/>
        <w:rPr>
          <w:i/>
          <w:sz w:val="20"/>
          <w:szCs w:val="20"/>
        </w:rPr>
      </w:pPr>
      <w:r w:rsidRPr="00DA4E7B">
        <w:rPr>
          <w:i/>
          <w:sz w:val="20"/>
          <w:szCs w:val="20"/>
        </w:rPr>
        <w:t xml:space="preserve">Solicito la versión pública de títulos y cédulas del personal adscrito a la quinta </w:t>
      </w:r>
      <w:proofErr w:type="spellStart"/>
      <w:r w:rsidRPr="00DA4E7B">
        <w:rPr>
          <w:i/>
          <w:sz w:val="20"/>
          <w:szCs w:val="20"/>
        </w:rPr>
        <w:t>regiduria</w:t>
      </w:r>
      <w:proofErr w:type="spellEnd"/>
      <w:r w:rsidRPr="00DA4E7B">
        <w:rPr>
          <w:i/>
          <w:sz w:val="20"/>
          <w:szCs w:val="20"/>
        </w:rPr>
        <w:t xml:space="preserve">, así como la versión pública del CV y sueldos de los servidores públicos dado que no aparecen en la fracción correspondiente de </w:t>
      </w:r>
      <w:proofErr w:type="spellStart"/>
      <w:r w:rsidRPr="00DA4E7B">
        <w:rPr>
          <w:i/>
          <w:sz w:val="20"/>
          <w:szCs w:val="20"/>
        </w:rPr>
        <w:t>ipomex</w:t>
      </w:r>
      <w:proofErr w:type="spellEnd"/>
      <w:r w:rsidRPr="00DA4E7B">
        <w:rPr>
          <w:i/>
          <w:sz w:val="20"/>
          <w:szCs w:val="20"/>
        </w:rPr>
        <w:t>.</w:t>
      </w:r>
      <w:r w:rsidR="001A54EF">
        <w:rPr>
          <w:i/>
          <w:sz w:val="20"/>
          <w:szCs w:val="20"/>
        </w:rPr>
        <w:t xml:space="preserve">” </w:t>
      </w:r>
      <w:r w:rsidR="001A54EF" w:rsidRPr="0027513C">
        <w:rPr>
          <w:i/>
          <w:sz w:val="16"/>
          <w:szCs w:val="16"/>
        </w:rPr>
        <w:t>(</w:t>
      </w:r>
      <w:r w:rsidR="001A54EF" w:rsidRPr="0027513C">
        <w:rPr>
          <w:i/>
          <w:sz w:val="20"/>
          <w:szCs w:val="20"/>
        </w:rPr>
        <w:t xml:space="preserve">Sic) </w:t>
      </w:r>
    </w:p>
    <w:p w14:paraId="039CE69D" w14:textId="77777777" w:rsidR="001A54EF" w:rsidRPr="0027513C" w:rsidRDefault="001A54EF" w:rsidP="00D70FB2">
      <w:pPr>
        <w:tabs>
          <w:tab w:val="left" w:pos="4667"/>
        </w:tabs>
        <w:spacing w:after="0" w:line="360" w:lineRule="auto"/>
        <w:ind w:left="567" w:right="567"/>
        <w:rPr>
          <w:b/>
          <w:i/>
          <w:sz w:val="20"/>
          <w:szCs w:val="20"/>
        </w:rPr>
      </w:pPr>
    </w:p>
    <w:p w14:paraId="0C1B5F6D" w14:textId="77777777" w:rsidR="00CE58A5" w:rsidRPr="0027513C" w:rsidRDefault="00CE4466" w:rsidP="00D70FB2">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D70FB2">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D70FB2">
      <w:pPr>
        <w:spacing w:after="0" w:line="360" w:lineRule="auto"/>
        <w:rPr>
          <w:b/>
        </w:rPr>
      </w:pPr>
    </w:p>
    <w:p w14:paraId="1D98E4F2" w14:textId="7C3EC496" w:rsidR="00CE58A5" w:rsidRPr="0027513C" w:rsidRDefault="00B40CD5" w:rsidP="00D70FB2">
      <w:pPr>
        <w:pStyle w:val="Ttulo2"/>
        <w:spacing w:before="0" w:after="0"/>
      </w:pPr>
      <w:bookmarkStart w:id="5" w:name="_Toc179975597"/>
      <w:bookmarkStart w:id="6" w:name="_Toc219992254"/>
      <w:r>
        <w:t>I</w:t>
      </w:r>
      <w:r w:rsidR="001A54EF">
        <w:t xml:space="preserve">I. </w:t>
      </w:r>
      <w:r w:rsidR="001A54EF" w:rsidRPr="0027513C">
        <w:t>Respuesta del Sujeto Obligado</w:t>
      </w:r>
      <w:bookmarkEnd w:id="5"/>
      <w:bookmarkEnd w:id="6"/>
    </w:p>
    <w:p w14:paraId="0D93CE51" w14:textId="77777777" w:rsidR="00CE58A5" w:rsidRPr="0027513C" w:rsidRDefault="00CE58A5" w:rsidP="00D70FB2">
      <w:pPr>
        <w:spacing w:after="0" w:line="360" w:lineRule="auto"/>
        <w:rPr>
          <w:b/>
        </w:rPr>
      </w:pPr>
    </w:p>
    <w:p w14:paraId="4008FDBF" w14:textId="0BF2CCFD" w:rsidR="00DA4E7B" w:rsidRDefault="00482AEC" w:rsidP="00D70FB2">
      <w:pPr>
        <w:spacing w:after="0" w:line="360" w:lineRule="auto"/>
        <w:rPr>
          <w:color w:val="auto"/>
          <w:lang w:eastAsia="es-ES"/>
        </w:rPr>
      </w:pPr>
      <w:r w:rsidRPr="00482AEC">
        <w:rPr>
          <w:color w:val="auto"/>
          <w:lang w:eastAsia="es-ES"/>
        </w:rPr>
        <w:lastRenderedPageBreak/>
        <w:t xml:space="preserve">El </w:t>
      </w:r>
      <w:r w:rsidR="00DA4E7B">
        <w:rPr>
          <w:color w:val="auto"/>
          <w:lang w:eastAsia="es-ES"/>
        </w:rPr>
        <w:t>diez de febrero de dos mil veintiséis</w:t>
      </w:r>
      <w:r w:rsidRPr="00482AEC">
        <w:rPr>
          <w:color w:val="auto"/>
          <w:lang w:eastAsia="es-ES"/>
        </w:rPr>
        <w:t>, el</w:t>
      </w:r>
      <w:r w:rsidRPr="00482AEC">
        <w:rPr>
          <w:b/>
          <w:color w:val="auto"/>
          <w:lang w:eastAsia="es-ES"/>
        </w:rPr>
        <w:t xml:space="preserve"> </w:t>
      </w:r>
      <w:r w:rsidRPr="00482AEC">
        <w:rPr>
          <w:color w:val="auto"/>
          <w:lang w:eastAsia="es-ES"/>
        </w:rPr>
        <w:t xml:space="preserve">Sujeto Obligado dio respuesta a la solicitud de acceso a la información a través del Sistema de Acceso a la Información Mexiquense (SAIMEX), por </w:t>
      </w:r>
      <w:r w:rsidR="00DA4E7B">
        <w:rPr>
          <w:color w:val="auto"/>
          <w:lang w:eastAsia="es-ES"/>
        </w:rPr>
        <w:t>medio de la digitalización de los siguientes documentos:</w:t>
      </w:r>
    </w:p>
    <w:p w14:paraId="4D954102" w14:textId="77777777" w:rsidR="00DA4E7B" w:rsidRDefault="00DA4E7B" w:rsidP="00D70FB2">
      <w:pPr>
        <w:spacing w:after="0" w:line="360" w:lineRule="auto"/>
        <w:rPr>
          <w:color w:val="auto"/>
          <w:lang w:eastAsia="es-ES"/>
        </w:rPr>
      </w:pPr>
    </w:p>
    <w:p w14:paraId="11812425" w14:textId="0D4F6390" w:rsidR="008055C1" w:rsidRDefault="00DA4E7B" w:rsidP="00D70FB2">
      <w:pPr>
        <w:spacing w:after="0" w:line="360" w:lineRule="auto"/>
        <w:rPr>
          <w:color w:val="auto"/>
          <w:lang w:eastAsia="es-ES"/>
        </w:rPr>
      </w:pPr>
      <w:r>
        <w:rPr>
          <w:color w:val="auto"/>
          <w:lang w:eastAsia="es-ES"/>
        </w:rPr>
        <w:t>i. O</w:t>
      </w:r>
      <w:r w:rsidR="008055C1">
        <w:rPr>
          <w:color w:val="auto"/>
          <w:lang w:eastAsia="es-ES"/>
        </w:rPr>
        <w:t xml:space="preserve">ficio número </w:t>
      </w:r>
      <w:r w:rsidRPr="00DA4E7B">
        <w:rPr>
          <w:color w:val="auto"/>
          <w:lang w:eastAsia="es-ES"/>
        </w:rPr>
        <w:t>206010000/0922/2026</w:t>
      </w:r>
      <w:r w:rsidR="008055C1">
        <w:rPr>
          <w:color w:val="auto"/>
          <w:lang w:eastAsia="es-ES"/>
        </w:rPr>
        <w:t xml:space="preserve">, del </w:t>
      </w:r>
      <w:r>
        <w:rPr>
          <w:color w:val="auto"/>
          <w:lang w:eastAsia="es-ES"/>
        </w:rPr>
        <w:t>seis de febrero</w:t>
      </w:r>
      <w:r w:rsidR="008055C1">
        <w:rPr>
          <w:color w:val="auto"/>
          <w:lang w:eastAsia="es-ES"/>
        </w:rPr>
        <w:t xml:space="preserve"> de dos mil </w:t>
      </w:r>
      <w:r>
        <w:rPr>
          <w:color w:val="auto"/>
          <w:lang w:eastAsia="es-ES"/>
        </w:rPr>
        <w:t>veintiséis</w:t>
      </w:r>
      <w:r w:rsidR="008055C1">
        <w:rPr>
          <w:color w:val="auto"/>
          <w:lang w:eastAsia="es-ES"/>
        </w:rPr>
        <w:t xml:space="preserve">, suscrito por la Directora General de Administración y dirigido </w:t>
      </w:r>
      <w:r>
        <w:rPr>
          <w:color w:val="auto"/>
          <w:lang w:eastAsia="es-ES"/>
        </w:rPr>
        <w:t>al Solicitante</w:t>
      </w:r>
      <w:r w:rsidR="008055C1">
        <w:rPr>
          <w:color w:val="auto"/>
          <w:lang w:eastAsia="es-ES"/>
        </w:rPr>
        <w:t xml:space="preserve">, por medio del cual </w:t>
      </w:r>
      <w:r>
        <w:rPr>
          <w:color w:val="auto"/>
          <w:lang w:eastAsia="es-ES"/>
        </w:rPr>
        <w:t>señaló que remitía la respuesta de la Dirección de Recursos Humanos.</w:t>
      </w:r>
    </w:p>
    <w:p w14:paraId="7CD357AD" w14:textId="77777777" w:rsidR="00DA4E7B" w:rsidRDefault="00DA4E7B" w:rsidP="00D70FB2">
      <w:pPr>
        <w:spacing w:after="0" w:line="360" w:lineRule="auto"/>
        <w:rPr>
          <w:color w:val="auto"/>
          <w:lang w:eastAsia="es-ES"/>
        </w:rPr>
      </w:pPr>
    </w:p>
    <w:p w14:paraId="3137D04C" w14:textId="73F79593" w:rsidR="00DA4E7B" w:rsidRDefault="00DA4E7B" w:rsidP="00D70FB2">
      <w:pPr>
        <w:spacing w:after="0" w:line="360" w:lineRule="auto"/>
        <w:rPr>
          <w:color w:val="auto"/>
          <w:lang w:eastAsia="es-ES"/>
        </w:rPr>
      </w:pPr>
      <w:r>
        <w:rPr>
          <w:color w:val="auto"/>
          <w:lang w:eastAsia="es-ES"/>
        </w:rPr>
        <w:t>ii. Nota informativa número 0017/2026, del veintiocho de enero de dos mil veintiséis, suscrito por la Directora de Recursos Humanos y dirigido a la Directora General de Gobierno, por medio del cual informa lo siguiente:</w:t>
      </w:r>
    </w:p>
    <w:p w14:paraId="2C80264B" w14:textId="77777777" w:rsidR="00DA4E7B" w:rsidRDefault="00DA4E7B" w:rsidP="00D70FB2">
      <w:pPr>
        <w:spacing w:after="0" w:line="360" w:lineRule="auto"/>
        <w:rPr>
          <w:color w:val="auto"/>
          <w:lang w:eastAsia="es-ES"/>
        </w:rPr>
      </w:pPr>
    </w:p>
    <w:p w14:paraId="6C1757F9" w14:textId="44ED9559" w:rsidR="00DA4E7B" w:rsidRDefault="00DA4E7B" w:rsidP="00DA4E7B">
      <w:pPr>
        <w:spacing w:after="0" w:line="360" w:lineRule="auto"/>
        <w:ind w:left="567" w:right="567"/>
        <w:rPr>
          <w:i/>
          <w:iCs/>
          <w:color w:val="auto"/>
          <w:sz w:val="20"/>
          <w:szCs w:val="20"/>
          <w:lang w:eastAsia="es-ES"/>
        </w:rPr>
      </w:pPr>
      <w:r w:rsidRPr="00DA4E7B">
        <w:rPr>
          <w:i/>
          <w:iCs/>
          <w:color w:val="auto"/>
          <w:sz w:val="20"/>
          <w:szCs w:val="20"/>
          <w:lang w:eastAsia="es-ES"/>
        </w:rPr>
        <w:t>“…</w:t>
      </w:r>
    </w:p>
    <w:p w14:paraId="05BE3AC4" w14:textId="77777777" w:rsidR="00DA4E7B" w:rsidRDefault="00DA4E7B" w:rsidP="00DA4E7B">
      <w:pPr>
        <w:spacing w:after="0" w:line="360" w:lineRule="auto"/>
        <w:ind w:left="567" w:right="567"/>
        <w:rPr>
          <w:i/>
          <w:iCs/>
          <w:color w:val="auto"/>
          <w:sz w:val="20"/>
          <w:szCs w:val="20"/>
          <w:lang w:eastAsia="es-ES"/>
        </w:rPr>
      </w:pPr>
      <w:r w:rsidRPr="00DA4E7B">
        <w:rPr>
          <w:i/>
          <w:iCs/>
          <w:color w:val="auto"/>
          <w:sz w:val="20"/>
          <w:szCs w:val="20"/>
          <w:lang w:eastAsia="es-ES"/>
        </w:rPr>
        <w:t xml:space="preserve">Para dar respuesta a la solicitud, y después de una búsqueda en los archivos que guarda el Departamento de Nóminas y el Departamento de Administración de Personal, le comento que la información podrá ser consultada en la página de internet: </w:t>
      </w:r>
    </w:p>
    <w:p w14:paraId="4AE1A9FE" w14:textId="77777777" w:rsidR="00DA4E7B" w:rsidRDefault="00DA4E7B" w:rsidP="00DA4E7B">
      <w:pPr>
        <w:spacing w:after="0" w:line="360" w:lineRule="auto"/>
        <w:ind w:left="567" w:right="567"/>
        <w:rPr>
          <w:i/>
          <w:iCs/>
          <w:color w:val="auto"/>
          <w:sz w:val="20"/>
          <w:szCs w:val="20"/>
          <w:lang w:eastAsia="es-ES"/>
        </w:rPr>
      </w:pPr>
    </w:p>
    <w:p w14:paraId="72544CDA" w14:textId="2FA1CD27" w:rsidR="00DA4E7B" w:rsidRDefault="00551F18" w:rsidP="00DA4E7B">
      <w:pPr>
        <w:spacing w:after="0" w:line="360" w:lineRule="auto"/>
        <w:ind w:left="567" w:right="567"/>
        <w:rPr>
          <w:i/>
          <w:iCs/>
          <w:color w:val="auto"/>
          <w:sz w:val="20"/>
          <w:szCs w:val="20"/>
          <w:lang w:eastAsia="es-ES"/>
        </w:rPr>
      </w:pPr>
      <w:hyperlink r:id="rId9" w:anchor="/info-fraccion/11/197/28" w:history="1">
        <w:r w:rsidR="00DA4E7B" w:rsidRPr="004E53CC">
          <w:rPr>
            <w:rStyle w:val="Hipervnculo"/>
            <w:i/>
            <w:iCs/>
            <w:sz w:val="20"/>
            <w:szCs w:val="20"/>
            <w:lang w:eastAsia="es-ES"/>
          </w:rPr>
          <w:t>https://ipomex.org.mx/ipomex/#/info-fraccion/11/197/28</w:t>
        </w:r>
      </w:hyperlink>
      <w:r w:rsidR="00DA4E7B" w:rsidRPr="00DA4E7B">
        <w:rPr>
          <w:i/>
          <w:iCs/>
          <w:color w:val="auto"/>
          <w:sz w:val="20"/>
          <w:szCs w:val="20"/>
          <w:lang w:eastAsia="es-ES"/>
        </w:rPr>
        <w:t xml:space="preserve"> (remuneraciones)</w:t>
      </w:r>
    </w:p>
    <w:p w14:paraId="084A312F" w14:textId="77777777" w:rsidR="00DA4E7B" w:rsidRDefault="00DA4E7B" w:rsidP="00DA4E7B">
      <w:pPr>
        <w:spacing w:after="0" w:line="360" w:lineRule="auto"/>
        <w:ind w:left="567" w:right="567"/>
        <w:rPr>
          <w:i/>
          <w:iCs/>
          <w:color w:val="auto"/>
          <w:sz w:val="20"/>
          <w:szCs w:val="20"/>
          <w:lang w:eastAsia="es-ES"/>
        </w:rPr>
      </w:pPr>
    </w:p>
    <w:p w14:paraId="24BEB66D" w14:textId="77777777" w:rsidR="00DA4E7B" w:rsidRDefault="00551F18" w:rsidP="00DA4E7B">
      <w:pPr>
        <w:spacing w:after="0" w:line="360" w:lineRule="auto"/>
        <w:ind w:left="567" w:right="567"/>
        <w:rPr>
          <w:i/>
          <w:iCs/>
          <w:color w:val="auto"/>
          <w:sz w:val="20"/>
          <w:szCs w:val="20"/>
          <w:lang w:eastAsia="es-ES"/>
        </w:rPr>
      </w:pPr>
      <w:hyperlink r:id="rId10" w:anchor="/info-fraccion/28/197/12" w:history="1">
        <w:r w:rsidR="00DA4E7B" w:rsidRPr="004E53CC">
          <w:rPr>
            <w:rStyle w:val="Hipervnculo"/>
            <w:i/>
            <w:iCs/>
            <w:sz w:val="20"/>
            <w:szCs w:val="20"/>
            <w:lang w:eastAsia="es-ES"/>
          </w:rPr>
          <w:t>https://ipomex.org.mx/ipomex/#/info-fraccion/28/197/12</w:t>
        </w:r>
      </w:hyperlink>
      <w:r w:rsidR="00DA4E7B">
        <w:rPr>
          <w:i/>
          <w:iCs/>
          <w:color w:val="auto"/>
          <w:sz w:val="20"/>
          <w:szCs w:val="20"/>
          <w:lang w:eastAsia="es-ES"/>
        </w:rPr>
        <w:t xml:space="preserve"> </w:t>
      </w:r>
      <w:r w:rsidR="00DA4E7B" w:rsidRPr="00DA4E7B">
        <w:rPr>
          <w:i/>
          <w:iCs/>
          <w:color w:val="auto"/>
          <w:sz w:val="20"/>
          <w:szCs w:val="20"/>
          <w:lang w:eastAsia="es-ES"/>
        </w:rPr>
        <w:t xml:space="preserve">(información curricular) </w:t>
      </w:r>
    </w:p>
    <w:p w14:paraId="3976573D" w14:textId="77777777" w:rsidR="00DA4E7B" w:rsidRDefault="00DA4E7B" w:rsidP="00DA4E7B">
      <w:pPr>
        <w:spacing w:after="0" w:line="360" w:lineRule="auto"/>
        <w:ind w:left="567" w:right="567"/>
        <w:rPr>
          <w:i/>
          <w:iCs/>
          <w:color w:val="auto"/>
          <w:sz w:val="20"/>
          <w:szCs w:val="20"/>
          <w:lang w:eastAsia="es-ES"/>
        </w:rPr>
      </w:pPr>
    </w:p>
    <w:p w14:paraId="6C0E3E8B" w14:textId="43694B30" w:rsidR="00DA4E7B" w:rsidRPr="00DA4E7B" w:rsidRDefault="00DA4E7B" w:rsidP="00DA4E7B">
      <w:pPr>
        <w:spacing w:after="0" w:line="360" w:lineRule="auto"/>
        <w:ind w:left="567" w:right="567"/>
        <w:rPr>
          <w:i/>
          <w:iCs/>
          <w:color w:val="auto"/>
          <w:sz w:val="20"/>
          <w:szCs w:val="20"/>
          <w:lang w:eastAsia="es-ES"/>
        </w:rPr>
      </w:pPr>
      <w:r w:rsidRPr="00DA4E7B">
        <w:rPr>
          <w:i/>
          <w:iCs/>
          <w:color w:val="auto"/>
          <w:sz w:val="20"/>
          <w:szCs w:val="20"/>
          <w:lang w:eastAsia="es-ES"/>
        </w:rPr>
        <w:t>Lo anterior de conformidad con el artículo 12 párrafo segundo de la ley de Transparencia y Acceso a la Información Pública del Estado de México y Municipios; en el que se establece que los sujetos obligados sólo proporcionarán la información pública que se les requiera y obre en sus archivos y en el estado en que se encuentre. La obligación de proporcionar la información no comprende el procesamiento de la misma, ni el presentarla conforme al interés del solicitante; no estarán obligados a generarla, resumirla, efectuar cálculos o practicar investigaciones.</w:t>
      </w:r>
    </w:p>
    <w:p w14:paraId="04A134EC" w14:textId="705E2FE9" w:rsidR="00DA4E7B" w:rsidRPr="00DA4E7B" w:rsidRDefault="00DA4E7B" w:rsidP="00DA4E7B">
      <w:pPr>
        <w:spacing w:after="0" w:line="360" w:lineRule="auto"/>
        <w:ind w:left="567" w:right="567"/>
        <w:rPr>
          <w:i/>
          <w:iCs/>
          <w:color w:val="auto"/>
          <w:sz w:val="20"/>
          <w:szCs w:val="20"/>
          <w:lang w:eastAsia="es-ES"/>
        </w:rPr>
      </w:pPr>
      <w:r w:rsidRPr="00DA4E7B">
        <w:rPr>
          <w:i/>
          <w:iCs/>
          <w:color w:val="auto"/>
          <w:sz w:val="20"/>
          <w:szCs w:val="20"/>
          <w:lang w:eastAsia="es-ES"/>
        </w:rPr>
        <w:t>…”</w:t>
      </w:r>
    </w:p>
    <w:p w14:paraId="2A25B317" w14:textId="77777777" w:rsidR="008055C1" w:rsidRDefault="008055C1" w:rsidP="00D70FB2">
      <w:pPr>
        <w:spacing w:after="0" w:line="360" w:lineRule="auto"/>
      </w:pPr>
    </w:p>
    <w:p w14:paraId="2FA06B09" w14:textId="55CC6DEE" w:rsidR="00CE58A5" w:rsidRPr="0027513C" w:rsidRDefault="00CE4466" w:rsidP="00D70FB2">
      <w:pPr>
        <w:pStyle w:val="Ttulo2"/>
        <w:spacing w:before="0" w:after="0"/>
      </w:pPr>
      <w:bookmarkStart w:id="7" w:name="_Toc179975598"/>
      <w:bookmarkStart w:id="8" w:name="_Toc219992255"/>
      <w:r w:rsidRPr="0027513C">
        <w:lastRenderedPageBreak/>
        <w:t>I</w:t>
      </w:r>
      <w:r w:rsidR="00BA7CA9">
        <w:t>II</w:t>
      </w:r>
      <w:r w:rsidRPr="0027513C">
        <w:t>. Interposición del Recurso de Revisión</w:t>
      </w:r>
      <w:bookmarkEnd w:id="7"/>
      <w:bookmarkEnd w:id="8"/>
    </w:p>
    <w:p w14:paraId="3837109C" w14:textId="77777777" w:rsidR="00CE58A5" w:rsidRPr="0027513C" w:rsidRDefault="00CE58A5" w:rsidP="00D70FB2">
      <w:pPr>
        <w:spacing w:after="0" w:line="360" w:lineRule="auto"/>
        <w:rPr>
          <w:b/>
        </w:rPr>
      </w:pPr>
    </w:p>
    <w:p w14:paraId="3385106E" w14:textId="6E2A7C5A" w:rsidR="00CE58A5" w:rsidRPr="0027513C" w:rsidRDefault="00CE4466" w:rsidP="00D70FB2">
      <w:pPr>
        <w:spacing w:after="0" w:line="360" w:lineRule="auto"/>
      </w:pPr>
      <w:r w:rsidRPr="0027513C">
        <w:t>Con fecha</w:t>
      </w:r>
      <w:r w:rsidR="00DD7C00">
        <w:t xml:space="preserve"> </w:t>
      </w:r>
      <w:r w:rsidR="00DA4E7B">
        <w:t>once de febrero de dos mil veintiséis</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D70FB2">
      <w:pPr>
        <w:spacing w:after="0" w:line="360" w:lineRule="auto"/>
      </w:pPr>
    </w:p>
    <w:p w14:paraId="70843217" w14:textId="65699748" w:rsidR="00CE58A5" w:rsidRPr="0027513C" w:rsidRDefault="00CE4466" w:rsidP="00D70FB2">
      <w:pPr>
        <w:spacing w:after="0" w:line="360" w:lineRule="auto"/>
        <w:ind w:left="567" w:right="567"/>
        <w:rPr>
          <w:i/>
          <w:sz w:val="20"/>
          <w:szCs w:val="20"/>
        </w:rPr>
      </w:pPr>
      <w:r w:rsidRPr="0027513C">
        <w:rPr>
          <w:b/>
          <w:i/>
          <w:sz w:val="20"/>
          <w:szCs w:val="20"/>
        </w:rPr>
        <w:t>“ACTO IMPUGNADO</w:t>
      </w:r>
    </w:p>
    <w:p w14:paraId="1A82882E" w14:textId="71C11738" w:rsidR="00CE58A5" w:rsidRPr="0027513C" w:rsidRDefault="00DA4E7B" w:rsidP="00D70FB2">
      <w:pPr>
        <w:spacing w:after="0" w:line="360" w:lineRule="auto"/>
        <w:ind w:left="567" w:right="567"/>
        <w:rPr>
          <w:i/>
          <w:sz w:val="20"/>
          <w:szCs w:val="20"/>
        </w:rPr>
      </w:pPr>
      <w:r w:rsidRPr="00DA4E7B">
        <w:rPr>
          <w:i/>
          <w:color w:val="000000"/>
          <w:sz w:val="20"/>
          <w:szCs w:val="20"/>
        </w:rPr>
        <w:t>No se encuentra la información en las páginas mencionadas</w:t>
      </w:r>
      <w:r w:rsidR="00791585" w:rsidRPr="0027513C">
        <w:rPr>
          <w:i/>
          <w:sz w:val="20"/>
          <w:szCs w:val="20"/>
        </w:rPr>
        <w:t>” (Sic.)</w:t>
      </w:r>
    </w:p>
    <w:p w14:paraId="1CAF0EE0" w14:textId="77777777" w:rsidR="00CE58A5" w:rsidRDefault="00CE58A5" w:rsidP="00D70FB2">
      <w:pPr>
        <w:spacing w:after="0" w:line="360" w:lineRule="auto"/>
        <w:ind w:left="567" w:right="567"/>
        <w:rPr>
          <w:i/>
          <w:sz w:val="20"/>
          <w:szCs w:val="20"/>
        </w:rPr>
      </w:pPr>
    </w:p>
    <w:p w14:paraId="02DA69C4" w14:textId="1EDDA510" w:rsidR="00CE58A5" w:rsidRPr="0027513C" w:rsidRDefault="00CE4466" w:rsidP="00D70FB2">
      <w:pPr>
        <w:spacing w:after="0" w:line="360" w:lineRule="auto"/>
        <w:ind w:left="567" w:right="567"/>
        <w:rPr>
          <w:b/>
          <w:i/>
          <w:sz w:val="20"/>
          <w:szCs w:val="20"/>
        </w:rPr>
      </w:pPr>
      <w:r w:rsidRPr="0027513C">
        <w:rPr>
          <w:b/>
          <w:i/>
          <w:sz w:val="20"/>
          <w:szCs w:val="20"/>
        </w:rPr>
        <w:t>“RAZONES O MOTIVOS DE LA INCONFORMIDAD</w:t>
      </w:r>
    </w:p>
    <w:p w14:paraId="10183522" w14:textId="0E6B98FF" w:rsidR="00CE58A5" w:rsidRPr="0027513C" w:rsidRDefault="00DA4E7B" w:rsidP="00D70FB2">
      <w:pPr>
        <w:spacing w:after="0" w:line="360" w:lineRule="auto"/>
        <w:ind w:left="567" w:right="567"/>
        <w:rPr>
          <w:i/>
          <w:sz w:val="20"/>
          <w:szCs w:val="20"/>
        </w:rPr>
      </w:pPr>
      <w:r w:rsidRPr="00DA4E7B">
        <w:rPr>
          <w:i/>
          <w:color w:val="000000"/>
          <w:sz w:val="20"/>
          <w:szCs w:val="20"/>
        </w:rPr>
        <w:t>No se encuentra la información en las páginas mencionadas</w:t>
      </w:r>
      <w:r w:rsidR="00791585" w:rsidRPr="0027513C">
        <w:rPr>
          <w:i/>
          <w:sz w:val="20"/>
          <w:szCs w:val="20"/>
        </w:rPr>
        <w:t>” (Sic.)</w:t>
      </w:r>
    </w:p>
    <w:p w14:paraId="0BBB2449" w14:textId="77777777" w:rsidR="00CE58A5" w:rsidRPr="0027513C" w:rsidRDefault="00CE58A5" w:rsidP="00D70FB2">
      <w:pPr>
        <w:spacing w:after="0" w:line="360" w:lineRule="auto"/>
      </w:pPr>
    </w:p>
    <w:p w14:paraId="256BC137" w14:textId="764B430C" w:rsidR="00CE58A5" w:rsidRDefault="00674D7A" w:rsidP="00D70FB2">
      <w:pPr>
        <w:pStyle w:val="Ttulo2"/>
        <w:spacing w:before="0" w:after="0"/>
      </w:pPr>
      <w:bookmarkStart w:id="9" w:name="_Toc179975599"/>
      <w:bookmarkStart w:id="10" w:name="_Toc219992256"/>
      <w:r>
        <w:t>I</w:t>
      </w:r>
      <w:r w:rsidR="00CE4466" w:rsidRPr="0027513C">
        <w:t>V. Trámite del Recurso de Revisión ante este Instituto</w:t>
      </w:r>
      <w:bookmarkEnd w:id="9"/>
      <w:bookmarkEnd w:id="10"/>
    </w:p>
    <w:p w14:paraId="08451C4E" w14:textId="77777777" w:rsidR="001A54EF" w:rsidRPr="0027513C" w:rsidRDefault="001A54EF" w:rsidP="00D70FB2">
      <w:pPr>
        <w:spacing w:after="0" w:line="360" w:lineRule="auto"/>
        <w:rPr>
          <w:b/>
        </w:rPr>
      </w:pPr>
    </w:p>
    <w:p w14:paraId="31E01367" w14:textId="2A88DA3C" w:rsidR="00CE58A5" w:rsidRPr="0027513C" w:rsidRDefault="00CE4466" w:rsidP="00D70FB2">
      <w:pPr>
        <w:spacing w:after="0" w:line="360" w:lineRule="auto"/>
        <w:rPr>
          <w:b/>
        </w:rPr>
      </w:pPr>
      <w:r w:rsidRPr="0027513C">
        <w:rPr>
          <w:b/>
        </w:rPr>
        <w:t>a) Turno del Medio de Impugnación.</w:t>
      </w:r>
      <w:r w:rsidRPr="0027513C">
        <w:t xml:space="preserve"> El </w:t>
      </w:r>
      <w:r w:rsidR="000C07B8">
        <w:t xml:space="preserve">once de febrero de dos mil </w:t>
      </w:r>
      <w:r w:rsidR="00FC4589">
        <w:t>veintiséis</w:t>
      </w:r>
      <w:r w:rsidRPr="0027513C">
        <w:t xml:space="preserve">, el Sistema de Acceso a la Información Mexiquense (SAIMEX), asignó el número de expediente </w:t>
      </w:r>
      <w:r w:rsidR="00DA4E7B">
        <w:rPr>
          <w:b/>
        </w:rPr>
        <w:t>01816/INFOEM/IP/RR/2026</w:t>
      </w:r>
      <w:r w:rsidRPr="0027513C">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D70FB2">
      <w:pPr>
        <w:spacing w:after="0" w:line="360" w:lineRule="auto"/>
      </w:pPr>
    </w:p>
    <w:p w14:paraId="69DE9485" w14:textId="7E87852D" w:rsidR="00CE58A5" w:rsidRDefault="00CE4466" w:rsidP="00D70FB2">
      <w:pPr>
        <w:spacing w:after="0" w:line="360" w:lineRule="auto"/>
      </w:pPr>
      <w:r w:rsidRPr="0027513C">
        <w:rPr>
          <w:b/>
        </w:rPr>
        <w:t>b) Admisión del Recurso de Revisión.</w:t>
      </w:r>
      <w:r w:rsidRPr="0027513C">
        <w:t xml:space="preserve"> El </w:t>
      </w:r>
      <w:r w:rsidR="000C07B8">
        <w:t>dieciséis de febrero</w:t>
      </w:r>
      <w:r w:rsidR="00FA42AE">
        <w:t xml:space="preserve"> de dos mil </w:t>
      </w:r>
      <w:r w:rsidR="00FC4589">
        <w:t>veintiséis</w:t>
      </w:r>
      <w:r w:rsidRPr="0027513C">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w:t>
      </w:r>
      <w:r w:rsidRPr="0027513C">
        <w:lastRenderedPageBreak/>
        <w:t>plazo de siete días hábiles posteriores a la misma, para que manifestaran lo que a su derecho conviniera y formularan alegatos.</w:t>
      </w:r>
    </w:p>
    <w:p w14:paraId="1AF49958" w14:textId="77777777" w:rsidR="00CE58A5" w:rsidRPr="0027513C" w:rsidRDefault="00CE58A5" w:rsidP="00D70FB2">
      <w:pPr>
        <w:spacing w:after="0" w:line="360" w:lineRule="auto"/>
        <w:rPr>
          <w:b/>
        </w:rPr>
      </w:pPr>
    </w:p>
    <w:p w14:paraId="506A7211" w14:textId="7B53BC45" w:rsidR="000C07B8" w:rsidRDefault="00CE4466" w:rsidP="00D70FB2">
      <w:pPr>
        <w:spacing w:after="0" w:line="360" w:lineRule="auto"/>
        <w:rPr>
          <w:rFonts w:eastAsia="Times New Roman" w:cs="Times New Roman"/>
          <w:color w:val="auto"/>
          <w:lang w:eastAsia="en-US"/>
        </w:rPr>
      </w:pPr>
      <w:r w:rsidRPr="0027513C">
        <w:rPr>
          <w:b/>
          <w:color w:val="000000"/>
        </w:rPr>
        <w:t xml:space="preserve">c) </w:t>
      </w:r>
      <w:r w:rsidR="005C1E5B" w:rsidRPr="005C1E5B">
        <w:rPr>
          <w:rFonts w:eastAsia="Times New Roman" w:cs="Times New Roman"/>
          <w:b/>
          <w:color w:val="auto"/>
          <w:szCs w:val="24"/>
          <w:lang w:eastAsia="en-US"/>
        </w:rPr>
        <w:t>Informe Justificado</w:t>
      </w:r>
      <w:r w:rsidR="005C1E5B" w:rsidRPr="005C1E5B">
        <w:rPr>
          <w:rFonts w:eastAsia="Times New Roman" w:cs="Times New Roman"/>
          <w:b/>
          <w:color w:val="auto"/>
          <w:lang w:eastAsia="en-US"/>
        </w:rPr>
        <w:t>.</w:t>
      </w:r>
      <w:r w:rsidR="005C1E5B" w:rsidRPr="005C1E5B">
        <w:rPr>
          <w:rFonts w:eastAsia="Times New Roman" w:cs="Times New Roman"/>
          <w:color w:val="auto"/>
          <w:lang w:eastAsia="en-US"/>
        </w:rPr>
        <w:t xml:space="preserve"> El </w:t>
      </w:r>
      <w:r w:rsidR="000C07B8">
        <w:rPr>
          <w:rFonts w:eastAsia="Times New Roman" w:cs="Times New Roman"/>
          <w:color w:val="auto"/>
          <w:lang w:eastAsia="en-US"/>
        </w:rPr>
        <w:t>veinte y veinticuatro de febrero de dos mil veintiséis</w:t>
      </w:r>
      <w:r w:rsidR="005C1E5B" w:rsidRPr="005C1E5B">
        <w:rPr>
          <w:rFonts w:eastAsia="Times New Roman" w:cs="Times New Roman"/>
          <w:color w:val="auto"/>
          <w:lang w:eastAsia="en-US"/>
        </w:rPr>
        <w:t xml:space="preserve">, el Sujeto Obligado a través del </w:t>
      </w:r>
      <w:r w:rsidR="005C1E5B" w:rsidRPr="005C1E5B">
        <w:rPr>
          <w:color w:val="auto"/>
          <w:lang w:eastAsia="es-ES"/>
        </w:rPr>
        <w:t>Sistema de Acceso a la Información Mexiquense (SAIMEX)</w:t>
      </w:r>
      <w:r w:rsidR="005C1E5B" w:rsidRPr="005C1E5B">
        <w:rPr>
          <w:rFonts w:eastAsia="Times New Roman" w:cs="Times New Roman"/>
          <w:color w:val="auto"/>
          <w:lang w:eastAsia="en-US"/>
        </w:rPr>
        <w:t xml:space="preserve">, presentó su Informe Justificado, por medio de la digitalización </w:t>
      </w:r>
      <w:r w:rsidR="000C07B8">
        <w:rPr>
          <w:rFonts w:eastAsia="Times New Roman" w:cs="Times New Roman"/>
          <w:color w:val="auto"/>
          <w:lang w:eastAsia="en-US"/>
        </w:rPr>
        <w:t>de los siguientes documentos:</w:t>
      </w:r>
    </w:p>
    <w:p w14:paraId="50B0BD3A" w14:textId="77777777" w:rsidR="000C07B8" w:rsidRDefault="000C07B8" w:rsidP="00D70FB2">
      <w:pPr>
        <w:spacing w:after="0" w:line="360" w:lineRule="auto"/>
        <w:rPr>
          <w:rFonts w:eastAsia="Times New Roman" w:cs="Times New Roman"/>
          <w:color w:val="auto"/>
          <w:lang w:eastAsia="en-US"/>
        </w:rPr>
      </w:pPr>
    </w:p>
    <w:p w14:paraId="7CDDAE0C" w14:textId="4D95A9C8" w:rsidR="000C07B8" w:rsidRDefault="000C07B8" w:rsidP="00D70FB2">
      <w:pPr>
        <w:spacing w:after="0" w:line="360" w:lineRule="auto"/>
        <w:rPr>
          <w:rFonts w:eastAsia="Times New Roman" w:cs="Times New Roman"/>
          <w:color w:val="auto"/>
          <w:lang w:eastAsia="en-US"/>
        </w:rPr>
      </w:pPr>
      <w:r>
        <w:rPr>
          <w:rFonts w:eastAsia="Times New Roman" w:cs="Times New Roman"/>
          <w:color w:val="auto"/>
          <w:lang w:eastAsia="en-US"/>
        </w:rPr>
        <w:t xml:space="preserve">i. Oficio sin número, del veinticuatro de febrero de dos mil veintiséis, emitido por el Titular de la Unidad de Transparencia y dirigido al Comisionado Ponente, por medio del cual ratifica la respuesta entregada por la Dirección General de </w:t>
      </w:r>
      <w:r w:rsidR="00910B11">
        <w:rPr>
          <w:rFonts w:eastAsia="Times New Roman" w:cs="Times New Roman"/>
          <w:color w:val="auto"/>
          <w:lang w:eastAsia="en-US"/>
        </w:rPr>
        <w:t>Administración</w:t>
      </w:r>
      <w:r>
        <w:rPr>
          <w:rFonts w:eastAsia="Times New Roman" w:cs="Times New Roman"/>
          <w:color w:val="auto"/>
          <w:lang w:eastAsia="en-US"/>
        </w:rPr>
        <w:t>.</w:t>
      </w:r>
    </w:p>
    <w:p w14:paraId="0164512C" w14:textId="77777777" w:rsidR="000C07B8" w:rsidRDefault="000C07B8" w:rsidP="00D70FB2">
      <w:pPr>
        <w:spacing w:after="0" w:line="360" w:lineRule="auto"/>
        <w:rPr>
          <w:rFonts w:eastAsia="Times New Roman" w:cs="Times New Roman"/>
          <w:color w:val="auto"/>
          <w:lang w:eastAsia="en-US"/>
        </w:rPr>
      </w:pPr>
    </w:p>
    <w:p w14:paraId="7C004C35" w14:textId="46047710" w:rsidR="005C1E5B" w:rsidRPr="005C1E5B" w:rsidRDefault="000C07B8" w:rsidP="00D70FB2">
      <w:pPr>
        <w:spacing w:after="0" w:line="360" w:lineRule="auto"/>
        <w:rPr>
          <w:rFonts w:eastAsia="Times New Roman" w:cs="Times New Roman"/>
          <w:color w:val="auto"/>
          <w:lang w:eastAsia="en-US"/>
        </w:rPr>
      </w:pPr>
      <w:r>
        <w:rPr>
          <w:rFonts w:eastAsia="Times New Roman" w:cs="Times New Roman"/>
          <w:color w:val="auto"/>
          <w:lang w:eastAsia="en-US"/>
        </w:rPr>
        <w:t>ii. O</w:t>
      </w:r>
      <w:r w:rsidR="005C1E5B" w:rsidRPr="005C1E5B">
        <w:rPr>
          <w:rFonts w:eastAsia="Times New Roman" w:cs="Times New Roman"/>
          <w:color w:val="auto"/>
          <w:lang w:eastAsia="en-US"/>
        </w:rPr>
        <w:t>ficio número 206010000/</w:t>
      </w:r>
      <w:r>
        <w:rPr>
          <w:rFonts w:eastAsia="Times New Roman" w:cs="Times New Roman"/>
          <w:color w:val="auto"/>
          <w:lang w:eastAsia="en-US"/>
        </w:rPr>
        <w:t>1241</w:t>
      </w:r>
      <w:r w:rsidR="005C1E5B" w:rsidRPr="005C1E5B">
        <w:rPr>
          <w:rFonts w:eastAsia="Times New Roman" w:cs="Times New Roman"/>
          <w:color w:val="auto"/>
          <w:lang w:eastAsia="en-US"/>
        </w:rPr>
        <w:t>/202</w:t>
      </w:r>
      <w:r>
        <w:rPr>
          <w:rFonts w:eastAsia="Times New Roman" w:cs="Times New Roman"/>
          <w:color w:val="auto"/>
          <w:lang w:eastAsia="en-US"/>
        </w:rPr>
        <w:t>6</w:t>
      </w:r>
      <w:r w:rsidR="005C1E5B" w:rsidRPr="005C1E5B">
        <w:rPr>
          <w:rFonts w:eastAsia="Times New Roman" w:cs="Times New Roman"/>
          <w:color w:val="auto"/>
          <w:lang w:eastAsia="en-US"/>
        </w:rPr>
        <w:t xml:space="preserve">, del </w:t>
      </w:r>
      <w:r>
        <w:rPr>
          <w:rFonts w:eastAsia="Times New Roman" w:cs="Times New Roman"/>
          <w:color w:val="auto"/>
          <w:lang w:eastAsia="en-US"/>
        </w:rPr>
        <w:t>diecinueve de febrero de dos mil veintiséis</w:t>
      </w:r>
      <w:r w:rsidR="005C1E5B" w:rsidRPr="005C1E5B">
        <w:rPr>
          <w:rFonts w:eastAsia="Times New Roman" w:cs="Times New Roman"/>
          <w:color w:val="auto"/>
          <w:lang w:eastAsia="en-US"/>
        </w:rPr>
        <w:t xml:space="preserve">, suscrito por la Directora General </w:t>
      </w:r>
      <w:r w:rsidR="005C1E5B">
        <w:rPr>
          <w:rFonts w:eastAsia="Times New Roman" w:cs="Times New Roman"/>
          <w:color w:val="auto"/>
          <w:lang w:eastAsia="en-US"/>
        </w:rPr>
        <w:t>de Administración y</w:t>
      </w:r>
      <w:r w:rsidR="005C1E5B" w:rsidRPr="005C1E5B">
        <w:rPr>
          <w:rFonts w:eastAsia="Times New Roman" w:cs="Times New Roman"/>
          <w:color w:val="auto"/>
          <w:lang w:eastAsia="en-US"/>
        </w:rPr>
        <w:t xml:space="preserve"> dirigido al Titular de la Unidad de Transparencia, por medio del cual </w:t>
      </w:r>
      <w:r w:rsidR="005C1E5B">
        <w:rPr>
          <w:rFonts w:eastAsia="Times New Roman" w:cs="Times New Roman"/>
          <w:color w:val="auto"/>
          <w:lang w:eastAsia="en-US"/>
        </w:rPr>
        <w:t xml:space="preserve">ratifica la respuesta </w:t>
      </w:r>
      <w:r>
        <w:rPr>
          <w:rFonts w:eastAsia="Times New Roman" w:cs="Times New Roman"/>
          <w:color w:val="auto"/>
          <w:lang w:eastAsia="en-US"/>
        </w:rPr>
        <w:t>entregada por la Dirección de Recursos Humanos.</w:t>
      </w:r>
    </w:p>
    <w:p w14:paraId="32789506" w14:textId="77777777" w:rsidR="005C1E5B" w:rsidRPr="005C1E5B" w:rsidRDefault="005C1E5B" w:rsidP="00D70FB2">
      <w:pPr>
        <w:spacing w:after="0" w:line="360" w:lineRule="auto"/>
        <w:rPr>
          <w:rFonts w:eastAsia="Times New Roman" w:cs="Times New Roman"/>
          <w:color w:val="auto"/>
          <w:lang w:eastAsia="en-US"/>
        </w:rPr>
      </w:pPr>
    </w:p>
    <w:p w14:paraId="56F9E61D" w14:textId="3CB1FB41" w:rsidR="005C1E5B" w:rsidRPr="005C1E5B" w:rsidRDefault="005C1E5B" w:rsidP="00D70FB2">
      <w:pPr>
        <w:spacing w:after="0" w:line="360" w:lineRule="auto"/>
        <w:rPr>
          <w:rFonts w:eastAsia="Times New Roman" w:cs="Times New Roman"/>
          <w:color w:val="auto"/>
          <w:lang w:eastAsia="en-US"/>
        </w:rPr>
      </w:pPr>
      <w:bookmarkStart w:id="11" w:name="_Toc190871543"/>
      <w:bookmarkStart w:id="12" w:name="_Toc191567858"/>
      <w:r w:rsidRPr="005C1E5B">
        <w:rPr>
          <w:rFonts w:eastAsia="Times New Roman" w:cs="Times New Roman"/>
          <w:b/>
          <w:color w:val="auto"/>
          <w:szCs w:val="24"/>
          <w:lang w:eastAsia="en-US"/>
        </w:rPr>
        <w:t>d) Vista al Informe Justificado</w:t>
      </w:r>
      <w:bookmarkEnd w:id="11"/>
      <w:bookmarkEnd w:id="12"/>
      <w:r w:rsidRPr="005C1E5B">
        <w:rPr>
          <w:rFonts w:eastAsia="Times New Roman" w:cs="Times New Roman"/>
          <w:b/>
          <w:color w:val="auto"/>
          <w:lang w:eastAsia="en-US"/>
        </w:rPr>
        <w:t xml:space="preserve">. </w:t>
      </w:r>
      <w:r w:rsidRPr="005C1E5B">
        <w:rPr>
          <w:rFonts w:eastAsia="Times New Roman" w:cs="Times New Roman"/>
          <w:color w:val="auto"/>
          <w:lang w:eastAsia="en-US"/>
        </w:rPr>
        <w:t xml:space="preserve">El </w:t>
      </w:r>
      <w:r w:rsidR="000C07B8">
        <w:rPr>
          <w:rFonts w:eastAsia="Times New Roman" w:cs="Times New Roman"/>
          <w:color w:val="auto"/>
          <w:lang w:eastAsia="en-US"/>
        </w:rPr>
        <w:t>veinticinco de febrero</w:t>
      </w:r>
      <w:r>
        <w:rPr>
          <w:rFonts w:eastAsia="Times New Roman" w:cs="Times New Roman"/>
          <w:color w:val="auto"/>
          <w:lang w:eastAsia="en-US"/>
        </w:rPr>
        <w:t xml:space="preserve"> de dos mil veintiséis</w:t>
      </w:r>
      <w:r w:rsidRPr="005C1E5B">
        <w:rPr>
          <w:rFonts w:eastAsia="Times New Roman" w:cs="Times New Roman"/>
          <w:color w:val="auto"/>
          <w:lang w:eastAsia="en-US"/>
        </w:rPr>
        <w:t>, se notificó a través del SAIMEX, el acuerdo mediante el cual se puso a la vista del Particular el Informe Justificado, proveído por el cual se le otorgó a este último, un término de tres días hábiles contados a partir del día siguiente a la notificación, a fin de emitir las manifestaciones que conforme a sus intereses convinieran.</w:t>
      </w:r>
    </w:p>
    <w:p w14:paraId="6FCCCC6B" w14:textId="4BFDC5B2" w:rsidR="00372769" w:rsidRDefault="00372769" w:rsidP="00D70FB2">
      <w:pPr>
        <w:spacing w:after="0" w:line="360" w:lineRule="auto"/>
        <w:rPr>
          <w:b/>
        </w:rPr>
      </w:pPr>
    </w:p>
    <w:p w14:paraId="13E25C12" w14:textId="31AE5746" w:rsidR="00CE58A5" w:rsidRPr="0027513C" w:rsidRDefault="005C1E5B" w:rsidP="00D70FB2">
      <w:pPr>
        <w:spacing w:after="0" w:line="360" w:lineRule="auto"/>
        <w:rPr>
          <w:b/>
        </w:rPr>
      </w:pPr>
      <w:r>
        <w:rPr>
          <w:b/>
          <w:bCs/>
        </w:rPr>
        <w:t>e</w:t>
      </w:r>
      <w:r w:rsidR="006A4E16">
        <w:rPr>
          <w:b/>
          <w:bCs/>
          <w:lang w:val="es-ES"/>
        </w:rPr>
        <w:t xml:space="preserve">) </w:t>
      </w:r>
      <w:r w:rsidR="00791585" w:rsidRPr="0027513C">
        <w:rPr>
          <w:b/>
        </w:rPr>
        <w:t>Cierre de instrucción.</w:t>
      </w:r>
      <w:r w:rsidR="00791585" w:rsidRPr="0027513C">
        <w:t xml:space="preserve"> El </w:t>
      </w:r>
      <w:r w:rsidR="000C07B8">
        <w:t>cuatro de marzo</w:t>
      </w:r>
      <w:r w:rsidR="004B77C7">
        <w:t xml:space="preserve"> de dos mil </w:t>
      </w:r>
      <w:r>
        <w:t>veintiséis</w:t>
      </w:r>
      <w:r w:rsidR="00791585" w:rsidRPr="0027513C">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27513C" w:rsidRDefault="00CE58A5" w:rsidP="00D70FB2">
      <w:pPr>
        <w:spacing w:after="0" w:line="360" w:lineRule="auto"/>
      </w:pPr>
    </w:p>
    <w:p w14:paraId="1A2D1592" w14:textId="77777777" w:rsidR="00CE58A5" w:rsidRPr="0027513C" w:rsidRDefault="00CE4466" w:rsidP="00D70FB2">
      <w:pPr>
        <w:spacing w:after="0" w:line="360" w:lineRule="auto"/>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D70FB2">
      <w:pPr>
        <w:spacing w:after="0" w:line="360" w:lineRule="auto"/>
      </w:pPr>
    </w:p>
    <w:p w14:paraId="1E06E728" w14:textId="69856E54" w:rsidR="00CE58A5" w:rsidRPr="0027513C" w:rsidRDefault="00CE4466" w:rsidP="00D70FB2">
      <w:pPr>
        <w:pStyle w:val="Ttulo1"/>
        <w:spacing w:before="0" w:after="0"/>
      </w:pPr>
      <w:bookmarkStart w:id="13" w:name="_Toc179975600"/>
      <w:bookmarkStart w:id="14" w:name="_Toc219992257"/>
      <w:r w:rsidRPr="0027513C">
        <w:t>C O N S I D E R A N D O S</w:t>
      </w:r>
      <w:bookmarkEnd w:id="13"/>
      <w:bookmarkEnd w:id="14"/>
    </w:p>
    <w:p w14:paraId="09DEA601" w14:textId="77777777" w:rsidR="00CE58A5" w:rsidRPr="0027513C" w:rsidRDefault="00CE58A5" w:rsidP="00D70FB2">
      <w:pPr>
        <w:spacing w:after="0" w:line="360" w:lineRule="auto"/>
        <w:rPr>
          <w:b/>
        </w:rPr>
      </w:pPr>
    </w:p>
    <w:p w14:paraId="3D9317E1" w14:textId="77777777" w:rsidR="00CE58A5" w:rsidRPr="0027513C" w:rsidRDefault="00CE4466" w:rsidP="00D70FB2">
      <w:pPr>
        <w:pStyle w:val="Ttulo2"/>
        <w:spacing w:before="0" w:after="0"/>
      </w:pPr>
      <w:bookmarkStart w:id="15" w:name="_Toc179975601"/>
      <w:bookmarkStart w:id="16" w:name="_Toc219992258"/>
      <w:r w:rsidRPr="0027513C">
        <w:t>PRIMERO. Competencia</w:t>
      </w:r>
      <w:bookmarkEnd w:id="15"/>
      <w:bookmarkEnd w:id="16"/>
    </w:p>
    <w:p w14:paraId="4F07F053" w14:textId="77777777" w:rsidR="00CE58A5" w:rsidRPr="0027513C" w:rsidRDefault="00CE58A5" w:rsidP="00D70FB2">
      <w:pPr>
        <w:spacing w:after="0" w:line="360" w:lineRule="auto"/>
        <w:rPr>
          <w:b/>
        </w:rPr>
      </w:pPr>
    </w:p>
    <w:p w14:paraId="7500929F" w14:textId="77777777" w:rsidR="005C1E5B" w:rsidRPr="005C1E5B" w:rsidRDefault="005C1E5B" w:rsidP="00D70FB2">
      <w:pPr>
        <w:spacing w:after="0" w:line="360" w:lineRule="auto"/>
        <w:rPr>
          <w:rFonts w:eastAsia="Times New Roman" w:cs="Tahoma"/>
          <w:bCs/>
          <w:color w:val="000000"/>
          <w:lang w:eastAsia="es-ES"/>
        </w:rPr>
      </w:pPr>
      <w:r w:rsidRPr="005C1E5B">
        <w:rPr>
          <w:rFonts w:eastAsia="Times New Roman" w:cs="Tahoma"/>
          <w:bCs/>
          <w:color w:val="000000"/>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7513C" w:rsidRDefault="00CE58A5" w:rsidP="00D70FB2">
      <w:pPr>
        <w:spacing w:after="0" w:line="360" w:lineRule="auto"/>
      </w:pPr>
    </w:p>
    <w:p w14:paraId="250C24B5" w14:textId="77777777" w:rsidR="00CE58A5" w:rsidRPr="0027513C" w:rsidRDefault="00CE4466" w:rsidP="00D70FB2">
      <w:pPr>
        <w:pStyle w:val="Ttulo2"/>
        <w:spacing w:before="0" w:after="0"/>
      </w:pPr>
      <w:bookmarkStart w:id="17" w:name="_Toc179975602"/>
      <w:bookmarkStart w:id="18" w:name="_Toc219992259"/>
      <w:r w:rsidRPr="0027513C">
        <w:t>SEGUNDO. Causales de improcedencia y sobreseimiento</w:t>
      </w:r>
      <w:bookmarkEnd w:id="17"/>
      <w:bookmarkEnd w:id="18"/>
    </w:p>
    <w:p w14:paraId="5DE8EFD8" w14:textId="77777777" w:rsidR="00CE58A5" w:rsidRPr="0027513C" w:rsidRDefault="00CE58A5" w:rsidP="00D70FB2">
      <w:pPr>
        <w:spacing w:after="0" w:line="360" w:lineRule="auto"/>
      </w:pPr>
    </w:p>
    <w:p w14:paraId="4C46253C" w14:textId="77777777" w:rsidR="00CE58A5" w:rsidRPr="0027513C" w:rsidRDefault="00CE4466" w:rsidP="00D70FB2">
      <w:pPr>
        <w:spacing w:after="0" w:line="360" w:lineRule="auto"/>
      </w:pPr>
      <w:r w:rsidRPr="0027513C">
        <w:t xml:space="preserve">De las constancias que forma parte del Recurso de Revisión que se analiza, se advierte que previo al estudio del fondo de la </w:t>
      </w:r>
      <w:proofErr w:type="spellStart"/>
      <w:r w:rsidRPr="0027513C">
        <w:rPr>
          <w:i/>
        </w:rPr>
        <w:t>litis</w:t>
      </w:r>
      <w:proofErr w:type="spellEnd"/>
      <w:r w:rsidRPr="0027513C">
        <w:t>, es necesario estudiar las causales de improcedencia y sobreseimiento que se adviertan, para determinar lo que en Derecho proceda.</w:t>
      </w:r>
    </w:p>
    <w:p w14:paraId="42E8BF2D" w14:textId="77777777" w:rsidR="00FF2395" w:rsidRDefault="00FF2395" w:rsidP="00D70FB2">
      <w:pPr>
        <w:spacing w:after="0" w:line="360" w:lineRule="auto"/>
        <w:rPr>
          <w:b/>
        </w:rPr>
      </w:pPr>
    </w:p>
    <w:p w14:paraId="7548DF11" w14:textId="77777777" w:rsidR="00CE58A5" w:rsidRDefault="00CE4466" w:rsidP="00D70FB2">
      <w:pPr>
        <w:spacing w:after="0" w:line="360" w:lineRule="auto"/>
        <w:rPr>
          <w:b/>
        </w:rPr>
      </w:pPr>
      <w:r w:rsidRPr="0027513C">
        <w:rPr>
          <w:b/>
        </w:rPr>
        <w:t>Causales de improcedencia</w:t>
      </w:r>
    </w:p>
    <w:p w14:paraId="02D368DF" w14:textId="77777777" w:rsidR="00CE58A5" w:rsidRPr="0027513C" w:rsidRDefault="00CE4466" w:rsidP="00D70FB2">
      <w:pPr>
        <w:spacing w:after="0" w:line="360" w:lineRule="auto"/>
      </w:pPr>
      <w:r w:rsidRPr="0027513C">
        <w:lastRenderedPageBreak/>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27513C">
        <w:t>./</w:t>
      </w:r>
      <w:proofErr w:type="gramEnd"/>
      <w:r w:rsidRPr="0027513C">
        <w:t>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036ADEC6" w14:textId="77777777" w:rsidR="00CE58A5" w:rsidRPr="0027513C" w:rsidRDefault="00CE58A5" w:rsidP="00D70FB2">
      <w:pPr>
        <w:spacing w:after="0" w:line="360" w:lineRule="auto"/>
      </w:pPr>
    </w:p>
    <w:p w14:paraId="35F10868" w14:textId="77777777" w:rsidR="00CE58A5" w:rsidRPr="0027513C" w:rsidRDefault="00CE4466" w:rsidP="00D70FB2">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D70FB2">
      <w:pPr>
        <w:spacing w:after="0" w:line="360" w:lineRule="auto"/>
        <w:rPr>
          <w:b/>
        </w:rPr>
      </w:pPr>
    </w:p>
    <w:p w14:paraId="701A6972" w14:textId="3C36A1B8" w:rsidR="00CE58A5" w:rsidRPr="0027513C" w:rsidRDefault="00CE4466" w:rsidP="00D70FB2">
      <w:pPr>
        <w:spacing w:after="0" w:line="360" w:lineRule="auto"/>
      </w:pPr>
      <w:r w:rsidRPr="0027513C">
        <w:t>Asimismo, se actualiza la causal de procedencia del Recurso de Revisión señal</w:t>
      </w:r>
      <w:r w:rsidR="00D52F9F">
        <w:t>ada en el</w:t>
      </w:r>
      <w:r w:rsidR="00C503C4">
        <w:t xml:space="preserve"> artículo 179, fracciones </w:t>
      </w:r>
      <w:r w:rsidR="005C1E5B">
        <w:t>VI</w:t>
      </w:r>
      <w:r w:rsidRPr="0027513C">
        <w:t xml:space="preserve">, de la Ley en cita, pues la Recurrente se inconformó </w:t>
      </w:r>
      <w:r w:rsidR="00C73479">
        <w:t xml:space="preserve">de la </w:t>
      </w:r>
      <w:r w:rsidR="005C1E5B">
        <w:t>entrega de información que no corresponde con lo solicitado.</w:t>
      </w:r>
    </w:p>
    <w:p w14:paraId="404C2A95" w14:textId="77777777" w:rsidR="00CE58A5" w:rsidRPr="0027513C" w:rsidRDefault="00CE58A5" w:rsidP="00D70FB2">
      <w:pPr>
        <w:spacing w:after="0" w:line="360" w:lineRule="auto"/>
        <w:rPr>
          <w:b/>
        </w:rPr>
      </w:pPr>
    </w:p>
    <w:p w14:paraId="74D31774" w14:textId="77777777" w:rsidR="00922619" w:rsidRDefault="00922619" w:rsidP="00D70FB2">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t>Causales de sobreseimiento.</w:t>
      </w:r>
    </w:p>
    <w:p w14:paraId="46BAB4DD" w14:textId="77777777" w:rsidR="000837C4" w:rsidRPr="00922619" w:rsidRDefault="000837C4" w:rsidP="00D70FB2">
      <w:pPr>
        <w:spacing w:after="0" w:line="360" w:lineRule="auto"/>
        <w:ind w:right="-28"/>
        <w:contextualSpacing/>
        <w:rPr>
          <w:rFonts w:eastAsia="Calibri" w:cs="Tahoma"/>
          <w:b/>
          <w:color w:val="auto"/>
          <w:lang w:val="es-ES" w:eastAsia="es-ES_tradnl"/>
        </w:rPr>
      </w:pPr>
    </w:p>
    <w:p w14:paraId="31EC419B" w14:textId="77777777" w:rsidR="000837C4" w:rsidRDefault="000837C4" w:rsidP="00D70FB2">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D70FB2">
      <w:pPr>
        <w:spacing w:after="0" w:line="360" w:lineRule="auto"/>
        <w:contextualSpacing/>
        <w:rPr>
          <w:rFonts w:eastAsia="Times New Roman" w:cs="Tahoma"/>
          <w:color w:val="auto"/>
          <w:szCs w:val="24"/>
          <w:lang w:eastAsia="es-ES"/>
        </w:rPr>
      </w:pPr>
    </w:p>
    <w:p w14:paraId="6D79E94E" w14:textId="77777777" w:rsidR="000837C4" w:rsidRDefault="000837C4" w:rsidP="00D70FB2">
      <w:pPr>
        <w:spacing w:after="0" w:line="360" w:lineRule="auto"/>
        <w:rPr>
          <w:color w:val="000000"/>
        </w:rPr>
      </w:pPr>
      <w:r>
        <w:rPr>
          <w:color w:val="0D0D0D"/>
        </w:rPr>
        <w:t>Sobre el tema, e</w:t>
      </w:r>
      <w:r>
        <w:rPr>
          <w:color w:val="000000"/>
        </w:rPr>
        <w:t xml:space="preserve">l artículo 192 de la Ley Transparencia y Acceso a la Información Pública del Estado de México y Municipios, señala las causales por las cuales se puede sobreseer en todo o </w:t>
      </w:r>
      <w:r>
        <w:rPr>
          <w:color w:val="000000"/>
        </w:rPr>
        <w:lastRenderedPageBreak/>
        <w:t>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D70FB2">
      <w:pPr>
        <w:spacing w:after="0" w:line="360" w:lineRule="auto"/>
        <w:rPr>
          <w:rFonts w:eastAsia="Calibri" w:cs="Tahoma"/>
          <w:color w:val="0D0D0D" w:themeColor="text1" w:themeTint="F2"/>
          <w:lang w:eastAsia="es-ES_tradnl"/>
        </w:rPr>
      </w:pPr>
    </w:p>
    <w:p w14:paraId="67BD3A7C" w14:textId="77777777" w:rsidR="000837C4" w:rsidRDefault="000837C4" w:rsidP="00D70FB2">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D70FB2">
      <w:pPr>
        <w:spacing w:after="0" w:line="360" w:lineRule="auto"/>
        <w:contextualSpacing/>
        <w:rPr>
          <w:rFonts w:eastAsia="Times New Roman" w:cs="Tahoma"/>
          <w:color w:val="auto"/>
          <w:szCs w:val="24"/>
          <w:lang w:eastAsia="es-ES"/>
        </w:rPr>
      </w:pPr>
    </w:p>
    <w:p w14:paraId="1E0EBBE3" w14:textId="77777777" w:rsidR="00CE58A5" w:rsidRPr="0027513C" w:rsidRDefault="00CE4466" w:rsidP="00D70FB2">
      <w:pPr>
        <w:pStyle w:val="Ttulo2"/>
        <w:spacing w:before="0" w:after="0"/>
      </w:pPr>
      <w:bookmarkStart w:id="19" w:name="_Toc179975603"/>
      <w:bookmarkStart w:id="20" w:name="_Toc219992260"/>
      <w:r w:rsidRPr="0027513C">
        <w:t>TERCERO. Determinación de la Controversia.</w:t>
      </w:r>
      <w:bookmarkEnd w:id="19"/>
      <w:bookmarkEnd w:id="20"/>
      <w:r w:rsidRPr="0027513C">
        <w:t xml:space="preserve"> </w:t>
      </w:r>
    </w:p>
    <w:p w14:paraId="364AB4CE" w14:textId="77777777" w:rsidR="00CE58A5" w:rsidRDefault="00CE58A5" w:rsidP="00D70FB2">
      <w:pPr>
        <w:spacing w:after="0" w:line="360" w:lineRule="auto"/>
        <w:rPr>
          <w:b/>
        </w:rPr>
      </w:pPr>
    </w:p>
    <w:p w14:paraId="54D8CC88" w14:textId="65ADCFDA" w:rsidR="00910B11" w:rsidRDefault="00CE4466" w:rsidP="00D70FB2">
      <w:pPr>
        <w:widowControl w:val="0"/>
        <w:spacing w:after="0" w:line="360" w:lineRule="auto"/>
      </w:pPr>
      <w:r w:rsidRPr="0027513C">
        <w:t xml:space="preserve">Una vez realizado el estudio de las constancias que integran el expediente en que se actúa, se desprende que el Recurrente </w:t>
      </w:r>
      <w:r w:rsidR="005C1E5B">
        <w:t xml:space="preserve">requirió </w:t>
      </w:r>
      <w:r w:rsidR="00910B11">
        <w:t>del personal adscrito a la Quinta Regiduría al veinte de enero de dos mil veinticinco, lo siguiente:</w:t>
      </w:r>
    </w:p>
    <w:p w14:paraId="55917814" w14:textId="77777777" w:rsidR="00910B11" w:rsidRDefault="00910B11" w:rsidP="00D70FB2">
      <w:pPr>
        <w:widowControl w:val="0"/>
        <w:spacing w:after="0" w:line="360" w:lineRule="auto"/>
      </w:pPr>
    </w:p>
    <w:p w14:paraId="66A42CCE" w14:textId="72D656AA" w:rsidR="00910B11" w:rsidRDefault="00910B11" w:rsidP="00910B11">
      <w:pPr>
        <w:pStyle w:val="Prrafodelista"/>
        <w:widowControl w:val="0"/>
        <w:numPr>
          <w:ilvl w:val="0"/>
          <w:numId w:val="43"/>
        </w:numPr>
        <w:spacing w:line="360" w:lineRule="auto"/>
      </w:pPr>
      <w:r>
        <w:t>Título y cédula profesional;</w:t>
      </w:r>
    </w:p>
    <w:p w14:paraId="405F1047" w14:textId="3E14D83B" w:rsidR="00910B11" w:rsidRPr="00910B11" w:rsidRDefault="00910B11" w:rsidP="00910B11">
      <w:pPr>
        <w:pStyle w:val="Prrafodelista"/>
        <w:widowControl w:val="0"/>
        <w:numPr>
          <w:ilvl w:val="0"/>
          <w:numId w:val="43"/>
        </w:numPr>
        <w:spacing w:line="360" w:lineRule="auto"/>
      </w:pPr>
      <w:r>
        <w:rPr>
          <w:i/>
          <w:iCs/>
        </w:rPr>
        <w:t>Currículum vitae</w:t>
      </w:r>
      <w:r>
        <w:t>, y</w:t>
      </w:r>
    </w:p>
    <w:p w14:paraId="49F57640" w14:textId="40B81B7C" w:rsidR="00910B11" w:rsidRDefault="00910B11" w:rsidP="00910B11">
      <w:pPr>
        <w:pStyle w:val="Prrafodelista"/>
        <w:widowControl w:val="0"/>
        <w:numPr>
          <w:ilvl w:val="0"/>
          <w:numId w:val="43"/>
        </w:numPr>
        <w:spacing w:line="360" w:lineRule="auto"/>
      </w:pPr>
      <w:r>
        <w:t>Sueldos.</w:t>
      </w:r>
    </w:p>
    <w:p w14:paraId="4665A186" w14:textId="77777777" w:rsidR="00910B11" w:rsidRDefault="00910B11" w:rsidP="00D70FB2">
      <w:pPr>
        <w:widowControl w:val="0"/>
        <w:spacing w:after="0" w:line="360" w:lineRule="auto"/>
      </w:pPr>
    </w:p>
    <w:p w14:paraId="11BA3094" w14:textId="771EA0DE" w:rsidR="00C80616" w:rsidRDefault="005041FF" w:rsidP="00D70FB2">
      <w:pPr>
        <w:widowControl w:val="0"/>
        <w:spacing w:after="0" w:line="360" w:lineRule="auto"/>
        <w:rPr>
          <w:color w:val="000000"/>
        </w:rPr>
      </w:pPr>
      <w:r w:rsidRPr="000837C4">
        <w:rPr>
          <w:color w:val="000000"/>
        </w:rPr>
        <w:t>En respuesta, el Sujeto Obligado</w:t>
      </w:r>
      <w:r w:rsidR="000837C4">
        <w:rPr>
          <w:color w:val="000000"/>
        </w:rPr>
        <w:t xml:space="preserve">, </w:t>
      </w:r>
      <w:r w:rsidR="005C1E5B">
        <w:rPr>
          <w:color w:val="000000"/>
        </w:rPr>
        <w:t>a través de la Dirección General de Administración señaló</w:t>
      </w:r>
      <w:r w:rsidR="00910B11">
        <w:rPr>
          <w:color w:val="000000"/>
        </w:rPr>
        <w:t xml:space="preserve"> que la información se localizaba en dos ligas electrónicas</w:t>
      </w:r>
      <w:r w:rsidR="000837C4">
        <w:rPr>
          <w:color w:val="000000"/>
        </w:rPr>
        <w:t xml:space="preserve">; </w:t>
      </w:r>
      <w:r w:rsidR="00A7495B" w:rsidRPr="000837C4">
        <w:rPr>
          <w:color w:val="000000"/>
        </w:rPr>
        <w:t xml:space="preserve">ante dicha respuesta, el Particular se inconformó </w:t>
      </w:r>
      <w:r w:rsidR="005C1E5B">
        <w:rPr>
          <w:color w:val="000000"/>
        </w:rPr>
        <w:t>de que no le entregaron lo solicitado</w:t>
      </w:r>
      <w:r w:rsidR="00675F00">
        <w:rPr>
          <w:color w:val="000000"/>
        </w:rPr>
        <w:t>,</w:t>
      </w:r>
      <w:r w:rsidR="00910B11">
        <w:rPr>
          <w:color w:val="000000"/>
        </w:rPr>
        <w:t xml:space="preserve"> al señalar que la información no se localizaba en las ligas,</w:t>
      </w:r>
      <w:r w:rsidR="00675F00">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5C1E5B">
        <w:rPr>
          <w:color w:val="000000"/>
        </w:rPr>
        <w:t>V</w:t>
      </w:r>
      <w:r w:rsidR="00A16A8A">
        <w:rPr>
          <w:color w:val="000000"/>
        </w:rPr>
        <w:t>I</w:t>
      </w:r>
      <w:r w:rsidR="000837C4">
        <w:rPr>
          <w:color w:val="000000"/>
        </w:rPr>
        <w:t>,</w:t>
      </w:r>
      <w:r w:rsidR="00690DEB" w:rsidRPr="000837C4">
        <w:rPr>
          <w:color w:val="000000"/>
        </w:rPr>
        <w:t xml:space="preserve"> </w:t>
      </w:r>
      <w:r w:rsidR="00A7495B" w:rsidRPr="000837C4">
        <w:rPr>
          <w:color w:val="000000"/>
        </w:rPr>
        <w:t xml:space="preserve">de la Ley </w:t>
      </w:r>
      <w:r w:rsidR="005C1E5B">
        <w:rPr>
          <w:color w:val="000000"/>
        </w:rPr>
        <w:t xml:space="preserve">de Transparencia y Acceso a la Información Pública del Estado de México y Municipios. </w:t>
      </w:r>
      <w:r w:rsidR="000837C4" w:rsidRPr="000837C4">
        <w:rPr>
          <w:color w:val="000000"/>
        </w:rPr>
        <w:t xml:space="preserve">Así las cosas, una vez admitido y notificado el Recurso de Revisión a las partes, </w:t>
      </w:r>
      <w:r w:rsidR="00A16A8A">
        <w:rPr>
          <w:color w:val="000000"/>
        </w:rPr>
        <w:t>el Sujeto Obligado ratificó su respuesta.</w:t>
      </w:r>
    </w:p>
    <w:p w14:paraId="4A45B611" w14:textId="77777777" w:rsidR="000837C4" w:rsidRDefault="000837C4" w:rsidP="00D70FB2">
      <w:pPr>
        <w:spacing w:after="0" w:line="360" w:lineRule="auto"/>
        <w:rPr>
          <w:color w:val="000000"/>
        </w:rPr>
      </w:pPr>
    </w:p>
    <w:p w14:paraId="6DC5D7CF" w14:textId="504763E9" w:rsidR="00CE58A5" w:rsidRDefault="00CE4466" w:rsidP="00D70FB2">
      <w:pPr>
        <w:tabs>
          <w:tab w:val="left" w:pos="5812"/>
        </w:tabs>
        <w:spacing w:after="0" w:line="360" w:lineRule="auto"/>
      </w:pPr>
      <w:r w:rsidRPr="004E16CA">
        <w:lastRenderedPageBreak/>
        <w:t>Lo anterior, se desprende de las documentales que obran en los expedientes de referencia, materia de la presente resolución, consistente en: la solicitud de acceso a la información; la</w:t>
      </w:r>
      <w:r w:rsidRPr="0027513C">
        <w:t xml:space="preserve"> respuesta del Sujet</w:t>
      </w:r>
      <w:r w:rsidR="00F7286E">
        <w:t>o O</w:t>
      </w:r>
      <w:r w:rsidR="00A16A8A">
        <w:t>bligado,</w:t>
      </w:r>
      <w:r w:rsidR="00F7286E">
        <w:t xml:space="preserve">  el escrito </w:t>
      </w:r>
      <w:proofErr w:type="spellStart"/>
      <w:r w:rsidR="00F7286E">
        <w:t>recursal</w:t>
      </w:r>
      <w:proofErr w:type="spellEnd"/>
      <w:r w:rsidR="00A16A8A">
        <w:t xml:space="preserve"> y el informe justificado</w:t>
      </w:r>
      <w:r w:rsidRPr="0027513C">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27513C" w:rsidRDefault="00F7286E" w:rsidP="00D70FB2">
      <w:pPr>
        <w:tabs>
          <w:tab w:val="left" w:pos="5812"/>
        </w:tabs>
        <w:spacing w:after="0" w:line="360" w:lineRule="auto"/>
      </w:pPr>
    </w:p>
    <w:p w14:paraId="276834F4" w14:textId="2C1ED29F" w:rsidR="00CE58A5" w:rsidRPr="0027513C" w:rsidRDefault="00CE4466" w:rsidP="00D70FB2">
      <w:pPr>
        <w:pStyle w:val="Ttulo2"/>
        <w:spacing w:before="0" w:after="0"/>
      </w:pPr>
      <w:bookmarkStart w:id="21" w:name="_Toc179975604"/>
      <w:bookmarkStart w:id="22" w:name="_Toc219992261"/>
      <w:r w:rsidRPr="0027513C">
        <w:t>CUARTO. Marco normativo aplicable en materia de transparencia y acceso a la información pública</w:t>
      </w:r>
      <w:bookmarkEnd w:id="21"/>
      <w:bookmarkEnd w:id="22"/>
    </w:p>
    <w:p w14:paraId="63C42A96" w14:textId="77777777" w:rsidR="00CE58A5" w:rsidRPr="0027513C" w:rsidRDefault="00CE58A5" w:rsidP="00D70FB2">
      <w:pPr>
        <w:spacing w:after="0" w:line="360" w:lineRule="auto"/>
        <w:rPr>
          <w:color w:val="000000"/>
        </w:rPr>
      </w:pPr>
    </w:p>
    <w:p w14:paraId="77A2B44D" w14:textId="77777777" w:rsidR="00CE58A5" w:rsidRPr="0027513C" w:rsidRDefault="00CE4466" w:rsidP="00D70FB2">
      <w:pPr>
        <w:spacing w:after="0" w:line="360" w:lineRule="auto"/>
        <w:rPr>
          <w:color w:val="000000"/>
        </w:rPr>
      </w:pPr>
      <w:r w:rsidRPr="002751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27513C" w:rsidRDefault="00CE58A5" w:rsidP="00D70FB2">
      <w:pPr>
        <w:spacing w:after="0" w:line="360" w:lineRule="auto"/>
        <w:rPr>
          <w:color w:val="000000"/>
        </w:rPr>
      </w:pPr>
    </w:p>
    <w:p w14:paraId="6DE9CAE0" w14:textId="77777777" w:rsidR="00CE58A5" w:rsidRPr="0027513C" w:rsidRDefault="00CE4466" w:rsidP="00D70FB2">
      <w:pPr>
        <w:spacing w:after="0" w:line="360" w:lineRule="auto"/>
        <w:rPr>
          <w:color w:val="000000"/>
        </w:rPr>
      </w:pPr>
      <w:r w:rsidRPr="0027513C">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D70FB2">
      <w:pPr>
        <w:spacing w:after="0" w:line="360" w:lineRule="auto"/>
        <w:rPr>
          <w:color w:val="000000"/>
        </w:rPr>
      </w:pPr>
    </w:p>
    <w:p w14:paraId="7EFDC0B0" w14:textId="5473D89C" w:rsidR="00CE58A5" w:rsidRPr="0027513C" w:rsidRDefault="00CE4466" w:rsidP="00D70FB2">
      <w:pPr>
        <w:spacing w:after="0" w:line="360" w:lineRule="auto"/>
        <w:rPr>
          <w:color w:val="000000"/>
        </w:rPr>
      </w:pPr>
      <w:r w:rsidRPr="0027513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D70FB2">
      <w:pPr>
        <w:spacing w:after="0" w:line="360" w:lineRule="auto"/>
        <w:rPr>
          <w:color w:val="000000"/>
        </w:rPr>
      </w:pPr>
    </w:p>
    <w:p w14:paraId="1B6E0455" w14:textId="77777777" w:rsidR="00CE58A5" w:rsidRPr="0027513C" w:rsidRDefault="00CE4466" w:rsidP="00D70FB2">
      <w:pPr>
        <w:spacing w:after="0" w:line="360" w:lineRule="auto"/>
        <w:rPr>
          <w:color w:val="000000"/>
        </w:rPr>
      </w:pPr>
      <w:r w:rsidRPr="0027513C">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D70FB2">
      <w:pPr>
        <w:spacing w:after="0" w:line="360" w:lineRule="auto"/>
        <w:rPr>
          <w:color w:val="000000"/>
        </w:rPr>
      </w:pPr>
    </w:p>
    <w:p w14:paraId="79D71702" w14:textId="77777777" w:rsidR="00CE58A5" w:rsidRPr="0027513C" w:rsidRDefault="00CE4466" w:rsidP="00D70FB2">
      <w:pPr>
        <w:spacing w:after="0" w:line="360" w:lineRule="auto"/>
        <w:rPr>
          <w:color w:val="000000"/>
        </w:rPr>
      </w:pPr>
      <w:r w:rsidRPr="0027513C">
        <w:rPr>
          <w:color w:val="000000"/>
        </w:rPr>
        <w:lastRenderedPageBreak/>
        <w:t>El artículo 12, que, quienes generen, recopilen, administren, manejen, procesen, archiven o conserven información pública serán responsables de la misma.</w:t>
      </w:r>
    </w:p>
    <w:p w14:paraId="5C34EA42" w14:textId="77777777" w:rsidR="00D51406" w:rsidRPr="0027513C" w:rsidRDefault="00D51406" w:rsidP="00D70FB2">
      <w:pPr>
        <w:spacing w:after="0" w:line="360" w:lineRule="auto"/>
        <w:rPr>
          <w:color w:val="000000"/>
        </w:rPr>
      </w:pPr>
    </w:p>
    <w:p w14:paraId="08B8B529" w14:textId="77777777" w:rsidR="00CE58A5" w:rsidRPr="0027513C" w:rsidRDefault="00CE4466" w:rsidP="00D70FB2">
      <w:pPr>
        <w:widowControl w:val="0"/>
        <w:spacing w:after="0" w:line="360" w:lineRule="auto"/>
        <w:rPr>
          <w:color w:val="000000"/>
        </w:rPr>
      </w:pPr>
      <w:r w:rsidRPr="0027513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D70FB2">
      <w:pPr>
        <w:spacing w:after="0" w:line="360" w:lineRule="auto"/>
        <w:rPr>
          <w:color w:val="000000"/>
        </w:rPr>
      </w:pPr>
    </w:p>
    <w:p w14:paraId="7EFDFF6E" w14:textId="77777777" w:rsidR="00CE58A5" w:rsidRPr="0027513C" w:rsidRDefault="00CE4466" w:rsidP="00D70FB2">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D70FB2">
      <w:pPr>
        <w:spacing w:after="0" w:line="360" w:lineRule="auto"/>
      </w:pPr>
    </w:p>
    <w:p w14:paraId="1DF82A1D" w14:textId="4C40B5A6" w:rsidR="00CE58A5" w:rsidRPr="0027513C" w:rsidRDefault="00CE4466" w:rsidP="00D70FB2">
      <w:pPr>
        <w:pStyle w:val="Ttulo2"/>
        <w:spacing w:before="0" w:after="0"/>
      </w:pPr>
      <w:bookmarkStart w:id="23" w:name="_Toc179975605"/>
      <w:bookmarkStart w:id="24" w:name="_Toc219992262"/>
      <w:r w:rsidRPr="00A50615">
        <w:rPr>
          <w:caps/>
        </w:rPr>
        <w:t>Quinto.</w:t>
      </w:r>
      <w:r w:rsidRPr="0027513C">
        <w:t xml:space="preserve"> Estudio de Fondo</w:t>
      </w:r>
      <w:bookmarkEnd w:id="23"/>
      <w:bookmarkEnd w:id="24"/>
    </w:p>
    <w:p w14:paraId="547460E4" w14:textId="77777777" w:rsidR="00CE58A5" w:rsidRPr="0027513C" w:rsidRDefault="00CE58A5" w:rsidP="00D70FB2">
      <w:pPr>
        <w:widowControl w:val="0"/>
        <w:spacing w:after="0" w:line="360" w:lineRule="auto"/>
        <w:rPr>
          <w:color w:val="000000"/>
        </w:rPr>
      </w:pPr>
    </w:p>
    <w:p w14:paraId="400ED6EA" w14:textId="591052C1" w:rsidR="008A6CBA" w:rsidRDefault="00CE4466" w:rsidP="00D70FB2">
      <w:pPr>
        <w:spacing w:after="0" w:line="360" w:lineRule="auto"/>
        <w:contextualSpacing/>
        <w:rPr>
          <w:rFonts w:eastAsia="Calibri" w:cs="Times New Roman"/>
          <w:color w:val="auto"/>
          <w:lang w:eastAsia="en-US"/>
        </w:rPr>
      </w:pPr>
      <w:r w:rsidRPr="00412A97">
        <w:rPr>
          <w:color w:val="000000"/>
        </w:rPr>
        <w:t xml:space="preserve">Expuestas las posturas de las partes, se procede al análisis del agravio hecho valer por el Recurrente, concerniente a </w:t>
      </w:r>
      <w:r w:rsidR="004E16CA" w:rsidRPr="00412A97">
        <w:rPr>
          <w:color w:val="000000"/>
        </w:rPr>
        <w:t xml:space="preserve">la </w:t>
      </w:r>
      <w:r w:rsidR="00CF6248">
        <w:rPr>
          <w:color w:val="000000"/>
        </w:rPr>
        <w:t>negativa de la información</w:t>
      </w:r>
      <w:r w:rsidRPr="00412A97">
        <w:t xml:space="preserve">, </w:t>
      </w:r>
      <w:r w:rsidRPr="00412A97">
        <w:rPr>
          <w:color w:val="000000"/>
        </w:rPr>
        <w:t xml:space="preserve">para lo cual, </w:t>
      </w:r>
      <w:r w:rsidR="00F7286E" w:rsidRPr="00412A97">
        <w:rPr>
          <w:rFonts w:eastAsia="Calibri" w:cs="Times New Roman"/>
          <w:color w:val="auto"/>
          <w:lang w:eastAsia="en-US"/>
        </w:rPr>
        <w:t>en principio es pertinente contextualizar la solicitud de información</w:t>
      </w:r>
      <w:r w:rsidR="00053BFA" w:rsidRPr="00412A97">
        <w:rPr>
          <w:rFonts w:eastAsia="Calibri" w:cs="Times New Roman"/>
          <w:color w:val="auto"/>
          <w:lang w:eastAsia="en-US"/>
        </w:rPr>
        <w:t>.</w:t>
      </w:r>
    </w:p>
    <w:p w14:paraId="04FC246A" w14:textId="77777777" w:rsidR="00910B11" w:rsidRDefault="00910B11" w:rsidP="00D70FB2">
      <w:pPr>
        <w:spacing w:after="0" w:line="360" w:lineRule="auto"/>
        <w:contextualSpacing/>
        <w:rPr>
          <w:rFonts w:eastAsia="Calibri" w:cs="Times New Roman"/>
          <w:color w:val="auto"/>
          <w:lang w:eastAsia="en-US"/>
        </w:rPr>
      </w:pPr>
    </w:p>
    <w:p w14:paraId="577BC3BB" w14:textId="77777777" w:rsidR="005C1E5B" w:rsidRDefault="005C1E5B" w:rsidP="00D70FB2">
      <w:pPr>
        <w:spacing w:after="0" w:line="360" w:lineRule="auto"/>
        <w:rPr>
          <w:b/>
          <w:color w:val="000000"/>
        </w:rPr>
      </w:pPr>
      <w:r w:rsidRPr="005C1E5B">
        <w:rPr>
          <w:color w:val="000000"/>
        </w:rPr>
        <w:t xml:space="preserve">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5C1E5B">
        <w:rPr>
          <w:b/>
          <w:color w:val="000000"/>
        </w:rPr>
        <w:t>servidores públicos a todas las personas que desempeñen un empleo, cargo o comisión en los Municipios.</w:t>
      </w:r>
    </w:p>
    <w:p w14:paraId="00D16D51" w14:textId="77777777" w:rsidR="00910B11" w:rsidRDefault="00910B11" w:rsidP="00D70FB2">
      <w:pPr>
        <w:spacing w:after="0" w:line="360" w:lineRule="auto"/>
        <w:rPr>
          <w:b/>
          <w:color w:val="000000"/>
        </w:rPr>
      </w:pPr>
    </w:p>
    <w:p w14:paraId="314A3604" w14:textId="0ECFBF5D" w:rsidR="00910B11" w:rsidRDefault="00910B11" w:rsidP="00D70FB2">
      <w:pPr>
        <w:spacing w:after="0" w:line="360" w:lineRule="auto"/>
        <w:rPr>
          <w:bCs/>
          <w:color w:val="000000"/>
        </w:rPr>
      </w:pPr>
      <w:r>
        <w:rPr>
          <w:bCs/>
          <w:color w:val="000000"/>
        </w:rPr>
        <w:lastRenderedPageBreak/>
        <w:t xml:space="preserve">En ese orden de ideas, respecto al área solicitada, este Instituto verifico la página oficial del Ayuntamiento de Toluca </w:t>
      </w:r>
      <w:r w:rsidR="000843EA">
        <w:rPr>
          <w:bCs/>
          <w:color w:val="000000"/>
        </w:rPr>
        <w:t>y localizó la Gaceta Municipal Año 2, volumen 1, de la cual se logra vislumbrar que el Cabildo cuenta con la Quinta Regiduría, cuyo titular es Víctor Armando Días Rodríguez, tal como se muestra a continuación:</w:t>
      </w:r>
    </w:p>
    <w:p w14:paraId="6D9401CA" w14:textId="77777777" w:rsidR="000843EA" w:rsidRDefault="000843EA" w:rsidP="00D70FB2">
      <w:pPr>
        <w:spacing w:after="0" w:line="360" w:lineRule="auto"/>
        <w:rPr>
          <w:bCs/>
          <w:color w:val="000000"/>
        </w:rPr>
      </w:pPr>
    </w:p>
    <w:p w14:paraId="70A121F7" w14:textId="588CFC13" w:rsidR="000843EA" w:rsidRPr="00910B11" w:rsidRDefault="000843EA" w:rsidP="000843EA">
      <w:pPr>
        <w:spacing w:after="0" w:line="360" w:lineRule="auto"/>
        <w:jc w:val="center"/>
        <w:rPr>
          <w:bCs/>
          <w:color w:val="000000"/>
        </w:rPr>
      </w:pPr>
      <w:r w:rsidRPr="000843EA">
        <w:rPr>
          <w:bCs/>
          <w:noProof/>
          <w:color w:val="000000"/>
        </w:rPr>
        <w:drawing>
          <wp:inline distT="0" distB="0" distL="0" distR="0" wp14:anchorId="33AF439D" wp14:editId="2E961B02">
            <wp:extent cx="4003901" cy="5095875"/>
            <wp:effectExtent l="0" t="0" r="0" b="0"/>
            <wp:docPr id="16958792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79263" name=""/>
                    <pic:cNvPicPr/>
                  </pic:nvPicPr>
                  <pic:blipFill>
                    <a:blip r:embed="rId11"/>
                    <a:stretch>
                      <a:fillRect/>
                    </a:stretch>
                  </pic:blipFill>
                  <pic:spPr>
                    <a:xfrm>
                      <a:off x="0" y="0"/>
                      <a:ext cx="4057850" cy="5164537"/>
                    </a:xfrm>
                    <a:prstGeom prst="rect">
                      <a:avLst/>
                    </a:prstGeom>
                  </pic:spPr>
                </pic:pic>
              </a:graphicData>
            </a:graphic>
          </wp:inline>
        </w:drawing>
      </w:r>
    </w:p>
    <w:p w14:paraId="69857BF8" w14:textId="081872C2" w:rsidR="000843EA" w:rsidRDefault="000843EA" w:rsidP="00D70FB2">
      <w:pPr>
        <w:spacing w:after="0" w:line="360" w:lineRule="auto"/>
        <w:rPr>
          <w:b/>
          <w:color w:val="000000"/>
        </w:rPr>
      </w:pPr>
    </w:p>
    <w:p w14:paraId="210BBFEB" w14:textId="3DF38CCA" w:rsidR="000843EA" w:rsidRPr="000843EA" w:rsidRDefault="000843EA" w:rsidP="00D70FB2">
      <w:pPr>
        <w:spacing w:after="0" w:line="360" w:lineRule="auto"/>
        <w:rPr>
          <w:bCs/>
          <w:color w:val="000000"/>
        </w:rPr>
      </w:pPr>
      <w:r>
        <w:rPr>
          <w:bCs/>
          <w:color w:val="000000"/>
        </w:rPr>
        <w:t>En ese sentido, este Instituto realizó una búsqueda en el Portal de Información Pública de Oficio Mexiquense y localizó que en la Quinta Regiduría están adscritos diversos servidores públicos, tal como se muestra a continuación:</w:t>
      </w:r>
    </w:p>
    <w:p w14:paraId="1860D356" w14:textId="77777777" w:rsidR="000843EA" w:rsidRDefault="000843EA" w:rsidP="00D70FB2">
      <w:pPr>
        <w:spacing w:after="0" w:line="360" w:lineRule="auto"/>
        <w:rPr>
          <w:b/>
          <w:color w:val="000000"/>
        </w:rPr>
      </w:pPr>
    </w:p>
    <w:p w14:paraId="226142E9" w14:textId="3F295814" w:rsidR="000843EA" w:rsidRDefault="000843EA" w:rsidP="000843EA">
      <w:pPr>
        <w:spacing w:after="0" w:line="360" w:lineRule="auto"/>
        <w:jc w:val="center"/>
        <w:rPr>
          <w:b/>
          <w:color w:val="000000"/>
        </w:rPr>
      </w:pPr>
      <w:r w:rsidRPr="000843EA">
        <w:rPr>
          <w:b/>
          <w:noProof/>
          <w:color w:val="000000"/>
        </w:rPr>
        <w:drawing>
          <wp:inline distT="0" distB="0" distL="0" distR="0" wp14:anchorId="3024CEA2" wp14:editId="2EAA2D22">
            <wp:extent cx="3598118" cy="5705475"/>
            <wp:effectExtent l="0" t="0" r="2540" b="0"/>
            <wp:docPr id="1978969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6941" name=""/>
                    <pic:cNvPicPr/>
                  </pic:nvPicPr>
                  <pic:blipFill>
                    <a:blip r:embed="rId12"/>
                    <a:stretch>
                      <a:fillRect/>
                    </a:stretch>
                  </pic:blipFill>
                  <pic:spPr>
                    <a:xfrm>
                      <a:off x="0" y="0"/>
                      <a:ext cx="3600451" cy="5709175"/>
                    </a:xfrm>
                    <a:prstGeom prst="rect">
                      <a:avLst/>
                    </a:prstGeom>
                  </pic:spPr>
                </pic:pic>
              </a:graphicData>
            </a:graphic>
          </wp:inline>
        </w:drawing>
      </w:r>
    </w:p>
    <w:p w14:paraId="1F2CBF17" w14:textId="77777777" w:rsidR="000843EA" w:rsidRDefault="000843EA" w:rsidP="00910B11">
      <w:pPr>
        <w:spacing w:after="0" w:line="360" w:lineRule="auto"/>
        <w:ind w:right="-28"/>
        <w:contextualSpacing/>
        <w:rPr>
          <w:rFonts w:eastAsia="Calibri" w:cs="Times New Roman"/>
          <w:lang w:eastAsia="en-US"/>
        </w:rPr>
      </w:pPr>
    </w:p>
    <w:p w14:paraId="1830D7F3" w14:textId="57207170" w:rsidR="00910B11" w:rsidRDefault="000843EA" w:rsidP="00910B11">
      <w:pPr>
        <w:spacing w:after="0" w:line="360" w:lineRule="auto"/>
        <w:ind w:right="-28"/>
        <w:contextualSpacing/>
        <w:rPr>
          <w:rFonts w:eastAsia="Times New Roman" w:cs="Tahoma"/>
          <w:color w:val="auto"/>
          <w:lang w:eastAsia="es-ES"/>
        </w:rPr>
      </w:pPr>
      <w:r>
        <w:rPr>
          <w:rFonts w:eastAsia="Calibri" w:cs="Times New Roman"/>
          <w:lang w:eastAsia="en-US"/>
        </w:rPr>
        <w:t xml:space="preserve">Ahora bien, respecto a los documentos solicitados, es necesario precisar que </w:t>
      </w:r>
      <w:r w:rsidR="00910B11" w:rsidRPr="00910B11">
        <w:rPr>
          <w:rFonts w:eastAsia="Calibri" w:cs="Times New Roman"/>
          <w:lang w:eastAsia="en-US"/>
        </w:rPr>
        <w:t xml:space="preserve">el Título profesional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w:t>
      </w:r>
      <w:r w:rsidR="00910B11" w:rsidRPr="00910B11">
        <w:rPr>
          <w:rFonts w:eastAsia="Calibri" w:cs="Times New Roman"/>
          <w:lang w:eastAsia="en-US"/>
        </w:rPr>
        <w:lastRenderedPageBreak/>
        <w:t>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r>
        <w:rPr>
          <w:rFonts w:eastAsia="Times New Roman" w:cs="Tahoma"/>
          <w:color w:val="auto"/>
          <w:lang w:eastAsia="es-ES"/>
        </w:rPr>
        <w:t>.</w:t>
      </w:r>
    </w:p>
    <w:p w14:paraId="07662DBE" w14:textId="77777777" w:rsidR="000843EA" w:rsidRDefault="000843EA" w:rsidP="00910B11">
      <w:pPr>
        <w:spacing w:after="0" w:line="360" w:lineRule="auto"/>
        <w:ind w:right="-28"/>
        <w:contextualSpacing/>
        <w:rPr>
          <w:rFonts w:eastAsia="Times New Roman" w:cs="Tahoma"/>
          <w:color w:val="auto"/>
          <w:lang w:eastAsia="es-ES"/>
        </w:rPr>
      </w:pPr>
    </w:p>
    <w:p w14:paraId="6762AD6B" w14:textId="29ADF712" w:rsidR="000843EA" w:rsidRPr="00910B11" w:rsidRDefault="000843EA" w:rsidP="00910B11">
      <w:pPr>
        <w:spacing w:after="0" w:line="360" w:lineRule="auto"/>
        <w:ind w:right="-28"/>
        <w:contextualSpacing/>
        <w:rPr>
          <w:rFonts w:eastAsia="Times New Roman" w:cs="Tahoma"/>
          <w:color w:val="auto"/>
          <w:lang w:eastAsia="es-ES"/>
        </w:rPr>
      </w:pPr>
      <w:r>
        <w:rPr>
          <w:rFonts w:eastAsia="Times New Roman" w:cs="Tahoma"/>
          <w:color w:val="auto"/>
          <w:lang w:eastAsia="es-ES"/>
        </w:rPr>
        <w:t xml:space="preserve">Lo cual se robustece con el artículo 3°, fracción IX, del </w:t>
      </w:r>
      <w:r w:rsidRPr="000843EA">
        <w:rPr>
          <w:rFonts w:eastAsia="Times New Roman" w:cs="Tahoma"/>
          <w:color w:val="auto"/>
          <w:lang w:eastAsia="es-ES"/>
        </w:rPr>
        <w:t>Reglamento de inscripción de Títulos Profesionales, Diplomas de Especialidad y Grados Académicos del Estado de México</w:t>
      </w:r>
      <w:r>
        <w:rPr>
          <w:rFonts w:eastAsia="Times New Roman" w:cs="Tahoma"/>
          <w:color w:val="auto"/>
          <w:lang w:eastAsia="es-ES"/>
        </w:rPr>
        <w:t xml:space="preserve">, que establece que el título profesional es el documento oficial otorgado por institución educativa facultada legalmente para ello, a </w:t>
      </w:r>
      <w:r w:rsidRPr="000843EA">
        <w:rPr>
          <w:rFonts w:eastAsia="Times New Roman" w:cs="Tahoma"/>
          <w:color w:val="auto"/>
          <w:lang w:eastAsia="es-ES"/>
        </w:rPr>
        <w:t xml:space="preserve">favor de la persona que haya concluido los estudios académicos y demostrado tener los conocimientos necesarios para su ejercicio profesional. </w:t>
      </w:r>
      <w:r>
        <w:rPr>
          <w:rFonts w:eastAsia="Times New Roman" w:cs="Tahoma"/>
          <w:color w:val="auto"/>
          <w:lang w:eastAsia="es-ES"/>
        </w:rPr>
        <w:t xml:space="preserve"> </w:t>
      </w:r>
    </w:p>
    <w:p w14:paraId="24D94425" w14:textId="77777777" w:rsidR="00910B11" w:rsidRPr="00910B11" w:rsidRDefault="00910B11" w:rsidP="00910B11">
      <w:pPr>
        <w:spacing w:after="0" w:line="360" w:lineRule="auto"/>
        <w:ind w:right="-28"/>
        <w:contextualSpacing/>
        <w:rPr>
          <w:rFonts w:eastAsia="Times New Roman" w:cs="Tahoma"/>
          <w:color w:val="auto"/>
          <w:lang w:eastAsia="es-ES"/>
        </w:rPr>
      </w:pPr>
    </w:p>
    <w:p w14:paraId="3E180221" w14:textId="27D00C2C" w:rsidR="00910B11" w:rsidRDefault="000843EA" w:rsidP="00910B11">
      <w:pPr>
        <w:spacing w:after="0" w:line="360" w:lineRule="auto"/>
        <w:rPr>
          <w:rFonts w:eastAsia="Calibri" w:cs="Tahoma"/>
          <w:lang w:eastAsia="en-US"/>
        </w:rPr>
      </w:pPr>
      <w:r>
        <w:rPr>
          <w:rFonts w:eastAsia="Calibri" w:cs="Tahoma"/>
          <w:lang w:eastAsia="en-US"/>
        </w:rPr>
        <w:t>Por otra parte</w:t>
      </w:r>
      <w:r w:rsidR="00910B11" w:rsidRPr="00910B11">
        <w:rPr>
          <w:rFonts w:eastAsia="Calibri" w:cs="Tahoma"/>
          <w:lang w:eastAsia="en-US"/>
        </w:rPr>
        <w:t xml:space="preserve">, la cédula profesional, es aquella expresión documental con validez legal, para certificar o demostrar que efectivamente una persona está </w:t>
      </w:r>
      <w:r w:rsidRPr="00910B11">
        <w:rPr>
          <w:rFonts w:eastAsia="Calibri" w:cs="Tahoma"/>
          <w:lang w:eastAsia="en-US"/>
        </w:rPr>
        <w:t>calificada</w:t>
      </w:r>
      <w:r w:rsidR="00910B11" w:rsidRPr="00910B11">
        <w:rPr>
          <w:rFonts w:eastAsia="Calibri" w:cs="Tahoma"/>
          <w:lang w:eastAsia="en-US"/>
        </w:rPr>
        <w:t xml:space="preserve"> para ejercer la profesión para la cual se ha preparado y ha recibido un título profesional, conforme a lo referido en la página oficial de la Secretaría de Educación Pública (consultada el once de octubre de dos mil veintitrés, a las quince horas, en la liga </w:t>
      </w:r>
      <w:hyperlink r:id="rId13" w:history="1">
        <w:r w:rsidR="00910B11" w:rsidRPr="00910B11">
          <w:rPr>
            <w:rFonts w:eastAsia="Calibri" w:cs="Tahoma"/>
            <w:color w:val="0563C1" w:themeColor="hyperlink"/>
            <w:u w:val="single"/>
            <w:lang w:eastAsia="en-US"/>
          </w:rPr>
          <w:t>http://consultatucedula.mx/</w:t>
        </w:r>
      </w:hyperlink>
      <w:r w:rsidR="00910B11" w:rsidRPr="00910B11">
        <w:rPr>
          <w:rFonts w:eastAsia="Calibri" w:cs="Tahoma"/>
          <w:lang w:eastAsia="en-US"/>
        </w:rPr>
        <w:t>).</w:t>
      </w:r>
    </w:p>
    <w:p w14:paraId="30645FCA" w14:textId="77777777" w:rsidR="00910B11" w:rsidRDefault="00910B11" w:rsidP="00910B11">
      <w:pPr>
        <w:spacing w:after="0" w:line="360" w:lineRule="auto"/>
        <w:rPr>
          <w:rFonts w:eastAsia="Calibri" w:cs="Tahoma"/>
          <w:lang w:eastAsia="en-US"/>
        </w:rPr>
      </w:pPr>
    </w:p>
    <w:p w14:paraId="5AB2B1B9" w14:textId="649CD90D" w:rsidR="00910B11" w:rsidRPr="00910B11" w:rsidRDefault="000843EA" w:rsidP="00910B11">
      <w:pPr>
        <w:spacing w:after="0" w:line="360" w:lineRule="auto"/>
        <w:rPr>
          <w:rFonts w:eastAsia="Calibri" w:cs="Tahoma"/>
          <w:lang w:eastAsia="en-US"/>
        </w:rPr>
      </w:pPr>
      <w:r>
        <w:rPr>
          <w:rFonts w:eastAsia="Times New Roman" w:cs="Tahoma"/>
          <w:color w:val="auto"/>
          <w:lang w:eastAsia="es-ES"/>
        </w:rPr>
        <w:t xml:space="preserve">Lo cual toma sustento el artículo 3°, fracción I, del </w:t>
      </w:r>
      <w:r w:rsidRPr="000843EA">
        <w:rPr>
          <w:rFonts w:eastAsia="Times New Roman" w:cs="Tahoma"/>
          <w:color w:val="auto"/>
          <w:lang w:eastAsia="es-ES"/>
        </w:rPr>
        <w:t>Reglamento de inscripción de Títulos Profesionales, Diplomas de Especialidad y Grados Académicos del Estado de México</w:t>
      </w:r>
      <w:r>
        <w:rPr>
          <w:rFonts w:eastAsia="Times New Roman" w:cs="Tahoma"/>
          <w:color w:val="auto"/>
          <w:lang w:eastAsia="es-ES"/>
        </w:rPr>
        <w:t>,</w:t>
      </w:r>
      <w:r w:rsidR="00D83F51">
        <w:rPr>
          <w:rFonts w:eastAsia="Times New Roman" w:cs="Tahoma"/>
          <w:color w:val="auto"/>
          <w:lang w:eastAsia="es-ES"/>
        </w:rPr>
        <w:t xml:space="preserve"> el cual precisa que es la cédula física o electrónica, con efectos de patente para el ejercicio profesional.</w:t>
      </w:r>
    </w:p>
    <w:p w14:paraId="3A1678CA" w14:textId="77777777" w:rsidR="00910B11" w:rsidRPr="00910B11" w:rsidRDefault="00910B11" w:rsidP="00910B11">
      <w:pPr>
        <w:spacing w:after="0" w:line="360" w:lineRule="auto"/>
        <w:ind w:right="-28"/>
        <w:contextualSpacing/>
        <w:rPr>
          <w:rFonts w:eastAsia="Times New Roman" w:cs="Tahoma"/>
          <w:color w:val="auto"/>
          <w:lang w:eastAsia="es-ES"/>
        </w:rPr>
      </w:pPr>
    </w:p>
    <w:p w14:paraId="15999E7A" w14:textId="48C7E886" w:rsidR="00910B11" w:rsidRPr="00D83F51" w:rsidRDefault="00910B11" w:rsidP="00D70FB2">
      <w:pPr>
        <w:spacing w:after="0" w:line="360" w:lineRule="auto"/>
        <w:rPr>
          <w:rFonts w:eastAsia="Calibri" w:cs="Times New Roman"/>
          <w:bCs/>
          <w:lang w:eastAsia="en-US"/>
        </w:rPr>
      </w:pPr>
      <w:r w:rsidRPr="00910B11">
        <w:rPr>
          <w:rFonts w:eastAsia="Calibri" w:cs="Times New Roman"/>
          <w:lang w:eastAsia="en-US"/>
        </w:rPr>
        <w:t xml:space="preserve">Así, los documentos que </w:t>
      </w:r>
      <w:r w:rsidRPr="00910B11">
        <w:rPr>
          <w:rFonts w:eastAsia="Calibri" w:cs="Times New Roman"/>
          <w:bCs/>
          <w:lang w:eastAsia="en-US"/>
        </w:rPr>
        <w:t xml:space="preserve">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2B4C8DA3" w14:textId="77777777" w:rsidR="00D83F51" w:rsidRDefault="00D83F51" w:rsidP="00D70FB2">
      <w:pPr>
        <w:spacing w:after="0" w:line="360" w:lineRule="auto"/>
        <w:rPr>
          <w:rFonts w:eastAsia="Calibri" w:cs="Times New Roman"/>
          <w:b/>
          <w:lang w:eastAsia="en-US"/>
        </w:rPr>
      </w:pPr>
    </w:p>
    <w:p w14:paraId="36434BAA" w14:textId="5AD28C84" w:rsidR="00D83F51" w:rsidRDefault="00D83F51" w:rsidP="00D70FB2">
      <w:pPr>
        <w:spacing w:after="0" w:line="360" w:lineRule="auto"/>
        <w:rPr>
          <w:rFonts w:eastAsia="Calibri" w:cs="Times New Roman"/>
          <w:bCs/>
          <w:lang w:eastAsia="en-US"/>
        </w:rPr>
      </w:pPr>
      <w:r>
        <w:rPr>
          <w:rFonts w:eastAsia="Calibri" w:cs="Times New Roman"/>
          <w:bCs/>
          <w:lang w:eastAsia="en-US"/>
        </w:rPr>
        <w:lastRenderedPageBreak/>
        <w:t>En ese contexto, el artículo 11.11 del Código Reglamentario Municipal de Toluca, con relación al Manual de Procesamientos de la Dirección General de Administración</w:t>
      </w:r>
      <w:r w:rsidR="00602DD4">
        <w:rPr>
          <w:rFonts w:eastAsia="Calibri" w:cs="Times New Roman"/>
          <w:bCs/>
          <w:lang w:eastAsia="en-US"/>
        </w:rPr>
        <w:t>, precisa que se contratará a los aspirantes que reúnan con diversos requisitos, entre los cuales se encuentra la entrega del comprobante del grado máximo de estudios, los cuales serán integrados a los expedientes de personal.</w:t>
      </w:r>
    </w:p>
    <w:p w14:paraId="303B094C" w14:textId="77777777" w:rsidR="00602DD4" w:rsidRDefault="00602DD4" w:rsidP="00D70FB2">
      <w:pPr>
        <w:spacing w:after="0" w:line="360" w:lineRule="auto"/>
        <w:rPr>
          <w:rFonts w:eastAsia="Calibri" w:cs="Times New Roman"/>
          <w:bCs/>
          <w:lang w:eastAsia="en-US"/>
        </w:rPr>
      </w:pPr>
    </w:p>
    <w:p w14:paraId="30A9D9C4" w14:textId="19D6CABE" w:rsidR="00602DD4" w:rsidRPr="00602DD4" w:rsidRDefault="00602DD4" w:rsidP="00602DD4">
      <w:pPr>
        <w:tabs>
          <w:tab w:val="left" w:pos="4962"/>
        </w:tabs>
        <w:spacing w:after="0" w:line="360" w:lineRule="auto"/>
        <w:rPr>
          <w:rFonts w:eastAsia="Calibri" w:cs="Tahoma"/>
          <w:bCs/>
          <w:color w:val="auto"/>
          <w:lang w:eastAsia="es-ES"/>
        </w:rPr>
      </w:pPr>
      <w:r w:rsidRPr="00602DD4">
        <w:rPr>
          <w:rFonts w:eastAsia="Calibri" w:cs="Tahoma"/>
          <w:bCs/>
          <w:color w:val="auto"/>
          <w:lang w:eastAsia="es-ES"/>
        </w:rPr>
        <w:t xml:space="preserve">Ahora bien, respecto del </w:t>
      </w:r>
      <w:r w:rsidRPr="00602DD4">
        <w:rPr>
          <w:rFonts w:eastAsia="Calibri" w:cs="Tahoma"/>
          <w:bCs/>
          <w:i/>
          <w:iCs/>
          <w:color w:val="auto"/>
          <w:lang w:eastAsia="es-ES"/>
        </w:rPr>
        <w:t>currículum vitae,</w:t>
      </w:r>
      <w:r w:rsidRPr="00602DD4">
        <w:rPr>
          <w:rFonts w:eastAsia="Calibri" w:cs="Tahoma"/>
          <w:bCs/>
          <w:color w:val="auto"/>
          <w:lang w:eastAsia="es-ES"/>
        </w:rPr>
        <w:t xml:space="preserve"> </w:t>
      </w:r>
      <w:r>
        <w:rPr>
          <w:rFonts w:eastAsia="Calibri" w:cs="Tahoma"/>
          <w:bCs/>
          <w:color w:val="auto"/>
          <w:lang w:eastAsia="es-ES"/>
        </w:rPr>
        <w:t>este corresponde a</w:t>
      </w:r>
      <w:r w:rsidRPr="00602DD4">
        <w:rPr>
          <w:rFonts w:eastAsia="Calibri" w:cs="Tahoma"/>
          <w:bCs/>
          <w:color w:val="auto"/>
          <w:lang w:eastAsia="es-ES"/>
        </w:rPr>
        <w:t xml:space="preserv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7F1408F2" w14:textId="77777777" w:rsidR="00602DD4" w:rsidRPr="00602DD4" w:rsidRDefault="00602DD4" w:rsidP="00602DD4">
      <w:pPr>
        <w:tabs>
          <w:tab w:val="left" w:pos="4962"/>
        </w:tabs>
        <w:spacing w:after="0" w:line="360" w:lineRule="auto"/>
        <w:rPr>
          <w:rFonts w:eastAsia="Calibri" w:cs="Tahoma"/>
          <w:bCs/>
          <w:color w:val="auto"/>
          <w:lang w:eastAsia="es-ES"/>
        </w:rPr>
      </w:pPr>
    </w:p>
    <w:p w14:paraId="3EA81676" w14:textId="77777777" w:rsidR="00602DD4" w:rsidRPr="00602DD4" w:rsidRDefault="00602DD4" w:rsidP="00602DD4">
      <w:pPr>
        <w:tabs>
          <w:tab w:val="left" w:pos="4962"/>
        </w:tabs>
        <w:spacing w:after="0" w:line="360" w:lineRule="auto"/>
        <w:rPr>
          <w:rFonts w:eastAsia="Calibri" w:cs="Tahoma"/>
          <w:bCs/>
          <w:color w:val="auto"/>
          <w:lang w:eastAsia="es-ES"/>
        </w:rPr>
      </w:pPr>
      <w:r w:rsidRPr="00602DD4">
        <w:rPr>
          <w:rFonts w:eastAsia="Calibri" w:cs="Tahoma"/>
          <w:bCs/>
          <w:color w:val="auto"/>
          <w:lang w:eastAsia="es-ES"/>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51729218" w14:textId="77777777" w:rsidR="00602DD4" w:rsidRPr="00602DD4" w:rsidRDefault="00602DD4" w:rsidP="00602DD4">
      <w:pPr>
        <w:tabs>
          <w:tab w:val="left" w:pos="4962"/>
        </w:tabs>
        <w:spacing w:after="0" w:line="360" w:lineRule="auto"/>
        <w:rPr>
          <w:rFonts w:eastAsia="Calibri" w:cs="Tahoma"/>
          <w:bCs/>
          <w:color w:val="auto"/>
          <w:lang w:eastAsia="es-ES"/>
        </w:rPr>
      </w:pPr>
    </w:p>
    <w:p w14:paraId="335B8BC5" w14:textId="77777777" w:rsidR="00602DD4" w:rsidRPr="00602DD4" w:rsidRDefault="00602DD4" w:rsidP="00602DD4">
      <w:pPr>
        <w:tabs>
          <w:tab w:val="left" w:pos="4962"/>
        </w:tabs>
        <w:spacing w:after="0" w:line="360" w:lineRule="auto"/>
        <w:rPr>
          <w:rFonts w:eastAsia="Calibri" w:cs="Tahoma"/>
          <w:bCs/>
          <w:color w:val="auto"/>
          <w:lang w:eastAsia="es-ES"/>
        </w:rPr>
      </w:pPr>
      <w:r w:rsidRPr="00602DD4">
        <w:rPr>
          <w:rFonts w:eastAsia="Calibri" w:cs="Tahoma"/>
          <w:bCs/>
          <w:color w:val="auto"/>
          <w:lang w:eastAsia="es-ES"/>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14:paraId="5A0DD15E" w14:textId="77777777" w:rsidR="00602DD4" w:rsidRPr="00602DD4" w:rsidRDefault="00602DD4" w:rsidP="00602DD4">
      <w:pPr>
        <w:tabs>
          <w:tab w:val="left" w:pos="4962"/>
        </w:tabs>
        <w:spacing w:after="0" w:line="360" w:lineRule="auto"/>
        <w:rPr>
          <w:rFonts w:eastAsia="Calibri" w:cs="Tahoma"/>
          <w:bCs/>
          <w:color w:val="auto"/>
          <w:lang w:eastAsia="es-ES"/>
        </w:rPr>
      </w:pPr>
    </w:p>
    <w:p w14:paraId="5F25E3F4" w14:textId="77777777" w:rsidR="00602DD4" w:rsidRPr="00602DD4" w:rsidRDefault="00602DD4" w:rsidP="00602DD4">
      <w:pPr>
        <w:tabs>
          <w:tab w:val="left" w:pos="4962"/>
        </w:tabs>
        <w:spacing w:after="0" w:line="360" w:lineRule="auto"/>
        <w:rPr>
          <w:rFonts w:eastAsia="Calibri" w:cs="Tahoma"/>
          <w:bCs/>
          <w:color w:val="auto"/>
          <w:lang w:eastAsia="es-ES"/>
        </w:rPr>
      </w:pPr>
      <w:r w:rsidRPr="00602DD4">
        <w:rPr>
          <w:rFonts w:eastAsia="Calibri" w:cs="Tahoma"/>
          <w:bCs/>
          <w:color w:val="auto"/>
          <w:lang w:eastAsia="es-ES"/>
        </w:rPr>
        <w:t>En ese contexto, según Islas, Jorge (2016), en la “Ley General de Transparencia y Acceso a la Información Pública Comentada, vigente a la fecha de la solicitud” (p. 244), refirió que el currículum vitae de un servidor público, justifica que su formación académica resulta viable para el desempeño eficiente y correcto de su encargo; lo anterior, con el fin de acreditar que dichos trabajadores sean los más capacitados acordes al área solicitada.</w:t>
      </w:r>
    </w:p>
    <w:p w14:paraId="4BA6FB8E" w14:textId="77777777" w:rsidR="00602DD4" w:rsidRPr="00602DD4" w:rsidRDefault="00602DD4" w:rsidP="00602DD4">
      <w:pPr>
        <w:tabs>
          <w:tab w:val="left" w:pos="4962"/>
        </w:tabs>
        <w:spacing w:after="0" w:line="360" w:lineRule="auto"/>
        <w:rPr>
          <w:rFonts w:eastAsia="Calibri" w:cs="Tahoma"/>
          <w:bCs/>
          <w:color w:val="auto"/>
          <w:lang w:eastAsia="es-ES"/>
        </w:rPr>
      </w:pPr>
    </w:p>
    <w:p w14:paraId="600D5059" w14:textId="77777777" w:rsidR="00602DD4" w:rsidRPr="00602DD4" w:rsidRDefault="00602DD4" w:rsidP="00602DD4">
      <w:pPr>
        <w:tabs>
          <w:tab w:val="left" w:pos="4962"/>
        </w:tabs>
        <w:spacing w:after="0" w:line="360" w:lineRule="auto"/>
        <w:rPr>
          <w:rFonts w:eastAsia="Calibri" w:cs="Tahoma"/>
          <w:bCs/>
          <w:color w:val="auto"/>
          <w:lang w:eastAsia="es-ES"/>
        </w:rPr>
      </w:pPr>
      <w:r w:rsidRPr="00602DD4">
        <w:rPr>
          <w:rFonts w:eastAsia="Calibri" w:cs="Tahoma"/>
          <w:bCs/>
          <w:color w:val="auto"/>
          <w:lang w:eastAsia="es-ES"/>
        </w:rPr>
        <w:t>En el mismo sentido, el Criterio Orientador, de la Tercera de Época, con número de registro SO/007/2023, emitido por el Instituto Nacional de Transparencia, Acceso a la Información y Protección de Datos Personales, vigente a la fecha de la solicitud, establece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pericia para ocupar el puesto público. Lo anterior, para favorecer la rendición de cuentas, pues la publicidad de lo anterior tiene como fin verificar el correcto desempeño de los sujetos obligados.</w:t>
      </w:r>
    </w:p>
    <w:p w14:paraId="7A639F60" w14:textId="77777777" w:rsidR="00602DD4" w:rsidRDefault="00602DD4" w:rsidP="00D70FB2">
      <w:pPr>
        <w:spacing w:after="0" w:line="360" w:lineRule="auto"/>
        <w:rPr>
          <w:rFonts w:eastAsia="Calibri" w:cs="Times New Roman"/>
          <w:bCs/>
          <w:lang w:eastAsia="en-US"/>
        </w:rPr>
      </w:pPr>
    </w:p>
    <w:p w14:paraId="008FBD2D" w14:textId="7FB52CC1" w:rsidR="00602DD4" w:rsidRPr="00602DD4" w:rsidRDefault="00602DD4" w:rsidP="00602DD4">
      <w:pPr>
        <w:spacing w:after="0" w:line="360" w:lineRule="auto"/>
        <w:rPr>
          <w:rFonts w:eastAsia="Calibri" w:cs="Times New Roman"/>
          <w:bCs/>
          <w:lang w:eastAsia="en-US"/>
        </w:rPr>
      </w:pPr>
      <w:r>
        <w:rPr>
          <w:rFonts w:eastAsia="Calibri" w:cs="Times New Roman"/>
          <w:bCs/>
          <w:lang w:eastAsia="en-US"/>
        </w:rPr>
        <w:t xml:space="preserve">En ese contexto, el artículo 11.11 del Código Reglamentario Municipal de Toluca, con relación al Manual de Procesamientos de la Dirección General de Administración, precisa que se contratará a los aspirantes que reúnan con diversos requisitos, entre los </w:t>
      </w:r>
      <w:r w:rsidR="00506582">
        <w:rPr>
          <w:rFonts w:eastAsia="Calibri" w:cs="Times New Roman"/>
          <w:bCs/>
          <w:lang w:eastAsia="en-US"/>
        </w:rPr>
        <w:t>cuales,</w:t>
      </w:r>
      <w:r>
        <w:rPr>
          <w:rFonts w:eastAsia="Calibri" w:cs="Times New Roman"/>
          <w:bCs/>
          <w:lang w:eastAsia="en-US"/>
        </w:rPr>
        <w:t xml:space="preserve"> para acreditar su información curricular, podrán proporcionar el </w:t>
      </w:r>
      <w:r>
        <w:rPr>
          <w:rFonts w:eastAsia="Calibri" w:cs="Times New Roman"/>
          <w:bCs/>
          <w:i/>
          <w:iCs/>
          <w:lang w:eastAsia="en-US"/>
        </w:rPr>
        <w:t xml:space="preserve">currículum vitae </w:t>
      </w:r>
      <w:r>
        <w:rPr>
          <w:rFonts w:eastAsia="Calibri" w:cs="Times New Roman"/>
          <w:bCs/>
          <w:lang w:eastAsia="en-US"/>
        </w:rPr>
        <w:t>o la solicitud de empleo</w:t>
      </w:r>
      <w:r w:rsidR="00506582">
        <w:rPr>
          <w:rFonts w:eastAsia="Calibri" w:cs="Times New Roman"/>
          <w:bCs/>
          <w:lang w:eastAsia="en-US"/>
        </w:rPr>
        <w:t xml:space="preserve"> (los cuales deben contener la información académica y los últimos tres empleos)</w:t>
      </w:r>
      <w:r>
        <w:rPr>
          <w:rFonts w:eastAsia="Calibri" w:cs="Times New Roman"/>
          <w:bCs/>
          <w:lang w:eastAsia="en-US"/>
        </w:rPr>
        <w:t>.</w:t>
      </w:r>
    </w:p>
    <w:p w14:paraId="663BC443" w14:textId="77777777" w:rsidR="00602DD4" w:rsidRDefault="00602DD4" w:rsidP="00602DD4">
      <w:pPr>
        <w:spacing w:after="0" w:line="360" w:lineRule="auto"/>
        <w:rPr>
          <w:rFonts w:eastAsia="Calibri" w:cs="Times New Roman"/>
          <w:bCs/>
          <w:lang w:eastAsia="en-US"/>
        </w:rPr>
      </w:pPr>
    </w:p>
    <w:p w14:paraId="6C03DED8" w14:textId="77777777" w:rsidR="00602DD4" w:rsidRPr="00602DD4" w:rsidRDefault="00602DD4" w:rsidP="00602DD4">
      <w:pPr>
        <w:widowControl w:val="0"/>
        <w:spacing w:after="0" w:line="360" w:lineRule="auto"/>
        <w:rPr>
          <w:b/>
          <w:color w:val="FF0000"/>
        </w:rPr>
      </w:pPr>
      <w:r w:rsidRPr="00602DD4">
        <w:t>En tal sentido,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p>
    <w:p w14:paraId="6B88F29C" w14:textId="77777777" w:rsidR="00602DD4" w:rsidRPr="00602DD4" w:rsidRDefault="00602DD4" w:rsidP="00602DD4">
      <w:pPr>
        <w:widowControl w:val="0"/>
        <w:spacing w:after="0" w:line="360" w:lineRule="auto"/>
        <w:rPr>
          <w:b/>
          <w:color w:val="FF0000"/>
        </w:rPr>
      </w:pPr>
    </w:p>
    <w:p w14:paraId="7FD04B78" w14:textId="77777777" w:rsidR="00602DD4" w:rsidRPr="00602DD4" w:rsidRDefault="00602DD4" w:rsidP="00602DD4">
      <w:pPr>
        <w:spacing w:after="0" w:line="360" w:lineRule="auto"/>
        <w:ind w:right="-28"/>
        <w:contextualSpacing/>
        <w:rPr>
          <w:rFonts w:eastAsia="Calibri" w:cs="Tahoma"/>
          <w:bCs/>
          <w:lang w:val="es-ES"/>
        </w:rPr>
      </w:pPr>
      <w:r w:rsidRPr="00602DD4">
        <w:rPr>
          <w:rFonts w:eastAsia="Calibri" w:cs="Tahoma"/>
          <w:bCs/>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4EC4416" w14:textId="77777777" w:rsidR="00602DD4" w:rsidRPr="00602DD4" w:rsidRDefault="00602DD4" w:rsidP="00602DD4">
      <w:pPr>
        <w:widowControl w:val="0"/>
        <w:spacing w:after="0" w:line="360" w:lineRule="auto"/>
        <w:rPr>
          <w:b/>
          <w:color w:val="FF0000"/>
          <w:lang w:val="es-ES"/>
        </w:rPr>
      </w:pPr>
    </w:p>
    <w:p w14:paraId="26FCE5D2" w14:textId="77777777" w:rsidR="00602DD4" w:rsidRPr="00602DD4" w:rsidRDefault="00602DD4" w:rsidP="00602DD4">
      <w:pPr>
        <w:widowControl w:val="0"/>
        <w:spacing w:after="0" w:line="360" w:lineRule="auto"/>
        <w:rPr>
          <w:color w:val="auto"/>
        </w:rPr>
      </w:pPr>
      <w:r w:rsidRPr="00602DD4">
        <w:rPr>
          <w:color w:val="auto"/>
        </w:rPr>
        <w:lastRenderedPageBreak/>
        <w:t>Además,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F097D6F" w14:textId="77777777" w:rsidR="00602DD4" w:rsidRPr="00602DD4" w:rsidRDefault="00602DD4" w:rsidP="00602DD4">
      <w:pPr>
        <w:widowControl w:val="0"/>
        <w:spacing w:after="0" w:line="360" w:lineRule="auto"/>
        <w:rPr>
          <w:b/>
          <w:color w:val="auto"/>
        </w:rPr>
      </w:pPr>
    </w:p>
    <w:p w14:paraId="3A1DE47D" w14:textId="77777777" w:rsidR="00602DD4" w:rsidRPr="00602DD4" w:rsidRDefault="00602DD4" w:rsidP="00602DD4">
      <w:pPr>
        <w:spacing w:after="0" w:line="360" w:lineRule="auto"/>
        <w:ind w:right="-28"/>
        <w:contextualSpacing/>
        <w:rPr>
          <w:rFonts w:eastAsia="Calibri" w:cs="Tahoma"/>
          <w:bCs/>
          <w:lang w:val="es-ES"/>
        </w:rPr>
      </w:pPr>
      <w:r w:rsidRPr="00602DD4">
        <w:rPr>
          <w:bCs/>
          <w:color w:val="auto"/>
        </w:rPr>
        <w:t xml:space="preserve">En ese contexto, </w:t>
      </w:r>
      <w:r w:rsidRPr="00602DD4">
        <w:rPr>
          <w:rFonts w:eastAsia="Calibri" w:cs="Tahoma"/>
          <w:bCs/>
          <w:lang w:val="es-ES"/>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precisan que los Sujetos Obligados deben de publicar de todos los servidores públicos de base, de confianza, integrantes, miembros de la institución y toda personal que desempeñe un empleo, cargo o comisión o realice actos de autoridad, </w:t>
      </w:r>
      <w:r w:rsidRPr="00602DD4">
        <w:rPr>
          <w:rFonts w:eastAsia="Calibri" w:cs="Tahoma"/>
          <w:b/>
          <w:lang w:val="es-ES"/>
        </w:rPr>
        <w:t>la remuneración bruta y neta</w:t>
      </w:r>
      <w:r w:rsidRPr="00602DD4">
        <w:rPr>
          <w:rFonts w:eastAsia="Calibri" w:cs="Tahoma"/>
          <w:bCs/>
          <w:lang w:val="es-ES"/>
        </w:rPr>
        <w:t>, así como, todas las percepciones en efectivo o en especie, que incluya sueldos, prestaciones, gratificaciones, primas, comisiones, dietas, bonos, estímulos, apoyos económicos, ingresos de sistemas de compensación, entre otros, que incluya la periodicidad de la remuneración.</w:t>
      </w:r>
    </w:p>
    <w:p w14:paraId="50C3FB42" w14:textId="77777777" w:rsidR="00602DD4" w:rsidRDefault="00602DD4" w:rsidP="00D70FB2">
      <w:pPr>
        <w:spacing w:after="0" w:line="360" w:lineRule="auto"/>
        <w:rPr>
          <w:rFonts w:eastAsia="Calibri" w:cs="Times New Roman"/>
          <w:bCs/>
          <w:lang w:val="es-ES" w:eastAsia="en-US"/>
        </w:rPr>
      </w:pPr>
    </w:p>
    <w:p w14:paraId="4DBE772F" w14:textId="16266BA0" w:rsidR="00602DD4" w:rsidRDefault="00602DD4" w:rsidP="00D70FB2">
      <w:pPr>
        <w:spacing w:after="0" w:line="360" w:lineRule="auto"/>
        <w:rPr>
          <w:rFonts w:eastAsia="Calibri" w:cs="Times New Roman"/>
          <w:bCs/>
          <w:lang w:val="es-ES" w:eastAsia="en-US"/>
        </w:rPr>
      </w:pPr>
      <w:r>
        <w:rPr>
          <w:rFonts w:eastAsia="Calibri" w:cs="Times New Roman"/>
          <w:bCs/>
          <w:lang w:val="es-ES" w:eastAsia="en-US"/>
        </w:rPr>
        <w:t>Conforme a lo anterior, se logra vislumbrar que el Sujeto Obligado cuenta con competencia para conocer de los solicitado, pues tiene el área requerida y debe generar los expedientes de personal, de los servidores públicos adscritos a esta</w:t>
      </w:r>
      <w:r w:rsidR="00613944">
        <w:rPr>
          <w:rFonts w:eastAsia="Calibri" w:cs="Times New Roman"/>
          <w:bCs/>
          <w:lang w:val="es-ES" w:eastAsia="en-US"/>
        </w:rPr>
        <w:t>; aunado a que la pretensión de la persona Recurrente es obtener de los servidores públicos adscritos a la Quinta Regiduría, en funciones al veinte de enero de dos mil veintiséis, lo siguiente:</w:t>
      </w:r>
    </w:p>
    <w:p w14:paraId="7E36F9A9" w14:textId="77777777" w:rsidR="00613944" w:rsidRDefault="00613944" w:rsidP="00D70FB2">
      <w:pPr>
        <w:spacing w:after="0" w:line="360" w:lineRule="auto"/>
        <w:rPr>
          <w:rFonts w:eastAsia="Calibri" w:cs="Times New Roman"/>
          <w:bCs/>
          <w:lang w:val="es-ES" w:eastAsia="en-US"/>
        </w:rPr>
      </w:pPr>
    </w:p>
    <w:p w14:paraId="1D2CD518" w14:textId="661EF775" w:rsidR="00613944" w:rsidRDefault="00613944" w:rsidP="00613944">
      <w:pPr>
        <w:pStyle w:val="Prrafodelista"/>
        <w:numPr>
          <w:ilvl w:val="0"/>
          <w:numId w:val="44"/>
        </w:numPr>
        <w:spacing w:line="360" w:lineRule="auto"/>
        <w:rPr>
          <w:rFonts w:eastAsia="Calibri"/>
          <w:bCs/>
          <w:lang w:val="es-ES" w:eastAsia="en-US"/>
        </w:rPr>
      </w:pPr>
      <w:r>
        <w:rPr>
          <w:rFonts w:eastAsia="Calibri"/>
          <w:bCs/>
          <w:lang w:val="es-ES" w:eastAsia="en-US"/>
        </w:rPr>
        <w:t>El título y cédula profesional;</w:t>
      </w:r>
    </w:p>
    <w:p w14:paraId="50AD0D57" w14:textId="48801445" w:rsidR="00613944" w:rsidRDefault="00613944" w:rsidP="00506582">
      <w:pPr>
        <w:pStyle w:val="Prrafodelista"/>
        <w:numPr>
          <w:ilvl w:val="0"/>
          <w:numId w:val="44"/>
        </w:numPr>
        <w:spacing w:line="360" w:lineRule="auto"/>
        <w:jc w:val="left"/>
        <w:rPr>
          <w:rFonts w:eastAsia="Calibri"/>
          <w:bCs/>
          <w:lang w:val="es-ES" w:eastAsia="en-US"/>
        </w:rPr>
      </w:pPr>
      <w:r>
        <w:rPr>
          <w:rFonts w:eastAsia="Calibri"/>
          <w:bCs/>
          <w:lang w:val="es-ES" w:eastAsia="en-US"/>
        </w:rPr>
        <w:t>La información curricular</w:t>
      </w:r>
      <w:r w:rsidR="00496999">
        <w:rPr>
          <w:rFonts w:eastAsia="Calibri"/>
          <w:bCs/>
          <w:lang w:val="es-ES" w:eastAsia="en-US"/>
        </w:rPr>
        <w:t xml:space="preserve"> (</w:t>
      </w:r>
      <w:r w:rsidR="00496999">
        <w:rPr>
          <w:rFonts w:eastAsia="Calibri"/>
          <w:bCs/>
          <w:i/>
          <w:iCs/>
          <w:lang w:val="es-ES" w:eastAsia="en-US"/>
        </w:rPr>
        <w:t>currículu</w:t>
      </w:r>
      <w:r w:rsidR="00506582">
        <w:rPr>
          <w:rFonts w:eastAsia="Calibri"/>
          <w:bCs/>
          <w:i/>
          <w:iCs/>
          <w:lang w:val="es-ES" w:eastAsia="en-US"/>
        </w:rPr>
        <w:t xml:space="preserve">m, </w:t>
      </w:r>
      <w:r w:rsidR="00506582">
        <w:rPr>
          <w:rFonts w:eastAsia="Calibri"/>
          <w:bCs/>
          <w:lang w:val="es-ES" w:eastAsia="en-US"/>
        </w:rPr>
        <w:t>ficha curricular o solicitud de empleo</w:t>
      </w:r>
      <w:r w:rsidR="00496999">
        <w:rPr>
          <w:rFonts w:eastAsia="Calibri"/>
          <w:bCs/>
          <w:lang w:val="es-ES" w:eastAsia="en-US"/>
        </w:rPr>
        <w:t>)</w:t>
      </w:r>
      <w:r>
        <w:rPr>
          <w:rFonts w:eastAsia="Calibri"/>
          <w:bCs/>
          <w:lang w:val="es-ES" w:eastAsia="en-US"/>
        </w:rPr>
        <w:t>, y</w:t>
      </w:r>
    </w:p>
    <w:p w14:paraId="0D53CE97" w14:textId="74653F2C" w:rsidR="00613944" w:rsidRPr="00613944" w:rsidRDefault="00613944" w:rsidP="00613944">
      <w:pPr>
        <w:pStyle w:val="Prrafodelista"/>
        <w:numPr>
          <w:ilvl w:val="0"/>
          <w:numId w:val="44"/>
        </w:numPr>
        <w:spacing w:line="360" w:lineRule="auto"/>
        <w:rPr>
          <w:rFonts w:eastAsia="Calibri"/>
          <w:bCs/>
          <w:lang w:val="es-ES" w:eastAsia="en-US"/>
        </w:rPr>
      </w:pPr>
      <w:r>
        <w:rPr>
          <w:rFonts w:eastAsia="Calibri"/>
          <w:bCs/>
          <w:lang w:val="es-ES" w:eastAsia="en-US"/>
        </w:rPr>
        <w:lastRenderedPageBreak/>
        <w:t>El sueldo bruto y neto mensual vigente.</w:t>
      </w:r>
    </w:p>
    <w:p w14:paraId="2C6B87BF" w14:textId="77777777" w:rsidR="00602DD4" w:rsidRDefault="00602DD4" w:rsidP="00D70FB2">
      <w:pPr>
        <w:spacing w:after="0" w:line="360" w:lineRule="auto"/>
        <w:rPr>
          <w:rFonts w:eastAsia="Calibri" w:cs="Times New Roman"/>
          <w:bCs/>
          <w:lang w:eastAsia="en-US"/>
        </w:rPr>
      </w:pPr>
    </w:p>
    <w:p w14:paraId="4E14AAEA" w14:textId="5B621B8C" w:rsidR="00524B08" w:rsidRDefault="00524B08" w:rsidP="00D70FB2">
      <w:pPr>
        <w:spacing w:after="0" w:line="360" w:lineRule="auto"/>
        <w:rPr>
          <w:color w:val="auto"/>
        </w:rPr>
      </w:pPr>
      <w:r>
        <w:rPr>
          <w:color w:val="000000"/>
        </w:rPr>
        <w:t>Ahora bien, de las constancias que obran en el expediente electrónico, se advierte que el Sujeto Obligado</w:t>
      </w:r>
      <w:r>
        <w:rPr>
          <w:color w:val="0D0D0D"/>
        </w:rPr>
        <w:t xml:space="preserve">, turnó la solicitud de información a la Dirección General de </w:t>
      </w:r>
      <w:r w:rsidR="00613944">
        <w:rPr>
          <w:color w:val="0D0D0D"/>
        </w:rPr>
        <w:t>Administración</w:t>
      </w:r>
      <w:r>
        <w:rPr>
          <w:color w:val="000000"/>
        </w:rPr>
        <w:t xml:space="preserve">; </w:t>
      </w:r>
      <w:r>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9EDBEAF" w14:textId="77777777" w:rsidR="00524B08" w:rsidRDefault="00524B08" w:rsidP="00D70FB2">
      <w:pPr>
        <w:spacing w:after="0" w:line="360" w:lineRule="auto"/>
      </w:pPr>
    </w:p>
    <w:p w14:paraId="00B8F3BA" w14:textId="17A7ED2B" w:rsidR="00524B08" w:rsidRDefault="00524B08" w:rsidP="00D70FB2">
      <w:pPr>
        <w:spacing w:after="0" w:line="360" w:lineRule="auto"/>
      </w:pPr>
      <w:r>
        <w:t xml:space="preserve">En ese sentido, </w:t>
      </w:r>
      <w:r w:rsidR="00613944">
        <w:t xml:space="preserve">el Manual de Organización de la Dirección General de Administración precisa que dicha área contara con la Dirección de Recursos Humanos, encargada de validar que se cuente con la documentación de </w:t>
      </w:r>
      <w:r w:rsidR="00613944" w:rsidRPr="00613944">
        <w:t>los requisitos establecidos por la normatividad para la contratación del personal, así mismo asegurar la integración total de los expedientes de personal para su resguardo en el archivo</w:t>
      </w:r>
      <w:r w:rsidR="00613944">
        <w:t xml:space="preserve">; así como, supervisar que las </w:t>
      </w:r>
      <w:r w:rsidR="00613944" w:rsidRPr="00613944">
        <w:t>s remuneraciones asignadas al personal del Ayuntamiento se entreguen oportunamente</w:t>
      </w:r>
      <w:r w:rsidR="00613944">
        <w:t>.</w:t>
      </w:r>
    </w:p>
    <w:p w14:paraId="4E962778" w14:textId="77777777" w:rsidR="00524B08" w:rsidRDefault="00524B08" w:rsidP="00D70FB2">
      <w:pPr>
        <w:spacing w:after="0" w:line="360" w:lineRule="auto"/>
      </w:pPr>
    </w:p>
    <w:p w14:paraId="322B0423" w14:textId="60492720" w:rsidR="00524B08" w:rsidRDefault="00524B08" w:rsidP="00613944">
      <w:pPr>
        <w:spacing w:after="0" w:line="360" w:lineRule="auto"/>
        <w:rPr>
          <w:color w:val="000000"/>
        </w:rPr>
      </w:pPr>
      <w:r>
        <w:rPr>
          <w:color w:val="000000"/>
        </w:rPr>
        <w:t xml:space="preserve">Por tal circunstancia, se advierte que </w:t>
      </w:r>
      <w:r>
        <w:t xml:space="preserve">el Sujeto Obligado cumplió el procedimiento de búsqueda </w:t>
      </w:r>
      <w:r>
        <w:rPr>
          <w:color w:val="000000"/>
        </w:rPr>
        <w:t xml:space="preserve">establecido en el artículo 162 de la Ley de Transparencia y Acceso a la Información Pública del Estado de México y Municipios, toda vez, que gestionó el requerimiento de información </w:t>
      </w:r>
      <w:r w:rsidR="00613944">
        <w:rPr>
          <w:color w:val="000000"/>
        </w:rPr>
        <w:t>al área competente</w:t>
      </w:r>
      <w:r>
        <w:rPr>
          <w:color w:val="000000"/>
        </w:rPr>
        <w:t xml:space="preserve"> para conocer de lo peticionado</w:t>
      </w:r>
      <w:r w:rsidR="00613944">
        <w:rPr>
          <w:color w:val="000000"/>
        </w:rPr>
        <w:t>; por lo que,</w:t>
      </w:r>
      <w:r>
        <w:rPr>
          <w:color w:val="000000"/>
        </w:rPr>
        <w:t xml:space="preserve"> se procede analizar la respuesta entregada por </w:t>
      </w:r>
      <w:r w:rsidR="00613944">
        <w:rPr>
          <w:color w:val="000000"/>
        </w:rPr>
        <w:t>dicha área, conforme a lo siguiente:</w:t>
      </w:r>
    </w:p>
    <w:p w14:paraId="44B8C5F6" w14:textId="77777777" w:rsidR="00613944" w:rsidRDefault="00613944" w:rsidP="00613944">
      <w:pPr>
        <w:spacing w:after="0" w:line="360" w:lineRule="auto"/>
        <w:rPr>
          <w:color w:val="000000"/>
        </w:rPr>
      </w:pPr>
    </w:p>
    <w:p w14:paraId="3659305C" w14:textId="6F28CF06" w:rsidR="00613944" w:rsidRDefault="00496999" w:rsidP="00613944">
      <w:pPr>
        <w:spacing w:after="0" w:line="360" w:lineRule="auto"/>
        <w:rPr>
          <w:b/>
          <w:bCs/>
          <w:color w:val="000000"/>
        </w:rPr>
      </w:pPr>
      <w:r w:rsidRPr="00496999">
        <w:rPr>
          <w:b/>
          <w:bCs/>
          <w:color w:val="000000"/>
        </w:rPr>
        <w:t>Información curricular y remuneraciones</w:t>
      </w:r>
    </w:p>
    <w:p w14:paraId="564C6BD1" w14:textId="77777777" w:rsidR="00496999" w:rsidRDefault="00496999" w:rsidP="00613944">
      <w:pPr>
        <w:spacing w:after="0" w:line="360" w:lineRule="auto"/>
        <w:rPr>
          <w:b/>
          <w:bCs/>
          <w:color w:val="000000"/>
        </w:rPr>
      </w:pPr>
    </w:p>
    <w:p w14:paraId="6C9480FD" w14:textId="77777777" w:rsidR="00496999" w:rsidRDefault="00496999" w:rsidP="00613944">
      <w:pPr>
        <w:spacing w:after="0" w:line="360" w:lineRule="auto"/>
        <w:rPr>
          <w:color w:val="000000"/>
        </w:rPr>
      </w:pPr>
      <w:r>
        <w:rPr>
          <w:color w:val="000000"/>
        </w:rPr>
        <w:t>Al respecto, la Dirección de Recursos Humanos señaló que la información solicitada se localizaba en dos ligas electrónicos, a las cuáles tuvo acceso el Particular, al inconformarse de que no se localizaba la información peticionada; por lo que, este Instituto accedió a la primer liga, la cual remite al apartado del artículo 92, fracción XXI, Información Curricular y Sanciones Administrativas, tal como se muestra a continuación:</w:t>
      </w:r>
    </w:p>
    <w:p w14:paraId="69852468" w14:textId="77777777" w:rsidR="00496999" w:rsidRDefault="00496999" w:rsidP="00613944">
      <w:pPr>
        <w:spacing w:after="0" w:line="360" w:lineRule="auto"/>
        <w:rPr>
          <w:color w:val="000000"/>
        </w:rPr>
      </w:pPr>
    </w:p>
    <w:p w14:paraId="0A99B2C0" w14:textId="4D997661" w:rsidR="00496999" w:rsidRPr="00496999" w:rsidRDefault="00496999" w:rsidP="00496999">
      <w:pPr>
        <w:spacing w:after="0" w:line="360" w:lineRule="auto"/>
        <w:jc w:val="center"/>
        <w:rPr>
          <w:color w:val="000000"/>
        </w:rPr>
      </w:pPr>
      <w:r w:rsidRPr="00496999">
        <w:rPr>
          <w:noProof/>
          <w:color w:val="000000"/>
        </w:rPr>
        <w:drawing>
          <wp:inline distT="0" distB="0" distL="0" distR="0" wp14:anchorId="171F9C4F" wp14:editId="7CBA31FC">
            <wp:extent cx="4173220" cy="1666875"/>
            <wp:effectExtent l="0" t="0" r="0" b="9525"/>
            <wp:docPr id="271125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25745" name=""/>
                    <pic:cNvPicPr/>
                  </pic:nvPicPr>
                  <pic:blipFill rotWithShape="1">
                    <a:blip r:embed="rId14"/>
                    <a:srcRect b="13790"/>
                    <a:stretch/>
                  </pic:blipFill>
                  <pic:spPr bwMode="auto">
                    <a:xfrm>
                      <a:off x="0" y="0"/>
                      <a:ext cx="4202694" cy="1678648"/>
                    </a:xfrm>
                    <a:prstGeom prst="rect">
                      <a:avLst/>
                    </a:prstGeom>
                    <a:ln>
                      <a:noFill/>
                    </a:ln>
                    <a:extLst>
                      <a:ext uri="{53640926-AAD7-44D8-BBD7-CCE9431645EC}">
                        <a14:shadowObscured xmlns:a14="http://schemas.microsoft.com/office/drawing/2010/main"/>
                      </a:ext>
                    </a:extLst>
                  </pic:spPr>
                </pic:pic>
              </a:graphicData>
            </a:graphic>
          </wp:inline>
        </w:drawing>
      </w:r>
    </w:p>
    <w:p w14:paraId="3637174E" w14:textId="77777777" w:rsidR="00613944" w:rsidRDefault="00613944" w:rsidP="00613944">
      <w:pPr>
        <w:spacing w:after="0" w:line="360" w:lineRule="auto"/>
        <w:rPr>
          <w:color w:val="000000"/>
        </w:rPr>
      </w:pPr>
    </w:p>
    <w:p w14:paraId="7E9BB6AC" w14:textId="58788B3F" w:rsidR="00613944" w:rsidRDefault="00496999" w:rsidP="00613944">
      <w:pPr>
        <w:spacing w:after="0" w:line="360" w:lineRule="auto"/>
        <w:rPr>
          <w:color w:val="000000"/>
        </w:rPr>
      </w:pPr>
      <w:r>
        <w:rPr>
          <w:color w:val="000000"/>
        </w:rPr>
        <w:t>En ese contexto, si bien la página remite a los registros donde se localiza la información curricular de los servidores públicos, lo cierto es que no indicó el nombre y cargo de los servidores públicos adscritos a la Quinta Regiduría, para poder localizar su ficha curricular, lo cual implica que la persona Solicitante, tendría que revisar cada uno de los registros para poder identificar cual pertenece al área solicitada, tal como se muestra en el siguiente ejemplo:</w:t>
      </w:r>
    </w:p>
    <w:p w14:paraId="6FEB636A" w14:textId="77777777" w:rsidR="00496999" w:rsidRDefault="00496999" w:rsidP="00613944">
      <w:pPr>
        <w:spacing w:after="0" w:line="360" w:lineRule="auto"/>
        <w:rPr>
          <w:color w:val="000000"/>
        </w:rPr>
      </w:pPr>
    </w:p>
    <w:p w14:paraId="41C99C12" w14:textId="3A4203DF" w:rsidR="00496999" w:rsidRDefault="00496999" w:rsidP="00496999">
      <w:pPr>
        <w:spacing w:after="0" w:line="360" w:lineRule="auto"/>
        <w:jc w:val="center"/>
        <w:rPr>
          <w:color w:val="000000"/>
        </w:rPr>
      </w:pPr>
      <w:r w:rsidRPr="00496999">
        <w:rPr>
          <w:noProof/>
          <w:color w:val="000000"/>
        </w:rPr>
        <w:lastRenderedPageBreak/>
        <w:drawing>
          <wp:inline distT="0" distB="0" distL="0" distR="0" wp14:anchorId="119B6179" wp14:editId="20C4D25C">
            <wp:extent cx="4069166" cy="2238375"/>
            <wp:effectExtent l="0" t="0" r="7620" b="0"/>
            <wp:docPr id="13651826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82641" name=""/>
                    <pic:cNvPicPr/>
                  </pic:nvPicPr>
                  <pic:blipFill rotWithShape="1">
                    <a:blip r:embed="rId15"/>
                    <a:srcRect t="31563"/>
                    <a:stretch/>
                  </pic:blipFill>
                  <pic:spPr bwMode="auto">
                    <a:xfrm>
                      <a:off x="0" y="0"/>
                      <a:ext cx="4095963" cy="2253115"/>
                    </a:xfrm>
                    <a:prstGeom prst="rect">
                      <a:avLst/>
                    </a:prstGeom>
                    <a:ln>
                      <a:noFill/>
                    </a:ln>
                    <a:extLst>
                      <a:ext uri="{53640926-AAD7-44D8-BBD7-CCE9431645EC}">
                        <a14:shadowObscured xmlns:a14="http://schemas.microsoft.com/office/drawing/2010/main"/>
                      </a:ext>
                    </a:extLst>
                  </pic:spPr>
                </pic:pic>
              </a:graphicData>
            </a:graphic>
          </wp:inline>
        </w:drawing>
      </w:r>
    </w:p>
    <w:p w14:paraId="3FA1CB0C" w14:textId="77777777" w:rsidR="00496999" w:rsidRDefault="00496999" w:rsidP="00496999">
      <w:pPr>
        <w:widowControl w:val="0"/>
        <w:autoSpaceDE w:val="0"/>
        <w:autoSpaceDN w:val="0"/>
        <w:adjustRightInd w:val="0"/>
        <w:spacing w:line="360" w:lineRule="auto"/>
        <w:contextualSpacing/>
        <w:rPr>
          <w:color w:val="000000"/>
        </w:rPr>
      </w:pPr>
      <w:r>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3CF75AB6" w14:textId="77777777" w:rsidR="00496999" w:rsidRDefault="00496999" w:rsidP="00496999">
      <w:pPr>
        <w:widowControl w:val="0"/>
        <w:autoSpaceDE w:val="0"/>
        <w:autoSpaceDN w:val="0"/>
        <w:adjustRightInd w:val="0"/>
        <w:spacing w:line="360" w:lineRule="auto"/>
        <w:contextualSpacing/>
        <w:rPr>
          <w:color w:val="000000"/>
        </w:rPr>
      </w:pPr>
    </w:p>
    <w:p w14:paraId="3B5B20DF" w14:textId="63E910E0" w:rsidR="00496999" w:rsidRDefault="00496999" w:rsidP="00496999">
      <w:pPr>
        <w:widowControl w:val="0"/>
        <w:autoSpaceDE w:val="0"/>
        <w:autoSpaceDN w:val="0"/>
        <w:adjustRightInd w:val="0"/>
        <w:spacing w:line="360" w:lineRule="auto"/>
        <w:contextualSpacing/>
        <w:rPr>
          <w:color w:val="000000"/>
        </w:rPr>
      </w:pPr>
      <w:r>
        <w:rPr>
          <w:color w:val="000000"/>
        </w:rPr>
        <w:t>En ese orden de ideas, se debe señalar que si bien el Sujeto Obligado remitió la liga electrónica que contiene las fichas curriculares de los servidores públicos, lo cierto es que omitió precisar el procedimiento específico para acceder al documento en cuestión, pues no indicó el nombre y cargo de los servidores públicos adscritos.</w:t>
      </w:r>
      <w:r w:rsidR="00506582">
        <w:rPr>
          <w:color w:val="000000"/>
        </w:rPr>
        <w:t xml:space="preserve"> </w:t>
      </w:r>
      <w:r>
        <w:rPr>
          <w:color w:val="000000"/>
        </w:rPr>
        <w:t xml:space="preserve">En otras palabras, </w:t>
      </w:r>
      <w:r w:rsidRPr="00496999">
        <w:rPr>
          <w:color w:val="000000"/>
        </w:rPr>
        <w:t>no basta con remitir de forma genérica al portal institucional, resulta indispensable orientar puntualmente sobre la ruta de acceso, los apartados correspondientes, los filtros aplicables y cualquier otro criterio necesario para ubicar los documentos requeridos</w:t>
      </w:r>
      <w:r w:rsidR="00506582">
        <w:rPr>
          <w:color w:val="000000"/>
        </w:rPr>
        <w:t>, lo cual no aconteció y, por lo tanto, no se puede tener por atendido el requerimiento de información.</w:t>
      </w:r>
    </w:p>
    <w:p w14:paraId="2A69F19B" w14:textId="77777777" w:rsidR="00506582" w:rsidRDefault="00506582" w:rsidP="00496999">
      <w:pPr>
        <w:widowControl w:val="0"/>
        <w:autoSpaceDE w:val="0"/>
        <w:autoSpaceDN w:val="0"/>
        <w:adjustRightInd w:val="0"/>
        <w:spacing w:line="360" w:lineRule="auto"/>
        <w:contextualSpacing/>
        <w:rPr>
          <w:color w:val="000000"/>
        </w:rPr>
      </w:pPr>
    </w:p>
    <w:p w14:paraId="20DA332D" w14:textId="63E60A5D" w:rsidR="00506582" w:rsidRDefault="00506582" w:rsidP="00496999">
      <w:pPr>
        <w:widowControl w:val="0"/>
        <w:autoSpaceDE w:val="0"/>
        <w:autoSpaceDN w:val="0"/>
        <w:adjustRightInd w:val="0"/>
        <w:spacing w:line="360" w:lineRule="auto"/>
        <w:contextualSpacing/>
        <w:rPr>
          <w:color w:val="000000"/>
        </w:rPr>
      </w:pPr>
      <w:r>
        <w:rPr>
          <w:color w:val="000000"/>
        </w:rPr>
        <w:t xml:space="preserve">Ahora bien, respecto a la segunda liga electrónica, este Instituto verificó la misma, la cual remite al apartado del artículo 92, fracción VIII A, Remuneraciones, la cual contiene los registros de sueldos por áreas; por lo que, al seleccionar a la Quinta Regiduría, se logra vislumbrar que </w:t>
      </w:r>
      <w:r>
        <w:rPr>
          <w:color w:val="000000"/>
        </w:rPr>
        <w:lastRenderedPageBreak/>
        <w:t>remite a las remuneraciones de los servidores públicos del cuarto trimestre del año dos mil veinticinco, tal como se muestra a continuación:</w:t>
      </w:r>
    </w:p>
    <w:p w14:paraId="2B64ABE4" w14:textId="77777777" w:rsidR="00506582" w:rsidRDefault="00506582" w:rsidP="00496999">
      <w:pPr>
        <w:widowControl w:val="0"/>
        <w:autoSpaceDE w:val="0"/>
        <w:autoSpaceDN w:val="0"/>
        <w:adjustRightInd w:val="0"/>
        <w:spacing w:line="360" w:lineRule="auto"/>
        <w:contextualSpacing/>
        <w:rPr>
          <w:color w:val="000000"/>
        </w:rPr>
      </w:pPr>
    </w:p>
    <w:p w14:paraId="6B2B362F" w14:textId="224A98E5" w:rsidR="00506582" w:rsidRDefault="00506582" w:rsidP="00506582">
      <w:pPr>
        <w:widowControl w:val="0"/>
        <w:autoSpaceDE w:val="0"/>
        <w:autoSpaceDN w:val="0"/>
        <w:adjustRightInd w:val="0"/>
        <w:spacing w:line="360" w:lineRule="auto"/>
        <w:contextualSpacing/>
        <w:jc w:val="center"/>
        <w:rPr>
          <w:color w:val="000000"/>
        </w:rPr>
      </w:pPr>
      <w:r w:rsidRPr="00506582">
        <w:rPr>
          <w:noProof/>
          <w:color w:val="000000"/>
        </w:rPr>
        <w:drawing>
          <wp:inline distT="0" distB="0" distL="0" distR="0" wp14:anchorId="22D84FED" wp14:editId="264B1F36">
            <wp:extent cx="4140000" cy="1380000"/>
            <wp:effectExtent l="0" t="0" r="0" b="0"/>
            <wp:docPr id="435945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45102" name=""/>
                    <pic:cNvPicPr/>
                  </pic:nvPicPr>
                  <pic:blipFill rotWithShape="1">
                    <a:blip r:embed="rId16"/>
                    <a:srcRect b="79076"/>
                    <a:stretch/>
                  </pic:blipFill>
                  <pic:spPr bwMode="auto">
                    <a:xfrm>
                      <a:off x="0" y="0"/>
                      <a:ext cx="4140000" cy="1380000"/>
                    </a:xfrm>
                    <a:prstGeom prst="rect">
                      <a:avLst/>
                    </a:prstGeom>
                    <a:ln>
                      <a:noFill/>
                    </a:ln>
                    <a:extLst>
                      <a:ext uri="{53640926-AAD7-44D8-BBD7-CCE9431645EC}">
                        <a14:shadowObscured xmlns:a14="http://schemas.microsoft.com/office/drawing/2010/main"/>
                      </a:ext>
                    </a:extLst>
                  </pic:spPr>
                </pic:pic>
              </a:graphicData>
            </a:graphic>
          </wp:inline>
        </w:drawing>
      </w:r>
    </w:p>
    <w:p w14:paraId="78406EB4" w14:textId="5AE3FAD5" w:rsidR="00506582" w:rsidRDefault="00506582" w:rsidP="00506582">
      <w:pPr>
        <w:widowControl w:val="0"/>
        <w:autoSpaceDE w:val="0"/>
        <w:autoSpaceDN w:val="0"/>
        <w:adjustRightInd w:val="0"/>
        <w:spacing w:line="360" w:lineRule="auto"/>
        <w:contextualSpacing/>
        <w:jc w:val="center"/>
        <w:rPr>
          <w:color w:val="000000"/>
        </w:rPr>
      </w:pPr>
      <w:r w:rsidRPr="00506582">
        <w:rPr>
          <w:noProof/>
          <w:color w:val="000000"/>
        </w:rPr>
        <w:drawing>
          <wp:inline distT="0" distB="0" distL="0" distR="0" wp14:anchorId="771A9890" wp14:editId="6A27DEF2">
            <wp:extent cx="4140000" cy="5206364"/>
            <wp:effectExtent l="0" t="0" r="0" b="0"/>
            <wp:docPr id="318706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0620" name=""/>
                    <pic:cNvPicPr/>
                  </pic:nvPicPr>
                  <pic:blipFill rotWithShape="1">
                    <a:blip r:embed="rId16"/>
                    <a:srcRect t="21060"/>
                    <a:stretch/>
                  </pic:blipFill>
                  <pic:spPr bwMode="auto">
                    <a:xfrm>
                      <a:off x="0" y="0"/>
                      <a:ext cx="4140000" cy="5206364"/>
                    </a:xfrm>
                    <a:prstGeom prst="rect">
                      <a:avLst/>
                    </a:prstGeom>
                    <a:ln>
                      <a:noFill/>
                    </a:ln>
                    <a:extLst>
                      <a:ext uri="{53640926-AAD7-44D8-BBD7-CCE9431645EC}">
                        <a14:shadowObscured xmlns:a14="http://schemas.microsoft.com/office/drawing/2010/main"/>
                      </a:ext>
                    </a:extLst>
                  </pic:spPr>
                </pic:pic>
              </a:graphicData>
            </a:graphic>
          </wp:inline>
        </w:drawing>
      </w:r>
    </w:p>
    <w:p w14:paraId="5DCBAD84" w14:textId="77777777" w:rsidR="00613944" w:rsidRDefault="00613944" w:rsidP="00613944">
      <w:pPr>
        <w:spacing w:after="0" w:line="360" w:lineRule="auto"/>
        <w:rPr>
          <w:color w:val="000000"/>
        </w:rPr>
      </w:pPr>
    </w:p>
    <w:p w14:paraId="514781F4" w14:textId="11039EF7" w:rsidR="00506582" w:rsidRDefault="00506582" w:rsidP="00613944">
      <w:pPr>
        <w:spacing w:after="0" w:line="360" w:lineRule="auto"/>
        <w:rPr>
          <w:color w:val="000000"/>
        </w:rPr>
      </w:pPr>
      <w:r>
        <w:rPr>
          <w:color w:val="000000"/>
        </w:rPr>
        <w:t>De la revisión de los registros, si bien guarda relación con lo solicitado, esta no da cuenta de lo solicitado, pues no contiene la información de todos los servidores públicos adscritos, pues falta, cuando menos, el titular del área, es decir el Quinto Regidor, aunado a que lo publicado no corresponde con la temporalidad solicitada, pues los sueldos corresponden a lo pagado durante el último trimestre del dos mil veinticinco, cuando la pretensión del Recurrente es obtener el vigente a la fecha de la solicitud; por lo que, tampoco se puede tener por atendido el requerimiento de información.</w:t>
      </w:r>
    </w:p>
    <w:p w14:paraId="1A533106" w14:textId="77777777" w:rsidR="00496999" w:rsidRDefault="00496999" w:rsidP="00613944">
      <w:pPr>
        <w:spacing w:after="0" w:line="360" w:lineRule="auto"/>
        <w:rPr>
          <w:color w:val="000000"/>
        </w:rPr>
      </w:pPr>
    </w:p>
    <w:p w14:paraId="1853D7D4" w14:textId="2571ECA5" w:rsidR="00496999" w:rsidRPr="00506582" w:rsidRDefault="00506582" w:rsidP="00613944">
      <w:pPr>
        <w:spacing w:after="0" w:line="360" w:lineRule="auto"/>
        <w:rPr>
          <w:b/>
          <w:bCs/>
          <w:color w:val="000000"/>
        </w:rPr>
      </w:pPr>
      <w:r w:rsidRPr="00506582">
        <w:rPr>
          <w:b/>
          <w:bCs/>
          <w:color w:val="000000"/>
        </w:rPr>
        <w:t>Título y cédula profesional</w:t>
      </w:r>
    </w:p>
    <w:p w14:paraId="2F797C1B" w14:textId="77777777" w:rsidR="00506582" w:rsidRDefault="00506582" w:rsidP="00613944">
      <w:pPr>
        <w:spacing w:after="0" w:line="360" w:lineRule="auto"/>
        <w:rPr>
          <w:color w:val="000000"/>
        </w:rPr>
      </w:pPr>
    </w:p>
    <w:p w14:paraId="0CF22C06" w14:textId="282009FA" w:rsidR="00524B08" w:rsidRDefault="00506582" w:rsidP="00D70FB2">
      <w:pPr>
        <w:spacing w:after="0" w:line="360" w:lineRule="auto"/>
        <w:rPr>
          <w:color w:val="auto"/>
        </w:rPr>
      </w:pPr>
      <w:r>
        <w:rPr>
          <w:color w:val="000000"/>
        </w:rPr>
        <w:t>Al respecto, la Dirección de Recursos Humanos, omitió dar un pronunciamiento expreso sobre si contaba en los expedientes de personal, con el Título y Cédula Profesional</w:t>
      </w:r>
      <w:r w:rsidR="00AC4B04">
        <w:rPr>
          <w:color w:val="000000"/>
        </w:rPr>
        <w:t>; s</w:t>
      </w:r>
      <w:r w:rsidR="00524B08">
        <w:t>obre el tema, el artículo 1.8, fracción XIII, del Código Administrativo del Estado de México, establece que para que tenga validez, todo acto administrativo deberá resolver todos los puntos propuestos por los interesados.</w:t>
      </w:r>
    </w:p>
    <w:p w14:paraId="418F9176" w14:textId="77777777" w:rsidR="00524B08" w:rsidRDefault="00524B08" w:rsidP="00D70FB2">
      <w:pPr>
        <w:spacing w:after="0" w:line="360" w:lineRule="auto"/>
      </w:pPr>
    </w:p>
    <w:p w14:paraId="3BCC26F2" w14:textId="77777777" w:rsidR="00524B08" w:rsidRDefault="00524B08" w:rsidP="00D70FB2">
      <w:pPr>
        <w:spacing w:after="0" w:line="360" w:lineRule="auto"/>
        <w:rPr>
          <w:rFonts w:eastAsia="Calibri" w:cs="Times New Roman"/>
          <w:lang w:eastAsia="en-US"/>
        </w:rPr>
      </w:pPr>
      <w:r>
        <w:rPr>
          <w:rFonts w:eastAsia="Calibri"/>
          <w:lang w:eastAsia="en-U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Pr>
          <w:rFonts w:eastAsia="Calibri"/>
          <w:b/>
          <w:bCs/>
          <w:lang w:eastAsia="en-US"/>
        </w:rPr>
        <w:t>principio de exhaustividad</w:t>
      </w:r>
      <w:r>
        <w:rPr>
          <w:rFonts w:eastAsia="Calibri"/>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1FEEBE8" w14:textId="77777777" w:rsidR="00524B08" w:rsidRDefault="00524B08" w:rsidP="00D70FB2">
      <w:pPr>
        <w:autoSpaceDE w:val="0"/>
        <w:autoSpaceDN w:val="0"/>
        <w:adjustRightInd w:val="0"/>
        <w:spacing w:after="0" w:line="360" w:lineRule="auto"/>
        <w:contextualSpacing/>
        <w:rPr>
          <w:lang w:eastAsia="es-ES"/>
        </w:rPr>
      </w:pPr>
    </w:p>
    <w:p w14:paraId="689A83EC" w14:textId="77777777" w:rsidR="00FC4589" w:rsidRDefault="00FC4589" w:rsidP="00D70FB2">
      <w:pPr>
        <w:autoSpaceDE w:val="0"/>
        <w:autoSpaceDN w:val="0"/>
        <w:adjustRightInd w:val="0"/>
        <w:spacing w:after="0" w:line="360" w:lineRule="auto"/>
        <w:contextualSpacing/>
        <w:rPr>
          <w:lang w:eastAsia="es-ES"/>
        </w:rPr>
      </w:pPr>
    </w:p>
    <w:p w14:paraId="496F7DBA" w14:textId="77777777" w:rsidR="00FC4589" w:rsidRDefault="00FC4589" w:rsidP="00D70FB2">
      <w:pPr>
        <w:autoSpaceDE w:val="0"/>
        <w:autoSpaceDN w:val="0"/>
        <w:adjustRightInd w:val="0"/>
        <w:spacing w:after="0" w:line="360" w:lineRule="auto"/>
        <w:contextualSpacing/>
        <w:rPr>
          <w:lang w:eastAsia="es-ES"/>
        </w:rPr>
      </w:pPr>
    </w:p>
    <w:p w14:paraId="5549FFE5" w14:textId="36FE5AE4" w:rsidR="00AC4B04" w:rsidRDefault="00524B08" w:rsidP="00D70FB2">
      <w:pPr>
        <w:widowControl w:val="0"/>
        <w:spacing w:after="0" w:line="360" w:lineRule="auto"/>
        <w:rPr>
          <w:rFonts w:cs="Tahoma"/>
          <w:lang w:eastAsia="en-US"/>
        </w:rPr>
      </w:pPr>
      <w:r>
        <w:rPr>
          <w:rFonts w:cs="Tahoma"/>
          <w:lang w:eastAsia="en-US"/>
        </w:rPr>
        <w:t xml:space="preserve">En esa tesitura, se concluye que el Sujeto Obligado no satisfizo el derecho de acceso a la información del Solicitante, </w:t>
      </w:r>
      <w:r w:rsidR="00AC4B04">
        <w:rPr>
          <w:rFonts w:cs="Tahoma"/>
          <w:lang w:eastAsia="en-US"/>
        </w:rPr>
        <w:t>pues omitió pronunciarse sobre los documentos comprobatorios de estudios, ni refirió si obraban o no, en el expediente de personal.</w:t>
      </w:r>
    </w:p>
    <w:p w14:paraId="126C8A9F" w14:textId="77777777" w:rsidR="00AC4B04" w:rsidRDefault="00AC4B04" w:rsidP="00D70FB2">
      <w:pPr>
        <w:widowControl w:val="0"/>
        <w:spacing w:after="0" w:line="360" w:lineRule="auto"/>
        <w:rPr>
          <w:rFonts w:cs="Tahoma"/>
          <w:lang w:eastAsia="en-US"/>
        </w:rPr>
      </w:pPr>
    </w:p>
    <w:p w14:paraId="03E17985" w14:textId="5FA60BFA" w:rsidR="008449FA" w:rsidRPr="008449FA" w:rsidRDefault="00E6531B" w:rsidP="00D70FB2">
      <w:pPr>
        <w:spacing w:after="0" w:line="360" w:lineRule="auto"/>
        <w:rPr>
          <w:rFonts w:eastAsia="Times New Roman" w:cs="Times New Roman"/>
          <w:color w:val="auto"/>
          <w:lang w:eastAsia="es-ES"/>
        </w:rPr>
      </w:pPr>
      <w:r>
        <w:rPr>
          <w:color w:val="000000"/>
          <w:lang w:val="es-ES"/>
        </w:rPr>
        <w:t xml:space="preserve">De tal circunstancia, </w:t>
      </w:r>
      <w:r w:rsidR="00AC4B04">
        <w:rPr>
          <w:color w:val="000000"/>
          <w:lang w:val="es-ES"/>
        </w:rPr>
        <w:t xml:space="preserve">se logra vislumbrar que el agravio es </w:t>
      </w:r>
      <w:r w:rsidR="00AC4B04">
        <w:rPr>
          <w:b/>
          <w:bCs/>
          <w:color w:val="000000"/>
          <w:lang w:val="es-ES"/>
        </w:rPr>
        <w:t xml:space="preserve">FUNDADO, </w:t>
      </w:r>
      <w:r w:rsidR="00AC4B04">
        <w:rPr>
          <w:color w:val="000000"/>
          <w:lang w:val="es-ES"/>
        </w:rPr>
        <w:t xml:space="preserve">por lo que, </w:t>
      </w:r>
      <w:r>
        <w:rPr>
          <w:color w:val="000000"/>
          <w:lang w:val="es-ES"/>
        </w:rPr>
        <w:t>para atender el requerimiento de información, el Sujeto Obligado</w:t>
      </w:r>
      <w:r w:rsidR="008449FA">
        <w:rPr>
          <w:color w:val="000000"/>
          <w:lang w:val="es-ES"/>
        </w:rPr>
        <w:t xml:space="preserve"> </w:t>
      </w:r>
      <w:r w:rsidR="008449FA" w:rsidRPr="008449FA">
        <w:rPr>
          <w:rFonts w:eastAsia="Times New Roman" w:cs="Times New Roman"/>
          <w:color w:val="auto"/>
          <w:lang w:eastAsia="es-ES"/>
        </w:rPr>
        <w:t xml:space="preserve">deberá realizar una búsqueda exhaustiva y razonable en las unidades administrativas competentes, entre las cuales no podrá omitir a la </w:t>
      </w:r>
      <w:r w:rsidR="00524B08">
        <w:rPr>
          <w:rFonts w:eastAsia="Times New Roman" w:cs="Times New Roman"/>
          <w:color w:val="auto"/>
          <w:lang w:eastAsia="es-ES"/>
        </w:rPr>
        <w:t>Dirección General de Administración</w:t>
      </w:r>
      <w:r w:rsidR="008449FA" w:rsidRPr="008449FA">
        <w:rPr>
          <w:rFonts w:eastAsia="Times New Roman" w:cs="Times New Roman"/>
          <w:color w:val="auto"/>
          <w:lang w:eastAsia="es-ES"/>
        </w:rPr>
        <w:t xml:space="preserve">, a efecto de que </w:t>
      </w:r>
      <w:r w:rsidR="00AC4B04">
        <w:rPr>
          <w:rFonts w:eastAsia="Times New Roman" w:cs="Times New Roman"/>
          <w:color w:val="auto"/>
          <w:lang w:eastAsia="es-ES"/>
        </w:rPr>
        <w:t>entregue los documentos solicitados</w:t>
      </w:r>
      <w:r w:rsidR="008449FA" w:rsidRPr="008449FA">
        <w:rPr>
          <w:rFonts w:eastAsia="Times New Roman" w:cs="Times New Roman"/>
          <w:color w:val="auto"/>
          <w:lang w:eastAsia="es-ES"/>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BFF903C" w14:textId="77777777" w:rsidR="008449FA" w:rsidRPr="008449FA" w:rsidRDefault="008449FA" w:rsidP="00D70FB2">
      <w:pPr>
        <w:spacing w:after="0" w:line="360" w:lineRule="auto"/>
        <w:rPr>
          <w:rFonts w:eastAsia="Times New Roman" w:cs="Times New Roman"/>
          <w:color w:val="auto"/>
          <w:lang w:eastAsia="es-ES"/>
        </w:rPr>
      </w:pPr>
    </w:p>
    <w:p w14:paraId="164D36BD" w14:textId="77777777" w:rsidR="008449FA" w:rsidRPr="008449FA" w:rsidRDefault="008449FA" w:rsidP="00D70FB2">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8449FA">
        <w:rPr>
          <w:rFonts w:eastAsia="Times New Roman" w:cs="Times New Roman"/>
          <w:i/>
          <w:color w:val="auto"/>
          <w:lang w:eastAsia="es-ES"/>
        </w:rPr>
        <w:t>ad hoc</w:t>
      </w:r>
      <w:r w:rsidRPr="008449FA">
        <w:rPr>
          <w:rFonts w:eastAsia="Times New Roman" w:cs="Times New Roman"/>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2B399FF1" w14:textId="77777777" w:rsidR="008449FA" w:rsidRPr="008449FA" w:rsidRDefault="008449FA" w:rsidP="00D70FB2">
      <w:pPr>
        <w:spacing w:after="0" w:line="360" w:lineRule="auto"/>
        <w:rPr>
          <w:rFonts w:eastAsia="Times New Roman" w:cs="Times New Roman"/>
          <w:b/>
          <w:color w:val="auto"/>
          <w:lang w:eastAsia="es-ES"/>
        </w:rPr>
      </w:pPr>
    </w:p>
    <w:p w14:paraId="746D46C1" w14:textId="15FD6F9D" w:rsidR="00D43425" w:rsidRDefault="008449FA" w:rsidP="00D70FB2">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AC4B04">
        <w:rPr>
          <w:rFonts w:eastAsia="Times New Roman" w:cs="Times New Roman"/>
          <w:color w:val="auto"/>
          <w:lang w:eastAsia="es-ES"/>
        </w:rPr>
        <w:t>el Título y Cédula profesional, la información curricular y el sueldo bruto y neto mensual vigente del personal adscrito a la Quinta Regiduría, incluyendo a su titular.</w:t>
      </w:r>
    </w:p>
    <w:p w14:paraId="06F75639" w14:textId="77777777" w:rsidR="00AC4B04" w:rsidRDefault="00AC4B04" w:rsidP="00D70FB2">
      <w:pPr>
        <w:spacing w:after="0" w:line="360" w:lineRule="auto"/>
        <w:rPr>
          <w:rFonts w:eastAsia="Times New Roman" w:cs="Times New Roman"/>
          <w:color w:val="auto"/>
          <w:lang w:eastAsia="es-ES"/>
        </w:rPr>
      </w:pPr>
    </w:p>
    <w:p w14:paraId="572E378B" w14:textId="20692F49" w:rsidR="00AC4B04" w:rsidRDefault="00AC4B04" w:rsidP="00D70FB2">
      <w:pPr>
        <w:spacing w:after="0" w:line="360" w:lineRule="auto"/>
        <w:rPr>
          <w:rFonts w:eastAsia="Times New Roman" w:cs="Times New Roman"/>
          <w:color w:val="auto"/>
          <w:lang w:eastAsia="es-ES"/>
        </w:rPr>
      </w:pPr>
      <w:r>
        <w:rPr>
          <w:rFonts w:eastAsia="Times New Roman" w:cs="Times New Roman"/>
          <w:color w:val="auto"/>
          <w:lang w:eastAsia="es-ES"/>
        </w:rPr>
        <w:t>Ahora bien, se revisó tanto la normatividad Estatal y Municipal y no se localizó obligación normativa para que el personal de una Regiduría deba de acreditar un nivel o grado de estudios específicos, pues el único requisito establecido, es acreditar su nivel máximo, el cual puede ser bachillerato, secundaria, entre otros; por lo que, para el caso de que no cuente con el título y/o cédula de alguno de los trabajadores del área solicitada, al no haber obligación normativa, deberá hacerlo del conocimiento de la parte Recurrente de manera clara y precisa.</w:t>
      </w:r>
    </w:p>
    <w:p w14:paraId="03DB3B7C" w14:textId="77777777" w:rsidR="00D43425" w:rsidRDefault="00D43425" w:rsidP="00D70FB2">
      <w:pPr>
        <w:spacing w:after="0" w:line="360" w:lineRule="auto"/>
        <w:rPr>
          <w:rFonts w:eastAsia="Times New Roman" w:cs="Times New Roman"/>
          <w:color w:val="auto"/>
          <w:lang w:eastAsia="es-ES"/>
        </w:rPr>
      </w:pPr>
    </w:p>
    <w:p w14:paraId="556D52D1" w14:textId="38B448A7" w:rsidR="008449FA" w:rsidRPr="008449FA" w:rsidRDefault="00D43425" w:rsidP="00D70FB2">
      <w:pPr>
        <w:spacing w:after="0" w:line="360" w:lineRule="auto"/>
        <w:rPr>
          <w:rFonts w:eastAsia="Times New Roman" w:cs="Tahoma"/>
          <w:bCs/>
          <w:iCs/>
          <w:color w:val="auto"/>
        </w:rPr>
      </w:pPr>
      <w:r>
        <w:rPr>
          <w:rFonts w:eastAsia="Times New Roman" w:cs="Times New Roman"/>
          <w:color w:val="auto"/>
          <w:lang w:eastAsia="es-ES"/>
        </w:rPr>
        <w:t>Ahora bien</w:t>
      </w:r>
      <w:r w:rsidR="00744595">
        <w:rPr>
          <w:rFonts w:eastAsia="Times New Roman" w:cs="Times New Roman"/>
          <w:color w:val="auto"/>
          <w:lang w:eastAsia="es-ES"/>
        </w:rPr>
        <w:t>, dentro de la información que se ordena entregar</w:t>
      </w:r>
      <w:r w:rsidR="008449FA">
        <w:rPr>
          <w:rFonts w:eastAsia="Times New Roman" w:cs="Times New Roman"/>
          <w:color w:val="auto"/>
          <w:lang w:eastAsia="es-ES"/>
        </w:rPr>
        <w:t xml:space="preserve">, </w:t>
      </w:r>
      <w:r w:rsidR="00744595">
        <w:rPr>
          <w:rFonts w:eastAsia="Times New Roman" w:cs="Times New Roman"/>
          <w:color w:val="auto"/>
          <w:lang w:eastAsia="es-ES"/>
        </w:rPr>
        <w:t>la misma pudiera contener diversa información susceptible de ser clasificada, por lo que de manera oficiosa, se procede a analizar d</w:t>
      </w:r>
      <w:r w:rsidR="001A6540">
        <w:rPr>
          <w:rFonts w:eastAsia="Times New Roman" w:cs="Times New Roman"/>
          <w:color w:val="auto"/>
          <w:lang w:eastAsia="es-ES"/>
        </w:rPr>
        <w:t xml:space="preserve">e forma enunciativa, diversos datos que pudieran contener </w:t>
      </w:r>
      <w:r w:rsidR="00AC4B04">
        <w:rPr>
          <w:rFonts w:eastAsia="Times New Roman" w:cs="Times New Roman"/>
          <w:color w:val="auto"/>
          <w:lang w:eastAsia="es-ES"/>
        </w:rPr>
        <w:t>los documentos</w:t>
      </w:r>
      <w:r w:rsidR="006A42EE">
        <w:rPr>
          <w:rFonts w:eastAsia="Times New Roman" w:cs="Times New Roman"/>
          <w:color w:val="auto"/>
          <w:lang w:eastAsia="es-ES"/>
        </w:rPr>
        <w:t xml:space="preserve">; sobre el tema, </w:t>
      </w:r>
      <w:r w:rsidR="008449FA" w:rsidRPr="008449FA">
        <w:rPr>
          <w:rFonts w:eastAsia="Times New Roman" w:cs="Tahoma"/>
          <w:bCs/>
          <w:iCs/>
          <w:color w:val="auto"/>
        </w:rPr>
        <w:t xml:space="preserve">el artículo 143, fracción I, de la </w:t>
      </w:r>
      <w:r w:rsidR="006A42EE" w:rsidRPr="008449FA">
        <w:rPr>
          <w:rFonts w:eastAsia="Times New Roman" w:cs="Tahoma"/>
          <w:bCs/>
          <w:iCs/>
          <w:color w:val="auto"/>
        </w:rPr>
        <w:t>Ley de Transparencia y Acceso a la Información Pública del Estado de México y Municipios</w:t>
      </w:r>
      <w:r w:rsidR="008449FA" w:rsidRPr="008449FA">
        <w:rPr>
          <w:rFonts w:eastAsia="Times New Roman" w:cs="Tahoma"/>
          <w:bCs/>
          <w:iCs/>
          <w:color w:val="auto"/>
        </w:rPr>
        <w:t>, establece que la información privada y los datos personales, concernientes a una persona física o jurídica colectiva identificada o identificable son confidenciales.</w:t>
      </w:r>
    </w:p>
    <w:p w14:paraId="5E0F0280" w14:textId="77777777" w:rsidR="008449FA" w:rsidRPr="008449FA" w:rsidRDefault="008449FA" w:rsidP="00D70FB2">
      <w:pPr>
        <w:spacing w:after="0" w:line="360" w:lineRule="auto"/>
        <w:contextualSpacing/>
        <w:rPr>
          <w:rFonts w:eastAsia="Times New Roman" w:cs="Tahoma"/>
          <w:bCs/>
          <w:iCs/>
          <w:color w:val="auto"/>
        </w:rPr>
      </w:pPr>
    </w:p>
    <w:p w14:paraId="00DFDBE5" w14:textId="77777777" w:rsidR="008449FA" w:rsidRPr="008449FA" w:rsidRDefault="008449FA" w:rsidP="00D70FB2">
      <w:pPr>
        <w:spacing w:after="0" w:line="360" w:lineRule="auto"/>
        <w:contextualSpacing/>
        <w:rPr>
          <w:rFonts w:eastAsia="Times New Roman" w:cs="Tahoma"/>
          <w:bCs/>
          <w:iCs/>
          <w:color w:val="auto"/>
        </w:rPr>
      </w:pPr>
      <w:r w:rsidRPr="008449FA">
        <w:rPr>
          <w:rFonts w:eastAsia="Times New Roman" w:cs="Tahoma"/>
          <w:bCs/>
          <w:iCs/>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703892E" w14:textId="77777777" w:rsidR="008449FA" w:rsidRPr="008449FA" w:rsidRDefault="008449FA" w:rsidP="00D70FB2">
      <w:pPr>
        <w:spacing w:after="0" w:line="360" w:lineRule="auto"/>
        <w:contextualSpacing/>
        <w:rPr>
          <w:rFonts w:eastAsia="Times New Roman" w:cs="Tahoma"/>
          <w:bCs/>
          <w:iCs/>
          <w:color w:val="auto"/>
        </w:rPr>
      </w:pPr>
    </w:p>
    <w:p w14:paraId="4DB26AE6" w14:textId="77777777" w:rsidR="008449FA" w:rsidRPr="008449FA" w:rsidRDefault="008449FA" w:rsidP="00D70FB2">
      <w:pPr>
        <w:spacing w:after="0" w:line="360" w:lineRule="auto"/>
        <w:contextualSpacing/>
        <w:rPr>
          <w:rFonts w:eastAsia="Times New Roman" w:cs="Tahoma"/>
          <w:bCs/>
          <w:iCs/>
          <w:color w:val="auto"/>
        </w:rPr>
      </w:pPr>
      <w:r w:rsidRPr="008449FA">
        <w:rPr>
          <w:rFonts w:eastAsia="Times New Roman" w:cs="Tahoma"/>
          <w:bCs/>
          <w:iCs/>
          <w:color w:val="auto"/>
        </w:rPr>
        <w:t>En términos de lo expuesto, la documentación y aquellos datos que se consideren confidenciales, serán una limitante del derecho de acceso a la información, siempre y cuando:</w:t>
      </w:r>
    </w:p>
    <w:p w14:paraId="50BBDFF2" w14:textId="77777777" w:rsidR="008449FA" w:rsidRPr="008449FA" w:rsidRDefault="008449FA" w:rsidP="00D70FB2">
      <w:pPr>
        <w:spacing w:after="0" w:line="360" w:lineRule="auto"/>
        <w:contextualSpacing/>
        <w:rPr>
          <w:rFonts w:eastAsia="Times New Roman" w:cs="Tahoma"/>
          <w:bCs/>
          <w:iCs/>
          <w:color w:val="auto"/>
        </w:rPr>
      </w:pPr>
    </w:p>
    <w:p w14:paraId="528B15BD" w14:textId="77777777" w:rsidR="008449FA" w:rsidRDefault="008449FA" w:rsidP="00D70FB2">
      <w:pPr>
        <w:numPr>
          <w:ilvl w:val="0"/>
          <w:numId w:val="22"/>
        </w:numPr>
        <w:spacing w:after="0" w:line="360" w:lineRule="auto"/>
        <w:contextualSpacing/>
        <w:rPr>
          <w:rFonts w:eastAsia="Times New Roman" w:cs="Tahoma"/>
          <w:bCs/>
          <w:iCs/>
          <w:color w:val="auto"/>
        </w:rPr>
      </w:pPr>
      <w:r w:rsidRPr="008449FA">
        <w:rPr>
          <w:rFonts w:eastAsia="Times New Roman" w:cs="Tahoma"/>
          <w:bCs/>
          <w:iCs/>
          <w:color w:val="auto"/>
        </w:rPr>
        <w:t xml:space="preserve">Se trate de datos personales o información privada; esto es, información concerniente a una persona física o jurídico colectiva y que esta sea identificada o identificable. </w:t>
      </w:r>
    </w:p>
    <w:p w14:paraId="2319EDB8" w14:textId="77777777" w:rsidR="00FC4589" w:rsidRPr="008449FA" w:rsidRDefault="00FC4589" w:rsidP="00FC4589">
      <w:pPr>
        <w:spacing w:after="0" w:line="360" w:lineRule="auto"/>
        <w:ind w:left="720"/>
        <w:contextualSpacing/>
        <w:rPr>
          <w:rFonts w:eastAsia="Times New Roman" w:cs="Tahoma"/>
          <w:bCs/>
          <w:iCs/>
          <w:color w:val="auto"/>
        </w:rPr>
      </w:pPr>
    </w:p>
    <w:p w14:paraId="3ECFF37B" w14:textId="77777777" w:rsidR="008449FA" w:rsidRPr="008449FA" w:rsidRDefault="008449FA" w:rsidP="00D70FB2">
      <w:pPr>
        <w:numPr>
          <w:ilvl w:val="0"/>
          <w:numId w:val="22"/>
        </w:numPr>
        <w:spacing w:after="0" w:line="360" w:lineRule="auto"/>
        <w:contextualSpacing/>
        <w:rPr>
          <w:rFonts w:eastAsia="Times New Roman" w:cs="Tahoma"/>
          <w:bCs/>
          <w:iCs/>
          <w:color w:val="auto"/>
        </w:rPr>
      </w:pPr>
      <w:r w:rsidRPr="008449FA">
        <w:rPr>
          <w:rFonts w:eastAsia="Times New Roman" w:cs="Tahoma"/>
          <w:bCs/>
          <w:iCs/>
          <w:color w:val="auto"/>
        </w:rPr>
        <w:t xml:space="preserve">Para la difusión de los datos, se requiera el consentimiento del titular. </w:t>
      </w:r>
    </w:p>
    <w:p w14:paraId="14DD1497" w14:textId="77777777" w:rsidR="006A42EE" w:rsidRDefault="006A42EE" w:rsidP="00D70FB2">
      <w:pPr>
        <w:spacing w:after="0" w:line="360" w:lineRule="auto"/>
        <w:contextualSpacing/>
        <w:rPr>
          <w:rFonts w:eastAsia="Times New Roman" w:cs="Tahoma"/>
          <w:bCs/>
          <w:iCs/>
          <w:color w:val="auto"/>
        </w:rPr>
      </w:pPr>
    </w:p>
    <w:p w14:paraId="405C0806" w14:textId="24F63104" w:rsidR="008449FA" w:rsidRPr="008449FA" w:rsidRDefault="008449FA" w:rsidP="00D70FB2">
      <w:pPr>
        <w:spacing w:after="0" w:line="360" w:lineRule="auto"/>
        <w:contextualSpacing/>
        <w:rPr>
          <w:rFonts w:eastAsia="Times New Roman" w:cs="Tahoma"/>
          <w:bCs/>
          <w:iCs/>
          <w:color w:val="auto"/>
        </w:rPr>
      </w:pPr>
      <w:r w:rsidRPr="008449FA">
        <w:rPr>
          <w:rFonts w:eastAsia="Times New Roman" w:cs="Tahoma"/>
          <w:bCs/>
          <w:i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r w:rsidR="00AC4B04">
        <w:rPr>
          <w:rFonts w:eastAsia="Times New Roman" w:cs="Tahoma"/>
          <w:bCs/>
          <w:iCs/>
          <w:color w:val="auto"/>
        </w:rPr>
        <w:t>Por lo que, bajo dichos parámetros se procede analizar los datos que pudieran tener los documentos que den cuenta de lo peticionado.</w:t>
      </w:r>
    </w:p>
    <w:p w14:paraId="4C313355" w14:textId="77777777" w:rsidR="00E6531B" w:rsidRPr="008449FA" w:rsidRDefault="00E6531B" w:rsidP="00D70FB2">
      <w:pPr>
        <w:spacing w:after="0" w:line="360" w:lineRule="auto"/>
        <w:rPr>
          <w:rFonts w:eastAsia="Calibri" w:cs="Tahoma"/>
          <w:color w:val="auto"/>
          <w:szCs w:val="20"/>
          <w:lang w:eastAsia="es-ES"/>
        </w:rPr>
      </w:pPr>
    </w:p>
    <w:p w14:paraId="6198A385" w14:textId="77777777" w:rsidR="008449FA" w:rsidRPr="008449FA" w:rsidRDefault="008449FA" w:rsidP="00AC4B04">
      <w:pPr>
        <w:numPr>
          <w:ilvl w:val="0"/>
          <w:numId w:val="48"/>
        </w:numPr>
        <w:spacing w:after="0" w:line="360" w:lineRule="auto"/>
        <w:rPr>
          <w:rFonts w:eastAsia="Times New Roman" w:cs="Tahoma"/>
          <w:b/>
          <w:bCs/>
          <w:iCs/>
          <w:color w:val="auto"/>
          <w:lang w:val="es-ES_tradnl"/>
        </w:rPr>
      </w:pPr>
      <w:r w:rsidRPr="008449FA">
        <w:rPr>
          <w:rFonts w:eastAsiaTheme="minorHAnsi" w:cs="Tahoma"/>
          <w:b/>
          <w:bCs/>
          <w:iCs/>
          <w:color w:val="auto"/>
        </w:rPr>
        <w:t>C</w:t>
      </w:r>
      <w:r w:rsidRPr="008449FA">
        <w:rPr>
          <w:rFonts w:eastAsiaTheme="minorHAnsi" w:cs="Tahoma"/>
          <w:b/>
          <w:bCs/>
          <w:iCs/>
          <w:color w:val="auto"/>
          <w:lang w:val="es-ES_tradnl"/>
        </w:rPr>
        <w:t>lave Única de Registro de Población (CURP)</w:t>
      </w:r>
    </w:p>
    <w:p w14:paraId="37C6194E" w14:textId="77777777" w:rsidR="008449FA" w:rsidRPr="008449FA" w:rsidRDefault="008449FA" w:rsidP="00D70FB2">
      <w:pPr>
        <w:spacing w:after="0" w:line="360" w:lineRule="auto"/>
        <w:rPr>
          <w:rFonts w:eastAsiaTheme="minorHAnsi" w:cs="Tahoma"/>
          <w:bCs/>
          <w:iCs/>
          <w:color w:val="auto"/>
        </w:rPr>
      </w:pPr>
    </w:p>
    <w:p w14:paraId="45C5A611"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A80C71F" w14:textId="77777777" w:rsidR="008449FA" w:rsidRPr="008449FA" w:rsidRDefault="008449FA" w:rsidP="00D70FB2">
      <w:pPr>
        <w:spacing w:after="0" w:line="360" w:lineRule="auto"/>
        <w:rPr>
          <w:rFonts w:eastAsiaTheme="minorHAnsi" w:cs="Tahoma"/>
          <w:bCs/>
          <w:iCs/>
          <w:color w:val="auto"/>
        </w:rPr>
      </w:pPr>
    </w:p>
    <w:p w14:paraId="4963CE26"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8449FA">
        <w:rPr>
          <w:rFonts w:eastAsiaTheme="minorHAnsi" w:cs="Tahoma"/>
          <w:bCs/>
          <w:iCs/>
          <w:color w:val="auto"/>
        </w:rPr>
        <w:lastRenderedPageBreak/>
        <w:t>Población a todas las personas residentes en el país, así como a los mexicanos que residan en el extranjero.</w:t>
      </w:r>
    </w:p>
    <w:p w14:paraId="14E85223" w14:textId="77777777" w:rsidR="008449FA" w:rsidRPr="008449FA" w:rsidRDefault="008449FA" w:rsidP="00D70FB2">
      <w:pPr>
        <w:spacing w:after="0" w:line="360" w:lineRule="auto"/>
        <w:rPr>
          <w:rFonts w:eastAsiaTheme="minorHAnsi" w:cs="Tahoma"/>
          <w:bCs/>
          <w:iCs/>
          <w:color w:val="auto"/>
        </w:rPr>
      </w:pPr>
    </w:p>
    <w:p w14:paraId="2FA3C363" w14:textId="2528B464"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8449FA">
        <w:rPr>
          <w:rFonts w:eastAsiaTheme="minorHAnsi" w:cs="Tahoma"/>
          <w:b/>
          <w:bCs/>
          <w:iCs/>
          <w:color w:val="auto"/>
        </w:rPr>
        <w:t>se generan a partir de los datos contenidos en el documento probatorio de la identidad</w:t>
      </w:r>
      <w:r w:rsidRPr="008449FA">
        <w:rPr>
          <w:rFonts w:eastAsiaTheme="minorHAnsi" w:cs="Tahoma"/>
          <w:bCs/>
          <w:iCs/>
          <w:color w:val="auto"/>
        </w:rPr>
        <w:t xml:space="preserve"> </w:t>
      </w:r>
      <w:r w:rsidRPr="008449FA">
        <w:rPr>
          <w:rFonts w:eastAsiaTheme="minorHAnsi" w:cs="Tahoma"/>
          <w:b/>
          <w:bCs/>
          <w:iCs/>
          <w:color w:val="auto"/>
        </w:rPr>
        <w:t xml:space="preserve">del interesado </w:t>
      </w:r>
      <w:r w:rsidRPr="008449FA">
        <w:rPr>
          <w:rFonts w:eastAsiaTheme="minorHAnsi" w:cs="Tahoma"/>
          <w:bCs/>
          <w:iCs/>
          <w:color w:val="auto"/>
        </w:rPr>
        <w:t>(acta de nacimiento, carta de naturalización o documento migratorio) de la siguiente forma:</w:t>
      </w:r>
    </w:p>
    <w:p w14:paraId="388B690F" w14:textId="77777777" w:rsidR="008449FA" w:rsidRPr="008449FA" w:rsidRDefault="008449FA" w:rsidP="00D70FB2">
      <w:pPr>
        <w:spacing w:after="0" w:line="360" w:lineRule="auto"/>
        <w:rPr>
          <w:rFonts w:eastAsiaTheme="minorHAnsi" w:cs="Tahoma"/>
          <w:bCs/>
          <w:iCs/>
          <w:color w:val="auto"/>
        </w:rPr>
      </w:pPr>
    </w:p>
    <w:p w14:paraId="574A31D9" w14:textId="77777777" w:rsidR="008449FA" w:rsidRPr="008449FA" w:rsidRDefault="008449FA" w:rsidP="00D70FB2">
      <w:pPr>
        <w:numPr>
          <w:ilvl w:val="0"/>
          <w:numId w:val="34"/>
        </w:numPr>
        <w:spacing w:after="0" w:line="360" w:lineRule="auto"/>
        <w:rPr>
          <w:rFonts w:eastAsiaTheme="minorHAnsi" w:cs="Tahoma"/>
          <w:bCs/>
          <w:iCs/>
          <w:color w:val="auto"/>
        </w:rPr>
      </w:pPr>
      <w:r w:rsidRPr="008449FA">
        <w:rPr>
          <w:rFonts w:eastAsiaTheme="minorHAnsi" w:cs="Tahoma"/>
          <w:bCs/>
          <w:iCs/>
          <w:color w:val="auto"/>
        </w:rPr>
        <w:t>El primero y segundo apellidos, así como al nombre de pila;</w:t>
      </w:r>
    </w:p>
    <w:p w14:paraId="54674406" w14:textId="77777777" w:rsidR="008449FA" w:rsidRPr="008449FA" w:rsidRDefault="008449FA" w:rsidP="00D70FB2">
      <w:pPr>
        <w:numPr>
          <w:ilvl w:val="0"/>
          <w:numId w:val="34"/>
        </w:numPr>
        <w:spacing w:after="0" w:line="360" w:lineRule="auto"/>
        <w:rPr>
          <w:rFonts w:eastAsiaTheme="minorHAnsi" w:cs="Tahoma"/>
          <w:bCs/>
          <w:iCs/>
          <w:color w:val="auto"/>
        </w:rPr>
      </w:pPr>
      <w:r w:rsidRPr="008449FA">
        <w:rPr>
          <w:rFonts w:eastAsiaTheme="minorHAnsi" w:cs="Tahoma"/>
          <w:bCs/>
          <w:iCs/>
          <w:color w:val="auto"/>
        </w:rPr>
        <w:t>La fecha de nacimiento;</w:t>
      </w:r>
    </w:p>
    <w:p w14:paraId="18A96D21" w14:textId="77777777" w:rsidR="008449FA" w:rsidRPr="008449FA" w:rsidRDefault="008449FA" w:rsidP="00D70FB2">
      <w:pPr>
        <w:numPr>
          <w:ilvl w:val="0"/>
          <w:numId w:val="34"/>
        </w:numPr>
        <w:spacing w:after="0" w:line="360" w:lineRule="auto"/>
        <w:rPr>
          <w:rFonts w:eastAsiaTheme="minorHAnsi" w:cs="Tahoma"/>
          <w:bCs/>
          <w:iCs/>
          <w:color w:val="auto"/>
        </w:rPr>
      </w:pPr>
      <w:r w:rsidRPr="008449FA">
        <w:rPr>
          <w:rFonts w:eastAsiaTheme="minorHAnsi" w:cs="Tahoma"/>
          <w:bCs/>
          <w:iCs/>
          <w:color w:val="auto"/>
        </w:rPr>
        <w:t>El sexo, y</w:t>
      </w:r>
    </w:p>
    <w:p w14:paraId="36CC4163" w14:textId="77777777" w:rsidR="008449FA" w:rsidRPr="008449FA" w:rsidRDefault="008449FA" w:rsidP="00D70FB2">
      <w:pPr>
        <w:numPr>
          <w:ilvl w:val="0"/>
          <w:numId w:val="34"/>
        </w:numPr>
        <w:spacing w:after="0" w:line="360" w:lineRule="auto"/>
        <w:rPr>
          <w:rFonts w:eastAsiaTheme="minorHAnsi" w:cs="Tahoma"/>
          <w:bCs/>
          <w:iCs/>
          <w:color w:val="auto"/>
        </w:rPr>
      </w:pPr>
      <w:r w:rsidRPr="008449FA">
        <w:rPr>
          <w:rFonts w:eastAsiaTheme="minorHAnsi" w:cs="Tahoma"/>
          <w:bCs/>
          <w:iCs/>
          <w:color w:val="auto"/>
        </w:rPr>
        <w:t>La entidad federativa de nacimiento.</w:t>
      </w:r>
    </w:p>
    <w:p w14:paraId="54F547DC" w14:textId="77777777" w:rsidR="008449FA" w:rsidRPr="008449FA" w:rsidRDefault="008449FA" w:rsidP="00D70FB2">
      <w:pPr>
        <w:spacing w:after="0" w:line="360" w:lineRule="auto"/>
        <w:rPr>
          <w:rFonts w:eastAsiaTheme="minorHAnsi" w:cs="Tahoma"/>
          <w:bCs/>
          <w:iCs/>
          <w:color w:val="auto"/>
        </w:rPr>
      </w:pPr>
    </w:p>
    <w:p w14:paraId="60D2950B"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Los dos últimos elementos de la Clave Única de Registro de Población evitan la duplicidad de la Clave y garantizan su correcta integración.</w:t>
      </w:r>
    </w:p>
    <w:p w14:paraId="09ACA3D6" w14:textId="77777777" w:rsidR="008449FA" w:rsidRPr="008449FA" w:rsidRDefault="008449FA" w:rsidP="00D70FB2">
      <w:pPr>
        <w:spacing w:after="0" w:line="360" w:lineRule="auto"/>
        <w:rPr>
          <w:rFonts w:eastAsiaTheme="minorHAnsi" w:cs="Tahoma"/>
          <w:bCs/>
          <w:iCs/>
          <w:color w:val="auto"/>
        </w:rPr>
      </w:pPr>
    </w:p>
    <w:p w14:paraId="3F15FE3E"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9C75E86" w14:textId="77777777" w:rsidR="008449FA" w:rsidRDefault="008449FA" w:rsidP="00D70FB2">
      <w:pPr>
        <w:spacing w:after="0" w:line="360" w:lineRule="auto"/>
        <w:rPr>
          <w:rFonts w:eastAsiaTheme="minorHAnsi" w:cs="Tahoma"/>
          <w:bCs/>
          <w:iCs/>
          <w:color w:val="auto"/>
        </w:rPr>
      </w:pPr>
    </w:p>
    <w:p w14:paraId="7D359322" w14:textId="77777777" w:rsidR="00FC4589" w:rsidRDefault="00FC4589" w:rsidP="00D70FB2">
      <w:pPr>
        <w:spacing w:after="0" w:line="360" w:lineRule="auto"/>
        <w:rPr>
          <w:rFonts w:eastAsiaTheme="minorHAnsi" w:cs="Tahoma"/>
          <w:bCs/>
          <w:iCs/>
          <w:color w:val="auto"/>
        </w:rPr>
      </w:pPr>
    </w:p>
    <w:p w14:paraId="29DF1C21" w14:textId="77777777" w:rsidR="00FC4589" w:rsidRDefault="00FC4589" w:rsidP="00D70FB2">
      <w:pPr>
        <w:spacing w:after="0" w:line="360" w:lineRule="auto"/>
        <w:rPr>
          <w:rFonts w:eastAsiaTheme="minorHAnsi" w:cs="Tahoma"/>
          <w:bCs/>
          <w:iCs/>
          <w:color w:val="auto"/>
        </w:rPr>
      </w:pPr>
    </w:p>
    <w:p w14:paraId="0FEEF994" w14:textId="77777777" w:rsidR="00FC4589" w:rsidRPr="008449FA" w:rsidRDefault="00FC4589" w:rsidP="00D70FB2">
      <w:pPr>
        <w:spacing w:after="0" w:line="360" w:lineRule="auto"/>
        <w:rPr>
          <w:rFonts w:eastAsiaTheme="minorHAnsi" w:cs="Tahoma"/>
          <w:bCs/>
          <w:iCs/>
          <w:color w:val="auto"/>
        </w:rPr>
      </w:pPr>
    </w:p>
    <w:p w14:paraId="008217E5" w14:textId="6A03290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Situación que se robustece, con el </w:t>
      </w:r>
      <w:r w:rsidR="006A42EE">
        <w:rPr>
          <w:rFonts w:eastAsia="Calibri" w:cs="Tahoma"/>
          <w:bCs/>
          <w:iCs/>
          <w:color w:val="auto"/>
          <w:lang w:val="es-ES" w:eastAsia="en-US"/>
        </w:rPr>
        <w:t>Criterio Orientador</w:t>
      </w:r>
      <w:r w:rsidRPr="008449FA">
        <w:rPr>
          <w:rFonts w:eastAsia="Calibri" w:cs="Tahoma"/>
          <w:bCs/>
          <w:iCs/>
          <w:color w:val="auto"/>
          <w:lang w:val="es-ES" w:eastAsia="en-US"/>
        </w:rPr>
        <w:t xml:space="preserve">, de la Segunda Época, con número de registro </w:t>
      </w:r>
      <w:r w:rsidRPr="008449FA">
        <w:rPr>
          <w:rFonts w:eastAsia="Calibri" w:cs="Tahoma"/>
          <w:bCs/>
          <w:iCs/>
          <w:color w:val="auto"/>
          <w:lang w:eastAsia="en-US"/>
        </w:rPr>
        <w:t>SO/018/2017</w:t>
      </w:r>
      <w:r w:rsidRPr="008449FA">
        <w:rPr>
          <w:rFonts w:eastAsiaTheme="minorHAnsi" w:cs="Tahoma"/>
          <w:bCs/>
          <w:iCs/>
          <w:color w:val="auto"/>
        </w:rPr>
        <w:t xml:space="preserve">, emitido por </w:t>
      </w:r>
      <w:r w:rsidR="006A42EE">
        <w:rPr>
          <w:rFonts w:eastAsiaTheme="minorHAnsi" w:cs="Tahoma"/>
          <w:bCs/>
          <w:iCs/>
          <w:color w:val="auto"/>
        </w:rPr>
        <w:t>el entonces Instituto Nacional</w:t>
      </w:r>
      <w:r w:rsidRPr="008449FA">
        <w:rPr>
          <w:rFonts w:eastAsiaTheme="minorHAnsi" w:cs="Tahoma"/>
          <w:bCs/>
          <w:iCs/>
          <w:color w:val="auto"/>
        </w:rPr>
        <w:t xml:space="preserve"> de Transparencia, Acceso a la Información y Protección de Datos Personales, que establece lo siguiente:</w:t>
      </w:r>
    </w:p>
    <w:p w14:paraId="19DB5E2C" w14:textId="77777777" w:rsidR="008449FA" w:rsidRPr="008449FA" w:rsidRDefault="008449FA" w:rsidP="00D70FB2">
      <w:pPr>
        <w:spacing w:after="0" w:line="360" w:lineRule="auto"/>
        <w:rPr>
          <w:rFonts w:eastAsiaTheme="minorHAnsi" w:cs="Tahoma"/>
          <w:bCs/>
          <w:iCs/>
          <w:color w:val="auto"/>
        </w:rPr>
      </w:pPr>
    </w:p>
    <w:p w14:paraId="0FB87762" w14:textId="77777777" w:rsidR="008449FA" w:rsidRPr="008449FA" w:rsidRDefault="008449FA" w:rsidP="00D70FB2">
      <w:pPr>
        <w:spacing w:after="0" w:line="360" w:lineRule="auto"/>
        <w:ind w:left="567" w:right="567"/>
        <w:contextualSpacing/>
        <w:rPr>
          <w:rFonts w:eastAsiaTheme="minorHAnsi" w:cs="Tahoma"/>
          <w:bCs/>
          <w:i/>
          <w:iCs/>
          <w:color w:val="auto"/>
          <w:sz w:val="18"/>
          <w:szCs w:val="18"/>
        </w:rPr>
      </w:pPr>
      <w:r w:rsidRPr="008449FA">
        <w:rPr>
          <w:rFonts w:eastAsiaTheme="minorHAnsi" w:cs="Tahoma"/>
          <w:b/>
          <w:bCs/>
          <w:i/>
          <w:iCs/>
          <w:color w:val="auto"/>
          <w:sz w:val="20"/>
          <w:szCs w:val="20"/>
        </w:rPr>
        <w:t xml:space="preserve">“Clave Única de Registro de Población (CURP). </w:t>
      </w:r>
      <w:r w:rsidRPr="008449FA">
        <w:rPr>
          <w:rFonts w:eastAsiaTheme="minorHAnsi" w:cs="Tahoma"/>
          <w:bCs/>
          <w:i/>
          <w:iCs/>
          <w:color w:val="auto"/>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2C8AED3" w14:textId="77777777" w:rsidR="008449FA" w:rsidRPr="008449FA" w:rsidRDefault="008449FA" w:rsidP="00D70FB2">
      <w:pPr>
        <w:spacing w:after="0" w:line="360" w:lineRule="auto"/>
        <w:rPr>
          <w:rFonts w:eastAsiaTheme="minorHAnsi" w:cs="Tahoma"/>
          <w:bCs/>
          <w:i/>
          <w:iCs/>
          <w:color w:val="auto"/>
        </w:rPr>
      </w:pPr>
    </w:p>
    <w:p w14:paraId="57E7AA08" w14:textId="77777777" w:rsid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De acuerdo con lo anterior, resulta procedente la clasificación de </w:t>
      </w:r>
      <w:r w:rsidRPr="008449FA">
        <w:rPr>
          <w:rFonts w:eastAsiaTheme="minorHAnsi" w:cs="Tahoma"/>
          <w:b/>
          <w:bCs/>
          <w:iCs/>
          <w:color w:val="auto"/>
        </w:rPr>
        <w:t>la Clave Única de Registro de Población</w:t>
      </w:r>
      <w:r w:rsidRPr="008449FA">
        <w:rPr>
          <w:rFonts w:eastAsiaTheme="minorHAnsi" w:cs="Tahoma"/>
          <w:bCs/>
          <w:iCs/>
          <w:color w:val="auto"/>
        </w:rPr>
        <w:t xml:space="preserve">, por tratarse de un dato personal confidencial, en términos del artículo 143, fracción I, de la Ley de Transparencia y Acceso a la Información Pública del Estado de México y Municipios. </w:t>
      </w:r>
    </w:p>
    <w:p w14:paraId="09E87515" w14:textId="77777777" w:rsidR="001A6540" w:rsidRPr="008449FA" w:rsidRDefault="001A6540" w:rsidP="00D70FB2">
      <w:pPr>
        <w:spacing w:after="0" w:line="360" w:lineRule="auto"/>
        <w:rPr>
          <w:rFonts w:eastAsiaTheme="minorHAnsi" w:cs="Tahoma"/>
          <w:bCs/>
          <w:iCs/>
          <w:color w:val="auto"/>
        </w:rPr>
      </w:pPr>
    </w:p>
    <w:p w14:paraId="6D72E123" w14:textId="77777777" w:rsidR="008449FA" w:rsidRPr="008449FA" w:rsidRDefault="008449FA" w:rsidP="00AC4B04">
      <w:pPr>
        <w:numPr>
          <w:ilvl w:val="0"/>
          <w:numId w:val="48"/>
        </w:numPr>
        <w:spacing w:after="0" w:line="360" w:lineRule="auto"/>
        <w:rPr>
          <w:rFonts w:eastAsiaTheme="minorHAnsi" w:cs="Tahoma"/>
          <w:b/>
          <w:bCs/>
          <w:iCs/>
          <w:color w:val="auto"/>
          <w:lang w:val="es-ES_tradnl"/>
        </w:rPr>
      </w:pPr>
      <w:r w:rsidRPr="008449FA">
        <w:rPr>
          <w:rFonts w:eastAsiaTheme="minorHAnsi" w:cs="Tahoma"/>
          <w:b/>
          <w:bCs/>
          <w:iCs/>
          <w:color w:val="auto"/>
          <w:lang w:val="es-ES_tradnl"/>
        </w:rPr>
        <w:t>Registro Federal de Contribuyentes (RFC)</w:t>
      </w:r>
    </w:p>
    <w:p w14:paraId="6B33F758" w14:textId="77777777" w:rsidR="008449FA" w:rsidRPr="008449FA" w:rsidRDefault="008449FA" w:rsidP="00D70FB2">
      <w:pPr>
        <w:spacing w:after="0" w:line="360" w:lineRule="auto"/>
        <w:rPr>
          <w:rFonts w:eastAsiaTheme="minorHAnsi" w:cs="Tahoma"/>
          <w:bCs/>
          <w:iCs/>
          <w:color w:val="auto"/>
        </w:rPr>
      </w:pPr>
    </w:p>
    <w:p w14:paraId="43A4E015"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7355BE0" w14:textId="77777777" w:rsidR="008449FA" w:rsidRPr="008449FA" w:rsidRDefault="008449FA" w:rsidP="00D70FB2">
      <w:pPr>
        <w:spacing w:after="0" w:line="360" w:lineRule="auto"/>
        <w:rPr>
          <w:rFonts w:eastAsiaTheme="minorHAnsi" w:cs="Tahoma"/>
          <w:bCs/>
          <w:iCs/>
          <w:color w:val="auto"/>
        </w:rPr>
      </w:pPr>
    </w:p>
    <w:p w14:paraId="45125679"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De acuerdo a lo establecido en el artículo en comento, esta clave se compone de trece caracteres alfanuméricos, con datos obtenidos de los apellidos, nombre(s), fecha de nacimiento del titular, </w:t>
      </w:r>
      <w:r w:rsidRPr="008449FA">
        <w:rPr>
          <w:rFonts w:eastAsiaTheme="minorHAnsi" w:cs="Tahoma"/>
          <w:bCs/>
          <w:iCs/>
          <w:color w:val="auto"/>
        </w:rPr>
        <w:lastRenderedPageBreak/>
        <w:t xml:space="preserve">más una </w:t>
      </w:r>
      <w:proofErr w:type="spellStart"/>
      <w:r w:rsidRPr="008449FA">
        <w:rPr>
          <w:rFonts w:eastAsiaTheme="minorHAnsi" w:cs="Tahoma"/>
          <w:bCs/>
          <w:iCs/>
          <w:color w:val="auto"/>
        </w:rPr>
        <w:t>homoclave</w:t>
      </w:r>
      <w:proofErr w:type="spellEnd"/>
      <w:r w:rsidRPr="008449FA">
        <w:rPr>
          <w:rFonts w:eastAsiaTheme="minorHAnsi" w:cs="Tahoma"/>
          <w:bCs/>
          <w:iCs/>
          <w:color w:val="auto"/>
        </w:rPr>
        <w:t xml:space="preserve"> que establece el sistema automático del Servicio de Administración Tributaria.</w:t>
      </w:r>
    </w:p>
    <w:p w14:paraId="6B8C3F57" w14:textId="77777777" w:rsidR="008449FA" w:rsidRPr="008449FA" w:rsidRDefault="008449FA" w:rsidP="00D70FB2">
      <w:pPr>
        <w:spacing w:after="0" w:line="360" w:lineRule="auto"/>
        <w:rPr>
          <w:rFonts w:eastAsiaTheme="minorHAnsi" w:cs="Tahoma"/>
          <w:bCs/>
          <w:iCs/>
          <w:color w:val="auto"/>
        </w:rPr>
      </w:pPr>
    </w:p>
    <w:p w14:paraId="7E66CF35"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92825F4" w14:textId="77777777" w:rsidR="008449FA" w:rsidRPr="008449FA" w:rsidRDefault="008449FA" w:rsidP="00D70FB2">
      <w:pPr>
        <w:spacing w:after="0" w:line="360" w:lineRule="auto"/>
        <w:rPr>
          <w:rFonts w:eastAsiaTheme="minorHAnsi" w:cs="Tahoma"/>
          <w:bCs/>
          <w:iCs/>
          <w:color w:val="auto"/>
        </w:rPr>
      </w:pPr>
    </w:p>
    <w:p w14:paraId="2444EBAB"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311B36D" w14:textId="77777777" w:rsidR="008449FA" w:rsidRPr="008449FA" w:rsidRDefault="008449FA" w:rsidP="00D70FB2">
      <w:pPr>
        <w:spacing w:after="0" w:line="360" w:lineRule="auto"/>
        <w:rPr>
          <w:rFonts w:eastAsiaTheme="minorHAnsi" w:cs="Tahoma"/>
          <w:bCs/>
          <w:iCs/>
          <w:color w:val="auto"/>
        </w:rPr>
      </w:pPr>
    </w:p>
    <w:p w14:paraId="591D07D5" w14:textId="2B819871"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Lo anterior, resulta congruente con el </w:t>
      </w:r>
      <w:r w:rsidR="006A42EE">
        <w:rPr>
          <w:rFonts w:eastAsia="Calibri" w:cs="Tahoma"/>
          <w:bCs/>
          <w:iCs/>
          <w:color w:val="auto"/>
          <w:lang w:val="es-ES" w:eastAsia="en-US"/>
        </w:rPr>
        <w:t>Criterio Orientador</w:t>
      </w:r>
      <w:r w:rsidRPr="008449FA">
        <w:rPr>
          <w:rFonts w:eastAsia="Calibri" w:cs="Tahoma"/>
          <w:bCs/>
          <w:iCs/>
          <w:color w:val="auto"/>
          <w:lang w:val="es-ES" w:eastAsia="en-US"/>
        </w:rPr>
        <w:t xml:space="preserve">, de la Segunda Época, con número de registro </w:t>
      </w:r>
      <w:r w:rsidRPr="008449FA">
        <w:rPr>
          <w:rFonts w:eastAsia="Calibri" w:cs="Tahoma"/>
          <w:bCs/>
          <w:iCs/>
          <w:color w:val="auto"/>
          <w:lang w:eastAsia="en-US"/>
        </w:rPr>
        <w:t xml:space="preserve">SO/019/2017, </w:t>
      </w:r>
      <w:r w:rsidRPr="008449FA">
        <w:rPr>
          <w:rFonts w:eastAsiaTheme="minorHAnsi" w:cs="Tahoma"/>
          <w:bCs/>
          <w:iCs/>
          <w:color w:val="auto"/>
        </w:rPr>
        <w:t xml:space="preserve">emitido por </w:t>
      </w:r>
      <w:r w:rsidR="006A42EE">
        <w:rPr>
          <w:rFonts w:eastAsiaTheme="minorHAnsi" w:cs="Tahoma"/>
          <w:bCs/>
          <w:iCs/>
          <w:color w:val="auto"/>
        </w:rPr>
        <w:t>el entonces Instituto Nacional</w:t>
      </w:r>
      <w:r w:rsidRPr="008449FA">
        <w:rPr>
          <w:rFonts w:eastAsiaTheme="minorHAnsi" w:cs="Tahoma"/>
          <w:bCs/>
          <w:iCs/>
          <w:color w:val="auto"/>
        </w:rPr>
        <w:t xml:space="preserve"> de Transparencia, Acceso a la Información y Protección de Datos Personales, en el cual se señala lo siguiente:</w:t>
      </w:r>
    </w:p>
    <w:p w14:paraId="49C248CD" w14:textId="77777777" w:rsidR="008449FA" w:rsidRPr="008449FA" w:rsidRDefault="008449FA" w:rsidP="00D70FB2">
      <w:pPr>
        <w:spacing w:after="0" w:line="360" w:lineRule="auto"/>
        <w:rPr>
          <w:rFonts w:eastAsiaTheme="minorHAnsi" w:cs="Tahoma"/>
          <w:bCs/>
          <w:iCs/>
          <w:color w:val="auto"/>
        </w:rPr>
      </w:pPr>
    </w:p>
    <w:p w14:paraId="3D6FC9D3" w14:textId="77777777" w:rsidR="008449FA" w:rsidRPr="008449FA" w:rsidRDefault="008449FA" w:rsidP="00D70FB2">
      <w:pPr>
        <w:spacing w:after="0" w:line="360" w:lineRule="auto"/>
        <w:ind w:left="567" w:right="567"/>
        <w:contextualSpacing/>
        <w:rPr>
          <w:rFonts w:eastAsiaTheme="minorHAnsi" w:cs="Tahoma"/>
          <w:bCs/>
          <w:i/>
          <w:iCs/>
          <w:color w:val="auto"/>
          <w:sz w:val="18"/>
          <w:szCs w:val="18"/>
        </w:rPr>
      </w:pPr>
      <w:r w:rsidRPr="008449FA">
        <w:rPr>
          <w:rFonts w:eastAsiaTheme="minorHAnsi" w:cs="Tahoma"/>
          <w:b/>
          <w:bCs/>
          <w:i/>
          <w:iCs/>
          <w:color w:val="auto"/>
          <w:sz w:val="20"/>
          <w:szCs w:val="20"/>
        </w:rPr>
        <w:t>“Registro Federal de Contribuyentes (RFC) de personas físicas.</w:t>
      </w:r>
      <w:r w:rsidRPr="008449FA">
        <w:rPr>
          <w:rFonts w:eastAsiaTheme="minorHAnsi" w:cs="Tahoma"/>
          <w:bCs/>
          <w:i/>
          <w:iCs/>
          <w:color w:val="auto"/>
          <w:sz w:val="20"/>
          <w:szCs w:val="20"/>
        </w:rPr>
        <w:t xml:space="preserve"> El RFC es una clave de carácter fiscal, única e irrepetible, que permite identificar al titular, su edad y fecha de nacimiento, por lo que es un dato personal de carácter confidencial.”</w:t>
      </w:r>
    </w:p>
    <w:p w14:paraId="049E65F8" w14:textId="77777777" w:rsidR="008449FA" w:rsidRPr="008449FA" w:rsidRDefault="008449FA" w:rsidP="00D70FB2">
      <w:pPr>
        <w:spacing w:after="0" w:line="360" w:lineRule="auto"/>
        <w:rPr>
          <w:rFonts w:eastAsiaTheme="minorHAnsi" w:cs="Tahoma"/>
          <w:bCs/>
          <w:iCs/>
          <w:color w:val="auto"/>
        </w:rPr>
      </w:pPr>
    </w:p>
    <w:p w14:paraId="4BBA850E"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8449FA">
        <w:rPr>
          <w:rFonts w:eastAsiaTheme="minorHAnsi" w:cs="Tahoma"/>
          <w:bCs/>
          <w:iCs/>
          <w:color w:val="auto"/>
        </w:rPr>
        <w:lastRenderedPageBreak/>
        <w:t>actualizar el supuesto normativo del artículo 143, fracción I, de la Ley de Transparencia y Acceso a la Información Pública del Estado de México y Municipios.</w:t>
      </w:r>
    </w:p>
    <w:p w14:paraId="4D8F3923" w14:textId="77777777" w:rsidR="008449FA" w:rsidRPr="008449FA" w:rsidRDefault="008449FA" w:rsidP="00D70FB2">
      <w:pPr>
        <w:spacing w:after="0" w:line="360" w:lineRule="auto"/>
        <w:rPr>
          <w:rFonts w:eastAsiaTheme="minorHAnsi" w:cs="Tahoma"/>
          <w:bCs/>
          <w:iCs/>
          <w:color w:val="FF0000"/>
        </w:rPr>
      </w:pPr>
    </w:p>
    <w:p w14:paraId="1F559DFF" w14:textId="77777777" w:rsidR="008449FA" w:rsidRPr="008449FA" w:rsidRDefault="008449FA" w:rsidP="00AC4B04">
      <w:pPr>
        <w:numPr>
          <w:ilvl w:val="0"/>
          <w:numId w:val="48"/>
        </w:numPr>
        <w:spacing w:after="0" w:line="360" w:lineRule="auto"/>
        <w:rPr>
          <w:rFonts w:eastAsia="Times New Roman" w:cs="Tahoma"/>
          <w:b/>
          <w:bCs/>
          <w:iCs/>
          <w:color w:val="auto"/>
        </w:rPr>
      </w:pPr>
      <w:r w:rsidRPr="008449FA">
        <w:rPr>
          <w:rFonts w:eastAsiaTheme="minorHAnsi" w:cs="Tahoma"/>
          <w:b/>
          <w:bCs/>
          <w:iCs/>
          <w:color w:val="auto"/>
        </w:rPr>
        <w:t>Número de seguridad social del Instituto de Seguridad Social del Estado de México y Municipios.</w:t>
      </w:r>
    </w:p>
    <w:p w14:paraId="329B1176" w14:textId="77777777" w:rsidR="008449FA" w:rsidRPr="008449FA" w:rsidRDefault="008449FA" w:rsidP="00D70FB2">
      <w:pPr>
        <w:spacing w:after="0" w:line="360" w:lineRule="auto"/>
        <w:rPr>
          <w:rFonts w:eastAsiaTheme="minorHAnsi" w:cs="Tahoma"/>
          <w:b/>
          <w:bCs/>
          <w:iCs/>
          <w:color w:val="auto"/>
        </w:rPr>
      </w:pPr>
    </w:p>
    <w:p w14:paraId="01F99CD6"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0025D5C" w14:textId="77777777" w:rsidR="008449FA" w:rsidRPr="008449FA" w:rsidRDefault="008449FA" w:rsidP="00D70FB2">
      <w:pPr>
        <w:spacing w:after="0" w:line="360" w:lineRule="auto"/>
        <w:rPr>
          <w:rFonts w:eastAsiaTheme="minorHAnsi" w:cs="Tahoma"/>
          <w:bCs/>
          <w:iCs/>
          <w:color w:val="auto"/>
        </w:rPr>
      </w:pPr>
    </w:p>
    <w:p w14:paraId="5EBD763E" w14:textId="77777777" w:rsidR="00FC4589"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w:t>
      </w:r>
    </w:p>
    <w:p w14:paraId="0915732F" w14:textId="77777777" w:rsidR="00FC4589" w:rsidRDefault="00FC4589" w:rsidP="00D70FB2">
      <w:pPr>
        <w:spacing w:after="0" w:line="360" w:lineRule="auto"/>
        <w:rPr>
          <w:rFonts w:eastAsiaTheme="minorHAnsi" w:cs="Tahoma"/>
          <w:bCs/>
          <w:iCs/>
          <w:color w:val="auto"/>
        </w:rPr>
      </w:pPr>
    </w:p>
    <w:p w14:paraId="55C4854A" w14:textId="256E0729"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En esta credencial se consignan diversos datos personales </w:t>
      </w:r>
      <w:r w:rsidRPr="008449FA">
        <w:rPr>
          <w:rFonts w:eastAsiaTheme="minorHAnsi" w:cs="Tahoma"/>
          <w:b/>
          <w:bCs/>
          <w:iCs/>
          <w:color w:val="auto"/>
        </w:rPr>
        <w:t>y se le asigna una clave para hacer identificable al trabajador con el objetivo de poder proporcionar los servicios que brinda el Instituto de Seguridad Social del Estado de México y Municipios.</w:t>
      </w:r>
    </w:p>
    <w:p w14:paraId="6F3A43D1" w14:textId="77777777" w:rsidR="008449FA" w:rsidRPr="008449FA" w:rsidRDefault="008449FA" w:rsidP="00D70FB2">
      <w:pPr>
        <w:spacing w:after="0" w:line="360" w:lineRule="auto"/>
        <w:rPr>
          <w:rFonts w:eastAsiaTheme="minorHAnsi" w:cs="Tahoma"/>
          <w:bCs/>
          <w:iCs/>
          <w:color w:val="auto"/>
        </w:rPr>
      </w:pPr>
    </w:p>
    <w:p w14:paraId="2948A442"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w:t>
      </w:r>
      <w:r w:rsidRPr="008449FA">
        <w:rPr>
          <w:rFonts w:eastAsiaTheme="minorHAnsi" w:cs="Tahoma"/>
          <w:bCs/>
          <w:iCs/>
          <w:color w:val="auto"/>
        </w:rPr>
        <w:lastRenderedPageBreak/>
        <w:t>el trabajador se dé de baja y alta en diversas ocasiones, con motivo de haber trabajado en diferentes instituciones gubernamentales de la Entidad.</w:t>
      </w:r>
    </w:p>
    <w:p w14:paraId="62D25137" w14:textId="77777777" w:rsidR="008449FA" w:rsidRPr="008449FA" w:rsidRDefault="008449FA" w:rsidP="00D70FB2">
      <w:pPr>
        <w:spacing w:after="0" w:line="360" w:lineRule="auto"/>
        <w:rPr>
          <w:rFonts w:eastAsiaTheme="minorHAnsi" w:cs="Tahoma"/>
          <w:bCs/>
          <w:iCs/>
          <w:color w:val="auto"/>
        </w:rPr>
      </w:pPr>
    </w:p>
    <w:p w14:paraId="398291A2"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7D27FD5" w14:textId="77777777" w:rsidR="00412A97" w:rsidRDefault="00412A97" w:rsidP="00D70FB2">
      <w:pPr>
        <w:spacing w:after="0" w:line="360" w:lineRule="auto"/>
        <w:rPr>
          <w:rFonts w:cs="Tahoma"/>
          <w:b/>
        </w:rPr>
      </w:pPr>
    </w:p>
    <w:p w14:paraId="120D08FB" w14:textId="77777777" w:rsidR="00321E72" w:rsidRPr="00321E72" w:rsidRDefault="00321E72" w:rsidP="00D70FB2">
      <w:pPr>
        <w:numPr>
          <w:ilvl w:val="0"/>
          <w:numId w:val="35"/>
        </w:numPr>
        <w:spacing w:after="0" w:line="360" w:lineRule="auto"/>
        <w:jc w:val="left"/>
        <w:rPr>
          <w:rFonts w:eastAsia="Calibri" w:cs="Times New Roman"/>
          <w:b/>
          <w:color w:val="000000"/>
          <w:lang w:eastAsia="en-US"/>
        </w:rPr>
      </w:pPr>
      <w:r w:rsidRPr="00321E72">
        <w:rPr>
          <w:rFonts w:eastAsia="Calibri" w:cs="Times New Roman"/>
          <w:b/>
          <w:color w:val="000000"/>
          <w:lang w:eastAsia="en-US"/>
        </w:rPr>
        <w:t>Deducciones personales</w:t>
      </w:r>
    </w:p>
    <w:p w14:paraId="191E433A" w14:textId="77777777" w:rsidR="00321E72" w:rsidRPr="00321E72" w:rsidRDefault="00321E72" w:rsidP="00D70FB2">
      <w:pPr>
        <w:spacing w:after="0" w:line="360" w:lineRule="auto"/>
        <w:ind w:left="720"/>
        <w:rPr>
          <w:rFonts w:eastAsia="Calibri" w:cs="Times New Roman"/>
          <w:b/>
          <w:color w:val="000000"/>
          <w:lang w:eastAsia="en-US"/>
        </w:rPr>
      </w:pPr>
    </w:p>
    <w:p w14:paraId="3905CAD5" w14:textId="77777777" w:rsidR="00321E72" w:rsidRPr="00321E72" w:rsidRDefault="00321E72" w:rsidP="00D70FB2">
      <w:pPr>
        <w:spacing w:after="0" w:line="360" w:lineRule="auto"/>
        <w:rPr>
          <w:rFonts w:eastAsia="Calibri" w:cs="Times New Roman"/>
          <w:color w:val="000000"/>
          <w:lang w:eastAsia="en-US"/>
        </w:rPr>
      </w:pPr>
      <w:r w:rsidRPr="00321E72">
        <w:rPr>
          <w:rFonts w:eastAsia="Calibri" w:cs="Times New Roman"/>
          <w:color w:val="000000"/>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2E432126" w14:textId="77777777" w:rsidR="00321E72" w:rsidRDefault="00321E72" w:rsidP="00D70FB2">
      <w:pPr>
        <w:spacing w:after="0" w:line="360" w:lineRule="auto"/>
        <w:rPr>
          <w:rFonts w:eastAsia="Calibri" w:cs="Times New Roman"/>
          <w:color w:val="000000"/>
          <w:lang w:eastAsia="en-US"/>
        </w:rPr>
      </w:pPr>
    </w:p>
    <w:p w14:paraId="605B8B7D" w14:textId="77777777" w:rsidR="00321E72" w:rsidRPr="00321E72" w:rsidRDefault="00321E72" w:rsidP="00D70FB2">
      <w:pPr>
        <w:spacing w:after="0" w:line="360" w:lineRule="auto"/>
        <w:rPr>
          <w:rFonts w:eastAsia="Calibri" w:cs="Times New Roman"/>
          <w:color w:val="000000"/>
          <w:lang w:eastAsia="en-US"/>
        </w:rPr>
      </w:pPr>
      <w:r w:rsidRPr="00321E72">
        <w:rPr>
          <w:rFonts w:eastAsia="Calibri" w:cs="Times New Roman"/>
          <w:color w:val="000000"/>
          <w:lang w:eastAsia="en-US"/>
        </w:rPr>
        <w:t xml:space="preserve">Asimismo, hay otras que se generan con motivo de una sentencia judicial, como es la pensión alimenticia que periódicamente se retira de la cuenta de un empleado, a efecto de que sea entregado a un tercero.  </w:t>
      </w:r>
    </w:p>
    <w:p w14:paraId="33032EB3" w14:textId="77777777" w:rsidR="00321E72" w:rsidRPr="00321E72" w:rsidRDefault="00321E72" w:rsidP="00D70FB2">
      <w:pPr>
        <w:spacing w:after="0" w:line="360" w:lineRule="auto"/>
        <w:rPr>
          <w:rFonts w:eastAsia="Calibri" w:cs="Times New Roman"/>
          <w:color w:val="000000"/>
          <w:lang w:eastAsia="en-US"/>
        </w:rPr>
      </w:pPr>
    </w:p>
    <w:p w14:paraId="1C235F46" w14:textId="77777777" w:rsidR="00321E72" w:rsidRPr="00321E72" w:rsidRDefault="00321E72" w:rsidP="00D70FB2">
      <w:pPr>
        <w:spacing w:after="0" w:line="360" w:lineRule="auto"/>
        <w:rPr>
          <w:rFonts w:eastAsia="Calibri" w:cs="Times New Roman"/>
          <w:color w:val="000000"/>
          <w:lang w:eastAsia="en-US"/>
        </w:rPr>
      </w:pPr>
      <w:r w:rsidRPr="00321E72">
        <w:rPr>
          <w:rFonts w:eastAsia="Calibri" w:cs="Times New Roman"/>
          <w:color w:val="000000"/>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40AB688" w14:textId="77777777" w:rsidR="00321E72" w:rsidRDefault="00321E72" w:rsidP="00D70FB2">
      <w:pPr>
        <w:spacing w:after="0" w:line="360" w:lineRule="auto"/>
        <w:rPr>
          <w:rFonts w:eastAsia="Calibri" w:cs="Times New Roman"/>
          <w:color w:val="000000"/>
          <w:lang w:eastAsia="en-US"/>
        </w:rPr>
      </w:pPr>
    </w:p>
    <w:p w14:paraId="24E6FC65" w14:textId="77777777" w:rsidR="00FC4589" w:rsidRPr="00321E72" w:rsidRDefault="00FC4589" w:rsidP="00D70FB2">
      <w:pPr>
        <w:spacing w:after="0" w:line="360" w:lineRule="auto"/>
        <w:rPr>
          <w:rFonts w:eastAsia="Calibri" w:cs="Times New Roman"/>
          <w:color w:val="000000"/>
          <w:lang w:eastAsia="en-US"/>
        </w:rPr>
      </w:pPr>
    </w:p>
    <w:p w14:paraId="7A09386C" w14:textId="20815328" w:rsidR="00321E72" w:rsidRPr="00321E72" w:rsidRDefault="00321E72" w:rsidP="00D70FB2">
      <w:pPr>
        <w:spacing w:after="0" w:line="360" w:lineRule="auto"/>
        <w:rPr>
          <w:rFonts w:eastAsia="Calibri" w:cs="Times New Roman"/>
          <w:b/>
          <w:bCs/>
          <w:color w:val="000000"/>
          <w:lang w:eastAsia="en-US"/>
        </w:rPr>
      </w:pPr>
      <w:r w:rsidRPr="00321E72">
        <w:rPr>
          <w:rFonts w:eastAsia="Calibri" w:cs="Times New Roman"/>
          <w:color w:val="000000"/>
          <w:lang w:eastAsia="en-US"/>
        </w:rPr>
        <w:t>Así, dichas deducciones reflejan el destino que un servidor público da a su patrimonio y, por lo tanto, resulta procedente clasificar el monto y concepto de las deducciones personales, en términos del artículo 143, fracción I, de la Ley de Transparencia y Acceso a la Información Pública del Estado de México y Municipios</w:t>
      </w:r>
      <w:r>
        <w:rPr>
          <w:rFonts w:eastAsia="Calibri" w:cs="Times New Roman"/>
          <w:color w:val="000000"/>
          <w:lang w:eastAsia="en-US"/>
        </w:rPr>
        <w:t>.</w:t>
      </w:r>
    </w:p>
    <w:p w14:paraId="7C8816DD" w14:textId="77777777" w:rsidR="008449FA" w:rsidRPr="001570EC" w:rsidRDefault="008449FA" w:rsidP="00D70FB2">
      <w:pPr>
        <w:spacing w:after="0" w:line="360" w:lineRule="auto"/>
        <w:rPr>
          <w:rFonts w:cs="Tahoma"/>
          <w:b/>
        </w:rPr>
      </w:pPr>
    </w:p>
    <w:p w14:paraId="3C04B1E9" w14:textId="77777777" w:rsidR="00AC4B04" w:rsidRPr="00AC4B04" w:rsidRDefault="00AC4B04" w:rsidP="00AC4B04">
      <w:pPr>
        <w:numPr>
          <w:ilvl w:val="0"/>
          <w:numId w:val="45"/>
        </w:numPr>
        <w:spacing w:after="0" w:line="360" w:lineRule="auto"/>
        <w:rPr>
          <w:b/>
          <w:color w:val="000000"/>
        </w:rPr>
      </w:pPr>
      <w:r w:rsidRPr="00AC4B04">
        <w:rPr>
          <w:b/>
          <w:color w:val="000000"/>
        </w:rPr>
        <w:t>Domicilio de particulares</w:t>
      </w:r>
    </w:p>
    <w:p w14:paraId="1B2A147C" w14:textId="77777777" w:rsidR="00AC4B04" w:rsidRPr="00AC4B04" w:rsidRDefault="00AC4B04" w:rsidP="00AC4B04">
      <w:pPr>
        <w:spacing w:after="0" w:line="360" w:lineRule="auto"/>
        <w:rPr>
          <w:color w:val="000000"/>
        </w:rPr>
      </w:pPr>
    </w:p>
    <w:p w14:paraId="38608E8C" w14:textId="77777777" w:rsidR="00AC4B04" w:rsidRPr="00AC4B04" w:rsidRDefault="00AC4B04" w:rsidP="00AC4B04">
      <w:pPr>
        <w:spacing w:after="0" w:line="360" w:lineRule="auto"/>
        <w:rPr>
          <w:color w:val="auto"/>
        </w:rPr>
      </w:pPr>
      <w:r w:rsidRPr="00AC4B04">
        <w:rPr>
          <w:color w:val="000000"/>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trata de un dato personal confidencial, en términos del artículo 143, fracción I de la Ley de Transparencia y Acceso a la Información Pública del Estado de México y Municipios. </w:t>
      </w:r>
    </w:p>
    <w:p w14:paraId="6B495EDB" w14:textId="77777777" w:rsidR="00AC4B04" w:rsidRPr="00AC4B04" w:rsidRDefault="00AC4B04" w:rsidP="00AC4B04">
      <w:pPr>
        <w:spacing w:after="0" w:line="360" w:lineRule="auto"/>
        <w:rPr>
          <w:color w:val="000000"/>
        </w:rPr>
      </w:pPr>
    </w:p>
    <w:p w14:paraId="78C8FB21" w14:textId="77777777" w:rsidR="00AC4B04" w:rsidRPr="00AC4B04" w:rsidRDefault="00AC4B04" w:rsidP="00AC4B04">
      <w:pPr>
        <w:numPr>
          <w:ilvl w:val="0"/>
          <w:numId w:val="46"/>
        </w:numPr>
        <w:spacing w:after="0" w:line="360" w:lineRule="auto"/>
        <w:rPr>
          <w:color w:val="000000"/>
        </w:rPr>
      </w:pPr>
      <w:r w:rsidRPr="00AC4B04">
        <w:rPr>
          <w:b/>
          <w:color w:val="000000"/>
        </w:rPr>
        <w:t>Correo electrónico particular</w:t>
      </w:r>
    </w:p>
    <w:p w14:paraId="51571FB1" w14:textId="77777777" w:rsidR="00AC4B04" w:rsidRPr="00AC4B04" w:rsidRDefault="00AC4B04" w:rsidP="00AC4B04">
      <w:pPr>
        <w:spacing w:after="0" w:line="360" w:lineRule="auto"/>
        <w:rPr>
          <w:color w:val="000000"/>
        </w:rPr>
      </w:pPr>
    </w:p>
    <w:p w14:paraId="1667A923" w14:textId="77777777" w:rsidR="00AC4B04" w:rsidRPr="00AC4B04" w:rsidRDefault="00AC4B04" w:rsidP="00AC4B04">
      <w:pPr>
        <w:spacing w:after="0" w:line="360" w:lineRule="auto"/>
        <w:rPr>
          <w:color w:val="000000"/>
        </w:rPr>
      </w:pPr>
      <w:r w:rsidRPr="00AC4B04">
        <w:rPr>
          <w:color w:val="000000"/>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21D06368" w14:textId="77777777" w:rsidR="00AC4B04" w:rsidRPr="00AC4B04" w:rsidRDefault="00AC4B04" w:rsidP="00AC4B04">
      <w:pPr>
        <w:spacing w:after="0" w:line="360" w:lineRule="auto"/>
        <w:rPr>
          <w:color w:val="000000"/>
        </w:rPr>
      </w:pPr>
    </w:p>
    <w:p w14:paraId="52824F64" w14:textId="77777777" w:rsidR="00AC4B04" w:rsidRPr="00AC4B04" w:rsidRDefault="00AC4B04" w:rsidP="00AC4B04">
      <w:pPr>
        <w:spacing w:after="0" w:line="360" w:lineRule="auto"/>
        <w:rPr>
          <w:color w:val="000000"/>
        </w:rPr>
      </w:pPr>
      <w:r w:rsidRPr="00AC4B04">
        <w:rPr>
          <w:color w:val="000000"/>
        </w:rPr>
        <w:t xml:space="preserve">En ese sentido, cabe señalar que el correo electrónico particular, por lo que, mantiene su carácter primigenio, es decir, que la titularidad de dicho dato corresponde a la persona física y no así en </w:t>
      </w:r>
      <w:r w:rsidRPr="00AC4B04">
        <w:rPr>
          <w:color w:val="000000"/>
        </w:rPr>
        <w:lastRenderedPageBreak/>
        <w:t>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6C2C9B86" w14:textId="77777777" w:rsidR="00AC4B04" w:rsidRPr="00AC4B04" w:rsidRDefault="00AC4B04" w:rsidP="00AC4B04">
      <w:pPr>
        <w:spacing w:after="0" w:line="360" w:lineRule="auto"/>
        <w:rPr>
          <w:color w:val="000000"/>
        </w:rPr>
      </w:pPr>
    </w:p>
    <w:p w14:paraId="0657489D" w14:textId="77777777" w:rsidR="00AC4B04" w:rsidRPr="00AC4B04" w:rsidRDefault="00AC4B04" w:rsidP="00AC4B04">
      <w:pPr>
        <w:numPr>
          <w:ilvl w:val="0"/>
          <w:numId w:val="47"/>
        </w:numPr>
        <w:spacing w:after="0" w:line="360" w:lineRule="auto"/>
        <w:rPr>
          <w:color w:val="000000"/>
        </w:rPr>
      </w:pPr>
      <w:r w:rsidRPr="00AC4B04">
        <w:rPr>
          <w:b/>
          <w:color w:val="000000"/>
        </w:rPr>
        <w:t>Número de teléfono o celular particular</w:t>
      </w:r>
    </w:p>
    <w:p w14:paraId="5D8955EC" w14:textId="77777777" w:rsidR="00AC4B04" w:rsidRPr="00AC4B04" w:rsidRDefault="00AC4B04" w:rsidP="00AC4B04">
      <w:pPr>
        <w:spacing w:after="0" w:line="360" w:lineRule="auto"/>
        <w:ind w:left="720"/>
        <w:rPr>
          <w:color w:val="000000"/>
        </w:rPr>
      </w:pPr>
    </w:p>
    <w:p w14:paraId="78B222FC" w14:textId="77777777" w:rsidR="00AC4B04" w:rsidRPr="00AC4B04" w:rsidRDefault="00AC4B04" w:rsidP="00AC4B04">
      <w:pPr>
        <w:spacing w:after="0" w:line="360" w:lineRule="auto"/>
        <w:rPr>
          <w:color w:val="000000"/>
        </w:rPr>
      </w:pPr>
      <w:r w:rsidRPr="00AC4B04">
        <w:rPr>
          <w:color w:val="000000"/>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64F51F19" w14:textId="77777777" w:rsidR="00AC4B04" w:rsidRPr="00AC4B04" w:rsidRDefault="00AC4B04" w:rsidP="00AC4B04">
      <w:pPr>
        <w:spacing w:after="0" w:line="360" w:lineRule="auto"/>
        <w:rPr>
          <w:color w:val="000000"/>
        </w:rPr>
      </w:pPr>
    </w:p>
    <w:p w14:paraId="2AB6DE2C" w14:textId="77777777" w:rsidR="00AC4B04" w:rsidRPr="00AC4B04" w:rsidRDefault="00AC4B04" w:rsidP="00AC4B04">
      <w:pPr>
        <w:spacing w:after="0" w:line="360" w:lineRule="auto"/>
        <w:rPr>
          <w:color w:val="000000"/>
        </w:rPr>
      </w:pPr>
      <w:r w:rsidRPr="00AC4B04">
        <w:rPr>
          <w:color w:val="000000"/>
        </w:rPr>
        <w:t>En tales consideraciones, dicho dato personal es susceptible de ser clasificado como confidencial, con fundamento en el artículo 143, fracción I de la Ley de Transparencia y Acceso a la Información Pública.</w:t>
      </w:r>
    </w:p>
    <w:p w14:paraId="4475FA87" w14:textId="77777777" w:rsidR="00AC4B04" w:rsidRPr="00AC4B04" w:rsidRDefault="00AC4B04" w:rsidP="00AC4B04">
      <w:pPr>
        <w:spacing w:after="0" w:line="360" w:lineRule="auto"/>
        <w:rPr>
          <w:b/>
          <w:color w:val="auto"/>
        </w:rPr>
      </w:pPr>
    </w:p>
    <w:p w14:paraId="7D18DDE3" w14:textId="77777777" w:rsidR="00AC4B04" w:rsidRPr="00AC4B04" w:rsidRDefault="00AC4B04" w:rsidP="00AC4B04">
      <w:pPr>
        <w:numPr>
          <w:ilvl w:val="0"/>
          <w:numId w:val="48"/>
        </w:numPr>
        <w:spacing w:after="0" w:line="360" w:lineRule="auto"/>
        <w:rPr>
          <w:b/>
          <w:color w:val="000000"/>
        </w:rPr>
      </w:pPr>
      <w:r w:rsidRPr="00AC4B04">
        <w:rPr>
          <w:b/>
          <w:color w:val="000000"/>
        </w:rPr>
        <w:t>Fotografía</w:t>
      </w:r>
    </w:p>
    <w:p w14:paraId="3E054D4B" w14:textId="77777777" w:rsidR="00AC4B04" w:rsidRPr="00AC4B04" w:rsidRDefault="00AC4B04" w:rsidP="00AC4B04">
      <w:pPr>
        <w:spacing w:after="0" w:line="360" w:lineRule="auto"/>
        <w:ind w:right="-93"/>
        <w:rPr>
          <w:color w:val="000000"/>
        </w:rPr>
      </w:pPr>
    </w:p>
    <w:p w14:paraId="6C730B96" w14:textId="77777777" w:rsidR="00AC4B04" w:rsidRPr="00AC4B04" w:rsidRDefault="00AC4B04" w:rsidP="00AC4B04">
      <w:pPr>
        <w:tabs>
          <w:tab w:val="left" w:pos="4962"/>
        </w:tabs>
        <w:spacing w:after="0" w:line="360" w:lineRule="auto"/>
        <w:rPr>
          <w:color w:val="000000"/>
        </w:rPr>
      </w:pPr>
      <w:r w:rsidRPr="00AC4B04">
        <w:rPr>
          <w:color w:val="000000"/>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490756D" w14:textId="77777777" w:rsidR="00AC4B04" w:rsidRPr="00AC4B04" w:rsidRDefault="00AC4B04" w:rsidP="00AC4B04">
      <w:pPr>
        <w:tabs>
          <w:tab w:val="left" w:pos="4962"/>
        </w:tabs>
        <w:spacing w:after="0" w:line="360" w:lineRule="auto"/>
        <w:rPr>
          <w:color w:val="000000"/>
        </w:rPr>
      </w:pPr>
    </w:p>
    <w:p w14:paraId="04F59ADC" w14:textId="77777777" w:rsidR="00AC4B04" w:rsidRPr="00AC4B04" w:rsidRDefault="00AC4B04" w:rsidP="00AC4B04">
      <w:pPr>
        <w:tabs>
          <w:tab w:val="left" w:pos="4962"/>
        </w:tabs>
        <w:spacing w:after="0" w:line="360" w:lineRule="auto"/>
        <w:rPr>
          <w:color w:val="000000"/>
        </w:rPr>
      </w:pPr>
      <w:r w:rsidRPr="00AC4B04">
        <w:rPr>
          <w:color w:val="000000"/>
        </w:rPr>
        <w:t xml:space="preserve">Así, dichos datos constituyen la reproducción fiel de las características físicas de una persona en un momento determinado, por lo que representan un instrumento de identificación, </w:t>
      </w:r>
      <w:r w:rsidRPr="00AC4B04">
        <w:rPr>
          <w:color w:val="000000"/>
        </w:rPr>
        <w:lastRenderedPageBreak/>
        <w:t xml:space="preserve">proyección exterior y factor imprescindible para su propio reconocimiento como sujeto individual; lo que en el presente caso, </w:t>
      </w:r>
      <w:r w:rsidRPr="00AC4B04">
        <w:t>acreditará</w:t>
      </w:r>
      <w:r w:rsidRPr="00AC4B04">
        <w:rPr>
          <w:color w:val="000000"/>
        </w:rPr>
        <w:t xml:space="preserve"> e identificaría a una persona como servidor público, por lo que es posible advertir que existe cierto interés público, cuando la fotografía obra en documentos de servidores públicos vinculados con el cumplimiento de disposiciones legales.</w:t>
      </w:r>
    </w:p>
    <w:p w14:paraId="5D42AF9B" w14:textId="77777777" w:rsidR="00AC4B04" w:rsidRPr="00AC4B04" w:rsidRDefault="00AC4B04" w:rsidP="00AC4B04">
      <w:pPr>
        <w:tabs>
          <w:tab w:val="left" w:pos="4962"/>
        </w:tabs>
        <w:spacing w:after="0" w:line="360" w:lineRule="auto"/>
        <w:rPr>
          <w:color w:val="000000"/>
        </w:rPr>
      </w:pPr>
    </w:p>
    <w:p w14:paraId="6257A44C" w14:textId="77777777" w:rsidR="00AC4B04" w:rsidRPr="00AC4B04" w:rsidRDefault="00AC4B04" w:rsidP="00AC4B04">
      <w:pPr>
        <w:tabs>
          <w:tab w:val="left" w:pos="4962"/>
        </w:tabs>
        <w:spacing w:after="0" w:line="360" w:lineRule="auto"/>
        <w:rPr>
          <w:color w:val="000000"/>
        </w:rPr>
      </w:pPr>
      <w:r w:rsidRPr="00AC4B04">
        <w:rPr>
          <w:color w:val="000000"/>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746F364" w14:textId="77777777" w:rsidR="00AC4B04" w:rsidRPr="00AC4B04" w:rsidRDefault="00AC4B04" w:rsidP="00AC4B04">
      <w:pPr>
        <w:tabs>
          <w:tab w:val="left" w:pos="4962"/>
        </w:tabs>
        <w:spacing w:after="0" w:line="360" w:lineRule="auto"/>
        <w:rPr>
          <w:color w:val="000000"/>
        </w:rPr>
      </w:pPr>
    </w:p>
    <w:p w14:paraId="57F41FDD" w14:textId="77777777" w:rsidR="00AC4B04" w:rsidRPr="00AC4B04" w:rsidRDefault="00AC4B04" w:rsidP="00AC4B04">
      <w:pPr>
        <w:tabs>
          <w:tab w:val="left" w:pos="4962"/>
        </w:tabs>
        <w:spacing w:after="0" w:line="360" w:lineRule="auto"/>
        <w:rPr>
          <w:color w:val="000000"/>
        </w:rPr>
      </w:pPr>
      <w:r w:rsidRPr="00AC4B04">
        <w:rPr>
          <w:color w:val="000000"/>
        </w:rPr>
        <w:t>En este sentido, resultan aplicables por analogía, los Criterios de Interpretación, con clave de control SO/015/2017 y SO/001/2013, emitidos por el entonces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B7747A3" w14:textId="77777777" w:rsidR="00AC4B04" w:rsidRPr="00AC4B04" w:rsidRDefault="00AC4B04" w:rsidP="00AC4B04">
      <w:pPr>
        <w:tabs>
          <w:tab w:val="left" w:pos="4962"/>
        </w:tabs>
        <w:spacing w:after="0" w:line="360" w:lineRule="auto"/>
        <w:rPr>
          <w:color w:val="000000"/>
        </w:rPr>
      </w:pPr>
    </w:p>
    <w:p w14:paraId="3A0416B3" w14:textId="77777777" w:rsidR="00AC4B04" w:rsidRPr="00AC4B04" w:rsidRDefault="00AC4B04" w:rsidP="00AC4B04">
      <w:pPr>
        <w:tabs>
          <w:tab w:val="left" w:pos="4962"/>
        </w:tabs>
        <w:spacing w:after="0" w:line="360" w:lineRule="auto"/>
        <w:rPr>
          <w:color w:val="000000"/>
        </w:rPr>
      </w:pPr>
      <w:r w:rsidRPr="00AC4B04">
        <w:rPr>
          <w:color w:val="000000"/>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w:t>
      </w:r>
      <w:r w:rsidRPr="00AC4B04">
        <w:rPr>
          <w:color w:val="000000"/>
        </w:rPr>
        <w:lastRenderedPageBreak/>
        <w:t xml:space="preserve">obligados y que además están directamente relacionados con el cumplimiento de disposiciones normativas o el ejercicio de funciones revisten un interés público. </w:t>
      </w:r>
    </w:p>
    <w:p w14:paraId="49E7ACBD" w14:textId="77777777" w:rsidR="00AC4B04" w:rsidRPr="00AC4B04" w:rsidRDefault="00AC4B04" w:rsidP="00AC4B04">
      <w:pPr>
        <w:tabs>
          <w:tab w:val="left" w:pos="4962"/>
        </w:tabs>
        <w:spacing w:after="0" w:line="360" w:lineRule="auto"/>
        <w:rPr>
          <w:color w:val="000000"/>
        </w:rPr>
      </w:pPr>
    </w:p>
    <w:p w14:paraId="57DAB516" w14:textId="77777777" w:rsidR="00AC4B04" w:rsidRPr="00AC4B04" w:rsidRDefault="00AC4B04" w:rsidP="00AC4B04">
      <w:pPr>
        <w:tabs>
          <w:tab w:val="left" w:pos="4962"/>
        </w:tabs>
        <w:spacing w:after="0" w:line="360" w:lineRule="auto"/>
        <w:rPr>
          <w:color w:val="000000"/>
        </w:rPr>
      </w:pPr>
      <w:r w:rsidRPr="00AC4B04">
        <w:rPr>
          <w:color w:val="000000"/>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C61F271" w14:textId="77777777" w:rsidR="00AC4B04" w:rsidRPr="00AC4B04" w:rsidRDefault="00AC4B04" w:rsidP="00AC4B04">
      <w:pPr>
        <w:tabs>
          <w:tab w:val="left" w:pos="4962"/>
        </w:tabs>
        <w:spacing w:after="0" w:line="360" w:lineRule="auto"/>
        <w:rPr>
          <w:color w:val="000000"/>
        </w:rPr>
      </w:pPr>
    </w:p>
    <w:p w14:paraId="549ED701" w14:textId="77777777" w:rsidR="00AC4B04" w:rsidRPr="00AC4B04" w:rsidRDefault="00AC4B04" w:rsidP="00AC4B04">
      <w:pPr>
        <w:tabs>
          <w:tab w:val="left" w:pos="4962"/>
        </w:tabs>
        <w:spacing w:after="0" w:line="360" w:lineRule="auto"/>
        <w:rPr>
          <w:color w:val="000000"/>
        </w:rPr>
      </w:pPr>
      <w:r w:rsidRPr="00AC4B04">
        <w:rPr>
          <w:color w:val="000000"/>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4949B1E1" w14:textId="77777777" w:rsidR="00524B08" w:rsidRDefault="00524B08" w:rsidP="00D70FB2">
      <w:pPr>
        <w:spacing w:after="0" w:line="360" w:lineRule="auto"/>
        <w:contextualSpacing/>
        <w:rPr>
          <w:rFonts w:cs="Tahoma"/>
          <w:bCs/>
          <w:iCs/>
        </w:rPr>
      </w:pPr>
    </w:p>
    <w:p w14:paraId="4D93C0A0" w14:textId="77777777" w:rsidR="00AC4B04" w:rsidRPr="00AC4B04" w:rsidRDefault="00AC4B04" w:rsidP="00F475D5">
      <w:pPr>
        <w:numPr>
          <w:ilvl w:val="0"/>
          <w:numId w:val="48"/>
        </w:numPr>
        <w:spacing w:after="0" w:line="360" w:lineRule="auto"/>
        <w:rPr>
          <w:b/>
          <w:color w:val="000000"/>
        </w:rPr>
      </w:pPr>
      <w:r w:rsidRPr="00AC4B04">
        <w:rPr>
          <w:b/>
          <w:color w:val="000000"/>
        </w:rPr>
        <w:t>Firma de servidores públicos</w:t>
      </w:r>
    </w:p>
    <w:p w14:paraId="38519C95" w14:textId="77777777" w:rsidR="00AC4B04" w:rsidRPr="00AC4B04" w:rsidRDefault="00AC4B04" w:rsidP="00AC4B04">
      <w:pPr>
        <w:spacing w:after="0" w:line="360" w:lineRule="auto"/>
        <w:rPr>
          <w:color w:val="000000"/>
          <w:lang w:eastAsia="es-ES_tradnl"/>
        </w:rPr>
      </w:pPr>
      <w:r w:rsidRPr="00AC4B04">
        <w:rPr>
          <w:color w:val="000000"/>
          <w:lang w:eastAsia="es-ES_tradnl"/>
        </w:rPr>
        <w:t xml:space="preserve"> </w:t>
      </w:r>
    </w:p>
    <w:p w14:paraId="2DF0CD88" w14:textId="77777777" w:rsidR="00AC4B04" w:rsidRPr="00AC4B04" w:rsidRDefault="00AC4B04" w:rsidP="00AC4B04">
      <w:pPr>
        <w:spacing w:after="0" w:line="360" w:lineRule="auto"/>
        <w:rPr>
          <w:color w:val="000000"/>
          <w:lang w:eastAsia="es-ES_tradnl"/>
        </w:rPr>
      </w:pPr>
      <w:r w:rsidRPr="00AC4B04">
        <w:rPr>
          <w:color w:val="000000"/>
          <w:lang w:eastAsia="es-ES_tradnl"/>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0A09A63D" w14:textId="77777777" w:rsidR="00AC4B04" w:rsidRPr="00AC4B04" w:rsidRDefault="00AC4B04" w:rsidP="00AC4B04">
      <w:pPr>
        <w:spacing w:after="0" w:line="360" w:lineRule="auto"/>
        <w:rPr>
          <w:color w:val="000000"/>
          <w:lang w:eastAsia="es-ES_tradnl"/>
        </w:rPr>
      </w:pPr>
      <w:r w:rsidRPr="00AC4B04">
        <w:rPr>
          <w:color w:val="000000"/>
          <w:lang w:eastAsia="es-ES_tradnl"/>
        </w:rPr>
        <w:t xml:space="preserve"> </w:t>
      </w:r>
    </w:p>
    <w:p w14:paraId="2F3B1EBE" w14:textId="7618729A" w:rsidR="00AC4B04" w:rsidRPr="00AC4B04" w:rsidRDefault="00AC4B04" w:rsidP="00AC4B04">
      <w:pPr>
        <w:spacing w:after="0" w:line="360" w:lineRule="auto"/>
        <w:rPr>
          <w:color w:val="000000"/>
          <w:lang w:eastAsia="es-ES_tradnl"/>
        </w:rPr>
      </w:pPr>
      <w:r w:rsidRPr="00AC4B04">
        <w:rPr>
          <w:color w:val="000000"/>
          <w:lang w:eastAsia="es-ES_tradnl"/>
        </w:rPr>
        <w:t>Lo anterior, es así, toda vez que la firma de servidores públicos, vinculada al ejercicio de la función pública es información de naturaleza pública, pues documenta y rinde cuentas sobre el debido ejercicio de sus atribuciones, lo cual</w:t>
      </w:r>
      <w:r w:rsidR="00F475D5">
        <w:rPr>
          <w:color w:val="000000"/>
          <w:lang w:eastAsia="es-ES_tradnl"/>
        </w:rPr>
        <w:t xml:space="preserve"> no</w:t>
      </w:r>
      <w:r w:rsidRPr="00AC4B04">
        <w:rPr>
          <w:color w:val="000000"/>
          <w:lang w:eastAsia="es-ES_tradnl"/>
        </w:rPr>
        <w:t xml:space="preserve"> acontece en el presente caso, pues </w:t>
      </w:r>
      <w:r w:rsidR="00F475D5">
        <w:rPr>
          <w:color w:val="000000"/>
          <w:lang w:eastAsia="es-ES_tradnl"/>
        </w:rPr>
        <w:t>en el presente caso, únicamente da cuenta de la aceptación del nivel o grado académico obtenido.</w:t>
      </w:r>
    </w:p>
    <w:p w14:paraId="0A173BCA" w14:textId="77777777" w:rsidR="00AC4B04" w:rsidRDefault="00AC4B04" w:rsidP="00AC4B04">
      <w:pPr>
        <w:spacing w:after="0" w:line="360" w:lineRule="auto"/>
        <w:rPr>
          <w:color w:val="000000"/>
          <w:lang w:eastAsia="es-ES_tradnl"/>
        </w:rPr>
      </w:pPr>
      <w:r w:rsidRPr="00AC4B04">
        <w:rPr>
          <w:color w:val="000000"/>
          <w:lang w:eastAsia="es-ES_tradnl"/>
        </w:rPr>
        <w:t xml:space="preserve"> </w:t>
      </w:r>
    </w:p>
    <w:p w14:paraId="1FB72B1E" w14:textId="77777777" w:rsidR="00FC4589" w:rsidRPr="00AC4B04" w:rsidRDefault="00FC4589" w:rsidP="00AC4B04">
      <w:pPr>
        <w:spacing w:after="0" w:line="360" w:lineRule="auto"/>
        <w:rPr>
          <w:color w:val="000000"/>
          <w:lang w:eastAsia="es-ES_tradnl"/>
        </w:rPr>
      </w:pPr>
    </w:p>
    <w:p w14:paraId="385D62EA" w14:textId="3CA49B56" w:rsidR="00AC4B04" w:rsidRPr="00AC4B04" w:rsidRDefault="00AC4B04" w:rsidP="00AC4B04">
      <w:pPr>
        <w:spacing w:after="0" w:line="360" w:lineRule="auto"/>
        <w:rPr>
          <w:color w:val="000000"/>
          <w:lang w:eastAsia="es-ES_tradnl"/>
        </w:rPr>
      </w:pPr>
      <w:r w:rsidRPr="00AC4B04">
        <w:rPr>
          <w:color w:val="000000"/>
          <w:lang w:eastAsia="es-ES_tradnl"/>
        </w:rPr>
        <w:t xml:space="preserve">La </w:t>
      </w:r>
      <w:r w:rsidR="00F475D5">
        <w:rPr>
          <w:color w:val="000000"/>
          <w:lang w:eastAsia="es-ES_tradnl"/>
        </w:rPr>
        <w:t xml:space="preserve">no </w:t>
      </w:r>
      <w:r w:rsidRPr="00AC4B04">
        <w:rPr>
          <w:color w:val="000000"/>
          <w:lang w:eastAsia="es-ES_tradnl"/>
        </w:rPr>
        <w:t>publicidad de dicho dato, se robustece, con el Criterio Orientador, de la Segunda Época, con clave de control SO/002/2019, emitido por el entonces Instituto Nacional de Transparencia, Acceso a la Información y Protección de Datos Personales, que establece lo siguiente:</w:t>
      </w:r>
    </w:p>
    <w:p w14:paraId="71A87D20" w14:textId="77777777" w:rsidR="00AC4B04" w:rsidRPr="00AC4B04" w:rsidRDefault="00AC4B04" w:rsidP="00AC4B04">
      <w:pPr>
        <w:spacing w:after="0" w:line="360" w:lineRule="auto"/>
        <w:rPr>
          <w:color w:val="000000"/>
          <w:lang w:eastAsia="es-ES_tradnl"/>
        </w:rPr>
      </w:pPr>
      <w:r w:rsidRPr="00AC4B04">
        <w:rPr>
          <w:color w:val="000000"/>
          <w:lang w:eastAsia="es-ES_tradnl"/>
        </w:rPr>
        <w:t xml:space="preserve"> </w:t>
      </w:r>
    </w:p>
    <w:p w14:paraId="67D537D3" w14:textId="77777777" w:rsidR="00AC4B04" w:rsidRPr="00AC4B04" w:rsidRDefault="00AC4B04" w:rsidP="00AC4B04">
      <w:pPr>
        <w:spacing w:after="0" w:line="360" w:lineRule="auto"/>
        <w:ind w:left="720"/>
        <w:rPr>
          <w:i/>
          <w:color w:val="000000"/>
          <w:lang w:eastAsia="es-ES_tradnl"/>
        </w:rPr>
      </w:pPr>
      <w:r w:rsidRPr="00AC4B04">
        <w:rPr>
          <w:b/>
          <w:bCs/>
          <w:i/>
          <w:color w:val="000000"/>
          <w:sz w:val="20"/>
          <w:lang w:eastAsia="es-ES_tradnl"/>
        </w:rPr>
        <w:t>“Firma y rúbrica de servidores públicos.</w:t>
      </w:r>
      <w:r w:rsidRPr="00AC4B04">
        <w:rPr>
          <w:i/>
          <w:color w:val="000000"/>
          <w:sz w:val="20"/>
          <w:lang w:eastAsia="es-ES_tradnl"/>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9CB7596" w14:textId="77777777" w:rsidR="00AC4B04" w:rsidRPr="00AC4B04" w:rsidRDefault="00AC4B04" w:rsidP="00AC4B04">
      <w:pPr>
        <w:spacing w:after="0" w:line="360" w:lineRule="auto"/>
        <w:rPr>
          <w:color w:val="000000"/>
          <w:lang w:eastAsia="es-ES_tradnl"/>
        </w:rPr>
      </w:pPr>
      <w:r w:rsidRPr="00AC4B04">
        <w:rPr>
          <w:color w:val="000000"/>
          <w:lang w:eastAsia="es-ES_tradnl"/>
        </w:rPr>
        <w:t xml:space="preserve"> </w:t>
      </w:r>
    </w:p>
    <w:p w14:paraId="0D6AF6D4" w14:textId="4F926445" w:rsidR="00AC4B04" w:rsidRPr="00AC4B04" w:rsidRDefault="00AC4B04" w:rsidP="00AC4B04">
      <w:pPr>
        <w:spacing w:after="0" w:line="360" w:lineRule="auto"/>
        <w:rPr>
          <w:color w:val="000000"/>
          <w:lang w:eastAsia="es-ES_tradnl"/>
        </w:rPr>
      </w:pPr>
      <w:r w:rsidRPr="00AC4B04">
        <w:rPr>
          <w:color w:val="000000"/>
          <w:lang w:eastAsia="es-ES_tradnl"/>
        </w:rPr>
        <w:t>Conforme a lo expuesto, en el presente caso, procede la clasificación, en términos del artículo 143, fracción I de la Ley de Transparencia y Acceso a la Información Pública del Estado de México y Municipios, de la firma localizada en el documento comprobatori</w:t>
      </w:r>
      <w:r w:rsidR="00F475D5">
        <w:rPr>
          <w:color w:val="000000"/>
          <w:lang w:eastAsia="es-ES_tradnl"/>
        </w:rPr>
        <w:t>o</w:t>
      </w:r>
      <w:r w:rsidRPr="00AC4B04">
        <w:rPr>
          <w:color w:val="000000"/>
          <w:lang w:eastAsia="es-ES_tradnl"/>
        </w:rPr>
        <w:t xml:space="preserve"> de nivel de estudios, pues da cuenta de la aceptación de un grado </w:t>
      </w:r>
      <w:r w:rsidR="00F475D5">
        <w:rPr>
          <w:color w:val="000000"/>
          <w:lang w:eastAsia="es-ES_tradnl"/>
        </w:rPr>
        <w:t>o nivel de estudios, lo cual no se vincula con el ejercicio de funciones, ni es utilizada para emitir actos de autoridad.</w:t>
      </w:r>
    </w:p>
    <w:p w14:paraId="44277330" w14:textId="77777777" w:rsidR="00AC4B04" w:rsidRDefault="00AC4B04" w:rsidP="00D70FB2">
      <w:pPr>
        <w:spacing w:after="0" w:line="360" w:lineRule="auto"/>
        <w:contextualSpacing/>
        <w:rPr>
          <w:rFonts w:cs="Tahoma"/>
          <w:bCs/>
          <w:iCs/>
        </w:rPr>
      </w:pPr>
    </w:p>
    <w:p w14:paraId="25BE7F37" w14:textId="333B648A" w:rsidR="00412A97" w:rsidRPr="001570EC" w:rsidRDefault="00412A97" w:rsidP="00D70FB2">
      <w:pPr>
        <w:spacing w:after="0" w:line="360" w:lineRule="auto"/>
        <w:contextualSpacing/>
        <w:rPr>
          <w:rFonts w:cs="Tahoma"/>
          <w:bCs/>
          <w:iCs/>
          <w:lang w:val="es-ES"/>
        </w:rPr>
      </w:pPr>
      <w:r w:rsidRPr="001570EC">
        <w:rPr>
          <w:rFonts w:cs="Tahoma"/>
          <w:bCs/>
          <w:iCs/>
          <w:lang w:val="es-ES_tradnl"/>
        </w:rPr>
        <w:t>Conforme a lo anterior, deberá entregar los documentos en versión pública, tomando en consideración el análisis realizado en párrafos anteriores; a</w:t>
      </w:r>
      <w:r w:rsidRPr="001570EC">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82322D8" w14:textId="77777777" w:rsidR="00412A97" w:rsidRPr="001570EC" w:rsidRDefault="00412A97" w:rsidP="00D70FB2">
      <w:pPr>
        <w:spacing w:after="0" w:line="360" w:lineRule="auto"/>
        <w:contextualSpacing/>
        <w:rPr>
          <w:rFonts w:cs="Tahoma"/>
          <w:bCs/>
          <w:iCs/>
          <w:lang w:val="es-ES"/>
        </w:rPr>
      </w:pPr>
    </w:p>
    <w:p w14:paraId="16FC8559" w14:textId="77777777" w:rsidR="00412A97" w:rsidRPr="001570EC" w:rsidRDefault="00412A97" w:rsidP="00D70FB2">
      <w:pPr>
        <w:spacing w:after="0" w:line="360" w:lineRule="auto"/>
        <w:contextualSpacing/>
        <w:rPr>
          <w:rFonts w:eastAsia="Calibri"/>
        </w:rPr>
      </w:pPr>
      <w:r w:rsidRPr="001570EC">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09468BE" w14:textId="77777777" w:rsidR="00412A97" w:rsidRPr="001570EC" w:rsidRDefault="00412A97" w:rsidP="00D70FB2">
      <w:pPr>
        <w:widowControl w:val="0"/>
        <w:autoSpaceDE w:val="0"/>
        <w:autoSpaceDN w:val="0"/>
        <w:adjustRightInd w:val="0"/>
        <w:spacing w:after="0" w:line="360" w:lineRule="auto"/>
        <w:contextualSpacing/>
      </w:pPr>
      <w:r w:rsidRPr="001570EC">
        <w:lastRenderedPageBreak/>
        <w:t xml:space="preserve"> </w:t>
      </w:r>
    </w:p>
    <w:p w14:paraId="088330D2" w14:textId="77777777" w:rsidR="00412A97" w:rsidRPr="001570EC" w:rsidRDefault="00412A97" w:rsidP="00D70FB2">
      <w:pPr>
        <w:pStyle w:val="Ttulo2"/>
        <w:spacing w:before="0" w:after="0"/>
        <w:jc w:val="both"/>
        <w:rPr>
          <w:szCs w:val="22"/>
          <w:lang w:eastAsia="en-US"/>
        </w:rPr>
      </w:pPr>
      <w:bookmarkStart w:id="25" w:name="_Toc187856550"/>
      <w:bookmarkStart w:id="26" w:name="_Toc219992263"/>
      <w:r w:rsidRPr="001570EC">
        <w:rPr>
          <w:szCs w:val="22"/>
          <w:lang w:eastAsia="en-US"/>
        </w:rPr>
        <w:t>SEXTO. Decisión</w:t>
      </w:r>
      <w:bookmarkEnd w:id="25"/>
      <w:bookmarkEnd w:id="26"/>
    </w:p>
    <w:p w14:paraId="2BF49C11" w14:textId="77777777" w:rsidR="00412A97" w:rsidRPr="001570EC" w:rsidRDefault="00412A97" w:rsidP="00D70FB2">
      <w:pPr>
        <w:spacing w:after="0" w:line="360" w:lineRule="auto"/>
        <w:contextualSpacing/>
        <w:rPr>
          <w:rFonts w:eastAsia="Calibri" w:cs="Tahoma"/>
          <w:b/>
          <w:lang w:eastAsia="en-US"/>
        </w:rPr>
      </w:pPr>
    </w:p>
    <w:p w14:paraId="6213FF5B" w14:textId="3F1A2BCD" w:rsidR="00412A97" w:rsidRPr="001570EC" w:rsidRDefault="00412A97" w:rsidP="00D70FB2">
      <w:pPr>
        <w:spacing w:after="0" w:line="360" w:lineRule="auto"/>
        <w:rPr>
          <w:rFonts w:cs="Tahoma"/>
        </w:rPr>
      </w:pPr>
      <w:r w:rsidRPr="001570EC">
        <w:rPr>
          <w:rFonts w:cs="Tahoma"/>
        </w:rPr>
        <w:t xml:space="preserve">Con fundamento en el artículo 186, fracción III, de la Ley de Transparencia y Acceso a la Información Pública del Estado de México y Municipios, este Instituto considera procedente </w:t>
      </w:r>
      <w:r w:rsidR="00BD0C78">
        <w:rPr>
          <w:b/>
          <w:bCs/>
        </w:rPr>
        <w:t>REVOCAR</w:t>
      </w:r>
      <w:r w:rsidRPr="001570EC">
        <w:rPr>
          <w:rFonts w:cs="Tahoma"/>
        </w:rPr>
        <w:t xml:space="preserve"> la respuesta otorgada por el Sujeto Obligado, a efecto de que en</w:t>
      </w:r>
      <w:r w:rsidR="00BD0C78">
        <w:rPr>
          <w:rFonts w:cs="Tahoma"/>
        </w:rPr>
        <w:t>tregue, la información.</w:t>
      </w:r>
    </w:p>
    <w:p w14:paraId="0813B4C4" w14:textId="77777777" w:rsidR="00321E72" w:rsidRPr="001570EC" w:rsidRDefault="00321E72" w:rsidP="00D70FB2">
      <w:pPr>
        <w:spacing w:after="0" w:line="360" w:lineRule="auto"/>
        <w:rPr>
          <w:rFonts w:cs="Tahoma"/>
        </w:rPr>
      </w:pPr>
    </w:p>
    <w:p w14:paraId="6B62A73D" w14:textId="77777777" w:rsidR="00412A97" w:rsidRPr="001570EC" w:rsidRDefault="00412A97" w:rsidP="00D70FB2">
      <w:pPr>
        <w:spacing w:after="0" w:line="360" w:lineRule="auto"/>
        <w:contextualSpacing/>
        <w:rPr>
          <w:rFonts w:eastAsia="Calibri" w:cs="Tahoma"/>
          <w:b/>
          <w:bCs/>
          <w:lang w:eastAsia="en-US"/>
        </w:rPr>
      </w:pPr>
      <w:r w:rsidRPr="001570EC">
        <w:rPr>
          <w:rFonts w:eastAsia="Calibri" w:cs="Tahoma"/>
          <w:b/>
          <w:bCs/>
          <w:lang w:eastAsia="en-US"/>
        </w:rPr>
        <w:t>Términos de la Resolución para conocimiento del Particular.</w:t>
      </w:r>
    </w:p>
    <w:p w14:paraId="42B6B331" w14:textId="77777777" w:rsidR="00412A97" w:rsidRPr="001570EC" w:rsidRDefault="00412A97" w:rsidP="00D70FB2">
      <w:pPr>
        <w:spacing w:after="0" w:line="360" w:lineRule="auto"/>
        <w:contextualSpacing/>
        <w:rPr>
          <w:rFonts w:eastAsia="Calibri" w:cs="Tahoma"/>
          <w:b/>
          <w:bCs/>
          <w:lang w:eastAsia="en-US"/>
        </w:rPr>
      </w:pPr>
    </w:p>
    <w:p w14:paraId="76052528" w14:textId="145D3CAF" w:rsidR="00412A97" w:rsidRPr="001570EC" w:rsidRDefault="00412A97" w:rsidP="00D70FB2">
      <w:pPr>
        <w:spacing w:after="0" w:line="360" w:lineRule="auto"/>
        <w:rPr>
          <w:bCs/>
        </w:rPr>
      </w:pPr>
      <w:r w:rsidRPr="001570EC">
        <w:t xml:space="preserve">Se le hace del conocimiento a la persona Recurrente que, en el presente asunto, se le da la razón, pues el Sujeto Obligado </w:t>
      </w:r>
      <w:r w:rsidR="00576D3B">
        <w:t>le negó información que tiene el carácter de pública, por lo que este Instituto determina procedente ordenar su entrega vía SAIMEX</w:t>
      </w:r>
      <w:r w:rsidR="00FC4589">
        <w:t>, en su caso, en versión pública, para el supuesto que contenga datos clasificables.</w:t>
      </w:r>
    </w:p>
    <w:p w14:paraId="3E6F5EE0" w14:textId="77777777" w:rsidR="00412A97" w:rsidRPr="001570EC" w:rsidRDefault="00412A97" w:rsidP="00D70FB2">
      <w:pPr>
        <w:spacing w:after="0" w:line="360" w:lineRule="auto"/>
        <w:ind w:right="-28"/>
        <w:rPr>
          <w:rFonts w:eastAsia="Calibri" w:cs="Tahoma"/>
          <w:bCs/>
          <w:iCs/>
          <w:color w:val="000000"/>
          <w:lang w:eastAsia="en-US"/>
        </w:rPr>
      </w:pPr>
    </w:p>
    <w:p w14:paraId="51978E37" w14:textId="77777777" w:rsidR="00412A97" w:rsidRPr="001570EC" w:rsidRDefault="00412A97" w:rsidP="00D70FB2">
      <w:pPr>
        <w:spacing w:after="0" w:line="360" w:lineRule="auto"/>
        <w:rPr>
          <w:rFonts w:eastAsia="Calibri" w:cs="Tahoma"/>
          <w:bCs/>
          <w:iCs/>
          <w:lang w:eastAsia="en-US"/>
        </w:rPr>
      </w:pPr>
      <w:r w:rsidRPr="001570EC">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E37C1D3" w14:textId="77777777" w:rsidR="00412A97" w:rsidRPr="001570EC" w:rsidRDefault="00412A97" w:rsidP="00D70FB2">
      <w:pPr>
        <w:spacing w:after="0" w:line="360" w:lineRule="auto"/>
        <w:contextualSpacing/>
        <w:rPr>
          <w:rFonts w:eastAsia="Calibri" w:cstheme="minorBidi"/>
          <w:lang w:eastAsia="en-US"/>
        </w:rPr>
      </w:pPr>
    </w:p>
    <w:p w14:paraId="7C13A06D" w14:textId="77777777" w:rsidR="00412A97" w:rsidRDefault="00412A97" w:rsidP="00D70FB2">
      <w:pPr>
        <w:spacing w:after="0" w:line="360" w:lineRule="auto"/>
        <w:contextualSpacing/>
        <w:rPr>
          <w:rFonts w:eastAsia="Calibri" w:cstheme="minorBidi"/>
          <w:lang w:eastAsia="en-US"/>
        </w:rPr>
      </w:pPr>
      <w:r w:rsidRPr="001570EC">
        <w:rPr>
          <w:rFonts w:eastAsia="Calibri" w:cstheme="minorBidi"/>
          <w:lang w:eastAsia="en-US"/>
        </w:rPr>
        <w:t>Por lo expuesto y fundado, este Pleno:</w:t>
      </w:r>
    </w:p>
    <w:p w14:paraId="16B019DE" w14:textId="77777777" w:rsidR="00FC4589" w:rsidRDefault="00FC4589" w:rsidP="00D70FB2">
      <w:pPr>
        <w:spacing w:after="0" w:line="360" w:lineRule="auto"/>
        <w:contextualSpacing/>
        <w:rPr>
          <w:rFonts w:eastAsia="Calibri" w:cstheme="minorBidi"/>
          <w:lang w:eastAsia="en-US"/>
        </w:rPr>
      </w:pPr>
    </w:p>
    <w:p w14:paraId="19BD56D8" w14:textId="77777777" w:rsidR="00412A97" w:rsidRPr="001570EC" w:rsidRDefault="00412A97" w:rsidP="00D70FB2">
      <w:pPr>
        <w:pStyle w:val="Ttulo1"/>
        <w:spacing w:before="0" w:after="0"/>
        <w:rPr>
          <w:sz w:val="22"/>
          <w:szCs w:val="22"/>
          <w:lang w:eastAsia="en-US"/>
        </w:rPr>
      </w:pPr>
      <w:bookmarkStart w:id="27" w:name="_Toc187856551"/>
      <w:bookmarkStart w:id="28" w:name="_Toc219992264"/>
      <w:r w:rsidRPr="001570EC">
        <w:rPr>
          <w:sz w:val="22"/>
          <w:szCs w:val="22"/>
          <w:lang w:eastAsia="en-US"/>
        </w:rPr>
        <w:t>R E S U E L V E</w:t>
      </w:r>
      <w:bookmarkEnd w:id="27"/>
      <w:bookmarkEnd w:id="28"/>
    </w:p>
    <w:p w14:paraId="0FB954AB" w14:textId="77777777" w:rsidR="00412A97" w:rsidRPr="001570EC" w:rsidRDefault="00412A97" w:rsidP="00D70FB2">
      <w:pPr>
        <w:spacing w:after="0" w:line="360" w:lineRule="auto"/>
        <w:contextualSpacing/>
        <w:rPr>
          <w:rFonts w:eastAsia="Calibri" w:cstheme="minorBidi"/>
          <w:lang w:eastAsia="en-US"/>
        </w:rPr>
      </w:pPr>
    </w:p>
    <w:p w14:paraId="53F1E070" w14:textId="0F0077F0" w:rsidR="00412A97" w:rsidRPr="001570EC" w:rsidRDefault="00412A97" w:rsidP="00D70FB2">
      <w:pPr>
        <w:spacing w:after="0" w:line="360" w:lineRule="auto"/>
      </w:pPr>
      <w:r w:rsidRPr="001570EC">
        <w:rPr>
          <w:rFonts w:eastAsia="Calibri" w:cs="Tahoma"/>
          <w:b/>
          <w:iCs/>
          <w:lang w:eastAsia="en-US"/>
        </w:rPr>
        <w:t>PRIMERO.</w:t>
      </w:r>
      <w:r w:rsidRPr="001570EC">
        <w:rPr>
          <w:rFonts w:eastAsia="Calibri" w:cs="Tahoma"/>
          <w:bCs/>
          <w:iCs/>
          <w:lang w:eastAsia="en-US"/>
        </w:rPr>
        <w:t xml:space="preserve"> </w:t>
      </w:r>
      <w:r w:rsidRPr="001570EC">
        <w:t xml:space="preserve">Se </w:t>
      </w:r>
      <w:r w:rsidR="00576D3B">
        <w:rPr>
          <w:b/>
        </w:rPr>
        <w:t>REVOCA</w:t>
      </w:r>
      <w:r w:rsidRPr="001570EC">
        <w:rPr>
          <w:b/>
        </w:rPr>
        <w:t xml:space="preserve"> </w:t>
      </w:r>
      <w:r w:rsidRPr="001570EC">
        <w:t xml:space="preserve">la respuesta entregada por el </w:t>
      </w:r>
      <w:r w:rsidR="00576D3B">
        <w:t>Ayuntamiento de Toluca</w:t>
      </w:r>
      <w:r w:rsidRPr="001570EC">
        <w:t>, a la solicitud de información</w:t>
      </w:r>
      <w:r w:rsidRPr="001570EC">
        <w:rPr>
          <w:rFonts w:cs="Tahoma"/>
        </w:rPr>
        <w:t xml:space="preserve"> </w:t>
      </w:r>
      <w:r w:rsidR="00DA4E7B">
        <w:rPr>
          <w:rFonts w:cs="Tahoma"/>
          <w:bCs/>
        </w:rPr>
        <w:t>00788/TOLUCA/IP/2026</w:t>
      </w:r>
      <w:r w:rsidR="00576D3B" w:rsidRPr="00D70FB2">
        <w:rPr>
          <w:rFonts w:cs="Tahoma"/>
          <w:bCs/>
        </w:rPr>
        <w:t xml:space="preserve">, </w:t>
      </w:r>
      <w:r w:rsidRPr="00D70FB2">
        <w:rPr>
          <w:bCs/>
        </w:rPr>
        <w:t>p</w:t>
      </w:r>
      <w:r w:rsidRPr="001570EC">
        <w:t xml:space="preserve">or </w:t>
      </w:r>
      <w:r w:rsidR="00DE5261" w:rsidRPr="001570EC">
        <w:t xml:space="preserve">resultar </w:t>
      </w:r>
      <w:r w:rsidR="00DE5261">
        <w:t>FUNDADAS</w:t>
      </w:r>
      <w:r w:rsidRPr="001570EC">
        <w:rPr>
          <w:b/>
        </w:rPr>
        <w:t xml:space="preserve"> </w:t>
      </w:r>
      <w:r w:rsidRPr="001570EC">
        <w:t xml:space="preserve">las razones o motivos de </w:t>
      </w:r>
      <w:r w:rsidRPr="001570EC">
        <w:lastRenderedPageBreak/>
        <w:t>inconformidad hechos valer por la persona Recurrente, en términos de los considerandos QUINTO y SEXTO de la presente Resolución.</w:t>
      </w:r>
    </w:p>
    <w:p w14:paraId="013C0AFF" w14:textId="77777777" w:rsidR="00412A97" w:rsidRPr="001570EC" w:rsidRDefault="00412A97" w:rsidP="00D70FB2">
      <w:pPr>
        <w:spacing w:after="0" w:line="360" w:lineRule="auto"/>
        <w:contextualSpacing/>
        <w:rPr>
          <w:rFonts w:eastAsia="Calibri" w:cs="Tahoma"/>
          <w:bCs/>
          <w:iCs/>
          <w:lang w:eastAsia="en-US"/>
        </w:rPr>
      </w:pPr>
    </w:p>
    <w:p w14:paraId="777E9819" w14:textId="2369C96D" w:rsidR="00412A97" w:rsidRDefault="00412A97" w:rsidP="00D70FB2">
      <w:pPr>
        <w:spacing w:after="0" w:line="360" w:lineRule="auto"/>
        <w:ind w:right="-30"/>
        <w:textAlignment w:val="baseline"/>
        <w:rPr>
          <w:lang w:eastAsia="en-US"/>
        </w:rPr>
      </w:pPr>
      <w:r w:rsidRPr="001570EC">
        <w:rPr>
          <w:b/>
          <w:lang w:eastAsia="en-US"/>
        </w:rPr>
        <w:t xml:space="preserve">SEGUNDO. </w:t>
      </w:r>
      <w:r w:rsidRPr="001570EC">
        <w:rPr>
          <w:lang w:eastAsia="en-US"/>
        </w:rPr>
        <w:t xml:space="preserve">Se </w:t>
      </w:r>
      <w:r w:rsidRPr="001570EC">
        <w:rPr>
          <w:b/>
          <w:lang w:eastAsia="en-US"/>
        </w:rPr>
        <w:t>ORDENA</w:t>
      </w:r>
      <w:r w:rsidRPr="001570EC">
        <w:rPr>
          <w:lang w:eastAsia="en-US"/>
        </w:rPr>
        <w:t xml:space="preserve"> al Sujeto Obligado</w:t>
      </w:r>
      <w:r w:rsidRPr="001570EC">
        <w:rPr>
          <w:b/>
          <w:lang w:eastAsia="en-US"/>
        </w:rPr>
        <w:t xml:space="preserve">, </w:t>
      </w:r>
      <w:r w:rsidRPr="001570EC">
        <w:rPr>
          <w:lang w:eastAsia="en-US"/>
        </w:rPr>
        <w:t xml:space="preserve">a efecto de que previa búsqueda exhaustiva y razonable en los archivos de las unidades administrativas competentes, entregue a través del Sistema de Acceso a la Información Mexiquense (SAIMEX), en versión pública, </w:t>
      </w:r>
      <w:r w:rsidR="00F475D5">
        <w:rPr>
          <w:lang w:eastAsia="en-US"/>
        </w:rPr>
        <w:t>de los servidores públicos adscritos a la Quinta Regiduría (incluyendo al Titular del área), en funciones al veinte de enero de dos mil veinticinco, los documentos donde conste lo siguiente:</w:t>
      </w:r>
    </w:p>
    <w:p w14:paraId="4E9DF184" w14:textId="77777777" w:rsidR="00412A97" w:rsidRPr="001570EC" w:rsidRDefault="00412A97" w:rsidP="00D70FB2">
      <w:pPr>
        <w:spacing w:after="0" w:line="360" w:lineRule="auto"/>
        <w:ind w:right="-30"/>
        <w:textAlignment w:val="baseline"/>
        <w:rPr>
          <w:lang w:eastAsia="en-US"/>
        </w:rPr>
      </w:pPr>
    </w:p>
    <w:p w14:paraId="70DDAF73" w14:textId="3E975148" w:rsidR="00644BC2" w:rsidRDefault="00F475D5" w:rsidP="00A315B0">
      <w:pPr>
        <w:pStyle w:val="Prrafodelista"/>
        <w:numPr>
          <w:ilvl w:val="3"/>
          <w:numId w:val="33"/>
        </w:numPr>
        <w:spacing w:line="360" w:lineRule="auto"/>
        <w:ind w:left="567"/>
        <w:rPr>
          <w:lang w:eastAsia="en-US"/>
        </w:rPr>
      </w:pPr>
      <w:r>
        <w:rPr>
          <w:lang w:eastAsia="en-US"/>
        </w:rPr>
        <w:t>El título y cédula profesional;</w:t>
      </w:r>
    </w:p>
    <w:p w14:paraId="598A0F3C" w14:textId="77777777" w:rsidR="00FC4589" w:rsidRDefault="00FC4589" w:rsidP="00FC4589">
      <w:pPr>
        <w:pStyle w:val="Prrafodelista"/>
        <w:spacing w:line="360" w:lineRule="auto"/>
        <w:ind w:left="567"/>
        <w:rPr>
          <w:lang w:eastAsia="en-US"/>
        </w:rPr>
      </w:pPr>
    </w:p>
    <w:p w14:paraId="3C32BF5E" w14:textId="5A164FC6" w:rsidR="00F475D5" w:rsidRDefault="00F475D5" w:rsidP="00A315B0">
      <w:pPr>
        <w:pStyle w:val="Prrafodelista"/>
        <w:numPr>
          <w:ilvl w:val="3"/>
          <w:numId w:val="33"/>
        </w:numPr>
        <w:spacing w:line="360" w:lineRule="auto"/>
        <w:ind w:left="567"/>
        <w:rPr>
          <w:lang w:eastAsia="en-US"/>
        </w:rPr>
      </w:pPr>
      <w:r>
        <w:rPr>
          <w:lang w:eastAsia="en-US"/>
        </w:rPr>
        <w:t>La información curricular, y</w:t>
      </w:r>
    </w:p>
    <w:p w14:paraId="5FCEDF9A" w14:textId="77777777" w:rsidR="00FC4589" w:rsidRDefault="00FC4589" w:rsidP="00FC4589">
      <w:pPr>
        <w:pStyle w:val="Prrafodelista"/>
        <w:rPr>
          <w:lang w:eastAsia="en-US"/>
        </w:rPr>
      </w:pPr>
    </w:p>
    <w:p w14:paraId="6E1AC746" w14:textId="6D54873B" w:rsidR="00F475D5" w:rsidRDefault="00F475D5" w:rsidP="00A315B0">
      <w:pPr>
        <w:pStyle w:val="Prrafodelista"/>
        <w:numPr>
          <w:ilvl w:val="3"/>
          <w:numId w:val="33"/>
        </w:numPr>
        <w:spacing w:line="360" w:lineRule="auto"/>
        <w:ind w:left="567"/>
        <w:rPr>
          <w:lang w:eastAsia="en-US"/>
        </w:rPr>
      </w:pPr>
      <w:r>
        <w:rPr>
          <w:lang w:eastAsia="en-US"/>
        </w:rPr>
        <w:t>El sueldo bruto y neto mensual vigente a la fecha de la solicitud.</w:t>
      </w:r>
    </w:p>
    <w:p w14:paraId="1DF0BA43" w14:textId="77777777" w:rsidR="00F475D5" w:rsidRDefault="00F475D5" w:rsidP="00D70FB2">
      <w:pPr>
        <w:pStyle w:val="Prrafodelista"/>
        <w:spacing w:line="360" w:lineRule="auto"/>
        <w:ind w:left="0"/>
        <w:rPr>
          <w:rFonts w:cs="Tahoma"/>
          <w:bCs/>
          <w:iCs/>
          <w:lang w:eastAsia="en-US"/>
        </w:rPr>
      </w:pPr>
    </w:p>
    <w:p w14:paraId="5E06AB93" w14:textId="145BB9B9" w:rsidR="00412A97" w:rsidRDefault="00412A97" w:rsidP="00D70FB2">
      <w:pPr>
        <w:pStyle w:val="Prrafodelista"/>
        <w:spacing w:line="360" w:lineRule="auto"/>
        <w:ind w:left="0"/>
        <w:rPr>
          <w:rFonts w:cs="Tahoma"/>
          <w:bCs/>
          <w:iCs/>
          <w:lang w:eastAsia="en-US"/>
        </w:rPr>
      </w:pPr>
      <w:r w:rsidRPr="00644BC2">
        <w:rPr>
          <w:rFonts w:cs="Tahoma"/>
          <w:bCs/>
          <w:iCs/>
          <w:lang w:eastAsia="en-US"/>
        </w:rPr>
        <w:t xml:space="preserve">Además, deberá proporcionar el Acuerdo de Clasificación donde el Comité de Transparencia, confirme la eliminación de los datos </w:t>
      </w:r>
      <w:r w:rsidR="00DE5261">
        <w:rPr>
          <w:rFonts w:cs="Tahoma"/>
          <w:bCs/>
          <w:iCs/>
          <w:lang w:eastAsia="en-US"/>
        </w:rPr>
        <w:t>o información,</w:t>
      </w:r>
      <w:r w:rsidRPr="00644BC2">
        <w:rPr>
          <w:rFonts w:cs="Tahoma"/>
          <w:bCs/>
          <w:iCs/>
          <w:lang w:eastAsia="en-US"/>
        </w:rPr>
        <w:t xml:space="preserve"> en la versión pública</w:t>
      </w:r>
      <w:r w:rsidR="00DE5261">
        <w:rPr>
          <w:rFonts w:cs="Tahoma"/>
          <w:bCs/>
          <w:iCs/>
          <w:lang w:eastAsia="en-US"/>
        </w:rPr>
        <w:t>, en términos del Considerando QUINTO</w:t>
      </w:r>
      <w:r w:rsidRPr="00644BC2">
        <w:rPr>
          <w:rFonts w:cs="Tahoma"/>
          <w:bCs/>
          <w:iCs/>
          <w:lang w:eastAsia="en-US"/>
        </w:rPr>
        <w:t>, de conformidad con los artículos 49, fracciones II y VIII, 132, fracción II, 143, fracción I, y 149 de la Ley de Transparencia y Acceso a la Información Pública del Estado de México y Municipios.</w:t>
      </w:r>
    </w:p>
    <w:p w14:paraId="239ACBEB" w14:textId="77777777" w:rsidR="00F475D5" w:rsidRDefault="00F475D5" w:rsidP="00D70FB2">
      <w:pPr>
        <w:pStyle w:val="Prrafodelista"/>
        <w:spacing w:line="360" w:lineRule="auto"/>
        <w:ind w:left="0"/>
        <w:rPr>
          <w:rFonts w:cs="Tahoma"/>
          <w:bCs/>
          <w:iCs/>
          <w:lang w:eastAsia="en-US"/>
        </w:rPr>
      </w:pPr>
    </w:p>
    <w:p w14:paraId="4C90FAC9" w14:textId="2DB5CA11" w:rsidR="00F475D5" w:rsidRPr="00644BC2" w:rsidRDefault="00F475D5" w:rsidP="00D70FB2">
      <w:pPr>
        <w:pStyle w:val="Prrafodelista"/>
        <w:spacing w:line="360" w:lineRule="auto"/>
        <w:ind w:left="0"/>
        <w:rPr>
          <w:rFonts w:cs="Tahoma"/>
          <w:bCs/>
          <w:iCs/>
          <w:lang w:eastAsia="en-US"/>
        </w:rPr>
      </w:pPr>
      <w:r>
        <w:rPr>
          <w:rFonts w:cs="Tahoma"/>
          <w:bCs/>
          <w:iCs/>
          <w:lang w:eastAsia="en-US"/>
        </w:rPr>
        <w:t>Para el caso, de que alguno de los servidores públicos no cuente con uno de los documentos señalados en el numeral 1 o ambos, por no haber obligación normativa, deberá hacerlo del conocimiento de la parte Recurrente de manera clara y precisa.</w:t>
      </w:r>
    </w:p>
    <w:p w14:paraId="40F1082F" w14:textId="77777777" w:rsidR="00412A97" w:rsidRDefault="00412A97" w:rsidP="00D70FB2">
      <w:pPr>
        <w:spacing w:after="0" w:line="360" w:lineRule="auto"/>
        <w:rPr>
          <w:rFonts w:cs="Tahoma"/>
          <w:bCs/>
          <w:iCs/>
          <w:lang w:eastAsia="en-US"/>
        </w:rPr>
      </w:pPr>
    </w:p>
    <w:p w14:paraId="79D3CE7C" w14:textId="77777777" w:rsidR="00412A97" w:rsidRPr="001570EC" w:rsidRDefault="00412A97" w:rsidP="00D70FB2">
      <w:pPr>
        <w:spacing w:after="0" w:line="360" w:lineRule="auto"/>
        <w:ind w:right="-28"/>
        <w:rPr>
          <w:b/>
        </w:rPr>
      </w:pPr>
      <w:r>
        <w:rPr>
          <w:b/>
        </w:rPr>
        <w:t>TERCERO. NOTIFÍQUESE VÍA</w:t>
      </w:r>
      <w:r w:rsidRPr="001570EC">
        <w:rPr>
          <w:b/>
        </w:rPr>
        <w:t xml:space="preserve"> SAIMEX </w:t>
      </w:r>
      <w:r w:rsidRPr="001570EC">
        <w:t xml:space="preserve">la presente resolución al Titular de la Unidad de Transparencia del Sujeto Obligado, para que conforme al artículo 186, último párrafo, 189, segundo párrafo, y 194 de la Ley de Transparencia y Acceso a la Información Pública del Estado </w:t>
      </w:r>
      <w:r w:rsidRPr="001570EC">
        <w:lastRenderedPageBreak/>
        <w:t>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DA55BF7" w14:textId="77777777" w:rsidR="00412A97" w:rsidRPr="001570EC" w:rsidRDefault="00412A97" w:rsidP="00D70FB2">
      <w:pPr>
        <w:spacing w:after="0" w:line="360" w:lineRule="auto"/>
        <w:ind w:right="-28"/>
        <w:rPr>
          <w:color w:val="000000"/>
        </w:rPr>
      </w:pPr>
    </w:p>
    <w:p w14:paraId="5BC5E261" w14:textId="77777777" w:rsidR="00412A97" w:rsidRPr="001570EC" w:rsidRDefault="00412A97" w:rsidP="00D70FB2">
      <w:pPr>
        <w:spacing w:after="0" w:line="360" w:lineRule="auto"/>
        <w:rPr>
          <w:color w:val="000000"/>
        </w:rPr>
      </w:pPr>
      <w:r w:rsidRPr="001570EC">
        <w:rPr>
          <w:color w:val="000000"/>
        </w:rPr>
        <w:t>De conformidad con el artículo 198 de la Ley referida, de considerarlo procedente, el Sujeto Obligado de manera fundada y motivada, podrá solicitar una ampliación de plazo para el cumplimiento de la presente resolución.</w:t>
      </w:r>
    </w:p>
    <w:p w14:paraId="518A804C" w14:textId="77777777" w:rsidR="00412A97" w:rsidRPr="001570EC" w:rsidRDefault="00412A97" w:rsidP="00D70FB2">
      <w:pPr>
        <w:spacing w:after="0" w:line="360" w:lineRule="auto"/>
        <w:rPr>
          <w:color w:val="000000"/>
        </w:rPr>
      </w:pPr>
    </w:p>
    <w:p w14:paraId="4968D460" w14:textId="25DDADCE" w:rsidR="00412A97" w:rsidRPr="001570EC" w:rsidRDefault="00412A97" w:rsidP="00D70FB2">
      <w:pPr>
        <w:spacing w:after="0" w:line="360" w:lineRule="auto"/>
        <w:ind w:right="-93"/>
        <w:rPr>
          <w:rFonts w:cs="Tahoma"/>
          <w:lang w:eastAsia="en-US"/>
        </w:rPr>
      </w:pPr>
      <w:r w:rsidRPr="001570EC">
        <w:rPr>
          <w:b/>
          <w:bCs/>
          <w:color w:val="000000"/>
          <w:lang w:eastAsia="en-US"/>
        </w:rPr>
        <w:t xml:space="preserve">CUARTO. </w:t>
      </w:r>
      <w:r>
        <w:rPr>
          <w:b/>
        </w:rPr>
        <w:t>NOTIFÍQUESE VÍA</w:t>
      </w:r>
      <w:r w:rsidRPr="001570EC">
        <w:rPr>
          <w:b/>
        </w:rPr>
        <w:t xml:space="preserve"> SAIMEX</w:t>
      </w:r>
      <w:r w:rsidRPr="001570EC">
        <w:rPr>
          <w:color w:val="000000"/>
          <w:lang w:eastAsia="en-US"/>
        </w:rPr>
        <w:t xml:space="preserve"> a </w:t>
      </w:r>
      <w:r w:rsidR="00DE5261" w:rsidRPr="001570EC">
        <w:rPr>
          <w:color w:val="000000"/>
          <w:lang w:eastAsia="en-US"/>
        </w:rPr>
        <w:t xml:space="preserve">la </w:t>
      </w:r>
      <w:r w:rsidR="00DE5261">
        <w:rPr>
          <w:color w:val="000000"/>
          <w:lang w:eastAsia="en-US"/>
        </w:rPr>
        <w:t>Recurrente</w:t>
      </w:r>
      <w:r w:rsidRPr="001570EC">
        <w:rPr>
          <w:color w:val="000000"/>
          <w:lang w:eastAsia="en-US"/>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A84EE0" w14:textId="77777777" w:rsidR="00412A97" w:rsidRPr="001570EC" w:rsidRDefault="00412A97" w:rsidP="00D70FB2">
      <w:pPr>
        <w:spacing w:after="0" w:line="360" w:lineRule="auto"/>
        <w:contextualSpacing/>
        <w:rPr>
          <w:rFonts w:eastAsiaTheme="minorHAnsi" w:cstheme="minorBidi"/>
          <w:lang w:eastAsia="en-US"/>
        </w:rPr>
      </w:pPr>
    </w:p>
    <w:p w14:paraId="34E6C5B6" w14:textId="777CCAEA" w:rsidR="00412A97" w:rsidRDefault="00412A97" w:rsidP="00D70FB2">
      <w:pPr>
        <w:spacing w:after="0" w:line="360" w:lineRule="auto"/>
        <w:contextualSpacing/>
        <w:rPr>
          <w:rFonts w:eastAsia="Calibri" w:cstheme="minorBidi"/>
          <w:lang w:eastAsia="en-US"/>
        </w:rPr>
      </w:pPr>
      <w:r w:rsidRPr="001570EC">
        <w:rPr>
          <w:rFonts w:eastAsia="Calibri" w:cstheme="minorBidi"/>
          <w:lang w:eastAsia="en-US"/>
        </w:rPr>
        <w:t xml:space="preserve">ASÍ LO RESUELVE, POR </w:t>
      </w:r>
      <w:r w:rsidRPr="008D13F8">
        <w:rPr>
          <w:rFonts w:eastAsia="Calibri" w:cstheme="minorBidi"/>
          <w:b/>
          <w:lang w:eastAsia="en-US"/>
        </w:rPr>
        <w:t>UNANIMIDAD</w:t>
      </w:r>
      <w:r w:rsidRPr="001570EC">
        <w:rPr>
          <w:rFonts w:eastAsia="Calibri" w:cstheme="minorBidi"/>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8D13F8">
        <w:rPr>
          <w:rFonts w:eastAsia="Calibri" w:cstheme="minorBidi"/>
          <w:lang w:eastAsia="en-US"/>
        </w:rPr>
        <w:t xml:space="preserve"> </w:t>
      </w:r>
      <w:r w:rsidR="00FC4589">
        <w:rPr>
          <w:rFonts w:eastAsia="Calibri" w:cstheme="minorBidi"/>
          <w:lang w:eastAsia="en-US"/>
        </w:rPr>
        <w:t>CON VOTO PARTICULAR CONCURRENTE</w:t>
      </w:r>
      <w:r w:rsidRPr="001570EC">
        <w:rPr>
          <w:rFonts w:eastAsia="Calibri" w:cstheme="minorBidi"/>
          <w:lang w:eastAsia="en-US"/>
        </w:rPr>
        <w:t>, SHARON CRISTINA MORALES MARTÍNEZ</w:t>
      </w:r>
      <w:r w:rsidR="008D13F8">
        <w:rPr>
          <w:rFonts w:eastAsia="Calibri" w:cstheme="minorBidi"/>
          <w:lang w:eastAsia="en-US"/>
        </w:rPr>
        <w:t xml:space="preserve"> CON VOTO PARTICULAR</w:t>
      </w:r>
      <w:r w:rsidRPr="001570EC">
        <w:rPr>
          <w:rFonts w:eastAsia="Calibri" w:cstheme="minorBidi"/>
          <w:lang w:eastAsia="en-US"/>
        </w:rPr>
        <w:t>, LUIS GUSTAVO PARRA NORIEGA</w:t>
      </w:r>
      <w:r w:rsidR="008D13F8">
        <w:rPr>
          <w:rFonts w:eastAsia="Calibri" w:cstheme="minorBidi"/>
          <w:lang w:eastAsia="en-US"/>
        </w:rPr>
        <w:t xml:space="preserve"> CON VOTO PARTICULAR CONCURRENTE </w:t>
      </w:r>
      <w:r w:rsidRPr="001570EC">
        <w:rPr>
          <w:rFonts w:eastAsia="Calibri" w:cstheme="minorBidi"/>
          <w:lang w:eastAsia="en-US"/>
        </w:rPr>
        <w:t>Y GUADALUPE RAMÍREZ PEÑA</w:t>
      </w:r>
      <w:r w:rsidR="008D13F8">
        <w:rPr>
          <w:rFonts w:eastAsia="Calibri" w:cstheme="minorBidi"/>
          <w:lang w:eastAsia="en-US"/>
        </w:rPr>
        <w:t xml:space="preserve"> </w:t>
      </w:r>
      <w:r w:rsidR="00FC4589">
        <w:rPr>
          <w:rFonts w:eastAsia="Calibri" w:cstheme="minorBidi"/>
          <w:lang w:eastAsia="en-US"/>
        </w:rPr>
        <w:t>CON VOTO PARTICULAR</w:t>
      </w:r>
      <w:r w:rsidRPr="001570EC">
        <w:rPr>
          <w:rFonts w:eastAsia="Calibri" w:cstheme="minorBidi"/>
          <w:lang w:eastAsia="en-US"/>
        </w:rPr>
        <w:t xml:space="preserve">, EN LA </w:t>
      </w:r>
      <w:r w:rsidR="00F475D5">
        <w:rPr>
          <w:rFonts w:eastAsia="Calibri" w:cstheme="minorBidi"/>
          <w:lang w:eastAsia="en-US"/>
        </w:rPr>
        <w:t>OCTAVA</w:t>
      </w:r>
      <w:r w:rsidRPr="001570EC">
        <w:rPr>
          <w:rFonts w:eastAsia="Calibri" w:cstheme="minorBidi"/>
          <w:lang w:eastAsia="en-US"/>
        </w:rPr>
        <w:t xml:space="preserve"> SESIÓN ORDINARIA, CELEBRADA </w:t>
      </w:r>
      <w:r w:rsidR="00644BC2" w:rsidRPr="001570EC">
        <w:rPr>
          <w:rFonts w:eastAsia="Calibri" w:cstheme="minorBidi"/>
          <w:lang w:eastAsia="en-US"/>
        </w:rPr>
        <w:t xml:space="preserve">EL </w:t>
      </w:r>
      <w:r w:rsidR="00F475D5">
        <w:rPr>
          <w:rFonts w:eastAsia="Calibri" w:cstheme="minorBidi"/>
          <w:lang w:eastAsia="en-US"/>
        </w:rPr>
        <w:t>CINCO DE MARZO</w:t>
      </w:r>
      <w:r w:rsidR="005B473F">
        <w:rPr>
          <w:rFonts w:eastAsia="Calibri" w:cstheme="minorBidi"/>
          <w:lang w:eastAsia="en-US"/>
        </w:rPr>
        <w:t xml:space="preserve"> DE DOS MIL VEINTISÉIS</w:t>
      </w:r>
      <w:r w:rsidRPr="001570EC">
        <w:rPr>
          <w:rFonts w:eastAsia="Calibri" w:cstheme="minorBidi"/>
          <w:lang w:eastAsia="en-US"/>
        </w:rPr>
        <w:t>, ANTE EL SECRETARIO TÉCNICO DEL PLENO, ALEXIS TAPIA RAMÍREZ.</w:t>
      </w:r>
    </w:p>
    <w:p w14:paraId="41B92168" w14:textId="77777777" w:rsidR="00644BC2" w:rsidRDefault="00644BC2" w:rsidP="00D70FB2">
      <w:pPr>
        <w:spacing w:after="0" w:line="360" w:lineRule="auto"/>
        <w:contextualSpacing/>
        <w:rPr>
          <w:rFonts w:eastAsia="Calibri" w:cstheme="minorBidi"/>
          <w:lang w:eastAsia="en-US"/>
        </w:rPr>
      </w:pPr>
    </w:p>
    <w:p w14:paraId="764362A7" w14:textId="77777777" w:rsidR="00644BC2" w:rsidRDefault="00644BC2" w:rsidP="00D70FB2">
      <w:pPr>
        <w:spacing w:after="0" w:line="360" w:lineRule="auto"/>
        <w:contextualSpacing/>
        <w:rPr>
          <w:rFonts w:eastAsia="Calibri" w:cstheme="minorBidi"/>
          <w:lang w:eastAsia="en-US"/>
        </w:rPr>
      </w:pPr>
    </w:p>
    <w:p w14:paraId="122C92A3" w14:textId="77777777" w:rsidR="00644BC2" w:rsidRDefault="00644BC2" w:rsidP="00D70FB2">
      <w:pPr>
        <w:spacing w:after="0" w:line="360" w:lineRule="auto"/>
        <w:contextualSpacing/>
        <w:rPr>
          <w:rFonts w:eastAsia="Calibri" w:cstheme="minorBidi"/>
          <w:lang w:eastAsia="en-US"/>
        </w:rPr>
      </w:pPr>
    </w:p>
    <w:p w14:paraId="53023554" w14:textId="77777777" w:rsidR="00644BC2" w:rsidRDefault="00644BC2" w:rsidP="00D70FB2">
      <w:pPr>
        <w:spacing w:after="0" w:line="360" w:lineRule="auto"/>
        <w:contextualSpacing/>
        <w:rPr>
          <w:rFonts w:eastAsia="Calibri" w:cstheme="minorBidi"/>
          <w:lang w:eastAsia="en-US"/>
        </w:rPr>
      </w:pPr>
    </w:p>
    <w:p w14:paraId="16C4C79C" w14:textId="77777777" w:rsidR="00644BC2" w:rsidRDefault="00644BC2" w:rsidP="00D70FB2">
      <w:pPr>
        <w:spacing w:after="0" w:line="360" w:lineRule="auto"/>
        <w:contextualSpacing/>
        <w:rPr>
          <w:rFonts w:eastAsia="Calibri" w:cstheme="minorBidi"/>
          <w:lang w:eastAsia="en-US"/>
        </w:rPr>
      </w:pPr>
    </w:p>
    <w:p w14:paraId="162A7B53" w14:textId="77777777" w:rsidR="00644BC2" w:rsidRDefault="00644BC2" w:rsidP="00D70FB2">
      <w:pPr>
        <w:spacing w:after="0" w:line="360" w:lineRule="auto"/>
        <w:contextualSpacing/>
        <w:rPr>
          <w:rFonts w:eastAsia="Calibri" w:cstheme="minorBidi"/>
          <w:lang w:eastAsia="en-US"/>
        </w:rPr>
      </w:pPr>
    </w:p>
    <w:p w14:paraId="76C9D5D9" w14:textId="77777777" w:rsidR="00644BC2" w:rsidRDefault="00644BC2" w:rsidP="00D70FB2">
      <w:pPr>
        <w:spacing w:after="0" w:line="360" w:lineRule="auto"/>
        <w:contextualSpacing/>
        <w:rPr>
          <w:rFonts w:eastAsia="Calibri" w:cstheme="minorBidi"/>
          <w:lang w:eastAsia="en-US"/>
        </w:rPr>
      </w:pPr>
    </w:p>
    <w:p w14:paraId="381DD69A" w14:textId="77777777" w:rsidR="00644BC2" w:rsidRDefault="00644BC2" w:rsidP="00D70FB2">
      <w:pPr>
        <w:spacing w:after="0" w:line="360" w:lineRule="auto"/>
        <w:contextualSpacing/>
        <w:rPr>
          <w:rFonts w:eastAsia="Calibri" w:cstheme="minorBidi"/>
          <w:lang w:eastAsia="en-US"/>
        </w:rPr>
      </w:pPr>
    </w:p>
    <w:p w14:paraId="6BBE93A8" w14:textId="77777777" w:rsidR="00644BC2" w:rsidRDefault="00644BC2" w:rsidP="00D70FB2">
      <w:pPr>
        <w:spacing w:after="0" w:line="360" w:lineRule="auto"/>
        <w:contextualSpacing/>
        <w:rPr>
          <w:rFonts w:eastAsia="Calibri" w:cstheme="minorBidi"/>
          <w:lang w:eastAsia="en-US"/>
        </w:rPr>
      </w:pPr>
    </w:p>
    <w:p w14:paraId="09337957" w14:textId="77777777" w:rsidR="00644BC2" w:rsidRDefault="00644BC2" w:rsidP="00D70FB2">
      <w:pPr>
        <w:spacing w:after="0" w:line="360" w:lineRule="auto"/>
        <w:contextualSpacing/>
        <w:rPr>
          <w:rFonts w:eastAsia="Calibri" w:cstheme="minorBidi"/>
          <w:lang w:eastAsia="en-US"/>
        </w:rPr>
      </w:pPr>
    </w:p>
    <w:p w14:paraId="16C2A1E6" w14:textId="77777777" w:rsidR="00644BC2" w:rsidRDefault="00644BC2" w:rsidP="00D70FB2">
      <w:pPr>
        <w:spacing w:after="0" w:line="360" w:lineRule="auto"/>
        <w:contextualSpacing/>
        <w:rPr>
          <w:rFonts w:eastAsia="Calibri" w:cstheme="minorBidi"/>
          <w:lang w:eastAsia="en-US"/>
        </w:rPr>
      </w:pPr>
    </w:p>
    <w:p w14:paraId="43C9BD3C" w14:textId="77777777" w:rsidR="00644BC2" w:rsidRDefault="00644BC2" w:rsidP="00D70FB2">
      <w:pPr>
        <w:spacing w:after="0" w:line="360" w:lineRule="auto"/>
        <w:contextualSpacing/>
        <w:rPr>
          <w:rFonts w:eastAsia="Calibri" w:cstheme="minorBidi"/>
          <w:lang w:eastAsia="en-US"/>
        </w:rPr>
      </w:pPr>
    </w:p>
    <w:p w14:paraId="2D6D87FB" w14:textId="77777777" w:rsidR="00644BC2" w:rsidRDefault="00644BC2" w:rsidP="00D70FB2">
      <w:pPr>
        <w:spacing w:after="0" w:line="360" w:lineRule="auto"/>
        <w:contextualSpacing/>
        <w:rPr>
          <w:rFonts w:eastAsia="Calibri" w:cstheme="minorBidi"/>
          <w:lang w:eastAsia="en-US"/>
        </w:rPr>
      </w:pPr>
    </w:p>
    <w:p w14:paraId="5E067236" w14:textId="77777777" w:rsidR="00644BC2" w:rsidRDefault="00644BC2" w:rsidP="00D70FB2">
      <w:pPr>
        <w:spacing w:after="0" w:line="360" w:lineRule="auto"/>
        <w:contextualSpacing/>
        <w:rPr>
          <w:rFonts w:eastAsia="Calibri" w:cstheme="minorBidi"/>
          <w:lang w:eastAsia="en-US"/>
        </w:rPr>
      </w:pPr>
    </w:p>
    <w:p w14:paraId="38586D24" w14:textId="77777777" w:rsidR="00644BC2" w:rsidRDefault="00644BC2" w:rsidP="00D70FB2">
      <w:pPr>
        <w:spacing w:after="0" w:line="360" w:lineRule="auto"/>
        <w:contextualSpacing/>
        <w:rPr>
          <w:rFonts w:eastAsia="Calibri" w:cstheme="minorBidi"/>
          <w:lang w:eastAsia="en-US"/>
        </w:rPr>
      </w:pPr>
    </w:p>
    <w:p w14:paraId="335FCAA8" w14:textId="77777777" w:rsidR="00644BC2" w:rsidRDefault="00644BC2" w:rsidP="00D70FB2">
      <w:pPr>
        <w:spacing w:after="0" w:line="360" w:lineRule="auto"/>
        <w:contextualSpacing/>
        <w:rPr>
          <w:rFonts w:eastAsia="Calibri" w:cstheme="minorBidi"/>
          <w:lang w:eastAsia="en-US"/>
        </w:rPr>
      </w:pPr>
    </w:p>
    <w:p w14:paraId="1741A45B" w14:textId="77777777" w:rsidR="00D43425" w:rsidRPr="001570EC" w:rsidRDefault="00D43425" w:rsidP="00D70FB2">
      <w:pPr>
        <w:spacing w:after="0" w:line="360" w:lineRule="auto"/>
        <w:contextualSpacing/>
        <w:rPr>
          <w:rFonts w:eastAsia="Calibri" w:cstheme="minorBidi"/>
          <w:lang w:eastAsia="en-US"/>
        </w:rPr>
      </w:pPr>
    </w:p>
    <w:sectPr w:rsidR="00D43425" w:rsidRPr="001570EC" w:rsidSect="00CE4466">
      <w:headerReference w:type="even" r:id="rId17"/>
      <w:headerReference w:type="default" r:id="rId18"/>
      <w:footerReference w:type="even" r:id="rId19"/>
      <w:footerReference w:type="default" r:id="rId20"/>
      <w:headerReference w:type="first" r:id="rId21"/>
      <w:footerReference w:type="first" r:id="rId22"/>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FA747" w14:textId="77777777" w:rsidR="00551F18" w:rsidRDefault="00551F18">
      <w:pPr>
        <w:spacing w:after="0" w:line="240" w:lineRule="auto"/>
      </w:pPr>
      <w:r>
        <w:separator/>
      </w:r>
    </w:p>
  </w:endnote>
  <w:endnote w:type="continuationSeparator" w:id="0">
    <w:p w14:paraId="21334455" w14:textId="77777777" w:rsidR="00551F18" w:rsidRDefault="0055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05151" w14:textId="77777777"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5ED5">
      <w:rPr>
        <w:b/>
        <w:noProof/>
        <w:color w:val="000000"/>
        <w:sz w:val="24"/>
        <w:szCs w:val="24"/>
      </w:rPr>
      <w:t>38</w:t>
    </w:r>
    <w:r>
      <w:rPr>
        <w:b/>
        <w:color w:val="000000"/>
        <w:sz w:val="24"/>
        <w:szCs w:val="24"/>
      </w:rPr>
      <w:fldChar w:fldCharType="end"/>
    </w:r>
  </w:p>
  <w:p w14:paraId="547C391C"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D7FE" w14:textId="593A2114"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3EE5">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3EE5">
      <w:rPr>
        <w:b/>
        <w:noProof/>
        <w:color w:val="000000"/>
        <w:sz w:val="24"/>
        <w:szCs w:val="24"/>
      </w:rPr>
      <w:t>38</w:t>
    </w:r>
    <w:r>
      <w:rPr>
        <w:b/>
        <w:color w:val="000000"/>
        <w:sz w:val="24"/>
        <w:szCs w:val="24"/>
      </w:rPr>
      <w:fldChar w:fldCharType="end"/>
    </w:r>
  </w:p>
  <w:p w14:paraId="021EE9EB"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3A60" w14:textId="77777777"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3EE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3EE5">
      <w:rPr>
        <w:b/>
        <w:noProof/>
        <w:color w:val="000000"/>
        <w:sz w:val="24"/>
        <w:szCs w:val="24"/>
      </w:rPr>
      <w:t>38</w:t>
    </w:r>
    <w:r>
      <w:rPr>
        <w:b/>
        <w:color w:val="000000"/>
        <w:sz w:val="24"/>
        <w:szCs w:val="24"/>
      </w:rPr>
      <w:fldChar w:fldCharType="end"/>
    </w:r>
  </w:p>
  <w:p w14:paraId="23D55011"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AE4BC" w14:textId="77777777" w:rsidR="00551F18" w:rsidRDefault="00551F18">
      <w:pPr>
        <w:spacing w:after="0" w:line="240" w:lineRule="auto"/>
      </w:pPr>
      <w:r>
        <w:separator/>
      </w:r>
    </w:p>
  </w:footnote>
  <w:footnote w:type="continuationSeparator" w:id="0">
    <w:p w14:paraId="63B98BF4" w14:textId="77777777" w:rsidR="00551F18" w:rsidRDefault="00551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54C7" w14:textId="77777777" w:rsidR="00460E12" w:rsidRDefault="00460E12">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460E12" w14:paraId="4913F089" w14:textId="77777777">
      <w:trPr>
        <w:trHeight w:val="141"/>
      </w:trPr>
      <w:tc>
        <w:tcPr>
          <w:tcW w:w="2404" w:type="dxa"/>
        </w:tcPr>
        <w:p w14:paraId="1D800919" w14:textId="77777777" w:rsidR="00460E12" w:rsidRDefault="00460E12">
          <w:pPr>
            <w:tabs>
              <w:tab w:val="right" w:pos="8838"/>
            </w:tabs>
            <w:ind w:right="-105"/>
            <w:rPr>
              <w:b/>
            </w:rPr>
          </w:pPr>
          <w:r>
            <w:rPr>
              <w:b/>
            </w:rPr>
            <w:t>Recurso de Revisión:</w:t>
          </w:r>
        </w:p>
      </w:tc>
      <w:tc>
        <w:tcPr>
          <w:tcW w:w="3587" w:type="dxa"/>
        </w:tcPr>
        <w:p w14:paraId="53E9BD67" w14:textId="77777777" w:rsidR="00460E12" w:rsidRDefault="00460E12">
          <w:pPr>
            <w:tabs>
              <w:tab w:val="right" w:pos="8838"/>
            </w:tabs>
            <w:ind w:left="-28" w:right="683"/>
          </w:pPr>
          <w:r>
            <w:t>04196/INFOEM/IP/RR/2020</w:t>
          </w:r>
        </w:p>
      </w:tc>
    </w:tr>
    <w:tr w:rsidR="00460E12" w14:paraId="515F523A" w14:textId="77777777">
      <w:trPr>
        <w:trHeight w:val="276"/>
      </w:trPr>
      <w:tc>
        <w:tcPr>
          <w:tcW w:w="2404" w:type="dxa"/>
        </w:tcPr>
        <w:p w14:paraId="1CFF82A0" w14:textId="77777777" w:rsidR="00460E12" w:rsidRDefault="00460E12">
          <w:pPr>
            <w:tabs>
              <w:tab w:val="right" w:pos="8838"/>
            </w:tabs>
            <w:ind w:right="-105"/>
            <w:rPr>
              <w:b/>
            </w:rPr>
          </w:pPr>
          <w:r>
            <w:rPr>
              <w:b/>
            </w:rPr>
            <w:t>Sujeto Obligado:</w:t>
          </w:r>
        </w:p>
      </w:tc>
      <w:tc>
        <w:tcPr>
          <w:tcW w:w="3587" w:type="dxa"/>
        </w:tcPr>
        <w:p w14:paraId="1142F936" w14:textId="77777777" w:rsidR="00460E12" w:rsidRDefault="00460E12">
          <w:pPr>
            <w:tabs>
              <w:tab w:val="right" w:pos="8838"/>
            </w:tabs>
            <w:ind w:right="116"/>
          </w:pPr>
          <w:r>
            <w:t>Ayuntamiento de Chapultepec</w:t>
          </w:r>
        </w:p>
      </w:tc>
    </w:tr>
    <w:tr w:rsidR="00460E12" w14:paraId="69080D23" w14:textId="77777777">
      <w:trPr>
        <w:trHeight w:val="276"/>
      </w:trPr>
      <w:tc>
        <w:tcPr>
          <w:tcW w:w="2404" w:type="dxa"/>
        </w:tcPr>
        <w:p w14:paraId="50E24B18" w14:textId="77777777" w:rsidR="00460E12" w:rsidRDefault="00460E12">
          <w:pPr>
            <w:tabs>
              <w:tab w:val="right" w:pos="8838"/>
            </w:tabs>
            <w:ind w:right="-105"/>
            <w:rPr>
              <w:b/>
            </w:rPr>
          </w:pPr>
          <w:r>
            <w:rPr>
              <w:b/>
            </w:rPr>
            <w:t>Comisionado Ponente:</w:t>
          </w:r>
        </w:p>
      </w:tc>
      <w:tc>
        <w:tcPr>
          <w:tcW w:w="3587" w:type="dxa"/>
        </w:tcPr>
        <w:p w14:paraId="1467B143" w14:textId="77777777" w:rsidR="00460E12" w:rsidRDefault="00460E12">
          <w:pPr>
            <w:tabs>
              <w:tab w:val="right" w:pos="8838"/>
            </w:tabs>
            <w:ind w:right="-32"/>
          </w:pPr>
          <w:r>
            <w:t>Luis Gustavo Parra Noriega</w:t>
          </w:r>
        </w:p>
      </w:tc>
    </w:tr>
  </w:tbl>
  <w:p w14:paraId="74ECE196" w14:textId="77777777" w:rsidR="00460E12" w:rsidRDefault="00551F18">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6FF8" w14:textId="507B7709" w:rsidR="00460E12" w:rsidRDefault="00551F18">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460E12" w14:paraId="087E2B73" w14:textId="77777777" w:rsidTr="00AC3861">
      <w:trPr>
        <w:trHeight w:val="141"/>
      </w:trPr>
      <w:tc>
        <w:tcPr>
          <w:tcW w:w="2404" w:type="dxa"/>
        </w:tcPr>
        <w:p w14:paraId="44594EC4" w14:textId="77777777" w:rsidR="00460E12" w:rsidRDefault="00460E12">
          <w:pPr>
            <w:tabs>
              <w:tab w:val="right" w:pos="8838"/>
            </w:tabs>
            <w:ind w:left="-395" w:right="-105" w:firstLine="395"/>
            <w:rPr>
              <w:b/>
            </w:rPr>
          </w:pPr>
          <w:r>
            <w:rPr>
              <w:b/>
            </w:rPr>
            <w:t>Recurso de Revisión:</w:t>
          </w:r>
        </w:p>
      </w:tc>
      <w:tc>
        <w:tcPr>
          <w:tcW w:w="4684" w:type="dxa"/>
        </w:tcPr>
        <w:p w14:paraId="312F8E98" w14:textId="14962CC9" w:rsidR="00460E12" w:rsidRDefault="00DA4E7B" w:rsidP="00672439">
          <w:pPr>
            <w:tabs>
              <w:tab w:val="right" w:pos="8838"/>
            </w:tabs>
            <w:ind w:left="-28" w:right="454"/>
          </w:pPr>
          <w:r>
            <w:t>01816/INFOEM/IP/RR/2026</w:t>
          </w:r>
        </w:p>
      </w:tc>
    </w:tr>
    <w:tr w:rsidR="00460E12" w14:paraId="31D07777" w14:textId="77777777" w:rsidTr="00AC3861">
      <w:trPr>
        <w:trHeight w:val="276"/>
      </w:trPr>
      <w:tc>
        <w:tcPr>
          <w:tcW w:w="2404" w:type="dxa"/>
        </w:tcPr>
        <w:p w14:paraId="6B55802A" w14:textId="77777777" w:rsidR="00460E12" w:rsidRDefault="00460E12">
          <w:pPr>
            <w:tabs>
              <w:tab w:val="right" w:pos="8838"/>
            </w:tabs>
            <w:ind w:right="-105"/>
            <w:rPr>
              <w:b/>
            </w:rPr>
          </w:pPr>
          <w:r>
            <w:rPr>
              <w:b/>
            </w:rPr>
            <w:t>Sujeto Obligado:</w:t>
          </w:r>
        </w:p>
      </w:tc>
      <w:tc>
        <w:tcPr>
          <w:tcW w:w="4684" w:type="dxa"/>
        </w:tcPr>
        <w:p w14:paraId="4A22BD99" w14:textId="43C43D3A" w:rsidR="00460E12" w:rsidRDefault="00460E12" w:rsidP="00761BC2">
          <w:pPr>
            <w:tabs>
              <w:tab w:val="left" w:pos="3158"/>
              <w:tab w:val="left" w:pos="4292"/>
              <w:tab w:val="right" w:pos="8838"/>
            </w:tabs>
            <w:ind w:right="601"/>
            <w:jc w:val="left"/>
          </w:pPr>
          <w:r w:rsidRPr="008F69E8">
            <w:t>Ayuntamiento de Toluca</w:t>
          </w:r>
        </w:p>
      </w:tc>
    </w:tr>
    <w:tr w:rsidR="00460E12" w14:paraId="161D40C6" w14:textId="77777777" w:rsidTr="00AC3861">
      <w:trPr>
        <w:trHeight w:val="276"/>
      </w:trPr>
      <w:tc>
        <w:tcPr>
          <w:tcW w:w="2404" w:type="dxa"/>
        </w:tcPr>
        <w:p w14:paraId="2583E4C0" w14:textId="77777777" w:rsidR="00460E12" w:rsidRDefault="00460E12">
          <w:pPr>
            <w:tabs>
              <w:tab w:val="right" w:pos="8838"/>
            </w:tabs>
            <w:ind w:right="-105"/>
            <w:rPr>
              <w:b/>
            </w:rPr>
          </w:pPr>
          <w:r>
            <w:rPr>
              <w:b/>
            </w:rPr>
            <w:t>Comisionado Ponente:</w:t>
          </w:r>
        </w:p>
      </w:tc>
      <w:tc>
        <w:tcPr>
          <w:tcW w:w="4684" w:type="dxa"/>
        </w:tcPr>
        <w:p w14:paraId="4FEB6F64" w14:textId="77777777" w:rsidR="00460E12" w:rsidRDefault="00460E12">
          <w:pPr>
            <w:tabs>
              <w:tab w:val="right" w:pos="8838"/>
            </w:tabs>
            <w:ind w:right="454"/>
          </w:pPr>
          <w:r>
            <w:t>Luis Gustavo Parra Noriega</w:t>
          </w:r>
        </w:p>
      </w:tc>
    </w:tr>
  </w:tbl>
  <w:p w14:paraId="7B4A9F8D" w14:textId="1CE32126" w:rsidR="00460E12" w:rsidRDefault="00460E12">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0D355" w14:textId="64066775" w:rsidR="00460E12" w:rsidRDefault="00551F18">
    <w:pPr>
      <w:widowControl w:val="0"/>
      <w:pBdr>
        <w:top w:val="nil"/>
        <w:left w:val="nil"/>
        <w:bottom w:val="nil"/>
        <w:right w:val="nil"/>
        <w:between w:val="nil"/>
      </w:pBdr>
      <w:spacing w:after="0" w:line="276" w:lineRule="auto"/>
      <w:jc w:val="left"/>
      <w:rPr>
        <w:color w:val="000000"/>
      </w:rPr>
    </w:pPr>
    <w:r>
      <w:rPr>
        <w:rFonts w:ascii="Garamond" w:eastAsia="Garamond" w:hAnsi="Garamond" w:cs="Garamond"/>
        <w:noProof/>
        <w:sz w:val="16"/>
        <w:szCs w:val="16"/>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MARCA DE AGUA - HOJA RESOLUCIÓN" style="position:absolute;margin-left:-82.05pt;margin-top:-122.9pt;width:663.5pt;height:12in;z-index:-251656704;mso-wrap-edited:f;mso-width-percent:0;mso-height-percent:0;mso-position-horizontal-relative:margin;mso-position-vertical-relative:margin;mso-width-percent:0;mso-height-percent:0">
          <v:imagedata r:id="rId1" o:title="image2"/>
          <w10:wrap anchorx="margin" anchory="margin"/>
        </v:shape>
      </w:pict>
    </w:r>
  </w:p>
  <w:tbl>
    <w:tblPr>
      <w:tblStyle w:val="a1"/>
      <w:tblW w:w="9214" w:type="dxa"/>
      <w:tblInd w:w="0" w:type="dxa"/>
      <w:tblLayout w:type="fixed"/>
      <w:tblLook w:val="0400" w:firstRow="0" w:lastRow="0" w:firstColumn="0" w:lastColumn="0" w:noHBand="0" w:noVBand="1"/>
    </w:tblPr>
    <w:tblGrid>
      <w:gridCol w:w="2127"/>
      <w:gridCol w:w="7087"/>
    </w:tblGrid>
    <w:tr w:rsidR="00460E12" w14:paraId="11A312BD" w14:textId="77777777" w:rsidTr="00CE4466">
      <w:trPr>
        <w:trHeight w:val="1546"/>
      </w:trPr>
      <w:tc>
        <w:tcPr>
          <w:tcW w:w="2127" w:type="dxa"/>
        </w:tcPr>
        <w:p w14:paraId="02785A7F" w14:textId="3B05AE8F" w:rsidR="00460E12" w:rsidRDefault="00460E12">
          <w:pPr>
            <w:tabs>
              <w:tab w:val="right" w:pos="4273"/>
            </w:tabs>
            <w:rPr>
              <w:rFonts w:ascii="Garamond" w:eastAsia="Garamond" w:hAnsi="Garamond" w:cs="Garamond"/>
              <w:sz w:val="16"/>
              <w:szCs w:val="16"/>
            </w:rPr>
          </w:pPr>
        </w:p>
      </w:tc>
      <w:tc>
        <w:tcPr>
          <w:tcW w:w="7087" w:type="dxa"/>
        </w:tcPr>
        <w:p w14:paraId="5E345BDA" w14:textId="77777777" w:rsidR="00460E12" w:rsidRDefault="00460E12">
          <w:pPr>
            <w:rPr>
              <w:sz w:val="10"/>
              <w:szCs w:val="10"/>
            </w:rPr>
          </w:pPr>
        </w:p>
        <w:tbl>
          <w:tblPr>
            <w:tblStyle w:val="a2"/>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460E12" w14:paraId="4D093FE8" w14:textId="77777777">
            <w:trPr>
              <w:trHeight w:val="141"/>
            </w:trPr>
            <w:tc>
              <w:tcPr>
                <w:tcW w:w="2404" w:type="dxa"/>
                <w:vAlign w:val="bottom"/>
              </w:tcPr>
              <w:p w14:paraId="19B4B05D" w14:textId="77777777" w:rsidR="00460E12" w:rsidRDefault="00460E12">
                <w:pPr>
                  <w:tabs>
                    <w:tab w:val="right" w:pos="8838"/>
                  </w:tabs>
                  <w:ind w:right="-105"/>
                  <w:rPr>
                    <w:b/>
                  </w:rPr>
                </w:pPr>
                <w:r>
                  <w:rPr>
                    <w:b/>
                  </w:rPr>
                  <w:t>Recurso de Revisión:</w:t>
                </w:r>
              </w:p>
            </w:tc>
            <w:tc>
              <w:tcPr>
                <w:tcW w:w="3975" w:type="dxa"/>
              </w:tcPr>
              <w:p w14:paraId="43DE950F" w14:textId="3501A47C" w:rsidR="00460E12" w:rsidRDefault="00DA4E7B">
                <w:pPr>
                  <w:tabs>
                    <w:tab w:val="right" w:pos="8838"/>
                  </w:tabs>
                  <w:ind w:left="-28" w:right="-107"/>
                </w:pPr>
                <w:r>
                  <w:t>01816/INFOEM/IP/RR/2026</w:t>
                </w:r>
              </w:p>
            </w:tc>
          </w:tr>
          <w:tr w:rsidR="00460E12" w14:paraId="073EAE42" w14:textId="77777777">
            <w:trPr>
              <w:trHeight w:val="141"/>
            </w:trPr>
            <w:tc>
              <w:tcPr>
                <w:tcW w:w="2404" w:type="dxa"/>
              </w:tcPr>
              <w:p w14:paraId="76E590DA" w14:textId="77777777" w:rsidR="00460E12" w:rsidRDefault="00460E12">
                <w:pPr>
                  <w:tabs>
                    <w:tab w:val="right" w:pos="8838"/>
                  </w:tabs>
                  <w:ind w:right="-105"/>
                  <w:rPr>
                    <w:b/>
                  </w:rPr>
                </w:pPr>
                <w:r>
                  <w:rPr>
                    <w:b/>
                  </w:rPr>
                  <w:t>Recurrente:</w:t>
                </w:r>
              </w:p>
            </w:tc>
            <w:tc>
              <w:tcPr>
                <w:tcW w:w="3975" w:type="dxa"/>
              </w:tcPr>
              <w:p w14:paraId="5FF2F8C6" w14:textId="0A556F32" w:rsidR="00460E12" w:rsidRDefault="004B3EE5">
                <w:pPr>
                  <w:tabs>
                    <w:tab w:val="right" w:pos="8838"/>
                  </w:tabs>
                  <w:ind w:right="-107"/>
                </w:pPr>
                <w:r w:rsidRPr="004B3EE5">
                  <w:rPr>
                    <w:highlight w:val="black"/>
                  </w:rPr>
                  <w:t>-----------------------</w:t>
                </w:r>
              </w:p>
            </w:tc>
          </w:tr>
          <w:tr w:rsidR="00460E12" w14:paraId="009C2510" w14:textId="77777777">
            <w:trPr>
              <w:trHeight w:val="276"/>
            </w:trPr>
            <w:tc>
              <w:tcPr>
                <w:tcW w:w="2404" w:type="dxa"/>
              </w:tcPr>
              <w:p w14:paraId="0AAFC3CA" w14:textId="77777777" w:rsidR="00460E12" w:rsidRDefault="00460E12">
                <w:pPr>
                  <w:tabs>
                    <w:tab w:val="right" w:pos="8838"/>
                  </w:tabs>
                  <w:ind w:right="-105"/>
                  <w:rPr>
                    <w:b/>
                  </w:rPr>
                </w:pPr>
                <w:r>
                  <w:rPr>
                    <w:b/>
                  </w:rPr>
                  <w:t>Sujeto Obligado:</w:t>
                </w:r>
              </w:p>
            </w:tc>
            <w:tc>
              <w:tcPr>
                <w:tcW w:w="3975" w:type="dxa"/>
              </w:tcPr>
              <w:p w14:paraId="13F6DD80" w14:textId="7615C5A3" w:rsidR="00460E12" w:rsidRDefault="00460E12" w:rsidP="001724BB">
                <w:pPr>
                  <w:tabs>
                    <w:tab w:val="right" w:pos="8838"/>
                  </w:tabs>
                  <w:ind w:right="33"/>
                </w:pPr>
                <w:r>
                  <w:t>Ayuntamiento de Toluca</w:t>
                </w:r>
              </w:p>
            </w:tc>
          </w:tr>
          <w:tr w:rsidR="00460E12" w14:paraId="7A4EADF6" w14:textId="77777777">
            <w:trPr>
              <w:trHeight w:val="276"/>
            </w:trPr>
            <w:tc>
              <w:tcPr>
                <w:tcW w:w="2404" w:type="dxa"/>
              </w:tcPr>
              <w:p w14:paraId="014674B7" w14:textId="77777777" w:rsidR="00460E12" w:rsidRDefault="00460E12">
                <w:pPr>
                  <w:tabs>
                    <w:tab w:val="right" w:pos="8838"/>
                  </w:tabs>
                  <w:ind w:right="-105"/>
                  <w:rPr>
                    <w:b/>
                  </w:rPr>
                </w:pPr>
                <w:r>
                  <w:rPr>
                    <w:b/>
                  </w:rPr>
                  <w:t>Comisionado Ponente:</w:t>
                </w:r>
              </w:p>
            </w:tc>
            <w:tc>
              <w:tcPr>
                <w:tcW w:w="3975" w:type="dxa"/>
              </w:tcPr>
              <w:p w14:paraId="06F82FCE" w14:textId="77777777" w:rsidR="00460E12" w:rsidRDefault="00460E12">
                <w:pPr>
                  <w:tabs>
                    <w:tab w:val="right" w:pos="8838"/>
                  </w:tabs>
                  <w:ind w:right="-107"/>
                </w:pPr>
                <w:r>
                  <w:t>Luis Gustavo Parra Noriega</w:t>
                </w:r>
              </w:p>
            </w:tc>
          </w:tr>
        </w:tbl>
        <w:p w14:paraId="3774A9CE" w14:textId="77777777" w:rsidR="00460E12" w:rsidRDefault="00460E12">
          <w:pPr>
            <w:tabs>
              <w:tab w:val="right" w:pos="8838"/>
            </w:tabs>
            <w:ind w:left="-28"/>
            <w:rPr>
              <w:rFonts w:ascii="Arial" w:eastAsia="Arial" w:hAnsi="Arial" w:cs="Arial"/>
              <w:b/>
            </w:rPr>
          </w:pPr>
        </w:p>
      </w:tc>
    </w:tr>
  </w:tbl>
  <w:p w14:paraId="38129A67" w14:textId="248B6D27" w:rsidR="00460E12" w:rsidRDefault="00460E1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CDFA8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790908"/>
    <w:multiLevelType w:val="multilevel"/>
    <w:tmpl w:val="399C97F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7AC6D77"/>
    <w:multiLevelType w:val="hybridMultilevel"/>
    <w:tmpl w:val="315842D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5A7D91"/>
    <w:multiLevelType w:val="multilevel"/>
    <w:tmpl w:val="04DCB5D0"/>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5F46A4"/>
    <w:multiLevelType w:val="hybridMultilevel"/>
    <w:tmpl w:val="C6A4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930D64"/>
    <w:multiLevelType w:val="hybridMultilevel"/>
    <w:tmpl w:val="B9DCC7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D1153E8"/>
    <w:multiLevelType w:val="hybridMultilevel"/>
    <w:tmpl w:val="AE56B4D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A000F">
      <w:start w:val="1"/>
      <w:numFmt w:val="decimal"/>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F176804"/>
    <w:multiLevelType w:val="hybridMultilevel"/>
    <w:tmpl w:val="64E4D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5C2B0A"/>
    <w:multiLevelType w:val="multilevel"/>
    <w:tmpl w:val="C658C2BC"/>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6E5033"/>
    <w:multiLevelType w:val="multilevel"/>
    <w:tmpl w:val="05BEBCC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3C5F93"/>
    <w:multiLevelType w:val="hybridMultilevel"/>
    <w:tmpl w:val="C1BE2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3" w15:restartNumberingAfterBreak="0">
    <w:nsid w:val="7BE72A97"/>
    <w:multiLevelType w:val="multilevel"/>
    <w:tmpl w:val="5A70CE46"/>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D172E8E"/>
    <w:multiLevelType w:val="multilevel"/>
    <w:tmpl w:val="951835B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7"/>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4"/>
  </w:num>
  <w:num w:numId="5">
    <w:abstractNumId w:val="4"/>
  </w:num>
  <w:num w:numId="6">
    <w:abstractNumId w:val="45"/>
  </w:num>
  <w:num w:numId="7">
    <w:abstractNumId w:val="5"/>
  </w:num>
  <w:num w:numId="8">
    <w:abstractNumId w:val="24"/>
  </w:num>
  <w:num w:numId="9">
    <w:abstractNumId w:val="15"/>
  </w:num>
  <w:num w:numId="10">
    <w:abstractNumId w:val="25"/>
  </w:num>
  <w:num w:numId="11">
    <w:abstractNumId w:val="19"/>
  </w:num>
  <w:num w:numId="12">
    <w:abstractNumId w:val="6"/>
  </w:num>
  <w:num w:numId="13">
    <w:abstractNumId w:val="0"/>
  </w:num>
  <w:num w:numId="14">
    <w:abstractNumId w:val="11"/>
  </w:num>
  <w:num w:numId="15">
    <w:abstractNumId w:val="12"/>
  </w:num>
  <w:num w:numId="16">
    <w:abstractNumId w:val="34"/>
  </w:num>
  <w:num w:numId="17">
    <w:abstractNumId w:val="32"/>
  </w:num>
  <w:num w:numId="18">
    <w:abstractNumId w:val="8"/>
  </w:num>
  <w:num w:numId="19">
    <w:abstractNumId w:val="18"/>
  </w:num>
  <w:num w:numId="20">
    <w:abstractNumId w:val="31"/>
  </w:num>
  <w:num w:numId="21">
    <w:abstractNumId w:val="41"/>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4"/>
  </w:num>
  <w:num w:numId="25">
    <w:abstractNumId w:val="3"/>
  </w:num>
  <w:num w:numId="26">
    <w:abstractNumId w:val="9"/>
  </w:num>
  <w:num w:numId="27">
    <w:abstractNumId w:val="17"/>
  </w:num>
  <w:num w:numId="28">
    <w:abstractNumId w:val="2"/>
  </w:num>
  <w:num w:numId="29">
    <w:abstractNumId w:val="7"/>
  </w:num>
  <w:num w:numId="30">
    <w:abstractNumId w:val="20"/>
  </w:num>
  <w:num w:numId="31">
    <w:abstractNumId w:val="38"/>
  </w:num>
  <w:num w:numId="32">
    <w:abstractNumId w:val="22"/>
  </w:num>
  <w:num w:numId="33">
    <w:abstractNumId w:val="26"/>
  </w:num>
  <w:num w:numId="34">
    <w:abstractNumId w:val="1"/>
  </w:num>
  <w:num w:numId="35">
    <w:abstractNumId w:val="30"/>
  </w:num>
  <w:num w:numId="36">
    <w:abstractNumId w:val="1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40"/>
  </w:num>
  <w:num w:numId="40">
    <w:abstractNumId w:val="44"/>
  </w:num>
  <w:num w:numId="41">
    <w:abstractNumId w:val="42"/>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7"/>
  </w:num>
  <w:num w:numId="45">
    <w:abstractNumId w:val="28"/>
  </w:num>
  <w:num w:numId="46">
    <w:abstractNumId w:val="21"/>
  </w:num>
  <w:num w:numId="47">
    <w:abstractNumId w:val="43"/>
  </w:num>
  <w:num w:numId="48">
    <w:abstractNumId w:val="1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A5"/>
    <w:rsid w:val="0001121A"/>
    <w:rsid w:val="00024515"/>
    <w:rsid w:val="000274C2"/>
    <w:rsid w:val="00030A14"/>
    <w:rsid w:val="0003121B"/>
    <w:rsid w:val="000333F3"/>
    <w:rsid w:val="000352B7"/>
    <w:rsid w:val="00053BFA"/>
    <w:rsid w:val="00061E62"/>
    <w:rsid w:val="000620C8"/>
    <w:rsid w:val="000678E8"/>
    <w:rsid w:val="00080126"/>
    <w:rsid w:val="000837C4"/>
    <w:rsid w:val="000843EA"/>
    <w:rsid w:val="0008574F"/>
    <w:rsid w:val="000957B4"/>
    <w:rsid w:val="000A5247"/>
    <w:rsid w:val="000A608A"/>
    <w:rsid w:val="000B085A"/>
    <w:rsid w:val="000C03C1"/>
    <w:rsid w:val="000C07B8"/>
    <w:rsid w:val="000C30C0"/>
    <w:rsid w:val="000C455C"/>
    <w:rsid w:val="000D14DC"/>
    <w:rsid w:val="000E51A2"/>
    <w:rsid w:val="000F1C66"/>
    <w:rsid w:val="001112B3"/>
    <w:rsid w:val="00116267"/>
    <w:rsid w:val="00123ED6"/>
    <w:rsid w:val="00152404"/>
    <w:rsid w:val="001544A8"/>
    <w:rsid w:val="00167299"/>
    <w:rsid w:val="00171DF4"/>
    <w:rsid w:val="001724BB"/>
    <w:rsid w:val="00175DE6"/>
    <w:rsid w:val="001A043A"/>
    <w:rsid w:val="001A3FA2"/>
    <w:rsid w:val="001A4D72"/>
    <w:rsid w:val="001A518F"/>
    <w:rsid w:val="001A54EF"/>
    <w:rsid w:val="001A6540"/>
    <w:rsid w:val="001B2B90"/>
    <w:rsid w:val="001B6F6D"/>
    <w:rsid w:val="001C1404"/>
    <w:rsid w:val="001C3D22"/>
    <w:rsid w:val="001D0269"/>
    <w:rsid w:val="001E3BEF"/>
    <w:rsid w:val="001E7F6D"/>
    <w:rsid w:val="001F1666"/>
    <w:rsid w:val="001F7131"/>
    <w:rsid w:val="00201106"/>
    <w:rsid w:val="00205EE3"/>
    <w:rsid w:val="00213165"/>
    <w:rsid w:val="00227BE3"/>
    <w:rsid w:val="00235FD3"/>
    <w:rsid w:val="00247679"/>
    <w:rsid w:val="002505EE"/>
    <w:rsid w:val="0025165D"/>
    <w:rsid w:val="0026093C"/>
    <w:rsid w:val="0026142D"/>
    <w:rsid w:val="0026738C"/>
    <w:rsid w:val="00267D04"/>
    <w:rsid w:val="00271EEF"/>
    <w:rsid w:val="0027405F"/>
    <w:rsid w:val="0027513C"/>
    <w:rsid w:val="00275206"/>
    <w:rsid w:val="002812BA"/>
    <w:rsid w:val="00281A8C"/>
    <w:rsid w:val="0029439C"/>
    <w:rsid w:val="002A1E5F"/>
    <w:rsid w:val="002A4B9F"/>
    <w:rsid w:val="002B10A2"/>
    <w:rsid w:val="002B3613"/>
    <w:rsid w:val="002B77FE"/>
    <w:rsid w:val="002C3F8E"/>
    <w:rsid w:val="002D0172"/>
    <w:rsid w:val="002D4685"/>
    <w:rsid w:val="002E62A2"/>
    <w:rsid w:val="002F26C8"/>
    <w:rsid w:val="0030191A"/>
    <w:rsid w:val="00321E72"/>
    <w:rsid w:val="00321F56"/>
    <w:rsid w:val="003313D5"/>
    <w:rsid w:val="0033401C"/>
    <w:rsid w:val="003450B6"/>
    <w:rsid w:val="00352DFA"/>
    <w:rsid w:val="00355945"/>
    <w:rsid w:val="00361D2A"/>
    <w:rsid w:val="00372769"/>
    <w:rsid w:val="00375A00"/>
    <w:rsid w:val="0038068D"/>
    <w:rsid w:val="0038597C"/>
    <w:rsid w:val="003A6BE7"/>
    <w:rsid w:val="003B0222"/>
    <w:rsid w:val="003C5D74"/>
    <w:rsid w:val="003D1D15"/>
    <w:rsid w:val="00400449"/>
    <w:rsid w:val="00412A97"/>
    <w:rsid w:val="00416366"/>
    <w:rsid w:val="0043009E"/>
    <w:rsid w:val="00432851"/>
    <w:rsid w:val="0045203D"/>
    <w:rsid w:val="00460E12"/>
    <w:rsid w:val="00464E39"/>
    <w:rsid w:val="0046624D"/>
    <w:rsid w:val="00480823"/>
    <w:rsid w:val="00482AEC"/>
    <w:rsid w:val="00482F65"/>
    <w:rsid w:val="0049329D"/>
    <w:rsid w:val="004952B7"/>
    <w:rsid w:val="00496999"/>
    <w:rsid w:val="004B2592"/>
    <w:rsid w:val="004B3EE5"/>
    <w:rsid w:val="004B503B"/>
    <w:rsid w:val="004B5ED5"/>
    <w:rsid w:val="004B77C7"/>
    <w:rsid w:val="004C4B87"/>
    <w:rsid w:val="004D37D8"/>
    <w:rsid w:val="004D6AC0"/>
    <w:rsid w:val="004E16CA"/>
    <w:rsid w:val="00500D89"/>
    <w:rsid w:val="005041FF"/>
    <w:rsid w:val="00506582"/>
    <w:rsid w:val="00510781"/>
    <w:rsid w:val="00515931"/>
    <w:rsid w:val="00524B08"/>
    <w:rsid w:val="00543995"/>
    <w:rsid w:val="00551F18"/>
    <w:rsid w:val="0055591F"/>
    <w:rsid w:val="00557FE3"/>
    <w:rsid w:val="00576D3B"/>
    <w:rsid w:val="00596417"/>
    <w:rsid w:val="005A42D8"/>
    <w:rsid w:val="005B20FA"/>
    <w:rsid w:val="005B473F"/>
    <w:rsid w:val="005B5E7C"/>
    <w:rsid w:val="005C1E5B"/>
    <w:rsid w:val="005C4CEA"/>
    <w:rsid w:val="005D7AEB"/>
    <w:rsid w:val="00600C74"/>
    <w:rsid w:val="00602DD4"/>
    <w:rsid w:val="00603C0C"/>
    <w:rsid w:val="0060513D"/>
    <w:rsid w:val="00613944"/>
    <w:rsid w:val="006269DD"/>
    <w:rsid w:val="006420F0"/>
    <w:rsid w:val="00644BC2"/>
    <w:rsid w:val="00647460"/>
    <w:rsid w:val="0064764C"/>
    <w:rsid w:val="006515E5"/>
    <w:rsid w:val="0065522B"/>
    <w:rsid w:val="006613EA"/>
    <w:rsid w:val="00670439"/>
    <w:rsid w:val="00672439"/>
    <w:rsid w:val="00674D7A"/>
    <w:rsid w:val="00675F00"/>
    <w:rsid w:val="006819BC"/>
    <w:rsid w:val="0068258C"/>
    <w:rsid w:val="00687F86"/>
    <w:rsid w:val="00690DEB"/>
    <w:rsid w:val="0069493D"/>
    <w:rsid w:val="006A42EE"/>
    <w:rsid w:val="006A4E16"/>
    <w:rsid w:val="006C2A59"/>
    <w:rsid w:val="006C4DBF"/>
    <w:rsid w:val="006D4068"/>
    <w:rsid w:val="006E41D2"/>
    <w:rsid w:val="006E46EA"/>
    <w:rsid w:val="006E6C38"/>
    <w:rsid w:val="0073371B"/>
    <w:rsid w:val="00737F3D"/>
    <w:rsid w:val="00744595"/>
    <w:rsid w:val="00750C88"/>
    <w:rsid w:val="007514D5"/>
    <w:rsid w:val="00752F6F"/>
    <w:rsid w:val="00760CA6"/>
    <w:rsid w:val="00761BC2"/>
    <w:rsid w:val="0076362A"/>
    <w:rsid w:val="0078202B"/>
    <w:rsid w:val="00791585"/>
    <w:rsid w:val="00791B05"/>
    <w:rsid w:val="007A54F7"/>
    <w:rsid w:val="007D30CD"/>
    <w:rsid w:val="007F4736"/>
    <w:rsid w:val="008022FE"/>
    <w:rsid w:val="00802E3A"/>
    <w:rsid w:val="008055C1"/>
    <w:rsid w:val="008061A1"/>
    <w:rsid w:val="00822564"/>
    <w:rsid w:val="00827EA8"/>
    <w:rsid w:val="00836753"/>
    <w:rsid w:val="008449FA"/>
    <w:rsid w:val="00850D54"/>
    <w:rsid w:val="00862C79"/>
    <w:rsid w:val="00876057"/>
    <w:rsid w:val="008854E3"/>
    <w:rsid w:val="00895704"/>
    <w:rsid w:val="00897C88"/>
    <w:rsid w:val="008A6CBA"/>
    <w:rsid w:val="008B1792"/>
    <w:rsid w:val="008B760A"/>
    <w:rsid w:val="008C369E"/>
    <w:rsid w:val="008D13F8"/>
    <w:rsid w:val="008D36B7"/>
    <w:rsid w:val="008F69E8"/>
    <w:rsid w:val="00901916"/>
    <w:rsid w:val="0090345F"/>
    <w:rsid w:val="00910B11"/>
    <w:rsid w:val="00916DDB"/>
    <w:rsid w:val="00921B80"/>
    <w:rsid w:val="00922619"/>
    <w:rsid w:val="00931903"/>
    <w:rsid w:val="00933D31"/>
    <w:rsid w:val="009354C9"/>
    <w:rsid w:val="0093706C"/>
    <w:rsid w:val="009678C8"/>
    <w:rsid w:val="009743AC"/>
    <w:rsid w:val="0098702F"/>
    <w:rsid w:val="009A0999"/>
    <w:rsid w:val="009A1941"/>
    <w:rsid w:val="009C3A65"/>
    <w:rsid w:val="009D5DFC"/>
    <w:rsid w:val="009E143C"/>
    <w:rsid w:val="009F177B"/>
    <w:rsid w:val="009F4781"/>
    <w:rsid w:val="00A012C4"/>
    <w:rsid w:val="00A07B95"/>
    <w:rsid w:val="00A11D83"/>
    <w:rsid w:val="00A169B3"/>
    <w:rsid w:val="00A16A8A"/>
    <w:rsid w:val="00A31D29"/>
    <w:rsid w:val="00A340DF"/>
    <w:rsid w:val="00A3628B"/>
    <w:rsid w:val="00A36580"/>
    <w:rsid w:val="00A50615"/>
    <w:rsid w:val="00A629C1"/>
    <w:rsid w:val="00A62B45"/>
    <w:rsid w:val="00A6353E"/>
    <w:rsid w:val="00A7495B"/>
    <w:rsid w:val="00A876A7"/>
    <w:rsid w:val="00AA681D"/>
    <w:rsid w:val="00AB525A"/>
    <w:rsid w:val="00AC3861"/>
    <w:rsid w:val="00AC4B04"/>
    <w:rsid w:val="00AD7D48"/>
    <w:rsid w:val="00AE6258"/>
    <w:rsid w:val="00AE68DB"/>
    <w:rsid w:val="00AE6CC7"/>
    <w:rsid w:val="00AF1546"/>
    <w:rsid w:val="00B12E36"/>
    <w:rsid w:val="00B2250B"/>
    <w:rsid w:val="00B40CD5"/>
    <w:rsid w:val="00B439A5"/>
    <w:rsid w:val="00B44943"/>
    <w:rsid w:val="00B46A70"/>
    <w:rsid w:val="00B574FD"/>
    <w:rsid w:val="00B6332B"/>
    <w:rsid w:val="00B662E6"/>
    <w:rsid w:val="00B663EA"/>
    <w:rsid w:val="00B91BCB"/>
    <w:rsid w:val="00B97C98"/>
    <w:rsid w:val="00BA1C09"/>
    <w:rsid w:val="00BA53C0"/>
    <w:rsid w:val="00BA599A"/>
    <w:rsid w:val="00BA7CA9"/>
    <w:rsid w:val="00BC37F6"/>
    <w:rsid w:val="00BD0C78"/>
    <w:rsid w:val="00BD3F9B"/>
    <w:rsid w:val="00BD5CCE"/>
    <w:rsid w:val="00BD76D4"/>
    <w:rsid w:val="00BE685F"/>
    <w:rsid w:val="00BF371C"/>
    <w:rsid w:val="00BF4381"/>
    <w:rsid w:val="00C13CA5"/>
    <w:rsid w:val="00C23341"/>
    <w:rsid w:val="00C4170A"/>
    <w:rsid w:val="00C503C4"/>
    <w:rsid w:val="00C54A79"/>
    <w:rsid w:val="00C60734"/>
    <w:rsid w:val="00C6112D"/>
    <w:rsid w:val="00C64EB4"/>
    <w:rsid w:val="00C73479"/>
    <w:rsid w:val="00C7383A"/>
    <w:rsid w:val="00C74055"/>
    <w:rsid w:val="00C776C5"/>
    <w:rsid w:val="00C80616"/>
    <w:rsid w:val="00CA016E"/>
    <w:rsid w:val="00CA79CD"/>
    <w:rsid w:val="00CC1DAD"/>
    <w:rsid w:val="00CC263D"/>
    <w:rsid w:val="00CC608C"/>
    <w:rsid w:val="00CE19BD"/>
    <w:rsid w:val="00CE37B5"/>
    <w:rsid w:val="00CE3B03"/>
    <w:rsid w:val="00CE4466"/>
    <w:rsid w:val="00CE58A5"/>
    <w:rsid w:val="00CF024F"/>
    <w:rsid w:val="00CF0CB5"/>
    <w:rsid w:val="00CF6248"/>
    <w:rsid w:val="00CF6EC8"/>
    <w:rsid w:val="00D21192"/>
    <w:rsid w:val="00D213E4"/>
    <w:rsid w:val="00D35AEE"/>
    <w:rsid w:val="00D43425"/>
    <w:rsid w:val="00D4464F"/>
    <w:rsid w:val="00D44EDE"/>
    <w:rsid w:val="00D457C1"/>
    <w:rsid w:val="00D51406"/>
    <w:rsid w:val="00D52F9F"/>
    <w:rsid w:val="00D70FB2"/>
    <w:rsid w:val="00D7798F"/>
    <w:rsid w:val="00D83F51"/>
    <w:rsid w:val="00D93ABD"/>
    <w:rsid w:val="00DA4E7B"/>
    <w:rsid w:val="00DB2ADC"/>
    <w:rsid w:val="00DB2DF7"/>
    <w:rsid w:val="00DB2E59"/>
    <w:rsid w:val="00DD134F"/>
    <w:rsid w:val="00DD7C00"/>
    <w:rsid w:val="00DE3BBD"/>
    <w:rsid w:val="00DE5261"/>
    <w:rsid w:val="00DF6F15"/>
    <w:rsid w:val="00DF7037"/>
    <w:rsid w:val="00E03F94"/>
    <w:rsid w:val="00E27D46"/>
    <w:rsid w:val="00E51F39"/>
    <w:rsid w:val="00E57161"/>
    <w:rsid w:val="00E624D4"/>
    <w:rsid w:val="00E6531B"/>
    <w:rsid w:val="00E6706F"/>
    <w:rsid w:val="00E73EE5"/>
    <w:rsid w:val="00E763D9"/>
    <w:rsid w:val="00E86620"/>
    <w:rsid w:val="00E87065"/>
    <w:rsid w:val="00EA18B6"/>
    <w:rsid w:val="00EC2F43"/>
    <w:rsid w:val="00EC3E83"/>
    <w:rsid w:val="00EC4EBA"/>
    <w:rsid w:val="00ED280F"/>
    <w:rsid w:val="00EE388F"/>
    <w:rsid w:val="00F01C4C"/>
    <w:rsid w:val="00F03AF0"/>
    <w:rsid w:val="00F04222"/>
    <w:rsid w:val="00F1744F"/>
    <w:rsid w:val="00F25AFA"/>
    <w:rsid w:val="00F31D32"/>
    <w:rsid w:val="00F44355"/>
    <w:rsid w:val="00F44F11"/>
    <w:rsid w:val="00F475D5"/>
    <w:rsid w:val="00F64A35"/>
    <w:rsid w:val="00F7286E"/>
    <w:rsid w:val="00F84B60"/>
    <w:rsid w:val="00F8647F"/>
    <w:rsid w:val="00F9077E"/>
    <w:rsid w:val="00FA2A59"/>
    <w:rsid w:val="00FA42AE"/>
    <w:rsid w:val="00FA4FE7"/>
    <w:rsid w:val="00FB5127"/>
    <w:rsid w:val="00FB5BD5"/>
    <w:rsid w:val="00FB6A6B"/>
    <w:rsid w:val="00FB6B7F"/>
    <w:rsid w:val="00FC14F1"/>
    <w:rsid w:val="00FC4589"/>
    <w:rsid w:val="00FD0C0D"/>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 w:type="character" w:customStyle="1" w:styleId="UnresolvedMention">
    <w:name w:val="Unresolved Mention"/>
    <w:basedOn w:val="Fuentedeprrafopredeter"/>
    <w:uiPriority w:val="99"/>
    <w:semiHidden/>
    <w:unhideWhenUsed/>
    <w:rsid w:val="00DA4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43200782">
      <w:bodyDiv w:val="1"/>
      <w:marLeft w:val="0"/>
      <w:marRight w:val="0"/>
      <w:marTop w:val="0"/>
      <w:marBottom w:val="0"/>
      <w:divBdr>
        <w:top w:val="none" w:sz="0" w:space="0" w:color="auto"/>
        <w:left w:val="none" w:sz="0" w:space="0" w:color="auto"/>
        <w:bottom w:val="none" w:sz="0" w:space="0" w:color="auto"/>
        <w:right w:val="none" w:sz="0" w:space="0" w:color="auto"/>
      </w:divBdr>
    </w:div>
    <w:div w:id="155266805">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09611181">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478301211">
      <w:bodyDiv w:val="1"/>
      <w:marLeft w:val="0"/>
      <w:marRight w:val="0"/>
      <w:marTop w:val="0"/>
      <w:marBottom w:val="0"/>
      <w:divBdr>
        <w:top w:val="none" w:sz="0" w:space="0" w:color="auto"/>
        <w:left w:val="none" w:sz="0" w:space="0" w:color="auto"/>
        <w:bottom w:val="none" w:sz="0" w:space="0" w:color="auto"/>
        <w:right w:val="none" w:sz="0" w:space="0" w:color="auto"/>
      </w:divBdr>
    </w:div>
    <w:div w:id="510724323">
      <w:bodyDiv w:val="1"/>
      <w:marLeft w:val="0"/>
      <w:marRight w:val="0"/>
      <w:marTop w:val="0"/>
      <w:marBottom w:val="0"/>
      <w:divBdr>
        <w:top w:val="none" w:sz="0" w:space="0" w:color="auto"/>
        <w:left w:val="none" w:sz="0" w:space="0" w:color="auto"/>
        <w:bottom w:val="none" w:sz="0" w:space="0" w:color="auto"/>
        <w:right w:val="none" w:sz="0" w:space="0" w:color="auto"/>
      </w:divBdr>
    </w:div>
    <w:div w:id="522669122">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674917963">
      <w:bodyDiv w:val="1"/>
      <w:marLeft w:val="0"/>
      <w:marRight w:val="0"/>
      <w:marTop w:val="0"/>
      <w:marBottom w:val="0"/>
      <w:divBdr>
        <w:top w:val="none" w:sz="0" w:space="0" w:color="auto"/>
        <w:left w:val="none" w:sz="0" w:space="0" w:color="auto"/>
        <w:bottom w:val="none" w:sz="0" w:space="0" w:color="auto"/>
        <w:right w:val="none" w:sz="0" w:space="0" w:color="auto"/>
      </w:divBdr>
    </w:div>
    <w:div w:id="727000117">
      <w:bodyDiv w:val="1"/>
      <w:marLeft w:val="0"/>
      <w:marRight w:val="0"/>
      <w:marTop w:val="0"/>
      <w:marBottom w:val="0"/>
      <w:divBdr>
        <w:top w:val="none" w:sz="0" w:space="0" w:color="auto"/>
        <w:left w:val="none" w:sz="0" w:space="0" w:color="auto"/>
        <w:bottom w:val="none" w:sz="0" w:space="0" w:color="auto"/>
        <w:right w:val="none" w:sz="0" w:space="0" w:color="auto"/>
      </w:divBdr>
    </w:div>
    <w:div w:id="755591731">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41042837">
      <w:bodyDiv w:val="1"/>
      <w:marLeft w:val="0"/>
      <w:marRight w:val="0"/>
      <w:marTop w:val="0"/>
      <w:marBottom w:val="0"/>
      <w:divBdr>
        <w:top w:val="none" w:sz="0" w:space="0" w:color="auto"/>
        <w:left w:val="none" w:sz="0" w:space="0" w:color="auto"/>
        <w:bottom w:val="none" w:sz="0" w:space="0" w:color="auto"/>
        <w:right w:val="none" w:sz="0" w:space="0" w:color="auto"/>
      </w:divBdr>
    </w:div>
    <w:div w:id="864368126">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6666652">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6518910">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28758100">
      <w:bodyDiv w:val="1"/>
      <w:marLeft w:val="0"/>
      <w:marRight w:val="0"/>
      <w:marTop w:val="0"/>
      <w:marBottom w:val="0"/>
      <w:divBdr>
        <w:top w:val="none" w:sz="0" w:space="0" w:color="auto"/>
        <w:left w:val="none" w:sz="0" w:space="0" w:color="auto"/>
        <w:bottom w:val="none" w:sz="0" w:space="0" w:color="auto"/>
        <w:right w:val="none" w:sz="0" w:space="0" w:color="auto"/>
      </w:divBdr>
    </w:div>
    <w:div w:id="1269505902">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09423560">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419668804">
      <w:bodyDiv w:val="1"/>
      <w:marLeft w:val="0"/>
      <w:marRight w:val="0"/>
      <w:marTop w:val="0"/>
      <w:marBottom w:val="0"/>
      <w:divBdr>
        <w:top w:val="none" w:sz="0" w:space="0" w:color="auto"/>
        <w:left w:val="none" w:sz="0" w:space="0" w:color="auto"/>
        <w:bottom w:val="none" w:sz="0" w:space="0" w:color="auto"/>
        <w:right w:val="none" w:sz="0" w:space="0" w:color="auto"/>
      </w:divBdr>
    </w:div>
    <w:div w:id="1557428600">
      <w:bodyDiv w:val="1"/>
      <w:marLeft w:val="0"/>
      <w:marRight w:val="0"/>
      <w:marTop w:val="0"/>
      <w:marBottom w:val="0"/>
      <w:divBdr>
        <w:top w:val="none" w:sz="0" w:space="0" w:color="auto"/>
        <w:left w:val="none" w:sz="0" w:space="0" w:color="auto"/>
        <w:bottom w:val="none" w:sz="0" w:space="0" w:color="auto"/>
        <w:right w:val="none" w:sz="0" w:space="0" w:color="auto"/>
      </w:divBdr>
    </w:div>
    <w:div w:id="1582332639">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41906638">
      <w:bodyDiv w:val="1"/>
      <w:marLeft w:val="0"/>
      <w:marRight w:val="0"/>
      <w:marTop w:val="0"/>
      <w:marBottom w:val="0"/>
      <w:divBdr>
        <w:top w:val="none" w:sz="0" w:space="0" w:color="auto"/>
        <w:left w:val="none" w:sz="0" w:space="0" w:color="auto"/>
        <w:bottom w:val="none" w:sz="0" w:space="0" w:color="auto"/>
        <w:right w:val="none" w:sz="0" w:space="0" w:color="auto"/>
      </w:divBdr>
    </w:div>
    <w:div w:id="1774865064">
      <w:bodyDiv w:val="1"/>
      <w:marLeft w:val="0"/>
      <w:marRight w:val="0"/>
      <w:marTop w:val="0"/>
      <w:marBottom w:val="0"/>
      <w:divBdr>
        <w:top w:val="none" w:sz="0" w:space="0" w:color="auto"/>
        <w:left w:val="none" w:sz="0" w:space="0" w:color="auto"/>
        <w:bottom w:val="none" w:sz="0" w:space="0" w:color="auto"/>
        <w:right w:val="none" w:sz="0" w:space="0" w:color="auto"/>
      </w:divBdr>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790931442">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14315009">
      <w:bodyDiv w:val="1"/>
      <w:marLeft w:val="0"/>
      <w:marRight w:val="0"/>
      <w:marTop w:val="0"/>
      <w:marBottom w:val="0"/>
      <w:divBdr>
        <w:top w:val="none" w:sz="0" w:space="0" w:color="auto"/>
        <w:left w:val="none" w:sz="0" w:space="0" w:color="auto"/>
        <w:bottom w:val="none" w:sz="0" w:space="0" w:color="auto"/>
        <w:right w:val="none" w:sz="0" w:space="0" w:color="auto"/>
      </w:divBdr>
    </w:div>
    <w:div w:id="1937706582">
      <w:bodyDiv w:val="1"/>
      <w:marLeft w:val="0"/>
      <w:marRight w:val="0"/>
      <w:marTop w:val="0"/>
      <w:marBottom w:val="0"/>
      <w:divBdr>
        <w:top w:val="none" w:sz="0" w:space="0" w:color="auto"/>
        <w:left w:val="none" w:sz="0" w:space="0" w:color="auto"/>
        <w:bottom w:val="none" w:sz="0" w:space="0" w:color="auto"/>
        <w:right w:val="none" w:sz="0" w:space="0" w:color="auto"/>
      </w:divBdr>
    </w:div>
    <w:div w:id="195266857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031636080">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 w:id="2128113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ltatucedula.mx/"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ipomex.org.mx/ipome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image" Target="media/image3.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C8CC29-289C-4819-A385-E333111A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9123</Words>
  <Characters>50177</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infoem-393</cp:lastModifiedBy>
  <cp:revision>4</cp:revision>
  <cp:lastPrinted>2026-03-06T20:21:00Z</cp:lastPrinted>
  <dcterms:created xsi:type="dcterms:W3CDTF">2026-03-06T20:21:00Z</dcterms:created>
  <dcterms:modified xsi:type="dcterms:W3CDTF">2026-04-09T16:37:00Z</dcterms:modified>
</cp:coreProperties>
</file>