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1FE" w:rsidRPr="00921FA9" w:rsidRDefault="005631FE" w:rsidP="005631FE">
      <w:pPr>
        <w:spacing w:line="360" w:lineRule="auto"/>
        <w:jc w:val="both"/>
        <w:rPr>
          <w:rFonts w:ascii="Palatino Linotype" w:eastAsia="Palatino Linotype" w:hAnsi="Palatino Linotype" w:cs="Palatino Linotype"/>
          <w:b/>
        </w:rPr>
      </w:pPr>
      <w:r w:rsidRPr="00921FA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921FA9">
        <w:rPr>
          <w:rFonts w:ascii="Palatino Linotype" w:eastAsia="Palatino Linotype" w:hAnsi="Palatino Linotype" w:cs="Palatino Linotype"/>
          <w:b/>
        </w:rPr>
        <w:t>fecha diecisiete</w:t>
      </w:r>
      <w:r w:rsidR="00921FA9" w:rsidRPr="00921FA9">
        <w:rPr>
          <w:rFonts w:ascii="Palatino Linotype" w:eastAsia="Palatino Linotype" w:hAnsi="Palatino Linotype" w:cs="Palatino Linotype"/>
          <w:b/>
        </w:rPr>
        <w:t xml:space="preserve"> (17)</w:t>
      </w:r>
      <w:r w:rsidRPr="00921FA9">
        <w:rPr>
          <w:rFonts w:ascii="Palatino Linotype" w:eastAsia="Palatino Linotype" w:hAnsi="Palatino Linotype" w:cs="Palatino Linotype"/>
          <w:b/>
        </w:rPr>
        <w:t xml:space="preserve"> de junio de dos mil veintiséis.</w:t>
      </w:r>
    </w:p>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spacing w:line="360" w:lineRule="auto"/>
        <w:jc w:val="both"/>
        <w:rPr>
          <w:rFonts w:ascii="Palatino Linotype" w:eastAsia="Palatino Linotype" w:hAnsi="Palatino Linotype" w:cs="Palatino Linotype"/>
        </w:rPr>
      </w:pPr>
      <w:r w:rsidRPr="00921FA9">
        <w:rPr>
          <w:rFonts w:ascii="Palatino Linotype" w:eastAsia="Palatino Linotype" w:hAnsi="Palatino Linotype" w:cs="Palatino Linotype"/>
          <w:b/>
          <w:bCs/>
        </w:rPr>
        <w:t>VISTO</w:t>
      </w:r>
      <w:r w:rsidRPr="00921FA9">
        <w:rPr>
          <w:rFonts w:ascii="Palatino Linotype" w:eastAsia="Palatino Linotype" w:hAnsi="Palatino Linotype" w:cs="Palatino Linotype"/>
        </w:rPr>
        <w:t xml:space="preserve"> el expediente electrónico formado con motivo del recurso de revisión </w:t>
      </w:r>
      <w:r w:rsidRPr="00921FA9">
        <w:rPr>
          <w:rFonts w:ascii="Palatino Linotype" w:eastAsia="Palatino Linotype" w:hAnsi="Palatino Linotype" w:cs="Palatino Linotype"/>
          <w:b/>
          <w:bCs/>
        </w:rPr>
        <w:t xml:space="preserve">04273/INFOEM/IP/RR/2026, </w:t>
      </w:r>
      <w:r w:rsidRPr="00921FA9">
        <w:rPr>
          <w:rFonts w:ascii="Palatino Linotype" w:eastAsia="Palatino Linotype" w:hAnsi="Palatino Linotype" w:cs="Palatino Linotype"/>
        </w:rPr>
        <w:t xml:space="preserve">promovido por </w:t>
      </w:r>
      <w:r w:rsidR="00E00ACB">
        <w:rPr>
          <w:rFonts w:ascii="Palatino Linotype" w:eastAsia="Palatino Linotype" w:hAnsi="Palatino Linotype" w:cs="Palatino Linotype"/>
          <w:b/>
          <w:bCs/>
        </w:rPr>
        <w:t>XXXX</w:t>
      </w:r>
      <w:r w:rsidRPr="00921FA9">
        <w:rPr>
          <w:rFonts w:ascii="Palatino Linotype" w:eastAsia="Palatino Linotype" w:hAnsi="Palatino Linotype" w:cs="Palatino Linotype"/>
          <w:b/>
          <w:bCs/>
        </w:rPr>
        <w:t>,</w:t>
      </w:r>
      <w:r w:rsidRPr="00921FA9">
        <w:rPr>
          <w:rFonts w:ascii="Palatino Linotype" w:eastAsia="Palatino Linotype" w:hAnsi="Palatino Linotype" w:cs="Palatino Linotype"/>
        </w:rPr>
        <w:t xml:space="preserve"> a quien en lo sucesivo se identificará como </w:t>
      </w:r>
      <w:r w:rsidRPr="00921FA9">
        <w:rPr>
          <w:rFonts w:ascii="Palatino Linotype" w:eastAsia="Palatino Linotype" w:hAnsi="Palatino Linotype" w:cs="Palatino Linotype"/>
          <w:b/>
          <w:bCs/>
        </w:rPr>
        <w:t>EL RECURRENTE</w:t>
      </w:r>
      <w:r w:rsidRPr="00921FA9">
        <w:rPr>
          <w:rFonts w:ascii="Palatino Linotype" w:eastAsia="Palatino Linotype" w:hAnsi="Palatino Linotype" w:cs="Palatino Linotype"/>
        </w:rPr>
        <w:t xml:space="preserve">, en contra de la respuesta de la </w:t>
      </w:r>
      <w:r w:rsidRPr="00921FA9">
        <w:rPr>
          <w:rFonts w:ascii="Palatino Linotype" w:eastAsia="Palatino Linotype" w:hAnsi="Palatino Linotype" w:cs="Palatino Linotype"/>
          <w:b/>
          <w:bCs/>
        </w:rPr>
        <w:t xml:space="preserve">Universidad Mexiquense de Seguridad, </w:t>
      </w:r>
      <w:r w:rsidRPr="00921FA9">
        <w:rPr>
          <w:rFonts w:ascii="Palatino Linotype" w:eastAsia="Palatino Linotype" w:hAnsi="Palatino Linotype" w:cs="Palatino Linotype"/>
        </w:rPr>
        <w:t>en adelante el</w:t>
      </w:r>
      <w:r w:rsidRPr="00921FA9">
        <w:rPr>
          <w:rFonts w:ascii="Palatino Linotype" w:eastAsia="Palatino Linotype" w:hAnsi="Palatino Linotype" w:cs="Palatino Linotype"/>
          <w:b/>
          <w:bCs/>
        </w:rPr>
        <w:t xml:space="preserve"> SUJETO OBLIGADO</w:t>
      </w:r>
      <w:r w:rsidRPr="00921FA9">
        <w:rPr>
          <w:rFonts w:ascii="Palatino Linotype" w:eastAsia="Palatino Linotype" w:hAnsi="Palatino Linotype" w:cs="Palatino Linotype"/>
        </w:rPr>
        <w:t xml:space="preserve">, por lo que se procede a dictar la presente resolución, con base en los siguientes: </w:t>
      </w:r>
    </w:p>
    <w:p w:rsidR="005631FE" w:rsidRPr="00921FA9" w:rsidRDefault="005631FE" w:rsidP="005631FE">
      <w:pPr>
        <w:spacing w:line="360" w:lineRule="auto"/>
        <w:jc w:val="both"/>
        <w:rPr>
          <w:rFonts w:ascii="Palatino Linotype" w:eastAsia="Palatino Linotype" w:hAnsi="Palatino Linotype" w:cs="Palatino Linotype"/>
          <w:b/>
          <w:bCs/>
        </w:rPr>
      </w:pPr>
    </w:p>
    <w:p w:rsidR="005631FE" w:rsidRPr="00921FA9" w:rsidRDefault="005631FE" w:rsidP="005631FE">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921FA9">
        <w:rPr>
          <w:rFonts w:ascii="Palatino Linotype" w:eastAsia="Palatino Linotype" w:hAnsi="Palatino Linotype" w:cs="Palatino Linotype"/>
          <w:b/>
          <w:bCs/>
        </w:rPr>
        <w:t>A N T E C E D E N T E S</w:t>
      </w:r>
    </w:p>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El </w:t>
      </w:r>
      <w:r w:rsidRPr="00921FA9">
        <w:rPr>
          <w:rFonts w:ascii="Palatino Linotype" w:eastAsia="Palatino Linotype" w:hAnsi="Palatino Linotype" w:cs="Palatino Linotype"/>
          <w:b/>
          <w:bCs/>
          <w:color w:val="000000"/>
        </w:rPr>
        <w:t>veintitrés de marzo de dos mil veintiséis</w:t>
      </w:r>
      <w:r w:rsidRPr="00921FA9">
        <w:rPr>
          <w:rFonts w:ascii="Palatino Linotype" w:eastAsia="Palatino Linotype" w:hAnsi="Palatino Linotype" w:cs="Palatino Linotype"/>
          <w:color w:val="000000"/>
        </w:rPr>
        <w:t xml:space="preserve">, </w:t>
      </w:r>
      <w:r w:rsidRPr="00921FA9">
        <w:rPr>
          <w:rFonts w:ascii="Palatino Linotype" w:eastAsia="Palatino Linotype" w:hAnsi="Palatino Linotype" w:cs="Palatino Linotype"/>
          <w:b/>
          <w:bCs/>
          <w:color w:val="000000"/>
        </w:rPr>
        <w:t>EL RECURRENTE,</w:t>
      </w:r>
      <w:r w:rsidRPr="00921FA9">
        <w:rPr>
          <w:rFonts w:ascii="Palatino Linotype" w:eastAsia="Palatino Linotype" w:hAnsi="Palatino Linotype" w:cs="Palatino Linotype"/>
          <w:color w:val="000000"/>
        </w:rPr>
        <w:t xml:space="preserve"> ante el </w:t>
      </w:r>
      <w:r w:rsidRPr="00921FA9">
        <w:rPr>
          <w:rFonts w:ascii="Palatino Linotype" w:eastAsia="Palatino Linotype" w:hAnsi="Palatino Linotype" w:cs="Palatino Linotype"/>
          <w:b/>
          <w:bCs/>
          <w:color w:val="000000"/>
        </w:rPr>
        <w:t>SUJETO OBLIGADO</w:t>
      </w:r>
      <w:r w:rsidRPr="00921FA9">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921FA9">
        <w:rPr>
          <w:rFonts w:ascii="Palatino Linotype" w:eastAsia="Palatino Linotype" w:hAnsi="Palatino Linotype" w:cs="Palatino Linotype"/>
          <w:b/>
          <w:bCs/>
          <w:color w:val="000000"/>
        </w:rPr>
        <w:t xml:space="preserve">00007/UMS/IP/2026, </w:t>
      </w:r>
      <w:r w:rsidRPr="00921FA9">
        <w:rPr>
          <w:rFonts w:ascii="Palatino Linotype" w:eastAsia="Palatino Linotype" w:hAnsi="Palatino Linotype" w:cs="Palatino Linotype"/>
        </w:rPr>
        <w:t>en la que se</w:t>
      </w:r>
      <w:r w:rsidRPr="00921FA9">
        <w:rPr>
          <w:rFonts w:ascii="Palatino Linotype" w:eastAsia="Palatino Linotype" w:hAnsi="Palatino Linotype" w:cs="Palatino Linotype"/>
          <w:color w:val="000000"/>
        </w:rPr>
        <w:t xml:space="preserve"> solicitó lo siguiente:</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631FE" w:rsidRPr="00921FA9" w:rsidRDefault="005631FE" w:rsidP="005631FE">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921FA9">
        <w:rPr>
          <w:rFonts w:ascii="Palatino Linotype" w:eastAsia="Palatino Linotype" w:hAnsi="Palatino Linotype" w:cs="Palatino Linotype"/>
          <w:i/>
          <w:iCs/>
          <w:color w:val="000000"/>
        </w:rPr>
        <w:t xml:space="preserve">“Solicito en versión pública las auditorias y/o inspecciones realizadas en el ejercicio fiscal 2023 y 2024 que estén concluidas por el órgano interno de control, en caso de encontrarse abiertas solicito se me informe la etapa procesal en la que se encuentran.” (Sic) </w:t>
      </w:r>
    </w:p>
    <w:p w:rsidR="005631FE" w:rsidRDefault="005631FE" w:rsidP="005631FE">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p>
    <w:p w:rsidR="00921FA9" w:rsidRPr="00921FA9" w:rsidRDefault="00921FA9" w:rsidP="005631FE">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Se señaló como modalidad de entrega a través de SAIMEX.</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631FE" w:rsidRPr="00921FA9" w:rsidRDefault="005631FE" w:rsidP="005631FE">
      <w:pPr>
        <w:pBdr>
          <w:top w:val="nil"/>
          <w:left w:val="nil"/>
          <w:bottom w:val="nil"/>
          <w:right w:val="nil"/>
          <w:between w:val="nil"/>
        </w:pBdr>
        <w:ind w:left="720"/>
        <w:jc w:val="both"/>
        <w:rPr>
          <w:rFonts w:ascii="Palatino Linotype" w:eastAsia="Palatino Linotype" w:hAnsi="Palatino Linotype" w:cs="Palatino Linotype"/>
          <w:color w:val="000000"/>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lastRenderedPageBreak/>
        <w:t xml:space="preserve">El </w:t>
      </w:r>
      <w:r w:rsidRPr="00921FA9">
        <w:rPr>
          <w:rFonts w:ascii="Palatino Linotype" w:eastAsia="Palatino Linotype" w:hAnsi="Palatino Linotype" w:cs="Palatino Linotype"/>
          <w:b/>
          <w:bCs/>
          <w:color w:val="000000"/>
        </w:rPr>
        <w:t>veinte de abril de dos mil veintiséis</w:t>
      </w:r>
      <w:r w:rsidRPr="00921FA9">
        <w:rPr>
          <w:rFonts w:ascii="Palatino Linotype" w:eastAsia="Palatino Linotype" w:hAnsi="Palatino Linotype" w:cs="Palatino Linotype"/>
          <w:color w:val="000000"/>
        </w:rPr>
        <w:t>, el Sujeto Obligado dio respuesta a la solicitud de información en los siguientes términos:</w:t>
      </w:r>
    </w:p>
    <w:tbl>
      <w:tblPr>
        <w:tblW w:w="7526" w:type="dxa"/>
        <w:jc w:val="center"/>
        <w:tblCellSpacing w:w="0" w:type="dxa"/>
        <w:tblCellMar>
          <w:left w:w="0" w:type="dxa"/>
          <w:right w:w="0" w:type="dxa"/>
        </w:tblCellMar>
        <w:tblLook w:val="04A0" w:firstRow="1" w:lastRow="0" w:firstColumn="1" w:lastColumn="0" w:noHBand="0" w:noVBand="1"/>
      </w:tblPr>
      <w:tblGrid>
        <w:gridCol w:w="7526"/>
      </w:tblGrid>
      <w:tr w:rsidR="005631FE" w:rsidRPr="00921FA9" w:rsidTr="005631FE">
        <w:trPr>
          <w:trHeight w:val="284"/>
          <w:tblCellSpacing w:w="0" w:type="dxa"/>
          <w:jc w:val="center"/>
        </w:trPr>
        <w:tc>
          <w:tcPr>
            <w:tcW w:w="0" w:type="auto"/>
            <w:vAlign w:val="center"/>
            <w:hideMark/>
          </w:tcPr>
          <w:p w:rsidR="005631FE" w:rsidRPr="00921FA9" w:rsidRDefault="005631FE" w:rsidP="005631FE">
            <w:pPr>
              <w:jc w:val="right"/>
              <w:rPr>
                <w:rFonts w:ascii="Palatino Linotype" w:hAnsi="Palatino Linotype"/>
                <w:i/>
              </w:rPr>
            </w:pPr>
            <w:r w:rsidRPr="00921FA9">
              <w:rPr>
                <w:rFonts w:ascii="Palatino Linotype" w:hAnsi="Palatino Linotype"/>
                <w:i/>
              </w:rPr>
              <w:br/>
              <w:t>“Metepec, México a 20 de Abril de 2026</w:t>
            </w:r>
          </w:p>
        </w:tc>
      </w:tr>
      <w:tr w:rsidR="005631FE" w:rsidRPr="00921FA9" w:rsidTr="005631FE">
        <w:trPr>
          <w:trHeight w:val="284"/>
          <w:tblCellSpacing w:w="0" w:type="dxa"/>
          <w:jc w:val="center"/>
        </w:trPr>
        <w:tc>
          <w:tcPr>
            <w:tcW w:w="0" w:type="auto"/>
            <w:vAlign w:val="center"/>
            <w:hideMark/>
          </w:tcPr>
          <w:p w:rsidR="005631FE" w:rsidRPr="00921FA9" w:rsidRDefault="005631FE" w:rsidP="005631FE">
            <w:pPr>
              <w:jc w:val="right"/>
              <w:rPr>
                <w:rFonts w:ascii="Palatino Linotype" w:hAnsi="Palatino Linotype"/>
                <w:i/>
              </w:rPr>
            </w:pPr>
            <w:r w:rsidRPr="00921FA9">
              <w:rPr>
                <w:rFonts w:ascii="Palatino Linotype" w:hAnsi="Palatino Linotype"/>
                <w:i/>
              </w:rPr>
              <w:t>Nombre del solicitante: C. Solicitante</w:t>
            </w:r>
          </w:p>
        </w:tc>
      </w:tr>
      <w:tr w:rsidR="005631FE" w:rsidRPr="00921FA9" w:rsidTr="005631FE">
        <w:trPr>
          <w:trHeight w:val="284"/>
          <w:tblCellSpacing w:w="0" w:type="dxa"/>
          <w:jc w:val="center"/>
        </w:trPr>
        <w:tc>
          <w:tcPr>
            <w:tcW w:w="0" w:type="auto"/>
            <w:vAlign w:val="center"/>
            <w:hideMark/>
          </w:tcPr>
          <w:p w:rsidR="005631FE" w:rsidRPr="00921FA9" w:rsidRDefault="005631FE" w:rsidP="005631FE">
            <w:pPr>
              <w:jc w:val="right"/>
              <w:rPr>
                <w:rFonts w:ascii="Palatino Linotype" w:hAnsi="Palatino Linotype"/>
                <w:i/>
              </w:rPr>
            </w:pPr>
            <w:r w:rsidRPr="00921FA9">
              <w:rPr>
                <w:rFonts w:ascii="Palatino Linotype" w:hAnsi="Palatino Linotype"/>
                <w:i/>
              </w:rPr>
              <w:t>Folio de la solicitud: 00007/UMS/IP/2026</w:t>
            </w:r>
          </w:p>
        </w:tc>
      </w:tr>
      <w:tr w:rsidR="005631FE" w:rsidRPr="00921FA9" w:rsidTr="005631FE">
        <w:trPr>
          <w:trHeight w:val="426"/>
          <w:tblCellSpacing w:w="0" w:type="dxa"/>
          <w:jc w:val="center"/>
        </w:trPr>
        <w:tc>
          <w:tcPr>
            <w:tcW w:w="0" w:type="auto"/>
            <w:vAlign w:val="center"/>
            <w:hideMark/>
          </w:tcPr>
          <w:p w:rsidR="005631FE" w:rsidRPr="00921FA9" w:rsidRDefault="005631FE" w:rsidP="005631FE">
            <w:pPr>
              <w:jc w:val="right"/>
              <w:rPr>
                <w:rFonts w:ascii="Palatino Linotype" w:hAnsi="Palatino Linotype"/>
                <w:i/>
              </w:rPr>
            </w:pPr>
          </w:p>
        </w:tc>
      </w:tr>
      <w:tr w:rsidR="005631FE" w:rsidRPr="00921FA9" w:rsidTr="005631FE">
        <w:trPr>
          <w:trHeight w:val="80"/>
          <w:tblCellSpacing w:w="0" w:type="dxa"/>
          <w:jc w:val="center"/>
        </w:trPr>
        <w:tc>
          <w:tcPr>
            <w:tcW w:w="0" w:type="auto"/>
            <w:vAlign w:val="center"/>
            <w:hideMark/>
          </w:tcPr>
          <w:p w:rsidR="005631FE" w:rsidRPr="00921FA9" w:rsidRDefault="005631FE" w:rsidP="005631FE">
            <w:pPr>
              <w:jc w:val="center"/>
              <w:rPr>
                <w:rFonts w:ascii="Palatino Linotype" w:hAnsi="Palatino Linotype"/>
                <w:i/>
              </w:rPr>
            </w:pPr>
          </w:p>
        </w:tc>
      </w:tr>
      <w:tr w:rsidR="005631FE" w:rsidRPr="00921FA9" w:rsidTr="005631FE">
        <w:trPr>
          <w:trHeight w:val="355"/>
          <w:tblCellSpacing w:w="0" w:type="dxa"/>
          <w:jc w:val="center"/>
        </w:trPr>
        <w:tc>
          <w:tcPr>
            <w:tcW w:w="0" w:type="auto"/>
            <w:vAlign w:val="center"/>
            <w:hideMark/>
          </w:tcPr>
          <w:p w:rsidR="005631FE" w:rsidRPr="00921FA9" w:rsidRDefault="005631FE" w:rsidP="005631FE">
            <w:pPr>
              <w:rPr>
                <w:rFonts w:ascii="Palatino Linotype" w:hAnsi="Palatino Linotype"/>
                <w:i/>
              </w:rPr>
            </w:pPr>
          </w:p>
        </w:tc>
      </w:tr>
      <w:tr w:rsidR="005631FE" w:rsidRPr="00921FA9" w:rsidTr="005631FE">
        <w:trPr>
          <w:trHeight w:val="142"/>
          <w:tblCellSpacing w:w="0" w:type="dxa"/>
          <w:jc w:val="center"/>
        </w:trPr>
        <w:tc>
          <w:tcPr>
            <w:tcW w:w="0" w:type="auto"/>
            <w:vAlign w:val="center"/>
            <w:hideMark/>
          </w:tcPr>
          <w:p w:rsidR="005631FE" w:rsidRPr="00921FA9" w:rsidRDefault="005631FE" w:rsidP="005631FE">
            <w:pPr>
              <w:rPr>
                <w:rFonts w:ascii="Palatino Linotype" w:hAnsi="Palatino Linotype"/>
                <w:i/>
              </w:rPr>
            </w:pPr>
            <w:r w:rsidRPr="00921FA9">
              <w:rPr>
                <w:rFonts w:ascii="Palatino Linotype" w:hAnsi="Palatino Linotype"/>
                <w:i/>
              </w:rPr>
              <w:t>Se emite respuesta a la solicitud de información con número de folio 00007/UMS/IP/2026, mediante oficio número 206C0101000300S/UIPPEUMS/0044/04/2026, el cual se adjunta al presente.</w:t>
            </w:r>
          </w:p>
        </w:tc>
      </w:tr>
      <w:tr w:rsidR="005631FE" w:rsidRPr="00921FA9" w:rsidTr="005631FE">
        <w:trPr>
          <w:trHeight w:val="355"/>
          <w:tblCellSpacing w:w="0" w:type="dxa"/>
          <w:jc w:val="center"/>
        </w:trPr>
        <w:tc>
          <w:tcPr>
            <w:tcW w:w="0" w:type="auto"/>
            <w:vAlign w:val="center"/>
            <w:hideMark/>
          </w:tcPr>
          <w:p w:rsidR="005631FE" w:rsidRPr="00921FA9" w:rsidRDefault="005631FE" w:rsidP="005631FE">
            <w:pPr>
              <w:rPr>
                <w:rFonts w:ascii="Palatino Linotype" w:hAnsi="Palatino Linotype"/>
                <w:i/>
              </w:rPr>
            </w:pPr>
          </w:p>
        </w:tc>
      </w:tr>
      <w:tr w:rsidR="005631FE" w:rsidRPr="00921FA9" w:rsidTr="005631FE">
        <w:trPr>
          <w:trHeight w:val="142"/>
          <w:tblCellSpacing w:w="0" w:type="dxa"/>
          <w:jc w:val="center"/>
        </w:trPr>
        <w:tc>
          <w:tcPr>
            <w:tcW w:w="0" w:type="auto"/>
            <w:vAlign w:val="center"/>
            <w:hideMark/>
          </w:tcPr>
          <w:p w:rsidR="005631FE" w:rsidRPr="00921FA9" w:rsidRDefault="005631FE" w:rsidP="005631FE">
            <w:pPr>
              <w:jc w:val="center"/>
              <w:rPr>
                <w:rFonts w:ascii="Palatino Linotype" w:hAnsi="Palatino Linotype"/>
                <w:i/>
              </w:rPr>
            </w:pPr>
          </w:p>
        </w:tc>
      </w:tr>
      <w:tr w:rsidR="005631FE" w:rsidRPr="00921FA9" w:rsidTr="005631FE">
        <w:trPr>
          <w:trHeight w:val="142"/>
          <w:tblCellSpacing w:w="0" w:type="dxa"/>
          <w:jc w:val="center"/>
        </w:trPr>
        <w:tc>
          <w:tcPr>
            <w:tcW w:w="0" w:type="auto"/>
            <w:vAlign w:val="center"/>
            <w:hideMark/>
          </w:tcPr>
          <w:p w:rsidR="005631FE" w:rsidRPr="00921FA9" w:rsidRDefault="005631FE" w:rsidP="005631FE">
            <w:pPr>
              <w:rPr>
                <w:rFonts w:ascii="Palatino Linotype" w:hAnsi="Palatino Linotype"/>
                <w:i/>
              </w:rPr>
            </w:pPr>
          </w:p>
        </w:tc>
      </w:tr>
      <w:tr w:rsidR="005631FE" w:rsidRPr="00921FA9" w:rsidTr="005631FE">
        <w:trPr>
          <w:trHeight w:val="142"/>
          <w:tblCellSpacing w:w="0" w:type="dxa"/>
          <w:jc w:val="center"/>
        </w:trPr>
        <w:tc>
          <w:tcPr>
            <w:tcW w:w="0" w:type="auto"/>
            <w:vAlign w:val="center"/>
            <w:hideMark/>
          </w:tcPr>
          <w:p w:rsidR="005631FE" w:rsidRPr="00921FA9" w:rsidRDefault="005631FE" w:rsidP="005631FE">
            <w:pPr>
              <w:rPr>
                <w:rFonts w:ascii="Palatino Linotype" w:hAnsi="Palatino Linotype"/>
                <w:i/>
              </w:rPr>
            </w:pPr>
            <w:r w:rsidRPr="00921FA9">
              <w:rPr>
                <w:rFonts w:ascii="Palatino Linotype" w:hAnsi="Palatino Linotype"/>
                <w:i/>
              </w:rPr>
              <w:t>ATENTAMENTE</w:t>
            </w:r>
          </w:p>
        </w:tc>
      </w:tr>
      <w:tr w:rsidR="005631FE" w:rsidRPr="00921FA9" w:rsidTr="005631FE">
        <w:trPr>
          <w:trHeight w:val="213"/>
          <w:tblCellSpacing w:w="0" w:type="dxa"/>
          <w:jc w:val="center"/>
        </w:trPr>
        <w:tc>
          <w:tcPr>
            <w:tcW w:w="0" w:type="auto"/>
            <w:vAlign w:val="center"/>
            <w:hideMark/>
          </w:tcPr>
          <w:p w:rsidR="005631FE" w:rsidRPr="00921FA9" w:rsidRDefault="005631FE" w:rsidP="005631FE">
            <w:pPr>
              <w:rPr>
                <w:rFonts w:ascii="Palatino Linotype" w:hAnsi="Palatino Linotype"/>
                <w:i/>
              </w:rPr>
            </w:pPr>
          </w:p>
        </w:tc>
      </w:tr>
      <w:tr w:rsidR="005631FE" w:rsidRPr="00921FA9" w:rsidTr="005631FE">
        <w:trPr>
          <w:trHeight w:val="142"/>
          <w:tblCellSpacing w:w="0" w:type="dxa"/>
          <w:jc w:val="center"/>
        </w:trPr>
        <w:tc>
          <w:tcPr>
            <w:tcW w:w="0" w:type="auto"/>
            <w:vAlign w:val="center"/>
            <w:hideMark/>
          </w:tcPr>
          <w:p w:rsidR="005631FE" w:rsidRPr="00921FA9" w:rsidRDefault="005631FE" w:rsidP="005631FE">
            <w:pPr>
              <w:rPr>
                <w:rFonts w:ascii="Palatino Linotype" w:hAnsi="Palatino Linotype"/>
                <w:i/>
              </w:rPr>
            </w:pPr>
            <w:r w:rsidRPr="00921FA9">
              <w:rPr>
                <w:rFonts w:ascii="Palatino Linotype" w:hAnsi="Palatino Linotype"/>
                <w:i/>
              </w:rPr>
              <w:t>Lic. Jaime Gómez Garduño”</w:t>
            </w:r>
          </w:p>
        </w:tc>
      </w:tr>
    </w:tbl>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rPr>
      </w:pPr>
      <w:r w:rsidRPr="00921FA9">
        <w:rPr>
          <w:rFonts w:ascii="Palatino Linotype" w:eastAsia="Palatino Linotype" w:hAnsi="Palatino Linotype" w:cs="Palatino Linotype"/>
          <w:color w:val="000000"/>
        </w:rPr>
        <w:t xml:space="preserve">A la respuesta, el Sujeto Obligado adjuntó el archivo electrónico </w:t>
      </w:r>
      <w:hyperlink r:id="rId7" w:tgtFrame="_blank" w:history="1">
        <w:r w:rsidRPr="00921FA9">
          <w:rPr>
            <w:rStyle w:val="Hipervnculo"/>
            <w:rFonts w:ascii="Palatino Linotype" w:eastAsia="Palatino Linotype" w:hAnsi="Palatino Linotype" w:cs="Palatino Linotype"/>
            <w:b/>
            <w:bCs/>
          </w:rPr>
          <w:t>00007-UMS-IP-2026.PDF</w:t>
        </w:r>
      </w:hyperlink>
      <w:r w:rsidR="000F6601" w:rsidRPr="00921FA9">
        <w:rPr>
          <w:rFonts w:ascii="Palatino Linotype" w:eastAsia="Palatino Linotype" w:hAnsi="Palatino Linotype" w:cs="Palatino Linotype"/>
          <w:color w:val="000000"/>
        </w:rPr>
        <w:t xml:space="preserve"> en el que se advierte el oficio número 206C0101000300S/UIPPEUMS/0044/04/2026 de fecha catorce de abril de dos mil veintiséis, suscrito por el Jefe de la UIPPE y Titular de la Unidad de Transparencia, quien señaló que , se adjunta la información remitida por el servidor público del Órgano Interno de Control en el siguiente sentido:</w:t>
      </w:r>
    </w:p>
    <w:p w:rsidR="000F6601" w:rsidRPr="00921FA9" w:rsidRDefault="000F6601" w:rsidP="000F6601">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0F6601" w:rsidRPr="00921FA9" w:rsidRDefault="000F6601" w:rsidP="000F6601">
      <w:pPr>
        <w:pBdr>
          <w:top w:val="nil"/>
          <w:left w:val="nil"/>
          <w:bottom w:val="nil"/>
          <w:right w:val="nil"/>
          <w:between w:val="nil"/>
        </w:pBdr>
        <w:spacing w:line="360" w:lineRule="auto"/>
        <w:ind w:left="720"/>
        <w:jc w:val="both"/>
        <w:rPr>
          <w:rFonts w:ascii="Palatino Linotype" w:hAnsi="Palatino Linotype"/>
        </w:rPr>
      </w:pPr>
      <w:r w:rsidRPr="00921FA9">
        <w:rPr>
          <w:rFonts w:ascii="Palatino Linotype" w:hAnsi="Palatino Linotype"/>
        </w:rPr>
        <w:t xml:space="preserve">"Por lo anterior, en atención a su solicitud me permito adjuntar los formatos denominados "Informe de auditoría en versión pública", de las auditorías realizadas en el ejercicio fiscal 2023 у 2024 emitidos por el Sistema Automatizado de Auditorías Estatales y Federales (SAAEF) de la Secretaría de la Contraloría del Gobierno del Estado de México, las cuales </w:t>
      </w:r>
      <w:r w:rsidRPr="00921FA9">
        <w:rPr>
          <w:rFonts w:ascii="Palatino Linotype" w:hAnsi="Palatino Linotype"/>
        </w:rPr>
        <w:lastRenderedPageBreak/>
        <w:t>se encuentran concluidas en su totalidad por el Órgano Interno de Control, mismas que detallo a continuación de acuerdo al número de auditoría"</w:t>
      </w:r>
    </w:p>
    <w:p w:rsidR="000F6601" w:rsidRPr="00921FA9" w:rsidRDefault="000F6601" w:rsidP="000F6601">
      <w:pPr>
        <w:pBdr>
          <w:top w:val="nil"/>
          <w:left w:val="nil"/>
          <w:bottom w:val="nil"/>
          <w:right w:val="nil"/>
          <w:between w:val="nil"/>
        </w:pBdr>
        <w:spacing w:line="360" w:lineRule="auto"/>
        <w:ind w:left="720"/>
        <w:jc w:val="both"/>
        <w:rPr>
          <w:rFonts w:ascii="Palatino Linotype" w:hAnsi="Palatino Linotype"/>
        </w:rPr>
      </w:pPr>
    </w:p>
    <w:p w:rsidR="000F6601" w:rsidRPr="00921FA9" w:rsidRDefault="000F6601" w:rsidP="000F6601">
      <w:pPr>
        <w:pBdr>
          <w:top w:val="nil"/>
          <w:left w:val="nil"/>
          <w:bottom w:val="nil"/>
          <w:right w:val="nil"/>
          <w:between w:val="nil"/>
        </w:pBdr>
        <w:spacing w:line="360" w:lineRule="auto"/>
        <w:ind w:left="720"/>
        <w:jc w:val="center"/>
        <w:rPr>
          <w:rFonts w:ascii="Palatino Linotype" w:eastAsia="Palatino Linotype" w:hAnsi="Palatino Linotype" w:cs="Palatino Linotype"/>
        </w:rPr>
      </w:pPr>
      <w:r w:rsidRPr="00921FA9">
        <w:rPr>
          <w:rFonts w:ascii="Palatino Linotype" w:eastAsia="Palatino Linotype" w:hAnsi="Palatino Linotype" w:cs="Palatino Linotype"/>
          <w:noProof/>
        </w:rPr>
        <w:drawing>
          <wp:inline distT="0" distB="0" distL="0" distR="0" wp14:anchorId="3D77CBF4" wp14:editId="28937EE0">
            <wp:extent cx="3362794" cy="1457528"/>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794" cy="1457528"/>
                    </a:xfrm>
                    <a:prstGeom prst="rect">
                      <a:avLst/>
                    </a:prstGeom>
                  </pic:spPr>
                </pic:pic>
              </a:graphicData>
            </a:graphic>
          </wp:inline>
        </w:drawing>
      </w:r>
    </w:p>
    <w:p w:rsidR="000F6601" w:rsidRPr="00921FA9" w:rsidRDefault="000F6601" w:rsidP="000F6601">
      <w:pPr>
        <w:pBdr>
          <w:top w:val="nil"/>
          <w:left w:val="nil"/>
          <w:bottom w:val="nil"/>
          <w:right w:val="nil"/>
          <w:between w:val="nil"/>
        </w:pBdr>
        <w:spacing w:line="360" w:lineRule="auto"/>
        <w:ind w:left="720"/>
        <w:rPr>
          <w:rFonts w:ascii="Palatino Linotype" w:eastAsia="Palatino Linotype" w:hAnsi="Palatino Linotype" w:cs="Palatino Linotype"/>
        </w:rPr>
      </w:pPr>
    </w:p>
    <w:p w:rsidR="000F6601" w:rsidRPr="00921FA9" w:rsidRDefault="000F6601" w:rsidP="00E00ACB">
      <w:pPr>
        <w:pStyle w:val="Prrafodelista"/>
        <w:numPr>
          <w:ilvl w:val="0"/>
          <w:numId w:val="5"/>
        </w:numPr>
        <w:pBdr>
          <w:top w:val="nil"/>
          <w:left w:val="nil"/>
          <w:bottom w:val="nil"/>
          <w:right w:val="nil"/>
          <w:between w:val="nil"/>
        </w:pBdr>
        <w:spacing w:line="360" w:lineRule="auto"/>
        <w:ind w:left="709"/>
        <w:rPr>
          <w:rFonts w:ascii="Palatino Linotype" w:eastAsia="Palatino Linotype" w:hAnsi="Palatino Linotype" w:cs="Palatino Linotype"/>
        </w:rPr>
      </w:pPr>
      <w:r w:rsidRPr="00921FA9">
        <w:rPr>
          <w:rFonts w:ascii="Palatino Linotype" w:eastAsia="Palatino Linotype" w:hAnsi="Palatino Linotype" w:cs="Palatino Linotype"/>
        </w:rPr>
        <w:t xml:space="preserve">Aunado a ello, adjuntó las capturas de pantalla del Sistema Automatizado de Auditorias, de las auditorías realizadas a la Universidad Mexiquense de Seguridad del Ejercicio Fiscal 2023 y 2024. </w:t>
      </w:r>
    </w:p>
    <w:p w:rsidR="005631FE" w:rsidRPr="00921FA9" w:rsidRDefault="005631FE" w:rsidP="005631FE">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El </w:t>
      </w:r>
      <w:r w:rsidR="000F6601" w:rsidRPr="00921FA9">
        <w:rPr>
          <w:rFonts w:ascii="Palatino Linotype" w:eastAsia="Palatino Linotype" w:hAnsi="Palatino Linotype" w:cs="Palatino Linotype"/>
          <w:b/>
          <w:bCs/>
          <w:color w:val="000000"/>
        </w:rPr>
        <w:t>veintidós de abril de dos mil veintiséis</w:t>
      </w:r>
      <w:r w:rsidRPr="00921FA9">
        <w:rPr>
          <w:rFonts w:ascii="Palatino Linotype" w:eastAsia="Palatino Linotype" w:hAnsi="Palatino Linotype" w:cs="Palatino Linotype"/>
          <w:color w:val="000000"/>
        </w:rPr>
        <w:t xml:space="preserve">, </w:t>
      </w:r>
      <w:r w:rsidRPr="00921FA9">
        <w:rPr>
          <w:rFonts w:ascii="Palatino Linotype" w:eastAsia="Palatino Linotype" w:hAnsi="Palatino Linotype" w:cs="Palatino Linotype"/>
          <w:b/>
          <w:bCs/>
          <w:color w:val="000000"/>
        </w:rPr>
        <w:t>EL RECURRENTE</w:t>
      </w:r>
      <w:r w:rsidRPr="00921FA9">
        <w:rPr>
          <w:rFonts w:ascii="Palatino Linotype" w:eastAsia="Palatino Linotype" w:hAnsi="Palatino Linotype" w:cs="Palatino Linotype"/>
          <w:color w:val="000000"/>
        </w:rPr>
        <w:t xml:space="preserve"> interpuso el recurso de revisión, en contra de la respuesta, señalando como:</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631FE" w:rsidRPr="00921FA9" w:rsidRDefault="005631FE" w:rsidP="005631FE">
      <w:pPr>
        <w:numPr>
          <w:ilvl w:val="0"/>
          <w:numId w:val="1"/>
        </w:numPr>
        <w:spacing w:line="360" w:lineRule="auto"/>
        <w:ind w:left="851" w:right="822" w:firstLine="0"/>
        <w:jc w:val="both"/>
        <w:rPr>
          <w:rFonts w:ascii="Palatino Linotype" w:hAnsi="Palatino Linotype"/>
        </w:rPr>
      </w:pPr>
      <w:r w:rsidRPr="00921FA9">
        <w:rPr>
          <w:rFonts w:ascii="Palatino Linotype" w:eastAsia="Palatino Linotype" w:hAnsi="Palatino Linotype" w:cs="Palatino Linotype"/>
          <w:b/>
          <w:bCs/>
        </w:rPr>
        <w:t>Acto impugnado</w:t>
      </w:r>
      <w:r w:rsidRPr="00921FA9">
        <w:rPr>
          <w:rFonts w:ascii="Palatino Linotype" w:eastAsia="Palatino Linotype" w:hAnsi="Palatino Linotype" w:cs="Palatino Linotype"/>
          <w:b/>
          <w:bCs/>
          <w:i/>
          <w:iCs/>
        </w:rPr>
        <w:t>:</w:t>
      </w:r>
      <w:r w:rsidRPr="00921FA9">
        <w:rPr>
          <w:rFonts w:ascii="Palatino Linotype" w:eastAsia="Palatino Linotype" w:hAnsi="Palatino Linotype" w:cs="Palatino Linotype"/>
          <w:i/>
          <w:iCs/>
          <w:color w:val="000000"/>
        </w:rPr>
        <w:t xml:space="preserve"> “</w:t>
      </w:r>
      <w:r w:rsidR="000F6601" w:rsidRPr="00921FA9">
        <w:rPr>
          <w:rFonts w:ascii="Palatino Linotype" w:eastAsia="Palatino Linotype" w:hAnsi="Palatino Linotype" w:cs="Palatino Linotype"/>
          <w:i/>
          <w:iCs/>
          <w:color w:val="000000"/>
        </w:rPr>
        <w:t>INFORMACIÓN PROPORCIONADA INCOMPLETA</w:t>
      </w:r>
      <w:r w:rsidRPr="00921FA9">
        <w:rPr>
          <w:rFonts w:ascii="Palatino Linotype" w:eastAsia="Palatino Linotype" w:hAnsi="Palatino Linotype" w:cs="Palatino Linotype"/>
          <w:i/>
          <w:iCs/>
          <w:color w:val="000000"/>
        </w:rPr>
        <w:t>" (Sic)</w:t>
      </w:r>
    </w:p>
    <w:p w:rsidR="005631FE" w:rsidRPr="00921FA9" w:rsidRDefault="005631FE" w:rsidP="005631FE">
      <w:pPr>
        <w:spacing w:line="360" w:lineRule="auto"/>
        <w:ind w:left="851" w:right="822"/>
        <w:jc w:val="both"/>
        <w:rPr>
          <w:rFonts w:ascii="Palatino Linotype" w:hAnsi="Palatino Linotype"/>
        </w:rPr>
      </w:pPr>
    </w:p>
    <w:p w:rsidR="005631FE" w:rsidRPr="00921FA9" w:rsidRDefault="005631FE" w:rsidP="005631FE">
      <w:pPr>
        <w:numPr>
          <w:ilvl w:val="0"/>
          <w:numId w:val="1"/>
        </w:numPr>
        <w:spacing w:line="360" w:lineRule="auto"/>
        <w:ind w:left="851" w:right="822" w:firstLine="0"/>
        <w:jc w:val="both"/>
        <w:rPr>
          <w:rFonts w:ascii="Palatino Linotype" w:eastAsia="Palatino Linotype" w:hAnsi="Palatino Linotype" w:cs="Palatino Linotype"/>
        </w:rPr>
      </w:pPr>
      <w:r w:rsidRPr="00921FA9">
        <w:rPr>
          <w:rFonts w:ascii="Palatino Linotype" w:eastAsia="Palatino Linotype" w:hAnsi="Palatino Linotype" w:cs="Palatino Linotype"/>
          <w:b/>
          <w:bCs/>
        </w:rPr>
        <w:t xml:space="preserve">Razones o Motivos de inconformidad: </w:t>
      </w:r>
      <w:r w:rsidRPr="00921FA9">
        <w:rPr>
          <w:rFonts w:ascii="Palatino Linotype" w:eastAsia="Palatino Linotype" w:hAnsi="Palatino Linotype" w:cs="Palatino Linotype"/>
          <w:i/>
          <w:iCs/>
        </w:rPr>
        <w:t>"</w:t>
      </w:r>
      <w:r w:rsidR="000F6601" w:rsidRPr="00921FA9">
        <w:rPr>
          <w:rFonts w:ascii="Verdana" w:hAnsi="Verdana"/>
          <w:color w:val="000000"/>
        </w:rPr>
        <w:t xml:space="preserve"> </w:t>
      </w:r>
      <w:r w:rsidR="000F6601" w:rsidRPr="00921FA9">
        <w:rPr>
          <w:rFonts w:ascii="Palatino Linotype" w:eastAsia="Palatino Linotype" w:hAnsi="Palatino Linotype" w:cs="Palatino Linotype"/>
          <w:i/>
          <w:iCs/>
        </w:rPr>
        <w:t xml:space="preserve">NO SE PROPORCIONAN DOCUMENTALES DEL EXPEDIENTE DE LAS AUDITORIAS SOLICITADAS EN SU VERSIÓN PÚBLICA, POR LO QUE SOLO ANEXAN CAPTURA DE PANTALLA, ASÍ MISMO NO SE ESTA PROPORCIONANDO LAS VERSIONES PÚBLICAS DE LAS INSPECCIONES REALIZADAS POR PARTE DE ESE ÓRGANO INTERNO DE CONTROL DURANTE EL AÑO 2023 Y 2024, POR LO </w:t>
      </w:r>
      <w:r w:rsidR="000F6601" w:rsidRPr="00921FA9">
        <w:rPr>
          <w:rFonts w:ascii="Palatino Linotype" w:eastAsia="Palatino Linotype" w:hAnsi="Palatino Linotype" w:cs="Palatino Linotype"/>
          <w:i/>
          <w:iCs/>
        </w:rPr>
        <w:lastRenderedPageBreak/>
        <w:t>QUE SOLICITO LA INFORMACIÓN DE LA INTEGRACIÓN DE TODAS LAS AUDITORIAS REALIZADAS, ASÍ COMO DE LAS INSPECCIONES REALIZADAS EN SU VERSIÓN PÚBLICA DURANTE EL EJERCICIO FISCAL 2023 Y 2024, ES DECIR QUE SE REQUIERE LA VERSIÓN PÚBLICA DESDE LOS EXPEDIENTES DE DICHAS AUDITORIAS E INSPECCIONES REALIZADAS POR EL ÓRGANO INTERNO DE CONTROL DE LA UNIVERSIDAD MEXIQUENSE DE SEGURIDAD</w:t>
      </w:r>
      <w:r w:rsidRPr="00921FA9">
        <w:rPr>
          <w:rFonts w:ascii="Palatino Linotype" w:eastAsia="Palatino Linotype" w:hAnsi="Palatino Linotype" w:cs="Palatino Linotype"/>
          <w:i/>
          <w:iCs/>
        </w:rPr>
        <w:t>" (Sic)</w:t>
      </w:r>
    </w:p>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921FA9">
        <w:rPr>
          <w:rFonts w:ascii="Palatino Linotype" w:eastAsia="Palatino Linotype" w:hAnsi="Palatino Linotype" w:cs="Palatino Linotype"/>
          <w:b/>
          <w:bCs/>
          <w:color w:val="000000"/>
        </w:rPr>
        <w:t xml:space="preserve">Ley de Transparencia y Acceso a la Información Pública del Estado de México y Municipios </w:t>
      </w:r>
      <w:r w:rsidRPr="00921FA9">
        <w:rPr>
          <w:rFonts w:ascii="Palatino Linotype" w:eastAsia="Palatino Linotype" w:hAnsi="Palatino Linotype" w:cs="Palatino Linotype"/>
          <w:color w:val="000000"/>
        </w:rPr>
        <w:t xml:space="preserve">se </w:t>
      </w:r>
      <w:r w:rsidRPr="00921FA9">
        <w:rPr>
          <w:rFonts w:ascii="Palatino Linotype" w:eastAsia="Palatino Linotype" w:hAnsi="Palatino Linotype" w:cs="Palatino Linotype"/>
        </w:rPr>
        <w:t>turna</w:t>
      </w:r>
      <w:r w:rsidRPr="00921FA9">
        <w:rPr>
          <w:rFonts w:ascii="Palatino Linotype" w:eastAsia="Palatino Linotype" w:hAnsi="Palatino Linotype" w:cs="Palatino Linotype"/>
          <w:color w:val="000000"/>
        </w:rPr>
        <w:t xml:space="preserve"> a la </w:t>
      </w:r>
      <w:r w:rsidRPr="00921FA9">
        <w:rPr>
          <w:rFonts w:ascii="Palatino Linotype" w:eastAsia="Palatino Linotype" w:hAnsi="Palatino Linotype" w:cs="Palatino Linotype"/>
          <w:b/>
          <w:bCs/>
          <w:color w:val="000000"/>
        </w:rPr>
        <w:t xml:space="preserve">Comisionada María del Rosario Mejía Ayala, </w:t>
      </w:r>
      <w:r w:rsidRPr="00921FA9">
        <w:rPr>
          <w:rFonts w:ascii="Palatino Linotype" w:eastAsia="Palatino Linotype" w:hAnsi="Palatino Linotype" w:cs="Palatino Linotype"/>
        </w:rPr>
        <w:t xml:space="preserve">para </w:t>
      </w:r>
      <w:r w:rsidRPr="00921FA9">
        <w:rPr>
          <w:rFonts w:ascii="Palatino Linotype" w:eastAsia="Palatino Linotype" w:hAnsi="Palatino Linotype" w:cs="Palatino Linotype"/>
          <w:color w:val="000000"/>
        </w:rPr>
        <w:t xml:space="preserve">su análisis. </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rPr>
        <w:t>La</w:t>
      </w:r>
      <w:r w:rsidRPr="00921FA9">
        <w:rPr>
          <w:rFonts w:ascii="Palatino Linotype" w:eastAsia="Palatino Linotype" w:hAnsi="Palatino Linotype" w:cs="Palatino Linotype"/>
          <w:color w:val="000000"/>
        </w:rPr>
        <w:t xml:space="preserve"> Comisionad</w:t>
      </w:r>
      <w:r w:rsidRPr="00921FA9">
        <w:rPr>
          <w:rFonts w:ascii="Palatino Linotype" w:eastAsia="Palatino Linotype" w:hAnsi="Palatino Linotype" w:cs="Palatino Linotype"/>
        </w:rPr>
        <w:t>a</w:t>
      </w:r>
      <w:r w:rsidRPr="00921FA9">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0F6601" w:rsidRPr="00921FA9">
        <w:rPr>
          <w:rFonts w:ascii="Palatino Linotype" w:eastAsia="Palatino Linotype" w:hAnsi="Palatino Linotype" w:cs="Palatino Linotype"/>
          <w:b/>
          <w:bCs/>
          <w:color w:val="000000"/>
        </w:rPr>
        <w:t>veinticuatro de abril</w:t>
      </w:r>
      <w:r w:rsidR="00B82F6E" w:rsidRPr="00921FA9">
        <w:rPr>
          <w:rFonts w:ascii="Palatino Linotype" w:eastAsia="Palatino Linotype" w:hAnsi="Palatino Linotype" w:cs="Palatino Linotype"/>
          <w:b/>
          <w:bCs/>
          <w:color w:val="000000"/>
        </w:rPr>
        <w:t xml:space="preserve"> de dos mil veintiséis</w:t>
      </w:r>
      <w:r w:rsidRPr="00921FA9">
        <w:rPr>
          <w:rFonts w:ascii="Palatino Linotype" w:eastAsia="Palatino Linotype" w:hAnsi="Palatino Linotype" w:cs="Palatino Linotype"/>
          <w:color w:val="000000"/>
        </w:rPr>
        <w:t xml:space="preserve">, puso a disposición de las partes el expediente electrónico vía </w:t>
      </w:r>
      <w:r w:rsidRPr="00921FA9">
        <w:rPr>
          <w:rFonts w:ascii="Palatino Linotype" w:eastAsia="Palatino Linotype" w:hAnsi="Palatino Linotype" w:cs="Palatino Linotype"/>
          <w:b/>
          <w:bCs/>
          <w:color w:val="000000"/>
        </w:rPr>
        <w:t xml:space="preserve">SAIMEX </w:t>
      </w:r>
      <w:r w:rsidRPr="00921FA9">
        <w:rPr>
          <w:rFonts w:ascii="Palatino Linotype" w:eastAsia="Palatino Linotype" w:hAnsi="Palatino Linotype" w:cs="Palatino Linotype"/>
          <w:color w:val="000000"/>
        </w:rPr>
        <w:t xml:space="preserve">a efecto de que en un plazo máximo de siete días </w:t>
      </w:r>
      <w:r w:rsidRPr="00921FA9">
        <w:rPr>
          <w:rFonts w:ascii="Palatino Linotype" w:eastAsia="Palatino Linotype" w:hAnsi="Palatino Linotype" w:cs="Palatino Linotype"/>
        </w:rPr>
        <w:t>manifestara</w:t>
      </w:r>
      <w:r w:rsidRPr="00921FA9">
        <w:rPr>
          <w:rFonts w:ascii="Palatino Linotype" w:eastAsia="Palatino Linotype" w:hAnsi="Palatino Linotype" w:cs="Palatino Linotype"/>
          <w:color w:val="000000"/>
        </w:rPr>
        <w:t xml:space="preserve"> lo que a derecho </w:t>
      </w:r>
      <w:r w:rsidRPr="00921FA9">
        <w:rPr>
          <w:rFonts w:ascii="Palatino Linotype" w:eastAsia="Palatino Linotype" w:hAnsi="Palatino Linotype" w:cs="Palatino Linotype"/>
        </w:rPr>
        <w:t>conviniera</w:t>
      </w:r>
      <w:r w:rsidRPr="00921FA9">
        <w:rPr>
          <w:rFonts w:ascii="Palatino Linotype" w:eastAsia="Palatino Linotype" w:hAnsi="Palatino Linotype" w:cs="Palatino Linotype"/>
          <w:color w:val="000000"/>
        </w:rPr>
        <w:t xml:space="preserve">, </w:t>
      </w:r>
      <w:r w:rsidRPr="00921FA9">
        <w:rPr>
          <w:rFonts w:ascii="Palatino Linotype" w:eastAsia="Palatino Linotype" w:hAnsi="Palatino Linotype" w:cs="Palatino Linotype"/>
        </w:rPr>
        <w:t>ofreciera</w:t>
      </w:r>
      <w:r w:rsidRPr="00921FA9">
        <w:rPr>
          <w:rFonts w:ascii="Palatino Linotype" w:eastAsia="Palatino Linotype" w:hAnsi="Palatino Linotype" w:cs="Palatino Linotype"/>
          <w:color w:val="000000"/>
        </w:rPr>
        <w:t xml:space="preserve"> pruebas y alegatos según corresponda al caso concreto, de esta forma para que el </w:t>
      </w:r>
      <w:r w:rsidRPr="00921FA9">
        <w:rPr>
          <w:rFonts w:ascii="Palatino Linotype" w:eastAsia="Palatino Linotype" w:hAnsi="Palatino Linotype" w:cs="Palatino Linotype"/>
          <w:b/>
          <w:bCs/>
          <w:color w:val="000000"/>
        </w:rPr>
        <w:t>SUJETO OBLIGADO</w:t>
      </w:r>
      <w:r w:rsidRPr="00921FA9">
        <w:rPr>
          <w:rFonts w:ascii="Palatino Linotype" w:eastAsia="Palatino Linotype" w:hAnsi="Palatino Linotype" w:cs="Palatino Linotype"/>
          <w:color w:val="000000"/>
        </w:rPr>
        <w:t xml:space="preserve"> </w:t>
      </w:r>
      <w:r w:rsidRPr="00921FA9">
        <w:rPr>
          <w:rFonts w:ascii="Palatino Linotype" w:eastAsia="Palatino Linotype" w:hAnsi="Palatino Linotype" w:cs="Palatino Linotype"/>
        </w:rPr>
        <w:t>presentará</w:t>
      </w:r>
      <w:r w:rsidRPr="00921FA9">
        <w:rPr>
          <w:rFonts w:ascii="Palatino Linotype" w:eastAsia="Palatino Linotype" w:hAnsi="Palatino Linotype" w:cs="Palatino Linotype"/>
          <w:color w:val="000000"/>
        </w:rPr>
        <w:t xml:space="preserve"> el informe justificado procedente. </w:t>
      </w:r>
    </w:p>
    <w:p w:rsidR="005631FE" w:rsidRPr="00921FA9" w:rsidRDefault="005631FE" w:rsidP="005631FE">
      <w:pPr>
        <w:pBdr>
          <w:top w:val="nil"/>
          <w:left w:val="nil"/>
          <w:bottom w:val="nil"/>
          <w:right w:val="nil"/>
          <w:between w:val="nil"/>
        </w:pBdr>
        <w:ind w:left="720"/>
        <w:jc w:val="both"/>
        <w:rPr>
          <w:rFonts w:ascii="Palatino Linotype" w:eastAsia="Palatino Linotype" w:hAnsi="Palatino Linotype" w:cs="Palatino Linotype"/>
          <w:color w:val="000000"/>
        </w:rPr>
      </w:pPr>
    </w:p>
    <w:p w:rsidR="005631FE" w:rsidRPr="00921FA9" w:rsidRDefault="005631FE" w:rsidP="00B82F6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convinieran; por su parte, el Sujeto Obligado entregó informe justificado el </w:t>
      </w:r>
      <w:r w:rsidR="00B82F6E" w:rsidRPr="00921FA9">
        <w:rPr>
          <w:rFonts w:ascii="Palatino Linotype" w:eastAsia="Palatino Linotype" w:hAnsi="Palatino Linotype" w:cs="Palatino Linotype"/>
          <w:b/>
          <w:color w:val="000000"/>
        </w:rPr>
        <w:t>siete de mayo de dos mil veintiséis</w:t>
      </w:r>
      <w:r w:rsidRPr="00921FA9">
        <w:rPr>
          <w:rFonts w:ascii="Palatino Linotype" w:eastAsia="Palatino Linotype" w:hAnsi="Palatino Linotype" w:cs="Palatino Linotype"/>
          <w:color w:val="000000"/>
        </w:rPr>
        <w:t xml:space="preserve">, mismo que se puso a la vista del Recurrente el </w:t>
      </w:r>
      <w:r w:rsidR="00B82F6E" w:rsidRPr="00921FA9">
        <w:rPr>
          <w:rFonts w:ascii="Palatino Linotype" w:eastAsia="Palatino Linotype" w:hAnsi="Palatino Linotype" w:cs="Palatino Linotype"/>
          <w:b/>
          <w:color w:val="000000"/>
        </w:rPr>
        <w:t>diez de junio del mismo año</w:t>
      </w:r>
      <w:r w:rsidR="00B82F6E" w:rsidRPr="00921FA9">
        <w:rPr>
          <w:rFonts w:ascii="Palatino Linotype" w:eastAsia="Palatino Linotype" w:hAnsi="Palatino Linotype" w:cs="Palatino Linotype"/>
          <w:color w:val="000000"/>
        </w:rPr>
        <w:t xml:space="preserve"> y que consta del archivo </w:t>
      </w:r>
      <w:hyperlink r:id="rId9" w:history="1">
        <w:r w:rsidR="00B82F6E" w:rsidRPr="00921FA9">
          <w:rPr>
            <w:rStyle w:val="Hipervnculo"/>
            <w:rFonts w:ascii="Palatino Linotype" w:eastAsia="Palatino Linotype" w:hAnsi="Palatino Linotype" w:cs="Palatino Linotype"/>
            <w:b/>
            <w:bCs/>
          </w:rPr>
          <w:t>IJ 04273-INFOEM-IP-RR-2026.PDF</w:t>
        </w:r>
      </w:hyperlink>
      <w:r w:rsidR="00B82F6E" w:rsidRPr="00921FA9">
        <w:rPr>
          <w:rFonts w:ascii="Palatino Linotype" w:eastAsia="Palatino Linotype" w:hAnsi="Palatino Linotype" w:cs="Palatino Linotype"/>
          <w:color w:val="000000"/>
        </w:rPr>
        <w:t xml:space="preserve">, en el que, de forma medular, ratificó su respuesta. </w:t>
      </w: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lastRenderedPageBreak/>
        <w:t xml:space="preserve">El </w:t>
      </w:r>
      <w:r w:rsidRPr="00921FA9">
        <w:rPr>
          <w:rFonts w:ascii="Palatino Linotype" w:eastAsia="Palatino Linotype" w:hAnsi="Palatino Linotype" w:cs="Palatino Linotype"/>
          <w:b/>
          <w:bCs/>
          <w:color w:val="000000"/>
        </w:rPr>
        <w:t xml:space="preserve">diez de </w:t>
      </w:r>
      <w:r w:rsidR="00B82F6E" w:rsidRPr="00921FA9">
        <w:rPr>
          <w:rFonts w:ascii="Palatino Linotype" w:eastAsia="Palatino Linotype" w:hAnsi="Palatino Linotype" w:cs="Palatino Linotype"/>
          <w:b/>
          <w:bCs/>
          <w:color w:val="000000"/>
        </w:rPr>
        <w:t>junio</w:t>
      </w:r>
      <w:r w:rsidRPr="00921FA9">
        <w:rPr>
          <w:rFonts w:ascii="Palatino Linotype" w:eastAsia="Palatino Linotype" w:hAnsi="Palatino Linotype" w:cs="Palatino Linotype"/>
          <w:b/>
          <w:bCs/>
          <w:color w:val="000000"/>
        </w:rPr>
        <w:t xml:space="preserve"> de dos mil veintiséis</w:t>
      </w:r>
      <w:r w:rsidRPr="00921FA9">
        <w:rPr>
          <w:rFonts w:ascii="Palatino Linotype" w:eastAsia="Palatino Linotype" w:hAnsi="Palatino Linotype" w:cs="Palatino Linotype"/>
          <w:color w:val="000000"/>
        </w:rPr>
        <w:t xml:space="preserve">, se notificó el acuerdo mediante el cual se aprobó la ampliación de plazo para emitir resolución. </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La Comisionada Ponente decretó el cierre de instrucción mediante el acuerdo del </w:t>
      </w:r>
      <w:r w:rsidR="00B82F6E" w:rsidRPr="00921FA9">
        <w:rPr>
          <w:rFonts w:ascii="Palatino Linotype" w:eastAsia="Palatino Linotype" w:hAnsi="Palatino Linotype" w:cs="Palatino Linotype"/>
          <w:b/>
          <w:bCs/>
          <w:color w:val="000000"/>
        </w:rPr>
        <w:t>dieciséis de junio</w:t>
      </w:r>
      <w:r w:rsidRPr="00921FA9">
        <w:rPr>
          <w:rFonts w:ascii="Palatino Linotype" w:eastAsia="Palatino Linotype" w:hAnsi="Palatino Linotype" w:cs="Palatino Linotype"/>
          <w:b/>
          <w:bCs/>
          <w:color w:val="000000"/>
        </w:rPr>
        <w:t xml:space="preserve"> de dos mil veintiséis.</w:t>
      </w:r>
    </w:p>
    <w:p w:rsidR="005631FE" w:rsidRPr="00921FA9" w:rsidRDefault="005631FE" w:rsidP="005631FE">
      <w:pPr>
        <w:spacing w:line="360" w:lineRule="auto"/>
        <w:jc w:val="center"/>
        <w:rPr>
          <w:rFonts w:ascii="Palatino Linotype" w:eastAsia="Palatino Linotype" w:hAnsi="Palatino Linotype" w:cs="Palatino Linotype"/>
        </w:rPr>
      </w:pPr>
    </w:p>
    <w:p w:rsidR="005631FE" w:rsidRPr="00921FA9" w:rsidRDefault="005631FE" w:rsidP="005631FE">
      <w:pPr>
        <w:spacing w:line="360" w:lineRule="auto"/>
        <w:jc w:val="center"/>
        <w:rPr>
          <w:rFonts w:ascii="Palatino Linotype" w:eastAsia="Palatino Linotype" w:hAnsi="Palatino Linotype" w:cs="Palatino Linotype"/>
        </w:rPr>
      </w:pPr>
      <w:bookmarkStart w:id="1" w:name="_heading=h.1fob9te" w:colFirst="0" w:colLast="0"/>
      <w:bookmarkEnd w:id="1"/>
      <w:r w:rsidRPr="00921FA9">
        <w:rPr>
          <w:rFonts w:ascii="Palatino Linotype" w:eastAsia="Palatino Linotype" w:hAnsi="Palatino Linotype" w:cs="Palatino Linotype"/>
          <w:b/>
          <w:bCs/>
        </w:rPr>
        <w:t>C O N S I D E R A N D O</w:t>
      </w:r>
    </w:p>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spacing w:line="360" w:lineRule="auto"/>
        <w:jc w:val="both"/>
        <w:rPr>
          <w:rFonts w:ascii="Palatino Linotype" w:eastAsia="Palatino Linotype" w:hAnsi="Palatino Linotype" w:cs="Palatino Linotype"/>
          <w:b/>
          <w:bCs/>
        </w:rPr>
      </w:pPr>
      <w:bookmarkStart w:id="2" w:name="_heading=h.3znysh7" w:colFirst="0" w:colLast="0"/>
      <w:bookmarkEnd w:id="2"/>
      <w:r w:rsidRPr="00921FA9">
        <w:rPr>
          <w:rFonts w:ascii="Palatino Linotype" w:eastAsia="Palatino Linotype" w:hAnsi="Palatino Linotype" w:cs="Palatino Linotype"/>
          <w:b/>
          <w:bCs/>
        </w:rPr>
        <w:t>PRIMERO. De la competencia</w:t>
      </w:r>
    </w:p>
    <w:p w:rsidR="00B82F6E" w:rsidRPr="00921FA9" w:rsidRDefault="00B82F6E" w:rsidP="00B82F6E">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B82F6E" w:rsidRPr="00921FA9" w:rsidRDefault="00B82F6E" w:rsidP="00B82F6E">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bookmarkStart w:id="3" w:name="_GoBack"/>
      <w:bookmarkEnd w:id="3"/>
    </w:p>
    <w:p w:rsidR="005631FE" w:rsidRPr="00921FA9" w:rsidRDefault="005631FE" w:rsidP="005631FE">
      <w:pPr>
        <w:keepNext/>
        <w:keepLines/>
        <w:spacing w:line="360" w:lineRule="auto"/>
        <w:jc w:val="both"/>
        <w:rPr>
          <w:rFonts w:ascii="Palatino Linotype" w:eastAsia="Palatino Linotype" w:hAnsi="Palatino Linotype" w:cs="Palatino Linotype"/>
          <w:b/>
          <w:bCs/>
        </w:rPr>
      </w:pPr>
      <w:bookmarkStart w:id="4" w:name="_heading=h.2et92p0" w:colFirst="0" w:colLast="0"/>
      <w:bookmarkEnd w:id="4"/>
      <w:r w:rsidRPr="00921FA9">
        <w:rPr>
          <w:rFonts w:ascii="Palatino Linotype" w:eastAsia="Palatino Linotype" w:hAnsi="Palatino Linotype" w:cs="Palatino Linotype"/>
          <w:b/>
          <w:bCs/>
        </w:rPr>
        <w:t>SEGUNDO. De la oportunidad y procedencia.</w:t>
      </w: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El medio de impugnación fue presentado a través del </w:t>
      </w:r>
      <w:r w:rsidRPr="00921FA9">
        <w:rPr>
          <w:rFonts w:ascii="Palatino Linotype" w:eastAsia="Palatino Linotype" w:hAnsi="Palatino Linotype" w:cs="Palatino Linotype"/>
          <w:b/>
          <w:bCs/>
          <w:color w:val="000000"/>
        </w:rPr>
        <w:t>SAIMEX,</w:t>
      </w:r>
      <w:r w:rsidRPr="00921FA9">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921FA9">
        <w:rPr>
          <w:rFonts w:ascii="Palatino Linotype" w:eastAsia="Palatino Linotype" w:hAnsi="Palatino Linotype" w:cs="Palatino Linotype"/>
          <w:b/>
          <w:bCs/>
          <w:color w:val="000000"/>
        </w:rPr>
        <w:t>SUJETO OBLIGADO</w:t>
      </w:r>
      <w:r w:rsidRPr="00921FA9">
        <w:rPr>
          <w:rFonts w:ascii="Palatino Linotype" w:eastAsia="Palatino Linotype" w:hAnsi="Palatino Linotype" w:cs="Palatino Linotype"/>
          <w:color w:val="000000"/>
        </w:rPr>
        <w:t xml:space="preserve"> entregó respuesta a la solicitud el </w:t>
      </w:r>
      <w:r w:rsidR="00B82F6E" w:rsidRPr="00921FA9">
        <w:rPr>
          <w:rFonts w:ascii="Palatino Linotype" w:eastAsia="Palatino Linotype" w:hAnsi="Palatino Linotype" w:cs="Palatino Linotype"/>
          <w:b/>
          <w:color w:val="000000"/>
        </w:rPr>
        <w:t>veinte de abril de dos mil veintiséis</w:t>
      </w:r>
      <w:r w:rsidRPr="00921FA9">
        <w:rPr>
          <w:rFonts w:ascii="Palatino Linotype" w:eastAsia="Palatino Linotype" w:hAnsi="Palatino Linotype" w:cs="Palatino Linotype"/>
          <w:color w:val="000000"/>
        </w:rPr>
        <w:t xml:space="preserve">, </w:t>
      </w:r>
      <w:r w:rsidRPr="00921FA9">
        <w:rPr>
          <w:rFonts w:ascii="Palatino Linotype" w:eastAsia="Palatino Linotype" w:hAnsi="Palatino Linotype" w:cs="Palatino Linotype"/>
          <w:color w:val="000000"/>
        </w:rPr>
        <w:lastRenderedPageBreak/>
        <w:t>de tal forma que el plazo para interponer el recurso de revisión transcurrió del</w:t>
      </w:r>
      <w:r w:rsidRPr="00921FA9">
        <w:rPr>
          <w:rFonts w:ascii="Palatino Linotype" w:eastAsia="Palatino Linotype" w:hAnsi="Palatino Linotype" w:cs="Palatino Linotype"/>
          <w:b/>
          <w:bCs/>
          <w:color w:val="000000"/>
        </w:rPr>
        <w:t xml:space="preserve"> </w:t>
      </w:r>
      <w:r w:rsidR="00B82F6E" w:rsidRPr="00921FA9">
        <w:rPr>
          <w:rFonts w:ascii="Palatino Linotype" w:eastAsia="Palatino Linotype" w:hAnsi="Palatino Linotype" w:cs="Palatino Linotype"/>
          <w:b/>
          <w:bCs/>
          <w:color w:val="000000"/>
        </w:rPr>
        <w:t>veintiuno de abril al trece de mayo de dos mil veintiséis</w:t>
      </w:r>
      <w:r w:rsidRPr="00921FA9">
        <w:rPr>
          <w:rFonts w:ascii="Palatino Linotype" w:eastAsia="Palatino Linotype" w:hAnsi="Palatino Linotype" w:cs="Palatino Linotype"/>
          <w:color w:val="000000"/>
        </w:rPr>
        <w:t xml:space="preserve">; en consecuencia, presentó su inconformidad el día </w:t>
      </w:r>
      <w:r w:rsidR="00B82F6E" w:rsidRPr="00921FA9">
        <w:rPr>
          <w:rFonts w:ascii="Palatino Linotype" w:eastAsia="Palatino Linotype" w:hAnsi="Palatino Linotype" w:cs="Palatino Linotype"/>
          <w:b/>
          <w:bCs/>
          <w:color w:val="000000"/>
        </w:rPr>
        <w:t>veintidós de abril de dos mil veintiséis</w:t>
      </w:r>
      <w:r w:rsidRPr="00921FA9">
        <w:rPr>
          <w:rFonts w:ascii="Palatino Linotype" w:eastAsia="Palatino Linotype" w:hAnsi="Palatino Linotype" w:cs="Palatino Linotype"/>
          <w:color w:val="000000"/>
        </w:rPr>
        <w:t xml:space="preserve">, por lo que se encuentra dentro de los márgenes temporales previstos en el artículo 178 de la </w:t>
      </w:r>
      <w:r w:rsidRPr="00921FA9">
        <w:rPr>
          <w:rFonts w:ascii="Palatino Linotype" w:eastAsia="Palatino Linotype" w:hAnsi="Palatino Linotype" w:cs="Palatino Linotype"/>
          <w:b/>
          <w:bCs/>
          <w:color w:val="000000"/>
        </w:rPr>
        <w:t xml:space="preserve">Ley de Transparencia y Acceso a la Información Pública del Estado de México y Municipios </w:t>
      </w:r>
      <w:r w:rsidRPr="00921FA9">
        <w:rPr>
          <w:rFonts w:ascii="Palatino Linotype" w:eastAsia="Palatino Linotype" w:hAnsi="Palatino Linotype" w:cs="Palatino Linotype"/>
          <w:color w:val="000000"/>
        </w:rPr>
        <w:t>vigente.</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631FE" w:rsidRPr="00921FA9" w:rsidRDefault="005631FE" w:rsidP="005631FE">
      <w:pPr>
        <w:pStyle w:val="Ttulo1"/>
        <w:spacing w:line="360" w:lineRule="auto"/>
        <w:jc w:val="both"/>
        <w:rPr>
          <w:rFonts w:ascii="Palatino Linotype" w:eastAsia="Palatino Linotype" w:hAnsi="Palatino Linotype" w:cs="Palatino Linotype"/>
          <w:b/>
          <w:bCs/>
          <w:i/>
          <w:iCs/>
          <w:color w:val="000000"/>
          <w:sz w:val="24"/>
          <w:szCs w:val="24"/>
        </w:rPr>
      </w:pPr>
      <w:r w:rsidRPr="00921FA9">
        <w:rPr>
          <w:rFonts w:ascii="Palatino Linotype" w:eastAsia="Palatino Linotype" w:hAnsi="Palatino Linotype" w:cs="Palatino Linotype"/>
          <w:b/>
          <w:bCs/>
          <w:color w:val="000000"/>
          <w:sz w:val="24"/>
          <w:szCs w:val="24"/>
        </w:rPr>
        <w:t>TERCERO. Del planteamiento de la Litis</w:t>
      </w:r>
    </w:p>
    <w:p w:rsidR="005631FE" w:rsidRPr="00921FA9" w:rsidRDefault="005631FE" w:rsidP="005631F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921FA9">
        <w:rPr>
          <w:rFonts w:ascii="Palatino Linotype" w:eastAsia="Palatino Linotype" w:hAnsi="Palatino Linotype" w:cs="Palatino Linotype"/>
          <w:color w:val="000000"/>
        </w:rPr>
        <w:t xml:space="preserve">El particular solicitó </w:t>
      </w:r>
      <w:r w:rsidR="00D71B5C" w:rsidRPr="00921FA9">
        <w:rPr>
          <w:rFonts w:ascii="Palatino Linotype" w:eastAsia="Palatino Linotype" w:hAnsi="Palatino Linotype" w:cs="Palatino Linotype"/>
          <w:color w:val="000000"/>
        </w:rPr>
        <w:t xml:space="preserve">la versión pública de las auditorias y/o inspecciones realizadas en el ejercicio fiscal 2023 y 2024 que estén concluidas por el Órgano Interno de Control, en el caso de que estén abiertas se informe el estado procesal en el que se encuentran. </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5631FE" w:rsidRPr="00921FA9" w:rsidRDefault="005631FE" w:rsidP="005631FE">
      <w:pPr>
        <w:numPr>
          <w:ilvl w:val="0"/>
          <w:numId w:val="2"/>
        </w:numPr>
        <w:spacing w:line="360" w:lineRule="auto"/>
        <w:ind w:left="0" w:firstLine="0"/>
        <w:jc w:val="both"/>
        <w:rPr>
          <w:rFonts w:ascii="Palatino Linotype" w:eastAsia="Palatino Linotype" w:hAnsi="Palatino Linotype" w:cs="Palatino Linotype"/>
        </w:rPr>
      </w:pPr>
      <w:r w:rsidRPr="00921FA9">
        <w:rPr>
          <w:rFonts w:ascii="Palatino Linotype" w:eastAsia="Palatino Linotype" w:hAnsi="Palatino Linotype" w:cs="Palatino Linotype"/>
        </w:rPr>
        <w:t>En respue</w:t>
      </w:r>
      <w:r w:rsidR="00D71B5C" w:rsidRPr="00921FA9">
        <w:rPr>
          <w:rFonts w:ascii="Palatino Linotype" w:eastAsia="Palatino Linotype" w:hAnsi="Palatino Linotype" w:cs="Palatino Linotype"/>
        </w:rPr>
        <w:t xml:space="preserve">sta, el Sujeto Obligado señaló que todas </w:t>
      </w:r>
      <w:r w:rsidR="00567FF8" w:rsidRPr="00921FA9">
        <w:rPr>
          <w:rFonts w:ascii="Palatino Linotype" w:eastAsia="Palatino Linotype" w:hAnsi="Palatino Linotype" w:cs="Palatino Linotype"/>
        </w:rPr>
        <w:t xml:space="preserve">las auditorias </w:t>
      </w:r>
      <w:r w:rsidR="00D71B5C" w:rsidRPr="00921FA9">
        <w:rPr>
          <w:rFonts w:ascii="Palatino Linotype" w:eastAsia="Palatino Linotype" w:hAnsi="Palatino Linotype" w:cs="Palatino Linotype"/>
        </w:rPr>
        <w:t>se enc</w:t>
      </w:r>
      <w:r w:rsidR="00567FF8" w:rsidRPr="00921FA9">
        <w:rPr>
          <w:rFonts w:ascii="Palatino Linotype" w:eastAsia="Palatino Linotype" w:hAnsi="Palatino Linotype" w:cs="Palatino Linotype"/>
        </w:rPr>
        <w:t>u</w:t>
      </w:r>
      <w:r w:rsidR="00D71B5C" w:rsidRPr="00921FA9">
        <w:rPr>
          <w:rFonts w:ascii="Palatino Linotype" w:eastAsia="Palatino Linotype" w:hAnsi="Palatino Linotype" w:cs="Palatino Linotype"/>
        </w:rPr>
        <w:t>entran concluidas y entregó</w:t>
      </w:r>
      <w:r w:rsidR="00567FF8" w:rsidRPr="00921FA9">
        <w:rPr>
          <w:rFonts w:ascii="Palatino Linotype" w:eastAsia="Palatino Linotype" w:hAnsi="Palatino Linotype" w:cs="Palatino Linotype"/>
        </w:rPr>
        <w:t xml:space="preserve"> una</w:t>
      </w:r>
      <w:r w:rsidR="00D71B5C" w:rsidRPr="00921FA9">
        <w:rPr>
          <w:rFonts w:ascii="Palatino Linotype" w:eastAsia="Palatino Linotype" w:hAnsi="Palatino Linotype" w:cs="Palatino Linotype"/>
        </w:rPr>
        <w:t xml:space="preserve"> lista con el número de la auditoria. </w:t>
      </w:r>
      <w:r w:rsidRPr="00921FA9">
        <w:rPr>
          <w:rFonts w:ascii="Palatino Linotype" w:eastAsia="Palatino Linotype" w:hAnsi="Palatino Linotype" w:cs="Palatino Linotype"/>
        </w:rPr>
        <w:t xml:space="preserve"> </w:t>
      </w:r>
      <w:r w:rsidR="00567FF8" w:rsidRPr="00921FA9">
        <w:rPr>
          <w:rFonts w:ascii="Palatino Linotype" w:eastAsia="Palatino Linotype" w:hAnsi="Palatino Linotype" w:cs="Palatino Linotype"/>
        </w:rPr>
        <w:t xml:space="preserve">Posteriormente, se inconformó por la entrega de la información incompleta. </w:t>
      </w:r>
    </w:p>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numPr>
          <w:ilvl w:val="0"/>
          <w:numId w:val="2"/>
        </w:numPr>
        <w:spacing w:line="360" w:lineRule="auto"/>
        <w:ind w:left="0" w:firstLine="0"/>
        <w:jc w:val="both"/>
        <w:rPr>
          <w:rFonts w:ascii="Palatino Linotype" w:eastAsia="Palatino Linotype" w:hAnsi="Palatino Linotype" w:cs="Palatino Linotype"/>
        </w:rPr>
      </w:pPr>
      <w:r w:rsidRPr="00921FA9">
        <w:rPr>
          <w:rFonts w:ascii="Palatino Linotype" w:eastAsia="Palatino Linotype" w:hAnsi="Palatino Linotype" w:cs="Palatino Linotype"/>
        </w:rPr>
        <w:t>En consecuencia, la Litis a resolver en este recurso, se circunscribe a determinar si la respuesta colma con lo solicitado o si se actualiza la causal de procedencia prevista en el artículo</w:t>
      </w:r>
      <w:r w:rsidR="00567FF8" w:rsidRPr="00921FA9">
        <w:rPr>
          <w:rFonts w:ascii="Palatino Linotype" w:eastAsia="Palatino Linotype" w:hAnsi="Palatino Linotype" w:cs="Palatino Linotype"/>
        </w:rPr>
        <w:t xml:space="preserve"> 179, fracción V</w:t>
      </w:r>
      <w:r w:rsidRPr="00921FA9">
        <w:rPr>
          <w:rFonts w:ascii="Palatino Linotype" w:eastAsia="Palatino Linotype" w:hAnsi="Palatino Linotype" w:cs="Palatino Linotype"/>
        </w:rPr>
        <w:t xml:space="preserve"> de la Ley de Transparencia y Acceso a la Información Pública del Estado de México y Munici</w:t>
      </w:r>
      <w:r w:rsidR="00567FF8" w:rsidRPr="00921FA9">
        <w:rPr>
          <w:rFonts w:ascii="Palatino Linotype" w:eastAsia="Palatino Linotype" w:hAnsi="Palatino Linotype" w:cs="Palatino Linotype"/>
        </w:rPr>
        <w:t xml:space="preserve">pios; que establece la entrega de la información incompleta.  </w:t>
      </w:r>
      <w:r w:rsidR="000E48D7" w:rsidRPr="00921FA9">
        <w:rPr>
          <w:rFonts w:ascii="Palatino Linotype" w:eastAsia="Palatino Linotype" w:hAnsi="Palatino Linotype" w:cs="Palatino Linotype"/>
        </w:rPr>
        <w:t xml:space="preserve"> </w:t>
      </w:r>
    </w:p>
    <w:p w:rsidR="005631FE" w:rsidRPr="00921FA9" w:rsidRDefault="005631FE" w:rsidP="005631FE">
      <w:pPr>
        <w:pStyle w:val="Ttulo1"/>
        <w:spacing w:line="360" w:lineRule="auto"/>
        <w:jc w:val="both"/>
        <w:rPr>
          <w:rFonts w:ascii="Palatino Linotype" w:eastAsia="Palatino Linotype" w:hAnsi="Palatino Linotype" w:cs="Palatino Linotype"/>
          <w:b/>
          <w:bCs/>
          <w:color w:val="000000"/>
          <w:sz w:val="24"/>
          <w:szCs w:val="24"/>
        </w:rPr>
      </w:pPr>
      <w:bookmarkStart w:id="5" w:name="_heading=h.3dy6vkm" w:colFirst="0" w:colLast="0"/>
      <w:bookmarkEnd w:id="5"/>
      <w:r w:rsidRPr="00921FA9">
        <w:rPr>
          <w:rFonts w:ascii="Palatino Linotype" w:eastAsia="Palatino Linotype" w:hAnsi="Palatino Linotype" w:cs="Palatino Linotype"/>
          <w:b/>
          <w:bCs/>
          <w:color w:val="000000"/>
          <w:sz w:val="24"/>
          <w:szCs w:val="24"/>
        </w:rPr>
        <w:lastRenderedPageBreak/>
        <w:t xml:space="preserve">CUARTO. Estudio y resolución del recurso de revisión. </w:t>
      </w:r>
    </w:p>
    <w:p w:rsidR="005631FE" w:rsidRPr="00921FA9" w:rsidRDefault="005631FE" w:rsidP="005631FE">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921FA9">
        <w:rPr>
          <w:rFonts w:ascii="Palatino Linotype" w:eastAsia="Palatino Linotype" w:hAnsi="Palatino Linotype" w:cs="Palatino Linotype"/>
          <w:b/>
          <w:bCs/>
          <w:color w:val="000000"/>
        </w:rPr>
        <w:t>Ley de Transparencia y Acceso a la Información Pública del Estado de México y Municipios</w:t>
      </w:r>
      <w:r w:rsidRPr="00921FA9">
        <w:rPr>
          <w:rFonts w:ascii="Palatino Linotype" w:eastAsia="Palatino Linotype" w:hAnsi="Palatino Linotype" w:cs="Palatino Linotype"/>
          <w:color w:val="000000"/>
        </w:rPr>
        <w:t>.</w:t>
      </w:r>
    </w:p>
    <w:p w:rsidR="005631FE" w:rsidRPr="00921FA9" w:rsidRDefault="005631FE" w:rsidP="005631FE">
      <w:pPr>
        <w:spacing w:line="360" w:lineRule="auto"/>
        <w:jc w:val="both"/>
        <w:rPr>
          <w:rFonts w:ascii="Palatino Linotype" w:eastAsia="Palatino Linotype" w:hAnsi="Palatino Linotype" w:cs="Palatino Linotype"/>
        </w:rPr>
      </w:pPr>
      <w:bookmarkStart w:id="6" w:name="_heading=h.4d34og8" w:colFirst="0" w:colLast="0"/>
      <w:bookmarkEnd w:id="6"/>
    </w:p>
    <w:p w:rsidR="005631FE" w:rsidRPr="00921FA9" w:rsidRDefault="005631FE" w:rsidP="000E48D7">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921FA9">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921FA9">
        <w:rPr>
          <w:rFonts w:ascii="Palatino Linotype" w:eastAsia="Palatino Linotype" w:hAnsi="Palatino Linotype" w:cs="Palatino Linotype"/>
          <w:b/>
          <w:bCs/>
          <w:color w:val="000000"/>
        </w:rPr>
        <w:t>SUJETO OBLIGADO y</w:t>
      </w:r>
      <w:r w:rsidRPr="00921FA9">
        <w:rPr>
          <w:rFonts w:ascii="Palatino Linotype" w:eastAsia="Palatino Linotype" w:hAnsi="Palatino Linotype" w:cs="Palatino Linotype"/>
          <w:color w:val="000000"/>
        </w:rPr>
        <w:t xml:space="preserve"> las manifestaciones realizadas por el </w:t>
      </w:r>
      <w:r w:rsidRPr="00921FA9">
        <w:rPr>
          <w:rFonts w:ascii="Palatino Linotype" w:eastAsia="Palatino Linotype" w:hAnsi="Palatino Linotype" w:cs="Palatino Linotype"/>
          <w:b/>
          <w:bCs/>
        </w:rPr>
        <w:t>SOLICITANTE</w:t>
      </w:r>
      <w:r w:rsidRPr="00921FA9">
        <w:rPr>
          <w:rFonts w:ascii="Palatino Linotype" w:eastAsia="Palatino Linotype" w:hAnsi="Palatino Linotype" w:cs="Palatino Linotype"/>
          <w:b/>
          <w:bCs/>
          <w:color w:val="000000"/>
        </w:rPr>
        <w:t xml:space="preserve"> </w:t>
      </w:r>
      <w:r w:rsidRPr="00921FA9">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0E48D7" w:rsidRPr="00921FA9" w:rsidRDefault="000E48D7" w:rsidP="005631FE">
      <w:pPr>
        <w:pStyle w:val="Prrafodelista"/>
        <w:numPr>
          <w:ilvl w:val="0"/>
          <w:numId w:val="2"/>
        </w:numPr>
        <w:spacing w:line="360" w:lineRule="auto"/>
        <w:ind w:left="0" w:firstLine="0"/>
        <w:jc w:val="both"/>
        <w:rPr>
          <w:rFonts w:ascii="Palatino Linotype" w:eastAsia="Calibri" w:hAnsi="Palatino Linotype" w:cs="Arial"/>
        </w:rPr>
      </w:pPr>
      <w:r w:rsidRPr="00921FA9">
        <w:rPr>
          <w:rFonts w:ascii="Palatino Linotype" w:eastAsia="Calibri" w:hAnsi="Palatino Linotype" w:cs="Arial"/>
        </w:rPr>
        <w:t xml:space="preserve">Al respecto, conviene recordar que el Recurrente solicitó la versión pública de las auditorias y/o inspecciones realizadas por el Órgano Interno de Control, del ejercicio fiscal 2023 y 2024 que se encuentren concluidas, en caso de no estar concluidas se informe la etapa procesal en la que se encuentran. </w:t>
      </w:r>
    </w:p>
    <w:p w:rsidR="000E48D7" w:rsidRPr="00921FA9" w:rsidRDefault="000E48D7" w:rsidP="000E48D7">
      <w:pPr>
        <w:pStyle w:val="Prrafodelista"/>
        <w:rPr>
          <w:rFonts w:ascii="Palatino Linotype" w:eastAsia="Calibri" w:hAnsi="Palatino Linotype" w:cs="Arial"/>
        </w:rPr>
      </w:pPr>
    </w:p>
    <w:p w:rsidR="000E48D7" w:rsidRPr="00921FA9" w:rsidRDefault="000E48D7" w:rsidP="005631FE">
      <w:pPr>
        <w:pStyle w:val="Prrafodelista"/>
        <w:numPr>
          <w:ilvl w:val="0"/>
          <w:numId w:val="2"/>
        </w:numPr>
        <w:spacing w:line="360" w:lineRule="auto"/>
        <w:ind w:left="0" w:firstLine="0"/>
        <w:jc w:val="both"/>
        <w:rPr>
          <w:rFonts w:ascii="Palatino Linotype" w:eastAsia="Calibri" w:hAnsi="Palatino Linotype" w:cs="Arial"/>
        </w:rPr>
      </w:pPr>
      <w:r w:rsidRPr="00921FA9">
        <w:rPr>
          <w:rFonts w:ascii="Palatino Linotype" w:eastAsia="Calibri" w:hAnsi="Palatino Linotype" w:cs="Arial"/>
        </w:rPr>
        <w:t xml:space="preserve">Al respeto, el Sujeto Obligado señaló que todas </w:t>
      </w:r>
      <w:r w:rsidR="00BA3F76" w:rsidRPr="00921FA9">
        <w:rPr>
          <w:rFonts w:ascii="Palatino Linotype" w:eastAsia="Calibri" w:hAnsi="Palatino Linotype" w:cs="Arial"/>
        </w:rPr>
        <w:t xml:space="preserve">las auditorias del ejercicio fiscal 2023 y 2024 </w:t>
      </w:r>
      <w:r w:rsidRPr="00921FA9">
        <w:rPr>
          <w:rFonts w:ascii="Palatino Linotype" w:eastAsia="Calibri" w:hAnsi="Palatino Linotype" w:cs="Arial"/>
        </w:rPr>
        <w:t>se encuentran concluidas y remitió el siguiente cuadro en el que se advierte el número de auditoria, así como la captura de pantalla del Sistema Automatizado de Auditorias:</w:t>
      </w:r>
    </w:p>
    <w:p w:rsidR="000E48D7" w:rsidRPr="00921FA9" w:rsidRDefault="000E48D7" w:rsidP="000E48D7">
      <w:pPr>
        <w:pStyle w:val="Prrafodelista"/>
        <w:rPr>
          <w:rFonts w:ascii="Palatino Linotype" w:eastAsia="Calibri" w:hAnsi="Palatino Linotype" w:cs="Arial"/>
        </w:rPr>
      </w:pPr>
    </w:p>
    <w:p w:rsidR="000E48D7" w:rsidRPr="00921FA9" w:rsidRDefault="000E48D7" w:rsidP="000E48D7">
      <w:pPr>
        <w:pStyle w:val="Prrafodelista"/>
        <w:spacing w:line="360" w:lineRule="auto"/>
        <w:ind w:left="0"/>
        <w:jc w:val="center"/>
        <w:rPr>
          <w:rFonts w:ascii="Palatino Linotype" w:eastAsia="Calibri" w:hAnsi="Palatino Linotype" w:cs="Arial"/>
        </w:rPr>
      </w:pPr>
      <w:r w:rsidRPr="00921FA9">
        <w:rPr>
          <w:rFonts w:ascii="Palatino Linotype" w:eastAsia="Calibri" w:hAnsi="Palatino Linotype" w:cs="Arial"/>
          <w:noProof/>
        </w:rPr>
        <w:lastRenderedPageBreak/>
        <w:drawing>
          <wp:inline distT="0" distB="0" distL="0" distR="0" wp14:anchorId="601A51BA" wp14:editId="76334BD7">
            <wp:extent cx="3362794" cy="1457528"/>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62794" cy="1457528"/>
                    </a:xfrm>
                    <a:prstGeom prst="rect">
                      <a:avLst/>
                    </a:prstGeom>
                  </pic:spPr>
                </pic:pic>
              </a:graphicData>
            </a:graphic>
          </wp:inline>
        </w:drawing>
      </w:r>
    </w:p>
    <w:p w:rsidR="000E48D7" w:rsidRPr="00921FA9" w:rsidRDefault="000E48D7" w:rsidP="000E48D7">
      <w:pPr>
        <w:pStyle w:val="Prrafodelista"/>
        <w:spacing w:line="360" w:lineRule="auto"/>
        <w:ind w:left="0"/>
        <w:jc w:val="center"/>
        <w:rPr>
          <w:rFonts w:ascii="Palatino Linotype" w:eastAsia="Calibri" w:hAnsi="Palatino Linotype" w:cs="Arial"/>
        </w:rPr>
      </w:pPr>
      <w:r w:rsidRPr="00921FA9">
        <w:rPr>
          <w:rFonts w:ascii="Palatino Linotype" w:eastAsia="Calibri" w:hAnsi="Palatino Linotype" w:cs="Arial"/>
          <w:noProof/>
        </w:rPr>
        <w:drawing>
          <wp:inline distT="0" distB="0" distL="0" distR="0" wp14:anchorId="34BC846C" wp14:editId="24F5DA0B">
            <wp:extent cx="5742940" cy="344233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2940" cy="3442335"/>
                    </a:xfrm>
                    <a:prstGeom prst="rect">
                      <a:avLst/>
                    </a:prstGeom>
                  </pic:spPr>
                </pic:pic>
              </a:graphicData>
            </a:graphic>
          </wp:inline>
        </w:drawing>
      </w:r>
    </w:p>
    <w:p w:rsidR="000E48D7" w:rsidRPr="00921FA9" w:rsidRDefault="000E48D7" w:rsidP="00BA3F76">
      <w:pPr>
        <w:pStyle w:val="Prrafodelista"/>
        <w:spacing w:line="360" w:lineRule="auto"/>
        <w:ind w:left="0"/>
        <w:jc w:val="both"/>
        <w:rPr>
          <w:rFonts w:ascii="Palatino Linotype" w:eastAsia="Calibri" w:hAnsi="Palatino Linotype" w:cs="Arial"/>
        </w:rPr>
      </w:pPr>
    </w:p>
    <w:p w:rsidR="00BA3F76" w:rsidRPr="00921FA9" w:rsidRDefault="00BA3F76" w:rsidP="00BA3F76">
      <w:pPr>
        <w:pStyle w:val="Prrafodelista"/>
        <w:numPr>
          <w:ilvl w:val="0"/>
          <w:numId w:val="2"/>
        </w:numPr>
        <w:spacing w:line="360" w:lineRule="auto"/>
        <w:ind w:left="0" w:firstLine="0"/>
        <w:jc w:val="both"/>
        <w:rPr>
          <w:rFonts w:ascii="Palatino Linotype" w:hAnsi="Palatino Linotype"/>
        </w:rPr>
      </w:pPr>
      <w:r w:rsidRPr="00921FA9">
        <w:rPr>
          <w:rFonts w:ascii="Palatino Linotype" w:hAnsi="Palatino Linotype"/>
        </w:rPr>
        <w:t xml:space="preserve">En ese contexto, primeramente se precisa que se obvia el análisis de la competencia por parte del </w:t>
      </w:r>
      <w:r w:rsidRPr="00921FA9">
        <w:rPr>
          <w:rFonts w:ascii="Palatino Linotype" w:hAnsi="Palatino Linotype"/>
          <w:b/>
          <w:bCs/>
        </w:rPr>
        <w:t>SUJETO OBLIGADO</w:t>
      </w:r>
      <w:r w:rsidRPr="00921FA9">
        <w:rPr>
          <w:rFonts w:ascii="Palatino Linotype" w:hAnsi="Palatino Linotype"/>
        </w:rPr>
        <w:t>, para generar, administrar o poseer la información solicitada, dado que éste ha asumido la misma, en razón de que en su respuesta admitió contar con dicha información.</w:t>
      </w:r>
    </w:p>
    <w:p w:rsidR="00BA3F76" w:rsidRPr="00921FA9" w:rsidRDefault="00BA3F76" w:rsidP="00BA3F76">
      <w:pPr>
        <w:pStyle w:val="Prrafodelista"/>
        <w:spacing w:line="360" w:lineRule="auto"/>
        <w:ind w:left="0"/>
        <w:jc w:val="both"/>
        <w:rPr>
          <w:rFonts w:ascii="Palatino Linotype" w:hAnsi="Palatino Linotype"/>
        </w:rPr>
      </w:pPr>
    </w:p>
    <w:p w:rsidR="00BA3F76" w:rsidRPr="00921FA9" w:rsidRDefault="00BA3F76" w:rsidP="00BA3F76">
      <w:pPr>
        <w:pStyle w:val="Prrafodelista"/>
        <w:numPr>
          <w:ilvl w:val="0"/>
          <w:numId w:val="2"/>
        </w:numPr>
        <w:spacing w:line="360" w:lineRule="auto"/>
        <w:ind w:left="0" w:firstLine="0"/>
        <w:jc w:val="both"/>
        <w:rPr>
          <w:rFonts w:ascii="Palatino Linotype" w:hAnsi="Palatino Linotype"/>
        </w:rPr>
      </w:pPr>
      <w:r w:rsidRPr="00921FA9">
        <w:rPr>
          <w:rFonts w:ascii="Palatino Linotype" w:hAnsi="Palatino Linotype"/>
        </w:rPr>
        <w:t xml:space="preserve">En efecto, el hecho de que </w:t>
      </w:r>
      <w:r w:rsidRPr="00921FA9">
        <w:rPr>
          <w:rFonts w:ascii="Palatino Linotype" w:hAnsi="Palatino Linotype"/>
          <w:b/>
          <w:bCs/>
        </w:rPr>
        <w:t>EL SUJETO OBLIGADO</w:t>
      </w:r>
      <w:r w:rsidRPr="00921FA9">
        <w:rPr>
          <w:rFonts w:ascii="Palatino Linotype" w:hAnsi="Palatino Linotype"/>
        </w:rPr>
        <w:t xml:space="preserve"> haya admitido contar con la información pública solicitada, acepta que l</w:t>
      </w:r>
      <w:bookmarkStart w:id="7" w:name="_Hlk94787977"/>
      <w:r w:rsidRPr="00921FA9">
        <w:rPr>
          <w:rFonts w:ascii="Palatino Linotype" w:hAnsi="Palatino Linotype"/>
        </w:rPr>
        <w:t xml:space="preserve">a genera, posee y administra, en ejercicio de sus </w:t>
      </w:r>
      <w:r w:rsidRPr="00921FA9">
        <w:rPr>
          <w:rFonts w:ascii="Palatino Linotype" w:hAnsi="Palatino Linotype"/>
        </w:rPr>
        <w:lastRenderedPageBreak/>
        <w:t>funciones</w:t>
      </w:r>
      <w:bookmarkEnd w:id="7"/>
      <w:r w:rsidRPr="00921FA9">
        <w:rPr>
          <w:rFonts w:ascii="Palatino Linotype" w:hAnsi="Palatino Linotype"/>
        </w:rPr>
        <w:t xml:space="preserve"> de derecho público, motivo por el cual se actualiza el supuesto jurídico, previsto en el artículo 12 de la Ley de Transparencia y Acceso a la Información Pública del Estado de México y Municipios:</w:t>
      </w:r>
    </w:p>
    <w:p w:rsidR="00BA3F76" w:rsidRPr="00921FA9" w:rsidRDefault="00BA3F76" w:rsidP="00BA3F76">
      <w:pPr>
        <w:pStyle w:val="Prrafodelista"/>
        <w:ind w:left="851" w:right="822"/>
        <w:jc w:val="both"/>
        <w:rPr>
          <w:rFonts w:ascii="Palatino Linotype" w:hAnsi="Palatino Linotype"/>
          <w:i/>
          <w:iCs/>
        </w:rPr>
      </w:pPr>
      <w:r w:rsidRPr="00921FA9">
        <w:rPr>
          <w:rFonts w:ascii="Palatino Linotype" w:hAnsi="Palatino Linotype"/>
          <w:i/>
          <w:iCs/>
        </w:rPr>
        <w:t>“</w:t>
      </w:r>
      <w:r w:rsidRPr="00921FA9">
        <w:rPr>
          <w:rFonts w:ascii="Palatino Linotype" w:hAnsi="Palatino Linotype"/>
          <w:b/>
          <w:bCs/>
          <w:i/>
          <w:iCs/>
        </w:rPr>
        <w:t>Artículo 12.</w:t>
      </w:r>
      <w:r w:rsidRPr="00921FA9">
        <w:rPr>
          <w:rFonts w:ascii="Palatino Linotype" w:hAnsi="Palatino Linotype"/>
          <w:i/>
          <w:iCs/>
        </w:rPr>
        <w:t> Quienes generen, recopilen, administren, manejen, procesen, archiven o conserven información pública serán responsables de la misma en los términos de las disposiciones jurídicas aplicables.</w:t>
      </w:r>
    </w:p>
    <w:p w:rsidR="00BA3F76" w:rsidRPr="00921FA9" w:rsidRDefault="00BA3F76" w:rsidP="00BA3F76">
      <w:pPr>
        <w:pStyle w:val="Prrafodelista"/>
        <w:ind w:left="851" w:right="822"/>
        <w:jc w:val="both"/>
        <w:rPr>
          <w:rFonts w:ascii="Palatino Linotype" w:hAnsi="Palatino Linotype"/>
          <w:i/>
          <w:iCs/>
        </w:rPr>
      </w:pPr>
    </w:p>
    <w:p w:rsidR="00BA3F76" w:rsidRPr="00921FA9" w:rsidRDefault="00BA3F76" w:rsidP="00BA3F76">
      <w:pPr>
        <w:pStyle w:val="Prrafodelista"/>
        <w:ind w:left="851" w:right="822"/>
        <w:jc w:val="both"/>
        <w:rPr>
          <w:rFonts w:ascii="Palatino Linotype" w:hAnsi="Palatino Linotype"/>
          <w:i/>
          <w:iCs/>
        </w:rPr>
      </w:pPr>
      <w:r w:rsidRPr="00921FA9">
        <w:rPr>
          <w:rFonts w:ascii="Palatino Linotype" w:hAnsi="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BA3F76" w:rsidRPr="00921FA9" w:rsidRDefault="00BA3F76" w:rsidP="00BA3F76">
      <w:pPr>
        <w:pStyle w:val="Prrafodelista"/>
        <w:ind w:left="0" w:right="902"/>
        <w:jc w:val="both"/>
        <w:rPr>
          <w:rFonts w:ascii="Palatino Linotype" w:hAnsi="Palatino Linotype"/>
        </w:rPr>
      </w:pPr>
    </w:p>
    <w:p w:rsidR="00BA3F76" w:rsidRPr="00921FA9" w:rsidRDefault="00BA3F76" w:rsidP="00BA3F76">
      <w:pPr>
        <w:pStyle w:val="Prrafodelista"/>
        <w:numPr>
          <w:ilvl w:val="0"/>
          <w:numId w:val="2"/>
        </w:numPr>
        <w:spacing w:line="360" w:lineRule="auto"/>
        <w:ind w:left="0" w:firstLine="0"/>
        <w:jc w:val="both"/>
        <w:rPr>
          <w:rFonts w:ascii="Palatino Linotype" w:hAnsi="Palatino Linotype"/>
        </w:rPr>
      </w:pPr>
      <w:r w:rsidRPr="00921FA9">
        <w:rPr>
          <w:rFonts w:ascii="Palatino Linotype" w:hAnsi="Palatino Linotype"/>
        </w:rPr>
        <w:t>Así, el estudio de la naturaleza jurídica de la información pública solicitada, tiene por objeto determinar si ésta la genera, posee o administra </w:t>
      </w:r>
      <w:r w:rsidRPr="00921FA9">
        <w:rPr>
          <w:rFonts w:ascii="Palatino Linotype" w:hAnsi="Palatino Linotype"/>
          <w:b/>
          <w:bCs/>
        </w:rPr>
        <w:t>EL SUJETO OBLIGADO</w:t>
      </w:r>
      <w:r w:rsidRPr="00921FA9">
        <w:rPr>
          <w:rFonts w:ascii="Palatino Linotype" w:hAnsi="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0E48D7" w:rsidRPr="00921FA9" w:rsidRDefault="000E48D7" w:rsidP="00BA3F76">
      <w:pPr>
        <w:pStyle w:val="Prrafodelista"/>
        <w:spacing w:line="360" w:lineRule="auto"/>
        <w:ind w:left="0"/>
        <w:jc w:val="both"/>
        <w:rPr>
          <w:rFonts w:ascii="Palatino Linotype" w:eastAsia="Calibri" w:hAnsi="Palatino Linotype" w:cs="Arial"/>
        </w:rPr>
      </w:pPr>
    </w:p>
    <w:p w:rsidR="00BA3F76" w:rsidRDefault="00622C2A" w:rsidP="00BA3F76">
      <w:pPr>
        <w:pStyle w:val="Prrafodelista"/>
        <w:numPr>
          <w:ilvl w:val="0"/>
          <w:numId w:val="2"/>
        </w:numPr>
        <w:spacing w:line="360" w:lineRule="auto"/>
        <w:ind w:left="0" w:firstLine="0"/>
        <w:jc w:val="both"/>
        <w:rPr>
          <w:rFonts w:ascii="Palatino Linotype" w:eastAsia="Calibri" w:hAnsi="Palatino Linotype" w:cs="Arial"/>
        </w:rPr>
      </w:pPr>
      <w:r w:rsidRPr="00921FA9">
        <w:rPr>
          <w:rFonts w:ascii="Palatino Linotype" w:eastAsia="Calibri" w:hAnsi="Palatino Linotype" w:cs="Arial"/>
        </w:rPr>
        <w:t>Cabe recordar que el Recurrente solicitó la versión pública de las auditorías, pero el Sujeto Obligado solo proporcionó el número de identificación y capturas de pantalla del Sistema Automatizado de Auditorías. Dado que el ciudadano pretende acceder a los documentos que integran la auditoría</w:t>
      </w:r>
      <w:r w:rsidR="007662AA" w:rsidRPr="00921FA9">
        <w:rPr>
          <w:rFonts w:ascii="Palatino Linotype" w:eastAsia="Calibri" w:hAnsi="Palatino Linotype" w:cs="Arial"/>
        </w:rPr>
        <w:t xml:space="preserve"> (y no solo a sus datos de identificación), la respuesta y el informe justificado resultan insuficientes. En consecuencia, no se da por cumplido el derecho de acceso a la información del Recurrente. </w:t>
      </w:r>
    </w:p>
    <w:p w:rsidR="00921FA9" w:rsidRPr="00921FA9" w:rsidRDefault="00921FA9" w:rsidP="00921FA9">
      <w:pPr>
        <w:pStyle w:val="Prrafodelista"/>
        <w:rPr>
          <w:rFonts w:ascii="Palatino Linotype" w:eastAsia="Calibri" w:hAnsi="Palatino Linotype" w:cs="Arial"/>
        </w:rPr>
      </w:pPr>
    </w:p>
    <w:p w:rsidR="00921FA9" w:rsidRPr="00921FA9" w:rsidRDefault="00921FA9" w:rsidP="00921FA9">
      <w:pPr>
        <w:pStyle w:val="Prrafodelista"/>
        <w:spacing w:line="360" w:lineRule="auto"/>
        <w:ind w:left="0"/>
        <w:jc w:val="both"/>
        <w:rPr>
          <w:rFonts w:ascii="Palatino Linotype" w:eastAsia="Calibri" w:hAnsi="Palatino Linotype" w:cs="Arial"/>
        </w:rPr>
      </w:pPr>
    </w:p>
    <w:p w:rsidR="005631FE" w:rsidRPr="00921FA9" w:rsidRDefault="00BA3F76" w:rsidP="005631FE">
      <w:pPr>
        <w:pStyle w:val="Prrafodelista"/>
        <w:numPr>
          <w:ilvl w:val="0"/>
          <w:numId w:val="2"/>
        </w:numPr>
        <w:spacing w:line="360" w:lineRule="auto"/>
        <w:ind w:left="0" w:firstLine="0"/>
        <w:jc w:val="both"/>
        <w:rPr>
          <w:rFonts w:ascii="Palatino Linotype" w:eastAsia="Calibri" w:hAnsi="Palatino Linotype" w:cs="Arial"/>
        </w:rPr>
      </w:pPr>
      <w:r w:rsidRPr="00921FA9">
        <w:rPr>
          <w:rFonts w:ascii="Palatino Linotype" w:eastAsia="Calibri" w:hAnsi="Palatino Linotype" w:cs="Arial"/>
        </w:rPr>
        <w:lastRenderedPageBreak/>
        <w:t>Al respecto, debemos señalar que e</w:t>
      </w:r>
      <w:r w:rsidR="005631FE" w:rsidRPr="00921FA9">
        <w:rPr>
          <w:rFonts w:ascii="Palatino Linotype" w:eastAsia="MS Mincho" w:hAnsi="Palatino Linotype"/>
        </w:rPr>
        <w:t xml:space="preserve">l acceso a la información es un derecho humano constitucional y convencionalmente reconocido y para tal efecto </w:t>
      </w:r>
      <w:r w:rsidR="005631FE" w:rsidRPr="00921FA9">
        <w:rPr>
          <w:rFonts w:ascii="Palatino Linotype" w:eastAsia="Calibri" w:hAnsi="Palatino Linotype"/>
          <w:lang w:val="es-ES"/>
        </w:rPr>
        <w:t xml:space="preserve">el párrafo tercero del artículo primero de la Constitución Política de los Estados Unidos Mexicanos establece el deber de todas las autoridades, </w:t>
      </w:r>
      <w:r w:rsidR="005631FE" w:rsidRPr="00921FA9">
        <w:rPr>
          <w:rFonts w:ascii="Palatino Linotype" w:eastAsia="Calibri" w:hAnsi="Palatino Linotype"/>
          <w:i/>
          <w:lang w:val="es-ES"/>
        </w:rPr>
        <w:t xml:space="preserve">en el ámbito de sus atribuciones, de promover, respetar, proteger y </w:t>
      </w:r>
      <w:r w:rsidR="005631FE" w:rsidRPr="00921FA9">
        <w:rPr>
          <w:rFonts w:ascii="Palatino Linotype" w:eastAsia="Calibri" w:hAnsi="Palatino Linotype"/>
          <w:b/>
          <w:i/>
          <w:lang w:val="es-ES"/>
        </w:rPr>
        <w:t>garantizar</w:t>
      </w:r>
      <w:r w:rsidR="005631FE" w:rsidRPr="00921FA9">
        <w:rPr>
          <w:rFonts w:ascii="Palatino Linotype" w:eastAsia="Calibri" w:hAnsi="Palatino Linotype"/>
          <w:i/>
          <w:lang w:val="es-ES"/>
        </w:rPr>
        <w:t xml:space="preserve"> los derechos humanos. </w:t>
      </w:r>
      <w:r w:rsidR="005631FE" w:rsidRPr="00921FA9">
        <w:rPr>
          <w:rFonts w:ascii="Palatino Linotype" w:eastAsia="Calibri" w:hAnsi="Palatino Linotype"/>
          <w:lang w:val="es-ES"/>
        </w:rPr>
        <w:t>En cuanto al derecho de acceso a la información, la Ley de Transparencia y Acceso a la Información Pública del Estado de México y Municipios prevé establece que</w:t>
      </w:r>
      <w:r w:rsidR="005631FE" w:rsidRPr="00921FA9">
        <w:rPr>
          <w:rFonts w:ascii="Palatino Linotype" w:eastAsia="Calibri" w:hAnsi="Palatino Linotype"/>
          <w:b/>
          <w:i/>
          <w:lang w:val="es-ES"/>
        </w:rPr>
        <w:t xml:space="preserve"> e</w:t>
      </w:r>
      <w:r w:rsidR="005631FE" w:rsidRPr="00921FA9">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005631FE" w:rsidRPr="00921FA9">
        <w:rPr>
          <w:rStyle w:val="Refdenotaalpie"/>
          <w:rFonts w:ascii="Palatino Linotype" w:eastAsia="Calibri" w:hAnsi="Palatino Linotype"/>
          <w:i/>
        </w:rPr>
        <w:footnoteReference w:id="1"/>
      </w:r>
      <w:r w:rsidR="005631FE" w:rsidRPr="00921FA9">
        <w:rPr>
          <w:rFonts w:ascii="Palatino Linotype" w:hAnsi="Palatino Linotype"/>
          <w:i/>
        </w:rPr>
        <w:t xml:space="preserve">, </w:t>
      </w:r>
      <w:r w:rsidR="005631FE" w:rsidRPr="00921FA9">
        <w:rPr>
          <w:rFonts w:ascii="Palatino Linotype" w:hAnsi="Palatino Linotype"/>
        </w:rPr>
        <w:t>asimismo establece</w:t>
      </w:r>
      <w:r w:rsidR="005631FE" w:rsidRPr="00921FA9">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5631FE" w:rsidRPr="00921FA9" w:rsidRDefault="005631FE" w:rsidP="005631FE">
      <w:pPr>
        <w:pStyle w:val="Prrafodelista"/>
        <w:spacing w:line="360" w:lineRule="auto"/>
        <w:ind w:left="0"/>
        <w:jc w:val="both"/>
        <w:rPr>
          <w:rFonts w:ascii="Palatino Linotype" w:eastAsia="Calibri" w:hAnsi="Palatino Linotype" w:cs="Arial"/>
        </w:rPr>
      </w:pPr>
    </w:p>
    <w:p w:rsidR="005631FE" w:rsidRPr="00921FA9" w:rsidRDefault="005631FE" w:rsidP="005631FE">
      <w:pPr>
        <w:pStyle w:val="Prrafodelista"/>
        <w:numPr>
          <w:ilvl w:val="0"/>
          <w:numId w:val="2"/>
        </w:numPr>
        <w:tabs>
          <w:tab w:val="left" w:pos="426"/>
        </w:tabs>
        <w:spacing w:before="240" w:after="360" w:line="360" w:lineRule="auto"/>
        <w:ind w:left="0" w:firstLine="0"/>
        <w:jc w:val="both"/>
        <w:rPr>
          <w:rFonts w:ascii="Palatino Linotype" w:hAnsi="Palatino Linotype" w:cs="Arial"/>
          <w:i/>
          <w:color w:val="000000" w:themeColor="text1"/>
        </w:rPr>
      </w:pPr>
      <w:r w:rsidRPr="00921FA9">
        <w:rPr>
          <w:rFonts w:ascii="Palatino Linotype" w:hAnsi="Palatino Linotype"/>
          <w:color w:val="000000" w:themeColor="text1"/>
        </w:rPr>
        <w:t xml:space="preserve">Resulta necesario referir que, el </w:t>
      </w:r>
      <w:r w:rsidRPr="00921FA9">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921FA9">
        <w:rPr>
          <w:rFonts w:ascii="Palatino Linotype" w:eastAsia="Calibri" w:hAnsi="Palatino Linotype" w:cs="Arial"/>
          <w:b/>
        </w:rPr>
        <w:t>los Sujetos Obligados deberán documentar todo acto que se derive del ejercicio de sus facultades, competencias o funciones,</w:t>
      </w:r>
      <w:r w:rsidRPr="00921FA9">
        <w:rPr>
          <w:rFonts w:ascii="Palatino Linotype" w:eastAsia="Calibri" w:hAnsi="Palatino Linotype" w:cs="Arial"/>
        </w:rPr>
        <w:t xml:space="preserve"> considerando desde su origen la eventual publicidad y reutilización de la información que generen, posean o administren.</w:t>
      </w:r>
    </w:p>
    <w:p w:rsidR="005631FE" w:rsidRPr="00921FA9" w:rsidRDefault="005631FE" w:rsidP="005631FE">
      <w:pPr>
        <w:pStyle w:val="Prrafodelista"/>
        <w:spacing w:line="360" w:lineRule="auto"/>
        <w:jc w:val="both"/>
        <w:rPr>
          <w:rFonts w:ascii="Palatino Linotype" w:hAnsi="Palatino Linotype" w:cs="Arial"/>
          <w:i/>
          <w:color w:val="000000" w:themeColor="text1"/>
        </w:rPr>
      </w:pPr>
    </w:p>
    <w:p w:rsidR="005631FE" w:rsidRPr="00921FA9" w:rsidRDefault="005631FE" w:rsidP="005631FE">
      <w:pPr>
        <w:pStyle w:val="Prrafodelista"/>
        <w:numPr>
          <w:ilvl w:val="0"/>
          <w:numId w:val="2"/>
        </w:numPr>
        <w:spacing w:line="360" w:lineRule="auto"/>
        <w:ind w:left="0" w:right="49" w:firstLine="0"/>
        <w:jc w:val="both"/>
        <w:rPr>
          <w:rFonts w:ascii="Palatino Linotype" w:hAnsi="Palatino Linotype" w:cs="Arial"/>
          <w:color w:val="000000"/>
        </w:rPr>
      </w:pPr>
      <w:r w:rsidRPr="00921FA9">
        <w:rPr>
          <w:rFonts w:ascii="Palatino Linotype" w:hAnsi="Palatino Linotype" w:cs="Arial"/>
          <w:color w:val="000000"/>
        </w:rPr>
        <w:lastRenderedPageBreak/>
        <w:t>Además, debemos tomar en cuenta los artículos 4 y 12, de la Ley de Transparencia y Acceso a la Información Pública del Estado de México y Municipios, los cuales establecen lo siguiente:</w:t>
      </w: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r w:rsidRPr="00921FA9">
        <w:rPr>
          <w:rFonts w:ascii="Palatino Linotype" w:hAnsi="Palatino Linotype" w:cs="Bookman Old Style,Bold"/>
          <w:b/>
          <w:bCs/>
          <w:i/>
        </w:rPr>
        <w:t xml:space="preserve">Artículo 4. </w:t>
      </w:r>
      <w:r w:rsidRPr="00921FA9">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r w:rsidRPr="00921FA9">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r w:rsidRPr="00921FA9">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5631FE" w:rsidRPr="00921FA9" w:rsidRDefault="005631FE" w:rsidP="005631FE">
      <w:pPr>
        <w:autoSpaceDE w:val="0"/>
        <w:autoSpaceDN w:val="0"/>
        <w:adjustRightInd w:val="0"/>
        <w:spacing w:line="276" w:lineRule="auto"/>
        <w:ind w:right="567"/>
        <w:jc w:val="both"/>
        <w:rPr>
          <w:rFonts w:ascii="Palatino Linotype" w:hAnsi="Palatino Linotype" w:cs="Arial"/>
          <w:i/>
          <w:color w:val="000000"/>
        </w:rPr>
      </w:pP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r w:rsidRPr="00921FA9">
        <w:rPr>
          <w:rFonts w:ascii="Palatino Linotype" w:hAnsi="Palatino Linotype" w:cs="Bookman Old Style,Bold"/>
          <w:b/>
          <w:bCs/>
          <w:i/>
        </w:rPr>
        <w:t xml:space="preserve">Artículo 12. </w:t>
      </w:r>
      <w:r w:rsidRPr="00921FA9">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p>
    <w:p w:rsidR="005631FE" w:rsidRPr="00921FA9" w:rsidRDefault="005631FE" w:rsidP="005631FE">
      <w:pPr>
        <w:autoSpaceDE w:val="0"/>
        <w:autoSpaceDN w:val="0"/>
        <w:adjustRightInd w:val="0"/>
        <w:spacing w:line="276" w:lineRule="auto"/>
        <w:ind w:left="567" w:right="567"/>
        <w:jc w:val="both"/>
        <w:rPr>
          <w:rFonts w:ascii="Palatino Linotype" w:hAnsi="Palatino Linotype" w:cs="Bookman Old Style"/>
          <w:i/>
        </w:rPr>
      </w:pPr>
      <w:r w:rsidRPr="00921FA9">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921FA9">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5631FE" w:rsidRPr="00921FA9" w:rsidRDefault="005631FE" w:rsidP="005631FE">
      <w:pPr>
        <w:autoSpaceDE w:val="0"/>
        <w:autoSpaceDN w:val="0"/>
        <w:adjustRightInd w:val="0"/>
        <w:spacing w:line="360" w:lineRule="auto"/>
        <w:ind w:left="567" w:right="567"/>
        <w:jc w:val="both"/>
        <w:rPr>
          <w:rFonts w:ascii="Palatino Linotype" w:hAnsi="Palatino Linotype" w:cs="Arial"/>
          <w:i/>
          <w:color w:val="000000"/>
        </w:rPr>
      </w:pPr>
    </w:p>
    <w:p w:rsidR="005631FE" w:rsidRDefault="005631FE" w:rsidP="005631FE">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21FA9">
        <w:rPr>
          <w:rFonts w:ascii="Palatino Linotype" w:hAnsi="Palatino Linotype"/>
          <w:lang w:val="es-ES"/>
        </w:rPr>
        <w:lastRenderedPageBreak/>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921FA9">
        <w:rPr>
          <w:rStyle w:val="Refdenotaalpie"/>
          <w:rFonts w:ascii="Palatino Linotype" w:eastAsia="Calibri" w:hAnsi="Palatino Linotype"/>
          <w:lang w:val="es-ES"/>
        </w:rPr>
        <w:footnoteReference w:id="2"/>
      </w:r>
      <w:r w:rsidRPr="00921FA9">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921FA9" w:rsidRPr="00921FA9" w:rsidRDefault="00921FA9" w:rsidP="00921FA9">
      <w:pPr>
        <w:pStyle w:val="Prrafodelista"/>
        <w:tabs>
          <w:tab w:val="left" w:pos="851"/>
        </w:tabs>
        <w:spacing w:line="360" w:lineRule="auto"/>
        <w:ind w:left="0" w:right="49"/>
        <w:jc w:val="both"/>
        <w:rPr>
          <w:rFonts w:ascii="Palatino Linotype" w:hAnsi="Palatino Linotype"/>
          <w:lang w:val="es-ES"/>
        </w:rPr>
      </w:pPr>
    </w:p>
    <w:p w:rsidR="005631FE" w:rsidRPr="00921FA9" w:rsidRDefault="005631FE" w:rsidP="005631FE">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21FA9">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5631FE" w:rsidRPr="00921FA9" w:rsidRDefault="005631FE" w:rsidP="005631FE">
      <w:pPr>
        <w:pStyle w:val="Prrafodelista"/>
        <w:tabs>
          <w:tab w:val="left" w:pos="851"/>
        </w:tabs>
        <w:spacing w:line="276" w:lineRule="auto"/>
        <w:ind w:left="567" w:right="567"/>
        <w:jc w:val="both"/>
        <w:rPr>
          <w:rFonts w:ascii="Palatino Linotype" w:hAnsi="Palatino Linotype"/>
          <w:i/>
        </w:rPr>
      </w:pPr>
      <w:r w:rsidRPr="00921FA9">
        <w:rPr>
          <w:rFonts w:ascii="Palatino Linotype" w:hAnsi="Palatino Linotype"/>
          <w:b/>
          <w:i/>
        </w:rPr>
        <w:t>ACCESO A LA INFORMACIÓN. IMPLICACIÓN DEL PRINCIPIO DE MÁXIMA PUBLICIDAD EN EL DERECHO FUNDAMENTAL RELATIVO.</w:t>
      </w:r>
      <w:r w:rsidRPr="00921FA9">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w:t>
      </w:r>
      <w:r w:rsidRPr="00921FA9">
        <w:rPr>
          <w:rFonts w:ascii="Palatino Linotype" w:hAnsi="Palatino Linotype"/>
          <w:i/>
        </w:rPr>
        <w:lastRenderedPageBreak/>
        <w:t xml:space="preserve">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5631FE" w:rsidRPr="00921FA9" w:rsidRDefault="005631FE" w:rsidP="005631FE">
      <w:pPr>
        <w:pStyle w:val="Prrafodelista"/>
        <w:tabs>
          <w:tab w:val="left" w:pos="851"/>
        </w:tabs>
        <w:spacing w:line="276" w:lineRule="auto"/>
        <w:ind w:left="567" w:right="567"/>
        <w:jc w:val="both"/>
        <w:rPr>
          <w:rFonts w:ascii="Palatino Linotype" w:hAnsi="Palatino Linotype"/>
          <w:i/>
        </w:rPr>
      </w:pPr>
    </w:p>
    <w:p w:rsidR="005631FE" w:rsidRPr="00921FA9" w:rsidRDefault="005631FE" w:rsidP="005631FE">
      <w:pPr>
        <w:pStyle w:val="Prrafodelista"/>
        <w:tabs>
          <w:tab w:val="left" w:pos="851"/>
        </w:tabs>
        <w:spacing w:line="276" w:lineRule="auto"/>
        <w:ind w:left="567" w:right="567"/>
        <w:jc w:val="both"/>
        <w:rPr>
          <w:rFonts w:ascii="Palatino Linotype" w:hAnsi="Palatino Linotype"/>
          <w:i/>
        </w:rPr>
      </w:pPr>
      <w:r w:rsidRPr="00921FA9">
        <w:rPr>
          <w:rFonts w:ascii="Palatino Linotype" w:hAnsi="Palatino Linotype"/>
          <w:i/>
        </w:rPr>
        <w:t xml:space="preserve">CUARTO TRIBUNAL COLEGIADO EN MATERIA ADMINISTRATIVA DEL PRIMER CIRCUITO. </w:t>
      </w:r>
    </w:p>
    <w:p w:rsidR="005631FE" w:rsidRPr="00921FA9" w:rsidRDefault="005631FE" w:rsidP="005631FE">
      <w:pPr>
        <w:pStyle w:val="Prrafodelista"/>
        <w:tabs>
          <w:tab w:val="left" w:pos="851"/>
        </w:tabs>
        <w:spacing w:line="276" w:lineRule="auto"/>
        <w:ind w:left="567" w:right="567"/>
        <w:jc w:val="both"/>
        <w:rPr>
          <w:rFonts w:ascii="Palatino Linotype" w:hAnsi="Palatino Linotype"/>
          <w:i/>
        </w:rPr>
      </w:pPr>
    </w:p>
    <w:p w:rsidR="005631FE" w:rsidRPr="00921FA9" w:rsidRDefault="005631FE" w:rsidP="005631FE">
      <w:pPr>
        <w:pStyle w:val="Prrafodelista"/>
        <w:tabs>
          <w:tab w:val="left" w:pos="851"/>
        </w:tabs>
        <w:spacing w:line="276" w:lineRule="auto"/>
        <w:ind w:left="567" w:right="567"/>
        <w:jc w:val="both"/>
        <w:rPr>
          <w:rFonts w:ascii="Palatino Linotype" w:hAnsi="Palatino Linotype"/>
          <w:i/>
          <w:lang w:val="es-ES"/>
        </w:rPr>
      </w:pPr>
      <w:r w:rsidRPr="00921FA9">
        <w:rPr>
          <w:rFonts w:ascii="Palatino Linotype" w:hAnsi="Palatino Linotype"/>
          <w:i/>
        </w:rPr>
        <w:t>Amparo en revisión 257/2012. Ruth Corona Muñoz. 6 de diciembre de 2012. Unanimidad de votos. Ponente: Jean Claude Tron Petit. Secretaria: Mayra Susana Martínez López.</w:t>
      </w:r>
    </w:p>
    <w:p w:rsidR="005631FE" w:rsidRPr="00921FA9" w:rsidRDefault="005631FE" w:rsidP="005631FE">
      <w:pPr>
        <w:pStyle w:val="Prrafodelista"/>
        <w:spacing w:line="360" w:lineRule="auto"/>
        <w:jc w:val="both"/>
        <w:rPr>
          <w:rFonts w:ascii="Palatino Linotype" w:hAnsi="Palatino Linotype"/>
          <w:lang w:val="es-ES"/>
        </w:rPr>
      </w:pPr>
    </w:p>
    <w:p w:rsidR="005631FE" w:rsidRPr="00921FA9" w:rsidRDefault="005631FE" w:rsidP="005631FE">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921FA9">
        <w:rPr>
          <w:rFonts w:ascii="Palatino Linotype" w:hAnsi="Palatino Linotype"/>
          <w:lang w:val="es-ES"/>
        </w:rPr>
        <w:t>El derecho de acceso a la información encuentra su materia elemental en los documentos, y la Ley de Transparencia local  nos brinda el siguiente concepto, para darnos un mejor panorama:</w:t>
      </w:r>
    </w:p>
    <w:p w:rsidR="005631FE" w:rsidRPr="00921FA9" w:rsidRDefault="005631FE" w:rsidP="005631FE">
      <w:pPr>
        <w:autoSpaceDE w:val="0"/>
        <w:autoSpaceDN w:val="0"/>
        <w:adjustRightInd w:val="0"/>
        <w:spacing w:line="276" w:lineRule="auto"/>
        <w:ind w:left="567" w:right="567"/>
        <w:jc w:val="both"/>
        <w:rPr>
          <w:rFonts w:ascii="Palatino Linotype" w:hAnsi="Palatino Linotype"/>
          <w:i/>
          <w:lang w:val="es-ES"/>
        </w:rPr>
      </w:pPr>
      <w:r w:rsidRPr="00921FA9">
        <w:rPr>
          <w:rFonts w:ascii="Palatino Linotype" w:eastAsiaTheme="minorHAnsi" w:hAnsi="Palatino Linotype" w:cs="Bookman Old Style,Bold"/>
          <w:b/>
          <w:bCs/>
          <w:i/>
          <w:lang w:eastAsia="en-US"/>
        </w:rPr>
        <w:t xml:space="preserve">XI. Documento: </w:t>
      </w:r>
      <w:r w:rsidRPr="00921FA9">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921FA9">
        <w:rPr>
          <w:rFonts w:ascii="Palatino Linotype" w:eastAsiaTheme="minorHAnsi" w:hAnsi="Palatino Linotype" w:cs="Bookman Old Style"/>
          <w:b/>
          <w:i/>
          <w:lang w:eastAsia="en-US"/>
        </w:rPr>
        <w:t>cualquier otro registro</w:t>
      </w:r>
      <w:r w:rsidRPr="00921FA9">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631FE" w:rsidRPr="00921FA9" w:rsidRDefault="005631FE" w:rsidP="005631FE">
      <w:pPr>
        <w:pStyle w:val="Prrafodelista"/>
        <w:tabs>
          <w:tab w:val="left" w:pos="851"/>
        </w:tabs>
        <w:spacing w:line="360" w:lineRule="auto"/>
        <w:ind w:left="0" w:right="49"/>
        <w:jc w:val="both"/>
        <w:rPr>
          <w:rFonts w:ascii="Palatino Linotype" w:hAnsi="Palatino Linotype"/>
          <w:lang w:val="es-ES"/>
        </w:rPr>
      </w:pPr>
    </w:p>
    <w:p w:rsidR="005631FE" w:rsidRPr="00921FA9" w:rsidRDefault="005631FE" w:rsidP="005631FE">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21FA9">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5631FE" w:rsidRPr="00921FA9" w:rsidRDefault="005631FE" w:rsidP="005631FE">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5631FE" w:rsidRPr="00921FA9" w:rsidRDefault="005631FE" w:rsidP="005631FE">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921FA9">
        <w:rPr>
          <w:rFonts w:ascii="Palatino Linotype" w:eastAsia="Palatino Linotype" w:hAnsi="Palatino Linotype" w:cs="Palatino Linotype"/>
          <w:color w:val="000000"/>
        </w:rPr>
        <w:lastRenderedPageBreak/>
        <w:t xml:space="preserve">Por lo tanto, en consecuencia y en mérito de lo expuesto en líneas anteriores, resultan fundadas las razones o motivos de inconformidad hechos valer por el </w:t>
      </w:r>
      <w:r w:rsidRPr="00921FA9">
        <w:rPr>
          <w:rFonts w:ascii="Palatino Linotype" w:eastAsia="Palatino Linotype" w:hAnsi="Palatino Linotype" w:cs="Palatino Linotype"/>
          <w:b/>
          <w:bCs/>
          <w:color w:val="000000"/>
        </w:rPr>
        <w:t>RECURRENTE</w:t>
      </w:r>
      <w:r w:rsidRPr="00921FA9">
        <w:rPr>
          <w:rFonts w:ascii="Palatino Linotype" w:eastAsia="Palatino Linotype" w:hAnsi="Palatino Linotype" w:cs="Palatino Linotype"/>
          <w:color w:val="000000"/>
        </w:rPr>
        <w:t xml:space="preserve"> dentro del recurso de revisión </w:t>
      </w:r>
      <w:r w:rsidR="00622C2A" w:rsidRPr="00921FA9">
        <w:rPr>
          <w:rFonts w:ascii="Palatino Linotype" w:eastAsia="Palatino Linotype" w:hAnsi="Palatino Linotype" w:cs="Palatino Linotype"/>
          <w:b/>
          <w:bCs/>
          <w:color w:val="000000"/>
        </w:rPr>
        <w:t>04273/INFOEM/IP/RR/2026</w:t>
      </w:r>
      <w:r w:rsidRPr="00921FA9">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w:t>
      </w:r>
      <w:r w:rsidRPr="00921FA9">
        <w:rPr>
          <w:rFonts w:ascii="Palatino Linotype" w:eastAsia="Palatino Linotype" w:hAnsi="Palatino Linotype" w:cs="Palatino Linotype"/>
        </w:rPr>
        <w:t xml:space="preserve">de México y Municipios, se </w:t>
      </w:r>
      <w:r w:rsidRPr="00921FA9">
        <w:rPr>
          <w:rFonts w:ascii="Palatino Linotype" w:eastAsia="Palatino Linotype" w:hAnsi="Palatino Linotype" w:cs="Palatino Linotype"/>
          <w:b/>
          <w:bCs/>
        </w:rPr>
        <w:t>MODIFICA</w:t>
      </w:r>
      <w:r w:rsidRPr="00921FA9">
        <w:rPr>
          <w:rFonts w:ascii="Palatino Linotype" w:eastAsia="Palatino Linotype" w:hAnsi="Palatino Linotype" w:cs="Palatino Linotype"/>
        </w:rPr>
        <w:t xml:space="preserve"> la respuesta a la solicitud de información número </w:t>
      </w:r>
      <w:r w:rsidR="00622C2A" w:rsidRPr="00921FA9">
        <w:rPr>
          <w:rFonts w:ascii="Palatino Linotype" w:eastAsia="Palatino Linotype" w:hAnsi="Palatino Linotype" w:cs="Palatino Linotype"/>
          <w:b/>
          <w:bCs/>
        </w:rPr>
        <w:t xml:space="preserve">00007/UMS/IP/2026 </w:t>
      </w:r>
      <w:r w:rsidRPr="00921FA9">
        <w:rPr>
          <w:rFonts w:ascii="Palatino Linotype" w:eastAsia="Palatino Linotype" w:hAnsi="Palatino Linotype" w:cs="Palatino Linotype"/>
        </w:rPr>
        <w:t xml:space="preserve">y </w:t>
      </w:r>
      <w:r w:rsidRPr="00921FA9">
        <w:rPr>
          <w:rFonts w:ascii="Palatino Linotype" w:eastAsia="Palatino Linotype" w:hAnsi="Palatino Linotype" w:cs="Palatino Linotype"/>
          <w:color w:val="000000"/>
        </w:rPr>
        <w:t xml:space="preserve">se </w:t>
      </w:r>
      <w:r w:rsidRPr="00921FA9">
        <w:rPr>
          <w:rFonts w:ascii="Palatino Linotype" w:eastAsia="Palatino Linotype" w:hAnsi="Palatino Linotype" w:cs="Palatino Linotype"/>
          <w:b/>
          <w:bCs/>
          <w:color w:val="000000"/>
        </w:rPr>
        <w:t xml:space="preserve">ORDENA </w:t>
      </w:r>
      <w:r w:rsidRPr="00921FA9">
        <w:rPr>
          <w:rFonts w:ascii="Palatino Linotype" w:eastAsia="Palatino Linotype" w:hAnsi="Palatino Linotype" w:cs="Palatino Linotype"/>
          <w:color w:val="000000"/>
        </w:rPr>
        <w:t>entregar, de ser procedente en versión pública, lo siguiente:</w:t>
      </w:r>
    </w:p>
    <w:p w:rsidR="005631FE" w:rsidRPr="00921FA9" w:rsidRDefault="005631FE" w:rsidP="005631FE">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5631FE" w:rsidRPr="00921FA9" w:rsidRDefault="00622C2A" w:rsidP="005631FE">
      <w:pPr>
        <w:pStyle w:val="Prrafodelista"/>
        <w:numPr>
          <w:ilvl w:val="0"/>
          <w:numId w:val="4"/>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921FA9">
        <w:rPr>
          <w:rFonts w:ascii="Palatino Linotype" w:eastAsia="Palatino Linotype" w:hAnsi="Palatino Linotype" w:cs="Palatino Linotype"/>
          <w:b/>
          <w:bCs/>
          <w:color w:val="000000"/>
        </w:rPr>
        <w:t xml:space="preserve">Auditorías realizadas por el Órgano Interno de Control del ejercicio fiscal 2023 y 2024, señaladas en respuesta. </w:t>
      </w:r>
    </w:p>
    <w:p w:rsidR="005631FE" w:rsidRPr="00921FA9" w:rsidRDefault="005631FE" w:rsidP="005631FE">
      <w:pPr>
        <w:pStyle w:val="Prrafodelista"/>
        <w:pBdr>
          <w:top w:val="nil"/>
          <w:left w:val="nil"/>
          <w:bottom w:val="nil"/>
          <w:right w:val="nil"/>
          <w:between w:val="nil"/>
        </w:pBdr>
        <w:spacing w:line="360" w:lineRule="auto"/>
        <w:ind w:left="1080" w:right="822"/>
        <w:jc w:val="both"/>
        <w:rPr>
          <w:rFonts w:ascii="Palatino Linotype" w:eastAsia="Palatino Linotype" w:hAnsi="Palatino Linotype" w:cs="Palatino Linotype"/>
        </w:rPr>
      </w:pPr>
    </w:p>
    <w:p w:rsidR="005631FE" w:rsidRPr="00921FA9" w:rsidRDefault="005631FE" w:rsidP="005631FE">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sidRPr="00921FA9">
        <w:rPr>
          <w:rFonts w:ascii="Palatino Linotype" w:eastAsia="Palatino Linotype" w:hAnsi="Palatino Linotype" w:cs="Palatino Linotype"/>
          <w:b/>
          <w:bCs/>
          <w:color w:val="000000"/>
        </w:rPr>
        <w:t>QUINTO. De la versión pública.</w:t>
      </w:r>
    </w:p>
    <w:p w:rsidR="005631FE" w:rsidRPr="00921FA9" w:rsidRDefault="005631FE" w:rsidP="00921FA9">
      <w:pPr>
        <w:pStyle w:val="Prrafodelista"/>
        <w:numPr>
          <w:ilvl w:val="0"/>
          <w:numId w:val="2"/>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Debe destacarse que, debido a la naturaleza de la información solicitada</w:t>
      </w:r>
      <w:r w:rsidRPr="00921FA9">
        <w:rPr>
          <w:rFonts w:ascii="Palatino Linotype" w:eastAsia="Palatino Linotype" w:hAnsi="Palatino Linotype" w:cs="Palatino Linotype"/>
          <w:b/>
          <w:bCs/>
          <w:color w:val="000000"/>
        </w:rPr>
        <w:t xml:space="preserve"> </w:t>
      </w:r>
      <w:r w:rsidRPr="00921FA9">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5631FE" w:rsidRPr="00921FA9" w:rsidRDefault="005631FE" w:rsidP="00921FA9">
      <w:pPr>
        <w:pBdr>
          <w:top w:val="nil"/>
          <w:left w:val="nil"/>
          <w:bottom w:val="nil"/>
          <w:right w:val="nil"/>
          <w:between w:val="nil"/>
        </w:pBdr>
        <w:tabs>
          <w:tab w:val="left" w:pos="426"/>
        </w:tabs>
        <w:spacing w:line="360" w:lineRule="auto"/>
        <w:ind w:right="-28"/>
        <w:jc w:val="both"/>
        <w:rPr>
          <w:rFonts w:ascii="Palatino Linotype" w:eastAsia="Palatino Linotype" w:hAnsi="Palatino Linotype" w:cs="Palatino Linotype"/>
          <w:color w:val="000000"/>
        </w:rPr>
      </w:pPr>
    </w:p>
    <w:p w:rsidR="005631FE" w:rsidRPr="00921FA9" w:rsidRDefault="005631FE" w:rsidP="00921FA9">
      <w:pPr>
        <w:numPr>
          <w:ilvl w:val="0"/>
          <w:numId w:val="2"/>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5631FE" w:rsidRPr="00921FA9" w:rsidRDefault="005631FE" w:rsidP="005631FE">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color w:val="000000"/>
        </w:rPr>
      </w:pPr>
    </w:p>
    <w:tbl>
      <w:tblPr>
        <w:tblW w:w="98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5631FE" w:rsidRPr="00921FA9" w:rsidTr="000F6601">
        <w:tc>
          <w:tcPr>
            <w:tcW w:w="2970" w:type="dxa"/>
          </w:tcPr>
          <w:p w:rsidR="005631FE" w:rsidRPr="00921FA9" w:rsidRDefault="005631FE" w:rsidP="000F6601">
            <w:pPr>
              <w:spacing w:line="276" w:lineRule="auto"/>
              <w:ind w:right="20"/>
              <w:rPr>
                <w:rFonts w:ascii="Palatino Linotype" w:eastAsia="Palatino Linotype" w:hAnsi="Palatino Linotype" w:cs="Palatino Linotype"/>
              </w:rPr>
            </w:pPr>
            <w:r w:rsidRPr="00921FA9">
              <w:rPr>
                <w:rFonts w:ascii="Palatino Linotype" w:eastAsia="Palatino Linotype" w:hAnsi="Palatino Linotype" w:cs="Palatino Linotype"/>
              </w:rPr>
              <w:t>a) Requisitos previos.</w:t>
            </w:r>
          </w:p>
        </w:tc>
        <w:tc>
          <w:tcPr>
            <w:tcW w:w="6870" w:type="dxa"/>
          </w:tcPr>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w:t>
            </w:r>
            <w:r w:rsidRPr="00921FA9">
              <w:rPr>
                <w:rFonts w:ascii="Palatino Linotype" w:eastAsia="Palatino Linotype" w:hAnsi="Palatino Linotype" w:cs="Palatino Linotype"/>
              </w:rPr>
              <w:lastRenderedPageBreak/>
              <w:t xml:space="preserve">supuestos de clasificación, es deber de los titulares de las áreas proponer su clasificación y no del Comité de Transparencia. </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Al hacerlo tienen que precisar de qué información se trata, señalando el supuesto de clasificación (confidencialidad o reserva).</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Además, se debe señalar el procedimiento, de los tres que establecen los artículos 132 y 106 de la Ley Estatal y General, respectivamente.</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921FA9">
              <w:rPr>
                <w:rFonts w:ascii="Palatino Linotype" w:eastAsia="Palatino Linotype" w:hAnsi="Palatino Linotype" w:cs="Palatino Linotype"/>
                <w:u w:val="single"/>
              </w:rPr>
              <w:t xml:space="preserve">no se puede hacer un acuerdo para clasificar de manera general todos los documentos de un expediente o área,  </w:t>
            </w:r>
            <w:r w:rsidRPr="00921FA9">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5631FE" w:rsidRPr="00921FA9" w:rsidTr="000F6601">
        <w:tc>
          <w:tcPr>
            <w:tcW w:w="2970" w:type="dxa"/>
          </w:tcPr>
          <w:p w:rsidR="005631FE" w:rsidRPr="00921FA9" w:rsidRDefault="005631FE" w:rsidP="000F6601">
            <w:pPr>
              <w:spacing w:line="276" w:lineRule="auto"/>
              <w:ind w:right="20"/>
              <w:rPr>
                <w:rFonts w:ascii="Palatino Linotype" w:eastAsia="Palatino Linotype" w:hAnsi="Palatino Linotype" w:cs="Palatino Linotype"/>
              </w:rPr>
            </w:pPr>
            <w:r w:rsidRPr="00921FA9">
              <w:rPr>
                <w:rFonts w:ascii="Palatino Linotype" w:eastAsia="Palatino Linotype" w:hAnsi="Palatino Linotype" w:cs="Palatino Linotype"/>
              </w:rPr>
              <w:lastRenderedPageBreak/>
              <w:t>b) Supuestos de clasificación.</w:t>
            </w:r>
          </w:p>
        </w:tc>
        <w:tc>
          <w:tcPr>
            <w:tcW w:w="6870" w:type="dxa"/>
          </w:tcPr>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El </w:t>
            </w:r>
            <w:r w:rsidRPr="00921FA9">
              <w:rPr>
                <w:rFonts w:ascii="Palatino Linotype" w:eastAsia="Palatino Linotype" w:hAnsi="Palatino Linotype" w:cs="Palatino Linotype"/>
                <w:b/>
                <w:bCs/>
              </w:rPr>
              <w:t>SUJETO OBLIGADO</w:t>
            </w:r>
            <w:r w:rsidRPr="00921FA9">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w:t>
            </w:r>
            <w:r w:rsidRPr="00921FA9">
              <w:rPr>
                <w:rFonts w:ascii="Palatino Linotype" w:eastAsia="Palatino Linotype" w:hAnsi="Palatino Linotype" w:cs="Palatino Linotype"/>
              </w:rPr>
              <w:lastRenderedPageBreak/>
              <w:t>servidor público habilitado y el titular del área que administra la información.</w:t>
            </w:r>
          </w:p>
        </w:tc>
      </w:tr>
      <w:tr w:rsidR="005631FE" w:rsidRPr="00921FA9" w:rsidTr="000F6601">
        <w:tc>
          <w:tcPr>
            <w:tcW w:w="2970" w:type="dxa"/>
          </w:tcPr>
          <w:p w:rsidR="005631FE" w:rsidRPr="00921FA9" w:rsidRDefault="005631FE" w:rsidP="000F6601">
            <w:pPr>
              <w:spacing w:line="276" w:lineRule="auto"/>
              <w:ind w:right="20"/>
              <w:rPr>
                <w:rFonts w:ascii="Palatino Linotype" w:eastAsia="Palatino Linotype" w:hAnsi="Palatino Linotype" w:cs="Palatino Linotype"/>
              </w:rPr>
            </w:pPr>
            <w:r w:rsidRPr="00921FA9">
              <w:rPr>
                <w:rFonts w:ascii="Palatino Linotype" w:eastAsia="Palatino Linotype" w:hAnsi="Palatino Linotype" w:cs="Palatino Linotype"/>
              </w:rPr>
              <w:lastRenderedPageBreak/>
              <w:t>c) Formalidades para emitir el acuerdo de clasificación.</w:t>
            </w:r>
          </w:p>
        </w:tc>
        <w:tc>
          <w:tcPr>
            <w:tcW w:w="6870" w:type="dxa"/>
          </w:tcPr>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Es necesario que </w:t>
            </w:r>
            <w:r w:rsidRPr="00921FA9">
              <w:rPr>
                <w:rFonts w:ascii="Palatino Linotype" w:eastAsia="Palatino Linotype" w:hAnsi="Palatino Linotype" w:cs="Palatino Linotype"/>
                <w:b/>
                <w:bCs/>
                <w:u w:val="single"/>
              </w:rPr>
              <w:t>el acto reúna con los requisitos elementales</w:t>
            </w:r>
            <w:r w:rsidRPr="00921FA9">
              <w:rPr>
                <w:rFonts w:ascii="Palatino Linotype" w:eastAsia="Palatino Linotype" w:hAnsi="Palatino Linotype" w:cs="Palatino Linotype"/>
              </w:rPr>
              <w:t>, entre ellos, que la autoridad que va a emitir el acto de autoridad sea la legalmente facultada para ello.</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631FE" w:rsidRPr="00921FA9" w:rsidTr="000F6601">
        <w:tc>
          <w:tcPr>
            <w:tcW w:w="2970" w:type="dxa"/>
          </w:tcPr>
          <w:p w:rsidR="005631FE" w:rsidRPr="00921FA9" w:rsidRDefault="005631FE" w:rsidP="000F6601">
            <w:pPr>
              <w:spacing w:line="276" w:lineRule="auto"/>
              <w:ind w:right="20"/>
              <w:rPr>
                <w:rFonts w:ascii="Palatino Linotype" w:eastAsia="Palatino Linotype" w:hAnsi="Palatino Linotype" w:cs="Palatino Linotype"/>
              </w:rPr>
            </w:pP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d) Requisitos de fondo del acuerdo de clasificación. </w:t>
            </w:r>
          </w:p>
        </w:tc>
        <w:tc>
          <w:tcPr>
            <w:tcW w:w="6870" w:type="dxa"/>
          </w:tcPr>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21FA9">
              <w:rPr>
                <w:rFonts w:ascii="Palatino Linotype" w:eastAsia="Palatino Linotype" w:hAnsi="Palatino Linotype" w:cs="Palatino Linotype"/>
                <w:b/>
                <w:bCs/>
              </w:rPr>
              <w:t>Sujetos Obligados</w:t>
            </w:r>
            <w:r w:rsidRPr="00921FA9">
              <w:rPr>
                <w:rFonts w:ascii="Palatino Linotype" w:eastAsia="Palatino Linotype" w:hAnsi="Palatino Linotype" w:cs="Palatino Linotype"/>
              </w:rPr>
              <w:t xml:space="preserve">, por lo que deberán fundar y motivar debidamente la clasificación. </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De lo anterior, se desprende que para una correcta </w:t>
            </w:r>
            <w:r w:rsidRPr="00921FA9">
              <w:rPr>
                <w:rFonts w:ascii="Palatino Linotype" w:eastAsia="Palatino Linotype" w:hAnsi="Palatino Linotype" w:cs="Palatino Linotype"/>
                <w:b/>
                <w:bCs/>
              </w:rPr>
              <w:t>clasificación total o parcial</w:t>
            </w:r>
            <w:r w:rsidRPr="00921FA9">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Ahora bien, </w:t>
            </w:r>
            <w:r w:rsidRPr="00921FA9">
              <w:rPr>
                <w:rFonts w:ascii="Palatino Linotype" w:eastAsia="Palatino Linotype" w:hAnsi="Palatino Linotype" w:cs="Palatino Linotype"/>
                <w:b/>
                <w:bCs/>
                <w:u w:val="single"/>
              </w:rPr>
              <w:t>para cada caso además de fundar y motivar</w:t>
            </w:r>
            <w:r w:rsidRPr="00921FA9">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631FE" w:rsidRPr="00921FA9" w:rsidTr="000F6601">
        <w:tc>
          <w:tcPr>
            <w:tcW w:w="2970" w:type="dxa"/>
          </w:tcPr>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lastRenderedPageBreak/>
              <w:t xml:space="preserve">e) Condiciones especiales de la clasificación de la información como confidencial. </w:t>
            </w:r>
          </w:p>
          <w:p w:rsidR="005631FE" w:rsidRPr="00921FA9" w:rsidRDefault="005631FE" w:rsidP="000F6601">
            <w:pPr>
              <w:spacing w:line="276" w:lineRule="auto"/>
              <w:ind w:right="20"/>
              <w:rPr>
                <w:rFonts w:ascii="Palatino Linotype" w:eastAsia="Palatino Linotype" w:hAnsi="Palatino Linotype" w:cs="Palatino Linotype"/>
              </w:rPr>
            </w:pPr>
          </w:p>
        </w:tc>
        <w:tc>
          <w:tcPr>
            <w:tcW w:w="6870" w:type="dxa"/>
          </w:tcPr>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5631FE" w:rsidRPr="00921FA9" w:rsidRDefault="005631FE" w:rsidP="000F6601">
            <w:pPr>
              <w:spacing w:line="276" w:lineRule="auto"/>
              <w:ind w:right="20"/>
              <w:jc w:val="both"/>
              <w:rPr>
                <w:rFonts w:ascii="Palatino Linotype" w:eastAsia="Palatino Linotype" w:hAnsi="Palatino Linotype" w:cs="Palatino Linotype"/>
              </w:rPr>
            </w:pPr>
            <w:r w:rsidRPr="00921FA9">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631FE" w:rsidRPr="00921FA9" w:rsidRDefault="005631FE" w:rsidP="000F6601">
            <w:pPr>
              <w:spacing w:line="276" w:lineRule="auto"/>
              <w:ind w:right="20"/>
              <w:rPr>
                <w:rFonts w:ascii="Palatino Linotype" w:eastAsia="Palatino Linotype" w:hAnsi="Palatino Linotype" w:cs="Palatino Linotype"/>
              </w:rPr>
            </w:pPr>
            <w:r w:rsidRPr="00921FA9">
              <w:rPr>
                <w:rFonts w:ascii="Palatino Linotype" w:eastAsia="Palatino Linotype" w:hAnsi="Palatino Linotype" w:cs="Palatino Linotype"/>
              </w:rPr>
              <w:t xml:space="preserve">Pero si la información que se pretende clasificar como confidencial no se encuentra en los supuestos de los artículos señalados y es posible, se deberá consultar al titular de los </w:t>
            </w:r>
            <w:r w:rsidRPr="00921FA9">
              <w:rPr>
                <w:rFonts w:ascii="Palatino Linotype" w:eastAsia="Palatino Linotype" w:hAnsi="Palatino Linotype" w:cs="Palatino Linotype"/>
              </w:rPr>
              <w:lastRenderedPageBreak/>
              <w:t>datos si permite o no el acceso. De no ser posible, la realización de la consulta, procede, fundando y motivando, la clasificación.</w:t>
            </w:r>
          </w:p>
        </w:tc>
      </w:tr>
    </w:tbl>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numPr>
          <w:ilvl w:val="0"/>
          <w:numId w:val="2"/>
        </w:numPr>
        <w:spacing w:line="360" w:lineRule="auto"/>
        <w:ind w:left="0" w:firstLine="0"/>
        <w:jc w:val="both"/>
        <w:rPr>
          <w:rFonts w:ascii="Palatino Linotype" w:eastAsia="Palatino Linotype" w:hAnsi="Palatino Linotype" w:cs="Palatino Linotype"/>
        </w:rPr>
      </w:pPr>
      <w:r w:rsidRPr="00921FA9">
        <w:rPr>
          <w:rFonts w:ascii="Palatino Linotype" w:eastAsia="Palatino Linotype" w:hAnsi="Palatino Linotype" w:cs="Palatino Linotype"/>
          <w:color w:val="000000"/>
        </w:rPr>
        <w:t xml:space="preserve">Por lo anteriormente expuesto y fundado, este </w:t>
      </w:r>
      <w:r w:rsidRPr="00921FA9">
        <w:rPr>
          <w:rFonts w:ascii="Palatino Linotype" w:eastAsia="Palatino Linotype" w:hAnsi="Palatino Linotype" w:cs="Palatino Linotype"/>
          <w:b/>
          <w:bCs/>
          <w:color w:val="000000"/>
        </w:rPr>
        <w:t>ÓRGANO GARANTE</w:t>
      </w:r>
      <w:r w:rsidRPr="00921FA9">
        <w:rPr>
          <w:rFonts w:ascii="Palatino Linotype" w:eastAsia="Palatino Linotype" w:hAnsi="Palatino Linotype" w:cs="Palatino Linotype"/>
          <w:color w:val="000000"/>
        </w:rPr>
        <w:t xml:space="preserve"> emite los siguientes:</w:t>
      </w:r>
    </w:p>
    <w:p w:rsidR="00921FA9" w:rsidRPr="00921FA9" w:rsidRDefault="00921FA9" w:rsidP="00921FA9">
      <w:pPr>
        <w:spacing w:line="360" w:lineRule="auto"/>
        <w:jc w:val="both"/>
        <w:rPr>
          <w:rFonts w:ascii="Palatino Linotype" w:eastAsia="Palatino Linotype" w:hAnsi="Palatino Linotype" w:cs="Palatino Linotype"/>
        </w:rPr>
      </w:pPr>
    </w:p>
    <w:p w:rsidR="005631FE" w:rsidRPr="00921FA9" w:rsidRDefault="005631FE" w:rsidP="005631FE">
      <w:pPr>
        <w:keepNext/>
        <w:keepLines/>
        <w:spacing w:before="240" w:line="360" w:lineRule="auto"/>
        <w:jc w:val="center"/>
        <w:rPr>
          <w:rFonts w:ascii="Palatino Linotype" w:eastAsia="Palatino Linotype" w:hAnsi="Palatino Linotype" w:cs="Palatino Linotype"/>
          <w:b/>
          <w:bCs/>
          <w:color w:val="000000"/>
        </w:rPr>
      </w:pPr>
      <w:r w:rsidRPr="00921FA9">
        <w:rPr>
          <w:rFonts w:ascii="Palatino Linotype" w:eastAsia="Palatino Linotype" w:hAnsi="Palatino Linotype" w:cs="Palatino Linotype"/>
          <w:b/>
          <w:bCs/>
          <w:color w:val="000000"/>
        </w:rPr>
        <w:t>R E S O L U T I V O S</w:t>
      </w:r>
    </w:p>
    <w:p w:rsidR="005631FE" w:rsidRPr="00921FA9" w:rsidRDefault="005631FE" w:rsidP="005631FE">
      <w:pPr>
        <w:keepNext/>
        <w:keepLines/>
        <w:spacing w:before="240" w:line="360" w:lineRule="auto"/>
        <w:jc w:val="both"/>
        <w:rPr>
          <w:rFonts w:ascii="Palatino Linotype" w:eastAsia="Palatino Linotype" w:hAnsi="Palatino Linotype" w:cs="Palatino Linotype"/>
          <w:b/>
          <w:bCs/>
          <w:color w:val="000000"/>
        </w:rPr>
      </w:pPr>
    </w:p>
    <w:p w:rsidR="005631FE" w:rsidRPr="00921FA9" w:rsidRDefault="005631FE" w:rsidP="005631FE">
      <w:pPr>
        <w:spacing w:line="360" w:lineRule="auto"/>
        <w:jc w:val="both"/>
        <w:rPr>
          <w:rFonts w:ascii="Palatino Linotype" w:eastAsia="Palatino Linotype" w:hAnsi="Palatino Linotype" w:cs="Palatino Linotype"/>
        </w:rPr>
      </w:pPr>
      <w:r w:rsidRPr="00921FA9">
        <w:rPr>
          <w:rFonts w:ascii="Palatino Linotype" w:eastAsia="Palatino Linotype" w:hAnsi="Palatino Linotype" w:cs="Palatino Linotype"/>
          <w:b/>
          <w:bCs/>
        </w:rPr>
        <w:t xml:space="preserve">PRIMERO. </w:t>
      </w:r>
      <w:r w:rsidRPr="00921FA9">
        <w:rPr>
          <w:rFonts w:ascii="Palatino Linotype" w:eastAsia="Palatino Linotype" w:hAnsi="Palatino Linotype" w:cs="Palatino Linotype"/>
        </w:rPr>
        <w:t>Resultan fundadas las</w:t>
      </w:r>
      <w:r w:rsidRPr="00921FA9">
        <w:rPr>
          <w:rFonts w:ascii="Palatino Linotype" w:eastAsia="Palatino Linotype" w:hAnsi="Palatino Linotype" w:cs="Palatino Linotype"/>
          <w:b/>
          <w:bCs/>
        </w:rPr>
        <w:t xml:space="preserve"> </w:t>
      </w:r>
      <w:r w:rsidRPr="00921FA9">
        <w:rPr>
          <w:rFonts w:ascii="Palatino Linotype" w:eastAsia="Palatino Linotype" w:hAnsi="Palatino Linotype" w:cs="Palatino Linotype"/>
        </w:rPr>
        <w:t xml:space="preserve">razones o motivos de inconformidad hechos valer en el recurso de revisión </w:t>
      </w:r>
      <w:r w:rsidR="00622C2A" w:rsidRPr="00921FA9">
        <w:rPr>
          <w:rFonts w:ascii="Palatino Linotype" w:eastAsia="Palatino Linotype" w:hAnsi="Palatino Linotype" w:cs="Palatino Linotype"/>
          <w:b/>
          <w:bCs/>
        </w:rPr>
        <w:t>04273</w:t>
      </w:r>
      <w:r w:rsidRPr="00921FA9">
        <w:rPr>
          <w:rFonts w:ascii="Palatino Linotype" w:eastAsia="Palatino Linotype" w:hAnsi="Palatino Linotype" w:cs="Palatino Linotype"/>
          <w:b/>
          <w:bCs/>
        </w:rPr>
        <w:t>/INFOEM/IP/RR/202</w:t>
      </w:r>
      <w:r w:rsidR="005862C9" w:rsidRPr="00921FA9">
        <w:rPr>
          <w:rFonts w:ascii="Palatino Linotype" w:eastAsia="Palatino Linotype" w:hAnsi="Palatino Linotype" w:cs="Palatino Linotype"/>
          <w:b/>
          <w:bCs/>
        </w:rPr>
        <w:t>6</w:t>
      </w:r>
      <w:r w:rsidRPr="00921FA9">
        <w:rPr>
          <w:rFonts w:ascii="Palatino Linotype" w:eastAsia="Palatino Linotype" w:hAnsi="Palatino Linotype" w:cs="Palatino Linotype"/>
          <w:b/>
          <w:bCs/>
        </w:rPr>
        <w:t xml:space="preserve"> </w:t>
      </w:r>
      <w:r w:rsidRPr="00921FA9">
        <w:rPr>
          <w:rFonts w:ascii="Palatino Linotype" w:eastAsia="Palatino Linotype" w:hAnsi="Palatino Linotype" w:cs="Palatino Linotype"/>
        </w:rPr>
        <w:t xml:space="preserve">en términos del </w:t>
      </w:r>
      <w:r w:rsidRPr="00921FA9">
        <w:rPr>
          <w:rFonts w:ascii="Palatino Linotype" w:eastAsia="Palatino Linotype" w:hAnsi="Palatino Linotype" w:cs="Palatino Linotype"/>
          <w:b/>
          <w:bCs/>
        </w:rPr>
        <w:t>Considerando</w:t>
      </w:r>
      <w:r w:rsidRPr="00921FA9">
        <w:rPr>
          <w:rFonts w:ascii="Palatino Linotype" w:eastAsia="Palatino Linotype" w:hAnsi="Palatino Linotype" w:cs="Palatino Linotype"/>
        </w:rPr>
        <w:t xml:space="preserve"> </w:t>
      </w:r>
      <w:r w:rsidRPr="00921FA9">
        <w:rPr>
          <w:rFonts w:ascii="Palatino Linotype" w:eastAsia="Palatino Linotype" w:hAnsi="Palatino Linotype" w:cs="Palatino Linotype"/>
          <w:b/>
          <w:bCs/>
        </w:rPr>
        <w:t xml:space="preserve">CUARTO y QUINTO </w:t>
      </w:r>
      <w:r w:rsidRPr="00921FA9">
        <w:rPr>
          <w:rFonts w:ascii="Palatino Linotype" w:eastAsia="Palatino Linotype" w:hAnsi="Palatino Linotype" w:cs="Palatino Linotype"/>
        </w:rPr>
        <w:t>de la presente resolución.</w:t>
      </w:r>
    </w:p>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spacing w:line="360" w:lineRule="auto"/>
        <w:jc w:val="both"/>
        <w:rPr>
          <w:rFonts w:ascii="Palatino Linotype" w:eastAsia="Palatino Linotype" w:hAnsi="Palatino Linotype" w:cs="Palatino Linotype"/>
        </w:rPr>
      </w:pPr>
      <w:bookmarkStart w:id="8" w:name="_heading=h.26in1rg" w:colFirst="0" w:colLast="0"/>
      <w:bookmarkEnd w:id="8"/>
      <w:r w:rsidRPr="00921FA9">
        <w:rPr>
          <w:rFonts w:ascii="Palatino Linotype" w:eastAsia="Palatino Linotype" w:hAnsi="Palatino Linotype" w:cs="Palatino Linotype"/>
          <w:b/>
          <w:bCs/>
        </w:rPr>
        <w:t>SEGUNDO.</w:t>
      </w:r>
      <w:r w:rsidRPr="00921FA9">
        <w:rPr>
          <w:rFonts w:ascii="Palatino Linotype" w:eastAsia="Palatino Linotype" w:hAnsi="Palatino Linotype" w:cs="Palatino Linotype"/>
          <w:color w:val="2F5496"/>
        </w:rPr>
        <w:t xml:space="preserve"> </w:t>
      </w:r>
      <w:r w:rsidRPr="00921FA9">
        <w:rPr>
          <w:rFonts w:ascii="Palatino Linotype" w:eastAsia="Palatino Linotype" w:hAnsi="Palatino Linotype" w:cs="Palatino Linotype"/>
        </w:rPr>
        <w:t>Se</w:t>
      </w:r>
      <w:r w:rsidRPr="00921FA9">
        <w:rPr>
          <w:rFonts w:ascii="Palatino Linotype" w:eastAsia="Palatino Linotype" w:hAnsi="Palatino Linotype" w:cs="Palatino Linotype"/>
          <w:b/>
          <w:bCs/>
        </w:rPr>
        <w:t xml:space="preserve"> MODIFICA </w:t>
      </w:r>
      <w:r w:rsidR="00622C2A" w:rsidRPr="00921FA9">
        <w:rPr>
          <w:rFonts w:ascii="Palatino Linotype" w:eastAsia="Palatino Linotype" w:hAnsi="Palatino Linotype" w:cs="Palatino Linotype"/>
        </w:rPr>
        <w:t>la respuesta emitida por la</w:t>
      </w:r>
      <w:r w:rsidRPr="00921FA9">
        <w:rPr>
          <w:rFonts w:ascii="Palatino Linotype" w:eastAsia="Palatino Linotype" w:hAnsi="Palatino Linotype" w:cs="Palatino Linotype"/>
        </w:rPr>
        <w:t xml:space="preserve"> </w:t>
      </w:r>
      <w:r w:rsidR="00622C2A" w:rsidRPr="00921FA9">
        <w:rPr>
          <w:rFonts w:ascii="Palatino Linotype" w:eastAsia="Palatino Linotype" w:hAnsi="Palatino Linotype" w:cs="Palatino Linotype"/>
          <w:b/>
          <w:bCs/>
        </w:rPr>
        <w:t>Universidad Mexiquense de Seguridad</w:t>
      </w:r>
      <w:r w:rsidRPr="00921FA9">
        <w:rPr>
          <w:rFonts w:ascii="Palatino Linotype" w:eastAsia="Palatino Linotype" w:hAnsi="Palatino Linotype" w:cs="Palatino Linotype"/>
          <w:b/>
          <w:bCs/>
        </w:rPr>
        <w:t xml:space="preserve"> </w:t>
      </w:r>
      <w:r w:rsidRPr="00921FA9">
        <w:rPr>
          <w:rFonts w:ascii="Palatino Linotype" w:eastAsia="Palatino Linotype" w:hAnsi="Palatino Linotype" w:cs="Palatino Linotype"/>
        </w:rPr>
        <w:t xml:space="preserve">a la solicitud </w:t>
      </w:r>
      <w:r w:rsidR="00622C2A" w:rsidRPr="00921FA9">
        <w:rPr>
          <w:rFonts w:ascii="Palatino Linotype" w:eastAsia="Palatino Linotype" w:hAnsi="Palatino Linotype" w:cs="Palatino Linotype"/>
          <w:b/>
          <w:bCs/>
        </w:rPr>
        <w:t>00007/UMS/IP/2026</w:t>
      </w:r>
      <w:r w:rsidRPr="00921FA9">
        <w:rPr>
          <w:rFonts w:ascii="Palatino Linotype" w:eastAsia="Palatino Linotype" w:hAnsi="Palatino Linotype" w:cs="Palatino Linotype"/>
          <w:b/>
          <w:bCs/>
        </w:rPr>
        <w:t>,</w:t>
      </w:r>
      <w:r w:rsidRPr="00921FA9">
        <w:rPr>
          <w:rFonts w:ascii="Palatino Linotype" w:eastAsia="Palatino Linotype" w:hAnsi="Palatino Linotype" w:cs="Palatino Linotype"/>
        </w:rPr>
        <w:t xml:space="preserve"> y se </w:t>
      </w:r>
      <w:r w:rsidRPr="00921FA9">
        <w:rPr>
          <w:rFonts w:ascii="Palatino Linotype" w:eastAsia="Palatino Linotype" w:hAnsi="Palatino Linotype" w:cs="Palatino Linotype"/>
          <w:b/>
          <w:bCs/>
        </w:rPr>
        <w:t>ORDENA</w:t>
      </w:r>
      <w:r w:rsidRPr="00921FA9">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5631FE" w:rsidRPr="00921FA9" w:rsidRDefault="005631FE" w:rsidP="005631FE">
      <w:pPr>
        <w:spacing w:line="360" w:lineRule="auto"/>
        <w:jc w:val="both"/>
        <w:rPr>
          <w:rFonts w:ascii="Palatino Linotype" w:eastAsia="Palatino Linotype" w:hAnsi="Palatino Linotype" w:cs="Palatino Linotype"/>
        </w:rPr>
      </w:pPr>
    </w:p>
    <w:p w:rsidR="00622C2A" w:rsidRPr="00921FA9" w:rsidRDefault="00622C2A" w:rsidP="00622C2A">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rPr>
      </w:pPr>
      <w:bookmarkStart w:id="9" w:name="_heading=h.6oxbj6l8i40c" w:colFirst="0" w:colLast="0"/>
      <w:bookmarkEnd w:id="9"/>
      <w:r w:rsidRPr="00921FA9">
        <w:rPr>
          <w:rFonts w:ascii="Palatino Linotype" w:eastAsia="Palatino Linotype" w:hAnsi="Palatino Linotype" w:cs="Palatino Linotype"/>
          <w:b/>
          <w:bCs/>
          <w:color w:val="000000"/>
        </w:rPr>
        <w:t xml:space="preserve">Auditorías realizadas por el Órgano Interno de Control del ejercicio fiscal 2023 y 2024, señaladas en respuesta. </w:t>
      </w:r>
    </w:p>
    <w:p w:rsidR="005631FE" w:rsidRPr="00921FA9" w:rsidRDefault="005631FE" w:rsidP="00622C2A">
      <w:pPr>
        <w:pBdr>
          <w:top w:val="nil"/>
          <w:left w:val="nil"/>
          <w:bottom w:val="nil"/>
          <w:right w:val="nil"/>
          <w:between w:val="nil"/>
        </w:pBdr>
        <w:spacing w:line="360" w:lineRule="auto"/>
        <w:ind w:right="822"/>
        <w:jc w:val="both"/>
        <w:rPr>
          <w:rFonts w:ascii="Palatino Linotype" w:eastAsia="Palatino Linotype" w:hAnsi="Palatino Linotype" w:cs="Palatino Linotype"/>
        </w:rPr>
      </w:pPr>
    </w:p>
    <w:p w:rsidR="005631FE" w:rsidRPr="00921FA9" w:rsidRDefault="005631FE" w:rsidP="005631FE">
      <w:pPr>
        <w:tabs>
          <w:tab w:val="left" w:pos="993"/>
        </w:tabs>
        <w:spacing w:line="360" w:lineRule="auto"/>
        <w:jc w:val="both"/>
        <w:rPr>
          <w:rFonts w:ascii="Palatino Linotype" w:eastAsia="Palatino Linotype" w:hAnsi="Palatino Linotype" w:cs="Palatino Linotype"/>
        </w:rPr>
      </w:pPr>
      <w:r w:rsidRPr="00921FA9">
        <w:rPr>
          <w:rFonts w:ascii="Palatino Linotype" w:eastAsia="Palatino Linotype" w:hAnsi="Palatino Linotype" w:cs="Palatino Linotype"/>
          <w:color w:val="000000"/>
        </w:rPr>
        <w:t xml:space="preserve">Para </w:t>
      </w:r>
      <w:r w:rsidRPr="00921FA9">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921FA9">
        <w:rPr>
          <w:rFonts w:ascii="Palatino Linotype" w:eastAsia="Palatino Linotype" w:hAnsi="Palatino Linotype" w:cs="Palatino Linotype"/>
          <w:b/>
        </w:rPr>
        <w:t>RECURRENTE</w:t>
      </w:r>
      <w:r w:rsidRPr="00921FA9">
        <w:rPr>
          <w:rFonts w:ascii="Palatino Linotype" w:eastAsia="Palatino Linotype" w:hAnsi="Palatino Linotype" w:cs="Palatino Linotype"/>
        </w:rPr>
        <w:t>.</w:t>
      </w:r>
    </w:p>
    <w:p w:rsidR="005631FE" w:rsidRPr="00921FA9" w:rsidRDefault="005631FE" w:rsidP="005631FE">
      <w:pPr>
        <w:shd w:val="clear" w:color="auto" w:fill="FFFFFF"/>
        <w:spacing w:line="360" w:lineRule="auto"/>
        <w:jc w:val="both"/>
        <w:rPr>
          <w:rFonts w:ascii="Palatino Linotype" w:eastAsia="Palatino Linotype" w:hAnsi="Palatino Linotype" w:cs="Palatino Linotype"/>
          <w:color w:val="222222"/>
        </w:rPr>
      </w:pPr>
      <w:r w:rsidRPr="00921FA9">
        <w:rPr>
          <w:rFonts w:ascii="Palatino Linotype" w:eastAsia="Palatino Linotype" w:hAnsi="Palatino Linotype" w:cs="Palatino Linotype"/>
          <w:b/>
          <w:bCs/>
          <w:color w:val="222222"/>
        </w:rPr>
        <w:lastRenderedPageBreak/>
        <w:t xml:space="preserve">TERCERO. </w:t>
      </w:r>
      <w:r w:rsidRPr="00921FA9">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921FA9">
        <w:rPr>
          <w:rFonts w:ascii="Palatino Linotype" w:eastAsia="Palatino Linotype" w:hAnsi="Palatino Linotype" w:cs="Palatino Linotype"/>
          <w:b/>
          <w:bCs/>
          <w:color w:val="222222"/>
        </w:rPr>
        <w:t>dé cumplimiento a lo ordenado dentro del plazo de diez días hábiles,</w:t>
      </w:r>
      <w:r w:rsidRPr="00921FA9">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631FE" w:rsidRPr="00921FA9" w:rsidRDefault="005631FE" w:rsidP="005631FE">
      <w:pPr>
        <w:shd w:val="clear" w:color="auto" w:fill="FFFFFF"/>
        <w:spacing w:line="360" w:lineRule="auto"/>
        <w:jc w:val="both"/>
        <w:rPr>
          <w:rFonts w:ascii="Palatino Linotype" w:eastAsia="Palatino Linotype" w:hAnsi="Palatino Linotype" w:cs="Palatino Linotype"/>
          <w:b/>
          <w:bCs/>
          <w:color w:val="222222"/>
        </w:rPr>
      </w:pPr>
    </w:p>
    <w:p w:rsidR="005631FE" w:rsidRPr="00921FA9" w:rsidRDefault="005631FE" w:rsidP="005631FE">
      <w:pPr>
        <w:shd w:val="clear" w:color="auto" w:fill="FFFFFF"/>
        <w:spacing w:line="360" w:lineRule="auto"/>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b/>
          <w:bCs/>
          <w:color w:val="000000"/>
        </w:rPr>
        <w:t>CUARTO.</w:t>
      </w:r>
      <w:r w:rsidRPr="00921FA9">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921FA9">
        <w:rPr>
          <w:rFonts w:ascii="Palatino Linotype" w:eastAsia="Palatino Linotype" w:hAnsi="Palatino Linotype" w:cs="Palatino Linotype"/>
          <w:b/>
          <w:bCs/>
          <w:color w:val="000000"/>
        </w:rPr>
        <w:t>SUJETO OBLIGADO</w:t>
      </w:r>
      <w:r w:rsidRPr="00921FA9">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5631FE" w:rsidRPr="00921FA9" w:rsidRDefault="005631FE" w:rsidP="005631FE">
      <w:pPr>
        <w:spacing w:line="360" w:lineRule="auto"/>
        <w:jc w:val="both"/>
        <w:rPr>
          <w:rFonts w:ascii="Palatino Linotype" w:eastAsia="Palatino Linotype" w:hAnsi="Palatino Linotype" w:cs="Palatino Linotype"/>
        </w:rPr>
      </w:pPr>
    </w:p>
    <w:p w:rsidR="005631FE" w:rsidRPr="00921FA9" w:rsidRDefault="005631FE" w:rsidP="005631FE">
      <w:pPr>
        <w:shd w:val="clear" w:color="auto" w:fill="FFFFFF"/>
        <w:spacing w:line="360" w:lineRule="auto"/>
        <w:jc w:val="both"/>
        <w:rPr>
          <w:rFonts w:ascii="Palatino Linotype" w:eastAsia="Palatino Linotype" w:hAnsi="Palatino Linotype" w:cs="Palatino Linotype"/>
          <w:color w:val="000000"/>
        </w:rPr>
      </w:pPr>
      <w:r w:rsidRPr="00921FA9">
        <w:rPr>
          <w:rFonts w:ascii="Palatino Linotype" w:eastAsia="Palatino Linotype" w:hAnsi="Palatino Linotype" w:cs="Palatino Linotype"/>
          <w:b/>
          <w:bCs/>
        </w:rPr>
        <w:t xml:space="preserve">QUINTO. </w:t>
      </w:r>
      <w:r w:rsidRPr="00921FA9">
        <w:rPr>
          <w:rFonts w:ascii="Palatino Linotype" w:eastAsia="Palatino Linotype" w:hAnsi="Palatino Linotype" w:cs="Palatino Linotype"/>
          <w:b/>
          <w:bCs/>
          <w:color w:val="222222"/>
        </w:rPr>
        <w:t xml:space="preserve">Notifíquese </w:t>
      </w:r>
      <w:r w:rsidRPr="00921FA9">
        <w:rPr>
          <w:rFonts w:ascii="Palatino Linotype" w:eastAsia="Palatino Linotype" w:hAnsi="Palatino Linotype" w:cs="Palatino Linotype"/>
          <w:color w:val="222222"/>
        </w:rPr>
        <w:t xml:space="preserve">al </w:t>
      </w:r>
      <w:r w:rsidRPr="00921FA9">
        <w:rPr>
          <w:rFonts w:ascii="Palatino Linotype" w:eastAsia="Palatino Linotype" w:hAnsi="Palatino Linotype" w:cs="Palatino Linotype"/>
          <w:b/>
          <w:bCs/>
          <w:color w:val="222222"/>
        </w:rPr>
        <w:t>RECURRENTE</w:t>
      </w:r>
      <w:r w:rsidRPr="00921FA9">
        <w:rPr>
          <w:rFonts w:ascii="Palatino Linotype" w:eastAsia="Palatino Linotype" w:hAnsi="Palatino Linotype" w:cs="Palatino Linotype"/>
          <w:color w:val="222222"/>
        </w:rPr>
        <w:t xml:space="preserve"> </w:t>
      </w:r>
      <w:r w:rsidRPr="00921FA9">
        <w:rPr>
          <w:rFonts w:ascii="Palatino Linotype" w:eastAsia="Palatino Linotype" w:hAnsi="Palatino Linotype" w:cs="Palatino Linotype"/>
        </w:rPr>
        <w:t>la presente resolución vía Sistema de Acceso a la Información Mexiquense (SAIMEX).</w:t>
      </w:r>
    </w:p>
    <w:p w:rsidR="005631FE" w:rsidRPr="00921FA9" w:rsidRDefault="005631FE" w:rsidP="005631FE">
      <w:pPr>
        <w:shd w:val="clear" w:color="auto" w:fill="FFFFFF"/>
        <w:spacing w:line="360" w:lineRule="auto"/>
        <w:jc w:val="both"/>
        <w:rPr>
          <w:rFonts w:ascii="Palatino Linotype" w:eastAsia="Palatino Linotype" w:hAnsi="Palatino Linotype" w:cs="Palatino Linotype"/>
        </w:rPr>
      </w:pPr>
    </w:p>
    <w:p w:rsidR="005631FE" w:rsidRPr="00921FA9" w:rsidRDefault="005631FE" w:rsidP="005631FE">
      <w:pPr>
        <w:spacing w:line="360" w:lineRule="auto"/>
        <w:jc w:val="both"/>
        <w:rPr>
          <w:rFonts w:ascii="Palatino Linotype" w:eastAsia="Palatino Linotype" w:hAnsi="Palatino Linotype" w:cs="Palatino Linotype"/>
        </w:rPr>
      </w:pPr>
      <w:r w:rsidRPr="00921FA9">
        <w:rPr>
          <w:rFonts w:ascii="Palatino Linotype" w:eastAsia="Palatino Linotype" w:hAnsi="Palatino Linotype" w:cs="Palatino Linotype"/>
          <w:b/>
          <w:bCs/>
        </w:rPr>
        <w:t>SEXTO.</w:t>
      </w:r>
      <w:r w:rsidRPr="00921FA9">
        <w:rPr>
          <w:rFonts w:ascii="Palatino Linotype" w:eastAsia="Palatino Linotype" w:hAnsi="Palatino Linotype" w:cs="Palatino Linotype"/>
        </w:rPr>
        <w:t xml:space="preserve"> Se hace del conocimiento del </w:t>
      </w:r>
      <w:r w:rsidRPr="00921FA9">
        <w:rPr>
          <w:rFonts w:ascii="Palatino Linotype" w:eastAsia="Palatino Linotype" w:hAnsi="Palatino Linotype" w:cs="Palatino Linotype"/>
          <w:b/>
          <w:bCs/>
        </w:rPr>
        <w:t>RECURRENTE</w:t>
      </w:r>
      <w:r w:rsidRPr="00921FA9">
        <w:rPr>
          <w:rFonts w:ascii="Palatino Linotype" w:eastAsia="Palatino Linotype" w:hAnsi="Palatino Linotype" w:cs="Palatino Linotype"/>
          <w:color w:val="222222"/>
        </w:rPr>
        <w:t xml:space="preserve"> </w:t>
      </w:r>
      <w:r w:rsidRPr="00921FA9">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8051D" w:rsidRPr="00921FA9" w:rsidRDefault="0048051D" w:rsidP="0048051D">
      <w:pPr>
        <w:spacing w:before="240" w:after="240" w:line="360" w:lineRule="auto"/>
        <w:ind w:firstLine="1"/>
        <w:jc w:val="both"/>
        <w:rPr>
          <w:rFonts w:ascii="Palatino Linotype" w:hAnsi="Palatino Linotype"/>
        </w:rPr>
      </w:pPr>
      <w:bookmarkStart w:id="10" w:name="_Hlk99014733"/>
      <w:r w:rsidRPr="00921FA9">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921FA9">
        <w:rPr>
          <w:rFonts w:ascii="Palatino Linotype" w:hAnsi="Palatino Linotype" w:cs="Palatino Linotype"/>
          <w:color w:val="000000" w:themeColor="text1"/>
        </w:rPr>
        <w:t>ALEXIS TAPIA RAMÍREZ.</w:t>
      </w:r>
    </w:p>
    <w:bookmarkEnd w:id="10"/>
    <w:p w:rsidR="005631FE" w:rsidRPr="00921FA9" w:rsidRDefault="005631FE" w:rsidP="005631FE">
      <w:pPr>
        <w:pBdr>
          <w:top w:val="nil"/>
          <w:left w:val="nil"/>
          <w:bottom w:val="nil"/>
          <w:right w:val="nil"/>
          <w:between w:val="nil"/>
        </w:pBdr>
        <w:ind w:left="720"/>
        <w:jc w:val="both"/>
        <w:rPr>
          <w:rFonts w:ascii="Palatino Linotype" w:eastAsia="Palatino Linotype" w:hAnsi="Palatino Linotype" w:cs="Palatino Linotype"/>
          <w:color w:val="000000"/>
        </w:rPr>
      </w:pPr>
    </w:p>
    <w:p w:rsidR="005631FE" w:rsidRPr="00921FA9" w:rsidRDefault="005631FE" w:rsidP="005631F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Pr>
        <w:jc w:val="both"/>
        <w:rPr>
          <w:rFonts w:ascii="Palatino Linotype" w:hAnsi="Palatino Linotype"/>
        </w:rPr>
      </w:pPr>
    </w:p>
    <w:p w:rsidR="005631FE" w:rsidRPr="00921FA9" w:rsidRDefault="005631FE" w:rsidP="005631FE"/>
    <w:p w:rsidR="00A500F5" w:rsidRPr="00921FA9" w:rsidRDefault="00A500F5"/>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p w:rsidR="00B9213B" w:rsidRPr="00921FA9" w:rsidRDefault="00B9213B"/>
    <w:sectPr w:rsidR="00B9213B" w:rsidRPr="00921FA9" w:rsidSect="00921FA9">
      <w:headerReference w:type="even" r:id="rId12"/>
      <w:headerReference w:type="default" r:id="rId13"/>
      <w:footerReference w:type="default" r:id="rId14"/>
      <w:headerReference w:type="first" r:id="rId15"/>
      <w:footerReference w:type="first" r:id="rId16"/>
      <w:pgSz w:w="12240" w:h="15840"/>
      <w:pgMar w:top="80" w:right="474"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982" w:rsidRDefault="00AF0982" w:rsidP="005631FE">
      <w:r>
        <w:separator/>
      </w:r>
    </w:p>
  </w:endnote>
  <w:endnote w:type="continuationSeparator" w:id="0">
    <w:p w:rsidR="00AF0982" w:rsidRDefault="00AF0982" w:rsidP="0056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C2A" w:rsidRPr="00921FA9" w:rsidRDefault="00622C2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921FA9">
      <w:rPr>
        <w:rFonts w:ascii="Palatino Linotype" w:hAnsi="Palatino Linotype"/>
        <w:color w:val="000000"/>
        <w:sz w:val="22"/>
      </w:rPr>
      <w:t xml:space="preserve">Página </w:t>
    </w:r>
    <w:r w:rsidRPr="00921FA9">
      <w:rPr>
        <w:rFonts w:ascii="Palatino Linotype" w:hAnsi="Palatino Linotype"/>
        <w:b/>
        <w:bCs/>
        <w:color w:val="000000"/>
        <w:sz w:val="22"/>
      </w:rPr>
      <w:fldChar w:fldCharType="begin"/>
    </w:r>
    <w:r w:rsidRPr="00921FA9">
      <w:rPr>
        <w:rFonts w:ascii="Palatino Linotype" w:hAnsi="Palatino Linotype"/>
        <w:b/>
        <w:bCs/>
        <w:color w:val="000000"/>
        <w:sz w:val="22"/>
      </w:rPr>
      <w:instrText>PAGE</w:instrText>
    </w:r>
    <w:r w:rsidRPr="00921FA9">
      <w:rPr>
        <w:rFonts w:ascii="Palatino Linotype" w:hAnsi="Palatino Linotype"/>
        <w:b/>
        <w:bCs/>
        <w:color w:val="000000"/>
        <w:sz w:val="22"/>
      </w:rPr>
      <w:fldChar w:fldCharType="separate"/>
    </w:r>
    <w:r w:rsidR="00E00ACB">
      <w:rPr>
        <w:rFonts w:ascii="Palatino Linotype" w:hAnsi="Palatino Linotype"/>
        <w:b/>
        <w:bCs/>
        <w:noProof/>
        <w:color w:val="000000"/>
        <w:sz w:val="22"/>
      </w:rPr>
      <w:t>21</w:t>
    </w:r>
    <w:r w:rsidRPr="00921FA9">
      <w:rPr>
        <w:rFonts w:ascii="Palatino Linotype" w:hAnsi="Palatino Linotype"/>
        <w:b/>
        <w:bCs/>
        <w:color w:val="000000"/>
        <w:sz w:val="22"/>
      </w:rPr>
      <w:fldChar w:fldCharType="end"/>
    </w:r>
    <w:r w:rsidRPr="00921FA9">
      <w:rPr>
        <w:rFonts w:ascii="Palatino Linotype" w:hAnsi="Palatino Linotype"/>
        <w:color w:val="000000"/>
        <w:sz w:val="22"/>
      </w:rPr>
      <w:t xml:space="preserve"> de </w:t>
    </w:r>
    <w:r w:rsidRPr="00921FA9">
      <w:rPr>
        <w:rFonts w:ascii="Palatino Linotype" w:hAnsi="Palatino Linotype"/>
        <w:b/>
        <w:bCs/>
        <w:color w:val="000000"/>
        <w:sz w:val="22"/>
      </w:rPr>
      <w:fldChar w:fldCharType="begin"/>
    </w:r>
    <w:r w:rsidRPr="00921FA9">
      <w:rPr>
        <w:rFonts w:ascii="Palatino Linotype" w:hAnsi="Palatino Linotype"/>
        <w:b/>
        <w:bCs/>
        <w:color w:val="000000"/>
        <w:sz w:val="22"/>
      </w:rPr>
      <w:instrText>NUMPAGES</w:instrText>
    </w:r>
    <w:r w:rsidRPr="00921FA9">
      <w:rPr>
        <w:rFonts w:ascii="Palatino Linotype" w:hAnsi="Palatino Linotype"/>
        <w:b/>
        <w:bCs/>
        <w:color w:val="000000"/>
        <w:sz w:val="22"/>
      </w:rPr>
      <w:fldChar w:fldCharType="separate"/>
    </w:r>
    <w:r w:rsidR="00E00ACB">
      <w:rPr>
        <w:rFonts w:ascii="Palatino Linotype" w:hAnsi="Palatino Linotype"/>
        <w:b/>
        <w:bCs/>
        <w:noProof/>
        <w:color w:val="000000"/>
        <w:sz w:val="22"/>
      </w:rPr>
      <w:t>21</w:t>
    </w:r>
    <w:r w:rsidRPr="00921FA9">
      <w:rPr>
        <w:rFonts w:ascii="Palatino Linotype" w:hAnsi="Palatino Linotype"/>
        <w:b/>
        <w:bCs/>
        <w:color w:val="000000"/>
        <w:sz w:val="22"/>
      </w:rPr>
      <w:fldChar w:fldCharType="end"/>
    </w:r>
  </w:p>
  <w:p w:rsidR="00622C2A" w:rsidRDefault="00622C2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C2A" w:rsidRPr="00921FA9" w:rsidRDefault="00622C2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921FA9">
      <w:rPr>
        <w:rFonts w:ascii="Palatino Linotype" w:hAnsi="Palatino Linotype"/>
        <w:color w:val="000000"/>
        <w:sz w:val="22"/>
      </w:rPr>
      <w:t xml:space="preserve">Página </w:t>
    </w:r>
    <w:r w:rsidRPr="00921FA9">
      <w:rPr>
        <w:rFonts w:ascii="Palatino Linotype" w:hAnsi="Palatino Linotype"/>
        <w:b/>
        <w:bCs/>
        <w:color w:val="000000"/>
        <w:sz w:val="22"/>
      </w:rPr>
      <w:fldChar w:fldCharType="begin"/>
    </w:r>
    <w:r w:rsidRPr="00921FA9">
      <w:rPr>
        <w:rFonts w:ascii="Palatino Linotype" w:hAnsi="Palatino Linotype"/>
        <w:b/>
        <w:bCs/>
        <w:color w:val="000000"/>
        <w:sz w:val="22"/>
      </w:rPr>
      <w:instrText>PAGE</w:instrText>
    </w:r>
    <w:r w:rsidRPr="00921FA9">
      <w:rPr>
        <w:rFonts w:ascii="Palatino Linotype" w:hAnsi="Palatino Linotype"/>
        <w:b/>
        <w:bCs/>
        <w:color w:val="000000"/>
        <w:sz w:val="22"/>
      </w:rPr>
      <w:fldChar w:fldCharType="separate"/>
    </w:r>
    <w:r w:rsidR="00E00ACB">
      <w:rPr>
        <w:rFonts w:ascii="Palatino Linotype" w:hAnsi="Palatino Linotype"/>
        <w:b/>
        <w:bCs/>
        <w:noProof/>
        <w:color w:val="000000"/>
        <w:sz w:val="22"/>
      </w:rPr>
      <w:t>1</w:t>
    </w:r>
    <w:r w:rsidRPr="00921FA9">
      <w:rPr>
        <w:rFonts w:ascii="Palatino Linotype" w:hAnsi="Palatino Linotype"/>
        <w:b/>
        <w:bCs/>
        <w:color w:val="000000"/>
        <w:sz w:val="22"/>
      </w:rPr>
      <w:fldChar w:fldCharType="end"/>
    </w:r>
    <w:r w:rsidRPr="00921FA9">
      <w:rPr>
        <w:rFonts w:ascii="Palatino Linotype" w:hAnsi="Palatino Linotype"/>
        <w:color w:val="000000"/>
        <w:sz w:val="22"/>
      </w:rPr>
      <w:t xml:space="preserve"> de </w:t>
    </w:r>
    <w:r w:rsidRPr="00921FA9">
      <w:rPr>
        <w:rFonts w:ascii="Palatino Linotype" w:hAnsi="Palatino Linotype"/>
        <w:b/>
        <w:bCs/>
        <w:color w:val="000000"/>
        <w:sz w:val="22"/>
      </w:rPr>
      <w:fldChar w:fldCharType="begin"/>
    </w:r>
    <w:r w:rsidRPr="00921FA9">
      <w:rPr>
        <w:rFonts w:ascii="Palatino Linotype" w:hAnsi="Palatino Linotype"/>
        <w:b/>
        <w:bCs/>
        <w:color w:val="000000"/>
        <w:sz w:val="22"/>
      </w:rPr>
      <w:instrText>NUMPAGES</w:instrText>
    </w:r>
    <w:r w:rsidRPr="00921FA9">
      <w:rPr>
        <w:rFonts w:ascii="Palatino Linotype" w:hAnsi="Palatino Linotype"/>
        <w:b/>
        <w:bCs/>
        <w:color w:val="000000"/>
        <w:sz w:val="22"/>
      </w:rPr>
      <w:fldChar w:fldCharType="separate"/>
    </w:r>
    <w:r w:rsidR="00E00ACB">
      <w:rPr>
        <w:rFonts w:ascii="Palatino Linotype" w:hAnsi="Palatino Linotype"/>
        <w:b/>
        <w:bCs/>
        <w:noProof/>
        <w:color w:val="000000"/>
        <w:sz w:val="22"/>
      </w:rPr>
      <w:t>21</w:t>
    </w:r>
    <w:r w:rsidRPr="00921FA9">
      <w:rPr>
        <w:rFonts w:ascii="Palatino Linotype" w:hAnsi="Palatino Linotype"/>
        <w:b/>
        <w:bCs/>
        <w:color w:val="000000"/>
        <w:sz w:val="22"/>
      </w:rPr>
      <w:fldChar w:fldCharType="end"/>
    </w:r>
  </w:p>
  <w:p w:rsidR="00622C2A" w:rsidRDefault="00622C2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982" w:rsidRDefault="00AF0982" w:rsidP="005631FE">
      <w:r>
        <w:separator/>
      </w:r>
    </w:p>
  </w:footnote>
  <w:footnote w:type="continuationSeparator" w:id="0">
    <w:p w:rsidR="00AF0982" w:rsidRDefault="00AF0982" w:rsidP="005631FE">
      <w:r>
        <w:continuationSeparator/>
      </w:r>
    </w:p>
  </w:footnote>
  <w:footnote w:id="1">
    <w:p w:rsidR="00622C2A" w:rsidRDefault="00622C2A" w:rsidP="005631FE">
      <w:pPr>
        <w:pStyle w:val="Textonotapie"/>
      </w:pPr>
      <w:r>
        <w:rPr>
          <w:rStyle w:val="Refdenotaalpie"/>
        </w:rPr>
        <w:footnoteRef/>
      </w:r>
      <w:r>
        <w:t xml:space="preserve"> Artículo 150. Ley de Transparencia y Acceso a la Información Pública del Estado de México y Municipios.</w:t>
      </w:r>
    </w:p>
    <w:p w:rsidR="00622C2A" w:rsidRDefault="00622C2A" w:rsidP="005631FE">
      <w:pPr>
        <w:pStyle w:val="Textonotapie"/>
      </w:pPr>
      <w:r>
        <w:t>Artículo 151. Ibídem.</w:t>
      </w:r>
    </w:p>
  </w:footnote>
  <w:footnote w:id="2">
    <w:p w:rsidR="00622C2A" w:rsidRDefault="00622C2A" w:rsidP="005631FE">
      <w:pPr>
        <w:pStyle w:val="Textonotapie"/>
      </w:pPr>
      <w:r>
        <w:rPr>
          <w:rStyle w:val="Refdenotaalpie"/>
        </w:rPr>
        <w:footnoteRef/>
      </w:r>
      <w:r>
        <w:t xml:space="preserve"> Ley de Transparencia y Acceso a la Información Pública del Estado de México y Municipios. Artículo 9. …</w:t>
      </w:r>
    </w:p>
    <w:p w:rsidR="00622C2A" w:rsidRDefault="00622C2A" w:rsidP="005631FE">
      <w:pPr>
        <w:pStyle w:val="Textonotapie"/>
      </w:pPr>
      <w:r>
        <w:t>II. Eficacia: Obligación del Instituto para tutelar, de manera efectiva, el derecho de acceso a la información;</w:t>
      </w:r>
    </w:p>
    <w:p w:rsidR="00622C2A" w:rsidRDefault="00622C2A" w:rsidP="005631FE">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C2A" w:rsidRDefault="00AF098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977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622C2A" w:rsidTr="00921FA9">
      <w:trPr>
        <w:trHeight w:val="1435"/>
      </w:trPr>
      <w:tc>
        <w:tcPr>
          <w:tcW w:w="2268" w:type="dxa"/>
          <w:shd w:val="clear" w:color="auto" w:fill="auto"/>
        </w:tcPr>
        <w:p w:rsidR="00622C2A" w:rsidRDefault="00622C2A">
          <w:pPr>
            <w:tabs>
              <w:tab w:val="right" w:pos="4273"/>
            </w:tabs>
            <w:rPr>
              <w:rFonts w:ascii="Garamond" w:eastAsia="Garamond" w:hAnsi="Garamond" w:cs="Garamond"/>
              <w:sz w:val="16"/>
              <w:szCs w:val="16"/>
            </w:rPr>
          </w:pPr>
        </w:p>
      </w:tc>
      <w:tc>
        <w:tcPr>
          <w:tcW w:w="8222" w:type="dxa"/>
          <w:shd w:val="clear" w:color="auto" w:fill="auto"/>
        </w:tcPr>
        <w:tbl>
          <w:tblPr>
            <w:tblW w:w="7230" w:type="dxa"/>
            <w:tblInd w:w="459" w:type="dxa"/>
            <w:tblLayout w:type="fixed"/>
            <w:tblLook w:val="0400" w:firstRow="0" w:lastRow="0" w:firstColumn="0" w:lastColumn="0" w:noHBand="0" w:noVBand="1"/>
          </w:tblPr>
          <w:tblGrid>
            <w:gridCol w:w="2835"/>
            <w:gridCol w:w="4111"/>
            <w:gridCol w:w="284"/>
          </w:tblGrid>
          <w:tr w:rsidR="00622C2A" w:rsidTr="00921FA9">
            <w:trPr>
              <w:trHeight w:val="150"/>
            </w:trPr>
            <w:tc>
              <w:tcPr>
                <w:tcW w:w="2835" w:type="dxa"/>
                <w:shd w:val="clear" w:color="auto" w:fill="auto"/>
              </w:tcPr>
              <w:p w:rsidR="00622C2A" w:rsidRPr="00921FA9" w:rsidRDefault="00622C2A">
                <w:pPr>
                  <w:tabs>
                    <w:tab w:val="right" w:pos="8838"/>
                  </w:tabs>
                  <w:ind w:right="-105"/>
                  <w:rPr>
                    <w:rFonts w:ascii="Palatino Linotype" w:eastAsia="Palatino Linotype" w:hAnsi="Palatino Linotype" w:cs="Palatino Linotype"/>
                    <w:b/>
                    <w:bCs/>
                    <w:szCs w:val="22"/>
                  </w:rPr>
                </w:pPr>
                <w:r w:rsidRPr="00921FA9">
                  <w:rPr>
                    <w:rFonts w:ascii="Palatino Linotype" w:eastAsia="Palatino Linotype" w:hAnsi="Palatino Linotype" w:cs="Palatino Linotype"/>
                    <w:b/>
                    <w:bCs/>
                    <w:szCs w:val="22"/>
                  </w:rPr>
                  <w:t>Recurso de Revisión:</w:t>
                </w:r>
              </w:p>
            </w:tc>
            <w:tc>
              <w:tcPr>
                <w:tcW w:w="4395" w:type="dxa"/>
                <w:gridSpan w:val="2"/>
                <w:shd w:val="clear" w:color="auto" w:fill="auto"/>
              </w:tcPr>
              <w:p w:rsidR="00622C2A" w:rsidRPr="00921FA9" w:rsidRDefault="00622C2A">
                <w:pPr>
                  <w:tabs>
                    <w:tab w:val="right" w:pos="8838"/>
                  </w:tabs>
                  <w:ind w:left="-108" w:right="-1090"/>
                  <w:jc w:val="both"/>
                  <w:rPr>
                    <w:rFonts w:ascii="Palatino Linotype" w:eastAsia="Palatino Linotype" w:hAnsi="Palatino Linotype" w:cs="Palatino Linotype"/>
                    <w:szCs w:val="22"/>
                  </w:rPr>
                </w:pPr>
                <w:r w:rsidRPr="00921FA9">
                  <w:rPr>
                    <w:rFonts w:ascii="Palatino Linotype" w:eastAsia="Palatino Linotype" w:hAnsi="Palatino Linotype" w:cs="Palatino Linotype"/>
                    <w:szCs w:val="22"/>
                  </w:rPr>
                  <w:t>04273/INFOEM/IP/RR/2026</w:t>
                </w:r>
                <w:r w:rsidRPr="00921FA9">
                  <w:rPr>
                    <w:rFonts w:ascii="Palatino Linotype" w:eastAsia="Palatino Linotype" w:hAnsi="Palatino Linotype" w:cs="Palatino Linotype"/>
                    <w:b/>
                    <w:bCs/>
                    <w:szCs w:val="22"/>
                  </w:rPr>
                  <w:t xml:space="preserve"> </w:t>
                </w:r>
              </w:p>
            </w:tc>
          </w:tr>
          <w:tr w:rsidR="00622C2A" w:rsidTr="00921FA9">
            <w:trPr>
              <w:trHeight w:val="295"/>
            </w:trPr>
            <w:tc>
              <w:tcPr>
                <w:tcW w:w="2835" w:type="dxa"/>
                <w:shd w:val="clear" w:color="auto" w:fill="auto"/>
              </w:tcPr>
              <w:p w:rsidR="00622C2A" w:rsidRPr="00921FA9" w:rsidRDefault="00622C2A">
                <w:pPr>
                  <w:tabs>
                    <w:tab w:val="right" w:pos="8838"/>
                  </w:tabs>
                  <w:ind w:right="-105"/>
                  <w:rPr>
                    <w:rFonts w:ascii="Palatino Linotype" w:eastAsia="Palatino Linotype" w:hAnsi="Palatino Linotype" w:cs="Palatino Linotype"/>
                    <w:b/>
                    <w:bCs/>
                    <w:szCs w:val="22"/>
                  </w:rPr>
                </w:pPr>
                <w:r w:rsidRPr="00921FA9">
                  <w:rPr>
                    <w:rFonts w:ascii="Palatino Linotype" w:eastAsia="Palatino Linotype" w:hAnsi="Palatino Linotype" w:cs="Palatino Linotype"/>
                    <w:b/>
                    <w:bCs/>
                    <w:szCs w:val="22"/>
                  </w:rPr>
                  <w:t>Sujeto Obligado:</w:t>
                </w:r>
              </w:p>
            </w:tc>
            <w:tc>
              <w:tcPr>
                <w:tcW w:w="4395" w:type="dxa"/>
                <w:gridSpan w:val="2"/>
                <w:shd w:val="clear" w:color="auto" w:fill="auto"/>
              </w:tcPr>
              <w:p w:rsidR="00622C2A" w:rsidRPr="00921FA9" w:rsidRDefault="00622C2A" w:rsidP="00921FA9">
                <w:pPr>
                  <w:tabs>
                    <w:tab w:val="left" w:pos="2834"/>
                    <w:tab w:val="right" w:pos="8838"/>
                  </w:tabs>
                  <w:ind w:left="-108" w:right="-1090"/>
                  <w:jc w:val="both"/>
                  <w:rPr>
                    <w:rFonts w:ascii="Palatino Linotype" w:eastAsia="Palatino Linotype" w:hAnsi="Palatino Linotype" w:cs="Palatino Linotype"/>
                    <w:szCs w:val="22"/>
                  </w:rPr>
                </w:pPr>
                <w:r w:rsidRPr="00921FA9">
                  <w:rPr>
                    <w:rFonts w:ascii="Palatino Linotype" w:eastAsia="Palatino Linotype" w:hAnsi="Palatino Linotype" w:cs="Palatino Linotype"/>
                    <w:bCs/>
                    <w:szCs w:val="22"/>
                  </w:rPr>
                  <w:t>Universidad Mexiquense de Seguridad</w:t>
                </w:r>
              </w:p>
            </w:tc>
          </w:tr>
          <w:tr w:rsidR="00622C2A" w:rsidTr="00921FA9">
            <w:trPr>
              <w:gridAfter w:val="1"/>
              <w:wAfter w:w="284" w:type="dxa"/>
              <w:trHeight w:val="295"/>
            </w:trPr>
            <w:tc>
              <w:tcPr>
                <w:tcW w:w="2835" w:type="dxa"/>
                <w:shd w:val="clear" w:color="auto" w:fill="auto"/>
              </w:tcPr>
              <w:p w:rsidR="00622C2A" w:rsidRPr="00921FA9" w:rsidRDefault="00622C2A">
                <w:pPr>
                  <w:tabs>
                    <w:tab w:val="right" w:pos="8838"/>
                  </w:tabs>
                  <w:ind w:right="-105"/>
                  <w:rPr>
                    <w:rFonts w:ascii="Palatino Linotype" w:eastAsia="Palatino Linotype" w:hAnsi="Palatino Linotype" w:cs="Palatino Linotype"/>
                    <w:b/>
                    <w:bCs/>
                    <w:szCs w:val="22"/>
                  </w:rPr>
                </w:pPr>
                <w:r w:rsidRPr="00921FA9">
                  <w:rPr>
                    <w:rFonts w:ascii="Palatino Linotype" w:eastAsia="Palatino Linotype" w:hAnsi="Palatino Linotype" w:cs="Palatino Linotype"/>
                    <w:b/>
                    <w:bCs/>
                    <w:szCs w:val="22"/>
                  </w:rPr>
                  <w:t>Comisionado ponente:</w:t>
                </w:r>
              </w:p>
            </w:tc>
            <w:tc>
              <w:tcPr>
                <w:tcW w:w="4111" w:type="dxa"/>
                <w:shd w:val="clear" w:color="auto" w:fill="auto"/>
              </w:tcPr>
              <w:p w:rsidR="00622C2A" w:rsidRPr="00921FA9" w:rsidRDefault="00622C2A">
                <w:pPr>
                  <w:tabs>
                    <w:tab w:val="right" w:pos="8838"/>
                  </w:tabs>
                  <w:ind w:left="-108" w:right="-1090"/>
                  <w:jc w:val="both"/>
                  <w:rPr>
                    <w:rFonts w:ascii="Palatino Linotype" w:eastAsia="Palatino Linotype" w:hAnsi="Palatino Linotype" w:cs="Palatino Linotype"/>
                    <w:szCs w:val="22"/>
                  </w:rPr>
                </w:pPr>
                <w:r w:rsidRPr="00921FA9">
                  <w:rPr>
                    <w:rFonts w:ascii="Palatino Linotype" w:eastAsia="Palatino Linotype" w:hAnsi="Palatino Linotype" w:cs="Palatino Linotype"/>
                    <w:szCs w:val="22"/>
                  </w:rPr>
                  <w:t>María del Rosario Mejía Ayala</w:t>
                </w:r>
              </w:p>
              <w:p w:rsidR="00622C2A" w:rsidRPr="00921FA9" w:rsidRDefault="00622C2A">
                <w:pPr>
                  <w:tabs>
                    <w:tab w:val="right" w:pos="8838"/>
                  </w:tabs>
                  <w:ind w:left="-108" w:right="-1090"/>
                  <w:jc w:val="both"/>
                  <w:rPr>
                    <w:rFonts w:ascii="Palatino Linotype" w:eastAsia="Palatino Linotype" w:hAnsi="Palatino Linotype" w:cs="Palatino Linotype"/>
                    <w:b/>
                    <w:bCs/>
                    <w:szCs w:val="22"/>
                  </w:rPr>
                </w:pPr>
              </w:p>
            </w:tc>
          </w:tr>
        </w:tbl>
        <w:p w:rsidR="00622C2A" w:rsidRDefault="00622C2A">
          <w:pPr>
            <w:tabs>
              <w:tab w:val="right" w:pos="8838"/>
            </w:tabs>
            <w:ind w:left="-28"/>
            <w:jc w:val="both"/>
            <w:rPr>
              <w:rFonts w:ascii="Arial" w:eastAsia="Arial" w:hAnsi="Arial" w:cs="Arial"/>
              <w:b/>
              <w:bCs/>
              <w:sz w:val="22"/>
              <w:szCs w:val="22"/>
            </w:rPr>
          </w:pPr>
        </w:p>
      </w:tc>
    </w:tr>
  </w:tbl>
  <w:p w:rsidR="00622C2A" w:rsidRDefault="00AF098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622C2A">
      <w:trPr>
        <w:trHeight w:val="1435"/>
      </w:trPr>
      <w:tc>
        <w:tcPr>
          <w:tcW w:w="2265" w:type="dxa"/>
          <w:shd w:val="clear" w:color="auto" w:fill="auto"/>
        </w:tcPr>
        <w:p w:rsidR="00622C2A" w:rsidRDefault="00622C2A">
          <w:pPr>
            <w:tabs>
              <w:tab w:val="right" w:pos="4273"/>
            </w:tabs>
            <w:rPr>
              <w:rFonts w:ascii="Garamond" w:eastAsia="Garamond" w:hAnsi="Garamond" w:cs="Garamond"/>
              <w:sz w:val="22"/>
              <w:szCs w:val="22"/>
            </w:rPr>
          </w:pPr>
        </w:p>
      </w:tc>
      <w:tc>
        <w:tcPr>
          <w:tcW w:w="7755" w:type="dxa"/>
          <w:shd w:val="clear" w:color="auto" w:fill="auto"/>
        </w:tcPr>
        <w:tbl>
          <w:tblPr>
            <w:tblW w:w="7516" w:type="dxa"/>
            <w:tblInd w:w="888" w:type="dxa"/>
            <w:tblLayout w:type="fixed"/>
            <w:tblLook w:val="0400" w:firstRow="0" w:lastRow="0" w:firstColumn="0" w:lastColumn="0" w:noHBand="0" w:noVBand="1"/>
          </w:tblPr>
          <w:tblGrid>
            <w:gridCol w:w="2551"/>
            <w:gridCol w:w="4965"/>
          </w:tblGrid>
          <w:tr w:rsidR="00622C2A" w:rsidTr="00921FA9">
            <w:trPr>
              <w:trHeight w:val="144"/>
            </w:trPr>
            <w:tc>
              <w:tcPr>
                <w:tcW w:w="2551" w:type="dxa"/>
                <w:shd w:val="clear" w:color="auto" w:fill="auto"/>
              </w:tcPr>
              <w:p w:rsidR="00622C2A" w:rsidRPr="00921FA9" w:rsidRDefault="00622C2A">
                <w:pPr>
                  <w:tabs>
                    <w:tab w:val="right" w:pos="8838"/>
                  </w:tabs>
                  <w:ind w:left="-264" w:right="-105" w:firstLine="195"/>
                  <w:rPr>
                    <w:rFonts w:ascii="Palatino Linotype" w:eastAsia="Palatino Linotype" w:hAnsi="Palatino Linotype" w:cs="Palatino Linotype"/>
                    <w:b/>
                    <w:bCs/>
                    <w:szCs w:val="22"/>
                  </w:rPr>
                </w:pPr>
                <w:r w:rsidRPr="00921FA9">
                  <w:rPr>
                    <w:rFonts w:ascii="Palatino Linotype" w:eastAsia="Palatino Linotype" w:hAnsi="Palatino Linotype" w:cs="Palatino Linotype"/>
                    <w:b/>
                    <w:bCs/>
                    <w:szCs w:val="22"/>
                  </w:rPr>
                  <w:t>Recurso de Revisión:</w:t>
                </w:r>
              </w:p>
            </w:tc>
            <w:tc>
              <w:tcPr>
                <w:tcW w:w="4965" w:type="dxa"/>
                <w:shd w:val="clear" w:color="auto" w:fill="auto"/>
              </w:tcPr>
              <w:p w:rsidR="00622C2A" w:rsidRPr="00921FA9" w:rsidRDefault="00622C2A">
                <w:pPr>
                  <w:tabs>
                    <w:tab w:val="right" w:pos="8838"/>
                  </w:tabs>
                  <w:ind w:left="-74" w:right="-1269"/>
                  <w:rPr>
                    <w:rFonts w:ascii="Palatino Linotype" w:eastAsia="Palatino Linotype" w:hAnsi="Palatino Linotype" w:cs="Palatino Linotype"/>
                    <w:szCs w:val="22"/>
                  </w:rPr>
                </w:pPr>
                <w:r w:rsidRPr="00921FA9">
                  <w:rPr>
                    <w:rFonts w:ascii="Palatino Linotype" w:eastAsia="Palatino Linotype" w:hAnsi="Palatino Linotype" w:cs="Palatino Linotype"/>
                    <w:szCs w:val="22"/>
                  </w:rPr>
                  <w:t>04273/INFOEM/IP/RR/2026</w:t>
                </w:r>
              </w:p>
            </w:tc>
          </w:tr>
          <w:tr w:rsidR="00622C2A" w:rsidTr="00921FA9">
            <w:trPr>
              <w:trHeight w:val="144"/>
            </w:trPr>
            <w:tc>
              <w:tcPr>
                <w:tcW w:w="2551" w:type="dxa"/>
                <w:shd w:val="clear" w:color="auto" w:fill="auto"/>
              </w:tcPr>
              <w:p w:rsidR="00622C2A" w:rsidRPr="00921FA9" w:rsidRDefault="00622C2A">
                <w:pPr>
                  <w:tabs>
                    <w:tab w:val="right" w:pos="8838"/>
                  </w:tabs>
                  <w:ind w:left="-74" w:right="-105"/>
                  <w:rPr>
                    <w:rFonts w:ascii="Palatino Linotype" w:eastAsia="Palatino Linotype" w:hAnsi="Palatino Linotype" w:cs="Palatino Linotype"/>
                    <w:b/>
                    <w:bCs/>
                    <w:szCs w:val="22"/>
                  </w:rPr>
                </w:pPr>
                <w:r w:rsidRPr="00921FA9">
                  <w:rPr>
                    <w:rFonts w:ascii="Palatino Linotype" w:eastAsia="Palatino Linotype" w:hAnsi="Palatino Linotype" w:cs="Palatino Linotype"/>
                    <w:b/>
                    <w:bCs/>
                    <w:szCs w:val="22"/>
                  </w:rPr>
                  <w:t>Recurrente:</w:t>
                </w:r>
              </w:p>
            </w:tc>
            <w:tc>
              <w:tcPr>
                <w:tcW w:w="4965" w:type="dxa"/>
                <w:shd w:val="clear" w:color="auto" w:fill="auto"/>
              </w:tcPr>
              <w:p w:rsidR="00622C2A" w:rsidRPr="00921FA9" w:rsidRDefault="00622C2A" w:rsidP="00E00ACB">
                <w:pPr>
                  <w:tabs>
                    <w:tab w:val="left" w:pos="3122"/>
                    <w:tab w:val="right" w:pos="8838"/>
                  </w:tabs>
                  <w:ind w:left="-74" w:right="-1269"/>
                  <w:rPr>
                    <w:rFonts w:ascii="Palatino Linotype" w:eastAsia="Palatino Linotype" w:hAnsi="Palatino Linotype" w:cs="Palatino Linotype"/>
                    <w:szCs w:val="22"/>
                  </w:rPr>
                </w:pPr>
                <w:r w:rsidRPr="00921FA9">
                  <w:rPr>
                    <w:rFonts w:ascii="Palatino Linotype" w:eastAsia="Palatino Linotype" w:hAnsi="Palatino Linotype" w:cs="Palatino Linotype"/>
                    <w:b/>
                    <w:bCs/>
                    <w:szCs w:val="22"/>
                  </w:rPr>
                  <w:t> </w:t>
                </w:r>
                <w:r w:rsidR="00E00ACB">
                  <w:rPr>
                    <w:rFonts w:ascii="Palatino Linotype" w:eastAsia="Palatino Linotype" w:hAnsi="Palatino Linotype" w:cs="Palatino Linotype"/>
                    <w:bCs/>
                    <w:szCs w:val="22"/>
                  </w:rPr>
                  <w:t>XXXX</w:t>
                </w:r>
                <w:r w:rsidR="0048051D" w:rsidRPr="00921FA9">
                  <w:rPr>
                    <w:rFonts w:ascii="Palatino Linotype" w:eastAsia="Palatino Linotype" w:hAnsi="Palatino Linotype" w:cs="Palatino Linotype"/>
                    <w:bCs/>
                    <w:szCs w:val="22"/>
                  </w:rPr>
                  <w:t xml:space="preserve"> </w:t>
                </w:r>
              </w:p>
            </w:tc>
          </w:tr>
          <w:tr w:rsidR="00622C2A" w:rsidTr="00921FA9">
            <w:trPr>
              <w:trHeight w:val="283"/>
            </w:trPr>
            <w:tc>
              <w:tcPr>
                <w:tcW w:w="2551" w:type="dxa"/>
                <w:shd w:val="clear" w:color="auto" w:fill="auto"/>
              </w:tcPr>
              <w:p w:rsidR="00622C2A" w:rsidRPr="00921FA9" w:rsidRDefault="00622C2A">
                <w:pPr>
                  <w:tabs>
                    <w:tab w:val="right" w:pos="8838"/>
                  </w:tabs>
                  <w:ind w:left="-74" w:right="-105"/>
                  <w:rPr>
                    <w:rFonts w:ascii="Palatino Linotype" w:eastAsia="Palatino Linotype" w:hAnsi="Palatino Linotype" w:cs="Palatino Linotype"/>
                    <w:b/>
                    <w:bCs/>
                    <w:szCs w:val="22"/>
                  </w:rPr>
                </w:pPr>
                <w:r w:rsidRPr="00921FA9">
                  <w:rPr>
                    <w:rFonts w:ascii="Palatino Linotype" w:eastAsia="Palatino Linotype" w:hAnsi="Palatino Linotype" w:cs="Palatino Linotype"/>
                    <w:b/>
                    <w:bCs/>
                    <w:szCs w:val="22"/>
                  </w:rPr>
                  <w:t>Sujeto Obligado:</w:t>
                </w:r>
              </w:p>
            </w:tc>
            <w:tc>
              <w:tcPr>
                <w:tcW w:w="4965" w:type="dxa"/>
                <w:shd w:val="clear" w:color="auto" w:fill="auto"/>
              </w:tcPr>
              <w:p w:rsidR="00622C2A" w:rsidRPr="00921FA9" w:rsidRDefault="00622C2A" w:rsidP="00921FA9">
                <w:pPr>
                  <w:tabs>
                    <w:tab w:val="right" w:pos="8838"/>
                  </w:tabs>
                  <w:ind w:left="-74"/>
                  <w:rPr>
                    <w:rFonts w:ascii="Palatino Linotype" w:eastAsia="Palatino Linotype" w:hAnsi="Palatino Linotype" w:cs="Palatino Linotype"/>
                    <w:szCs w:val="22"/>
                  </w:rPr>
                </w:pPr>
                <w:r w:rsidRPr="00921FA9">
                  <w:rPr>
                    <w:rFonts w:ascii="Palatino Linotype" w:eastAsia="Palatino Linotype" w:hAnsi="Palatino Linotype" w:cs="Palatino Linotype"/>
                    <w:bCs/>
                    <w:szCs w:val="22"/>
                  </w:rPr>
                  <w:t>Uni</w:t>
                </w:r>
                <w:r w:rsidR="00921FA9">
                  <w:rPr>
                    <w:rFonts w:ascii="Palatino Linotype" w:eastAsia="Palatino Linotype" w:hAnsi="Palatino Linotype" w:cs="Palatino Linotype"/>
                    <w:bCs/>
                    <w:szCs w:val="22"/>
                  </w:rPr>
                  <w:t>versidad Mexiquense de Seguridad</w:t>
                </w:r>
              </w:p>
            </w:tc>
          </w:tr>
          <w:tr w:rsidR="00622C2A" w:rsidTr="00921FA9">
            <w:trPr>
              <w:trHeight w:val="283"/>
            </w:trPr>
            <w:tc>
              <w:tcPr>
                <w:tcW w:w="2551" w:type="dxa"/>
                <w:shd w:val="clear" w:color="auto" w:fill="auto"/>
              </w:tcPr>
              <w:p w:rsidR="00622C2A" w:rsidRPr="00921FA9" w:rsidRDefault="00622C2A">
                <w:pPr>
                  <w:tabs>
                    <w:tab w:val="right" w:pos="8838"/>
                  </w:tabs>
                  <w:ind w:left="-74" w:right="-105"/>
                  <w:rPr>
                    <w:rFonts w:ascii="Palatino Linotype" w:eastAsia="Palatino Linotype" w:hAnsi="Palatino Linotype" w:cs="Palatino Linotype"/>
                    <w:b/>
                    <w:bCs/>
                    <w:szCs w:val="22"/>
                  </w:rPr>
                </w:pPr>
                <w:r w:rsidRPr="00921FA9">
                  <w:rPr>
                    <w:rFonts w:ascii="Palatino Linotype" w:eastAsia="Palatino Linotype" w:hAnsi="Palatino Linotype" w:cs="Palatino Linotype"/>
                    <w:b/>
                    <w:bCs/>
                    <w:szCs w:val="22"/>
                  </w:rPr>
                  <w:t>Comisionado ponente:</w:t>
                </w:r>
              </w:p>
            </w:tc>
            <w:tc>
              <w:tcPr>
                <w:tcW w:w="4965" w:type="dxa"/>
                <w:shd w:val="clear" w:color="auto" w:fill="auto"/>
              </w:tcPr>
              <w:p w:rsidR="00622C2A" w:rsidRPr="00921FA9" w:rsidRDefault="00622C2A">
                <w:pPr>
                  <w:tabs>
                    <w:tab w:val="right" w:pos="8838"/>
                  </w:tabs>
                  <w:ind w:left="-74" w:right="-1269"/>
                  <w:rPr>
                    <w:rFonts w:ascii="Palatino Linotype" w:eastAsia="Palatino Linotype" w:hAnsi="Palatino Linotype" w:cs="Palatino Linotype"/>
                    <w:szCs w:val="22"/>
                  </w:rPr>
                </w:pPr>
                <w:r w:rsidRPr="00921FA9">
                  <w:rPr>
                    <w:rFonts w:ascii="Palatino Linotype" w:eastAsia="Palatino Linotype" w:hAnsi="Palatino Linotype" w:cs="Palatino Linotype"/>
                    <w:szCs w:val="22"/>
                  </w:rPr>
                  <w:t>María del Rosario Mejía Ayala</w:t>
                </w:r>
              </w:p>
              <w:p w:rsidR="00622C2A" w:rsidRPr="00921FA9" w:rsidRDefault="00622C2A">
                <w:pPr>
                  <w:tabs>
                    <w:tab w:val="right" w:pos="8838"/>
                  </w:tabs>
                  <w:ind w:left="-74" w:right="-1269"/>
                  <w:rPr>
                    <w:rFonts w:ascii="Palatino Linotype" w:eastAsia="Palatino Linotype" w:hAnsi="Palatino Linotype" w:cs="Palatino Linotype"/>
                    <w:b/>
                    <w:bCs/>
                    <w:szCs w:val="22"/>
                  </w:rPr>
                </w:pPr>
              </w:p>
            </w:tc>
          </w:tr>
        </w:tbl>
        <w:p w:rsidR="00622C2A" w:rsidRDefault="00622C2A">
          <w:pPr>
            <w:tabs>
              <w:tab w:val="right" w:pos="8838"/>
            </w:tabs>
            <w:ind w:left="-28"/>
            <w:jc w:val="both"/>
            <w:rPr>
              <w:rFonts w:ascii="Arial" w:eastAsia="Arial" w:hAnsi="Arial" w:cs="Arial"/>
              <w:b/>
              <w:bCs/>
              <w:sz w:val="22"/>
              <w:szCs w:val="22"/>
            </w:rPr>
          </w:pPr>
        </w:p>
      </w:tc>
    </w:tr>
  </w:tbl>
  <w:p w:rsidR="00622C2A" w:rsidRDefault="00AF0982">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57.1pt;margin-top:-117.75pt;width:589.8pt;height:768pt;z-index:-25165772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761F9F"/>
    <w:multiLevelType w:val="hybridMultilevel"/>
    <w:tmpl w:val="82F439B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5F766D4A"/>
    <w:multiLevelType w:val="hybridMultilevel"/>
    <w:tmpl w:val="FAEA6A68"/>
    <w:lvl w:ilvl="0" w:tplc="BD8C5846">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FE"/>
    <w:rsid w:val="000047AD"/>
    <w:rsid w:val="000E48D7"/>
    <w:rsid w:val="000F6601"/>
    <w:rsid w:val="0048051D"/>
    <w:rsid w:val="004A3020"/>
    <w:rsid w:val="005631FE"/>
    <w:rsid w:val="00567FF8"/>
    <w:rsid w:val="0058600B"/>
    <w:rsid w:val="005862C9"/>
    <w:rsid w:val="00622C2A"/>
    <w:rsid w:val="007662AA"/>
    <w:rsid w:val="008F7FBE"/>
    <w:rsid w:val="0091225E"/>
    <w:rsid w:val="00921FA9"/>
    <w:rsid w:val="00A500F5"/>
    <w:rsid w:val="00AB2A40"/>
    <w:rsid w:val="00AF0982"/>
    <w:rsid w:val="00B82F6E"/>
    <w:rsid w:val="00B9213B"/>
    <w:rsid w:val="00BA3F76"/>
    <w:rsid w:val="00D71B5C"/>
    <w:rsid w:val="00E00ACB"/>
    <w:rsid w:val="00ED67A5"/>
    <w:rsid w:val="00F711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1407EAA-381A-4D95-B119-FA097124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31FE"/>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5631FE"/>
    <w:pPr>
      <w:keepNext/>
      <w:keepLines/>
      <w:spacing w:before="240"/>
      <w:outlineLvl w:val="0"/>
    </w:pPr>
    <w:rPr>
      <w:rFonts w:ascii="Calibri" w:eastAsia="Calibri" w:hAnsi="Calibri" w:cs="Calibri"/>
      <w:color w:val="2E75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631FE"/>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631FE"/>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631FE"/>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5631FE"/>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631FE"/>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631FE"/>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5631FE"/>
    <w:rPr>
      <w:vertAlign w:val="superscript"/>
    </w:rPr>
  </w:style>
  <w:style w:type="table" w:styleId="Tabladecuadrcula4-nfasis3">
    <w:name w:val="Grid Table 4 Accent 3"/>
    <w:basedOn w:val="Tablanormal"/>
    <w:uiPriority w:val="49"/>
    <w:rsid w:val="005631F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Fuentedeprrafopredeter"/>
    <w:rsid w:val="005631FE"/>
  </w:style>
  <w:style w:type="paragraph" w:styleId="Piedepgina">
    <w:name w:val="footer"/>
    <w:basedOn w:val="Normal"/>
    <w:link w:val="PiedepginaCar"/>
    <w:uiPriority w:val="99"/>
    <w:unhideWhenUsed/>
    <w:rsid w:val="005631FE"/>
    <w:pPr>
      <w:tabs>
        <w:tab w:val="center" w:pos="4419"/>
        <w:tab w:val="right" w:pos="8838"/>
      </w:tabs>
    </w:pPr>
  </w:style>
  <w:style w:type="character" w:customStyle="1" w:styleId="PiedepginaCar">
    <w:name w:val="Pie de página Car"/>
    <w:basedOn w:val="Fuentedeprrafopredeter"/>
    <w:link w:val="Piedepgina"/>
    <w:uiPriority w:val="99"/>
    <w:rsid w:val="005631FE"/>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38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imex.org.mx/saimex/solicitud/downloadAttach/2744392.page"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saimex.org.mx/saimex/solicitud/downloadAttach/2759881.pa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4683</Words>
  <Characters>25759</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2026-06-18T18:46:00Z</cp:lastPrinted>
  <dcterms:created xsi:type="dcterms:W3CDTF">2026-06-15T17:54:00Z</dcterms:created>
  <dcterms:modified xsi:type="dcterms:W3CDTF">2026-06-24T17:31:00Z</dcterms:modified>
</cp:coreProperties>
</file>