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7C9C" w:rsidRDefault="002F4E6C">
      <w:pPr>
        <w:tabs>
          <w:tab w:val="left" w:pos="0"/>
        </w:tabs>
        <w:spacing w:line="360" w:lineRule="auto"/>
        <w:ind w:right="-734"/>
        <w:jc w:val="both"/>
        <w:rPr>
          <w:rFonts w:ascii="Palatino Linotype" w:eastAsia="Palatino Linotype" w:hAnsi="Palatino Linotype" w:cs="Palatino Linotype"/>
        </w:rPr>
      </w:pPr>
      <w:r>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México; de fecha </w:t>
      </w:r>
      <w:r>
        <w:rPr>
          <w:rFonts w:ascii="Palatino Linotype" w:eastAsia="Palatino Linotype" w:hAnsi="Palatino Linotype" w:cs="Palatino Linotype"/>
          <w:b/>
          <w:bCs/>
        </w:rPr>
        <w:t>diez (10) de junio de dos mil veintiséis.</w:t>
      </w:r>
      <w:r>
        <w:rPr>
          <w:rFonts w:ascii="Palatino Linotype" w:eastAsia="Palatino Linotype" w:hAnsi="Palatino Linotype" w:cs="Palatino Linotype"/>
        </w:rPr>
        <w:t xml:space="preserve"> </w:t>
      </w:r>
    </w:p>
    <w:p w:rsidR="00E37C9C" w:rsidRDefault="00E37C9C">
      <w:pPr>
        <w:tabs>
          <w:tab w:val="left" w:pos="0"/>
        </w:tabs>
        <w:spacing w:line="360" w:lineRule="auto"/>
        <w:ind w:right="-734"/>
        <w:jc w:val="both"/>
        <w:rPr>
          <w:rFonts w:ascii="Palatino Linotype" w:eastAsia="Palatino Linotype" w:hAnsi="Palatino Linotype" w:cs="Palatino Linotype"/>
        </w:rPr>
      </w:pPr>
    </w:p>
    <w:p w:rsidR="00E37C9C" w:rsidRDefault="002F4E6C">
      <w:pPr>
        <w:pBdr>
          <w:top w:val="nil"/>
          <w:left w:val="nil"/>
          <w:bottom w:val="nil"/>
          <w:right w:val="nil"/>
          <w:between w:val="nil"/>
        </w:pBdr>
        <w:spacing w:line="360" w:lineRule="auto"/>
        <w:ind w:right="-734"/>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VISTO</w:t>
      </w:r>
      <w:r>
        <w:rPr>
          <w:rFonts w:ascii="Palatino Linotype" w:eastAsia="Palatino Linotype" w:hAnsi="Palatino Linotype" w:cs="Palatino Linotype"/>
          <w:color w:val="000000"/>
        </w:rPr>
        <w:t xml:space="preserve"> el expediente electrónico formado con motivo del recurso de revisión </w:t>
      </w:r>
      <w:r>
        <w:rPr>
          <w:rFonts w:ascii="Palatino Linotype" w:eastAsia="Palatino Linotype" w:hAnsi="Palatino Linotype" w:cs="Palatino Linotype"/>
          <w:b/>
          <w:bCs/>
          <w:color w:val="000000"/>
        </w:rPr>
        <w:t xml:space="preserve">03188/INFOEM/IP/RR/2026, </w:t>
      </w:r>
      <w:r>
        <w:rPr>
          <w:rFonts w:ascii="Palatino Linotype" w:eastAsia="Palatino Linotype" w:hAnsi="Palatino Linotype" w:cs="Palatino Linotype"/>
          <w:color w:val="000000"/>
        </w:rPr>
        <w:t xml:space="preserve">promovido por </w:t>
      </w:r>
      <w:r w:rsidR="008D3D7A">
        <w:rPr>
          <w:rFonts w:ascii="Palatino Linotype" w:eastAsia="Palatino Linotype" w:hAnsi="Palatino Linotype" w:cs="Palatino Linotype"/>
          <w:b/>
          <w:bCs/>
          <w:color w:val="000000"/>
        </w:rPr>
        <w:t>XXXX</w:t>
      </w:r>
      <w:r>
        <w:rPr>
          <w:rFonts w:ascii="Palatino Linotype" w:eastAsia="Palatino Linotype" w:hAnsi="Palatino Linotype" w:cs="Palatino Linotype"/>
          <w:color w:val="000000"/>
        </w:rPr>
        <w:t xml:space="preserve">, a través del Sistema de Acceso a la Información Mexiquense (SAIMEX), a quien en lo sucesivo se le identificará como </w:t>
      </w:r>
      <w:r>
        <w:rPr>
          <w:rFonts w:ascii="Palatino Linotype" w:eastAsia="Palatino Linotype" w:hAnsi="Palatino Linotype" w:cs="Palatino Linotype"/>
          <w:b/>
          <w:bCs/>
          <w:color w:val="000000"/>
        </w:rPr>
        <w:t>EL RECURRENTE</w:t>
      </w:r>
      <w:r>
        <w:rPr>
          <w:rFonts w:ascii="Palatino Linotype" w:eastAsia="Palatino Linotype" w:hAnsi="Palatino Linotype" w:cs="Palatino Linotype"/>
          <w:color w:val="000000"/>
        </w:rPr>
        <w:t>, en contra de la respuesta del</w:t>
      </w:r>
      <w:r>
        <w:rPr>
          <w:rFonts w:ascii="Palatino Linotype" w:eastAsia="Palatino Linotype" w:hAnsi="Palatino Linotype" w:cs="Palatino Linotype"/>
          <w:b/>
          <w:bCs/>
          <w:color w:val="000000"/>
        </w:rPr>
        <w:t xml:space="preserve"> Ayuntamiento de Papalotla</w:t>
      </w:r>
      <w:r>
        <w:rPr>
          <w:rFonts w:ascii="Palatino Linotype" w:eastAsia="Palatino Linotype" w:hAnsi="Palatino Linotype" w:cs="Palatino Linotype"/>
          <w:color w:val="000000"/>
        </w:rPr>
        <w:t xml:space="preserve">, en </w:t>
      </w:r>
      <w:r>
        <w:rPr>
          <w:rFonts w:ascii="Palatino Linotype" w:eastAsia="Palatino Linotype" w:hAnsi="Palatino Linotype" w:cs="Palatino Linotype"/>
        </w:rPr>
        <w:t>adelante</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b/>
          <w:bCs/>
          <w:color w:val="000000"/>
        </w:rPr>
        <w:t>EL SUJETO OBLIGADO</w:t>
      </w:r>
      <w:r>
        <w:rPr>
          <w:rFonts w:ascii="Palatino Linotype" w:eastAsia="Palatino Linotype" w:hAnsi="Palatino Linotype" w:cs="Palatino Linotype"/>
          <w:color w:val="000000"/>
        </w:rPr>
        <w:t>, se procede a dictar la presente resolución, con base en los siguientes:</w:t>
      </w:r>
    </w:p>
    <w:p w:rsidR="00E37C9C" w:rsidRDefault="00E37C9C">
      <w:pPr>
        <w:spacing w:line="360" w:lineRule="auto"/>
        <w:ind w:right="-734"/>
        <w:jc w:val="both"/>
        <w:rPr>
          <w:rFonts w:ascii="Palatino Linotype" w:eastAsia="Palatino Linotype" w:hAnsi="Palatino Linotype" w:cs="Palatino Linotype"/>
        </w:rPr>
      </w:pPr>
    </w:p>
    <w:p w:rsidR="00E37C9C" w:rsidRDefault="002F4E6C">
      <w:pPr>
        <w:keepNext/>
        <w:keepLines/>
        <w:tabs>
          <w:tab w:val="left" w:pos="0"/>
        </w:tabs>
        <w:spacing w:line="360" w:lineRule="auto"/>
        <w:ind w:right="-734"/>
        <w:jc w:val="center"/>
        <w:rPr>
          <w:rFonts w:ascii="Palatino Linotype" w:eastAsia="Palatino Linotype" w:hAnsi="Palatino Linotype" w:cs="Palatino Linotype"/>
          <w:b/>
          <w:bCs/>
        </w:rPr>
      </w:pPr>
      <w:bookmarkStart w:id="0" w:name="_heading=h.bk0fs8yzk7tm" w:colFirst="0" w:colLast="0"/>
      <w:bookmarkEnd w:id="0"/>
      <w:r>
        <w:rPr>
          <w:rFonts w:ascii="Palatino Linotype" w:eastAsia="Palatino Linotype" w:hAnsi="Palatino Linotype" w:cs="Palatino Linotype"/>
          <w:b/>
          <w:bCs/>
        </w:rPr>
        <w:t>A N T E C E D E N T E S</w:t>
      </w:r>
    </w:p>
    <w:p w:rsidR="00E37C9C" w:rsidRDefault="00E37C9C">
      <w:pPr>
        <w:keepNext/>
        <w:keepLines/>
        <w:tabs>
          <w:tab w:val="left" w:pos="0"/>
        </w:tabs>
        <w:spacing w:line="360" w:lineRule="auto"/>
        <w:ind w:right="-734"/>
        <w:jc w:val="center"/>
        <w:rPr>
          <w:rFonts w:ascii="Palatino Linotype" w:eastAsia="Palatino Linotype" w:hAnsi="Palatino Linotype" w:cs="Palatino Linotype"/>
          <w:b/>
          <w:bCs/>
        </w:rPr>
      </w:pPr>
    </w:p>
    <w:p w:rsidR="00E37C9C" w:rsidRDefault="002F4E6C">
      <w:pPr>
        <w:numPr>
          <w:ilvl w:val="0"/>
          <w:numId w:val="3"/>
        </w:numPr>
        <w:tabs>
          <w:tab w:val="left" w:pos="0"/>
        </w:tabs>
        <w:spacing w:line="360" w:lineRule="auto"/>
        <w:ind w:left="0" w:right="-734" w:firstLine="0"/>
        <w:jc w:val="both"/>
      </w:pPr>
      <w:r>
        <w:rPr>
          <w:rFonts w:ascii="Palatino Linotype" w:eastAsia="Palatino Linotype" w:hAnsi="Palatino Linotype" w:cs="Palatino Linotype"/>
        </w:rPr>
        <w:t xml:space="preserve">El </w:t>
      </w:r>
      <w:r>
        <w:rPr>
          <w:rFonts w:ascii="Palatino Linotype" w:eastAsia="Palatino Linotype" w:hAnsi="Palatino Linotype" w:cs="Palatino Linotype"/>
          <w:b/>
          <w:bCs/>
        </w:rPr>
        <w:t>veintitrés de febrero de dos mil veintiséis</w:t>
      </w:r>
      <w:r>
        <w:rPr>
          <w:rFonts w:ascii="Palatino Linotype" w:eastAsia="Palatino Linotype" w:hAnsi="Palatino Linotype" w:cs="Palatino Linotype"/>
        </w:rPr>
        <w:t>, el</w:t>
      </w:r>
      <w:r>
        <w:rPr>
          <w:rFonts w:ascii="Palatino Linotype" w:eastAsia="Palatino Linotype" w:hAnsi="Palatino Linotype" w:cs="Palatino Linotype"/>
          <w:b/>
          <w:bCs/>
        </w:rPr>
        <w:t xml:space="preserve"> </w:t>
      </w:r>
      <w:r>
        <w:rPr>
          <w:rFonts w:ascii="Palatino Linotype" w:eastAsia="Palatino Linotype" w:hAnsi="Palatino Linotype" w:cs="Palatino Linotype"/>
        </w:rPr>
        <w:t>solicitante</w:t>
      </w:r>
      <w:r>
        <w:rPr>
          <w:rFonts w:ascii="Palatino Linotype" w:eastAsia="Palatino Linotype" w:hAnsi="Palatino Linotype" w:cs="Palatino Linotype"/>
          <w:b/>
          <w:bCs/>
        </w:rPr>
        <w:t xml:space="preserve"> </w:t>
      </w:r>
      <w:r>
        <w:rPr>
          <w:rFonts w:ascii="Palatino Linotype" w:eastAsia="Palatino Linotype" w:hAnsi="Palatino Linotype" w:cs="Palatino Linotype"/>
        </w:rPr>
        <w:t>presentó</w:t>
      </w:r>
      <w:r>
        <w:rPr>
          <w:rFonts w:ascii="Palatino Linotype" w:eastAsia="Palatino Linotype" w:hAnsi="Palatino Linotype" w:cs="Palatino Linotype"/>
          <w:b/>
          <w:bCs/>
        </w:rPr>
        <w:t xml:space="preserve"> </w:t>
      </w:r>
      <w:r>
        <w:rPr>
          <w:rFonts w:ascii="Palatino Linotype" w:eastAsia="Palatino Linotype" w:hAnsi="Palatino Linotype" w:cs="Palatino Linotype"/>
        </w:rPr>
        <w:t xml:space="preserve">ante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a través del Sistema de Acceso a la Información Mexiquense (SAIMEX), la solicitud de información pública registrada con el número </w:t>
      </w:r>
      <w:r>
        <w:rPr>
          <w:rFonts w:ascii="Palatino Linotype" w:eastAsia="Palatino Linotype" w:hAnsi="Palatino Linotype" w:cs="Palatino Linotype"/>
          <w:b/>
          <w:bCs/>
        </w:rPr>
        <w:t>00024/PAPALO/IP/2026</w:t>
      </w:r>
      <w:r>
        <w:rPr>
          <w:rFonts w:ascii="Palatino Linotype" w:eastAsia="Palatino Linotype" w:hAnsi="Palatino Linotype" w:cs="Palatino Linotype"/>
        </w:rPr>
        <w:t>, mediante la cual se solicitó:</w:t>
      </w:r>
    </w:p>
    <w:p w:rsidR="00E37C9C" w:rsidRDefault="00E37C9C">
      <w:pPr>
        <w:pBdr>
          <w:top w:val="nil"/>
          <w:left w:val="nil"/>
          <w:bottom w:val="nil"/>
          <w:right w:val="nil"/>
          <w:between w:val="nil"/>
        </w:pBdr>
        <w:tabs>
          <w:tab w:val="left" w:pos="1005"/>
        </w:tabs>
        <w:ind w:left="567" w:right="-734"/>
        <w:jc w:val="both"/>
        <w:rPr>
          <w:rFonts w:ascii="Palatino Linotype" w:eastAsia="Palatino Linotype" w:hAnsi="Palatino Linotype" w:cs="Palatino Linotype"/>
          <w:b/>
          <w:bCs/>
          <w:i/>
          <w:iCs/>
          <w:color w:val="000000"/>
        </w:rPr>
      </w:pPr>
    </w:p>
    <w:p w:rsidR="00E37C9C" w:rsidRDefault="002F4E6C">
      <w:pPr>
        <w:pBdr>
          <w:top w:val="nil"/>
          <w:left w:val="nil"/>
          <w:bottom w:val="nil"/>
          <w:right w:val="nil"/>
          <w:between w:val="nil"/>
        </w:pBdr>
        <w:ind w:left="567" w:right="-734"/>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“Se solicita una copia digital de aquellos documentos mediante los cuales TODAS Y CADA UNA de las dependencias generales y auxiliares (unidades administrativas), de la actual Administración Pública Municipal, cumplimentaron a efecto de entregar su respectivo "aviso de privacidad" (tanto integral como simplificado) al área correspondiente. Lo solicitado debe mostrar la fecha y sello de recepción”. (Sic.)</w:t>
      </w:r>
    </w:p>
    <w:p w:rsidR="00E37C9C" w:rsidRDefault="00E37C9C">
      <w:pPr>
        <w:tabs>
          <w:tab w:val="left" w:pos="0"/>
        </w:tabs>
        <w:spacing w:line="360" w:lineRule="auto"/>
        <w:ind w:right="-734"/>
        <w:jc w:val="both"/>
        <w:rPr>
          <w:rFonts w:ascii="Palatino Linotype" w:eastAsia="Palatino Linotype" w:hAnsi="Palatino Linotype" w:cs="Palatino Linotype"/>
        </w:rPr>
      </w:pPr>
    </w:p>
    <w:p w:rsidR="00E37C9C" w:rsidRDefault="002F4E6C">
      <w:pPr>
        <w:numPr>
          <w:ilvl w:val="0"/>
          <w:numId w:val="3"/>
        </w:numPr>
        <w:pBdr>
          <w:top w:val="nil"/>
          <w:left w:val="nil"/>
          <w:bottom w:val="nil"/>
          <w:right w:val="nil"/>
          <w:between w:val="nil"/>
        </w:pBdr>
        <w:spacing w:line="360" w:lineRule="auto"/>
        <w:ind w:left="0" w:right="-734" w:firstLine="0"/>
        <w:jc w:val="both"/>
      </w:pPr>
      <w:r>
        <w:rPr>
          <w:rFonts w:ascii="Palatino Linotype" w:eastAsia="Palatino Linotype" w:hAnsi="Palatino Linotype" w:cs="Palatino Linotype"/>
          <w:color w:val="000000"/>
        </w:rPr>
        <w:t>Se hace constar que se señaló como modalidad de entrega de la información a través de SAIMEX.</w:t>
      </w:r>
    </w:p>
    <w:p w:rsidR="00E37C9C" w:rsidRDefault="00E37C9C">
      <w:pPr>
        <w:pBdr>
          <w:top w:val="nil"/>
          <w:left w:val="nil"/>
          <w:bottom w:val="nil"/>
          <w:right w:val="nil"/>
          <w:between w:val="nil"/>
        </w:pBdr>
        <w:spacing w:line="360" w:lineRule="auto"/>
        <w:ind w:right="-734"/>
        <w:jc w:val="both"/>
        <w:rPr>
          <w:rFonts w:ascii="Palatino Linotype" w:eastAsia="Palatino Linotype" w:hAnsi="Palatino Linotype" w:cs="Palatino Linotype"/>
          <w:i/>
          <w:iCs/>
          <w:color w:val="000000"/>
        </w:rPr>
      </w:pPr>
    </w:p>
    <w:p w:rsidR="00E37C9C" w:rsidRDefault="002F4E6C">
      <w:pPr>
        <w:numPr>
          <w:ilvl w:val="0"/>
          <w:numId w:val="3"/>
        </w:numPr>
        <w:tabs>
          <w:tab w:val="left" w:pos="0"/>
        </w:tabs>
        <w:spacing w:line="360" w:lineRule="auto"/>
        <w:ind w:left="0" w:right="-734" w:firstLine="0"/>
        <w:jc w:val="both"/>
      </w:pPr>
      <w:r>
        <w:rPr>
          <w:rFonts w:ascii="Palatino Linotype" w:eastAsia="Palatino Linotype" w:hAnsi="Palatino Linotype" w:cs="Palatino Linotype"/>
        </w:rPr>
        <w:lastRenderedPageBreak/>
        <w:t xml:space="preserve">El </w:t>
      </w:r>
      <w:r>
        <w:rPr>
          <w:rFonts w:ascii="Palatino Linotype" w:eastAsia="Palatino Linotype" w:hAnsi="Palatino Linotype" w:cs="Palatino Linotype"/>
          <w:b/>
          <w:bCs/>
        </w:rPr>
        <w:t>once de marzo de dos mil veintiséis</w:t>
      </w:r>
      <w:r>
        <w:rPr>
          <w:rFonts w:ascii="Palatino Linotype" w:eastAsia="Palatino Linotype" w:hAnsi="Palatino Linotype" w:cs="Palatino Linotype"/>
        </w:rPr>
        <w:t>, el Sujeto Obligado dio respuesta a la solicitud de información en el siguiente sentido:</w:t>
      </w:r>
    </w:p>
    <w:p w:rsidR="00E37C9C" w:rsidRDefault="00E37C9C">
      <w:pPr>
        <w:tabs>
          <w:tab w:val="left" w:pos="567"/>
        </w:tabs>
        <w:ind w:left="567" w:right="-734"/>
        <w:jc w:val="both"/>
        <w:rPr>
          <w:rFonts w:ascii="Palatino Linotype" w:eastAsia="Palatino Linotype" w:hAnsi="Palatino Linotype" w:cs="Palatino Linotype"/>
          <w:i/>
          <w:iCs/>
        </w:rPr>
      </w:pPr>
    </w:p>
    <w:p w:rsidR="00E37C9C" w:rsidRDefault="002F4E6C">
      <w:pPr>
        <w:tabs>
          <w:tab w:val="left" w:pos="567"/>
        </w:tabs>
        <w:ind w:left="567" w:right="-734"/>
        <w:jc w:val="right"/>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“Papalotla, México a 11 de Marzo de 2026</w:t>
      </w:r>
    </w:p>
    <w:p w:rsidR="00E37C9C" w:rsidRDefault="002F4E6C">
      <w:pPr>
        <w:tabs>
          <w:tab w:val="left" w:pos="567"/>
        </w:tabs>
        <w:ind w:left="567" w:right="-734"/>
        <w:jc w:val="right"/>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Nombre del solicitante: C. Solicitante</w:t>
      </w:r>
    </w:p>
    <w:p w:rsidR="00E37C9C" w:rsidRDefault="002F4E6C">
      <w:pPr>
        <w:tabs>
          <w:tab w:val="left" w:pos="567"/>
        </w:tabs>
        <w:ind w:left="567" w:right="-734"/>
        <w:jc w:val="right"/>
        <w:rPr>
          <w:rFonts w:ascii="Palatino Linotype" w:eastAsia="Palatino Linotype" w:hAnsi="Palatino Linotype" w:cs="Palatino Linotype"/>
          <w:i/>
          <w:iCs/>
        </w:rPr>
      </w:pPr>
      <w:r>
        <w:rPr>
          <w:rFonts w:ascii="Palatino Linotype" w:eastAsia="Palatino Linotype" w:hAnsi="Palatino Linotype" w:cs="Palatino Linotype"/>
          <w:i/>
          <w:iCs/>
          <w:color w:val="000000"/>
        </w:rPr>
        <w:t>Folio de la solicitud: 00024/PAPLO/IP/2026</w:t>
      </w:r>
    </w:p>
    <w:p w:rsidR="00E37C9C" w:rsidRDefault="00E37C9C">
      <w:pPr>
        <w:tabs>
          <w:tab w:val="left" w:pos="567"/>
        </w:tabs>
        <w:ind w:left="567" w:right="-734"/>
        <w:jc w:val="right"/>
        <w:rPr>
          <w:rFonts w:ascii="Palatino Linotype" w:eastAsia="Palatino Linotype" w:hAnsi="Palatino Linotype" w:cs="Palatino Linotype"/>
          <w:i/>
          <w:iCs/>
        </w:rPr>
      </w:pPr>
    </w:p>
    <w:p w:rsidR="00E37C9C" w:rsidRDefault="00E37C9C">
      <w:pPr>
        <w:tabs>
          <w:tab w:val="left" w:pos="567"/>
        </w:tabs>
        <w:ind w:left="567" w:right="-734"/>
        <w:jc w:val="right"/>
        <w:rPr>
          <w:rFonts w:ascii="Palatino Linotype" w:eastAsia="Palatino Linotype" w:hAnsi="Palatino Linotype" w:cs="Palatino Linotype"/>
          <w:i/>
          <w:iCs/>
        </w:rPr>
      </w:pPr>
    </w:p>
    <w:p w:rsidR="00E37C9C" w:rsidRDefault="00E37C9C">
      <w:pPr>
        <w:tabs>
          <w:tab w:val="left" w:pos="567"/>
        </w:tabs>
        <w:ind w:left="567" w:right="-734"/>
        <w:jc w:val="both"/>
        <w:rPr>
          <w:rFonts w:ascii="Palatino Linotype" w:eastAsia="Palatino Linotype" w:hAnsi="Palatino Linotype" w:cs="Palatino Linotype"/>
          <w:i/>
          <w:iCs/>
        </w:rPr>
      </w:pPr>
    </w:p>
    <w:p w:rsidR="00E37C9C" w:rsidRDefault="002F4E6C">
      <w:pPr>
        <w:tabs>
          <w:tab w:val="left" w:pos="567"/>
        </w:tabs>
        <w:ind w:left="567" w:right="-734"/>
        <w:jc w:val="right"/>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C. SOLICITANTE SE ANEXA RESPUESTA A SU SOLICITUD EN FORMATO PDF”. (Sic.)</w:t>
      </w:r>
    </w:p>
    <w:p w:rsidR="00E37C9C" w:rsidRDefault="00E37C9C">
      <w:pPr>
        <w:tabs>
          <w:tab w:val="left" w:pos="0"/>
        </w:tabs>
        <w:spacing w:line="360" w:lineRule="auto"/>
        <w:ind w:right="-734"/>
        <w:jc w:val="both"/>
        <w:rPr>
          <w:rFonts w:ascii="Palatino Linotype" w:eastAsia="Palatino Linotype" w:hAnsi="Palatino Linotype" w:cs="Palatino Linotype"/>
        </w:rPr>
      </w:pPr>
    </w:p>
    <w:p w:rsidR="00E37C9C" w:rsidRDefault="002F4E6C">
      <w:pPr>
        <w:numPr>
          <w:ilvl w:val="0"/>
          <w:numId w:val="5"/>
        </w:numPr>
        <w:pBdr>
          <w:top w:val="nil"/>
          <w:left w:val="nil"/>
          <w:bottom w:val="nil"/>
          <w:right w:val="nil"/>
          <w:between w:val="nil"/>
        </w:pBdr>
        <w:spacing w:line="360" w:lineRule="auto"/>
        <w:ind w:left="0" w:right="-734"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t xml:space="preserve">Se </w:t>
      </w:r>
      <w:r>
        <w:rPr>
          <w:rFonts w:ascii="Palatino Linotype" w:eastAsia="Palatino Linotype" w:hAnsi="Palatino Linotype" w:cs="Palatino Linotype"/>
        </w:rPr>
        <w:t>adjuntan</w:t>
      </w:r>
      <w:r>
        <w:rPr>
          <w:rFonts w:ascii="Palatino Linotype" w:eastAsia="Palatino Linotype" w:hAnsi="Palatino Linotype" w:cs="Palatino Linotype"/>
          <w:color w:val="000000"/>
        </w:rPr>
        <w:t xml:space="preserve"> los siguientes archivos electrónicos:</w:t>
      </w:r>
    </w:p>
    <w:p w:rsidR="00E37C9C" w:rsidRDefault="003701F2">
      <w:pPr>
        <w:numPr>
          <w:ilvl w:val="1"/>
          <w:numId w:val="5"/>
        </w:numPr>
        <w:pBdr>
          <w:top w:val="nil"/>
          <w:left w:val="nil"/>
          <w:bottom w:val="nil"/>
          <w:right w:val="nil"/>
          <w:between w:val="nil"/>
        </w:pBdr>
        <w:spacing w:line="360" w:lineRule="auto"/>
        <w:ind w:right="-734"/>
        <w:jc w:val="both"/>
        <w:rPr>
          <w:rFonts w:ascii="Palatino Linotype" w:eastAsia="Palatino Linotype" w:hAnsi="Palatino Linotype" w:cs="Palatino Linotype"/>
          <w:b/>
          <w:bCs/>
          <w:color w:val="000000"/>
        </w:rPr>
      </w:pPr>
      <w:hyperlink r:id="rId8">
        <w:r w:rsidR="002F4E6C">
          <w:rPr>
            <w:rFonts w:ascii="Palatino Linotype" w:eastAsia="Palatino Linotype" w:hAnsi="Palatino Linotype" w:cs="Palatino Linotype"/>
            <w:b/>
            <w:bCs/>
            <w:color w:val="000000"/>
          </w:rPr>
          <w:t>R.SOLICITUD 24.pdf</w:t>
        </w:r>
      </w:hyperlink>
      <w:r w:rsidR="002F4E6C">
        <w:rPr>
          <w:rFonts w:ascii="Palatino Linotype" w:eastAsia="Palatino Linotype" w:hAnsi="Palatino Linotype" w:cs="Palatino Linotype"/>
          <w:b/>
          <w:bCs/>
          <w:color w:val="000000"/>
        </w:rPr>
        <w:t xml:space="preserve">: </w:t>
      </w:r>
      <w:r w:rsidR="002F4E6C">
        <w:rPr>
          <w:rFonts w:ascii="Palatino Linotype" w:eastAsia="Palatino Linotype" w:hAnsi="Palatino Linotype" w:cs="Palatino Linotype"/>
          <w:color w:val="000000"/>
        </w:rPr>
        <w:t>Oficio  de fecha once de marzo de dos mil veintiséis, suscrito por la Titular de la Unidad de Transparencia, a través del cual remite el oficio que se envió a las áreas administrativas, para solicitarles la entrega de su aviso de privacidad; anexando los sellos y las firmas de recepción; así como el documento que contiene el sello, firma y fecha de cuando se recibieron dichos avisos.</w:t>
      </w:r>
    </w:p>
    <w:p w:rsidR="00E37C9C" w:rsidRDefault="003701F2">
      <w:pPr>
        <w:numPr>
          <w:ilvl w:val="1"/>
          <w:numId w:val="5"/>
        </w:numPr>
        <w:pBdr>
          <w:top w:val="nil"/>
          <w:left w:val="nil"/>
          <w:bottom w:val="nil"/>
          <w:right w:val="nil"/>
          <w:between w:val="nil"/>
        </w:pBdr>
        <w:spacing w:line="360" w:lineRule="auto"/>
        <w:ind w:right="-734"/>
        <w:jc w:val="both"/>
        <w:rPr>
          <w:rFonts w:ascii="Palatino Linotype" w:eastAsia="Palatino Linotype" w:hAnsi="Palatino Linotype" w:cs="Palatino Linotype"/>
          <w:b/>
          <w:bCs/>
          <w:color w:val="000000"/>
        </w:rPr>
      </w:pPr>
      <w:hyperlink r:id="rId9">
        <w:r w:rsidR="002F4E6C">
          <w:rPr>
            <w:rFonts w:ascii="Palatino Linotype" w:eastAsia="Palatino Linotype" w:hAnsi="Palatino Linotype" w:cs="Palatino Linotype"/>
            <w:b/>
            <w:bCs/>
            <w:color w:val="000000"/>
          </w:rPr>
          <w:t>OFICIO-SOLICITUD.pdf</w:t>
        </w:r>
      </w:hyperlink>
      <w:r w:rsidR="002F4E6C">
        <w:rPr>
          <w:rFonts w:ascii="Palatino Linotype" w:eastAsia="Palatino Linotype" w:hAnsi="Palatino Linotype" w:cs="Palatino Linotype"/>
          <w:b/>
          <w:bCs/>
          <w:color w:val="000000"/>
        </w:rPr>
        <w:t xml:space="preserve">: </w:t>
      </w:r>
      <w:r w:rsidR="002F4E6C">
        <w:rPr>
          <w:rFonts w:ascii="Palatino Linotype" w:eastAsia="Palatino Linotype" w:hAnsi="Palatino Linotype" w:cs="Palatino Linotype"/>
          <w:color w:val="000000"/>
        </w:rPr>
        <w:t>Oficio PAP/UTM/073/2025 de fecha veinticuatro de junio de dos mil dieciséis, signado por el Titular de la Unidad de Transparencia, a través del cual requirió a diversas Unidades Administrativas los avisos de privacidad actualizados; al documento adjunto dos fojas del que se advierten los sellos de recibido por diversas Unidades Administrativas.</w:t>
      </w:r>
    </w:p>
    <w:p w:rsidR="00E37C9C" w:rsidRDefault="003701F2">
      <w:pPr>
        <w:numPr>
          <w:ilvl w:val="1"/>
          <w:numId w:val="5"/>
        </w:numPr>
        <w:pBdr>
          <w:top w:val="nil"/>
          <w:left w:val="nil"/>
          <w:bottom w:val="nil"/>
          <w:right w:val="nil"/>
          <w:between w:val="nil"/>
        </w:pBdr>
        <w:spacing w:line="360" w:lineRule="auto"/>
        <w:ind w:right="-734"/>
        <w:jc w:val="both"/>
        <w:rPr>
          <w:rFonts w:ascii="Palatino Linotype" w:eastAsia="Palatino Linotype" w:hAnsi="Palatino Linotype" w:cs="Palatino Linotype"/>
          <w:b/>
          <w:bCs/>
          <w:color w:val="000000"/>
        </w:rPr>
      </w:pPr>
      <w:hyperlink r:id="rId10">
        <w:r w:rsidR="002F4E6C">
          <w:rPr>
            <w:rFonts w:ascii="Palatino Linotype" w:eastAsia="Palatino Linotype" w:hAnsi="Palatino Linotype" w:cs="Palatino Linotype"/>
            <w:b/>
            <w:bCs/>
            <w:color w:val="000000"/>
          </w:rPr>
          <w:t>RECEPCIÓN.pdf</w:t>
        </w:r>
      </w:hyperlink>
      <w:r w:rsidR="002F4E6C">
        <w:rPr>
          <w:rFonts w:ascii="Palatino Linotype" w:eastAsia="Palatino Linotype" w:hAnsi="Palatino Linotype" w:cs="Palatino Linotype"/>
          <w:b/>
          <w:bCs/>
          <w:color w:val="000000"/>
        </w:rPr>
        <w:t xml:space="preserve">: </w:t>
      </w:r>
      <w:r w:rsidR="002F4E6C">
        <w:rPr>
          <w:rFonts w:ascii="Palatino Linotype" w:eastAsia="Palatino Linotype" w:hAnsi="Palatino Linotype" w:cs="Palatino Linotype"/>
          <w:color w:val="000000"/>
        </w:rPr>
        <w:t xml:space="preserve">Documento constante de tres fojas, con la leyenda </w:t>
      </w:r>
      <w:r w:rsidR="002F4E6C">
        <w:rPr>
          <w:rFonts w:ascii="Palatino Linotype" w:eastAsia="Palatino Linotype" w:hAnsi="Palatino Linotype" w:cs="Palatino Linotype"/>
          <w:i/>
          <w:iCs/>
          <w:color w:val="000000"/>
        </w:rPr>
        <w:t>“Formato de entrega” “Avisos de Privacidad”</w:t>
      </w:r>
      <w:r w:rsidR="002F4E6C">
        <w:rPr>
          <w:rFonts w:ascii="Palatino Linotype" w:eastAsia="Palatino Linotype" w:hAnsi="Palatino Linotype" w:cs="Palatino Linotype"/>
          <w:color w:val="000000"/>
        </w:rPr>
        <w:t xml:space="preserve">, del que se advierte el sello con </w:t>
      </w:r>
      <w:r w:rsidR="002F4E6C">
        <w:rPr>
          <w:rFonts w:ascii="Palatino Linotype" w:eastAsia="Palatino Linotype" w:hAnsi="Palatino Linotype" w:cs="Palatino Linotype"/>
          <w:color w:val="000000"/>
        </w:rPr>
        <w:lastRenderedPageBreak/>
        <w:t xml:space="preserve">fecha y hora de entrega de los Avisos de Privacidad de diversas áreas que conforman el Ayuntamiento. </w:t>
      </w:r>
    </w:p>
    <w:p w:rsidR="00E37C9C" w:rsidRDefault="00E37C9C">
      <w:pPr>
        <w:pBdr>
          <w:top w:val="nil"/>
          <w:left w:val="nil"/>
          <w:bottom w:val="nil"/>
          <w:right w:val="nil"/>
          <w:between w:val="nil"/>
        </w:pBdr>
        <w:spacing w:line="360" w:lineRule="auto"/>
        <w:ind w:left="360" w:right="-734"/>
        <w:jc w:val="both"/>
        <w:rPr>
          <w:rFonts w:ascii="Palatino Linotype" w:eastAsia="Palatino Linotype" w:hAnsi="Palatino Linotype" w:cs="Palatino Linotype"/>
          <w:color w:val="000000"/>
        </w:rPr>
      </w:pPr>
    </w:p>
    <w:p w:rsidR="00E37C9C" w:rsidRDefault="002F4E6C">
      <w:pPr>
        <w:numPr>
          <w:ilvl w:val="0"/>
          <w:numId w:val="3"/>
        </w:numPr>
        <w:pBdr>
          <w:top w:val="nil"/>
          <w:left w:val="nil"/>
          <w:bottom w:val="nil"/>
          <w:right w:val="nil"/>
          <w:between w:val="nil"/>
        </w:pBdr>
        <w:spacing w:line="360" w:lineRule="auto"/>
        <w:ind w:right="-734"/>
        <w:jc w:val="both"/>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doce de marzo de dos mil veintiséis</w:t>
      </w:r>
      <w:r>
        <w:rPr>
          <w:rFonts w:ascii="Palatino Linotype" w:eastAsia="Palatino Linotype" w:hAnsi="Palatino Linotype" w:cs="Palatino Linotype"/>
          <w:color w:val="000000"/>
        </w:rPr>
        <w:t xml:space="preserve">, el solicitante interpuso recurso de revisión en la solicitud de información </w:t>
      </w:r>
      <w:r>
        <w:rPr>
          <w:rFonts w:ascii="Palatino Linotype" w:eastAsia="Palatino Linotype" w:hAnsi="Palatino Linotype" w:cs="Palatino Linotype"/>
          <w:b/>
          <w:bCs/>
          <w:color w:val="000000"/>
        </w:rPr>
        <w:t xml:space="preserve">00024/PAPALO/IP/2026, </w:t>
      </w:r>
      <w:r>
        <w:rPr>
          <w:rFonts w:ascii="Palatino Linotype" w:eastAsia="Palatino Linotype" w:hAnsi="Palatino Linotype" w:cs="Palatino Linotype"/>
          <w:color w:val="000000"/>
        </w:rPr>
        <w:t xml:space="preserve">en contra de la respuesta emitida por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señalando las siguientes razones o motivos de inconformidad:</w:t>
      </w:r>
    </w:p>
    <w:p w:rsidR="00E37C9C" w:rsidRDefault="00E37C9C">
      <w:pPr>
        <w:pBdr>
          <w:top w:val="nil"/>
          <w:left w:val="nil"/>
          <w:bottom w:val="nil"/>
          <w:right w:val="nil"/>
          <w:between w:val="nil"/>
        </w:pBdr>
        <w:spacing w:line="360" w:lineRule="auto"/>
        <w:ind w:left="567" w:right="-734"/>
        <w:jc w:val="both"/>
        <w:rPr>
          <w:rFonts w:ascii="Palatino Linotype" w:eastAsia="Palatino Linotype" w:hAnsi="Palatino Linotype" w:cs="Palatino Linotype"/>
          <w:b/>
          <w:bCs/>
        </w:rPr>
      </w:pPr>
    </w:p>
    <w:p w:rsidR="00E37C9C" w:rsidRDefault="002F4E6C">
      <w:pPr>
        <w:numPr>
          <w:ilvl w:val="0"/>
          <w:numId w:val="2"/>
        </w:numPr>
        <w:pBdr>
          <w:top w:val="nil"/>
          <w:left w:val="nil"/>
          <w:bottom w:val="nil"/>
          <w:right w:val="nil"/>
          <w:between w:val="nil"/>
        </w:pBdr>
        <w:spacing w:line="360" w:lineRule="auto"/>
        <w:ind w:right="-734"/>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Acto Impugnado</w:t>
      </w:r>
    </w:p>
    <w:p w:rsidR="00E37C9C" w:rsidRDefault="002F4E6C">
      <w:pPr>
        <w:pBdr>
          <w:top w:val="nil"/>
          <w:left w:val="nil"/>
          <w:bottom w:val="nil"/>
          <w:right w:val="nil"/>
          <w:between w:val="nil"/>
        </w:pBdr>
        <w:ind w:left="567" w:right="-734"/>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“Respuesta del Sujeto Obligado” (Sic.)</w:t>
      </w:r>
    </w:p>
    <w:p w:rsidR="00E37C9C" w:rsidRDefault="00E37C9C">
      <w:pPr>
        <w:pBdr>
          <w:top w:val="nil"/>
          <w:left w:val="nil"/>
          <w:bottom w:val="nil"/>
          <w:right w:val="nil"/>
          <w:between w:val="nil"/>
        </w:pBdr>
        <w:ind w:left="567" w:right="-734"/>
        <w:jc w:val="both"/>
        <w:rPr>
          <w:rFonts w:ascii="Palatino Linotype" w:eastAsia="Palatino Linotype" w:hAnsi="Palatino Linotype" w:cs="Palatino Linotype"/>
          <w:i/>
          <w:iCs/>
        </w:rPr>
      </w:pPr>
    </w:p>
    <w:p w:rsidR="00E37C9C" w:rsidRDefault="002F4E6C">
      <w:pPr>
        <w:numPr>
          <w:ilvl w:val="0"/>
          <w:numId w:val="1"/>
        </w:numPr>
        <w:pBdr>
          <w:top w:val="nil"/>
          <w:left w:val="nil"/>
          <w:bottom w:val="nil"/>
          <w:right w:val="nil"/>
          <w:between w:val="nil"/>
        </w:pBdr>
        <w:spacing w:line="360" w:lineRule="auto"/>
        <w:ind w:right="-734"/>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Razones o Motivos de la Inconformidad</w:t>
      </w:r>
    </w:p>
    <w:p w:rsidR="00E37C9C" w:rsidRDefault="002F4E6C">
      <w:pPr>
        <w:pBdr>
          <w:top w:val="nil"/>
          <w:left w:val="nil"/>
          <w:bottom w:val="nil"/>
          <w:right w:val="nil"/>
          <w:between w:val="nil"/>
        </w:pBdr>
        <w:ind w:left="567" w:right="-734"/>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“En la respuesta del Sujeto Obligado (SO) del día 11 de marzo de 2026, éste anexa a la misma un documento intitulado «Formato de entrega Avisos de Privacidad"» en el cual la Unidad de Transparencia y Acceso a la Información Pública Municipal acusa de recibo a diferentes unidades administrativas el "Aviso de Privacidad" correspondiente a cada una de ellas. Pues bien, en dicho documento no se incluye al área de presidencia municipal, ni a la de cada una de las regidurías, por lo que la respuesta del SO deviene incompleta.” (Sic.)</w:t>
      </w:r>
    </w:p>
    <w:p w:rsidR="00E37C9C" w:rsidRDefault="00E37C9C">
      <w:pPr>
        <w:pBdr>
          <w:top w:val="nil"/>
          <w:left w:val="nil"/>
          <w:bottom w:val="nil"/>
          <w:right w:val="nil"/>
          <w:between w:val="nil"/>
        </w:pBdr>
        <w:tabs>
          <w:tab w:val="left" w:pos="851"/>
        </w:tabs>
        <w:spacing w:line="360" w:lineRule="auto"/>
        <w:ind w:left="720" w:right="-734"/>
        <w:jc w:val="both"/>
        <w:rPr>
          <w:rFonts w:ascii="Palatino Linotype" w:eastAsia="Palatino Linotype" w:hAnsi="Palatino Linotype" w:cs="Palatino Linotype"/>
          <w:color w:val="000000"/>
        </w:rPr>
      </w:pPr>
    </w:p>
    <w:p w:rsidR="00E37C9C" w:rsidRPr="00BA3B1F" w:rsidRDefault="002F4E6C">
      <w:pPr>
        <w:numPr>
          <w:ilvl w:val="0"/>
          <w:numId w:val="3"/>
        </w:numPr>
        <w:spacing w:line="360" w:lineRule="auto"/>
        <w:ind w:left="0" w:right="-734" w:firstLine="0"/>
        <w:jc w:val="both"/>
      </w:pPr>
      <w:r>
        <w:rPr>
          <w:rFonts w:ascii="Palatino Linotype" w:eastAsia="Palatino Linotype" w:hAnsi="Palatino Linotype" w:cs="Palatino Linotype"/>
        </w:rPr>
        <w:t xml:space="preserve">Se registró el recurso de revisión bajo el número de expediente al rubro indicado, asimismo con fundamento en lo dispuesto por el artículo 185 fracción I de la Ley de Transparencia y Acceso a la Información Pública del Estado de México y Municipios se turna a la </w:t>
      </w:r>
      <w:r>
        <w:rPr>
          <w:rFonts w:ascii="Palatino Linotype" w:eastAsia="Palatino Linotype" w:hAnsi="Palatino Linotype" w:cs="Palatino Linotype"/>
          <w:b/>
          <w:bCs/>
        </w:rPr>
        <w:t>Comisionada María del Rosario Mejía Ayala</w:t>
      </w:r>
      <w:r>
        <w:rPr>
          <w:rFonts w:ascii="Palatino Linotype" w:eastAsia="Palatino Linotype" w:hAnsi="Palatino Linotype" w:cs="Palatino Linotype"/>
        </w:rPr>
        <w:t xml:space="preserve"> para su análisis.</w:t>
      </w:r>
    </w:p>
    <w:p w:rsidR="00BA3B1F" w:rsidRDefault="00BA3B1F" w:rsidP="00BA3B1F">
      <w:pPr>
        <w:spacing w:line="360" w:lineRule="auto"/>
        <w:ind w:right="-734"/>
        <w:jc w:val="both"/>
      </w:pPr>
    </w:p>
    <w:p w:rsidR="00E37C9C" w:rsidRDefault="002F4E6C">
      <w:pPr>
        <w:numPr>
          <w:ilvl w:val="0"/>
          <w:numId w:val="3"/>
        </w:numPr>
        <w:spacing w:line="360" w:lineRule="auto"/>
        <w:ind w:left="0" w:right="-734" w:firstLine="0"/>
        <w:jc w:val="both"/>
      </w:pPr>
      <w:r>
        <w:rPr>
          <w:rFonts w:ascii="Palatino Linotype" w:eastAsia="Palatino Linotype" w:hAnsi="Palatino Linotype" w:cs="Palatino Linotype"/>
          <w:color w:val="000000"/>
        </w:rPr>
        <w:t xml:space="preserve">La Comisionada Ponente con fundamento en lo dispuesto por el artículo 185 </w:t>
      </w:r>
      <w:r>
        <w:rPr>
          <w:rFonts w:ascii="Palatino Linotype" w:eastAsia="Palatino Linotype" w:hAnsi="Palatino Linotype" w:cs="Palatino Linotype"/>
        </w:rPr>
        <w:t>fracción</w:t>
      </w:r>
      <w:r>
        <w:rPr>
          <w:rFonts w:ascii="Palatino Linotype" w:eastAsia="Palatino Linotype" w:hAnsi="Palatino Linotype" w:cs="Palatino Linotype"/>
          <w:color w:val="000000"/>
        </w:rPr>
        <w:t xml:space="preserve"> II de la ley de la materia, a través del </w:t>
      </w:r>
      <w:r>
        <w:rPr>
          <w:rFonts w:ascii="Palatino Linotype" w:eastAsia="Palatino Linotype" w:hAnsi="Palatino Linotype" w:cs="Palatino Linotype"/>
          <w:b/>
          <w:bCs/>
          <w:color w:val="000000"/>
        </w:rPr>
        <w:t xml:space="preserve">acuerdo de admisión </w:t>
      </w:r>
      <w:r>
        <w:rPr>
          <w:rFonts w:ascii="Palatino Linotype" w:eastAsia="Palatino Linotype" w:hAnsi="Palatino Linotype" w:cs="Palatino Linotype"/>
          <w:color w:val="000000"/>
        </w:rPr>
        <w:t xml:space="preserve">de fecha </w:t>
      </w:r>
      <w:r>
        <w:rPr>
          <w:rFonts w:ascii="Palatino Linotype" w:eastAsia="Palatino Linotype" w:hAnsi="Palatino Linotype" w:cs="Palatino Linotype"/>
          <w:b/>
          <w:bCs/>
          <w:color w:val="000000"/>
        </w:rPr>
        <w:t>dieciocho de marzo de dos mil veintiséis</w:t>
      </w:r>
      <w:r>
        <w:rPr>
          <w:rFonts w:ascii="Palatino Linotype" w:eastAsia="Palatino Linotype" w:hAnsi="Palatino Linotype" w:cs="Palatino Linotype"/>
          <w:color w:val="000000"/>
        </w:rPr>
        <w:t xml:space="preserve">, puso a disposición de las partes el expediente electrónico vía SAIMEX a efecto de que en un plazo máximo de siete días </w:t>
      </w:r>
      <w:r>
        <w:rPr>
          <w:rFonts w:ascii="Palatino Linotype" w:eastAsia="Palatino Linotype" w:hAnsi="Palatino Linotype" w:cs="Palatino Linotype"/>
        </w:rPr>
        <w:t>manifestara</w:t>
      </w:r>
      <w:r>
        <w:rPr>
          <w:rFonts w:ascii="Palatino Linotype" w:eastAsia="Palatino Linotype" w:hAnsi="Palatino Linotype" w:cs="Palatino Linotype"/>
          <w:color w:val="000000"/>
        </w:rPr>
        <w:t xml:space="preserve"> lo que a su derecho conviniera, </w:t>
      </w:r>
      <w:r>
        <w:rPr>
          <w:rFonts w:ascii="Palatino Linotype" w:eastAsia="Palatino Linotype" w:hAnsi="Palatino Linotype" w:cs="Palatino Linotype"/>
        </w:rPr>
        <w:lastRenderedPageBreak/>
        <w:t>ofreciera</w:t>
      </w:r>
      <w:r>
        <w:rPr>
          <w:rFonts w:ascii="Palatino Linotype" w:eastAsia="Palatino Linotype" w:hAnsi="Palatino Linotype" w:cs="Palatino Linotype"/>
          <w:color w:val="000000"/>
        </w:rPr>
        <w:t xml:space="preserve"> pruebas y alegatos según corresponda al caso concreto, de esta forma para que 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rPr>
        <w:t>presentará</w:t>
      </w:r>
      <w:r>
        <w:rPr>
          <w:rFonts w:ascii="Palatino Linotype" w:eastAsia="Palatino Linotype" w:hAnsi="Palatino Linotype" w:cs="Palatino Linotype"/>
          <w:color w:val="000000"/>
        </w:rPr>
        <w:t xml:space="preserve"> el Informe Justificado procedente.</w:t>
      </w:r>
    </w:p>
    <w:p w:rsidR="00E37C9C" w:rsidRDefault="00E37C9C">
      <w:pPr>
        <w:pBdr>
          <w:top w:val="nil"/>
          <w:left w:val="nil"/>
          <w:bottom w:val="nil"/>
          <w:right w:val="nil"/>
          <w:between w:val="nil"/>
        </w:pBdr>
        <w:ind w:left="720" w:right="-734"/>
        <w:rPr>
          <w:rFonts w:ascii="Palatino Linotype" w:eastAsia="Palatino Linotype" w:hAnsi="Palatino Linotype" w:cs="Palatino Linotype"/>
          <w:color w:val="000000"/>
        </w:rPr>
      </w:pPr>
    </w:p>
    <w:p w:rsidR="00E37C9C" w:rsidRDefault="002F4E6C">
      <w:pPr>
        <w:numPr>
          <w:ilvl w:val="0"/>
          <w:numId w:val="3"/>
        </w:numPr>
        <w:spacing w:line="360" w:lineRule="auto"/>
        <w:ind w:left="0" w:right="-734" w:firstLine="0"/>
        <w:jc w:val="both"/>
        <w:rPr>
          <w:rFonts w:ascii="Palatino Linotype" w:eastAsia="Palatino Linotype" w:hAnsi="Palatino Linotype" w:cs="Palatino Linotype"/>
          <w:b/>
          <w:bCs/>
        </w:rPr>
      </w:pPr>
      <w:r>
        <w:rPr>
          <w:rFonts w:ascii="Palatino Linotype" w:eastAsia="Palatino Linotype" w:hAnsi="Palatino Linotype" w:cs="Palatino Linotype"/>
        </w:rPr>
        <w:t xml:space="preserve">El </w:t>
      </w:r>
      <w:r>
        <w:rPr>
          <w:rFonts w:ascii="Palatino Linotype" w:eastAsia="Palatino Linotype" w:hAnsi="Palatino Linotype" w:cs="Palatino Linotype"/>
          <w:b/>
          <w:bCs/>
        </w:rPr>
        <w:t>dieciséis de abril de dos mil dieciséis</w:t>
      </w:r>
      <w:r>
        <w:rPr>
          <w:rFonts w:ascii="Palatino Linotype" w:eastAsia="Palatino Linotype" w:hAnsi="Palatino Linotype" w:cs="Palatino Linotype"/>
        </w:rPr>
        <w:t xml:space="preserve">,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rindió el informe justificado correspondiente, por medio del archivo electrónico </w:t>
      </w:r>
      <w:r>
        <w:rPr>
          <w:rFonts w:ascii="Palatino Linotype" w:eastAsia="Palatino Linotype" w:hAnsi="Palatino Linotype" w:cs="Palatino Linotype"/>
          <w:b/>
          <w:bCs/>
        </w:rPr>
        <w:t xml:space="preserve">“INFORME JUSTIFICADO R.R 3188.pdf”, </w:t>
      </w:r>
      <w:r>
        <w:rPr>
          <w:rFonts w:ascii="Palatino Linotype" w:eastAsia="Palatino Linotype" w:hAnsi="Palatino Linotype" w:cs="Palatino Linotype"/>
        </w:rPr>
        <w:t>a través del cual ratifica su respuesta.</w:t>
      </w:r>
    </w:p>
    <w:p w:rsidR="00E37C9C" w:rsidRDefault="00E37C9C">
      <w:pPr>
        <w:pBdr>
          <w:top w:val="nil"/>
          <w:left w:val="nil"/>
          <w:bottom w:val="nil"/>
          <w:right w:val="nil"/>
          <w:between w:val="nil"/>
        </w:pBdr>
        <w:ind w:left="720" w:right="-734"/>
        <w:rPr>
          <w:rFonts w:ascii="Palatino Linotype" w:eastAsia="Palatino Linotype" w:hAnsi="Palatino Linotype" w:cs="Palatino Linotype"/>
          <w:color w:val="000000"/>
        </w:rPr>
      </w:pPr>
    </w:p>
    <w:p w:rsidR="00E37C9C" w:rsidRDefault="002F4E6C">
      <w:pPr>
        <w:numPr>
          <w:ilvl w:val="0"/>
          <w:numId w:val="3"/>
        </w:numPr>
        <w:spacing w:line="360" w:lineRule="auto"/>
        <w:ind w:left="0" w:right="-734" w:firstLine="0"/>
        <w:jc w:val="both"/>
      </w:pPr>
      <w:r>
        <w:rPr>
          <w:rFonts w:ascii="Palatino Linotype" w:eastAsia="Palatino Linotype" w:hAnsi="Palatino Linotype" w:cs="Palatino Linotype"/>
        </w:rPr>
        <w:t xml:space="preserve">De lo anterior el </w:t>
      </w:r>
      <w:r>
        <w:rPr>
          <w:rFonts w:ascii="Palatino Linotype" w:eastAsia="Palatino Linotype" w:hAnsi="Palatino Linotype" w:cs="Palatino Linotype"/>
          <w:b/>
          <w:bCs/>
        </w:rPr>
        <w:t xml:space="preserve">RECURRENTE </w:t>
      </w:r>
      <w:r>
        <w:rPr>
          <w:rFonts w:ascii="Palatino Linotype" w:eastAsia="Palatino Linotype" w:hAnsi="Palatino Linotype" w:cs="Palatino Linotype"/>
        </w:rPr>
        <w:t xml:space="preserve">dejó de realizar manifestaciones que a su derecho conviniera y asistiera. </w:t>
      </w:r>
    </w:p>
    <w:p w:rsidR="00E37C9C" w:rsidRDefault="00E37C9C">
      <w:pPr>
        <w:spacing w:line="360" w:lineRule="auto"/>
        <w:ind w:right="-734"/>
        <w:jc w:val="both"/>
        <w:rPr>
          <w:rFonts w:ascii="Palatino Linotype" w:eastAsia="Palatino Linotype" w:hAnsi="Palatino Linotype" w:cs="Palatino Linotype"/>
          <w:i/>
          <w:iCs/>
          <w:color w:val="000000"/>
        </w:rPr>
      </w:pPr>
    </w:p>
    <w:p w:rsidR="00E37C9C" w:rsidRDefault="002F4E6C">
      <w:pPr>
        <w:numPr>
          <w:ilvl w:val="0"/>
          <w:numId w:val="3"/>
        </w:numPr>
        <w:spacing w:line="360" w:lineRule="auto"/>
        <w:ind w:left="0" w:right="-734" w:firstLine="0"/>
        <w:jc w:val="both"/>
      </w:pPr>
      <w:r>
        <w:rPr>
          <w:rFonts w:ascii="Palatino Linotype" w:eastAsia="Palatino Linotype" w:hAnsi="Palatino Linotype" w:cs="Palatino Linotype"/>
        </w:rPr>
        <w:t xml:space="preserve">El </w:t>
      </w:r>
      <w:r>
        <w:rPr>
          <w:rFonts w:ascii="Palatino Linotype" w:eastAsia="Palatino Linotype" w:hAnsi="Palatino Linotype" w:cs="Palatino Linotype"/>
          <w:b/>
          <w:bCs/>
        </w:rPr>
        <w:t>uno de junio de dos mil veintiséis</w:t>
      </w:r>
      <w:r>
        <w:rPr>
          <w:rFonts w:ascii="Palatino Linotype" w:eastAsia="Palatino Linotype" w:hAnsi="Palatino Linotype" w:cs="Palatino Linotype"/>
        </w:rPr>
        <w:t>, se notificó el acuerdo mediante el cual se amplió el plazo para emitir resolución por un término de 15 días adicionales.</w:t>
      </w:r>
    </w:p>
    <w:p w:rsidR="00E37C9C" w:rsidRDefault="00E37C9C">
      <w:pPr>
        <w:pBdr>
          <w:top w:val="nil"/>
          <w:left w:val="nil"/>
          <w:bottom w:val="nil"/>
          <w:right w:val="nil"/>
          <w:between w:val="nil"/>
        </w:pBdr>
        <w:ind w:left="720" w:right="-734"/>
        <w:rPr>
          <w:rFonts w:ascii="Palatino Linotype" w:eastAsia="Palatino Linotype" w:hAnsi="Palatino Linotype" w:cs="Palatino Linotype"/>
          <w:color w:val="000000"/>
        </w:rPr>
      </w:pPr>
    </w:p>
    <w:p w:rsidR="00E37C9C" w:rsidRDefault="002F4E6C">
      <w:pPr>
        <w:numPr>
          <w:ilvl w:val="0"/>
          <w:numId w:val="3"/>
        </w:numPr>
        <w:spacing w:line="360" w:lineRule="auto"/>
        <w:ind w:left="0" w:right="-734" w:firstLine="0"/>
        <w:jc w:val="both"/>
      </w:pPr>
      <w:r>
        <w:rPr>
          <w:rFonts w:ascii="Palatino Linotype" w:eastAsia="Palatino Linotype" w:hAnsi="Palatino Linotype" w:cs="Palatino Linotype"/>
        </w:rPr>
        <w:t xml:space="preserve">Finalmente, la Comisionada Ponente mediante acuerdo del </w:t>
      </w:r>
      <w:r>
        <w:rPr>
          <w:rFonts w:ascii="Palatino Linotype" w:eastAsia="Palatino Linotype" w:hAnsi="Palatino Linotype" w:cs="Palatino Linotype"/>
          <w:b/>
          <w:bCs/>
        </w:rPr>
        <w:t>nueve de junio de dos mil veintiséis</w:t>
      </w:r>
      <w:r>
        <w:rPr>
          <w:rFonts w:ascii="Palatino Linotype" w:eastAsia="Palatino Linotype" w:hAnsi="Palatino Linotype" w:cs="Palatino Linotype"/>
        </w:rPr>
        <w:t xml:space="preserve">, decretó el cierre de instrucción del expediente, por lo que no habiendo más que hacer constar, y </w:t>
      </w:r>
    </w:p>
    <w:p w:rsidR="00E37C9C" w:rsidRDefault="00E37C9C">
      <w:pPr>
        <w:spacing w:line="360" w:lineRule="auto"/>
        <w:ind w:right="-734"/>
        <w:jc w:val="both"/>
        <w:rPr>
          <w:rFonts w:ascii="Palatino Linotype" w:eastAsia="Palatino Linotype" w:hAnsi="Palatino Linotype" w:cs="Palatino Linotype"/>
          <w:b/>
          <w:bCs/>
        </w:rPr>
      </w:pPr>
    </w:p>
    <w:p w:rsidR="00E37C9C" w:rsidRDefault="002F4E6C">
      <w:pPr>
        <w:keepNext/>
        <w:keepLines/>
        <w:spacing w:line="360" w:lineRule="auto"/>
        <w:ind w:right="-734"/>
        <w:jc w:val="center"/>
        <w:rPr>
          <w:rFonts w:ascii="Palatino Linotype" w:eastAsia="Palatino Linotype" w:hAnsi="Palatino Linotype" w:cs="Palatino Linotype"/>
          <w:b/>
          <w:bCs/>
        </w:rPr>
      </w:pPr>
      <w:bookmarkStart w:id="1" w:name="_heading=h.qzz2ou9r4mzu" w:colFirst="0" w:colLast="0"/>
      <w:bookmarkEnd w:id="1"/>
      <w:r>
        <w:rPr>
          <w:rFonts w:ascii="Palatino Linotype" w:eastAsia="Palatino Linotype" w:hAnsi="Palatino Linotype" w:cs="Palatino Linotype"/>
          <w:b/>
          <w:bCs/>
        </w:rPr>
        <w:t>C O N S I D E R A N D O</w:t>
      </w:r>
    </w:p>
    <w:p w:rsidR="00E37C9C" w:rsidRDefault="00E37C9C">
      <w:pPr>
        <w:keepNext/>
        <w:keepLines/>
        <w:spacing w:line="360" w:lineRule="auto"/>
        <w:ind w:right="-734"/>
        <w:jc w:val="center"/>
        <w:rPr>
          <w:rFonts w:ascii="Palatino Linotype" w:eastAsia="Palatino Linotype" w:hAnsi="Palatino Linotype" w:cs="Palatino Linotype"/>
          <w:b/>
          <w:bCs/>
        </w:rPr>
      </w:pPr>
    </w:p>
    <w:p w:rsidR="00E37C9C" w:rsidRDefault="002F4E6C">
      <w:pPr>
        <w:keepNext/>
        <w:keepLines/>
        <w:spacing w:line="360" w:lineRule="auto"/>
        <w:ind w:right="-734"/>
        <w:rPr>
          <w:rFonts w:ascii="Palatino Linotype" w:eastAsia="Palatino Linotype" w:hAnsi="Palatino Linotype" w:cs="Palatino Linotype"/>
          <w:b/>
          <w:bCs/>
        </w:rPr>
      </w:pPr>
      <w:bookmarkStart w:id="2" w:name="_heading=h.jrbrpx2o2t1q" w:colFirst="0" w:colLast="0"/>
      <w:bookmarkEnd w:id="2"/>
      <w:r>
        <w:rPr>
          <w:rFonts w:ascii="Palatino Linotype" w:eastAsia="Palatino Linotype" w:hAnsi="Palatino Linotype" w:cs="Palatino Linotype"/>
          <w:b/>
          <w:bCs/>
        </w:rPr>
        <w:t>PRIMERO. De la competencia.</w:t>
      </w:r>
    </w:p>
    <w:p w:rsidR="00E37C9C" w:rsidRDefault="002F4E6C">
      <w:pPr>
        <w:numPr>
          <w:ilvl w:val="0"/>
          <w:numId w:val="3"/>
        </w:numPr>
        <w:pBdr>
          <w:top w:val="nil"/>
          <w:left w:val="nil"/>
          <w:bottom w:val="nil"/>
          <w:right w:val="nil"/>
          <w:between w:val="nil"/>
        </w:pBdr>
        <w:spacing w:before="240" w:after="240" w:line="360" w:lineRule="auto"/>
        <w:ind w:left="0" w:right="-734" w:firstLine="0"/>
        <w:jc w:val="both"/>
      </w:pPr>
      <w:r>
        <w:rPr>
          <w:rFonts w:ascii="Palatino Linotype" w:eastAsia="Palatino Linotype" w:hAnsi="Palatino Linotype" w:cs="Palatino Linotype"/>
          <w:color w:val="000000"/>
        </w:rPr>
        <w:t>Este Instituto de Transparencia, Acceso a la Información Pública y Protección de Datos Personales del Estado de México y Municipios, es competente para conocer y resolver del presente recurso de conformidad con el artículo: 6, apartado A, fracción IV de la </w:t>
      </w:r>
      <w:r>
        <w:rPr>
          <w:rFonts w:ascii="Palatino Linotype" w:eastAsia="Palatino Linotype" w:hAnsi="Palatino Linotype" w:cs="Palatino Linotype"/>
          <w:b/>
          <w:bCs/>
          <w:color w:val="000000"/>
        </w:rPr>
        <w:t>Constitución Política de los Estados Unidos Mexicanos</w:t>
      </w:r>
      <w:r>
        <w:rPr>
          <w:rFonts w:ascii="Palatino Linotype" w:eastAsia="Palatino Linotype" w:hAnsi="Palatino Linotype" w:cs="Palatino Linotype"/>
          <w:color w:val="000000"/>
        </w:rPr>
        <w:t>; 5, párrafos trigésimo segundo, trigésimo tercero y trigésimo cuarto fracciones IV y V de la </w:t>
      </w:r>
      <w:r>
        <w:rPr>
          <w:rFonts w:ascii="Palatino Linotype" w:eastAsia="Palatino Linotype" w:hAnsi="Palatino Linotype" w:cs="Palatino Linotype"/>
          <w:b/>
          <w:bCs/>
          <w:color w:val="000000"/>
        </w:rPr>
        <w:t xml:space="preserve">Constitución Política del Estado Libre y Soberano </w:t>
      </w:r>
      <w:r>
        <w:rPr>
          <w:rFonts w:ascii="Palatino Linotype" w:eastAsia="Palatino Linotype" w:hAnsi="Palatino Linotype" w:cs="Palatino Linotype"/>
          <w:b/>
          <w:bCs/>
          <w:color w:val="000000"/>
        </w:rPr>
        <w:lastRenderedPageBreak/>
        <w:t>de México</w:t>
      </w:r>
      <w:r>
        <w:rPr>
          <w:rFonts w:ascii="Palatino Linotype" w:eastAsia="Palatino Linotype" w:hAnsi="Palatino Linotype" w:cs="Palatino Linotype"/>
          <w:color w:val="000000"/>
        </w:rPr>
        <w:t>; artículos 1, 2 fracción II, 13, 29, 36 fracciones I y II, 176, 178, 179, 181 párrafo tercero y 185 de la </w:t>
      </w:r>
      <w:r>
        <w:rPr>
          <w:rFonts w:ascii="Palatino Linotype" w:eastAsia="Palatino Linotype" w:hAnsi="Palatino Linotype" w:cs="Palatino Linotype"/>
          <w:b/>
          <w:bCs/>
          <w:color w:val="000000"/>
        </w:rPr>
        <w:t>Ley de Transparencia y Acceso a la Información Pública del Estado de México y Municipios</w:t>
      </w:r>
      <w:r>
        <w:rPr>
          <w:rFonts w:ascii="Palatino Linotype" w:eastAsia="Palatino Linotype" w:hAnsi="Palatino Linotype" w:cs="Palatino Linotype"/>
          <w:color w:val="000000"/>
        </w:rPr>
        <w:t>; y 7, 9 fracciones I y XXIII, y 11 del </w:t>
      </w:r>
      <w:r>
        <w:rPr>
          <w:rFonts w:ascii="Palatino Linotype" w:eastAsia="Palatino Linotype" w:hAnsi="Palatino Linotype" w:cs="Palatino Linotype"/>
          <w:b/>
          <w:bCs/>
          <w:color w:val="000000"/>
        </w:rPr>
        <w:t>Reglamento Interior del Instituto de Transparencia, Acceso a la Información Pública y Protección de Datos Personales del Estado de México y Municipios</w:t>
      </w:r>
      <w:r>
        <w:rPr>
          <w:rFonts w:ascii="Palatino Linotype" w:eastAsia="Palatino Linotype" w:hAnsi="Palatino Linotype" w:cs="Palatino Linotype"/>
          <w:color w:val="000000"/>
        </w:rPr>
        <w:t>.</w:t>
      </w:r>
    </w:p>
    <w:p w:rsidR="00E37C9C" w:rsidRDefault="002F4E6C">
      <w:pPr>
        <w:keepNext/>
        <w:keepLines/>
        <w:spacing w:line="360" w:lineRule="auto"/>
        <w:ind w:right="-734"/>
        <w:rPr>
          <w:rFonts w:ascii="Palatino Linotype" w:eastAsia="Palatino Linotype" w:hAnsi="Palatino Linotype" w:cs="Palatino Linotype"/>
          <w:b/>
          <w:bCs/>
        </w:rPr>
      </w:pPr>
      <w:bookmarkStart w:id="3" w:name="_heading=h.y9hz9jafjgog" w:colFirst="0" w:colLast="0"/>
      <w:bookmarkEnd w:id="3"/>
      <w:r>
        <w:rPr>
          <w:rFonts w:ascii="Palatino Linotype" w:eastAsia="Palatino Linotype" w:hAnsi="Palatino Linotype" w:cs="Palatino Linotype"/>
          <w:b/>
          <w:bCs/>
        </w:rPr>
        <w:t>SEGUNDO. De la oportunidad y procedencia.</w:t>
      </w:r>
    </w:p>
    <w:p w:rsidR="00E37C9C" w:rsidRDefault="002F4E6C">
      <w:pPr>
        <w:numPr>
          <w:ilvl w:val="0"/>
          <w:numId w:val="3"/>
        </w:numPr>
        <w:spacing w:line="360" w:lineRule="auto"/>
        <w:ind w:left="0" w:right="-734" w:firstLine="0"/>
        <w:jc w:val="both"/>
      </w:pPr>
      <w:r>
        <w:rPr>
          <w:rFonts w:ascii="Palatino Linotype" w:eastAsia="Palatino Linotype" w:hAnsi="Palatino Linotype" w:cs="Palatino Linotype"/>
        </w:rPr>
        <w:t xml:space="preserve">El medio de impugnación fue presentado a través del </w:t>
      </w:r>
      <w:r>
        <w:rPr>
          <w:rFonts w:ascii="Palatino Linotype" w:eastAsia="Palatino Linotype" w:hAnsi="Palatino Linotype" w:cs="Palatino Linotype"/>
          <w:b/>
          <w:bCs/>
        </w:rPr>
        <w:t>SAIMEX,</w:t>
      </w:r>
      <w:r>
        <w:rPr>
          <w:rFonts w:ascii="Palatino Linotype" w:eastAsia="Palatino Linotype" w:hAnsi="Palatino Linotype" w:cs="Palatino Linotype"/>
        </w:rPr>
        <w:t xml:space="preserve"> en el formato previamente aprobado para tal efecto y dentro del plazo legal de quince días hábiles otorgados; para el caso en particular es de señalar que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entregó respuesta el día </w:t>
      </w:r>
      <w:r>
        <w:rPr>
          <w:rFonts w:ascii="Palatino Linotype" w:eastAsia="Palatino Linotype" w:hAnsi="Palatino Linotype" w:cs="Palatino Linotype"/>
          <w:b/>
          <w:bCs/>
        </w:rPr>
        <w:t>once de marzo de dos mil veintiséis</w:t>
      </w:r>
      <w:r>
        <w:rPr>
          <w:rFonts w:ascii="Palatino Linotype" w:eastAsia="Palatino Linotype" w:hAnsi="Palatino Linotype" w:cs="Palatino Linotype"/>
        </w:rPr>
        <w:t xml:space="preserve">, de tal forma que el plazo para interponer el recurso transcurrió del </w:t>
      </w:r>
      <w:r>
        <w:rPr>
          <w:rFonts w:ascii="Palatino Linotype" w:eastAsia="Palatino Linotype" w:hAnsi="Palatino Linotype" w:cs="Palatino Linotype"/>
          <w:b/>
          <w:bCs/>
        </w:rPr>
        <w:t xml:space="preserve">doce de marzo al nueve </w:t>
      </w:r>
      <w:r w:rsidR="00342D3A">
        <w:rPr>
          <w:rFonts w:ascii="Palatino Linotype" w:eastAsia="Palatino Linotype" w:hAnsi="Palatino Linotype" w:cs="Palatino Linotype"/>
          <w:b/>
          <w:bCs/>
        </w:rPr>
        <w:t xml:space="preserve">de abril de </w:t>
      </w:r>
      <w:r>
        <w:rPr>
          <w:rFonts w:ascii="Palatino Linotype" w:eastAsia="Palatino Linotype" w:hAnsi="Palatino Linotype" w:cs="Palatino Linotype"/>
          <w:b/>
          <w:bCs/>
        </w:rPr>
        <w:t>dos mil veintiséis</w:t>
      </w:r>
      <w:r>
        <w:rPr>
          <w:rFonts w:ascii="Palatino Linotype" w:eastAsia="Palatino Linotype" w:hAnsi="Palatino Linotype" w:cs="Palatino Linotype"/>
        </w:rPr>
        <w:t xml:space="preserve">, de acuerdo al calendario oficial del Instituto de Transparencia del Estado de México y Municipios; en consecuencia, si el particular presentó su inconformidad el día </w:t>
      </w:r>
      <w:r>
        <w:rPr>
          <w:rFonts w:ascii="Palatino Linotype" w:eastAsia="Palatino Linotype" w:hAnsi="Palatino Linotype" w:cs="Palatino Linotype"/>
          <w:b/>
          <w:bCs/>
        </w:rPr>
        <w:t>doce de marzo de dos mil veintiséis</w:t>
      </w:r>
      <w:r>
        <w:rPr>
          <w:rFonts w:ascii="Palatino Linotype" w:eastAsia="Palatino Linotype" w:hAnsi="Palatino Linotype" w:cs="Palatino Linotype"/>
        </w:rPr>
        <w:t xml:space="preserve">, se encuentra dentro de los márgenes temporales previstos en el artículo 178 de la </w:t>
      </w:r>
      <w:r>
        <w:rPr>
          <w:rFonts w:ascii="Palatino Linotype" w:eastAsia="Palatino Linotype" w:hAnsi="Palatino Linotype" w:cs="Palatino Linotype"/>
          <w:b/>
          <w:bCs/>
        </w:rPr>
        <w:t xml:space="preserve">Ley de Transparencia y Acceso a la Información Pública del Estado de México y Municipios </w:t>
      </w:r>
      <w:r>
        <w:rPr>
          <w:rFonts w:ascii="Palatino Linotype" w:eastAsia="Palatino Linotype" w:hAnsi="Palatino Linotype" w:cs="Palatino Linotype"/>
        </w:rPr>
        <w:t xml:space="preserve">vigente. </w:t>
      </w:r>
    </w:p>
    <w:p w:rsidR="00E37C9C" w:rsidRDefault="00E37C9C">
      <w:pPr>
        <w:spacing w:line="360" w:lineRule="auto"/>
        <w:ind w:right="-734"/>
        <w:jc w:val="both"/>
        <w:rPr>
          <w:rFonts w:ascii="Palatino Linotype" w:eastAsia="Palatino Linotype" w:hAnsi="Palatino Linotype" w:cs="Palatino Linotype"/>
        </w:rPr>
      </w:pPr>
    </w:p>
    <w:p w:rsidR="00E37C9C" w:rsidRDefault="002F4E6C">
      <w:pPr>
        <w:numPr>
          <w:ilvl w:val="0"/>
          <w:numId w:val="3"/>
        </w:numPr>
        <w:spacing w:line="360" w:lineRule="auto"/>
        <w:ind w:left="0" w:right="-734" w:firstLine="0"/>
        <w:jc w:val="both"/>
        <w:rPr>
          <w:rFonts w:ascii="Palatino Linotype" w:eastAsia="Palatino Linotype" w:hAnsi="Palatino Linotype" w:cs="Palatino Linotype"/>
          <w:b/>
          <w:bCs/>
        </w:rPr>
      </w:pPr>
      <w:r>
        <w:rPr>
          <w:rFonts w:ascii="Palatino Linotype" w:eastAsia="Palatino Linotype" w:hAnsi="Palatino Linotype" w:cs="Palatino Linotype"/>
        </w:rPr>
        <w:t>Consecuentemente,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rsidR="00E37C9C" w:rsidRDefault="00E37C9C">
      <w:pPr>
        <w:spacing w:line="360" w:lineRule="auto"/>
        <w:ind w:right="-734"/>
        <w:jc w:val="both"/>
        <w:rPr>
          <w:rFonts w:ascii="Palatino Linotype" w:eastAsia="Palatino Linotype" w:hAnsi="Palatino Linotype" w:cs="Palatino Linotype"/>
          <w:b/>
          <w:bCs/>
        </w:rPr>
      </w:pPr>
    </w:p>
    <w:p w:rsidR="00E37C9C" w:rsidRDefault="002F4E6C">
      <w:pPr>
        <w:keepNext/>
        <w:keepLines/>
        <w:spacing w:line="360" w:lineRule="auto"/>
        <w:ind w:right="-734"/>
        <w:rPr>
          <w:rFonts w:ascii="Palatino Linotype" w:eastAsia="Palatino Linotype" w:hAnsi="Palatino Linotype" w:cs="Palatino Linotype"/>
          <w:b/>
          <w:bCs/>
        </w:rPr>
      </w:pPr>
      <w:bookmarkStart w:id="4" w:name="_heading=h.zdiou7x9n0jm" w:colFirst="0" w:colLast="0"/>
      <w:bookmarkEnd w:id="4"/>
      <w:r>
        <w:rPr>
          <w:rFonts w:ascii="Palatino Linotype" w:eastAsia="Palatino Linotype" w:hAnsi="Palatino Linotype" w:cs="Palatino Linotype"/>
          <w:b/>
          <w:bCs/>
        </w:rPr>
        <w:t>TERCERO. Planteamiento de la Litis.</w:t>
      </w:r>
    </w:p>
    <w:p w:rsidR="00E37C9C" w:rsidRDefault="002F4E6C">
      <w:pPr>
        <w:numPr>
          <w:ilvl w:val="0"/>
          <w:numId w:val="3"/>
        </w:numPr>
        <w:pBdr>
          <w:top w:val="nil"/>
          <w:left w:val="nil"/>
          <w:bottom w:val="nil"/>
          <w:right w:val="nil"/>
          <w:between w:val="nil"/>
        </w:pBdr>
        <w:spacing w:line="360" w:lineRule="auto"/>
        <w:ind w:left="0" w:right="-734" w:firstLine="0"/>
        <w:jc w:val="both"/>
        <w:rPr>
          <w:rFonts w:ascii="Palatino Linotype" w:eastAsia="Palatino Linotype" w:hAnsi="Palatino Linotype" w:cs="Palatino Linotype"/>
          <w:b/>
          <w:bCs/>
        </w:rPr>
      </w:pPr>
      <w:r>
        <w:rPr>
          <w:rFonts w:ascii="Palatino Linotype" w:eastAsia="Palatino Linotype" w:hAnsi="Palatino Linotype" w:cs="Palatino Linotype"/>
          <w:color w:val="000000"/>
        </w:rPr>
        <w:t xml:space="preserve">El particular </w:t>
      </w:r>
      <w:r>
        <w:rPr>
          <w:rFonts w:ascii="Palatino Linotype" w:eastAsia="Palatino Linotype" w:hAnsi="Palatino Linotype" w:cs="Palatino Linotype"/>
        </w:rPr>
        <w:t>solicitó</w:t>
      </w:r>
      <w:r>
        <w:rPr>
          <w:rFonts w:ascii="Palatino Linotype" w:eastAsia="Palatino Linotype" w:hAnsi="Palatino Linotype" w:cs="Palatino Linotype"/>
          <w:color w:val="000000"/>
        </w:rPr>
        <w:t>:</w:t>
      </w:r>
    </w:p>
    <w:p w:rsidR="00E37C9C" w:rsidRDefault="002F4E6C">
      <w:pPr>
        <w:numPr>
          <w:ilvl w:val="0"/>
          <w:numId w:val="4"/>
        </w:numPr>
        <w:pBdr>
          <w:top w:val="nil"/>
          <w:left w:val="nil"/>
          <w:bottom w:val="nil"/>
          <w:right w:val="nil"/>
          <w:between w:val="nil"/>
        </w:pBdr>
        <w:spacing w:line="360" w:lineRule="auto"/>
        <w:ind w:right="-734"/>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lastRenderedPageBreak/>
        <w:t xml:space="preserve">Copia de los documentos mediante el cual cada una de las áreas que integran el Ayuntamiento, cumplimentaron la entrega de su respectivo Aviso de Privacidad integral y simplificado, </w:t>
      </w:r>
      <w:r>
        <w:rPr>
          <w:rFonts w:ascii="Palatino Linotype" w:eastAsia="Palatino Linotype" w:hAnsi="Palatino Linotype" w:cs="Palatino Linotype"/>
          <w:b/>
          <w:bCs/>
        </w:rPr>
        <w:t>en donde</w:t>
      </w:r>
      <w:r>
        <w:rPr>
          <w:rFonts w:ascii="Palatino Linotype" w:eastAsia="Palatino Linotype" w:hAnsi="Palatino Linotype" w:cs="Palatino Linotype"/>
          <w:b/>
          <w:bCs/>
          <w:color w:val="000000"/>
        </w:rPr>
        <w:t xml:space="preserve"> se advierta la fecha y sello de recepción.</w:t>
      </w:r>
    </w:p>
    <w:p w:rsidR="00E37C9C" w:rsidRDefault="00E37C9C">
      <w:pPr>
        <w:pBdr>
          <w:top w:val="nil"/>
          <w:left w:val="nil"/>
          <w:bottom w:val="nil"/>
          <w:right w:val="nil"/>
          <w:between w:val="nil"/>
        </w:pBdr>
        <w:spacing w:line="360" w:lineRule="auto"/>
        <w:ind w:right="-734"/>
        <w:jc w:val="both"/>
        <w:rPr>
          <w:rFonts w:ascii="Palatino Linotype" w:eastAsia="Palatino Linotype" w:hAnsi="Palatino Linotype" w:cs="Palatino Linotype"/>
          <w:i/>
          <w:iCs/>
          <w:color w:val="000000"/>
        </w:rPr>
      </w:pPr>
    </w:p>
    <w:p w:rsidR="00E37C9C" w:rsidRDefault="002F4E6C">
      <w:pPr>
        <w:numPr>
          <w:ilvl w:val="0"/>
          <w:numId w:val="3"/>
        </w:numPr>
        <w:pBdr>
          <w:top w:val="nil"/>
          <w:left w:val="nil"/>
          <w:bottom w:val="nil"/>
          <w:right w:val="nil"/>
          <w:between w:val="nil"/>
        </w:pBdr>
        <w:spacing w:line="360" w:lineRule="auto"/>
        <w:ind w:left="0" w:right="-734" w:firstLine="0"/>
        <w:jc w:val="both"/>
      </w:pPr>
      <w:r>
        <w:rPr>
          <w:rFonts w:ascii="Palatino Linotype" w:eastAsia="Palatino Linotype" w:hAnsi="Palatino Linotype" w:cs="Palatino Linotype"/>
          <w:color w:val="000000"/>
        </w:rPr>
        <w:t xml:space="preserve">En consecuencia, 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rPr>
        <w:t>brindó</w:t>
      </w:r>
      <w:r>
        <w:rPr>
          <w:rFonts w:ascii="Palatino Linotype" w:eastAsia="Palatino Linotype" w:hAnsi="Palatino Linotype" w:cs="Palatino Linotype"/>
          <w:color w:val="000000"/>
        </w:rPr>
        <w:t xml:space="preserve"> respuesta en términos del numeral cuatro de la presente resolución.</w:t>
      </w:r>
    </w:p>
    <w:p w:rsidR="00E37C9C" w:rsidRDefault="00E37C9C">
      <w:pPr>
        <w:pBdr>
          <w:top w:val="nil"/>
          <w:left w:val="nil"/>
          <w:bottom w:val="nil"/>
          <w:right w:val="nil"/>
          <w:between w:val="nil"/>
        </w:pBdr>
        <w:ind w:left="720" w:right="-734"/>
        <w:rPr>
          <w:rFonts w:ascii="Palatino Linotype" w:eastAsia="Palatino Linotype" w:hAnsi="Palatino Linotype" w:cs="Palatino Linotype"/>
          <w:color w:val="000000"/>
        </w:rPr>
      </w:pPr>
    </w:p>
    <w:p w:rsidR="00E37C9C" w:rsidRDefault="002F4E6C">
      <w:pPr>
        <w:numPr>
          <w:ilvl w:val="0"/>
          <w:numId w:val="3"/>
        </w:numPr>
        <w:pBdr>
          <w:top w:val="nil"/>
          <w:left w:val="nil"/>
          <w:bottom w:val="nil"/>
          <w:right w:val="nil"/>
          <w:between w:val="nil"/>
        </w:pBdr>
        <w:ind w:left="0" w:right="-734" w:firstLine="0"/>
        <w:jc w:val="both"/>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RECURRENTE</w:t>
      </w:r>
      <w:r>
        <w:rPr>
          <w:rFonts w:ascii="Palatino Linotype" w:eastAsia="Palatino Linotype" w:hAnsi="Palatino Linotype" w:cs="Palatino Linotype"/>
          <w:color w:val="000000"/>
        </w:rPr>
        <w:t xml:space="preserve">, se </w:t>
      </w:r>
      <w:r>
        <w:rPr>
          <w:rFonts w:ascii="Palatino Linotype" w:eastAsia="Palatino Linotype" w:hAnsi="Palatino Linotype" w:cs="Palatino Linotype"/>
        </w:rPr>
        <w:t>inconforma</w:t>
      </w:r>
      <w:r>
        <w:rPr>
          <w:rFonts w:ascii="Palatino Linotype" w:eastAsia="Palatino Linotype" w:hAnsi="Palatino Linotype" w:cs="Palatino Linotype"/>
          <w:color w:val="000000"/>
        </w:rPr>
        <w:t xml:space="preserve"> por la entrega de información incompleta, en los siguientes términos: </w:t>
      </w:r>
      <w:r>
        <w:rPr>
          <w:rFonts w:ascii="Palatino Linotype" w:eastAsia="Palatino Linotype" w:hAnsi="Palatino Linotype" w:cs="Palatino Linotype"/>
          <w:i/>
          <w:iCs/>
          <w:color w:val="000000"/>
        </w:rPr>
        <w:t>“En la respuesta del Sujeto Obligado (SO) del día 11 de marzo de 2026, éste anexa a la misma un documento intitulado «Formato de entrega Avisos de Privacidad"» en el cual la Unidad de Transparencia y Acceso a la Información Pública Municipal acusa de recibo a diferentes unidades administrativas el "Aviso de Privacidad" correspondiente a cada una de ellas. Pues bien, en dicho documento no se incluye al área de presidencia municipal, ni a la de cada una de las regidurías, por lo que la respuesta del SO deviene incompleta.” (Sic)</w:t>
      </w:r>
    </w:p>
    <w:p w:rsidR="00E37C9C" w:rsidRDefault="00E37C9C">
      <w:pPr>
        <w:pBdr>
          <w:top w:val="nil"/>
          <w:left w:val="nil"/>
          <w:bottom w:val="nil"/>
          <w:right w:val="nil"/>
          <w:between w:val="nil"/>
        </w:pBdr>
        <w:spacing w:line="360" w:lineRule="auto"/>
        <w:ind w:right="-734"/>
        <w:jc w:val="both"/>
        <w:rPr>
          <w:rFonts w:ascii="Palatino Linotype" w:eastAsia="Palatino Linotype" w:hAnsi="Palatino Linotype" w:cs="Palatino Linotype"/>
          <w:color w:val="FF0000"/>
        </w:rPr>
      </w:pPr>
    </w:p>
    <w:p w:rsidR="00E37C9C" w:rsidRDefault="002F4E6C">
      <w:pPr>
        <w:numPr>
          <w:ilvl w:val="0"/>
          <w:numId w:val="3"/>
        </w:numPr>
        <w:pBdr>
          <w:top w:val="nil"/>
          <w:left w:val="nil"/>
          <w:bottom w:val="nil"/>
          <w:right w:val="nil"/>
          <w:between w:val="nil"/>
        </w:pBdr>
        <w:spacing w:line="360" w:lineRule="auto"/>
        <w:ind w:left="0" w:right="-734" w:firstLine="0"/>
        <w:jc w:val="both"/>
      </w:pPr>
      <w:r>
        <w:rPr>
          <w:rFonts w:ascii="Palatino Linotype" w:eastAsia="Palatino Linotype" w:hAnsi="Palatino Linotype" w:cs="Palatino Linotype"/>
          <w:color w:val="000000"/>
        </w:rPr>
        <w:t xml:space="preserve">En dichas condiciones, la </w:t>
      </w:r>
      <w:r>
        <w:rPr>
          <w:rFonts w:ascii="Palatino Linotype" w:eastAsia="Palatino Linotype" w:hAnsi="Palatino Linotype" w:cs="Palatino Linotype"/>
          <w:i/>
          <w:iCs/>
          <w:color w:val="000000"/>
        </w:rPr>
        <w:t>Litis</w:t>
      </w:r>
      <w:r>
        <w:rPr>
          <w:rFonts w:ascii="Palatino Linotype" w:eastAsia="Palatino Linotype" w:hAnsi="Palatino Linotype" w:cs="Palatino Linotype"/>
          <w:color w:val="000000"/>
        </w:rPr>
        <w:t xml:space="preserve"> a resolver en este recurso se circunscribe a determinar si se actualizan las causales de procedencia previstas en el artículo 179, </w:t>
      </w:r>
      <w:r>
        <w:rPr>
          <w:rFonts w:ascii="Palatino Linotype" w:eastAsia="Palatino Linotype" w:hAnsi="Palatino Linotype" w:cs="Palatino Linotype"/>
          <w:b/>
          <w:bCs/>
          <w:color w:val="000000"/>
        </w:rPr>
        <w:t xml:space="preserve">fracción V </w:t>
      </w:r>
      <w:r>
        <w:rPr>
          <w:rFonts w:ascii="Palatino Linotype" w:eastAsia="Palatino Linotype" w:hAnsi="Palatino Linotype" w:cs="Palatino Linotype"/>
          <w:color w:val="000000"/>
        </w:rPr>
        <w:t>de la Ley</w:t>
      </w:r>
      <w:r>
        <w:rPr>
          <w:rFonts w:ascii="Palatino Linotype" w:eastAsia="Palatino Linotype" w:hAnsi="Palatino Linotype" w:cs="Palatino Linotype"/>
          <w:b/>
          <w:bCs/>
          <w:color w:val="000000"/>
        </w:rPr>
        <w:t xml:space="preserve"> de Transparencia y Acceso a la Información Pública del Estado de </w:t>
      </w:r>
      <w:r>
        <w:rPr>
          <w:rFonts w:ascii="Palatino Linotype" w:eastAsia="Palatino Linotype" w:hAnsi="Palatino Linotype" w:cs="Palatino Linotype"/>
          <w:color w:val="000000"/>
        </w:rPr>
        <w:t>México</w:t>
      </w:r>
      <w:r>
        <w:rPr>
          <w:rFonts w:ascii="Palatino Linotype" w:eastAsia="Palatino Linotype" w:hAnsi="Palatino Linotype" w:cs="Palatino Linotype"/>
          <w:b/>
          <w:bCs/>
          <w:color w:val="000000"/>
        </w:rPr>
        <w:t xml:space="preserve"> y Municipios</w:t>
      </w:r>
      <w:r>
        <w:rPr>
          <w:rFonts w:ascii="Palatino Linotype" w:eastAsia="Palatino Linotype" w:hAnsi="Palatino Linotype" w:cs="Palatino Linotype"/>
          <w:color w:val="000000"/>
        </w:rPr>
        <w:t xml:space="preserve">; fracción que determina la hipótesis jurídica relativa a </w:t>
      </w:r>
      <w:r>
        <w:rPr>
          <w:rFonts w:ascii="Palatino Linotype" w:eastAsia="Palatino Linotype" w:hAnsi="Palatino Linotype" w:cs="Palatino Linotype"/>
          <w:b/>
          <w:bCs/>
          <w:color w:val="000000"/>
        </w:rPr>
        <w:t xml:space="preserve">la entrega de la información incompleta </w:t>
      </w:r>
      <w:r>
        <w:rPr>
          <w:rFonts w:ascii="Palatino Linotype" w:eastAsia="Palatino Linotype" w:hAnsi="Palatino Linotype" w:cs="Palatino Linotype"/>
          <w:color w:val="000000"/>
        </w:rPr>
        <w:t xml:space="preserve">por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contexto del cual se dolió </w:t>
      </w:r>
      <w:r>
        <w:rPr>
          <w:rFonts w:ascii="Palatino Linotype" w:eastAsia="Palatino Linotype" w:hAnsi="Palatino Linotype" w:cs="Palatino Linotype"/>
          <w:b/>
          <w:bCs/>
          <w:color w:val="000000"/>
        </w:rPr>
        <w:t xml:space="preserve">EL RECURRENTE </w:t>
      </w:r>
      <w:r>
        <w:rPr>
          <w:rFonts w:ascii="Palatino Linotype" w:eastAsia="Palatino Linotype" w:hAnsi="Palatino Linotype" w:cs="Palatino Linotype"/>
          <w:color w:val="000000"/>
        </w:rPr>
        <w:t>al momento de interponer su inconformidad.</w:t>
      </w:r>
    </w:p>
    <w:p w:rsidR="00E37C9C" w:rsidRDefault="00E37C9C">
      <w:pPr>
        <w:pBdr>
          <w:top w:val="nil"/>
          <w:left w:val="nil"/>
          <w:bottom w:val="nil"/>
          <w:right w:val="nil"/>
          <w:between w:val="nil"/>
        </w:pBdr>
        <w:spacing w:line="360" w:lineRule="auto"/>
        <w:ind w:right="-734"/>
        <w:jc w:val="both"/>
        <w:rPr>
          <w:rFonts w:ascii="Palatino Linotype" w:eastAsia="Palatino Linotype" w:hAnsi="Palatino Linotype" w:cs="Palatino Linotype"/>
          <w:color w:val="000000"/>
        </w:rPr>
      </w:pPr>
    </w:p>
    <w:p w:rsidR="00E37C9C" w:rsidRDefault="002F4E6C">
      <w:pPr>
        <w:pStyle w:val="Ttulo1"/>
        <w:spacing w:before="0" w:line="360" w:lineRule="auto"/>
        <w:ind w:right="-734"/>
        <w:rPr>
          <w:rFonts w:ascii="Palatino Linotype" w:eastAsia="Palatino Linotype" w:hAnsi="Palatino Linotype" w:cs="Palatino Linotype"/>
          <w:b/>
          <w:bCs/>
          <w:color w:val="000000"/>
          <w:sz w:val="24"/>
          <w:szCs w:val="24"/>
        </w:rPr>
      </w:pPr>
      <w:bookmarkStart w:id="5" w:name="_heading=h.ij0f47segzrf" w:colFirst="0" w:colLast="0"/>
      <w:bookmarkEnd w:id="5"/>
      <w:r>
        <w:rPr>
          <w:rFonts w:ascii="Palatino Linotype" w:eastAsia="Palatino Linotype" w:hAnsi="Palatino Linotype" w:cs="Palatino Linotype"/>
          <w:b/>
          <w:bCs/>
          <w:color w:val="000000"/>
          <w:sz w:val="24"/>
          <w:szCs w:val="24"/>
        </w:rPr>
        <w:t>CUARTO. Del estudio y resolución del recurso de revisión.</w:t>
      </w:r>
    </w:p>
    <w:p w:rsidR="00E37C9C" w:rsidRDefault="002F4E6C">
      <w:pPr>
        <w:keepNext/>
        <w:keepLines/>
        <w:numPr>
          <w:ilvl w:val="0"/>
          <w:numId w:val="6"/>
        </w:numPr>
        <w:spacing w:after="240" w:line="360" w:lineRule="auto"/>
        <w:ind w:left="786" w:right="-734"/>
        <w:rPr>
          <w:rFonts w:ascii="Palatino Linotype" w:eastAsia="Palatino Linotype" w:hAnsi="Palatino Linotype" w:cs="Palatino Linotype"/>
          <w:b/>
          <w:bCs/>
        </w:rPr>
      </w:pPr>
      <w:r>
        <w:rPr>
          <w:rFonts w:ascii="Palatino Linotype" w:eastAsia="Palatino Linotype" w:hAnsi="Palatino Linotype" w:cs="Palatino Linotype"/>
          <w:b/>
          <w:bCs/>
        </w:rPr>
        <w:t>Del derecho de acceso a la información.</w:t>
      </w:r>
    </w:p>
    <w:p w:rsidR="00E37C9C" w:rsidRDefault="002F4E6C">
      <w:pPr>
        <w:numPr>
          <w:ilvl w:val="0"/>
          <w:numId w:val="3"/>
        </w:numPr>
        <w:pBdr>
          <w:top w:val="nil"/>
          <w:left w:val="nil"/>
          <w:bottom w:val="nil"/>
          <w:right w:val="nil"/>
          <w:between w:val="nil"/>
        </w:pBdr>
        <w:spacing w:line="360" w:lineRule="auto"/>
        <w:ind w:left="0" w:right="-734" w:firstLine="0"/>
        <w:jc w:val="both"/>
      </w:pPr>
      <w:r>
        <w:rPr>
          <w:rFonts w:ascii="Palatino Linotype" w:eastAsia="Palatino Linotype" w:hAnsi="Palatino Linotype" w:cs="Palatino Linotype"/>
          <w:color w:val="000000"/>
        </w:rPr>
        <w:t xml:space="preserve">El Derecho de Acceso a la Información Pública, es un derecho humano reconocido en el Pacto de Derechos Civiles y Políticos en su artículo 19.2; en la Convención Americana sobre </w:t>
      </w:r>
      <w:r>
        <w:rPr>
          <w:rFonts w:ascii="Palatino Linotype" w:eastAsia="Palatino Linotype" w:hAnsi="Palatino Linotype" w:cs="Palatino Linotype"/>
          <w:color w:val="000000"/>
        </w:rPr>
        <w:lastRenderedPageBreak/>
        <w:t xml:space="preserve">Derechos Humanos en su artículo 13.1; en el artículo sexto de la Constitución Política de los Estados Unidos Mexicanos y en el artículo quinto de la Particular del Estado de México. </w:t>
      </w:r>
    </w:p>
    <w:p w:rsidR="00E37C9C" w:rsidRDefault="00E37C9C">
      <w:pPr>
        <w:pBdr>
          <w:top w:val="nil"/>
          <w:left w:val="nil"/>
          <w:bottom w:val="nil"/>
          <w:right w:val="nil"/>
          <w:between w:val="nil"/>
        </w:pBdr>
        <w:spacing w:line="360" w:lineRule="auto"/>
        <w:ind w:right="-734"/>
        <w:jc w:val="both"/>
        <w:rPr>
          <w:rFonts w:ascii="Palatino Linotype" w:eastAsia="Palatino Linotype" w:hAnsi="Palatino Linotype" w:cs="Palatino Linotype"/>
          <w:color w:val="000000"/>
        </w:rPr>
      </w:pPr>
    </w:p>
    <w:p w:rsidR="00E37C9C" w:rsidRDefault="002F4E6C">
      <w:pPr>
        <w:numPr>
          <w:ilvl w:val="0"/>
          <w:numId w:val="3"/>
        </w:numPr>
        <w:pBdr>
          <w:top w:val="nil"/>
          <w:left w:val="nil"/>
          <w:bottom w:val="nil"/>
          <w:right w:val="nil"/>
          <w:between w:val="nil"/>
        </w:pBdr>
        <w:spacing w:line="360" w:lineRule="auto"/>
        <w:ind w:left="0" w:right="-734" w:firstLine="0"/>
        <w:jc w:val="both"/>
      </w:pPr>
      <w:r>
        <w:rPr>
          <w:rFonts w:ascii="Palatino Linotype" w:eastAsia="Palatino Linotype" w:hAnsi="Palatino Linotype" w:cs="Palatino Linotype"/>
          <w:color w:val="000000"/>
        </w:rPr>
        <w:t xml:space="preserve">Definiendo el Derecho de Acceso a la Información Pública como: </w:t>
      </w:r>
      <w:r>
        <w:rPr>
          <w:rFonts w:ascii="Palatino Linotype" w:eastAsia="Palatino Linotype" w:hAnsi="Palatino Linotype" w:cs="Palatino Linotype"/>
          <w:i/>
          <w:iCs/>
          <w:color w:val="000000"/>
        </w:rPr>
        <w:t>La igualdad de oportunidades para recibir, buscar e impartir información</w:t>
      </w:r>
      <w:r>
        <w:rPr>
          <w:rFonts w:ascii="Century Gothic" w:eastAsia="Century Gothic" w:hAnsi="Century Gothic" w:cs="Century Gothic"/>
          <w:i/>
          <w:iCs/>
          <w:color w:val="000000"/>
          <w:vertAlign w:val="superscript"/>
        </w:rPr>
        <w:footnoteReference w:id="1"/>
      </w:r>
      <w:r>
        <w:rPr>
          <w:rFonts w:ascii="Palatino Linotype" w:eastAsia="Palatino Linotype" w:hAnsi="Palatino Linotype" w:cs="Palatino Linotype"/>
          <w:i/>
          <w:iCs/>
          <w:color w:val="000000"/>
        </w:rPr>
        <w:t>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w:t>
      </w:r>
      <w:r>
        <w:rPr>
          <w:rFonts w:ascii="Century Gothic" w:eastAsia="Century Gothic" w:hAnsi="Century Gothic" w:cs="Century Gothic"/>
          <w:i/>
          <w:iCs/>
          <w:color w:val="000000"/>
          <w:vertAlign w:val="superscript"/>
        </w:rPr>
        <w:footnoteReference w:id="2"/>
      </w:r>
      <w:r>
        <w:rPr>
          <w:rFonts w:ascii="Palatino Linotype" w:eastAsia="Palatino Linotype" w:hAnsi="Palatino Linotype" w:cs="Palatino Linotype"/>
          <w:color w:val="000000"/>
        </w:rPr>
        <w:t>que se constituye como una herramienta fundamental para ejercer</w:t>
      </w:r>
      <w:r>
        <w:rPr>
          <w:rFonts w:ascii="Palatino Linotype" w:eastAsia="Palatino Linotype" w:hAnsi="Palatino Linotype" w:cs="Palatino Linotype"/>
          <w:i/>
          <w:iCs/>
          <w:color w:val="000000"/>
        </w:rPr>
        <w:t xml:space="preserve"> el control democrático de las gestiones estatales, de forma tal que puedan cuestionar, indagar y considerar si se está dando un adecuado cumplimiento a las funciones públicas,</w:t>
      </w:r>
      <w:r>
        <w:rPr>
          <w:rFonts w:ascii="Century Gothic" w:eastAsia="Century Gothic" w:hAnsi="Century Gothic" w:cs="Century Gothic"/>
          <w:i/>
          <w:iCs/>
          <w:color w:val="000000"/>
          <w:vertAlign w:val="superscript"/>
        </w:rPr>
        <w:footnoteReference w:id="3"/>
      </w:r>
      <w:r>
        <w:rPr>
          <w:rFonts w:ascii="Palatino Linotype" w:eastAsia="Palatino Linotype" w:hAnsi="Palatino Linotype" w:cs="Palatino Linotype"/>
          <w:color w:val="000000"/>
        </w:rPr>
        <w:t>fomentando</w:t>
      </w:r>
      <w:r>
        <w:rPr>
          <w:rFonts w:ascii="Palatino Linotype" w:eastAsia="Palatino Linotype" w:hAnsi="Palatino Linotype" w:cs="Palatino Linotype"/>
          <w:i/>
          <w:iCs/>
          <w:color w:val="000000"/>
        </w:rPr>
        <w:t xml:space="preserve"> la transparencia de las actividades estatales y </w:t>
      </w:r>
      <w:r>
        <w:rPr>
          <w:rFonts w:ascii="Palatino Linotype" w:eastAsia="Palatino Linotype" w:hAnsi="Palatino Linotype" w:cs="Palatino Linotype"/>
          <w:color w:val="000000"/>
        </w:rPr>
        <w:t>promoviendo</w:t>
      </w:r>
      <w:r>
        <w:rPr>
          <w:rFonts w:ascii="Palatino Linotype" w:eastAsia="Palatino Linotype" w:hAnsi="Palatino Linotype" w:cs="Palatino Linotype"/>
          <w:i/>
          <w:iCs/>
          <w:color w:val="000000"/>
        </w:rPr>
        <w:t xml:space="preserve"> la responsabilidad de los funcionarios sobre su gestión pública,</w:t>
      </w:r>
      <w:r>
        <w:rPr>
          <w:rFonts w:ascii="Century Gothic" w:eastAsia="Century Gothic" w:hAnsi="Century Gothic" w:cs="Century Gothic"/>
          <w:i/>
          <w:iCs/>
          <w:color w:val="000000"/>
          <w:vertAlign w:val="superscript"/>
        </w:rPr>
        <w:footnoteReference w:id="4"/>
      </w:r>
      <w:r>
        <w:rPr>
          <w:rFonts w:ascii="Palatino Linotype" w:eastAsia="Palatino Linotype" w:hAnsi="Palatino Linotype" w:cs="Palatino Linotype"/>
          <w:color w:val="000000"/>
        </w:rPr>
        <w:t>que permite</w:t>
      </w:r>
      <w:r>
        <w:rPr>
          <w:rFonts w:ascii="Palatino Linotype" w:eastAsia="Palatino Linotype" w:hAnsi="Palatino Linotype" w:cs="Palatino Linotype"/>
          <w:i/>
          <w:iCs/>
          <w:color w:val="000000"/>
        </w:rPr>
        <w:t xml:space="preserve"> saber qué están haciendo los gobiernos por sus pueblos, sin lo cual la verdad languidecería y la participación en el gobierno permanecería fragmentada.</w:t>
      </w:r>
    </w:p>
    <w:p w:rsidR="00E37C9C" w:rsidRDefault="00E37C9C">
      <w:pPr>
        <w:pBdr>
          <w:top w:val="nil"/>
          <w:left w:val="nil"/>
          <w:bottom w:val="nil"/>
          <w:right w:val="nil"/>
          <w:between w:val="nil"/>
        </w:pBdr>
        <w:spacing w:line="360" w:lineRule="auto"/>
        <w:ind w:right="-734"/>
        <w:jc w:val="both"/>
        <w:rPr>
          <w:rFonts w:ascii="Palatino Linotype" w:eastAsia="Palatino Linotype" w:hAnsi="Palatino Linotype" w:cs="Palatino Linotype"/>
          <w:color w:val="000000"/>
        </w:rPr>
      </w:pPr>
    </w:p>
    <w:p w:rsidR="00E37C9C" w:rsidRDefault="002F4E6C">
      <w:pPr>
        <w:numPr>
          <w:ilvl w:val="0"/>
          <w:numId w:val="3"/>
        </w:numPr>
        <w:spacing w:line="360" w:lineRule="auto"/>
        <w:ind w:left="0" w:right="-734" w:firstLine="0"/>
        <w:jc w:val="both"/>
      </w:pPr>
      <w:r>
        <w:rPr>
          <w:rFonts w:ascii="Palatino Linotype" w:eastAsia="Palatino Linotype" w:hAnsi="Palatino Linotype" w:cs="Palatino Linotype"/>
        </w:rPr>
        <w:t>En México, además de los derechos, están reconocidas las garantías para su protección, en ese sentido el párrafo tercero de artículo primero de la Constitución Política de los Estados Unidos Mexicanos dispone lo siguiente:</w:t>
      </w:r>
    </w:p>
    <w:p w:rsidR="00E37C9C" w:rsidRDefault="002F4E6C">
      <w:pPr>
        <w:tabs>
          <w:tab w:val="left" w:pos="7655"/>
        </w:tabs>
        <w:ind w:left="567" w:right="-734"/>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Artículo 1.-</w:t>
      </w:r>
      <w:r>
        <w:rPr>
          <w:rFonts w:ascii="Palatino Linotype" w:eastAsia="Palatino Linotype" w:hAnsi="Palatino Linotype" w:cs="Palatino Linotype"/>
          <w:i/>
          <w:iCs/>
        </w:rPr>
        <w:t xml:space="preserve"> </w:t>
      </w:r>
    </w:p>
    <w:p w:rsidR="00E37C9C" w:rsidRDefault="002F4E6C">
      <w:pPr>
        <w:tabs>
          <w:tab w:val="left" w:pos="7655"/>
        </w:tabs>
        <w:ind w:left="567" w:right="-734"/>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E37C9C" w:rsidRDefault="002F4E6C">
      <w:pPr>
        <w:tabs>
          <w:tab w:val="left" w:pos="7655"/>
        </w:tabs>
        <w:ind w:left="567" w:right="-734"/>
        <w:jc w:val="both"/>
        <w:rPr>
          <w:rFonts w:ascii="Palatino Linotype" w:eastAsia="Palatino Linotype" w:hAnsi="Palatino Linotype" w:cs="Palatino Linotype"/>
          <w:i/>
          <w:iCs/>
        </w:rPr>
      </w:pPr>
      <w:r>
        <w:rPr>
          <w:rFonts w:ascii="Palatino Linotype" w:eastAsia="Palatino Linotype" w:hAnsi="Palatino Linotype" w:cs="Palatino Linotype"/>
          <w:i/>
          <w:iCs/>
        </w:rPr>
        <w:t>Todas las</w:t>
      </w:r>
      <w:r>
        <w:rPr>
          <w:rFonts w:ascii="Palatino Linotype" w:eastAsia="Palatino Linotype" w:hAnsi="Palatino Linotype" w:cs="Palatino Linotype"/>
        </w:rPr>
        <w:t xml:space="preserve"> </w:t>
      </w:r>
      <w:r>
        <w:rPr>
          <w:rFonts w:ascii="Palatino Linotype" w:eastAsia="Palatino Linotype" w:hAnsi="Palatino Linotype" w:cs="Palatino Linotype"/>
          <w:i/>
          <w:iCs/>
        </w:rPr>
        <w:t xml:space="preserve">autoridades, en el ámbito de sus competencias, tienen la obligación de promover, respetar, proteger y garantizar los derechos humanos de conformidad con los principios de universalidad, interdependencia, indivisibilidad y progresividad. En consecuencia, el Estado </w:t>
      </w:r>
      <w:r>
        <w:rPr>
          <w:rFonts w:ascii="Palatino Linotype" w:eastAsia="Palatino Linotype" w:hAnsi="Palatino Linotype" w:cs="Palatino Linotype"/>
          <w:i/>
          <w:iCs/>
        </w:rPr>
        <w:lastRenderedPageBreak/>
        <w:t>deberá prevenir, investigar, sancionar y reparar las violaciones a los derechos humanos, en los términos que establezca la ley.</w:t>
      </w:r>
    </w:p>
    <w:p w:rsidR="00E37C9C" w:rsidRDefault="002F4E6C">
      <w:pPr>
        <w:tabs>
          <w:tab w:val="left" w:pos="7655"/>
        </w:tabs>
        <w:ind w:left="567" w:right="-734"/>
        <w:jc w:val="both"/>
        <w:rPr>
          <w:rFonts w:ascii="Palatino Linotype" w:eastAsia="Palatino Linotype" w:hAnsi="Palatino Linotype" w:cs="Palatino Linotype"/>
        </w:rPr>
      </w:pPr>
      <w:r>
        <w:rPr>
          <w:rFonts w:ascii="Palatino Linotype" w:eastAsia="Palatino Linotype" w:hAnsi="Palatino Linotype" w:cs="Palatino Linotype"/>
          <w:i/>
          <w:iCs/>
        </w:rPr>
        <w:t>(…)</w:t>
      </w:r>
      <w:r>
        <w:rPr>
          <w:rFonts w:ascii="Palatino Linotype" w:eastAsia="Palatino Linotype" w:hAnsi="Palatino Linotype" w:cs="Palatino Linotype"/>
        </w:rPr>
        <w:t>”.</w:t>
      </w:r>
    </w:p>
    <w:p w:rsidR="00E37C9C" w:rsidRDefault="00E37C9C">
      <w:pPr>
        <w:spacing w:line="360" w:lineRule="auto"/>
        <w:ind w:right="-734"/>
        <w:jc w:val="both"/>
        <w:rPr>
          <w:rFonts w:ascii="Palatino Linotype" w:eastAsia="Palatino Linotype" w:hAnsi="Palatino Linotype" w:cs="Palatino Linotype"/>
        </w:rPr>
      </w:pPr>
    </w:p>
    <w:p w:rsidR="00E37C9C" w:rsidRDefault="002F4E6C">
      <w:pPr>
        <w:numPr>
          <w:ilvl w:val="0"/>
          <w:numId w:val="3"/>
        </w:numPr>
        <w:spacing w:line="360" w:lineRule="auto"/>
        <w:ind w:left="0" w:right="-734" w:firstLine="0"/>
        <w:jc w:val="both"/>
      </w:pPr>
      <w:r>
        <w:rPr>
          <w:rFonts w:ascii="Palatino Linotype" w:eastAsia="Palatino Linotype" w:hAnsi="Palatino Linotype" w:cs="Palatino Linotype"/>
        </w:rPr>
        <w:t>Por lo anterior, se deduce que el Derecho de Acceso a la Información Pública es un Derecho Humano de Fuente Internacional y Constitucionalmente reconocido. Además del derecho, también se reconocen garantías para su protección, lo que vincula con el mandato del párrafo tercero del mismo artículo.</w:t>
      </w:r>
    </w:p>
    <w:p w:rsidR="00E37C9C" w:rsidRDefault="00E37C9C">
      <w:pPr>
        <w:pBdr>
          <w:top w:val="nil"/>
          <w:left w:val="nil"/>
          <w:bottom w:val="nil"/>
          <w:right w:val="nil"/>
          <w:between w:val="nil"/>
        </w:pBdr>
        <w:spacing w:line="360" w:lineRule="auto"/>
        <w:ind w:right="-734"/>
        <w:jc w:val="both"/>
        <w:rPr>
          <w:rFonts w:ascii="Palatino Linotype" w:eastAsia="Palatino Linotype" w:hAnsi="Palatino Linotype" w:cs="Palatino Linotype"/>
          <w:color w:val="000000"/>
        </w:rPr>
      </w:pPr>
    </w:p>
    <w:p w:rsidR="00E37C9C" w:rsidRDefault="002F4E6C">
      <w:pPr>
        <w:numPr>
          <w:ilvl w:val="0"/>
          <w:numId w:val="3"/>
        </w:numPr>
        <w:spacing w:line="360" w:lineRule="auto"/>
        <w:ind w:left="0" w:right="-734" w:firstLine="0"/>
        <w:jc w:val="both"/>
      </w:pPr>
      <w:r>
        <w:rPr>
          <w:rFonts w:ascii="Palatino Linotype" w:eastAsia="Palatino Linotype" w:hAnsi="Palatino Linotype" w:cs="Palatino Linotype"/>
        </w:rPr>
        <w:t>Así, conforme a la Constitución Política de las Estado Unidos Mexicanos y la Constitución Política del Estado Libre y Soberano de México respectivamente, el cumplimiento de las garantías primarias, entendidas como obligaciones inmediatamente relacionadas con el Derecho de Acceso a la Información Pública, permiten que todas las autoridades, en el ámbito de sus atribuciones lo respeten, protejan y garanticen.</w:t>
      </w:r>
    </w:p>
    <w:p w:rsidR="00E37C9C" w:rsidRDefault="002F4E6C">
      <w:pPr>
        <w:spacing w:after="240"/>
        <w:ind w:left="567" w:right="-734"/>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Constitución Política de los Estados Unidos Mexicanos</w:t>
      </w:r>
    </w:p>
    <w:p w:rsidR="00E37C9C" w:rsidRDefault="002F4E6C">
      <w:pPr>
        <w:spacing w:before="240" w:after="240"/>
        <w:ind w:left="567" w:right="-734"/>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“Artículo 6.</w:t>
      </w:r>
    </w:p>
    <w:p w:rsidR="00E37C9C" w:rsidRDefault="002F4E6C">
      <w:pPr>
        <w:spacing w:before="240" w:after="240"/>
        <w:ind w:left="567" w:right="-734"/>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E37C9C" w:rsidRDefault="002F4E6C">
      <w:pPr>
        <w:spacing w:before="240" w:after="240"/>
        <w:ind w:left="567" w:right="-734"/>
        <w:jc w:val="both"/>
        <w:rPr>
          <w:rFonts w:ascii="Palatino Linotype" w:eastAsia="Palatino Linotype" w:hAnsi="Palatino Linotype" w:cs="Palatino Linotype"/>
          <w:i/>
          <w:iCs/>
        </w:rPr>
      </w:pPr>
      <w:r>
        <w:rPr>
          <w:rFonts w:ascii="Palatino Linotype" w:eastAsia="Palatino Linotype" w:hAnsi="Palatino Linotype" w:cs="Palatino Linotype"/>
          <w:i/>
          <w:iCs/>
        </w:rPr>
        <w:t>Para efectos de lo dispuesto en el presente artículo se observará lo siguiente:</w:t>
      </w:r>
    </w:p>
    <w:p w:rsidR="00E37C9C" w:rsidRDefault="002F4E6C">
      <w:pPr>
        <w:spacing w:before="240" w:after="240"/>
        <w:ind w:left="567" w:right="-734"/>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A</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Para el ejercicio del derecho de acceso a la información</w:t>
      </w:r>
      <w:r>
        <w:rPr>
          <w:rFonts w:ascii="Palatino Linotype" w:eastAsia="Palatino Linotype" w:hAnsi="Palatino Linotype" w:cs="Palatino Linotype"/>
          <w:i/>
          <w:iCs/>
        </w:rPr>
        <w:t xml:space="preserve">, la Federación y </w:t>
      </w:r>
      <w:r>
        <w:rPr>
          <w:rFonts w:ascii="Palatino Linotype" w:eastAsia="Palatino Linotype" w:hAnsi="Palatino Linotype" w:cs="Palatino Linotype"/>
          <w:b/>
          <w:bCs/>
          <w:i/>
          <w:iCs/>
        </w:rPr>
        <w:t>las entidades federativas, en el ámbito de sus respectivas competencias, se regirán por los siguientes principios y bases:</w:t>
      </w:r>
    </w:p>
    <w:p w:rsidR="00E37C9C" w:rsidRDefault="002F4E6C">
      <w:pPr>
        <w:spacing w:before="240" w:after="240"/>
        <w:ind w:left="567" w:right="-734"/>
        <w:jc w:val="both"/>
        <w:rPr>
          <w:rFonts w:ascii="Palatino Linotype" w:eastAsia="Palatino Linotype" w:hAnsi="Palatino Linotype" w:cs="Palatino Linotype"/>
          <w:i/>
          <w:iCs/>
        </w:rPr>
      </w:pPr>
      <w:r>
        <w:rPr>
          <w:rFonts w:ascii="Palatino Linotype" w:eastAsia="Palatino Linotype" w:hAnsi="Palatino Linotype" w:cs="Palatino Linotype"/>
          <w:b/>
          <w:bCs/>
          <w:i/>
          <w:iCs/>
        </w:rPr>
        <w:t>I. Toda la información en posesión de cualquier</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autoridad</w:t>
      </w:r>
      <w:r>
        <w:rPr>
          <w:rFonts w:ascii="Palatino Linotype" w:eastAsia="Palatino Linotype" w:hAnsi="Palatino Linotype" w:cs="Palatino Linotype"/>
          <w:i/>
          <w:iCs/>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Pr>
          <w:rFonts w:ascii="Palatino Linotype" w:eastAsia="Palatino Linotype" w:hAnsi="Palatino Linotype" w:cs="Palatino Linotype"/>
          <w:b/>
          <w:bCs/>
          <w:i/>
          <w:iCs/>
        </w:rPr>
        <w:t>municipal</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es pública</w:t>
      </w:r>
      <w:r>
        <w:rPr>
          <w:rFonts w:ascii="Palatino Linotype" w:eastAsia="Palatino Linotype" w:hAnsi="Palatino Linotype" w:cs="Palatino Linotype"/>
          <w:i/>
          <w:iCs/>
        </w:rPr>
        <w:t xml:space="preserve"> y sólo podrá ser reservada temporalmente por razones de interés público y seguridad nacional, en los términos que fijen las leyes. </w:t>
      </w:r>
      <w:r>
        <w:rPr>
          <w:rFonts w:ascii="Palatino Linotype" w:eastAsia="Palatino Linotype" w:hAnsi="Palatino Linotype" w:cs="Palatino Linotype"/>
          <w:b/>
          <w:bCs/>
          <w:i/>
          <w:iCs/>
        </w:rPr>
        <w:t xml:space="preserve">En la interpretación de este derecho deberá </w:t>
      </w:r>
      <w:r>
        <w:rPr>
          <w:rFonts w:ascii="Palatino Linotype" w:eastAsia="Palatino Linotype" w:hAnsi="Palatino Linotype" w:cs="Palatino Linotype"/>
          <w:b/>
          <w:bCs/>
          <w:i/>
          <w:iCs/>
        </w:rPr>
        <w:lastRenderedPageBreak/>
        <w:t>prevalecer el principio de máxima publicidad. Los sujetos obligados deberán documentar todo acto que derive del ejercicio de sus facultades, competencias o funciones</w:t>
      </w:r>
      <w:r>
        <w:rPr>
          <w:rFonts w:ascii="Palatino Linotype" w:eastAsia="Palatino Linotype" w:hAnsi="Palatino Linotype" w:cs="Palatino Linotype"/>
          <w:i/>
          <w:iCs/>
        </w:rPr>
        <w:t>, la ley determinará los supuestos específicos bajo los cuales procederá la declaración de inexistencia de la información.”</w:t>
      </w:r>
    </w:p>
    <w:p w:rsidR="00E37C9C" w:rsidRDefault="00E37C9C">
      <w:pPr>
        <w:tabs>
          <w:tab w:val="left" w:pos="567"/>
        </w:tabs>
        <w:spacing w:before="240"/>
        <w:ind w:left="567" w:right="-734"/>
        <w:jc w:val="both"/>
        <w:rPr>
          <w:rFonts w:ascii="Palatino Linotype" w:eastAsia="Palatino Linotype" w:hAnsi="Palatino Linotype" w:cs="Palatino Linotype"/>
          <w:b/>
          <w:bCs/>
          <w:i/>
          <w:iCs/>
        </w:rPr>
      </w:pPr>
    </w:p>
    <w:p w:rsidR="00E37C9C" w:rsidRDefault="002F4E6C">
      <w:pPr>
        <w:spacing w:after="240"/>
        <w:ind w:left="567" w:right="-734"/>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Constitución Política del Estado Libre y Soberano de México</w:t>
      </w:r>
    </w:p>
    <w:p w:rsidR="00E37C9C" w:rsidRDefault="002F4E6C">
      <w:pPr>
        <w:spacing w:before="240" w:after="240"/>
        <w:ind w:left="567" w:right="-734"/>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5</w:t>
      </w:r>
      <w:r>
        <w:rPr>
          <w:rFonts w:ascii="Palatino Linotype" w:eastAsia="Palatino Linotype" w:hAnsi="Palatino Linotype" w:cs="Palatino Linotype"/>
          <w:i/>
          <w:iCs/>
        </w:rPr>
        <w:t xml:space="preserve">.- </w:t>
      </w:r>
    </w:p>
    <w:p w:rsidR="00E37C9C" w:rsidRDefault="002F4E6C">
      <w:pPr>
        <w:spacing w:before="240" w:after="240"/>
        <w:ind w:left="567" w:right="-734"/>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E37C9C" w:rsidRDefault="002F4E6C">
      <w:pPr>
        <w:spacing w:before="240" w:after="240"/>
        <w:ind w:left="567" w:right="-734"/>
        <w:jc w:val="both"/>
        <w:rPr>
          <w:rFonts w:ascii="Palatino Linotype" w:eastAsia="Palatino Linotype" w:hAnsi="Palatino Linotype" w:cs="Palatino Linotype"/>
          <w:i/>
          <w:iCs/>
        </w:rPr>
      </w:pPr>
      <w:r>
        <w:rPr>
          <w:rFonts w:ascii="Palatino Linotype" w:eastAsia="Palatino Linotype" w:hAnsi="Palatino Linotype" w:cs="Palatino Linotype"/>
          <w:b/>
          <w:bCs/>
          <w:i/>
          <w:iCs/>
        </w:rPr>
        <w:t>El derecho a la información será garantizado por el Estado. La ley establecerá las previsiones que permitan asegurar la protección, el respeto y la difusión de este derecho</w:t>
      </w:r>
      <w:r>
        <w:rPr>
          <w:rFonts w:ascii="Palatino Linotype" w:eastAsia="Palatino Linotype" w:hAnsi="Palatino Linotype" w:cs="Palatino Linotype"/>
          <w:i/>
          <w:iCs/>
        </w:rPr>
        <w:t>.</w:t>
      </w:r>
    </w:p>
    <w:p w:rsidR="00E37C9C" w:rsidRDefault="002F4E6C">
      <w:pPr>
        <w:spacing w:before="240" w:after="240"/>
        <w:ind w:left="567" w:right="-734"/>
        <w:jc w:val="both"/>
        <w:rPr>
          <w:rFonts w:ascii="Palatino Linotype" w:eastAsia="Palatino Linotype" w:hAnsi="Palatino Linotype" w:cs="Palatino Linotype"/>
          <w:i/>
          <w:iCs/>
        </w:rPr>
      </w:pPr>
      <w:r>
        <w:rPr>
          <w:rFonts w:ascii="Palatino Linotype" w:eastAsia="Palatino Linotype" w:hAnsi="Palatino Linotype" w:cs="Palatino Linotype"/>
          <w:i/>
          <w:iCs/>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rsidR="00E37C9C" w:rsidRDefault="002F4E6C">
      <w:pPr>
        <w:spacing w:before="240" w:after="240"/>
        <w:ind w:left="567" w:right="-734"/>
        <w:jc w:val="both"/>
        <w:rPr>
          <w:rFonts w:ascii="Palatino Linotype" w:eastAsia="Palatino Linotype" w:hAnsi="Palatino Linotype" w:cs="Palatino Linotype"/>
          <w:i/>
          <w:iCs/>
        </w:rPr>
      </w:pPr>
      <w:r>
        <w:rPr>
          <w:rFonts w:ascii="Palatino Linotype" w:eastAsia="Palatino Linotype" w:hAnsi="Palatino Linotype" w:cs="Palatino Linotype"/>
          <w:b/>
          <w:bCs/>
          <w:i/>
          <w:iCs/>
        </w:rPr>
        <w:t>Este derecho se regirá por los principios y bases siguientes</w:t>
      </w:r>
      <w:r>
        <w:rPr>
          <w:rFonts w:ascii="Palatino Linotype" w:eastAsia="Palatino Linotype" w:hAnsi="Palatino Linotype" w:cs="Palatino Linotype"/>
          <w:i/>
          <w:iCs/>
        </w:rPr>
        <w:t>:</w:t>
      </w:r>
    </w:p>
    <w:p w:rsidR="00E37C9C" w:rsidRDefault="002F4E6C">
      <w:pPr>
        <w:spacing w:before="240" w:after="240"/>
        <w:ind w:left="567" w:right="-734"/>
        <w:jc w:val="both"/>
        <w:rPr>
          <w:rFonts w:ascii="Palatino Linotype" w:eastAsia="Palatino Linotype" w:hAnsi="Palatino Linotype" w:cs="Palatino Linotype"/>
          <w:i/>
          <w:iCs/>
        </w:rPr>
      </w:pPr>
      <w:r>
        <w:rPr>
          <w:rFonts w:ascii="Palatino Linotype" w:eastAsia="Palatino Linotype" w:hAnsi="Palatino Linotype" w:cs="Palatino Linotype"/>
          <w:b/>
          <w:bCs/>
          <w:i/>
          <w:iCs/>
        </w:rPr>
        <w:t>I. Toda la información en posesión de cualquier autoridad, entidad, órgano y organismos de los</w:t>
      </w:r>
      <w:r>
        <w:rPr>
          <w:rFonts w:ascii="Palatino Linotype" w:eastAsia="Palatino Linotype" w:hAnsi="Palatino Linotype" w:cs="Palatino Linotype"/>
          <w:i/>
          <w:iCs/>
        </w:rPr>
        <w:t xml:space="preserve"> Poderes Ejecutivo, Legislativo y Judicial, órganos autónomos, partidos políticos, fideicomisos y fondos públicos estatales y </w:t>
      </w:r>
      <w:r>
        <w:rPr>
          <w:rFonts w:ascii="Palatino Linotype" w:eastAsia="Palatino Linotype" w:hAnsi="Palatino Linotype" w:cs="Palatino Linotype"/>
          <w:b/>
          <w:bCs/>
          <w:i/>
          <w:iCs/>
        </w:rPr>
        <w:t>municipales</w:t>
      </w:r>
      <w:r>
        <w:rPr>
          <w:rFonts w:ascii="Palatino Linotype" w:eastAsia="Palatino Linotype" w:hAnsi="Palatino Linotype" w:cs="Palatino Linotype"/>
          <w:i/>
          <w:iCs/>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Pr>
          <w:rFonts w:ascii="Palatino Linotype" w:eastAsia="Palatino Linotype" w:hAnsi="Palatino Linotype" w:cs="Palatino Linotype"/>
          <w:b/>
          <w:bCs/>
          <w:i/>
          <w:iCs/>
        </w:rPr>
        <w:t>es pública</w:t>
      </w:r>
      <w:r>
        <w:rPr>
          <w:rFonts w:ascii="Palatino Linotype" w:eastAsia="Palatino Linotype" w:hAnsi="Palatino Linotype" w:cs="Palatino Linotype"/>
          <w:i/>
          <w:iCs/>
        </w:rPr>
        <w:t xml:space="preserve"> y sólo podrá ser reservada temporalmente por razones previstas en la Constitución Política de los Estados Unidos Mexicanos de interés público y seguridad, en los términos que fijen las leyes. </w:t>
      </w:r>
      <w:r>
        <w:rPr>
          <w:rFonts w:ascii="Palatino Linotype" w:eastAsia="Palatino Linotype" w:hAnsi="Palatino Linotype" w:cs="Palatino Linotype"/>
          <w:b/>
          <w:bCs/>
          <w:i/>
          <w:iCs/>
        </w:rPr>
        <w:t>En la interpretación de este derecho deberá prevalecer el principio de máxima publicidad</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Los sujetos obligados deberán documentar todo acto que derive del ejercicio de sus facultades, competencias o funciones</w:t>
      </w:r>
      <w:r>
        <w:rPr>
          <w:rFonts w:ascii="Palatino Linotype" w:eastAsia="Palatino Linotype" w:hAnsi="Palatino Linotype" w:cs="Palatino Linotype"/>
          <w:i/>
          <w:iCs/>
        </w:rPr>
        <w:t>, la ley determinará los supuestos específicos bajo los cuales procederá la declaración de inexistencia de la información.”</w:t>
      </w:r>
    </w:p>
    <w:p w:rsidR="00E37C9C" w:rsidRDefault="002F4E6C">
      <w:pPr>
        <w:numPr>
          <w:ilvl w:val="0"/>
          <w:numId w:val="3"/>
        </w:numPr>
        <w:spacing w:before="240" w:line="360" w:lineRule="auto"/>
        <w:ind w:left="0" w:right="-734" w:firstLine="0"/>
        <w:jc w:val="both"/>
      </w:pPr>
      <w:r>
        <w:rPr>
          <w:rFonts w:ascii="Palatino Linotype" w:eastAsia="Palatino Linotype" w:hAnsi="Palatino Linotype" w:cs="Palatino Linotype"/>
        </w:rPr>
        <w:t xml:space="preserve">Según el artículo 150 de la Ley de Transparencia del Estado, la solicitud es la garantía primaria del Derecho de Acceso a la Información, además, establece que se regirá </w:t>
      </w:r>
      <w:r>
        <w:rPr>
          <w:rFonts w:ascii="Palatino Linotype" w:eastAsia="Palatino Linotype" w:hAnsi="Palatino Linotype" w:cs="Palatino Linotype"/>
          <w:i/>
          <w:iCs/>
        </w:rPr>
        <w:t xml:space="preserve">por los </w:t>
      </w:r>
      <w:r>
        <w:rPr>
          <w:rFonts w:ascii="Palatino Linotype" w:eastAsia="Palatino Linotype" w:hAnsi="Palatino Linotype" w:cs="Palatino Linotype"/>
          <w:i/>
          <w:iCs/>
        </w:rPr>
        <w:lastRenderedPageBreak/>
        <w:t>principios de simplicidad, rapidez gratuidad del procedimiento, auxilio y orientación a los particulares</w:t>
      </w:r>
      <w:r>
        <w:rPr>
          <w:rFonts w:ascii="Palatino Linotype" w:eastAsia="Palatino Linotype" w:hAnsi="Palatino Linotype" w:cs="Palatino Linotype"/>
        </w:rPr>
        <w:t>, contemplando el derecho de las personas con discapacidad y hablantes de lengua indígena.</w:t>
      </w:r>
    </w:p>
    <w:p w:rsidR="00E37C9C" w:rsidRDefault="00E37C9C">
      <w:pPr>
        <w:spacing w:before="240" w:line="360" w:lineRule="auto"/>
        <w:ind w:right="-734"/>
        <w:jc w:val="both"/>
        <w:rPr>
          <w:rFonts w:ascii="Palatino Linotype" w:eastAsia="Palatino Linotype" w:hAnsi="Palatino Linotype" w:cs="Palatino Linotype"/>
        </w:rPr>
      </w:pPr>
    </w:p>
    <w:p w:rsidR="00E37C9C" w:rsidRDefault="002F4E6C">
      <w:pPr>
        <w:numPr>
          <w:ilvl w:val="0"/>
          <w:numId w:val="3"/>
        </w:numPr>
        <w:spacing w:line="360" w:lineRule="auto"/>
        <w:ind w:left="0" w:right="-734" w:firstLine="0"/>
        <w:jc w:val="both"/>
      </w:pPr>
      <w:r>
        <w:rPr>
          <w:rFonts w:ascii="Palatino Linotype" w:eastAsia="Palatino Linotype" w:hAnsi="Palatino Linotype" w:cs="Palatino Linotype"/>
        </w:rPr>
        <w:t xml:space="preserve">El Derecho de Acceso a la Información se garantiza y respeta oportunamente, y según lo que dispone la Ley, las </w:t>
      </w:r>
      <w:r>
        <w:rPr>
          <w:rFonts w:ascii="Palatino Linotype" w:eastAsia="Palatino Linotype" w:hAnsi="Palatino Linotype" w:cs="Palatino Linotype"/>
          <w:i/>
          <w:iCs/>
        </w:rPr>
        <w:t>solicitudes de acceso a la información</w:t>
      </w:r>
      <w:r>
        <w:rPr>
          <w:rFonts w:ascii="Palatino Linotype" w:eastAsia="Palatino Linotype" w:hAnsi="Palatino Linotype" w:cs="Palatino Linotype"/>
        </w:rPr>
        <w:t>.</w:t>
      </w:r>
    </w:p>
    <w:p w:rsidR="00E37C9C" w:rsidRDefault="00E37C9C">
      <w:pPr>
        <w:pBdr>
          <w:top w:val="nil"/>
          <w:left w:val="nil"/>
          <w:bottom w:val="nil"/>
          <w:right w:val="nil"/>
          <w:between w:val="nil"/>
        </w:pBdr>
        <w:ind w:left="720" w:right="-734"/>
        <w:rPr>
          <w:rFonts w:ascii="Palatino Linotype" w:eastAsia="Palatino Linotype" w:hAnsi="Palatino Linotype" w:cs="Palatino Linotype"/>
          <w:color w:val="000000"/>
        </w:rPr>
      </w:pPr>
    </w:p>
    <w:p w:rsidR="00E37C9C" w:rsidRDefault="002F4E6C">
      <w:pPr>
        <w:numPr>
          <w:ilvl w:val="0"/>
          <w:numId w:val="3"/>
        </w:numPr>
        <w:spacing w:line="360" w:lineRule="auto"/>
        <w:ind w:left="0" w:right="-734" w:firstLine="0"/>
        <w:jc w:val="both"/>
      </w:pPr>
      <w:r>
        <w:rPr>
          <w:rFonts w:ascii="Palatino Linotype" w:eastAsia="Palatino Linotype" w:hAnsi="Palatino Linotype" w:cs="Palatino Linotype"/>
        </w:rPr>
        <w:t xml:space="preserve">Así entonces, se procede analizar, en primer lugar, si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al atender la solicitud de acceso a la información, satisfizo la garantía primaria del derecho según lo dispuesto por el artículo 150 de la Ley de Transparencia y Acceso a la Información Pública del Estado de México y Municipios y en segundo término si cumplió con su deber de respetar y garantizar el derecho, entregando la información solicitada.</w:t>
      </w:r>
    </w:p>
    <w:p w:rsidR="00E37C9C" w:rsidRDefault="00E37C9C">
      <w:pPr>
        <w:pBdr>
          <w:top w:val="nil"/>
          <w:left w:val="nil"/>
          <w:bottom w:val="nil"/>
          <w:right w:val="nil"/>
          <w:between w:val="nil"/>
        </w:pBdr>
        <w:ind w:left="720" w:right="-734"/>
        <w:rPr>
          <w:rFonts w:ascii="Palatino Linotype" w:eastAsia="Palatino Linotype" w:hAnsi="Palatino Linotype" w:cs="Palatino Linotype"/>
          <w:color w:val="000000"/>
        </w:rPr>
      </w:pPr>
    </w:p>
    <w:p w:rsidR="00E37C9C" w:rsidRDefault="002F4E6C">
      <w:pPr>
        <w:keepNext/>
        <w:keepLines/>
        <w:spacing w:after="240" w:line="360" w:lineRule="auto"/>
        <w:ind w:right="-734"/>
        <w:rPr>
          <w:rFonts w:ascii="Palatino Linotype" w:eastAsia="Palatino Linotype" w:hAnsi="Palatino Linotype" w:cs="Palatino Linotype"/>
          <w:b/>
          <w:bCs/>
        </w:rPr>
      </w:pPr>
      <w:r>
        <w:rPr>
          <w:rFonts w:ascii="Palatino Linotype" w:eastAsia="Palatino Linotype" w:hAnsi="Palatino Linotype" w:cs="Palatino Linotype"/>
          <w:b/>
          <w:bCs/>
        </w:rPr>
        <w:t>II. De la información solicitada y la respuesta del SUJETO OBLIGADO</w:t>
      </w:r>
    </w:p>
    <w:p w:rsidR="00E37C9C" w:rsidRDefault="002F4E6C">
      <w:pPr>
        <w:numPr>
          <w:ilvl w:val="0"/>
          <w:numId w:val="3"/>
        </w:numPr>
        <w:pBdr>
          <w:top w:val="nil"/>
          <w:left w:val="nil"/>
          <w:bottom w:val="nil"/>
          <w:right w:val="nil"/>
          <w:between w:val="nil"/>
        </w:pBdr>
        <w:spacing w:line="360" w:lineRule="auto"/>
        <w:ind w:left="0" w:right="-734" w:firstLine="0"/>
        <w:jc w:val="both"/>
      </w:pPr>
      <w:r>
        <w:rPr>
          <w:rFonts w:ascii="Palatino Linotype" w:eastAsia="Palatino Linotype" w:hAnsi="Palatino Linotype" w:cs="Palatino Linotype"/>
          <w:color w:val="000000"/>
        </w:rPr>
        <w:t>Derivado del Planteamiento de la Litis, se procede a analizar el contenido íntegro de las actuaciones que obran en el expediente electrónico y con ello, este Órgano Garante dicte la resolución correspondiente, tomando en consideración los elementos aportados por las partes y apegándose en todo momento al principio de máxima publicidad, de acuerdo con lo establecido en el artículo 8 de la Ley de Transparencia y Acceso a la Información Pública del Estado de México y Municipios.</w:t>
      </w:r>
    </w:p>
    <w:p w:rsidR="00E37C9C" w:rsidRDefault="00E37C9C">
      <w:pPr>
        <w:pBdr>
          <w:top w:val="nil"/>
          <w:left w:val="nil"/>
          <w:bottom w:val="nil"/>
          <w:right w:val="nil"/>
          <w:between w:val="nil"/>
        </w:pBdr>
        <w:spacing w:line="360" w:lineRule="auto"/>
        <w:ind w:right="-734"/>
        <w:jc w:val="both"/>
        <w:rPr>
          <w:rFonts w:ascii="Palatino Linotype" w:eastAsia="Palatino Linotype" w:hAnsi="Palatino Linotype" w:cs="Palatino Linotype"/>
          <w:color w:val="000000"/>
        </w:rPr>
      </w:pPr>
    </w:p>
    <w:p w:rsidR="00E37C9C" w:rsidRDefault="002F4E6C">
      <w:pPr>
        <w:numPr>
          <w:ilvl w:val="0"/>
          <w:numId w:val="3"/>
        </w:numPr>
        <w:pBdr>
          <w:top w:val="nil"/>
          <w:left w:val="nil"/>
          <w:bottom w:val="nil"/>
          <w:right w:val="nil"/>
          <w:between w:val="nil"/>
        </w:pBdr>
        <w:spacing w:line="360" w:lineRule="auto"/>
        <w:ind w:left="0" w:right="-734" w:firstLine="0"/>
        <w:jc w:val="both"/>
      </w:pPr>
      <w:r>
        <w:rPr>
          <w:rFonts w:ascii="Palatino Linotype" w:eastAsia="Palatino Linotype" w:hAnsi="Palatino Linotype" w:cs="Palatino Linotype"/>
          <w:color w:val="000000"/>
        </w:rPr>
        <w:t>Para efectos de estudio es conveniente reiterar que el solicitante requirió:</w:t>
      </w:r>
    </w:p>
    <w:p w:rsidR="00E37C9C" w:rsidRDefault="002F4E6C">
      <w:pPr>
        <w:numPr>
          <w:ilvl w:val="0"/>
          <w:numId w:val="4"/>
        </w:numPr>
        <w:pBdr>
          <w:top w:val="nil"/>
          <w:left w:val="nil"/>
          <w:bottom w:val="nil"/>
          <w:right w:val="nil"/>
          <w:between w:val="nil"/>
        </w:pBdr>
        <w:spacing w:line="360" w:lineRule="auto"/>
        <w:ind w:right="-734"/>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 xml:space="preserve">Copia digital de los documentos mediante el cual cada una de las áreas que integran el Ayuntamiento, cumplimentaron la entrega de su respectivo Aviso de Privacidad </w:t>
      </w:r>
      <w:r>
        <w:rPr>
          <w:rFonts w:ascii="Palatino Linotype" w:eastAsia="Palatino Linotype" w:hAnsi="Palatino Linotype" w:cs="Palatino Linotype"/>
          <w:b/>
          <w:bCs/>
          <w:color w:val="000000"/>
        </w:rPr>
        <w:lastRenderedPageBreak/>
        <w:t>integral y simplificado a la autoridad competente, en donde se advierta la fecha y sello de recepción.</w:t>
      </w:r>
    </w:p>
    <w:p w:rsidR="00E37C9C" w:rsidRDefault="00E37C9C">
      <w:pPr>
        <w:pBdr>
          <w:top w:val="nil"/>
          <w:left w:val="nil"/>
          <w:bottom w:val="nil"/>
          <w:right w:val="nil"/>
          <w:between w:val="nil"/>
        </w:pBdr>
        <w:ind w:left="720" w:right="-734"/>
        <w:rPr>
          <w:rFonts w:ascii="Palatino Linotype" w:eastAsia="Palatino Linotype" w:hAnsi="Palatino Linotype" w:cs="Palatino Linotype"/>
          <w:color w:val="000000"/>
        </w:rPr>
      </w:pPr>
    </w:p>
    <w:p w:rsidR="00E37C9C" w:rsidRDefault="002F4E6C">
      <w:pPr>
        <w:numPr>
          <w:ilvl w:val="0"/>
          <w:numId w:val="3"/>
        </w:numPr>
        <w:pBdr>
          <w:top w:val="nil"/>
          <w:left w:val="nil"/>
          <w:bottom w:val="nil"/>
          <w:right w:val="nil"/>
          <w:between w:val="nil"/>
        </w:pBdr>
        <w:spacing w:line="360" w:lineRule="auto"/>
        <w:ind w:left="0" w:right="-734" w:firstLine="0"/>
        <w:jc w:val="both"/>
      </w:pPr>
      <w:r>
        <w:rPr>
          <w:rFonts w:ascii="Palatino Linotype" w:eastAsia="Palatino Linotype" w:hAnsi="Palatino Linotype" w:cs="Palatino Linotype"/>
          <w:color w:val="000000"/>
        </w:rPr>
        <w:t xml:space="preserve">Por su parte, 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color w:val="000000"/>
        </w:rPr>
        <w:t>remitió el oficio mediante el cual requirió a diversas Unidades Administrativas el aviso de privacidad de referencia, agregando el documento donde se advierte el sello de recepción, fecha y hora de la solitud; así mismo remitió el documento a través del cual se hace constar la entrega del Aviso de Privacidad de diversas áreas que conforman el Ayuntamiento, del que se advierte el sello con fecha y hora de entrega de los Avisos de Privacidad.</w:t>
      </w:r>
    </w:p>
    <w:p w:rsidR="00E37C9C" w:rsidRDefault="00E37C9C">
      <w:pPr>
        <w:pBdr>
          <w:top w:val="nil"/>
          <w:left w:val="nil"/>
          <w:bottom w:val="nil"/>
          <w:right w:val="nil"/>
          <w:between w:val="nil"/>
        </w:pBdr>
        <w:spacing w:line="360" w:lineRule="auto"/>
        <w:ind w:right="-734"/>
        <w:jc w:val="both"/>
        <w:rPr>
          <w:rFonts w:ascii="Palatino Linotype" w:eastAsia="Palatino Linotype" w:hAnsi="Palatino Linotype" w:cs="Palatino Linotype"/>
          <w:color w:val="000000"/>
        </w:rPr>
      </w:pPr>
    </w:p>
    <w:p w:rsidR="00E37C9C" w:rsidRDefault="002F4E6C">
      <w:pPr>
        <w:numPr>
          <w:ilvl w:val="0"/>
          <w:numId w:val="3"/>
        </w:numPr>
        <w:pBdr>
          <w:top w:val="nil"/>
          <w:left w:val="nil"/>
          <w:bottom w:val="nil"/>
          <w:right w:val="nil"/>
          <w:between w:val="nil"/>
        </w:pBdr>
        <w:spacing w:line="360" w:lineRule="auto"/>
        <w:ind w:left="0" w:right="-734" w:firstLine="0"/>
        <w:jc w:val="both"/>
      </w:pPr>
      <w:r>
        <w:rPr>
          <w:rFonts w:ascii="Palatino Linotype" w:eastAsia="Palatino Linotype" w:hAnsi="Palatino Linotype" w:cs="Palatino Linotype"/>
          <w:color w:val="000000"/>
        </w:rPr>
        <w:t xml:space="preserve">En consecuencia, el </w:t>
      </w:r>
      <w:r>
        <w:rPr>
          <w:rFonts w:ascii="Palatino Linotype" w:eastAsia="Palatino Linotype" w:hAnsi="Palatino Linotype" w:cs="Palatino Linotype"/>
          <w:b/>
          <w:bCs/>
          <w:color w:val="000000"/>
        </w:rPr>
        <w:t>RECURRENTE</w:t>
      </w:r>
      <w:r>
        <w:rPr>
          <w:rFonts w:ascii="Palatino Linotype" w:eastAsia="Palatino Linotype" w:hAnsi="Palatino Linotype" w:cs="Palatino Linotype"/>
          <w:color w:val="000000"/>
        </w:rPr>
        <w:t xml:space="preserve"> se </w:t>
      </w:r>
      <w:r>
        <w:rPr>
          <w:rFonts w:ascii="Palatino Linotype" w:eastAsia="Palatino Linotype" w:hAnsi="Palatino Linotype" w:cs="Palatino Linotype"/>
        </w:rPr>
        <w:t>inconformó</w:t>
      </w:r>
      <w:r>
        <w:rPr>
          <w:rFonts w:ascii="Palatino Linotype" w:eastAsia="Palatino Linotype" w:hAnsi="Palatino Linotype" w:cs="Palatino Linotype"/>
          <w:color w:val="000000"/>
        </w:rPr>
        <w:t xml:space="preserve"> porque de la respuesta del </w:t>
      </w:r>
      <w:r>
        <w:rPr>
          <w:rFonts w:ascii="Palatino Linotype" w:eastAsia="Palatino Linotype" w:hAnsi="Palatino Linotype" w:cs="Palatino Linotype"/>
          <w:b/>
          <w:bCs/>
          <w:color w:val="000000"/>
        </w:rPr>
        <w:t>SUJETO OBLIGADO, no se incluye el área de Presidencia Municipal, ni mucho menos cada una de las Regidurías.</w:t>
      </w:r>
    </w:p>
    <w:p w:rsidR="00E37C9C" w:rsidRDefault="00E37C9C">
      <w:pPr>
        <w:pBdr>
          <w:top w:val="nil"/>
          <w:left w:val="nil"/>
          <w:bottom w:val="nil"/>
          <w:right w:val="nil"/>
          <w:between w:val="nil"/>
        </w:pBdr>
        <w:ind w:left="720" w:right="-734"/>
        <w:rPr>
          <w:rFonts w:ascii="Palatino Linotype" w:eastAsia="Palatino Linotype" w:hAnsi="Palatino Linotype" w:cs="Palatino Linotype"/>
          <w:color w:val="000000"/>
        </w:rPr>
      </w:pPr>
    </w:p>
    <w:p w:rsidR="00E37C9C" w:rsidRDefault="002F4E6C">
      <w:pPr>
        <w:numPr>
          <w:ilvl w:val="0"/>
          <w:numId w:val="3"/>
        </w:numPr>
        <w:pBdr>
          <w:top w:val="nil"/>
          <w:left w:val="nil"/>
          <w:bottom w:val="nil"/>
          <w:right w:val="nil"/>
          <w:between w:val="nil"/>
        </w:pBdr>
        <w:tabs>
          <w:tab w:val="left" w:pos="426"/>
          <w:tab w:val="left" w:pos="567"/>
        </w:tabs>
        <w:spacing w:line="360" w:lineRule="auto"/>
        <w:ind w:left="0" w:right="-734" w:firstLine="0"/>
        <w:jc w:val="both"/>
      </w:pPr>
      <w:r>
        <w:rPr>
          <w:rFonts w:ascii="Palatino Linotype" w:eastAsia="Palatino Linotype" w:hAnsi="Palatino Linotype" w:cs="Palatino Linotype"/>
        </w:rPr>
        <w:t xml:space="preserve">En consecuencia, el </w:t>
      </w:r>
      <w:r>
        <w:rPr>
          <w:rFonts w:ascii="Palatino Linotype" w:eastAsia="Palatino Linotype" w:hAnsi="Palatino Linotype" w:cs="Palatino Linotype"/>
          <w:b/>
          <w:bCs/>
        </w:rPr>
        <w:t xml:space="preserve">RECURRENTE, </w:t>
      </w:r>
      <w:r>
        <w:rPr>
          <w:rFonts w:ascii="Palatino Linotype" w:eastAsia="Palatino Linotype" w:hAnsi="Palatino Linotype" w:cs="Palatino Linotype"/>
        </w:rPr>
        <w:t xml:space="preserve">se inconformó </w:t>
      </w:r>
      <w:r>
        <w:rPr>
          <w:rFonts w:ascii="Palatino Linotype" w:eastAsia="Palatino Linotype" w:hAnsi="Palatino Linotype" w:cs="Palatino Linotype"/>
          <w:b/>
          <w:bCs/>
        </w:rPr>
        <w:t>por la falta de documentos que den cuenta de la información remitida</w:t>
      </w:r>
      <w:r>
        <w:rPr>
          <w:rFonts w:ascii="Palatino Linotype" w:eastAsia="Palatino Linotype" w:hAnsi="Palatino Linotype" w:cs="Palatino Linotype"/>
        </w:rPr>
        <w:t xml:space="preserve"> por el </w:t>
      </w:r>
      <w:r>
        <w:rPr>
          <w:rFonts w:ascii="Palatino Linotype" w:eastAsia="Palatino Linotype" w:hAnsi="Palatino Linotype" w:cs="Palatino Linotype"/>
          <w:b/>
          <w:bCs/>
        </w:rPr>
        <w:t xml:space="preserve">SUJETO OBLIGADO. </w:t>
      </w:r>
    </w:p>
    <w:p w:rsidR="00E37C9C" w:rsidRDefault="00E37C9C">
      <w:pPr>
        <w:pBdr>
          <w:top w:val="nil"/>
          <w:left w:val="nil"/>
          <w:bottom w:val="nil"/>
          <w:right w:val="nil"/>
          <w:between w:val="nil"/>
        </w:pBdr>
        <w:ind w:left="720" w:right="-734"/>
        <w:rPr>
          <w:rFonts w:ascii="Palatino Linotype" w:eastAsia="Palatino Linotype" w:hAnsi="Palatino Linotype" w:cs="Palatino Linotype"/>
          <w:color w:val="000000"/>
        </w:rPr>
      </w:pPr>
    </w:p>
    <w:p w:rsidR="00E37C9C" w:rsidRDefault="002F4E6C">
      <w:pPr>
        <w:numPr>
          <w:ilvl w:val="0"/>
          <w:numId w:val="3"/>
        </w:numPr>
        <w:pBdr>
          <w:top w:val="nil"/>
          <w:left w:val="nil"/>
          <w:bottom w:val="nil"/>
          <w:right w:val="nil"/>
          <w:between w:val="nil"/>
        </w:pBdr>
        <w:tabs>
          <w:tab w:val="left" w:pos="426"/>
          <w:tab w:val="left" w:pos="567"/>
        </w:tabs>
        <w:spacing w:line="360" w:lineRule="auto"/>
        <w:ind w:left="0" w:right="-734" w:firstLine="0"/>
        <w:jc w:val="both"/>
      </w:pPr>
      <w:r>
        <w:rPr>
          <w:rFonts w:ascii="Palatino Linotype" w:eastAsia="Palatino Linotype" w:hAnsi="Palatino Linotype" w:cs="Palatino Linotype"/>
          <w:color w:val="000000"/>
          <w:highlight w:val="white"/>
        </w:rPr>
        <w:t xml:space="preserve">En este sentido, resulta necesario señalar que, el </w:t>
      </w:r>
      <w:r>
        <w:rPr>
          <w:rFonts w:ascii="Palatino Linotype" w:eastAsia="Palatino Linotype" w:hAnsi="Palatino Linotype" w:cs="Palatino Linotype"/>
          <w:b/>
          <w:bCs/>
          <w:color w:val="000000"/>
          <w:highlight w:val="white"/>
        </w:rPr>
        <w:t xml:space="preserve">RECURRENTE </w:t>
      </w:r>
      <w:r>
        <w:rPr>
          <w:rFonts w:ascii="Palatino Linotype" w:eastAsia="Palatino Linotype" w:hAnsi="Palatino Linotype" w:cs="Palatino Linotype"/>
          <w:color w:val="000000"/>
          <w:highlight w:val="white"/>
        </w:rPr>
        <w:t xml:space="preserve">no se </w:t>
      </w:r>
      <w:r>
        <w:rPr>
          <w:rFonts w:ascii="Palatino Linotype" w:eastAsia="Palatino Linotype" w:hAnsi="Palatino Linotype" w:cs="Palatino Linotype"/>
          <w:highlight w:val="white"/>
        </w:rPr>
        <w:t>conformó</w:t>
      </w:r>
      <w:r>
        <w:rPr>
          <w:rFonts w:ascii="Palatino Linotype" w:eastAsia="Palatino Linotype" w:hAnsi="Palatino Linotype" w:cs="Palatino Linotype"/>
          <w:color w:val="000000"/>
          <w:highlight w:val="white"/>
        </w:rPr>
        <w:t xml:space="preserve"> por la totalidad de la respuesta. Bajo ese tenor, se tiene que la parte de la respuesta que no fue impugnada debe declararse como consentida, toda vez que, al no haber realizado manifestaciones de inconformidad al respecto, se infiere que la información proporcionada por el </w:t>
      </w:r>
      <w:r>
        <w:rPr>
          <w:rFonts w:ascii="Palatino Linotype" w:eastAsia="Palatino Linotype" w:hAnsi="Palatino Linotype" w:cs="Palatino Linotype"/>
          <w:b/>
          <w:bCs/>
          <w:color w:val="000000"/>
          <w:highlight w:val="white"/>
        </w:rPr>
        <w:t>SUJETO OBLIGADO</w:t>
      </w:r>
      <w:r>
        <w:rPr>
          <w:rFonts w:ascii="Palatino Linotype" w:eastAsia="Palatino Linotype" w:hAnsi="Palatino Linotype" w:cs="Palatino Linotype"/>
          <w:color w:val="000000"/>
          <w:highlight w:val="white"/>
        </w:rPr>
        <w:t xml:space="preserve"> satisface este punto de la solicitud presentada.</w:t>
      </w:r>
    </w:p>
    <w:p w:rsidR="00E37C9C" w:rsidRDefault="00E37C9C">
      <w:pPr>
        <w:pBdr>
          <w:top w:val="nil"/>
          <w:left w:val="nil"/>
          <w:bottom w:val="nil"/>
          <w:right w:val="nil"/>
          <w:between w:val="nil"/>
        </w:pBdr>
        <w:ind w:left="720" w:right="-734"/>
        <w:rPr>
          <w:rFonts w:ascii="Palatino Linotype" w:eastAsia="Palatino Linotype" w:hAnsi="Palatino Linotype" w:cs="Palatino Linotype"/>
          <w:color w:val="000000"/>
        </w:rPr>
      </w:pPr>
    </w:p>
    <w:p w:rsidR="00E37C9C" w:rsidRDefault="002F4E6C">
      <w:pPr>
        <w:numPr>
          <w:ilvl w:val="0"/>
          <w:numId w:val="3"/>
        </w:numPr>
        <w:pBdr>
          <w:top w:val="nil"/>
          <w:left w:val="nil"/>
          <w:bottom w:val="nil"/>
          <w:right w:val="nil"/>
          <w:between w:val="nil"/>
        </w:pBdr>
        <w:tabs>
          <w:tab w:val="left" w:pos="426"/>
          <w:tab w:val="left" w:pos="567"/>
        </w:tabs>
        <w:spacing w:line="360" w:lineRule="auto"/>
        <w:ind w:left="0" w:right="-734" w:firstLine="0"/>
        <w:jc w:val="both"/>
      </w:pPr>
      <w:r>
        <w:rPr>
          <w:rFonts w:ascii="Palatino Linotype" w:eastAsia="Palatino Linotype" w:hAnsi="Palatino Linotype" w:cs="Palatino Linotype"/>
          <w:color w:val="000000"/>
          <w:highlight w:val="white"/>
        </w:rPr>
        <w:t xml:space="preserve">Lo anterior es así, debido a que cuando un Recurrente impugna la respuesta del </w:t>
      </w:r>
      <w:r>
        <w:rPr>
          <w:rFonts w:ascii="Palatino Linotype" w:eastAsia="Palatino Linotype" w:hAnsi="Palatino Linotype" w:cs="Palatino Linotype"/>
          <w:b/>
          <w:bCs/>
          <w:color w:val="000000"/>
          <w:highlight w:val="white"/>
        </w:rPr>
        <w:t>SUJETO OBLIGADO</w:t>
      </w:r>
      <w:r>
        <w:rPr>
          <w:rFonts w:ascii="Palatino Linotype" w:eastAsia="Palatino Linotype" w:hAnsi="Palatino Linotype" w:cs="Palatino Linotype"/>
          <w:color w:val="000000"/>
          <w:highlight w:val="white"/>
        </w:rPr>
        <w:t xml:space="preserve">, y éste no expresa Razón o Motivo de Inconformidad en contra de todos los rubros solicitados, dichos rubros deben declararse atendidos, pues se entiende que el </w:t>
      </w:r>
      <w:r>
        <w:rPr>
          <w:rFonts w:ascii="Palatino Linotype" w:eastAsia="Palatino Linotype" w:hAnsi="Palatino Linotype" w:cs="Palatino Linotype"/>
          <w:color w:val="000000"/>
          <w:highlight w:val="white"/>
        </w:rPr>
        <w:lastRenderedPageBreak/>
        <w:t>Recurrente está conforme con la información entregada al no contravenir la misma. Sirve de Apoyo a lo anterior, por analogía la Tesis Jurisprudencial Número 3ª./J.7/91, Publicada en el Semanario Judicial de la Federación y su Gaceta bajo el número de registro 174,177, que establece lo siguiente: </w:t>
      </w:r>
    </w:p>
    <w:p w:rsidR="00E37C9C" w:rsidRDefault="002F4E6C">
      <w:pPr>
        <w:pBdr>
          <w:top w:val="nil"/>
          <w:left w:val="nil"/>
          <w:bottom w:val="nil"/>
          <w:right w:val="nil"/>
          <w:between w:val="nil"/>
        </w:pBdr>
        <w:tabs>
          <w:tab w:val="left" w:pos="8477"/>
        </w:tabs>
        <w:ind w:left="567" w:right="-734"/>
        <w:jc w:val="both"/>
        <w:rPr>
          <w:rFonts w:ascii="Palatino Linotype" w:eastAsia="Palatino Linotype" w:hAnsi="Palatino Linotype" w:cs="Palatino Linotype"/>
          <w:color w:val="000000"/>
          <w:highlight w:val="white"/>
        </w:rPr>
      </w:pPr>
      <w:r>
        <w:rPr>
          <w:rFonts w:ascii="Palatino Linotype" w:eastAsia="Palatino Linotype" w:hAnsi="Palatino Linotype" w:cs="Palatino Linotype"/>
          <w:b/>
          <w:bCs/>
          <w:i/>
          <w:iCs/>
          <w:color w:val="000000"/>
          <w:highlight w:val="white"/>
        </w:rPr>
        <w:t xml:space="preserve">“REVISIÓN EN AMPARO. LOS RESOLUTIVOS NO COMBATIDOS DEBEN DECLARARSE FIRMES. </w:t>
      </w:r>
      <w:r>
        <w:rPr>
          <w:rFonts w:ascii="Palatino Linotype" w:eastAsia="Palatino Linotype" w:hAnsi="Palatino Linotype" w:cs="Palatino Linotype"/>
          <w:i/>
          <w:iCs/>
          <w:color w:val="000000"/>
          <w:highlight w:val="white"/>
        </w:rPr>
        <w:t>Cuando algún resolutivo de la sentencia impugnada afecta a la recurrente, y ésta no expresa agravio en contra de las consideraciones que le sirven de base, dicho resolutivo debe declararse firme. Esto es, en el caso referido, no obstante que la materia de la revisión comprende a todos los resolutivos que afectan a la recurrente, deben declararse firmes aquéllos en contra de los cuales no se formuló agravio y dicha declaración de firmeza debe reflejarse en la parte considerativa y en los resolutivos debe confirmarse la sentencia recurrida en la parte correspondiente.”</w:t>
      </w:r>
      <w:r>
        <w:rPr>
          <w:rFonts w:ascii="Palatino Linotype" w:eastAsia="Palatino Linotype" w:hAnsi="Palatino Linotype" w:cs="Palatino Linotype"/>
          <w:color w:val="000000"/>
          <w:highlight w:val="white"/>
        </w:rPr>
        <w:t> </w:t>
      </w:r>
    </w:p>
    <w:p w:rsidR="00E37C9C" w:rsidRDefault="00E37C9C">
      <w:pPr>
        <w:pBdr>
          <w:top w:val="nil"/>
          <w:left w:val="nil"/>
          <w:bottom w:val="nil"/>
          <w:right w:val="nil"/>
          <w:between w:val="nil"/>
        </w:pBdr>
        <w:ind w:left="720" w:right="-734"/>
        <w:rPr>
          <w:rFonts w:ascii="Palatino Linotype" w:eastAsia="Palatino Linotype" w:hAnsi="Palatino Linotype" w:cs="Palatino Linotype"/>
          <w:color w:val="000000"/>
        </w:rPr>
      </w:pPr>
    </w:p>
    <w:p w:rsidR="00E37C9C" w:rsidRDefault="002F4E6C">
      <w:pPr>
        <w:numPr>
          <w:ilvl w:val="0"/>
          <w:numId w:val="3"/>
        </w:numPr>
        <w:pBdr>
          <w:top w:val="nil"/>
          <w:left w:val="nil"/>
          <w:bottom w:val="nil"/>
          <w:right w:val="nil"/>
          <w:between w:val="nil"/>
        </w:pBdr>
        <w:tabs>
          <w:tab w:val="left" w:pos="426"/>
          <w:tab w:val="left" w:pos="567"/>
        </w:tabs>
        <w:spacing w:line="360" w:lineRule="auto"/>
        <w:ind w:left="0" w:right="-734" w:firstLine="0"/>
        <w:jc w:val="both"/>
      </w:pPr>
      <w:r>
        <w:rPr>
          <w:rFonts w:ascii="Palatino Linotype" w:eastAsia="Palatino Linotype" w:hAnsi="Palatino Linotype" w:cs="Palatino Linotype"/>
        </w:rPr>
        <w:t xml:space="preserve"> </w:t>
      </w:r>
      <w:r>
        <w:rPr>
          <w:rFonts w:ascii="Palatino Linotype" w:eastAsia="Palatino Linotype" w:hAnsi="Palatino Linotype" w:cs="Palatino Linotype"/>
          <w:color w:val="000000"/>
          <w:highlight w:val="white"/>
        </w:rPr>
        <w:t xml:space="preserve">Consecuentemente, se reitera que la parte de la solicitud que no fue impugnada debe declararse consentida por el </w:t>
      </w:r>
      <w:r>
        <w:rPr>
          <w:rFonts w:ascii="Palatino Linotype" w:eastAsia="Palatino Linotype" w:hAnsi="Palatino Linotype" w:cs="Palatino Linotype"/>
          <w:b/>
          <w:bCs/>
          <w:color w:val="000000"/>
          <w:highlight w:val="white"/>
        </w:rPr>
        <w:t>RECURRENTE</w:t>
      </w:r>
      <w:r>
        <w:rPr>
          <w:rFonts w:ascii="Palatino Linotype" w:eastAsia="Palatino Linotype" w:hAnsi="Palatino Linotype" w:cs="Palatino Linotype"/>
          <w:color w:val="000000"/>
          <w:highlight w:val="white"/>
        </w:rPr>
        <w:t>, debido a que no se realizaron manifestaciones de inconformidad, por lo que no pueden producirse efectos jurídicos tendentes a revocar, confirmar o modificar el acto reclamado ya que se infiere un consentimiento del Recurrente</w:t>
      </w:r>
      <w:r>
        <w:rPr>
          <w:rFonts w:ascii="Palatino Linotype" w:eastAsia="Palatino Linotype" w:hAnsi="Palatino Linotype" w:cs="Palatino Linotype"/>
          <w:b/>
          <w:bCs/>
          <w:color w:val="000000"/>
          <w:highlight w:val="white"/>
        </w:rPr>
        <w:t xml:space="preserve"> </w:t>
      </w:r>
      <w:r>
        <w:rPr>
          <w:rFonts w:ascii="Palatino Linotype" w:eastAsia="Palatino Linotype" w:hAnsi="Palatino Linotype" w:cs="Palatino Linotype"/>
          <w:color w:val="000000"/>
          <w:highlight w:val="white"/>
        </w:rPr>
        <w:t>ante la falta de impugnación eficaz.</w:t>
      </w:r>
    </w:p>
    <w:p w:rsidR="00E37C9C" w:rsidRDefault="00E37C9C">
      <w:pPr>
        <w:pBdr>
          <w:top w:val="nil"/>
          <w:left w:val="nil"/>
          <w:bottom w:val="nil"/>
          <w:right w:val="nil"/>
          <w:between w:val="nil"/>
        </w:pBdr>
        <w:tabs>
          <w:tab w:val="left" w:pos="426"/>
          <w:tab w:val="left" w:pos="567"/>
        </w:tabs>
        <w:spacing w:line="360" w:lineRule="auto"/>
        <w:ind w:right="-734"/>
        <w:jc w:val="both"/>
        <w:rPr>
          <w:rFonts w:ascii="Palatino Linotype" w:eastAsia="Palatino Linotype" w:hAnsi="Palatino Linotype" w:cs="Palatino Linotype"/>
        </w:rPr>
      </w:pPr>
    </w:p>
    <w:p w:rsidR="00E37C9C" w:rsidRDefault="002F4E6C">
      <w:pPr>
        <w:numPr>
          <w:ilvl w:val="0"/>
          <w:numId w:val="3"/>
        </w:numPr>
        <w:pBdr>
          <w:top w:val="nil"/>
          <w:left w:val="nil"/>
          <w:bottom w:val="nil"/>
          <w:right w:val="nil"/>
          <w:between w:val="nil"/>
        </w:pBdr>
        <w:tabs>
          <w:tab w:val="left" w:pos="426"/>
          <w:tab w:val="left" w:pos="567"/>
        </w:tabs>
        <w:spacing w:line="360" w:lineRule="auto"/>
        <w:ind w:left="0" w:right="-734" w:firstLine="0"/>
        <w:jc w:val="both"/>
      </w:pPr>
      <w:r>
        <w:rPr>
          <w:rFonts w:ascii="Palatino Linotype" w:eastAsia="Palatino Linotype" w:hAnsi="Palatino Linotype" w:cs="Palatino Linotype"/>
          <w:color w:val="000000"/>
          <w:highlight w:val="white"/>
        </w:rPr>
        <w:t>Sirve de sustento a lo anterior por analogía la tesis jurisprudencial número VI.3o.C. J/60, publicada en el Semanario Judicial de la Federación y su Gaceta bajo el número de registro 176,608 que a la letra dice:</w:t>
      </w:r>
    </w:p>
    <w:p w:rsidR="00E37C9C" w:rsidRDefault="002F4E6C">
      <w:pPr>
        <w:pBdr>
          <w:top w:val="nil"/>
          <w:left w:val="nil"/>
          <w:bottom w:val="nil"/>
          <w:right w:val="nil"/>
          <w:between w:val="nil"/>
        </w:pBdr>
        <w:ind w:left="567" w:right="-734"/>
        <w:jc w:val="both"/>
        <w:rPr>
          <w:rFonts w:ascii="Palatino Linotype" w:eastAsia="Palatino Linotype" w:hAnsi="Palatino Linotype" w:cs="Palatino Linotype"/>
          <w:color w:val="000000"/>
        </w:rPr>
      </w:pPr>
      <w:r>
        <w:rPr>
          <w:rFonts w:ascii="Palatino Linotype" w:eastAsia="Palatino Linotype" w:hAnsi="Palatino Linotype" w:cs="Palatino Linotype"/>
          <w:b/>
          <w:bCs/>
          <w:i/>
          <w:iCs/>
          <w:smallCaps/>
          <w:color w:val="000000"/>
          <w:highlight w:val="white"/>
        </w:rPr>
        <w:t xml:space="preserve">ACTOS CONSENTIDOS. SON LOS QUE NO SE IMPUGNAN MEDIANTE EL RECURSO IDÓNEO. </w:t>
      </w:r>
      <w:r>
        <w:rPr>
          <w:rFonts w:ascii="Palatino Linotype" w:eastAsia="Palatino Linotype" w:hAnsi="Palatino Linotype" w:cs="Palatino Linotype"/>
          <w:i/>
          <w:iCs/>
          <w:color w:val="000000"/>
          <w:highlight w:val="white"/>
        </w:rPr>
        <w:t>Debe reputarse como consentido el acto que no se impugnó por el medio establecido por la ley, ya que si se hizo uso de otro no previsto por ella o si se hace una simple manifestación de inconformidad, tales actuaciones no producen efectos jurídicos tendientes a revocar, confirmar o modificar el acto reclamado en amparo, lo que significa consentimiento del mismo por falta de impugnación eficaz.</w:t>
      </w:r>
      <w:r>
        <w:rPr>
          <w:rFonts w:ascii="Palatino Linotype" w:eastAsia="Palatino Linotype" w:hAnsi="Palatino Linotype" w:cs="Palatino Linotype"/>
          <w:color w:val="000000"/>
          <w:highlight w:val="white"/>
        </w:rPr>
        <w:t> </w:t>
      </w:r>
    </w:p>
    <w:p w:rsidR="00E37C9C" w:rsidRDefault="00E37C9C">
      <w:pPr>
        <w:pBdr>
          <w:top w:val="nil"/>
          <w:left w:val="nil"/>
          <w:bottom w:val="nil"/>
          <w:right w:val="nil"/>
          <w:between w:val="nil"/>
        </w:pBdr>
        <w:tabs>
          <w:tab w:val="left" w:pos="426"/>
          <w:tab w:val="left" w:pos="567"/>
        </w:tabs>
        <w:spacing w:line="360" w:lineRule="auto"/>
        <w:ind w:right="-734"/>
        <w:jc w:val="both"/>
        <w:rPr>
          <w:rFonts w:ascii="Palatino Linotype" w:eastAsia="Palatino Linotype" w:hAnsi="Palatino Linotype" w:cs="Palatino Linotype"/>
        </w:rPr>
      </w:pPr>
    </w:p>
    <w:p w:rsidR="00E37C9C" w:rsidRDefault="002F4E6C">
      <w:pPr>
        <w:numPr>
          <w:ilvl w:val="0"/>
          <w:numId w:val="3"/>
        </w:numPr>
        <w:pBdr>
          <w:top w:val="nil"/>
          <w:left w:val="nil"/>
          <w:bottom w:val="nil"/>
          <w:right w:val="nil"/>
          <w:between w:val="nil"/>
        </w:pBdr>
        <w:tabs>
          <w:tab w:val="left" w:pos="426"/>
          <w:tab w:val="left" w:pos="567"/>
        </w:tabs>
        <w:spacing w:line="360" w:lineRule="auto"/>
        <w:ind w:left="0" w:right="-734" w:firstLine="0"/>
        <w:jc w:val="both"/>
      </w:pPr>
      <w:r>
        <w:rPr>
          <w:rFonts w:ascii="Palatino Linotype" w:eastAsia="Palatino Linotype" w:hAnsi="Palatino Linotype" w:cs="Palatino Linotype"/>
          <w:color w:val="000000"/>
          <w:highlight w:val="white"/>
        </w:rPr>
        <w:lastRenderedPageBreak/>
        <w:t>Para mayor abundamiento, también resulta aplicable el criterio 01/20 emitido por el Instituto Nacional de Transparencia, Acceso a la Información Pública y Protección de Datos Personales, que a la letra estipula lo siguiente: </w:t>
      </w:r>
    </w:p>
    <w:p w:rsidR="00E37C9C" w:rsidRDefault="002F4E6C">
      <w:pPr>
        <w:pBdr>
          <w:top w:val="nil"/>
          <w:left w:val="nil"/>
          <w:bottom w:val="nil"/>
          <w:right w:val="nil"/>
          <w:between w:val="nil"/>
        </w:pBdr>
        <w:tabs>
          <w:tab w:val="left" w:pos="142"/>
          <w:tab w:val="left" w:pos="426"/>
          <w:tab w:val="left" w:pos="567"/>
        </w:tabs>
        <w:ind w:left="567" w:right="-734"/>
        <w:jc w:val="both"/>
        <w:rPr>
          <w:rFonts w:ascii="Palatino Linotype" w:eastAsia="Palatino Linotype" w:hAnsi="Palatino Linotype" w:cs="Palatino Linotype"/>
        </w:rPr>
      </w:pPr>
      <w:r>
        <w:rPr>
          <w:rFonts w:ascii="Palatino Linotype" w:eastAsia="Palatino Linotype" w:hAnsi="Palatino Linotype" w:cs="Palatino Linotype"/>
          <w:b/>
          <w:bCs/>
          <w:i/>
          <w:iCs/>
          <w:color w:val="000000"/>
          <w:highlight w:val="white"/>
        </w:rPr>
        <w:t>Actos consentidos tácitamente. Improcedencia de su análisis.</w:t>
      </w:r>
      <w:r>
        <w:rPr>
          <w:rFonts w:ascii="Palatino Linotype" w:eastAsia="Palatino Linotype" w:hAnsi="Palatino Linotype" w:cs="Palatino Linotype"/>
          <w:i/>
          <w:iCs/>
          <w:color w:val="000000"/>
          <w:highlight w:val="white"/>
        </w:rPr>
        <w:t xml:space="preserve"> Si en su recurso de revisión, la persona recurrente no expresó inconformidad alguna con ciertas partes de la respuesta otorgada, se entienden tácitamente consentidas, por ende, no deben formar parte del estudio de fondo de la resolución que emite el Instituto.</w:t>
      </w:r>
      <w:r>
        <w:rPr>
          <w:rFonts w:ascii="Palatino Linotype" w:eastAsia="Palatino Linotype" w:hAnsi="Palatino Linotype" w:cs="Palatino Linotype"/>
          <w:color w:val="000000"/>
          <w:highlight w:val="white"/>
        </w:rPr>
        <w:t> </w:t>
      </w:r>
    </w:p>
    <w:p w:rsidR="00E37C9C" w:rsidRDefault="00E37C9C">
      <w:pPr>
        <w:pBdr>
          <w:top w:val="nil"/>
          <w:left w:val="nil"/>
          <w:bottom w:val="nil"/>
          <w:right w:val="nil"/>
          <w:between w:val="nil"/>
        </w:pBdr>
        <w:tabs>
          <w:tab w:val="left" w:pos="426"/>
          <w:tab w:val="left" w:pos="567"/>
        </w:tabs>
        <w:spacing w:line="360" w:lineRule="auto"/>
        <w:ind w:right="-734"/>
        <w:jc w:val="both"/>
        <w:rPr>
          <w:rFonts w:ascii="Palatino Linotype" w:eastAsia="Palatino Linotype" w:hAnsi="Palatino Linotype" w:cs="Palatino Linotype"/>
        </w:rPr>
      </w:pPr>
    </w:p>
    <w:p w:rsidR="00E37C9C" w:rsidRDefault="002F4E6C">
      <w:pPr>
        <w:numPr>
          <w:ilvl w:val="0"/>
          <w:numId w:val="3"/>
        </w:numPr>
        <w:pBdr>
          <w:top w:val="nil"/>
          <w:left w:val="nil"/>
          <w:bottom w:val="nil"/>
          <w:right w:val="nil"/>
          <w:between w:val="nil"/>
        </w:pBdr>
        <w:spacing w:line="360" w:lineRule="auto"/>
        <w:ind w:left="0" w:right="-734" w:firstLine="0"/>
        <w:jc w:val="both"/>
      </w:pPr>
      <w:r>
        <w:rPr>
          <w:rFonts w:ascii="Palatino Linotype" w:eastAsia="Palatino Linotype" w:hAnsi="Palatino Linotype" w:cs="Palatino Linotype"/>
          <w:color w:val="000000"/>
          <w:highlight w:val="white"/>
        </w:rPr>
        <w:t xml:space="preserve">De lo referido, y a efecto de garantizar el efectivo ejercicio del derecho de acceso a la información pública que asiste al </w:t>
      </w:r>
      <w:r>
        <w:rPr>
          <w:rFonts w:ascii="Palatino Linotype" w:eastAsia="Palatino Linotype" w:hAnsi="Palatino Linotype" w:cs="Palatino Linotype"/>
          <w:b/>
          <w:bCs/>
          <w:color w:val="000000"/>
          <w:highlight w:val="white"/>
        </w:rPr>
        <w:t>RECURRENTE</w:t>
      </w:r>
      <w:r>
        <w:rPr>
          <w:rFonts w:ascii="Palatino Linotype" w:eastAsia="Palatino Linotype" w:hAnsi="Palatino Linotype" w:cs="Palatino Linotype"/>
          <w:color w:val="000000"/>
          <w:highlight w:val="white"/>
        </w:rPr>
        <w:t xml:space="preserve">, resulta conveniente precisar que el presente análisis versará únicamente sobre lo relativo al </w:t>
      </w:r>
      <w:r>
        <w:rPr>
          <w:rFonts w:ascii="Palatino Linotype" w:eastAsia="Palatino Linotype" w:hAnsi="Palatino Linotype" w:cs="Palatino Linotype"/>
          <w:b/>
          <w:bCs/>
          <w:color w:val="000000"/>
          <w:highlight w:val="white"/>
        </w:rPr>
        <w:t>documento que dé cuenta de la entrega de los Avisos de Privacidad de Presidencia; así como de las 7 Regidurías.</w:t>
      </w:r>
    </w:p>
    <w:p w:rsidR="00E37C9C" w:rsidRDefault="00E37C9C">
      <w:pPr>
        <w:pBdr>
          <w:top w:val="nil"/>
          <w:left w:val="nil"/>
          <w:bottom w:val="nil"/>
          <w:right w:val="nil"/>
          <w:between w:val="nil"/>
        </w:pBdr>
        <w:spacing w:line="360" w:lineRule="auto"/>
        <w:ind w:right="-734"/>
        <w:jc w:val="both"/>
        <w:rPr>
          <w:rFonts w:ascii="Palatino Linotype" w:eastAsia="Palatino Linotype" w:hAnsi="Palatino Linotype" w:cs="Palatino Linotype"/>
          <w:color w:val="000000"/>
        </w:rPr>
      </w:pPr>
    </w:p>
    <w:p w:rsidR="00E37C9C" w:rsidRDefault="002F4E6C">
      <w:pPr>
        <w:numPr>
          <w:ilvl w:val="0"/>
          <w:numId w:val="3"/>
        </w:numPr>
        <w:pBdr>
          <w:top w:val="nil"/>
          <w:left w:val="nil"/>
          <w:bottom w:val="nil"/>
          <w:right w:val="nil"/>
          <w:between w:val="nil"/>
        </w:pBdr>
        <w:spacing w:line="360" w:lineRule="auto"/>
        <w:ind w:left="0" w:right="-734" w:firstLine="0"/>
        <w:jc w:val="both"/>
      </w:pPr>
      <w:r>
        <w:rPr>
          <w:rFonts w:ascii="Palatino Linotype" w:eastAsia="Palatino Linotype" w:hAnsi="Palatino Linotype" w:cs="Palatino Linotype"/>
          <w:color w:val="000000"/>
        </w:rPr>
        <w:t xml:space="preserve">Expuesto lo anterior, resulta conveniente precisar que para el ejercicio de sus atribuciones y responsabilidades administrativas, el municipio se </w:t>
      </w:r>
      <w:r>
        <w:rPr>
          <w:rFonts w:ascii="Palatino Linotype" w:eastAsia="Palatino Linotype" w:hAnsi="Palatino Linotype" w:cs="Palatino Linotype"/>
        </w:rPr>
        <w:t>auxiliará</w:t>
      </w:r>
      <w:r>
        <w:rPr>
          <w:rFonts w:ascii="Palatino Linotype" w:eastAsia="Palatino Linotype" w:hAnsi="Palatino Linotype" w:cs="Palatino Linotype"/>
          <w:color w:val="000000"/>
        </w:rPr>
        <w:t xml:space="preserve"> de diversas Unidades Administrativas, tal y como lo señala el artículo 32 de su Bando Municipal que a la letra reza:</w:t>
      </w:r>
    </w:p>
    <w:p w:rsidR="00E37C9C" w:rsidRDefault="002F4E6C">
      <w:pPr>
        <w:ind w:left="567" w:right="-734"/>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ARTÍCULO 32.- La estructura orgánica de la Administración Pública Municipal se encargará del despacho de los asuntos que le sean encomendados por la persona titular de la Presidencia Municipal, en el ejercicio de su facultad delegatoria y se conformará de la siguiente forma:</w:t>
      </w:r>
    </w:p>
    <w:p w:rsidR="00E37C9C" w:rsidRDefault="00E37C9C">
      <w:pPr>
        <w:ind w:left="567" w:right="-734"/>
        <w:jc w:val="both"/>
        <w:rPr>
          <w:rFonts w:ascii="Palatino Linotype" w:eastAsia="Palatino Linotype" w:hAnsi="Palatino Linotype" w:cs="Palatino Linotype"/>
          <w:b/>
          <w:bCs/>
          <w:i/>
          <w:iCs/>
        </w:rPr>
      </w:pPr>
    </w:p>
    <w:p w:rsidR="00E37C9C" w:rsidRDefault="002F4E6C">
      <w:pPr>
        <w:numPr>
          <w:ilvl w:val="0"/>
          <w:numId w:val="4"/>
        </w:numPr>
        <w:pBdr>
          <w:top w:val="nil"/>
          <w:left w:val="nil"/>
          <w:bottom w:val="nil"/>
          <w:right w:val="nil"/>
          <w:between w:val="nil"/>
        </w:pBdr>
        <w:ind w:right="-734"/>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Jefatura del Gabinete y Coordinación Comercial</w:t>
      </w:r>
    </w:p>
    <w:p w:rsidR="00E37C9C" w:rsidRDefault="002F4E6C">
      <w:pPr>
        <w:numPr>
          <w:ilvl w:val="0"/>
          <w:numId w:val="4"/>
        </w:numPr>
        <w:pBdr>
          <w:top w:val="nil"/>
          <w:left w:val="nil"/>
          <w:bottom w:val="nil"/>
          <w:right w:val="nil"/>
          <w:between w:val="nil"/>
        </w:pBdr>
        <w:ind w:right="-734"/>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 xml:space="preserve">Secretaría del Ayuntamiento </w:t>
      </w:r>
    </w:p>
    <w:p w:rsidR="00E37C9C" w:rsidRDefault="002F4E6C">
      <w:pPr>
        <w:numPr>
          <w:ilvl w:val="0"/>
          <w:numId w:val="4"/>
        </w:numPr>
        <w:pBdr>
          <w:top w:val="nil"/>
          <w:left w:val="nil"/>
          <w:bottom w:val="nil"/>
          <w:right w:val="nil"/>
          <w:between w:val="nil"/>
        </w:pBdr>
        <w:ind w:right="-734"/>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 xml:space="preserve">Tesorería Municipal </w:t>
      </w:r>
    </w:p>
    <w:p w:rsidR="00E37C9C" w:rsidRDefault="002F4E6C">
      <w:pPr>
        <w:numPr>
          <w:ilvl w:val="0"/>
          <w:numId w:val="4"/>
        </w:numPr>
        <w:pBdr>
          <w:top w:val="nil"/>
          <w:left w:val="nil"/>
          <w:bottom w:val="nil"/>
          <w:right w:val="nil"/>
          <w:between w:val="nil"/>
        </w:pBdr>
        <w:ind w:right="-734"/>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Dirección de obras Públicas</w:t>
      </w:r>
    </w:p>
    <w:p w:rsidR="00E37C9C" w:rsidRDefault="002F4E6C">
      <w:pPr>
        <w:numPr>
          <w:ilvl w:val="0"/>
          <w:numId w:val="4"/>
        </w:numPr>
        <w:pBdr>
          <w:top w:val="nil"/>
          <w:left w:val="nil"/>
          <w:bottom w:val="nil"/>
          <w:right w:val="nil"/>
          <w:between w:val="nil"/>
        </w:pBdr>
        <w:ind w:right="-734"/>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Dirección de Agua, Drenaje, Alcantarillado y Tratamiento</w:t>
      </w:r>
    </w:p>
    <w:p w:rsidR="00E37C9C" w:rsidRDefault="002F4E6C">
      <w:pPr>
        <w:numPr>
          <w:ilvl w:val="0"/>
          <w:numId w:val="4"/>
        </w:numPr>
        <w:pBdr>
          <w:top w:val="nil"/>
          <w:left w:val="nil"/>
          <w:bottom w:val="nil"/>
          <w:right w:val="nil"/>
          <w:between w:val="nil"/>
        </w:pBdr>
        <w:ind w:right="-734"/>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Jefatura de Servicios Públicos</w:t>
      </w:r>
    </w:p>
    <w:p w:rsidR="00E37C9C" w:rsidRDefault="002F4E6C">
      <w:pPr>
        <w:numPr>
          <w:ilvl w:val="0"/>
          <w:numId w:val="4"/>
        </w:numPr>
        <w:pBdr>
          <w:top w:val="nil"/>
          <w:left w:val="nil"/>
          <w:bottom w:val="nil"/>
          <w:right w:val="nil"/>
          <w:between w:val="nil"/>
        </w:pBdr>
        <w:ind w:right="-734"/>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lastRenderedPageBreak/>
        <w:t>Jefatura de Panteón Municipal</w:t>
      </w:r>
    </w:p>
    <w:p w:rsidR="00E37C9C" w:rsidRDefault="002F4E6C">
      <w:pPr>
        <w:numPr>
          <w:ilvl w:val="0"/>
          <w:numId w:val="4"/>
        </w:numPr>
        <w:pBdr>
          <w:top w:val="nil"/>
          <w:left w:val="nil"/>
          <w:bottom w:val="nil"/>
          <w:right w:val="nil"/>
          <w:between w:val="nil"/>
        </w:pBdr>
        <w:ind w:right="-734"/>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Jefatura de parques, Jardínes y embellecimiento Natural</w:t>
      </w:r>
    </w:p>
    <w:p w:rsidR="00E37C9C" w:rsidRDefault="002F4E6C">
      <w:pPr>
        <w:numPr>
          <w:ilvl w:val="0"/>
          <w:numId w:val="4"/>
        </w:numPr>
        <w:pBdr>
          <w:top w:val="nil"/>
          <w:left w:val="nil"/>
          <w:bottom w:val="nil"/>
          <w:right w:val="nil"/>
          <w:between w:val="nil"/>
        </w:pBdr>
        <w:ind w:right="-734"/>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Dirección de Desarrollo Económico y Gestión Intergubernamental</w:t>
      </w:r>
    </w:p>
    <w:p w:rsidR="00E37C9C" w:rsidRDefault="002F4E6C">
      <w:pPr>
        <w:numPr>
          <w:ilvl w:val="0"/>
          <w:numId w:val="4"/>
        </w:numPr>
        <w:pBdr>
          <w:top w:val="nil"/>
          <w:left w:val="nil"/>
          <w:bottom w:val="nil"/>
          <w:right w:val="nil"/>
          <w:between w:val="nil"/>
        </w:pBdr>
        <w:ind w:right="-734"/>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Dirección de Desarrollo Urbano y Ecología</w:t>
      </w:r>
    </w:p>
    <w:p w:rsidR="00E37C9C" w:rsidRDefault="002F4E6C">
      <w:pPr>
        <w:numPr>
          <w:ilvl w:val="0"/>
          <w:numId w:val="4"/>
        </w:numPr>
        <w:pBdr>
          <w:top w:val="nil"/>
          <w:left w:val="nil"/>
          <w:bottom w:val="nil"/>
          <w:right w:val="nil"/>
          <w:between w:val="nil"/>
        </w:pBdr>
        <w:ind w:right="-734"/>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Dirección de Desarrollo Social</w:t>
      </w:r>
    </w:p>
    <w:p w:rsidR="00E37C9C" w:rsidRDefault="002F4E6C">
      <w:pPr>
        <w:numPr>
          <w:ilvl w:val="0"/>
          <w:numId w:val="4"/>
        </w:numPr>
        <w:pBdr>
          <w:top w:val="nil"/>
          <w:left w:val="nil"/>
          <w:bottom w:val="nil"/>
          <w:right w:val="nil"/>
          <w:between w:val="nil"/>
        </w:pBdr>
        <w:ind w:right="-734"/>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 xml:space="preserve">Dirección de la Mujer y de Igualdad de Género </w:t>
      </w:r>
    </w:p>
    <w:p w:rsidR="00E37C9C" w:rsidRDefault="002F4E6C">
      <w:pPr>
        <w:numPr>
          <w:ilvl w:val="0"/>
          <w:numId w:val="4"/>
        </w:numPr>
        <w:pBdr>
          <w:top w:val="nil"/>
          <w:left w:val="nil"/>
          <w:bottom w:val="nil"/>
          <w:right w:val="nil"/>
          <w:between w:val="nil"/>
        </w:pBdr>
        <w:ind w:right="-734"/>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 xml:space="preserve">Instituto de la Mujer </w:t>
      </w:r>
    </w:p>
    <w:p w:rsidR="00E37C9C" w:rsidRDefault="002F4E6C">
      <w:pPr>
        <w:numPr>
          <w:ilvl w:val="0"/>
          <w:numId w:val="4"/>
        </w:numPr>
        <w:pBdr>
          <w:top w:val="nil"/>
          <w:left w:val="nil"/>
          <w:bottom w:val="nil"/>
          <w:right w:val="nil"/>
          <w:between w:val="nil"/>
        </w:pBdr>
        <w:ind w:right="-734"/>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Dirección de Turismo y Cultura</w:t>
      </w:r>
    </w:p>
    <w:p w:rsidR="00E37C9C" w:rsidRDefault="002F4E6C">
      <w:pPr>
        <w:numPr>
          <w:ilvl w:val="0"/>
          <w:numId w:val="4"/>
        </w:numPr>
        <w:pBdr>
          <w:top w:val="nil"/>
          <w:left w:val="nil"/>
          <w:bottom w:val="nil"/>
          <w:right w:val="nil"/>
          <w:between w:val="nil"/>
        </w:pBdr>
        <w:ind w:right="-734"/>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 xml:space="preserve">Dirección de Seguridad Pública </w:t>
      </w:r>
    </w:p>
    <w:p w:rsidR="00E37C9C" w:rsidRDefault="002F4E6C">
      <w:pPr>
        <w:numPr>
          <w:ilvl w:val="0"/>
          <w:numId w:val="4"/>
        </w:numPr>
        <w:pBdr>
          <w:top w:val="nil"/>
          <w:left w:val="nil"/>
          <w:bottom w:val="nil"/>
          <w:right w:val="nil"/>
          <w:between w:val="nil"/>
        </w:pBdr>
        <w:ind w:right="-734"/>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 xml:space="preserve">Coordinación Municipal de Protección Civil </w:t>
      </w:r>
    </w:p>
    <w:p w:rsidR="00E37C9C" w:rsidRDefault="002F4E6C">
      <w:pPr>
        <w:numPr>
          <w:ilvl w:val="0"/>
          <w:numId w:val="4"/>
        </w:numPr>
        <w:pBdr>
          <w:top w:val="nil"/>
          <w:left w:val="nil"/>
          <w:bottom w:val="nil"/>
          <w:right w:val="nil"/>
          <w:between w:val="nil"/>
        </w:pBdr>
        <w:ind w:right="-734"/>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 xml:space="preserve">Dirección de Ingresos y Catastro </w:t>
      </w:r>
    </w:p>
    <w:p w:rsidR="00E37C9C" w:rsidRDefault="002F4E6C">
      <w:pPr>
        <w:numPr>
          <w:ilvl w:val="0"/>
          <w:numId w:val="4"/>
        </w:numPr>
        <w:pBdr>
          <w:top w:val="nil"/>
          <w:left w:val="nil"/>
          <w:bottom w:val="nil"/>
          <w:right w:val="nil"/>
          <w:between w:val="nil"/>
        </w:pBdr>
        <w:ind w:right="-734"/>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Consejería Jurídica</w:t>
      </w:r>
    </w:p>
    <w:p w:rsidR="00E37C9C" w:rsidRDefault="002F4E6C">
      <w:pPr>
        <w:numPr>
          <w:ilvl w:val="0"/>
          <w:numId w:val="4"/>
        </w:numPr>
        <w:pBdr>
          <w:top w:val="nil"/>
          <w:left w:val="nil"/>
          <w:bottom w:val="nil"/>
          <w:right w:val="nil"/>
          <w:between w:val="nil"/>
        </w:pBdr>
        <w:ind w:right="-734"/>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 xml:space="preserve">Contraloría Interna Municipal </w:t>
      </w:r>
    </w:p>
    <w:p w:rsidR="00E37C9C" w:rsidRDefault="002F4E6C">
      <w:pPr>
        <w:numPr>
          <w:ilvl w:val="0"/>
          <w:numId w:val="4"/>
        </w:numPr>
        <w:pBdr>
          <w:top w:val="nil"/>
          <w:left w:val="nil"/>
          <w:bottom w:val="nil"/>
          <w:right w:val="nil"/>
          <w:between w:val="nil"/>
        </w:pBdr>
        <w:ind w:right="-734"/>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Juzgado Cívico</w:t>
      </w:r>
    </w:p>
    <w:p w:rsidR="00E37C9C" w:rsidRDefault="002F4E6C">
      <w:pPr>
        <w:numPr>
          <w:ilvl w:val="0"/>
          <w:numId w:val="4"/>
        </w:numPr>
        <w:pBdr>
          <w:top w:val="nil"/>
          <w:left w:val="nil"/>
          <w:bottom w:val="nil"/>
          <w:right w:val="nil"/>
          <w:between w:val="nil"/>
        </w:pBdr>
        <w:ind w:right="-734"/>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Secretaría Técnica</w:t>
      </w:r>
    </w:p>
    <w:p w:rsidR="00E37C9C" w:rsidRDefault="002F4E6C">
      <w:pPr>
        <w:numPr>
          <w:ilvl w:val="0"/>
          <w:numId w:val="4"/>
        </w:numPr>
        <w:pBdr>
          <w:top w:val="nil"/>
          <w:left w:val="nil"/>
          <w:bottom w:val="nil"/>
          <w:right w:val="nil"/>
          <w:between w:val="nil"/>
        </w:pBdr>
        <w:ind w:right="-734"/>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Coordinación General de Archivos</w:t>
      </w:r>
    </w:p>
    <w:p w:rsidR="00E37C9C" w:rsidRDefault="002F4E6C">
      <w:pPr>
        <w:numPr>
          <w:ilvl w:val="0"/>
          <w:numId w:val="4"/>
        </w:numPr>
        <w:pBdr>
          <w:top w:val="nil"/>
          <w:left w:val="nil"/>
          <w:bottom w:val="nil"/>
          <w:right w:val="nil"/>
          <w:between w:val="nil"/>
        </w:pBdr>
        <w:ind w:right="-734"/>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 xml:space="preserve">Oficialía del Registro Civil </w:t>
      </w:r>
    </w:p>
    <w:p w:rsidR="00E37C9C" w:rsidRDefault="002F4E6C">
      <w:pPr>
        <w:numPr>
          <w:ilvl w:val="0"/>
          <w:numId w:val="4"/>
        </w:numPr>
        <w:pBdr>
          <w:top w:val="nil"/>
          <w:left w:val="nil"/>
          <w:bottom w:val="nil"/>
          <w:right w:val="nil"/>
          <w:between w:val="nil"/>
        </w:pBdr>
        <w:ind w:right="-734"/>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UIPPE</w:t>
      </w:r>
    </w:p>
    <w:p w:rsidR="00E37C9C" w:rsidRDefault="002F4E6C">
      <w:pPr>
        <w:numPr>
          <w:ilvl w:val="0"/>
          <w:numId w:val="4"/>
        </w:numPr>
        <w:pBdr>
          <w:top w:val="nil"/>
          <w:left w:val="nil"/>
          <w:bottom w:val="nil"/>
          <w:right w:val="nil"/>
          <w:between w:val="nil"/>
        </w:pBdr>
        <w:ind w:right="-734"/>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 xml:space="preserve">Unidad de Transparencia </w:t>
      </w:r>
    </w:p>
    <w:p w:rsidR="00E37C9C" w:rsidRDefault="002F4E6C">
      <w:pPr>
        <w:numPr>
          <w:ilvl w:val="0"/>
          <w:numId w:val="4"/>
        </w:numPr>
        <w:pBdr>
          <w:top w:val="nil"/>
          <w:left w:val="nil"/>
          <w:bottom w:val="nil"/>
          <w:right w:val="nil"/>
          <w:between w:val="nil"/>
        </w:pBdr>
        <w:ind w:right="-734"/>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Unidad de Mejora Regulatoria</w:t>
      </w:r>
    </w:p>
    <w:p w:rsidR="00E37C9C" w:rsidRDefault="002F4E6C">
      <w:pPr>
        <w:numPr>
          <w:ilvl w:val="0"/>
          <w:numId w:val="4"/>
        </w:numPr>
        <w:pBdr>
          <w:top w:val="nil"/>
          <w:left w:val="nil"/>
          <w:bottom w:val="nil"/>
          <w:right w:val="nil"/>
          <w:between w:val="nil"/>
        </w:pBdr>
        <w:ind w:right="-734"/>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Sistema Municipal para el Desarrollo Integral de la Familia de Papalotla</w:t>
      </w:r>
    </w:p>
    <w:p w:rsidR="00E37C9C" w:rsidRDefault="002F4E6C">
      <w:pPr>
        <w:numPr>
          <w:ilvl w:val="0"/>
          <w:numId w:val="4"/>
        </w:numPr>
        <w:pBdr>
          <w:top w:val="nil"/>
          <w:left w:val="nil"/>
          <w:bottom w:val="nil"/>
          <w:right w:val="nil"/>
          <w:between w:val="nil"/>
        </w:pBdr>
        <w:ind w:right="-734"/>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Instituto Municipal de cultura Física y Deporte de Papalotla</w:t>
      </w:r>
    </w:p>
    <w:p w:rsidR="00E37C9C" w:rsidRDefault="002F4E6C">
      <w:pPr>
        <w:numPr>
          <w:ilvl w:val="0"/>
          <w:numId w:val="4"/>
        </w:numPr>
        <w:pBdr>
          <w:top w:val="nil"/>
          <w:left w:val="nil"/>
          <w:bottom w:val="nil"/>
          <w:right w:val="nil"/>
          <w:between w:val="nil"/>
        </w:pBdr>
        <w:ind w:right="-734"/>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 xml:space="preserve">Cronista Municipal </w:t>
      </w:r>
    </w:p>
    <w:p w:rsidR="00E37C9C" w:rsidRDefault="002F4E6C">
      <w:pPr>
        <w:numPr>
          <w:ilvl w:val="0"/>
          <w:numId w:val="4"/>
        </w:numPr>
        <w:pBdr>
          <w:top w:val="nil"/>
          <w:left w:val="nil"/>
          <w:bottom w:val="nil"/>
          <w:right w:val="nil"/>
          <w:between w:val="nil"/>
        </w:pBdr>
        <w:ind w:right="-734"/>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 xml:space="preserve">Defensoría Municipal de Derechos Humanos </w:t>
      </w:r>
    </w:p>
    <w:p w:rsidR="00E37C9C" w:rsidRDefault="002F4E6C">
      <w:pPr>
        <w:numPr>
          <w:ilvl w:val="0"/>
          <w:numId w:val="4"/>
        </w:numPr>
        <w:pBdr>
          <w:top w:val="nil"/>
          <w:left w:val="nil"/>
          <w:bottom w:val="nil"/>
          <w:right w:val="nil"/>
          <w:between w:val="nil"/>
        </w:pBdr>
        <w:ind w:right="-734"/>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Unidad de Control y Bienestar Animal</w:t>
      </w:r>
    </w:p>
    <w:p w:rsidR="00E37C9C" w:rsidRDefault="00E37C9C">
      <w:pPr>
        <w:ind w:left="567" w:right="-734"/>
        <w:jc w:val="both"/>
        <w:rPr>
          <w:rFonts w:ascii="Palatino Linotype" w:eastAsia="Palatino Linotype" w:hAnsi="Palatino Linotype" w:cs="Palatino Linotype"/>
          <w:i/>
          <w:iCs/>
          <w:color w:val="000000"/>
        </w:rPr>
      </w:pPr>
    </w:p>
    <w:p w:rsidR="00E37C9C" w:rsidRDefault="002F4E6C">
      <w:pPr>
        <w:numPr>
          <w:ilvl w:val="0"/>
          <w:numId w:val="3"/>
        </w:numPr>
        <w:pBdr>
          <w:top w:val="nil"/>
          <w:left w:val="nil"/>
          <w:bottom w:val="nil"/>
          <w:right w:val="nil"/>
          <w:between w:val="nil"/>
        </w:pBdr>
        <w:spacing w:line="360" w:lineRule="auto"/>
        <w:ind w:left="0" w:right="-734" w:firstLine="0"/>
        <w:jc w:val="both"/>
      </w:pPr>
      <w:r>
        <w:rPr>
          <w:rFonts w:ascii="Palatino Linotype" w:eastAsia="Palatino Linotype" w:hAnsi="Palatino Linotype" w:cs="Palatino Linotype"/>
          <w:color w:val="000000"/>
        </w:rPr>
        <w:lastRenderedPageBreak/>
        <w:t xml:space="preserve">Así mismo, el ordenamiento legal mencionado en el numeral que antecede, refiere en el artículo 18, que además de las Unidades Administrativas mencionadas con antelación, el Ayuntamiento conforme a las disposiciones legales se </w:t>
      </w:r>
      <w:r>
        <w:rPr>
          <w:rFonts w:ascii="Palatino Linotype" w:eastAsia="Palatino Linotype" w:hAnsi="Palatino Linotype" w:cs="Palatino Linotype"/>
        </w:rPr>
        <w:t>integrará</w:t>
      </w:r>
      <w:r>
        <w:rPr>
          <w:rFonts w:ascii="Palatino Linotype" w:eastAsia="Palatino Linotype" w:hAnsi="Palatino Linotype" w:cs="Palatino Linotype"/>
          <w:color w:val="000000"/>
        </w:rPr>
        <w:t xml:space="preserve"> por:</w:t>
      </w:r>
    </w:p>
    <w:p w:rsidR="00E37C9C" w:rsidRDefault="002F4E6C">
      <w:pPr>
        <w:ind w:left="567" w:right="-734"/>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ARTÍCULO 18.- </w:t>
      </w:r>
      <w:r>
        <w:rPr>
          <w:rFonts w:ascii="Palatino Linotype" w:eastAsia="Palatino Linotype" w:hAnsi="Palatino Linotype" w:cs="Palatino Linotype"/>
          <w:i/>
          <w:iCs/>
        </w:rPr>
        <w:t xml:space="preserve">El </w:t>
      </w:r>
      <w:r>
        <w:rPr>
          <w:rFonts w:ascii="Palatino Linotype" w:eastAsia="Palatino Linotype" w:hAnsi="Palatino Linotype" w:cs="Palatino Linotype"/>
          <w:b/>
          <w:bCs/>
          <w:i/>
          <w:iCs/>
        </w:rPr>
        <w:t>gobierno del municipio está depositado</w:t>
      </w:r>
      <w:r>
        <w:rPr>
          <w:rFonts w:ascii="Palatino Linotype" w:eastAsia="Palatino Linotype" w:hAnsi="Palatino Linotype" w:cs="Palatino Linotype"/>
          <w:i/>
          <w:iCs/>
        </w:rPr>
        <w:t xml:space="preserve"> en un </w:t>
      </w:r>
      <w:r>
        <w:rPr>
          <w:rFonts w:ascii="Palatino Linotype" w:eastAsia="Palatino Linotype" w:hAnsi="Palatino Linotype" w:cs="Palatino Linotype"/>
          <w:b/>
          <w:bCs/>
          <w:i/>
          <w:iCs/>
        </w:rPr>
        <w:t xml:space="preserve">cuerpo colegiado </w:t>
      </w:r>
      <w:r>
        <w:rPr>
          <w:rFonts w:ascii="Palatino Linotype" w:eastAsia="Palatino Linotype" w:hAnsi="Palatino Linotype" w:cs="Palatino Linotype"/>
          <w:i/>
          <w:iCs/>
        </w:rPr>
        <w:t xml:space="preserve">deliberativo y plural que se denomina Ayuntamiento, al que se someten los asuntos de la Administración Pública Municipal; dicho órgano está </w:t>
      </w:r>
      <w:r>
        <w:rPr>
          <w:rFonts w:ascii="Palatino Linotype" w:eastAsia="Palatino Linotype" w:hAnsi="Palatino Linotype" w:cs="Palatino Linotype"/>
          <w:b/>
          <w:bCs/>
          <w:i/>
          <w:iCs/>
        </w:rPr>
        <w:t>conformado por la Presidencia</w:t>
      </w:r>
      <w:r>
        <w:rPr>
          <w:rFonts w:ascii="Palatino Linotype" w:eastAsia="Palatino Linotype" w:hAnsi="Palatino Linotype" w:cs="Palatino Linotype"/>
          <w:i/>
          <w:iCs/>
        </w:rPr>
        <w:t xml:space="preserve">, una Sindicatura y </w:t>
      </w:r>
      <w:r>
        <w:rPr>
          <w:rFonts w:ascii="Palatino Linotype" w:eastAsia="Palatino Linotype" w:hAnsi="Palatino Linotype" w:cs="Palatino Linotype"/>
          <w:b/>
          <w:bCs/>
          <w:i/>
          <w:iCs/>
        </w:rPr>
        <w:t>siete regidurías integradas por Regidoras y Regidores</w:t>
      </w:r>
      <w:r>
        <w:rPr>
          <w:rFonts w:ascii="Palatino Linotype" w:eastAsia="Palatino Linotype" w:hAnsi="Palatino Linotype" w:cs="Palatino Linotype"/>
          <w:i/>
          <w:iCs/>
        </w:rPr>
        <w:t>, según los principios de mayoría relativa y de representación proporcional, establecidos en los términos de ley; el cual se regirá por la Constitución Federal, la Constitución Local, la Ley Orgánica, las leyes federales y estatales, este Bando Municipal, el Código y demás disposiciones de carácter general. Las competencias serán exclusivas del Ayuntamiento y no podrán ser delegadas, salvo aquellas que por disposición de la ley estén permitidas. La ejecución de sus determinaciones corresponderá al Presidente Municipal, quien preside el Ayuntamiento y dirige la Administración Pública Municipal.</w:t>
      </w:r>
    </w:p>
    <w:p w:rsidR="00E37C9C" w:rsidRDefault="00E37C9C">
      <w:pPr>
        <w:ind w:left="567" w:right="-734"/>
        <w:jc w:val="both"/>
        <w:rPr>
          <w:rFonts w:ascii="Palatino Linotype" w:eastAsia="Palatino Linotype" w:hAnsi="Palatino Linotype" w:cs="Palatino Linotype"/>
          <w:i/>
          <w:iCs/>
          <w:color w:val="000000"/>
        </w:rPr>
      </w:pPr>
    </w:p>
    <w:p w:rsidR="00E37C9C" w:rsidRDefault="002F4E6C">
      <w:pPr>
        <w:numPr>
          <w:ilvl w:val="0"/>
          <w:numId w:val="3"/>
        </w:numPr>
        <w:pBdr>
          <w:top w:val="nil"/>
          <w:left w:val="nil"/>
          <w:bottom w:val="nil"/>
          <w:right w:val="nil"/>
          <w:between w:val="nil"/>
        </w:pBdr>
        <w:spacing w:line="360" w:lineRule="auto"/>
        <w:ind w:left="0" w:right="-734" w:firstLine="0"/>
        <w:jc w:val="both"/>
      </w:pPr>
      <w:r>
        <w:rPr>
          <w:rFonts w:ascii="Palatino Linotype" w:eastAsia="Palatino Linotype" w:hAnsi="Palatino Linotype" w:cs="Palatino Linotype"/>
          <w:color w:val="000000"/>
        </w:rPr>
        <w:t xml:space="preserve">Descrito lo anterior, cabe precisar que contrario a lo que remite 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color w:val="000000"/>
        </w:rPr>
        <w:t xml:space="preserve">en respuesta; el Ayuntamiento cuenta con más de 39 Unidades Administrativas, lo que vislumbra que no </w:t>
      </w:r>
      <w:r>
        <w:rPr>
          <w:rFonts w:ascii="Palatino Linotype" w:eastAsia="Palatino Linotype" w:hAnsi="Palatino Linotype" w:cs="Palatino Linotype"/>
        </w:rPr>
        <w:t>contempló</w:t>
      </w:r>
      <w:r>
        <w:rPr>
          <w:rFonts w:ascii="Palatino Linotype" w:eastAsia="Palatino Linotype" w:hAnsi="Palatino Linotype" w:cs="Palatino Linotype"/>
          <w:color w:val="000000"/>
        </w:rPr>
        <w:t xml:space="preserve"> la totalidad de sus áreas, no obstante, como ya se señaló en líneas anteriores, el motivo de inconformidad versa sobre la omisión de remitir el documento que dé cuenta de la entrega de los avisos de privacidad de Presidencia; así como, de sus siete Regidurías.</w:t>
      </w:r>
    </w:p>
    <w:p w:rsidR="00E37C9C" w:rsidRDefault="00E37C9C">
      <w:pPr>
        <w:pBdr>
          <w:top w:val="nil"/>
          <w:left w:val="nil"/>
          <w:bottom w:val="nil"/>
          <w:right w:val="nil"/>
          <w:between w:val="nil"/>
        </w:pBdr>
        <w:spacing w:line="360" w:lineRule="auto"/>
        <w:ind w:right="-734"/>
        <w:jc w:val="both"/>
        <w:rPr>
          <w:rFonts w:ascii="Palatino Linotype" w:eastAsia="Palatino Linotype" w:hAnsi="Palatino Linotype" w:cs="Palatino Linotype"/>
          <w:color w:val="000000"/>
        </w:rPr>
      </w:pPr>
    </w:p>
    <w:p w:rsidR="00E37C9C" w:rsidRDefault="002F4E6C">
      <w:pPr>
        <w:numPr>
          <w:ilvl w:val="0"/>
          <w:numId w:val="3"/>
        </w:numPr>
        <w:pBdr>
          <w:top w:val="nil"/>
          <w:left w:val="nil"/>
          <w:bottom w:val="nil"/>
          <w:right w:val="nil"/>
          <w:between w:val="nil"/>
        </w:pBdr>
        <w:spacing w:line="360" w:lineRule="auto"/>
        <w:ind w:left="0" w:right="-734" w:firstLine="0"/>
        <w:jc w:val="both"/>
      </w:pPr>
      <w:r>
        <w:rPr>
          <w:rFonts w:ascii="Palatino Linotype" w:eastAsia="Palatino Linotype" w:hAnsi="Palatino Linotype" w:cs="Palatino Linotype"/>
        </w:rPr>
        <w:t xml:space="preserve">Ahora bien, es menester precisar que el aviso de privacidad corresponde al documento que tiene por objeto informar al titular los propósitos del tratamiento al que serán sometidos sus datos personales, por lo que deben estar visibles en las diferentes áreas; por su parte, el documento de seguridad corresponde al instrumento que establece las medidas de seguridad técnicas, físicas y administrativas adoptadas para garantizar la confidencialidad, integridad y disponibilidad de la información contenida en los sistemas y bases de datos personales, </w:t>
      </w:r>
      <w:r>
        <w:rPr>
          <w:rFonts w:ascii="Palatino Linotype" w:eastAsia="Palatino Linotype" w:hAnsi="Palatino Linotype" w:cs="Palatino Linotype"/>
        </w:rPr>
        <w:lastRenderedPageBreak/>
        <w:t xml:space="preserve">para mayor referencia se inserta el artículo 4, fracciones V de la Ley de Protección de Datos Personales en Posesión de los Sujetos Obligados del Estado de México y Municipios: </w:t>
      </w:r>
    </w:p>
    <w:p w:rsidR="00E37C9C" w:rsidRDefault="002F4E6C">
      <w:pPr>
        <w:tabs>
          <w:tab w:val="left" w:pos="851"/>
        </w:tabs>
        <w:ind w:left="851" w:right="-734"/>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“Artículo 4. </w:t>
      </w:r>
      <w:r>
        <w:rPr>
          <w:rFonts w:ascii="Palatino Linotype" w:eastAsia="Palatino Linotype" w:hAnsi="Palatino Linotype" w:cs="Palatino Linotype"/>
          <w:i/>
          <w:iCs/>
        </w:rPr>
        <w:t>Para los efectos de esta Ley se entenderá por:</w:t>
      </w:r>
    </w:p>
    <w:p w:rsidR="00E37C9C" w:rsidRDefault="002F4E6C">
      <w:pPr>
        <w:tabs>
          <w:tab w:val="left" w:pos="851"/>
        </w:tabs>
        <w:ind w:left="851" w:right="-734"/>
        <w:jc w:val="both"/>
        <w:rPr>
          <w:rFonts w:ascii="Palatino Linotype" w:eastAsia="Palatino Linotype" w:hAnsi="Palatino Linotype" w:cs="Palatino Linotype"/>
          <w:i/>
          <w:iCs/>
        </w:rPr>
      </w:pPr>
      <w:r>
        <w:rPr>
          <w:rFonts w:ascii="Palatino Linotype" w:eastAsia="Palatino Linotype" w:hAnsi="Palatino Linotype" w:cs="Palatino Linotype"/>
          <w:b/>
          <w:bCs/>
          <w:i/>
          <w:iCs/>
        </w:rPr>
        <w:t>…</w:t>
      </w:r>
    </w:p>
    <w:p w:rsidR="00E37C9C" w:rsidRDefault="002F4E6C">
      <w:pPr>
        <w:tabs>
          <w:tab w:val="left" w:pos="851"/>
        </w:tabs>
        <w:ind w:left="851" w:right="-734"/>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V. Aviso de Privacidad: </w:t>
      </w:r>
      <w:r>
        <w:rPr>
          <w:rFonts w:ascii="Palatino Linotype" w:eastAsia="Palatino Linotype" w:hAnsi="Palatino Linotype" w:cs="Palatino Linotype"/>
          <w:i/>
          <w:iCs/>
        </w:rPr>
        <w:t>al documento físico, electrónico o en cualquier formato generado por el responsable que es puesto a disposición del Titular con el objeto de informarle los propósitos del tratamiento al que serán sometidos sus datos personales.</w:t>
      </w:r>
    </w:p>
    <w:p w:rsidR="00E37C9C" w:rsidRDefault="002F4E6C">
      <w:pPr>
        <w:tabs>
          <w:tab w:val="left" w:pos="851"/>
        </w:tabs>
        <w:ind w:left="851" w:right="-734"/>
        <w:jc w:val="both"/>
        <w:rPr>
          <w:rFonts w:ascii="Palatino Linotype" w:eastAsia="Palatino Linotype" w:hAnsi="Palatino Linotype" w:cs="Palatino Linotype"/>
          <w:i/>
          <w:iCs/>
        </w:rPr>
      </w:pPr>
      <w:r>
        <w:rPr>
          <w:rFonts w:ascii="Palatino Linotype" w:eastAsia="Palatino Linotype" w:hAnsi="Palatino Linotype" w:cs="Palatino Linotype"/>
          <w:b/>
          <w:bCs/>
          <w:i/>
          <w:iCs/>
        </w:rPr>
        <w:t>…</w:t>
      </w:r>
      <w:r>
        <w:rPr>
          <w:rFonts w:ascii="Palatino Linotype" w:eastAsia="Palatino Linotype" w:hAnsi="Palatino Linotype" w:cs="Palatino Linotype"/>
          <w:i/>
          <w:iCs/>
        </w:rPr>
        <w:t xml:space="preserve">” </w:t>
      </w:r>
    </w:p>
    <w:p w:rsidR="00E37C9C" w:rsidRDefault="00E37C9C">
      <w:pPr>
        <w:tabs>
          <w:tab w:val="left" w:pos="851"/>
        </w:tabs>
        <w:ind w:right="-734"/>
        <w:jc w:val="both"/>
        <w:rPr>
          <w:rFonts w:ascii="Palatino Linotype" w:eastAsia="Palatino Linotype" w:hAnsi="Palatino Linotype" w:cs="Palatino Linotype"/>
          <w:i/>
          <w:iCs/>
        </w:rPr>
      </w:pPr>
    </w:p>
    <w:p w:rsidR="00E37C9C" w:rsidRDefault="002F4E6C">
      <w:pPr>
        <w:numPr>
          <w:ilvl w:val="0"/>
          <w:numId w:val="3"/>
        </w:numPr>
        <w:pBdr>
          <w:top w:val="nil"/>
          <w:left w:val="nil"/>
          <w:bottom w:val="nil"/>
          <w:right w:val="nil"/>
          <w:between w:val="nil"/>
        </w:pBdr>
        <w:spacing w:line="360" w:lineRule="auto"/>
        <w:ind w:left="0" w:right="-734" w:firstLine="0"/>
        <w:jc w:val="both"/>
      </w:pPr>
      <w:r>
        <w:rPr>
          <w:rFonts w:ascii="Palatino Linotype" w:eastAsia="Palatino Linotype" w:hAnsi="Palatino Linotype" w:cs="Palatino Linotype"/>
          <w:color w:val="000000"/>
        </w:rPr>
        <w:t xml:space="preserve">En esa línea de ideas es menester referir, que si bien 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color w:val="000000"/>
        </w:rPr>
        <w:t xml:space="preserve">pretendió brindar respuesta a la solicitud, también lo es, que omitió pronunciarse respecto a la entrega de Avisos de Privacidad de Presidencia; así como de sus siete Regidurías, situación de la que se duele el particular, por tanto la información remitida no colma la petición del </w:t>
      </w:r>
      <w:r>
        <w:rPr>
          <w:rFonts w:ascii="Palatino Linotype" w:eastAsia="Palatino Linotype" w:hAnsi="Palatino Linotype" w:cs="Palatino Linotype"/>
          <w:b/>
          <w:bCs/>
          <w:color w:val="000000"/>
        </w:rPr>
        <w:t xml:space="preserve">RECURRENTE, </w:t>
      </w:r>
      <w:r>
        <w:rPr>
          <w:rFonts w:ascii="Palatino Linotype" w:eastAsia="Palatino Linotype" w:hAnsi="Palatino Linotype" w:cs="Palatino Linotype"/>
          <w:color w:val="000000"/>
        </w:rPr>
        <w:t>lo que vislumbra que a pesar de que la respuesta fue remitida por el Servidor Público Habilitado competente no se llevó a cabo la búsqueda exhaustiva que exige la ley de la materia.</w:t>
      </w:r>
    </w:p>
    <w:p w:rsidR="00E37C9C" w:rsidRDefault="00E37C9C">
      <w:pPr>
        <w:pBdr>
          <w:top w:val="nil"/>
          <w:left w:val="nil"/>
          <w:bottom w:val="nil"/>
          <w:right w:val="nil"/>
          <w:between w:val="nil"/>
        </w:pBdr>
        <w:ind w:left="720" w:right="-734"/>
        <w:rPr>
          <w:rFonts w:ascii="Palatino Linotype" w:eastAsia="Palatino Linotype" w:hAnsi="Palatino Linotype" w:cs="Palatino Linotype"/>
          <w:color w:val="000000"/>
        </w:rPr>
      </w:pPr>
    </w:p>
    <w:p w:rsidR="00E37C9C" w:rsidRDefault="002F4E6C">
      <w:pPr>
        <w:numPr>
          <w:ilvl w:val="0"/>
          <w:numId w:val="3"/>
        </w:numPr>
        <w:pBdr>
          <w:top w:val="nil"/>
          <w:left w:val="nil"/>
          <w:bottom w:val="nil"/>
          <w:right w:val="nil"/>
          <w:between w:val="nil"/>
        </w:pBdr>
        <w:spacing w:line="360" w:lineRule="auto"/>
        <w:ind w:left="0" w:right="-734" w:firstLine="0"/>
        <w:jc w:val="both"/>
      </w:pPr>
      <w:r>
        <w:rPr>
          <w:rFonts w:ascii="Palatino Linotype" w:eastAsia="Palatino Linotype" w:hAnsi="Palatino Linotype" w:cs="Palatino Linotype"/>
          <w:color w:val="000000"/>
        </w:rPr>
        <w:t xml:space="preserve">Al respecto, debemos mencionar que el acceso a la información es un derecho humano constitucional y convencionalmente reconocido y para tal efecto el párrafo tercero del artículo primero de la Constitución Política de los Estados Unidos Mexicanos establece que el deber de todas las autoridades, </w:t>
      </w:r>
      <w:r>
        <w:rPr>
          <w:rFonts w:ascii="Palatino Linotype" w:eastAsia="Palatino Linotype" w:hAnsi="Palatino Linotype" w:cs="Palatino Linotype"/>
          <w:i/>
          <w:iCs/>
          <w:color w:val="000000"/>
        </w:rPr>
        <w:t xml:space="preserve">en el ámbito de sus atribuciones, de promover, respetar, proteger y </w:t>
      </w:r>
      <w:r>
        <w:rPr>
          <w:rFonts w:ascii="Palatino Linotype" w:eastAsia="Palatino Linotype" w:hAnsi="Palatino Linotype" w:cs="Palatino Linotype"/>
          <w:b/>
          <w:bCs/>
          <w:i/>
          <w:iCs/>
          <w:color w:val="000000"/>
        </w:rPr>
        <w:t>garantizar</w:t>
      </w:r>
      <w:r>
        <w:rPr>
          <w:rFonts w:ascii="Palatino Linotype" w:eastAsia="Palatino Linotype" w:hAnsi="Palatino Linotype" w:cs="Palatino Linotype"/>
          <w:i/>
          <w:iCs/>
          <w:color w:val="000000"/>
        </w:rPr>
        <w:t xml:space="preserve"> los derechos humanos. </w:t>
      </w:r>
      <w:r>
        <w:rPr>
          <w:rFonts w:ascii="Palatino Linotype" w:eastAsia="Palatino Linotype" w:hAnsi="Palatino Linotype" w:cs="Palatino Linotype"/>
          <w:b/>
          <w:bCs/>
          <w:i/>
          <w:iCs/>
          <w:color w:val="000000"/>
        </w:rPr>
        <w:t>En cuanto al derecho de acceso a la información, la Ley de Transparencia y Acceso a la Información Pública del Estado de México y Municipios prevé establece que e</w:t>
      </w:r>
      <w:r>
        <w:rPr>
          <w:rFonts w:ascii="Palatino Linotype" w:eastAsia="Palatino Linotype" w:hAnsi="Palatino Linotype" w:cs="Palatino Linotype"/>
          <w:i/>
          <w:iCs/>
          <w:color w:val="000000"/>
        </w:rPr>
        <w:t>l procedimiento de acceso a la información es la garantía primaria del derecho en cuestión y se rige por los principios de simplicidad, rapidez y gratuidad del procedimiento, auxilio y orientación a los particulares</w:t>
      </w:r>
      <w:r>
        <w:rPr>
          <w:rFonts w:ascii="Century Gothic" w:eastAsia="Century Gothic" w:hAnsi="Century Gothic" w:cs="Century Gothic"/>
          <w:i/>
          <w:iCs/>
          <w:color w:val="000000"/>
          <w:vertAlign w:val="superscript"/>
        </w:rPr>
        <w:footnoteReference w:id="5"/>
      </w:r>
      <w:r>
        <w:rPr>
          <w:rFonts w:ascii="Palatino Linotype" w:eastAsia="Palatino Linotype" w:hAnsi="Palatino Linotype" w:cs="Palatino Linotype"/>
          <w:i/>
          <w:iCs/>
          <w:color w:val="000000"/>
        </w:rPr>
        <w:t xml:space="preserve">, </w:t>
      </w:r>
      <w:r>
        <w:rPr>
          <w:rFonts w:ascii="Palatino Linotype" w:eastAsia="Palatino Linotype" w:hAnsi="Palatino Linotype" w:cs="Palatino Linotype"/>
          <w:color w:val="000000"/>
        </w:rPr>
        <w:t>asimismo establece</w:t>
      </w:r>
      <w:r>
        <w:rPr>
          <w:rFonts w:ascii="Palatino Linotype" w:eastAsia="Palatino Linotype" w:hAnsi="Palatino Linotype" w:cs="Palatino Linotype"/>
          <w:i/>
          <w:iCs/>
          <w:color w:val="000000"/>
        </w:rPr>
        <w:t xml:space="preserve"> que las unidades de transparencia de los Sujetos </w:t>
      </w:r>
      <w:r>
        <w:rPr>
          <w:rFonts w:ascii="Palatino Linotype" w:eastAsia="Palatino Linotype" w:hAnsi="Palatino Linotype" w:cs="Palatino Linotype"/>
          <w:i/>
          <w:iCs/>
          <w:color w:val="000000"/>
        </w:rPr>
        <w:lastRenderedPageBreak/>
        <w:t>Obligados deberán garantizar las medidas y condiciones de accesibilidad para que toda persona pueda ejercer el derecho de acceso a la información, mediante solicitudes de información y deberá apoyar al solicitante en la elaboración de las mismas.</w:t>
      </w:r>
    </w:p>
    <w:p w:rsidR="00E37C9C" w:rsidRDefault="00E37C9C">
      <w:pPr>
        <w:pBdr>
          <w:top w:val="nil"/>
          <w:left w:val="nil"/>
          <w:bottom w:val="nil"/>
          <w:right w:val="nil"/>
          <w:between w:val="nil"/>
        </w:pBdr>
        <w:ind w:left="720" w:right="-734"/>
        <w:rPr>
          <w:rFonts w:ascii="Palatino Linotype" w:eastAsia="Palatino Linotype" w:hAnsi="Palatino Linotype" w:cs="Palatino Linotype"/>
          <w:color w:val="000000"/>
        </w:rPr>
      </w:pPr>
    </w:p>
    <w:p w:rsidR="00E37C9C" w:rsidRDefault="002F4E6C">
      <w:pPr>
        <w:numPr>
          <w:ilvl w:val="0"/>
          <w:numId w:val="3"/>
        </w:numPr>
        <w:pBdr>
          <w:top w:val="nil"/>
          <w:left w:val="nil"/>
          <w:bottom w:val="nil"/>
          <w:right w:val="nil"/>
          <w:between w:val="nil"/>
        </w:pBdr>
        <w:spacing w:line="360" w:lineRule="auto"/>
        <w:ind w:left="0" w:right="-734" w:firstLine="0"/>
        <w:jc w:val="both"/>
      </w:pPr>
      <w:r>
        <w:rPr>
          <w:rFonts w:ascii="Palatino Linotype" w:eastAsia="Palatino Linotype" w:hAnsi="Palatino Linotype" w:cs="Palatino Linotype"/>
          <w:color w:val="000000"/>
        </w:rPr>
        <w:t xml:space="preserve">Es así que las actuaciones diligentes que lleven a cabo en un primer momento las Unidades de Transparencia y posteriormente  cada servidor público en su área es fundamental para la correcta tutela y el eficaz cumplimiento al derecho de acceso a la información, pues los primeros son el vínculo entre los particulares y los servidores públicos que generan, </w:t>
      </w:r>
      <w:r>
        <w:rPr>
          <w:rFonts w:ascii="Palatino Linotype" w:eastAsia="Palatino Linotype" w:hAnsi="Palatino Linotype" w:cs="Palatino Linotype"/>
        </w:rPr>
        <w:t>administran</w:t>
      </w:r>
      <w:r>
        <w:rPr>
          <w:rFonts w:ascii="Palatino Linotype" w:eastAsia="Palatino Linotype" w:hAnsi="Palatino Linotype" w:cs="Palatino Linotype"/>
          <w:color w:val="000000"/>
        </w:rPr>
        <w:t xml:space="preserve"> o poseen la información, mientras que los segundos tienen la responsabilidad de realizar una correcta gestión documental que permita localizar de manera rápida los documentos que se soliciten o bien, simplemente para el desarrollo de sus facultades, competencias y atribuciones que a diario desempeñan.</w:t>
      </w:r>
    </w:p>
    <w:p w:rsidR="00E37C9C" w:rsidRDefault="00E37C9C">
      <w:pPr>
        <w:pBdr>
          <w:top w:val="nil"/>
          <w:left w:val="nil"/>
          <w:bottom w:val="nil"/>
          <w:right w:val="nil"/>
          <w:between w:val="nil"/>
        </w:pBdr>
        <w:ind w:left="720" w:right="-734"/>
        <w:rPr>
          <w:rFonts w:ascii="Palatino Linotype" w:eastAsia="Palatino Linotype" w:hAnsi="Palatino Linotype" w:cs="Palatino Linotype"/>
          <w:color w:val="000000"/>
        </w:rPr>
      </w:pPr>
    </w:p>
    <w:p w:rsidR="00E37C9C" w:rsidRDefault="002F4E6C">
      <w:pPr>
        <w:numPr>
          <w:ilvl w:val="0"/>
          <w:numId w:val="3"/>
        </w:numPr>
        <w:pBdr>
          <w:top w:val="nil"/>
          <w:left w:val="nil"/>
          <w:bottom w:val="nil"/>
          <w:right w:val="nil"/>
          <w:between w:val="nil"/>
        </w:pBdr>
        <w:spacing w:line="360" w:lineRule="auto"/>
        <w:ind w:left="0" w:right="-734" w:firstLine="0"/>
        <w:jc w:val="both"/>
      </w:pPr>
      <w:r>
        <w:rPr>
          <w:rFonts w:ascii="Palatino Linotype" w:eastAsia="Palatino Linotype" w:hAnsi="Palatino Linotype" w:cs="Palatino Linotype"/>
          <w:color w:val="000000"/>
        </w:rPr>
        <w:t xml:space="preserve">Por tanto, su obligación es </w:t>
      </w:r>
      <w:r>
        <w:rPr>
          <w:rFonts w:ascii="Palatino Linotype" w:eastAsia="Palatino Linotype" w:hAnsi="Palatino Linotype" w:cs="Palatino Linotype"/>
          <w:i/>
          <w:iCs/>
          <w:color w:val="000000"/>
        </w:rPr>
        <w:t>realizar, con efectividad, los trámites internos necesarios para la atención de las solicitudes de información</w:t>
      </w:r>
      <w:r>
        <w:rPr>
          <w:rFonts w:ascii="Century Gothic" w:eastAsia="Century Gothic" w:hAnsi="Century Gothic" w:cs="Century Gothic"/>
          <w:color w:val="000000"/>
          <w:vertAlign w:val="superscript"/>
        </w:rPr>
        <w:footnoteReference w:id="6"/>
      </w:r>
      <w:r>
        <w:rPr>
          <w:rFonts w:ascii="Palatino Linotype" w:eastAsia="Palatino Linotype" w:hAnsi="Palatino Linotype" w:cs="Palatino Linotype"/>
          <w:color w:val="000000"/>
        </w:rPr>
        <w:t>, es decir, deben otorgar respuestas concisas, contundentes y sobre todo que den la certeza de los actos que realizan.</w:t>
      </w:r>
    </w:p>
    <w:p w:rsidR="00E37C9C" w:rsidRDefault="00E37C9C">
      <w:pPr>
        <w:pBdr>
          <w:top w:val="nil"/>
          <w:left w:val="nil"/>
          <w:bottom w:val="nil"/>
          <w:right w:val="nil"/>
          <w:between w:val="nil"/>
        </w:pBdr>
        <w:ind w:left="720" w:right="-734"/>
        <w:rPr>
          <w:rFonts w:ascii="Palatino Linotype" w:eastAsia="Palatino Linotype" w:hAnsi="Palatino Linotype" w:cs="Palatino Linotype"/>
          <w:color w:val="000000"/>
        </w:rPr>
      </w:pPr>
    </w:p>
    <w:p w:rsidR="00E37C9C" w:rsidRDefault="002F4E6C">
      <w:pPr>
        <w:numPr>
          <w:ilvl w:val="0"/>
          <w:numId w:val="3"/>
        </w:numPr>
        <w:pBdr>
          <w:top w:val="nil"/>
          <w:left w:val="nil"/>
          <w:bottom w:val="nil"/>
          <w:right w:val="nil"/>
          <w:between w:val="nil"/>
        </w:pBdr>
        <w:spacing w:line="360" w:lineRule="auto"/>
        <w:ind w:left="0" w:right="-734" w:firstLine="0"/>
        <w:jc w:val="both"/>
      </w:pPr>
      <w:r>
        <w:rPr>
          <w:rFonts w:ascii="Palatino Linotype" w:eastAsia="Palatino Linotype" w:hAnsi="Palatino Linotype" w:cs="Palatino Linotype"/>
          <w:color w:val="000000"/>
        </w:rPr>
        <w:t>Al respecto, es menester hacer referencia a lo establecido en los artículos 50, 53 fracciones II, IV y V, 58, 59 fracciones I y II, y 162 de la Ley de Transparencia y Acceso a la Información del Estado de México y Municipios, que a la letra estipulan lo siguiente:</w:t>
      </w:r>
    </w:p>
    <w:p w:rsidR="00E37C9C" w:rsidRDefault="002F4E6C">
      <w:pPr>
        <w:ind w:left="567" w:right="-734"/>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50. Los sujetos obligados contarán con un área responsable para la atención de las solicitudes de información, a la que se le denominará Unidad de Transparencia.</w:t>
      </w:r>
    </w:p>
    <w:p w:rsidR="00E37C9C" w:rsidRDefault="00E37C9C">
      <w:pPr>
        <w:ind w:left="567" w:right="-734"/>
        <w:jc w:val="both"/>
        <w:rPr>
          <w:rFonts w:ascii="Palatino Linotype" w:eastAsia="Palatino Linotype" w:hAnsi="Palatino Linotype" w:cs="Palatino Linotype"/>
          <w:i/>
          <w:iCs/>
        </w:rPr>
      </w:pPr>
    </w:p>
    <w:p w:rsidR="00E37C9C" w:rsidRDefault="002F4E6C">
      <w:pPr>
        <w:ind w:left="567" w:right="-734"/>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Artículo 53. </w:t>
      </w:r>
      <w:r>
        <w:rPr>
          <w:rFonts w:ascii="Palatino Linotype" w:eastAsia="Palatino Linotype" w:hAnsi="Palatino Linotype" w:cs="Palatino Linotype"/>
          <w:i/>
          <w:iCs/>
        </w:rPr>
        <w:t>Las Unidades de Transparencia tendrán las siguientes funciones:</w:t>
      </w:r>
    </w:p>
    <w:p w:rsidR="00E37C9C" w:rsidRDefault="002F4E6C">
      <w:pPr>
        <w:ind w:left="567" w:right="-734"/>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E37C9C" w:rsidRDefault="002F4E6C">
      <w:pPr>
        <w:ind w:left="567" w:right="-734"/>
        <w:jc w:val="both"/>
        <w:rPr>
          <w:rFonts w:ascii="Palatino Linotype" w:eastAsia="Palatino Linotype" w:hAnsi="Palatino Linotype" w:cs="Palatino Linotype"/>
          <w:i/>
          <w:iCs/>
        </w:rPr>
      </w:pPr>
      <w:r>
        <w:rPr>
          <w:rFonts w:ascii="Palatino Linotype" w:eastAsia="Palatino Linotype" w:hAnsi="Palatino Linotype" w:cs="Palatino Linotype"/>
          <w:b/>
          <w:bCs/>
          <w:i/>
          <w:iCs/>
        </w:rPr>
        <w:t>II.</w:t>
      </w:r>
      <w:r>
        <w:rPr>
          <w:rFonts w:ascii="Palatino Linotype" w:eastAsia="Palatino Linotype" w:hAnsi="Palatino Linotype" w:cs="Palatino Linotype"/>
          <w:i/>
          <w:iCs/>
        </w:rPr>
        <w:t xml:space="preserve"> Recibir, tramitar y dar respuesta a las solicitudes de acceso a la información;</w:t>
      </w:r>
    </w:p>
    <w:p w:rsidR="00E37C9C" w:rsidRDefault="002F4E6C">
      <w:pPr>
        <w:ind w:left="567" w:right="-734"/>
        <w:jc w:val="both"/>
        <w:rPr>
          <w:rFonts w:ascii="Palatino Linotype" w:eastAsia="Palatino Linotype" w:hAnsi="Palatino Linotype" w:cs="Palatino Linotype"/>
          <w:i/>
          <w:iCs/>
        </w:rPr>
      </w:pPr>
      <w:r>
        <w:rPr>
          <w:rFonts w:ascii="Palatino Linotype" w:eastAsia="Palatino Linotype" w:hAnsi="Palatino Linotype" w:cs="Palatino Linotype"/>
          <w:i/>
          <w:iCs/>
        </w:rPr>
        <w:lastRenderedPageBreak/>
        <w:t>(…)</w:t>
      </w:r>
    </w:p>
    <w:p w:rsidR="00E37C9C" w:rsidRDefault="002F4E6C">
      <w:pPr>
        <w:ind w:left="567" w:right="-734"/>
        <w:jc w:val="both"/>
        <w:rPr>
          <w:rFonts w:ascii="Palatino Linotype" w:eastAsia="Palatino Linotype" w:hAnsi="Palatino Linotype" w:cs="Palatino Linotype"/>
          <w:i/>
          <w:iCs/>
        </w:rPr>
      </w:pPr>
      <w:r>
        <w:rPr>
          <w:rFonts w:ascii="Palatino Linotype" w:eastAsia="Palatino Linotype" w:hAnsi="Palatino Linotype" w:cs="Palatino Linotype"/>
          <w:b/>
          <w:bCs/>
          <w:i/>
          <w:iCs/>
        </w:rPr>
        <w:t>IV.</w:t>
      </w:r>
      <w:r>
        <w:rPr>
          <w:rFonts w:ascii="Palatino Linotype" w:eastAsia="Palatino Linotype" w:hAnsi="Palatino Linotype" w:cs="Palatino Linotype"/>
          <w:i/>
          <w:iCs/>
        </w:rPr>
        <w:t xml:space="preserve"> Realizar, con efectividad, los trámites internos necesarios para la atención de las solicitudes de acceso a la información;</w:t>
      </w:r>
    </w:p>
    <w:p w:rsidR="00E37C9C" w:rsidRDefault="002F4E6C">
      <w:pPr>
        <w:ind w:left="567" w:right="-734"/>
        <w:jc w:val="both"/>
        <w:rPr>
          <w:rFonts w:ascii="Palatino Linotype" w:eastAsia="Palatino Linotype" w:hAnsi="Palatino Linotype" w:cs="Palatino Linotype"/>
          <w:i/>
          <w:iCs/>
        </w:rPr>
      </w:pPr>
      <w:r>
        <w:rPr>
          <w:rFonts w:ascii="Palatino Linotype" w:eastAsia="Palatino Linotype" w:hAnsi="Palatino Linotype" w:cs="Palatino Linotype"/>
          <w:b/>
          <w:bCs/>
          <w:i/>
          <w:iCs/>
        </w:rPr>
        <w:t>V.</w:t>
      </w:r>
      <w:r>
        <w:rPr>
          <w:rFonts w:ascii="Palatino Linotype" w:eastAsia="Palatino Linotype" w:hAnsi="Palatino Linotype" w:cs="Palatino Linotype"/>
          <w:i/>
          <w:iCs/>
        </w:rPr>
        <w:t xml:space="preserve"> Entregar, en su caso, a los particulares la información solicitada;</w:t>
      </w:r>
    </w:p>
    <w:p w:rsidR="00E37C9C" w:rsidRDefault="002F4E6C">
      <w:pPr>
        <w:ind w:left="567" w:right="-734"/>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E37C9C" w:rsidRDefault="00E37C9C">
      <w:pPr>
        <w:ind w:left="567" w:right="-734"/>
        <w:jc w:val="both"/>
        <w:rPr>
          <w:rFonts w:ascii="Palatino Linotype" w:eastAsia="Palatino Linotype" w:hAnsi="Palatino Linotype" w:cs="Palatino Linotype"/>
          <w:i/>
          <w:iCs/>
        </w:rPr>
      </w:pPr>
    </w:p>
    <w:p w:rsidR="00E37C9C" w:rsidRDefault="002F4E6C">
      <w:pPr>
        <w:ind w:left="567" w:right="-734"/>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Artículo 58. </w:t>
      </w:r>
      <w:r>
        <w:rPr>
          <w:rFonts w:ascii="Palatino Linotype" w:eastAsia="Palatino Linotype" w:hAnsi="Palatino Linotype" w:cs="Palatino Linotype"/>
          <w:i/>
          <w:iCs/>
        </w:rPr>
        <w:t>Los servidores públicos habilitados serán designados por el titular del sujeto obligado a propuesta del responsable de la Unidad de Transparencia.</w:t>
      </w:r>
    </w:p>
    <w:p w:rsidR="00E37C9C" w:rsidRDefault="00E37C9C">
      <w:pPr>
        <w:ind w:left="567" w:right="-734"/>
        <w:jc w:val="both"/>
        <w:rPr>
          <w:rFonts w:ascii="Palatino Linotype" w:eastAsia="Palatino Linotype" w:hAnsi="Palatino Linotype" w:cs="Palatino Linotype"/>
          <w:i/>
          <w:iCs/>
        </w:rPr>
      </w:pPr>
    </w:p>
    <w:p w:rsidR="00E37C9C" w:rsidRDefault="002F4E6C">
      <w:pPr>
        <w:ind w:left="567" w:right="-734"/>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Artículo 59. </w:t>
      </w:r>
      <w:r>
        <w:rPr>
          <w:rFonts w:ascii="Palatino Linotype" w:eastAsia="Palatino Linotype" w:hAnsi="Palatino Linotype" w:cs="Palatino Linotype"/>
          <w:i/>
          <w:iCs/>
        </w:rPr>
        <w:t>Los servidores públicos habilitados tendrán las funciones siguientes:</w:t>
      </w:r>
    </w:p>
    <w:p w:rsidR="00E37C9C" w:rsidRDefault="00E37C9C">
      <w:pPr>
        <w:ind w:left="567" w:right="-734"/>
        <w:jc w:val="both"/>
        <w:rPr>
          <w:rFonts w:ascii="Palatino Linotype" w:eastAsia="Palatino Linotype" w:hAnsi="Palatino Linotype" w:cs="Palatino Linotype"/>
          <w:i/>
          <w:iCs/>
        </w:rPr>
      </w:pPr>
    </w:p>
    <w:p w:rsidR="00E37C9C" w:rsidRDefault="002F4E6C">
      <w:pPr>
        <w:ind w:left="567" w:right="-734"/>
        <w:jc w:val="both"/>
        <w:rPr>
          <w:rFonts w:ascii="Palatino Linotype" w:eastAsia="Palatino Linotype" w:hAnsi="Palatino Linotype" w:cs="Palatino Linotype"/>
          <w:i/>
          <w:iCs/>
        </w:rPr>
      </w:pPr>
      <w:r>
        <w:rPr>
          <w:rFonts w:ascii="Palatino Linotype" w:eastAsia="Palatino Linotype" w:hAnsi="Palatino Linotype" w:cs="Palatino Linotype"/>
          <w:b/>
          <w:bCs/>
          <w:i/>
          <w:iCs/>
        </w:rPr>
        <w:t>I.</w:t>
      </w:r>
      <w:r>
        <w:rPr>
          <w:rFonts w:ascii="Palatino Linotype" w:eastAsia="Palatino Linotype" w:hAnsi="Palatino Linotype" w:cs="Palatino Linotype"/>
          <w:i/>
          <w:iCs/>
        </w:rPr>
        <w:t xml:space="preserve"> Localizar la información que le solicite la Unidad de Transparencia;</w:t>
      </w:r>
    </w:p>
    <w:p w:rsidR="00E37C9C" w:rsidRDefault="002F4E6C">
      <w:pPr>
        <w:ind w:left="567" w:right="-734"/>
        <w:jc w:val="both"/>
        <w:rPr>
          <w:rFonts w:ascii="Palatino Linotype" w:eastAsia="Palatino Linotype" w:hAnsi="Palatino Linotype" w:cs="Palatino Linotype"/>
          <w:i/>
          <w:iCs/>
        </w:rPr>
      </w:pPr>
      <w:r>
        <w:rPr>
          <w:rFonts w:ascii="Palatino Linotype" w:eastAsia="Palatino Linotype" w:hAnsi="Palatino Linotype" w:cs="Palatino Linotype"/>
          <w:b/>
          <w:bCs/>
          <w:i/>
          <w:iCs/>
        </w:rPr>
        <w:t>II.</w:t>
      </w:r>
      <w:r>
        <w:rPr>
          <w:rFonts w:ascii="Palatino Linotype" w:eastAsia="Palatino Linotype" w:hAnsi="Palatino Linotype" w:cs="Palatino Linotype"/>
          <w:i/>
          <w:iCs/>
        </w:rPr>
        <w:t xml:space="preserve"> Proporcionar la información que obre en los archivos y que le sea solicitada por la Unidad de Transparencia;</w:t>
      </w:r>
    </w:p>
    <w:p w:rsidR="00E37C9C" w:rsidRDefault="002F4E6C">
      <w:pPr>
        <w:ind w:left="567" w:right="-734"/>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E37C9C" w:rsidRDefault="00E37C9C">
      <w:pPr>
        <w:ind w:left="567" w:right="-734"/>
        <w:jc w:val="both"/>
        <w:rPr>
          <w:rFonts w:ascii="Palatino Linotype" w:eastAsia="Palatino Linotype" w:hAnsi="Palatino Linotype" w:cs="Palatino Linotype"/>
          <w:i/>
          <w:iCs/>
        </w:rPr>
      </w:pPr>
    </w:p>
    <w:p w:rsidR="00E37C9C" w:rsidRDefault="002F4E6C">
      <w:pPr>
        <w:ind w:left="567" w:right="-734"/>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Artículo 162. </w:t>
      </w:r>
      <w:r>
        <w:rPr>
          <w:rFonts w:ascii="Palatino Linotype" w:eastAsia="Palatino Linotype" w:hAnsi="Palatino Linotype" w:cs="Palatino Linotype"/>
          <w:i/>
          <w:iCs/>
        </w:rPr>
        <w:t>Las unidades de transparencia deberán garantizar que las solicitudes se turnen a todas las Áreas competentes que cuenten con la información o deban tenerla de acuerdo a sus facultades, competencias y funciones, con el objeto de que realicen una búsqueda exhaustiva y razonable de la información solicitada.</w:t>
      </w:r>
    </w:p>
    <w:p w:rsidR="00E37C9C" w:rsidRDefault="00E37C9C">
      <w:pPr>
        <w:spacing w:line="360" w:lineRule="auto"/>
        <w:ind w:right="-734"/>
        <w:jc w:val="both"/>
        <w:rPr>
          <w:rFonts w:ascii="Palatino Linotype" w:eastAsia="Palatino Linotype" w:hAnsi="Palatino Linotype" w:cs="Palatino Linotype"/>
        </w:rPr>
      </w:pPr>
    </w:p>
    <w:p w:rsidR="00E37C9C" w:rsidRDefault="002F4E6C">
      <w:pPr>
        <w:numPr>
          <w:ilvl w:val="0"/>
          <w:numId w:val="3"/>
        </w:numPr>
        <w:pBdr>
          <w:top w:val="nil"/>
          <w:left w:val="nil"/>
          <w:bottom w:val="nil"/>
          <w:right w:val="nil"/>
          <w:between w:val="nil"/>
        </w:pBdr>
        <w:spacing w:line="360" w:lineRule="auto"/>
        <w:ind w:left="0" w:right="-734" w:firstLine="0"/>
        <w:jc w:val="both"/>
      </w:pPr>
      <w:r>
        <w:rPr>
          <w:rFonts w:ascii="Palatino Linotype" w:eastAsia="Palatino Linotype" w:hAnsi="Palatino Linotype" w:cs="Palatino Linotype"/>
          <w:color w:val="000000"/>
        </w:rPr>
        <w:t xml:space="preserve">De los artículos citados se desprende que las Unidades de Transparencia de los sujetos obligados son las encargadas de tramitar internamente las solicitudes de información y tienen, entre otras funciones, las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 </w:t>
      </w:r>
      <w:r>
        <w:rPr>
          <w:rFonts w:ascii="Palatino Linotype" w:eastAsia="Palatino Linotype" w:hAnsi="Palatino Linotype" w:cs="Palatino Linotype"/>
          <w:b/>
          <w:bCs/>
          <w:color w:val="000000"/>
        </w:rPr>
        <w:t xml:space="preserve">Por su parte, los servidores públicos habilitados </w:t>
      </w:r>
      <w:r>
        <w:rPr>
          <w:rFonts w:ascii="Palatino Linotype" w:eastAsia="Palatino Linotype" w:hAnsi="Palatino Linotype" w:cs="Palatino Linotype"/>
          <w:b/>
          <w:bCs/>
        </w:rPr>
        <w:t>auxiliará</w:t>
      </w:r>
      <w:r>
        <w:rPr>
          <w:rFonts w:ascii="Palatino Linotype" w:eastAsia="Palatino Linotype" w:hAnsi="Palatino Linotype" w:cs="Palatino Linotype"/>
          <w:b/>
          <w:bCs/>
          <w:color w:val="000000"/>
        </w:rPr>
        <w:t xml:space="preserve"> a las Unidades de Transparencia localizando la información solicitada y proporcionando la misma que obre en sus archivos.</w:t>
      </w:r>
      <w:r>
        <w:rPr>
          <w:rFonts w:ascii="Palatino Linotype" w:eastAsia="Palatino Linotype" w:hAnsi="Palatino Linotype" w:cs="Palatino Linotype"/>
          <w:color w:val="000000"/>
        </w:rPr>
        <w:t xml:space="preserve"> Asimismo, </w:t>
      </w:r>
      <w:r>
        <w:rPr>
          <w:rFonts w:ascii="Palatino Linotype" w:eastAsia="Palatino Linotype" w:hAnsi="Palatino Linotype" w:cs="Palatino Linotype"/>
          <w:b/>
          <w:bCs/>
          <w:color w:val="000000"/>
        </w:rPr>
        <w:t xml:space="preserve">es una obligación de las Unidades de Transparencia turnar a todas las áreas que se consideren competentes para que realicen </w:t>
      </w:r>
      <w:r>
        <w:rPr>
          <w:rFonts w:ascii="Palatino Linotype" w:eastAsia="Palatino Linotype" w:hAnsi="Palatino Linotype" w:cs="Palatino Linotype"/>
          <w:b/>
          <w:bCs/>
          <w:color w:val="000000"/>
        </w:rPr>
        <w:lastRenderedPageBreak/>
        <w:t>una búsqueda exhaustiva y razonable de la información solicitada</w:t>
      </w:r>
      <w:r>
        <w:rPr>
          <w:rFonts w:ascii="Palatino Linotype" w:eastAsia="Palatino Linotype" w:hAnsi="Palatino Linotype" w:cs="Palatino Linotype"/>
          <w:color w:val="000000"/>
        </w:rPr>
        <w:t xml:space="preserve"> a fin de que ésta sea entregada a los solicitantes.</w:t>
      </w:r>
    </w:p>
    <w:p w:rsidR="00E37C9C" w:rsidRDefault="00E37C9C">
      <w:pPr>
        <w:pBdr>
          <w:top w:val="nil"/>
          <w:left w:val="nil"/>
          <w:bottom w:val="nil"/>
          <w:right w:val="nil"/>
          <w:between w:val="nil"/>
        </w:pBdr>
        <w:spacing w:line="360" w:lineRule="auto"/>
        <w:ind w:right="-734"/>
        <w:jc w:val="both"/>
        <w:rPr>
          <w:rFonts w:ascii="Palatino Linotype" w:eastAsia="Palatino Linotype" w:hAnsi="Palatino Linotype" w:cs="Palatino Linotype"/>
          <w:color w:val="000000"/>
        </w:rPr>
      </w:pPr>
    </w:p>
    <w:p w:rsidR="00E37C9C" w:rsidRDefault="002F4E6C">
      <w:pPr>
        <w:numPr>
          <w:ilvl w:val="0"/>
          <w:numId w:val="3"/>
        </w:numPr>
        <w:pBdr>
          <w:top w:val="nil"/>
          <w:left w:val="nil"/>
          <w:bottom w:val="nil"/>
          <w:right w:val="nil"/>
          <w:between w:val="nil"/>
        </w:pBdr>
        <w:spacing w:line="360" w:lineRule="auto"/>
        <w:ind w:left="0" w:right="-734" w:firstLine="0"/>
        <w:jc w:val="both"/>
      </w:pPr>
      <w:r>
        <w:rPr>
          <w:rFonts w:ascii="Palatino Linotype" w:eastAsia="Palatino Linotype" w:hAnsi="Palatino Linotype" w:cs="Palatino Linotype"/>
          <w:color w:val="000000"/>
        </w:rPr>
        <w:t>Así, se debe entender que el trámite interno que se realice a las solicitudes de acceso a la información, es con el propósito de que se efectúe una búsqueda exhaustiva y razonable de la información entre sus archivos y, en su caso, se entregue la información de interés para el particular.</w:t>
      </w:r>
    </w:p>
    <w:p w:rsidR="00E37C9C" w:rsidRDefault="00E37C9C">
      <w:pPr>
        <w:pBdr>
          <w:top w:val="nil"/>
          <w:left w:val="nil"/>
          <w:bottom w:val="nil"/>
          <w:right w:val="nil"/>
          <w:between w:val="nil"/>
        </w:pBdr>
        <w:ind w:left="720" w:right="-734"/>
        <w:rPr>
          <w:rFonts w:ascii="Palatino Linotype" w:eastAsia="Palatino Linotype" w:hAnsi="Palatino Linotype" w:cs="Palatino Linotype"/>
          <w:color w:val="000000"/>
        </w:rPr>
      </w:pPr>
    </w:p>
    <w:p w:rsidR="00E37C9C" w:rsidRDefault="002F4E6C">
      <w:pPr>
        <w:numPr>
          <w:ilvl w:val="0"/>
          <w:numId w:val="3"/>
        </w:numPr>
        <w:pBdr>
          <w:top w:val="nil"/>
          <w:left w:val="nil"/>
          <w:bottom w:val="nil"/>
          <w:right w:val="nil"/>
          <w:between w:val="nil"/>
        </w:pBdr>
        <w:spacing w:line="360" w:lineRule="auto"/>
        <w:ind w:left="0" w:right="-734" w:firstLine="0"/>
        <w:jc w:val="both"/>
      </w:pPr>
      <w:r>
        <w:rPr>
          <w:rFonts w:ascii="Palatino Linotype" w:eastAsia="Palatino Linotype" w:hAnsi="Palatino Linotype" w:cs="Palatino Linotype"/>
          <w:color w:val="000000"/>
        </w:rPr>
        <w:t xml:space="preserve">Ahora bien, en el caso que se resuelve, se vislumbra que la respuesta fue emitida por el Titular de la Unidad de Transparencia y Acceso a la Información Pública; que si bien es cierto es la autoridad competente para emitir el pronunciamiento; sin embargo, del expediente electrónico en que se actúa, no se advierte que como ya se refirió en líneas anteriores, este se haya pronunciado respecto al documento que </w:t>
      </w:r>
      <w:r>
        <w:rPr>
          <w:rFonts w:ascii="Palatino Linotype" w:eastAsia="Palatino Linotype" w:hAnsi="Palatino Linotype" w:cs="Palatino Linotype"/>
        </w:rPr>
        <w:t>dé cuenta</w:t>
      </w:r>
      <w:r>
        <w:rPr>
          <w:rFonts w:ascii="Palatino Linotype" w:eastAsia="Palatino Linotype" w:hAnsi="Palatino Linotype" w:cs="Palatino Linotype"/>
          <w:color w:val="000000"/>
        </w:rPr>
        <w:t xml:space="preserve"> de la entrega de los Avisos de Privacidad integral y simplificados de Presidencias; así como, de sus siete Regidurías.</w:t>
      </w:r>
    </w:p>
    <w:p w:rsidR="00E37C9C" w:rsidRDefault="00E37C9C">
      <w:pPr>
        <w:pBdr>
          <w:top w:val="nil"/>
          <w:left w:val="nil"/>
          <w:bottom w:val="nil"/>
          <w:right w:val="nil"/>
          <w:between w:val="nil"/>
        </w:pBdr>
        <w:ind w:left="720" w:right="-734"/>
        <w:rPr>
          <w:rFonts w:ascii="Palatino Linotype" w:eastAsia="Palatino Linotype" w:hAnsi="Palatino Linotype" w:cs="Palatino Linotype"/>
          <w:color w:val="000000"/>
        </w:rPr>
      </w:pPr>
    </w:p>
    <w:p w:rsidR="00E37C9C" w:rsidRDefault="002F4E6C">
      <w:pPr>
        <w:numPr>
          <w:ilvl w:val="0"/>
          <w:numId w:val="3"/>
        </w:numPr>
        <w:pBdr>
          <w:top w:val="nil"/>
          <w:left w:val="nil"/>
          <w:bottom w:val="nil"/>
          <w:right w:val="nil"/>
          <w:between w:val="nil"/>
        </w:pBdr>
        <w:shd w:val="clear" w:color="auto" w:fill="FFFFFF"/>
        <w:spacing w:line="360" w:lineRule="auto"/>
        <w:ind w:left="0" w:right="-734" w:firstLine="0"/>
        <w:jc w:val="both"/>
      </w:pPr>
      <w:r>
        <w:rPr>
          <w:rFonts w:ascii="Palatino Linotype" w:eastAsia="Palatino Linotype" w:hAnsi="Palatino Linotype" w:cs="Palatino Linotype"/>
          <w:color w:val="000000"/>
        </w:rPr>
        <w:t>Ahora bien, es importante señalar que el </w:t>
      </w:r>
      <w:r>
        <w:rPr>
          <w:color w:val="000000"/>
        </w:rPr>
        <w:t>artículo 4</w:t>
      </w:r>
      <w:r>
        <w:rPr>
          <w:rFonts w:ascii="Palatino Linotype" w:eastAsia="Palatino Linotype" w:hAnsi="Palatino Linotype" w:cs="Palatino Linotype"/>
          <w:color w:val="000000"/>
        </w:rPr>
        <w:t>, párrafo segundo de la Ley de Transparencia y Acceso a la Información Pública del Estado de México y Municipios, dispone:</w:t>
      </w:r>
    </w:p>
    <w:p w:rsidR="00E37C9C" w:rsidRDefault="002F4E6C">
      <w:pPr>
        <w:pBdr>
          <w:top w:val="nil"/>
          <w:left w:val="nil"/>
          <w:bottom w:val="nil"/>
          <w:right w:val="nil"/>
          <w:between w:val="nil"/>
        </w:pBdr>
        <w:shd w:val="clear" w:color="auto" w:fill="FFFFFF"/>
        <w:ind w:left="567" w:right="-734"/>
        <w:jc w:val="both"/>
        <w:rPr>
          <w:rFonts w:ascii="Century Gothic" w:eastAsia="Century Gothic" w:hAnsi="Century Gothic" w:cs="Century Gothic"/>
          <w:color w:val="242424"/>
        </w:rPr>
      </w:pPr>
      <w:r>
        <w:rPr>
          <w:rFonts w:ascii="Palatino Linotype" w:eastAsia="Palatino Linotype" w:hAnsi="Palatino Linotype" w:cs="Palatino Linotype"/>
          <w:i/>
          <w:iCs/>
          <w:color w:val="242424"/>
        </w:rPr>
        <w:t>“</w:t>
      </w:r>
      <w:r>
        <w:rPr>
          <w:rFonts w:ascii="Palatino Linotype" w:eastAsia="Palatino Linotype" w:hAnsi="Palatino Linotype" w:cs="Palatino Linotype"/>
          <w:b/>
          <w:bCs/>
          <w:i/>
          <w:iCs/>
          <w:color w:val="242424"/>
        </w:rPr>
        <w:t>Artículo 4. …</w:t>
      </w:r>
    </w:p>
    <w:p w:rsidR="00E37C9C" w:rsidRDefault="002F4E6C">
      <w:pPr>
        <w:pBdr>
          <w:top w:val="nil"/>
          <w:left w:val="nil"/>
          <w:bottom w:val="nil"/>
          <w:right w:val="nil"/>
          <w:between w:val="nil"/>
        </w:pBdr>
        <w:shd w:val="clear" w:color="auto" w:fill="FFFFFF"/>
        <w:ind w:left="567" w:right="-734"/>
        <w:jc w:val="both"/>
        <w:rPr>
          <w:rFonts w:ascii="Century Gothic" w:eastAsia="Century Gothic" w:hAnsi="Century Gothic" w:cs="Century Gothic"/>
          <w:color w:val="242424"/>
        </w:rPr>
      </w:pPr>
      <w:r>
        <w:rPr>
          <w:rFonts w:ascii="Palatino Linotype" w:eastAsia="Palatino Linotype" w:hAnsi="Palatino Linotype" w:cs="Palatino Linotype"/>
          <w:i/>
          <w:iCs/>
          <w:color w:val="242424"/>
        </w:rPr>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rsidR="00E37C9C" w:rsidRDefault="00E37C9C">
      <w:pPr>
        <w:pBdr>
          <w:top w:val="nil"/>
          <w:left w:val="nil"/>
          <w:bottom w:val="nil"/>
          <w:right w:val="nil"/>
          <w:between w:val="nil"/>
        </w:pBdr>
        <w:shd w:val="clear" w:color="auto" w:fill="FFFFFF"/>
        <w:spacing w:line="360" w:lineRule="auto"/>
        <w:ind w:left="360" w:right="-734"/>
        <w:rPr>
          <w:color w:val="242424"/>
        </w:rPr>
      </w:pPr>
    </w:p>
    <w:p w:rsidR="00E37C9C" w:rsidRDefault="002F4E6C">
      <w:pPr>
        <w:numPr>
          <w:ilvl w:val="0"/>
          <w:numId w:val="3"/>
        </w:numPr>
        <w:pBdr>
          <w:top w:val="nil"/>
          <w:left w:val="nil"/>
          <w:bottom w:val="nil"/>
          <w:right w:val="nil"/>
          <w:between w:val="nil"/>
        </w:pBdr>
        <w:shd w:val="clear" w:color="auto" w:fill="FFFFFF"/>
        <w:spacing w:line="360" w:lineRule="auto"/>
        <w:ind w:left="0" w:right="-734" w:firstLine="0"/>
        <w:jc w:val="both"/>
      </w:pPr>
      <w:r>
        <w:rPr>
          <w:rFonts w:ascii="Palatino Linotype" w:eastAsia="Palatino Linotype" w:hAnsi="Palatino Linotype" w:cs="Palatino Linotype"/>
          <w:color w:val="242424"/>
        </w:rPr>
        <w:lastRenderedPageBreak/>
        <w:t>De lo anterior, se desprende que la información generada, obtenida, adquirida, transmitida, administrada o en posesión de los Sujetos Obligados, será accesible de manera permanente a cualquier persona, privilegiando el principio de máxima publicidad de la información.</w:t>
      </w:r>
    </w:p>
    <w:p w:rsidR="00E37C9C" w:rsidRDefault="00E37C9C">
      <w:pPr>
        <w:pBdr>
          <w:top w:val="nil"/>
          <w:left w:val="nil"/>
          <w:bottom w:val="nil"/>
          <w:right w:val="nil"/>
          <w:between w:val="nil"/>
        </w:pBdr>
        <w:shd w:val="clear" w:color="auto" w:fill="FFFFFF"/>
        <w:ind w:left="360" w:right="-734"/>
        <w:jc w:val="both"/>
        <w:rPr>
          <w:color w:val="242424"/>
        </w:rPr>
      </w:pPr>
    </w:p>
    <w:p w:rsidR="00E37C9C" w:rsidRDefault="002F4E6C">
      <w:pPr>
        <w:numPr>
          <w:ilvl w:val="0"/>
          <w:numId w:val="3"/>
        </w:numPr>
        <w:pBdr>
          <w:top w:val="nil"/>
          <w:left w:val="nil"/>
          <w:bottom w:val="nil"/>
          <w:right w:val="nil"/>
          <w:between w:val="nil"/>
        </w:pBdr>
        <w:shd w:val="clear" w:color="auto" w:fill="FFFFFF"/>
        <w:spacing w:line="360" w:lineRule="auto"/>
        <w:ind w:left="0" w:right="-734" w:firstLine="0"/>
        <w:jc w:val="both"/>
      </w:pPr>
      <w:r>
        <w:rPr>
          <w:rFonts w:ascii="Palatino Linotype" w:eastAsia="Palatino Linotype" w:hAnsi="Palatino Linotype" w:cs="Palatino Linotype"/>
          <w:color w:val="242424"/>
        </w:rPr>
        <w:t>Por su parte, el artículo 12, de la Ley de la materia establece que los Sujetos Obligados sólo proporcionarán la información que generen, recopilen, administren, manejen, procesen, archiven o conserven, y sólo facilitarán las que se les requiera y obre en sus archivos, en el estado en el que se encuentre, sin la obligación de generarla, resumir, efectuar cálculos o practicar investigaciones; tal y como se señala a continuación:</w:t>
      </w:r>
    </w:p>
    <w:p w:rsidR="00E37C9C" w:rsidRDefault="002F4E6C">
      <w:pPr>
        <w:pBdr>
          <w:top w:val="nil"/>
          <w:left w:val="nil"/>
          <w:bottom w:val="nil"/>
          <w:right w:val="nil"/>
          <w:between w:val="nil"/>
        </w:pBdr>
        <w:shd w:val="clear" w:color="auto" w:fill="FFFFFF"/>
        <w:ind w:left="567" w:right="-734"/>
        <w:jc w:val="both"/>
        <w:rPr>
          <w:rFonts w:ascii="Century Gothic" w:eastAsia="Century Gothic" w:hAnsi="Century Gothic" w:cs="Century Gothic"/>
          <w:color w:val="242424"/>
        </w:rPr>
      </w:pPr>
      <w:r>
        <w:rPr>
          <w:rFonts w:ascii="Palatino Linotype" w:eastAsia="Palatino Linotype" w:hAnsi="Palatino Linotype" w:cs="Palatino Linotype"/>
          <w:i/>
          <w:iCs/>
          <w:color w:val="242424"/>
        </w:rPr>
        <w:t>“</w:t>
      </w:r>
      <w:r>
        <w:rPr>
          <w:rFonts w:ascii="Palatino Linotype" w:eastAsia="Palatino Linotype" w:hAnsi="Palatino Linotype" w:cs="Palatino Linotype"/>
          <w:b/>
          <w:bCs/>
          <w:i/>
          <w:iCs/>
          <w:color w:val="242424"/>
        </w:rPr>
        <w:t>Artículo 12.</w:t>
      </w:r>
      <w:r>
        <w:rPr>
          <w:rFonts w:ascii="Palatino Linotype" w:eastAsia="Palatino Linotype" w:hAnsi="Palatino Linotype" w:cs="Palatino Linotype"/>
          <w:i/>
          <w:iCs/>
          <w:color w:val="242424"/>
        </w:rPr>
        <w:t> Quienes generen, recopilen, administren, manejen, procesen, archiven o conserven información pública serán responsables de la misma en los términos de las disposiciones jurídicas aplicables.</w:t>
      </w:r>
    </w:p>
    <w:p w:rsidR="00E37C9C" w:rsidRDefault="00E37C9C">
      <w:pPr>
        <w:pBdr>
          <w:top w:val="nil"/>
          <w:left w:val="nil"/>
          <w:bottom w:val="nil"/>
          <w:right w:val="nil"/>
          <w:between w:val="nil"/>
        </w:pBdr>
        <w:shd w:val="clear" w:color="auto" w:fill="FFFFFF"/>
        <w:ind w:left="567" w:right="-734"/>
        <w:jc w:val="both"/>
        <w:rPr>
          <w:rFonts w:ascii="Century Gothic" w:eastAsia="Century Gothic" w:hAnsi="Century Gothic" w:cs="Century Gothic"/>
          <w:color w:val="242424"/>
        </w:rPr>
      </w:pPr>
    </w:p>
    <w:p w:rsidR="00E37C9C" w:rsidRDefault="002F4E6C">
      <w:pPr>
        <w:pBdr>
          <w:top w:val="nil"/>
          <w:left w:val="nil"/>
          <w:bottom w:val="nil"/>
          <w:right w:val="nil"/>
          <w:between w:val="nil"/>
        </w:pBdr>
        <w:shd w:val="clear" w:color="auto" w:fill="FFFFFF"/>
        <w:ind w:left="567" w:right="-734"/>
        <w:jc w:val="both"/>
        <w:rPr>
          <w:color w:val="242424"/>
        </w:rPr>
      </w:pPr>
      <w:r>
        <w:rPr>
          <w:rFonts w:ascii="Palatino Linotype" w:eastAsia="Palatino Linotype" w:hAnsi="Palatino Linotype" w:cs="Palatino Linotype"/>
          <w:i/>
          <w:iCs/>
          <w:color w:val="242424"/>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rsidR="00E37C9C" w:rsidRDefault="00E37C9C">
      <w:pPr>
        <w:pBdr>
          <w:top w:val="nil"/>
          <w:left w:val="nil"/>
          <w:bottom w:val="nil"/>
          <w:right w:val="nil"/>
          <w:between w:val="nil"/>
        </w:pBdr>
        <w:shd w:val="clear" w:color="auto" w:fill="FFFFFF"/>
        <w:ind w:left="360" w:right="-734"/>
        <w:jc w:val="both"/>
        <w:rPr>
          <w:color w:val="242424"/>
        </w:rPr>
      </w:pPr>
    </w:p>
    <w:p w:rsidR="00E37C9C" w:rsidRDefault="00E37C9C">
      <w:pPr>
        <w:pBdr>
          <w:top w:val="nil"/>
          <w:left w:val="nil"/>
          <w:bottom w:val="nil"/>
          <w:right w:val="nil"/>
          <w:between w:val="nil"/>
        </w:pBdr>
        <w:shd w:val="clear" w:color="auto" w:fill="FFFFFF"/>
        <w:ind w:left="360" w:right="-734"/>
        <w:jc w:val="both"/>
        <w:rPr>
          <w:color w:val="242424"/>
        </w:rPr>
      </w:pPr>
    </w:p>
    <w:p w:rsidR="00E37C9C" w:rsidRDefault="002F4E6C">
      <w:pPr>
        <w:numPr>
          <w:ilvl w:val="0"/>
          <w:numId w:val="3"/>
        </w:numPr>
        <w:pBdr>
          <w:top w:val="nil"/>
          <w:left w:val="nil"/>
          <w:bottom w:val="nil"/>
          <w:right w:val="nil"/>
          <w:between w:val="nil"/>
        </w:pBdr>
        <w:shd w:val="clear" w:color="auto" w:fill="FFFFFF"/>
        <w:spacing w:line="360" w:lineRule="auto"/>
        <w:ind w:left="0" w:right="-734" w:firstLine="0"/>
        <w:jc w:val="both"/>
      </w:pPr>
      <w:r>
        <w:rPr>
          <w:rFonts w:ascii="Palatino Linotype" w:eastAsia="Palatino Linotype" w:hAnsi="Palatino Linotype" w:cs="Palatino Linotype"/>
          <w:color w:val="242424"/>
        </w:rPr>
        <w:t>En síntesis, el derecho de acceso a la información pública se satisface en aquellos casos en que se entregue el soporte documental en que conste la información pública, toda vez que, los Sujetos Obligados no tienen el deber de generar, poseer o administrar la información pública con el grado de detalle solicitado; esto es, que no tienen el deber de generar un documento ad hoc, para satisfacer el derecho de acceso a la información pública.</w:t>
      </w:r>
    </w:p>
    <w:p w:rsidR="00E37C9C" w:rsidRDefault="00E37C9C">
      <w:pPr>
        <w:pBdr>
          <w:top w:val="nil"/>
          <w:left w:val="nil"/>
          <w:bottom w:val="nil"/>
          <w:right w:val="nil"/>
          <w:between w:val="nil"/>
        </w:pBdr>
        <w:shd w:val="clear" w:color="auto" w:fill="FFFFFF"/>
        <w:ind w:left="360" w:right="-734"/>
        <w:jc w:val="both"/>
        <w:rPr>
          <w:color w:val="242424"/>
        </w:rPr>
      </w:pPr>
    </w:p>
    <w:p w:rsidR="00E37C9C" w:rsidRDefault="002F4E6C">
      <w:pPr>
        <w:numPr>
          <w:ilvl w:val="0"/>
          <w:numId w:val="3"/>
        </w:numPr>
        <w:pBdr>
          <w:top w:val="nil"/>
          <w:left w:val="nil"/>
          <w:bottom w:val="nil"/>
          <w:right w:val="nil"/>
          <w:between w:val="nil"/>
        </w:pBdr>
        <w:shd w:val="clear" w:color="auto" w:fill="FFFFFF"/>
        <w:spacing w:line="360" w:lineRule="auto"/>
        <w:ind w:left="0" w:right="-734" w:firstLine="0"/>
        <w:jc w:val="both"/>
      </w:pPr>
      <w:r>
        <w:rPr>
          <w:rFonts w:ascii="Palatino Linotype" w:eastAsia="Palatino Linotype" w:hAnsi="Palatino Linotype" w:cs="Palatino Linotype"/>
          <w:color w:val="242424"/>
        </w:rPr>
        <w:t>Como apoyo a lo anterior, es aplicable el Criterio 03-17, emitido por el Instituto Nacional de Transparencia, Acceso a la Información y Protección de Datos Personales, que dice:</w:t>
      </w:r>
    </w:p>
    <w:p w:rsidR="00E37C9C" w:rsidRDefault="002F4E6C">
      <w:pPr>
        <w:pBdr>
          <w:top w:val="nil"/>
          <w:left w:val="nil"/>
          <w:bottom w:val="nil"/>
          <w:right w:val="nil"/>
          <w:between w:val="nil"/>
        </w:pBdr>
        <w:shd w:val="clear" w:color="auto" w:fill="FFFFFF"/>
        <w:ind w:left="567" w:right="-734"/>
        <w:jc w:val="both"/>
        <w:rPr>
          <w:rFonts w:ascii="Century Gothic" w:eastAsia="Century Gothic" w:hAnsi="Century Gothic" w:cs="Century Gothic"/>
          <w:color w:val="242424"/>
        </w:rPr>
      </w:pPr>
      <w:r>
        <w:rPr>
          <w:rFonts w:ascii="Palatino Linotype" w:eastAsia="Palatino Linotype" w:hAnsi="Palatino Linotype" w:cs="Palatino Linotype"/>
          <w:b/>
          <w:bCs/>
          <w:i/>
          <w:iCs/>
          <w:color w:val="242424"/>
        </w:rPr>
        <w:lastRenderedPageBreak/>
        <w:t>“No existe obligación de elaborar documentos ad hoc para atender las solicitudes de acceso a la información.</w:t>
      </w:r>
      <w:r>
        <w:rPr>
          <w:rFonts w:ascii="Palatino Linotype" w:eastAsia="Palatino Linotype" w:hAnsi="Palatino Linotype" w:cs="Palatino Linotype"/>
          <w:i/>
          <w:iCs/>
          <w:color w:val="242424"/>
        </w:rPr>
        <w:t>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w:t>
      </w:r>
    </w:p>
    <w:p w:rsidR="00E37C9C" w:rsidRDefault="00E37C9C">
      <w:pPr>
        <w:pBdr>
          <w:top w:val="nil"/>
          <w:left w:val="nil"/>
          <w:bottom w:val="nil"/>
          <w:right w:val="nil"/>
          <w:between w:val="nil"/>
        </w:pBdr>
        <w:shd w:val="clear" w:color="auto" w:fill="FFFFFF"/>
        <w:ind w:left="567" w:right="-734"/>
        <w:jc w:val="both"/>
        <w:rPr>
          <w:rFonts w:ascii="Century Gothic" w:eastAsia="Century Gothic" w:hAnsi="Century Gothic" w:cs="Century Gothic"/>
          <w:color w:val="242424"/>
        </w:rPr>
      </w:pPr>
    </w:p>
    <w:p w:rsidR="00E37C9C" w:rsidRDefault="002F4E6C">
      <w:pPr>
        <w:pBdr>
          <w:top w:val="nil"/>
          <w:left w:val="nil"/>
          <w:bottom w:val="nil"/>
          <w:right w:val="nil"/>
          <w:between w:val="nil"/>
        </w:pBdr>
        <w:shd w:val="clear" w:color="auto" w:fill="FFFFFF"/>
        <w:ind w:left="567" w:right="-734"/>
        <w:jc w:val="both"/>
        <w:rPr>
          <w:rFonts w:ascii="Century Gothic" w:eastAsia="Century Gothic" w:hAnsi="Century Gothic" w:cs="Century Gothic"/>
          <w:color w:val="242424"/>
        </w:rPr>
      </w:pPr>
      <w:r>
        <w:rPr>
          <w:rFonts w:ascii="Palatino Linotype" w:eastAsia="Palatino Linotype" w:hAnsi="Palatino Linotype" w:cs="Palatino Linotype"/>
          <w:i/>
          <w:iCs/>
          <w:color w:val="242424"/>
        </w:rPr>
        <w:t>Resoluciones:</w:t>
      </w:r>
    </w:p>
    <w:p w:rsidR="00E37C9C" w:rsidRDefault="002F4E6C">
      <w:pPr>
        <w:pBdr>
          <w:top w:val="nil"/>
          <w:left w:val="nil"/>
          <w:bottom w:val="nil"/>
          <w:right w:val="nil"/>
          <w:between w:val="nil"/>
        </w:pBdr>
        <w:shd w:val="clear" w:color="auto" w:fill="FFFFFF"/>
        <w:ind w:left="567" w:right="-734"/>
        <w:jc w:val="both"/>
        <w:rPr>
          <w:rFonts w:ascii="Century Gothic" w:eastAsia="Century Gothic" w:hAnsi="Century Gothic" w:cs="Century Gothic"/>
          <w:color w:val="242424"/>
        </w:rPr>
      </w:pPr>
      <w:r>
        <w:rPr>
          <w:rFonts w:ascii="Noto Sans Symbols" w:eastAsia="Noto Sans Symbols" w:hAnsi="Noto Sans Symbols" w:cs="Noto Sans Symbols"/>
          <w:i/>
          <w:iCs/>
          <w:color w:val="242424"/>
        </w:rPr>
        <w:t>∙</w:t>
      </w:r>
      <w:r>
        <w:rPr>
          <w:rFonts w:ascii="Palatino Linotype" w:eastAsia="Palatino Linotype" w:hAnsi="Palatino Linotype" w:cs="Palatino Linotype"/>
          <w:i/>
          <w:iCs/>
          <w:color w:val="242424"/>
        </w:rPr>
        <w:t> RRA 0050/16. Instituto Nacional para la Evaluación de la Educación. 13 julio de 2016. Por unanimidad. Comisionado Ponente: Francisco Javier Acuña Llamas.</w:t>
      </w:r>
    </w:p>
    <w:p w:rsidR="00E37C9C" w:rsidRDefault="002F4E6C">
      <w:pPr>
        <w:pBdr>
          <w:top w:val="nil"/>
          <w:left w:val="nil"/>
          <w:bottom w:val="nil"/>
          <w:right w:val="nil"/>
          <w:between w:val="nil"/>
        </w:pBdr>
        <w:shd w:val="clear" w:color="auto" w:fill="FFFFFF"/>
        <w:ind w:left="567" w:right="-734"/>
        <w:jc w:val="both"/>
        <w:rPr>
          <w:rFonts w:ascii="Century Gothic" w:eastAsia="Century Gothic" w:hAnsi="Century Gothic" w:cs="Century Gothic"/>
          <w:color w:val="242424"/>
        </w:rPr>
      </w:pPr>
      <w:r>
        <w:rPr>
          <w:rFonts w:ascii="Noto Sans Symbols" w:eastAsia="Noto Sans Symbols" w:hAnsi="Noto Sans Symbols" w:cs="Noto Sans Symbols"/>
          <w:i/>
          <w:iCs/>
          <w:color w:val="242424"/>
        </w:rPr>
        <w:t>∙</w:t>
      </w:r>
      <w:r>
        <w:rPr>
          <w:rFonts w:ascii="Palatino Linotype" w:eastAsia="Palatino Linotype" w:hAnsi="Palatino Linotype" w:cs="Palatino Linotype"/>
          <w:i/>
          <w:iCs/>
          <w:color w:val="242424"/>
        </w:rPr>
        <w:t> RRA 0310/16. Instituto Nacional de Transparencia, Acceso a la Información y Protección de Datos Personales. 10 de agosto de 2016. Por unanimidad. Comisionada Ponente. Areli Cano Guadiana.</w:t>
      </w:r>
    </w:p>
    <w:p w:rsidR="00E37C9C" w:rsidRDefault="002F4E6C">
      <w:pPr>
        <w:pBdr>
          <w:top w:val="nil"/>
          <w:left w:val="nil"/>
          <w:bottom w:val="nil"/>
          <w:right w:val="nil"/>
          <w:between w:val="nil"/>
        </w:pBdr>
        <w:shd w:val="clear" w:color="auto" w:fill="FFFFFF"/>
        <w:ind w:left="567" w:right="-734"/>
        <w:jc w:val="both"/>
        <w:rPr>
          <w:color w:val="242424"/>
        </w:rPr>
      </w:pPr>
      <w:r>
        <w:rPr>
          <w:rFonts w:ascii="Noto Sans Symbols" w:eastAsia="Noto Sans Symbols" w:hAnsi="Noto Sans Symbols" w:cs="Noto Sans Symbols"/>
          <w:i/>
          <w:iCs/>
          <w:color w:val="242424"/>
        </w:rPr>
        <w:t>∙</w:t>
      </w:r>
      <w:r>
        <w:rPr>
          <w:rFonts w:ascii="Palatino Linotype" w:eastAsia="Palatino Linotype" w:hAnsi="Palatino Linotype" w:cs="Palatino Linotype"/>
          <w:i/>
          <w:iCs/>
          <w:color w:val="242424"/>
        </w:rPr>
        <w:t> RRA 1889/16. Secretaría de Hacienda y Crédito Público. 05 de octubre de 2016. Por unanimidad. Comisionada Ponente. Ximena Puente de la Mora.”</w:t>
      </w:r>
    </w:p>
    <w:p w:rsidR="00E37C9C" w:rsidRDefault="00E37C9C">
      <w:pPr>
        <w:pBdr>
          <w:top w:val="nil"/>
          <w:left w:val="nil"/>
          <w:bottom w:val="nil"/>
          <w:right w:val="nil"/>
          <w:between w:val="nil"/>
        </w:pBdr>
        <w:shd w:val="clear" w:color="auto" w:fill="FFFFFF"/>
        <w:ind w:left="360" w:right="-734"/>
        <w:jc w:val="both"/>
        <w:rPr>
          <w:color w:val="242424"/>
        </w:rPr>
      </w:pPr>
    </w:p>
    <w:p w:rsidR="00E37C9C" w:rsidRDefault="002F4E6C">
      <w:pPr>
        <w:numPr>
          <w:ilvl w:val="0"/>
          <w:numId w:val="3"/>
        </w:numPr>
        <w:pBdr>
          <w:top w:val="nil"/>
          <w:left w:val="nil"/>
          <w:bottom w:val="nil"/>
          <w:right w:val="nil"/>
          <w:between w:val="nil"/>
        </w:pBdr>
        <w:shd w:val="clear" w:color="auto" w:fill="FFFFFF"/>
        <w:spacing w:line="360" w:lineRule="auto"/>
        <w:ind w:left="0" w:right="-734" w:firstLine="0"/>
        <w:jc w:val="both"/>
      </w:pPr>
      <w:r>
        <w:rPr>
          <w:rFonts w:ascii="Palatino Linotype" w:eastAsia="Palatino Linotype" w:hAnsi="Palatino Linotype" w:cs="Palatino Linotype"/>
          <w:color w:val="242424"/>
        </w:rPr>
        <w:t>Asimos, el artículo 24,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p>
    <w:p w:rsidR="00E37C9C" w:rsidRDefault="00E37C9C">
      <w:pPr>
        <w:pBdr>
          <w:top w:val="nil"/>
          <w:left w:val="nil"/>
          <w:bottom w:val="nil"/>
          <w:right w:val="nil"/>
          <w:between w:val="nil"/>
        </w:pBdr>
        <w:shd w:val="clear" w:color="auto" w:fill="FFFFFF"/>
        <w:ind w:right="-734"/>
        <w:jc w:val="both"/>
        <w:rPr>
          <w:color w:val="242424"/>
        </w:rPr>
      </w:pPr>
    </w:p>
    <w:p w:rsidR="00E37C9C" w:rsidRDefault="002F4E6C">
      <w:pPr>
        <w:numPr>
          <w:ilvl w:val="0"/>
          <w:numId w:val="3"/>
        </w:numPr>
        <w:pBdr>
          <w:top w:val="nil"/>
          <w:left w:val="nil"/>
          <w:bottom w:val="nil"/>
          <w:right w:val="nil"/>
          <w:between w:val="nil"/>
        </w:pBdr>
        <w:shd w:val="clear" w:color="auto" w:fill="FFFFFF"/>
        <w:spacing w:line="360" w:lineRule="auto"/>
        <w:ind w:left="0" w:right="-734" w:firstLine="0"/>
        <w:jc w:val="both"/>
      </w:pPr>
      <w:r>
        <w:rPr>
          <w:rFonts w:ascii="Palatino Linotype" w:eastAsia="Palatino Linotype" w:hAnsi="Palatino Linotype" w:cs="Palatino Linotype"/>
          <w:color w:val="242424"/>
        </w:rPr>
        <w:t xml:space="preserve">En esta misma tesitura, es de subrayar que el derecho de acceso a la información pública, consiste en que la información solicitada conste en un soporte documental en cualquiera de sus formas, a saber: expedientes, reportes, estudios, actas, resoluciones, oficios, correspondencia, acuerdos, directivas, directrices, circulares, contratos, convenios, instructivos, notas, memorandos, estadísticas o bien, cualquier otro registro que documente </w:t>
      </w:r>
      <w:r>
        <w:rPr>
          <w:rFonts w:ascii="Palatino Linotype" w:eastAsia="Palatino Linotype" w:hAnsi="Palatino Linotype" w:cs="Palatino Linotype"/>
          <w:color w:val="242424"/>
        </w:rPr>
        <w:lastRenderedPageBreak/>
        <w:t>el ejercicio de las facultades, funciones y competencias de los Sujetos Obligados; los que, podrán estar en cualquier medio, sea escrito, impreso, sonoro, visual, electrónico, informático u holográfico, de conformidad con el artículo 3, fracción XI, de la Ley de la materia, el cual dispone lo siguiente:</w:t>
      </w:r>
    </w:p>
    <w:p w:rsidR="00E37C9C" w:rsidRDefault="002F4E6C">
      <w:pPr>
        <w:pBdr>
          <w:top w:val="nil"/>
          <w:left w:val="nil"/>
          <w:bottom w:val="nil"/>
          <w:right w:val="nil"/>
          <w:between w:val="nil"/>
        </w:pBdr>
        <w:shd w:val="clear" w:color="auto" w:fill="FFFFFF"/>
        <w:ind w:left="567" w:right="-734"/>
        <w:jc w:val="both"/>
        <w:rPr>
          <w:rFonts w:ascii="Century Gothic" w:eastAsia="Century Gothic" w:hAnsi="Century Gothic" w:cs="Century Gothic"/>
          <w:color w:val="242424"/>
        </w:rPr>
      </w:pPr>
      <w:r>
        <w:rPr>
          <w:rFonts w:ascii="Palatino Linotype" w:eastAsia="Palatino Linotype" w:hAnsi="Palatino Linotype" w:cs="Palatino Linotype"/>
          <w:b/>
          <w:bCs/>
          <w:i/>
          <w:iCs/>
          <w:color w:val="242424"/>
        </w:rPr>
        <w:t>“Artículo 3.</w:t>
      </w:r>
      <w:r>
        <w:rPr>
          <w:rFonts w:ascii="Palatino Linotype" w:eastAsia="Palatino Linotype" w:hAnsi="Palatino Linotype" w:cs="Palatino Linotype"/>
          <w:i/>
          <w:iCs/>
          <w:color w:val="242424"/>
        </w:rPr>
        <w:t> Para los efectos de la presente Ley se entenderá por:</w:t>
      </w:r>
    </w:p>
    <w:p w:rsidR="00E37C9C" w:rsidRDefault="002F4E6C">
      <w:pPr>
        <w:pBdr>
          <w:top w:val="nil"/>
          <w:left w:val="nil"/>
          <w:bottom w:val="nil"/>
          <w:right w:val="nil"/>
          <w:between w:val="nil"/>
        </w:pBdr>
        <w:shd w:val="clear" w:color="auto" w:fill="FFFFFF"/>
        <w:ind w:left="567" w:right="-734"/>
        <w:jc w:val="both"/>
        <w:rPr>
          <w:rFonts w:ascii="Century Gothic" w:eastAsia="Century Gothic" w:hAnsi="Century Gothic" w:cs="Century Gothic"/>
          <w:color w:val="242424"/>
        </w:rPr>
      </w:pPr>
      <w:r>
        <w:rPr>
          <w:rFonts w:ascii="Palatino Linotype" w:eastAsia="Palatino Linotype" w:hAnsi="Palatino Linotype" w:cs="Palatino Linotype"/>
          <w:i/>
          <w:iCs/>
          <w:color w:val="242424"/>
        </w:rPr>
        <w:t>(…)</w:t>
      </w:r>
    </w:p>
    <w:p w:rsidR="00E37C9C" w:rsidRDefault="002F4E6C">
      <w:pPr>
        <w:pBdr>
          <w:top w:val="nil"/>
          <w:left w:val="nil"/>
          <w:bottom w:val="nil"/>
          <w:right w:val="nil"/>
          <w:between w:val="nil"/>
        </w:pBdr>
        <w:shd w:val="clear" w:color="auto" w:fill="FFFFFF"/>
        <w:ind w:left="567" w:right="-734"/>
        <w:jc w:val="both"/>
        <w:rPr>
          <w:rFonts w:ascii="Century Gothic" w:eastAsia="Century Gothic" w:hAnsi="Century Gothic" w:cs="Century Gothic"/>
          <w:color w:val="242424"/>
        </w:rPr>
      </w:pPr>
      <w:r>
        <w:rPr>
          <w:rFonts w:ascii="Palatino Linotype" w:eastAsia="Palatino Linotype" w:hAnsi="Palatino Linotype" w:cs="Palatino Linotype"/>
          <w:b/>
          <w:bCs/>
          <w:i/>
          <w:iCs/>
          <w:color w:val="242424"/>
        </w:rPr>
        <w:t>XI. Documento:</w:t>
      </w:r>
      <w:r>
        <w:rPr>
          <w:rFonts w:ascii="Palatino Linotype" w:eastAsia="Palatino Linotype" w:hAnsi="Palatino Linotype" w:cs="Palatino Linotype"/>
          <w:i/>
          <w:iCs/>
          <w:color w:val="242424"/>
        </w:rPr>
        <w:t>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w:t>
      </w:r>
      <w:r>
        <w:rPr>
          <w:rFonts w:ascii="Palatino Linotype" w:eastAsia="Palatino Linotype" w:hAnsi="Palatino Linotype" w:cs="Palatino Linotype"/>
          <w:b/>
          <w:bCs/>
          <w:i/>
          <w:iCs/>
          <w:color w:val="242424"/>
        </w:rPr>
        <w:t>Los documentos podrán estar en cualquier medio, sea escrito, impreso, sonoro, visual, electrónico, informático u holográfico;</w:t>
      </w:r>
    </w:p>
    <w:p w:rsidR="00E37C9C" w:rsidRDefault="002F4E6C">
      <w:pPr>
        <w:pBdr>
          <w:top w:val="nil"/>
          <w:left w:val="nil"/>
          <w:bottom w:val="nil"/>
          <w:right w:val="nil"/>
          <w:between w:val="nil"/>
        </w:pBdr>
        <w:shd w:val="clear" w:color="auto" w:fill="FFFFFF"/>
        <w:ind w:left="567" w:right="-734"/>
        <w:jc w:val="both"/>
        <w:rPr>
          <w:rFonts w:ascii="Century Gothic" w:eastAsia="Century Gothic" w:hAnsi="Century Gothic" w:cs="Century Gothic"/>
          <w:color w:val="242424"/>
        </w:rPr>
      </w:pPr>
      <w:r>
        <w:rPr>
          <w:rFonts w:ascii="Palatino Linotype" w:eastAsia="Palatino Linotype" w:hAnsi="Palatino Linotype" w:cs="Palatino Linotype"/>
          <w:i/>
          <w:iCs/>
          <w:color w:val="242424"/>
        </w:rPr>
        <w:t>(…)”</w:t>
      </w:r>
    </w:p>
    <w:p w:rsidR="00E37C9C" w:rsidRDefault="00E37C9C">
      <w:pPr>
        <w:pBdr>
          <w:top w:val="nil"/>
          <w:left w:val="nil"/>
          <w:bottom w:val="nil"/>
          <w:right w:val="nil"/>
          <w:between w:val="nil"/>
        </w:pBdr>
        <w:shd w:val="clear" w:color="auto" w:fill="FFFFFF"/>
        <w:ind w:left="360" w:right="-734"/>
        <w:jc w:val="both"/>
        <w:rPr>
          <w:color w:val="242424"/>
        </w:rPr>
      </w:pPr>
    </w:p>
    <w:p w:rsidR="00E37C9C" w:rsidRDefault="002F4E6C">
      <w:pPr>
        <w:numPr>
          <w:ilvl w:val="0"/>
          <w:numId w:val="3"/>
        </w:numPr>
        <w:pBdr>
          <w:top w:val="nil"/>
          <w:left w:val="nil"/>
          <w:bottom w:val="nil"/>
          <w:right w:val="nil"/>
          <w:between w:val="nil"/>
        </w:pBdr>
        <w:shd w:val="clear" w:color="auto" w:fill="FFFFFF"/>
        <w:spacing w:line="360" w:lineRule="auto"/>
        <w:ind w:left="0" w:right="-734" w:firstLine="0"/>
        <w:jc w:val="both"/>
      </w:pPr>
      <w:r>
        <w:rPr>
          <w:rFonts w:ascii="Palatino Linotype" w:eastAsia="Palatino Linotype" w:hAnsi="Palatino Linotype" w:cs="Palatino Linotype"/>
          <w:color w:val="242424"/>
        </w:rPr>
        <w:t>Siendo aplicable el Criterio de interpretación en el orden administrativo número 0002- 11,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dispone:</w:t>
      </w:r>
    </w:p>
    <w:p w:rsidR="00E37C9C" w:rsidRDefault="002F4E6C">
      <w:pPr>
        <w:pBdr>
          <w:top w:val="nil"/>
          <w:left w:val="nil"/>
          <w:bottom w:val="nil"/>
          <w:right w:val="nil"/>
          <w:between w:val="nil"/>
        </w:pBdr>
        <w:shd w:val="clear" w:color="auto" w:fill="FFFFFF"/>
        <w:ind w:left="567" w:right="-734"/>
        <w:jc w:val="both"/>
        <w:rPr>
          <w:rFonts w:ascii="Palatino Linotype" w:eastAsia="Palatino Linotype" w:hAnsi="Palatino Linotype" w:cs="Palatino Linotype"/>
          <w:i/>
          <w:iCs/>
          <w:color w:val="242424"/>
        </w:rPr>
      </w:pPr>
      <w:r>
        <w:rPr>
          <w:rFonts w:ascii="Palatino Linotype" w:eastAsia="Palatino Linotype" w:hAnsi="Palatino Linotype" w:cs="Palatino Linotype"/>
          <w:i/>
          <w:iCs/>
          <w:color w:val="242424"/>
        </w:rPr>
        <w:t xml:space="preserve">“CRITERIO 0002-11 INFORMACIÓN PÚBLICA, CONCEPTO DE, EN MATERIA DE TRANSPARENCIA. INTERPRETACIÓN SISTEMÁTICA DE LOS ARTÍCULOS 2°, FRACCIÓN V, XV, Y XVI, 3°, 4°, 11 Y 41.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 En consecuencia el acceso a la información se refiere a que se cumplan cualquiera de los siguientes tres supuestos: 1) Que se trate de información registrada en cualquier soporte documental, que en ejercicio de las atribuciones conferidas, sea generada por los Sujetos Obligados; 2) Que se trate de información registrada en cualquier soporte documental, que en ejercicio de las atribuciones conferidas, sea administrada por los Sujetos Obligados, y 3) Que se trate de información registrada en cualquier soporte </w:t>
      </w:r>
      <w:r>
        <w:rPr>
          <w:rFonts w:ascii="Palatino Linotype" w:eastAsia="Palatino Linotype" w:hAnsi="Palatino Linotype" w:cs="Palatino Linotype"/>
          <w:i/>
          <w:iCs/>
          <w:color w:val="242424"/>
        </w:rPr>
        <w:lastRenderedPageBreak/>
        <w:t>documental, que en ejercicio de las atribuciones conferidas, se encuentre en posesión de los Sujetos Obligados.”</w:t>
      </w:r>
    </w:p>
    <w:p w:rsidR="00E37C9C" w:rsidRDefault="00E37C9C">
      <w:pPr>
        <w:pBdr>
          <w:top w:val="nil"/>
          <w:left w:val="nil"/>
          <w:bottom w:val="nil"/>
          <w:right w:val="nil"/>
          <w:between w:val="nil"/>
        </w:pBdr>
        <w:shd w:val="clear" w:color="auto" w:fill="FFFFFF"/>
        <w:ind w:left="567" w:right="-734"/>
        <w:jc w:val="both"/>
        <w:rPr>
          <w:rFonts w:ascii="Century Gothic" w:eastAsia="Century Gothic" w:hAnsi="Century Gothic" w:cs="Century Gothic"/>
          <w:color w:val="242424"/>
        </w:rPr>
      </w:pPr>
    </w:p>
    <w:p w:rsidR="00E37C9C" w:rsidRDefault="002F4E6C">
      <w:pPr>
        <w:numPr>
          <w:ilvl w:val="0"/>
          <w:numId w:val="3"/>
        </w:numPr>
        <w:pBdr>
          <w:top w:val="nil"/>
          <w:left w:val="nil"/>
          <w:bottom w:val="nil"/>
          <w:right w:val="nil"/>
          <w:between w:val="nil"/>
        </w:pBdr>
        <w:spacing w:line="360" w:lineRule="auto"/>
        <w:ind w:left="0" w:right="-734" w:firstLine="0"/>
        <w:jc w:val="both"/>
      </w:pPr>
      <w:r>
        <w:rPr>
          <w:rFonts w:ascii="Palatino Linotype" w:eastAsia="Palatino Linotype" w:hAnsi="Palatino Linotype" w:cs="Palatino Linotype"/>
          <w:color w:val="000000"/>
        </w:rPr>
        <w:t xml:space="preserve">Por lo anteriormente señalado, se advierte que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tiene competencia para conocer de lo solicitado por el particular, en consecuencia, una vez analizadas las constancias que integran el expediente electrónico, y en mérito de lo expuesto en líneas anteriores, resultan  fundadas las razones o motivos de inconformidad hechos valer por el </w:t>
      </w:r>
      <w:r>
        <w:rPr>
          <w:rFonts w:ascii="Palatino Linotype" w:eastAsia="Palatino Linotype" w:hAnsi="Palatino Linotype" w:cs="Palatino Linotype"/>
          <w:b/>
          <w:bCs/>
          <w:color w:val="000000"/>
        </w:rPr>
        <w:t>RECURRENTE</w:t>
      </w:r>
      <w:r>
        <w:rPr>
          <w:rFonts w:ascii="Palatino Linotype" w:eastAsia="Palatino Linotype" w:hAnsi="Palatino Linotype" w:cs="Palatino Linotype"/>
          <w:color w:val="000000"/>
        </w:rPr>
        <w:t xml:space="preserve"> dentro del recurso de revisión </w:t>
      </w:r>
      <w:r>
        <w:rPr>
          <w:rFonts w:ascii="Palatino Linotype" w:eastAsia="Palatino Linotype" w:hAnsi="Palatino Linotype" w:cs="Palatino Linotype"/>
          <w:b/>
          <w:bCs/>
          <w:color w:val="000000"/>
        </w:rPr>
        <w:t>05893/INFOEM/IP/RR/2025</w:t>
      </w:r>
      <w:r>
        <w:rPr>
          <w:rFonts w:ascii="Palatino Linotype" w:eastAsia="Palatino Linotype" w:hAnsi="Palatino Linotype" w:cs="Palatino Linotype"/>
          <w:color w:val="000000"/>
        </w:rPr>
        <w:t xml:space="preserve">; por ello, y con fundamento en la fracción III del numeral 186 de la Ley de Transparencia y Acceso a la Información Pública del Estado de México y Municipios, se </w:t>
      </w:r>
      <w:r>
        <w:rPr>
          <w:rFonts w:ascii="Palatino Linotype" w:eastAsia="Palatino Linotype" w:hAnsi="Palatino Linotype" w:cs="Palatino Linotype"/>
          <w:b/>
          <w:bCs/>
          <w:color w:val="000000"/>
        </w:rPr>
        <w:t>REVOCA</w:t>
      </w:r>
      <w:r>
        <w:rPr>
          <w:rFonts w:ascii="Palatino Linotype" w:eastAsia="Palatino Linotype" w:hAnsi="Palatino Linotype" w:cs="Palatino Linotype"/>
          <w:color w:val="000000"/>
        </w:rPr>
        <w:t xml:space="preserve"> la respuesta del Sujeto Obligado. </w:t>
      </w:r>
    </w:p>
    <w:p w:rsidR="00E37C9C" w:rsidRDefault="00E37C9C">
      <w:pPr>
        <w:pBdr>
          <w:top w:val="nil"/>
          <w:left w:val="nil"/>
          <w:bottom w:val="nil"/>
          <w:right w:val="nil"/>
          <w:between w:val="nil"/>
        </w:pBdr>
        <w:spacing w:line="360" w:lineRule="auto"/>
        <w:ind w:right="-734"/>
        <w:jc w:val="both"/>
        <w:rPr>
          <w:rFonts w:ascii="Palatino Linotype" w:eastAsia="Palatino Linotype" w:hAnsi="Palatino Linotype" w:cs="Palatino Linotype"/>
        </w:rPr>
      </w:pPr>
    </w:p>
    <w:p w:rsidR="00E37C9C" w:rsidRDefault="00E37C9C">
      <w:pPr>
        <w:pBdr>
          <w:top w:val="nil"/>
          <w:left w:val="nil"/>
          <w:bottom w:val="nil"/>
          <w:right w:val="nil"/>
          <w:between w:val="nil"/>
        </w:pBdr>
        <w:spacing w:line="360" w:lineRule="auto"/>
        <w:ind w:right="-734"/>
        <w:jc w:val="both"/>
        <w:rPr>
          <w:rFonts w:ascii="Palatino Linotype" w:eastAsia="Palatino Linotype" w:hAnsi="Palatino Linotype" w:cs="Palatino Linotype"/>
        </w:rPr>
      </w:pPr>
    </w:p>
    <w:p w:rsidR="00E37C9C" w:rsidRDefault="00E37C9C">
      <w:pPr>
        <w:pBdr>
          <w:top w:val="nil"/>
          <w:left w:val="nil"/>
          <w:bottom w:val="nil"/>
          <w:right w:val="nil"/>
          <w:between w:val="nil"/>
        </w:pBdr>
        <w:spacing w:line="360" w:lineRule="auto"/>
        <w:ind w:right="-734"/>
        <w:jc w:val="both"/>
        <w:rPr>
          <w:rFonts w:ascii="Palatino Linotype" w:eastAsia="Palatino Linotype" w:hAnsi="Palatino Linotype" w:cs="Palatino Linotype"/>
        </w:rPr>
      </w:pPr>
    </w:p>
    <w:p w:rsidR="00E37C9C" w:rsidRDefault="002F4E6C">
      <w:pPr>
        <w:pBdr>
          <w:top w:val="nil"/>
          <w:left w:val="nil"/>
          <w:bottom w:val="nil"/>
          <w:right w:val="nil"/>
          <w:between w:val="nil"/>
        </w:pBdr>
        <w:tabs>
          <w:tab w:val="left" w:pos="426"/>
        </w:tabs>
        <w:spacing w:line="360" w:lineRule="auto"/>
        <w:ind w:right="-734"/>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QUINTO. De la versión pública.</w:t>
      </w:r>
    </w:p>
    <w:p w:rsidR="00E37C9C" w:rsidRDefault="002F4E6C">
      <w:pPr>
        <w:numPr>
          <w:ilvl w:val="0"/>
          <w:numId w:val="3"/>
        </w:numPr>
        <w:pBdr>
          <w:top w:val="nil"/>
          <w:left w:val="nil"/>
          <w:bottom w:val="nil"/>
          <w:right w:val="nil"/>
          <w:between w:val="nil"/>
        </w:pBdr>
        <w:tabs>
          <w:tab w:val="left" w:pos="0"/>
        </w:tabs>
        <w:spacing w:line="360" w:lineRule="auto"/>
        <w:ind w:left="0" w:right="-734" w:firstLine="0"/>
        <w:jc w:val="both"/>
      </w:pPr>
      <w:r>
        <w:rPr>
          <w:rFonts w:ascii="Palatino Linotype" w:eastAsia="Palatino Linotype" w:hAnsi="Palatino Linotype" w:cs="Palatino Linotype"/>
          <w:color w:val="000000"/>
        </w:rPr>
        <w:t>Debe destacarse que, debido a la naturaleza de la información solicitada</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eventualmente pudieran obrar datos personales susceptibles de protegerse, y toda vez que este Instituto de Transparencia, Acceso a la Información Pública y Protección de Datos Personales del Estado de México tiene el deber de velar por la protección de los datos personales aun tratándose de servidores públicos y en su caso generar la versión pública de los documentos por las consideraciones que se estimen pertinentes.</w:t>
      </w:r>
    </w:p>
    <w:p w:rsidR="00E37C9C" w:rsidRDefault="00E37C9C">
      <w:pPr>
        <w:pBdr>
          <w:top w:val="nil"/>
          <w:left w:val="nil"/>
          <w:bottom w:val="nil"/>
          <w:right w:val="nil"/>
          <w:between w:val="nil"/>
        </w:pBdr>
        <w:tabs>
          <w:tab w:val="left" w:pos="426"/>
        </w:tabs>
        <w:spacing w:line="360" w:lineRule="auto"/>
        <w:ind w:right="-734"/>
        <w:jc w:val="both"/>
        <w:rPr>
          <w:rFonts w:ascii="Palatino Linotype" w:eastAsia="Palatino Linotype" w:hAnsi="Palatino Linotype" w:cs="Palatino Linotype"/>
          <w:color w:val="000000"/>
        </w:rPr>
      </w:pPr>
    </w:p>
    <w:p w:rsidR="00E37C9C" w:rsidRDefault="002F4E6C">
      <w:pPr>
        <w:numPr>
          <w:ilvl w:val="0"/>
          <w:numId w:val="3"/>
        </w:numPr>
        <w:pBdr>
          <w:top w:val="nil"/>
          <w:left w:val="nil"/>
          <w:bottom w:val="nil"/>
          <w:right w:val="nil"/>
          <w:between w:val="nil"/>
        </w:pBdr>
        <w:tabs>
          <w:tab w:val="left" w:pos="0"/>
        </w:tabs>
        <w:spacing w:line="360" w:lineRule="auto"/>
        <w:ind w:left="0" w:right="-734" w:firstLine="0"/>
        <w:jc w:val="both"/>
      </w:pPr>
      <w:r>
        <w:rPr>
          <w:rFonts w:ascii="Palatino Linotype" w:eastAsia="Palatino Linotype" w:hAnsi="Palatino Linotype" w:cs="Palatino Linotype"/>
          <w:color w:val="000000"/>
        </w:rPr>
        <w:t>La clasificación total o parcial de la información requerida, mediante solicitud de acceso a la información pública, constituye una restricción al derecho humano de acceso a la información, por lo que es menester reiterar los mismos:</w:t>
      </w:r>
    </w:p>
    <w:p w:rsidR="00E37C9C" w:rsidRDefault="00E37C9C">
      <w:pPr>
        <w:pBdr>
          <w:top w:val="nil"/>
          <w:left w:val="nil"/>
          <w:bottom w:val="nil"/>
          <w:right w:val="nil"/>
          <w:between w:val="nil"/>
        </w:pBdr>
        <w:tabs>
          <w:tab w:val="left" w:pos="426"/>
        </w:tabs>
        <w:spacing w:line="360" w:lineRule="auto"/>
        <w:ind w:right="-734"/>
        <w:jc w:val="both"/>
        <w:rPr>
          <w:rFonts w:ascii="Palatino Linotype" w:eastAsia="Palatino Linotype" w:hAnsi="Palatino Linotype" w:cs="Palatino Linotype"/>
          <w:color w:val="000000"/>
        </w:rPr>
      </w:pPr>
    </w:p>
    <w:tbl>
      <w:tblPr>
        <w:tblStyle w:val="a"/>
        <w:tblW w:w="9765" w:type="dxa"/>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00" w:firstRow="0" w:lastRow="0" w:firstColumn="0" w:lastColumn="0" w:noHBand="0" w:noVBand="1"/>
      </w:tblPr>
      <w:tblGrid>
        <w:gridCol w:w="3270"/>
        <w:gridCol w:w="6495"/>
      </w:tblGrid>
      <w:tr w:rsidR="00E37C9C">
        <w:tc>
          <w:tcPr>
            <w:tcW w:w="3270" w:type="dxa"/>
          </w:tcPr>
          <w:p w:rsidR="00E37C9C" w:rsidRDefault="002F4E6C">
            <w:pPr>
              <w:spacing w:line="360" w:lineRule="auto"/>
              <w:ind w:right="-88"/>
              <w:rPr>
                <w:rFonts w:ascii="Palatino Linotype" w:eastAsia="Palatino Linotype" w:hAnsi="Palatino Linotype" w:cs="Palatino Linotype"/>
              </w:rPr>
            </w:pPr>
            <w:r>
              <w:rPr>
                <w:rFonts w:ascii="Palatino Linotype" w:eastAsia="Palatino Linotype" w:hAnsi="Palatino Linotype" w:cs="Palatino Linotype"/>
              </w:rPr>
              <w:lastRenderedPageBreak/>
              <w:t>a) Requisitos previos.</w:t>
            </w:r>
          </w:p>
        </w:tc>
        <w:tc>
          <w:tcPr>
            <w:tcW w:w="6495" w:type="dxa"/>
          </w:tcPr>
          <w:p w:rsidR="00E37C9C" w:rsidRDefault="002F4E6C">
            <w:pPr>
              <w:spacing w:line="360" w:lineRule="auto"/>
              <w:ind w:right="-88"/>
              <w:jc w:val="both"/>
              <w:rPr>
                <w:rFonts w:ascii="Palatino Linotype" w:eastAsia="Palatino Linotype" w:hAnsi="Palatino Linotype" w:cs="Palatino Linotype"/>
              </w:rPr>
            </w:pPr>
            <w:r>
              <w:rPr>
                <w:rFonts w:ascii="Palatino Linotype" w:eastAsia="Palatino Linotype" w:hAnsi="Palatino Linotype" w:cs="Palatino Linotype"/>
              </w:rPr>
              <w:t xml:space="preserve">Los artículos 100 y 122 de la Ley Estatal y de la Ley General, respectivamente, señalan que si los Sujetos Obligados determinan que la información actualiza alguno de los supuestos de clasificación, es deber de los titulares de las áreas proponer su clasificación y no del Comité de Transparencia. </w:t>
            </w:r>
          </w:p>
          <w:p w:rsidR="00E37C9C" w:rsidRDefault="002F4E6C">
            <w:pPr>
              <w:spacing w:line="360" w:lineRule="auto"/>
              <w:ind w:right="-88"/>
              <w:jc w:val="both"/>
              <w:rPr>
                <w:rFonts w:ascii="Palatino Linotype" w:eastAsia="Palatino Linotype" w:hAnsi="Palatino Linotype" w:cs="Palatino Linotype"/>
              </w:rPr>
            </w:pPr>
            <w:r>
              <w:rPr>
                <w:rFonts w:ascii="Palatino Linotype" w:eastAsia="Palatino Linotype" w:hAnsi="Palatino Linotype" w:cs="Palatino Linotype"/>
              </w:rPr>
              <w:t>Al hacerlo tienen que precisar de qué información se trata, señalando el supuesto de clasificación (confidencialidad o reserva).</w:t>
            </w:r>
          </w:p>
          <w:p w:rsidR="00E37C9C" w:rsidRDefault="002F4E6C">
            <w:pPr>
              <w:spacing w:line="360" w:lineRule="auto"/>
              <w:ind w:right="-88"/>
              <w:jc w:val="both"/>
              <w:rPr>
                <w:rFonts w:ascii="Palatino Linotype" w:eastAsia="Palatino Linotype" w:hAnsi="Palatino Linotype" w:cs="Palatino Linotype"/>
              </w:rPr>
            </w:pPr>
            <w:r>
              <w:rPr>
                <w:rFonts w:ascii="Palatino Linotype" w:eastAsia="Palatino Linotype" w:hAnsi="Palatino Linotype" w:cs="Palatino Linotype"/>
              </w:rPr>
              <w:t>Además, se debe señalar el procedimiento, de los tres que establecen los artículos 132 y 106 de la Ley Estatal y General, respectivamente.</w:t>
            </w:r>
          </w:p>
          <w:p w:rsidR="00E37C9C" w:rsidRDefault="002F4E6C">
            <w:pPr>
              <w:spacing w:line="360" w:lineRule="auto"/>
              <w:ind w:right="-88"/>
              <w:jc w:val="both"/>
              <w:rPr>
                <w:rFonts w:ascii="Palatino Linotype" w:eastAsia="Palatino Linotype" w:hAnsi="Palatino Linotype" w:cs="Palatino Linotype"/>
              </w:rPr>
            </w:pPr>
            <w:r>
              <w:rPr>
                <w:rFonts w:ascii="Palatino Linotype" w:eastAsia="Palatino Linotype" w:hAnsi="Palatino Linotype" w:cs="Palatino Linotype"/>
              </w:rPr>
              <w:t xml:space="preserve">El último de estos requisitos previos consiste en que no se pueden emitir acuerdos de carácter general ni particular, esto es, </w:t>
            </w:r>
            <w:r>
              <w:rPr>
                <w:rFonts w:ascii="Palatino Linotype" w:eastAsia="Palatino Linotype" w:hAnsi="Palatino Linotype" w:cs="Palatino Linotype"/>
                <w:u w:val="single"/>
              </w:rPr>
              <w:t xml:space="preserve">no se puede hacer un acuerdo para clasificar de manera general todos los documentos de un expediente o área,  </w:t>
            </w:r>
            <w:r>
              <w:rPr>
                <w:rFonts w:ascii="Palatino Linotype" w:eastAsia="Palatino Linotype" w:hAnsi="Palatino Linotype" w:cs="Palatino Linotype"/>
              </w:rPr>
              <w:t>sin individualizar su análisis y tampoco se puede hacer un acuerdo por cada dato que se vaya a clasificar dentro de un documento con diez datos, por ejemplo, susceptibles de ser clasificados.</w:t>
            </w:r>
          </w:p>
        </w:tc>
      </w:tr>
      <w:tr w:rsidR="00E37C9C">
        <w:tc>
          <w:tcPr>
            <w:tcW w:w="3270" w:type="dxa"/>
          </w:tcPr>
          <w:p w:rsidR="00E37C9C" w:rsidRDefault="002F4E6C">
            <w:pPr>
              <w:spacing w:line="360" w:lineRule="auto"/>
              <w:ind w:right="-88"/>
              <w:rPr>
                <w:rFonts w:ascii="Palatino Linotype" w:eastAsia="Palatino Linotype" w:hAnsi="Palatino Linotype" w:cs="Palatino Linotype"/>
              </w:rPr>
            </w:pPr>
            <w:r>
              <w:rPr>
                <w:rFonts w:ascii="Palatino Linotype" w:eastAsia="Palatino Linotype" w:hAnsi="Palatino Linotype" w:cs="Palatino Linotype"/>
              </w:rPr>
              <w:t>b) Supuestos de clasificación.</w:t>
            </w:r>
          </w:p>
        </w:tc>
        <w:tc>
          <w:tcPr>
            <w:tcW w:w="6495" w:type="dxa"/>
          </w:tcPr>
          <w:p w:rsidR="00E37C9C" w:rsidRDefault="002F4E6C">
            <w:pPr>
              <w:spacing w:line="360" w:lineRule="auto"/>
              <w:ind w:right="-88"/>
              <w:jc w:val="both"/>
              <w:rPr>
                <w:rFonts w:ascii="Palatino Linotype" w:eastAsia="Palatino Linotype" w:hAnsi="Palatino Linotype" w:cs="Palatino Linotype"/>
              </w:rPr>
            </w:pPr>
            <w:r>
              <w:rPr>
                <w:rFonts w:ascii="Palatino Linotype" w:eastAsia="Palatino Linotype" w:hAnsi="Palatino Linotype" w:cs="Palatino Linotype"/>
              </w:rPr>
              <w:t>Las disposiciones constitucionales y legales en la materia establecen los dos supuestos generales para clasificar la información: por reserva y por confidencialidad.</w:t>
            </w:r>
          </w:p>
          <w:p w:rsidR="00E37C9C" w:rsidRDefault="002F4E6C">
            <w:pPr>
              <w:spacing w:line="360" w:lineRule="auto"/>
              <w:ind w:right="-88"/>
              <w:jc w:val="both"/>
              <w:rPr>
                <w:rFonts w:ascii="Palatino Linotype" w:eastAsia="Palatino Linotype" w:hAnsi="Palatino Linotype" w:cs="Palatino Linotype"/>
              </w:rPr>
            </w:pPr>
            <w:r>
              <w:rPr>
                <w:rFonts w:ascii="Palatino Linotype" w:eastAsia="Palatino Linotype" w:hAnsi="Palatino Linotype" w:cs="Palatino Linotype"/>
              </w:rPr>
              <w:lastRenderedPageBreak/>
              <w:t>Los artículos 116 y 143 de la Ley Estatal y de la Ley General, respectivamente, señalan los supuestos para que la información pueda ser clasificada como confidencial. Mientras que los artículos 105 y 130 de la Ley Estatal y de la Ley General,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rsidR="00E37C9C" w:rsidRDefault="002F4E6C">
            <w:pPr>
              <w:spacing w:line="360" w:lineRule="auto"/>
              <w:ind w:right="-88"/>
              <w:jc w:val="both"/>
              <w:rPr>
                <w:rFonts w:ascii="Palatino Linotype" w:eastAsia="Palatino Linotype" w:hAnsi="Palatino Linotype" w:cs="Palatino Linotype"/>
              </w:rPr>
            </w:pPr>
            <w:r>
              <w:rPr>
                <w:rFonts w:ascii="Palatino Linotype" w:eastAsia="Palatino Linotype" w:hAnsi="Palatino Linotype" w:cs="Palatino Linotype"/>
              </w:rPr>
              <w:t xml:space="preserve">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E37C9C">
        <w:tc>
          <w:tcPr>
            <w:tcW w:w="3270" w:type="dxa"/>
          </w:tcPr>
          <w:p w:rsidR="00E37C9C" w:rsidRDefault="002F4E6C">
            <w:pPr>
              <w:spacing w:line="360" w:lineRule="auto"/>
              <w:ind w:right="-88"/>
              <w:rPr>
                <w:rFonts w:ascii="Palatino Linotype" w:eastAsia="Palatino Linotype" w:hAnsi="Palatino Linotype" w:cs="Palatino Linotype"/>
              </w:rPr>
            </w:pPr>
            <w:r>
              <w:rPr>
                <w:rFonts w:ascii="Palatino Linotype" w:eastAsia="Palatino Linotype" w:hAnsi="Palatino Linotype" w:cs="Palatino Linotype"/>
              </w:rPr>
              <w:lastRenderedPageBreak/>
              <w:t>c) Formalidades para emitir el acuerdo de clasificación.</w:t>
            </w:r>
          </w:p>
        </w:tc>
        <w:tc>
          <w:tcPr>
            <w:tcW w:w="6495" w:type="dxa"/>
          </w:tcPr>
          <w:p w:rsidR="00E37C9C" w:rsidRDefault="002F4E6C">
            <w:pPr>
              <w:spacing w:line="360" w:lineRule="auto"/>
              <w:ind w:right="-88"/>
              <w:jc w:val="both"/>
              <w:rPr>
                <w:rFonts w:ascii="Palatino Linotype" w:eastAsia="Palatino Linotype" w:hAnsi="Palatino Linotype" w:cs="Palatino Linotype"/>
              </w:rPr>
            </w:pPr>
            <w:r>
              <w:rPr>
                <w:rFonts w:ascii="Palatino Linotype" w:eastAsia="Palatino Linotype" w:hAnsi="Palatino Linotype" w:cs="Palatino Linotype"/>
              </w:rPr>
              <w:t xml:space="preserve">El Comité de Transparencia, según lo dispuesto en los artículos cuenta con las facultades para aprobar, modificar o revocar la clasificación de la información que haya propuesto. </w:t>
            </w:r>
          </w:p>
          <w:p w:rsidR="00E37C9C" w:rsidRDefault="002F4E6C">
            <w:pPr>
              <w:spacing w:line="360" w:lineRule="auto"/>
              <w:ind w:right="-88"/>
              <w:jc w:val="both"/>
              <w:rPr>
                <w:rFonts w:ascii="Palatino Linotype" w:eastAsia="Palatino Linotype" w:hAnsi="Palatino Linotype" w:cs="Palatino Linotype"/>
              </w:rPr>
            </w:pPr>
            <w:r>
              <w:rPr>
                <w:rFonts w:ascii="Palatino Linotype" w:eastAsia="Palatino Linotype" w:hAnsi="Palatino Linotype" w:cs="Palatino Linotype"/>
              </w:rPr>
              <w:t xml:space="preserve">Es necesario que </w:t>
            </w:r>
            <w:r>
              <w:rPr>
                <w:rFonts w:ascii="Palatino Linotype" w:eastAsia="Palatino Linotype" w:hAnsi="Palatino Linotype" w:cs="Palatino Linotype"/>
                <w:b/>
                <w:bCs/>
                <w:u w:val="single"/>
              </w:rPr>
              <w:t>el acto reúna con los requisitos elementales</w:t>
            </w:r>
            <w:r>
              <w:rPr>
                <w:rFonts w:ascii="Palatino Linotype" w:eastAsia="Palatino Linotype" w:hAnsi="Palatino Linotype" w:cs="Palatino Linotype"/>
              </w:rPr>
              <w:t>, entre ellos, que la autoridad que va a emitir el acto de autoridad sea la legalmente facultada para ello.</w:t>
            </w:r>
          </w:p>
          <w:p w:rsidR="00E37C9C" w:rsidRDefault="002F4E6C">
            <w:pPr>
              <w:spacing w:line="360" w:lineRule="auto"/>
              <w:ind w:right="-88"/>
              <w:jc w:val="both"/>
              <w:rPr>
                <w:rFonts w:ascii="Palatino Linotype" w:eastAsia="Palatino Linotype" w:hAnsi="Palatino Linotype" w:cs="Palatino Linotype"/>
              </w:rPr>
            </w:pPr>
            <w:r>
              <w:rPr>
                <w:rFonts w:ascii="Palatino Linotype" w:eastAsia="Palatino Linotype" w:hAnsi="Palatino Linotype" w:cs="Palatino Linotype"/>
              </w:rPr>
              <w:lastRenderedPageBreak/>
              <w:t>La decisión de aprobar, modificar o revocar la clasificación deberá de asentarse en un documento que registre la determinación a la que se llegue después de un análisis minucioso a partir de lo propuesto por el Titular del área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E37C9C">
        <w:tc>
          <w:tcPr>
            <w:tcW w:w="3270" w:type="dxa"/>
          </w:tcPr>
          <w:p w:rsidR="00E37C9C" w:rsidRDefault="00E37C9C">
            <w:pPr>
              <w:spacing w:line="360" w:lineRule="auto"/>
              <w:ind w:right="-88"/>
              <w:rPr>
                <w:rFonts w:ascii="Palatino Linotype" w:eastAsia="Palatino Linotype" w:hAnsi="Palatino Linotype" w:cs="Palatino Linotype"/>
              </w:rPr>
            </w:pPr>
          </w:p>
          <w:p w:rsidR="00E37C9C" w:rsidRDefault="002F4E6C">
            <w:pPr>
              <w:spacing w:line="360" w:lineRule="auto"/>
              <w:ind w:right="-88"/>
              <w:jc w:val="both"/>
              <w:rPr>
                <w:rFonts w:ascii="Palatino Linotype" w:eastAsia="Palatino Linotype" w:hAnsi="Palatino Linotype" w:cs="Palatino Linotype"/>
              </w:rPr>
            </w:pPr>
            <w:r>
              <w:rPr>
                <w:rFonts w:ascii="Palatino Linotype" w:eastAsia="Palatino Linotype" w:hAnsi="Palatino Linotype" w:cs="Palatino Linotype"/>
              </w:rPr>
              <w:t xml:space="preserve">d) Requisitos de fondo del acuerdo de clasificación. </w:t>
            </w:r>
          </w:p>
        </w:tc>
        <w:tc>
          <w:tcPr>
            <w:tcW w:w="6495" w:type="dxa"/>
          </w:tcPr>
          <w:p w:rsidR="00E37C9C" w:rsidRDefault="002F4E6C">
            <w:pPr>
              <w:spacing w:line="360" w:lineRule="auto"/>
              <w:ind w:right="-88"/>
              <w:jc w:val="both"/>
              <w:rPr>
                <w:rFonts w:ascii="Palatino Linotype" w:eastAsia="Palatino Linotype" w:hAnsi="Palatino Linotype" w:cs="Palatino Linotype"/>
              </w:rPr>
            </w:pPr>
            <w:r>
              <w:rPr>
                <w:rFonts w:ascii="Palatino Linotype" w:eastAsia="Palatino Linotype" w:hAnsi="Palatino Linotype" w:cs="Palatino Linotype"/>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Pr>
                <w:rFonts w:ascii="Palatino Linotype" w:eastAsia="Palatino Linotype" w:hAnsi="Palatino Linotype" w:cs="Palatino Linotype"/>
                <w:b/>
                <w:bCs/>
              </w:rPr>
              <w:t>Sujetos Obligados</w:t>
            </w:r>
            <w:r>
              <w:rPr>
                <w:rFonts w:ascii="Palatino Linotype" w:eastAsia="Palatino Linotype" w:hAnsi="Palatino Linotype" w:cs="Palatino Linotype"/>
              </w:rPr>
              <w:t xml:space="preserve">, por lo que deberán fundar y motivar debidamente la clasificación. </w:t>
            </w:r>
          </w:p>
          <w:p w:rsidR="00E37C9C" w:rsidRDefault="002F4E6C">
            <w:pPr>
              <w:spacing w:line="360" w:lineRule="auto"/>
              <w:ind w:right="-88"/>
              <w:jc w:val="both"/>
              <w:rPr>
                <w:rFonts w:ascii="Palatino Linotype" w:eastAsia="Palatino Linotype" w:hAnsi="Palatino Linotype" w:cs="Palatino Linotype"/>
              </w:rPr>
            </w:pPr>
            <w:r>
              <w:rPr>
                <w:rFonts w:ascii="Palatino Linotype" w:eastAsia="Palatino Linotype" w:hAnsi="Palatino Linotype" w:cs="Palatino Linotype"/>
              </w:rPr>
              <w:t xml:space="preserve">De lo anterior, se desprende que para una correcta </w:t>
            </w:r>
            <w:r>
              <w:rPr>
                <w:rFonts w:ascii="Palatino Linotype" w:eastAsia="Palatino Linotype" w:hAnsi="Palatino Linotype" w:cs="Palatino Linotype"/>
                <w:b/>
                <w:bCs/>
              </w:rPr>
              <w:t>clasificación total o parcial</w:t>
            </w:r>
            <w:r>
              <w:rPr>
                <w:rFonts w:ascii="Palatino Linotype" w:eastAsia="Palatino Linotype" w:hAnsi="Palatino Linotype" w:cs="Palatino Linotype"/>
              </w:rPr>
              <w:t xml:space="preserve">, esto es determinar los datos que se suprimen en las versiones públicas, es necesario fundar y motivar, de manera correcta, la clasificación; considerando que todo acto que la autoridad pronuncie en el ejercicio de sus atribuciones, debe expresar los fundamentos legales que </w:t>
            </w:r>
            <w:r>
              <w:rPr>
                <w:rFonts w:ascii="Palatino Linotype" w:eastAsia="Palatino Linotype" w:hAnsi="Palatino Linotype" w:cs="Palatino Linotype"/>
              </w:rPr>
              <w:lastRenderedPageBreak/>
              <w:t>le dieron origen y las razones por las que se deben aplicar al caso concreto.</w:t>
            </w:r>
          </w:p>
          <w:p w:rsidR="00E37C9C" w:rsidRDefault="002F4E6C">
            <w:pPr>
              <w:spacing w:line="360" w:lineRule="auto"/>
              <w:ind w:right="-88"/>
              <w:jc w:val="both"/>
              <w:rPr>
                <w:rFonts w:ascii="Palatino Linotype" w:eastAsia="Palatino Linotype" w:hAnsi="Palatino Linotype" w:cs="Palatino Linotype"/>
              </w:rPr>
            </w:pPr>
            <w:r>
              <w:rPr>
                <w:rFonts w:ascii="Palatino Linotype" w:eastAsia="Palatino Linotype" w:hAnsi="Palatino Linotype" w:cs="Palatino Linotype"/>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rsidR="00E37C9C" w:rsidRDefault="002F4E6C">
            <w:pPr>
              <w:spacing w:line="360" w:lineRule="auto"/>
              <w:ind w:right="-88"/>
              <w:jc w:val="both"/>
              <w:rPr>
                <w:rFonts w:ascii="Palatino Linotype" w:eastAsia="Palatino Linotype" w:hAnsi="Palatino Linotype" w:cs="Palatino Linotype"/>
              </w:rPr>
            </w:pPr>
            <w:r>
              <w:rPr>
                <w:rFonts w:ascii="Palatino Linotype" w:eastAsia="Palatino Linotype" w:hAnsi="Palatino Linotype" w:cs="Palatino Linotype"/>
              </w:rPr>
              <w:t>En ese mismo sentido, el numeral trigésimo tercero fracción V de los Lineamientos Generales, precisa que para motivar la clasificación se deben acreditar las circunstancias de tiempo, modo y lugar.</w:t>
            </w:r>
          </w:p>
          <w:p w:rsidR="00E37C9C" w:rsidRDefault="002F4E6C">
            <w:pPr>
              <w:spacing w:line="360" w:lineRule="auto"/>
              <w:ind w:right="-88"/>
              <w:jc w:val="both"/>
              <w:rPr>
                <w:rFonts w:ascii="Palatino Linotype" w:eastAsia="Palatino Linotype" w:hAnsi="Palatino Linotype" w:cs="Palatino Linotype"/>
              </w:rPr>
            </w:pPr>
            <w:r>
              <w:rPr>
                <w:rFonts w:ascii="Palatino Linotype" w:eastAsia="Palatino Linotype" w:hAnsi="Palatino Linotype" w:cs="Palatino Linotype"/>
              </w:rPr>
              <w:t xml:space="preserve">Ahora bien, </w:t>
            </w:r>
            <w:r>
              <w:rPr>
                <w:rFonts w:ascii="Palatino Linotype" w:eastAsia="Palatino Linotype" w:hAnsi="Palatino Linotype" w:cs="Palatino Linotype"/>
                <w:b/>
                <w:bCs/>
                <w:u w:val="single"/>
              </w:rPr>
              <w:t>para cada caso además de fundar y motivar</w:t>
            </w:r>
            <w:r>
              <w:rPr>
                <w:rFonts w:ascii="Palatino Linotype" w:eastAsia="Palatino Linotype" w:hAnsi="Palatino Linotype" w:cs="Palatino Linotype"/>
              </w:rPr>
              <w:t>, se debe identificar con claridad qué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E37C9C">
        <w:tc>
          <w:tcPr>
            <w:tcW w:w="3270" w:type="dxa"/>
          </w:tcPr>
          <w:p w:rsidR="00E37C9C" w:rsidRDefault="002F4E6C">
            <w:pPr>
              <w:spacing w:line="360" w:lineRule="auto"/>
              <w:ind w:right="-88"/>
              <w:jc w:val="both"/>
              <w:rPr>
                <w:rFonts w:ascii="Palatino Linotype" w:eastAsia="Palatino Linotype" w:hAnsi="Palatino Linotype" w:cs="Palatino Linotype"/>
              </w:rPr>
            </w:pPr>
            <w:r>
              <w:rPr>
                <w:rFonts w:ascii="Palatino Linotype" w:eastAsia="Palatino Linotype" w:hAnsi="Palatino Linotype" w:cs="Palatino Linotype"/>
              </w:rPr>
              <w:lastRenderedPageBreak/>
              <w:t xml:space="preserve">e) Condiciones especiales de la clasificación de la información como confidencial. </w:t>
            </w:r>
          </w:p>
          <w:p w:rsidR="00E37C9C" w:rsidRDefault="00E37C9C">
            <w:pPr>
              <w:spacing w:line="360" w:lineRule="auto"/>
              <w:ind w:right="-88"/>
              <w:rPr>
                <w:rFonts w:ascii="Palatino Linotype" w:eastAsia="Palatino Linotype" w:hAnsi="Palatino Linotype" w:cs="Palatino Linotype"/>
              </w:rPr>
            </w:pPr>
          </w:p>
        </w:tc>
        <w:tc>
          <w:tcPr>
            <w:tcW w:w="6495" w:type="dxa"/>
          </w:tcPr>
          <w:p w:rsidR="00E37C9C" w:rsidRDefault="002F4E6C">
            <w:pPr>
              <w:spacing w:line="360" w:lineRule="auto"/>
              <w:ind w:right="-88"/>
              <w:jc w:val="both"/>
              <w:rPr>
                <w:rFonts w:ascii="Palatino Linotype" w:eastAsia="Palatino Linotype" w:hAnsi="Palatino Linotype" w:cs="Palatino Linotype"/>
              </w:rPr>
            </w:pPr>
            <w:r>
              <w:rPr>
                <w:rFonts w:ascii="Palatino Linotype" w:eastAsia="Palatino Linotype" w:hAnsi="Palatino Linotype" w:cs="Palatino Linotype"/>
              </w:rPr>
              <w:t xml:space="preserve">Los artículos 148 y 120 de la Ley Estatal y de la Ley General, respectivamente, establecen que aun tratándose de datos personales, se podrán proporcionar, incluso sin solicitar el consentimiento de su titular. </w:t>
            </w:r>
          </w:p>
          <w:p w:rsidR="00E37C9C" w:rsidRDefault="002F4E6C">
            <w:pPr>
              <w:spacing w:line="360" w:lineRule="auto"/>
              <w:ind w:right="-88"/>
              <w:jc w:val="both"/>
              <w:rPr>
                <w:rFonts w:ascii="Palatino Linotype" w:eastAsia="Palatino Linotype" w:hAnsi="Palatino Linotype" w:cs="Palatino Linotype"/>
              </w:rPr>
            </w:pPr>
            <w:r>
              <w:rPr>
                <w:rFonts w:ascii="Palatino Linotype" w:eastAsia="Palatino Linotype" w:hAnsi="Palatino Linotype" w:cs="Palatino Linotype"/>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E37C9C" w:rsidRDefault="002F4E6C">
            <w:pPr>
              <w:spacing w:line="360" w:lineRule="auto"/>
              <w:ind w:right="-88"/>
              <w:rPr>
                <w:rFonts w:ascii="Palatino Linotype" w:eastAsia="Palatino Linotype" w:hAnsi="Palatino Linotype" w:cs="Palatino Linotype"/>
              </w:rPr>
            </w:pPr>
            <w:r>
              <w:rPr>
                <w:rFonts w:ascii="Palatino Linotype" w:eastAsia="Palatino Linotype" w:hAnsi="Palatino Linotype" w:cs="Palatino Linotype"/>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rsidR="00E37C9C" w:rsidRDefault="00E37C9C">
      <w:pPr>
        <w:pBdr>
          <w:top w:val="nil"/>
          <w:left w:val="nil"/>
          <w:bottom w:val="nil"/>
          <w:right w:val="nil"/>
          <w:between w:val="nil"/>
        </w:pBdr>
        <w:spacing w:line="360" w:lineRule="auto"/>
        <w:ind w:right="-734"/>
        <w:jc w:val="both"/>
        <w:rPr>
          <w:rFonts w:ascii="Palatino Linotype" w:eastAsia="Palatino Linotype" w:hAnsi="Palatino Linotype" w:cs="Palatino Linotype"/>
          <w:color w:val="000000"/>
        </w:rPr>
      </w:pPr>
    </w:p>
    <w:p w:rsidR="00E37C9C" w:rsidRDefault="002F4E6C">
      <w:pPr>
        <w:numPr>
          <w:ilvl w:val="0"/>
          <w:numId w:val="3"/>
        </w:numPr>
        <w:pBdr>
          <w:top w:val="nil"/>
          <w:left w:val="nil"/>
          <w:bottom w:val="nil"/>
          <w:right w:val="nil"/>
          <w:between w:val="nil"/>
        </w:pBdr>
        <w:spacing w:line="360" w:lineRule="auto"/>
        <w:ind w:left="0" w:right="-734" w:firstLine="0"/>
        <w:jc w:val="both"/>
      </w:pPr>
      <w:r>
        <w:rPr>
          <w:rFonts w:ascii="Palatino Linotype" w:eastAsia="Palatino Linotype" w:hAnsi="Palatino Linotype" w:cs="Palatino Linotype"/>
          <w:color w:val="000000"/>
        </w:rPr>
        <w:t>Si el servidor público incumple con estas formalidades y entrega la información sin proteger los datos personales incumple con lo que estipula las disposiciones legales establecidas, asimismo que si entrega un documento testado sin el debido acuerdo de clasificación.</w:t>
      </w:r>
    </w:p>
    <w:p w:rsidR="00E37C9C" w:rsidRDefault="00E37C9C">
      <w:pPr>
        <w:pBdr>
          <w:top w:val="nil"/>
          <w:left w:val="nil"/>
          <w:bottom w:val="nil"/>
          <w:right w:val="nil"/>
          <w:between w:val="nil"/>
        </w:pBdr>
        <w:spacing w:line="360" w:lineRule="auto"/>
        <w:ind w:right="-734"/>
        <w:jc w:val="both"/>
        <w:rPr>
          <w:rFonts w:ascii="Palatino Linotype" w:eastAsia="Palatino Linotype" w:hAnsi="Palatino Linotype" w:cs="Palatino Linotype"/>
          <w:color w:val="000000"/>
        </w:rPr>
      </w:pPr>
    </w:p>
    <w:p w:rsidR="00E37C9C" w:rsidRDefault="002F4E6C">
      <w:pPr>
        <w:numPr>
          <w:ilvl w:val="0"/>
          <w:numId w:val="3"/>
        </w:numPr>
        <w:pBdr>
          <w:top w:val="nil"/>
          <w:left w:val="nil"/>
          <w:bottom w:val="nil"/>
          <w:right w:val="nil"/>
          <w:between w:val="nil"/>
        </w:pBdr>
        <w:spacing w:line="360" w:lineRule="auto"/>
        <w:ind w:left="0" w:right="-734" w:firstLine="0"/>
        <w:jc w:val="both"/>
      </w:pPr>
      <w:r>
        <w:rPr>
          <w:rFonts w:ascii="Palatino Linotype" w:eastAsia="Palatino Linotype" w:hAnsi="Palatino Linotype" w:cs="Palatino Linotype"/>
          <w:color w:val="000000"/>
        </w:rPr>
        <w:t xml:space="preserve">Por lo anteriormente expuesto y fundado, este </w:t>
      </w:r>
      <w:r>
        <w:rPr>
          <w:rFonts w:ascii="Palatino Linotype" w:eastAsia="Palatino Linotype" w:hAnsi="Palatino Linotype" w:cs="Palatino Linotype"/>
          <w:b/>
          <w:bCs/>
          <w:color w:val="000000"/>
        </w:rPr>
        <w:t>ÓRGANO GARANTE</w:t>
      </w:r>
      <w:r>
        <w:rPr>
          <w:rFonts w:ascii="Palatino Linotype" w:eastAsia="Palatino Linotype" w:hAnsi="Palatino Linotype" w:cs="Palatino Linotype"/>
          <w:color w:val="000000"/>
        </w:rPr>
        <w:t xml:space="preserve"> emite los siguientes:</w:t>
      </w:r>
      <w:r w:rsidR="00BA3B1F">
        <w:rPr>
          <w:rFonts w:ascii="Palatino Linotype" w:eastAsia="Palatino Linotype" w:hAnsi="Palatino Linotype" w:cs="Palatino Linotype"/>
          <w:color w:val="000000"/>
        </w:rPr>
        <w:t xml:space="preserve"> -----------------------------------------------------------------------------------------------------------</w:t>
      </w:r>
    </w:p>
    <w:p w:rsidR="00E37C9C" w:rsidRDefault="00E37C9C">
      <w:pPr>
        <w:pBdr>
          <w:top w:val="nil"/>
          <w:left w:val="nil"/>
          <w:bottom w:val="nil"/>
          <w:right w:val="nil"/>
          <w:between w:val="nil"/>
        </w:pBdr>
        <w:spacing w:line="360" w:lineRule="auto"/>
        <w:ind w:left="360" w:right="-734"/>
        <w:jc w:val="both"/>
        <w:rPr>
          <w:rFonts w:ascii="Palatino Linotype" w:eastAsia="Palatino Linotype" w:hAnsi="Palatino Linotype" w:cs="Palatino Linotype"/>
        </w:rPr>
      </w:pPr>
    </w:p>
    <w:p w:rsidR="00E37C9C" w:rsidRDefault="002F4E6C">
      <w:pPr>
        <w:keepNext/>
        <w:keepLines/>
        <w:spacing w:line="360" w:lineRule="auto"/>
        <w:ind w:right="-734"/>
        <w:jc w:val="center"/>
        <w:rPr>
          <w:rFonts w:ascii="Palatino Linotype" w:eastAsia="Palatino Linotype" w:hAnsi="Palatino Linotype" w:cs="Palatino Linotype"/>
          <w:b/>
          <w:bCs/>
          <w:color w:val="000000"/>
        </w:rPr>
      </w:pPr>
      <w:bookmarkStart w:id="6" w:name="_heading=h.vo3x1xfmc9eq" w:colFirst="0" w:colLast="0"/>
      <w:bookmarkEnd w:id="6"/>
      <w:r>
        <w:rPr>
          <w:rFonts w:ascii="Palatino Linotype" w:eastAsia="Palatino Linotype" w:hAnsi="Palatino Linotype" w:cs="Palatino Linotype"/>
          <w:b/>
          <w:bCs/>
          <w:color w:val="000000"/>
        </w:rPr>
        <w:lastRenderedPageBreak/>
        <w:t>R E S O L U T I V O S</w:t>
      </w:r>
    </w:p>
    <w:p w:rsidR="00E37C9C" w:rsidRDefault="00E37C9C">
      <w:pPr>
        <w:keepNext/>
        <w:keepLines/>
        <w:spacing w:line="360" w:lineRule="auto"/>
        <w:ind w:right="-734"/>
        <w:jc w:val="center"/>
        <w:rPr>
          <w:rFonts w:ascii="Palatino Linotype" w:eastAsia="Palatino Linotype" w:hAnsi="Palatino Linotype" w:cs="Palatino Linotype"/>
          <w:b/>
          <w:bCs/>
          <w:color w:val="000000"/>
        </w:rPr>
      </w:pPr>
    </w:p>
    <w:p w:rsidR="00E37C9C" w:rsidRDefault="002F4E6C">
      <w:pPr>
        <w:spacing w:line="360" w:lineRule="auto"/>
        <w:ind w:right="-734"/>
        <w:jc w:val="both"/>
        <w:rPr>
          <w:rFonts w:ascii="Palatino Linotype" w:eastAsia="Palatino Linotype" w:hAnsi="Palatino Linotype" w:cs="Palatino Linotype"/>
        </w:rPr>
      </w:pPr>
      <w:r>
        <w:rPr>
          <w:rFonts w:ascii="Palatino Linotype" w:eastAsia="Palatino Linotype" w:hAnsi="Palatino Linotype" w:cs="Palatino Linotype"/>
          <w:b/>
          <w:bCs/>
        </w:rPr>
        <w:t xml:space="preserve">PRIMERO. </w:t>
      </w:r>
      <w:r>
        <w:rPr>
          <w:rFonts w:ascii="Palatino Linotype" w:eastAsia="Palatino Linotype" w:hAnsi="Palatino Linotype" w:cs="Palatino Linotype"/>
        </w:rPr>
        <w:t>Resultan fundadas las</w:t>
      </w:r>
      <w:r>
        <w:rPr>
          <w:rFonts w:ascii="Palatino Linotype" w:eastAsia="Palatino Linotype" w:hAnsi="Palatino Linotype" w:cs="Palatino Linotype"/>
          <w:b/>
          <w:bCs/>
        </w:rPr>
        <w:t xml:space="preserve"> </w:t>
      </w:r>
      <w:r>
        <w:rPr>
          <w:rFonts w:ascii="Palatino Linotype" w:eastAsia="Palatino Linotype" w:hAnsi="Palatino Linotype" w:cs="Palatino Linotype"/>
        </w:rPr>
        <w:t xml:space="preserve">razones o motivos de inconformidad hechos valer en el recurso de revisión </w:t>
      </w:r>
      <w:r>
        <w:rPr>
          <w:rFonts w:ascii="Palatino Linotype" w:eastAsia="Palatino Linotype" w:hAnsi="Palatino Linotype" w:cs="Palatino Linotype"/>
          <w:b/>
          <w:bCs/>
        </w:rPr>
        <w:t xml:space="preserve">3188/INFOEM/IP/RR/2026, </w:t>
      </w:r>
      <w:r>
        <w:rPr>
          <w:rFonts w:ascii="Palatino Linotype" w:eastAsia="Palatino Linotype" w:hAnsi="Palatino Linotype" w:cs="Palatino Linotype"/>
        </w:rPr>
        <w:t xml:space="preserve">en términos del </w:t>
      </w:r>
      <w:r>
        <w:rPr>
          <w:rFonts w:ascii="Palatino Linotype" w:eastAsia="Palatino Linotype" w:hAnsi="Palatino Linotype" w:cs="Palatino Linotype"/>
          <w:b/>
          <w:bCs/>
        </w:rPr>
        <w:t>Considerando</w:t>
      </w:r>
      <w:r>
        <w:rPr>
          <w:rFonts w:ascii="Palatino Linotype" w:eastAsia="Palatino Linotype" w:hAnsi="Palatino Linotype" w:cs="Palatino Linotype"/>
        </w:rPr>
        <w:t xml:space="preserve"> </w:t>
      </w:r>
      <w:r>
        <w:rPr>
          <w:rFonts w:ascii="Palatino Linotype" w:eastAsia="Palatino Linotype" w:hAnsi="Palatino Linotype" w:cs="Palatino Linotype"/>
          <w:b/>
          <w:bCs/>
        </w:rPr>
        <w:t xml:space="preserve">CUARTO y QUINTO </w:t>
      </w:r>
      <w:r>
        <w:rPr>
          <w:rFonts w:ascii="Palatino Linotype" w:eastAsia="Palatino Linotype" w:hAnsi="Palatino Linotype" w:cs="Palatino Linotype"/>
        </w:rPr>
        <w:t>de la presente resolución.</w:t>
      </w:r>
    </w:p>
    <w:p w:rsidR="00342D3A" w:rsidRDefault="00342D3A">
      <w:pPr>
        <w:spacing w:line="360" w:lineRule="auto"/>
        <w:ind w:right="-734"/>
        <w:jc w:val="both"/>
        <w:rPr>
          <w:rFonts w:ascii="Palatino Linotype" w:eastAsia="Palatino Linotype" w:hAnsi="Palatino Linotype" w:cs="Palatino Linotype"/>
        </w:rPr>
      </w:pPr>
    </w:p>
    <w:p w:rsidR="00E37C9C" w:rsidRDefault="002F4E6C">
      <w:pPr>
        <w:spacing w:line="360" w:lineRule="auto"/>
        <w:ind w:right="-734"/>
        <w:jc w:val="both"/>
        <w:rPr>
          <w:rFonts w:ascii="Palatino Linotype" w:eastAsia="Palatino Linotype" w:hAnsi="Palatino Linotype" w:cs="Palatino Linotype"/>
        </w:rPr>
      </w:pPr>
      <w:bookmarkStart w:id="7" w:name="_heading=h.pg3wvnjh5792" w:colFirst="0" w:colLast="0"/>
      <w:bookmarkEnd w:id="7"/>
      <w:r>
        <w:rPr>
          <w:rFonts w:ascii="Palatino Linotype" w:eastAsia="Palatino Linotype" w:hAnsi="Palatino Linotype" w:cs="Palatino Linotype"/>
          <w:b/>
          <w:bCs/>
        </w:rPr>
        <w:t>SEGUNDO.</w:t>
      </w:r>
      <w:r>
        <w:rPr>
          <w:rFonts w:ascii="Palatino Linotype" w:eastAsia="Palatino Linotype" w:hAnsi="Palatino Linotype" w:cs="Palatino Linotype"/>
          <w:color w:val="2F5496"/>
        </w:rPr>
        <w:t xml:space="preserve"> </w:t>
      </w:r>
      <w:r>
        <w:rPr>
          <w:rFonts w:ascii="Palatino Linotype" w:eastAsia="Palatino Linotype" w:hAnsi="Palatino Linotype" w:cs="Palatino Linotype"/>
        </w:rPr>
        <w:t>Se</w:t>
      </w:r>
      <w:r>
        <w:rPr>
          <w:rFonts w:ascii="Palatino Linotype" w:eastAsia="Palatino Linotype" w:hAnsi="Palatino Linotype" w:cs="Palatino Linotype"/>
          <w:b/>
          <w:bCs/>
        </w:rPr>
        <w:t xml:space="preserve"> MODIFICA </w:t>
      </w:r>
      <w:r>
        <w:rPr>
          <w:rFonts w:ascii="Palatino Linotype" w:eastAsia="Palatino Linotype" w:hAnsi="Palatino Linotype" w:cs="Palatino Linotype"/>
        </w:rPr>
        <w:t xml:space="preserve">la respuesta emitida por el </w:t>
      </w:r>
      <w:r>
        <w:rPr>
          <w:rFonts w:ascii="Palatino Linotype" w:eastAsia="Palatino Linotype" w:hAnsi="Palatino Linotype" w:cs="Palatino Linotype"/>
          <w:b/>
          <w:bCs/>
        </w:rPr>
        <w:t xml:space="preserve">Ayuntamiento de Papalotla </w:t>
      </w:r>
      <w:r>
        <w:rPr>
          <w:rFonts w:ascii="Palatino Linotype" w:eastAsia="Palatino Linotype" w:hAnsi="Palatino Linotype" w:cs="Palatino Linotype"/>
        </w:rPr>
        <w:t>y se</w:t>
      </w:r>
      <w:r>
        <w:rPr>
          <w:rFonts w:ascii="Palatino Linotype" w:eastAsia="Palatino Linotype" w:hAnsi="Palatino Linotype" w:cs="Palatino Linotype"/>
          <w:b/>
          <w:bCs/>
        </w:rPr>
        <w:t xml:space="preserve"> ORDENA </w:t>
      </w:r>
      <w:r>
        <w:rPr>
          <w:rFonts w:ascii="Palatino Linotype" w:eastAsia="Palatino Linotype" w:hAnsi="Palatino Linotype" w:cs="Palatino Linotype"/>
        </w:rPr>
        <w:t>entregar vía Sistema de Accesos a la Información Mexiquense (SAIMEX), previa búsqueda exhaustiva en versión pública, la siguiente información:</w:t>
      </w:r>
    </w:p>
    <w:p w:rsidR="00E37C9C" w:rsidRDefault="00E37C9C">
      <w:pPr>
        <w:spacing w:line="360" w:lineRule="auto"/>
        <w:ind w:right="-734"/>
        <w:jc w:val="both"/>
        <w:rPr>
          <w:rFonts w:ascii="Palatino Linotype" w:eastAsia="Palatino Linotype" w:hAnsi="Palatino Linotype" w:cs="Palatino Linotype"/>
        </w:rPr>
      </w:pPr>
    </w:p>
    <w:p w:rsidR="00E37C9C" w:rsidRDefault="002F4E6C">
      <w:pPr>
        <w:numPr>
          <w:ilvl w:val="0"/>
          <w:numId w:val="7"/>
        </w:numPr>
        <w:pBdr>
          <w:top w:val="nil"/>
          <w:left w:val="nil"/>
          <w:bottom w:val="nil"/>
          <w:right w:val="nil"/>
          <w:between w:val="nil"/>
        </w:pBdr>
        <w:spacing w:line="360" w:lineRule="auto"/>
        <w:ind w:right="-734"/>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El o los documentos mediante el cual se dé cuenta de la entrega de los Avisos de Privacidad integral y simplificado de Presidencia; así como de las siete Regidurías.</w:t>
      </w:r>
    </w:p>
    <w:p w:rsidR="00E37C9C" w:rsidRDefault="00E37C9C">
      <w:pPr>
        <w:spacing w:line="360" w:lineRule="auto"/>
        <w:ind w:right="-734"/>
        <w:jc w:val="both"/>
        <w:rPr>
          <w:rFonts w:ascii="Palatino Linotype" w:eastAsia="Palatino Linotype" w:hAnsi="Palatino Linotype" w:cs="Palatino Linotype"/>
        </w:rPr>
      </w:pPr>
    </w:p>
    <w:p w:rsidR="00E37C9C" w:rsidRDefault="002F4E6C">
      <w:pPr>
        <w:spacing w:line="360" w:lineRule="auto"/>
        <w:ind w:right="-734"/>
        <w:jc w:val="both"/>
        <w:rPr>
          <w:rFonts w:ascii="Palatino Linotype" w:eastAsia="Palatino Linotype" w:hAnsi="Palatino Linotype" w:cs="Palatino Linotype"/>
        </w:rPr>
      </w:pPr>
      <w:bookmarkStart w:id="8" w:name="_heading=h.wvo5le7xg6vn" w:colFirst="0" w:colLast="0"/>
      <w:bookmarkEnd w:id="8"/>
      <w:r>
        <w:rPr>
          <w:rFonts w:ascii="Palatino Linotype" w:eastAsia="Palatino Linotype" w:hAnsi="Palatino Linotype" w:cs="Palatino Linotype"/>
        </w:rPr>
        <w:t>Para efectos de lo anterior 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del soporte documental respectivo objeto de las versiones públicas que se formulen y se ponga a disposición de la parte recurrente.</w:t>
      </w:r>
    </w:p>
    <w:p w:rsidR="00E37C9C" w:rsidRDefault="00E37C9C">
      <w:pPr>
        <w:spacing w:line="360" w:lineRule="auto"/>
        <w:ind w:right="-734"/>
        <w:jc w:val="both"/>
        <w:rPr>
          <w:rFonts w:ascii="Palatino Linotype" w:eastAsia="Palatino Linotype" w:hAnsi="Palatino Linotype" w:cs="Palatino Linotype"/>
        </w:rPr>
      </w:pPr>
    </w:p>
    <w:p w:rsidR="00E37C9C" w:rsidRDefault="002F4E6C">
      <w:pPr>
        <w:tabs>
          <w:tab w:val="left" w:pos="8080"/>
        </w:tabs>
        <w:spacing w:line="360" w:lineRule="auto"/>
        <w:ind w:right="-734"/>
        <w:jc w:val="both"/>
        <w:rPr>
          <w:rFonts w:ascii="Palatino Linotype" w:eastAsia="Palatino Linotype" w:hAnsi="Palatino Linotype" w:cs="Palatino Linotype"/>
          <w:color w:val="222222"/>
        </w:rPr>
      </w:pPr>
      <w:r>
        <w:rPr>
          <w:rFonts w:ascii="Palatino Linotype" w:eastAsia="Palatino Linotype" w:hAnsi="Palatino Linotype" w:cs="Palatino Linotype"/>
          <w:b/>
          <w:bCs/>
        </w:rPr>
        <w:t xml:space="preserve">TERCERO. Notifíquese </w:t>
      </w:r>
      <w:r>
        <w:rPr>
          <w:rFonts w:ascii="Palatino Linotype" w:eastAsia="Palatino Linotype" w:hAnsi="Palatino Linotype" w:cs="Palatino Linotype"/>
        </w:rPr>
        <w:t>vía SAIMEX la presente resolución al Titular de la Unidad de Transparencia del Sujeto Obligado, para que conforme al artículo 186 último párrafo, 189 segundo párrafo y 194 de la Ley de Transparencia y Acceso a la Información Pública del Estado de México y Municipios</w:t>
      </w:r>
      <w:r w:rsidR="00342D3A">
        <w:rPr>
          <w:rFonts w:ascii="Palatino Linotype" w:eastAsia="Palatino Linotype" w:hAnsi="Palatino Linotype" w:cs="Palatino Linotype"/>
        </w:rPr>
        <w:t>,</w:t>
      </w:r>
      <w:r>
        <w:rPr>
          <w:rFonts w:ascii="Palatino Linotype" w:eastAsia="Palatino Linotype" w:hAnsi="Palatino Linotype" w:cs="Palatino Linotype"/>
        </w:rPr>
        <w:t xml:space="preserve"> </w:t>
      </w:r>
      <w:r w:rsidRPr="00342D3A">
        <w:rPr>
          <w:rFonts w:ascii="Palatino Linotype" w:eastAsia="Palatino Linotype" w:hAnsi="Palatino Linotype" w:cs="Palatino Linotype"/>
          <w:b/>
        </w:rPr>
        <w:t>dé cumplimiento a lo ordenado dentro del plazo de diez días hábiles</w:t>
      </w:r>
      <w:r>
        <w:rPr>
          <w:rFonts w:ascii="Palatino Linotype" w:eastAsia="Palatino Linotype" w:hAnsi="Palatino Linotype" w:cs="Palatino Linotype"/>
        </w:rPr>
        <w:t xml:space="preserve">, e informe a este Instituto en un plazo de tres días hábiles siguientes sobre el </w:t>
      </w:r>
      <w:r>
        <w:rPr>
          <w:rFonts w:ascii="Palatino Linotype" w:eastAsia="Palatino Linotype" w:hAnsi="Palatino Linotype" w:cs="Palatino Linotype"/>
        </w:rPr>
        <w:lastRenderedPageBreak/>
        <w:t>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E37C9C" w:rsidRDefault="00E37C9C">
      <w:pPr>
        <w:tabs>
          <w:tab w:val="left" w:pos="8080"/>
        </w:tabs>
        <w:spacing w:line="360" w:lineRule="auto"/>
        <w:ind w:right="-734"/>
        <w:jc w:val="both"/>
        <w:rPr>
          <w:rFonts w:ascii="Palatino Linotype" w:eastAsia="Palatino Linotype" w:hAnsi="Palatino Linotype" w:cs="Palatino Linotype"/>
          <w:color w:val="222222"/>
        </w:rPr>
      </w:pPr>
    </w:p>
    <w:p w:rsidR="00E37C9C" w:rsidRDefault="002F4E6C">
      <w:pPr>
        <w:shd w:val="clear" w:color="auto" w:fill="FFFFFF"/>
        <w:spacing w:line="360" w:lineRule="auto"/>
        <w:ind w:right="-734"/>
        <w:jc w:val="both"/>
        <w:rPr>
          <w:rFonts w:ascii="Palatino Linotype" w:eastAsia="Palatino Linotype" w:hAnsi="Palatino Linotype" w:cs="Palatino Linotype"/>
        </w:rPr>
      </w:pPr>
      <w:r>
        <w:rPr>
          <w:rFonts w:ascii="Palatino Linotype" w:eastAsia="Palatino Linotype" w:hAnsi="Palatino Linotype" w:cs="Palatino Linotype"/>
          <w:b/>
          <w:bCs/>
        </w:rPr>
        <w:t>CUARTO. Notifíquese al RECURRENTE</w:t>
      </w:r>
      <w:r>
        <w:rPr>
          <w:rFonts w:ascii="Palatino Linotype" w:eastAsia="Palatino Linotype" w:hAnsi="Palatino Linotype" w:cs="Palatino Linotype"/>
        </w:rPr>
        <w:t xml:space="preserve"> la presente resolución vía SAIMEX.</w:t>
      </w:r>
    </w:p>
    <w:p w:rsidR="00E37C9C" w:rsidRDefault="00E37C9C">
      <w:pPr>
        <w:shd w:val="clear" w:color="auto" w:fill="FFFFFF"/>
        <w:spacing w:line="360" w:lineRule="auto"/>
        <w:ind w:right="-734"/>
        <w:jc w:val="both"/>
        <w:rPr>
          <w:rFonts w:ascii="Palatino Linotype" w:eastAsia="Palatino Linotype" w:hAnsi="Palatino Linotype" w:cs="Palatino Linotype"/>
          <w:b/>
          <w:bCs/>
          <w:color w:val="FF0000"/>
        </w:rPr>
      </w:pPr>
    </w:p>
    <w:p w:rsidR="00E37C9C" w:rsidRDefault="002F4E6C">
      <w:pPr>
        <w:spacing w:line="360" w:lineRule="auto"/>
        <w:ind w:right="-734"/>
        <w:jc w:val="both"/>
        <w:rPr>
          <w:rFonts w:ascii="Palatino Linotype" w:eastAsia="Palatino Linotype" w:hAnsi="Palatino Linotype" w:cs="Palatino Linotype"/>
        </w:rPr>
      </w:pPr>
      <w:r>
        <w:rPr>
          <w:rFonts w:ascii="Palatino Linotype" w:eastAsia="Palatino Linotype" w:hAnsi="Palatino Linotype" w:cs="Palatino Linotype"/>
          <w:b/>
          <w:bCs/>
        </w:rPr>
        <w:t>QUINTO.</w:t>
      </w:r>
      <w:r>
        <w:rPr>
          <w:rFonts w:ascii="Palatino Linotype" w:eastAsia="Palatino Linotype" w:hAnsi="Palatino Linotype" w:cs="Palatino Linotype"/>
        </w:rPr>
        <w:t xml:space="preserve"> Se hace del conocimiento del </w:t>
      </w:r>
      <w:r>
        <w:rPr>
          <w:rFonts w:ascii="Palatino Linotype" w:eastAsia="Palatino Linotype" w:hAnsi="Palatino Linotype" w:cs="Palatino Linotype"/>
          <w:b/>
          <w:bCs/>
        </w:rPr>
        <w:t>RECURRENTE</w:t>
      </w:r>
      <w:r>
        <w:rPr>
          <w:rFonts w:ascii="Palatino Linotype" w:eastAsia="Palatino Linotype" w:hAnsi="Palatino Linotype" w:cs="Palatino Linotype"/>
        </w:rPr>
        <w:t xml:space="preserve"> que de conformidad con lo establecido en el artículo 196 de la Ley de Transparencia y Acceso a la Información Pública del Estado de México y Municipios, en caso de que considere que la resolución le cause algún perjuicio podrá impugnar vía juicio de amparo en los términos de las leyes aplicables.</w:t>
      </w:r>
    </w:p>
    <w:p w:rsidR="00E37C9C" w:rsidRDefault="00E37C9C">
      <w:pPr>
        <w:spacing w:line="360" w:lineRule="auto"/>
        <w:ind w:right="-734"/>
        <w:jc w:val="both"/>
        <w:rPr>
          <w:rFonts w:ascii="Palatino Linotype" w:eastAsia="Palatino Linotype" w:hAnsi="Palatino Linotype" w:cs="Palatino Linotype"/>
          <w:color w:val="000000"/>
        </w:rPr>
      </w:pPr>
    </w:p>
    <w:p w:rsidR="00E37C9C" w:rsidRDefault="002F4E6C">
      <w:pPr>
        <w:spacing w:line="360" w:lineRule="auto"/>
        <w:ind w:right="-734"/>
        <w:jc w:val="both"/>
        <w:rPr>
          <w:rFonts w:ascii="Palatino Linotype" w:eastAsia="Palatino Linotype" w:hAnsi="Palatino Linotype" w:cs="Palatino Linotype"/>
        </w:rPr>
      </w:pPr>
      <w:r>
        <w:rPr>
          <w:rFonts w:ascii="Palatino Linotype" w:eastAsia="Palatino Linotype" w:hAnsi="Palatino Linotype" w:cs="Palatino Linotype"/>
          <w:b/>
          <w:bCs/>
          <w:color w:val="000000"/>
        </w:rPr>
        <w:t xml:space="preserve">SEXTO. </w:t>
      </w:r>
      <w:r>
        <w:rPr>
          <w:rFonts w:ascii="Palatino Linotype" w:eastAsia="Palatino Linotype" w:hAnsi="Palatino Linotype" w:cs="Palatino Linotype"/>
        </w:rPr>
        <w:t>De conformidad con el artículo 198 de la Ley de Transparencia y Acceso a la Información Pública del Estado de México y Municipios, de considerarlo procedente, el Sujeto Obligado de manera fundada y motivada, podrá solicitar una ampliación de plazo para el cumplimiento de la presente resolución.</w:t>
      </w:r>
    </w:p>
    <w:p w:rsidR="00E37C9C" w:rsidRDefault="00E37C9C">
      <w:pPr>
        <w:shd w:val="clear" w:color="auto" w:fill="FFFFFF"/>
        <w:spacing w:line="360" w:lineRule="auto"/>
        <w:ind w:right="-734"/>
        <w:jc w:val="both"/>
        <w:rPr>
          <w:rFonts w:ascii="Palatino Linotype" w:eastAsia="Palatino Linotype" w:hAnsi="Palatino Linotype" w:cs="Palatino Linotype"/>
        </w:rPr>
      </w:pPr>
    </w:p>
    <w:p w:rsidR="00342D3A" w:rsidRPr="003E2295" w:rsidRDefault="00342D3A" w:rsidP="00342D3A">
      <w:pPr>
        <w:spacing w:before="240" w:after="240" w:line="360" w:lineRule="auto"/>
        <w:ind w:right="-737" w:firstLine="1"/>
        <w:jc w:val="both"/>
        <w:rPr>
          <w:rFonts w:ascii="Palatino Linotype" w:hAnsi="Palatino Linotype"/>
        </w:rPr>
      </w:pPr>
      <w:bookmarkStart w:id="9" w:name="_Hlk99014733"/>
      <w:r w:rsidRPr="003E2295">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w:t>
      </w:r>
      <w:r>
        <w:rPr>
          <w:rFonts w:ascii="Palatino Linotype" w:hAnsi="Palatino Linotype" w:cs="Palatino Linotype"/>
        </w:rPr>
        <w:t xml:space="preserve">VIGÉSIMA PRIMERA </w:t>
      </w:r>
      <w:r w:rsidRPr="003E2295">
        <w:rPr>
          <w:rFonts w:ascii="Palatino Linotype" w:hAnsi="Palatino Linotype" w:cs="Palatino Linotype"/>
        </w:rPr>
        <w:t>SESIÓN O</w:t>
      </w:r>
      <w:r>
        <w:rPr>
          <w:rFonts w:ascii="Palatino Linotype" w:hAnsi="Palatino Linotype" w:cs="Palatino Linotype"/>
        </w:rPr>
        <w:t xml:space="preserve">RDINARIA, </w:t>
      </w:r>
      <w:r>
        <w:rPr>
          <w:rFonts w:ascii="Palatino Linotype" w:hAnsi="Palatino Linotype" w:cs="Palatino Linotype"/>
        </w:rPr>
        <w:lastRenderedPageBreak/>
        <w:t>CELEBRADA EL DIEZ (10</w:t>
      </w:r>
      <w:r w:rsidRPr="003E2295">
        <w:rPr>
          <w:rFonts w:ascii="Palatino Linotype" w:hAnsi="Palatino Linotype" w:cs="Palatino Linotype"/>
        </w:rPr>
        <w:t xml:space="preserve">) DE </w:t>
      </w:r>
      <w:r>
        <w:rPr>
          <w:rFonts w:ascii="Palatino Linotype" w:hAnsi="Palatino Linotype" w:cs="Palatino Linotype"/>
        </w:rPr>
        <w:t>JUNIO</w:t>
      </w:r>
      <w:r w:rsidRPr="003E2295">
        <w:rPr>
          <w:rFonts w:ascii="Palatino Linotype" w:hAnsi="Palatino Linotype" w:cs="Palatino Linotype"/>
        </w:rPr>
        <w:t xml:space="preserve"> DE DOS MIL VEINTISÉIS, ANTE EL SECRETARIO TÉCNICO DEL PLENO </w:t>
      </w:r>
      <w:r w:rsidRPr="003E2295">
        <w:rPr>
          <w:rFonts w:ascii="Palatino Linotype" w:hAnsi="Palatino Linotype" w:cs="Palatino Linotype"/>
          <w:color w:val="000000" w:themeColor="text1"/>
        </w:rPr>
        <w:t>ALEXIS TAPIA RAMÍREZ.</w:t>
      </w:r>
    </w:p>
    <w:bookmarkEnd w:id="9"/>
    <w:p w:rsidR="00E37C9C" w:rsidRDefault="00E37C9C" w:rsidP="00342D3A">
      <w:pPr>
        <w:spacing w:line="360" w:lineRule="auto"/>
        <w:ind w:right="-737"/>
        <w:rPr>
          <w:rFonts w:ascii="Palatino Linotype" w:eastAsia="Palatino Linotype" w:hAnsi="Palatino Linotype" w:cs="Palatino Linotype"/>
        </w:rPr>
      </w:pPr>
    </w:p>
    <w:p w:rsidR="00E37C9C" w:rsidRDefault="00E37C9C" w:rsidP="00342D3A">
      <w:pPr>
        <w:spacing w:line="360" w:lineRule="auto"/>
        <w:ind w:right="-737"/>
        <w:rPr>
          <w:rFonts w:ascii="Palatino Linotype" w:eastAsia="Palatino Linotype" w:hAnsi="Palatino Linotype" w:cs="Palatino Linotype"/>
        </w:rPr>
      </w:pPr>
    </w:p>
    <w:p w:rsidR="00E37C9C" w:rsidRDefault="00E37C9C">
      <w:pPr>
        <w:spacing w:line="360" w:lineRule="auto"/>
        <w:ind w:right="-734"/>
        <w:rPr>
          <w:rFonts w:ascii="Palatino Linotype" w:eastAsia="Palatino Linotype" w:hAnsi="Palatino Linotype" w:cs="Palatino Linotype"/>
        </w:rPr>
      </w:pPr>
    </w:p>
    <w:p w:rsidR="00E37C9C" w:rsidRDefault="00E37C9C">
      <w:pPr>
        <w:spacing w:line="360" w:lineRule="auto"/>
        <w:ind w:right="-734"/>
        <w:rPr>
          <w:rFonts w:ascii="Palatino Linotype" w:eastAsia="Palatino Linotype" w:hAnsi="Palatino Linotype" w:cs="Palatino Linotype"/>
        </w:rPr>
      </w:pPr>
    </w:p>
    <w:p w:rsidR="00E37C9C" w:rsidRDefault="00E37C9C">
      <w:pPr>
        <w:spacing w:line="360" w:lineRule="auto"/>
        <w:ind w:right="-734"/>
        <w:rPr>
          <w:rFonts w:ascii="Palatino Linotype" w:eastAsia="Palatino Linotype" w:hAnsi="Palatino Linotype" w:cs="Palatino Linotype"/>
        </w:rPr>
      </w:pPr>
    </w:p>
    <w:p w:rsidR="00E37C9C" w:rsidRDefault="00E37C9C">
      <w:pPr>
        <w:spacing w:line="360" w:lineRule="auto"/>
        <w:ind w:right="-734"/>
        <w:rPr>
          <w:rFonts w:ascii="Palatino Linotype" w:eastAsia="Palatino Linotype" w:hAnsi="Palatino Linotype" w:cs="Palatino Linotype"/>
        </w:rPr>
      </w:pPr>
    </w:p>
    <w:p w:rsidR="00E37C9C" w:rsidRDefault="00E37C9C">
      <w:pPr>
        <w:spacing w:line="360" w:lineRule="auto"/>
        <w:ind w:right="-734"/>
        <w:rPr>
          <w:rFonts w:ascii="Palatino Linotype" w:eastAsia="Palatino Linotype" w:hAnsi="Palatino Linotype" w:cs="Palatino Linotype"/>
        </w:rPr>
      </w:pPr>
    </w:p>
    <w:p w:rsidR="00E37C9C" w:rsidRDefault="00E37C9C">
      <w:pPr>
        <w:ind w:right="-734"/>
        <w:rPr>
          <w:rFonts w:ascii="Palatino Linotype" w:eastAsia="Palatino Linotype" w:hAnsi="Palatino Linotype" w:cs="Palatino Linotype"/>
        </w:rPr>
      </w:pPr>
    </w:p>
    <w:p w:rsidR="00E37C9C" w:rsidRDefault="00E37C9C">
      <w:pPr>
        <w:ind w:right="-734"/>
        <w:rPr>
          <w:rFonts w:ascii="Palatino Linotype" w:eastAsia="Palatino Linotype" w:hAnsi="Palatino Linotype" w:cs="Palatino Linotype"/>
        </w:rPr>
      </w:pPr>
    </w:p>
    <w:p w:rsidR="00E37C9C" w:rsidRDefault="00E37C9C">
      <w:pPr>
        <w:ind w:right="-734"/>
        <w:rPr>
          <w:rFonts w:ascii="Palatino Linotype" w:eastAsia="Palatino Linotype" w:hAnsi="Palatino Linotype" w:cs="Palatino Linotype"/>
        </w:rPr>
      </w:pPr>
    </w:p>
    <w:p w:rsidR="00E37C9C" w:rsidRDefault="00E37C9C">
      <w:pPr>
        <w:ind w:right="-734"/>
        <w:rPr>
          <w:rFonts w:ascii="Palatino Linotype" w:eastAsia="Palatino Linotype" w:hAnsi="Palatino Linotype" w:cs="Palatino Linotype"/>
        </w:rPr>
      </w:pPr>
    </w:p>
    <w:p w:rsidR="00E37C9C" w:rsidRDefault="00E37C9C">
      <w:pPr>
        <w:ind w:right="-734"/>
        <w:rPr>
          <w:rFonts w:ascii="Palatino Linotype" w:eastAsia="Palatino Linotype" w:hAnsi="Palatino Linotype" w:cs="Palatino Linotype"/>
        </w:rPr>
      </w:pPr>
    </w:p>
    <w:p w:rsidR="00E37C9C" w:rsidRDefault="00E37C9C">
      <w:pPr>
        <w:ind w:right="-734"/>
        <w:rPr>
          <w:rFonts w:ascii="Palatino Linotype" w:eastAsia="Palatino Linotype" w:hAnsi="Palatino Linotype" w:cs="Palatino Linotype"/>
        </w:rPr>
      </w:pPr>
    </w:p>
    <w:p w:rsidR="00E37C9C" w:rsidRDefault="00E37C9C">
      <w:pPr>
        <w:ind w:right="-734"/>
        <w:rPr>
          <w:rFonts w:ascii="Palatino Linotype" w:eastAsia="Palatino Linotype" w:hAnsi="Palatino Linotype" w:cs="Palatino Linotype"/>
        </w:rPr>
      </w:pPr>
    </w:p>
    <w:p w:rsidR="00821CFA" w:rsidRDefault="00821CFA">
      <w:pPr>
        <w:ind w:right="-734"/>
        <w:rPr>
          <w:rFonts w:ascii="Palatino Linotype" w:eastAsia="Palatino Linotype" w:hAnsi="Palatino Linotype" w:cs="Palatino Linotype"/>
        </w:rPr>
      </w:pPr>
    </w:p>
    <w:p w:rsidR="00821CFA" w:rsidRDefault="00821CFA">
      <w:pPr>
        <w:ind w:right="-734"/>
        <w:rPr>
          <w:rFonts w:ascii="Palatino Linotype" w:eastAsia="Palatino Linotype" w:hAnsi="Palatino Linotype" w:cs="Palatino Linotype"/>
        </w:rPr>
      </w:pPr>
    </w:p>
    <w:p w:rsidR="00821CFA" w:rsidRDefault="00821CFA">
      <w:pPr>
        <w:ind w:right="-734"/>
        <w:rPr>
          <w:rFonts w:ascii="Palatino Linotype" w:eastAsia="Palatino Linotype" w:hAnsi="Palatino Linotype" w:cs="Palatino Linotype"/>
        </w:rPr>
      </w:pPr>
    </w:p>
    <w:p w:rsidR="00821CFA" w:rsidRDefault="00821CFA">
      <w:pPr>
        <w:ind w:right="-734"/>
        <w:rPr>
          <w:rFonts w:ascii="Palatino Linotype" w:eastAsia="Palatino Linotype" w:hAnsi="Palatino Linotype" w:cs="Palatino Linotype"/>
        </w:rPr>
      </w:pPr>
    </w:p>
    <w:p w:rsidR="00821CFA" w:rsidRDefault="00821CFA">
      <w:pPr>
        <w:ind w:right="-734"/>
        <w:rPr>
          <w:rFonts w:ascii="Palatino Linotype" w:eastAsia="Palatino Linotype" w:hAnsi="Palatino Linotype" w:cs="Palatino Linotype"/>
        </w:rPr>
      </w:pPr>
    </w:p>
    <w:p w:rsidR="00821CFA" w:rsidRDefault="00821CFA">
      <w:pPr>
        <w:ind w:right="-734"/>
        <w:rPr>
          <w:rFonts w:ascii="Palatino Linotype" w:eastAsia="Palatino Linotype" w:hAnsi="Palatino Linotype" w:cs="Palatino Linotype"/>
        </w:rPr>
      </w:pPr>
    </w:p>
    <w:p w:rsidR="00821CFA" w:rsidRDefault="00821CFA">
      <w:pPr>
        <w:ind w:right="-734"/>
        <w:rPr>
          <w:rFonts w:ascii="Palatino Linotype" w:eastAsia="Palatino Linotype" w:hAnsi="Palatino Linotype" w:cs="Palatino Linotype"/>
        </w:rPr>
      </w:pPr>
    </w:p>
    <w:p w:rsidR="00821CFA" w:rsidRDefault="00821CFA">
      <w:pPr>
        <w:ind w:right="-734"/>
        <w:rPr>
          <w:rFonts w:ascii="Palatino Linotype" w:eastAsia="Palatino Linotype" w:hAnsi="Palatino Linotype" w:cs="Palatino Linotype"/>
        </w:rPr>
      </w:pPr>
    </w:p>
    <w:p w:rsidR="00821CFA" w:rsidRDefault="00821CFA">
      <w:pPr>
        <w:ind w:right="-734"/>
        <w:rPr>
          <w:rFonts w:ascii="Palatino Linotype" w:eastAsia="Palatino Linotype" w:hAnsi="Palatino Linotype" w:cs="Palatino Linotype"/>
        </w:rPr>
      </w:pPr>
    </w:p>
    <w:p w:rsidR="00821CFA" w:rsidRDefault="00821CFA">
      <w:pPr>
        <w:ind w:right="-734"/>
        <w:rPr>
          <w:rFonts w:ascii="Palatino Linotype" w:eastAsia="Palatino Linotype" w:hAnsi="Palatino Linotype" w:cs="Palatino Linotype"/>
        </w:rPr>
      </w:pPr>
    </w:p>
    <w:p w:rsidR="00821CFA" w:rsidRDefault="00821CFA">
      <w:pPr>
        <w:ind w:right="-734"/>
        <w:rPr>
          <w:rFonts w:ascii="Palatino Linotype" w:eastAsia="Palatino Linotype" w:hAnsi="Palatino Linotype" w:cs="Palatino Linotype"/>
        </w:rPr>
      </w:pPr>
    </w:p>
    <w:p w:rsidR="00821CFA" w:rsidRDefault="00821CFA">
      <w:pPr>
        <w:ind w:right="-734"/>
        <w:rPr>
          <w:rFonts w:ascii="Palatino Linotype" w:eastAsia="Palatino Linotype" w:hAnsi="Palatino Linotype" w:cs="Palatino Linotype"/>
        </w:rPr>
      </w:pPr>
    </w:p>
    <w:p w:rsidR="00821CFA" w:rsidRDefault="00821CFA">
      <w:pPr>
        <w:ind w:right="-734"/>
        <w:rPr>
          <w:rFonts w:ascii="Palatino Linotype" w:eastAsia="Palatino Linotype" w:hAnsi="Palatino Linotype" w:cs="Palatino Linotype"/>
        </w:rPr>
      </w:pPr>
    </w:p>
    <w:p w:rsidR="00821CFA" w:rsidRDefault="00821CFA">
      <w:pPr>
        <w:ind w:right="-734"/>
        <w:rPr>
          <w:rFonts w:ascii="Palatino Linotype" w:eastAsia="Palatino Linotype" w:hAnsi="Palatino Linotype" w:cs="Palatino Linotype"/>
        </w:rPr>
      </w:pPr>
    </w:p>
    <w:p w:rsidR="00821CFA" w:rsidRDefault="00821CFA">
      <w:pPr>
        <w:ind w:right="-734"/>
        <w:rPr>
          <w:rFonts w:ascii="Palatino Linotype" w:eastAsia="Palatino Linotype" w:hAnsi="Palatino Linotype" w:cs="Palatino Linotype"/>
        </w:rPr>
      </w:pPr>
    </w:p>
    <w:p w:rsidR="00821CFA" w:rsidRDefault="00821CFA">
      <w:pPr>
        <w:ind w:right="-734"/>
        <w:rPr>
          <w:rFonts w:ascii="Palatino Linotype" w:eastAsia="Palatino Linotype" w:hAnsi="Palatino Linotype" w:cs="Palatino Linotype"/>
        </w:rPr>
      </w:pPr>
    </w:p>
    <w:p w:rsidR="00821CFA" w:rsidRDefault="00821CFA">
      <w:pPr>
        <w:ind w:right="-734"/>
        <w:rPr>
          <w:rFonts w:ascii="Palatino Linotype" w:eastAsia="Palatino Linotype" w:hAnsi="Palatino Linotype" w:cs="Palatino Linotype"/>
        </w:rPr>
      </w:pPr>
    </w:p>
    <w:p w:rsidR="00821CFA" w:rsidRDefault="00821CFA">
      <w:pPr>
        <w:ind w:right="-734"/>
        <w:rPr>
          <w:rFonts w:ascii="Palatino Linotype" w:eastAsia="Palatino Linotype" w:hAnsi="Palatino Linotype" w:cs="Palatino Linotype"/>
        </w:rPr>
      </w:pPr>
      <w:bookmarkStart w:id="10" w:name="_GoBack"/>
      <w:bookmarkEnd w:id="10"/>
    </w:p>
    <w:p w:rsidR="00821CFA" w:rsidRDefault="00821CFA">
      <w:pPr>
        <w:ind w:right="-734"/>
        <w:rPr>
          <w:rFonts w:ascii="Palatino Linotype" w:eastAsia="Palatino Linotype" w:hAnsi="Palatino Linotype" w:cs="Palatino Linotype"/>
        </w:rPr>
      </w:pPr>
    </w:p>
    <w:sectPr w:rsidR="00821CFA">
      <w:headerReference w:type="even" r:id="rId11"/>
      <w:headerReference w:type="default" r:id="rId12"/>
      <w:footerReference w:type="default" r:id="rId13"/>
      <w:headerReference w:type="first" r:id="rId14"/>
      <w:footerReference w:type="first" r:id="rId15"/>
      <w:pgSz w:w="12240" w:h="15840"/>
      <w:pgMar w:top="80" w:right="1608" w:bottom="1418" w:left="1588" w:header="709" w:footer="91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01F2" w:rsidRDefault="003701F2">
      <w:r>
        <w:separator/>
      </w:r>
    </w:p>
  </w:endnote>
  <w:endnote w:type="continuationSeparator" w:id="0">
    <w:p w:rsidR="003701F2" w:rsidRDefault="003701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embedRegular r:id="rId1" w:fontKey="{5778C53F-03E6-41D8-AE6A-560B4703105B}"/>
    <w:embedItalic r:id="rId2" w:fontKey="{7DAE6325-532D-444B-8509-A7DA0471B96F}"/>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embedRegular r:id="rId3" w:fontKey="{D613F090-0AA8-4DF8-9A00-526B0C2ADA68}"/>
    <w:embedBold r:id="rId4" w:fontKey="{4ABA739F-059D-4BA6-9723-52671A5EDC67}"/>
    <w:embedItalic r:id="rId5" w:fontKey="{4EF55C39-0E1F-454A-ACE1-F791349953DE}"/>
    <w:embedBoldItalic r:id="rId6" w:fontKey="{0AEB9F79-4562-4298-B7FC-D838F85E53A9}"/>
  </w:font>
  <w:font w:name="Calibri">
    <w:panose1 w:val="020F0502020204030204"/>
    <w:charset w:val="00"/>
    <w:family w:val="swiss"/>
    <w:pitch w:val="variable"/>
    <w:sig w:usb0="E4002EFF" w:usb1="C200247B" w:usb2="00000009" w:usb3="00000000" w:csb0="000001FF" w:csb1="00000000"/>
    <w:embedRegular r:id="rId7" w:fontKey="{B276B127-2502-4DDC-BF66-AA593DF8FFFD}"/>
  </w:font>
  <w:font w:name="Georgia">
    <w:panose1 w:val="02040502050405020303"/>
    <w:charset w:val="00"/>
    <w:family w:val="roman"/>
    <w:pitch w:val="variable"/>
    <w:sig w:usb0="00000287" w:usb1="00000000" w:usb2="00000000" w:usb3="00000000" w:csb0="0000009F" w:csb1="00000000"/>
    <w:embedItalic r:id="rId8" w:fontKey="{0E9E29C4-A8AD-4A76-BA87-4D95975978BF}"/>
  </w:font>
  <w:font w:name="Century Gothic">
    <w:panose1 w:val="020B0502020202020204"/>
    <w:charset w:val="00"/>
    <w:family w:val="swiss"/>
    <w:pitch w:val="variable"/>
    <w:sig w:usb0="00000287" w:usb1="00000000" w:usb2="00000000" w:usb3="00000000" w:csb0="0000009F" w:csb1="00000000"/>
    <w:embedRegular r:id="rId9" w:fontKey="{E3AAA325-52DD-40D9-A925-5AE0B6E87ED1}"/>
    <w:embedItalic r:id="rId10" w:fontKey="{E0700C91-D2FA-4B36-904F-8E45678D0583}"/>
  </w:font>
  <w:font w:name="Garamond">
    <w:panose1 w:val="02020404030301010803"/>
    <w:charset w:val="00"/>
    <w:family w:val="roman"/>
    <w:pitch w:val="variable"/>
    <w:sig w:usb0="00000287" w:usb1="00000000" w:usb2="00000000" w:usb3="00000000" w:csb0="0000009F" w:csb1="00000000"/>
    <w:embedRegular r:id="rId11" w:fontKey="{133FAB50-65A2-4746-B310-4EE92A4F226C}"/>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2" w:fontKey="{FF086F31-1FB0-4BF0-85FE-34672E4390B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7C9C" w:rsidRDefault="002F4E6C">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PAGE</w:instrText>
    </w:r>
    <w:r>
      <w:rPr>
        <w:rFonts w:ascii="Palatino Linotype" w:eastAsia="Palatino Linotype" w:hAnsi="Palatino Linotype" w:cs="Palatino Linotype"/>
        <w:b/>
        <w:bCs/>
        <w:color w:val="000000"/>
        <w:sz w:val="22"/>
        <w:szCs w:val="22"/>
      </w:rPr>
      <w:fldChar w:fldCharType="separate"/>
    </w:r>
    <w:r w:rsidR="008D3D7A">
      <w:rPr>
        <w:rFonts w:ascii="Palatino Linotype" w:eastAsia="Palatino Linotype" w:hAnsi="Palatino Linotype" w:cs="Palatino Linotype"/>
        <w:b/>
        <w:bCs/>
        <w:noProof/>
        <w:color w:val="000000"/>
        <w:sz w:val="22"/>
        <w:szCs w:val="22"/>
      </w:rPr>
      <w:t>7</w:t>
    </w:r>
    <w:r>
      <w:rPr>
        <w:rFonts w:ascii="Palatino Linotype" w:eastAsia="Palatino Linotype" w:hAnsi="Palatino Linotype" w:cs="Palatino Linotype"/>
        <w:b/>
        <w:bCs/>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NUMPAGES</w:instrText>
    </w:r>
    <w:r>
      <w:rPr>
        <w:rFonts w:ascii="Palatino Linotype" w:eastAsia="Palatino Linotype" w:hAnsi="Palatino Linotype" w:cs="Palatino Linotype"/>
        <w:b/>
        <w:bCs/>
        <w:color w:val="000000"/>
        <w:sz w:val="22"/>
        <w:szCs w:val="22"/>
      </w:rPr>
      <w:fldChar w:fldCharType="separate"/>
    </w:r>
    <w:r w:rsidR="008D3D7A">
      <w:rPr>
        <w:rFonts w:ascii="Palatino Linotype" w:eastAsia="Palatino Linotype" w:hAnsi="Palatino Linotype" w:cs="Palatino Linotype"/>
        <w:b/>
        <w:bCs/>
        <w:noProof/>
        <w:color w:val="000000"/>
        <w:sz w:val="22"/>
        <w:szCs w:val="22"/>
      </w:rPr>
      <w:t>32</w:t>
    </w:r>
    <w:r>
      <w:rPr>
        <w:rFonts w:ascii="Palatino Linotype" w:eastAsia="Palatino Linotype" w:hAnsi="Palatino Linotype" w:cs="Palatino Linotype"/>
        <w:b/>
        <w:bCs/>
        <w:color w:val="000000"/>
        <w:sz w:val="22"/>
        <w:szCs w:val="22"/>
      </w:rPr>
      <w:fldChar w:fldCharType="end"/>
    </w:r>
  </w:p>
  <w:p w:rsidR="00E37C9C" w:rsidRDefault="00E37C9C">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7C9C" w:rsidRDefault="002F4E6C">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PAGE</w:instrText>
    </w:r>
    <w:r>
      <w:rPr>
        <w:rFonts w:ascii="Palatino Linotype" w:eastAsia="Palatino Linotype" w:hAnsi="Palatino Linotype" w:cs="Palatino Linotype"/>
        <w:b/>
        <w:bCs/>
        <w:color w:val="000000"/>
        <w:sz w:val="22"/>
        <w:szCs w:val="22"/>
      </w:rPr>
      <w:fldChar w:fldCharType="separate"/>
    </w:r>
    <w:r w:rsidR="008D3D7A">
      <w:rPr>
        <w:rFonts w:ascii="Palatino Linotype" w:eastAsia="Palatino Linotype" w:hAnsi="Palatino Linotype" w:cs="Palatino Linotype"/>
        <w:b/>
        <w:bCs/>
        <w:noProof/>
        <w:color w:val="000000"/>
        <w:sz w:val="22"/>
        <w:szCs w:val="22"/>
      </w:rPr>
      <w:t>1</w:t>
    </w:r>
    <w:r>
      <w:rPr>
        <w:rFonts w:ascii="Palatino Linotype" w:eastAsia="Palatino Linotype" w:hAnsi="Palatino Linotype" w:cs="Palatino Linotype"/>
        <w:b/>
        <w:bCs/>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NUMPAGES</w:instrText>
    </w:r>
    <w:r>
      <w:rPr>
        <w:rFonts w:ascii="Palatino Linotype" w:eastAsia="Palatino Linotype" w:hAnsi="Palatino Linotype" w:cs="Palatino Linotype"/>
        <w:b/>
        <w:bCs/>
        <w:color w:val="000000"/>
        <w:sz w:val="22"/>
        <w:szCs w:val="22"/>
      </w:rPr>
      <w:fldChar w:fldCharType="separate"/>
    </w:r>
    <w:r w:rsidR="008D3D7A">
      <w:rPr>
        <w:rFonts w:ascii="Palatino Linotype" w:eastAsia="Palatino Linotype" w:hAnsi="Palatino Linotype" w:cs="Palatino Linotype"/>
        <w:b/>
        <w:bCs/>
        <w:noProof/>
        <w:color w:val="000000"/>
        <w:sz w:val="22"/>
        <w:szCs w:val="22"/>
      </w:rPr>
      <w:t>32</w:t>
    </w:r>
    <w:r>
      <w:rPr>
        <w:rFonts w:ascii="Palatino Linotype" w:eastAsia="Palatino Linotype" w:hAnsi="Palatino Linotype" w:cs="Palatino Linotype"/>
        <w:b/>
        <w:bCs/>
        <w:color w:val="000000"/>
        <w:sz w:val="22"/>
        <w:szCs w:val="22"/>
      </w:rPr>
      <w:fldChar w:fldCharType="end"/>
    </w:r>
  </w:p>
  <w:p w:rsidR="00E37C9C" w:rsidRDefault="00E37C9C">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01F2" w:rsidRDefault="003701F2">
      <w:r>
        <w:separator/>
      </w:r>
    </w:p>
  </w:footnote>
  <w:footnote w:type="continuationSeparator" w:id="0">
    <w:p w:rsidR="003701F2" w:rsidRDefault="003701F2">
      <w:r>
        <w:continuationSeparator/>
      </w:r>
    </w:p>
  </w:footnote>
  <w:footnote w:id="1">
    <w:p w:rsidR="00E37C9C" w:rsidRDefault="002F4E6C">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Convención Americana sobre Derechos Humanos. Artículo 13.</w:t>
      </w:r>
    </w:p>
  </w:footnote>
  <w:footnote w:id="2">
    <w:p w:rsidR="00E37C9C" w:rsidRDefault="002F4E6C">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Constitución Política de los Estados Unidos Mexicanos. Artículo sexto, sección A, fracción I.</w:t>
      </w:r>
    </w:p>
  </w:footnote>
  <w:footnote w:id="3">
    <w:p w:rsidR="00E37C9C" w:rsidRDefault="002F4E6C">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Corte Interamericana de Derechos Humanos. Caso Claude Reyes y otros vs. Chile. Sentencia de 19 de septiembre de 2006. Serie C. No. 151. Párr. 86.</w:t>
      </w:r>
    </w:p>
  </w:footnote>
  <w:footnote w:id="4">
    <w:p w:rsidR="00E37C9C" w:rsidRDefault="002F4E6C">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Ibídem. Parr. 87.</w:t>
      </w:r>
    </w:p>
  </w:footnote>
  <w:footnote w:id="5">
    <w:p w:rsidR="00E37C9C" w:rsidRDefault="002F4E6C">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Artículo 150. Ley de Transparencia y Acceso a la Información Pública del Estado de México y Municipios.</w:t>
      </w:r>
    </w:p>
    <w:p w:rsidR="00E37C9C" w:rsidRDefault="002F4E6C">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Artículo 151. Ibídem.</w:t>
      </w:r>
    </w:p>
  </w:footnote>
  <w:footnote w:id="6">
    <w:p w:rsidR="00E37C9C" w:rsidRDefault="002F4E6C">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Fracción IV. Artículo 53. Ibídem.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7C9C" w:rsidRDefault="003701F2">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589.8pt;height:768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10348" w:type="dxa"/>
      <w:tblInd w:w="0" w:type="dxa"/>
      <w:tblLayout w:type="fixed"/>
      <w:tblLook w:val="0400" w:firstRow="0" w:lastRow="0" w:firstColumn="0" w:lastColumn="0" w:noHBand="0" w:noVBand="1"/>
    </w:tblPr>
    <w:tblGrid>
      <w:gridCol w:w="2268"/>
      <w:gridCol w:w="8080"/>
    </w:tblGrid>
    <w:tr w:rsidR="00E37C9C" w:rsidTr="00BA3B1F">
      <w:trPr>
        <w:trHeight w:val="1435"/>
      </w:trPr>
      <w:tc>
        <w:tcPr>
          <w:tcW w:w="2268" w:type="dxa"/>
          <w:shd w:val="clear" w:color="auto" w:fill="auto"/>
        </w:tcPr>
        <w:p w:rsidR="00E37C9C" w:rsidRDefault="00E37C9C">
          <w:pPr>
            <w:tabs>
              <w:tab w:val="right" w:pos="4273"/>
            </w:tabs>
            <w:rPr>
              <w:rFonts w:ascii="Garamond" w:eastAsia="Garamond" w:hAnsi="Garamond" w:cs="Garamond"/>
              <w:sz w:val="16"/>
              <w:szCs w:val="16"/>
            </w:rPr>
          </w:pPr>
        </w:p>
      </w:tc>
      <w:tc>
        <w:tcPr>
          <w:tcW w:w="8080" w:type="dxa"/>
          <w:shd w:val="clear" w:color="auto" w:fill="auto"/>
        </w:tcPr>
        <w:tbl>
          <w:tblPr>
            <w:tblStyle w:val="a1"/>
            <w:tblW w:w="6660" w:type="dxa"/>
            <w:tblInd w:w="1303" w:type="dxa"/>
            <w:tblLayout w:type="fixed"/>
            <w:tblLook w:val="0400" w:firstRow="0" w:lastRow="0" w:firstColumn="0" w:lastColumn="0" w:noHBand="0" w:noVBand="1"/>
          </w:tblPr>
          <w:tblGrid>
            <w:gridCol w:w="2942"/>
            <w:gridCol w:w="3718"/>
          </w:tblGrid>
          <w:tr w:rsidR="00E37C9C" w:rsidTr="00BA3B1F">
            <w:trPr>
              <w:trHeight w:val="150"/>
            </w:trPr>
            <w:tc>
              <w:tcPr>
                <w:tcW w:w="2942" w:type="dxa"/>
                <w:shd w:val="clear" w:color="auto" w:fill="auto"/>
              </w:tcPr>
              <w:p w:rsidR="00E37C9C" w:rsidRDefault="002F4E6C">
                <w:pPr>
                  <w:tabs>
                    <w:tab w:val="right" w:pos="8838"/>
                  </w:tabs>
                  <w:ind w:right="-105"/>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3718" w:type="dxa"/>
                <w:shd w:val="clear" w:color="auto" w:fill="auto"/>
              </w:tcPr>
              <w:p w:rsidR="00E37C9C" w:rsidRDefault="002F4E6C">
                <w:pPr>
                  <w:tabs>
                    <w:tab w:val="right" w:pos="8838"/>
                  </w:tabs>
                  <w:ind w:left="-108" w:right="-102"/>
                  <w:jc w:val="both"/>
                  <w:rPr>
                    <w:rFonts w:ascii="Palatino Linotype" w:eastAsia="Palatino Linotype" w:hAnsi="Palatino Linotype" w:cs="Palatino Linotype"/>
                  </w:rPr>
                </w:pPr>
                <w:r>
                  <w:rPr>
                    <w:rFonts w:ascii="Palatino Linotype" w:eastAsia="Palatino Linotype" w:hAnsi="Palatino Linotype" w:cs="Palatino Linotype"/>
                  </w:rPr>
                  <w:t>03188/INFOEM/IP/RR/2026</w:t>
                </w:r>
              </w:p>
            </w:tc>
          </w:tr>
          <w:tr w:rsidR="00E37C9C" w:rsidTr="00BA3B1F">
            <w:trPr>
              <w:trHeight w:val="295"/>
            </w:trPr>
            <w:tc>
              <w:tcPr>
                <w:tcW w:w="2942" w:type="dxa"/>
                <w:shd w:val="clear" w:color="auto" w:fill="auto"/>
              </w:tcPr>
              <w:p w:rsidR="00E37C9C" w:rsidRDefault="002F4E6C">
                <w:pPr>
                  <w:tabs>
                    <w:tab w:val="right" w:pos="8838"/>
                  </w:tabs>
                  <w:ind w:right="-105"/>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3718" w:type="dxa"/>
                <w:shd w:val="clear" w:color="auto" w:fill="auto"/>
              </w:tcPr>
              <w:p w:rsidR="00E37C9C" w:rsidRDefault="002F4E6C">
                <w:pPr>
                  <w:tabs>
                    <w:tab w:val="left" w:pos="2834"/>
                    <w:tab w:val="right" w:pos="8838"/>
                  </w:tabs>
                  <w:ind w:left="-108" w:right="-102"/>
                  <w:jc w:val="both"/>
                  <w:rPr>
                    <w:rFonts w:ascii="Palatino Linotype" w:eastAsia="Palatino Linotype" w:hAnsi="Palatino Linotype" w:cs="Palatino Linotype"/>
                  </w:rPr>
                </w:pPr>
                <w:r>
                  <w:rPr>
                    <w:rFonts w:ascii="Palatino Linotype" w:eastAsia="Palatino Linotype" w:hAnsi="Palatino Linotype" w:cs="Palatino Linotype"/>
                  </w:rPr>
                  <w:t>Ayuntamiento de Papalotla</w:t>
                </w:r>
              </w:p>
            </w:tc>
          </w:tr>
          <w:tr w:rsidR="00E37C9C" w:rsidTr="00BA3B1F">
            <w:trPr>
              <w:trHeight w:val="295"/>
            </w:trPr>
            <w:tc>
              <w:tcPr>
                <w:tcW w:w="2942" w:type="dxa"/>
                <w:shd w:val="clear" w:color="auto" w:fill="auto"/>
              </w:tcPr>
              <w:p w:rsidR="00E37C9C" w:rsidRDefault="002F4E6C">
                <w:pPr>
                  <w:tabs>
                    <w:tab w:val="right" w:pos="8838"/>
                  </w:tabs>
                  <w:ind w:right="-105"/>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3718" w:type="dxa"/>
                <w:shd w:val="clear" w:color="auto" w:fill="auto"/>
              </w:tcPr>
              <w:p w:rsidR="00E37C9C" w:rsidRDefault="002F4E6C">
                <w:pPr>
                  <w:tabs>
                    <w:tab w:val="right" w:pos="8838"/>
                  </w:tabs>
                  <w:ind w:left="-108" w:right="171"/>
                  <w:jc w:val="both"/>
                  <w:rPr>
                    <w:rFonts w:ascii="Palatino Linotype" w:eastAsia="Palatino Linotype" w:hAnsi="Palatino Linotype" w:cs="Palatino Linotype"/>
                  </w:rPr>
                </w:pPr>
                <w:r>
                  <w:rPr>
                    <w:rFonts w:ascii="Palatino Linotype" w:eastAsia="Palatino Linotype" w:hAnsi="Palatino Linotype" w:cs="Palatino Linotype"/>
                  </w:rPr>
                  <w:t>María del Rosario Mejía Ayala</w:t>
                </w:r>
              </w:p>
              <w:p w:rsidR="00E37C9C" w:rsidRDefault="00E37C9C">
                <w:pPr>
                  <w:tabs>
                    <w:tab w:val="right" w:pos="8838"/>
                  </w:tabs>
                  <w:ind w:left="-108" w:right="171"/>
                  <w:jc w:val="both"/>
                  <w:rPr>
                    <w:rFonts w:ascii="Palatino Linotype" w:eastAsia="Palatino Linotype" w:hAnsi="Palatino Linotype" w:cs="Palatino Linotype"/>
                    <w:b/>
                    <w:bCs/>
                  </w:rPr>
                </w:pPr>
              </w:p>
            </w:tc>
          </w:tr>
        </w:tbl>
        <w:p w:rsidR="00E37C9C" w:rsidRDefault="00E37C9C">
          <w:pPr>
            <w:tabs>
              <w:tab w:val="right" w:pos="8838"/>
            </w:tabs>
            <w:ind w:left="-28"/>
            <w:jc w:val="both"/>
            <w:rPr>
              <w:rFonts w:ascii="Arial" w:eastAsia="Arial" w:hAnsi="Arial" w:cs="Arial"/>
              <w:b/>
              <w:bCs/>
              <w:sz w:val="22"/>
              <w:szCs w:val="22"/>
            </w:rPr>
          </w:pPr>
        </w:p>
      </w:tc>
    </w:tr>
  </w:tbl>
  <w:p w:rsidR="00E37C9C" w:rsidRDefault="003701F2">
    <w:pPr>
      <w:pBdr>
        <w:top w:val="nil"/>
        <w:left w:val="nil"/>
        <w:bottom w:val="nil"/>
        <w:right w:val="nil"/>
        <w:between w:val="nil"/>
      </w:pBdr>
      <w:tabs>
        <w:tab w:val="center" w:pos="4419"/>
        <w:tab w:val="right" w:pos="8838"/>
      </w:tabs>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68.8pt;margin-top:-120.5pt;width:589.8pt;height:768pt;z-index:-251659776;mso-position-horizontal:absolute;mso-position-horizontal-relative:margin;mso-position-vertical:absolute;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2"/>
      <w:tblW w:w="10530" w:type="dxa"/>
      <w:tblInd w:w="0" w:type="dxa"/>
      <w:tblLayout w:type="fixed"/>
      <w:tblLook w:val="0400" w:firstRow="0" w:lastRow="0" w:firstColumn="0" w:lastColumn="0" w:noHBand="0" w:noVBand="1"/>
    </w:tblPr>
    <w:tblGrid>
      <w:gridCol w:w="2265"/>
      <w:gridCol w:w="8265"/>
    </w:tblGrid>
    <w:tr w:rsidR="00E37C9C">
      <w:trPr>
        <w:trHeight w:val="1435"/>
      </w:trPr>
      <w:tc>
        <w:tcPr>
          <w:tcW w:w="2265" w:type="dxa"/>
          <w:shd w:val="clear" w:color="auto" w:fill="auto"/>
        </w:tcPr>
        <w:p w:rsidR="00E37C9C" w:rsidRDefault="00E37C9C">
          <w:pPr>
            <w:tabs>
              <w:tab w:val="right" w:pos="4273"/>
            </w:tabs>
            <w:rPr>
              <w:rFonts w:ascii="Garamond" w:eastAsia="Garamond" w:hAnsi="Garamond" w:cs="Garamond"/>
              <w:sz w:val="22"/>
              <w:szCs w:val="22"/>
            </w:rPr>
          </w:pPr>
        </w:p>
      </w:tc>
      <w:tc>
        <w:tcPr>
          <w:tcW w:w="8265" w:type="dxa"/>
          <w:shd w:val="clear" w:color="auto" w:fill="auto"/>
        </w:tcPr>
        <w:tbl>
          <w:tblPr>
            <w:tblStyle w:val="a3"/>
            <w:tblW w:w="7740" w:type="dxa"/>
            <w:tblInd w:w="739" w:type="dxa"/>
            <w:tblLayout w:type="fixed"/>
            <w:tblLook w:val="0400" w:firstRow="0" w:lastRow="0" w:firstColumn="0" w:lastColumn="0" w:noHBand="0" w:noVBand="1"/>
          </w:tblPr>
          <w:tblGrid>
            <w:gridCol w:w="2940"/>
            <w:gridCol w:w="4800"/>
          </w:tblGrid>
          <w:tr w:rsidR="00E37C9C" w:rsidTr="00BA3B1F">
            <w:trPr>
              <w:trHeight w:val="144"/>
            </w:trPr>
            <w:tc>
              <w:tcPr>
                <w:tcW w:w="2940" w:type="dxa"/>
                <w:shd w:val="clear" w:color="auto" w:fill="auto"/>
              </w:tcPr>
              <w:p w:rsidR="00E37C9C" w:rsidRDefault="002F4E6C">
                <w:pPr>
                  <w:tabs>
                    <w:tab w:val="right" w:pos="8838"/>
                  </w:tabs>
                  <w:ind w:left="-264" w:right="-105" w:firstLine="195"/>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4800" w:type="dxa"/>
                <w:shd w:val="clear" w:color="auto" w:fill="auto"/>
              </w:tcPr>
              <w:p w:rsidR="00E37C9C" w:rsidRDefault="002F4E6C">
                <w:pPr>
                  <w:tabs>
                    <w:tab w:val="right" w:pos="8838"/>
                  </w:tabs>
                  <w:ind w:left="-74" w:right="-105"/>
                  <w:rPr>
                    <w:rFonts w:ascii="Palatino Linotype" w:eastAsia="Palatino Linotype" w:hAnsi="Palatino Linotype" w:cs="Palatino Linotype"/>
                  </w:rPr>
                </w:pPr>
                <w:r>
                  <w:rPr>
                    <w:rFonts w:ascii="Palatino Linotype" w:eastAsia="Palatino Linotype" w:hAnsi="Palatino Linotype" w:cs="Palatino Linotype"/>
                  </w:rPr>
                  <w:t>03188/INFOEM/IP/RR/2026</w:t>
                </w:r>
              </w:p>
            </w:tc>
          </w:tr>
          <w:tr w:rsidR="00E37C9C" w:rsidTr="00BA3B1F">
            <w:trPr>
              <w:trHeight w:val="144"/>
            </w:trPr>
            <w:tc>
              <w:tcPr>
                <w:tcW w:w="2940" w:type="dxa"/>
                <w:shd w:val="clear" w:color="auto" w:fill="auto"/>
              </w:tcPr>
              <w:p w:rsidR="00E37C9C" w:rsidRDefault="002F4E6C">
                <w:pPr>
                  <w:tabs>
                    <w:tab w:val="right" w:pos="8838"/>
                  </w:tabs>
                  <w:ind w:left="-74" w:right="-105"/>
                  <w:rPr>
                    <w:rFonts w:ascii="Palatino Linotype" w:eastAsia="Palatino Linotype" w:hAnsi="Palatino Linotype" w:cs="Palatino Linotype"/>
                    <w:b/>
                    <w:bCs/>
                  </w:rPr>
                </w:pPr>
                <w:r>
                  <w:rPr>
                    <w:rFonts w:ascii="Palatino Linotype" w:eastAsia="Palatino Linotype" w:hAnsi="Palatino Linotype" w:cs="Palatino Linotype"/>
                    <w:b/>
                    <w:bCs/>
                  </w:rPr>
                  <w:t>Recurrente:</w:t>
                </w:r>
              </w:p>
            </w:tc>
            <w:tc>
              <w:tcPr>
                <w:tcW w:w="4800" w:type="dxa"/>
                <w:shd w:val="clear" w:color="auto" w:fill="auto"/>
              </w:tcPr>
              <w:p w:rsidR="00E37C9C" w:rsidRDefault="008D3D7A">
                <w:pPr>
                  <w:tabs>
                    <w:tab w:val="left" w:pos="3122"/>
                    <w:tab w:val="right" w:pos="8838"/>
                  </w:tabs>
                  <w:ind w:left="-74" w:right="-105"/>
                  <w:rPr>
                    <w:rFonts w:ascii="Palatino Linotype" w:eastAsia="Palatino Linotype" w:hAnsi="Palatino Linotype" w:cs="Palatino Linotype"/>
                  </w:rPr>
                </w:pPr>
                <w:r>
                  <w:rPr>
                    <w:rFonts w:ascii="Palatino Linotype" w:eastAsia="Palatino Linotype" w:hAnsi="Palatino Linotype" w:cs="Palatino Linotype"/>
                  </w:rPr>
                  <w:t>XXXX</w:t>
                </w:r>
              </w:p>
            </w:tc>
          </w:tr>
          <w:tr w:rsidR="00E37C9C" w:rsidTr="00BA3B1F">
            <w:trPr>
              <w:trHeight w:val="283"/>
            </w:trPr>
            <w:tc>
              <w:tcPr>
                <w:tcW w:w="2940" w:type="dxa"/>
                <w:shd w:val="clear" w:color="auto" w:fill="auto"/>
              </w:tcPr>
              <w:p w:rsidR="00E37C9C" w:rsidRDefault="002F4E6C">
                <w:pPr>
                  <w:tabs>
                    <w:tab w:val="right" w:pos="8838"/>
                  </w:tabs>
                  <w:ind w:left="-74" w:right="-105"/>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4800" w:type="dxa"/>
                <w:shd w:val="clear" w:color="auto" w:fill="auto"/>
              </w:tcPr>
              <w:p w:rsidR="00E37C9C" w:rsidRDefault="002F4E6C">
                <w:pPr>
                  <w:tabs>
                    <w:tab w:val="left" w:pos="2834"/>
                    <w:tab w:val="right" w:pos="8838"/>
                  </w:tabs>
                  <w:ind w:left="-74" w:right="-105"/>
                  <w:rPr>
                    <w:rFonts w:ascii="Palatino Linotype" w:eastAsia="Palatino Linotype" w:hAnsi="Palatino Linotype" w:cs="Palatino Linotype"/>
                  </w:rPr>
                </w:pPr>
                <w:r>
                  <w:rPr>
                    <w:rFonts w:ascii="Palatino Linotype" w:eastAsia="Palatino Linotype" w:hAnsi="Palatino Linotype" w:cs="Palatino Linotype"/>
                  </w:rPr>
                  <w:t>Ayuntamiento de Papalotla</w:t>
                </w:r>
              </w:p>
            </w:tc>
          </w:tr>
          <w:tr w:rsidR="00E37C9C" w:rsidTr="00BA3B1F">
            <w:trPr>
              <w:trHeight w:val="283"/>
            </w:trPr>
            <w:tc>
              <w:tcPr>
                <w:tcW w:w="2940" w:type="dxa"/>
                <w:shd w:val="clear" w:color="auto" w:fill="auto"/>
              </w:tcPr>
              <w:p w:rsidR="00E37C9C" w:rsidRDefault="002F4E6C">
                <w:pPr>
                  <w:tabs>
                    <w:tab w:val="right" w:pos="8838"/>
                  </w:tabs>
                  <w:ind w:left="-74" w:right="-105"/>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4800" w:type="dxa"/>
                <w:shd w:val="clear" w:color="auto" w:fill="auto"/>
              </w:tcPr>
              <w:p w:rsidR="00E37C9C" w:rsidRDefault="002F4E6C">
                <w:pPr>
                  <w:tabs>
                    <w:tab w:val="right" w:pos="8838"/>
                  </w:tabs>
                  <w:ind w:left="-74" w:right="-105"/>
                  <w:rPr>
                    <w:rFonts w:ascii="Palatino Linotype" w:eastAsia="Palatino Linotype" w:hAnsi="Palatino Linotype" w:cs="Palatino Linotype"/>
                  </w:rPr>
                </w:pPr>
                <w:r>
                  <w:rPr>
                    <w:rFonts w:ascii="Palatino Linotype" w:eastAsia="Palatino Linotype" w:hAnsi="Palatino Linotype" w:cs="Palatino Linotype"/>
                  </w:rPr>
                  <w:t>María del Rosario Mejía Ayala</w:t>
                </w:r>
              </w:p>
              <w:p w:rsidR="00E37C9C" w:rsidRDefault="00E37C9C">
                <w:pPr>
                  <w:tabs>
                    <w:tab w:val="right" w:pos="8838"/>
                  </w:tabs>
                  <w:ind w:left="-74" w:right="-105"/>
                  <w:rPr>
                    <w:rFonts w:ascii="Palatino Linotype" w:eastAsia="Palatino Linotype" w:hAnsi="Palatino Linotype" w:cs="Palatino Linotype"/>
                  </w:rPr>
                </w:pPr>
              </w:p>
            </w:tc>
          </w:tr>
        </w:tbl>
        <w:p w:rsidR="00E37C9C" w:rsidRDefault="00E37C9C">
          <w:pPr>
            <w:tabs>
              <w:tab w:val="right" w:pos="8838"/>
            </w:tabs>
            <w:ind w:left="-28"/>
            <w:jc w:val="both"/>
            <w:rPr>
              <w:rFonts w:ascii="Arial" w:eastAsia="Arial" w:hAnsi="Arial" w:cs="Arial"/>
              <w:b/>
              <w:bCs/>
              <w:sz w:val="22"/>
              <w:szCs w:val="22"/>
            </w:rPr>
          </w:pPr>
        </w:p>
      </w:tc>
    </w:tr>
  </w:tbl>
  <w:p w:rsidR="00E37C9C" w:rsidRDefault="003701F2">
    <w:pPr>
      <w:pBdr>
        <w:top w:val="nil"/>
        <w:left w:val="nil"/>
        <w:bottom w:val="nil"/>
        <w:right w:val="nil"/>
        <w:between w:val="nil"/>
      </w:pBdr>
      <w:tabs>
        <w:tab w:val="center" w:pos="4419"/>
        <w:tab w:val="right" w:pos="8838"/>
      </w:tabs>
      <w:rPr>
        <w:color w:val="000000"/>
        <w:sz w:val="2"/>
        <w:szCs w:val="2"/>
      </w:rPr>
    </w:pPr>
    <w:r>
      <w:rPr>
        <w:color w:val="000000"/>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68.8pt;margin-top:-117.6pt;width:589.8pt;height:768pt;z-index:-251658752;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B164AB"/>
    <w:multiLevelType w:val="multilevel"/>
    <w:tmpl w:val="6B46FE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6003964"/>
    <w:multiLevelType w:val="multilevel"/>
    <w:tmpl w:val="DC429266"/>
    <w:lvl w:ilvl="0">
      <w:start w:val="1"/>
      <w:numFmt w:val="upperRoman"/>
      <w:lvlText w:val="%1."/>
      <w:lvlJc w:val="left"/>
      <w:pPr>
        <w:ind w:left="1430" w:hanging="72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2" w15:restartNumberingAfterBreak="0">
    <w:nsid w:val="32B45CF1"/>
    <w:multiLevelType w:val="multilevel"/>
    <w:tmpl w:val="A7469254"/>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3" w15:restartNumberingAfterBreak="0">
    <w:nsid w:val="519046AE"/>
    <w:multiLevelType w:val="multilevel"/>
    <w:tmpl w:val="9C8415EE"/>
    <w:lvl w:ilvl="0">
      <w:start w:val="1"/>
      <w:numFmt w:val="decimal"/>
      <w:lvlText w:val="%1."/>
      <w:lvlJc w:val="left"/>
      <w:pPr>
        <w:ind w:left="360"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rPr>
        <w:sz w:val="22"/>
        <w:szCs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5C3733D"/>
    <w:multiLevelType w:val="multilevel"/>
    <w:tmpl w:val="8812C168"/>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5" w15:restartNumberingAfterBreak="0">
    <w:nsid w:val="55ED3212"/>
    <w:multiLevelType w:val="multilevel"/>
    <w:tmpl w:val="16E24B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60A451B3"/>
    <w:multiLevelType w:val="multilevel"/>
    <w:tmpl w:val="2CAC30C2"/>
    <w:lvl w:ilvl="0">
      <w:start w:val="1"/>
      <w:numFmt w:val="low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5"/>
  </w:num>
  <w:num w:numId="3">
    <w:abstractNumId w:val="3"/>
  </w:num>
  <w:num w:numId="4">
    <w:abstractNumId w:val="4"/>
  </w:num>
  <w:num w:numId="5">
    <w:abstractNumId w:val="2"/>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TrueTypeFonts/>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7C9C"/>
    <w:rsid w:val="001E31C4"/>
    <w:rsid w:val="002F3A3E"/>
    <w:rsid w:val="002F4E6C"/>
    <w:rsid w:val="00342D3A"/>
    <w:rsid w:val="003701F2"/>
    <w:rsid w:val="006104C5"/>
    <w:rsid w:val="006105AC"/>
    <w:rsid w:val="00821CFA"/>
    <w:rsid w:val="008D3D7A"/>
    <w:rsid w:val="00BA3B1F"/>
    <w:rsid w:val="00E37C9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6655011A-D52B-4448-B2C6-EC0E137B7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rFonts w:ascii="Calibri" w:eastAsia="Calibri" w:hAnsi="Calibri" w:cs="Calibri"/>
      <w:color w:val="2E75B5"/>
      <w:sz w:val="32"/>
      <w:szCs w:val="32"/>
    </w:rPr>
  </w:style>
  <w:style w:type="paragraph" w:styleId="Ttulo2">
    <w:name w:val="heading 2"/>
    <w:basedOn w:val="Normal"/>
    <w:next w:val="Normal"/>
    <w:pPr>
      <w:keepNext/>
      <w:keepLines/>
      <w:spacing w:before="360" w:after="80"/>
      <w:outlineLvl w:val="1"/>
    </w:pPr>
    <w:rPr>
      <w:b/>
      <w:bCs/>
      <w:sz w:val="36"/>
      <w:szCs w:val="36"/>
    </w:rPr>
  </w:style>
  <w:style w:type="paragraph" w:styleId="Ttulo3">
    <w:name w:val="heading 3"/>
    <w:basedOn w:val="Normal"/>
    <w:next w:val="Normal"/>
    <w:pPr>
      <w:keepNext/>
      <w:keepLines/>
      <w:spacing w:before="40"/>
      <w:outlineLvl w:val="2"/>
    </w:pPr>
    <w:rPr>
      <w:rFonts w:ascii="Calibri" w:eastAsia="Calibri" w:hAnsi="Calibri" w:cs="Calibri"/>
      <w:color w:val="1E4D7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table" w:customStyle="1" w:styleId="a3">
    <w:basedOn w:val="TableNormal"/>
    <w:tblPr>
      <w:tblStyleRowBandSize w:val="1"/>
      <w:tblStyleColBandSize w:val="1"/>
      <w:tblCellMar>
        <w:top w:w="0" w:type="dxa"/>
        <w:left w:w="115" w:type="dxa"/>
        <w:bottom w:w="0" w:type="dxa"/>
        <w:right w:w="115" w:type="dxa"/>
      </w:tblCellMar>
    </w:tblPr>
  </w:style>
  <w:style w:type="paragraph" w:styleId="Piedepgina">
    <w:name w:val="footer"/>
    <w:basedOn w:val="Normal"/>
    <w:link w:val="PiedepginaCar"/>
    <w:uiPriority w:val="99"/>
    <w:unhideWhenUsed/>
    <w:rsid w:val="00BA3B1F"/>
    <w:pPr>
      <w:tabs>
        <w:tab w:val="center" w:pos="4419"/>
        <w:tab w:val="right" w:pos="8838"/>
      </w:tabs>
    </w:pPr>
  </w:style>
  <w:style w:type="character" w:customStyle="1" w:styleId="PiedepginaCar">
    <w:name w:val="Pie de página Car"/>
    <w:basedOn w:val="Fuentedeprrafopredeter"/>
    <w:link w:val="Piedepgina"/>
    <w:uiPriority w:val="99"/>
    <w:rsid w:val="00BA3B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imex.org.mx/saimex/solicitud/downloadAttach/2712492.page"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saimex.org.mx/saimex/solicitud/downloadAttach/2712494.page" TargetMode="External"/><Relationship Id="rId4" Type="http://schemas.openxmlformats.org/officeDocument/2006/relationships/settings" Target="settings.xml"/><Relationship Id="rId9" Type="http://schemas.openxmlformats.org/officeDocument/2006/relationships/hyperlink" Target="https://saimex.org.mx/saimex/solicitud/downloadAttach/2712493.page" TargetMode="Externa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j5Q0lFv7GM2SWgeKviinA+843Nw==">CgMxLjAyDmguYmswZnM4eXprN3RtMg5oLnF6ejJvdTlyNG16dTIOaC5qcmJycHgybzJ0MXEyDmgueTloejlqYWZqZ29nMg5oLnpkaW91N3g5bjBqbTIOaC5pajBmNDdzZWd6cmYyDmgudm8zeDF4Zm1jOWVxMg5oLnBnM3d2bmpoNTc5MjIOaC53dm81bGU3eGc2dm44AHIhMTVMQV9TekZPVVM0ZzhSN190azcxcWpGUWI2UXVid1o0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32</Pages>
  <Words>7648</Words>
  <Characters>42068</Characters>
  <Application>Microsoft Office Word</Application>
  <DocSecurity>0</DocSecurity>
  <Lines>350</Lines>
  <Paragraphs>99</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49617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INFOEM574</dc:creator>
  <cp:lastModifiedBy>Cuenta Microsoft</cp:lastModifiedBy>
  <cp:revision>7</cp:revision>
  <cp:lastPrinted>2026-06-12T17:04:00Z</cp:lastPrinted>
  <dcterms:created xsi:type="dcterms:W3CDTF">2026-06-10T19:09:00Z</dcterms:created>
  <dcterms:modified xsi:type="dcterms:W3CDTF">2026-06-16T19:37:00Z</dcterms:modified>
</cp:coreProperties>
</file>