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BD9" w:rsidRPr="00D67F22" w:rsidRDefault="009171EA">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R</w:t>
      </w:r>
      <w:bookmarkStart w:id="0" w:name="_GoBack"/>
      <w:bookmarkEnd w:id="0"/>
      <w:r w:rsidRPr="00D67F22">
        <w:rPr>
          <w:rFonts w:ascii="Palatino Linotype" w:eastAsia="Palatino Linotype" w:hAnsi="Palatino Linotype" w:cs="Palatino Linotype"/>
          <w:color w:val="000000"/>
        </w:rPr>
        <w:t xml:space="preserve">esolución del Pleno del Instituto de Transparencia, Acceso a la Información Pública y Protección de Datos Personales del Estado de México y Municipios, con domicilio en Metepec, Estado de México; </w:t>
      </w:r>
      <w:r w:rsidRPr="00D67F22">
        <w:rPr>
          <w:rFonts w:ascii="Palatino Linotype" w:eastAsia="Palatino Linotype" w:hAnsi="Palatino Linotype" w:cs="Palatino Linotype"/>
          <w:b/>
          <w:color w:val="000000"/>
        </w:rPr>
        <w:t>de fecha veinticinco</w:t>
      </w:r>
      <w:r w:rsidR="00D67F22" w:rsidRPr="00D67F22">
        <w:rPr>
          <w:rFonts w:ascii="Palatino Linotype" w:eastAsia="Palatino Linotype" w:hAnsi="Palatino Linotype" w:cs="Palatino Linotype"/>
          <w:b/>
          <w:color w:val="000000"/>
        </w:rPr>
        <w:t xml:space="preserve"> (25)</w:t>
      </w:r>
      <w:r w:rsidRPr="00D67F22">
        <w:rPr>
          <w:rFonts w:ascii="Palatino Linotype" w:eastAsia="Palatino Linotype" w:hAnsi="Palatino Linotype" w:cs="Palatino Linotype"/>
          <w:b/>
          <w:color w:val="000000"/>
        </w:rPr>
        <w:t xml:space="preserve"> de</w:t>
      </w:r>
      <w:r w:rsidR="00D67F22" w:rsidRPr="00D67F22">
        <w:rPr>
          <w:rFonts w:ascii="Palatino Linotype" w:eastAsia="Palatino Linotype" w:hAnsi="Palatino Linotype" w:cs="Palatino Linotype"/>
          <w:b/>
          <w:color w:val="000000"/>
        </w:rPr>
        <w:t xml:space="preserve"> febrero de dos mil veintiséis</w:t>
      </w:r>
      <w:r w:rsidR="00D67F22">
        <w:rPr>
          <w:rFonts w:ascii="Palatino Linotype" w:eastAsia="Palatino Linotype" w:hAnsi="Palatino Linotype" w:cs="Palatino Linotype"/>
          <w:color w:val="000000"/>
        </w:rPr>
        <w:t>.</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5BD9" w:rsidRPr="00D67F22" w:rsidRDefault="009171EA">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1" w:name="_heading=h.gjdgxs" w:colFirst="0" w:colLast="0"/>
      <w:bookmarkEnd w:id="1"/>
      <w:r w:rsidRPr="00D67F22">
        <w:rPr>
          <w:rFonts w:ascii="Palatino Linotype" w:eastAsia="Palatino Linotype" w:hAnsi="Palatino Linotype" w:cs="Palatino Linotype"/>
          <w:b/>
          <w:bCs/>
          <w:color w:val="000000"/>
        </w:rPr>
        <w:t>VISTO</w:t>
      </w:r>
      <w:r w:rsidRPr="00D67F22">
        <w:rPr>
          <w:rFonts w:ascii="Palatino Linotype" w:eastAsia="Palatino Linotype" w:hAnsi="Palatino Linotype" w:cs="Palatino Linotype"/>
          <w:color w:val="000000"/>
        </w:rPr>
        <w:t xml:space="preserve"> el expediente electrónico formado con motivo   del Recursos de Revisión </w:t>
      </w:r>
      <w:r w:rsidRPr="00D67F22">
        <w:rPr>
          <w:rFonts w:ascii="Palatino Linotype" w:eastAsia="Palatino Linotype" w:hAnsi="Palatino Linotype" w:cs="Palatino Linotype"/>
          <w:b/>
          <w:bCs/>
          <w:color w:val="000000"/>
        </w:rPr>
        <w:t xml:space="preserve">07493/INFOEM/IP/RR/2025 </w:t>
      </w:r>
      <w:r w:rsidRPr="00D67F22">
        <w:rPr>
          <w:rFonts w:ascii="Palatino Linotype" w:eastAsia="Palatino Linotype" w:hAnsi="Palatino Linotype" w:cs="Palatino Linotype"/>
          <w:color w:val="000000"/>
        </w:rPr>
        <w:t xml:space="preserve">promovido por </w:t>
      </w:r>
      <w:r w:rsidRPr="00D67F22">
        <w:rPr>
          <w:rFonts w:ascii="Palatino Linotype" w:eastAsia="Palatino Linotype" w:hAnsi="Palatino Linotype" w:cs="Palatino Linotype"/>
          <w:b/>
          <w:bCs/>
        </w:rPr>
        <w:t>una persona que no proporcionó datos de identificación</w:t>
      </w:r>
      <w:r w:rsidRPr="00D67F22">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D67F22">
        <w:rPr>
          <w:rFonts w:ascii="Palatino Linotype" w:eastAsia="Palatino Linotype" w:hAnsi="Palatino Linotype" w:cs="Palatino Linotype"/>
          <w:b/>
          <w:bCs/>
          <w:color w:val="000000"/>
        </w:rPr>
        <w:t>EL RECURRENTE</w:t>
      </w:r>
      <w:r w:rsidRPr="00D67F22">
        <w:rPr>
          <w:rFonts w:ascii="Palatino Linotype" w:eastAsia="Palatino Linotype" w:hAnsi="Palatino Linotype" w:cs="Palatino Linotype"/>
          <w:color w:val="000000"/>
        </w:rPr>
        <w:t xml:space="preserve">, en contra de las respuestas del </w:t>
      </w:r>
      <w:r w:rsidRPr="00D67F22">
        <w:rPr>
          <w:rFonts w:ascii="Palatino Linotype" w:eastAsia="Palatino Linotype" w:hAnsi="Palatino Linotype" w:cs="Palatino Linotype"/>
          <w:b/>
          <w:bCs/>
          <w:color w:val="000000"/>
        </w:rPr>
        <w:t>Ayuntamiento de Toluca</w:t>
      </w:r>
      <w:r w:rsidR="00D67F22">
        <w:rPr>
          <w:rFonts w:ascii="Palatino Linotype" w:eastAsia="Palatino Linotype" w:hAnsi="Palatino Linotype" w:cs="Palatino Linotype"/>
          <w:b/>
          <w:bCs/>
          <w:color w:val="000000"/>
        </w:rPr>
        <w:t>,</w:t>
      </w:r>
      <w:r w:rsidRPr="00D67F22">
        <w:rPr>
          <w:rFonts w:ascii="Palatino Linotype" w:eastAsia="Palatino Linotype" w:hAnsi="Palatino Linotype" w:cs="Palatino Linotype"/>
          <w:color w:val="000000"/>
        </w:rPr>
        <w:t xml:space="preserve"> en </w:t>
      </w:r>
      <w:r w:rsidRPr="00D67F22">
        <w:rPr>
          <w:rFonts w:ascii="Palatino Linotype" w:eastAsia="Palatino Linotype" w:hAnsi="Palatino Linotype" w:cs="Palatino Linotype"/>
        </w:rPr>
        <w:t>adelante</w:t>
      </w:r>
      <w:r w:rsidRPr="00D67F22">
        <w:rPr>
          <w:rFonts w:ascii="Palatino Linotype" w:eastAsia="Palatino Linotype" w:hAnsi="Palatino Linotype" w:cs="Palatino Linotype"/>
          <w:color w:val="000000"/>
        </w:rPr>
        <w:t xml:space="preserve"> </w:t>
      </w:r>
      <w:r w:rsidRPr="00D67F22">
        <w:rPr>
          <w:rFonts w:ascii="Palatino Linotype" w:eastAsia="Palatino Linotype" w:hAnsi="Palatino Linotype" w:cs="Palatino Linotype"/>
          <w:b/>
          <w:bCs/>
          <w:color w:val="000000"/>
        </w:rPr>
        <w:t>EL SUJETO OBLIGADO</w:t>
      </w:r>
      <w:r w:rsidRPr="00D67F22">
        <w:rPr>
          <w:rFonts w:ascii="Palatino Linotype" w:eastAsia="Palatino Linotype" w:hAnsi="Palatino Linotype" w:cs="Palatino Linotype"/>
          <w:color w:val="000000"/>
        </w:rPr>
        <w:t>, se procede a dictar la presente resolución, con base en los siguientes:</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5BD9" w:rsidRPr="00D67F22" w:rsidRDefault="009171EA">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D67F22">
        <w:rPr>
          <w:rFonts w:ascii="Palatino Linotype" w:eastAsia="Palatino Linotype" w:hAnsi="Palatino Linotype" w:cs="Palatino Linotype"/>
          <w:b/>
          <w:bCs/>
          <w:color w:val="000000"/>
        </w:rPr>
        <w:t>A N T E C E D E N T E S</w:t>
      </w:r>
    </w:p>
    <w:p w:rsidR="00375BD9" w:rsidRPr="00D67F22" w:rsidRDefault="00375BD9">
      <w:pPr>
        <w:spacing w:line="360" w:lineRule="auto"/>
        <w:rPr>
          <w:rFonts w:ascii="Palatino Linotype" w:eastAsia="Palatino Linotype" w:hAnsi="Palatino Linotype" w:cs="Palatino Linotype"/>
        </w:rPr>
      </w:pPr>
    </w:p>
    <w:p w:rsidR="00375BD9" w:rsidRPr="00D67F22" w:rsidRDefault="0091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El </w:t>
      </w:r>
      <w:r w:rsidRPr="00D67F22">
        <w:rPr>
          <w:rFonts w:ascii="Palatino Linotype" w:eastAsia="Palatino Linotype" w:hAnsi="Palatino Linotype" w:cs="Palatino Linotype"/>
          <w:b/>
          <w:bCs/>
          <w:color w:val="000000"/>
        </w:rPr>
        <w:t xml:space="preserve">veintinueve de mayo de dos mil veinticinco, </w:t>
      </w:r>
      <w:r w:rsidRPr="00D67F22">
        <w:rPr>
          <w:rFonts w:ascii="Palatino Linotype" w:eastAsia="Palatino Linotype" w:hAnsi="Palatino Linotype" w:cs="Palatino Linotype"/>
          <w:color w:val="000000"/>
        </w:rPr>
        <w:t xml:space="preserve">el </w:t>
      </w:r>
      <w:r w:rsidRPr="00D67F22">
        <w:rPr>
          <w:rFonts w:ascii="Palatino Linotype" w:eastAsia="Palatino Linotype" w:hAnsi="Palatino Linotype" w:cs="Palatino Linotype"/>
          <w:b/>
          <w:bCs/>
          <w:color w:val="000000"/>
        </w:rPr>
        <w:t>RECURRENTE</w:t>
      </w:r>
      <w:r w:rsidRPr="00D67F22">
        <w:rPr>
          <w:rFonts w:ascii="Palatino Linotype" w:eastAsia="Palatino Linotype" w:hAnsi="Palatino Linotype" w:cs="Palatino Linotype"/>
          <w:color w:val="000000"/>
        </w:rPr>
        <w:t xml:space="preserve"> </w:t>
      </w:r>
      <w:r w:rsidRPr="00D67F22">
        <w:rPr>
          <w:rFonts w:ascii="Palatino Linotype" w:eastAsia="Palatino Linotype" w:hAnsi="Palatino Linotype" w:cs="Palatino Linotype"/>
        </w:rPr>
        <w:t>ingresó</w:t>
      </w:r>
      <w:r w:rsidRPr="00D67F22">
        <w:rPr>
          <w:rFonts w:ascii="Palatino Linotype" w:eastAsia="Palatino Linotype" w:hAnsi="Palatino Linotype" w:cs="Palatino Linotype"/>
          <w:color w:val="000000"/>
        </w:rPr>
        <w:t xml:space="preserve"> la solicitud de información, el Sistema de Acceso a la Información</w:t>
      </w:r>
      <w:r w:rsidRPr="00D67F22">
        <w:rPr>
          <w:rFonts w:ascii="Palatino Linotype" w:eastAsia="Palatino Linotype" w:hAnsi="Palatino Linotype" w:cs="Palatino Linotype"/>
          <w:b/>
          <w:bCs/>
          <w:color w:val="000000"/>
        </w:rPr>
        <w:t xml:space="preserve"> , </w:t>
      </w:r>
      <w:r w:rsidRPr="00D67F22">
        <w:rPr>
          <w:rFonts w:ascii="Palatino Linotype" w:eastAsia="Palatino Linotype" w:hAnsi="Palatino Linotype" w:cs="Palatino Linotype"/>
          <w:color w:val="000000"/>
        </w:rPr>
        <w:t xml:space="preserve">quedando  registrada con el número </w:t>
      </w:r>
      <w:r w:rsidRPr="00D67F22">
        <w:rPr>
          <w:rFonts w:ascii="Palatino Linotype" w:eastAsia="Palatino Linotype" w:hAnsi="Palatino Linotype" w:cs="Palatino Linotype"/>
          <w:b/>
          <w:bCs/>
          <w:color w:val="000000"/>
        </w:rPr>
        <w:t xml:space="preserve">03148/TOLUCA/IP/2025, </w:t>
      </w:r>
      <w:r w:rsidRPr="00D67F22">
        <w:rPr>
          <w:rFonts w:ascii="Palatino Linotype" w:eastAsia="Palatino Linotype" w:hAnsi="Palatino Linotype" w:cs="Palatino Linotype"/>
        </w:rPr>
        <w:t xml:space="preserve">en la que </w:t>
      </w:r>
      <w:r w:rsidRPr="00D67F22">
        <w:rPr>
          <w:rFonts w:ascii="Palatino Linotype" w:eastAsia="Palatino Linotype" w:hAnsi="Palatino Linotype" w:cs="Palatino Linotype"/>
          <w:color w:val="000000"/>
        </w:rPr>
        <w:t>se solicitó la siguiente información:</w:t>
      </w:r>
    </w:p>
    <w:p w:rsidR="00375BD9" w:rsidRPr="00D67F22" w:rsidRDefault="00375BD9">
      <w:pPr>
        <w:jc w:val="both"/>
        <w:rPr>
          <w:rFonts w:ascii="Palatino Linotype" w:eastAsia="Palatino Linotype" w:hAnsi="Palatino Linotype" w:cs="Palatino Linotype"/>
          <w:i/>
          <w:iCs/>
        </w:rPr>
      </w:pP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Solicito de manera detallada, a la Contraloria los resultados de la auditoria del ejercicio presupuestal del año 2021 del municipio de Toluca .”(Sic)</w:t>
      </w:r>
    </w:p>
    <w:p w:rsidR="00375BD9" w:rsidRDefault="00375BD9">
      <w:pPr>
        <w:pBdr>
          <w:top w:val="nil"/>
          <w:left w:val="nil"/>
          <w:bottom w:val="nil"/>
          <w:right w:val="nil"/>
          <w:between w:val="nil"/>
        </w:pBdr>
        <w:spacing w:line="360" w:lineRule="auto"/>
        <w:ind w:left="1134" w:right="1134"/>
        <w:jc w:val="both"/>
        <w:rPr>
          <w:rFonts w:ascii="Palatino Linotype" w:eastAsia="Palatino Linotype" w:hAnsi="Palatino Linotype" w:cs="Palatino Linotype"/>
          <w:i/>
          <w:iCs/>
        </w:rPr>
      </w:pPr>
    </w:p>
    <w:p w:rsidR="00D67F22" w:rsidRPr="00D67F22" w:rsidRDefault="00D67F22">
      <w:pPr>
        <w:pBdr>
          <w:top w:val="nil"/>
          <w:left w:val="nil"/>
          <w:bottom w:val="nil"/>
          <w:right w:val="nil"/>
          <w:between w:val="nil"/>
        </w:pBdr>
        <w:spacing w:line="360" w:lineRule="auto"/>
        <w:ind w:left="1134" w:right="1134"/>
        <w:jc w:val="both"/>
        <w:rPr>
          <w:rFonts w:ascii="Palatino Linotype" w:eastAsia="Palatino Linotype" w:hAnsi="Palatino Linotype" w:cs="Palatino Linotype"/>
          <w:i/>
          <w:iCs/>
        </w:rPr>
      </w:pPr>
    </w:p>
    <w:p w:rsidR="00375BD9" w:rsidRPr="00D67F22" w:rsidRDefault="009171EA" w:rsidP="00D67F22">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b/>
          <w:bCs/>
          <w:color w:val="000000"/>
        </w:rPr>
        <w:t>Modalidad de entrega</w:t>
      </w:r>
      <w:r w:rsidRPr="00D67F22">
        <w:rPr>
          <w:rFonts w:ascii="Palatino Linotype" w:eastAsia="Palatino Linotype" w:hAnsi="Palatino Linotype" w:cs="Palatino Linotype"/>
          <w:color w:val="000000"/>
        </w:rPr>
        <w:t>: Sistema de Acceso a la Información (SAIMEX)</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5BD9" w:rsidRPr="00D67F22" w:rsidRDefault="0091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lastRenderedPageBreak/>
        <w:t xml:space="preserve">El </w:t>
      </w:r>
      <w:r w:rsidRPr="00D67F22">
        <w:rPr>
          <w:rFonts w:ascii="Palatino Linotype" w:eastAsia="Palatino Linotype" w:hAnsi="Palatino Linotype" w:cs="Palatino Linotype"/>
          <w:b/>
          <w:bCs/>
          <w:color w:val="000000"/>
        </w:rPr>
        <w:t xml:space="preserve">diecinueve de junio de dos mil veinticinco, </w:t>
      </w:r>
      <w:r w:rsidRPr="00D67F22">
        <w:rPr>
          <w:rFonts w:ascii="Palatino Linotype" w:eastAsia="Palatino Linotype" w:hAnsi="Palatino Linotype" w:cs="Palatino Linotype"/>
          <w:color w:val="000000"/>
        </w:rPr>
        <w:t xml:space="preserve">el </w:t>
      </w:r>
      <w:r w:rsidRPr="00D67F22">
        <w:rPr>
          <w:rFonts w:ascii="Palatino Linotype" w:eastAsia="Palatino Linotype" w:hAnsi="Palatino Linotype" w:cs="Palatino Linotype"/>
          <w:b/>
          <w:bCs/>
          <w:color w:val="000000"/>
        </w:rPr>
        <w:t xml:space="preserve">SUJETO OBLIGADO </w:t>
      </w:r>
      <w:r w:rsidRPr="00D67F22">
        <w:rPr>
          <w:rFonts w:ascii="Palatino Linotype" w:eastAsia="Palatino Linotype" w:hAnsi="Palatino Linotype" w:cs="Palatino Linotype"/>
          <w:color w:val="000000"/>
        </w:rPr>
        <w:t>dio respuesta por medio de un archivo electrónico en formato pdf, de cuyo contenido se desprende lo siguiente:</w:t>
      </w:r>
    </w:p>
    <w:p w:rsidR="00375BD9" w:rsidRPr="00D67F22" w:rsidRDefault="009171EA">
      <w:pPr>
        <w:pBdr>
          <w:top w:val="nil"/>
          <w:left w:val="nil"/>
          <w:bottom w:val="nil"/>
          <w:right w:val="nil"/>
          <w:between w:val="nil"/>
        </w:pBdr>
        <w:ind w:left="720" w:right="1134"/>
        <w:jc w:val="both"/>
        <w:rPr>
          <w:rFonts w:ascii="Palatino Linotype" w:eastAsia="Palatino Linotype" w:hAnsi="Palatino Linotype" w:cs="Palatino Linotype"/>
          <w:b/>
          <w:bCs/>
          <w:i/>
          <w:iCs/>
          <w:color w:val="000000"/>
        </w:rPr>
      </w:pPr>
      <w:r w:rsidRPr="00D67F22">
        <w:rPr>
          <w:rFonts w:ascii="Palatino Linotype" w:eastAsia="Palatino Linotype" w:hAnsi="Palatino Linotype" w:cs="Palatino Linotype"/>
          <w:b/>
          <w:bCs/>
          <w:i/>
          <w:iCs/>
          <w:color w:val="000000"/>
        </w:rPr>
        <w:t xml:space="preserve">2025-OFI-2298-SMX-3148.pdf </w:t>
      </w:r>
      <w:r w:rsidRPr="00D67F22">
        <w:rPr>
          <w:rFonts w:ascii="Palatino Linotype" w:eastAsia="Palatino Linotype" w:hAnsi="Palatino Linotype" w:cs="Palatino Linotype"/>
          <w:i/>
          <w:iCs/>
          <w:color w:val="000000"/>
        </w:rPr>
        <w:t xml:space="preserve">Donde el Director de </w:t>
      </w:r>
      <w:r w:rsidRPr="00D67F22">
        <w:rPr>
          <w:rFonts w:ascii="Palatino Linotype" w:eastAsia="Palatino Linotype" w:hAnsi="Palatino Linotype" w:cs="Palatino Linotype"/>
          <w:i/>
          <w:iCs/>
        </w:rPr>
        <w:t>Auditoría</w:t>
      </w:r>
      <w:r w:rsidRPr="00D67F22">
        <w:rPr>
          <w:rFonts w:ascii="Palatino Linotype" w:eastAsia="Palatino Linotype" w:hAnsi="Palatino Linotype" w:cs="Palatino Linotype"/>
          <w:i/>
          <w:iCs/>
          <w:color w:val="000000"/>
        </w:rPr>
        <w:t xml:space="preserve"> requiere al solicitante a fin de que aclare el tipo y área auditada a fin de no vulnerar derechos de personas mencionadas en los expedientes.</w:t>
      </w:r>
    </w:p>
    <w:p w:rsidR="00375BD9" w:rsidRPr="00D67F22" w:rsidRDefault="00375BD9">
      <w:pPr>
        <w:pBdr>
          <w:top w:val="nil"/>
          <w:left w:val="nil"/>
          <w:bottom w:val="nil"/>
          <w:right w:val="nil"/>
          <w:between w:val="nil"/>
        </w:pBdr>
        <w:ind w:left="720"/>
        <w:jc w:val="both"/>
        <w:rPr>
          <w:rFonts w:ascii="Palatino Linotype" w:eastAsia="Palatino Linotype" w:hAnsi="Palatino Linotype" w:cs="Palatino Linotype"/>
          <w:b/>
          <w:bCs/>
          <w:i/>
          <w:iCs/>
          <w:color w:val="000000"/>
        </w:rPr>
      </w:pPr>
    </w:p>
    <w:p w:rsidR="00375BD9" w:rsidRPr="00D67F22" w:rsidRDefault="009171EA">
      <w:pPr>
        <w:numPr>
          <w:ilvl w:val="0"/>
          <w:numId w:val="3"/>
        </w:numPr>
        <w:pBdr>
          <w:top w:val="nil"/>
          <w:left w:val="nil"/>
          <w:bottom w:val="nil"/>
          <w:right w:val="nil"/>
          <w:between w:val="nil"/>
        </w:pBdr>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El </w:t>
      </w:r>
      <w:r w:rsidRPr="00D67F22">
        <w:rPr>
          <w:rFonts w:ascii="Palatino Linotype" w:eastAsia="Palatino Linotype" w:hAnsi="Palatino Linotype" w:cs="Palatino Linotype"/>
          <w:b/>
          <w:bCs/>
          <w:color w:val="000000"/>
        </w:rPr>
        <w:t>diecinueve de junio de dos mil veinticinco</w:t>
      </w:r>
      <w:r w:rsidRPr="00D67F22">
        <w:rPr>
          <w:rFonts w:ascii="Palatino Linotype" w:eastAsia="Palatino Linotype" w:hAnsi="Palatino Linotype" w:cs="Palatino Linotype"/>
          <w:color w:val="000000"/>
        </w:rPr>
        <w:t xml:space="preserve">, el </w:t>
      </w:r>
      <w:r w:rsidRPr="00D67F22">
        <w:rPr>
          <w:rFonts w:ascii="Palatino Linotype" w:eastAsia="Palatino Linotype" w:hAnsi="Palatino Linotype" w:cs="Palatino Linotype"/>
          <w:b/>
          <w:bCs/>
          <w:color w:val="000000"/>
        </w:rPr>
        <w:t>RECURRENTE</w:t>
      </w:r>
      <w:r w:rsidRPr="00D67F22">
        <w:rPr>
          <w:rFonts w:ascii="Palatino Linotype" w:eastAsia="Palatino Linotype" w:hAnsi="Palatino Linotype" w:cs="Palatino Linotype"/>
          <w:color w:val="000000"/>
        </w:rPr>
        <w:t xml:space="preserve"> interpuso recurso de revisión en contra de la respuestas emitida por el </w:t>
      </w:r>
      <w:r w:rsidRPr="00D67F22">
        <w:rPr>
          <w:rFonts w:ascii="Palatino Linotype" w:eastAsia="Palatino Linotype" w:hAnsi="Palatino Linotype" w:cs="Palatino Linotype"/>
          <w:b/>
          <w:bCs/>
          <w:color w:val="000000"/>
        </w:rPr>
        <w:t>SUJETO OBLIGADO</w:t>
      </w:r>
      <w:r w:rsidRPr="00D67F22">
        <w:rPr>
          <w:rFonts w:ascii="Palatino Linotype" w:eastAsia="Palatino Linotype" w:hAnsi="Palatino Linotype" w:cs="Palatino Linotype"/>
          <w:color w:val="000000"/>
        </w:rPr>
        <w:t>, señalando las siguientes razones o motivos de inconformidad:</w:t>
      </w:r>
    </w:p>
    <w:p w:rsidR="00375BD9" w:rsidRPr="00D67F22" w:rsidRDefault="00375BD9">
      <w:pPr>
        <w:jc w:val="both"/>
        <w:rPr>
          <w:rFonts w:ascii="Palatino Linotype" w:eastAsia="Palatino Linotype" w:hAnsi="Palatino Linotype" w:cs="Palatino Linotype"/>
          <w:color w:val="000000"/>
        </w:rPr>
      </w:pPr>
    </w:p>
    <w:p w:rsidR="00375BD9" w:rsidRPr="00D67F22" w:rsidRDefault="009171EA" w:rsidP="00D67F22">
      <w:pPr>
        <w:pStyle w:val="Prrafodelista"/>
        <w:numPr>
          <w:ilvl w:val="0"/>
          <w:numId w:val="13"/>
        </w:numPr>
        <w:ind w:right="1134"/>
        <w:jc w:val="both"/>
        <w:rPr>
          <w:rFonts w:ascii="Palatino Linotype" w:eastAsia="Palatino Linotype" w:hAnsi="Palatino Linotype" w:cs="Palatino Linotype"/>
          <w:i/>
          <w:iCs/>
        </w:rPr>
      </w:pPr>
      <w:bookmarkStart w:id="2" w:name="_heading=h.1fob9te" w:colFirst="0" w:colLast="0"/>
      <w:bookmarkEnd w:id="2"/>
      <w:r w:rsidRPr="00D67F22">
        <w:rPr>
          <w:rFonts w:ascii="Palatino Linotype" w:eastAsia="Palatino Linotype" w:hAnsi="Palatino Linotype" w:cs="Palatino Linotype"/>
          <w:b/>
          <w:bCs/>
          <w:color w:val="000000"/>
        </w:rPr>
        <w:t xml:space="preserve">ACTO IMPUGNADO: </w:t>
      </w:r>
      <w:r w:rsidRPr="00D67F22">
        <w:rPr>
          <w:rFonts w:ascii="Palatino Linotype" w:eastAsia="Palatino Linotype" w:hAnsi="Palatino Linotype" w:cs="Palatino Linotype"/>
          <w:i/>
          <w:iCs/>
          <w:color w:val="000000"/>
        </w:rPr>
        <w:t>“No entrega la informaicón que por que conlleva a un riesgo que estan ocultando la informaicón es pública por ley y se debe entregar</w:t>
      </w:r>
      <w:r w:rsidRPr="00D67F22">
        <w:rPr>
          <w:rFonts w:ascii="Palatino Linotype" w:eastAsia="Palatino Linotype" w:hAnsi="Palatino Linotype" w:cs="Palatino Linotype"/>
          <w:i/>
          <w:iCs/>
        </w:rPr>
        <w:t>”(Sic.)</w:t>
      </w:r>
    </w:p>
    <w:p w:rsidR="00375BD9" w:rsidRPr="00D67F22" w:rsidRDefault="00375BD9" w:rsidP="00D67F22">
      <w:pPr>
        <w:pBdr>
          <w:top w:val="nil"/>
          <w:left w:val="nil"/>
          <w:bottom w:val="nil"/>
          <w:right w:val="nil"/>
          <w:between w:val="nil"/>
        </w:pBdr>
        <w:ind w:right="1134"/>
        <w:jc w:val="both"/>
        <w:rPr>
          <w:rFonts w:ascii="Palatino Linotype" w:eastAsia="Palatino Linotype" w:hAnsi="Palatino Linotype" w:cs="Palatino Linotype"/>
          <w:color w:val="000000"/>
        </w:rPr>
      </w:pPr>
    </w:p>
    <w:p w:rsidR="00375BD9" w:rsidRPr="00D67F22" w:rsidRDefault="00375BD9" w:rsidP="00D67F22">
      <w:pPr>
        <w:pBdr>
          <w:top w:val="nil"/>
          <w:left w:val="nil"/>
          <w:bottom w:val="nil"/>
          <w:right w:val="nil"/>
          <w:between w:val="nil"/>
        </w:pBdr>
        <w:ind w:right="1134"/>
        <w:jc w:val="both"/>
        <w:rPr>
          <w:rFonts w:ascii="Palatino Linotype" w:eastAsia="Palatino Linotype" w:hAnsi="Palatino Linotype" w:cs="Palatino Linotype"/>
          <w:color w:val="000000"/>
        </w:rPr>
      </w:pPr>
    </w:p>
    <w:p w:rsidR="00375BD9" w:rsidRPr="00D67F22" w:rsidRDefault="009171EA" w:rsidP="00D67F22">
      <w:pPr>
        <w:pStyle w:val="Prrafodelista"/>
        <w:numPr>
          <w:ilvl w:val="0"/>
          <w:numId w:val="13"/>
        </w:numPr>
        <w:ind w:right="1134"/>
        <w:jc w:val="both"/>
        <w:rPr>
          <w:rFonts w:ascii="Palatino Linotype" w:eastAsia="Palatino Linotype" w:hAnsi="Palatino Linotype" w:cs="Palatino Linotype"/>
          <w:i/>
          <w:iCs/>
        </w:rPr>
      </w:pPr>
      <w:bookmarkStart w:id="3" w:name="_heading=h.3znysh7" w:colFirst="0" w:colLast="0"/>
      <w:bookmarkEnd w:id="3"/>
      <w:r w:rsidRPr="00D67F22">
        <w:rPr>
          <w:rFonts w:ascii="Palatino Linotype" w:eastAsia="Palatino Linotype" w:hAnsi="Palatino Linotype" w:cs="Palatino Linotype"/>
          <w:b/>
          <w:bCs/>
          <w:color w:val="000000"/>
        </w:rPr>
        <w:t xml:space="preserve">RAZONES O MOTIVOS DE INCONFORMIDAD: </w:t>
      </w:r>
      <w:r w:rsidRPr="00D67F22">
        <w:rPr>
          <w:rFonts w:ascii="Palatino Linotype" w:eastAsia="Palatino Linotype" w:hAnsi="Palatino Linotype" w:cs="Palatino Linotype"/>
          <w:i/>
          <w:iCs/>
          <w:color w:val="000000"/>
        </w:rPr>
        <w:t>“</w:t>
      </w:r>
      <w:r w:rsidRPr="00D67F22">
        <w:rPr>
          <w:rFonts w:ascii="Palatino Linotype" w:eastAsia="Palatino Linotype" w:hAnsi="Palatino Linotype" w:cs="Palatino Linotype"/>
          <w:i/>
          <w:iCs/>
        </w:rPr>
        <w:t>se solicita se entregue la iformación completa y no se oculte que se garantice el derecho de acceso y no sean opacos es público”(Sic).</w:t>
      </w:r>
    </w:p>
    <w:p w:rsidR="00375BD9" w:rsidRPr="00D67F22" w:rsidRDefault="00375BD9">
      <w:pPr>
        <w:pBdr>
          <w:top w:val="nil"/>
          <w:left w:val="nil"/>
          <w:bottom w:val="nil"/>
          <w:right w:val="nil"/>
          <w:between w:val="nil"/>
        </w:pBdr>
        <w:ind w:left="1134" w:right="1134"/>
        <w:jc w:val="both"/>
        <w:rPr>
          <w:rFonts w:ascii="Palatino Linotype" w:eastAsia="Palatino Linotype" w:hAnsi="Palatino Linotype" w:cs="Palatino Linotype"/>
          <w:color w:val="000000"/>
        </w:rPr>
      </w:pPr>
    </w:p>
    <w:p w:rsidR="00375BD9" w:rsidRPr="00D67F22" w:rsidRDefault="00375BD9">
      <w:pPr>
        <w:jc w:val="both"/>
        <w:rPr>
          <w:rFonts w:ascii="Palatino Linotype" w:eastAsia="Palatino Linotype" w:hAnsi="Palatino Linotype" w:cs="Palatino Linotype"/>
          <w:b/>
          <w:bCs/>
          <w:i/>
          <w:iCs/>
          <w:color w:val="000000"/>
        </w:rPr>
      </w:pPr>
    </w:p>
    <w:p w:rsidR="00375BD9" w:rsidRPr="00D67F22" w:rsidRDefault="0091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Consecutivamente</w:t>
      </w:r>
      <w:r w:rsidRPr="00D67F22">
        <w:rPr>
          <w:rFonts w:ascii="Palatino Linotype" w:eastAsia="Palatino Linotype" w:hAnsi="Palatino Linotype" w:cs="Palatino Linotype"/>
          <w:i/>
          <w:iCs/>
          <w:color w:val="000000"/>
        </w:rPr>
        <w:t xml:space="preserve">, </w:t>
      </w:r>
      <w:r w:rsidRPr="00D67F22">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D67F22">
        <w:rPr>
          <w:rFonts w:ascii="Palatino Linotype" w:eastAsia="Palatino Linotype" w:hAnsi="Palatino Linotype" w:cs="Palatino Linotype"/>
          <w:b/>
          <w:bCs/>
          <w:color w:val="000000"/>
        </w:rPr>
        <w:t>Comisionada</w:t>
      </w:r>
      <w:r w:rsidRPr="00D67F22">
        <w:rPr>
          <w:rFonts w:ascii="Palatino Linotype" w:eastAsia="Palatino Linotype" w:hAnsi="Palatino Linotype" w:cs="Palatino Linotype"/>
          <w:color w:val="000000"/>
        </w:rPr>
        <w:t xml:space="preserve"> </w:t>
      </w:r>
      <w:r w:rsidRPr="00D67F22">
        <w:rPr>
          <w:rFonts w:ascii="Palatino Linotype" w:eastAsia="Palatino Linotype" w:hAnsi="Palatino Linotype" w:cs="Palatino Linotype"/>
          <w:b/>
          <w:bCs/>
          <w:color w:val="000000"/>
        </w:rPr>
        <w:t>María del Rosario Mejía Ayala</w:t>
      </w:r>
      <w:r w:rsidRPr="00D67F22">
        <w:rPr>
          <w:rFonts w:ascii="Palatino Linotype" w:eastAsia="Palatino Linotype" w:hAnsi="Palatino Linotype" w:cs="Palatino Linotype"/>
          <w:color w:val="000000"/>
        </w:rPr>
        <w:t>,</w:t>
      </w:r>
      <w:r w:rsidRPr="00D67F22">
        <w:rPr>
          <w:rFonts w:ascii="Palatino Linotype" w:eastAsia="Palatino Linotype" w:hAnsi="Palatino Linotype" w:cs="Palatino Linotype"/>
          <w:b/>
          <w:bCs/>
          <w:color w:val="000000"/>
        </w:rPr>
        <w:t xml:space="preserve"> </w:t>
      </w:r>
      <w:r w:rsidR="00D67F22">
        <w:rPr>
          <w:rFonts w:ascii="Palatino Linotype" w:eastAsia="Palatino Linotype" w:hAnsi="Palatino Linotype" w:cs="Palatino Linotype"/>
          <w:color w:val="000000"/>
        </w:rPr>
        <w:t>para</w:t>
      </w:r>
      <w:r w:rsidRPr="00D67F22">
        <w:rPr>
          <w:rFonts w:ascii="Palatino Linotype" w:eastAsia="Palatino Linotype" w:hAnsi="Palatino Linotype" w:cs="Palatino Linotype"/>
          <w:color w:val="000000"/>
        </w:rPr>
        <w:t xml:space="preserve"> su análisis.</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5BD9" w:rsidRPr="00D67F22" w:rsidRDefault="00D67F2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9171EA" w:rsidRPr="00D67F22">
        <w:rPr>
          <w:rFonts w:ascii="Palatino Linotype" w:eastAsia="Palatino Linotype" w:hAnsi="Palatino Linotype" w:cs="Palatino Linotype"/>
          <w:color w:val="000000"/>
        </w:rPr>
        <w:t xml:space="preserve">onente con fundamento en lo dispuesto por el artículo 185 fracción II de la ley de la materia, a través del </w:t>
      </w:r>
      <w:r w:rsidR="009171EA" w:rsidRPr="00D67F22">
        <w:rPr>
          <w:rFonts w:ascii="Palatino Linotype" w:eastAsia="Palatino Linotype" w:hAnsi="Palatino Linotype" w:cs="Palatino Linotype"/>
          <w:b/>
          <w:bCs/>
          <w:color w:val="000000"/>
        </w:rPr>
        <w:t xml:space="preserve">acuerdo de admisión </w:t>
      </w:r>
      <w:r w:rsidR="009171EA" w:rsidRPr="00D67F22">
        <w:rPr>
          <w:rFonts w:ascii="Palatino Linotype" w:eastAsia="Palatino Linotype" w:hAnsi="Palatino Linotype" w:cs="Palatino Linotype"/>
          <w:color w:val="000000"/>
        </w:rPr>
        <w:t xml:space="preserve">del </w:t>
      </w:r>
      <w:r w:rsidR="009171EA" w:rsidRPr="00D67F22">
        <w:rPr>
          <w:rFonts w:ascii="Palatino Linotype" w:eastAsia="Palatino Linotype" w:hAnsi="Palatino Linotype" w:cs="Palatino Linotype"/>
          <w:b/>
          <w:bCs/>
          <w:color w:val="000000"/>
        </w:rPr>
        <w:t xml:space="preserve">veinte de junio de dos mil veinticinco, </w:t>
      </w:r>
      <w:r w:rsidR="009171EA" w:rsidRPr="00D67F22">
        <w:rPr>
          <w:rFonts w:ascii="Palatino Linotype" w:eastAsia="Palatino Linotype" w:hAnsi="Palatino Linotype" w:cs="Palatino Linotype"/>
          <w:color w:val="000000"/>
        </w:rPr>
        <w:t xml:space="preserve">puso a disposición de las partes el expediente electrónico vía SAIMEX a efecto </w:t>
      </w:r>
      <w:r w:rsidR="009171EA" w:rsidRPr="00D67F22">
        <w:rPr>
          <w:rFonts w:ascii="Palatino Linotype" w:eastAsia="Palatino Linotype" w:hAnsi="Palatino Linotype" w:cs="Palatino Linotype"/>
          <w:color w:val="000000"/>
        </w:rPr>
        <w:lastRenderedPageBreak/>
        <w:t xml:space="preserve">de que en un plazo máximo de siete días </w:t>
      </w:r>
      <w:r w:rsidR="009171EA" w:rsidRPr="00D67F22">
        <w:rPr>
          <w:rFonts w:ascii="Palatino Linotype" w:eastAsia="Palatino Linotype" w:hAnsi="Palatino Linotype" w:cs="Palatino Linotype"/>
        </w:rPr>
        <w:t>manifestara</w:t>
      </w:r>
      <w:r w:rsidR="009171EA" w:rsidRPr="00D67F22">
        <w:rPr>
          <w:rFonts w:ascii="Palatino Linotype" w:eastAsia="Palatino Linotype" w:hAnsi="Palatino Linotype" w:cs="Palatino Linotype"/>
          <w:color w:val="000000"/>
        </w:rPr>
        <w:t xml:space="preserve"> lo que a su derecho conviniera, </w:t>
      </w:r>
      <w:r w:rsidR="009171EA" w:rsidRPr="00D67F22">
        <w:rPr>
          <w:rFonts w:ascii="Palatino Linotype" w:eastAsia="Palatino Linotype" w:hAnsi="Palatino Linotype" w:cs="Palatino Linotype"/>
        </w:rPr>
        <w:t>ofreciera</w:t>
      </w:r>
      <w:r w:rsidR="009171EA" w:rsidRPr="00D67F22">
        <w:rPr>
          <w:rFonts w:ascii="Palatino Linotype" w:eastAsia="Palatino Linotype" w:hAnsi="Palatino Linotype" w:cs="Palatino Linotype"/>
          <w:color w:val="000000"/>
        </w:rPr>
        <w:t xml:space="preserve"> pruebas y alegatos según corresponda al caso concreto, de esta forma para que el </w:t>
      </w:r>
      <w:r w:rsidR="009171EA" w:rsidRPr="00D67F22">
        <w:rPr>
          <w:rFonts w:ascii="Palatino Linotype" w:eastAsia="Palatino Linotype" w:hAnsi="Palatino Linotype" w:cs="Palatino Linotype"/>
          <w:b/>
          <w:bCs/>
          <w:color w:val="000000"/>
        </w:rPr>
        <w:t xml:space="preserve">SUJETO OBLIGADO </w:t>
      </w:r>
      <w:r w:rsidR="009171EA" w:rsidRPr="00D67F22">
        <w:rPr>
          <w:rFonts w:ascii="Palatino Linotype" w:eastAsia="Palatino Linotype" w:hAnsi="Palatino Linotype" w:cs="Palatino Linotype"/>
        </w:rPr>
        <w:t>presentase</w:t>
      </w:r>
      <w:r w:rsidR="009171EA" w:rsidRPr="00D67F22">
        <w:rPr>
          <w:rFonts w:ascii="Palatino Linotype" w:eastAsia="Palatino Linotype" w:hAnsi="Palatino Linotype" w:cs="Palatino Linotype"/>
          <w:color w:val="000000"/>
        </w:rPr>
        <w:t xml:space="preserve"> el Informe Justificado procedente.</w:t>
      </w:r>
    </w:p>
    <w:p w:rsidR="00375BD9" w:rsidRPr="00D67F22" w:rsidRDefault="00375BD9">
      <w:pPr>
        <w:pBdr>
          <w:top w:val="nil"/>
          <w:left w:val="nil"/>
          <w:bottom w:val="nil"/>
          <w:right w:val="nil"/>
          <w:between w:val="nil"/>
        </w:pBdr>
        <w:ind w:left="708"/>
        <w:rPr>
          <w:rFonts w:ascii="Palatino Linotype" w:eastAsia="Palatino Linotype" w:hAnsi="Palatino Linotype" w:cs="Palatino Linotype"/>
          <w:color w:val="000000"/>
        </w:rPr>
      </w:pPr>
    </w:p>
    <w:p w:rsidR="00375BD9" w:rsidRPr="00D67F22" w:rsidRDefault="0091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color w:val="000000"/>
        </w:rPr>
        <w:t xml:space="preserve">En esa línea, tal y como se observa en el expediente electrónico el </w:t>
      </w:r>
      <w:r w:rsidRPr="00D67F22">
        <w:rPr>
          <w:rFonts w:ascii="Palatino Linotype" w:eastAsia="Palatino Linotype" w:hAnsi="Palatino Linotype" w:cs="Palatino Linotype"/>
          <w:b/>
          <w:bCs/>
          <w:color w:val="000000"/>
        </w:rPr>
        <w:t xml:space="preserve">SUJETO OBLIGADO </w:t>
      </w:r>
      <w:r w:rsidRPr="00D67F22">
        <w:rPr>
          <w:rFonts w:ascii="Palatino Linotype" w:eastAsia="Palatino Linotype" w:hAnsi="Palatino Linotype" w:cs="Palatino Linotype"/>
          <w:color w:val="000000"/>
        </w:rPr>
        <w:t>en fecha uno de julio de dos mil veinticinco al rendir su informe justificado presentó el archivo electrónico</w:t>
      </w:r>
      <w:r w:rsidRPr="00D67F22">
        <w:t xml:space="preserve"> </w:t>
      </w:r>
      <w:r w:rsidRPr="00D67F22">
        <w:rPr>
          <w:rFonts w:ascii="Palatino Linotype" w:eastAsia="Palatino Linotype" w:hAnsi="Palatino Linotype" w:cs="Palatino Linotype"/>
          <w:b/>
          <w:bCs/>
          <w:color w:val="000000"/>
        </w:rPr>
        <w:t>Ratificación 07493.pdf</w:t>
      </w:r>
      <w:r w:rsidRPr="00D67F22">
        <w:rPr>
          <w:rFonts w:ascii="Palatino Linotype" w:eastAsia="Palatino Linotype" w:hAnsi="Palatino Linotype" w:cs="Palatino Linotype"/>
          <w:color w:val="000000"/>
        </w:rPr>
        <w:t xml:space="preserve"> donde el Titular de la Unidad de Transparencia medularmente ratifica la respuesta del Órgano Interno de Control y servidor público habilitado,  por su parte el </w:t>
      </w:r>
      <w:r w:rsidRPr="00D67F22">
        <w:rPr>
          <w:rFonts w:ascii="Palatino Linotype" w:eastAsia="Palatino Linotype" w:hAnsi="Palatino Linotype" w:cs="Palatino Linotype"/>
          <w:b/>
          <w:bCs/>
          <w:color w:val="000000"/>
        </w:rPr>
        <w:t xml:space="preserve">RECURRENTE </w:t>
      </w:r>
      <w:r w:rsidRPr="00D67F22">
        <w:rPr>
          <w:rFonts w:ascii="Palatino Linotype" w:eastAsia="Palatino Linotype" w:hAnsi="Palatino Linotype" w:cs="Palatino Linotype"/>
          <w:color w:val="000000"/>
        </w:rPr>
        <w:t>fue omiso en presentar Manifestaciones que a su derecho convinieran.</w:t>
      </w:r>
    </w:p>
    <w:p w:rsidR="00375BD9" w:rsidRPr="00D67F22" w:rsidRDefault="00375BD9">
      <w:pPr>
        <w:pBdr>
          <w:top w:val="nil"/>
          <w:left w:val="nil"/>
          <w:bottom w:val="nil"/>
          <w:right w:val="nil"/>
          <w:between w:val="nil"/>
        </w:pBdr>
        <w:spacing w:line="360" w:lineRule="auto"/>
        <w:ind w:left="786"/>
        <w:jc w:val="both"/>
        <w:rPr>
          <w:rFonts w:ascii="Palatino Linotype" w:eastAsia="Palatino Linotype" w:hAnsi="Palatino Linotype" w:cs="Palatino Linotype"/>
          <w:i/>
          <w:iCs/>
          <w:color w:val="000000"/>
        </w:rPr>
      </w:pPr>
    </w:p>
    <w:p w:rsidR="00375BD9" w:rsidRPr="00D67F22" w:rsidRDefault="0091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bookmarkStart w:id="4" w:name="_heading=h.2et92p0" w:colFirst="0" w:colLast="0"/>
      <w:bookmarkEnd w:id="4"/>
      <w:r w:rsidRPr="00D67F22">
        <w:rPr>
          <w:rFonts w:ascii="Palatino Linotype" w:eastAsia="Palatino Linotype" w:hAnsi="Palatino Linotype" w:cs="Palatino Linotype"/>
          <w:color w:val="000000"/>
        </w:rPr>
        <w:t xml:space="preserve">En </w:t>
      </w:r>
      <w:r w:rsidRPr="00D67F22">
        <w:rPr>
          <w:rFonts w:ascii="Palatino Linotype" w:eastAsia="Palatino Linotype" w:hAnsi="Palatino Linotype" w:cs="Palatino Linotype"/>
          <w:b/>
          <w:bCs/>
          <w:color w:val="000000"/>
        </w:rPr>
        <w:t>fecha diecinueve de agosto de dos mil veinticinco</w:t>
      </w:r>
      <w:r w:rsidRPr="00D67F22">
        <w:rPr>
          <w:rFonts w:ascii="Palatino Linotype" w:eastAsia="Palatino Linotype" w:hAnsi="Palatino Linotype" w:cs="Palatino Linotype"/>
          <w:color w:val="000000"/>
        </w:rPr>
        <w:t>, se acordó ampliar el término para resolver el presente asunto.</w:t>
      </w:r>
    </w:p>
    <w:p w:rsidR="00375BD9" w:rsidRPr="00D67F22" w:rsidRDefault="00375BD9">
      <w:pPr>
        <w:pBdr>
          <w:top w:val="nil"/>
          <w:left w:val="nil"/>
          <w:bottom w:val="nil"/>
          <w:right w:val="nil"/>
          <w:between w:val="nil"/>
        </w:pBdr>
        <w:ind w:left="720"/>
        <w:rPr>
          <w:rFonts w:ascii="Palatino Linotype" w:eastAsia="Palatino Linotype" w:hAnsi="Palatino Linotype" w:cs="Palatino Linotype"/>
          <w:b/>
          <w:bCs/>
          <w:color w:val="000000"/>
        </w:rPr>
      </w:pPr>
    </w:p>
    <w:p w:rsidR="00375BD9" w:rsidRPr="00D67F22" w:rsidRDefault="009171E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375BD9" w:rsidRPr="00D67F22" w:rsidRDefault="00375BD9">
      <w:pPr>
        <w:pBdr>
          <w:top w:val="nil"/>
          <w:left w:val="nil"/>
          <w:bottom w:val="nil"/>
          <w:right w:val="nil"/>
          <w:between w:val="nil"/>
        </w:pBdr>
        <w:ind w:left="720"/>
        <w:rPr>
          <w:rFonts w:ascii="Palatino Linotype" w:eastAsia="Palatino Linotype" w:hAnsi="Palatino Linotype" w:cs="Palatino Linotype"/>
          <w:color w:val="000000"/>
        </w:rPr>
      </w:pPr>
    </w:p>
    <w:p w:rsidR="00375BD9" w:rsidRPr="00D67F22" w:rsidRDefault="00D67F22">
      <w:pPr>
        <w:numPr>
          <w:ilvl w:val="0"/>
          <w:numId w:val="2"/>
        </w:numP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9171EA" w:rsidRPr="00D67F22">
        <w:rPr>
          <w:rFonts w:ascii="Palatino Linotype" w:eastAsia="Palatino Linotype" w:hAnsi="Palatino Linotype" w:cs="Palatino Linotype"/>
        </w:rPr>
        <w:t xml:space="preserve">onente decretó el cierre de instrucción mediante el acuerdo del </w:t>
      </w:r>
      <w:r w:rsidR="009171EA" w:rsidRPr="00D67F22">
        <w:rPr>
          <w:rFonts w:ascii="Palatino Linotype" w:eastAsia="Palatino Linotype" w:hAnsi="Palatino Linotype" w:cs="Palatino Linotype"/>
          <w:b/>
          <w:bCs/>
        </w:rPr>
        <w:t xml:space="preserve">cuatro de septiembre de dos mil veinticinco; </w:t>
      </w:r>
      <w:r w:rsidR="009171EA" w:rsidRPr="00D67F22">
        <w:rPr>
          <w:rFonts w:ascii="Palatino Linotype" w:eastAsia="Palatino Linotype" w:hAnsi="Palatino Linotype" w:cs="Palatino Linotype"/>
        </w:rPr>
        <w:t xml:space="preserve">por lo que en virtud de que el expediente </w:t>
      </w:r>
      <w:r w:rsidR="009171EA" w:rsidRPr="00D67F22">
        <w:rPr>
          <w:rFonts w:ascii="Palatino Linotype" w:eastAsia="Palatino Linotype" w:hAnsi="Palatino Linotype" w:cs="Palatino Linotype"/>
        </w:rPr>
        <w:lastRenderedPageBreak/>
        <w:t xml:space="preserve">electrónico ha sido debidamente substanciado y no existe diligencia pendiente de desahogo, se procede a emitir la presente resolución que conforme a Derecho corresponda y </w:t>
      </w:r>
    </w:p>
    <w:p w:rsidR="00375BD9" w:rsidRDefault="00375BD9">
      <w:pPr>
        <w:pBdr>
          <w:top w:val="nil"/>
          <w:left w:val="nil"/>
          <w:bottom w:val="nil"/>
          <w:right w:val="nil"/>
          <w:between w:val="nil"/>
        </w:pBdr>
        <w:ind w:left="720"/>
        <w:rPr>
          <w:rFonts w:ascii="Palatino Linotype" w:eastAsia="Palatino Linotype" w:hAnsi="Palatino Linotype" w:cs="Palatino Linotype"/>
          <w:color w:val="000000"/>
        </w:rPr>
      </w:pPr>
    </w:p>
    <w:p w:rsidR="00D67F22" w:rsidRPr="00D67F22" w:rsidRDefault="00D67F22">
      <w:pPr>
        <w:pBdr>
          <w:top w:val="nil"/>
          <w:left w:val="nil"/>
          <w:bottom w:val="nil"/>
          <w:right w:val="nil"/>
          <w:between w:val="nil"/>
        </w:pBdr>
        <w:ind w:left="720"/>
        <w:rPr>
          <w:rFonts w:ascii="Palatino Linotype" w:eastAsia="Palatino Linotype" w:hAnsi="Palatino Linotype" w:cs="Palatino Linotype"/>
          <w:color w:val="000000"/>
        </w:rPr>
      </w:pPr>
    </w:p>
    <w:p w:rsidR="00375BD9" w:rsidRPr="00D67F22" w:rsidRDefault="009171EA">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D67F22">
        <w:rPr>
          <w:rFonts w:ascii="Palatino Linotype" w:eastAsia="Palatino Linotype" w:hAnsi="Palatino Linotype" w:cs="Palatino Linotype"/>
          <w:b/>
          <w:bCs/>
          <w:color w:val="000000"/>
        </w:rPr>
        <w:t xml:space="preserve">C O N S I D E R A N D O </w:t>
      </w:r>
    </w:p>
    <w:p w:rsidR="00375BD9" w:rsidRPr="00D67F22" w:rsidRDefault="009171EA">
      <w:pPr>
        <w:pStyle w:val="Ttulo2"/>
        <w:spacing w:before="0" w:line="360" w:lineRule="auto"/>
        <w:rPr>
          <w:rFonts w:ascii="Palatino Linotype" w:eastAsia="Palatino Linotype" w:hAnsi="Palatino Linotype" w:cs="Palatino Linotype"/>
          <w:b/>
          <w:bCs/>
          <w:color w:val="000000"/>
          <w:sz w:val="24"/>
          <w:szCs w:val="24"/>
        </w:rPr>
      </w:pPr>
      <w:bookmarkStart w:id="5" w:name="_heading=h.tyjcwt" w:colFirst="0" w:colLast="0"/>
      <w:bookmarkEnd w:id="5"/>
      <w:r w:rsidRPr="00D67F22">
        <w:rPr>
          <w:rFonts w:ascii="Palatino Linotype" w:eastAsia="Palatino Linotype" w:hAnsi="Palatino Linotype" w:cs="Palatino Linotype"/>
          <w:b/>
          <w:bCs/>
          <w:color w:val="000000"/>
          <w:sz w:val="24"/>
          <w:szCs w:val="24"/>
        </w:rPr>
        <w:t>PRIMERO. De la competencia</w:t>
      </w:r>
    </w:p>
    <w:p w:rsidR="00375BD9" w:rsidRPr="00D67F22" w:rsidRDefault="009171EA">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375BD9" w:rsidRPr="00D67F22" w:rsidRDefault="00375BD9">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6" w:name="_heading=h.3dy6vkm" w:colFirst="0" w:colLast="0"/>
      <w:bookmarkEnd w:id="6"/>
    </w:p>
    <w:p w:rsidR="00375BD9" w:rsidRPr="00D67F22" w:rsidRDefault="009171EA">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7" w:name="_heading=h.1t3h5sf" w:colFirst="0" w:colLast="0"/>
      <w:bookmarkEnd w:id="7"/>
      <w:r w:rsidRPr="00D67F22">
        <w:rPr>
          <w:rFonts w:ascii="Palatino Linotype" w:eastAsia="Palatino Linotype" w:hAnsi="Palatino Linotype" w:cs="Palatino Linotype"/>
          <w:b/>
          <w:bCs/>
          <w:color w:val="000000"/>
        </w:rPr>
        <w:t>SEGUNDO. De la oportunidad y procedencia.</w:t>
      </w:r>
    </w:p>
    <w:p w:rsidR="00375BD9" w:rsidRPr="00D67F22" w:rsidRDefault="009171EA">
      <w:pPr>
        <w:numPr>
          <w:ilvl w:val="0"/>
          <w:numId w:val="9"/>
        </w:numPr>
        <w:pBdr>
          <w:top w:val="nil"/>
          <w:left w:val="nil"/>
          <w:bottom w:val="nil"/>
          <w:right w:val="nil"/>
          <w:between w:val="nil"/>
        </w:pBdr>
        <w:spacing w:line="360" w:lineRule="auto"/>
        <w:ind w:left="0" w:firstLine="0"/>
        <w:jc w:val="both"/>
        <w:rPr>
          <w:color w:val="000000"/>
        </w:rPr>
      </w:pPr>
      <w:bookmarkStart w:id="8" w:name="_heading=h.4d34og8" w:colFirst="0" w:colLast="0"/>
      <w:bookmarkEnd w:id="8"/>
      <w:r w:rsidRPr="00D67F22">
        <w:rPr>
          <w:rFonts w:ascii="Palatino Linotype" w:eastAsia="Palatino Linotype" w:hAnsi="Palatino Linotype" w:cs="Palatino Linotype"/>
          <w:color w:val="000000"/>
        </w:rPr>
        <w:t xml:space="preserve">Los medios de impugnación fueron presentados a través del </w:t>
      </w:r>
      <w:r w:rsidRPr="00D67F22">
        <w:rPr>
          <w:rFonts w:ascii="Palatino Linotype" w:eastAsia="Palatino Linotype" w:hAnsi="Palatino Linotype" w:cs="Palatino Linotype"/>
          <w:b/>
          <w:bCs/>
          <w:color w:val="000000"/>
        </w:rPr>
        <w:t>SAIMEX,</w:t>
      </w:r>
      <w:r w:rsidRPr="00D67F22">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D67F22">
        <w:rPr>
          <w:rFonts w:ascii="Palatino Linotype" w:eastAsia="Palatino Linotype" w:hAnsi="Palatino Linotype" w:cs="Palatino Linotype"/>
          <w:b/>
          <w:bCs/>
          <w:color w:val="000000"/>
        </w:rPr>
        <w:t>SUJETO OBLIGADO</w:t>
      </w:r>
      <w:r w:rsidRPr="00D67F22">
        <w:rPr>
          <w:rFonts w:ascii="Palatino Linotype" w:eastAsia="Palatino Linotype" w:hAnsi="Palatino Linotype" w:cs="Palatino Linotype"/>
          <w:color w:val="000000"/>
        </w:rPr>
        <w:t xml:space="preserve"> entregó su respuesta el </w:t>
      </w:r>
      <w:r w:rsidRPr="00D67F22">
        <w:rPr>
          <w:rFonts w:ascii="Palatino Linotype" w:eastAsia="Palatino Linotype" w:hAnsi="Palatino Linotype" w:cs="Palatino Linotype"/>
          <w:b/>
          <w:bCs/>
          <w:color w:val="000000"/>
        </w:rPr>
        <w:t>diecinueve de junio de dos mil veinticinco</w:t>
      </w:r>
      <w:r w:rsidRPr="00D67F22">
        <w:rPr>
          <w:rFonts w:ascii="Palatino Linotype" w:eastAsia="Palatino Linotype" w:hAnsi="Palatino Linotype" w:cs="Palatino Linotype"/>
          <w:color w:val="000000"/>
        </w:rPr>
        <w:t xml:space="preserve">, de tal forma que el plazo para interponer el recurso de revisión transcurrió del día </w:t>
      </w:r>
      <w:r w:rsidRPr="00D67F22">
        <w:rPr>
          <w:rFonts w:ascii="Palatino Linotype" w:eastAsia="Palatino Linotype" w:hAnsi="Palatino Linotype" w:cs="Palatino Linotype"/>
          <w:b/>
          <w:bCs/>
          <w:color w:val="000000"/>
        </w:rPr>
        <w:t>veinte de junio al diez de julio de dos mil veinticinco</w:t>
      </w:r>
      <w:r w:rsidRPr="00D67F22">
        <w:rPr>
          <w:rFonts w:ascii="Palatino Linotype" w:eastAsia="Palatino Linotype" w:hAnsi="Palatino Linotype" w:cs="Palatino Linotype"/>
          <w:color w:val="000000"/>
        </w:rPr>
        <w:t xml:space="preserve">; en consecuencia, el ahora </w:t>
      </w:r>
      <w:r w:rsidRPr="00D67F22">
        <w:rPr>
          <w:rFonts w:ascii="Palatino Linotype" w:eastAsia="Palatino Linotype" w:hAnsi="Palatino Linotype" w:cs="Palatino Linotype"/>
          <w:b/>
          <w:bCs/>
          <w:color w:val="000000"/>
        </w:rPr>
        <w:t>RECURRENTE</w:t>
      </w:r>
      <w:r w:rsidRPr="00D67F22">
        <w:rPr>
          <w:rFonts w:ascii="Palatino Linotype" w:eastAsia="Palatino Linotype" w:hAnsi="Palatino Linotype" w:cs="Palatino Linotype"/>
          <w:color w:val="000000"/>
        </w:rPr>
        <w:t xml:space="preserve"> presentó su inconformidad el día </w:t>
      </w:r>
      <w:r w:rsidRPr="00D67F22">
        <w:rPr>
          <w:rFonts w:ascii="Palatino Linotype" w:eastAsia="Palatino Linotype" w:hAnsi="Palatino Linotype" w:cs="Palatino Linotype"/>
          <w:b/>
          <w:bCs/>
          <w:color w:val="000000"/>
        </w:rPr>
        <w:lastRenderedPageBreak/>
        <w:t>diecinueve de junio de dos mil veinticinco</w:t>
      </w:r>
      <w:r w:rsidRPr="00D67F22">
        <w:rPr>
          <w:rFonts w:ascii="Palatino Linotype" w:eastAsia="Palatino Linotype" w:hAnsi="Palatino Linotype" w:cs="Palatino Linotype"/>
          <w:color w:val="000000"/>
        </w:rPr>
        <w:t>; es decir dentro del lapso legalmente establecido para tal efecto.</w:t>
      </w:r>
    </w:p>
    <w:p w:rsidR="00375BD9" w:rsidRPr="00D67F22" w:rsidRDefault="00375BD9">
      <w:pPr>
        <w:pBdr>
          <w:top w:val="nil"/>
          <w:left w:val="nil"/>
          <w:bottom w:val="nil"/>
          <w:right w:val="nil"/>
          <w:between w:val="nil"/>
        </w:pBdr>
        <w:spacing w:line="360" w:lineRule="auto"/>
        <w:jc w:val="both"/>
        <w:rPr>
          <w:color w:val="000000"/>
        </w:rPr>
      </w:pPr>
    </w:p>
    <w:p w:rsidR="00375BD9" w:rsidRPr="00D67F22" w:rsidRDefault="009171EA">
      <w:pPr>
        <w:numPr>
          <w:ilvl w:val="0"/>
          <w:numId w:val="9"/>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375BD9" w:rsidRPr="00D67F22" w:rsidRDefault="00375BD9">
      <w:pPr>
        <w:spacing w:line="360" w:lineRule="auto"/>
        <w:ind w:right="27"/>
        <w:rPr>
          <w:rFonts w:ascii="Palatino Linotype" w:eastAsia="Palatino Linotype" w:hAnsi="Palatino Linotype" w:cs="Palatino Linotype"/>
        </w:rPr>
      </w:pPr>
    </w:p>
    <w:p w:rsidR="00375BD9" w:rsidRPr="00D67F22" w:rsidRDefault="009171EA">
      <w:pPr>
        <w:numPr>
          <w:ilvl w:val="0"/>
          <w:numId w:val="9"/>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375BD9" w:rsidRPr="00D67F22" w:rsidRDefault="009171EA">
      <w:pPr>
        <w:spacing w:line="276" w:lineRule="auto"/>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rPr>
        <w:t>“RECURSO DE RECLAMACIÓN. SU INTERPOSICIÓN NO ES EXTEMPORÁNEA SI SE REALIZA ANTES DE QUE INICIE EL PLAZO PARA HACERLO</w:t>
      </w:r>
      <w:r w:rsidRPr="00D67F22">
        <w:rPr>
          <w:rFonts w:ascii="Palatino Linotype" w:eastAsia="Palatino Linotype" w:hAnsi="Palatino Linotype" w:cs="Palatino Linotype"/>
          <w:i/>
          <w:iCs/>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375BD9" w:rsidRPr="00D67F22" w:rsidRDefault="009171EA">
      <w:pPr>
        <w:numPr>
          <w:ilvl w:val="0"/>
          <w:numId w:val="9"/>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lastRenderedPageBreak/>
        <w:t>Esto es así porque en primer lugar es necesario que EL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375BD9" w:rsidRPr="00D67F22" w:rsidRDefault="00375BD9">
      <w:pPr>
        <w:tabs>
          <w:tab w:val="left" w:pos="0"/>
        </w:tabs>
        <w:spacing w:line="360" w:lineRule="auto"/>
        <w:ind w:right="27"/>
        <w:jc w:val="both"/>
        <w:rPr>
          <w:rFonts w:ascii="Palatino Linotype" w:eastAsia="Palatino Linotype" w:hAnsi="Palatino Linotype" w:cs="Palatino Linotype"/>
          <w:i/>
          <w:iCs/>
        </w:rPr>
      </w:pPr>
    </w:p>
    <w:p w:rsidR="00375BD9" w:rsidRPr="00D67F22" w:rsidRDefault="009171EA">
      <w:pPr>
        <w:numPr>
          <w:ilvl w:val="0"/>
          <w:numId w:val="9"/>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375BD9" w:rsidRPr="00D67F22" w:rsidRDefault="00375BD9">
      <w:pPr>
        <w:spacing w:line="360" w:lineRule="auto"/>
        <w:ind w:right="27"/>
        <w:rPr>
          <w:rFonts w:ascii="Palatino Linotype" w:eastAsia="Palatino Linotype" w:hAnsi="Palatino Linotype" w:cs="Palatino Linotype"/>
        </w:rPr>
      </w:pPr>
    </w:p>
    <w:p w:rsidR="00375BD9" w:rsidRPr="00D67F22" w:rsidRDefault="009171EA">
      <w:pPr>
        <w:numPr>
          <w:ilvl w:val="0"/>
          <w:numId w:val="9"/>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375BD9" w:rsidRPr="00D67F22" w:rsidRDefault="00375BD9">
      <w:pPr>
        <w:pBdr>
          <w:top w:val="nil"/>
          <w:left w:val="nil"/>
          <w:bottom w:val="nil"/>
          <w:right w:val="nil"/>
          <w:between w:val="nil"/>
        </w:pBdr>
        <w:ind w:left="720"/>
        <w:rPr>
          <w:rFonts w:ascii="Palatino Linotype" w:eastAsia="Palatino Linotype" w:hAnsi="Palatino Linotype" w:cs="Palatino Linotype"/>
          <w:color w:val="000000"/>
        </w:rPr>
      </w:pPr>
    </w:p>
    <w:p w:rsidR="00375BD9" w:rsidRPr="00D67F22" w:rsidRDefault="009171EA">
      <w:pPr>
        <w:numPr>
          <w:ilvl w:val="0"/>
          <w:numId w:val="9"/>
        </w:numPr>
        <w:tabs>
          <w:tab w:val="left" w:pos="0"/>
        </w:tabs>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 xml:space="preserve">Por otra parte, de la revisión al expediente electrónico del </w:t>
      </w:r>
      <w:r w:rsidRPr="00D67F22">
        <w:rPr>
          <w:rFonts w:ascii="Palatino Linotype" w:eastAsia="Palatino Linotype" w:hAnsi="Palatino Linotype" w:cs="Palatino Linotype"/>
          <w:b/>
          <w:bCs/>
        </w:rPr>
        <w:t>SAIMEX</w:t>
      </w:r>
      <w:r w:rsidRPr="00D67F22">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sidRPr="00D67F22">
        <w:rPr>
          <w:rFonts w:ascii="Palatino Linotype" w:eastAsia="Palatino Linotype" w:hAnsi="Palatino Linotype" w:cs="Palatino Linotype"/>
          <w:b/>
          <w:bCs/>
        </w:rPr>
        <w:t>no proporcionó ningún nombre, seudónimo o carácter para ser identificado, ni se tiene certeza de su identidad</w:t>
      </w:r>
      <w:r w:rsidRPr="00D67F22">
        <w:rPr>
          <w:rFonts w:ascii="Palatino Linotype" w:eastAsia="Palatino Linotype" w:hAnsi="Palatino Linotype" w:cs="Palatino Linotype"/>
        </w:rPr>
        <w:t xml:space="preserve">; sin embargo, es importante señalar también que el nombre de los Solicitantes y Recurrentes no es un requisito indispensable para la tramitación del acto procesal específico en materia de acceso a la información, ello en estricto apego al numeral </w:t>
      </w:r>
      <w:r w:rsidRPr="00D67F22">
        <w:rPr>
          <w:rFonts w:ascii="Palatino Linotype" w:eastAsia="Palatino Linotype" w:hAnsi="Palatino Linotype" w:cs="Palatino Linotype"/>
        </w:rPr>
        <w:lastRenderedPageBreak/>
        <w:t>155, párrafo tercero, de la Ley de la materia, en concatenación con el 180 del mismo ordenamiento.</w:t>
      </w:r>
    </w:p>
    <w:p w:rsidR="00375BD9" w:rsidRPr="00D67F22" w:rsidRDefault="00375BD9">
      <w:pPr>
        <w:pBdr>
          <w:top w:val="nil"/>
          <w:left w:val="nil"/>
          <w:bottom w:val="nil"/>
          <w:right w:val="nil"/>
          <w:between w:val="nil"/>
        </w:pBdr>
        <w:tabs>
          <w:tab w:val="left" w:pos="0"/>
        </w:tabs>
        <w:spacing w:line="360" w:lineRule="auto"/>
        <w:rPr>
          <w:rFonts w:ascii="Palatino Linotype" w:eastAsia="Palatino Linotype" w:hAnsi="Palatino Linotype" w:cs="Palatino Linotype"/>
          <w:color w:val="000000"/>
        </w:rPr>
      </w:pPr>
    </w:p>
    <w:p w:rsidR="00375BD9" w:rsidRPr="00D67F22" w:rsidRDefault="009171EA">
      <w:pPr>
        <w:numPr>
          <w:ilvl w:val="0"/>
          <w:numId w:val="9"/>
        </w:numPr>
        <w:tabs>
          <w:tab w:val="left" w:pos="0"/>
        </w:tabs>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375BD9" w:rsidRPr="00D67F22" w:rsidRDefault="00375BD9">
      <w:pPr>
        <w:pBdr>
          <w:top w:val="nil"/>
          <w:left w:val="nil"/>
          <w:bottom w:val="nil"/>
          <w:right w:val="nil"/>
          <w:between w:val="nil"/>
        </w:pBdr>
        <w:tabs>
          <w:tab w:val="left" w:pos="0"/>
        </w:tabs>
        <w:rPr>
          <w:rFonts w:ascii="Palatino Linotype" w:eastAsia="Palatino Linotype" w:hAnsi="Palatino Linotype" w:cs="Palatino Linotype"/>
          <w:color w:val="000000"/>
        </w:rPr>
      </w:pPr>
    </w:p>
    <w:p w:rsidR="00375BD9" w:rsidRPr="00D67F22" w:rsidRDefault="009171EA">
      <w:pPr>
        <w:numPr>
          <w:ilvl w:val="0"/>
          <w:numId w:val="9"/>
        </w:numPr>
        <w:tabs>
          <w:tab w:val="left" w:pos="0"/>
        </w:tabs>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375BD9" w:rsidRPr="00D67F22" w:rsidRDefault="00375BD9">
      <w:pPr>
        <w:pBdr>
          <w:top w:val="nil"/>
          <w:left w:val="nil"/>
          <w:bottom w:val="nil"/>
          <w:right w:val="nil"/>
          <w:between w:val="nil"/>
        </w:pBdr>
        <w:tabs>
          <w:tab w:val="left" w:pos="0"/>
        </w:tabs>
        <w:spacing w:line="360" w:lineRule="auto"/>
        <w:rPr>
          <w:rFonts w:ascii="Palatino Linotype" w:eastAsia="Palatino Linotype" w:hAnsi="Palatino Linotype" w:cs="Palatino Linotype"/>
          <w:color w:val="000000"/>
        </w:rPr>
      </w:pPr>
    </w:p>
    <w:p w:rsidR="00375BD9" w:rsidRPr="00D67F22" w:rsidRDefault="009171EA">
      <w:pPr>
        <w:numPr>
          <w:ilvl w:val="0"/>
          <w:numId w:val="9"/>
        </w:numPr>
        <w:tabs>
          <w:tab w:val="left" w:pos="0"/>
        </w:tabs>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375BD9" w:rsidRPr="00D67F22" w:rsidRDefault="009171EA">
      <w:pPr>
        <w:numPr>
          <w:ilvl w:val="0"/>
          <w:numId w:val="9"/>
        </w:numPr>
        <w:tabs>
          <w:tab w:val="left" w:pos="0"/>
        </w:tabs>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lastRenderedPageBreak/>
        <w:t xml:space="preserve">Por lo que el nombre del </w:t>
      </w:r>
      <w:r w:rsidRPr="00D67F22">
        <w:rPr>
          <w:rFonts w:ascii="Palatino Linotype" w:eastAsia="Palatino Linotype" w:hAnsi="Palatino Linotype" w:cs="Palatino Linotype"/>
          <w:b/>
          <w:bCs/>
        </w:rPr>
        <w:t>SOLICITANTE</w:t>
      </w:r>
      <w:r w:rsidRPr="00D67F22">
        <w:rPr>
          <w:rFonts w:ascii="Palatino Linotype" w:eastAsia="Palatino Linotype" w:hAnsi="Palatino Linotype" w:cs="Palatino Linotype"/>
        </w:rPr>
        <w:t xml:space="preserve"> y subsecuente </w:t>
      </w:r>
      <w:r w:rsidRPr="00D67F22">
        <w:rPr>
          <w:rFonts w:ascii="Palatino Linotype" w:eastAsia="Palatino Linotype" w:hAnsi="Palatino Linotype" w:cs="Palatino Linotype"/>
          <w:b/>
          <w:bCs/>
        </w:rPr>
        <w:t>RECURRENTE</w:t>
      </w:r>
      <w:r w:rsidRPr="00D67F22">
        <w:rPr>
          <w:rFonts w:ascii="Palatino Linotype" w:eastAsia="Palatino Linotype" w:hAnsi="Palatino Linotype" w:cs="Palatino Linotype"/>
        </w:rPr>
        <w:t xml:space="preserv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375BD9" w:rsidRPr="00D67F22" w:rsidRDefault="00375BD9">
      <w:pPr>
        <w:pBdr>
          <w:top w:val="nil"/>
          <w:left w:val="nil"/>
          <w:bottom w:val="nil"/>
          <w:right w:val="nil"/>
          <w:between w:val="nil"/>
        </w:pBdr>
        <w:spacing w:line="360" w:lineRule="auto"/>
        <w:jc w:val="both"/>
        <w:rPr>
          <w:color w:val="000000"/>
        </w:rPr>
      </w:pPr>
    </w:p>
    <w:p w:rsidR="00375BD9" w:rsidRPr="00D67F22" w:rsidRDefault="009171EA">
      <w:pPr>
        <w:numPr>
          <w:ilvl w:val="0"/>
          <w:numId w:val="9"/>
        </w:numPr>
        <w:pBdr>
          <w:top w:val="nil"/>
          <w:left w:val="nil"/>
          <w:bottom w:val="nil"/>
          <w:right w:val="nil"/>
          <w:between w:val="nil"/>
        </w:pBdr>
        <w:spacing w:line="360" w:lineRule="auto"/>
        <w:ind w:left="0" w:firstLine="0"/>
        <w:jc w:val="both"/>
        <w:rPr>
          <w:color w:val="000000"/>
        </w:rPr>
      </w:pPr>
      <w:r w:rsidRPr="00D67F22">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5BD9" w:rsidRPr="00D67F22" w:rsidRDefault="009171EA">
      <w:pPr>
        <w:pStyle w:val="Ttulo1"/>
        <w:spacing w:before="0" w:line="360" w:lineRule="auto"/>
        <w:rPr>
          <w:rFonts w:ascii="Palatino Linotype" w:eastAsia="Palatino Linotype" w:hAnsi="Palatino Linotype" w:cs="Palatino Linotype"/>
          <w:b/>
          <w:bCs/>
          <w:color w:val="000000"/>
          <w:sz w:val="24"/>
          <w:szCs w:val="24"/>
        </w:rPr>
      </w:pPr>
      <w:bookmarkStart w:id="9" w:name="_heading=h.2s8eyo1" w:colFirst="0" w:colLast="0"/>
      <w:bookmarkEnd w:id="9"/>
      <w:r w:rsidRPr="00D67F22">
        <w:rPr>
          <w:rFonts w:ascii="Palatino Linotype" w:eastAsia="Palatino Linotype" w:hAnsi="Palatino Linotype" w:cs="Palatino Linotype"/>
          <w:b/>
          <w:bCs/>
          <w:color w:val="000000"/>
          <w:sz w:val="24"/>
          <w:szCs w:val="24"/>
        </w:rPr>
        <w:t xml:space="preserve">TERCERO. Del planteamiento de la </w:t>
      </w:r>
      <w:r w:rsidRPr="00D67F22">
        <w:rPr>
          <w:rFonts w:ascii="Palatino Linotype" w:eastAsia="Palatino Linotype" w:hAnsi="Palatino Linotype" w:cs="Palatino Linotype"/>
          <w:b/>
          <w:bCs/>
          <w:i/>
          <w:iCs/>
          <w:color w:val="000000"/>
          <w:sz w:val="24"/>
          <w:szCs w:val="24"/>
        </w:rPr>
        <w:t>Litis</w:t>
      </w:r>
      <w:r w:rsidRPr="00D67F22">
        <w:rPr>
          <w:rFonts w:ascii="Palatino Linotype" w:eastAsia="Palatino Linotype" w:hAnsi="Palatino Linotype" w:cs="Palatino Linotype"/>
          <w:b/>
          <w:bCs/>
          <w:color w:val="000000"/>
          <w:sz w:val="24"/>
          <w:szCs w:val="24"/>
        </w:rPr>
        <w:t>.</w:t>
      </w:r>
    </w:p>
    <w:p w:rsidR="00375BD9" w:rsidRPr="00D67F22" w:rsidRDefault="009171EA">
      <w:pPr>
        <w:numPr>
          <w:ilvl w:val="3"/>
          <w:numId w:val="9"/>
        </w:numPr>
        <w:pBdr>
          <w:top w:val="nil"/>
          <w:left w:val="nil"/>
          <w:bottom w:val="nil"/>
          <w:right w:val="nil"/>
          <w:between w:val="nil"/>
        </w:pBdr>
        <w:spacing w:line="360" w:lineRule="auto"/>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Resultados de las Auditorias del Ejercicio presupuestal del año 2021 realizadas por el órgano Interno de Control.</w:t>
      </w:r>
    </w:p>
    <w:p w:rsidR="00375BD9" w:rsidRPr="00D67F22" w:rsidRDefault="00375BD9">
      <w:pPr>
        <w:pBdr>
          <w:top w:val="nil"/>
          <w:left w:val="nil"/>
          <w:bottom w:val="nil"/>
          <w:right w:val="nil"/>
          <w:between w:val="nil"/>
        </w:pBdr>
        <w:spacing w:line="360" w:lineRule="auto"/>
        <w:ind w:left="1134"/>
        <w:jc w:val="both"/>
        <w:rPr>
          <w:rFonts w:ascii="Palatino Linotype" w:eastAsia="Palatino Linotype" w:hAnsi="Palatino Linotype" w:cs="Palatino Linotype"/>
          <w:i/>
          <w:iCs/>
        </w:rPr>
      </w:pPr>
    </w:p>
    <w:p w:rsidR="00375BD9" w:rsidRPr="00D67F22" w:rsidRDefault="009171EA">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En respuesta,</w:t>
      </w:r>
      <w:r w:rsidRPr="00D67F22">
        <w:rPr>
          <w:rFonts w:ascii="Palatino Linotype" w:eastAsia="Palatino Linotype" w:hAnsi="Palatino Linotype" w:cs="Palatino Linotype"/>
          <w:i/>
          <w:iCs/>
          <w:color w:val="000000"/>
        </w:rPr>
        <w:t xml:space="preserve"> </w:t>
      </w:r>
      <w:r w:rsidRPr="00D67F22">
        <w:rPr>
          <w:rFonts w:ascii="Palatino Linotype" w:eastAsia="Palatino Linotype" w:hAnsi="Palatino Linotype" w:cs="Palatino Linotype"/>
          <w:color w:val="000000"/>
        </w:rPr>
        <w:t>el</w:t>
      </w:r>
      <w:r w:rsidRPr="00D67F22">
        <w:rPr>
          <w:rFonts w:ascii="Palatino Linotype" w:eastAsia="Palatino Linotype" w:hAnsi="Palatino Linotype" w:cs="Palatino Linotype"/>
          <w:i/>
          <w:iCs/>
          <w:color w:val="000000"/>
        </w:rPr>
        <w:t xml:space="preserve"> </w:t>
      </w:r>
      <w:r w:rsidRPr="00D67F22">
        <w:rPr>
          <w:rFonts w:ascii="Palatino Linotype" w:eastAsia="Palatino Linotype" w:hAnsi="Palatino Linotype" w:cs="Palatino Linotype"/>
          <w:b/>
          <w:bCs/>
          <w:color w:val="000000"/>
        </w:rPr>
        <w:t>SUJETO</w:t>
      </w:r>
      <w:r w:rsidRPr="00D67F22">
        <w:rPr>
          <w:rFonts w:ascii="Palatino Linotype" w:eastAsia="Palatino Linotype" w:hAnsi="Palatino Linotype" w:cs="Palatino Linotype"/>
          <w:b/>
          <w:bCs/>
          <w:i/>
          <w:iCs/>
          <w:color w:val="000000"/>
        </w:rPr>
        <w:t xml:space="preserve"> </w:t>
      </w:r>
      <w:r w:rsidRPr="00D67F22">
        <w:rPr>
          <w:rFonts w:ascii="Palatino Linotype" w:eastAsia="Palatino Linotype" w:hAnsi="Palatino Linotype" w:cs="Palatino Linotype"/>
          <w:b/>
          <w:bCs/>
          <w:color w:val="000000"/>
        </w:rPr>
        <w:t xml:space="preserve">OBLIGADO </w:t>
      </w:r>
      <w:r w:rsidRPr="00D67F22">
        <w:rPr>
          <w:rFonts w:ascii="Palatino Linotype" w:eastAsia="Palatino Linotype" w:hAnsi="Palatino Linotype" w:cs="Palatino Linotype"/>
          <w:color w:val="000000"/>
        </w:rPr>
        <w:t>por medio del Titular de la Unidad de Transparencia, adjuntó un oficio de  Dirección de Auditoría requiriendo al particular a definir los parámetros de su solicitud para dar colmar su derecho de acceso a la información.</w:t>
      </w:r>
      <w:r w:rsidRPr="00D67F22">
        <w:rPr>
          <w:rFonts w:ascii="Palatino Linotype" w:eastAsia="Palatino Linotype" w:hAnsi="Palatino Linotype" w:cs="Palatino Linotype"/>
          <w:b/>
          <w:bCs/>
          <w:i/>
          <w:iCs/>
          <w:color w:val="000000"/>
        </w:rPr>
        <w:t xml:space="preserve"> </w:t>
      </w:r>
      <w:r w:rsidRPr="00D67F22">
        <w:rPr>
          <w:rFonts w:ascii="Palatino Linotype" w:eastAsia="Palatino Linotype" w:hAnsi="Palatino Linotype" w:cs="Palatino Linotype"/>
          <w:color w:val="000000"/>
        </w:rPr>
        <w:t>Inconforme con la respuesta, se interpuso recurso de revisión alegando de manera general  la negativa a la entrega de la información por el Sujeto Obligado.</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375BD9" w:rsidRPr="00D67F22" w:rsidRDefault="009171EA">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rPr>
        <w:t xml:space="preserve">En dichas condiciones, la </w:t>
      </w:r>
      <w:r w:rsidRPr="00D67F22">
        <w:rPr>
          <w:rFonts w:ascii="Palatino Linotype" w:eastAsia="Palatino Linotype" w:hAnsi="Palatino Linotype" w:cs="Palatino Linotype"/>
          <w:i/>
          <w:iCs/>
        </w:rPr>
        <w:t>Litis</w:t>
      </w:r>
      <w:r w:rsidRPr="00D67F22">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D67F22">
        <w:rPr>
          <w:rFonts w:ascii="Palatino Linotype" w:eastAsia="Palatino Linotype" w:hAnsi="Palatino Linotype" w:cs="Palatino Linotype"/>
          <w:b/>
          <w:bCs/>
        </w:rPr>
        <w:t>I</w:t>
      </w:r>
      <w:r w:rsidRPr="00D67F22">
        <w:rPr>
          <w:rFonts w:ascii="Palatino Linotype" w:eastAsia="Palatino Linotype" w:hAnsi="Palatino Linotype" w:cs="Palatino Linotype"/>
        </w:rPr>
        <w:t xml:space="preserve"> de la </w:t>
      </w:r>
      <w:r w:rsidRPr="00D67F22">
        <w:rPr>
          <w:rFonts w:ascii="Palatino Linotype" w:eastAsia="Palatino Linotype" w:hAnsi="Palatino Linotype" w:cs="Palatino Linotype"/>
          <w:b/>
          <w:bCs/>
        </w:rPr>
        <w:t xml:space="preserve">Ley de Transparencia y Acceso a la </w:t>
      </w:r>
      <w:r w:rsidRPr="00D67F22">
        <w:rPr>
          <w:rFonts w:ascii="Palatino Linotype" w:eastAsia="Palatino Linotype" w:hAnsi="Palatino Linotype" w:cs="Palatino Linotype"/>
        </w:rPr>
        <w:t>Información</w:t>
      </w:r>
      <w:r w:rsidRPr="00D67F22">
        <w:rPr>
          <w:rFonts w:ascii="Palatino Linotype" w:eastAsia="Palatino Linotype" w:hAnsi="Palatino Linotype" w:cs="Palatino Linotype"/>
          <w:b/>
          <w:bCs/>
        </w:rPr>
        <w:t xml:space="preserve"> Pública del Estado de México y Municipios</w:t>
      </w:r>
      <w:r w:rsidRPr="00D67F22">
        <w:rPr>
          <w:rFonts w:ascii="Palatino Linotype" w:eastAsia="Palatino Linotype" w:hAnsi="Palatino Linotype" w:cs="Palatino Linotype"/>
        </w:rPr>
        <w:t xml:space="preserve">; </w:t>
      </w:r>
      <w:r w:rsidRPr="00D67F22">
        <w:rPr>
          <w:rFonts w:ascii="Palatino Linotype" w:eastAsia="Palatino Linotype" w:hAnsi="Palatino Linotype" w:cs="Palatino Linotype"/>
          <w:color w:val="000000"/>
        </w:rPr>
        <w:t xml:space="preserve">fracción que determina la hipótesis jurídica relativa a la negativa a la </w:t>
      </w:r>
      <w:r w:rsidRPr="00D67F22">
        <w:rPr>
          <w:rFonts w:ascii="Palatino Linotype" w:eastAsia="Palatino Linotype" w:hAnsi="Palatino Linotype" w:cs="Palatino Linotype"/>
          <w:color w:val="000000"/>
        </w:rPr>
        <w:lastRenderedPageBreak/>
        <w:t xml:space="preserve">entrega de información solicitada; </w:t>
      </w:r>
      <w:r w:rsidRPr="00D67F22">
        <w:rPr>
          <w:rFonts w:ascii="Palatino Linotype" w:eastAsia="Palatino Linotype" w:hAnsi="Palatino Linotype" w:cs="Palatino Linotype"/>
        </w:rPr>
        <w:t xml:space="preserve">contexto del cual se dolió el </w:t>
      </w:r>
      <w:r w:rsidRPr="00D67F22">
        <w:rPr>
          <w:rFonts w:ascii="Palatino Linotype" w:eastAsia="Palatino Linotype" w:hAnsi="Palatino Linotype" w:cs="Palatino Linotype"/>
          <w:b/>
          <w:bCs/>
        </w:rPr>
        <w:t>RECURRENTE</w:t>
      </w:r>
      <w:r w:rsidRPr="00D67F22">
        <w:rPr>
          <w:rFonts w:ascii="Palatino Linotype" w:eastAsia="Palatino Linotype" w:hAnsi="Palatino Linotype" w:cs="Palatino Linotype"/>
        </w:rPr>
        <w:t xml:space="preserve"> al momento de interponer su recurso de revisión</w:t>
      </w:r>
      <w:r w:rsidRPr="00D67F22">
        <w:rPr>
          <w:rFonts w:ascii="Palatino Linotype" w:eastAsia="Palatino Linotype" w:hAnsi="Palatino Linotype" w:cs="Palatino Linotype"/>
          <w:color w:val="000000"/>
        </w:rPr>
        <w:t>.</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5BD9" w:rsidRPr="00D67F22" w:rsidRDefault="009171EA">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De modo tal que el presente recurso de revisión se </w:t>
      </w:r>
      <w:r w:rsidRPr="00D67F22">
        <w:rPr>
          <w:rFonts w:ascii="Palatino Linotype" w:eastAsia="Palatino Linotype" w:hAnsi="Palatino Linotype" w:cs="Palatino Linotype"/>
        </w:rPr>
        <w:t>abocará</w:t>
      </w:r>
      <w:r w:rsidRPr="00D67F22">
        <w:rPr>
          <w:rFonts w:ascii="Palatino Linotype" w:eastAsia="Palatino Linotype" w:hAnsi="Palatino Linotype" w:cs="Palatino Linotype"/>
          <w:color w:val="000000"/>
        </w:rPr>
        <w:t xml:space="preserve"> en determinar si el </w:t>
      </w:r>
      <w:r w:rsidRPr="00D67F22">
        <w:rPr>
          <w:rFonts w:ascii="Palatino Linotype" w:eastAsia="Palatino Linotype" w:hAnsi="Palatino Linotype" w:cs="Palatino Linotype"/>
          <w:b/>
          <w:bCs/>
          <w:color w:val="000000"/>
        </w:rPr>
        <w:t>SUJETO OBLIGADO</w:t>
      </w:r>
      <w:r w:rsidRPr="00D67F22">
        <w:rPr>
          <w:rFonts w:ascii="Palatino Linotype" w:eastAsia="Palatino Linotype" w:hAnsi="Palatino Linotype" w:cs="Palatino Linotype"/>
          <w:color w:val="000000"/>
        </w:rPr>
        <w:t xml:space="preserve"> con su respuesta ciertamente actualiza la causal de procedencia</w:t>
      </w:r>
      <w:r w:rsidRPr="00D67F22">
        <w:rPr>
          <w:rFonts w:ascii="Palatino Linotype" w:eastAsia="Palatino Linotype" w:hAnsi="Palatino Linotype" w:cs="Palatino Linotype"/>
          <w:b/>
          <w:bCs/>
          <w:color w:val="000000"/>
        </w:rPr>
        <w:t xml:space="preserve"> </w:t>
      </w:r>
      <w:r w:rsidRPr="00D67F22">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75BD9" w:rsidRPr="00D67F22" w:rsidRDefault="00375BD9">
      <w:pPr>
        <w:pBdr>
          <w:top w:val="nil"/>
          <w:left w:val="nil"/>
          <w:bottom w:val="nil"/>
          <w:right w:val="nil"/>
          <w:between w:val="nil"/>
        </w:pBdr>
        <w:spacing w:line="360" w:lineRule="auto"/>
        <w:ind w:left="709"/>
        <w:rPr>
          <w:rFonts w:ascii="Palatino Linotype" w:eastAsia="Palatino Linotype" w:hAnsi="Palatino Linotype" w:cs="Palatino Linotype"/>
          <w:color w:val="000000"/>
        </w:rPr>
      </w:pPr>
    </w:p>
    <w:p w:rsidR="00375BD9" w:rsidRPr="00D67F22" w:rsidRDefault="009171EA">
      <w:pPr>
        <w:keepNext/>
        <w:keepLines/>
        <w:spacing w:line="360" w:lineRule="auto"/>
        <w:rPr>
          <w:rFonts w:ascii="Palatino Linotype" w:eastAsia="Palatino Linotype" w:hAnsi="Palatino Linotype" w:cs="Palatino Linotype"/>
          <w:b/>
          <w:bCs/>
          <w:color w:val="000000"/>
        </w:rPr>
      </w:pPr>
      <w:r w:rsidRPr="00D67F22">
        <w:rPr>
          <w:rFonts w:ascii="Palatino Linotype" w:eastAsia="Palatino Linotype" w:hAnsi="Palatino Linotype" w:cs="Palatino Linotype"/>
          <w:b/>
          <w:bCs/>
          <w:color w:val="000000"/>
        </w:rPr>
        <w:t>CUARTO. Del estudio y resolución del estudio.</w:t>
      </w:r>
    </w:p>
    <w:p w:rsidR="00375BD9" w:rsidRPr="00D67F22" w:rsidRDefault="009171EA">
      <w:pPr>
        <w:keepNext/>
        <w:keepLines/>
        <w:numPr>
          <w:ilvl w:val="0"/>
          <w:numId w:val="5"/>
        </w:numPr>
        <w:spacing w:after="240" w:line="360" w:lineRule="auto"/>
        <w:ind w:left="786"/>
        <w:rPr>
          <w:rFonts w:ascii="Palatino Linotype" w:eastAsia="Palatino Linotype" w:hAnsi="Palatino Linotype" w:cs="Palatino Linotype"/>
          <w:b/>
          <w:bCs/>
          <w:color w:val="000000"/>
        </w:rPr>
      </w:pPr>
      <w:bookmarkStart w:id="10" w:name="_heading=h.17dp8vu" w:colFirst="0" w:colLast="0"/>
      <w:bookmarkEnd w:id="10"/>
      <w:r w:rsidRPr="00D67F22">
        <w:rPr>
          <w:rFonts w:ascii="Palatino Linotype" w:eastAsia="Palatino Linotype" w:hAnsi="Palatino Linotype" w:cs="Palatino Linotype"/>
          <w:b/>
          <w:bCs/>
          <w:color w:val="000000"/>
        </w:rPr>
        <w:t>Del derecho de acceso a la información.</w:t>
      </w:r>
    </w:p>
    <w:p w:rsidR="00375BD9" w:rsidRPr="00D67F22" w:rsidRDefault="009171EA">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375BD9" w:rsidRPr="00D67F22" w:rsidRDefault="009171EA">
      <w:pPr>
        <w:numPr>
          <w:ilvl w:val="0"/>
          <w:numId w:val="9"/>
        </w:numPr>
        <w:spacing w:before="240"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 xml:space="preserve">Definiendo el Derecho de Acceso a la Información Pública como: </w:t>
      </w:r>
      <w:r w:rsidRPr="00D67F22">
        <w:rPr>
          <w:rFonts w:ascii="Palatino Linotype" w:eastAsia="Palatino Linotype" w:hAnsi="Palatino Linotype" w:cs="Palatino Linotype"/>
          <w:i/>
          <w:iCs/>
          <w:color w:val="000000"/>
        </w:rPr>
        <w:t>La igualdad de oportunidades para recibir, buscar e impartir información</w:t>
      </w:r>
      <w:r w:rsidRPr="00D67F22">
        <w:rPr>
          <w:rFonts w:ascii="Palatino Linotype" w:eastAsia="Palatino Linotype" w:hAnsi="Palatino Linotype" w:cs="Palatino Linotype"/>
          <w:i/>
          <w:iCs/>
          <w:vertAlign w:val="superscript"/>
        </w:rPr>
        <w:footnoteReference w:id="1"/>
      </w:r>
      <w:r w:rsidRPr="00D67F22">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w:t>
      </w:r>
      <w:r w:rsidRPr="00D67F22">
        <w:rPr>
          <w:rFonts w:ascii="Palatino Linotype" w:eastAsia="Palatino Linotype" w:hAnsi="Palatino Linotype" w:cs="Palatino Linotype"/>
          <w:i/>
          <w:iCs/>
          <w:color w:val="000000"/>
        </w:rPr>
        <w:lastRenderedPageBreak/>
        <w:t>reciba y ejerza recursos públicos o realice actos de autoridad en el ámbito federal, estatal y municipal,</w:t>
      </w:r>
      <w:r w:rsidRPr="00D67F22">
        <w:rPr>
          <w:rFonts w:ascii="Palatino Linotype" w:eastAsia="Palatino Linotype" w:hAnsi="Palatino Linotype" w:cs="Palatino Linotype"/>
          <w:i/>
          <w:iCs/>
          <w:vertAlign w:val="superscript"/>
        </w:rPr>
        <w:footnoteReference w:id="2"/>
      </w:r>
      <w:r w:rsidRPr="00D67F22">
        <w:rPr>
          <w:rFonts w:ascii="Palatino Linotype" w:eastAsia="Palatino Linotype" w:hAnsi="Palatino Linotype" w:cs="Palatino Linotype"/>
          <w:color w:val="000000"/>
        </w:rPr>
        <w:t>que se constituye como una herramienta fundamental para ejercer</w:t>
      </w:r>
      <w:r w:rsidRPr="00D67F22">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D67F22">
        <w:rPr>
          <w:rFonts w:ascii="Palatino Linotype" w:eastAsia="Palatino Linotype" w:hAnsi="Palatino Linotype" w:cs="Palatino Linotype"/>
          <w:i/>
          <w:iCs/>
          <w:vertAlign w:val="superscript"/>
        </w:rPr>
        <w:footnoteReference w:id="3"/>
      </w:r>
      <w:r w:rsidRPr="00D67F22">
        <w:rPr>
          <w:rFonts w:ascii="Palatino Linotype" w:eastAsia="Palatino Linotype" w:hAnsi="Palatino Linotype" w:cs="Palatino Linotype"/>
          <w:color w:val="000000"/>
        </w:rPr>
        <w:t>fomentando</w:t>
      </w:r>
      <w:r w:rsidRPr="00D67F22">
        <w:rPr>
          <w:rFonts w:ascii="Palatino Linotype" w:eastAsia="Palatino Linotype" w:hAnsi="Palatino Linotype" w:cs="Palatino Linotype"/>
          <w:i/>
          <w:iCs/>
          <w:color w:val="000000"/>
        </w:rPr>
        <w:t xml:space="preserve"> la transparencia de las actividades estatales y </w:t>
      </w:r>
      <w:r w:rsidRPr="00D67F22">
        <w:rPr>
          <w:rFonts w:ascii="Palatino Linotype" w:eastAsia="Palatino Linotype" w:hAnsi="Palatino Linotype" w:cs="Palatino Linotype"/>
          <w:color w:val="000000"/>
        </w:rPr>
        <w:t>promoviendo</w:t>
      </w:r>
      <w:r w:rsidRPr="00D67F22">
        <w:rPr>
          <w:rFonts w:ascii="Palatino Linotype" w:eastAsia="Palatino Linotype" w:hAnsi="Palatino Linotype" w:cs="Palatino Linotype"/>
          <w:i/>
          <w:iCs/>
          <w:color w:val="000000"/>
        </w:rPr>
        <w:t xml:space="preserve"> la responsabilidad de los funcionarios sobre su gestión pública,</w:t>
      </w:r>
      <w:r w:rsidRPr="00D67F22">
        <w:rPr>
          <w:rFonts w:ascii="Palatino Linotype" w:eastAsia="Palatino Linotype" w:hAnsi="Palatino Linotype" w:cs="Palatino Linotype"/>
          <w:i/>
          <w:iCs/>
          <w:vertAlign w:val="superscript"/>
        </w:rPr>
        <w:footnoteReference w:id="4"/>
      </w:r>
      <w:r w:rsidRPr="00D67F22">
        <w:rPr>
          <w:rFonts w:ascii="Palatino Linotype" w:eastAsia="Palatino Linotype" w:hAnsi="Palatino Linotype" w:cs="Palatino Linotype"/>
          <w:color w:val="000000"/>
        </w:rPr>
        <w:t>que permite</w:t>
      </w:r>
      <w:r w:rsidRPr="00D67F22">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9171EA">
      <w:pPr>
        <w:numPr>
          <w:ilvl w:val="0"/>
          <w:numId w:val="9"/>
        </w:numPr>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375BD9" w:rsidRPr="00D67F22" w:rsidRDefault="009171EA">
      <w:pPr>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w:t>
      </w:r>
      <w:r w:rsidRPr="00D67F22">
        <w:rPr>
          <w:rFonts w:ascii="Palatino Linotype" w:eastAsia="Palatino Linotype" w:hAnsi="Palatino Linotype" w:cs="Palatino Linotype"/>
          <w:b/>
          <w:bCs/>
          <w:i/>
          <w:iCs/>
        </w:rPr>
        <w:t>Artículo 1.-</w:t>
      </w:r>
      <w:r w:rsidRPr="00D67F22">
        <w:rPr>
          <w:rFonts w:ascii="Palatino Linotype" w:eastAsia="Palatino Linotype" w:hAnsi="Palatino Linotype" w:cs="Palatino Linotype"/>
          <w:i/>
          <w:iCs/>
        </w:rPr>
        <w:t xml:space="preserve"> </w:t>
      </w:r>
    </w:p>
    <w:p w:rsidR="00375BD9" w:rsidRPr="00D67F22" w:rsidRDefault="009171EA">
      <w:pPr>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w:t>
      </w:r>
    </w:p>
    <w:p w:rsidR="00375BD9" w:rsidRPr="00D67F22" w:rsidRDefault="009171EA">
      <w:pPr>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Todas las</w:t>
      </w:r>
      <w:r w:rsidRPr="00D67F22">
        <w:rPr>
          <w:rFonts w:ascii="Palatino Linotype" w:eastAsia="Palatino Linotype" w:hAnsi="Palatino Linotype" w:cs="Palatino Linotype"/>
        </w:rPr>
        <w:t xml:space="preserve"> </w:t>
      </w:r>
      <w:r w:rsidRPr="00D67F22">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75BD9" w:rsidRPr="00D67F22" w:rsidRDefault="009171EA">
      <w:pPr>
        <w:ind w:left="1134" w:right="1134"/>
        <w:jc w:val="both"/>
        <w:rPr>
          <w:rFonts w:ascii="Palatino Linotype" w:eastAsia="Palatino Linotype" w:hAnsi="Palatino Linotype" w:cs="Palatino Linotype"/>
        </w:rPr>
      </w:pPr>
      <w:r w:rsidRPr="00D67F22">
        <w:rPr>
          <w:rFonts w:ascii="Palatino Linotype" w:eastAsia="Palatino Linotype" w:hAnsi="Palatino Linotype" w:cs="Palatino Linotype"/>
          <w:i/>
          <w:iCs/>
        </w:rPr>
        <w:t>(…)</w:t>
      </w:r>
      <w:r w:rsidRPr="00D67F22">
        <w:rPr>
          <w:rFonts w:ascii="Palatino Linotype" w:eastAsia="Palatino Linotype" w:hAnsi="Palatino Linotype" w:cs="Palatino Linotype"/>
        </w:rPr>
        <w:t>”.</w:t>
      </w:r>
    </w:p>
    <w:p w:rsidR="00375BD9" w:rsidRDefault="00375BD9">
      <w:pPr>
        <w:jc w:val="both"/>
        <w:rPr>
          <w:rFonts w:ascii="Palatino Linotype" w:eastAsia="Palatino Linotype" w:hAnsi="Palatino Linotype" w:cs="Palatino Linotype"/>
          <w:b/>
          <w:bCs/>
        </w:rPr>
      </w:pPr>
    </w:p>
    <w:p w:rsidR="00D67F22" w:rsidRPr="00D67F22" w:rsidRDefault="00D67F22">
      <w:pPr>
        <w:jc w:val="both"/>
        <w:rPr>
          <w:rFonts w:ascii="Palatino Linotype" w:eastAsia="Palatino Linotype" w:hAnsi="Palatino Linotype" w:cs="Palatino Linotype"/>
          <w:b/>
          <w:bCs/>
        </w:rPr>
      </w:pPr>
    </w:p>
    <w:p w:rsidR="00375BD9" w:rsidRPr="00D67F22" w:rsidRDefault="009171EA">
      <w:pPr>
        <w:numPr>
          <w:ilvl w:val="0"/>
          <w:numId w:val="9"/>
        </w:numPr>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sidRPr="00D67F22">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9171EA">
      <w:pPr>
        <w:numPr>
          <w:ilvl w:val="0"/>
          <w:numId w:val="9"/>
        </w:numPr>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375BD9" w:rsidRPr="00D67F22" w:rsidRDefault="009171EA">
      <w:pPr>
        <w:spacing w:after="240"/>
        <w:ind w:left="1134"/>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Constitución Política de los Estados Unidos Mexicanos</w:t>
      </w:r>
    </w:p>
    <w:p w:rsidR="00375BD9" w:rsidRPr="00D67F22" w:rsidRDefault="009171EA">
      <w:pPr>
        <w:spacing w:before="240" w:after="240"/>
        <w:ind w:left="1134"/>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“Artículo 6.</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Para efectos de lo dispuesto en el presente artículo se observará lo siguiente:</w:t>
      </w:r>
    </w:p>
    <w:p w:rsidR="00375BD9" w:rsidRPr="00D67F22" w:rsidRDefault="009171EA">
      <w:pPr>
        <w:spacing w:before="240" w:after="240"/>
        <w:ind w:left="1134"/>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A</w:t>
      </w:r>
      <w:r w:rsidRPr="00D67F22">
        <w:rPr>
          <w:rFonts w:ascii="Palatino Linotype" w:eastAsia="Palatino Linotype" w:hAnsi="Palatino Linotype" w:cs="Palatino Linotype"/>
          <w:i/>
          <w:iCs/>
        </w:rPr>
        <w:t xml:space="preserve">. </w:t>
      </w:r>
      <w:r w:rsidRPr="00D67F22">
        <w:rPr>
          <w:rFonts w:ascii="Palatino Linotype" w:eastAsia="Palatino Linotype" w:hAnsi="Palatino Linotype" w:cs="Palatino Linotype"/>
          <w:b/>
          <w:bCs/>
          <w:i/>
          <w:iCs/>
        </w:rPr>
        <w:t>Para el ejercicio del derecho de acceso a la información</w:t>
      </w:r>
      <w:r w:rsidRPr="00D67F22">
        <w:rPr>
          <w:rFonts w:ascii="Palatino Linotype" w:eastAsia="Palatino Linotype" w:hAnsi="Palatino Linotype" w:cs="Palatino Linotype"/>
          <w:i/>
          <w:iCs/>
        </w:rPr>
        <w:t xml:space="preserve">, la Federación y </w:t>
      </w:r>
      <w:r w:rsidRPr="00D67F22">
        <w:rPr>
          <w:rFonts w:ascii="Palatino Linotype" w:eastAsia="Palatino Linotype" w:hAnsi="Palatino Linotype" w:cs="Palatino Linotype"/>
          <w:b/>
          <w:bCs/>
          <w:i/>
          <w:iCs/>
        </w:rPr>
        <w:t>las entidades federativas, en el ámbito de sus respectivas competencias, se regirán por los siguientes principios y bases:</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rPr>
        <w:t xml:space="preserve">I. </w:t>
      </w:r>
      <w:r w:rsidRPr="00D67F22">
        <w:rPr>
          <w:rFonts w:ascii="Palatino Linotype" w:eastAsia="Palatino Linotype" w:hAnsi="Palatino Linotype" w:cs="Palatino Linotype"/>
          <w:b/>
          <w:bCs/>
          <w:i/>
          <w:iCs/>
        </w:rPr>
        <w:tab/>
        <w:t>Toda la información en posesión de cualquier</w:t>
      </w:r>
      <w:r w:rsidRPr="00D67F22">
        <w:rPr>
          <w:rFonts w:ascii="Palatino Linotype" w:eastAsia="Palatino Linotype" w:hAnsi="Palatino Linotype" w:cs="Palatino Linotype"/>
          <w:i/>
          <w:iCs/>
        </w:rPr>
        <w:t xml:space="preserve"> </w:t>
      </w:r>
      <w:r w:rsidRPr="00D67F22">
        <w:rPr>
          <w:rFonts w:ascii="Palatino Linotype" w:eastAsia="Palatino Linotype" w:hAnsi="Palatino Linotype" w:cs="Palatino Linotype"/>
          <w:b/>
          <w:bCs/>
          <w:i/>
          <w:iCs/>
        </w:rPr>
        <w:t>autoridad</w:t>
      </w:r>
      <w:r w:rsidRPr="00D67F22">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67F22">
        <w:rPr>
          <w:rFonts w:ascii="Palatino Linotype" w:eastAsia="Palatino Linotype" w:hAnsi="Palatino Linotype" w:cs="Palatino Linotype"/>
          <w:b/>
          <w:bCs/>
          <w:i/>
          <w:iCs/>
        </w:rPr>
        <w:t>municipal</w:t>
      </w:r>
      <w:r w:rsidRPr="00D67F22">
        <w:rPr>
          <w:rFonts w:ascii="Palatino Linotype" w:eastAsia="Palatino Linotype" w:hAnsi="Palatino Linotype" w:cs="Palatino Linotype"/>
          <w:i/>
          <w:iCs/>
        </w:rPr>
        <w:t xml:space="preserve">, </w:t>
      </w:r>
      <w:r w:rsidRPr="00D67F22">
        <w:rPr>
          <w:rFonts w:ascii="Palatino Linotype" w:eastAsia="Palatino Linotype" w:hAnsi="Palatino Linotype" w:cs="Palatino Linotype"/>
          <w:b/>
          <w:bCs/>
          <w:i/>
          <w:iCs/>
        </w:rPr>
        <w:t>es pública</w:t>
      </w:r>
      <w:r w:rsidRPr="00D67F22">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D67F22">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D67F22">
        <w:rPr>
          <w:rFonts w:ascii="Palatino Linotype" w:eastAsia="Palatino Linotype" w:hAnsi="Palatino Linotype" w:cs="Palatino Linotype"/>
          <w:i/>
          <w:iCs/>
        </w:rPr>
        <w:t>, la ley determinará los supuestos específicos bajo los cuales procederá la declaración de inexistencia de la información.”</w:t>
      </w:r>
    </w:p>
    <w:p w:rsidR="00375BD9" w:rsidRPr="00D67F22" w:rsidRDefault="00375BD9">
      <w:pPr>
        <w:pBdr>
          <w:top w:val="nil"/>
          <w:left w:val="nil"/>
          <w:bottom w:val="nil"/>
          <w:right w:val="nil"/>
          <w:between w:val="nil"/>
        </w:pBdr>
        <w:tabs>
          <w:tab w:val="left" w:pos="567"/>
        </w:tabs>
        <w:spacing w:before="240" w:after="240"/>
        <w:ind w:left="1134"/>
        <w:jc w:val="both"/>
        <w:rPr>
          <w:rFonts w:ascii="Palatino Linotype" w:eastAsia="Palatino Linotype" w:hAnsi="Palatino Linotype" w:cs="Palatino Linotype"/>
          <w:b/>
          <w:bCs/>
          <w:i/>
          <w:iCs/>
          <w:color w:val="000000"/>
        </w:rPr>
      </w:pPr>
    </w:p>
    <w:p w:rsidR="00375BD9" w:rsidRPr="00D67F22" w:rsidRDefault="009171EA">
      <w:pPr>
        <w:spacing w:before="240" w:after="240"/>
        <w:ind w:left="1134"/>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lastRenderedPageBreak/>
        <w:t>Constitución Política del Estado Libre y Soberano de México</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rPr>
        <w:t>“Artículo 5</w:t>
      </w:r>
      <w:r w:rsidRPr="00D67F22">
        <w:rPr>
          <w:rFonts w:ascii="Palatino Linotype" w:eastAsia="Palatino Linotype" w:hAnsi="Palatino Linotype" w:cs="Palatino Linotype"/>
          <w:i/>
          <w:iCs/>
        </w:rPr>
        <w:t xml:space="preserve">.- </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D67F22">
        <w:rPr>
          <w:rFonts w:ascii="Palatino Linotype" w:eastAsia="Palatino Linotype" w:hAnsi="Palatino Linotype" w:cs="Palatino Linotype"/>
          <w:i/>
          <w:iCs/>
        </w:rPr>
        <w:t>.</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rPr>
        <w:t>Este derecho se regirá por los principios y bases siguientes</w:t>
      </w:r>
      <w:r w:rsidRPr="00D67F22">
        <w:rPr>
          <w:rFonts w:ascii="Palatino Linotype" w:eastAsia="Palatino Linotype" w:hAnsi="Palatino Linotype" w:cs="Palatino Linotype"/>
          <w:i/>
          <w:iCs/>
        </w:rPr>
        <w:t>:</w:t>
      </w:r>
    </w:p>
    <w:p w:rsidR="00375BD9" w:rsidRPr="00D67F22" w:rsidRDefault="009171EA">
      <w:pPr>
        <w:spacing w:before="240" w:after="240"/>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rPr>
        <w:t>I. Toda la información en posesión de cualquier autoridad, entidad, órgano y organismos de los</w:t>
      </w:r>
      <w:r w:rsidRPr="00D67F22">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D67F22">
        <w:rPr>
          <w:rFonts w:ascii="Palatino Linotype" w:eastAsia="Palatino Linotype" w:hAnsi="Palatino Linotype" w:cs="Palatino Linotype"/>
          <w:b/>
          <w:bCs/>
          <w:i/>
          <w:iCs/>
        </w:rPr>
        <w:t>municipales</w:t>
      </w:r>
      <w:r w:rsidRPr="00D67F22">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67F22">
        <w:rPr>
          <w:rFonts w:ascii="Palatino Linotype" w:eastAsia="Palatino Linotype" w:hAnsi="Palatino Linotype" w:cs="Palatino Linotype"/>
          <w:b/>
          <w:bCs/>
          <w:i/>
          <w:iCs/>
        </w:rPr>
        <w:t>es pública</w:t>
      </w:r>
      <w:r w:rsidRPr="00D67F22">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D67F22">
        <w:rPr>
          <w:rFonts w:ascii="Palatino Linotype" w:eastAsia="Palatino Linotype" w:hAnsi="Palatino Linotype" w:cs="Palatino Linotype"/>
          <w:b/>
          <w:bCs/>
          <w:i/>
          <w:iCs/>
        </w:rPr>
        <w:t>En la interpretación de este derecho deberá prevalecer el principio de máxima publicidad</w:t>
      </w:r>
      <w:r w:rsidRPr="00D67F22">
        <w:rPr>
          <w:rFonts w:ascii="Palatino Linotype" w:eastAsia="Palatino Linotype" w:hAnsi="Palatino Linotype" w:cs="Palatino Linotype"/>
          <w:i/>
          <w:iCs/>
        </w:rPr>
        <w:t xml:space="preserve">. </w:t>
      </w:r>
      <w:r w:rsidRPr="00D67F22">
        <w:rPr>
          <w:rFonts w:ascii="Palatino Linotype" w:eastAsia="Palatino Linotype" w:hAnsi="Palatino Linotype" w:cs="Palatino Linotype"/>
          <w:b/>
          <w:bCs/>
          <w:i/>
          <w:iCs/>
        </w:rPr>
        <w:t>Los sujetos obligados deberán documentar todo acto que derive del ejercicio de sus facultades, competencias o funciones</w:t>
      </w:r>
      <w:r w:rsidRPr="00D67F22">
        <w:rPr>
          <w:rFonts w:ascii="Palatino Linotype" w:eastAsia="Palatino Linotype" w:hAnsi="Palatino Linotype" w:cs="Palatino Linotype"/>
          <w:i/>
          <w:iCs/>
        </w:rPr>
        <w:t>, la ley determinará los supuestos específicos bajo los cuales procederá la declaración de inexistencia de la información.”</w:t>
      </w:r>
    </w:p>
    <w:p w:rsidR="00375BD9" w:rsidRPr="00D67F22" w:rsidRDefault="00375BD9">
      <w:pPr>
        <w:tabs>
          <w:tab w:val="left" w:pos="567"/>
        </w:tabs>
        <w:spacing w:before="240" w:after="240"/>
        <w:jc w:val="both"/>
        <w:rPr>
          <w:rFonts w:ascii="Palatino Linotype" w:eastAsia="Palatino Linotype" w:hAnsi="Palatino Linotype" w:cs="Palatino Linotype"/>
          <w:b/>
          <w:bCs/>
          <w:i/>
          <w:iCs/>
        </w:rPr>
      </w:pPr>
    </w:p>
    <w:p w:rsidR="00375BD9" w:rsidRPr="00D67F22" w:rsidRDefault="009171EA">
      <w:pPr>
        <w:numPr>
          <w:ilvl w:val="0"/>
          <w:numId w:val="9"/>
        </w:numPr>
        <w:spacing w:before="240"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D67F22">
        <w:rPr>
          <w:rFonts w:ascii="Palatino Linotype" w:eastAsia="Palatino Linotype" w:hAnsi="Palatino Linotype" w:cs="Palatino Linotype"/>
          <w:i/>
          <w:iCs/>
        </w:rPr>
        <w:t xml:space="preserve">por los </w:t>
      </w:r>
      <w:r w:rsidRPr="00D67F22">
        <w:rPr>
          <w:rFonts w:ascii="Palatino Linotype" w:eastAsia="Palatino Linotype" w:hAnsi="Palatino Linotype" w:cs="Palatino Linotype"/>
          <w:i/>
          <w:iCs/>
        </w:rPr>
        <w:lastRenderedPageBreak/>
        <w:t>principios de simplicidad, rapidez gratuidad del procedimiento, auxilio y orientación a los particulares</w:t>
      </w:r>
      <w:r w:rsidRPr="00D67F22">
        <w:rPr>
          <w:rFonts w:ascii="Palatino Linotype" w:eastAsia="Palatino Linotype" w:hAnsi="Palatino Linotype" w:cs="Palatino Linotype"/>
        </w:rPr>
        <w:t>, contemplando el derecho de las personas con discapacidad y hablantes de lengua indígena.</w:t>
      </w:r>
    </w:p>
    <w:p w:rsidR="00375BD9" w:rsidRPr="00D67F22" w:rsidRDefault="00375BD9">
      <w:pPr>
        <w:spacing w:before="240" w:line="360" w:lineRule="auto"/>
        <w:jc w:val="both"/>
        <w:rPr>
          <w:rFonts w:ascii="Palatino Linotype" w:eastAsia="Palatino Linotype" w:hAnsi="Palatino Linotype" w:cs="Palatino Linotype"/>
        </w:rPr>
      </w:pPr>
    </w:p>
    <w:p w:rsidR="00375BD9" w:rsidRPr="00D67F22" w:rsidRDefault="009171EA">
      <w:pPr>
        <w:numPr>
          <w:ilvl w:val="0"/>
          <w:numId w:val="9"/>
        </w:numPr>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 xml:space="preserve">El Derecho de Acceso a la Información se garantiza y respeta oportunamente, y según lo que dispone la Ley, las </w:t>
      </w:r>
      <w:r w:rsidRPr="00D67F22">
        <w:rPr>
          <w:rFonts w:ascii="Palatino Linotype" w:eastAsia="Palatino Linotype" w:hAnsi="Palatino Linotype" w:cs="Palatino Linotype"/>
          <w:i/>
          <w:iCs/>
        </w:rPr>
        <w:t>solicitudes de acceso a la información</w:t>
      </w:r>
      <w:r w:rsidRPr="00D67F22">
        <w:rPr>
          <w:rFonts w:ascii="Palatino Linotype" w:eastAsia="Palatino Linotype" w:hAnsi="Palatino Linotype" w:cs="Palatino Linotype"/>
        </w:rPr>
        <w:t>.</w:t>
      </w: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9171EA">
      <w:pPr>
        <w:numPr>
          <w:ilvl w:val="0"/>
          <w:numId w:val="9"/>
        </w:numPr>
        <w:spacing w:line="360" w:lineRule="auto"/>
        <w:ind w:left="0" w:firstLine="0"/>
        <w:jc w:val="both"/>
      </w:pPr>
      <w:r w:rsidRPr="00D67F22">
        <w:rPr>
          <w:rFonts w:ascii="Palatino Linotype" w:eastAsia="Palatino Linotype" w:hAnsi="Palatino Linotype" w:cs="Palatino Linotype"/>
        </w:rPr>
        <w:t xml:space="preserve">Así entonces, se procede analizar, en primer lugar, si el </w:t>
      </w:r>
      <w:r w:rsidRPr="00D67F22">
        <w:rPr>
          <w:rFonts w:ascii="Palatino Linotype" w:eastAsia="Palatino Linotype" w:hAnsi="Palatino Linotype" w:cs="Palatino Linotype"/>
          <w:b/>
          <w:bCs/>
        </w:rPr>
        <w:t>SUJETO OBLIGADO</w:t>
      </w:r>
      <w:r w:rsidRPr="00D67F22">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75BD9" w:rsidRPr="00D67F22" w:rsidRDefault="00375BD9">
      <w:pPr>
        <w:pBdr>
          <w:top w:val="nil"/>
          <w:left w:val="nil"/>
          <w:bottom w:val="nil"/>
          <w:right w:val="nil"/>
          <w:between w:val="nil"/>
        </w:pBdr>
        <w:spacing w:line="360" w:lineRule="auto"/>
        <w:jc w:val="both"/>
        <w:rPr>
          <w:rFonts w:ascii="Palatino Linotype" w:eastAsia="Palatino Linotype" w:hAnsi="Palatino Linotype" w:cs="Palatino Linotype"/>
        </w:rPr>
      </w:pPr>
    </w:p>
    <w:p w:rsidR="00375BD9" w:rsidRPr="00D67F22" w:rsidRDefault="009171EA">
      <w:pPr>
        <w:pStyle w:val="Ttulo1"/>
        <w:spacing w:before="0" w:after="240" w:line="360" w:lineRule="auto"/>
        <w:rPr>
          <w:rFonts w:ascii="Palatino Linotype" w:eastAsia="Palatino Linotype" w:hAnsi="Palatino Linotype" w:cs="Palatino Linotype"/>
          <w:b/>
          <w:bCs/>
          <w:color w:val="000000"/>
          <w:sz w:val="24"/>
          <w:szCs w:val="24"/>
        </w:rPr>
      </w:pPr>
      <w:bookmarkStart w:id="11" w:name="_heading=h.26in1rg" w:colFirst="0" w:colLast="0"/>
      <w:bookmarkEnd w:id="11"/>
      <w:r w:rsidRPr="00D67F22">
        <w:rPr>
          <w:rFonts w:ascii="Palatino Linotype" w:eastAsia="Palatino Linotype" w:hAnsi="Palatino Linotype" w:cs="Palatino Linotype"/>
          <w:b/>
          <w:bCs/>
          <w:color w:val="000000"/>
          <w:sz w:val="24"/>
          <w:szCs w:val="24"/>
        </w:rPr>
        <w:t>II. De la información solicitada y la respuesta del SUJETO OBLIGADO</w:t>
      </w:r>
    </w:p>
    <w:p w:rsidR="00375BD9" w:rsidRPr="00D67F22" w:rsidRDefault="009171EA">
      <w:pPr>
        <w:numPr>
          <w:ilvl w:val="0"/>
          <w:numId w:val="9"/>
        </w:numPr>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color w:val="000000"/>
        </w:rPr>
        <w:t xml:space="preserve">Acotada la </w:t>
      </w:r>
      <w:r w:rsidRPr="00D67F22">
        <w:rPr>
          <w:rFonts w:ascii="Palatino Linotype" w:eastAsia="Palatino Linotype" w:hAnsi="Palatino Linotype" w:cs="Palatino Linotype"/>
          <w:i/>
          <w:iCs/>
          <w:color w:val="000000"/>
        </w:rPr>
        <w:t>Litis</w:t>
      </w:r>
      <w:r w:rsidRPr="00D67F22">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negativa a la entrega de la información por el Sujeto Obligado.</w:t>
      </w: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9171EA">
      <w:pPr>
        <w:numPr>
          <w:ilvl w:val="0"/>
          <w:numId w:val="9"/>
        </w:numPr>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 xml:space="preserve">En ese sentido, es importante recordar la información que fue solicitada por el </w:t>
      </w:r>
      <w:r w:rsidRPr="00D67F22">
        <w:rPr>
          <w:rFonts w:ascii="Palatino Linotype" w:eastAsia="Palatino Linotype" w:hAnsi="Palatino Linotype" w:cs="Palatino Linotype"/>
          <w:b/>
          <w:bCs/>
        </w:rPr>
        <w:t xml:space="preserve">RECURRENTE </w:t>
      </w:r>
      <w:r w:rsidRPr="00D67F22">
        <w:rPr>
          <w:rFonts w:ascii="Palatino Linotype" w:eastAsia="Palatino Linotype" w:hAnsi="Palatino Linotype" w:cs="Palatino Linotype"/>
        </w:rPr>
        <w:t xml:space="preserve">así como la información proporcionada por el </w:t>
      </w:r>
      <w:r w:rsidRPr="00D67F22">
        <w:rPr>
          <w:rFonts w:ascii="Palatino Linotype" w:eastAsia="Palatino Linotype" w:hAnsi="Palatino Linotype" w:cs="Palatino Linotype"/>
          <w:b/>
          <w:bCs/>
        </w:rPr>
        <w:t xml:space="preserve">SUJETO OBLIGADO. </w:t>
      </w:r>
    </w:p>
    <w:p w:rsidR="00375BD9" w:rsidRPr="00D67F22" w:rsidRDefault="009171EA">
      <w:pPr>
        <w:numPr>
          <w:ilvl w:val="3"/>
          <w:numId w:val="9"/>
        </w:numPr>
        <w:pBdr>
          <w:top w:val="nil"/>
          <w:left w:val="nil"/>
          <w:bottom w:val="nil"/>
          <w:right w:val="nil"/>
          <w:between w:val="nil"/>
        </w:pBdr>
        <w:spacing w:line="360" w:lineRule="auto"/>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Resultados de las Auditorias del Ejercicio presupuestal del año 2021 realizadas por el órgano Interno de Control.</w:t>
      </w:r>
    </w:p>
    <w:p w:rsidR="00375BD9" w:rsidRPr="00D67F22" w:rsidRDefault="00375BD9">
      <w:pPr>
        <w:spacing w:line="360" w:lineRule="auto"/>
        <w:jc w:val="both"/>
        <w:rPr>
          <w:rFonts w:ascii="Palatino Linotype" w:eastAsia="Palatino Linotype" w:hAnsi="Palatino Linotype" w:cs="Palatino Linotype"/>
          <w:color w:val="000000"/>
        </w:rPr>
      </w:pPr>
    </w:p>
    <w:p w:rsidR="00375BD9" w:rsidRPr="00D67F22" w:rsidRDefault="009171EA">
      <w:pPr>
        <w:numPr>
          <w:ilvl w:val="0"/>
          <w:numId w:val="9"/>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lastRenderedPageBreak/>
        <w:t>Ahora bien, al respecto, es de señalar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 por lo que ,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 los servidores públicos habilitados que tengan bajo su resguardo la misma, de conformidad con los artículos 53, fracciones II y IV y 162 de la Ley de Transparencia y Acceso a la Información Pública del Estado de México y Municipios.</w:t>
      </w:r>
    </w:p>
    <w:p w:rsidR="00375BD9" w:rsidRPr="00D67F22" w:rsidRDefault="00375BD9">
      <w:pPr>
        <w:spacing w:before="240" w:after="240"/>
        <w:jc w:val="both"/>
        <w:rPr>
          <w:rFonts w:ascii="Palatino Linotype" w:eastAsia="Palatino Linotype" w:hAnsi="Palatino Linotype" w:cs="Palatino Linotype"/>
        </w:rPr>
      </w:pPr>
    </w:p>
    <w:p w:rsidR="00375BD9" w:rsidRPr="00D67F22" w:rsidRDefault="009171EA">
      <w:pPr>
        <w:numPr>
          <w:ilvl w:val="0"/>
          <w:numId w:val="9"/>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w:t>
      </w:r>
      <w:r w:rsidRPr="00D67F22">
        <w:rPr>
          <w:rFonts w:ascii="Palatino Linotype" w:eastAsia="Palatino Linotype" w:hAnsi="Palatino Linotype" w:cs="Palatino Linotype"/>
          <w:color w:val="000000"/>
        </w:rPr>
        <w:lastRenderedPageBreak/>
        <w:t>de conformidad con los artículos 3, fracción XXXIX, 58 y 59, de la Ley de Transparencia y Acceso a la Información Pública del Estado de México y Municipios.</w:t>
      </w:r>
    </w:p>
    <w:p w:rsidR="00375BD9" w:rsidRPr="00D67F22" w:rsidRDefault="009171EA">
      <w:pPr>
        <w:numPr>
          <w:ilvl w:val="0"/>
          <w:numId w:val="9"/>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rsidR="00375BD9" w:rsidRPr="00D67F22" w:rsidRDefault="00375BD9">
      <w:pPr>
        <w:pBdr>
          <w:top w:val="nil"/>
          <w:left w:val="nil"/>
          <w:bottom w:val="nil"/>
          <w:right w:val="nil"/>
          <w:between w:val="nil"/>
        </w:pBdr>
        <w:ind w:left="720"/>
        <w:rPr>
          <w:rFonts w:ascii="Palatino Linotype" w:eastAsia="Palatino Linotype" w:hAnsi="Palatino Linotype" w:cs="Palatino Linotype"/>
          <w:color w:val="000000"/>
        </w:rPr>
      </w:pPr>
    </w:p>
    <w:p w:rsidR="00375BD9" w:rsidRPr="00D67F22" w:rsidRDefault="009171EA">
      <w:pPr>
        <w:numPr>
          <w:ilvl w:val="0"/>
          <w:numId w:val="9"/>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En esta línea de pensamiento, derivado del análisis de las constancias que obran en el expediente electrónico en el que se actúa, se advirtió que la Unidad de Transparencia turnó la solicitud de información para su atención al  Órgano Interno de Control, cuyo objetivo, de conformidad con el artículo 110 y 112 de la Ley Orgánica Municipal es el encargado de promover, evaluar y fortalecer el buen funcionamiento del control interno, competente para aplicar las leyes en materia de responsabilidades de los servidores públicos y que entre sus atribuciones se encuentran: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I. Planear, programar, organizar y coordinar el sistema de control y evaluación municipal;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b/>
          <w:bCs/>
          <w:i/>
          <w:iCs/>
          <w:color w:val="000000"/>
        </w:rPr>
      </w:pPr>
      <w:r w:rsidRPr="00D67F22">
        <w:rPr>
          <w:rFonts w:ascii="Palatino Linotype" w:eastAsia="Palatino Linotype" w:hAnsi="Palatino Linotype" w:cs="Palatino Linotype"/>
          <w:b/>
          <w:bCs/>
          <w:i/>
          <w:iCs/>
          <w:color w:val="000000"/>
        </w:rPr>
        <w:t xml:space="preserve">II. Fiscalizar el ingreso y ejercicio del gasto público municipal y su congruencia con el presupuesto de egresos;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III. Aplicar las normas y criterios en materia de control y evaluación;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IV. Asesorar a los órganos de control interno de los organismos auxiliares y fideicomisos de la administración pública municipal;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V. Establecer las bases generales para la realización de auditorías e inspecciones;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lastRenderedPageBreak/>
        <w:t xml:space="preserve">VI. Vigilar que los recursos federales y estatales asignados a los ayuntamientos se apliquen en los términos estipulados en las leyes, los reglamentos y los convenios respectivos;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VII. Vigilar el cumplimiento de las obligaciones de proveedores y contratistas de la administración pública municipal;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VIII. Coordinarse con el Órgano Superior de Fiscalización del Estado de México y la Contraloría del Poder Legislativo y con la Secretaría de la Contraloría del Estado para el cumplimiento de sus funciones;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IX. Designar a los auditores externos y proponer al ayuntamiento, en su caso, a los Comisarios de los Organismos Auxiliares;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X. Establecer y operar un sistema de atención de quejas, denuncias y sugerencias;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b/>
          <w:bCs/>
          <w:i/>
          <w:iCs/>
          <w:color w:val="000000"/>
        </w:rPr>
      </w:pPr>
      <w:r w:rsidRPr="00D67F22">
        <w:rPr>
          <w:rFonts w:ascii="Palatino Linotype" w:eastAsia="Palatino Linotype" w:hAnsi="Palatino Linotype" w:cs="Palatino Linotype"/>
          <w:b/>
          <w:bCs/>
          <w:i/>
          <w:iCs/>
          <w:color w:val="000000"/>
        </w:rPr>
        <w:t xml:space="preserve">XI. Realizar auditorías y evaluaciones e informar del resultado de las mismas al ayuntamiento; </w:t>
      </w:r>
    </w:p>
    <w:p w:rsidR="00375BD9" w:rsidRPr="00D67F22" w:rsidRDefault="009171EA">
      <w:pPr>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XII. Participar en la entrega-recepción de las unidades administrativas de las dependencias, organismos auxiliares y fideicomisos del municipio;</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b/>
          <w:bCs/>
          <w:i/>
          <w:iCs/>
          <w:color w:val="000000"/>
        </w:rPr>
      </w:pPr>
      <w:r w:rsidRPr="00D67F22">
        <w:rPr>
          <w:rFonts w:ascii="Palatino Linotype" w:eastAsia="Palatino Linotype" w:hAnsi="Palatino Linotype" w:cs="Palatino Linotype"/>
          <w:b/>
          <w:bCs/>
          <w:i/>
          <w:iCs/>
          <w:color w:val="000000"/>
        </w:rPr>
        <w:t xml:space="preserve">XIII. Dictaminar los estados financieros de la tesorería municipal y verificar que se remitan los informes correspondientes al Órgano Superior de Fiscalización del Estado de México;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XIV. Vigilar que los ingresos municipales se enteren a la tesorería municipal conforme a los procedimientos contables y disposiciones legales aplicables;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XV. Participar en la elaboración y actualización del inventario general de los bienes muebles e inmuebles propiedad del municipio, que expresará las características de identificación y destino de los mismos;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XVI. Verificar que los servidores públicos municipales cumplan con la obligación de presentar oportunamente la declaración de situación patrimonial y de intereses, en términos de la Ley de Responsabilidades Administrativas del Estado de México y Municipios;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XVII. Recibir las denuncias que se formulen por presuntas infracciones o faltas administrativas derivadas de actos u omisiones cometidos por las personas servidoras públicas de sus municipios, o de particulares vinculados con faltas administrativas graves; así como iniciar de oficio, por denuncia o derivado de auditorías realizadas por las autoridades competentes, los procedimientos de investigación por posibles faltas administrativas y en su caso, la calificación de </w:t>
      </w:r>
      <w:r w:rsidRPr="00D67F22">
        <w:rPr>
          <w:rFonts w:ascii="Palatino Linotype" w:eastAsia="Palatino Linotype" w:hAnsi="Palatino Linotype" w:cs="Palatino Linotype"/>
          <w:i/>
          <w:iCs/>
          <w:color w:val="000000"/>
        </w:rPr>
        <w:lastRenderedPageBreak/>
        <w:t xml:space="preserve">faltas graves y no graves, en términos de la Ley de Responsabilidades Administrativas del Estado de México y Municipios.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Asimismo, substanciar los procedimientos de responsabilidad administrativa y emitir en su caso, las resoluciones que son de su competencia, imponiendo cuando proceda, las sanciones que correspondan; remitiendo los expedientes al Tribunal de Justicia Administrativa del Estado de México, por faltas graves y faltas de particulares en términos de la referida Ley de Responsabilidades Administrativas del Estado de México y Municipios; instruyendo, tramitando y resolviendo los recursos que le corresponda conocer, previstos en esta;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XVIII. Supervisar el cumplimiento de los acuerdos tomados por el Consejo Municipal de Seguridad Pública; </w:t>
      </w:r>
    </w:p>
    <w:p w:rsidR="00375BD9" w:rsidRPr="00D67F22" w:rsidRDefault="009171EA">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XIX. Vigilar el cumplimiento de los programas y acciones para la prevención, atención y en su caso, el pago de las responsabilidades económicas de los Ayuntamientos por los conflictos laborales; y </w:t>
      </w:r>
    </w:p>
    <w:p w:rsidR="00375BD9" w:rsidRPr="00D67F22" w:rsidRDefault="009171EA">
      <w:pPr>
        <w:spacing w:before="240" w:after="240" w:line="360" w:lineRule="auto"/>
        <w:ind w:lef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XX. Las demás que le señalen las disposiciones relativas.</w:t>
      </w:r>
    </w:p>
    <w:p w:rsidR="00375BD9" w:rsidRPr="00D67F22" w:rsidRDefault="009171EA">
      <w:pPr>
        <w:numPr>
          <w:ilvl w:val="0"/>
          <w:numId w:val="9"/>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Mientras que el artículo 91 del Bando Municipal refiere al Órgano Interno de Control como el ente que supervise y evalúe la correcta aplicación de los recursos gestionados por el Ayuntamiento, así mismo el artículo 92 fracción tercera enuncia como sus funciones: </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La persona titular del Órgano Interno de Control Municipal tendrá como principales funciones el control y la fiscalización municipal</w:t>
      </w:r>
      <w:r w:rsidRPr="00D67F22">
        <w:rPr>
          <w:rFonts w:ascii="Palatino Linotype" w:eastAsia="Palatino Linotype" w:hAnsi="Palatino Linotype" w:cs="Palatino Linotype"/>
          <w:b/>
          <w:bCs/>
          <w:i/>
          <w:iCs/>
        </w:rPr>
        <w:t>; la aplicación de normas, evaluación de ingresos y egresos</w:t>
      </w:r>
      <w:r w:rsidRPr="00D67F22">
        <w:rPr>
          <w:rFonts w:ascii="Palatino Linotype" w:eastAsia="Palatino Linotype" w:hAnsi="Palatino Linotype" w:cs="Palatino Linotype"/>
          <w:i/>
          <w:iCs/>
        </w:rPr>
        <w:t xml:space="preserve">, la planeación del control interno, asesoría en responsabilidades administrativas y supervisión del cumplimiento normativo. </w:t>
      </w:r>
      <w:r w:rsidRPr="00D67F22">
        <w:rPr>
          <w:rFonts w:ascii="Palatino Linotype" w:eastAsia="Palatino Linotype" w:hAnsi="Palatino Linotype" w:cs="Palatino Linotype"/>
          <w:b/>
          <w:bCs/>
          <w:i/>
          <w:iCs/>
        </w:rPr>
        <w:t>Para ello, podrá llevar a cabo auditorías, revisiones financieras, supervisión de contrataciones y gestión patrimonial</w:t>
      </w:r>
      <w:r w:rsidRPr="00D67F22">
        <w:rPr>
          <w:rFonts w:ascii="Palatino Linotype" w:eastAsia="Palatino Linotype" w:hAnsi="Palatino Linotype" w:cs="Palatino Linotype"/>
          <w:i/>
          <w:iCs/>
        </w:rPr>
        <w:t>. Además, podrá investigar posibles faltas administrativas y colaborar con instancias estatales y federales. Recibirá y canalizará denuncias, fomentará la participación ciudadana en materia de fiscalización y garantizará mecanismos para prevenir actos de corrupción, fortaleciendo la rendición de cuentas y el cumplimiento de la normatividad aplicable.</w:t>
      </w:r>
    </w:p>
    <w:p w:rsidR="00375BD9" w:rsidRPr="00D67F22" w:rsidRDefault="009171EA">
      <w:pPr>
        <w:numPr>
          <w:ilvl w:val="0"/>
          <w:numId w:val="9"/>
        </w:num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lastRenderedPageBreak/>
        <w:t>Además, de conformidad con el artículo VIII del manual de organización de la Contraloría, el Órgano Interno de Control se auxilia de las siguientes áreas para el despacho de los asuntos que se le encomiendan:</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Coordinación de Apoyo Técnico</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Delegación Administrativa</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Dirección de Auditoría de Obra y Contraloría Social</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Departamento de Contraloría Social</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Departamento de Auditoría de Obra</w:t>
      </w:r>
    </w:p>
    <w:p w:rsidR="00375BD9" w:rsidRPr="00D67F22" w:rsidRDefault="009171EA">
      <w:pPr>
        <w:spacing w:before="240" w:after="240"/>
        <w:ind w:left="1134" w:right="1134"/>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Dirección de Auditoría</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Departamento de Auditoría Financiera</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Departamento de Auditoría Administrativa</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Departamento Sustanciador de Responsabilidades Administrativas</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Departamento Resolutor de Responsabilidades Administrativas</w:t>
      </w:r>
    </w:p>
    <w:p w:rsidR="00375BD9" w:rsidRPr="00D67F22" w:rsidRDefault="009171EA">
      <w:pPr>
        <w:spacing w:before="240" w:after="240"/>
        <w:ind w:left="1134" w:right="1134"/>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 xml:space="preserve">Dirección de Investigación de Responsabilidades Administrativas </w:t>
      </w:r>
    </w:p>
    <w:p w:rsidR="00375BD9" w:rsidRPr="00D67F22" w:rsidRDefault="009171EA">
      <w:pPr>
        <w:numPr>
          <w:ilvl w:val="0"/>
          <w:numId w:val="9"/>
        </w:numPr>
        <w:pBdr>
          <w:top w:val="nil"/>
          <w:left w:val="nil"/>
          <w:bottom w:val="nil"/>
          <w:right w:val="nil"/>
          <w:between w:val="nil"/>
        </w:pBdr>
        <w:spacing w:before="240" w:after="240" w:line="360" w:lineRule="auto"/>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Así mismo de la tabla de aplicabilidad y actualización</w:t>
      </w:r>
      <w:r w:rsidRPr="00D67F22">
        <w:rPr>
          <w:rFonts w:ascii="Palatino Linotype" w:eastAsia="Palatino Linotype" w:hAnsi="Palatino Linotype" w:cs="Palatino Linotype"/>
          <w:color w:val="000000"/>
          <w:vertAlign w:val="superscript"/>
        </w:rPr>
        <w:footnoteReference w:id="5"/>
      </w:r>
      <w:r w:rsidRPr="00D67F22">
        <w:rPr>
          <w:rFonts w:ascii="Palatino Linotype" w:eastAsia="Palatino Linotype" w:hAnsi="Palatino Linotype" w:cs="Palatino Linotype"/>
          <w:color w:val="000000"/>
        </w:rPr>
        <w:t xml:space="preserve">  para el Sujeto obligado se observa:</w:t>
      </w:r>
    </w:p>
    <w:p w:rsidR="00375BD9" w:rsidRPr="00D67F22" w:rsidRDefault="009171EA">
      <w:pPr>
        <w:spacing w:before="240" w:after="240" w:line="360" w:lineRule="auto"/>
        <w:jc w:val="center"/>
        <w:rPr>
          <w:rFonts w:ascii="Palatino Linotype" w:eastAsia="Palatino Linotype" w:hAnsi="Palatino Linotype" w:cs="Palatino Linotype"/>
        </w:rPr>
      </w:pPr>
      <w:r w:rsidRPr="00D67F22">
        <w:rPr>
          <w:noProof/>
        </w:rPr>
        <w:drawing>
          <wp:inline distT="0" distB="0" distL="0" distR="0">
            <wp:extent cx="5527625" cy="819593"/>
            <wp:effectExtent l="0" t="0" r="0" b="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27625" cy="819593"/>
                    </a:xfrm>
                    <a:prstGeom prst="rect">
                      <a:avLst/>
                    </a:prstGeom>
                    <a:ln/>
                  </pic:spPr>
                </pic:pic>
              </a:graphicData>
            </a:graphic>
          </wp:inline>
        </w:drawing>
      </w:r>
    </w:p>
    <w:p w:rsidR="00375BD9" w:rsidRDefault="009171EA">
      <w:pPr>
        <w:spacing w:before="240" w:after="240" w:line="360" w:lineRule="auto"/>
        <w:jc w:val="both"/>
        <w:rPr>
          <w:rFonts w:ascii="Palatino Linotype" w:eastAsia="Palatino Linotype" w:hAnsi="Palatino Linotype" w:cs="Palatino Linotype"/>
          <w:i/>
          <w:iCs/>
        </w:rPr>
      </w:pPr>
      <w:r w:rsidRPr="00D67F22">
        <w:rPr>
          <w:rFonts w:ascii="Palatino Linotype" w:eastAsia="Palatino Linotype" w:hAnsi="Palatino Linotype" w:cs="Palatino Linotype"/>
          <w:i/>
          <w:iCs/>
          <w:noProof/>
        </w:rPr>
        <w:lastRenderedPageBreak/>
        <w:drawing>
          <wp:inline distT="0" distB="0" distL="0" distR="0">
            <wp:extent cx="5760720" cy="3919855"/>
            <wp:effectExtent l="0" t="0" r="0" b="0"/>
            <wp:docPr id="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60720" cy="3919855"/>
                    </a:xfrm>
                    <a:prstGeom prst="rect">
                      <a:avLst/>
                    </a:prstGeom>
                    <a:ln/>
                  </pic:spPr>
                </pic:pic>
              </a:graphicData>
            </a:graphic>
          </wp:inline>
        </w:drawing>
      </w:r>
    </w:p>
    <w:p w:rsidR="00D67F22" w:rsidRPr="00D67F22" w:rsidRDefault="00D67F22">
      <w:pPr>
        <w:spacing w:before="240" w:after="240" w:line="360" w:lineRule="auto"/>
        <w:jc w:val="both"/>
        <w:rPr>
          <w:rFonts w:ascii="Palatino Linotype" w:eastAsia="Palatino Linotype" w:hAnsi="Palatino Linotype" w:cs="Palatino Linotype"/>
          <w:i/>
          <w:iCs/>
        </w:rPr>
      </w:pPr>
    </w:p>
    <w:p w:rsidR="00375BD9" w:rsidRPr="00D67F22" w:rsidRDefault="009171EA">
      <w:pPr>
        <w:numPr>
          <w:ilvl w:val="0"/>
          <w:numId w:val="9"/>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Es así que del Manual de Procedimientos del área en cita se advierte el informe del análisis e interpretación que de manera trimestral debe verificar los estados financieros a fin de corroborar que en el informe presupuestal de ingresos  y egresos los saldos sean congruentes con el presupuesto autorizado</w:t>
      </w:r>
      <w:r w:rsidRPr="00D67F22">
        <w:rPr>
          <w:rFonts w:ascii="Palatino Linotype" w:eastAsia="Palatino Linotype" w:hAnsi="Palatino Linotype" w:cs="Palatino Linotype"/>
          <w:color w:val="000000"/>
          <w:vertAlign w:val="superscript"/>
        </w:rPr>
        <w:footnoteReference w:id="6"/>
      </w:r>
      <w:r w:rsidRPr="00D67F22">
        <w:rPr>
          <w:rFonts w:ascii="Palatino Linotype" w:eastAsia="Palatino Linotype" w:hAnsi="Palatino Linotype" w:cs="Palatino Linotype"/>
          <w:color w:val="000000"/>
        </w:rPr>
        <w:t xml:space="preserve"> para lo cual los municipios deberán utilizar los formatos estandarizados proporcionados y regulados por el Órgano Superior de </w:t>
      </w:r>
      <w:r w:rsidRPr="00D67F22">
        <w:rPr>
          <w:rFonts w:ascii="Palatino Linotype" w:eastAsia="Palatino Linotype" w:hAnsi="Palatino Linotype" w:cs="Palatino Linotype"/>
          <w:color w:val="000000"/>
        </w:rPr>
        <w:lastRenderedPageBreak/>
        <w:t>Fiscalización del Estado de México tomando en consideración el Presupuesto Basado en Resultados (PbRM).</w:t>
      </w:r>
    </w:p>
    <w:p w:rsidR="00375BD9" w:rsidRPr="00D67F22" w:rsidRDefault="009171EA">
      <w:pPr>
        <w:spacing w:before="240" w:after="240"/>
        <w:jc w:val="both"/>
        <w:rPr>
          <w:rFonts w:ascii="Palatino Linotype" w:eastAsia="Palatino Linotype" w:hAnsi="Palatino Linotype" w:cs="Palatino Linotype"/>
        </w:rPr>
      </w:pPr>
      <w:r w:rsidRPr="00D67F22">
        <w:rPr>
          <w:rFonts w:ascii="Palatino Linotype" w:eastAsia="Palatino Linotype" w:hAnsi="Palatino Linotype" w:cs="Palatino Linotype"/>
          <w:noProof/>
        </w:rPr>
        <w:drawing>
          <wp:inline distT="0" distB="0" distL="0" distR="0">
            <wp:extent cx="5760720" cy="1932305"/>
            <wp:effectExtent l="0" t="0" r="0" b="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60720" cy="1932305"/>
                    </a:xfrm>
                    <a:prstGeom prst="rect">
                      <a:avLst/>
                    </a:prstGeom>
                    <a:ln/>
                  </pic:spPr>
                </pic:pic>
              </a:graphicData>
            </a:graphic>
          </wp:inline>
        </w:drawing>
      </w:r>
    </w:p>
    <w:p w:rsidR="00375BD9" w:rsidRPr="00D67F22" w:rsidRDefault="009171EA">
      <w:pPr>
        <w:numPr>
          <w:ilvl w:val="0"/>
          <w:numId w:val="6"/>
        </w:numP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rPr>
        <w:t xml:space="preserve">Ahora bien con respecto, </w:t>
      </w:r>
      <w:r w:rsidRPr="00D67F22">
        <w:rPr>
          <w:rFonts w:ascii="Palatino Linotype" w:eastAsia="Palatino Linotype" w:hAnsi="Palatino Linotype" w:cs="Palatino Linotype"/>
          <w:color w:val="000000"/>
        </w:rPr>
        <w:t>los “</w:t>
      </w:r>
      <w:r w:rsidRPr="00D67F22">
        <w:rPr>
          <w:rFonts w:ascii="Palatino Linotype" w:eastAsia="Palatino Linotype" w:hAnsi="Palatino Linotype" w:cs="Palatino Linotype"/>
          <w:i/>
          <w:iCs/>
          <w:color w:val="000000"/>
        </w:rPr>
        <w:t xml:space="preserve">Lineamientos Técnicos Generales para la Publicación, Homologación y Estandarización de la Información de las Obligaciones Establecidas en el Título Quinto y en la Fracción IV del Artículo 31 de la Ley General de </w:t>
      </w:r>
      <w:r w:rsidRPr="00D67F22">
        <w:rPr>
          <w:rFonts w:ascii="Palatino Linotype" w:eastAsia="Palatino Linotype" w:hAnsi="Palatino Linotype" w:cs="Palatino Linotype"/>
          <w:color w:val="000000"/>
        </w:rPr>
        <w:t>Transparencia</w:t>
      </w:r>
      <w:r w:rsidRPr="00D67F22">
        <w:rPr>
          <w:rFonts w:ascii="Palatino Linotype" w:eastAsia="Palatino Linotype" w:hAnsi="Palatino Linotype" w:cs="Palatino Linotype"/>
          <w:i/>
          <w:iCs/>
          <w:color w:val="000000"/>
        </w:rPr>
        <w:t xml:space="preserve"> y Acceso a la Información Pública, que deben de difundir los Sujetos Obligados en los portales de internet y en la Plataforma Nacional de Transparencia”</w:t>
      </w:r>
      <w:r w:rsidRPr="00D67F22">
        <w:rPr>
          <w:rFonts w:ascii="Palatino Linotype" w:eastAsia="Palatino Linotype" w:hAnsi="Palatino Linotype" w:cs="Palatino Linotype"/>
          <w:b/>
          <w:bCs/>
          <w:i/>
          <w:iCs/>
          <w:color w:val="000000"/>
        </w:rPr>
        <w:t>,</w:t>
      </w:r>
      <w:r w:rsidRPr="00D67F22">
        <w:rPr>
          <w:rFonts w:ascii="Palatino Linotype" w:eastAsia="Palatino Linotype" w:hAnsi="Palatino Linotype" w:cs="Palatino Linotype"/>
          <w:color w:val="000000"/>
        </w:rPr>
        <w:t xml:space="preserve"> en su Anexo I referente a las Obligaciones de Transparencia Comunes de los Sujetos Obligados contempladas en el artículo 70, fracción XXIV, de la Ley General de Transparencia y Acceso a la Información Pública, precisan en los Criterios Sustantivos de Contenido con relación a la información curricular,  vigentes a la fecha de la solicitud, vigentes a la fecha de la solicitud de información, refieren lo siguiente:</w:t>
      </w:r>
    </w:p>
    <w:p w:rsidR="00375BD9" w:rsidRPr="00D67F22" w:rsidRDefault="009171EA">
      <w:pPr>
        <w:ind w:left="1134" w:right="900"/>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w:t>
      </w:r>
    </w:p>
    <w:p w:rsidR="00375BD9" w:rsidRPr="00D67F22" w:rsidRDefault="009171EA">
      <w:pPr>
        <w:ind w:left="1134" w:right="900"/>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Anexo I</w:t>
      </w:r>
    </w:p>
    <w:p w:rsidR="00375BD9" w:rsidRPr="00D67F22" w:rsidRDefault="009171EA">
      <w:pPr>
        <w:ind w:left="1134" w:right="900"/>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Obligaciones de transparencia comunes todos los sujetos obligados</w:t>
      </w:r>
    </w:p>
    <w:p w:rsidR="00375BD9" w:rsidRPr="00D67F22" w:rsidRDefault="009171EA">
      <w:pPr>
        <w:ind w:left="1134" w:right="900"/>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Criterios para las obligaciones de transparencia comunes</w:t>
      </w:r>
    </w:p>
    <w:p w:rsidR="00375BD9" w:rsidRPr="00D67F22" w:rsidRDefault="009171EA">
      <w:pPr>
        <w:ind w:left="1134" w:right="900"/>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u w:val="single"/>
        </w:rPr>
        <w:t xml:space="preserve">El catálogo de la información que todos los sujetos obligados deben poner a disposición de las personas en sus portales de Internet y en la </w:t>
      </w:r>
      <w:r w:rsidRPr="00D67F22">
        <w:rPr>
          <w:rFonts w:ascii="Palatino Linotype" w:eastAsia="Palatino Linotype" w:hAnsi="Palatino Linotype" w:cs="Palatino Linotype"/>
          <w:b/>
          <w:bCs/>
          <w:i/>
          <w:iCs/>
          <w:u w:val="single"/>
        </w:rPr>
        <w:lastRenderedPageBreak/>
        <w:t>Plataforma Nacional está detallado en el Título Quinto, Capítulo II de la Ley General, en el artículo 70, fracciones I a la XLVIII</w:t>
      </w:r>
      <w:r w:rsidRPr="00D67F22">
        <w:rPr>
          <w:rFonts w:ascii="Palatino Linotype" w:eastAsia="Palatino Linotype" w:hAnsi="Palatino Linotype" w:cs="Palatino Linotype"/>
          <w:i/>
          <w:iCs/>
        </w:rPr>
        <w:t>.</w:t>
      </w:r>
    </w:p>
    <w:p w:rsidR="00375BD9" w:rsidRPr="00D67F22" w:rsidRDefault="009171EA">
      <w:pPr>
        <w:ind w:left="1134" w:right="900"/>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En este apartado se detallan los criterios sustantivos y adjetivos que por cada rubro de información determinan los datos, características y forma de organización de la información que publicarán y actualizarán en sus portales de Internet y en la Plataforma Nacional, los sujetos obligados determinados en el artículo 23 de la Ley General.</w:t>
      </w:r>
    </w:p>
    <w:p w:rsidR="00375BD9" w:rsidRPr="00D67F22" w:rsidRDefault="00375BD9">
      <w:pPr>
        <w:ind w:left="1134" w:right="900"/>
        <w:jc w:val="both"/>
        <w:rPr>
          <w:rFonts w:ascii="Palatino Linotype" w:eastAsia="Palatino Linotype" w:hAnsi="Palatino Linotype" w:cs="Palatino Linotype"/>
          <w:i/>
          <w:iCs/>
        </w:rPr>
      </w:pPr>
    </w:p>
    <w:p w:rsidR="00375BD9" w:rsidRPr="00D67F22" w:rsidRDefault="009171EA">
      <w:pPr>
        <w:ind w:left="1134" w:right="900"/>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u w:val="single"/>
        </w:rPr>
        <w:t>El artículo 65 dice a la letra</w:t>
      </w:r>
      <w:r w:rsidRPr="00D67F22">
        <w:rPr>
          <w:rFonts w:ascii="Palatino Linotype" w:eastAsia="Palatino Linotype" w:hAnsi="Palatino Linotype" w:cs="Palatino Linotype"/>
          <w:i/>
          <w:iCs/>
        </w:rPr>
        <w:t>:</w:t>
      </w:r>
    </w:p>
    <w:p w:rsidR="00375BD9" w:rsidRPr="00D67F22" w:rsidRDefault="00375BD9">
      <w:pPr>
        <w:ind w:left="1134" w:right="900"/>
        <w:jc w:val="both"/>
        <w:rPr>
          <w:rFonts w:ascii="Palatino Linotype" w:eastAsia="Palatino Linotype" w:hAnsi="Palatino Linotype" w:cs="Palatino Linotype"/>
          <w:i/>
          <w:iCs/>
        </w:rPr>
      </w:pPr>
    </w:p>
    <w:p w:rsidR="00375BD9" w:rsidRPr="00D67F22" w:rsidRDefault="009171EA">
      <w:pPr>
        <w:ind w:left="1134" w:right="900"/>
        <w:jc w:val="both"/>
        <w:rPr>
          <w:rFonts w:ascii="Palatino Linotype" w:eastAsia="Palatino Linotype" w:hAnsi="Palatino Linotype" w:cs="Palatino Linotype"/>
          <w:i/>
          <w:iCs/>
        </w:rPr>
      </w:pPr>
      <w:r w:rsidRPr="00D67F22">
        <w:rPr>
          <w:rFonts w:ascii="Palatino Linotype" w:eastAsia="Palatino Linotype" w:hAnsi="Palatino Linotype" w:cs="Palatino Linotype"/>
          <w:b/>
          <w:bCs/>
          <w:i/>
          <w:iCs/>
        </w:rPr>
        <w:t>“Artículo 65. 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p w:rsidR="00375BD9" w:rsidRPr="00D67F22" w:rsidRDefault="00375BD9">
      <w:pPr>
        <w:ind w:left="1134" w:right="900"/>
        <w:jc w:val="both"/>
        <w:rPr>
          <w:rFonts w:ascii="Palatino Linotype" w:eastAsia="Palatino Linotype" w:hAnsi="Palatino Linotype" w:cs="Palatino Linotype"/>
          <w:i/>
          <w:iCs/>
        </w:rPr>
      </w:pPr>
    </w:p>
    <w:p w:rsidR="00375BD9" w:rsidRPr="00D67F22" w:rsidRDefault="009171EA">
      <w:pPr>
        <w:ind w:left="1134" w:right="900"/>
        <w:jc w:val="both"/>
        <w:rPr>
          <w:rFonts w:ascii="Palatino Linotype" w:eastAsia="Palatino Linotype" w:hAnsi="Palatino Linotype" w:cs="Palatino Linotype"/>
          <w:i/>
          <w:iCs/>
        </w:rPr>
      </w:pPr>
      <w:r w:rsidRPr="00D67F22">
        <w:rPr>
          <w:rFonts w:ascii="Palatino Linotype" w:eastAsia="Palatino Linotype" w:hAnsi="Palatino Linotype" w:cs="Palatino Linotype"/>
          <w:i/>
          <w:iCs/>
        </w:rPr>
        <w:t xml:space="preserve"> […]</w:t>
      </w:r>
    </w:p>
    <w:p w:rsidR="00375BD9" w:rsidRPr="00D67F22" w:rsidRDefault="009171EA">
      <w:pPr>
        <w:pBdr>
          <w:top w:val="nil"/>
          <w:left w:val="nil"/>
          <w:bottom w:val="nil"/>
          <w:right w:val="nil"/>
          <w:between w:val="nil"/>
        </w:pBdr>
        <w:spacing w:line="276" w:lineRule="auto"/>
        <w:ind w:left="1134" w:right="992"/>
        <w:jc w:val="both"/>
        <w:rPr>
          <w:rFonts w:ascii="Palatino Linotype" w:eastAsia="Palatino Linotype" w:hAnsi="Palatino Linotype" w:cs="Palatino Linotype"/>
          <w:b/>
          <w:bCs/>
          <w:i/>
          <w:iCs/>
        </w:rPr>
      </w:pPr>
      <w:r w:rsidRPr="00D67F22">
        <w:rPr>
          <w:rFonts w:ascii="Palatino Linotype" w:eastAsia="Palatino Linotype" w:hAnsi="Palatino Linotype" w:cs="Palatino Linotype"/>
          <w:b/>
          <w:bCs/>
          <w:i/>
          <w:iCs/>
        </w:rPr>
        <w:t>XXII. Los informes de resultados de las auditorías al ejercicio presupuestal de cada sujeto obligado que se realicen y, en su caso, las aclaraciones que correspondan;</w:t>
      </w:r>
    </w:p>
    <w:p w:rsidR="00375BD9" w:rsidRPr="00D67F22" w:rsidRDefault="009171EA">
      <w:pPr>
        <w:pBdr>
          <w:top w:val="nil"/>
          <w:left w:val="nil"/>
          <w:bottom w:val="nil"/>
          <w:right w:val="nil"/>
          <w:between w:val="nil"/>
        </w:pBdr>
        <w:spacing w:line="276" w:lineRule="auto"/>
        <w:ind w:left="1134" w:right="992"/>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b/>
          <w:bCs/>
          <w:i/>
          <w:iCs/>
        </w:rPr>
        <w:t>XXIII. El resultado de la Dictaminación de los estados financieros;</w:t>
      </w:r>
    </w:p>
    <w:p w:rsidR="00375BD9" w:rsidRPr="00D67F22" w:rsidRDefault="009171EA">
      <w:pPr>
        <w:pBdr>
          <w:top w:val="nil"/>
          <w:left w:val="nil"/>
          <w:bottom w:val="nil"/>
          <w:right w:val="nil"/>
          <w:between w:val="nil"/>
        </w:pBdr>
        <w:ind w:left="720" w:firstLine="414"/>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w:t>
      </w:r>
    </w:p>
    <w:p w:rsidR="00375BD9" w:rsidRPr="00D67F22" w:rsidRDefault="00375BD9">
      <w:pPr>
        <w:pBdr>
          <w:top w:val="nil"/>
          <w:left w:val="nil"/>
          <w:bottom w:val="nil"/>
          <w:right w:val="nil"/>
          <w:between w:val="nil"/>
        </w:pBdr>
        <w:ind w:left="720"/>
        <w:rPr>
          <w:rFonts w:ascii="Palatino Linotype" w:eastAsia="Palatino Linotype" w:hAnsi="Palatino Linotype" w:cs="Palatino Linotype"/>
          <w:color w:val="000000"/>
        </w:rPr>
      </w:pPr>
    </w:p>
    <w:p w:rsidR="00375BD9" w:rsidRPr="00D67F22" w:rsidRDefault="009171EA">
      <w:pPr>
        <w:numPr>
          <w:ilvl w:val="0"/>
          <w:numId w:val="10"/>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De los lineamientos citados es  que no puede tenerse por satisfecho el Derecho de acceso de la persona solicitante toda vez que la respuesta proporcionada por la persona servidora pública habilitada de la Dirección de Auditoría no brinda certeza sobre la existencia o inexistencia de la información requerida por la persona solicitante, al advertirse de la lectura de la misma que esta se limitó a requerir del solicitante ser más específico respecto a la información requerida, sin entregarle resultados de la misma, siendo importante mencionar que el Pleno de este Instituto ha sostenido que, en aquellos casos en los que las personas solicitantes no señalen de manera concreta el o los documentos a los que desean acceder, al </w:t>
      </w:r>
      <w:r w:rsidRPr="00D67F22">
        <w:rPr>
          <w:rFonts w:ascii="Palatino Linotype" w:eastAsia="Palatino Linotype" w:hAnsi="Palatino Linotype" w:cs="Palatino Linotype"/>
          <w:color w:val="000000"/>
        </w:rPr>
        <w:lastRenderedPageBreak/>
        <w:t xml:space="preserve">no ser expertos en la materia, los Sujetos Obligados cuentan con el deber de dar a las solicitudes una interpretación que les dé una expresión documental, ya que para que el derecho de acceso a la información pública de los particulares se satisfaga completamente, es necesario que se les brinde el acceso a datos, registros y todo tipo de información pública que conste en documentos, ya sea generados o que se encuentre en posesión de las autoridades, por tal motivo, privilegiando el principio de máxima publicidad, se deberá proceder a la entrega del soporte documental en donde conste la información que brinde respuesta a la solicitud, con la finalidad de que la persona solicitante pueda buscar conforme a su interés; como sustento a lo anterior resulta aplicable el criterio orientador con clave de control SO/016/2017, emitido por el entonces Instituto Nacional de Transparencia, Acceso a la Información y Protección de Datos Personales, INAI, establece lo siguiente: </w:t>
      </w:r>
    </w:p>
    <w:p w:rsidR="00375BD9" w:rsidRPr="00D67F22" w:rsidRDefault="009171EA">
      <w:pPr>
        <w:pBdr>
          <w:top w:val="nil"/>
          <w:left w:val="nil"/>
          <w:bottom w:val="nil"/>
          <w:right w:val="nil"/>
          <w:between w:val="nil"/>
        </w:pBdr>
        <w:spacing w:after="120"/>
        <w:ind w:left="1134" w:right="1134"/>
        <w:jc w:val="both"/>
        <w:rPr>
          <w:rFonts w:ascii="Palatino Linotype" w:eastAsia="Palatino Linotype" w:hAnsi="Palatino Linotype" w:cs="Palatino Linotype"/>
        </w:rPr>
      </w:pPr>
      <w:r w:rsidRPr="00D67F22">
        <w:rPr>
          <w:rFonts w:ascii="Palatino Linotype" w:eastAsia="Palatino Linotype" w:hAnsi="Palatino Linotype" w:cs="Palatino Linotype"/>
        </w:rPr>
        <w:t xml:space="preserve"> “</w:t>
      </w:r>
      <w:r w:rsidRPr="00D67F22">
        <w:rPr>
          <w:rFonts w:ascii="Palatino Linotype" w:eastAsia="Palatino Linotype" w:hAnsi="Palatino Linotype" w:cs="Palatino Linotype"/>
          <w:b/>
          <w:bCs/>
          <w:i/>
          <w:iCs/>
        </w:rPr>
        <w:t xml:space="preserve">Expresión documental. </w:t>
      </w:r>
      <w:r w:rsidRPr="00D67F22">
        <w:rPr>
          <w:rFonts w:ascii="Palatino Linotype" w:eastAsia="Palatino Linotype" w:hAnsi="Palatino Linotype" w:cs="Palatino Linotype"/>
          <w:i/>
          <w:iCs/>
        </w:rPr>
        <w:t>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375BD9" w:rsidRPr="00D67F22" w:rsidRDefault="00375BD9">
      <w:pPr>
        <w:spacing w:before="280" w:after="280" w:line="360" w:lineRule="auto"/>
        <w:jc w:val="both"/>
        <w:rPr>
          <w:rFonts w:ascii="Palatino Linotype" w:eastAsia="Palatino Linotype" w:hAnsi="Palatino Linotype" w:cs="Palatino Linotype"/>
        </w:rPr>
      </w:pPr>
    </w:p>
    <w:p w:rsidR="00375BD9" w:rsidRPr="00D67F22" w:rsidRDefault="009171EA">
      <w:pPr>
        <w:numPr>
          <w:ilvl w:val="0"/>
          <w:numId w:val="7"/>
        </w:numPr>
        <w:pBdr>
          <w:top w:val="nil"/>
          <w:left w:val="nil"/>
          <w:bottom w:val="nil"/>
          <w:right w:val="nil"/>
          <w:between w:val="nil"/>
        </w:pBdr>
        <w:shd w:val="clear" w:color="auto" w:fill="FFFFFF"/>
        <w:spacing w:line="360" w:lineRule="auto"/>
        <w:ind w:right="1"/>
        <w:jc w:val="both"/>
        <w:rPr>
          <w:color w:val="242424"/>
        </w:rPr>
      </w:pPr>
      <w:r w:rsidRPr="00D67F22">
        <w:rPr>
          <w:rFonts w:ascii="Palatino Linotype" w:eastAsia="Palatino Linotype" w:hAnsi="Palatino Linotype" w:cs="Palatino Linotype"/>
          <w:color w:val="242424"/>
        </w:rPr>
        <w:t>Ahora bien, es importante señalar que el artículo 4, párrafo segundo de la Ley de Transparencia y Acceso a la Información Pública del Estado de México y Municipios, dispone:</w:t>
      </w:r>
    </w:p>
    <w:p w:rsidR="00375BD9" w:rsidRPr="00D67F22" w:rsidRDefault="009171EA">
      <w:pPr>
        <w:pBdr>
          <w:top w:val="nil"/>
          <w:left w:val="nil"/>
          <w:bottom w:val="nil"/>
          <w:right w:val="nil"/>
          <w:between w:val="nil"/>
        </w:pBdr>
        <w:shd w:val="clear" w:color="auto" w:fill="FFFFFF"/>
        <w:ind w:left="1134" w:right="1134"/>
        <w:jc w:val="both"/>
        <w:rPr>
          <w:rFonts w:ascii="Century Gothic" w:eastAsia="Century Gothic" w:hAnsi="Century Gothic" w:cs="Century Gothic"/>
          <w:color w:val="242424"/>
        </w:rPr>
      </w:pPr>
      <w:r w:rsidRPr="00D67F22">
        <w:rPr>
          <w:rFonts w:ascii="Palatino Linotype" w:eastAsia="Palatino Linotype" w:hAnsi="Palatino Linotype" w:cs="Palatino Linotype"/>
          <w:i/>
          <w:iCs/>
          <w:color w:val="242424"/>
        </w:rPr>
        <w:t>“</w:t>
      </w:r>
      <w:r w:rsidRPr="00D67F22">
        <w:rPr>
          <w:rFonts w:ascii="Palatino Linotype" w:eastAsia="Palatino Linotype" w:hAnsi="Palatino Linotype" w:cs="Palatino Linotype"/>
          <w:b/>
          <w:bCs/>
          <w:i/>
          <w:iCs/>
          <w:color w:val="242424"/>
        </w:rPr>
        <w:t>Artículo 4. …</w:t>
      </w:r>
    </w:p>
    <w:p w:rsidR="00375BD9" w:rsidRPr="00D67F22" w:rsidRDefault="009171EA">
      <w:pPr>
        <w:pBdr>
          <w:top w:val="nil"/>
          <w:left w:val="nil"/>
          <w:bottom w:val="nil"/>
          <w:right w:val="nil"/>
          <w:between w:val="nil"/>
        </w:pBdr>
        <w:shd w:val="clear" w:color="auto" w:fill="FFFFFF"/>
        <w:ind w:left="1134" w:right="1134"/>
        <w:jc w:val="both"/>
        <w:rPr>
          <w:rFonts w:ascii="Century Gothic" w:eastAsia="Century Gothic" w:hAnsi="Century Gothic" w:cs="Century Gothic"/>
          <w:color w:val="242424"/>
        </w:rPr>
      </w:pPr>
      <w:r w:rsidRPr="00D67F22">
        <w:rPr>
          <w:rFonts w:ascii="Palatino Linotype" w:eastAsia="Palatino Linotype" w:hAnsi="Palatino Linotype" w:cs="Palatino Linotype"/>
          <w:i/>
          <w:iCs/>
          <w:color w:val="242424"/>
        </w:rPr>
        <w:t xml:space="preserve">Toda la información generada, obtenida, adquirida, transformada, administrada o en posesión de los sujetos obligados es pública y accesible de manera permanente a cualquier persona, en los términos y condiciones que se </w:t>
      </w:r>
      <w:r w:rsidRPr="00D67F22">
        <w:rPr>
          <w:rFonts w:ascii="Palatino Linotype" w:eastAsia="Palatino Linotype" w:hAnsi="Palatino Linotype" w:cs="Palatino Linotype"/>
          <w:i/>
          <w:iCs/>
          <w:color w:val="242424"/>
        </w:rPr>
        <w:lastRenderedPageBreak/>
        <w:t>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375BD9" w:rsidRPr="00D67F22" w:rsidRDefault="00375BD9">
      <w:pPr>
        <w:pBdr>
          <w:top w:val="nil"/>
          <w:left w:val="nil"/>
          <w:bottom w:val="nil"/>
          <w:right w:val="nil"/>
          <w:between w:val="nil"/>
        </w:pBdr>
        <w:shd w:val="clear" w:color="auto" w:fill="FFFFFF"/>
        <w:ind w:left="360"/>
        <w:rPr>
          <w:color w:val="242424"/>
        </w:rPr>
      </w:pPr>
    </w:p>
    <w:p w:rsidR="00375BD9" w:rsidRPr="00D67F22" w:rsidRDefault="009171EA">
      <w:pPr>
        <w:numPr>
          <w:ilvl w:val="0"/>
          <w:numId w:val="7"/>
        </w:numPr>
        <w:pBdr>
          <w:top w:val="nil"/>
          <w:left w:val="nil"/>
          <w:bottom w:val="nil"/>
          <w:right w:val="nil"/>
          <w:between w:val="nil"/>
        </w:pBdr>
        <w:shd w:val="clear" w:color="auto" w:fill="FFFFFF"/>
        <w:spacing w:line="360" w:lineRule="auto"/>
        <w:ind w:left="0" w:right="1" w:firstLine="0"/>
        <w:jc w:val="both"/>
        <w:rPr>
          <w:color w:val="242424"/>
        </w:rPr>
      </w:pPr>
      <w:r w:rsidRPr="00D67F22">
        <w:rPr>
          <w:rFonts w:ascii="Palatino Linotype" w:eastAsia="Palatino Linotype" w:hAnsi="Palatino Linotype" w:cs="Palatino Linotype"/>
          <w:color w:val="2424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375BD9" w:rsidRPr="00D67F22" w:rsidRDefault="00375BD9">
      <w:pPr>
        <w:pBdr>
          <w:top w:val="nil"/>
          <w:left w:val="nil"/>
          <w:bottom w:val="nil"/>
          <w:right w:val="nil"/>
          <w:between w:val="nil"/>
        </w:pBdr>
        <w:shd w:val="clear" w:color="auto" w:fill="FFFFFF"/>
        <w:ind w:right="1"/>
        <w:jc w:val="both"/>
        <w:rPr>
          <w:color w:val="242424"/>
        </w:rPr>
      </w:pPr>
    </w:p>
    <w:p w:rsidR="00375BD9" w:rsidRPr="00D67F22" w:rsidRDefault="009171EA">
      <w:pPr>
        <w:numPr>
          <w:ilvl w:val="0"/>
          <w:numId w:val="7"/>
        </w:numPr>
        <w:pBdr>
          <w:top w:val="nil"/>
          <w:left w:val="nil"/>
          <w:bottom w:val="nil"/>
          <w:right w:val="nil"/>
          <w:between w:val="nil"/>
        </w:pBdr>
        <w:shd w:val="clear" w:color="auto" w:fill="FFFFFF"/>
        <w:spacing w:line="360" w:lineRule="auto"/>
        <w:ind w:left="0" w:right="1" w:firstLine="0"/>
        <w:jc w:val="both"/>
        <w:rPr>
          <w:color w:val="242424"/>
        </w:rPr>
      </w:pPr>
      <w:r w:rsidRPr="00D67F22">
        <w:rPr>
          <w:rFonts w:ascii="Palatino Linotype" w:eastAsia="Palatino Linotype" w:hAnsi="Palatino Linotype" w:cs="Palatino Linotype"/>
          <w:color w:val="242424"/>
        </w:rPr>
        <w:t>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w:t>
      </w:r>
    </w:p>
    <w:p w:rsidR="00375BD9" w:rsidRPr="00D67F22" w:rsidRDefault="009171EA">
      <w:pPr>
        <w:pBdr>
          <w:top w:val="nil"/>
          <w:left w:val="nil"/>
          <w:bottom w:val="nil"/>
          <w:right w:val="nil"/>
          <w:between w:val="nil"/>
        </w:pBdr>
        <w:shd w:val="clear" w:color="auto" w:fill="FFFFFF"/>
        <w:ind w:left="567" w:right="822"/>
        <w:jc w:val="both"/>
        <w:rPr>
          <w:rFonts w:ascii="Century Gothic" w:eastAsia="Century Gothic" w:hAnsi="Century Gothic" w:cs="Century Gothic"/>
          <w:color w:val="242424"/>
        </w:rPr>
      </w:pPr>
      <w:r w:rsidRPr="00D67F22">
        <w:rPr>
          <w:rFonts w:ascii="Palatino Linotype" w:eastAsia="Palatino Linotype" w:hAnsi="Palatino Linotype" w:cs="Palatino Linotype"/>
          <w:i/>
          <w:iCs/>
          <w:color w:val="242424"/>
        </w:rPr>
        <w:t>“</w:t>
      </w:r>
      <w:r w:rsidRPr="00D67F22">
        <w:rPr>
          <w:rFonts w:ascii="Palatino Linotype" w:eastAsia="Palatino Linotype" w:hAnsi="Palatino Linotype" w:cs="Palatino Linotype"/>
          <w:b/>
          <w:bCs/>
          <w:i/>
          <w:iCs/>
          <w:color w:val="242424"/>
        </w:rPr>
        <w:t>Artículo 12.</w:t>
      </w:r>
      <w:r w:rsidRPr="00D67F22">
        <w:rPr>
          <w:rFonts w:ascii="Palatino Linotype" w:eastAsia="Palatino Linotype" w:hAnsi="Palatino Linotype" w:cs="Palatino Linotype"/>
          <w:i/>
          <w:iCs/>
          <w:color w:val="242424"/>
        </w:rPr>
        <w:t> Quienes generen, recopilen, administren, manejen, procesen, archiven o conserven información pública serán responsables de la misma en los términos de las disposiciones jurídicas aplicables.</w:t>
      </w:r>
    </w:p>
    <w:p w:rsidR="00375BD9" w:rsidRPr="00D67F22" w:rsidRDefault="00375BD9">
      <w:pPr>
        <w:pBdr>
          <w:top w:val="nil"/>
          <w:left w:val="nil"/>
          <w:bottom w:val="nil"/>
          <w:right w:val="nil"/>
          <w:between w:val="nil"/>
        </w:pBdr>
        <w:shd w:val="clear" w:color="auto" w:fill="FFFFFF"/>
        <w:ind w:left="567" w:right="822"/>
        <w:jc w:val="both"/>
        <w:rPr>
          <w:rFonts w:ascii="Century Gothic" w:eastAsia="Century Gothic" w:hAnsi="Century Gothic" w:cs="Century Gothic"/>
          <w:color w:val="242424"/>
        </w:rPr>
      </w:pPr>
    </w:p>
    <w:p w:rsidR="00375BD9" w:rsidRPr="00D67F22" w:rsidRDefault="009171EA">
      <w:pPr>
        <w:pBdr>
          <w:top w:val="nil"/>
          <w:left w:val="nil"/>
          <w:bottom w:val="nil"/>
          <w:right w:val="nil"/>
          <w:between w:val="nil"/>
        </w:pBdr>
        <w:shd w:val="clear" w:color="auto" w:fill="FFFFFF"/>
        <w:ind w:left="567" w:right="822"/>
        <w:jc w:val="both"/>
        <w:rPr>
          <w:color w:val="242424"/>
        </w:rPr>
      </w:pPr>
      <w:r w:rsidRPr="00D67F22">
        <w:rPr>
          <w:rFonts w:ascii="Palatino Linotype" w:eastAsia="Palatino Linotype" w:hAnsi="Palatino Linotype" w:cs="Palatino Linotype"/>
          <w:i/>
          <w:iCs/>
          <w:color w:val="2424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375BD9" w:rsidRPr="00D67F22" w:rsidRDefault="00375BD9">
      <w:pPr>
        <w:pBdr>
          <w:top w:val="nil"/>
          <w:left w:val="nil"/>
          <w:bottom w:val="nil"/>
          <w:right w:val="nil"/>
          <w:between w:val="nil"/>
        </w:pBdr>
        <w:shd w:val="clear" w:color="auto" w:fill="FFFFFF"/>
        <w:ind w:left="360" w:right="565"/>
        <w:jc w:val="both"/>
        <w:rPr>
          <w:color w:val="242424"/>
        </w:rPr>
      </w:pPr>
    </w:p>
    <w:p w:rsidR="00375BD9" w:rsidRPr="00D67F22" w:rsidRDefault="009171EA">
      <w:pPr>
        <w:numPr>
          <w:ilvl w:val="0"/>
          <w:numId w:val="7"/>
        </w:numPr>
        <w:pBdr>
          <w:top w:val="nil"/>
          <w:left w:val="nil"/>
          <w:bottom w:val="nil"/>
          <w:right w:val="nil"/>
          <w:between w:val="nil"/>
        </w:pBdr>
        <w:shd w:val="clear" w:color="auto" w:fill="FFFFFF"/>
        <w:spacing w:line="360" w:lineRule="auto"/>
        <w:ind w:left="0" w:right="1" w:firstLine="0"/>
        <w:jc w:val="both"/>
        <w:rPr>
          <w:color w:val="242424"/>
        </w:rPr>
      </w:pPr>
      <w:r w:rsidRPr="00D67F22">
        <w:rPr>
          <w:rFonts w:ascii="Palatino Linotype" w:eastAsia="Palatino Linotype" w:hAnsi="Palatino Linotype" w:cs="Palatino Linotype"/>
          <w:color w:val="242424"/>
        </w:rPr>
        <w:t xml:space="preserve">En síntesis, el derecho de acceso a la información pública se satisface en aquellos casos en que se entregue el soporte documental en que conste la información pública, toda vez que, los Sujetos Obligados no tienen el deber de generar, poseer o administrar la información </w:t>
      </w:r>
      <w:r w:rsidRPr="00D67F22">
        <w:rPr>
          <w:rFonts w:ascii="Palatino Linotype" w:eastAsia="Palatino Linotype" w:hAnsi="Palatino Linotype" w:cs="Palatino Linotype"/>
          <w:color w:val="242424"/>
        </w:rPr>
        <w:lastRenderedPageBreak/>
        <w:t>pública con el grado de detalle solicitado; esto es, que no tienen el deber de generar un documento ad hoc, para satisfacer el derecho de acceso a la información pública.</w:t>
      </w:r>
    </w:p>
    <w:p w:rsidR="00375BD9" w:rsidRPr="00D67F22" w:rsidRDefault="00375BD9">
      <w:pPr>
        <w:pBdr>
          <w:top w:val="nil"/>
          <w:left w:val="nil"/>
          <w:bottom w:val="nil"/>
          <w:right w:val="nil"/>
          <w:between w:val="nil"/>
        </w:pBdr>
        <w:shd w:val="clear" w:color="auto" w:fill="FFFFFF"/>
        <w:ind w:left="360" w:right="1"/>
        <w:jc w:val="both"/>
        <w:rPr>
          <w:color w:val="242424"/>
        </w:rPr>
      </w:pPr>
    </w:p>
    <w:p w:rsidR="00375BD9" w:rsidRPr="00D67F22" w:rsidRDefault="009171EA">
      <w:pPr>
        <w:numPr>
          <w:ilvl w:val="0"/>
          <w:numId w:val="7"/>
        </w:numPr>
        <w:pBdr>
          <w:top w:val="nil"/>
          <w:left w:val="nil"/>
          <w:bottom w:val="nil"/>
          <w:right w:val="nil"/>
          <w:between w:val="nil"/>
        </w:pBdr>
        <w:shd w:val="clear" w:color="auto" w:fill="FFFFFF"/>
        <w:spacing w:line="360" w:lineRule="auto"/>
        <w:ind w:left="0" w:right="1" w:firstLine="0"/>
        <w:jc w:val="both"/>
        <w:rPr>
          <w:color w:val="242424"/>
        </w:rPr>
      </w:pPr>
      <w:r w:rsidRPr="00D67F22">
        <w:rPr>
          <w:rFonts w:ascii="Palatino Linotype" w:eastAsia="Palatino Linotype" w:hAnsi="Palatino Linotype" w:cs="Palatino Linotype"/>
          <w:color w:val="242424"/>
        </w:rPr>
        <w:t>Como apoyo a lo anterior, es aplicable el Criterio 03-17, emitido por el Instituto Nacional de Transparencia, Acceso a la Información y Protección de Datos Personales, que dice:</w:t>
      </w:r>
    </w:p>
    <w:p w:rsidR="00375BD9" w:rsidRPr="00D67F22" w:rsidRDefault="009171EA">
      <w:pPr>
        <w:pBdr>
          <w:top w:val="nil"/>
          <w:left w:val="nil"/>
          <w:bottom w:val="nil"/>
          <w:right w:val="nil"/>
          <w:between w:val="nil"/>
        </w:pBdr>
        <w:shd w:val="clear" w:color="auto" w:fill="FFFFFF"/>
        <w:ind w:left="567" w:right="822"/>
        <w:jc w:val="both"/>
        <w:rPr>
          <w:rFonts w:ascii="Century Gothic" w:eastAsia="Century Gothic" w:hAnsi="Century Gothic" w:cs="Century Gothic"/>
          <w:color w:val="242424"/>
        </w:rPr>
      </w:pPr>
      <w:r w:rsidRPr="00D67F22">
        <w:rPr>
          <w:rFonts w:ascii="Palatino Linotype" w:eastAsia="Palatino Linotype" w:hAnsi="Palatino Linotype" w:cs="Palatino Linotype"/>
          <w:b/>
          <w:bCs/>
          <w:i/>
          <w:iCs/>
          <w:color w:val="242424"/>
        </w:rPr>
        <w:t>“No existe obligación de elaborar documentos ad hoc para atender las solicitudes de acceso a la información.</w:t>
      </w:r>
      <w:r w:rsidRPr="00D67F22">
        <w:rPr>
          <w:rFonts w:ascii="Palatino Linotype" w:eastAsia="Palatino Linotype" w:hAnsi="Palatino Linotype" w:cs="Palatino Linotype"/>
          <w:i/>
          <w:iCs/>
          <w:color w:val="242424"/>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375BD9" w:rsidRPr="00D67F22" w:rsidRDefault="00375BD9">
      <w:pPr>
        <w:pBdr>
          <w:top w:val="nil"/>
          <w:left w:val="nil"/>
          <w:bottom w:val="nil"/>
          <w:right w:val="nil"/>
          <w:between w:val="nil"/>
        </w:pBdr>
        <w:shd w:val="clear" w:color="auto" w:fill="FFFFFF"/>
        <w:ind w:left="567" w:right="822"/>
        <w:jc w:val="both"/>
        <w:rPr>
          <w:rFonts w:ascii="Century Gothic" w:eastAsia="Century Gothic" w:hAnsi="Century Gothic" w:cs="Century Gothic"/>
          <w:color w:val="242424"/>
        </w:rPr>
      </w:pPr>
    </w:p>
    <w:p w:rsidR="00375BD9" w:rsidRPr="00D67F22" w:rsidRDefault="009171EA">
      <w:pPr>
        <w:pBdr>
          <w:top w:val="nil"/>
          <w:left w:val="nil"/>
          <w:bottom w:val="nil"/>
          <w:right w:val="nil"/>
          <w:between w:val="nil"/>
        </w:pBdr>
        <w:shd w:val="clear" w:color="auto" w:fill="FFFFFF"/>
        <w:ind w:left="567" w:right="822"/>
        <w:jc w:val="both"/>
        <w:rPr>
          <w:rFonts w:ascii="Century Gothic" w:eastAsia="Century Gothic" w:hAnsi="Century Gothic" w:cs="Century Gothic"/>
          <w:color w:val="242424"/>
        </w:rPr>
      </w:pPr>
      <w:r w:rsidRPr="00D67F22">
        <w:rPr>
          <w:rFonts w:ascii="Palatino Linotype" w:eastAsia="Palatino Linotype" w:hAnsi="Palatino Linotype" w:cs="Palatino Linotype"/>
          <w:i/>
          <w:iCs/>
          <w:color w:val="242424"/>
        </w:rPr>
        <w:t>Resoluciones:</w:t>
      </w:r>
    </w:p>
    <w:p w:rsidR="00375BD9" w:rsidRPr="00D67F22" w:rsidRDefault="009171EA">
      <w:pPr>
        <w:pBdr>
          <w:top w:val="nil"/>
          <w:left w:val="nil"/>
          <w:bottom w:val="nil"/>
          <w:right w:val="nil"/>
          <w:between w:val="nil"/>
        </w:pBdr>
        <w:shd w:val="clear" w:color="auto" w:fill="FFFFFF"/>
        <w:ind w:left="567" w:right="822"/>
        <w:jc w:val="both"/>
        <w:rPr>
          <w:rFonts w:ascii="Century Gothic" w:eastAsia="Century Gothic" w:hAnsi="Century Gothic" w:cs="Century Gothic"/>
          <w:color w:val="242424"/>
        </w:rPr>
      </w:pPr>
      <w:r w:rsidRPr="00D67F22">
        <w:rPr>
          <w:rFonts w:ascii="Noto Sans Symbols" w:eastAsia="Noto Sans Symbols" w:hAnsi="Noto Sans Symbols" w:cs="Noto Sans Symbols"/>
          <w:i/>
          <w:iCs/>
          <w:color w:val="242424"/>
        </w:rPr>
        <w:t>∙</w:t>
      </w:r>
      <w:r w:rsidRPr="00D67F22">
        <w:rPr>
          <w:rFonts w:ascii="Palatino Linotype" w:eastAsia="Palatino Linotype" w:hAnsi="Palatino Linotype" w:cs="Palatino Linotype"/>
          <w:i/>
          <w:iCs/>
          <w:color w:val="242424"/>
        </w:rPr>
        <w:t> RRA 0050/16. Instituto Nacional para la Evaluación de la Educación. 13 julio de 2016. Por unanimidad. Comisionado Ponente: Francisco Javier Acuña Llamas.</w:t>
      </w:r>
    </w:p>
    <w:p w:rsidR="00375BD9" w:rsidRPr="00D67F22" w:rsidRDefault="009171EA">
      <w:pPr>
        <w:pBdr>
          <w:top w:val="nil"/>
          <w:left w:val="nil"/>
          <w:bottom w:val="nil"/>
          <w:right w:val="nil"/>
          <w:between w:val="nil"/>
        </w:pBdr>
        <w:shd w:val="clear" w:color="auto" w:fill="FFFFFF"/>
        <w:ind w:left="567" w:right="822"/>
        <w:jc w:val="both"/>
        <w:rPr>
          <w:rFonts w:ascii="Century Gothic" w:eastAsia="Century Gothic" w:hAnsi="Century Gothic" w:cs="Century Gothic"/>
          <w:color w:val="242424"/>
        </w:rPr>
      </w:pPr>
      <w:r w:rsidRPr="00D67F22">
        <w:rPr>
          <w:rFonts w:ascii="Noto Sans Symbols" w:eastAsia="Noto Sans Symbols" w:hAnsi="Noto Sans Symbols" w:cs="Noto Sans Symbols"/>
          <w:i/>
          <w:iCs/>
          <w:color w:val="242424"/>
        </w:rPr>
        <w:t>∙</w:t>
      </w:r>
      <w:r w:rsidRPr="00D67F22">
        <w:rPr>
          <w:rFonts w:ascii="Palatino Linotype" w:eastAsia="Palatino Linotype" w:hAnsi="Palatino Linotype" w:cs="Palatino Linotype"/>
          <w:i/>
          <w:iCs/>
          <w:color w:val="242424"/>
        </w:rPr>
        <w:t> RRA 0310/16. Instituto Nacional de Transparencia, Acceso a la Información y Protección de Datos Personales. 10 de agosto de 2016. Por unanimidad. Comisionada Ponente. Areli Cano Guadiana.</w:t>
      </w:r>
    </w:p>
    <w:p w:rsidR="00375BD9" w:rsidRPr="00D67F22" w:rsidRDefault="009171EA">
      <w:pPr>
        <w:pBdr>
          <w:top w:val="nil"/>
          <w:left w:val="nil"/>
          <w:bottom w:val="nil"/>
          <w:right w:val="nil"/>
          <w:between w:val="nil"/>
        </w:pBdr>
        <w:shd w:val="clear" w:color="auto" w:fill="FFFFFF"/>
        <w:ind w:left="567" w:right="822"/>
        <w:jc w:val="both"/>
        <w:rPr>
          <w:color w:val="242424"/>
        </w:rPr>
      </w:pPr>
      <w:r w:rsidRPr="00D67F22">
        <w:rPr>
          <w:rFonts w:ascii="Noto Sans Symbols" w:eastAsia="Noto Sans Symbols" w:hAnsi="Noto Sans Symbols" w:cs="Noto Sans Symbols"/>
          <w:i/>
          <w:iCs/>
          <w:color w:val="242424"/>
        </w:rPr>
        <w:t>∙</w:t>
      </w:r>
      <w:r w:rsidRPr="00D67F22">
        <w:rPr>
          <w:rFonts w:ascii="Palatino Linotype" w:eastAsia="Palatino Linotype" w:hAnsi="Palatino Linotype" w:cs="Palatino Linotype"/>
          <w:i/>
          <w:iCs/>
          <w:color w:val="242424"/>
        </w:rPr>
        <w:t> RRA 1889/16. Secretaría de Hacienda y Crédito Público. 05 de octubre de 2016. Por unanimidad. Comisionada Ponente. Ximena Puente de la Mora.”</w:t>
      </w:r>
    </w:p>
    <w:p w:rsidR="00375BD9" w:rsidRPr="00D67F22" w:rsidRDefault="00375BD9">
      <w:pPr>
        <w:pBdr>
          <w:top w:val="nil"/>
          <w:left w:val="nil"/>
          <w:bottom w:val="nil"/>
          <w:right w:val="nil"/>
          <w:between w:val="nil"/>
        </w:pBdr>
        <w:shd w:val="clear" w:color="auto" w:fill="FFFFFF"/>
        <w:ind w:left="360" w:right="1"/>
        <w:jc w:val="both"/>
        <w:rPr>
          <w:color w:val="242424"/>
        </w:rPr>
      </w:pPr>
    </w:p>
    <w:p w:rsidR="00375BD9" w:rsidRPr="00D67F22" w:rsidRDefault="009171EA">
      <w:pPr>
        <w:numPr>
          <w:ilvl w:val="0"/>
          <w:numId w:val="7"/>
        </w:numPr>
        <w:pBdr>
          <w:top w:val="nil"/>
          <w:left w:val="nil"/>
          <w:bottom w:val="nil"/>
          <w:right w:val="nil"/>
          <w:between w:val="nil"/>
        </w:pBdr>
        <w:shd w:val="clear" w:color="auto" w:fill="FFFFFF"/>
        <w:spacing w:line="360" w:lineRule="auto"/>
        <w:ind w:left="0" w:right="1" w:firstLine="0"/>
        <w:jc w:val="both"/>
        <w:rPr>
          <w:color w:val="242424"/>
        </w:rPr>
      </w:pPr>
      <w:r w:rsidRPr="00D67F22">
        <w:rPr>
          <w:rFonts w:ascii="Palatino Linotype" w:eastAsia="Palatino Linotype" w:hAnsi="Palatino Linotype" w:cs="Palatino Linotype"/>
          <w:color w:val="242424"/>
        </w:rPr>
        <w:t>Asimismo, el artículo 24, de la Ley de la materia, dispone que los Sujetos Obligados sólo proporcionarán la información pública que generen</w:t>
      </w:r>
      <w:r w:rsidRPr="00D67F22">
        <w:rPr>
          <w:rFonts w:ascii="Palatino Linotype" w:eastAsia="Palatino Linotype" w:hAnsi="Palatino Linotype" w:cs="Palatino Linotype"/>
          <w:b/>
          <w:bCs/>
          <w:color w:val="242424"/>
        </w:rPr>
        <w:t>, administren o</w:t>
      </w:r>
      <w:r w:rsidRPr="00D67F22">
        <w:rPr>
          <w:rFonts w:ascii="Palatino Linotype" w:eastAsia="Palatino Linotype" w:hAnsi="Palatino Linotype" w:cs="Palatino Linotype"/>
          <w:color w:val="242424"/>
        </w:rPr>
        <w:t xml:space="preserve"> </w:t>
      </w:r>
      <w:r w:rsidRPr="00D67F22">
        <w:rPr>
          <w:rFonts w:ascii="Palatino Linotype" w:eastAsia="Palatino Linotype" w:hAnsi="Palatino Linotype" w:cs="Palatino Linotype"/>
          <w:b/>
          <w:bCs/>
          <w:color w:val="242424"/>
        </w:rPr>
        <w:t>posean en el ejercicio de sus atribuciones</w:t>
      </w:r>
      <w:r w:rsidRPr="00D67F22">
        <w:rPr>
          <w:rFonts w:ascii="Palatino Linotype" w:eastAsia="Palatino Linotype" w:hAnsi="Palatino Linotype" w:cs="Palatino Linotype"/>
          <w:color w:val="242424"/>
        </w:rPr>
        <w:t xml:space="preserve">; por consiguiente, la información pública se encuentra a </w:t>
      </w:r>
      <w:r w:rsidRPr="00D67F22">
        <w:rPr>
          <w:rFonts w:ascii="Palatino Linotype" w:eastAsia="Palatino Linotype" w:hAnsi="Palatino Linotype" w:cs="Palatino Linotype"/>
          <w:color w:val="242424"/>
        </w:rPr>
        <w:lastRenderedPageBreak/>
        <w:t>disposición de cualquier persona, lo que implica que es deber de los Sujetos Obligados, garantizar el derecho de acceso a la información pública.</w:t>
      </w:r>
    </w:p>
    <w:p w:rsidR="00375BD9" w:rsidRPr="00D67F22" w:rsidRDefault="00375BD9">
      <w:pPr>
        <w:pBdr>
          <w:top w:val="nil"/>
          <w:left w:val="nil"/>
          <w:bottom w:val="nil"/>
          <w:right w:val="nil"/>
          <w:between w:val="nil"/>
        </w:pBdr>
        <w:shd w:val="clear" w:color="auto" w:fill="FFFFFF"/>
        <w:ind w:left="360" w:right="1"/>
        <w:jc w:val="both"/>
        <w:rPr>
          <w:color w:val="242424"/>
        </w:rPr>
      </w:pPr>
    </w:p>
    <w:p w:rsidR="00375BD9" w:rsidRPr="00D67F22" w:rsidRDefault="009171EA">
      <w:pPr>
        <w:numPr>
          <w:ilvl w:val="0"/>
          <w:numId w:val="7"/>
        </w:numPr>
        <w:pBdr>
          <w:top w:val="nil"/>
          <w:left w:val="nil"/>
          <w:bottom w:val="nil"/>
          <w:right w:val="nil"/>
          <w:between w:val="nil"/>
        </w:pBdr>
        <w:shd w:val="clear" w:color="auto" w:fill="FFFFFF"/>
        <w:spacing w:line="360" w:lineRule="auto"/>
        <w:ind w:left="0" w:right="1" w:firstLine="0"/>
        <w:jc w:val="both"/>
        <w:rPr>
          <w:color w:val="242424"/>
        </w:rPr>
      </w:pPr>
      <w:r w:rsidRPr="00D67F22">
        <w:rPr>
          <w:rFonts w:ascii="Palatino Linotype" w:eastAsia="Palatino Linotype" w:hAnsi="Palatino Linotype" w:cs="Palatino Linotype"/>
          <w:color w:val="242424"/>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rsidR="00375BD9" w:rsidRPr="00D67F22" w:rsidRDefault="009171EA">
      <w:pPr>
        <w:pBdr>
          <w:top w:val="nil"/>
          <w:left w:val="nil"/>
          <w:bottom w:val="nil"/>
          <w:right w:val="nil"/>
          <w:between w:val="nil"/>
        </w:pBdr>
        <w:shd w:val="clear" w:color="auto" w:fill="FFFFFF"/>
        <w:ind w:left="1134" w:right="1134"/>
        <w:jc w:val="both"/>
        <w:rPr>
          <w:rFonts w:ascii="Century Gothic" w:eastAsia="Century Gothic" w:hAnsi="Century Gothic" w:cs="Century Gothic"/>
          <w:color w:val="242424"/>
        </w:rPr>
      </w:pPr>
      <w:r w:rsidRPr="00D67F22">
        <w:rPr>
          <w:rFonts w:ascii="Palatino Linotype" w:eastAsia="Palatino Linotype" w:hAnsi="Palatino Linotype" w:cs="Palatino Linotype"/>
          <w:b/>
          <w:bCs/>
          <w:i/>
          <w:iCs/>
          <w:color w:val="242424"/>
        </w:rPr>
        <w:t>“Artículo 3.</w:t>
      </w:r>
      <w:r w:rsidRPr="00D67F22">
        <w:rPr>
          <w:rFonts w:ascii="Palatino Linotype" w:eastAsia="Palatino Linotype" w:hAnsi="Palatino Linotype" w:cs="Palatino Linotype"/>
          <w:i/>
          <w:iCs/>
          <w:color w:val="242424"/>
        </w:rPr>
        <w:t> Para los efectos de la presente Ley se entenderá por:</w:t>
      </w:r>
    </w:p>
    <w:p w:rsidR="00375BD9" w:rsidRPr="00D67F22" w:rsidRDefault="009171EA">
      <w:pPr>
        <w:pBdr>
          <w:top w:val="nil"/>
          <w:left w:val="nil"/>
          <w:bottom w:val="nil"/>
          <w:right w:val="nil"/>
          <w:between w:val="nil"/>
        </w:pBdr>
        <w:shd w:val="clear" w:color="auto" w:fill="FFFFFF"/>
        <w:ind w:left="1134" w:right="1134"/>
        <w:jc w:val="both"/>
        <w:rPr>
          <w:rFonts w:ascii="Century Gothic" w:eastAsia="Century Gothic" w:hAnsi="Century Gothic" w:cs="Century Gothic"/>
          <w:color w:val="242424"/>
        </w:rPr>
      </w:pPr>
      <w:r w:rsidRPr="00D67F22">
        <w:rPr>
          <w:rFonts w:ascii="Palatino Linotype" w:eastAsia="Palatino Linotype" w:hAnsi="Palatino Linotype" w:cs="Palatino Linotype"/>
          <w:i/>
          <w:iCs/>
          <w:color w:val="242424"/>
        </w:rPr>
        <w:t>(…)</w:t>
      </w:r>
    </w:p>
    <w:p w:rsidR="00375BD9" w:rsidRPr="00D67F22" w:rsidRDefault="009171EA">
      <w:pPr>
        <w:pBdr>
          <w:top w:val="nil"/>
          <w:left w:val="nil"/>
          <w:bottom w:val="nil"/>
          <w:right w:val="nil"/>
          <w:between w:val="nil"/>
        </w:pBdr>
        <w:shd w:val="clear" w:color="auto" w:fill="FFFFFF"/>
        <w:ind w:left="1134" w:right="1134"/>
        <w:jc w:val="both"/>
        <w:rPr>
          <w:rFonts w:ascii="Century Gothic" w:eastAsia="Century Gothic" w:hAnsi="Century Gothic" w:cs="Century Gothic"/>
          <w:color w:val="242424"/>
        </w:rPr>
      </w:pPr>
      <w:r w:rsidRPr="00D67F22">
        <w:rPr>
          <w:rFonts w:ascii="Palatino Linotype" w:eastAsia="Palatino Linotype" w:hAnsi="Palatino Linotype" w:cs="Palatino Linotype"/>
          <w:b/>
          <w:bCs/>
          <w:i/>
          <w:iCs/>
          <w:color w:val="242424"/>
        </w:rPr>
        <w:t>XI. Documento:</w:t>
      </w:r>
      <w:r w:rsidRPr="00D67F22">
        <w:rPr>
          <w:rFonts w:ascii="Palatino Linotype" w:eastAsia="Palatino Linotype" w:hAnsi="Palatino Linotype" w:cs="Palatino Linotype"/>
          <w:i/>
          <w:iCs/>
          <w:color w:val="242424"/>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D67F22">
        <w:rPr>
          <w:rFonts w:ascii="Palatino Linotype" w:eastAsia="Palatino Linotype" w:hAnsi="Palatino Linotype" w:cs="Palatino Linotype"/>
          <w:b/>
          <w:bCs/>
          <w:i/>
          <w:iCs/>
          <w:color w:val="242424"/>
        </w:rPr>
        <w:t>Los documentos podrán estar en cualquier medio, sea escrito, impreso, sonoro, visual, electrónico, informático u holográfico;</w:t>
      </w:r>
    </w:p>
    <w:p w:rsidR="00375BD9" w:rsidRPr="00D67F22" w:rsidRDefault="009171EA">
      <w:pPr>
        <w:pBdr>
          <w:top w:val="nil"/>
          <w:left w:val="nil"/>
          <w:bottom w:val="nil"/>
          <w:right w:val="nil"/>
          <w:between w:val="nil"/>
        </w:pBdr>
        <w:shd w:val="clear" w:color="auto" w:fill="FFFFFF"/>
        <w:ind w:left="1134" w:right="1134"/>
        <w:jc w:val="both"/>
        <w:rPr>
          <w:rFonts w:ascii="Century Gothic" w:eastAsia="Century Gothic" w:hAnsi="Century Gothic" w:cs="Century Gothic"/>
          <w:color w:val="242424"/>
        </w:rPr>
      </w:pPr>
      <w:r w:rsidRPr="00D67F22">
        <w:rPr>
          <w:rFonts w:ascii="Palatino Linotype" w:eastAsia="Palatino Linotype" w:hAnsi="Palatino Linotype" w:cs="Palatino Linotype"/>
          <w:i/>
          <w:iCs/>
          <w:color w:val="242424"/>
        </w:rPr>
        <w:t>(…)”</w:t>
      </w:r>
    </w:p>
    <w:p w:rsidR="00375BD9" w:rsidRPr="00D67F22" w:rsidRDefault="00375BD9">
      <w:pPr>
        <w:pBdr>
          <w:top w:val="nil"/>
          <w:left w:val="nil"/>
          <w:bottom w:val="nil"/>
          <w:right w:val="nil"/>
          <w:between w:val="nil"/>
        </w:pBdr>
        <w:shd w:val="clear" w:color="auto" w:fill="FFFFFF"/>
        <w:ind w:left="360" w:right="1"/>
        <w:jc w:val="both"/>
        <w:rPr>
          <w:color w:val="242424"/>
        </w:rPr>
      </w:pPr>
    </w:p>
    <w:p w:rsidR="00375BD9" w:rsidRPr="00D67F22" w:rsidRDefault="009171EA">
      <w:pPr>
        <w:numPr>
          <w:ilvl w:val="0"/>
          <w:numId w:val="7"/>
        </w:numPr>
        <w:pBdr>
          <w:top w:val="nil"/>
          <w:left w:val="nil"/>
          <w:bottom w:val="nil"/>
          <w:right w:val="nil"/>
          <w:between w:val="nil"/>
        </w:pBdr>
        <w:shd w:val="clear" w:color="auto" w:fill="FFFFFF"/>
        <w:spacing w:line="360" w:lineRule="auto"/>
        <w:ind w:left="0" w:right="1" w:firstLine="0"/>
        <w:jc w:val="both"/>
        <w:rPr>
          <w:color w:val="242424"/>
        </w:rPr>
      </w:pPr>
      <w:r w:rsidRPr="00D67F22">
        <w:rPr>
          <w:rFonts w:ascii="Palatino Linotype" w:eastAsia="Palatino Linotype" w:hAnsi="Palatino Linotype" w:cs="Palatino Linotype"/>
          <w:color w:val="242424"/>
        </w:rPr>
        <w:t xml:space="preserve">Siendo aplicable el Criterio de interpretación en el orden administrativo número 0002- 11, emitido por Acuerdo del Pleno del Instituto de Transparencia y Acceso a la Información Pública del Estado de México y Municipios; publicado en el Periódico Oficial del Gobierno </w:t>
      </w:r>
      <w:r w:rsidRPr="00D67F22">
        <w:rPr>
          <w:rFonts w:ascii="Palatino Linotype" w:eastAsia="Palatino Linotype" w:hAnsi="Palatino Linotype" w:cs="Palatino Linotype"/>
          <w:color w:val="242424"/>
        </w:rPr>
        <w:lastRenderedPageBreak/>
        <w:t>del Estado Libre y Soberano de México “Gaceta del Gobierno”, el diecinueve de octubre de dos mil once, cuyo rubro y texto dispone:</w:t>
      </w:r>
    </w:p>
    <w:p w:rsidR="00375BD9" w:rsidRPr="00D67F22" w:rsidRDefault="009171EA">
      <w:pPr>
        <w:pBdr>
          <w:top w:val="nil"/>
          <w:left w:val="nil"/>
          <w:bottom w:val="nil"/>
          <w:right w:val="nil"/>
          <w:between w:val="nil"/>
        </w:pBdr>
        <w:shd w:val="clear" w:color="auto" w:fill="FFFFFF"/>
        <w:tabs>
          <w:tab w:val="left" w:pos="7938"/>
        </w:tabs>
        <w:ind w:left="1134" w:right="992"/>
        <w:jc w:val="both"/>
        <w:rPr>
          <w:rFonts w:ascii="Century Gothic" w:eastAsia="Century Gothic" w:hAnsi="Century Gothic" w:cs="Century Gothic"/>
          <w:color w:val="242424"/>
        </w:rPr>
      </w:pPr>
      <w:r w:rsidRPr="00D67F22">
        <w:rPr>
          <w:rFonts w:ascii="Palatino Linotype" w:eastAsia="Palatino Linotype" w:hAnsi="Palatino Linotype" w:cs="Palatino Linotype"/>
          <w:i/>
          <w:iCs/>
          <w:color w:val="242424"/>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375BD9" w:rsidRPr="00D67F22" w:rsidRDefault="009171EA">
      <w:pPr>
        <w:numPr>
          <w:ilvl w:val="0"/>
          <w:numId w:val="8"/>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color w:val="000000"/>
        </w:rPr>
        <w:t xml:space="preserve">Es por lo expuesto que éste Órgano Garante considera que ha quedado acreditada la competencia del </w:t>
      </w:r>
      <w:r w:rsidRPr="00D67F22">
        <w:rPr>
          <w:rFonts w:ascii="Palatino Linotype" w:eastAsia="Palatino Linotype" w:hAnsi="Palatino Linotype" w:cs="Palatino Linotype"/>
          <w:b/>
          <w:bCs/>
          <w:color w:val="000000"/>
        </w:rPr>
        <w:t>Sujeto Obligado</w:t>
      </w:r>
      <w:r w:rsidRPr="00D67F22">
        <w:rPr>
          <w:rFonts w:ascii="Palatino Linotype" w:eastAsia="Palatino Linotype" w:hAnsi="Palatino Linotype" w:cs="Palatino Linotype"/>
          <w:color w:val="000000"/>
        </w:rPr>
        <w:t xml:space="preserve"> para conocer la información que es del interés de la persona solicitante, por lo que se tiene que los motivos de inconformidad hechos valer por el </w:t>
      </w:r>
      <w:r w:rsidRPr="00D67F22">
        <w:rPr>
          <w:rFonts w:ascii="Palatino Linotype" w:eastAsia="Palatino Linotype" w:hAnsi="Palatino Linotype" w:cs="Palatino Linotype"/>
          <w:b/>
          <w:bCs/>
          <w:color w:val="000000"/>
        </w:rPr>
        <w:t xml:space="preserve">Recurrente </w:t>
      </w:r>
      <w:r w:rsidRPr="00D67F22">
        <w:rPr>
          <w:rFonts w:ascii="Palatino Linotype" w:eastAsia="Palatino Linotype" w:hAnsi="Palatino Linotype" w:cs="Palatino Linotype"/>
          <w:color w:val="000000"/>
        </w:rPr>
        <w:t xml:space="preserve">devienen fundados, resultando procedente REVOCAR la respuesta proporcionada por el </w:t>
      </w:r>
      <w:r w:rsidRPr="00D67F22">
        <w:rPr>
          <w:rFonts w:ascii="Palatino Linotype" w:eastAsia="Palatino Linotype" w:hAnsi="Palatino Linotype" w:cs="Palatino Linotype"/>
          <w:b/>
          <w:bCs/>
          <w:color w:val="000000"/>
        </w:rPr>
        <w:t xml:space="preserve">Sujeto Obligado </w:t>
      </w:r>
      <w:r w:rsidRPr="00D67F22">
        <w:rPr>
          <w:rFonts w:ascii="Palatino Linotype" w:eastAsia="Palatino Linotype" w:hAnsi="Palatino Linotype" w:cs="Palatino Linotype"/>
          <w:color w:val="000000"/>
        </w:rPr>
        <w:t xml:space="preserve"> y ORDENAR la entrega  los </w:t>
      </w:r>
      <w:r w:rsidRPr="00D67F22">
        <w:rPr>
          <w:rFonts w:ascii="Palatino Linotype" w:eastAsia="Palatino Linotype" w:hAnsi="Palatino Linotype" w:cs="Palatino Linotype"/>
          <w:i/>
          <w:iCs/>
          <w:color w:val="000000"/>
        </w:rPr>
        <w:t>documentos que den cuenta de los Resultados de la Auditoria del Ejercicio presupuestal del año 2021 realizadas por el órgano Interno de Control.</w:t>
      </w:r>
    </w:p>
    <w:p w:rsidR="00375BD9" w:rsidRPr="00D67F22" w:rsidRDefault="009171EA">
      <w:pPr>
        <w:keepNext/>
        <w:keepLines/>
        <w:spacing w:after="160" w:line="360" w:lineRule="auto"/>
        <w:rPr>
          <w:rFonts w:ascii="Palatino Linotype" w:eastAsia="Palatino Linotype" w:hAnsi="Palatino Linotype" w:cs="Palatino Linotype"/>
          <w:b/>
          <w:bCs/>
          <w:color w:val="000000"/>
        </w:rPr>
      </w:pPr>
      <w:r w:rsidRPr="00D67F22">
        <w:rPr>
          <w:rFonts w:ascii="Palatino Linotype" w:eastAsia="Palatino Linotype" w:hAnsi="Palatino Linotype" w:cs="Palatino Linotype"/>
          <w:b/>
          <w:bCs/>
          <w:color w:val="000000"/>
        </w:rPr>
        <w:lastRenderedPageBreak/>
        <w:t>QUINTO. De la versión pública.</w:t>
      </w:r>
    </w:p>
    <w:p w:rsidR="00375BD9" w:rsidRPr="00D67F22" w:rsidRDefault="009171EA">
      <w:pPr>
        <w:keepNext/>
        <w:keepLines/>
        <w:numPr>
          <w:ilvl w:val="0"/>
          <w:numId w:val="11"/>
        </w:numPr>
        <w:tabs>
          <w:tab w:val="left" w:pos="284"/>
        </w:tabs>
        <w:spacing w:after="160" w:line="360" w:lineRule="auto"/>
        <w:ind w:left="0" w:firstLine="0"/>
        <w:rPr>
          <w:rFonts w:ascii="Palatino Linotype" w:eastAsia="Palatino Linotype" w:hAnsi="Palatino Linotype" w:cs="Palatino Linotype"/>
          <w:b/>
          <w:bCs/>
          <w:color w:val="000000"/>
        </w:rPr>
      </w:pPr>
      <w:r w:rsidRPr="00D67F22">
        <w:rPr>
          <w:rFonts w:ascii="Palatino Linotype" w:eastAsia="Palatino Linotype" w:hAnsi="Palatino Linotype" w:cs="Palatino Linotype"/>
          <w:b/>
          <w:bCs/>
          <w:color w:val="000000"/>
        </w:rPr>
        <w:t xml:space="preserve">Nociones generales. </w:t>
      </w:r>
    </w:p>
    <w:p w:rsidR="00375BD9" w:rsidRPr="00D67F22" w:rsidRDefault="009171EA">
      <w:pPr>
        <w:numPr>
          <w:ilvl w:val="0"/>
          <w:numId w:val="4"/>
        </w:numP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 xml:space="preserve">Debe destacarse, que debido a la información solicitada por el </w:t>
      </w:r>
      <w:r w:rsidRPr="00D67F22">
        <w:rPr>
          <w:rFonts w:ascii="Palatino Linotype" w:eastAsia="Palatino Linotype" w:hAnsi="Palatino Linotype" w:cs="Palatino Linotype"/>
          <w:b/>
          <w:bCs/>
          <w:color w:val="000000"/>
        </w:rPr>
        <w:t xml:space="preserve">RECURRENTE, pueden obrar </w:t>
      </w:r>
      <w:r w:rsidRPr="00D67F22">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D67F22">
        <w:rPr>
          <w:rFonts w:ascii="Palatino Linotype" w:eastAsia="Palatino Linotype" w:hAnsi="Palatino Linotype" w:cs="Palatino Linotype"/>
          <w:b/>
          <w:bCs/>
          <w:color w:val="000000"/>
        </w:rPr>
        <w:t xml:space="preserve">SUJETO OBLIGADO </w:t>
      </w:r>
      <w:r w:rsidRPr="00D67F22">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75BD9" w:rsidRPr="00D67F22" w:rsidRDefault="00375BD9">
      <w:pPr>
        <w:tabs>
          <w:tab w:val="left" w:pos="0"/>
          <w:tab w:val="left" w:pos="284"/>
        </w:tabs>
        <w:spacing w:line="360" w:lineRule="auto"/>
        <w:jc w:val="both"/>
        <w:rPr>
          <w:rFonts w:ascii="Palatino Linotype" w:eastAsia="Palatino Linotype" w:hAnsi="Palatino Linotype" w:cs="Palatino Linotype"/>
          <w:highlight w:val="yellow"/>
        </w:rPr>
      </w:pPr>
    </w:p>
    <w:p w:rsidR="00375BD9" w:rsidRPr="00D67F22" w:rsidRDefault="009171EA">
      <w:pPr>
        <w:numPr>
          <w:ilvl w:val="0"/>
          <w:numId w:val="4"/>
        </w:numP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No pasa desapercibido para este Órgano Garante que los sujetos obligados</w:t>
      </w:r>
      <w:r w:rsidRPr="00D67F22">
        <w:rPr>
          <w:rFonts w:ascii="Palatino Linotype" w:eastAsia="Palatino Linotype" w:hAnsi="Palatino Linotype" w:cs="Palatino Linotype"/>
          <w:b/>
          <w:bCs/>
          <w:color w:val="000000"/>
        </w:rPr>
        <w:t xml:space="preserve"> </w:t>
      </w:r>
      <w:r w:rsidRPr="00D67F22">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
        <w:tblW w:w="9777"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8"/>
      </w:tblGrid>
      <w:tr w:rsidR="00375BD9" w:rsidRPr="00D67F22" w:rsidTr="00587874">
        <w:tc>
          <w:tcPr>
            <w:tcW w:w="2689" w:type="dxa"/>
          </w:tcPr>
          <w:p w:rsidR="00375BD9" w:rsidRPr="00D67F22" w:rsidRDefault="009171EA" w:rsidP="00D67F22">
            <w:pPr>
              <w:spacing w:line="360" w:lineRule="auto"/>
              <w:rPr>
                <w:rFonts w:ascii="Palatino Linotype" w:eastAsia="Palatino Linotype" w:hAnsi="Palatino Linotype" w:cs="Palatino Linotype"/>
                <w:b/>
                <w:bCs/>
              </w:rPr>
            </w:pPr>
            <w:r w:rsidRPr="00D67F22">
              <w:rPr>
                <w:rFonts w:ascii="Palatino Linotype" w:eastAsia="Palatino Linotype" w:hAnsi="Palatino Linotype" w:cs="Palatino Linotype"/>
                <w:b/>
                <w:bCs/>
              </w:rPr>
              <w:t>a) Requisitos previos.</w:t>
            </w:r>
          </w:p>
        </w:tc>
        <w:tc>
          <w:tcPr>
            <w:tcW w:w="7088" w:type="dxa"/>
          </w:tcPr>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Además, se debe señalar el procedimiento, de los tres que establecen los artículos 132 y 106 de la Ley Estatal y General, respectivamente.</w:t>
            </w:r>
          </w:p>
          <w:p w:rsidR="00375BD9" w:rsidRPr="00D67F22" w:rsidRDefault="009171EA">
            <w:pPr>
              <w:tabs>
                <w:tab w:val="left" w:pos="284"/>
              </w:tabs>
              <w:spacing w:line="276" w:lineRule="auto"/>
              <w:jc w:val="both"/>
              <w:rPr>
                <w:rFonts w:ascii="Palatino Linotype" w:eastAsia="Palatino Linotype" w:hAnsi="Palatino Linotype" w:cs="Palatino Linotype"/>
                <w:i/>
                <w:iCs/>
              </w:rPr>
            </w:pPr>
            <w:r w:rsidRPr="00D67F22">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D67F22">
              <w:rPr>
                <w:rFonts w:ascii="Palatino Linotype" w:eastAsia="Palatino Linotype" w:hAnsi="Palatino Linotype" w:cs="Palatino Linotype"/>
                <w:i/>
                <w:iCs/>
                <w:color w:val="000000"/>
                <w:u w:val="single"/>
              </w:rPr>
              <w:t xml:space="preserve">no se puede hacer un acuerdo para clasificar de manera general todos los documentos de un </w:t>
            </w:r>
            <w:r w:rsidRPr="00D67F22">
              <w:rPr>
                <w:rFonts w:ascii="Palatino Linotype" w:eastAsia="Palatino Linotype" w:hAnsi="Palatino Linotype" w:cs="Palatino Linotype"/>
                <w:i/>
                <w:iCs/>
                <w:color w:val="000000"/>
                <w:u w:val="single"/>
              </w:rPr>
              <w:lastRenderedPageBreak/>
              <w:t>expediente o área, sin</w:t>
            </w:r>
            <w:r w:rsidRPr="00D67F22">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375BD9" w:rsidRPr="00D67F22" w:rsidTr="00587874">
        <w:tc>
          <w:tcPr>
            <w:tcW w:w="2689" w:type="dxa"/>
            <w:shd w:val="clear" w:color="auto" w:fill="D9D9D9"/>
          </w:tcPr>
          <w:p w:rsidR="00375BD9" w:rsidRPr="00D67F22" w:rsidRDefault="009171EA">
            <w:pPr>
              <w:tabs>
                <w:tab w:val="left" w:pos="284"/>
              </w:tabs>
              <w:spacing w:line="360" w:lineRule="auto"/>
              <w:rPr>
                <w:rFonts w:ascii="Palatino Linotype" w:eastAsia="Palatino Linotype" w:hAnsi="Palatino Linotype" w:cs="Palatino Linotype"/>
                <w:b/>
                <w:bCs/>
              </w:rPr>
            </w:pPr>
            <w:r w:rsidRPr="00D67F22">
              <w:rPr>
                <w:rFonts w:ascii="Palatino Linotype" w:eastAsia="Palatino Linotype" w:hAnsi="Palatino Linotype" w:cs="Palatino Linotype"/>
                <w:b/>
                <w:bCs/>
              </w:rPr>
              <w:lastRenderedPageBreak/>
              <w:t>b) Supuestos de clasificación.</w:t>
            </w:r>
          </w:p>
        </w:tc>
        <w:tc>
          <w:tcPr>
            <w:tcW w:w="7088" w:type="dxa"/>
            <w:shd w:val="clear" w:color="auto" w:fill="D9D9D9"/>
          </w:tcPr>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75BD9" w:rsidRPr="00D67F22" w:rsidRDefault="009171EA">
            <w:pPr>
              <w:tabs>
                <w:tab w:val="left" w:pos="284"/>
              </w:tabs>
              <w:spacing w:line="276" w:lineRule="auto"/>
              <w:jc w:val="both"/>
              <w:rPr>
                <w:rFonts w:ascii="Palatino Linotype" w:eastAsia="Palatino Linotype" w:hAnsi="Palatino Linotype" w:cs="Palatino Linotype"/>
                <w:i/>
                <w:iCs/>
              </w:rPr>
            </w:pPr>
            <w:r w:rsidRPr="00D67F22">
              <w:rPr>
                <w:rFonts w:ascii="Palatino Linotype" w:eastAsia="Palatino Linotype" w:hAnsi="Palatino Linotype" w:cs="Palatino Linotype"/>
                <w:i/>
                <w:iCs/>
                <w:color w:val="000000"/>
              </w:rPr>
              <w:t xml:space="preserve">El </w:t>
            </w:r>
            <w:r w:rsidRPr="00D67F22">
              <w:rPr>
                <w:rFonts w:ascii="Palatino Linotype" w:eastAsia="Palatino Linotype" w:hAnsi="Palatino Linotype" w:cs="Palatino Linotype"/>
                <w:b/>
                <w:bCs/>
                <w:i/>
                <w:iCs/>
                <w:color w:val="000000"/>
              </w:rPr>
              <w:t>Sujeto Obligado</w:t>
            </w:r>
            <w:r w:rsidRPr="00D67F22">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75BD9" w:rsidRPr="00D67F22" w:rsidTr="00587874">
        <w:tc>
          <w:tcPr>
            <w:tcW w:w="2689" w:type="dxa"/>
          </w:tcPr>
          <w:p w:rsidR="00375BD9" w:rsidRPr="00D67F22" w:rsidRDefault="009171EA">
            <w:pPr>
              <w:tabs>
                <w:tab w:val="left" w:pos="284"/>
              </w:tabs>
              <w:spacing w:line="360" w:lineRule="auto"/>
              <w:rPr>
                <w:rFonts w:ascii="Palatino Linotype" w:eastAsia="Palatino Linotype" w:hAnsi="Palatino Linotype" w:cs="Palatino Linotype"/>
                <w:b/>
                <w:bCs/>
              </w:rPr>
            </w:pPr>
            <w:r w:rsidRPr="00D67F22">
              <w:rPr>
                <w:rFonts w:ascii="Palatino Linotype" w:eastAsia="Palatino Linotype" w:hAnsi="Palatino Linotype" w:cs="Palatino Linotype"/>
                <w:b/>
                <w:bCs/>
              </w:rPr>
              <w:t>c) Formalidades para emitir el acuerdo de clasificación.</w:t>
            </w:r>
          </w:p>
        </w:tc>
        <w:tc>
          <w:tcPr>
            <w:tcW w:w="7088" w:type="dxa"/>
          </w:tcPr>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Es necesario que </w:t>
            </w:r>
            <w:r w:rsidRPr="00D67F22">
              <w:rPr>
                <w:rFonts w:ascii="Palatino Linotype" w:eastAsia="Palatino Linotype" w:hAnsi="Palatino Linotype" w:cs="Palatino Linotype"/>
                <w:b/>
                <w:bCs/>
                <w:i/>
                <w:iCs/>
                <w:color w:val="000000"/>
                <w:u w:val="single"/>
              </w:rPr>
              <w:t>el acto reúna con los requisitos elementales</w:t>
            </w:r>
            <w:r w:rsidRPr="00D67F22">
              <w:rPr>
                <w:rFonts w:ascii="Palatino Linotype" w:eastAsia="Palatino Linotype" w:hAnsi="Palatino Linotype" w:cs="Palatino Linotype"/>
                <w:i/>
                <w:iCs/>
                <w:color w:val="000000"/>
              </w:rPr>
              <w:t>, entre ellos, que la autoridad que va a emitir el acto de autoridad sea la legalmente facultada para ello.</w:t>
            </w:r>
          </w:p>
          <w:p w:rsidR="00375BD9" w:rsidRPr="00D67F22" w:rsidRDefault="009171EA">
            <w:pPr>
              <w:tabs>
                <w:tab w:val="left" w:pos="284"/>
              </w:tabs>
              <w:spacing w:line="276" w:lineRule="auto"/>
              <w:jc w:val="both"/>
              <w:rPr>
                <w:rFonts w:ascii="Palatino Linotype" w:eastAsia="Palatino Linotype" w:hAnsi="Palatino Linotype" w:cs="Palatino Linotype"/>
                <w:i/>
                <w:iCs/>
              </w:rPr>
            </w:pPr>
            <w:r w:rsidRPr="00D67F22">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D67F22">
              <w:rPr>
                <w:rFonts w:ascii="Palatino Linotype" w:eastAsia="Palatino Linotype" w:hAnsi="Palatino Linotype" w:cs="Palatino Linotype"/>
                <w:i/>
                <w:iCs/>
              </w:rPr>
              <w:t>El área</w:t>
            </w:r>
            <w:r w:rsidRPr="00D67F22">
              <w:rPr>
                <w:rFonts w:ascii="Palatino Linotype" w:eastAsia="Palatino Linotype" w:hAnsi="Palatino Linotype" w:cs="Palatino Linotype"/>
                <w:i/>
                <w:iCs/>
                <w:color w:val="000000"/>
              </w:rPr>
              <w:t xml:space="preserve"> que administra la información, cuyo análisis debe </w:t>
            </w:r>
            <w:r w:rsidRPr="00D67F22">
              <w:rPr>
                <w:rFonts w:ascii="Palatino Linotype" w:eastAsia="Palatino Linotype" w:hAnsi="Palatino Linotype" w:cs="Palatino Linotype"/>
                <w:i/>
                <w:iCs/>
                <w:color w:val="000000"/>
              </w:rPr>
              <w:lastRenderedPageBreak/>
              <w:t>integrarse en la agenda de los asuntos a tratar en las sesiones, se insiste, a partir de las decisiones adoptadas previamente por los titulares de áreas y que son sujetas a control, en primera instancia, por el Comité de Transparencia.</w:t>
            </w:r>
          </w:p>
        </w:tc>
      </w:tr>
      <w:tr w:rsidR="00375BD9" w:rsidRPr="00D67F22" w:rsidTr="00587874">
        <w:tc>
          <w:tcPr>
            <w:tcW w:w="2689" w:type="dxa"/>
            <w:shd w:val="clear" w:color="auto" w:fill="D9D9D9"/>
          </w:tcPr>
          <w:p w:rsidR="00375BD9" w:rsidRPr="00D67F22" w:rsidRDefault="00375BD9">
            <w:pPr>
              <w:tabs>
                <w:tab w:val="left" w:pos="284"/>
              </w:tabs>
              <w:spacing w:line="360" w:lineRule="auto"/>
              <w:rPr>
                <w:rFonts w:ascii="Palatino Linotype" w:eastAsia="Palatino Linotype" w:hAnsi="Palatino Linotype" w:cs="Palatino Linotype"/>
                <w:b/>
                <w:bCs/>
              </w:rPr>
            </w:pPr>
          </w:p>
          <w:p w:rsidR="00375BD9" w:rsidRPr="00D67F22" w:rsidRDefault="009171EA">
            <w:pPr>
              <w:tabs>
                <w:tab w:val="left" w:pos="284"/>
              </w:tabs>
              <w:spacing w:line="360" w:lineRule="auto"/>
              <w:jc w:val="both"/>
              <w:rPr>
                <w:rFonts w:ascii="Palatino Linotype" w:eastAsia="Palatino Linotype" w:hAnsi="Palatino Linotype" w:cs="Palatino Linotype"/>
                <w:b/>
                <w:bCs/>
              </w:rPr>
            </w:pPr>
            <w:r w:rsidRPr="00D67F22">
              <w:rPr>
                <w:rFonts w:ascii="Palatino Linotype" w:eastAsia="Palatino Linotype" w:hAnsi="Palatino Linotype" w:cs="Palatino Linotype"/>
                <w:b/>
                <w:bCs/>
                <w:color w:val="000000"/>
              </w:rPr>
              <w:t xml:space="preserve">d) Requisitos de fondo del acuerdo de clasificación. </w:t>
            </w:r>
          </w:p>
        </w:tc>
        <w:tc>
          <w:tcPr>
            <w:tcW w:w="7088" w:type="dxa"/>
            <w:shd w:val="clear" w:color="auto" w:fill="D9D9D9"/>
          </w:tcPr>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67F22">
              <w:rPr>
                <w:rFonts w:ascii="Palatino Linotype" w:eastAsia="Palatino Linotype" w:hAnsi="Palatino Linotype" w:cs="Palatino Linotype"/>
                <w:b/>
                <w:bCs/>
                <w:i/>
                <w:iCs/>
                <w:color w:val="000000"/>
              </w:rPr>
              <w:t>Sujetos Obligados</w:t>
            </w:r>
            <w:r w:rsidRPr="00D67F22">
              <w:rPr>
                <w:rFonts w:ascii="Palatino Linotype" w:eastAsia="Palatino Linotype" w:hAnsi="Palatino Linotype" w:cs="Palatino Linotype"/>
                <w:i/>
                <w:iCs/>
                <w:color w:val="000000"/>
              </w:rPr>
              <w:t xml:space="preserve">, por lo que deberán fundar y motivar debidamente la clasificación. </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De lo anterior, se desprende que para una correcta </w:t>
            </w:r>
            <w:r w:rsidRPr="00D67F22">
              <w:rPr>
                <w:rFonts w:ascii="Palatino Linotype" w:eastAsia="Palatino Linotype" w:hAnsi="Palatino Linotype" w:cs="Palatino Linotype"/>
                <w:b/>
                <w:bCs/>
                <w:i/>
                <w:iCs/>
                <w:color w:val="000000"/>
              </w:rPr>
              <w:t>clasificación total o parcial</w:t>
            </w:r>
            <w:r w:rsidRPr="00D67F22">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Ahora bien, </w:t>
            </w:r>
            <w:r w:rsidRPr="00D67F22">
              <w:rPr>
                <w:rFonts w:ascii="Palatino Linotype" w:eastAsia="Palatino Linotype" w:hAnsi="Palatino Linotype" w:cs="Palatino Linotype"/>
                <w:b/>
                <w:bCs/>
                <w:i/>
                <w:iCs/>
                <w:color w:val="000000"/>
                <w:u w:val="single"/>
              </w:rPr>
              <w:t>para cada caso además de fundar y motivar</w:t>
            </w:r>
            <w:r w:rsidRPr="00D67F22">
              <w:rPr>
                <w:rFonts w:ascii="Palatino Linotype" w:eastAsia="Palatino Linotype" w:hAnsi="Palatino Linotype" w:cs="Palatino Linotype"/>
                <w:i/>
                <w:iCs/>
                <w:color w:val="000000"/>
              </w:rPr>
              <w:t xml:space="preserve">, se debe identificar con claridad </w:t>
            </w:r>
            <w:r w:rsidRPr="00D67F22">
              <w:rPr>
                <w:rFonts w:ascii="Palatino Linotype" w:eastAsia="Palatino Linotype" w:hAnsi="Palatino Linotype" w:cs="Palatino Linotype"/>
                <w:i/>
                <w:iCs/>
              </w:rPr>
              <w:t>qué</w:t>
            </w:r>
            <w:r w:rsidRPr="00D67F22">
              <w:rPr>
                <w:rFonts w:ascii="Palatino Linotype" w:eastAsia="Palatino Linotype" w:hAnsi="Palatino Linotype" w:cs="Palatino Linotype"/>
                <w:i/>
                <w:iCs/>
                <w:color w:val="000000"/>
              </w:rPr>
              <w:t xml:space="preserve"> datos contenidos en las documentales que son susceptibles de suprimirse, por ejemplo; Clave Única de Registro de </w:t>
            </w:r>
            <w:r w:rsidRPr="00D67F22">
              <w:rPr>
                <w:rFonts w:ascii="Palatino Linotype" w:eastAsia="Palatino Linotype" w:hAnsi="Palatino Linotype" w:cs="Palatino Linotype"/>
                <w:i/>
                <w:iCs/>
                <w:color w:val="000000"/>
              </w:rPr>
              <w:lastRenderedPageBreak/>
              <w:t>Población (CURP), Registro Federal de Contribuyentes (R.F.C.), claves de seguros, préstamos o descuentos personales, secretos bancario, fiduciario, industrial, comercial, fiscal, bursátil y postal, cuya titularidad corresponda a particulares, entre otros.</w:t>
            </w:r>
          </w:p>
        </w:tc>
      </w:tr>
      <w:tr w:rsidR="00375BD9" w:rsidRPr="00D67F22" w:rsidTr="00587874">
        <w:tc>
          <w:tcPr>
            <w:tcW w:w="2689" w:type="dxa"/>
          </w:tcPr>
          <w:p w:rsidR="00375BD9" w:rsidRPr="00D67F22" w:rsidRDefault="009171EA">
            <w:pPr>
              <w:tabs>
                <w:tab w:val="left" w:pos="284"/>
              </w:tabs>
              <w:spacing w:line="360" w:lineRule="auto"/>
              <w:jc w:val="both"/>
              <w:rPr>
                <w:rFonts w:ascii="Palatino Linotype" w:eastAsia="Palatino Linotype" w:hAnsi="Palatino Linotype" w:cs="Palatino Linotype"/>
                <w:b/>
                <w:bCs/>
              </w:rPr>
            </w:pPr>
            <w:r w:rsidRPr="00D67F22">
              <w:rPr>
                <w:rFonts w:ascii="Palatino Linotype" w:eastAsia="Palatino Linotype" w:hAnsi="Palatino Linotype" w:cs="Palatino Linotype"/>
                <w:b/>
                <w:bCs/>
              </w:rPr>
              <w:lastRenderedPageBreak/>
              <w:t xml:space="preserve">e) Condiciones especiales de la clasificación de la información como confidencial. </w:t>
            </w:r>
          </w:p>
        </w:tc>
        <w:tc>
          <w:tcPr>
            <w:tcW w:w="7088" w:type="dxa"/>
          </w:tcPr>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375BD9" w:rsidRPr="00D67F22" w:rsidRDefault="009171EA">
            <w:pPr>
              <w:tabs>
                <w:tab w:val="left" w:pos="284"/>
              </w:tabs>
              <w:spacing w:line="276" w:lineRule="auto"/>
              <w:jc w:val="both"/>
              <w:rPr>
                <w:rFonts w:ascii="Palatino Linotype" w:eastAsia="Palatino Linotype" w:hAnsi="Palatino Linotype" w:cs="Palatino Linotype"/>
                <w:i/>
                <w:iCs/>
                <w:color w:val="000000"/>
              </w:rPr>
            </w:pPr>
            <w:r w:rsidRPr="00D67F22">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75BD9" w:rsidRPr="00D67F22" w:rsidRDefault="009171EA">
            <w:pPr>
              <w:tabs>
                <w:tab w:val="left" w:pos="284"/>
              </w:tabs>
              <w:spacing w:line="276" w:lineRule="auto"/>
              <w:rPr>
                <w:rFonts w:ascii="Palatino Linotype" w:eastAsia="Palatino Linotype" w:hAnsi="Palatino Linotype" w:cs="Palatino Linotype"/>
                <w:i/>
                <w:iCs/>
              </w:rPr>
            </w:pPr>
            <w:r w:rsidRPr="00D67F22">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87874" w:rsidRDefault="00587874" w:rsidP="005878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5BD9" w:rsidRPr="00D67F22" w:rsidRDefault="009171EA">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67F22">
        <w:rPr>
          <w:rFonts w:ascii="Palatino Linotype" w:eastAsia="Palatino Linotype" w:hAnsi="Palatino Linotype" w:cs="Palatino Linotype"/>
          <w:color w:val="000000"/>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9171EA">
      <w:pPr>
        <w:numPr>
          <w:ilvl w:val="0"/>
          <w:numId w:val="4"/>
        </w:numPr>
        <w:spacing w:line="360" w:lineRule="auto"/>
        <w:ind w:left="0" w:firstLine="0"/>
        <w:jc w:val="both"/>
        <w:rPr>
          <w:rFonts w:ascii="Palatino Linotype" w:eastAsia="Palatino Linotype" w:hAnsi="Palatino Linotype" w:cs="Palatino Linotype"/>
        </w:rPr>
      </w:pPr>
      <w:r w:rsidRPr="00D67F22">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375BD9" w:rsidRPr="00D67F22" w:rsidRDefault="009171EA">
      <w:pPr>
        <w:numPr>
          <w:ilvl w:val="0"/>
          <w:numId w:val="4"/>
        </w:numPr>
        <w:spacing w:line="360" w:lineRule="auto"/>
        <w:ind w:left="0" w:firstLine="0"/>
        <w:jc w:val="both"/>
        <w:rPr>
          <w:color w:val="000000"/>
        </w:rPr>
      </w:pPr>
      <w:r w:rsidRPr="00D67F22">
        <w:rPr>
          <w:rFonts w:ascii="Palatino Linotype" w:eastAsia="Palatino Linotype" w:hAnsi="Palatino Linotype" w:cs="Palatino Linotype"/>
        </w:rPr>
        <w:lastRenderedPageBreak/>
        <w:t>Por lo anteriormente expuesto, este Órgano Garante considera parcialmente fundadas las razones o motivos de inconformidad que plantea el</w:t>
      </w:r>
      <w:r w:rsidRPr="00D67F22">
        <w:rPr>
          <w:rFonts w:ascii="Palatino Linotype" w:eastAsia="Palatino Linotype" w:hAnsi="Palatino Linotype" w:cs="Palatino Linotype"/>
          <w:b/>
          <w:bCs/>
        </w:rPr>
        <w:t xml:space="preserve"> RECURRENTE</w:t>
      </w:r>
      <w:r w:rsidRPr="00D67F22">
        <w:rPr>
          <w:rFonts w:ascii="Palatino Linotype" w:eastAsia="Palatino Linotype" w:hAnsi="Palatino Linotype" w:cs="Palatino Linotype"/>
        </w:rPr>
        <w:t xml:space="preserve">, determinando </w:t>
      </w:r>
      <w:r w:rsidRPr="00D67F22">
        <w:rPr>
          <w:rFonts w:ascii="Palatino Linotype" w:eastAsia="Palatino Linotype" w:hAnsi="Palatino Linotype" w:cs="Palatino Linotype"/>
          <w:b/>
          <w:bCs/>
          <w:smallCaps/>
        </w:rPr>
        <w:t xml:space="preserve">REVOCAR  </w:t>
      </w:r>
      <w:r w:rsidRPr="00D67F22">
        <w:rPr>
          <w:rFonts w:ascii="Palatino Linotype" w:eastAsia="Palatino Linotype" w:hAnsi="Palatino Linotype" w:cs="Palatino Linotype"/>
        </w:rPr>
        <w:t xml:space="preserve">la respuesta del </w:t>
      </w:r>
      <w:r w:rsidRPr="00D67F22">
        <w:rPr>
          <w:rFonts w:ascii="Palatino Linotype" w:eastAsia="Palatino Linotype" w:hAnsi="Palatino Linotype" w:cs="Palatino Linotype"/>
          <w:b/>
          <w:bCs/>
        </w:rPr>
        <w:t>SUJETO OBLIGADO</w:t>
      </w:r>
      <w:r w:rsidRPr="00D67F22">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D67F22">
        <w:rPr>
          <w:rFonts w:ascii="Palatino Linotype" w:eastAsia="Palatino Linotype" w:hAnsi="Palatino Linotype" w:cs="Palatino Linotype"/>
          <w:color w:val="000000"/>
        </w:rPr>
        <w:t xml:space="preserve">este </w:t>
      </w:r>
      <w:r w:rsidRPr="00D67F22">
        <w:rPr>
          <w:rFonts w:ascii="Palatino Linotype" w:eastAsia="Palatino Linotype" w:hAnsi="Palatino Linotype" w:cs="Palatino Linotype"/>
          <w:b/>
          <w:bCs/>
          <w:color w:val="000000"/>
        </w:rPr>
        <w:t>ÓRGANO GARANTE</w:t>
      </w:r>
      <w:r w:rsidRPr="00D67F22">
        <w:rPr>
          <w:rFonts w:ascii="Palatino Linotype" w:eastAsia="Palatino Linotype" w:hAnsi="Palatino Linotype" w:cs="Palatino Linotype"/>
          <w:color w:val="000000"/>
        </w:rPr>
        <w:t xml:space="preserve"> emite los siguientes.</w:t>
      </w:r>
    </w:p>
    <w:p w:rsidR="00375BD9" w:rsidRDefault="00375BD9">
      <w:pPr>
        <w:pBdr>
          <w:top w:val="nil"/>
          <w:left w:val="nil"/>
          <w:bottom w:val="nil"/>
          <w:right w:val="nil"/>
          <w:between w:val="nil"/>
        </w:pBdr>
        <w:ind w:left="720"/>
        <w:rPr>
          <w:rFonts w:ascii="Palatino Linotype" w:eastAsia="Palatino Linotype" w:hAnsi="Palatino Linotype" w:cs="Palatino Linotype"/>
          <w:color w:val="000000"/>
        </w:rPr>
      </w:pPr>
    </w:p>
    <w:p w:rsidR="00375BD9" w:rsidRPr="00D67F22" w:rsidRDefault="009171EA">
      <w:pPr>
        <w:pStyle w:val="Ttulo1"/>
        <w:spacing w:before="0" w:line="360" w:lineRule="auto"/>
        <w:jc w:val="center"/>
        <w:rPr>
          <w:rFonts w:ascii="Palatino Linotype" w:eastAsia="Palatino Linotype" w:hAnsi="Palatino Linotype" w:cs="Palatino Linotype"/>
          <w:b/>
          <w:bCs/>
          <w:color w:val="000000"/>
          <w:sz w:val="24"/>
          <w:szCs w:val="24"/>
        </w:rPr>
      </w:pPr>
      <w:r w:rsidRPr="00D67F22">
        <w:rPr>
          <w:rFonts w:ascii="Palatino Linotype" w:eastAsia="Palatino Linotype" w:hAnsi="Palatino Linotype" w:cs="Palatino Linotype"/>
          <w:b/>
          <w:bCs/>
          <w:color w:val="000000"/>
          <w:sz w:val="24"/>
          <w:szCs w:val="24"/>
        </w:rPr>
        <w:t>R E S O L U T I V O S</w:t>
      </w:r>
    </w:p>
    <w:p w:rsidR="00375BD9" w:rsidRPr="00D67F22" w:rsidRDefault="00375BD9"/>
    <w:p w:rsidR="00375BD9" w:rsidRPr="00D67F22" w:rsidRDefault="009171EA">
      <w:pPr>
        <w:spacing w:line="360" w:lineRule="auto"/>
        <w:jc w:val="both"/>
        <w:rPr>
          <w:rFonts w:ascii="Palatino Linotype" w:eastAsia="Palatino Linotype" w:hAnsi="Palatino Linotype" w:cs="Palatino Linotype"/>
          <w:b/>
          <w:bCs/>
        </w:rPr>
      </w:pPr>
      <w:r w:rsidRPr="00D67F22">
        <w:rPr>
          <w:rFonts w:ascii="Palatino Linotype" w:eastAsia="Palatino Linotype" w:hAnsi="Palatino Linotype" w:cs="Palatino Linotype"/>
          <w:b/>
          <w:bCs/>
        </w:rPr>
        <w:t>PRIMERO</w:t>
      </w:r>
      <w:r w:rsidRPr="00D67F22">
        <w:rPr>
          <w:rFonts w:ascii="Palatino Linotype" w:eastAsia="Palatino Linotype" w:hAnsi="Palatino Linotype" w:cs="Palatino Linotype"/>
        </w:rPr>
        <w:t xml:space="preserve">. Resultan fundadas las razones o motivos de inconformidad hechos valer en el Recurso de Revisión </w:t>
      </w:r>
      <w:r w:rsidRPr="00D67F22">
        <w:rPr>
          <w:rFonts w:ascii="Palatino Linotype" w:eastAsia="Palatino Linotype" w:hAnsi="Palatino Linotype" w:cs="Palatino Linotype"/>
          <w:b/>
          <w:bCs/>
        </w:rPr>
        <w:t xml:space="preserve">07493/INFOEM/IP/RR/2025, </w:t>
      </w:r>
      <w:r w:rsidRPr="00D67F22">
        <w:rPr>
          <w:rFonts w:ascii="Palatino Linotype" w:eastAsia="Palatino Linotype" w:hAnsi="Palatino Linotype" w:cs="Palatino Linotype"/>
        </w:rPr>
        <w:t xml:space="preserve">en términos del Considerando </w:t>
      </w:r>
      <w:r w:rsidRPr="00D67F22">
        <w:rPr>
          <w:rFonts w:ascii="Palatino Linotype" w:eastAsia="Palatino Linotype" w:hAnsi="Palatino Linotype" w:cs="Palatino Linotype"/>
          <w:b/>
          <w:bCs/>
        </w:rPr>
        <w:t xml:space="preserve">Cuarto y Quinto </w:t>
      </w:r>
      <w:r w:rsidRPr="00D67F22">
        <w:rPr>
          <w:rFonts w:ascii="Palatino Linotype" w:eastAsia="Palatino Linotype" w:hAnsi="Palatino Linotype" w:cs="Palatino Linotype"/>
        </w:rPr>
        <w:t xml:space="preserve">de la presente resolución. </w:t>
      </w: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9171EA">
      <w:pPr>
        <w:pBdr>
          <w:top w:val="nil"/>
          <w:left w:val="nil"/>
          <w:bottom w:val="nil"/>
          <w:right w:val="nil"/>
          <w:between w:val="nil"/>
        </w:pBdr>
        <w:spacing w:line="360" w:lineRule="auto"/>
        <w:jc w:val="both"/>
        <w:rPr>
          <w:rFonts w:ascii="Palatino Linotype" w:eastAsia="Palatino Linotype" w:hAnsi="Palatino Linotype" w:cs="Palatino Linotype"/>
        </w:rPr>
      </w:pPr>
      <w:bookmarkStart w:id="12" w:name="_heading=h.1ksv4uv" w:colFirst="0" w:colLast="0"/>
      <w:bookmarkEnd w:id="12"/>
      <w:r w:rsidRPr="00D67F22">
        <w:rPr>
          <w:rFonts w:ascii="Palatino Linotype" w:eastAsia="Palatino Linotype" w:hAnsi="Palatino Linotype" w:cs="Palatino Linotype"/>
          <w:b/>
          <w:bCs/>
        </w:rPr>
        <w:t xml:space="preserve">SEGUNDO. </w:t>
      </w:r>
      <w:r w:rsidRPr="00D67F22">
        <w:rPr>
          <w:rFonts w:ascii="Palatino Linotype" w:eastAsia="Palatino Linotype" w:hAnsi="Palatino Linotype" w:cs="Palatino Linotype"/>
          <w:color w:val="000000"/>
        </w:rPr>
        <w:t xml:space="preserve">Se </w:t>
      </w:r>
      <w:r w:rsidRPr="00D67F22">
        <w:rPr>
          <w:rFonts w:ascii="Palatino Linotype" w:eastAsia="Palatino Linotype" w:hAnsi="Palatino Linotype" w:cs="Palatino Linotype"/>
          <w:b/>
          <w:bCs/>
          <w:color w:val="000000"/>
        </w:rPr>
        <w:t xml:space="preserve">REVOCA </w:t>
      </w:r>
      <w:r w:rsidRPr="00D67F22">
        <w:rPr>
          <w:rFonts w:ascii="Palatino Linotype" w:eastAsia="Palatino Linotype" w:hAnsi="Palatino Linotype" w:cs="Palatino Linotype"/>
          <w:color w:val="000000"/>
        </w:rPr>
        <w:t xml:space="preserve">la respuesta emitida por el </w:t>
      </w:r>
      <w:r w:rsidRPr="00D67F22">
        <w:rPr>
          <w:rFonts w:ascii="Palatino Linotype" w:eastAsia="Palatino Linotype" w:hAnsi="Palatino Linotype" w:cs="Palatino Linotype"/>
          <w:b/>
          <w:bCs/>
          <w:color w:val="000000"/>
        </w:rPr>
        <w:t xml:space="preserve">Ayuntamiento de Toluca </w:t>
      </w:r>
      <w:r w:rsidRPr="00D67F22">
        <w:rPr>
          <w:rFonts w:ascii="Palatino Linotype" w:eastAsia="Palatino Linotype" w:hAnsi="Palatino Linotype" w:cs="Palatino Linotype"/>
          <w:color w:val="000000"/>
        </w:rPr>
        <w:t xml:space="preserve">y se </w:t>
      </w:r>
      <w:r w:rsidRPr="00D67F22">
        <w:rPr>
          <w:rFonts w:ascii="Palatino Linotype" w:eastAsia="Palatino Linotype" w:hAnsi="Palatino Linotype" w:cs="Palatino Linotype"/>
          <w:b/>
          <w:bCs/>
          <w:color w:val="000000"/>
        </w:rPr>
        <w:t>ORDENA</w:t>
      </w:r>
      <w:r w:rsidRPr="00D67F22">
        <w:rPr>
          <w:rFonts w:ascii="Palatino Linotype" w:eastAsia="Palatino Linotype" w:hAnsi="Palatino Linotype" w:cs="Palatino Linotype"/>
          <w:color w:val="000000"/>
        </w:rPr>
        <w:t xml:space="preserve"> entregar vía Sistema de Acceso a la Información,</w:t>
      </w:r>
      <w:r w:rsidRPr="00D67F22">
        <w:rPr>
          <w:rFonts w:ascii="Palatino Linotype" w:eastAsia="Palatino Linotype" w:hAnsi="Palatino Linotype" w:cs="Palatino Linotype"/>
        </w:rPr>
        <w:t xml:space="preserve"> después de una búsqueda exhaustiva, de ser procedente en versión pública lo siguiente: </w:t>
      </w:r>
    </w:p>
    <w:p w:rsidR="00587874" w:rsidRDefault="00587874">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bookmarkStart w:id="13" w:name="_heading=h.lnxbz9" w:colFirst="0" w:colLast="0"/>
      <w:bookmarkEnd w:id="13"/>
    </w:p>
    <w:p w:rsidR="00375BD9" w:rsidRPr="00D67F22" w:rsidRDefault="009171EA">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D67F22">
        <w:rPr>
          <w:rFonts w:ascii="Palatino Linotype" w:eastAsia="Palatino Linotype" w:hAnsi="Palatino Linotype" w:cs="Palatino Linotype"/>
          <w:b/>
          <w:bCs/>
          <w:i/>
          <w:iCs/>
          <w:color w:val="000000"/>
        </w:rPr>
        <w:t>1. Soporte documental donde consten los resultados de las auditorías al ejercicio presupuestal del año 2021 realizadas por la Contraloría Municipal.</w:t>
      </w:r>
    </w:p>
    <w:p w:rsidR="00375BD9" w:rsidRPr="00D67F22" w:rsidRDefault="00375BD9">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rPr>
      </w:pPr>
      <w:bookmarkStart w:id="14" w:name="_heading=h.vfduujm4g6o6" w:colFirst="0" w:colLast="0"/>
      <w:bookmarkEnd w:id="14"/>
    </w:p>
    <w:p w:rsidR="00375BD9" w:rsidRPr="00D67F22" w:rsidRDefault="009171EA">
      <w:pPr>
        <w:tabs>
          <w:tab w:val="left" w:pos="8080"/>
        </w:tabs>
        <w:spacing w:line="276" w:lineRule="auto"/>
        <w:ind w:left="1134" w:right="1134"/>
        <w:jc w:val="both"/>
        <w:rPr>
          <w:rFonts w:ascii="Palatino Linotype" w:eastAsia="Palatino Linotype" w:hAnsi="Palatino Linotype" w:cs="Palatino Linotype"/>
          <w:b/>
          <w:bCs/>
          <w:i/>
          <w:iCs/>
        </w:rPr>
      </w:pPr>
      <w:r w:rsidRPr="00D67F22">
        <w:rPr>
          <w:rFonts w:ascii="Palatino Linotype" w:eastAsia="Palatino Linotype" w:hAnsi="Palatino Linotype" w:cs="Palatino Linotype"/>
          <w:i/>
          <w:iCs/>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67F22">
        <w:rPr>
          <w:rFonts w:ascii="Palatino Linotype" w:eastAsia="Palatino Linotype" w:hAnsi="Palatino Linotype" w:cs="Palatino Linotype"/>
          <w:b/>
          <w:bCs/>
          <w:i/>
          <w:iCs/>
        </w:rPr>
        <w:t>RECURRENTE.</w:t>
      </w:r>
    </w:p>
    <w:p w:rsidR="00375BD9" w:rsidRPr="00D67F22" w:rsidRDefault="00375BD9">
      <w:pPr>
        <w:tabs>
          <w:tab w:val="left" w:pos="8080"/>
        </w:tabs>
        <w:spacing w:line="276" w:lineRule="auto"/>
        <w:ind w:left="1134" w:right="1134"/>
        <w:jc w:val="both"/>
        <w:rPr>
          <w:rFonts w:ascii="Palatino Linotype" w:eastAsia="Palatino Linotype" w:hAnsi="Palatino Linotype" w:cs="Palatino Linotype"/>
          <w:i/>
          <w:iCs/>
        </w:rPr>
      </w:pPr>
    </w:p>
    <w:p w:rsidR="00375BD9" w:rsidRPr="00D67F22" w:rsidRDefault="00375BD9">
      <w:pPr>
        <w:tabs>
          <w:tab w:val="left" w:pos="8080"/>
        </w:tabs>
        <w:spacing w:line="360" w:lineRule="auto"/>
        <w:jc w:val="both"/>
        <w:rPr>
          <w:rFonts w:ascii="Palatino Linotype" w:eastAsia="Palatino Linotype" w:hAnsi="Palatino Linotype" w:cs="Palatino Linotype"/>
        </w:rPr>
      </w:pPr>
    </w:p>
    <w:p w:rsidR="00375BD9" w:rsidRPr="00D67F22" w:rsidRDefault="009171EA">
      <w:pPr>
        <w:tabs>
          <w:tab w:val="left" w:pos="8080"/>
        </w:tabs>
        <w:spacing w:line="360" w:lineRule="auto"/>
        <w:jc w:val="both"/>
        <w:rPr>
          <w:rFonts w:ascii="Palatino Linotype" w:eastAsia="Palatino Linotype" w:hAnsi="Palatino Linotype" w:cs="Palatino Linotype"/>
          <w:color w:val="222222"/>
        </w:rPr>
      </w:pPr>
      <w:r w:rsidRPr="00D67F22">
        <w:rPr>
          <w:rFonts w:ascii="Palatino Linotype" w:eastAsia="Palatino Linotype" w:hAnsi="Palatino Linotype" w:cs="Palatino Linotype"/>
          <w:b/>
          <w:bCs/>
        </w:rPr>
        <w:t xml:space="preserve">TERCERO. </w:t>
      </w:r>
      <w:r w:rsidRPr="00D67F22">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67F22">
        <w:rPr>
          <w:rFonts w:ascii="Palatino Linotype" w:eastAsia="Palatino Linotype" w:hAnsi="Palatino Linotype" w:cs="Palatino Linotype"/>
          <w:b/>
          <w:bCs/>
          <w:color w:val="222222"/>
        </w:rPr>
        <w:t xml:space="preserve">dé cumplimiento a lo ordenado dentro del plazo de diez días hábiles, </w:t>
      </w:r>
      <w:r w:rsidRPr="00D67F22">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375BD9" w:rsidRPr="00D67F22" w:rsidRDefault="00375BD9">
      <w:pPr>
        <w:tabs>
          <w:tab w:val="left" w:pos="8080"/>
        </w:tabs>
        <w:spacing w:line="360" w:lineRule="auto"/>
        <w:jc w:val="both"/>
        <w:rPr>
          <w:rFonts w:ascii="Palatino Linotype" w:eastAsia="Palatino Linotype" w:hAnsi="Palatino Linotype" w:cs="Palatino Linotype"/>
          <w:color w:val="222222"/>
        </w:rPr>
      </w:pPr>
    </w:p>
    <w:p w:rsidR="00375BD9" w:rsidRPr="00D67F22" w:rsidRDefault="009171EA">
      <w:pPr>
        <w:spacing w:line="360" w:lineRule="auto"/>
        <w:jc w:val="both"/>
        <w:rPr>
          <w:rFonts w:ascii="Palatino Linotype" w:eastAsia="Palatino Linotype" w:hAnsi="Palatino Linotype" w:cs="Palatino Linotype"/>
        </w:rPr>
      </w:pPr>
      <w:r w:rsidRPr="00D67F22">
        <w:rPr>
          <w:rFonts w:ascii="Palatino Linotype" w:eastAsia="Palatino Linotype" w:hAnsi="Palatino Linotype" w:cs="Palatino Linotype"/>
          <w:b/>
          <w:bCs/>
        </w:rPr>
        <w:t xml:space="preserve">CUARTO. </w:t>
      </w:r>
      <w:r w:rsidRPr="00D67F22">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67F22">
        <w:rPr>
          <w:rFonts w:ascii="Palatino Linotype" w:eastAsia="Palatino Linotype" w:hAnsi="Palatino Linotype" w:cs="Palatino Linotype"/>
          <w:b/>
          <w:bCs/>
        </w:rPr>
        <w:t>SUJETO OBLIGADO</w:t>
      </w:r>
      <w:r w:rsidRPr="00D67F22">
        <w:rPr>
          <w:rFonts w:ascii="Palatino Linotype" w:eastAsia="Palatino Linotype" w:hAnsi="Palatino Linotype" w:cs="Palatino Linotype"/>
        </w:rPr>
        <w:t xml:space="preserve"> de manera fundada y motivada, podrá solicitar una ampliación de plazo para el cumplimiento de la presente resolución.</w:t>
      </w: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9171EA">
      <w:pPr>
        <w:spacing w:line="360" w:lineRule="auto"/>
        <w:jc w:val="both"/>
        <w:rPr>
          <w:rFonts w:ascii="Palatino Linotype" w:eastAsia="Palatino Linotype" w:hAnsi="Palatino Linotype" w:cs="Palatino Linotype"/>
        </w:rPr>
      </w:pPr>
      <w:bookmarkStart w:id="15" w:name="_heading=h.2jxsxqh" w:colFirst="0" w:colLast="0"/>
      <w:bookmarkEnd w:id="15"/>
      <w:r w:rsidRPr="00D67F22">
        <w:rPr>
          <w:rFonts w:ascii="Palatino Linotype" w:eastAsia="Palatino Linotype" w:hAnsi="Palatino Linotype" w:cs="Palatino Linotype"/>
          <w:b/>
          <w:bCs/>
        </w:rPr>
        <w:t xml:space="preserve">QUINTO. </w:t>
      </w:r>
      <w:r w:rsidRPr="00D67F22">
        <w:rPr>
          <w:rFonts w:ascii="Palatino Linotype" w:eastAsia="Palatino Linotype" w:hAnsi="Palatino Linotype" w:cs="Palatino Linotype"/>
        </w:rPr>
        <w:t xml:space="preserve">Notifíquese a </w:t>
      </w:r>
      <w:r w:rsidRPr="00D67F22">
        <w:rPr>
          <w:rFonts w:ascii="Palatino Linotype" w:eastAsia="Palatino Linotype" w:hAnsi="Palatino Linotype" w:cs="Palatino Linotype"/>
          <w:b/>
          <w:bCs/>
        </w:rPr>
        <w:t>EL RECURRENTE</w:t>
      </w:r>
      <w:r w:rsidRPr="00D67F22">
        <w:rPr>
          <w:rFonts w:ascii="Palatino Linotype" w:eastAsia="Palatino Linotype" w:hAnsi="Palatino Linotype" w:cs="Palatino Linotype"/>
        </w:rPr>
        <w:t xml:space="preserve"> la presente resolución, vía SAIMEX.</w:t>
      </w:r>
    </w:p>
    <w:p w:rsidR="00375BD9" w:rsidRPr="00D67F22" w:rsidRDefault="00375BD9">
      <w:pPr>
        <w:shd w:val="clear" w:color="auto" w:fill="FFFFFF"/>
        <w:spacing w:line="360" w:lineRule="auto"/>
        <w:jc w:val="both"/>
        <w:rPr>
          <w:rFonts w:ascii="Palatino Linotype" w:eastAsia="Palatino Linotype" w:hAnsi="Palatino Linotype" w:cs="Palatino Linotype"/>
          <w:b/>
          <w:bCs/>
        </w:rPr>
      </w:pPr>
    </w:p>
    <w:p w:rsidR="00375BD9" w:rsidRPr="00D67F22" w:rsidRDefault="009171EA">
      <w:pPr>
        <w:spacing w:line="360" w:lineRule="auto"/>
        <w:jc w:val="both"/>
        <w:rPr>
          <w:rFonts w:ascii="Palatino Linotype" w:eastAsia="Palatino Linotype" w:hAnsi="Palatino Linotype" w:cs="Palatino Linotype"/>
        </w:rPr>
      </w:pPr>
      <w:r w:rsidRPr="00D67F22">
        <w:rPr>
          <w:rFonts w:ascii="Palatino Linotype" w:eastAsia="Palatino Linotype" w:hAnsi="Palatino Linotype" w:cs="Palatino Linotype"/>
          <w:b/>
          <w:bCs/>
        </w:rPr>
        <w:t xml:space="preserve">SEXTO. </w:t>
      </w:r>
      <w:r w:rsidRPr="00D67F22">
        <w:rPr>
          <w:rFonts w:ascii="Palatino Linotype" w:eastAsia="Palatino Linotype" w:hAnsi="Palatino Linotype" w:cs="Palatino Linotype"/>
        </w:rPr>
        <w:t xml:space="preserve">Se hace del conocimiento del </w:t>
      </w:r>
      <w:r w:rsidRPr="00D67F22">
        <w:rPr>
          <w:rFonts w:ascii="Palatino Linotype" w:eastAsia="Palatino Linotype" w:hAnsi="Palatino Linotype" w:cs="Palatino Linotype"/>
          <w:b/>
          <w:bCs/>
        </w:rPr>
        <w:t>RECURRENTE</w:t>
      </w:r>
      <w:r w:rsidRPr="00D67F2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375BD9" w:rsidRPr="00D67F22" w:rsidRDefault="00375BD9">
      <w:pPr>
        <w:shd w:val="clear" w:color="auto" w:fill="FFFFFF"/>
        <w:spacing w:line="360" w:lineRule="auto"/>
        <w:jc w:val="both"/>
        <w:rPr>
          <w:rFonts w:ascii="Palatino Linotype" w:eastAsia="Palatino Linotype" w:hAnsi="Palatino Linotype" w:cs="Palatino Linotype"/>
        </w:rPr>
      </w:pPr>
    </w:p>
    <w:p w:rsidR="00D903AF" w:rsidRPr="00D67F22" w:rsidRDefault="00D903AF" w:rsidP="00D903AF">
      <w:pPr>
        <w:spacing w:before="240" w:after="240" w:line="360" w:lineRule="auto"/>
        <w:ind w:firstLine="1"/>
        <w:jc w:val="both"/>
        <w:rPr>
          <w:rFonts w:ascii="Palatino Linotype" w:hAnsi="Palatino Linotype"/>
        </w:rPr>
      </w:pPr>
      <w:bookmarkStart w:id="16" w:name="_Hlk99014733"/>
      <w:r w:rsidRPr="00D67F2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D67F22">
        <w:rPr>
          <w:rFonts w:ascii="Palatino Linotype" w:hAnsi="Palatino Linotype" w:cs="Palatino Linotype"/>
          <w:color w:val="000000" w:themeColor="text1"/>
        </w:rPr>
        <w:t>ALEXIS TAPIA RAMÍREZ.</w:t>
      </w:r>
    </w:p>
    <w:bookmarkEnd w:id="16"/>
    <w:p w:rsidR="00375BD9" w:rsidRPr="00D67F22" w:rsidRDefault="00375BD9">
      <w:pPr>
        <w:spacing w:before="240" w:after="240" w:line="360" w:lineRule="auto"/>
        <w:jc w:val="both"/>
        <w:rPr>
          <w:rFonts w:ascii="Palatino Linotype" w:eastAsia="Palatino Linotype" w:hAnsi="Palatino Linotype" w:cs="Palatino Linotype"/>
        </w:rPr>
      </w:pPr>
    </w:p>
    <w:p w:rsidR="00375BD9" w:rsidRPr="00D67F22" w:rsidRDefault="00375BD9">
      <w:pPr>
        <w:spacing w:before="240" w:after="240" w:line="360" w:lineRule="auto"/>
        <w:jc w:val="both"/>
        <w:rPr>
          <w:rFonts w:ascii="Palatino Linotype" w:eastAsia="Palatino Linotype" w:hAnsi="Palatino Linotype" w:cs="Palatino Linotype"/>
        </w:rPr>
      </w:pPr>
    </w:p>
    <w:p w:rsidR="00375BD9" w:rsidRPr="00D67F22" w:rsidRDefault="00375BD9">
      <w:pPr>
        <w:spacing w:before="240" w:after="240" w:line="360" w:lineRule="auto"/>
        <w:jc w:val="both"/>
        <w:rPr>
          <w:rFonts w:ascii="Palatino Linotype" w:eastAsia="Palatino Linotype" w:hAnsi="Palatino Linotype" w:cs="Palatino Linotype"/>
        </w:rPr>
      </w:pPr>
    </w:p>
    <w:p w:rsidR="00375BD9" w:rsidRPr="00D67F22" w:rsidRDefault="00375BD9">
      <w:pPr>
        <w:spacing w:before="240" w:after="240" w:line="360" w:lineRule="auto"/>
        <w:jc w:val="both"/>
        <w:rPr>
          <w:rFonts w:ascii="Palatino Linotype" w:eastAsia="Palatino Linotype" w:hAnsi="Palatino Linotype" w:cs="Palatino Linotype"/>
        </w:rPr>
      </w:pPr>
    </w:p>
    <w:p w:rsidR="00375BD9" w:rsidRPr="00D67F22" w:rsidRDefault="00375BD9">
      <w:pPr>
        <w:spacing w:line="360" w:lineRule="auto"/>
        <w:jc w:val="both"/>
        <w:rPr>
          <w:rFonts w:ascii="Palatino Linotype" w:eastAsia="Palatino Linotype" w:hAnsi="Palatino Linotype" w:cs="Palatino Linotype"/>
        </w:rPr>
      </w:pPr>
    </w:p>
    <w:p w:rsidR="00375BD9" w:rsidRPr="00D67F22" w:rsidRDefault="00375BD9">
      <w:pPr>
        <w:keepNext/>
        <w:keepLines/>
        <w:spacing w:after="240" w:line="360" w:lineRule="auto"/>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p w:rsidR="00375BD9" w:rsidRPr="00D67F22" w:rsidRDefault="00375BD9">
      <w:pPr>
        <w:rPr>
          <w:rFonts w:ascii="Palatino Linotype" w:eastAsia="Palatino Linotype" w:hAnsi="Palatino Linotype" w:cs="Palatino Linotype"/>
        </w:rPr>
      </w:pPr>
    </w:p>
    <w:sectPr w:rsidR="00375BD9" w:rsidRPr="00D67F22" w:rsidSect="00D67F22">
      <w:headerReference w:type="default" r:id="rId11"/>
      <w:footerReference w:type="default" r:id="rId12"/>
      <w:headerReference w:type="first" r:id="rId13"/>
      <w:footerReference w:type="first" r:id="rId14"/>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3D4" w:rsidRDefault="00A963D4">
      <w:r>
        <w:separator/>
      </w:r>
    </w:p>
  </w:endnote>
  <w:endnote w:type="continuationSeparator" w:id="0">
    <w:p w:rsidR="00A963D4" w:rsidRDefault="00A9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690E4B13-754E-4913-A3CB-CEDF57CAFC43}"/>
    <w:embedBold r:id="rId2" w:fontKey="{74CA0D43-113B-4BA4-A67C-35E38A137294}"/>
    <w:embedItalic r:id="rId3" w:fontKey="{0AC8A227-809A-4297-A9FE-45106F4FB742}"/>
    <w:embedBoldItalic r:id="rId4" w:fontKey="{7C797EDB-28F3-4341-9C30-E26DEB84872B}"/>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5" w:fontKey="{7794AE2C-A317-45ED-BD42-76A7DF1BAFA8}"/>
    <w:embedItalic r:id="rId6" w:fontKey="{5E872B31-59BC-4184-A202-1433FE7E8274}"/>
  </w:font>
  <w:font w:name="Calibri">
    <w:panose1 w:val="020F0502020204030204"/>
    <w:charset w:val="00"/>
    <w:family w:val="swiss"/>
    <w:pitch w:val="variable"/>
    <w:sig w:usb0="E4002EFF" w:usb1="C200247B" w:usb2="00000009" w:usb3="00000000" w:csb0="000001FF" w:csb1="00000000"/>
    <w:embedRegular r:id="rId7" w:fontKey="{B700973C-BE5E-4435-8978-684576265C00}"/>
  </w:font>
  <w:font w:name="Calibri Light">
    <w:panose1 w:val="020F0302020204030204"/>
    <w:charset w:val="00"/>
    <w:family w:val="swiss"/>
    <w:pitch w:val="variable"/>
    <w:sig w:usb0="E4002EFF" w:usb1="C200247B" w:usb2="00000009" w:usb3="00000000" w:csb0="000001FF" w:csb1="00000000"/>
    <w:embedRegular r:id="rId8" w:fontKey="{96CC1689-3B6E-4CD9-9D6F-5118FF9693F9}"/>
  </w:font>
  <w:font w:name="Bookman Old Style">
    <w:panose1 w:val="02050604050505020204"/>
    <w:charset w:val="00"/>
    <w:family w:val="roman"/>
    <w:pitch w:val="variable"/>
    <w:sig w:usb0="00000287" w:usb1="00000000" w:usb2="00000000" w:usb3="00000000" w:csb0="0000009F" w:csb1="00000000"/>
    <w:embedRegular r:id="rId9" w:fontKey="{84C816C1-3F12-44AD-8F27-ACA4214CAEB2}"/>
  </w:font>
  <w:font w:name="Georgia">
    <w:panose1 w:val="02040502050405020303"/>
    <w:charset w:val="00"/>
    <w:family w:val="roman"/>
    <w:pitch w:val="variable"/>
    <w:sig w:usb0="00000287" w:usb1="00000000" w:usb2="00000000" w:usb3="00000000" w:csb0="0000009F" w:csb1="00000000"/>
    <w:embedItalic r:id="rId10" w:fontKey="{32D0663D-99DB-4CEA-AD7C-79BC5E14F5D4}"/>
  </w:font>
  <w:font w:name="Century Gothic">
    <w:panose1 w:val="020B0502020202020204"/>
    <w:charset w:val="00"/>
    <w:family w:val="swiss"/>
    <w:pitch w:val="variable"/>
    <w:sig w:usb0="00000287" w:usb1="00000000" w:usb2="00000000" w:usb3="00000000" w:csb0="0000009F" w:csb1="00000000"/>
    <w:embedRegular r:id="rId11" w:fontKey="{F44377DE-D5AB-4D2E-928F-D10F2083F90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BD9" w:rsidRPr="00D67F22" w:rsidRDefault="009171EA">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D67F22">
      <w:rPr>
        <w:rFonts w:ascii="Palatino Linotype" w:eastAsia="Arial" w:hAnsi="Palatino Linotype" w:cs="Arial"/>
        <w:b/>
        <w:bCs/>
        <w:color w:val="000000"/>
        <w:sz w:val="22"/>
        <w:szCs w:val="20"/>
      </w:rPr>
      <w:t xml:space="preserve">Página </w:t>
    </w:r>
    <w:r w:rsidRPr="00D67F22">
      <w:rPr>
        <w:rFonts w:ascii="Palatino Linotype" w:eastAsia="Arial" w:hAnsi="Palatino Linotype" w:cs="Arial"/>
        <w:b/>
        <w:bCs/>
        <w:color w:val="000000"/>
        <w:sz w:val="22"/>
        <w:szCs w:val="20"/>
      </w:rPr>
      <w:fldChar w:fldCharType="begin"/>
    </w:r>
    <w:r w:rsidRPr="00D67F22">
      <w:rPr>
        <w:rFonts w:ascii="Palatino Linotype" w:eastAsia="Arial" w:hAnsi="Palatino Linotype" w:cs="Arial"/>
        <w:b/>
        <w:bCs/>
        <w:color w:val="000000"/>
        <w:sz w:val="22"/>
        <w:szCs w:val="20"/>
      </w:rPr>
      <w:instrText>PAGE</w:instrText>
    </w:r>
    <w:r w:rsidRPr="00D67F22">
      <w:rPr>
        <w:rFonts w:ascii="Palatino Linotype" w:eastAsia="Arial" w:hAnsi="Palatino Linotype" w:cs="Arial"/>
        <w:b/>
        <w:bCs/>
        <w:color w:val="000000"/>
        <w:sz w:val="22"/>
        <w:szCs w:val="20"/>
      </w:rPr>
      <w:fldChar w:fldCharType="separate"/>
    </w:r>
    <w:r w:rsidR="00587874">
      <w:rPr>
        <w:rFonts w:ascii="Palatino Linotype" w:eastAsia="Arial" w:hAnsi="Palatino Linotype" w:cs="Arial"/>
        <w:b/>
        <w:bCs/>
        <w:noProof/>
        <w:color w:val="000000"/>
        <w:sz w:val="22"/>
        <w:szCs w:val="20"/>
      </w:rPr>
      <w:t>21</w:t>
    </w:r>
    <w:r w:rsidRPr="00D67F22">
      <w:rPr>
        <w:rFonts w:ascii="Palatino Linotype" w:eastAsia="Arial" w:hAnsi="Palatino Linotype" w:cs="Arial"/>
        <w:b/>
        <w:bCs/>
        <w:color w:val="000000"/>
        <w:sz w:val="22"/>
        <w:szCs w:val="20"/>
      </w:rPr>
      <w:fldChar w:fldCharType="end"/>
    </w:r>
    <w:r w:rsidRPr="00D67F22">
      <w:rPr>
        <w:rFonts w:ascii="Palatino Linotype" w:eastAsia="Arial" w:hAnsi="Palatino Linotype" w:cs="Arial"/>
        <w:b/>
        <w:color w:val="000000"/>
        <w:sz w:val="22"/>
        <w:szCs w:val="20"/>
      </w:rPr>
      <w:t xml:space="preserve"> de </w:t>
    </w:r>
    <w:r w:rsidRPr="00D67F22">
      <w:rPr>
        <w:rFonts w:ascii="Palatino Linotype" w:eastAsia="Arial" w:hAnsi="Palatino Linotype" w:cs="Arial"/>
        <w:b/>
        <w:bCs/>
        <w:color w:val="000000"/>
        <w:sz w:val="22"/>
        <w:szCs w:val="20"/>
      </w:rPr>
      <w:fldChar w:fldCharType="begin"/>
    </w:r>
    <w:r w:rsidRPr="00D67F22">
      <w:rPr>
        <w:rFonts w:ascii="Palatino Linotype" w:eastAsia="Arial" w:hAnsi="Palatino Linotype" w:cs="Arial"/>
        <w:b/>
        <w:bCs/>
        <w:color w:val="000000"/>
        <w:sz w:val="22"/>
        <w:szCs w:val="20"/>
      </w:rPr>
      <w:instrText>NUMPAGES</w:instrText>
    </w:r>
    <w:r w:rsidRPr="00D67F22">
      <w:rPr>
        <w:rFonts w:ascii="Palatino Linotype" w:eastAsia="Arial" w:hAnsi="Palatino Linotype" w:cs="Arial"/>
        <w:b/>
        <w:bCs/>
        <w:color w:val="000000"/>
        <w:sz w:val="22"/>
        <w:szCs w:val="20"/>
      </w:rPr>
      <w:fldChar w:fldCharType="separate"/>
    </w:r>
    <w:r w:rsidR="00587874">
      <w:rPr>
        <w:rFonts w:ascii="Palatino Linotype" w:eastAsia="Arial" w:hAnsi="Palatino Linotype" w:cs="Arial"/>
        <w:b/>
        <w:bCs/>
        <w:noProof/>
        <w:color w:val="000000"/>
        <w:sz w:val="22"/>
        <w:szCs w:val="20"/>
      </w:rPr>
      <w:t>34</w:t>
    </w:r>
    <w:r w:rsidRPr="00D67F22">
      <w:rPr>
        <w:rFonts w:ascii="Palatino Linotype" w:eastAsia="Arial" w:hAnsi="Palatino Linotype" w:cs="Arial"/>
        <w:b/>
        <w:bCs/>
        <w:color w:val="000000"/>
        <w:sz w:val="22"/>
        <w:szCs w:val="20"/>
      </w:rPr>
      <w:fldChar w:fldCharType="end"/>
    </w:r>
  </w:p>
  <w:p w:rsidR="00375BD9" w:rsidRDefault="00375BD9">
    <w:pPr>
      <w:pBdr>
        <w:top w:val="nil"/>
        <w:left w:val="nil"/>
        <w:bottom w:val="nil"/>
        <w:right w:val="nil"/>
        <w:between w:val="nil"/>
      </w:pBdr>
      <w:tabs>
        <w:tab w:val="center" w:pos="4252"/>
        <w:tab w:val="right" w:pos="8504"/>
      </w:tabs>
      <w:rPr>
        <w:color w:val="000000"/>
      </w:rPr>
    </w:pPr>
  </w:p>
  <w:p w:rsidR="00375BD9" w:rsidRDefault="00375BD9">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BD9" w:rsidRPr="00D67F22" w:rsidRDefault="009171EA">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D67F22">
      <w:rPr>
        <w:rFonts w:ascii="Palatino Linotype" w:eastAsia="Arial" w:hAnsi="Palatino Linotype" w:cs="Arial"/>
        <w:b/>
        <w:bCs/>
        <w:color w:val="000000"/>
        <w:sz w:val="22"/>
        <w:szCs w:val="20"/>
      </w:rPr>
      <w:t xml:space="preserve">Página </w:t>
    </w:r>
    <w:r w:rsidRPr="00D67F22">
      <w:rPr>
        <w:rFonts w:ascii="Palatino Linotype" w:eastAsia="Arial" w:hAnsi="Palatino Linotype" w:cs="Arial"/>
        <w:b/>
        <w:bCs/>
        <w:color w:val="000000"/>
        <w:sz w:val="22"/>
        <w:szCs w:val="20"/>
      </w:rPr>
      <w:fldChar w:fldCharType="begin"/>
    </w:r>
    <w:r w:rsidRPr="00D67F22">
      <w:rPr>
        <w:rFonts w:ascii="Palatino Linotype" w:eastAsia="Arial" w:hAnsi="Palatino Linotype" w:cs="Arial"/>
        <w:b/>
        <w:bCs/>
        <w:color w:val="000000"/>
        <w:sz w:val="22"/>
        <w:szCs w:val="20"/>
      </w:rPr>
      <w:instrText>PAGE</w:instrText>
    </w:r>
    <w:r w:rsidRPr="00D67F22">
      <w:rPr>
        <w:rFonts w:ascii="Palatino Linotype" w:eastAsia="Arial" w:hAnsi="Palatino Linotype" w:cs="Arial"/>
        <w:b/>
        <w:bCs/>
        <w:color w:val="000000"/>
        <w:sz w:val="22"/>
        <w:szCs w:val="20"/>
      </w:rPr>
      <w:fldChar w:fldCharType="separate"/>
    </w:r>
    <w:r w:rsidR="00587874">
      <w:rPr>
        <w:rFonts w:ascii="Palatino Linotype" w:eastAsia="Arial" w:hAnsi="Palatino Linotype" w:cs="Arial"/>
        <w:b/>
        <w:bCs/>
        <w:noProof/>
        <w:color w:val="000000"/>
        <w:sz w:val="22"/>
        <w:szCs w:val="20"/>
      </w:rPr>
      <w:t>1</w:t>
    </w:r>
    <w:r w:rsidRPr="00D67F22">
      <w:rPr>
        <w:rFonts w:ascii="Palatino Linotype" w:eastAsia="Arial" w:hAnsi="Palatino Linotype" w:cs="Arial"/>
        <w:b/>
        <w:bCs/>
        <w:color w:val="000000"/>
        <w:sz w:val="22"/>
        <w:szCs w:val="20"/>
      </w:rPr>
      <w:fldChar w:fldCharType="end"/>
    </w:r>
    <w:r w:rsidRPr="00D67F22">
      <w:rPr>
        <w:rFonts w:ascii="Palatino Linotype" w:eastAsia="Arial" w:hAnsi="Palatino Linotype" w:cs="Arial"/>
        <w:b/>
        <w:color w:val="000000"/>
        <w:sz w:val="22"/>
        <w:szCs w:val="20"/>
      </w:rPr>
      <w:t xml:space="preserve"> de </w:t>
    </w:r>
    <w:r w:rsidRPr="00D67F22">
      <w:rPr>
        <w:rFonts w:ascii="Palatino Linotype" w:eastAsia="Arial" w:hAnsi="Palatino Linotype" w:cs="Arial"/>
        <w:b/>
        <w:bCs/>
        <w:color w:val="000000"/>
        <w:sz w:val="22"/>
        <w:szCs w:val="20"/>
      </w:rPr>
      <w:fldChar w:fldCharType="begin"/>
    </w:r>
    <w:r w:rsidRPr="00D67F22">
      <w:rPr>
        <w:rFonts w:ascii="Palatino Linotype" w:eastAsia="Arial" w:hAnsi="Palatino Linotype" w:cs="Arial"/>
        <w:b/>
        <w:bCs/>
        <w:color w:val="000000"/>
        <w:sz w:val="22"/>
        <w:szCs w:val="20"/>
      </w:rPr>
      <w:instrText>NUMPAGES</w:instrText>
    </w:r>
    <w:r w:rsidRPr="00D67F22">
      <w:rPr>
        <w:rFonts w:ascii="Palatino Linotype" w:eastAsia="Arial" w:hAnsi="Palatino Linotype" w:cs="Arial"/>
        <w:b/>
        <w:bCs/>
        <w:color w:val="000000"/>
        <w:sz w:val="22"/>
        <w:szCs w:val="20"/>
      </w:rPr>
      <w:fldChar w:fldCharType="separate"/>
    </w:r>
    <w:r w:rsidR="00587874">
      <w:rPr>
        <w:rFonts w:ascii="Palatino Linotype" w:eastAsia="Arial" w:hAnsi="Palatino Linotype" w:cs="Arial"/>
        <w:b/>
        <w:bCs/>
        <w:noProof/>
        <w:color w:val="000000"/>
        <w:sz w:val="22"/>
        <w:szCs w:val="20"/>
      </w:rPr>
      <w:t>34</w:t>
    </w:r>
    <w:r w:rsidRPr="00D67F22">
      <w:rPr>
        <w:rFonts w:ascii="Palatino Linotype" w:eastAsia="Arial" w:hAnsi="Palatino Linotype" w:cs="Arial"/>
        <w:b/>
        <w:bCs/>
        <w:color w:val="000000"/>
        <w:sz w:val="22"/>
        <w:szCs w:val="20"/>
      </w:rPr>
      <w:fldChar w:fldCharType="end"/>
    </w:r>
  </w:p>
  <w:p w:rsidR="00375BD9" w:rsidRDefault="00375BD9">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3D4" w:rsidRDefault="00A963D4">
      <w:r>
        <w:separator/>
      </w:r>
    </w:p>
  </w:footnote>
  <w:footnote w:type="continuationSeparator" w:id="0">
    <w:p w:rsidR="00A963D4" w:rsidRDefault="00A963D4">
      <w:r>
        <w:continuationSeparator/>
      </w:r>
    </w:p>
  </w:footnote>
  <w:footnote w:id="1">
    <w:p w:rsidR="00375BD9" w:rsidRDefault="009171E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375BD9" w:rsidRDefault="009171E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375BD9" w:rsidRDefault="009171E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375BD9" w:rsidRDefault="009171E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375BD9" w:rsidRDefault="009171E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http://transparencia.toluca.gob.mx/unidad_transparencia/235_Tabla_A_Toluca%20%281%29.pdf</w:t>
        </w:r>
      </w:hyperlink>
      <w:r>
        <w:rPr>
          <w:color w:val="000000"/>
          <w:sz w:val="20"/>
          <w:szCs w:val="20"/>
        </w:rPr>
        <w:t xml:space="preserve"> .Consultada el 18/02/2026.</w:t>
      </w:r>
    </w:p>
  </w:footnote>
  <w:footnote w:id="6">
    <w:p w:rsidR="00375BD9" w:rsidRDefault="009171E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https://www.osfem.gob.mx/assets/entidades/documentos_apoyo/2025/info_trim/mpal/Formatos%20XLSX%20ITM2025.xlsx</w:t>
        </w:r>
      </w:hyperlink>
      <w:r>
        <w:rPr>
          <w:color w:val="000000"/>
          <w:sz w:val="20"/>
          <w:szCs w:val="20"/>
        </w:rPr>
        <w:t xml:space="preserve"> . Consultada el 18/02/2026.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430" w:type="dxa"/>
      <w:tblInd w:w="3119" w:type="dxa"/>
      <w:tblLayout w:type="fixed"/>
      <w:tblLook w:val="0400" w:firstRow="0" w:lastRow="0" w:firstColumn="0" w:lastColumn="0" w:noHBand="0" w:noVBand="1"/>
    </w:tblPr>
    <w:tblGrid>
      <w:gridCol w:w="3178"/>
      <w:gridCol w:w="4252"/>
    </w:tblGrid>
    <w:tr w:rsidR="00375BD9" w:rsidTr="00D67F22">
      <w:tc>
        <w:tcPr>
          <w:tcW w:w="3178" w:type="dxa"/>
          <w:vAlign w:val="center"/>
        </w:tcPr>
        <w:p w:rsidR="00375BD9" w:rsidRPr="00D67F22" w:rsidRDefault="009171EA">
          <w:pPr>
            <w:ind w:left="377"/>
            <w:rPr>
              <w:rFonts w:ascii="Palatino Linotype" w:eastAsia="Palatino Linotype" w:hAnsi="Palatino Linotype" w:cs="Palatino Linotype"/>
              <w:b/>
              <w:bCs/>
              <w:szCs w:val="22"/>
            </w:rPr>
          </w:pPr>
          <w:r w:rsidRPr="00D67F22">
            <w:rPr>
              <w:rFonts w:ascii="Palatino Linotype" w:eastAsia="Palatino Linotype" w:hAnsi="Palatino Linotype" w:cs="Palatino Linotype"/>
              <w:b/>
              <w:bCs/>
              <w:szCs w:val="22"/>
            </w:rPr>
            <w:t>Recurso de Revisión:</w:t>
          </w:r>
        </w:p>
      </w:tc>
      <w:tc>
        <w:tcPr>
          <w:tcW w:w="4252" w:type="dxa"/>
          <w:vAlign w:val="center"/>
        </w:tcPr>
        <w:p w:rsidR="00375BD9" w:rsidRPr="00D67F22" w:rsidRDefault="009171EA">
          <w:pPr>
            <w:ind w:right="-1093"/>
            <w:jc w:val="both"/>
            <w:rPr>
              <w:rFonts w:ascii="Palatino Linotype" w:eastAsia="Palatino Linotype" w:hAnsi="Palatino Linotype" w:cs="Palatino Linotype"/>
              <w:bCs/>
              <w:szCs w:val="22"/>
            </w:rPr>
          </w:pPr>
          <w:r w:rsidRPr="00D67F22">
            <w:rPr>
              <w:rFonts w:ascii="Palatino Linotype" w:eastAsia="Palatino Linotype" w:hAnsi="Palatino Linotype" w:cs="Palatino Linotype"/>
              <w:bCs/>
              <w:szCs w:val="22"/>
            </w:rPr>
            <w:t xml:space="preserve">07493/INFOEM/IP/RR/2025 </w:t>
          </w:r>
        </w:p>
      </w:tc>
    </w:tr>
    <w:tr w:rsidR="00375BD9" w:rsidTr="00D67F22">
      <w:trPr>
        <w:trHeight w:val="228"/>
      </w:trPr>
      <w:tc>
        <w:tcPr>
          <w:tcW w:w="3178" w:type="dxa"/>
          <w:vAlign w:val="center"/>
        </w:tcPr>
        <w:p w:rsidR="00375BD9" w:rsidRPr="00D67F22" w:rsidRDefault="009171EA">
          <w:pPr>
            <w:ind w:left="377"/>
            <w:rPr>
              <w:rFonts w:ascii="Palatino Linotype" w:eastAsia="Palatino Linotype" w:hAnsi="Palatino Linotype" w:cs="Palatino Linotype"/>
              <w:b/>
              <w:bCs/>
              <w:szCs w:val="22"/>
            </w:rPr>
          </w:pPr>
          <w:r w:rsidRPr="00D67F22">
            <w:rPr>
              <w:rFonts w:ascii="Palatino Linotype" w:eastAsia="Palatino Linotype" w:hAnsi="Palatino Linotype" w:cs="Palatino Linotype"/>
              <w:b/>
              <w:bCs/>
              <w:szCs w:val="22"/>
            </w:rPr>
            <w:t>Sujeto Obligado:</w:t>
          </w:r>
        </w:p>
      </w:tc>
      <w:tc>
        <w:tcPr>
          <w:tcW w:w="4252" w:type="dxa"/>
          <w:shd w:val="clear" w:color="auto" w:fill="auto"/>
          <w:vAlign w:val="center"/>
        </w:tcPr>
        <w:p w:rsidR="00375BD9" w:rsidRPr="00D67F22" w:rsidRDefault="009171EA">
          <w:pPr>
            <w:ind w:right="-108"/>
            <w:rPr>
              <w:rFonts w:ascii="Palatino Linotype" w:eastAsia="Palatino Linotype" w:hAnsi="Palatino Linotype" w:cs="Palatino Linotype"/>
              <w:bCs/>
              <w:color w:val="000000"/>
              <w:szCs w:val="22"/>
            </w:rPr>
          </w:pPr>
          <w:r w:rsidRPr="00D67F22">
            <w:rPr>
              <w:rFonts w:ascii="Palatino Linotype" w:eastAsia="Palatino Linotype" w:hAnsi="Palatino Linotype" w:cs="Palatino Linotype"/>
              <w:bCs/>
              <w:color w:val="000000"/>
              <w:szCs w:val="22"/>
            </w:rPr>
            <w:t>Ayuntamiento de Toluca</w:t>
          </w:r>
        </w:p>
      </w:tc>
    </w:tr>
    <w:tr w:rsidR="00375BD9" w:rsidTr="00D67F22">
      <w:tc>
        <w:tcPr>
          <w:tcW w:w="3178" w:type="dxa"/>
          <w:vAlign w:val="center"/>
        </w:tcPr>
        <w:p w:rsidR="00375BD9" w:rsidRPr="00D67F22" w:rsidRDefault="009171EA">
          <w:pPr>
            <w:ind w:left="377"/>
            <w:rPr>
              <w:rFonts w:ascii="Palatino Linotype" w:eastAsia="Palatino Linotype" w:hAnsi="Palatino Linotype" w:cs="Palatino Linotype"/>
              <w:b/>
              <w:bCs/>
              <w:szCs w:val="22"/>
            </w:rPr>
          </w:pPr>
          <w:r w:rsidRPr="00D67F22">
            <w:rPr>
              <w:rFonts w:ascii="Palatino Linotype" w:eastAsia="Palatino Linotype" w:hAnsi="Palatino Linotype" w:cs="Palatino Linotype"/>
              <w:b/>
              <w:bCs/>
              <w:szCs w:val="22"/>
            </w:rPr>
            <w:t>Comisionada Ponente:</w:t>
          </w:r>
        </w:p>
      </w:tc>
      <w:tc>
        <w:tcPr>
          <w:tcW w:w="4252" w:type="dxa"/>
          <w:vAlign w:val="center"/>
        </w:tcPr>
        <w:p w:rsidR="00375BD9" w:rsidRPr="00D67F22" w:rsidRDefault="009171EA">
          <w:pPr>
            <w:ind w:right="-1093"/>
            <w:jc w:val="both"/>
            <w:rPr>
              <w:rFonts w:ascii="Palatino Linotype" w:eastAsia="Palatino Linotype" w:hAnsi="Palatino Linotype" w:cs="Palatino Linotype"/>
              <w:bCs/>
              <w:szCs w:val="22"/>
            </w:rPr>
          </w:pPr>
          <w:r w:rsidRPr="00D67F22">
            <w:rPr>
              <w:rFonts w:ascii="Palatino Linotype" w:eastAsia="Palatino Linotype" w:hAnsi="Palatino Linotype" w:cs="Palatino Linotype"/>
              <w:bCs/>
              <w:szCs w:val="22"/>
            </w:rPr>
            <w:t>María del Rosario Mejía Ayala</w:t>
          </w:r>
        </w:p>
      </w:tc>
    </w:tr>
  </w:tbl>
  <w:p w:rsidR="00375BD9" w:rsidRDefault="00D67F22">
    <w:pPr>
      <w:pBdr>
        <w:top w:val="nil"/>
        <w:left w:val="nil"/>
        <w:bottom w:val="nil"/>
        <w:right w:val="nil"/>
        <w:between w:val="nil"/>
      </w:pBdr>
      <w:tabs>
        <w:tab w:val="center" w:pos="4252"/>
        <w:tab w:val="right" w:pos="8504"/>
        <w:tab w:val="left" w:pos="3233"/>
      </w:tabs>
      <w:rPr>
        <w:rFonts w:ascii="Calibri" w:eastAsia="Calibri" w:hAnsi="Calibri" w:cs="Calibri"/>
        <w:color w:val="000000"/>
      </w:rPr>
    </w:pPr>
    <w:r w:rsidRPr="00D67F22">
      <w:rPr>
        <w:noProof/>
      </w:rPr>
      <w:drawing>
        <wp:anchor distT="0" distB="0" distL="0" distR="0" simplePos="0" relativeHeight="251658240" behindDoc="1" locked="0" layoutInCell="1" hidden="0" allowOverlap="1">
          <wp:simplePos x="0" y="0"/>
          <wp:positionH relativeFrom="column">
            <wp:posOffset>-885226</wp:posOffset>
          </wp:positionH>
          <wp:positionV relativeFrom="paragraph">
            <wp:posOffset>-1254556</wp:posOffset>
          </wp:positionV>
          <wp:extent cx="7813085" cy="10170000"/>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9171EA">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943" w:type="dxa"/>
      <w:tblInd w:w="3119" w:type="dxa"/>
      <w:tblLayout w:type="fixed"/>
      <w:tblLook w:val="0400" w:firstRow="0" w:lastRow="0" w:firstColumn="0" w:lastColumn="0" w:noHBand="0" w:noVBand="1"/>
    </w:tblPr>
    <w:tblGrid>
      <w:gridCol w:w="3260"/>
      <w:gridCol w:w="3683"/>
    </w:tblGrid>
    <w:tr w:rsidR="00375BD9" w:rsidTr="00D67F22">
      <w:trPr>
        <w:trHeight w:val="227"/>
      </w:trPr>
      <w:tc>
        <w:tcPr>
          <w:tcW w:w="3260" w:type="dxa"/>
          <w:vAlign w:val="center"/>
        </w:tcPr>
        <w:p w:rsidR="00375BD9" w:rsidRPr="00D67F22" w:rsidRDefault="009171EA">
          <w:pPr>
            <w:jc w:val="right"/>
            <w:rPr>
              <w:rFonts w:ascii="Palatino Linotype" w:eastAsia="Palatino Linotype" w:hAnsi="Palatino Linotype" w:cs="Palatino Linotype"/>
              <w:b/>
              <w:bCs/>
              <w:szCs w:val="22"/>
            </w:rPr>
          </w:pPr>
          <w:r w:rsidRPr="00D67F22">
            <w:rPr>
              <w:rFonts w:ascii="Calibri" w:eastAsia="Calibri" w:hAnsi="Calibri" w:cs="Calibri"/>
              <w:color w:val="000000"/>
            </w:rPr>
            <w:t xml:space="preserve">   </w:t>
          </w:r>
          <w:r w:rsidR="00D67F22" w:rsidRPr="00D67F22">
            <w:rPr>
              <w:rFonts w:ascii="Calibri" w:eastAsia="Calibri" w:hAnsi="Calibri" w:cs="Calibri"/>
              <w:color w:val="000000"/>
            </w:rPr>
            <w:t xml:space="preserve">        </w:t>
          </w:r>
          <w:r w:rsidRPr="00D67F22">
            <w:rPr>
              <w:rFonts w:ascii="Palatino Linotype" w:eastAsia="Palatino Linotype" w:hAnsi="Palatino Linotype" w:cs="Palatino Linotype"/>
              <w:b/>
              <w:bCs/>
              <w:szCs w:val="22"/>
            </w:rPr>
            <w:t>Recurso de Revisión:</w:t>
          </w:r>
        </w:p>
      </w:tc>
      <w:tc>
        <w:tcPr>
          <w:tcW w:w="3683" w:type="dxa"/>
          <w:vAlign w:val="center"/>
        </w:tcPr>
        <w:p w:rsidR="00375BD9" w:rsidRPr="00D67F22" w:rsidRDefault="009171EA">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highlight w:val="green"/>
            </w:rPr>
          </w:pPr>
          <w:r w:rsidRPr="00D67F22">
            <w:rPr>
              <w:rFonts w:ascii="Palatino Linotype" w:eastAsia="Palatino Linotype" w:hAnsi="Palatino Linotype" w:cs="Palatino Linotype"/>
              <w:bCs/>
              <w:color w:val="000000"/>
              <w:szCs w:val="22"/>
            </w:rPr>
            <w:t>07493/INFOEM/IP/RR/2025</w:t>
          </w:r>
        </w:p>
      </w:tc>
    </w:tr>
    <w:tr w:rsidR="00375BD9" w:rsidTr="00D67F22">
      <w:trPr>
        <w:trHeight w:val="242"/>
      </w:trPr>
      <w:tc>
        <w:tcPr>
          <w:tcW w:w="3260" w:type="dxa"/>
          <w:vAlign w:val="center"/>
        </w:tcPr>
        <w:p w:rsidR="00375BD9" w:rsidRPr="00D67F22" w:rsidRDefault="009171EA">
          <w:pPr>
            <w:jc w:val="right"/>
            <w:rPr>
              <w:rFonts w:ascii="Palatino Linotype" w:eastAsia="Palatino Linotype" w:hAnsi="Palatino Linotype" w:cs="Palatino Linotype"/>
              <w:b/>
              <w:bCs/>
              <w:szCs w:val="22"/>
            </w:rPr>
          </w:pPr>
          <w:r w:rsidRPr="00D67F22">
            <w:rPr>
              <w:rFonts w:ascii="Palatino Linotype" w:eastAsia="Palatino Linotype" w:hAnsi="Palatino Linotype" w:cs="Palatino Linotype"/>
              <w:b/>
              <w:bCs/>
              <w:szCs w:val="22"/>
            </w:rPr>
            <w:t>Recurrente:</w:t>
          </w:r>
        </w:p>
      </w:tc>
      <w:tc>
        <w:tcPr>
          <w:tcW w:w="3683" w:type="dxa"/>
        </w:tcPr>
        <w:p w:rsidR="00375BD9" w:rsidRPr="00D67F22" w:rsidRDefault="00375BD9">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Cs/>
              <w:szCs w:val="22"/>
              <w:highlight w:val="green"/>
            </w:rPr>
          </w:pPr>
        </w:p>
      </w:tc>
    </w:tr>
    <w:tr w:rsidR="00375BD9" w:rsidTr="00D67F22">
      <w:trPr>
        <w:trHeight w:val="342"/>
      </w:trPr>
      <w:tc>
        <w:tcPr>
          <w:tcW w:w="3260" w:type="dxa"/>
          <w:vAlign w:val="center"/>
        </w:tcPr>
        <w:p w:rsidR="00375BD9" w:rsidRPr="00D67F22" w:rsidRDefault="009171EA">
          <w:pPr>
            <w:jc w:val="right"/>
            <w:rPr>
              <w:rFonts w:ascii="Palatino Linotype" w:eastAsia="Palatino Linotype" w:hAnsi="Palatino Linotype" w:cs="Palatino Linotype"/>
              <w:b/>
              <w:bCs/>
              <w:szCs w:val="22"/>
            </w:rPr>
          </w:pPr>
          <w:r w:rsidRPr="00D67F22">
            <w:rPr>
              <w:rFonts w:ascii="Palatino Linotype" w:eastAsia="Palatino Linotype" w:hAnsi="Palatino Linotype" w:cs="Palatino Linotype"/>
              <w:b/>
              <w:bCs/>
              <w:szCs w:val="22"/>
            </w:rPr>
            <w:t>Sujeto Obligado:</w:t>
          </w:r>
        </w:p>
      </w:tc>
      <w:tc>
        <w:tcPr>
          <w:tcW w:w="3683" w:type="dxa"/>
          <w:vAlign w:val="center"/>
        </w:tcPr>
        <w:p w:rsidR="00375BD9" w:rsidRPr="00D67F22" w:rsidRDefault="009171EA">
          <w:pPr>
            <w:pBdr>
              <w:top w:val="nil"/>
              <w:left w:val="nil"/>
              <w:bottom w:val="nil"/>
              <w:right w:val="nil"/>
              <w:between w:val="nil"/>
            </w:pBdr>
            <w:tabs>
              <w:tab w:val="center" w:pos="4419"/>
              <w:tab w:val="right" w:pos="8838"/>
            </w:tabs>
            <w:jc w:val="both"/>
            <w:rPr>
              <w:rFonts w:ascii="Palatino Linotype" w:eastAsia="Palatino Linotype" w:hAnsi="Palatino Linotype" w:cs="Palatino Linotype"/>
              <w:bCs/>
              <w:color w:val="000000"/>
              <w:szCs w:val="22"/>
              <w:highlight w:val="green"/>
            </w:rPr>
          </w:pPr>
          <w:r w:rsidRPr="00D67F22">
            <w:rPr>
              <w:rFonts w:ascii="Palatino Linotype" w:eastAsia="Palatino Linotype" w:hAnsi="Palatino Linotype" w:cs="Palatino Linotype"/>
              <w:bCs/>
              <w:color w:val="000000"/>
              <w:szCs w:val="22"/>
            </w:rPr>
            <w:t>Ayuntamiento de Toluca</w:t>
          </w:r>
        </w:p>
      </w:tc>
    </w:tr>
    <w:tr w:rsidR="00375BD9" w:rsidTr="00D67F22">
      <w:trPr>
        <w:trHeight w:val="342"/>
      </w:trPr>
      <w:tc>
        <w:tcPr>
          <w:tcW w:w="3260" w:type="dxa"/>
          <w:vAlign w:val="center"/>
        </w:tcPr>
        <w:p w:rsidR="00375BD9" w:rsidRPr="00D67F22" w:rsidRDefault="009171EA">
          <w:pPr>
            <w:jc w:val="right"/>
            <w:rPr>
              <w:rFonts w:ascii="Palatino Linotype" w:eastAsia="Palatino Linotype" w:hAnsi="Palatino Linotype" w:cs="Palatino Linotype"/>
              <w:b/>
              <w:bCs/>
              <w:szCs w:val="22"/>
            </w:rPr>
          </w:pPr>
          <w:r w:rsidRPr="00D67F22">
            <w:rPr>
              <w:rFonts w:ascii="Palatino Linotype" w:eastAsia="Palatino Linotype" w:hAnsi="Palatino Linotype" w:cs="Palatino Linotype"/>
              <w:b/>
              <w:bCs/>
              <w:szCs w:val="22"/>
            </w:rPr>
            <w:t>Comisionada Ponente:</w:t>
          </w:r>
        </w:p>
      </w:tc>
      <w:tc>
        <w:tcPr>
          <w:tcW w:w="3683" w:type="dxa"/>
          <w:vAlign w:val="center"/>
        </w:tcPr>
        <w:p w:rsidR="00375BD9" w:rsidRPr="00D67F22" w:rsidRDefault="009171EA">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D67F22">
            <w:rPr>
              <w:rFonts w:ascii="Palatino Linotype" w:eastAsia="Palatino Linotype" w:hAnsi="Palatino Linotype" w:cs="Palatino Linotype"/>
              <w:bCs/>
              <w:color w:val="000000"/>
              <w:szCs w:val="22"/>
            </w:rPr>
            <w:t>María del Rosario Mejía Ayala</w:t>
          </w:r>
        </w:p>
      </w:tc>
    </w:tr>
  </w:tbl>
  <w:p w:rsidR="00375BD9" w:rsidRPr="00D67F22" w:rsidRDefault="00D67F22">
    <w:pPr>
      <w:pBdr>
        <w:top w:val="nil"/>
        <w:left w:val="nil"/>
        <w:bottom w:val="nil"/>
        <w:right w:val="nil"/>
        <w:between w:val="nil"/>
      </w:pBdr>
      <w:tabs>
        <w:tab w:val="center" w:pos="4252"/>
        <w:tab w:val="right" w:pos="8504"/>
      </w:tabs>
      <w:rPr>
        <w:rFonts w:ascii="Palatino Linotype" w:eastAsia="Calibri" w:hAnsi="Palatino Linotype" w:cs="Calibri"/>
        <w:color w:val="000000"/>
      </w:rPr>
    </w:pPr>
    <w:r w:rsidRPr="00D67F22">
      <w:rPr>
        <w:rFonts w:ascii="Palatino Linotype" w:hAnsi="Palatino Linotype"/>
        <w:noProof/>
      </w:rPr>
      <w:drawing>
        <wp:anchor distT="0" distB="0" distL="0" distR="0" simplePos="0" relativeHeight="251659264" behindDoc="1" locked="0" layoutInCell="1" hidden="0" allowOverlap="1">
          <wp:simplePos x="0" y="0"/>
          <wp:positionH relativeFrom="margin">
            <wp:align>center</wp:align>
          </wp:positionH>
          <wp:positionV relativeFrom="paragraph">
            <wp:posOffset>-1360182</wp:posOffset>
          </wp:positionV>
          <wp:extent cx="7813085" cy="10170000"/>
          <wp:effectExtent l="0" t="0" r="0" b="3175"/>
          <wp:wrapNone/>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B0AC3"/>
    <w:multiLevelType w:val="multilevel"/>
    <w:tmpl w:val="172AFA5A"/>
    <w:lvl w:ilvl="0">
      <w:start w:val="9"/>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2B7FF8"/>
    <w:multiLevelType w:val="multilevel"/>
    <w:tmpl w:val="673AB06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078101E8"/>
    <w:multiLevelType w:val="hybridMultilevel"/>
    <w:tmpl w:val="7C2AB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5E4131"/>
    <w:multiLevelType w:val="multilevel"/>
    <w:tmpl w:val="6B4CDDC6"/>
    <w:lvl w:ilvl="0">
      <w:start w:val="54"/>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112FB0"/>
    <w:multiLevelType w:val="multilevel"/>
    <w:tmpl w:val="4D3448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D32D3"/>
    <w:multiLevelType w:val="multilevel"/>
    <w:tmpl w:val="2F02B004"/>
    <w:lvl w:ilvl="0">
      <w:start w:val="55"/>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2FF756DF"/>
    <w:multiLevelType w:val="multilevel"/>
    <w:tmpl w:val="DE0030E8"/>
    <w:lvl w:ilvl="0">
      <w:start w:val="44"/>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D67DE1"/>
    <w:multiLevelType w:val="multilevel"/>
    <w:tmpl w:val="0EDA4014"/>
    <w:lvl w:ilvl="0">
      <w:start w:val="1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9D5FC9"/>
    <w:multiLevelType w:val="multilevel"/>
    <w:tmpl w:val="C914948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9" w15:restartNumberingAfterBreak="0">
    <w:nsid w:val="53C3258D"/>
    <w:multiLevelType w:val="multilevel"/>
    <w:tmpl w:val="7B6C633A"/>
    <w:lvl w:ilvl="0">
      <w:start w:val="45"/>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93B66A6"/>
    <w:multiLevelType w:val="multilevel"/>
    <w:tmpl w:val="6D12DECE"/>
    <w:lvl w:ilvl="0">
      <w:start w:val="46"/>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EE6B7C"/>
    <w:multiLevelType w:val="multilevel"/>
    <w:tmpl w:val="AACCCB4E"/>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D040144"/>
    <w:multiLevelType w:val="multilevel"/>
    <w:tmpl w:val="555AD5F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0"/>
  </w:num>
  <w:num w:numId="3">
    <w:abstractNumId w:val="12"/>
  </w:num>
  <w:num w:numId="4">
    <w:abstractNumId w:val="5"/>
  </w:num>
  <w:num w:numId="5">
    <w:abstractNumId w:val="1"/>
  </w:num>
  <w:num w:numId="6">
    <w:abstractNumId w:val="6"/>
  </w:num>
  <w:num w:numId="7">
    <w:abstractNumId w:val="10"/>
  </w:num>
  <w:num w:numId="8">
    <w:abstractNumId w:val="3"/>
  </w:num>
  <w:num w:numId="9">
    <w:abstractNumId w:val="7"/>
  </w:num>
  <w:num w:numId="10">
    <w:abstractNumId w:val="9"/>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D9"/>
    <w:rsid w:val="00224B2E"/>
    <w:rsid w:val="00375BD9"/>
    <w:rsid w:val="00493859"/>
    <w:rsid w:val="00587874"/>
    <w:rsid w:val="009171EA"/>
    <w:rsid w:val="00921F17"/>
    <w:rsid w:val="00A963D4"/>
    <w:rsid w:val="00D67F22"/>
    <w:rsid w:val="00D903AF"/>
    <w:rsid w:val="00E61984"/>
    <w:rsid w:val="00ED1D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5AFDAF-5950-4554-B056-CF01A1D0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uiPriority w:val="9"/>
    <w:rsid w:val="00BE0BA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uiPriority w:val="9"/>
    <w:rsid w:val="00BE0BA7"/>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E0BA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E0BA7"/>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BE0B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BE0BA7"/>
    <w:pPr>
      <w:tabs>
        <w:tab w:val="center" w:pos="4419"/>
        <w:tab w:val="right" w:pos="8838"/>
      </w:tabs>
    </w:pPr>
  </w:style>
  <w:style w:type="character" w:customStyle="1" w:styleId="EncabezadoCar">
    <w:name w:val="Encabezado Car"/>
    <w:basedOn w:val="Fuentedeprrafopredeter"/>
    <w:link w:val="Encabezado"/>
    <w:uiPriority w:val="99"/>
    <w:rsid w:val="00BE0BA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E0BA7"/>
    <w:pPr>
      <w:tabs>
        <w:tab w:val="center" w:pos="4419"/>
        <w:tab w:val="right" w:pos="8838"/>
      </w:tabs>
    </w:pPr>
  </w:style>
  <w:style w:type="character" w:customStyle="1" w:styleId="PiedepginaCar">
    <w:name w:val="Pie de página Car"/>
    <w:basedOn w:val="Fuentedeprrafopredeter"/>
    <w:link w:val="Piedepgina"/>
    <w:uiPriority w:val="99"/>
    <w:rsid w:val="00BE0BA7"/>
    <w:rPr>
      <w:rFonts w:ascii="Times New Roman" w:eastAsia="Times New Roman" w:hAnsi="Times New Roman" w:cs="Times New Roman"/>
      <w:sz w:val="24"/>
      <w:szCs w:val="24"/>
      <w:lang w:eastAsia="es-MX"/>
    </w:rPr>
  </w:style>
  <w:style w:type="paragraph" w:styleId="Listaconvietas">
    <w:name w:val="List Bullet"/>
    <w:basedOn w:val="Normal"/>
    <w:uiPriority w:val="99"/>
    <w:unhideWhenUsed/>
    <w:rsid w:val="009E7B61"/>
    <w:pPr>
      <w:numPr>
        <w:numId w:val="12"/>
      </w:numPr>
      <w:contextualSpacing/>
    </w:pPr>
    <w:rPr>
      <w:lang w:val="es-ES"/>
    </w:rPr>
  </w:style>
  <w:style w:type="paragraph" w:styleId="Sinespaciado">
    <w:name w:val="No Spacing"/>
    <w:aliases w:val="Francesa,INAI"/>
    <w:link w:val="SinespaciadoCar"/>
    <w:uiPriority w:val="1"/>
    <w:qFormat/>
    <w:rsid w:val="00436063"/>
  </w:style>
  <w:style w:type="character" w:customStyle="1" w:styleId="SinespaciadoCar">
    <w:name w:val="Sin espaciado Car"/>
    <w:aliases w:val="Francesa Car,INAI Car"/>
    <w:link w:val="Sinespaciado"/>
    <w:uiPriority w:val="1"/>
    <w:locked/>
    <w:rsid w:val="00436063"/>
  </w:style>
  <w:style w:type="character" w:styleId="Hipervnculo">
    <w:name w:val="Hyperlink"/>
    <w:aliases w:val="Hipervínculo1,Hipervínculo11,Hipervínculo12,Hipervínculo13,Hipervínculo14,Hipervínculo15"/>
    <w:basedOn w:val="Fuentedeprrafopredeter"/>
    <w:uiPriority w:val="99"/>
    <w:unhideWhenUsed/>
    <w:qFormat/>
    <w:rsid w:val="008A5366"/>
    <w:rPr>
      <w:color w:val="0563C1" w:themeColor="hyperlink"/>
      <w:u w:val="single"/>
    </w:rPr>
  </w:style>
  <w:style w:type="paragraph" w:styleId="Textonotapie">
    <w:name w:val="footnote text"/>
    <w:basedOn w:val="Normal"/>
    <w:link w:val="TextonotapieCar"/>
    <w:uiPriority w:val="99"/>
    <w:semiHidden/>
    <w:unhideWhenUsed/>
    <w:rsid w:val="000472AB"/>
    <w:rPr>
      <w:sz w:val="20"/>
      <w:szCs w:val="20"/>
    </w:rPr>
  </w:style>
  <w:style w:type="character" w:customStyle="1" w:styleId="TextonotapieCar">
    <w:name w:val="Texto nota pie Car"/>
    <w:basedOn w:val="Fuentedeprrafopredeter"/>
    <w:link w:val="Textonotapie"/>
    <w:uiPriority w:val="99"/>
    <w:semiHidden/>
    <w:rsid w:val="000472AB"/>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0472AB"/>
    <w:rPr>
      <w:vertAlign w:val="superscript"/>
    </w:rPr>
  </w:style>
  <w:style w:type="paragraph" w:customStyle="1" w:styleId="Default">
    <w:name w:val="Default"/>
    <w:rsid w:val="00742DB1"/>
    <w:pPr>
      <w:autoSpaceDE w:val="0"/>
      <w:autoSpaceDN w:val="0"/>
      <w:adjustRightInd w:val="0"/>
    </w:pPr>
    <w:rPr>
      <w:rFonts w:ascii="Bookman Old Style" w:hAnsi="Bookman Old Style" w:cs="Bookman Old Style"/>
      <w:color w:val="000000"/>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osfem.gob.mx/assets/entidades/documentos_apoyo/2025/info_trim/mpal/Formatos%20XLSX%20ITM2025.xlsx" TargetMode="External"/><Relationship Id="rId1" Type="http://schemas.openxmlformats.org/officeDocument/2006/relationships/hyperlink" Target="http://transparencia.toluca.gob.mx/unidad_transparencia/235_Tabla_A_Toluca%20%281%2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0+rb69j7XFNTI/ItzAAVZ206zQ==">CgMxLjAyCGguZ2pkZ3hzMgloLjFmb2I5dGUyCWguM3pueXNoNzIJaC4yZXQ5MnAwMghoLnR5amN3dDIJaC4zZHk2dmttMgloLjF0M2g1c2YyCWguNGQzNG9nODIJaC4yczhleW8xMgloLjE3ZHA4dnUyCWguMjZpbjFyZzIJaC4xa3N2NHV2MghoLmxueGJ6OTIOaC52ZmR1dWptNGc2bzYyCWguMmp4c3hxaDgAciExN2NoQ1U4V0xsMXN2QjEtN2FjWjBaQndpanlkTzNqd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8222</Words>
  <Characters>45226</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7</cp:revision>
  <cp:lastPrinted>2026-02-27T16:02:00Z</cp:lastPrinted>
  <dcterms:created xsi:type="dcterms:W3CDTF">2026-02-18T20:03:00Z</dcterms:created>
  <dcterms:modified xsi:type="dcterms:W3CDTF">2026-03-03T19:59:00Z</dcterms:modified>
</cp:coreProperties>
</file>