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43DF5A" w14:textId="77777777" w:rsidR="002F3380" w:rsidRPr="00971C77" w:rsidRDefault="006219FF">
      <w:pPr>
        <w:spacing w:before="240" w:after="240" w:line="360" w:lineRule="auto"/>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sz w:val="22"/>
          <w:szCs w:val="22"/>
        </w:rPr>
        <w:t xml:space="preserve">Resolución del Pleno del Instituto de Transparencia, Acceso a la Información Pública y Protección de Datos Personales del Estado de México y Municipios, con domicilio en Metepec, Estado de México, </w:t>
      </w:r>
      <w:r w:rsidRPr="00971C77">
        <w:rPr>
          <w:rFonts w:ascii="Palatino Linotype" w:eastAsia="Palatino Linotype" w:hAnsi="Palatino Linotype" w:cs="Palatino Linotype"/>
          <w:b/>
          <w:bCs/>
          <w:sz w:val="22"/>
          <w:szCs w:val="22"/>
        </w:rPr>
        <w:t>a cinco de marzo de dos mil veintiséis</w:t>
      </w:r>
      <w:r w:rsidRPr="00971C77">
        <w:rPr>
          <w:rFonts w:ascii="Palatino Linotype" w:eastAsia="Palatino Linotype" w:hAnsi="Palatino Linotype" w:cs="Palatino Linotype"/>
          <w:sz w:val="22"/>
          <w:szCs w:val="22"/>
        </w:rPr>
        <w:t xml:space="preserve">. </w:t>
      </w:r>
    </w:p>
    <w:p w14:paraId="4DDC539D" w14:textId="463B6B2C" w:rsidR="002F3380" w:rsidRPr="00971C77" w:rsidRDefault="006219FF">
      <w:pPr>
        <w:spacing w:before="240" w:after="240" w:line="360" w:lineRule="auto"/>
        <w:jc w:val="both"/>
        <w:rPr>
          <w:rFonts w:ascii="Palatino Linotype" w:eastAsia="Palatino Linotype" w:hAnsi="Palatino Linotype" w:cs="Palatino Linotype"/>
          <w:sz w:val="22"/>
          <w:szCs w:val="22"/>
        </w:rPr>
      </w:pPr>
      <w:bookmarkStart w:id="0" w:name="_heading=h.4d34og8" w:colFirst="0" w:colLast="0"/>
      <w:bookmarkEnd w:id="0"/>
      <w:r w:rsidRPr="00971C77">
        <w:rPr>
          <w:rFonts w:ascii="Palatino Linotype" w:eastAsia="Palatino Linotype" w:hAnsi="Palatino Linotype" w:cs="Palatino Linotype"/>
          <w:b/>
          <w:bCs/>
          <w:sz w:val="22"/>
          <w:szCs w:val="22"/>
        </w:rPr>
        <w:t>Visto</w:t>
      </w:r>
      <w:r w:rsidRPr="00971C77">
        <w:rPr>
          <w:rFonts w:ascii="Palatino Linotype" w:eastAsia="Palatino Linotype" w:hAnsi="Palatino Linotype" w:cs="Palatino Linotype"/>
          <w:sz w:val="22"/>
          <w:szCs w:val="22"/>
        </w:rPr>
        <w:t xml:space="preserve"> el expediente formado con motivo del recurso de revisión </w:t>
      </w:r>
      <w:r w:rsidRPr="00971C77">
        <w:rPr>
          <w:rFonts w:ascii="Palatino Linotype" w:eastAsia="Palatino Linotype" w:hAnsi="Palatino Linotype" w:cs="Palatino Linotype"/>
          <w:b/>
          <w:bCs/>
          <w:sz w:val="22"/>
          <w:szCs w:val="22"/>
        </w:rPr>
        <w:t>00234/INFOEM/IP/RR/2026</w:t>
      </w:r>
      <w:r w:rsidRPr="00971C77">
        <w:rPr>
          <w:rFonts w:ascii="Palatino Linotype" w:eastAsia="Palatino Linotype" w:hAnsi="Palatino Linotype" w:cs="Palatino Linotype"/>
          <w:sz w:val="22"/>
          <w:szCs w:val="22"/>
        </w:rPr>
        <w:t>, interpuesto por</w:t>
      </w:r>
      <w:r w:rsidRPr="00971C77">
        <w:t xml:space="preserve"> </w:t>
      </w:r>
      <w:r w:rsidR="005748F5">
        <w:rPr>
          <w:rFonts w:ascii="Palatino Linotype" w:eastAsia="Palatino Linotype" w:hAnsi="Palatino Linotype" w:cs="Palatino Linotype"/>
          <w:b/>
          <w:bCs/>
          <w:sz w:val="22"/>
          <w:szCs w:val="22"/>
        </w:rPr>
        <w:t>XXXXXXX,</w:t>
      </w:r>
      <w:bookmarkStart w:id="1" w:name="_GoBack"/>
      <w:bookmarkEnd w:id="1"/>
      <w:r w:rsidRPr="00971C77">
        <w:rPr>
          <w:rFonts w:ascii="Palatino Linotype" w:eastAsia="Palatino Linotype" w:hAnsi="Palatino Linotype" w:cs="Palatino Linotype"/>
          <w:sz w:val="22"/>
          <w:szCs w:val="22"/>
        </w:rPr>
        <w:t xml:space="preserve"> en lo sucesivo</w:t>
      </w:r>
      <w:r w:rsidRPr="00971C77">
        <w:rPr>
          <w:rFonts w:ascii="Palatino Linotype" w:eastAsia="Palatino Linotype" w:hAnsi="Palatino Linotype" w:cs="Palatino Linotype"/>
          <w:b/>
          <w:bCs/>
          <w:sz w:val="22"/>
          <w:szCs w:val="22"/>
        </w:rPr>
        <w:t xml:space="preserve"> la parte</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Recurrente,</w:t>
      </w:r>
      <w:r w:rsidRPr="00971C77">
        <w:rPr>
          <w:rFonts w:ascii="Palatino Linotype" w:eastAsia="Palatino Linotype" w:hAnsi="Palatino Linotype" w:cs="Palatino Linotype"/>
          <w:sz w:val="22"/>
          <w:szCs w:val="22"/>
        </w:rPr>
        <w:t xml:space="preserve"> en contra de la respuesta a su solicitud por parte del </w:t>
      </w:r>
      <w:r w:rsidRPr="00971C77">
        <w:rPr>
          <w:rFonts w:ascii="Palatino Linotype" w:eastAsia="Palatino Linotype" w:hAnsi="Palatino Linotype" w:cs="Palatino Linotype"/>
          <w:b/>
          <w:bCs/>
          <w:sz w:val="22"/>
          <w:szCs w:val="22"/>
        </w:rPr>
        <w:t xml:space="preserve">Ayuntamiento de Tecámac, </w:t>
      </w:r>
      <w:r w:rsidRPr="00971C77">
        <w:rPr>
          <w:rFonts w:ascii="Palatino Linotype" w:eastAsia="Palatino Linotype" w:hAnsi="Palatino Linotype" w:cs="Palatino Linotype"/>
          <w:sz w:val="22"/>
          <w:szCs w:val="22"/>
        </w:rPr>
        <w:t xml:space="preserve">en lo sucesivo 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 xml:space="preserve">se procede a dictar la presente resolución con base en los siguientes: </w:t>
      </w:r>
    </w:p>
    <w:p w14:paraId="188098A9" w14:textId="77777777" w:rsidR="002F3380" w:rsidRPr="00971C77" w:rsidRDefault="006219FF">
      <w:pPr>
        <w:spacing w:before="240" w:after="240" w:line="360" w:lineRule="auto"/>
        <w:jc w:val="center"/>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b/>
          <w:bCs/>
          <w:sz w:val="22"/>
          <w:szCs w:val="22"/>
        </w:rPr>
        <w:t>I. A N T E C E D E N T E S</w:t>
      </w:r>
    </w:p>
    <w:p w14:paraId="186D5115" w14:textId="77777777" w:rsidR="002F3380" w:rsidRPr="00971C77" w:rsidRDefault="006219FF">
      <w:pPr>
        <w:spacing w:before="240" w:after="240"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1. Solicitud de acceso a la información.</w:t>
      </w:r>
      <w:r w:rsidRPr="00971C77">
        <w:rPr>
          <w:rFonts w:ascii="Palatino Linotype" w:eastAsia="Palatino Linotype" w:hAnsi="Palatino Linotype" w:cs="Palatino Linotype"/>
          <w:sz w:val="22"/>
          <w:szCs w:val="22"/>
        </w:rPr>
        <w:t xml:space="preserve"> El </w:t>
      </w:r>
      <w:r w:rsidRPr="00971C77">
        <w:rPr>
          <w:rFonts w:ascii="Palatino Linotype" w:eastAsia="Palatino Linotype" w:hAnsi="Palatino Linotype" w:cs="Palatino Linotype"/>
          <w:b/>
          <w:bCs/>
          <w:sz w:val="22"/>
          <w:szCs w:val="22"/>
        </w:rPr>
        <w:t>diez de noviembre de dos mil veinticinco,</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la parte</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 xml:space="preserve">Recurrente </w:t>
      </w:r>
      <w:r w:rsidRPr="00971C77">
        <w:rPr>
          <w:rFonts w:ascii="Palatino Linotype" w:eastAsia="Palatino Linotype" w:hAnsi="Palatino Linotype" w:cs="Palatino Linotype"/>
          <w:sz w:val="22"/>
          <w:szCs w:val="22"/>
        </w:rPr>
        <w:t xml:space="preserve">a través del Sistema de Acceso a la Información Mexiquense, en lo subsecuente el SAIMEX, formuló ante 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la solicitud de acceso a la información pública a la que se le asignó el número</w:t>
      </w:r>
      <w:r w:rsidRPr="00971C77">
        <w:t xml:space="preserve"> </w:t>
      </w:r>
      <w:r w:rsidRPr="00971C77">
        <w:rPr>
          <w:rFonts w:ascii="Palatino Linotype" w:eastAsia="Palatino Linotype" w:hAnsi="Palatino Linotype" w:cs="Palatino Linotype"/>
          <w:b/>
          <w:bCs/>
          <w:sz w:val="22"/>
          <w:szCs w:val="22"/>
        </w:rPr>
        <w:t>00267/TECAMAC/IP/2025;</w:t>
      </w:r>
      <w:r w:rsidRPr="00971C77">
        <w:rPr>
          <w:rFonts w:ascii="Palatino Linotype" w:eastAsia="Palatino Linotype" w:hAnsi="Palatino Linotype" w:cs="Palatino Linotype"/>
          <w:sz w:val="22"/>
          <w:szCs w:val="22"/>
        </w:rPr>
        <w:t xml:space="preserve"> mediante la cual requirió la información siguiente: </w:t>
      </w:r>
    </w:p>
    <w:p w14:paraId="34CC4342" w14:textId="77777777" w:rsidR="002F3380" w:rsidRPr="00971C77" w:rsidRDefault="006219FF">
      <w:pPr>
        <w:spacing w:before="240" w:after="240"/>
        <w:ind w:left="567" w:right="474"/>
        <w:jc w:val="both"/>
        <w:rPr>
          <w:rFonts w:ascii="Palatino Linotype" w:eastAsia="Palatino Linotype" w:hAnsi="Palatino Linotype" w:cs="Palatino Linotype"/>
          <w:i/>
          <w:iCs/>
          <w:sz w:val="22"/>
          <w:szCs w:val="22"/>
        </w:rPr>
      </w:pPr>
      <w:bookmarkStart w:id="2" w:name="_heading=h.gjdgxs" w:colFirst="0" w:colLast="0"/>
      <w:bookmarkEnd w:id="2"/>
      <w:r w:rsidRPr="00971C77">
        <w:rPr>
          <w:rFonts w:ascii="Palatino Linotype" w:eastAsia="Palatino Linotype" w:hAnsi="Palatino Linotype" w:cs="Palatino Linotype"/>
          <w:i/>
          <w:iCs/>
          <w:sz w:val="22"/>
          <w:szCs w:val="22"/>
        </w:rPr>
        <w:t xml:space="preserve">“Se solicita la versión estenográfica escrita y en video de la Vigésima Quinta Sesión Ordinaria de Cabildo celebrada el 15 de octubre de 2024, del ayuntamiento de Tecámac. cabe precisar que la sesión no esta disponible en la siguiente liga: https://tecamac.gob.mx/sesiones-de-cabildo/” (Sic) </w:t>
      </w:r>
    </w:p>
    <w:p w14:paraId="1B3D1066" w14:textId="77777777" w:rsidR="002F3380" w:rsidRPr="00971C77" w:rsidRDefault="006219FF">
      <w:pPr>
        <w:spacing w:before="240" w:after="240"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Modalidad de Entrega:</w:t>
      </w:r>
      <w:r w:rsidRPr="00971C77">
        <w:rPr>
          <w:rFonts w:ascii="Palatino Linotype" w:eastAsia="Palatino Linotype" w:hAnsi="Palatino Linotype" w:cs="Palatino Linotype"/>
          <w:sz w:val="22"/>
          <w:szCs w:val="22"/>
        </w:rPr>
        <w:t xml:space="preserve"> a través del Sistema de Acceso a la Información Mexiquense (SAIMEX).</w:t>
      </w:r>
    </w:p>
    <w:p w14:paraId="10AACF3B" w14:textId="77777777" w:rsidR="002F3380" w:rsidRPr="00971C77" w:rsidRDefault="006219FF">
      <w:pPr>
        <w:pBdr>
          <w:top w:val="nil"/>
          <w:left w:val="nil"/>
          <w:bottom w:val="nil"/>
          <w:right w:val="nil"/>
          <w:between w:val="nil"/>
        </w:pBdr>
        <w:tabs>
          <w:tab w:val="left" w:pos="142"/>
          <w:tab w:val="left" w:pos="284"/>
        </w:tabs>
        <w:spacing w:before="240" w:after="240" w:line="360" w:lineRule="auto"/>
        <w:jc w:val="both"/>
        <w:rPr>
          <w:rFonts w:ascii="Palatino Linotype" w:eastAsia="Palatino Linotype" w:hAnsi="Palatino Linotype" w:cs="Palatino Linotype"/>
          <w:b/>
          <w:bCs/>
          <w:sz w:val="22"/>
          <w:szCs w:val="22"/>
        </w:rPr>
      </w:pPr>
      <w:bookmarkStart w:id="3" w:name="_heading=h.3dy6vkm" w:colFirst="0" w:colLast="0"/>
      <w:bookmarkEnd w:id="3"/>
      <w:r w:rsidRPr="00971C77">
        <w:rPr>
          <w:rFonts w:ascii="Palatino Linotype" w:eastAsia="Palatino Linotype" w:hAnsi="Palatino Linotype" w:cs="Palatino Linotype"/>
          <w:b/>
          <w:bCs/>
          <w:sz w:val="22"/>
          <w:szCs w:val="22"/>
        </w:rPr>
        <w:lastRenderedPageBreak/>
        <w:t>2.</w:t>
      </w:r>
      <w:r w:rsidRPr="00971C77">
        <w:rPr>
          <w:rFonts w:ascii="Palatino Linotype" w:eastAsia="Palatino Linotype" w:hAnsi="Palatino Linotype" w:cs="Palatino Linotype"/>
          <w:b/>
          <w:bCs/>
        </w:rPr>
        <w:t xml:space="preserve"> </w:t>
      </w:r>
      <w:r w:rsidRPr="00971C77">
        <w:rPr>
          <w:rFonts w:ascii="Palatino Linotype" w:eastAsia="Palatino Linotype" w:hAnsi="Palatino Linotype" w:cs="Palatino Linotype"/>
          <w:b/>
          <w:bCs/>
          <w:sz w:val="22"/>
          <w:szCs w:val="22"/>
        </w:rPr>
        <w:t xml:space="preserve">Respuesta. </w:t>
      </w:r>
      <w:r w:rsidRPr="00971C77">
        <w:rPr>
          <w:rFonts w:ascii="Palatino Linotype" w:eastAsia="Palatino Linotype" w:hAnsi="Palatino Linotype" w:cs="Palatino Linotype"/>
          <w:sz w:val="22"/>
          <w:szCs w:val="22"/>
        </w:rPr>
        <w:t xml:space="preserve">El </w:t>
      </w:r>
      <w:r w:rsidRPr="00971C77">
        <w:rPr>
          <w:rFonts w:ascii="Palatino Linotype" w:eastAsia="Palatino Linotype" w:hAnsi="Palatino Linotype" w:cs="Palatino Linotype"/>
          <w:b/>
          <w:bCs/>
          <w:sz w:val="22"/>
          <w:szCs w:val="22"/>
        </w:rPr>
        <w:t>dos de diciembre de dos mil veinticinco</w:t>
      </w:r>
      <w:r w:rsidRPr="00971C77">
        <w:rPr>
          <w:rFonts w:ascii="Palatino Linotype" w:eastAsia="Palatino Linotype" w:hAnsi="Palatino Linotype" w:cs="Palatino Linotype"/>
          <w:sz w:val="22"/>
          <w:szCs w:val="22"/>
        </w:rPr>
        <w:t xml:space="preserve">, 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envió su respuesta a la solicitud de acceso a la información a través de SAIMEX, sustancialmente en los términos siguientes:</w:t>
      </w:r>
    </w:p>
    <w:p w14:paraId="03DCCA6D" w14:textId="77777777" w:rsidR="002F3380" w:rsidRPr="00971C77" w:rsidRDefault="006219FF">
      <w:pPr>
        <w:spacing w:before="240" w:after="240"/>
        <w:ind w:left="567"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“La información no ha sido proporcionada por el área responsable” (Sic)</w:t>
      </w:r>
    </w:p>
    <w:p w14:paraId="484E6FB8" w14:textId="77777777" w:rsidR="002F3380" w:rsidRPr="00971C77" w:rsidRDefault="006219FF">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Adjunto a la respuesta, 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hizo entrega de la siguiente información:</w:t>
      </w:r>
    </w:p>
    <w:p w14:paraId="0420C18F" w14:textId="77777777" w:rsidR="002F3380" w:rsidRPr="00971C77" w:rsidRDefault="002F3380">
      <w:pPr>
        <w:pBdr>
          <w:top w:val="nil"/>
          <w:left w:val="nil"/>
          <w:bottom w:val="nil"/>
          <w:right w:val="nil"/>
          <w:between w:val="nil"/>
        </w:pBdr>
        <w:spacing w:line="360" w:lineRule="auto"/>
        <w:ind w:right="49"/>
        <w:jc w:val="both"/>
        <w:rPr>
          <w:rFonts w:ascii="Palatino Linotype" w:eastAsia="Palatino Linotype" w:hAnsi="Palatino Linotype" w:cs="Palatino Linotype"/>
          <w:sz w:val="22"/>
          <w:szCs w:val="22"/>
        </w:rPr>
      </w:pPr>
    </w:p>
    <w:p w14:paraId="77AE4B03" w14:textId="77777777" w:rsidR="002F3380" w:rsidRPr="00971C77" w:rsidRDefault="006219FF">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Oficio del 02 de diciembre de 2025, a través del cual el Titular de la Unidad de Transparencia informó que turnó la solicitud de información al Secretario del Ayuntamiento, sin que a dicha fecha haya remitido la respuesta correspondiente; señalando que seguirá dando seguimiento.</w:t>
      </w:r>
    </w:p>
    <w:p w14:paraId="7480978A" w14:textId="77777777" w:rsidR="002F3380" w:rsidRPr="00971C77" w:rsidRDefault="002F3380">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p>
    <w:p w14:paraId="0442873E" w14:textId="77777777" w:rsidR="002F3380" w:rsidRPr="00971C77" w:rsidRDefault="006219FF">
      <w:pPr>
        <w:numPr>
          <w:ilvl w:val="0"/>
          <w:numId w:val="1"/>
        </w:numPr>
        <w:pBdr>
          <w:top w:val="nil"/>
          <w:left w:val="nil"/>
          <w:bottom w:val="nil"/>
          <w:right w:val="nil"/>
          <w:between w:val="nil"/>
        </w:pBdr>
        <w:spacing w:line="276"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Oficio del 11 de noviembre de 2025, a través del cual el Titular de la Unidad de Transparencia turnó la solicitud de información al Secretario del Ayuntamiento.</w:t>
      </w:r>
    </w:p>
    <w:p w14:paraId="074AFD9D" w14:textId="77777777" w:rsidR="002F3380" w:rsidRPr="00971C77" w:rsidRDefault="006219FF">
      <w:pPr>
        <w:pBdr>
          <w:top w:val="nil"/>
          <w:left w:val="nil"/>
          <w:bottom w:val="nil"/>
          <w:right w:val="nil"/>
          <w:between w:val="nil"/>
        </w:pBdr>
        <w:spacing w:line="276" w:lineRule="auto"/>
        <w:ind w:left="360"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 </w:t>
      </w:r>
    </w:p>
    <w:p w14:paraId="62F02A54" w14:textId="77777777" w:rsidR="002F3380" w:rsidRPr="00971C77" w:rsidRDefault="006219FF">
      <w:pPr>
        <w:pBdr>
          <w:top w:val="nil"/>
          <w:left w:val="nil"/>
          <w:bottom w:val="nil"/>
          <w:right w:val="nil"/>
          <w:between w:val="nil"/>
        </w:pBdr>
        <w:spacing w:line="360" w:lineRule="auto"/>
        <w:ind w:right="49"/>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b/>
          <w:bCs/>
          <w:sz w:val="22"/>
          <w:szCs w:val="22"/>
        </w:rPr>
        <w:t xml:space="preserve">3. Interposición del recurso de revisión. </w:t>
      </w:r>
      <w:r w:rsidRPr="00971C77">
        <w:rPr>
          <w:rFonts w:ascii="Palatino Linotype" w:eastAsia="Palatino Linotype" w:hAnsi="Palatino Linotype" w:cs="Palatino Linotype"/>
          <w:sz w:val="22"/>
          <w:szCs w:val="22"/>
        </w:rPr>
        <w:t xml:space="preserve">Inconforme con los términos de la respuesta emitida por parte del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el</w:t>
      </w:r>
      <w:r w:rsidRPr="00971C77">
        <w:rPr>
          <w:rFonts w:ascii="Palatino Linotype" w:eastAsia="Palatino Linotype" w:hAnsi="Palatino Linotype" w:cs="Palatino Linotype"/>
          <w:b/>
          <w:bCs/>
          <w:sz w:val="22"/>
          <w:szCs w:val="22"/>
        </w:rPr>
        <w:t xml:space="preserve"> dos de enero de dos mil veintiséis,</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la parte</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Recurrente</w:t>
      </w:r>
      <w:r w:rsidRPr="00971C77">
        <w:rPr>
          <w:rFonts w:ascii="Palatino Linotype" w:eastAsia="Palatino Linotype" w:hAnsi="Palatino Linotype" w:cs="Palatino Linotype"/>
          <w:sz w:val="22"/>
          <w:szCs w:val="22"/>
        </w:rPr>
        <w:t xml:space="preserve"> interpuso el recurso de revisión a través de </w:t>
      </w:r>
      <w:r w:rsidRPr="00971C77">
        <w:rPr>
          <w:rFonts w:ascii="Palatino Linotype" w:eastAsia="Palatino Linotype" w:hAnsi="Palatino Linotype" w:cs="Palatino Linotype"/>
          <w:b/>
          <w:bCs/>
          <w:sz w:val="22"/>
          <w:szCs w:val="22"/>
        </w:rPr>
        <w:t xml:space="preserve">SAIMEX, no obstante, por corresponder a un día inhábil el mismo se tuvo por interpuesto </w:t>
      </w:r>
      <w:r w:rsidRPr="00971C77">
        <w:rPr>
          <w:rFonts w:ascii="Palatino Linotype" w:eastAsia="Palatino Linotype" w:hAnsi="Palatino Linotype" w:cs="Palatino Linotype"/>
          <w:sz w:val="22"/>
          <w:szCs w:val="22"/>
        </w:rPr>
        <w:t>el</w:t>
      </w:r>
      <w:r w:rsidRPr="00971C77">
        <w:rPr>
          <w:rFonts w:ascii="Palatino Linotype" w:eastAsia="Palatino Linotype" w:hAnsi="Palatino Linotype" w:cs="Palatino Linotype"/>
          <w:b/>
          <w:bCs/>
          <w:sz w:val="22"/>
          <w:szCs w:val="22"/>
        </w:rPr>
        <w:t xml:space="preserve"> doce de enero de dos mil veintiséis,</w:t>
      </w:r>
      <w:r w:rsidRPr="00971C77">
        <w:rPr>
          <w:rFonts w:ascii="Palatino Linotype" w:eastAsia="Palatino Linotype" w:hAnsi="Palatino Linotype" w:cs="Palatino Linotype"/>
          <w:sz w:val="22"/>
          <w:szCs w:val="22"/>
        </w:rPr>
        <w:t xml:space="preserve"> en donde se manifestó de la siguiente manera:</w:t>
      </w:r>
    </w:p>
    <w:p w14:paraId="3294BE7F" w14:textId="77777777" w:rsidR="002F3380" w:rsidRPr="00971C77" w:rsidRDefault="006219FF">
      <w:pPr>
        <w:tabs>
          <w:tab w:val="left" w:pos="2745"/>
        </w:tabs>
        <w:spacing w:before="240" w:after="240" w:line="276" w:lineRule="auto"/>
        <w:ind w:left="567" w:right="900"/>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b/>
          <w:bCs/>
          <w:sz w:val="22"/>
          <w:szCs w:val="22"/>
        </w:rPr>
        <w:t xml:space="preserve">a) Acto impugnado: </w:t>
      </w:r>
      <w:r w:rsidRPr="00971C77">
        <w:rPr>
          <w:rFonts w:ascii="Palatino Linotype" w:eastAsia="Palatino Linotype" w:hAnsi="Palatino Linotype" w:cs="Palatino Linotype"/>
          <w:i/>
          <w:iCs/>
          <w:sz w:val="22"/>
          <w:szCs w:val="22"/>
        </w:rPr>
        <w:t>“No dieron respuesta a la solicitud planteada” (Sic)</w:t>
      </w:r>
    </w:p>
    <w:p w14:paraId="0F5CC9C8" w14:textId="77777777" w:rsidR="002F3380" w:rsidRPr="00971C77" w:rsidRDefault="006219FF">
      <w:pPr>
        <w:spacing w:line="276" w:lineRule="auto"/>
        <w:ind w:left="567" w:right="900"/>
        <w:jc w:val="both"/>
        <w:rPr>
          <w:rFonts w:ascii="Palatino Linotype" w:eastAsia="Palatino Linotype" w:hAnsi="Palatino Linotype" w:cs="Palatino Linotype"/>
          <w:i/>
          <w:iCs/>
          <w:sz w:val="22"/>
          <w:szCs w:val="22"/>
        </w:rPr>
      </w:pPr>
      <w:bookmarkStart w:id="4" w:name="_heading=h.30j0zll" w:colFirst="0" w:colLast="0"/>
      <w:bookmarkEnd w:id="4"/>
      <w:r w:rsidRPr="00971C77">
        <w:rPr>
          <w:rFonts w:ascii="Palatino Linotype" w:eastAsia="Palatino Linotype" w:hAnsi="Palatino Linotype" w:cs="Palatino Linotype"/>
          <w:b/>
          <w:bCs/>
          <w:sz w:val="22"/>
          <w:szCs w:val="22"/>
        </w:rPr>
        <w:t>b) Razones o motivos de inconformidad</w:t>
      </w:r>
      <w:r w:rsidRPr="00971C77">
        <w:rPr>
          <w:rFonts w:ascii="Palatino Linotype" w:eastAsia="Palatino Linotype" w:hAnsi="Palatino Linotype" w:cs="Palatino Linotype"/>
          <w:sz w:val="22"/>
          <w:szCs w:val="22"/>
        </w:rPr>
        <w:t>: “</w:t>
      </w:r>
      <w:r w:rsidRPr="00971C77">
        <w:rPr>
          <w:rFonts w:ascii="Palatino Linotype" w:eastAsia="Palatino Linotype" w:hAnsi="Palatino Linotype" w:cs="Palatino Linotype"/>
          <w:i/>
          <w:iCs/>
          <w:sz w:val="22"/>
          <w:szCs w:val="22"/>
        </w:rPr>
        <w:t>La autoridad, no emitió respuesta a la solicitud de información” (Sic)</w:t>
      </w:r>
    </w:p>
    <w:p w14:paraId="75B5C79C" w14:textId="77777777" w:rsidR="002F3380" w:rsidRPr="00971C77" w:rsidRDefault="002F3380">
      <w:pPr>
        <w:spacing w:line="276" w:lineRule="auto"/>
        <w:ind w:left="567" w:right="900"/>
        <w:jc w:val="both"/>
        <w:rPr>
          <w:rFonts w:ascii="Palatino Linotype" w:eastAsia="Palatino Linotype" w:hAnsi="Palatino Linotype" w:cs="Palatino Linotype"/>
          <w:i/>
          <w:iCs/>
          <w:sz w:val="22"/>
          <w:szCs w:val="22"/>
        </w:rPr>
      </w:pPr>
    </w:p>
    <w:p w14:paraId="59B79039" w14:textId="77777777" w:rsidR="002F3380" w:rsidRPr="00971C77" w:rsidRDefault="002F3380">
      <w:pPr>
        <w:spacing w:line="276" w:lineRule="auto"/>
        <w:ind w:right="900"/>
        <w:jc w:val="both"/>
        <w:rPr>
          <w:rFonts w:ascii="Palatino Linotype" w:eastAsia="Palatino Linotype" w:hAnsi="Palatino Linotype" w:cs="Palatino Linotype"/>
          <w:i/>
          <w:iCs/>
          <w:sz w:val="22"/>
          <w:szCs w:val="22"/>
        </w:rPr>
      </w:pPr>
    </w:p>
    <w:p w14:paraId="7224D1EA" w14:textId="77777777" w:rsidR="002F3380" w:rsidRPr="00971C77" w:rsidRDefault="006219FF">
      <w:pPr>
        <w:spacing w:line="360" w:lineRule="auto"/>
        <w:ind w:right="51"/>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 xml:space="preserve">4. Turno. </w:t>
      </w:r>
      <w:r w:rsidRPr="00971C77">
        <w:rPr>
          <w:rFonts w:ascii="Palatino Linotype" w:eastAsia="Palatino Linotype" w:hAnsi="Palatino Linotype" w:cs="Palatino Linotype"/>
          <w:sz w:val="22"/>
          <w:szCs w:val="22"/>
        </w:rPr>
        <w:t xml:space="preserve">De conformidad con el artículo 185 fracción I de la Ley de Transparencia y Acceso a la Información Pública del Estado de México y Municipios vigente, el presente recurso de revisión se turnó por el sistema electrónico del Instituto de Transparencia, Acceso a la Información Pública y Protección de Datos Personales del Estado de México y Municipios, </w:t>
      </w:r>
      <w:r w:rsidRPr="00971C77">
        <w:rPr>
          <w:rFonts w:ascii="Palatino Linotype" w:eastAsia="Palatino Linotype" w:hAnsi="Palatino Linotype" w:cs="Palatino Linotype"/>
          <w:sz w:val="22"/>
          <w:szCs w:val="22"/>
        </w:rPr>
        <w:lastRenderedPageBreak/>
        <w:t xml:space="preserve">a la Comisionada </w:t>
      </w:r>
      <w:r w:rsidRPr="00971C77">
        <w:rPr>
          <w:rFonts w:ascii="Palatino Linotype" w:eastAsia="Palatino Linotype" w:hAnsi="Palatino Linotype" w:cs="Palatino Linotype"/>
          <w:b/>
          <w:bCs/>
          <w:sz w:val="22"/>
          <w:szCs w:val="22"/>
        </w:rPr>
        <w:t xml:space="preserve">Guadalupe Ramírez Peña, </w:t>
      </w:r>
      <w:r w:rsidRPr="00971C77">
        <w:rPr>
          <w:rFonts w:ascii="Palatino Linotype" w:eastAsia="Palatino Linotype" w:hAnsi="Palatino Linotype" w:cs="Palatino Linotype"/>
          <w:sz w:val="22"/>
          <w:szCs w:val="22"/>
        </w:rPr>
        <w:t>a efecto de que analizara sobre su admisión o su desechamiento.</w:t>
      </w:r>
    </w:p>
    <w:p w14:paraId="0995FDD7" w14:textId="77777777" w:rsidR="002F3380" w:rsidRPr="00971C77" w:rsidRDefault="002F3380">
      <w:pPr>
        <w:spacing w:line="360" w:lineRule="auto"/>
        <w:ind w:right="51"/>
        <w:jc w:val="both"/>
        <w:rPr>
          <w:rFonts w:ascii="Palatino Linotype" w:eastAsia="Palatino Linotype" w:hAnsi="Palatino Linotype" w:cs="Palatino Linotype"/>
          <w:sz w:val="22"/>
          <w:szCs w:val="22"/>
        </w:rPr>
      </w:pPr>
    </w:p>
    <w:p w14:paraId="5A37D016"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5. Admisión del Recurso de revisión.</w:t>
      </w:r>
      <w:r w:rsidRPr="00971C77">
        <w:rPr>
          <w:rFonts w:ascii="Palatino Linotype" w:eastAsia="Palatino Linotype" w:hAnsi="Palatino Linotype" w:cs="Palatino Linotype"/>
          <w:sz w:val="22"/>
          <w:szCs w:val="22"/>
        </w:rPr>
        <w:t xml:space="preserve"> El </w:t>
      </w:r>
      <w:r w:rsidRPr="00971C77">
        <w:rPr>
          <w:rFonts w:ascii="Palatino Linotype" w:eastAsia="Palatino Linotype" w:hAnsi="Palatino Linotype" w:cs="Palatino Linotype"/>
          <w:b/>
          <w:bCs/>
          <w:sz w:val="22"/>
          <w:szCs w:val="22"/>
        </w:rPr>
        <w:t xml:space="preserve">dieciséis de enero de dos mil veintiséis, </w:t>
      </w:r>
      <w:r w:rsidRPr="00971C77">
        <w:rPr>
          <w:rFonts w:ascii="Palatino Linotype" w:eastAsia="Palatino Linotype" w:hAnsi="Palatino Linotype" w:cs="Palatino Linotype"/>
          <w:sz w:val="22"/>
          <w:szCs w:val="22"/>
        </w:rPr>
        <w:t xml:space="preserve">este Instituto de Transparencia, Acceso a la Información Pública y Protección de Datos Personales del Estado de México y Municipios, admitió a trámite el recurso de revisión que ahora se resuelve, dando un plazo máximo de siete días hábiles para que las partes manifestaran lo que a su derecho resultara conveniente, ofrecieran pruebas, formularan alegatos y 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presentara su informe justificado.</w:t>
      </w:r>
    </w:p>
    <w:p w14:paraId="2A36B190"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F46A56D" w14:textId="77777777" w:rsidR="002F3380" w:rsidRPr="00971C77" w:rsidRDefault="006219F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bookmarkStart w:id="5" w:name="_heading=h.2s8eyo1" w:colFirst="0" w:colLast="0"/>
      <w:bookmarkEnd w:id="5"/>
      <w:r w:rsidRPr="00971C77">
        <w:rPr>
          <w:rFonts w:ascii="Palatino Linotype" w:eastAsia="Palatino Linotype" w:hAnsi="Palatino Linotype" w:cs="Palatino Linotype"/>
          <w:b/>
          <w:bCs/>
          <w:sz w:val="22"/>
          <w:szCs w:val="22"/>
        </w:rPr>
        <w:t>6. Manifestaciones</w:t>
      </w:r>
      <w:r w:rsidRPr="00971C77">
        <w:rPr>
          <w:rFonts w:ascii="Palatino Linotype" w:eastAsia="Palatino Linotype" w:hAnsi="Palatino Linotype" w:cs="Palatino Linotype"/>
          <w:sz w:val="22"/>
          <w:szCs w:val="22"/>
        </w:rPr>
        <w:t>. De las constancias que integran el expediente en que se actúa se advierte que las partes fueron omisas en hacer valer manifestaciones, como se muestra:</w:t>
      </w:r>
    </w:p>
    <w:p w14:paraId="2444FE59" w14:textId="77777777" w:rsidR="002F3380" w:rsidRPr="00971C77" w:rsidRDefault="002F338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05DE5535" w14:textId="77777777" w:rsidR="002F3380" w:rsidRPr="00971C77" w:rsidRDefault="006219F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noProof/>
          <w:sz w:val="22"/>
          <w:szCs w:val="22"/>
        </w:rPr>
        <w:drawing>
          <wp:inline distT="0" distB="0" distL="0" distR="0" wp14:anchorId="3854F811" wp14:editId="2EBD83DC">
            <wp:extent cx="5543550" cy="1416685"/>
            <wp:effectExtent l="0" t="0" r="0" b="0"/>
            <wp:docPr id="4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8"/>
                    <a:srcRect/>
                    <a:stretch>
                      <a:fillRect/>
                    </a:stretch>
                  </pic:blipFill>
                  <pic:spPr>
                    <a:xfrm>
                      <a:off x="0" y="0"/>
                      <a:ext cx="5543550" cy="1416685"/>
                    </a:xfrm>
                    <a:prstGeom prst="rect">
                      <a:avLst/>
                    </a:prstGeom>
                    <a:ln/>
                  </pic:spPr>
                </pic:pic>
              </a:graphicData>
            </a:graphic>
          </wp:inline>
        </w:drawing>
      </w:r>
    </w:p>
    <w:p w14:paraId="3D77808F" w14:textId="77777777" w:rsidR="002F3380" w:rsidRPr="00971C77" w:rsidRDefault="002F3380">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p>
    <w:p w14:paraId="2C8BD188"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7.</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 xml:space="preserve">Cierre de instrucción. </w:t>
      </w:r>
      <w:r w:rsidRPr="00971C77">
        <w:rPr>
          <w:rFonts w:ascii="Palatino Linotype" w:eastAsia="Palatino Linotype" w:hAnsi="Palatino Linotype" w:cs="Palatino Linotype"/>
          <w:sz w:val="22"/>
          <w:szCs w:val="22"/>
        </w:rPr>
        <w:t xml:space="preserve">Una vez transcurrido el periodo otorgado a las partes para realizar sus manifestaciones y no habiendo documentos que integrar al expediente, con fecha </w:t>
      </w:r>
      <w:r w:rsidRPr="00971C77">
        <w:rPr>
          <w:rFonts w:ascii="Palatino Linotype" w:eastAsia="Palatino Linotype" w:hAnsi="Palatino Linotype" w:cs="Palatino Linotype"/>
          <w:b/>
          <w:bCs/>
          <w:sz w:val="22"/>
          <w:szCs w:val="22"/>
        </w:rPr>
        <w:t>veinticinco de febrero de dos mil veintiséis,</w:t>
      </w:r>
      <w:r w:rsidRPr="00971C77">
        <w:rPr>
          <w:rFonts w:ascii="Palatino Linotype" w:eastAsia="Palatino Linotype" w:hAnsi="Palatino Linotype" w:cs="Palatino Linotype"/>
          <w:sz w:val="22"/>
          <w:szCs w:val="22"/>
        </w:rPr>
        <w:t xml:space="preserve"> la Comisionada Ponente determinó el cierre de instrucción en términos de la fracción VI del artículo 185 de la Ley de Transparencia y Acceso a la Información Pública del Estado de México y Municipios.</w:t>
      </w:r>
    </w:p>
    <w:p w14:paraId="0AF2113F"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38C5244"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8. Ampliación del término para resolver</w:t>
      </w:r>
      <w:r w:rsidRPr="00971C77">
        <w:rPr>
          <w:rFonts w:ascii="Palatino Linotype" w:eastAsia="Palatino Linotype" w:hAnsi="Palatino Linotype" w:cs="Palatino Linotype"/>
          <w:sz w:val="22"/>
          <w:szCs w:val="22"/>
        </w:rPr>
        <w:t xml:space="preserve">. Mediante acuerdo del </w:t>
      </w:r>
      <w:r w:rsidRPr="00971C77">
        <w:rPr>
          <w:rFonts w:ascii="Palatino Linotype" w:eastAsia="Palatino Linotype" w:hAnsi="Palatino Linotype" w:cs="Palatino Linotype"/>
          <w:b/>
          <w:bCs/>
          <w:sz w:val="22"/>
          <w:szCs w:val="22"/>
        </w:rPr>
        <w:t>veinticinco de febrero de dos mil veintiséis</w:t>
      </w:r>
      <w:r w:rsidRPr="00971C77">
        <w:rPr>
          <w:rFonts w:ascii="Palatino Linotype" w:eastAsia="Palatino Linotype" w:hAnsi="Palatino Linotype" w:cs="Palatino Linotype"/>
          <w:sz w:val="22"/>
          <w:szCs w:val="22"/>
        </w:rPr>
        <w:t>, se amplió el término para resolver los recursos de revisión en términos del artículo 181 párrafo tercero de la Ley de Transparencia y Acceso a la Información Pública del Estado de México y Municipios.</w:t>
      </w:r>
    </w:p>
    <w:p w14:paraId="393CACE8" w14:textId="77777777" w:rsidR="002F3380" w:rsidRPr="00971C77" w:rsidRDefault="002F3380">
      <w:pPr>
        <w:pBdr>
          <w:top w:val="nil"/>
          <w:left w:val="nil"/>
          <w:bottom w:val="nil"/>
          <w:right w:val="nil"/>
          <w:between w:val="nil"/>
        </w:pBdr>
        <w:tabs>
          <w:tab w:val="left" w:pos="360"/>
        </w:tabs>
        <w:spacing w:line="360" w:lineRule="auto"/>
        <w:ind w:right="49"/>
        <w:jc w:val="both"/>
        <w:rPr>
          <w:rFonts w:ascii="Palatino Linotype" w:eastAsia="Palatino Linotype" w:hAnsi="Palatino Linotype" w:cs="Palatino Linotype"/>
          <w:b/>
          <w:bCs/>
          <w:sz w:val="22"/>
          <w:szCs w:val="22"/>
        </w:rPr>
      </w:pPr>
    </w:p>
    <w:p w14:paraId="67C20E94" w14:textId="77777777" w:rsidR="002F3380" w:rsidRPr="00971C77" w:rsidRDefault="006219FF">
      <w:pPr>
        <w:pBdr>
          <w:top w:val="nil"/>
          <w:left w:val="nil"/>
          <w:bottom w:val="nil"/>
          <w:right w:val="nil"/>
          <w:between w:val="nil"/>
        </w:pBdr>
        <w:tabs>
          <w:tab w:val="left" w:pos="284"/>
        </w:tabs>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En razón de que fue debidamente sustanciado el expediente electrónico y no existe diligencia pendiente de desahogo, se emite la Resolución que conforme a Derecho proceda, de acuerdo con los siguientes: </w:t>
      </w:r>
    </w:p>
    <w:p w14:paraId="1AB63CDA" w14:textId="77777777" w:rsidR="002F3380" w:rsidRPr="00971C77" w:rsidRDefault="006219FF">
      <w:pPr>
        <w:widowControl w:val="0"/>
        <w:spacing w:before="240" w:after="240" w:line="360" w:lineRule="auto"/>
        <w:jc w:val="center"/>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b/>
          <w:bCs/>
          <w:sz w:val="22"/>
          <w:szCs w:val="22"/>
        </w:rPr>
        <w:t>II. C O N S I D E R A N D O S</w:t>
      </w:r>
    </w:p>
    <w:p w14:paraId="5C493F0D"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Primero. Competencia.</w:t>
      </w:r>
      <w:r w:rsidRPr="00971C77">
        <w:rPr>
          <w:rFonts w:ascii="Palatino Linotype" w:eastAsia="Palatino Linotype" w:hAnsi="Palatino Linotype" w:cs="Palatino Linotype"/>
          <w:sz w:val="22"/>
          <w:szCs w:val="22"/>
        </w:rPr>
        <w:t xml:space="preserve"> El Instituto de Transparencia, Acceso a la Información Pública y Protección de Datos Personales del Estado de México y Municipios, es competente para conocer y resolver el presente recurso de revisión interpuesto por la parte recurrente, conforme a lo dispuesto en los artículos 6, apartado A de la Constitución Política de los Estados Unidos Mexicanos;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y 188 de la Ley Transparencia y Acceso a la Información Pública del Estado de México y Municipios; 9, fracciones I y XXIII y 11 del Reglamento Interior del Instituto de Transparencia, Acceso a la Información Pública y Protección de Datos Personales del Estado de México y Municipios.</w:t>
      </w:r>
    </w:p>
    <w:p w14:paraId="0104B6FC"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2CEC8C2F" w14:textId="77777777" w:rsidR="002F3380" w:rsidRPr="00971C77" w:rsidRDefault="006219FF">
      <w:pPr>
        <w:spacing w:line="360" w:lineRule="auto"/>
        <w:jc w:val="both"/>
        <w:rPr>
          <w:rFonts w:ascii="Palatino Linotype" w:eastAsia="Palatino Linotype" w:hAnsi="Palatino Linotype" w:cs="Palatino Linotype"/>
          <w:sz w:val="22"/>
          <w:szCs w:val="22"/>
        </w:rPr>
      </w:pPr>
      <w:bookmarkStart w:id="6" w:name="_heading=h.tyjcwt" w:colFirst="0" w:colLast="0"/>
      <w:bookmarkEnd w:id="6"/>
      <w:r w:rsidRPr="00971C77">
        <w:rPr>
          <w:rFonts w:ascii="Palatino Linotype" w:eastAsia="Palatino Linotype" w:hAnsi="Palatino Linotype" w:cs="Palatino Linotype"/>
          <w:b/>
          <w:bCs/>
          <w:sz w:val="22"/>
          <w:szCs w:val="22"/>
        </w:rPr>
        <w:t>Segundo. Oportunidad y Procedibilidad del Recurso de Revisión</w:t>
      </w:r>
      <w:r w:rsidRPr="00971C77">
        <w:rPr>
          <w:rFonts w:ascii="Palatino Linotype" w:eastAsia="Palatino Linotype" w:hAnsi="Palatino Linotype" w:cs="Palatino Linotype"/>
          <w:sz w:val="22"/>
          <w:szCs w:val="22"/>
        </w:rPr>
        <w:t>. Previo al estudio del fondo del asunto, se procede a analizar los requisitos de oportunidad y procedibilidad que debe reunir el recurso de revisión interpuesto, previstos en los artículos 178 y 180 de la Ley de Transparencia y Acceso a la Información Pública del Estado de México y Municipios.</w:t>
      </w:r>
    </w:p>
    <w:p w14:paraId="09CAA81E"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EA038FD"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El recurso de revisión fue interpuesto dentro del plazo de quince días hábiles, previsto en el artículo 178 de la Ley de Transparencia y Acceso a la Información Pública del Estado de México y Municipios, toda vez que 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remitió la respuesta a la solicitud de información el</w:t>
      </w:r>
      <w:r w:rsidRPr="00971C77">
        <w:t xml:space="preserve"> </w:t>
      </w:r>
      <w:r w:rsidRPr="00971C77">
        <w:rPr>
          <w:rFonts w:ascii="Palatino Linotype" w:eastAsia="Palatino Linotype" w:hAnsi="Palatino Linotype" w:cs="Palatino Linotype"/>
          <w:b/>
          <w:bCs/>
          <w:sz w:val="22"/>
          <w:szCs w:val="22"/>
        </w:rPr>
        <w:t xml:space="preserve">dos de diciembre de dos mil veinticinco, </w:t>
      </w:r>
      <w:r w:rsidRPr="00971C77">
        <w:rPr>
          <w:rFonts w:ascii="Palatino Linotype" w:eastAsia="Palatino Linotype" w:hAnsi="Palatino Linotype" w:cs="Palatino Linotype"/>
          <w:sz w:val="22"/>
          <w:szCs w:val="22"/>
        </w:rPr>
        <w:t xml:space="preserve">mientras que el recurso de revisión interpuesto por </w:t>
      </w:r>
      <w:r w:rsidRPr="00971C77">
        <w:rPr>
          <w:rFonts w:ascii="Palatino Linotype" w:eastAsia="Palatino Linotype" w:hAnsi="Palatino Linotype" w:cs="Palatino Linotype"/>
          <w:b/>
          <w:bCs/>
          <w:sz w:val="22"/>
          <w:szCs w:val="22"/>
        </w:rPr>
        <w:t>la parte</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Recurrente</w:t>
      </w:r>
      <w:r w:rsidRPr="00971C77">
        <w:rPr>
          <w:rFonts w:ascii="Palatino Linotype" w:eastAsia="Palatino Linotype" w:hAnsi="Palatino Linotype" w:cs="Palatino Linotype"/>
          <w:sz w:val="22"/>
          <w:szCs w:val="22"/>
        </w:rPr>
        <w:t xml:space="preserve">, se tuvo por presentado el </w:t>
      </w:r>
      <w:r w:rsidRPr="00971C77">
        <w:rPr>
          <w:rFonts w:ascii="Palatino Linotype" w:eastAsia="Palatino Linotype" w:hAnsi="Palatino Linotype" w:cs="Palatino Linotype"/>
          <w:b/>
          <w:bCs/>
          <w:sz w:val="22"/>
          <w:szCs w:val="22"/>
        </w:rPr>
        <w:t>doce de enero de dos mil veintiséis</w:t>
      </w:r>
      <w:r w:rsidRPr="00971C77">
        <w:rPr>
          <w:rFonts w:ascii="Palatino Linotype" w:eastAsia="Palatino Linotype" w:hAnsi="Palatino Linotype" w:cs="Palatino Linotype"/>
          <w:sz w:val="22"/>
          <w:szCs w:val="22"/>
        </w:rPr>
        <w:t xml:space="preserve"> esto es, al </w:t>
      </w:r>
      <w:r w:rsidRPr="00971C77">
        <w:rPr>
          <w:rFonts w:ascii="Palatino Linotype" w:eastAsia="Palatino Linotype" w:hAnsi="Palatino Linotype" w:cs="Palatino Linotype"/>
          <w:b/>
          <w:bCs/>
          <w:sz w:val="22"/>
          <w:szCs w:val="22"/>
          <w:u w:val="single"/>
        </w:rPr>
        <w:t>décimo cuarto</w:t>
      </w:r>
      <w:r w:rsidRPr="00971C77">
        <w:rPr>
          <w:rFonts w:ascii="Palatino Linotype" w:eastAsia="Palatino Linotype" w:hAnsi="Palatino Linotype" w:cs="Palatino Linotype"/>
          <w:sz w:val="22"/>
          <w:szCs w:val="22"/>
        </w:rPr>
        <w:t xml:space="preserve"> día hábil aquel </w:t>
      </w:r>
      <w:r w:rsidRPr="00971C77">
        <w:rPr>
          <w:rFonts w:ascii="Palatino Linotype" w:eastAsia="Palatino Linotype" w:hAnsi="Palatino Linotype" w:cs="Palatino Linotype"/>
          <w:b/>
          <w:bCs/>
          <w:sz w:val="22"/>
          <w:szCs w:val="22"/>
        </w:rPr>
        <w:t>en que se tuvo conocimiento de la respuesta impugnada</w:t>
      </w:r>
      <w:r w:rsidRPr="00971C77">
        <w:rPr>
          <w:rFonts w:ascii="Palatino Linotype" w:eastAsia="Palatino Linotype" w:hAnsi="Palatino Linotype" w:cs="Palatino Linotype"/>
          <w:sz w:val="22"/>
          <w:szCs w:val="22"/>
        </w:rPr>
        <w:t xml:space="preserve">. </w:t>
      </w:r>
    </w:p>
    <w:p w14:paraId="23B718F1"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42449B3C"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En este sentido, se concluye que el presente recurso de revisión se encuentra dentro de los márgenes temporales previstos en las disposiciones legales referidas.</w:t>
      </w:r>
    </w:p>
    <w:p w14:paraId="5D0423CA"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2DDD1CE" w14:textId="77777777" w:rsidR="002F3380" w:rsidRPr="00971C77" w:rsidRDefault="006219FF">
      <w:pPr>
        <w:tabs>
          <w:tab w:val="left" w:pos="7938"/>
        </w:tabs>
        <w:spacing w:line="360" w:lineRule="auto"/>
        <w:jc w:val="both"/>
        <w:rPr>
          <w:rFonts w:ascii="Palatino Linotype" w:eastAsia="Palatino Linotype" w:hAnsi="Palatino Linotype" w:cs="Palatino Linotype"/>
          <w:sz w:val="22"/>
          <w:szCs w:val="22"/>
        </w:rPr>
      </w:pPr>
      <w:bookmarkStart w:id="7" w:name="_heading=h.3znysh7" w:colFirst="0" w:colLast="0"/>
      <w:bookmarkEnd w:id="7"/>
      <w:r w:rsidRPr="00971C77">
        <w:rPr>
          <w:rFonts w:ascii="Palatino Linotype" w:eastAsia="Palatino Linotype" w:hAnsi="Palatino Linotype" w:cs="Palatino Linotype"/>
          <w:sz w:val="22"/>
          <w:szCs w:val="22"/>
        </w:rPr>
        <w:t>Al mismo tiempo, por cuanto hace a la procedibilidad del recurso de revisión, una vez realizado el análisis del formato de interposición del recurso, se concluye la acreditación plena de los elementos formales precisados por el artículo 180 de la Ley de Transparencia y Acceso a la Información Pública del Estado de México y Municipios, en atención a que fue presentado mediante el formato visible en el SAIMEX.</w:t>
      </w:r>
    </w:p>
    <w:p w14:paraId="12C68203" w14:textId="77777777" w:rsidR="002F3380" w:rsidRPr="00971C77" w:rsidRDefault="002F3380">
      <w:pPr>
        <w:tabs>
          <w:tab w:val="left" w:pos="7938"/>
        </w:tabs>
        <w:spacing w:line="360" w:lineRule="auto"/>
        <w:jc w:val="both"/>
        <w:rPr>
          <w:rFonts w:ascii="Palatino Linotype" w:eastAsia="Palatino Linotype" w:hAnsi="Palatino Linotype" w:cs="Palatino Linotype"/>
          <w:sz w:val="22"/>
          <w:szCs w:val="22"/>
        </w:rPr>
      </w:pPr>
    </w:p>
    <w:p w14:paraId="64766D14"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Por otro lado, es de suma importancia mencionar que, si bien la parte</w:t>
      </w:r>
      <w:r w:rsidRPr="00971C77">
        <w:rPr>
          <w:rFonts w:ascii="Palatino Linotype" w:eastAsia="Palatino Linotype" w:hAnsi="Palatino Linotype" w:cs="Palatino Linotype"/>
          <w:b/>
          <w:bCs/>
          <w:sz w:val="22"/>
          <w:szCs w:val="22"/>
        </w:rPr>
        <w:t xml:space="preserve"> Recurrente</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no</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proporcionó nombre,</w:t>
      </w:r>
      <w:r w:rsidRPr="00971C77">
        <w:rPr>
          <w:rFonts w:ascii="Palatino Linotype" w:eastAsia="Palatino Linotype" w:hAnsi="Palatino Linotype" w:cs="Palatino Linotype"/>
          <w:sz w:val="22"/>
          <w:szCs w:val="22"/>
        </w:rPr>
        <w:t xml:space="preserve"> como se advierte en el detalle de seguimiento del SAIMEX; sin embargo, el no proporcionar un nombre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14:paraId="2E438DC1"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70A1F7C2" w14:textId="77777777" w:rsidR="002F3380" w:rsidRPr="00971C77" w:rsidRDefault="006219FF">
      <w:pPr>
        <w:spacing w:line="276" w:lineRule="auto"/>
        <w:ind w:left="851" w:right="902"/>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 xml:space="preserve">Las solicitudes </w:t>
      </w:r>
      <w:r w:rsidRPr="00971C77">
        <w:rPr>
          <w:rFonts w:ascii="Palatino Linotype" w:eastAsia="Palatino Linotype" w:hAnsi="Palatino Linotype" w:cs="Palatino Linotype"/>
          <w:b/>
          <w:bCs/>
          <w:i/>
          <w:iCs/>
          <w:sz w:val="22"/>
          <w:szCs w:val="22"/>
          <w:u w:val="single"/>
        </w:rPr>
        <w:t>anónimas</w:t>
      </w:r>
      <w:r w:rsidRPr="00971C77">
        <w:rPr>
          <w:rFonts w:ascii="Palatino Linotype" w:eastAsia="Palatino Linotype" w:hAnsi="Palatino Linotype" w:cs="Palatino Linotype"/>
          <w:i/>
          <w:iCs/>
          <w:sz w:val="22"/>
          <w:szCs w:val="22"/>
        </w:rPr>
        <w:t>, con nombre incompleto o seudónimo </w:t>
      </w:r>
      <w:r w:rsidRPr="00971C77">
        <w:rPr>
          <w:rFonts w:ascii="Palatino Linotype" w:eastAsia="Palatino Linotype" w:hAnsi="Palatino Linotype" w:cs="Palatino Linotype"/>
          <w:b/>
          <w:bCs/>
          <w:i/>
          <w:iCs/>
          <w:sz w:val="22"/>
          <w:szCs w:val="22"/>
        </w:rPr>
        <w:t>serán procedentes para su trámite por parte del sujeto obligado ante quien se presente</w:t>
      </w:r>
      <w:r w:rsidRPr="00971C77">
        <w:rPr>
          <w:rFonts w:ascii="Palatino Linotype" w:eastAsia="Palatino Linotype" w:hAnsi="Palatino Linotype" w:cs="Palatino Linotype"/>
          <w:i/>
          <w:iCs/>
          <w:sz w:val="22"/>
          <w:szCs w:val="22"/>
        </w:rPr>
        <w:t>. No podrá requerirse información adicional con motivo del nombre proporcionado por el solicitante."</w:t>
      </w:r>
    </w:p>
    <w:p w14:paraId="10AAB4BB" w14:textId="77777777" w:rsidR="002F3380" w:rsidRPr="00971C77" w:rsidRDefault="002F3380">
      <w:pPr>
        <w:tabs>
          <w:tab w:val="left" w:pos="7938"/>
        </w:tabs>
        <w:spacing w:line="360" w:lineRule="auto"/>
        <w:jc w:val="both"/>
        <w:rPr>
          <w:rFonts w:ascii="Palatino Linotype" w:eastAsia="Palatino Linotype" w:hAnsi="Palatino Linotype" w:cs="Palatino Linotype"/>
          <w:sz w:val="22"/>
          <w:szCs w:val="22"/>
        </w:rPr>
      </w:pPr>
    </w:p>
    <w:p w14:paraId="7FE42918"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Finalmente, se advierte que resulta procedente la interposición del recurso, según lo manifestado por </w:t>
      </w:r>
      <w:r w:rsidRPr="00971C77">
        <w:rPr>
          <w:rFonts w:ascii="Palatino Linotype" w:eastAsia="Palatino Linotype" w:hAnsi="Palatino Linotype" w:cs="Palatino Linotype"/>
          <w:b/>
          <w:bCs/>
          <w:sz w:val="22"/>
          <w:szCs w:val="22"/>
        </w:rPr>
        <w:t>la parte</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Recurrente</w:t>
      </w:r>
      <w:r w:rsidRPr="00971C77">
        <w:rPr>
          <w:rFonts w:ascii="Palatino Linotype" w:eastAsia="Palatino Linotype" w:hAnsi="Palatino Linotype" w:cs="Palatino Linotype"/>
          <w:sz w:val="22"/>
          <w:szCs w:val="22"/>
        </w:rPr>
        <w:t xml:space="preserve"> en sus motivos de inconformidad, de acuerdo al artículo 179, fracción I del ordenamiento legal citado, que a la letra dice: </w:t>
      </w:r>
    </w:p>
    <w:p w14:paraId="6F0982A4"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5AE5B068" w14:textId="77777777" w:rsidR="002F3380" w:rsidRPr="00971C77" w:rsidRDefault="006219FF">
      <w:pPr>
        <w:ind w:left="567"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Artículo 179.</w:t>
      </w:r>
      <w:r w:rsidRPr="00971C77">
        <w:rPr>
          <w:rFonts w:ascii="Palatino Linotype" w:eastAsia="Palatino Linotype" w:hAnsi="Palatino Linotype" w:cs="Palatino Linotype"/>
          <w:i/>
          <w:iCs/>
          <w:sz w:val="22"/>
          <w:szCs w:val="22"/>
        </w:rPr>
        <w:t xml:space="preserve"> El recurso de revisión es un medio de protección que la Ley otorga a los particulares, para hacer valer su derecho de acceso a la información pública, y procederá en contra de las siguientes causas:</w:t>
      </w:r>
    </w:p>
    <w:p w14:paraId="38AD7619" w14:textId="77777777" w:rsidR="002F3380" w:rsidRPr="00971C77" w:rsidRDefault="006219FF">
      <w:pPr>
        <w:ind w:left="567" w:right="902"/>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I. La negativa a la información solicitada;</w:t>
      </w:r>
    </w:p>
    <w:p w14:paraId="719881A2" w14:textId="77777777" w:rsidR="002F3380" w:rsidRPr="00971C77" w:rsidRDefault="006219FF">
      <w:pPr>
        <w:ind w:left="567"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02B21AEB" w14:textId="77777777" w:rsidR="002F3380" w:rsidRPr="00971C77" w:rsidRDefault="002F3380">
      <w:pPr>
        <w:ind w:right="900"/>
        <w:rPr>
          <w:rFonts w:ascii="Palatino Linotype" w:eastAsia="Palatino Linotype" w:hAnsi="Palatino Linotype" w:cs="Palatino Linotype"/>
          <w:i/>
          <w:iCs/>
          <w:sz w:val="22"/>
          <w:szCs w:val="22"/>
        </w:rPr>
      </w:pPr>
    </w:p>
    <w:p w14:paraId="05BF4E9D" w14:textId="77777777" w:rsidR="002F3380" w:rsidRPr="00971C77" w:rsidRDefault="002F3380">
      <w:pPr>
        <w:ind w:left="567" w:right="900"/>
        <w:jc w:val="right"/>
        <w:rPr>
          <w:rFonts w:ascii="Palatino Linotype" w:eastAsia="Palatino Linotype" w:hAnsi="Palatino Linotype" w:cs="Palatino Linotype"/>
          <w:b/>
          <w:bCs/>
          <w:i/>
          <w:iCs/>
          <w:sz w:val="22"/>
          <w:szCs w:val="22"/>
        </w:rPr>
      </w:pPr>
    </w:p>
    <w:p w14:paraId="17379B15" w14:textId="77777777" w:rsidR="002F3380" w:rsidRPr="00971C77" w:rsidRDefault="006219FF">
      <w:pPr>
        <w:spacing w:line="360" w:lineRule="auto"/>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b/>
          <w:bCs/>
          <w:sz w:val="22"/>
          <w:szCs w:val="22"/>
        </w:rPr>
        <w:t xml:space="preserve">Tercero. Materia de la revisión. </w:t>
      </w:r>
      <w:r w:rsidRPr="00971C77">
        <w:rPr>
          <w:rFonts w:ascii="Palatino Linotype" w:eastAsia="Palatino Linotype" w:hAnsi="Palatino Linotype" w:cs="Palatino Linotype"/>
          <w:sz w:val="22"/>
          <w:szCs w:val="22"/>
        </w:rPr>
        <w:t xml:space="preserve">De la revisión a las constancias y documentos que obran en el expediente electrónico se advierte que, el tema sobre el que este Organismo Garante de Transparencia y Acceso a la Información se pronunciará será: </w:t>
      </w:r>
      <w:r w:rsidRPr="00971C77">
        <w:rPr>
          <w:rFonts w:ascii="Palatino Linotype" w:eastAsia="Palatino Linotype" w:hAnsi="Palatino Linotype" w:cs="Palatino Linotype"/>
          <w:b/>
          <w:bCs/>
          <w:sz w:val="22"/>
          <w:szCs w:val="22"/>
        </w:rPr>
        <w:t>verificar si la información otorgada por el Sujeto Obligado es adecuada y suficiente para satisfacer el derecho de acceso a la información pública de la parte Recurrente,</w:t>
      </w:r>
      <w:r w:rsidRPr="00971C77">
        <w:rPr>
          <w:rFonts w:ascii="Palatino Linotype" w:eastAsia="Palatino Linotype" w:hAnsi="Palatino Linotype" w:cs="Palatino Linotype"/>
          <w:sz w:val="22"/>
          <w:szCs w:val="22"/>
        </w:rPr>
        <w:t xml:space="preserve"> o en su defecto, en caso de ser procedente, ordenar la entrega de la información oportuna.</w:t>
      </w:r>
    </w:p>
    <w:p w14:paraId="4B452805"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71D29A3"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 xml:space="preserve">Cuarto. Estudio del asunto. </w:t>
      </w:r>
      <w:r w:rsidRPr="00971C77">
        <w:rPr>
          <w:rFonts w:ascii="Palatino Linotype" w:eastAsia="Palatino Linotype" w:hAnsi="Palatino Linotype" w:cs="Palatino Linotype"/>
          <w:sz w:val="22"/>
          <w:szCs w:val="22"/>
        </w:rPr>
        <w:t xml:space="preserve">Antes de entrar al análisis de los pronunciamientos del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en la respuesta proporcionada, es necesario mencionar que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14:paraId="74D31DE4"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22E9F33"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Artículo 4</w:t>
      </w:r>
      <w:r w:rsidRPr="00971C77">
        <w:rPr>
          <w:rFonts w:ascii="Palatino Linotype" w:eastAsia="Palatino Linotype" w:hAnsi="Palatino Linotype" w:cs="Palatino Linotype"/>
          <w:i/>
          <w:iCs/>
          <w:sz w:val="22"/>
          <w:szCs w:val="22"/>
        </w:rPr>
        <w:t xml:space="preserve">. El derecho humano de acceso a la información pública es la prerrogativa de las personas para buscar, difundir, investigar, recabar, recibir y solicitar información pública, sin necesidad de acreditar personalidad ni interés jurídico. </w:t>
      </w:r>
    </w:p>
    <w:p w14:paraId="319E4C9B" w14:textId="77777777" w:rsidR="002F3380" w:rsidRPr="00971C77" w:rsidRDefault="002F3380">
      <w:pPr>
        <w:spacing w:line="276" w:lineRule="auto"/>
        <w:ind w:left="851" w:right="843"/>
        <w:jc w:val="both"/>
        <w:rPr>
          <w:rFonts w:ascii="Palatino Linotype" w:eastAsia="Palatino Linotype" w:hAnsi="Palatino Linotype" w:cs="Palatino Linotype"/>
          <w:i/>
          <w:iCs/>
          <w:sz w:val="22"/>
          <w:szCs w:val="22"/>
        </w:rPr>
      </w:pPr>
    </w:p>
    <w:p w14:paraId="20EDB16C"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Toda la información generada, obtenida, adquirida, transformada, administrada o en posesión de los sujetos obligados es pública y accesible de manera permanente a cualquier persona</w:t>
      </w:r>
      <w:r w:rsidRPr="00971C77">
        <w:rPr>
          <w:rFonts w:ascii="Palatino Linotype" w:eastAsia="Palatino Linotype" w:hAnsi="Palatino Linotype" w:cs="Palatino Linotype"/>
          <w:i/>
          <w:iCs/>
          <w:sz w:val="22"/>
          <w:szCs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14:paraId="59BC5147" w14:textId="77777777" w:rsidR="002F3380" w:rsidRPr="00971C77" w:rsidRDefault="002F3380">
      <w:pPr>
        <w:spacing w:line="276" w:lineRule="auto"/>
        <w:ind w:left="851" w:right="843"/>
        <w:jc w:val="both"/>
        <w:rPr>
          <w:rFonts w:ascii="Palatino Linotype" w:eastAsia="Palatino Linotype" w:hAnsi="Palatino Linotype" w:cs="Palatino Linotype"/>
          <w:i/>
          <w:iCs/>
          <w:sz w:val="22"/>
          <w:szCs w:val="22"/>
        </w:rPr>
      </w:pPr>
    </w:p>
    <w:p w14:paraId="2886F0DA"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Los sujetos obligados deben poner en práctica, políticas y programas de acceso a la información que se apeguen a criterios de publicidad, veracidad, oportunidad, precisión y suficiencia en beneficio de los solicitantes</w:t>
      </w:r>
      <w:r w:rsidRPr="00971C77">
        <w:rPr>
          <w:rFonts w:ascii="Palatino Linotype" w:eastAsia="Palatino Linotype" w:hAnsi="Palatino Linotype" w:cs="Palatino Linotype"/>
          <w:i/>
          <w:iCs/>
          <w:sz w:val="22"/>
          <w:szCs w:val="22"/>
        </w:rPr>
        <w:t>.”</w:t>
      </w:r>
    </w:p>
    <w:p w14:paraId="5BD2AFCA"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CAEB4FF"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Esto es, que los Sujetos Obligados tiene la obligación o deber de atender las solicitudes de acceso a la información pública que se les hagan de su conocimiento y proporcionar la información pública que obren en su poder conforme el estado que se encuentra y no hacer un procesamiento de la misma, ni presentarla conforme al interés del solicitante; como así lo establece el artículo 12 de la Ley de Transparencia y Acceso a la Información Pública del Estado de México y Municipios, que a la letra dice:</w:t>
      </w:r>
    </w:p>
    <w:p w14:paraId="15626199"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7A46DE94" w14:textId="77777777" w:rsidR="002F3380" w:rsidRPr="00971C77" w:rsidRDefault="006219FF">
      <w:pPr>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Artículo 12.-</w:t>
      </w:r>
      <w:r w:rsidRPr="00971C77">
        <w:rPr>
          <w:rFonts w:ascii="Palatino Linotype" w:eastAsia="Palatino Linotype" w:hAnsi="Palatino Linotype" w:cs="Palatino Linotype"/>
          <w:i/>
          <w:iCs/>
          <w:sz w:val="22"/>
          <w:szCs w:val="22"/>
        </w:rPr>
        <w:t xml:space="preserve"> Quienes generen, recopilen, administren, manejen, procesen, archiven o conserven información pública serán responsables de la misma en los términos de las disposiciones jurídicas aplicables. </w:t>
      </w:r>
    </w:p>
    <w:p w14:paraId="0BD5D638" w14:textId="77777777" w:rsidR="002F3380" w:rsidRPr="00971C77" w:rsidRDefault="002F3380">
      <w:pPr>
        <w:ind w:left="851" w:right="843"/>
        <w:jc w:val="both"/>
        <w:rPr>
          <w:rFonts w:ascii="Palatino Linotype" w:eastAsia="Palatino Linotype" w:hAnsi="Palatino Linotype" w:cs="Palatino Linotype"/>
          <w:i/>
          <w:iCs/>
          <w:sz w:val="22"/>
          <w:szCs w:val="22"/>
        </w:rPr>
      </w:pPr>
    </w:p>
    <w:p w14:paraId="2587DEF6" w14:textId="77777777" w:rsidR="002F3380" w:rsidRPr="00971C77" w:rsidRDefault="006219FF">
      <w:pPr>
        <w:ind w:left="851" w:right="843"/>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Los sujetos obligados sólo proporcionarán la información pública que se les requiera y que obre en sus archivos y en el estado en que ésta se encuentre</w:t>
      </w: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 xml:space="preserve">La obligación de proporcionar información no comprende el procesamiento de la misma, ni el presentarla conforme al interés del solicitante; no estarán obligados a generarla, resumirla, efectuar cálculos o practicar investigaciones”. </w:t>
      </w:r>
    </w:p>
    <w:p w14:paraId="68815B2E" w14:textId="77777777" w:rsidR="002F3380" w:rsidRPr="00971C77" w:rsidRDefault="002F3380">
      <w:pPr>
        <w:spacing w:line="360" w:lineRule="auto"/>
        <w:ind w:left="567" w:right="616"/>
        <w:jc w:val="both"/>
        <w:rPr>
          <w:rFonts w:ascii="Palatino Linotype" w:eastAsia="Palatino Linotype" w:hAnsi="Palatino Linotype" w:cs="Palatino Linotype"/>
          <w:i/>
          <w:iCs/>
          <w:sz w:val="22"/>
          <w:szCs w:val="22"/>
        </w:rPr>
      </w:pPr>
    </w:p>
    <w:p w14:paraId="4593EF6B" w14:textId="77777777" w:rsidR="002F3380" w:rsidRPr="00971C77" w:rsidRDefault="006219FF">
      <w:pPr>
        <w:spacing w:line="360" w:lineRule="auto"/>
        <w:ind w:right="-93"/>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Es decir, que todo sujeto obligado que genere, recopile, administre, procese, archive, posea o conserven, son responsables de la misma teniendo a su vez la obligación de proporcionar la información que se les requiera sin necesidad de resumirla, efectuar procedimientos para obtenerla, calcular y practicar investigaciones; en otras palabras, que los Sujetos Obligados solo se concretaran a proporcionar la información solicitada que tengan en su poder en el estado que se encuentran, sin necesidad de concretarse al interés o términos específicos del solicitante.</w:t>
      </w:r>
    </w:p>
    <w:p w14:paraId="5754B170" w14:textId="77777777" w:rsidR="002F3380" w:rsidRPr="00971C77" w:rsidRDefault="002F3380">
      <w:pPr>
        <w:spacing w:line="360" w:lineRule="auto"/>
        <w:ind w:right="-93"/>
        <w:jc w:val="both"/>
        <w:rPr>
          <w:rFonts w:ascii="Palatino Linotype" w:eastAsia="Palatino Linotype" w:hAnsi="Palatino Linotype" w:cs="Palatino Linotype"/>
          <w:sz w:val="22"/>
          <w:szCs w:val="22"/>
        </w:rPr>
      </w:pPr>
    </w:p>
    <w:p w14:paraId="67280029" w14:textId="77777777" w:rsidR="002F3380" w:rsidRPr="00971C77" w:rsidRDefault="006219FF">
      <w:pPr>
        <w:spacing w:line="360" w:lineRule="auto"/>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sz w:val="22"/>
          <w:szCs w:val="22"/>
        </w:rPr>
        <w:t>Sirve de apoyo a lo anterior, el criterio orientador 03-17, expuesto por el entonces Instituto Nacional de Transparencia, Acceso a la Información y Protección de Datos Personales, que dice:</w:t>
      </w:r>
      <w:r w:rsidRPr="00971C77">
        <w:rPr>
          <w:rFonts w:ascii="Palatino Linotype" w:eastAsia="Palatino Linotype" w:hAnsi="Palatino Linotype" w:cs="Palatino Linotype"/>
          <w:b/>
          <w:bCs/>
          <w:sz w:val="22"/>
          <w:szCs w:val="22"/>
        </w:rPr>
        <w:t xml:space="preserve"> </w:t>
      </w:r>
    </w:p>
    <w:p w14:paraId="049B0302" w14:textId="77777777" w:rsidR="002F3380" w:rsidRPr="00971C77" w:rsidRDefault="002F3380">
      <w:pPr>
        <w:spacing w:line="360" w:lineRule="auto"/>
        <w:jc w:val="both"/>
        <w:rPr>
          <w:rFonts w:ascii="Palatino Linotype" w:eastAsia="Palatino Linotype" w:hAnsi="Palatino Linotype" w:cs="Palatino Linotype"/>
          <w:b/>
          <w:bCs/>
          <w:sz w:val="22"/>
          <w:szCs w:val="22"/>
        </w:rPr>
      </w:pPr>
    </w:p>
    <w:p w14:paraId="49CF1C99"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No existe obligación de elaborar documentos ad hoc para atender las solicitudes de acceso a la información.</w:t>
      </w:r>
      <w:r w:rsidRPr="00971C77">
        <w:rPr>
          <w:rFonts w:ascii="Palatino Linotype" w:eastAsia="Palatino Linotype" w:hAnsi="Palatino Linotype" w:cs="Palatino Linotype"/>
          <w:i/>
          <w:iCs/>
          <w:sz w:val="22"/>
          <w:szCs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 </w:t>
      </w:r>
    </w:p>
    <w:p w14:paraId="2988EE41" w14:textId="77777777" w:rsidR="002F3380" w:rsidRPr="00971C77" w:rsidRDefault="002F3380">
      <w:pPr>
        <w:spacing w:line="360" w:lineRule="auto"/>
        <w:ind w:right="-93"/>
        <w:jc w:val="both"/>
        <w:rPr>
          <w:rFonts w:ascii="Palatino Linotype" w:eastAsia="Palatino Linotype" w:hAnsi="Palatino Linotype" w:cs="Palatino Linotype"/>
          <w:sz w:val="22"/>
          <w:szCs w:val="22"/>
        </w:rPr>
      </w:pPr>
    </w:p>
    <w:p w14:paraId="0528F0D5"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En esa tesitura, el artículo 24 en su último párrafo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0EABDE38"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7278BEB7" w14:textId="77777777" w:rsidR="002F3380" w:rsidRPr="00971C77" w:rsidRDefault="006219FF">
      <w:pPr>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14:paraId="1D397169" w14:textId="77777777" w:rsidR="002F3380" w:rsidRPr="00971C77" w:rsidRDefault="002F3380">
      <w:pPr>
        <w:spacing w:line="360" w:lineRule="auto"/>
        <w:ind w:right="49"/>
        <w:jc w:val="both"/>
        <w:rPr>
          <w:rFonts w:ascii="Palatino Linotype" w:eastAsia="Palatino Linotype" w:hAnsi="Palatino Linotype" w:cs="Palatino Linotype"/>
          <w:sz w:val="22"/>
          <w:szCs w:val="22"/>
        </w:rPr>
      </w:pPr>
    </w:p>
    <w:p w14:paraId="3FC09798"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14:paraId="5A8482E0"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289DB15B"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 xml:space="preserve">Artículo 3. </w:t>
      </w:r>
      <w:r w:rsidRPr="00971C77">
        <w:rPr>
          <w:rFonts w:ascii="Palatino Linotype" w:eastAsia="Palatino Linotype" w:hAnsi="Palatino Linotype" w:cs="Palatino Linotype"/>
          <w:i/>
          <w:iCs/>
          <w:sz w:val="22"/>
          <w:szCs w:val="22"/>
        </w:rPr>
        <w:t>Para los efectos de la presente Ley se entenderá por:</w:t>
      </w:r>
    </w:p>
    <w:p w14:paraId="44A9ABB4"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3C2CE258"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XI. Documento:</w:t>
      </w:r>
      <w:r w:rsidRPr="00971C77">
        <w:rPr>
          <w:rFonts w:ascii="Palatino Linotype" w:eastAsia="Palatino Linotype" w:hAnsi="Palatino Linotype" w:cs="Palatino Linotype"/>
          <w:i/>
          <w:iCs/>
          <w:sz w:val="22"/>
          <w:szCs w:val="22"/>
        </w:rPr>
        <w:t xml:space="preserve"> Los expedientes, reportes, estudios, actas</w:t>
      </w:r>
      <w:r w:rsidRPr="00971C77">
        <w:rPr>
          <w:rFonts w:ascii="Palatino Linotype" w:eastAsia="Palatino Linotype" w:hAnsi="Palatino Linotype" w:cs="Palatino Linotype"/>
          <w:b/>
          <w:bCs/>
          <w:i/>
          <w:iCs/>
          <w:sz w:val="22"/>
          <w:szCs w:val="22"/>
        </w:rPr>
        <w:t>,</w:t>
      </w:r>
      <w:r w:rsidRPr="00971C77">
        <w:rPr>
          <w:rFonts w:ascii="Palatino Linotype" w:eastAsia="Palatino Linotype" w:hAnsi="Palatino Linotype" w:cs="Palatino Linotype"/>
          <w:i/>
          <w:iCs/>
          <w:sz w:val="22"/>
          <w:szCs w:val="22"/>
        </w:rPr>
        <w:t xml:space="preserve">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w:t>
      </w:r>
    </w:p>
    <w:p w14:paraId="20F42E86" w14:textId="77777777" w:rsidR="002F3380" w:rsidRPr="00971C77" w:rsidRDefault="002F3380">
      <w:pPr>
        <w:spacing w:line="360" w:lineRule="auto"/>
        <w:ind w:left="851" w:right="899"/>
        <w:jc w:val="both"/>
        <w:rPr>
          <w:rFonts w:ascii="Palatino Linotype" w:eastAsia="Palatino Linotype" w:hAnsi="Palatino Linotype" w:cs="Palatino Linotype"/>
          <w:sz w:val="22"/>
          <w:szCs w:val="22"/>
        </w:rPr>
      </w:pPr>
    </w:p>
    <w:p w14:paraId="52A99B60"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refieren lo siguiente:</w:t>
      </w:r>
    </w:p>
    <w:p w14:paraId="4FBAA3C4"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462973A3" w14:textId="77777777" w:rsidR="002F3380" w:rsidRPr="00971C77" w:rsidRDefault="006219FF">
      <w:pPr>
        <w:spacing w:line="276" w:lineRule="auto"/>
        <w:ind w:left="851" w:right="843"/>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sz w:val="22"/>
          <w:szCs w:val="22"/>
        </w:rPr>
        <w:t>“</w:t>
      </w:r>
      <w:r w:rsidRPr="00971C77">
        <w:rPr>
          <w:rFonts w:ascii="Palatino Linotype" w:eastAsia="Palatino Linotype" w:hAnsi="Palatino Linotype" w:cs="Palatino Linotype"/>
          <w:b/>
          <w:bCs/>
          <w:i/>
          <w:iCs/>
          <w:sz w:val="22"/>
          <w:szCs w:val="22"/>
        </w:rPr>
        <w:t>CRITERIO 0002-11. INFORMACIÓN PÚBLICA, CONCEPTO DE, EN MATERIA DE TRANSPARENCIA. INTERPRETACIÓN SISTEMÁTICA DE LOS ARTÍCULOS 2°, FRACCIÓN V, XV, Y XVI, 3°, 4°, 11 Y 41.</w:t>
      </w:r>
      <w:r w:rsidRPr="00971C77">
        <w:rPr>
          <w:rFonts w:ascii="Palatino Linotype" w:eastAsia="Palatino Linotype" w:hAnsi="Palatino Linotype" w:cs="Palatino Linotype"/>
          <w:i/>
          <w:iCs/>
          <w:sz w:val="22"/>
          <w:szCs w:val="22"/>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3F462176"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En consecuencia el acceso a la información se refiere a que se cumplan cualquiera de los siguientes tres supuestos:</w:t>
      </w:r>
    </w:p>
    <w:p w14:paraId="007E7F44" w14:textId="77777777" w:rsidR="002F3380" w:rsidRPr="00971C77" w:rsidRDefault="006219FF">
      <w:pPr>
        <w:spacing w:line="276" w:lineRule="auto"/>
        <w:ind w:left="851" w:right="843"/>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1) Que se trate de información registrada en cualquier soporte documental, que en ejercicio de las atribuciones conferidas, sea generada por los Sujetos Obligados;</w:t>
      </w:r>
    </w:p>
    <w:p w14:paraId="0FE50D8D" w14:textId="77777777" w:rsidR="002F3380" w:rsidRPr="00971C77" w:rsidRDefault="006219FF">
      <w:pPr>
        <w:spacing w:line="276" w:lineRule="auto"/>
        <w:ind w:left="851" w:right="843"/>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2) Que se trate de información registrada en cualquier soporte documental, que en ejercicio de las atribuciones conferidas, sea administrada por los Sujetos Obligados, y</w:t>
      </w:r>
    </w:p>
    <w:p w14:paraId="61459664" w14:textId="77777777" w:rsidR="002F3380" w:rsidRPr="00971C77" w:rsidRDefault="006219FF">
      <w:pPr>
        <w:spacing w:line="276" w:lineRule="auto"/>
        <w:ind w:left="851" w:right="843"/>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 xml:space="preserve">3) Que se trate de información registrada en cualquier soporte documental, que en ejercicio de las atribuciones conferidas, se encuentre en posesión de los Sujetos Obligados.” </w:t>
      </w:r>
    </w:p>
    <w:p w14:paraId="45A75A33" w14:textId="77777777" w:rsidR="002F3380" w:rsidRPr="00971C77" w:rsidRDefault="002F3380">
      <w:pPr>
        <w:spacing w:line="276" w:lineRule="auto"/>
        <w:ind w:left="567" w:right="616"/>
        <w:jc w:val="both"/>
        <w:rPr>
          <w:rFonts w:ascii="Palatino Linotype" w:eastAsia="Palatino Linotype" w:hAnsi="Palatino Linotype" w:cs="Palatino Linotype"/>
          <w:b/>
          <w:bCs/>
          <w:i/>
          <w:iCs/>
          <w:sz w:val="22"/>
          <w:szCs w:val="22"/>
        </w:rPr>
      </w:pPr>
    </w:p>
    <w:p w14:paraId="403C2CD8"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De ahí que 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cuenta con el deber de satisfacer las solicitudes de acceso a la información que le sean formuladas y entregar la información pública que obre en sus archivos pudiendo ser de manera electrónica; más aún si la misma se trata de información relativa a obligaciones de transparencia, la cual se relaciona con aquella que se genere de acuerdo con sus facultades, atribuciones y obligaciones señaladas por la Ley en la materia</w:t>
      </w:r>
      <w:r w:rsidRPr="00971C77">
        <w:rPr>
          <w:rFonts w:ascii="Palatino Linotype" w:eastAsia="Palatino Linotype" w:hAnsi="Palatino Linotype" w:cs="Palatino Linotype"/>
          <w:sz w:val="22"/>
          <w:szCs w:val="22"/>
          <w:vertAlign w:val="superscript"/>
        </w:rPr>
        <w:footnoteReference w:id="1"/>
      </w:r>
      <w:r w:rsidRPr="00971C77">
        <w:rPr>
          <w:rFonts w:ascii="Palatino Linotype" w:eastAsia="Palatino Linotype" w:hAnsi="Palatino Linotype" w:cs="Palatino Linotype"/>
          <w:sz w:val="22"/>
          <w:szCs w:val="22"/>
        </w:rPr>
        <w:t>, así como de interés público, es decir, aquella que resulta relevante o beneficiosa para la sociedad y no simplemente de interés individual, y cuya divulgación resulta útil para que el público comprenda las actividades que llevan a cabo los Sujetos Obligados</w:t>
      </w:r>
      <w:r w:rsidRPr="00971C77">
        <w:rPr>
          <w:rFonts w:ascii="Palatino Linotype" w:eastAsia="Palatino Linotype" w:hAnsi="Palatino Linotype" w:cs="Palatino Linotype"/>
          <w:sz w:val="22"/>
          <w:szCs w:val="22"/>
          <w:vertAlign w:val="superscript"/>
        </w:rPr>
        <w:footnoteReference w:id="2"/>
      </w:r>
      <w:r w:rsidRPr="00971C77">
        <w:rPr>
          <w:rFonts w:ascii="Palatino Linotype" w:eastAsia="Palatino Linotype" w:hAnsi="Palatino Linotype" w:cs="Palatino Linotype"/>
          <w:sz w:val="22"/>
          <w:szCs w:val="22"/>
        </w:rPr>
        <w:t>, como pudiera tratarse de aquella relacionada con las obligaciones de transparencia señaladas en los artículos 92 y 100 de la Ley de la Materia.</w:t>
      </w:r>
    </w:p>
    <w:p w14:paraId="5F913DE6" w14:textId="77777777" w:rsidR="002F3380" w:rsidRPr="00971C77" w:rsidRDefault="002F338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62007BD1" w14:textId="77777777" w:rsidR="002F3380" w:rsidRPr="00971C77" w:rsidRDefault="006219F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Dicho lo anterior, en el caso se analizará el agravio hecho valer por la parte </w:t>
      </w:r>
      <w:r w:rsidRPr="00971C77">
        <w:rPr>
          <w:rFonts w:ascii="Palatino Linotype" w:eastAsia="Palatino Linotype" w:hAnsi="Palatino Linotype" w:cs="Palatino Linotype"/>
          <w:b/>
          <w:bCs/>
          <w:sz w:val="22"/>
          <w:szCs w:val="22"/>
        </w:rPr>
        <w:t>Recurrente</w:t>
      </w:r>
      <w:r w:rsidRPr="00971C77">
        <w:rPr>
          <w:rFonts w:ascii="Palatino Linotype" w:eastAsia="Palatino Linotype" w:hAnsi="Palatino Linotype" w:cs="Palatino Linotype"/>
          <w:sz w:val="22"/>
          <w:szCs w:val="22"/>
        </w:rPr>
        <w:t xml:space="preserve"> que actualiza la causal de procedencia prevista en la fracción I del artículo 179 de la Ley de Transparencia y Acceso a la Información del Estado de México y Municipios, relativa a </w:t>
      </w:r>
      <w:r w:rsidRPr="00971C77">
        <w:rPr>
          <w:rFonts w:ascii="Palatino Linotype" w:eastAsia="Palatino Linotype" w:hAnsi="Palatino Linotype" w:cs="Palatino Linotype"/>
          <w:b/>
          <w:bCs/>
          <w:sz w:val="22"/>
          <w:szCs w:val="22"/>
          <w:u w:val="single"/>
        </w:rPr>
        <w:t>la negativa a la información solicitada.</w:t>
      </w:r>
    </w:p>
    <w:p w14:paraId="479AE3E8" w14:textId="77777777" w:rsidR="002F3380" w:rsidRPr="00971C77" w:rsidRDefault="002F338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C26131A" w14:textId="77777777" w:rsidR="002F3380" w:rsidRPr="00971C77" w:rsidRDefault="006219F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Para ello, conviene iniciar el presente estudio señalando que la persona solicitante requirió del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medularmente lo siguiente:</w:t>
      </w:r>
    </w:p>
    <w:p w14:paraId="7BB77B6C" w14:textId="77777777" w:rsidR="002F3380" w:rsidRPr="00971C77" w:rsidRDefault="002F338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4906DA2A" w14:textId="77777777" w:rsidR="002F3380" w:rsidRPr="00971C77" w:rsidRDefault="006219FF">
      <w:pPr>
        <w:numPr>
          <w:ilvl w:val="0"/>
          <w:numId w:val="1"/>
        </w:numPr>
        <w:pBdr>
          <w:top w:val="nil"/>
          <w:left w:val="nil"/>
          <w:bottom w:val="nil"/>
          <w:right w:val="nil"/>
          <w:between w:val="nil"/>
        </w:pBdr>
        <w:spacing w:line="360" w:lineRule="auto"/>
        <w:ind w:right="-150"/>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b/>
          <w:bCs/>
          <w:sz w:val="22"/>
          <w:szCs w:val="22"/>
        </w:rPr>
        <w:t>La versión estenográfica escrita y videograbada de la Vigésima Quinta Sesión Ordinaria de Cabildo celebrada el 15 de octubre de 2024.</w:t>
      </w:r>
    </w:p>
    <w:p w14:paraId="26EC67E2" w14:textId="77777777" w:rsidR="002F3380" w:rsidRPr="00971C77" w:rsidRDefault="002F338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65A0EC9" w14:textId="77777777" w:rsidR="002F3380" w:rsidRPr="00971C77" w:rsidRDefault="006219F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Lo anterior lo requiere el particular, en razón de que refiere que no se encuentra disponible en la página del ente obligado.</w:t>
      </w:r>
    </w:p>
    <w:p w14:paraId="57F60C03" w14:textId="77777777" w:rsidR="002F3380" w:rsidRPr="00971C77" w:rsidRDefault="002F338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1537A483" w14:textId="77777777" w:rsidR="002F3380" w:rsidRPr="00971C77" w:rsidRDefault="006219F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bookmarkStart w:id="8" w:name="_heading=h.1y810tw" w:colFirst="0" w:colLast="0"/>
      <w:bookmarkEnd w:id="8"/>
      <w:r w:rsidRPr="00971C77">
        <w:rPr>
          <w:rFonts w:ascii="Palatino Linotype" w:eastAsia="Palatino Linotype" w:hAnsi="Palatino Linotype" w:cs="Palatino Linotype"/>
          <w:sz w:val="22"/>
          <w:szCs w:val="22"/>
        </w:rPr>
        <w:t xml:space="preserve">En respuesta </w:t>
      </w:r>
      <w:r w:rsidRPr="00971C77">
        <w:rPr>
          <w:rFonts w:ascii="Palatino Linotype" w:eastAsia="Palatino Linotype" w:hAnsi="Palatino Linotype" w:cs="Palatino Linotype"/>
          <w:b/>
          <w:bCs/>
          <w:sz w:val="22"/>
          <w:szCs w:val="22"/>
        </w:rPr>
        <w:t xml:space="preserve">el Sujeto Obligado </w:t>
      </w:r>
      <w:r w:rsidRPr="00971C77">
        <w:rPr>
          <w:rFonts w:ascii="Palatino Linotype" w:eastAsia="Palatino Linotype" w:hAnsi="Palatino Linotype" w:cs="Palatino Linotype"/>
          <w:sz w:val="22"/>
          <w:szCs w:val="22"/>
        </w:rPr>
        <w:t>se pronunció por conducto del Titular de la Unidad de Transparencia, quien refirió que la solicitud fue turnada a la Secretaría del Ayuntamiento sin que esta última emitiera la respuesta correspondiente; adjuntando el oficio de turno a dicha área.</w:t>
      </w:r>
    </w:p>
    <w:p w14:paraId="12AEEBC4" w14:textId="77777777" w:rsidR="002F3380" w:rsidRPr="00971C77" w:rsidRDefault="002F3380">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p>
    <w:p w14:paraId="5B977E31" w14:textId="77777777" w:rsidR="002F3380" w:rsidRPr="00971C77" w:rsidRDefault="006219FF">
      <w:pPr>
        <w:spacing w:line="360" w:lineRule="auto"/>
        <w:ind w:right="49"/>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sz w:val="22"/>
          <w:szCs w:val="22"/>
        </w:rPr>
        <w:t xml:space="preserve">Inconforme con la respuesta, la parte </w:t>
      </w:r>
      <w:r w:rsidRPr="00971C77">
        <w:rPr>
          <w:rFonts w:ascii="Palatino Linotype" w:eastAsia="Palatino Linotype" w:hAnsi="Palatino Linotype" w:cs="Palatino Linotype"/>
          <w:b/>
          <w:bCs/>
          <w:sz w:val="22"/>
          <w:szCs w:val="22"/>
        </w:rPr>
        <w:t xml:space="preserve">Recurrente </w:t>
      </w:r>
      <w:r w:rsidRPr="00971C77">
        <w:rPr>
          <w:rFonts w:ascii="Palatino Linotype" w:eastAsia="Palatino Linotype" w:hAnsi="Palatino Linotype" w:cs="Palatino Linotype"/>
          <w:sz w:val="22"/>
          <w:szCs w:val="22"/>
        </w:rPr>
        <w:t xml:space="preserve">promovió el presente recurso de revisión en el que a manera de motivos de inconformidad </w:t>
      </w:r>
      <w:r w:rsidRPr="00971C77">
        <w:rPr>
          <w:rFonts w:ascii="Palatino Linotype" w:eastAsia="Palatino Linotype" w:hAnsi="Palatino Linotype" w:cs="Palatino Linotype"/>
          <w:b/>
          <w:bCs/>
          <w:sz w:val="22"/>
          <w:szCs w:val="22"/>
        </w:rPr>
        <w:t>se adolece medularmente de la negativa a la entrega de la información requerida.</w:t>
      </w:r>
    </w:p>
    <w:p w14:paraId="5DD0FC49" w14:textId="77777777" w:rsidR="002F3380" w:rsidRPr="00971C77" w:rsidRDefault="002F3380">
      <w:pPr>
        <w:spacing w:line="360" w:lineRule="auto"/>
        <w:ind w:right="49"/>
        <w:jc w:val="both"/>
        <w:rPr>
          <w:rFonts w:ascii="Palatino Linotype" w:eastAsia="Palatino Linotype" w:hAnsi="Palatino Linotype" w:cs="Palatino Linotype"/>
          <w:sz w:val="22"/>
          <w:szCs w:val="22"/>
        </w:rPr>
      </w:pPr>
    </w:p>
    <w:p w14:paraId="356B583C"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Admitido el presente recurso de revisión, en términos del artículo 185 fracción II</w:t>
      </w:r>
      <w:r w:rsidRPr="00971C77">
        <w:rPr>
          <w:rFonts w:ascii="Palatino Linotype" w:eastAsia="Palatino Linotype" w:hAnsi="Palatino Linotype" w:cs="Palatino Linotype"/>
          <w:sz w:val="22"/>
          <w:szCs w:val="22"/>
          <w:vertAlign w:val="superscript"/>
        </w:rPr>
        <w:footnoteReference w:id="3"/>
      </w:r>
      <w:r w:rsidRPr="00971C77">
        <w:rPr>
          <w:rFonts w:ascii="Palatino Linotype" w:eastAsia="Palatino Linotype" w:hAnsi="Palatino Linotype" w:cs="Palatino Linotype"/>
          <w:sz w:val="22"/>
          <w:szCs w:val="22"/>
        </w:rPr>
        <w:t xml:space="preserve"> de la Ley de Transparencia y Acceso a la Información Pública del Estado de México y Municipios, se integró el expediente y se puso a disposición de las partes para que, en un plazo máximo de siete días hábiles, manifestaran lo que a su derecho resultara conveniente.</w:t>
      </w:r>
    </w:p>
    <w:p w14:paraId="7224B5DC"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5619E61"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De las constancias que integran el expediente en que se actúa se advierte que las partes fueron omisas en realizar manifestaciones.</w:t>
      </w:r>
    </w:p>
    <w:p w14:paraId="0D05A09F"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2BEF9BC6"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Expuestas las posturas de las partes, atendiendo la naturaleza de la información requerida, conviene traer a contexto el contenido del artículo 30 de la Ley Orgánica Municipal del Estado de México, que dispone lo siguiente:</w:t>
      </w:r>
    </w:p>
    <w:p w14:paraId="2237D49F"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2E49B7F" w14:textId="77777777" w:rsidR="002F3380" w:rsidRPr="00971C77" w:rsidRDefault="006219FF">
      <w:pPr>
        <w:pBdr>
          <w:top w:val="nil"/>
          <w:left w:val="nil"/>
          <w:bottom w:val="nil"/>
          <w:right w:val="nil"/>
          <w:between w:val="nil"/>
        </w:pBdr>
        <w:ind w:left="567" w:right="900"/>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“Artículo 30. Las sesiones del ayuntamiento serán presididas por el presidente municipal o por quien lo sustituya legalmente; constarán en un libro que deberá contener las actas en las cuales deberán asentarse los extractos de los acuerdos y asuntos tratados y el resultado de la votación. Cuando se refieran a reglamentos y otras normas de carácter general que sean de observancia municipal estos constarán íntegramente en el libro de actas debiendo firmar en ambos casos los miembros del Ayuntamiento que hayan estado presentes, debiéndose difundir en el Gaceta Municipal y en los estrados de la Secretaría del Ayuntamiento. De las actas, se les entregará copia certificada en formato físico o electrónico a los integrantes del Ayuntamiento que lo soliciten en un plazo no mayor de ocho días hábiles. Los documentos electrónicos en el que consten las firmas electrónicas avanzadas o el sello electrónico de los integrantes del Ayuntamiento tendrá el carácter de copia certificada. </w:t>
      </w:r>
    </w:p>
    <w:p w14:paraId="272E38C5" w14:textId="77777777" w:rsidR="002F3380" w:rsidRPr="00971C77" w:rsidRDefault="002F3380">
      <w:pPr>
        <w:pBdr>
          <w:top w:val="nil"/>
          <w:left w:val="nil"/>
          <w:bottom w:val="nil"/>
          <w:right w:val="nil"/>
          <w:between w:val="nil"/>
        </w:pBdr>
        <w:ind w:left="567" w:right="900"/>
        <w:jc w:val="both"/>
        <w:rPr>
          <w:rFonts w:ascii="Palatino Linotype" w:eastAsia="Palatino Linotype" w:hAnsi="Palatino Linotype" w:cs="Palatino Linotype"/>
          <w:i/>
          <w:iCs/>
          <w:sz w:val="22"/>
          <w:szCs w:val="22"/>
        </w:rPr>
      </w:pPr>
    </w:p>
    <w:p w14:paraId="3344AB0B" w14:textId="77777777" w:rsidR="002F3380" w:rsidRPr="00971C77" w:rsidRDefault="006219FF">
      <w:pPr>
        <w:pBdr>
          <w:top w:val="nil"/>
          <w:left w:val="nil"/>
          <w:bottom w:val="nil"/>
          <w:right w:val="nil"/>
          <w:between w:val="nil"/>
        </w:pBdr>
        <w:ind w:left="567" w:right="900"/>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Todos los acuerdos de las sesiones que no contengan información clasificada y el resultado de su votación, serán difundidos cada mes en la Gaceta Municipal y en los estrados de la Secretaría del Ayuntamiento, así como los datos de identificación de las actas que contengan información clasificada, incluyendo en cada caso, el fundamento legal que clasifica la información. </w:t>
      </w:r>
    </w:p>
    <w:p w14:paraId="6C6297CA" w14:textId="77777777" w:rsidR="002F3380" w:rsidRPr="00971C77" w:rsidRDefault="002F3380">
      <w:pPr>
        <w:pBdr>
          <w:top w:val="nil"/>
          <w:left w:val="nil"/>
          <w:bottom w:val="nil"/>
          <w:right w:val="nil"/>
          <w:between w:val="nil"/>
        </w:pBdr>
        <w:ind w:left="567" w:right="900"/>
        <w:jc w:val="both"/>
        <w:rPr>
          <w:rFonts w:ascii="Palatino Linotype" w:eastAsia="Palatino Linotype" w:hAnsi="Palatino Linotype" w:cs="Palatino Linotype"/>
          <w:i/>
          <w:iCs/>
          <w:sz w:val="22"/>
          <w:szCs w:val="22"/>
        </w:rPr>
      </w:pPr>
    </w:p>
    <w:p w14:paraId="1D661593" w14:textId="77777777" w:rsidR="002F3380" w:rsidRPr="00971C77" w:rsidRDefault="006219FF">
      <w:pPr>
        <w:pBdr>
          <w:top w:val="nil"/>
          <w:left w:val="nil"/>
          <w:bottom w:val="nil"/>
          <w:right w:val="nil"/>
          <w:between w:val="nil"/>
        </w:pBdr>
        <w:ind w:left="567" w:right="900"/>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 xml:space="preserve">Para cada sesión se deberá contar con una </w:t>
      </w:r>
      <w:r w:rsidRPr="00971C77">
        <w:rPr>
          <w:rFonts w:ascii="Palatino Linotype" w:eastAsia="Palatino Linotype" w:hAnsi="Palatino Linotype" w:cs="Palatino Linotype"/>
          <w:b/>
          <w:bCs/>
          <w:i/>
          <w:iCs/>
          <w:sz w:val="22"/>
          <w:szCs w:val="22"/>
          <w:u w:val="single"/>
        </w:rPr>
        <w:t>versión estenográfica o videograbada</w:t>
      </w:r>
      <w:r w:rsidRPr="00971C77">
        <w:rPr>
          <w:rFonts w:ascii="Palatino Linotype" w:eastAsia="Palatino Linotype" w:hAnsi="Palatino Linotype" w:cs="Palatino Linotype"/>
          <w:b/>
          <w:bCs/>
          <w:i/>
          <w:iCs/>
          <w:sz w:val="22"/>
          <w:szCs w:val="22"/>
        </w:rPr>
        <w:t xml:space="preserve"> que permita hacer las aclaraciones pertinentes, la cual formará parte del acta correspondiente. La versión estenográfica o videograbada deberá estar disponible en la página de internet del Ayuntamiento y en las oficinas de la Secretaría del Ayuntamiento.</w:t>
      </w:r>
      <w:r w:rsidRPr="00971C77">
        <w:rPr>
          <w:rFonts w:ascii="Palatino Linotype" w:eastAsia="Palatino Linotype" w:hAnsi="Palatino Linotype" w:cs="Palatino Linotype"/>
          <w:i/>
          <w:iCs/>
          <w:sz w:val="22"/>
          <w:szCs w:val="22"/>
        </w:rPr>
        <w:t>”</w:t>
      </w:r>
    </w:p>
    <w:p w14:paraId="70565F2C" w14:textId="77777777" w:rsidR="002F3380" w:rsidRPr="00971C77" w:rsidRDefault="002F3380">
      <w:pPr>
        <w:pBdr>
          <w:top w:val="nil"/>
          <w:left w:val="nil"/>
          <w:bottom w:val="nil"/>
          <w:right w:val="nil"/>
          <w:between w:val="nil"/>
        </w:pBdr>
        <w:ind w:left="567" w:right="900"/>
        <w:jc w:val="both"/>
        <w:rPr>
          <w:rFonts w:ascii="Palatino Linotype" w:eastAsia="Palatino Linotype" w:hAnsi="Palatino Linotype" w:cs="Palatino Linotype"/>
          <w:i/>
          <w:iCs/>
          <w:sz w:val="22"/>
          <w:szCs w:val="22"/>
        </w:rPr>
      </w:pPr>
    </w:p>
    <w:p w14:paraId="3C8E12B8" w14:textId="77777777" w:rsidR="002F3380" w:rsidRPr="00971C77" w:rsidRDefault="006219FF">
      <w:pPr>
        <w:pBdr>
          <w:top w:val="nil"/>
          <w:left w:val="nil"/>
          <w:bottom w:val="nil"/>
          <w:right w:val="nil"/>
          <w:between w:val="nil"/>
        </w:pBdr>
        <w:ind w:left="567" w:right="900"/>
        <w:jc w:val="right"/>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(Énfasis añadido)</w:t>
      </w:r>
    </w:p>
    <w:p w14:paraId="317100E0"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573B57A8"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Como se desprende del numeral anterior, para cada sesión de cabildo se deberá contar con una versión estenográfica o videograbada que permita hacer las aclaraciones pertinentes, la cual formará parte del acta correspondiente, aunado a que la versión estenográfica o videograbada deberá estar disponible en la página de internet del Ayuntamiento y en las oficinas de la Secretaría del Ayuntamiento.</w:t>
      </w:r>
    </w:p>
    <w:p w14:paraId="1A9EB069"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54E26098"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De esta manera, de conformidad con el último párrafo del artículo 30 de la Ley Orgánica Municipal del Estado de México, se advierte fuente obligacional para que 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por conducto de la Secretaría del Ayuntamiento resguarde en sus oficinas cualquiera de las dos versiones (estenográfica o videograbada) de las sesiones de cabildo; ello, para efecto de poder realizar las aclaraciones pertinentes que en su caso se requieran.</w:t>
      </w:r>
    </w:p>
    <w:p w14:paraId="0BA086C1"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285E644B"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Además, debe agregarse que la información requerida forma parte de las obligaciones de transparencia específicas a las que se encuentran constreñidas a cumplir el </w:t>
      </w:r>
      <w:r w:rsidRPr="00971C77">
        <w:rPr>
          <w:rFonts w:ascii="Palatino Linotype" w:eastAsia="Palatino Linotype" w:hAnsi="Palatino Linotype" w:cs="Palatino Linotype"/>
          <w:b/>
          <w:bCs/>
          <w:sz w:val="22"/>
          <w:szCs w:val="22"/>
        </w:rPr>
        <w:t xml:space="preserve">Sujeto Obligado, relativa a las actas de sesiones de cabildo, </w:t>
      </w:r>
      <w:r w:rsidRPr="00971C77">
        <w:rPr>
          <w:rFonts w:ascii="Palatino Linotype" w:eastAsia="Palatino Linotype" w:hAnsi="Palatino Linotype" w:cs="Palatino Linotype"/>
          <w:sz w:val="22"/>
          <w:szCs w:val="22"/>
        </w:rPr>
        <w:t>de conformidad con el artículo 94, fracción II, inciso b) de la Ley de Transparencia Local, a saber:</w:t>
      </w:r>
    </w:p>
    <w:p w14:paraId="483A6457" w14:textId="77777777" w:rsidR="002F3380" w:rsidRPr="00971C77" w:rsidRDefault="002F3380">
      <w:pPr>
        <w:ind w:left="567" w:right="616"/>
        <w:jc w:val="both"/>
        <w:rPr>
          <w:rFonts w:ascii="Palatino Linotype" w:eastAsia="Palatino Linotype" w:hAnsi="Palatino Linotype" w:cs="Palatino Linotype"/>
          <w:i/>
          <w:iCs/>
          <w:sz w:val="22"/>
          <w:szCs w:val="22"/>
        </w:rPr>
      </w:pPr>
    </w:p>
    <w:p w14:paraId="0328484F" w14:textId="77777777" w:rsidR="002F3380" w:rsidRPr="00971C77" w:rsidRDefault="006219FF">
      <w:pPr>
        <w:ind w:left="567"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“Artículo 94. Además de las obligaciones de transparencia común a que se refiere el Capítulo II de este Título, los sujetos obligados del Poder Ejecutivo Local y municipales, deberán poner a disposición del público y actualizar la siguiente información:</w:t>
      </w:r>
    </w:p>
    <w:p w14:paraId="3B6AA4FD" w14:textId="77777777" w:rsidR="002F3380" w:rsidRPr="00971C77" w:rsidRDefault="006219FF">
      <w:pPr>
        <w:ind w:left="567"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054850C9" w14:textId="77777777" w:rsidR="002F3380" w:rsidRPr="00971C77" w:rsidRDefault="006219FF">
      <w:pPr>
        <w:ind w:left="567"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II. Adicionalmente en el caso de los municipios:</w:t>
      </w:r>
    </w:p>
    <w:p w14:paraId="424FF574" w14:textId="77777777" w:rsidR="002F3380" w:rsidRPr="00971C77" w:rsidRDefault="006219FF">
      <w:pPr>
        <w:ind w:left="567"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10883318" w14:textId="77777777" w:rsidR="002F3380" w:rsidRPr="00971C77" w:rsidRDefault="006219FF">
      <w:pPr>
        <w:ind w:left="567"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b) </w:t>
      </w:r>
      <w:r w:rsidRPr="00971C77">
        <w:rPr>
          <w:rFonts w:ascii="Palatino Linotype" w:eastAsia="Palatino Linotype" w:hAnsi="Palatino Linotype" w:cs="Palatino Linotype"/>
          <w:b/>
          <w:bCs/>
          <w:i/>
          <w:iCs/>
          <w:sz w:val="22"/>
          <w:szCs w:val="22"/>
        </w:rPr>
        <w:t>Las actas de sesiones de cabildo</w:t>
      </w:r>
      <w:r w:rsidRPr="00971C77">
        <w:rPr>
          <w:rFonts w:ascii="Palatino Linotype" w:eastAsia="Palatino Linotype" w:hAnsi="Palatino Linotype" w:cs="Palatino Linotype"/>
          <w:i/>
          <w:iCs/>
          <w:sz w:val="22"/>
          <w:szCs w:val="22"/>
        </w:rPr>
        <w:t>, los controles de asistencia de los integrantes del Ayuntamiento a las sesiones de cabildo y el sentido de votación de los miembros del cabildo sobre las iniciativas o acuerdos;”</w:t>
      </w:r>
    </w:p>
    <w:p w14:paraId="541CCBED"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6FC82361"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Consecuentemente, conforme el artículo 91 fracciones I y IV de la Ley Orgánica Municipal del Estado de México, la </w:t>
      </w:r>
      <w:r w:rsidRPr="00971C77">
        <w:rPr>
          <w:rFonts w:ascii="Palatino Linotype" w:eastAsia="Palatino Linotype" w:hAnsi="Palatino Linotype" w:cs="Palatino Linotype"/>
          <w:b/>
          <w:bCs/>
          <w:sz w:val="22"/>
          <w:szCs w:val="22"/>
        </w:rPr>
        <w:t>Secretaría del Ayuntamiento</w:t>
      </w:r>
      <w:r w:rsidRPr="00971C77">
        <w:rPr>
          <w:rFonts w:ascii="Palatino Linotype" w:eastAsia="Palatino Linotype" w:hAnsi="Palatino Linotype" w:cs="Palatino Linotype"/>
          <w:sz w:val="22"/>
          <w:szCs w:val="22"/>
        </w:rPr>
        <w:t xml:space="preserve"> se presume como la unidad administrativa competente para conocer de lo solicitado, en razón de tener dentro de sus atribuciones las siguientes:</w:t>
      </w:r>
    </w:p>
    <w:p w14:paraId="6C0229BC"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2A0807E9" w14:textId="77777777" w:rsidR="002F3380" w:rsidRPr="00971C77" w:rsidRDefault="006219FF">
      <w:pPr>
        <w:spacing w:line="276" w:lineRule="auto"/>
        <w:ind w:left="567"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“Artículo 91.- La Secretaría del Ayuntamiento estará a cargo de un Secretario, el que, sin ser miembro del mismo, deberá ser nombrado por el propio Ayuntamiento a propuesta del Presidente Municipal como lo marca el artículo 31 de la presente ley. Sus faltas temporales serán cubiertas por quien designe el Ayuntamiento y sus atribuciones son las siguientes: </w:t>
      </w:r>
    </w:p>
    <w:p w14:paraId="11243DCE" w14:textId="77777777" w:rsidR="002F3380" w:rsidRPr="00971C77" w:rsidRDefault="006219FF">
      <w:pPr>
        <w:spacing w:line="276" w:lineRule="auto"/>
        <w:ind w:left="567" w:right="616"/>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I. Asistir a las sesiones del ayuntamiento y levantar las actas correspondientes;</w:t>
      </w:r>
    </w:p>
    <w:p w14:paraId="3663B83E" w14:textId="77777777" w:rsidR="002F3380" w:rsidRPr="00971C77" w:rsidRDefault="006219FF">
      <w:pPr>
        <w:spacing w:line="276" w:lineRule="auto"/>
        <w:ind w:left="567" w:right="616"/>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w:t>
      </w:r>
    </w:p>
    <w:p w14:paraId="2A9FE30A" w14:textId="77777777" w:rsidR="002F3380" w:rsidRPr="00971C77" w:rsidRDefault="006219FF">
      <w:pPr>
        <w:spacing w:line="276" w:lineRule="auto"/>
        <w:ind w:left="567" w:right="616"/>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IV. Llevar y conservar los libros de actas de cabildo, obteniendo las firmas de los asistentes a las sesiones;”</w:t>
      </w:r>
    </w:p>
    <w:p w14:paraId="52D5B92B" w14:textId="77777777" w:rsidR="002F3380" w:rsidRPr="00971C77" w:rsidRDefault="002F3380">
      <w:pPr>
        <w:spacing w:line="276" w:lineRule="auto"/>
        <w:ind w:left="567" w:right="616"/>
        <w:jc w:val="both"/>
        <w:rPr>
          <w:rFonts w:ascii="Palatino Linotype" w:eastAsia="Palatino Linotype" w:hAnsi="Palatino Linotype" w:cs="Palatino Linotype"/>
          <w:b/>
          <w:bCs/>
          <w:i/>
          <w:iCs/>
          <w:sz w:val="22"/>
          <w:szCs w:val="22"/>
        </w:rPr>
      </w:pPr>
    </w:p>
    <w:p w14:paraId="6C2D8BD9" w14:textId="77777777" w:rsidR="002F3380" w:rsidRPr="00971C77" w:rsidRDefault="006219FF">
      <w:pPr>
        <w:spacing w:line="276" w:lineRule="auto"/>
        <w:ind w:left="567" w:right="616"/>
        <w:jc w:val="right"/>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(Énfasis añadido)</w:t>
      </w:r>
    </w:p>
    <w:p w14:paraId="2A5AECE2" w14:textId="77777777" w:rsidR="002F3380" w:rsidRPr="00971C77" w:rsidRDefault="006219FF">
      <w:pPr>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Por tanto, se colige que la Secretaría del Ayuntamiento es la competente para conocer de lo requerido ya que es la encargada de conservar los libros de actas de cabildo y por ende de resguardar la versión estenográfica o videograbada que forma parte de dichas actas.</w:t>
      </w:r>
    </w:p>
    <w:p w14:paraId="7D3E670D" w14:textId="77777777" w:rsidR="002F3380" w:rsidRPr="00971C77" w:rsidRDefault="002F3380">
      <w:pPr>
        <w:spacing w:line="360" w:lineRule="auto"/>
        <w:ind w:right="49"/>
        <w:jc w:val="both"/>
        <w:rPr>
          <w:rFonts w:ascii="Palatino Linotype" w:eastAsia="Palatino Linotype" w:hAnsi="Palatino Linotype" w:cs="Palatino Linotype"/>
          <w:sz w:val="22"/>
          <w:szCs w:val="22"/>
        </w:rPr>
      </w:pPr>
    </w:p>
    <w:p w14:paraId="5E044C77" w14:textId="77777777" w:rsidR="002F3380" w:rsidRPr="00971C77" w:rsidRDefault="006219FF">
      <w:pPr>
        <w:pBdr>
          <w:top w:val="nil"/>
          <w:left w:val="nil"/>
          <w:bottom w:val="nil"/>
          <w:right w:val="nil"/>
          <w:between w:val="nil"/>
        </w:pBdr>
        <w:spacing w:line="360" w:lineRule="auto"/>
        <w:ind w:right="-150"/>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Ahora, en el caso que nos ocupa, se advierte que quien se pronunció en respuesta fue el Titular de la Unidad de Transparencia, quien refirió que la solicitud fue turnada a la Secretaría del Ayuntamiento sin que esta última emitiera la respuesta correspondiente; adjuntando el oficio de turno a dicha área.</w:t>
      </w:r>
    </w:p>
    <w:p w14:paraId="65F65D0D" w14:textId="77777777" w:rsidR="002F3380" w:rsidRPr="00971C77" w:rsidRDefault="002F3380">
      <w:pPr>
        <w:spacing w:line="360" w:lineRule="auto"/>
        <w:ind w:right="49"/>
        <w:jc w:val="both"/>
        <w:rPr>
          <w:rFonts w:ascii="Palatino Linotype" w:eastAsia="Palatino Linotype" w:hAnsi="Palatino Linotype" w:cs="Palatino Linotype"/>
          <w:sz w:val="22"/>
          <w:szCs w:val="22"/>
        </w:rPr>
      </w:pPr>
    </w:p>
    <w:p w14:paraId="375CA42C" w14:textId="77777777" w:rsidR="002F3380" w:rsidRPr="00971C77" w:rsidRDefault="006219FF">
      <w:pPr>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En ese sentido, se tiene que en el caso se cumplió con el procedimiento establecido por el artículo 162 de la Ley de Transparencia y Acceso a la Información Pública del Estado de México y Municipios, ya que la Unidad de Transparencia turnó la solicitud al área que puede conocer de la información requerida de conformidad con la fracción XXXIX del artículo tercero de la legislación local vigente en materia de transparencia: </w:t>
      </w:r>
    </w:p>
    <w:p w14:paraId="78130DC3" w14:textId="77777777" w:rsidR="002F3380" w:rsidRPr="00971C77" w:rsidRDefault="002F3380">
      <w:pPr>
        <w:rPr>
          <w:sz w:val="22"/>
          <w:szCs w:val="22"/>
        </w:rPr>
      </w:pPr>
    </w:p>
    <w:p w14:paraId="0E03F39E" w14:textId="77777777" w:rsidR="002F3380" w:rsidRPr="00971C77" w:rsidRDefault="006219FF">
      <w:pPr>
        <w:pBdr>
          <w:top w:val="nil"/>
          <w:left w:val="nil"/>
          <w:bottom w:val="nil"/>
          <w:right w:val="nil"/>
          <w:between w:val="nil"/>
        </w:pBdr>
        <w:ind w:left="864" w:right="864"/>
        <w:jc w:val="both"/>
        <w:rPr>
          <w:sz w:val="22"/>
          <w:szCs w:val="22"/>
        </w:rPr>
      </w:pPr>
      <w:r w:rsidRPr="00971C77">
        <w:rPr>
          <w:rFonts w:ascii="Palatino Linotype" w:eastAsia="Palatino Linotype" w:hAnsi="Palatino Linotype" w:cs="Palatino Linotype"/>
          <w:i/>
          <w:iCs/>
          <w:sz w:val="22"/>
          <w:szCs w:val="22"/>
        </w:rPr>
        <w:t>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w:t>
      </w:r>
    </w:p>
    <w:p w14:paraId="48A5BEF4" w14:textId="77777777" w:rsidR="002F3380" w:rsidRPr="00971C77" w:rsidRDefault="002F3380">
      <w:pPr>
        <w:rPr>
          <w:sz w:val="22"/>
          <w:szCs w:val="22"/>
        </w:rPr>
      </w:pPr>
    </w:p>
    <w:p w14:paraId="199B6638" w14:textId="77777777" w:rsidR="002F3380" w:rsidRPr="00971C77" w:rsidRDefault="006219FF">
      <w:pPr>
        <w:pBdr>
          <w:top w:val="nil"/>
          <w:left w:val="nil"/>
          <w:bottom w:val="nil"/>
          <w:right w:val="nil"/>
          <w:between w:val="nil"/>
        </w:pBdr>
        <w:shd w:val="clear" w:color="auto" w:fill="FFFFFF"/>
        <w:spacing w:line="360" w:lineRule="auto"/>
        <w:jc w:val="both"/>
        <w:rPr>
          <w:sz w:val="22"/>
          <w:szCs w:val="22"/>
        </w:rPr>
      </w:pPr>
      <w:r w:rsidRPr="00971C77">
        <w:rPr>
          <w:rFonts w:ascii="Palatino Linotype" w:eastAsia="Palatino Linotype" w:hAnsi="Palatino Linotype" w:cs="Palatino Linotype"/>
          <w:sz w:val="22"/>
          <w:szCs w:val="22"/>
        </w:rPr>
        <w:t>En este orden de ideas, se advierte que la Unidad de Transparencia no cumplió con lo expresado en el artículo 162 de la Ley de Transparencia y Acceso a la Información Pública del Estado de México y Municipios, el cual menciona lo siguiente:</w:t>
      </w:r>
    </w:p>
    <w:p w14:paraId="79AD2212" w14:textId="77777777" w:rsidR="002F3380" w:rsidRPr="00971C77" w:rsidRDefault="002F3380">
      <w:pPr>
        <w:rPr>
          <w:sz w:val="22"/>
          <w:szCs w:val="22"/>
        </w:rPr>
      </w:pPr>
    </w:p>
    <w:p w14:paraId="0201016E" w14:textId="77777777" w:rsidR="002F3380" w:rsidRPr="00971C77" w:rsidRDefault="006219FF">
      <w:pPr>
        <w:pBdr>
          <w:top w:val="nil"/>
          <w:left w:val="nil"/>
          <w:bottom w:val="nil"/>
          <w:right w:val="nil"/>
          <w:between w:val="nil"/>
        </w:pBdr>
        <w:ind w:left="864" w:right="864"/>
        <w:jc w:val="both"/>
        <w:rPr>
          <w:sz w:val="22"/>
          <w:szCs w:val="22"/>
        </w:rPr>
      </w:pPr>
      <w:r w:rsidRPr="00971C77">
        <w:rPr>
          <w:rFonts w:ascii="Palatino Linotype" w:eastAsia="Palatino Linotype" w:hAnsi="Palatino Linotype" w:cs="Palatino Linotype"/>
          <w:i/>
          <w:iCs/>
          <w:sz w:val="22"/>
          <w:szCs w:val="22"/>
        </w:rPr>
        <w:t xml:space="preserve">“Artículo 162. Las unidades de transparencia deberán garantizar que las solicitudes </w:t>
      </w:r>
      <w:r w:rsidRPr="00971C77">
        <w:rPr>
          <w:rFonts w:ascii="Palatino Linotype" w:eastAsia="Palatino Linotype" w:hAnsi="Palatino Linotype" w:cs="Palatino Linotype"/>
          <w:b/>
          <w:bCs/>
          <w:i/>
          <w:iCs/>
          <w:sz w:val="22"/>
          <w:szCs w:val="22"/>
        </w:rPr>
        <w:t xml:space="preserve">se turnen a todas las Áreas competentes </w:t>
      </w:r>
      <w:r w:rsidRPr="00971C77">
        <w:rPr>
          <w:rFonts w:ascii="Palatino Linotype" w:eastAsia="Palatino Linotype" w:hAnsi="Palatino Linotype" w:cs="Palatino Linotype"/>
          <w:i/>
          <w:iCs/>
          <w:sz w:val="22"/>
          <w:szCs w:val="22"/>
        </w:rPr>
        <w:t>que cuenten con la información o deban tenerla de acuerdo a sus facultades, competencias y funciones, con el objeto de que realicen una búsqueda exhaustiva y razonable de la información solicitada.”</w:t>
      </w:r>
    </w:p>
    <w:p w14:paraId="7BA09A38"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5B495E90"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No obstante, si bien en el caso se turnó la solicitud de información a la unidad administrativa competente, de las constancias que obran en el expediente aperturado con motivo del medio de impugnación que nos ocupa, no se desprende que el Secretario del Ayuntamiento haya dado respuesta al turno del requerimiento de información.</w:t>
      </w:r>
    </w:p>
    <w:p w14:paraId="28BDB3C6"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0A67744"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De ahí que el incumplimiento al derecho de acceso a la información del particular, deviene de que el servidor público habilitado competente, a quien se le turnó la solicitud, fue omiso en emitir respuesta conforme a sus atribuciones.</w:t>
      </w:r>
    </w:p>
    <w:p w14:paraId="5D3A385A"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D90CDEF"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Por lo que, sirva la presente para exhortar al servidor públicos habilitado de la Secretaría del Ayuntamiento a que en futuras ocasiones, de cumplimiento a las solicitudes de acceso a la información que le son turnadas, a efecto de que la Unidad de Transparencia se encuentre en oportunidad de brindar la respuesta correspondiente en tiempo y forma.</w:t>
      </w:r>
    </w:p>
    <w:p w14:paraId="5738F941"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3FBF0BA1" w14:textId="77777777" w:rsidR="002F3380" w:rsidRPr="00971C77" w:rsidRDefault="006219FF">
      <w:pPr>
        <w:spacing w:line="360" w:lineRule="auto"/>
        <w:ind w:right="34"/>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sz w:val="22"/>
          <w:szCs w:val="22"/>
        </w:rPr>
        <w:t xml:space="preserve">Máxime que en el caso, es de agregar que de la consulta que realizó este Órgano Garante a la página oficial del Ayuntamiento de Tecámac, se localizó la Gaceta Municipal No. 32 del 26 de noviembre de 2024 (consultable en el siguiente enlace: </w:t>
      </w:r>
      <w:hyperlink r:id="rId9">
        <w:r w:rsidRPr="00971C77">
          <w:rPr>
            <w:rFonts w:ascii="Palatino Linotype" w:eastAsia="Palatino Linotype" w:hAnsi="Palatino Linotype" w:cs="Palatino Linotype"/>
            <w:sz w:val="22"/>
            <w:szCs w:val="22"/>
            <w:u w:val="single"/>
          </w:rPr>
          <w:t>https://tecamac.gob.mx/docs/Gacetas2024/GACETA%20No.%2032.pdf</w:t>
        </w:r>
      </w:hyperlink>
      <w:r w:rsidRPr="00971C77">
        <w:rPr>
          <w:rFonts w:ascii="Palatino Linotype" w:eastAsia="Palatino Linotype" w:hAnsi="Palatino Linotype" w:cs="Palatino Linotype"/>
          <w:sz w:val="22"/>
          <w:szCs w:val="22"/>
        </w:rPr>
        <w:t xml:space="preserve">: ), en la se hace referencia a la celebración de la </w:t>
      </w:r>
      <w:r w:rsidRPr="00971C77">
        <w:rPr>
          <w:rFonts w:ascii="Palatino Linotype" w:eastAsia="Palatino Linotype" w:hAnsi="Palatino Linotype" w:cs="Palatino Linotype"/>
          <w:b/>
          <w:bCs/>
          <w:sz w:val="22"/>
          <w:szCs w:val="22"/>
        </w:rPr>
        <w:t>Vigésima Quinta Sesión Ordinaria de Cabildo el 15 de octubre de 2024, como se muestra:</w:t>
      </w:r>
    </w:p>
    <w:p w14:paraId="1F2DF13D"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b/>
          <w:bCs/>
          <w:sz w:val="22"/>
          <w:szCs w:val="22"/>
        </w:rPr>
      </w:pPr>
    </w:p>
    <w:p w14:paraId="408C6B28"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65F7A7A2"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noProof/>
          <w:sz w:val="22"/>
          <w:szCs w:val="22"/>
        </w:rPr>
        <w:drawing>
          <wp:inline distT="0" distB="0" distL="0" distR="0" wp14:anchorId="3778670A" wp14:editId="2115B57D">
            <wp:extent cx="5612130" cy="1310005"/>
            <wp:effectExtent l="0" t="0" r="0" b="0"/>
            <wp:docPr id="4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5612130" cy="1310005"/>
                    </a:xfrm>
                    <a:prstGeom prst="rect">
                      <a:avLst/>
                    </a:prstGeom>
                    <a:ln/>
                  </pic:spPr>
                </pic:pic>
              </a:graphicData>
            </a:graphic>
          </wp:inline>
        </w:drawing>
      </w:r>
    </w:p>
    <w:p w14:paraId="68E6E457"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7CD2CC6C"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De ahí, que la sesión de cabildo respecto de la cual se requiere la versión estenográfica y videograbada en efecto fue celebrada en la fecha referida por el particular en su solicitud.</w:t>
      </w:r>
    </w:p>
    <w:p w14:paraId="3DF93DE0"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DC790EB"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bookmarkStart w:id="9" w:name="_heading=h.d98ara7jsgik" w:colFirst="0" w:colLast="0"/>
      <w:bookmarkEnd w:id="9"/>
      <w:r w:rsidRPr="00971C77">
        <w:rPr>
          <w:rFonts w:ascii="Palatino Linotype" w:eastAsia="Palatino Linotype" w:hAnsi="Palatino Linotype" w:cs="Palatino Linotype"/>
          <w:sz w:val="22"/>
          <w:szCs w:val="22"/>
        </w:rPr>
        <w:t xml:space="preserve">Bajo las consideraciones expuestas, a criterio de este Órgano Garante los motivos de inconformidad devienen fundados, siendo procedente </w:t>
      </w:r>
      <w:r w:rsidRPr="00971C77">
        <w:rPr>
          <w:rFonts w:ascii="Palatino Linotype" w:eastAsia="Palatino Linotype" w:hAnsi="Palatino Linotype" w:cs="Palatino Linotype"/>
          <w:b/>
          <w:bCs/>
          <w:sz w:val="22"/>
          <w:szCs w:val="22"/>
        </w:rPr>
        <w:t xml:space="preserve">Revocar </w:t>
      </w:r>
      <w:r w:rsidRPr="00971C77">
        <w:rPr>
          <w:rFonts w:ascii="Palatino Linotype" w:eastAsia="Palatino Linotype" w:hAnsi="Palatino Linotype" w:cs="Palatino Linotype"/>
          <w:sz w:val="22"/>
          <w:szCs w:val="22"/>
        </w:rPr>
        <w:t xml:space="preserve">la respuesta y ordenar al ente obligado, previa búsqueda exhaustiva y razonable, de ser procedente en versión pública, </w:t>
      </w:r>
      <w:r w:rsidRPr="00971C77">
        <w:rPr>
          <w:rFonts w:ascii="Palatino Linotype" w:eastAsia="Palatino Linotype" w:hAnsi="Palatino Linotype" w:cs="Palatino Linotype"/>
          <w:b/>
          <w:bCs/>
          <w:sz w:val="22"/>
          <w:szCs w:val="22"/>
        </w:rPr>
        <w:t>la versión estenográfica y videograbada de la Vigésima Quinta Sesión Ordinaria de Cabildo celebrada el 15 de octubre de 2024.</w:t>
      </w:r>
    </w:p>
    <w:p w14:paraId="0C0F5959"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43E353DE"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Lo anterior, ya que, el particular en su solicitud fue puntual al indicar que pretendía tener acceso a las dos versiones de la sesión de cabildo en mención.</w:t>
      </w:r>
    </w:p>
    <w:p w14:paraId="03154FC2"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63A16C5D"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Además que, si bien la Secretaría del Ayuntamiento se encuentra obligada a resguardar en sus oficinas al menos una las dos versiones (estenográfica o videograbada) de las sesiones de cabildo; ello, no constituye un impedimento para que en dicha unidad obren ambas versiones, sobre todo porque en el caso no se tiene la certeza si se generaron ambas o sólo una de las dos, dada la falta de pronunciamiento del servidor público habilitado competente.</w:t>
      </w:r>
    </w:p>
    <w:p w14:paraId="42C7100B"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69BF41D2"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Por lo que, resulta procedente ordenar la entrega de ambas versiones de la sesión de cabildo indicada; no obstante, para el caso de que el </w:t>
      </w:r>
      <w:r w:rsidRPr="00971C77">
        <w:rPr>
          <w:rFonts w:ascii="Palatino Linotype" w:eastAsia="Palatino Linotype" w:hAnsi="Palatino Linotype" w:cs="Palatino Linotype"/>
          <w:b/>
          <w:bCs/>
          <w:sz w:val="22"/>
          <w:szCs w:val="22"/>
        </w:rPr>
        <w:t xml:space="preserve">Sujeto Obligado </w:t>
      </w:r>
      <w:r w:rsidRPr="00971C77">
        <w:rPr>
          <w:rFonts w:ascii="Palatino Linotype" w:eastAsia="Palatino Linotype" w:hAnsi="Palatino Linotype" w:cs="Palatino Linotype"/>
          <w:sz w:val="22"/>
          <w:szCs w:val="22"/>
        </w:rPr>
        <w:t>no localice</w:t>
      </w:r>
      <w:r w:rsidRPr="00971C77">
        <w:rPr>
          <w:rFonts w:ascii="Palatino Linotype" w:eastAsia="Palatino Linotype" w:hAnsi="Palatino Linotype" w:cs="Palatino Linotype"/>
          <w:b/>
          <w:bCs/>
          <w:sz w:val="22"/>
          <w:szCs w:val="22"/>
        </w:rPr>
        <w:t xml:space="preserve"> </w:t>
      </w:r>
      <w:r w:rsidRPr="00971C77">
        <w:rPr>
          <w:rFonts w:ascii="Palatino Linotype" w:eastAsia="Palatino Linotype" w:hAnsi="Palatino Linotype" w:cs="Palatino Linotype"/>
          <w:sz w:val="22"/>
          <w:szCs w:val="22"/>
        </w:rPr>
        <w:t xml:space="preserve">alguna de las dos versiones de la sesión de cabildo que se ordenan; bastará con que lo haga del conocimiento de la parte </w:t>
      </w:r>
      <w:r w:rsidRPr="00971C77">
        <w:rPr>
          <w:rFonts w:ascii="Palatino Linotype" w:eastAsia="Palatino Linotype" w:hAnsi="Palatino Linotype" w:cs="Palatino Linotype"/>
          <w:b/>
          <w:bCs/>
          <w:sz w:val="22"/>
          <w:szCs w:val="22"/>
        </w:rPr>
        <w:t xml:space="preserve">Recurrente </w:t>
      </w:r>
      <w:r w:rsidRPr="00971C77">
        <w:rPr>
          <w:rFonts w:ascii="Palatino Linotype" w:eastAsia="Palatino Linotype" w:hAnsi="Palatino Linotype" w:cs="Palatino Linotype"/>
          <w:sz w:val="22"/>
          <w:szCs w:val="22"/>
        </w:rPr>
        <w:t>y remita la que obre en sus archivos, para tener por cumplido el requerimiento de información.</w:t>
      </w:r>
    </w:p>
    <w:p w14:paraId="694D0E99"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4C35E058" w14:textId="77777777" w:rsidR="002F3380" w:rsidRPr="00971C77" w:rsidRDefault="006219FF">
      <w:pPr>
        <w:spacing w:before="240" w:after="240" w:line="360" w:lineRule="auto"/>
        <w:ind w:right="51"/>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 xml:space="preserve">Quinto. Versión Pública. </w:t>
      </w:r>
      <w:r w:rsidRPr="00971C77">
        <w:rPr>
          <w:rFonts w:ascii="Palatino Linotype" w:eastAsia="Palatino Linotype" w:hAnsi="Palatino Linotype" w:cs="Palatino Linotype"/>
          <w:sz w:val="22"/>
          <w:szCs w:val="22"/>
        </w:rPr>
        <w:t>Como fue debidamente apuntado, 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49EC64DD" w14:textId="77777777" w:rsidR="002F3380" w:rsidRPr="00971C77" w:rsidRDefault="006219FF">
      <w:pPr>
        <w:spacing w:before="240" w:after="240"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0CE64469" w14:textId="77777777" w:rsidR="002F3380" w:rsidRPr="00971C77" w:rsidRDefault="006219FF">
      <w:pPr>
        <w:spacing w:before="240" w:after="240"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78DB269D" w14:textId="77777777" w:rsidR="002F3380" w:rsidRPr="00971C77" w:rsidRDefault="006219FF">
      <w:pPr>
        <w:spacing w:before="240" w:after="240"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Al respecto, los artículos 3, fracciones IX, XX, XXI, XXXII, XLV; 6, 91, 132, 137, 143, fracción I, de la Ley de Transparencia y Acceso a la Información Pública del Estado de México y Municipios vigente establecen:</w:t>
      </w:r>
    </w:p>
    <w:p w14:paraId="0A655744"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sz w:val="22"/>
          <w:szCs w:val="22"/>
        </w:rPr>
        <w:t> </w:t>
      </w: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Artículo 3.</w:t>
      </w:r>
      <w:r w:rsidRPr="00971C77">
        <w:rPr>
          <w:rFonts w:ascii="Palatino Linotype" w:eastAsia="Palatino Linotype" w:hAnsi="Palatino Linotype" w:cs="Palatino Linotype"/>
          <w:i/>
          <w:iCs/>
          <w:sz w:val="22"/>
          <w:szCs w:val="22"/>
        </w:rPr>
        <w:t xml:space="preserve"> Para los efectos de la presente Ley se entenderá por:</w:t>
      </w:r>
    </w:p>
    <w:p w14:paraId="6CD1737D"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3A486D8F"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IX. Datos personales</w:t>
      </w:r>
      <w:r w:rsidRPr="00971C77">
        <w:rPr>
          <w:rFonts w:ascii="Palatino Linotype" w:eastAsia="Palatino Linotype" w:hAnsi="Palatino Linotype" w:cs="Palatino Linotype"/>
          <w:i/>
          <w:iCs/>
          <w:sz w:val="22"/>
          <w:szCs w:val="22"/>
        </w:rPr>
        <w:t>: La información concerniente a una persona, identificada o identificable según lo dispuesto por la Ley de Protección de Datos Personales del Estado de México;</w:t>
      </w:r>
    </w:p>
    <w:p w14:paraId="079FD734"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1A0F879C"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XX. Información clasificada</w:t>
      </w:r>
      <w:r w:rsidRPr="00971C77">
        <w:rPr>
          <w:rFonts w:ascii="Palatino Linotype" w:eastAsia="Palatino Linotype" w:hAnsi="Palatino Linotype" w:cs="Palatino Linotype"/>
          <w:i/>
          <w:iCs/>
          <w:sz w:val="22"/>
          <w:szCs w:val="22"/>
        </w:rPr>
        <w:t>: Aquella considerada por la presente Ley como reservada o confidencial;</w:t>
      </w:r>
    </w:p>
    <w:p w14:paraId="60D23B78"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XXI. Información confidencial</w:t>
      </w:r>
      <w:r w:rsidRPr="00971C77">
        <w:rPr>
          <w:rFonts w:ascii="Palatino Linotype" w:eastAsia="Palatino Linotype" w:hAnsi="Palatino Linotype" w:cs="Palatino Linotype"/>
          <w:i/>
          <w:iCs/>
          <w:sz w:val="22"/>
          <w:szCs w:val="22"/>
        </w:rPr>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C405597"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4B206A61"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XXXII. Protección de Datos Personales</w:t>
      </w:r>
      <w:r w:rsidRPr="00971C77">
        <w:rPr>
          <w:rFonts w:ascii="Palatino Linotype" w:eastAsia="Palatino Linotype" w:hAnsi="Palatino Linotype" w:cs="Palatino Linotype"/>
          <w:i/>
          <w:iCs/>
          <w:sz w:val="22"/>
          <w:szCs w:val="22"/>
        </w:rPr>
        <w:t>: Derecho humano que tutela la privacidad de datos personales en poder de los sujetos obligados y sujetos particulares;</w:t>
      </w:r>
    </w:p>
    <w:p w14:paraId="359DF410"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07A8E813" w14:textId="77777777" w:rsidR="002F3380" w:rsidRPr="00971C77" w:rsidRDefault="006219FF">
      <w:pPr>
        <w:tabs>
          <w:tab w:val="left" w:pos="1276"/>
        </w:tabs>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XLV. Versión pública</w:t>
      </w:r>
      <w:r w:rsidRPr="00971C77">
        <w:rPr>
          <w:rFonts w:ascii="Palatino Linotype" w:eastAsia="Palatino Linotype" w:hAnsi="Palatino Linotype" w:cs="Palatino Linotype"/>
          <w:i/>
          <w:iCs/>
          <w:sz w:val="22"/>
          <w:szCs w:val="22"/>
        </w:rPr>
        <w:t>: Documento en el que se elimine, suprime o borra la información clasificada como reservada o confidencial para permitir su acceso.</w:t>
      </w:r>
    </w:p>
    <w:p w14:paraId="75DBE7B5"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 Artículo 6</w:t>
      </w:r>
      <w:r w:rsidRPr="00971C77">
        <w:rPr>
          <w:rFonts w:ascii="Palatino Linotype" w:eastAsia="Palatino Linotype" w:hAnsi="Palatino Linotype" w:cs="Palatino Linotype"/>
          <w:i/>
          <w:iCs/>
          <w:sz w:val="22"/>
          <w:szCs w:val="22"/>
        </w:rPr>
        <w:t>. Los datos personales son irrenunciables, intransferibles e indelegables, por lo que los sujetos obligados no deberán proporcionar o hacer pública la 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1054FD8C"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278FA1D4"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Artículo 91.</w:t>
      </w:r>
      <w:r w:rsidRPr="00971C77">
        <w:rPr>
          <w:rFonts w:ascii="Palatino Linotype" w:eastAsia="Palatino Linotype" w:hAnsi="Palatino Linotype" w:cs="Palatino Linotype"/>
          <w:i/>
          <w:iCs/>
          <w:sz w:val="22"/>
          <w:szCs w:val="22"/>
        </w:rPr>
        <w:t xml:space="preserve"> El acceso a la información pública será restringido excepcionalmente, cuando ésta sea clasificada como reservada o confidencial.</w:t>
      </w:r>
      <w:r w:rsidRPr="00971C77">
        <w:rPr>
          <w:rFonts w:ascii="Palatino Linotype" w:eastAsia="Palatino Linotype" w:hAnsi="Palatino Linotype" w:cs="Palatino Linotype"/>
          <w:i/>
          <w:iCs/>
          <w:sz w:val="22"/>
          <w:szCs w:val="22"/>
        </w:rPr>
        <w:br/>
        <w:t>…</w:t>
      </w:r>
    </w:p>
    <w:p w14:paraId="4C3FFDCF"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Artículo 132.</w:t>
      </w:r>
      <w:r w:rsidRPr="00971C77">
        <w:rPr>
          <w:rFonts w:ascii="Palatino Linotype" w:eastAsia="Palatino Linotype" w:hAnsi="Palatino Linotype" w:cs="Palatino Linotype"/>
          <w:i/>
          <w:iCs/>
          <w:sz w:val="22"/>
          <w:szCs w:val="22"/>
        </w:rPr>
        <w:t xml:space="preserve"> La clasificación de la información se llevará a cabo en el momento en que:</w:t>
      </w:r>
    </w:p>
    <w:p w14:paraId="4DF8C617"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w:t>
      </w:r>
      <w:r w:rsidRPr="00971C77">
        <w:rPr>
          <w:rFonts w:ascii="Palatino Linotype" w:eastAsia="Palatino Linotype" w:hAnsi="Palatino Linotype" w:cs="Palatino Linotype"/>
          <w:i/>
          <w:iCs/>
          <w:sz w:val="22"/>
          <w:szCs w:val="22"/>
        </w:rPr>
        <w:t>. Se reciba una solicitud de acceso a la información;</w:t>
      </w:r>
    </w:p>
    <w:p w14:paraId="5BD43CAA"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w:t>
      </w:r>
      <w:r w:rsidRPr="00971C77">
        <w:rPr>
          <w:rFonts w:ascii="Palatino Linotype" w:eastAsia="Palatino Linotype" w:hAnsi="Palatino Linotype" w:cs="Palatino Linotype"/>
          <w:i/>
          <w:iCs/>
          <w:sz w:val="22"/>
          <w:szCs w:val="22"/>
        </w:rPr>
        <w:t xml:space="preserve"> Se determine mediante resolución de autoridad competente; o</w:t>
      </w:r>
    </w:p>
    <w:p w14:paraId="78283D91"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III.</w:t>
      </w:r>
      <w:r w:rsidRPr="00971C77">
        <w:rPr>
          <w:rFonts w:ascii="Palatino Linotype" w:eastAsia="Palatino Linotype" w:hAnsi="Palatino Linotype" w:cs="Palatino Linotype"/>
          <w:i/>
          <w:iCs/>
          <w:sz w:val="22"/>
          <w:szCs w:val="22"/>
        </w:rPr>
        <w:t xml:space="preserve"> Se generen versiones públicas para dar cumplimiento a las obligaciones de transparencia previstas en esta Ley.</w:t>
      </w:r>
    </w:p>
    <w:p w14:paraId="3ACECE86"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w:t>
      </w:r>
    </w:p>
    <w:p w14:paraId="2AD5C56B"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Artículo 137.</w:t>
      </w:r>
      <w:r w:rsidRPr="00971C77">
        <w:rPr>
          <w:rFonts w:ascii="Palatino Linotype" w:eastAsia="Palatino Linotype" w:hAnsi="Palatino Linotype" w:cs="Palatino Linotype"/>
          <w:i/>
          <w:iCs/>
          <w:sz w:val="22"/>
          <w:szCs w:val="22"/>
        </w:rPr>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6603726F"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 Artículo 143.</w:t>
      </w:r>
      <w:r w:rsidRPr="00971C77">
        <w:rPr>
          <w:rFonts w:ascii="Palatino Linotype" w:eastAsia="Palatino Linotype" w:hAnsi="Palatino Linotype" w:cs="Palatino Linotype"/>
          <w:i/>
          <w:iCs/>
          <w:sz w:val="22"/>
          <w:szCs w:val="22"/>
        </w:rPr>
        <w:t xml:space="preserve"> Para los efectos de esta Ley se considera información confidencial, la clasificada como tal, de manera permanente, por su naturaleza, cuando:</w:t>
      </w:r>
    </w:p>
    <w:p w14:paraId="2D4A00FD" w14:textId="77777777" w:rsidR="002F3380" w:rsidRPr="00971C77" w:rsidRDefault="006219FF">
      <w:pPr>
        <w:spacing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w:t>
      </w:r>
      <w:r w:rsidRPr="00971C77">
        <w:rPr>
          <w:rFonts w:ascii="Palatino Linotype" w:eastAsia="Palatino Linotype" w:hAnsi="Palatino Linotype" w:cs="Palatino Linotype"/>
          <w:i/>
          <w:iCs/>
          <w:sz w:val="22"/>
          <w:szCs w:val="22"/>
        </w:rPr>
        <w:t xml:space="preserve"> Se refiera a la información privada y los datos personales concernientes a una persona física o jurídico colectiva identificada o identificable...”</w:t>
      </w:r>
    </w:p>
    <w:p w14:paraId="0B14BCA2" w14:textId="77777777" w:rsidR="002F3380" w:rsidRPr="00971C77" w:rsidRDefault="006219FF">
      <w:pPr>
        <w:spacing w:before="240" w:after="240" w:line="360" w:lineRule="auto"/>
        <w:ind w:right="50"/>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35955AB5" w14:textId="77777777" w:rsidR="002F3380" w:rsidRPr="00971C77" w:rsidRDefault="006219FF">
      <w:pPr>
        <w:spacing w:before="240" w:after="240" w:line="360" w:lineRule="auto"/>
        <w:ind w:right="50"/>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3DC5B303" w14:textId="77777777" w:rsidR="002F3380" w:rsidRPr="00971C77" w:rsidRDefault="006219FF">
      <w:pPr>
        <w:spacing w:before="240" w:after="240" w:line="360" w:lineRule="auto"/>
        <w:ind w:right="50"/>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64714B16"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“Artículo 49.</w:t>
      </w: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Los Comités de Transparencia</w:t>
      </w:r>
      <w:r w:rsidRPr="00971C77">
        <w:rPr>
          <w:rFonts w:ascii="Palatino Linotype" w:eastAsia="Palatino Linotype" w:hAnsi="Palatino Linotype" w:cs="Palatino Linotype"/>
          <w:i/>
          <w:iCs/>
          <w:sz w:val="22"/>
          <w:szCs w:val="22"/>
        </w:rPr>
        <w:t xml:space="preserve"> tendrán las siguientes atribuciones:</w:t>
      </w:r>
    </w:p>
    <w:p w14:paraId="695A7264"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VIII. Aprobar, modificar o revocar la clasificación de la información</w:t>
      </w:r>
      <w:r w:rsidRPr="00971C77">
        <w:rPr>
          <w:rFonts w:ascii="Palatino Linotype" w:eastAsia="Palatino Linotype" w:hAnsi="Palatino Linotype" w:cs="Palatino Linotype"/>
          <w:i/>
          <w:iCs/>
          <w:sz w:val="22"/>
          <w:szCs w:val="22"/>
        </w:rPr>
        <w:t>…”</w:t>
      </w:r>
    </w:p>
    <w:p w14:paraId="4DE359A4"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Artículo 53.</w:t>
      </w:r>
      <w:r w:rsidRPr="00971C77">
        <w:rPr>
          <w:rFonts w:ascii="Palatino Linotype" w:eastAsia="Palatino Linotype" w:hAnsi="Palatino Linotype" w:cs="Palatino Linotype"/>
          <w:i/>
          <w:iCs/>
          <w:sz w:val="22"/>
          <w:szCs w:val="22"/>
        </w:rPr>
        <w:t xml:space="preserve"> Las </w:t>
      </w:r>
      <w:r w:rsidRPr="00971C77">
        <w:rPr>
          <w:rFonts w:ascii="Palatino Linotype" w:eastAsia="Palatino Linotype" w:hAnsi="Palatino Linotype" w:cs="Palatino Linotype"/>
          <w:b/>
          <w:bCs/>
          <w:i/>
          <w:iCs/>
          <w:sz w:val="22"/>
          <w:szCs w:val="22"/>
        </w:rPr>
        <w:t>Unidades de Transparencia</w:t>
      </w:r>
      <w:r w:rsidRPr="00971C77">
        <w:rPr>
          <w:rFonts w:ascii="Palatino Linotype" w:eastAsia="Palatino Linotype" w:hAnsi="Palatino Linotype" w:cs="Palatino Linotype"/>
          <w:i/>
          <w:iCs/>
          <w:sz w:val="22"/>
          <w:szCs w:val="22"/>
        </w:rPr>
        <w:t xml:space="preserve"> tendrán las siguientes </w:t>
      </w:r>
      <w:r w:rsidRPr="00971C77">
        <w:rPr>
          <w:rFonts w:ascii="Palatino Linotype" w:eastAsia="Palatino Linotype" w:hAnsi="Palatino Linotype" w:cs="Palatino Linotype"/>
          <w:b/>
          <w:bCs/>
          <w:i/>
          <w:iCs/>
          <w:sz w:val="22"/>
          <w:szCs w:val="22"/>
        </w:rPr>
        <w:t>funciones</w:t>
      </w:r>
      <w:r w:rsidRPr="00971C77">
        <w:rPr>
          <w:rFonts w:ascii="Palatino Linotype" w:eastAsia="Palatino Linotype" w:hAnsi="Palatino Linotype" w:cs="Palatino Linotype"/>
          <w:i/>
          <w:iCs/>
          <w:sz w:val="22"/>
          <w:szCs w:val="22"/>
        </w:rPr>
        <w:t>:</w:t>
      </w:r>
    </w:p>
    <w:p w14:paraId="25F2D753"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X. Presentar ante el Comité, el proyecto de clasificación de información</w:t>
      </w:r>
      <w:r w:rsidRPr="00971C77">
        <w:rPr>
          <w:rFonts w:ascii="Palatino Linotype" w:eastAsia="Palatino Linotype" w:hAnsi="Palatino Linotype" w:cs="Palatino Linotype"/>
          <w:i/>
          <w:iCs/>
          <w:sz w:val="22"/>
          <w:szCs w:val="22"/>
        </w:rPr>
        <w:t xml:space="preserve">…” </w:t>
      </w:r>
    </w:p>
    <w:p w14:paraId="703B5075"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“Artículo 59.</w:t>
      </w:r>
      <w:r w:rsidRPr="00971C77">
        <w:rPr>
          <w:rFonts w:ascii="Palatino Linotype" w:eastAsia="Palatino Linotype" w:hAnsi="Palatino Linotype" w:cs="Palatino Linotype"/>
          <w:i/>
          <w:iCs/>
          <w:sz w:val="22"/>
          <w:szCs w:val="22"/>
        </w:rPr>
        <w:t xml:space="preserve"> Los </w:t>
      </w:r>
      <w:r w:rsidRPr="00971C77">
        <w:rPr>
          <w:rFonts w:ascii="Palatino Linotype" w:eastAsia="Palatino Linotype" w:hAnsi="Palatino Linotype" w:cs="Palatino Linotype"/>
          <w:b/>
          <w:bCs/>
          <w:i/>
          <w:iCs/>
          <w:sz w:val="22"/>
          <w:szCs w:val="22"/>
        </w:rPr>
        <w:t>servidores públicos habilitados</w:t>
      </w:r>
      <w:r w:rsidRPr="00971C77">
        <w:rPr>
          <w:rFonts w:ascii="Palatino Linotype" w:eastAsia="Palatino Linotype" w:hAnsi="Palatino Linotype" w:cs="Palatino Linotype"/>
          <w:i/>
          <w:iCs/>
          <w:sz w:val="22"/>
          <w:szCs w:val="22"/>
        </w:rPr>
        <w:t xml:space="preserve"> tendrán las </w:t>
      </w:r>
      <w:r w:rsidRPr="00971C77">
        <w:rPr>
          <w:rFonts w:ascii="Palatino Linotype" w:eastAsia="Palatino Linotype" w:hAnsi="Palatino Linotype" w:cs="Palatino Linotype"/>
          <w:b/>
          <w:bCs/>
          <w:i/>
          <w:iCs/>
          <w:sz w:val="22"/>
          <w:szCs w:val="22"/>
        </w:rPr>
        <w:t>funciones</w:t>
      </w:r>
      <w:r w:rsidRPr="00971C77">
        <w:rPr>
          <w:rFonts w:ascii="Palatino Linotype" w:eastAsia="Palatino Linotype" w:hAnsi="Palatino Linotype" w:cs="Palatino Linotype"/>
          <w:i/>
          <w:iCs/>
          <w:sz w:val="22"/>
          <w:szCs w:val="22"/>
        </w:rPr>
        <w:t xml:space="preserve"> siguientes:</w:t>
      </w:r>
    </w:p>
    <w:p w14:paraId="2E8A9962"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V. Integrar y presentar al responsable de la Unidad de Transparencia la propuesta de clasificación de información</w:t>
      </w:r>
      <w:r w:rsidRPr="00971C77">
        <w:rPr>
          <w:rFonts w:ascii="Palatino Linotype" w:eastAsia="Palatino Linotype" w:hAnsi="Palatino Linotype" w:cs="Palatino Linotype"/>
          <w:i/>
          <w:iCs/>
          <w:sz w:val="22"/>
          <w:szCs w:val="22"/>
        </w:rPr>
        <w:t>, la cual tendrá los fundamentos y argumentos en que se basa dicha propuesta…”</w:t>
      </w:r>
    </w:p>
    <w:p w14:paraId="162B0844" w14:textId="77777777" w:rsidR="002F3380" w:rsidRPr="00971C77" w:rsidRDefault="006219FF">
      <w:pPr>
        <w:spacing w:before="240" w:after="240"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0BE8CD02" w14:textId="77777777" w:rsidR="002F3380" w:rsidRPr="00971C77" w:rsidRDefault="006219FF">
      <w:pPr>
        <w:spacing w:before="240" w:after="240"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Para lo cual, a su vez en el caso de información de carácter confidencial, se debe atender a lo que señala el artículo 149 de la Ley de Transparencia Local vigente, que se lee como sigue:</w:t>
      </w:r>
    </w:p>
    <w:p w14:paraId="7D0D70F5"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Artículo 149.</w:t>
      </w:r>
      <w:r w:rsidRPr="00971C77">
        <w:rPr>
          <w:rFonts w:ascii="Palatino Linotype" w:eastAsia="Palatino Linotype" w:hAnsi="Palatino Linotype" w:cs="Palatino Linotype"/>
          <w:i/>
          <w:iCs/>
          <w:sz w:val="22"/>
          <w:szCs w:val="22"/>
        </w:rPr>
        <w:t xml:space="preserve"> El </w:t>
      </w:r>
      <w:r w:rsidRPr="00971C77">
        <w:rPr>
          <w:rFonts w:ascii="Palatino Linotype" w:eastAsia="Palatino Linotype" w:hAnsi="Palatino Linotype" w:cs="Palatino Linotype"/>
          <w:b/>
          <w:bCs/>
          <w:i/>
          <w:iCs/>
          <w:sz w:val="22"/>
          <w:szCs w:val="22"/>
        </w:rPr>
        <w:t>acuerdo que clasifique la información como confidencial</w:t>
      </w:r>
      <w:r w:rsidRPr="00971C77">
        <w:rPr>
          <w:rFonts w:ascii="Palatino Linotype" w:eastAsia="Palatino Linotype" w:hAnsi="Palatino Linotype" w:cs="Palatino Linotype"/>
          <w:i/>
          <w:iCs/>
          <w:sz w:val="22"/>
          <w:szCs w:val="22"/>
        </w:rPr>
        <w:t xml:space="preserve"> deberá contener un razonamiento lógico en el que demuestre que la información se encuentra en alguna o algunas de las hipótesis previstas en la presente Ley.” </w:t>
      </w:r>
    </w:p>
    <w:p w14:paraId="07B35FCB" w14:textId="77777777" w:rsidR="002F3380" w:rsidRPr="00971C77" w:rsidRDefault="006219FF">
      <w:pPr>
        <w:spacing w:before="240" w:after="240" w:line="360" w:lineRule="auto"/>
        <w:ind w:right="51"/>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Es decir, 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otras palabras si no se exponen de manera puntual las razones de la versión pública de la documentación entregada se estaría violentando el derecho de acceso a la información de la persona solicitante.</w:t>
      </w:r>
    </w:p>
    <w:p w14:paraId="076E9ABC" w14:textId="77777777" w:rsidR="002F3380" w:rsidRPr="00971C77" w:rsidRDefault="006219FF">
      <w:pPr>
        <w:spacing w:before="240" w:after="240"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Atento a lo anterior, cabe señalar que el Comité de Transparencia del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deberá emitir el acuerdo de clasificación de información debidamente fundado y motivado, en términos de los Lineamientos Segundo, fracción XVIII, y del Cuarto al Décimo Primero de los “Lineamientos Generales en materia de Clasificación y Desclasificación de la Información, así como para la elaboración de Versiones Públicas”, vigentes a la fecha de la solicitud que literalmente expresan:</w:t>
      </w:r>
    </w:p>
    <w:p w14:paraId="3932C350"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Segundo.-</w:t>
      </w:r>
      <w:r w:rsidRPr="00971C77">
        <w:rPr>
          <w:rFonts w:ascii="Palatino Linotype" w:eastAsia="Palatino Linotype" w:hAnsi="Palatino Linotype" w:cs="Palatino Linotype"/>
          <w:i/>
          <w:iCs/>
          <w:sz w:val="22"/>
          <w:szCs w:val="22"/>
        </w:rPr>
        <w:t xml:space="preserve"> Para efectos de los presentes Lineamientos Generales, se entenderá por:</w:t>
      </w:r>
    </w:p>
    <w:p w14:paraId="6B7BA38F"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XVIII.</w:t>
      </w: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Versión pública:</w:t>
      </w:r>
      <w:r w:rsidRPr="00971C77">
        <w:rPr>
          <w:rFonts w:ascii="Palatino Linotype" w:eastAsia="Palatino Linotype" w:hAnsi="Palatino Linotype" w:cs="Palatino Linotype"/>
          <w:i/>
          <w:iCs/>
          <w:sz w:val="22"/>
          <w:szCs w:val="22"/>
        </w:rPr>
        <w:t xml:space="preserve"> El documento a partir del que se otorga acceso a la información, en el que se testan partes o secciones clasificadas, indicando el contenido de éstas de manera genérica, </w:t>
      </w:r>
      <w:r w:rsidRPr="00971C77">
        <w:rPr>
          <w:rFonts w:ascii="Palatino Linotype" w:eastAsia="Palatino Linotype" w:hAnsi="Palatino Linotype" w:cs="Palatino Linotype"/>
          <w:b/>
          <w:bCs/>
          <w:i/>
          <w:iCs/>
          <w:sz w:val="22"/>
          <w:szCs w:val="22"/>
        </w:rPr>
        <w:t>fundando y motivando la</w:t>
      </w: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reserva o confidencialidad</w:t>
      </w:r>
      <w:r w:rsidRPr="00971C77">
        <w:rPr>
          <w:rFonts w:ascii="Palatino Linotype" w:eastAsia="Palatino Linotype" w:hAnsi="Palatino Linotype" w:cs="Palatino Linotype"/>
          <w:i/>
          <w:iCs/>
          <w:sz w:val="22"/>
          <w:szCs w:val="22"/>
        </w:rPr>
        <w:t>, a través de la resolución que para tal efecto emita el Comité de Transparencia.</w:t>
      </w:r>
    </w:p>
    <w:p w14:paraId="013E9A71"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w:t>
      </w:r>
    </w:p>
    <w:p w14:paraId="59B78D55"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Cuarto.</w:t>
      </w: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Para clasificar la información como</w:t>
      </w: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reservada o</w:t>
      </w:r>
      <w:r w:rsidRPr="00971C77">
        <w:rPr>
          <w:rFonts w:ascii="Palatino Linotype" w:eastAsia="Palatino Linotype" w:hAnsi="Palatino Linotype" w:cs="Palatino Linotype"/>
          <w:i/>
          <w:iCs/>
          <w:sz w:val="22"/>
          <w:szCs w:val="22"/>
        </w:rPr>
        <w:t xml:space="preserve"> </w:t>
      </w:r>
      <w:r w:rsidRPr="00971C77">
        <w:rPr>
          <w:rFonts w:ascii="Palatino Linotype" w:eastAsia="Palatino Linotype" w:hAnsi="Palatino Linotype" w:cs="Palatino Linotype"/>
          <w:b/>
          <w:bCs/>
          <w:i/>
          <w:iCs/>
          <w:sz w:val="22"/>
          <w:szCs w:val="22"/>
        </w:rPr>
        <w:t>confidencial, de manera total o parcial, el titular del área del sujeto obligado deberá atender lo dispuesto por el Título Sexto de la Ley General</w:t>
      </w:r>
      <w:r w:rsidRPr="00971C77">
        <w:rPr>
          <w:rFonts w:ascii="Palatino Linotype" w:eastAsia="Palatino Linotype" w:hAnsi="Palatino Linotype" w:cs="Palatino Linotype"/>
          <w:i/>
          <w:iCs/>
          <w:sz w:val="22"/>
          <w:szCs w:val="22"/>
        </w:rPr>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1B5DD21"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Los sujetos obligados deberán aplicar, de manera estricta, las excepciones al derecho de acceso a la información y sólo podrán invocarlas cuando acrediten su procedencia.</w:t>
      </w:r>
    </w:p>
    <w:p w14:paraId="68F12BD4"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Quinto.</w:t>
      </w:r>
      <w:r w:rsidRPr="00971C77">
        <w:rPr>
          <w:rFonts w:ascii="Palatino Linotype" w:eastAsia="Palatino Linotype" w:hAnsi="Palatino Linotype" w:cs="Palatino Linotype"/>
          <w:i/>
          <w:iCs/>
          <w:sz w:val="22"/>
          <w:szCs w:val="22"/>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72B5323"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Sexto.</w:t>
      </w:r>
      <w:r w:rsidRPr="00971C77">
        <w:rPr>
          <w:rFonts w:ascii="Palatino Linotype" w:eastAsia="Palatino Linotype" w:hAnsi="Palatino Linotype" w:cs="Palatino Linotype"/>
          <w:i/>
          <w:iCs/>
          <w:sz w:val="22"/>
          <w:szCs w:val="22"/>
        </w:rPr>
        <w:t xml:space="preserve"> Se deroga.</w:t>
      </w:r>
    </w:p>
    <w:p w14:paraId="24212781"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Séptimo.</w:t>
      </w:r>
      <w:r w:rsidRPr="00971C77">
        <w:rPr>
          <w:rFonts w:ascii="Palatino Linotype" w:eastAsia="Palatino Linotype" w:hAnsi="Palatino Linotype" w:cs="Palatino Linotype"/>
          <w:i/>
          <w:iCs/>
          <w:sz w:val="22"/>
          <w:szCs w:val="22"/>
        </w:rPr>
        <w:t xml:space="preserve"> La clasificación de la información se llevará a cabo en el momento en que:</w:t>
      </w:r>
    </w:p>
    <w:p w14:paraId="26F545C6"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w:t>
      </w:r>
      <w:r w:rsidRPr="00971C77">
        <w:rPr>
          <w:rFonts w:ascii="Palatino Linotype" w:eastAsia="Palatino Linotype" w:hAnsi="Palatino Linotype" w:cs="Palatino Linotype"/>
          <w:i/>
          <w:iCs/>
          <w:sz w:val="22"/>
          <w:szCs w:val="22"/>
        </w:rPr>
        <w:t xml:space="preserve"> Se reciba una solicitud de acceso a la información;</w:t>
      </w:r>
    </w:p>
    <w:p w14:paraId="2A828277"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w:t>
      </w:r>
      <w:r w:rsidRPr="00971C77">
        <w:rPr>
          <w:rFonts w:ascii="Palatino Linotype" w:eastAsia="Palatino Linotype" w:hAnsi="Palatino Linotype" w:cs="Palatino Linotype"/>
          <w:i/>
          <w:iCs/>
          <w:sz w:val="22"/>
          <w:szCs w:val="22"/>
        </w:rPr>
        <w:t xml:space="preserve"> Se determine mediante resolución del Comité de Transparencia, el órgano garante competente, o en cumplimiento a una sentencia del Poder Judicial; o</w:t>
      </w:r>
    </w:p>
    <w:p w14:paraId="6BD3D849"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III.</w:t>
      </w:r>
      <w:r w:rsidRPr="00971C77">
        <w:rPr>
          <w:rFonts w:ascii="Palatino Linotype" w:eastAsia="Palatino Linotype" w:hAnsi="Palatino Linotype" w:cs="Palatino Linotype"/>
          <w:i/>
          <w:iCs/>
          <w:sz w:val="22"/>
          <w:szCs w:val="22"/>
        </w:rPr>
        <w:t xml:space="preserve"> Se generen versiones públicas para dar cumplimiento a las obligaciones de transparencia previstas en la Ley General, la Ley Federal y las correspondientes de las entidades federativas.</w:t>
      </w:r>
    </w:p>
    <w:p w14:paraId="391D462E"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Los titulares de las áreas deberán revisar la clasificación al momento de la recepción de una solicitud de acceso, para verificar</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i/>
          <w:iCs/>
          <w:sz w:val="22"/>
          <w:szCs w:val="22"/>
        </w:rPr>
        <w:t>conforme a su naturaleza, si encuadra en una causal de reserva o de confidencialidad.</w:t>
      </w:r>
    </w:p>
    <w:p w14:paraId="331A2EA6"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Octavo.</w:t>
      </w:r>
      <w:r w:rsidRPr="00971C77">
        <w:rPr>
          <w:rFonts w:ascii="Palatino Linotype" w:eastAsia="Palatino Linotype" w:hAnsi="Palatino Linotype" w:cs="Palatino Linotype"/>
          <w:i/>
          <w:iCs/>
          <w:sz w:val="22"/>
          <w:szCs w:val="22"/>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0E7C6B47"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Para motivar la clasificación se deberán señalar las razones o circunstancias especiales que lo llevaron a concluir que el caso particular se ajusta al supuesto previsto por la norma legal invocada como fundamento.</w:t>
      </w:r>
    </w:p>
    <w:p w14:paraId="562C3585"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i/>
          <w:iCs/>
          <w:sz w:val="22"/>
          <w:szCs w:val="22"/>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790E0807"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Noveno.</w:t>
      </w:r>
      <w:r w:rsidRPr="00971C77">
        <w:rPr>
          <w:rFonts w:ascii="Palatino Linotype" w:eastAsia="Palatino Linotype" w:hAnsi="Palatino Linotype" w:cs="Palatino Linotype"/>
          <w:i/>
          <w:iCs/>
          <w:sz w:val="22"/>
          <w:szCs w:val="22"/>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2A56F725"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Décimo.</w:t>
      </w:r>
      <w:r w:rsidRPr="00971C77">
        <w:rPr>
          <w:rFonts w:ascii="Palatino Linotype" w:eastAsia="Palatino Linotype" w:hAnsi="Palatino Linotype" w:cs="Palatino Linotype"/>
          <w:i/>
          <w:iCs/>
          <w:sz w:val="22"/>
          <w:szCs w:val="22"/>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655410FE"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En ausencia de los titulares de las áreas, la información será clasificada o desclasificada por la persona que lo supla, en términos de la normativa que rija la actuación del sujeto obligado.</w:t>
      </w:r>
    </w:p>
    <w:p w14:paraId="651CD635" w14:textId="77777777" w:rsidR="002F3380" w:rsidRPr="00971C77" w:rsidRDefault="006219FF">
      <w:pPr>
        <w:tabs>
          <w:tab w:val="left" w:pos="8222"/>
        </w:tabs>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Décimo primero.</w:t>
      </w:r>
      <w:r w:rsidRPr="00971C77">
        <w:rPr>
          <w:rFonts w:ascii="Palatino Linotype" w:eastAsia="Palatino Linotype" w:hAnsi="Palatino Linotype" w:cs="Palatino Linotype"/>
          <w:i/>
          <w:iCs/>
          <w:sz w:val="22"/>
          <w:szCs w:val="22"/>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p>
    <w:p w14:paraId="1E52ABB6" w14:textId="77777777" w:rsidR="002F3380" w:rsidRPr="00971C77" w:rsidRDefault="006219FF">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Asimismo, respecto a las formalidades que deberá llevar el acuerdo de clasificación que deberá emitir 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a través de su Comité de Transparencia, los Lineamientos Quincuagésimo y Quincuagésimo primero de los Lineamientos Generales en Materia de Clasificación y Desclasificación de la Información, así como para la Elaboración de Versiones Públicas, vigentes a la fecha de la solicitud, señalan lo siguiente:</w:t>
      </w:r>
    </w:p>
    <w:p w14:paraId="649233A4" w14:textId="77777777" w:rsidR="002F3380" w:rsidRPr="00971C77" w:rsidRDefault="006219FF">
      <w:pPr>
        <w:spacing w:after="200" w:line="276" w:lineRule="auto"/>
        <w:ind w:left="851"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 xml:space="preserve">“Quincuagésimo. </w:t>
      </w:r>
      <w:r w:rsidRPr="00971C77">
        <w:rPr>
          <w:rFonts w:ascii="Palatino Linotype" w:eastAsia="Palatino Linotype" w:hAnsi="Palatino Linotype" w:cs="Palatino Linotype"/>
          <w:i/>
          <w:iCs/>
          <w:sz w:val="22"/>
          <w:szCs w:val="22"/>
        </w:rPr>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57D40234" w14:textId="77777777" w:rsidR="002F3380" w:rsidRPr="00971C77" w:rsidRDefault="006219F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 xml:space="preserve">Quincuagésimo primero. </w:t>
      </w:r>
      <w:r w:rsidRPr="00971C77">
        <w:rPr>
          <w:rFonts w:ascii="Palatino Linotype" w:eastAsia="Palatino Linotype" w:hAnsi="Palatino Linotype" w:cs="Palatino Linotype"/>
          <w:i/>
          <w:iCs/>
          <w:sz w:val="22"/>
          <w:szCs w:val="22"/>
        </w:rPr>
        <w:t xml:space="preserve">Toda acta del Comité de Transparencia deberá contener: </w:t>
      </w:r>
    </w:p>
    <w:p w14:paraId="7B6566BE"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w:t>
      </w:r>
      <w:r w:rsidRPr="00971C77">
        <w:rPr>
          <w:rFonts w:ascii="Palatino Linotype" w:eastAsia="Palatino Linotype" w:hAnsi="Palatino Linotype" w:cs="Palatino Linotype"/>
          <w:i/>
          <w:iCs/>
          <w:sz w:val="22"/>
          <w:szCs w:val="22"/>
        </w:rPr>
        <w:t xml:space="preserve"> El número de sesión y fecha; </w:t>
      </w:r>
    </w:p>
    <w:p w14:paraId="7C238FC4"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w:t>
      </w:r>
      <w:r w:rsidRPr="00971C77">
        <w:rPr>
          <w:rFonts w:ascii="Palatino Linotype" w:eastAsia="Palatino Linotype" w:hAnsi="Palatino Linotype" w:cs="Palatino Linotype"/>
          <w:i/>
          <w:iCs/>
          <w:sz w:val="22"/>
          <w:szCs w:val="22"/>
        </w:rPr>
        <w:t xml:space="preserve">. El nombre del área que solicitó la clasificación de información; </w:t>
      </w:r>
    </w:p>
    <w:p w14:paraId="7B4F3F12"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III</w:t>
      </w:r>
      <w:r w:rsidRPr="00971C77">
        <w:rPr>
          <w:rFonts w:ascii="Palatino Linotype" w:eastAsia="Palatino Linotype" w:hAnsi="Palatino Linotype" w:cs="Palatino Linotype"/>
          <w:i/>
          <w:iCs/>
          <w:sz w:val="22"/>
          <w:szCs w:val="22"/>
        </w:rPr>
        <w:t xml:space="preserve">. La fundamentación legal y motivación correspondiente; </w:t>
      </w:r>
    </w:p>
    <w:p w14:paraId="2A3392E5"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IV</w:t>
      </w:r>
      <w:r w:rsidRPr="00971C77">
        <w:rPr>
          <w:rFonts w:ascii="Palatino Linotype" w:eastAsia="Palatino Linotype" w:hAnsi="Palatino Linotype" w:cs="Palatino Linotype"/>
          <w:i/>
          <w:iCs/>
          <w:sz w:val="22"/>
          <w:szCs w:val="22"/>
        </w:rPr>
        <w:t xml:space="preserve">. La resolución o resoluciones aprobadas; y </w:t>
      </w:r>
    </w:p>
    <w:p w14:paraId="179730B0"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V</w:t>
      </w:r>
      <w:r w:rsidRPr="00971C77">
        <w:rPr>
          <w:rFonts w:ascii="Palatino Linotype" w:eastAsia="Palatino Linotype" w:hAnsi="Palatino Linotype" w:cs="Palatino Linotype"/>
          <w:i/>
          <w:iCs/>
          <w:sz w:val="22"/>
          <w:szCs w:val="22"/>
        </w:rPr>
        <w:t xml:space="preserve">. La rúbrica o firma digital de cada integrante del Comité de Transparencia. </w:t>
      </w:r>
    </w:p>
    <w:p w14:paraId="1E338D15" w14:textId="77777777" w:rsidR="002F3380" w:rsidRPr="00971C77" w:rsidRDefault="006219F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Las resoluciones del Comité en las que se haya determinado confirmar o modificar la clasificación de información pública como reservada, deberán incluir, cuando menos: </w:t>
      </w:r>
    </w:p>
    <w:p w14:paraId="3AB81A7F"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w:t>
      </w:r>
      <w:r w:rsidRPr="00971C77">
        <w:rPr>
          <w:rFonts w:ascii="Palatino Linotype" w:eastAsia="Palatino Linotype" w:hAnsi="Palatino Linotype" w:cs="Palatino Linotype"/>
          <w:i/>
          <w:iCs/>
          <w:sz w:val="22"/>
          <w:szCs w:val="22"/>
        </w:rPr>
        <w:t xml:space="preserve"> Los motivos y razonamientos que sustenten la confirmación o modificación de la prueba de daño;</w:t>
      </w:r>
    </w:p>
    <w:p w14:paraId="43DD58FF"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II</w:t>
      </w:r>
      <w:r w:rsidRPr="00971C77">
        <w:rPr>
          <w:rFonts w:ascii="Palatino Linotype" w:eastAsia="Palatino Linotype" w:hAnsi="Palatino Linotype" w:cs="Palatino Linotype"/>
          <w:i/>
          <w:iCs/>
          <w:sz w:val="22"/>
          <w:szCs w:val="22"/>
        </w:rPr>
        <w:t>. Descripción de las partes o secciones reservadas, en caso de clasificación parcial</w:t>
      </w:r>
      <w:r w:rsidRPr="00971C77">
        <w:rPr>
          <w:rFonts w:ascii="Palatino Linotype" w:eastAsia="Palatino Linotype" w:hAnsi="Palatino Linotype" w:cs="Palatino Linotype"/>
          <w:b/>
          <w:bCs/>
          <w:i/>
          <w:iCs/>
          <w:sz w:val="22"/>
          <w:szCs w:val="22"/>
        </w:rPr>
        <w:t xml:space="preserve">; </w:t>
      </w:r>
    </w:p>
    <w:p w14:paraId="1DAC06D4"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III.</w:t>
      </w:r>
      <w:r w:rsidRPr="00971C77">
        <w:rPr>
          <w:rFonts w:ascii="Palatino Linotype" w:eastAsia="Palatino Linotype" w:hAnsi="Palatino Linotype" w:cs="Palatino Linotype"/>
          <w:i/>
          <w:iCs/>
          <w:sz w:val="22"/>
          <w:szCs w:val="22"/>
        </w:rPr>
        <w:t xml:space="preserve"> El periodo por el que mantendrá su clasificación y fecha de expiración; y </w:t>
      </w:r>
    </w:p>
    <w:p w14:paraId="6B8EC4D6" w14:textId="77777777" w:rsidR="002F3380" w:rsidRPr="00971C77" w:rsidRDefault="006219FF">
      <w:pPr>
        <w:pBdr>
          <w:top w:val="nil"/>
          <w:left w:val="nil"/>
          <w:bottom w:val="nil"/>
          <w:right w:val="nil"/>
          <w:between w:val="nil"/>
        </w:pBdr>
        <w:spacing w:after="200" w:line="276" w:lineRule="auto"/>
        <w:ind w:left="1134"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IV.</w:t>
      </w:r>
      <w:r w:rsidRPr="00971C77">
        <w:rPr>
          <w:rFonts w:ascii="Palatino Linotype" w:eastAsia="Palatino Linotype" w:hAnsi="Palatino Linotype" w:cs="Palatino Linotype"/>
          <w:i/>
          <w:iCs/>
          <w:sz w:val="22"/>
          <w:szCs w:val="22"/>
        </w:rPr>
        <w:t xml:space="preserve"> El nombre del titular y área encargada de realizar la versión pública del documento, en su caso. </w:t>
      </w:r>
    </w:p>
    <w:p w14:paraId="5F222D11" w14:textId="77777777" w:rsidR="002F3380" w:rsidRPr="00971C77" w:rsidRDefault="006219F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En los casos en que se clasifique la información como reservada siempre se entregará o anexará la prueba de daño con la respuesta al solicitante. </w:t>
      </w:r>
    </w:p>
    <w:p w14:paraId="3D27D199" w14:textId="77777777" w:rsidR="002F3380" w:rsidRPr="00971C77" w:rsidRDefault="006219FF">
      <w:pPr>
        <w:pBdr>
          <w:top w:val="nil"/>
          <w:left w:val="nil"/>
          <w:bottom w:val="nil"/>
          <w:right w:val="nil"/>
          <w:between w:val="nil"/>
        </w:pBdr>
        <w:spacing w:after="200" w:line="276" w:lineRule="auto"/>
        <w:ind w:left="851" w:right="902"/>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En los casos de resoluciones del Comité de Transparencia en las que se confirme la clasificación de información confidencial solo se deberán de identificar los tipos de datos protegidos, de conformidad con el lineamiento trigésimo octavo.</w:t>
      </w:r>
    </w:p>
    <w:p w14:paraId="3BA0AE0E" w14:textId="77777777" w:rsidR="002F3380" w:rsidRPr="00971C77" w:rsidRDefault="006219FF">
      <w:pPr>
        <w:spacing w:before="240" w:after="240"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Para la elaboración de las versiones públicas, además, se deberán observar las formalidades establecidas en los Lineamientos Quincuagésimo segundo, Quincuagésimo cuarto, Quincuagésimo quinto, Quincuagésimo séptimo y Quincuagésimo octavo, vigentes a la fecha de la solicitud, que establecen lo siguiente:</w:t>
      </w:r>
    </w:p>
    <w:p w14:paraId="1E420FE7"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r w:rsidRPr="00971C77">
        <w:rPr>
          <w:rFonts w:ascii="Palatino Linotype" w:eastAsia="Palatino Linotype" w:hAnsi="Palatino Linotype" w:cs="Palatino Linotype"/>
          <w:b/>
          <w:bCs/>
          <w:i/>
          <w:iCs/>
          <w:sz w:val="22"/>
          <w:szCs w:val="22"/>
        </w:rPr>
        <w:t>Quincuagésimo segundo</w:t>
      </w:r>
      <w:r w:rsidRPr="00971C77">
        <w:rPr>
          <w:rFonts w:ascii="Palatino Linotype" w:eastAsia="Palatino Linotype" w:hAnsi="Palatino Linotype" w:cs="Palatino Linotype"/>
          <w:i/>
          <w:iCs/>
          <w:sz w:val="22"/>
          <w:szCs w:val="22"/>
        </w:rPr>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6768C8F6"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En el caso específico de la clasificación y elaboración de versiones públicas de documentos que contengan información confidencial, las áreas de los sujetos obligados deberán: </w:t>
      </w:r>
    </w:p>
    <w:p w14:paraId="39F2807A" w14:textId="77777777" w:rsidR="002F3380" w:rsidRPr="00971C77" w:rsidRDefault="006219FF">
      <w:pPr>
        <w:spacing w:after="200" w:line="276" w:lineRule="auto"/>
        <w:ind w:left="1134"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w:t>
      </w:r>
      <w:r w:rsidRPr="00971C77">
        <w:rPr>
          <w:rFonts w:ascii="Palatino Linotype" w:eastAsia="Palatino Linotype" w:hAnsi="Palatino Linotype" w:cs="Palatino Linotype"/>
          <w:i/>
          <w:iCs/>
          <w:sz w:val="22"/>
          <w:szCs w:val="22"/>
        </w:rPr>
        <w:t xml:space="preserve"> Fijar la fecha en que se elaboró la versión pública y la fecha en la cual el Comité de Transparencia confirmó dicha versión;</w:t>
      </w:r>
    </w:p>
    <w:p w14:paraId="27378C82" w14:textId="77777777" w:rsidR="002F3380" w:rsidRPr="00971C77" w:rsidRDefault="006219FF">
      <w:pPr>
        <w:spacing w:after="200" w:line="276" w:lineRule="auto"/>
        <w:ind w:left="1134"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w:t>
      </w:r>
      <w:r w:rsidRPr="00971C77">
        <w:rPr>
          <w:rFonts w:ascii="Palatino Linotype" w:eastAsia="Palatino Linotype" w:hAnsi="Palatino Linotype" w:cs="Palatino Linotype"/>
          <w:i/>
          <w:iCs/>
          <w:sz w:val="22"/>
          <w:szCs w:val="22"/>
        </w:rPr>
        <w:t xml:space="preserve"> Señalar dentro del documento el tipo de información confidencial que fue testada en cada caso específico, de conformidad con el lineamiento trigésimo octavo; y</w:t>
      </w:r>
    </w:p>
    <w:p w14:paraId="191615F2" w14:textId="77777777" w:rsidR="002F3380" w:rsidRPr="00971C77" w:rsidRDefault="006219FF">
      <w:pPr>
        <w:spacing w:after="200" w:line="276" w:lineRule="auto"/>
        <w:ind w:left="1134"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III.</w:t>
      </w:r>
      <w:r w:rsidRPr="00971C77">
        <w:rPr>
          <w:rFonts w:ascii="Palatino Linotype" w:eastAsia="Palatino Linotype" w:hAnsi="Palatino Linotype" w:cs="Palatino Linotype"/>
          <w:i/>
          <w:iCs/>
          <w:sz w:val="22"/>
          <w:szCs w:val="22"/>
        </w:rPr>
        <w:t xml:space="preserve"> Señalar las personas o instancias autorizadas a acceder a la información clasificada.</w:t>
      </w:r>
    </w:p>
    <w:p w14:paraId="7F5499A9"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En los documentos de difusión electrónica, señalar en la primera hoja y en el nombre del archivo, que la versión pública corresponde a un documento que contiene información confidencial.”</w:t>
      </w:r>
    </w:p>
    <w:p w14:paraId="6B97E3CD" w14:textId="77777777" w:rsidR="002F3380" w:rsidRPr="00971C77" w:rsidRDefault="006219FF">
      <w:pPr>
        <w:pBdr>
          <w:top w:val="nil"/>
          <w:left w:val="nil"/>
          <w:bottom w:val="nil"/>
          <w:right w:val="nil"/>
          <w:between w:val="nil"/>
        </w:pBd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w:t>
      </w:r>
    </w:p>
    <w:p w14:paraId="3D0B0F9B" w14:textId="77777777" w:rsidR="002F3380" w:rsidRPr="00971C77" w:rsidRDefault="006219FF">
      <w:pPr>
        <w:pBdr>
          <w:top w:val="nil"/>
          <w:left w:val="nil"/>
          <w:bottom w:val="nil"/>
          <w:right w:val="nil"/>
          <w:between w:val="nil"/>
        </w:pBdr>
        <w:spacing w:after="200" w:line="276" w:lineRule="auto"/>
        <w:ind w:left="851" w:right="616"/>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 xml:space="preserve">Quincuagésimo cuarto. </w:t>
      </w:r>
      <w:r w:rsidRPr="00971C77">
        <w:rPr>
          <w:rFonts w:ascii="Palatino Linotype" w:eastAsia="Palatino Linotype" w:hAnsi="Palatino Linotype" w:cs="Palatino Linotype"/>
          <w:i/>
          <w:iCs/>
          <w:sz w:val="22"/>
          <w:szCs w:val="22"/>
        </w:rPr>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971C77">
        <w:rPr>
          <w:rFonts w:ascii="Palatino Linotype" w:eastAsia="Palatino Linotype" w:hAnsi="Palatino Linotype" w:cs="Palatino Linotype"/>
          <w:b/>
          <w:bCs/>
          <w:i/>
          <w:iCs/>
          <w:sz w:val="22"/>
          <w:szCs w:val="22"/>
        </w:rPr>
        <w:t xml:space="preserve"> </w:t>
      </w:r>
    </w:p>
    <w:p w14:paraId="6C6288F2"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 xml:space="preserve">Quincuagésimo quinto. </w:t>
      </w:r>
      <w:r w:rsidRPr="00971C77">
        <w:rPr>
          <w:rFonts w:ascii="Palatino Linotype" w:eastAsia="Palatino Linotype" w:hAnsi="Palatino Linotype" w:cs="Palatino Linotype"/>
          <w:i/>
          <w:iCs/>
          <w:sz w:val="22"/>
          <w:szCs w:val="22"/>
        </w:rPr>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1B2C8B60" w14:textId="77777777" w:rsidR="002F3380" w:rsidRPr="00971C77" w:rsidRDefault="006219FF">
      <w:pPr>
        <w:spacing w:after="200" w:line="276" w:lineRule="auto"/>
        <w:ind w:left="851" w:right="616"/>
        <w:jc w:val="both"/>
        <w:rPr>
          <w:rFonts w:ascii="Palatino Linotype" w:eastAsia="Palatino Linotype" w:hAnsi="Palatino Linotype" w:cs="Palatino Linotype"/>
          <w:b/>
          <w:bCs/>
          <w:i/>
          <w:iCs/>
          <w:sz w:val="22"/>
          <w:szCs w:val="22"/>
        </w:rPr>
      </w:pPr>
      <w:r w:rsidRPr="00971C77">
        <w:rPr>
          <w:rFonts w:ascii="Palatino Linotype" w:eastAsia="Palatino Linotype" w:hAnsi="Palatino Linotype" w:cs="Palatino Linotype"/>
          <w:b/>
          <w:bCs/>
          <w:i/>
          <w:iCs/>
          <w:sz w:val="22"/>
          <w:szCs w:val="22"/>
        </w:rPr>
        <w:t>...</w:t>
      </w:r>
    </w:p>
    <w:p w14:paraId="16EBA53D"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Quincuagésimo séptimo</w:t>
      </w:r>
      <w:r w:rsidRPr="00971C77">
        <w:rPr>
          <w:rFonts w:ascii="Palatino Linotype" w:eastAsia="Palatino Linotype" w:hAnsi="Palatino Linotype" w:cs="Palatino Linotype"/>
          <w:i/>
          <w:iCs/>
          <w:sz w:val="22"/>
          <w:szCs w:val="22"/>
        </w:rPr>
        <w:t xml:space="preserve">. Se considera, en principio, como información pública y no podrá omitirse de las versiones públicas la siguiente: </w:t>
      </w:r>
    </w:p>
    <w:p w14:paraId="692ED3F3" w14:textId="77777777" w:rsidR="002F3380" w:rsidRPr="00971C77" w:rsidRDefault="006219FF">
      <w:pPr>
        <w:spacing w:after="200" w:line="276" w:lineRule="auto"/>
        <w:ind w:left="1134"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w:t>
      </w:r>
      <w:r w:rsidRPr="00971C77">
        <w:rPr>
          <w:rFonts w:ascii="Palatino Linotype" w:eastAsia="Palatino Linotype" w:hAnsi="Palatino Linotype" w:cs="Palatino Linotype"/>
          <w:i/>
          <w:iCs/>
          <w:sz w:val="22"/>
          <w:szCs w:val="22"/>
        </w:rPr>
        <w:t xml:space="preserve">. La relativa a las Obligaciones de Transparencia que contempla el Título V de la Ley General y las demás disposiciones legales aplicables; </w:t>
      </w:r>
    </w:p>
    <w:p w14:paraId="4485F35C" w14:textId="77777777" w:rsidR="002F3380" w:rsidRPr="00971C77" w:rsidRDefault="006219FF">
      <w:pPr>
        <w:spacing w:after="200" w:line="276" w:lineRule="auto"/>
        <w:ind w:left="1134"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w:t>
      </w:r>
      <w:r w:rsidRPr="00971C77">
        <w:rPr>
          <w:rFonts w:ascii="Palatino Linotype" w:eastAsia="Palatino Linotype" w:hAnsi="Palatino Linotype" w:cs="Palatino Linotype"/>
          <w:i/>
          <w:iCs/>
          <w:sz w:val="22"/>
          <w:szCs w:val="22"/>
        </w:rPr>
        <w:t xml:space="preserve"> El nombre de los integrantes de los sujetos obligados en los documentos, y sus firmas autógrafas o digitales, cuando sean utilizados en el ejercicio de las facultades conferidas para el desempeño del servicio público, y</w:t>
      </w:r>
    </w:p>
    <w:p w14:paraId="61D5E158" w14:textId="77777777" w:rsidR="002F3380" w:rsidRPr="00971C77" w:rsidRDefault="006219FF">
      <w:pPr>
        <w:spacing w:after="200" w:line="276" w:lineRule="auto"/>
        <w:ind w:left="1134"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III</w:t>
      </w:r>
      <w:r w:rsidRPr="00971C77">
        <w:rPr>
          <w:rFonts w:ascii="Palatino Linotype" w:eastAsia="Palatino Linotype" w:hAnsi="Palatino Linotype" w:cs="Palatino Linotype"/>
          <w:i/>
          <w:iCs/>
          <w:sz w:val="22"/>
          <w:szCs w:val="22"/>
        </w:rPr>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6532CD66"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Lo anterior, siempre y cuando no se acredite alguna causal de clasificación, prevista en las leyes o en los tratados internacionales suscritas por el Estado mexicano.  </w:t>
      </w:r>
    </w:p>
    <w:p w14:paraId="68FEB97D" w14:textId="77777777" w:rsidR="002F3380" w:rsidRPr="00971C77" w:rsidRDefault="006219FF">
      <w:pPr>
        <w:spacing w:after="200" w:line="276" w:lineRule="auto"/>
        <w:ind w:left="851" w:right="616"/>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b/>
          <w:bCs/>
          <w:i/>
          <w:iCs/>
          <w:sz w:val="22"/>
          <w:szCs w:val="22"/>
        </w:rPr>
        <w:t>Quincuagésimo octavo</w:t>
      </w:r>
      <w:r w:rsidRPr="00971C77">
        <w:rPr>
          <w:rFonts w:ascii="Palatino Linotype" w:eastAsia="Palatino Linotype" w:hAnsi="Palatino Linotype" w:cs="Palatino Linotype"/>
          <w:i/>
          <w:iCs/>
          <w:sz w:val="22"/>
          <w:szCs w:val="22"/>
        </w:rPr>
        <w:t>. Los sujetos obligados garantizarán que los sistemas o medios empleados para eliminar la información en las versiones públicas sean irreversibles, de tal forma que no permitan su recuperación o la visualización de la misma.”</w:t>
      </w:r>
    </w:p>
    <w:p w14:paraId="0F1EDEC8" w14:textId="77777777" w:rsidR="002F3380" w:rsidRPr="00971C77" w:rsidRDefault="006219FF">
      <w:pPr>
        <w:shd w:val="clear" w:color="auto" w:fill="FFFFFF"/>
        <w:spacing w:line="360" w:lineRule="auto"/>
        <w:ind w:right="51"/>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Por lo tanto, la entrega de documentos en su versión pública debe acompañarse necesariamente del Acuerdo del Comité de Transparencia que la sustente, en el que se expongan los fundamentos y razonamientos que llevaron al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a testar, suprimir o eliminar datos de dicho soporte documental, ya que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 por lo que el acuerdo respectivo, deberá hacerse del conocimiento del </w:t>
      </w:r>
      <w:r w:rsidRPr="00971C77">
        <w:rPr>
          <w:rFonts w:ascii="Palatino Linotype" w:eastAsia="Palatino Linotype" w:hAnsi="Palatino Linotype" w:cs="Palatino Linotype"/>
          <w:b/>
          <w:bCs/>
          <w:sz w:val="22"/>
          <w:szCs w:val="22"/>
        </w:rPr>
        <w:t>Recurrente</w:t>
      </w:r>
      <w:r w:rsidRPr="00971C77">
        <w:rPr>
          <w:rFonts w:ascii="Palatino Linotype" w:eastAsia="Palatino Linotype" w:hAnsi="Palatino Linotype" w:cs="Palatino Linotype"/>
          <w:sz w:val="22"/>
          <w:szCs w:val="22"/>
        </w:rPr>
        <w:t>.</w:t>
      </w:r>
    </w:p>
    <w:p w14:paraId="2E55677D" w14:textId="77777777" w:rsidR="002F3380" w:rsidRPr="00971C77" w:rsidRDefault="002F3380">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p>
    <w:p w14:paraId="1D6FEF2B" w14:textId="77777777" w:rsidR="002F3380" w:rsidRPr="00971C77" w:rsidRDefault="006219FF">
      <w:pPr>
        <w:pBdr>
          <w:top w:val="nil"/>
          <w:left w:val="nil"/>
          <w:bottom w:val="nil"/>
          <w:right w:val="nil"/>
          <w:between w:val="nil"/>
        </w:pBd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6A370668" w14:textId="77777777" w:rsidR="002F3380" w:rsidRPr="00971C77" w:rsidRDefault="002F3380">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sz w:val="22"/>
          <w:szCs w:val="22"/>
        </w:rPr>
      </w:pPr>
    </w:p>
    <w:p w14:paraId="5BFDB00D" w14:textId="77777777" w:rsidR="002F3380" w:rsidRPr="00971C77" w:rsidRDefault="006219FF">
      <w:pPr>
        <w:pBdr>
          <w:top w:val="nil"/>
          <w:left w:val="nil"/>
          <w:bottom w:val="nil"/>
          <w:right w:val="nil"/>
          <w:between w:val="nil"/>
        </w:pBdr>
        <w:spacing w:line="360" w:lineRule="auto"/>
        <w:jc w:val="center"/>
        <w:rPr>
          <w:rFonts w:ascii="Palatino Linotype" w:eastAsia="Palatino Linotype" w:hAnsi="Palatino Linotype" w:cs="Palatino Linotype"/>
          <w:b/>
          <w:bCs/>
          <w:sz w:val="22"/>
          <w:szCs w:val="22"/>
        </w:rPr>
      </w:pPr>
      <w:bookmarkStart w:id="10" w:name="_heading=h.ijv98pntcd5s" w:colFirst="0" w:colLast="0"/>
      <w:bookmarkEnd w:id="10"/>
      <w:r w:rsidRPr="00971C77">
        <w:rPr>
          <w:rFonts w:ascii="Palatino Linotype" w:eastAsia="Palatino Linotype" w:hAnsi="Palatino Linotype" w:cs="Palatino Linotype"/>
          <w:b/>
          <w:bCs/>
          <w:sz w:val="22"/>
          <w:szCs w:val="22"/>
        </w:rPr>
        <w:t>III. R E S U E L V E</w:t>
      </w:r>
    </w:p>
    <w:p w14:paraId="2E57CE9F" w14:textId="77777777" w:rsidR="002F3380" w:rsidRPr="00971C77" w:rsidRDefault="002F3380">
      <w:pPr>
        <w:spacing w:line="360" w:lineRule="auto"/>
        <w:jc w:val="both"/>
        <w:rPr>
          <w:rFonts w:ascii="Palatino Linotype" w:eastAsia="Palatino Linotype" w:hAnsi="Palatino Linotype" w:cs="Palatino Linotype"/>
          <w:b/>
          <w:bCs/>
          <w:sz w:val="22"/>
          <w:szCs w:val="22"/>
        </w:rPr>
      </w:pPr>
      <w:bookmarkStart w:id="11" w:name="_heading=h.26in1rg" w:colFirst="0" w:colLast="0"/>
      <w:bookmarkEnd w:id="11"/>
    </w:p>
    <w:p w14:paraId="799E72D0" w14:textId="77777777" w:rsidR="002F3380" w:rsidRPr="00971C77" w:rsidRDefault="006219FF">
      <w:pPr>
        <w:spacing w:line="360" w:lineRule="auto"/>
        <w:jc w:val="both"/>
        <w:rPr>
          <w:rFonts w:ascii="Palatino Linotype" w:eastAsia="Palatino Linotype" w:hAnsi="Palatino Linotype" w:cs="Palatino Linotype"/>
          <w:b/>
          <w:bCs/>
          <w:sz w:val="22"/>
          <w:szCs w:val="22"/>
        </w:rPr>
      </w:pPr>
      <w:bookmarkStart w:id="12" w:name="_heading=h.h7nzb79wlra" w:colFirst="0" w:colLast="0"/>
      <w:bookmarkEnd w:id="12"/>
      <w:r w:rsidRPr="00971C77">
        <w:rPr>
          <w:rFonts w:ascii="Palatino Linotype" w:eastAsia="Palatino Linotype" w:hAnsi="Palatino Linotype" w:cs="Palatino Linotype"/>
          <w:b/>
          <w:bCs/>
          <w:sz w:val="22"/>
          <w:szCs w:val="22"/>
        </w:rPr>
        <w:t xml:space="preserve">Primero. </w:t>
      </w:r>
      <w:r w:rsidRPr="00971C77">
        <w:rPr>
          <w:rFonts w:ascii="Palatino Linotype" w:eastAsia="Palatino Linotype" w:hAnsi="Palatino Linotype" w:cs="Palatino Linotype"/>
          <w:sz w:val="22"/>
          <w:szCs w:val="22"/>
        </w:rPr>
        <w:t xml:space="preserve">Resultan </w:t>
      </w:r>
      <w:r w:rsidRPr="00971C77">
        <w:rPr>
          <w:rFonts w:ascii="Palatino Linotype" w:eastAsia="Palatino Linotype" w:hAnsi="Palatino Linotype" w:cs="Palatino Linotype"/>
          <w:b/>
          <w:bCs/>
          <w:sz w:val="22"/>
          <w:szCs w:val="22"/>
        </w:rPr>
        <w:t>fundadas</w:t>
      </w:r>
      <w:r w:rsidRPr="00971C77">
        <w:rPr>
          <w:rFonts w:ascii="Palatino Linotype" w:eastAsia="Palatino Linotype" w:hAnsi="Palatino Linotype" w:cs="Palatino Linotype"/>
          <w:sz w:val="22"/>
          <w:szCs w:val="22"/>
        </w:rPr>
        <w:t xml:space="preserve"> las razones o motivos de inconformidad hechos valer por la parte</w:t>
      </w:r>
      <w:r w:rsidRPr="00971C77">
        <w:rPr>
          <w:rFonts w:ascii="Palatino Linotype" w:eastAsia="Palatino Linotype" w:hAnsi="Palatino Linotype" w:cs="Palatino Linotype"/>
          <w:b/>
          <w:bCs/>
          <w:sz w:val="22"/>
          <w:szCs w:val="22"/>
        </w:rPr>
        <w:t xml:space="preserve"> Recurrente</w:t>
      </w:r>
      <w:r w:rsidRPr="00971C77">
        <w:rPr>
          <w:rFonts w:ascii="Palatino Linotype" w:eastAsia="Palatino Linotype" w:hAnsi="Palatino Linotype" w:cs="Palatino Linotype"/>
          <w:sz w:val="22"/>
          <w:szCs w:val="22"/>
        </w:rPr>
        <w:t xml:space="preserve"> en el recurso de revisión </w:t>
      </w:r>
      <w:r w:rsidRPr="00971C77">
        <w:rPr>
          <w:rFonts w:ascii="Palatino Linotype" w:eastAsia="Palatino Linotype" w:hAnsi="Palatino Linotype" w:cs="Palatino Linotype"/>
          <w:b/>
          <w:bCs/>
          <w:sz w:val="22"/>
          <w:szCs w:val="22"/>
        </w:rPr>
        <w:t>00234/INFOEM/IP/RR/2026</w:t>
      </w:r>
      <w:r w:rsidRPr="00971C77">
        <w:rPr>
          <w:rFonts w:ascii="Palatino Linotype" w:eastAsia="Palatino Linotype" w:hAnsi="Palatino Linotype" w:cs="Palatino Linotype"/>
          <w:sz w:val="22"/>
          <w:szCs w:val="22"/>
        </w:rPr>
        <w:t xml:space="preserve">; por lo que, en términos del </w:t>
      </w:r>
      <w:r w:rsidRPr="00971C77">
        <w:rPr>
          <w:rFonts w:ascii="Palatino Linotype" w:eastAsia="Palatino Linotype" w:hAnsi="Palatino Linotype" w:cs="Palatino Linotype"/>
          <w:b/>
          <w:bCs/>
          <w:sz w:val="22"/>
          <w:szCs w:val="22"/>
        </w:rPr>
        <w:t>Considerando</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 xml:space="preserve">Cuarto </w:t>
      </w:r>
      <w:r w:rsidRPr="00971C77">
        <w:rPr>
          <w:rFonts w:ascii="Palatino Linotype" w:eastAsia="Palatino Linotype" w:hAnsi="Palatino Linotype" w:cs="Palatino Linotype"/>
          <w:sz w:val="22"/>
          <w:szCs w:val="22"/>
        </w:rPr>
        <w:t xml:space="preserve">de esta resolución, se </w:t>
      </w:r>
      <w:r w:rsidRPr="00971C77">
        <w:rPr>
          <w:rFonts w:ascii="Palatino Linotype" w:eastAsia="Palatino Linotype" w:hAnsi="Palatino Linotype" w:cs="Palatino Linotype"/>
          <w:b/>
          <w:bCs/>
          <w:sz w:val="22"/>
          <w:szCs w:val="22"/>
        </w:rPr>
        <w:t xml:space="preserve">Revoca </w:t>
      </w:r>
      <w:r w:rsidRPr="00971C77">
        <w:rPr>
          <w:rFonts w:ascii="Palatino Linotype" w:eastAsia="Palatino Linotype" w:hAnsi="Palatino Linotype" w:cs="Palatino Linotype"/>
          <w:sz w:val="22"/>
          <w:szCs w:val="22"/>
        </w:rPr>
        <w:t xml:space="preserve">la respuesta emitida por el </w:t>
      </w:r>
      <w:r w:rsidRPr="00971C77">
        <w:rPr>
          <w:rFonts w:ascii="Palatino Linotype" w:eastAsia="Palatino Linotype" w:hAnsi="Palatino Linotype" w:cs="Palatino Linotype"/>
          <w:b/>
          <w:bCs/>
          <w:sz w:val="22"/>
          <w:szCs w:val="22"/>
        </w:rPr>
        <w:t>Sujeto Obligado.</w:t>
      </w:r>
    </w:p>
    <w:p w14:paraId="4EA79996" w14:textId="77777777" w:rsidR="002F3380" w:rsidRPr="00971C77" w:rsidRDefault="002F3380">
      <w:pPr>
        <w:spacing w:line="360" w:lineRule="auto"/>
        <w:jc w:val="both"/>
        <w:rPr>
          <w:rFonts w:ascii="Palatino Linotype" w:eastAsia="Palatino Linotype" w:hAnsi="Palatino Linotype" w:cs="Palatino Linotype"/>
          <w:b/>
          <w:bCs/>
          <w:sz w:val="22"/>
          <w:szCs w:val="22"/>
        </w:rPr>
      </w:pPr>
    </w:p>
    <w:p w14:paraId="0EBBEB6F" w14:textId="77777777" w:rsidR="002F3380" w:rsidRPr="00971C77" w:rsidRDefault="006219FF">
      <w:pPr>
        <w:spacing w:line="360" w:lineRule="auto"/>
        <w:jc w:val="both"/>
        <w:rPr>
          <w:rFonts w:ascii="Palatino Linotype" w:eastAsia="Palatino Linotype" w:hAnsi="Palatino Linotype" w:cs="Palatino Linotype"/>
          <w:sz w:val="22"/>
          <w:szCs w:val="22"/>
        </w:rPr>
      </w:pPr>
      <w:bookmarkStart w:id="13" w:name="_heading=h.2et92p0" w:colFirst="0" w:colLast="0"/>
      <w:bookmarkEnd w:id="13"/>
      <w:r w:rsidRPr="00971C77">
        <w:rPr>
          <w:rFonts w:ascii="Palatino Linotype" w:eastAsia="Palatino Linotype" w:hAnsi="Palatino Linotype" w:cs="Palatino Linotype"/>
          <w:b/>
          <w:bCs/>
          <w:sz w:val="22"/>
          <w:szCs w:val="22"/>
        </w:rPr>
        <w:t xml:space="preserve">Segundo. </w:t>
      </w:r>
      <w:r w:rsidRPr="00971C77">
        <w:rPr>
          <w:rFonts w:ascii="Palatino Linotype" w:eastAsia="Palatino Linotype" w:hAnsi="Palatino Linotype" w:cs="Palatino Linotype"/>
          <w:sz w:val="22"/>
          <w:szCs w:val="22"/>
        </w:rPr>
        <w:t xml:space="preserve">Se </w:t>
      </w:r>
      <w:r w:rsidRPr="00971C77">
        <w:rPr>
          <w:rFonts w:ascii="Palatino Linotype" w:eastAsia="Palatino Linotype" w:hAnsi="Palatino Linotype" w:cs="Palatino Linotype"/>
          <w:b/>
          <w:bCs/>
          <w:sz w:val="22"/>
          <w:szCs w:val="22"/>
        </w:rPr>
        <w:t>Ordena</w:t>
      </w:r>
      <w:r w:rsidRPr="00971C77">
        <w:rPr>
          <w:rFonts w:ascii="Palatino Linotype" w:eastAsia="Palatino Linotype" w:hAnsi="Palatino Linotype" w:cs="Palatino Linotype"/>
          <w:sz w:val="22"/>
          <w:szCs w:val="22"/>
        </w:rPr>
        <w:t xml:space="preserve"> al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en términos de los considerandos </w:t>
      </w:r>
      <w:r w:rsidRPr="00971C77">
        <w:rPr>
          <w:rFonts w:ascii="Palatino Linotype" w:eastAsia="Palatino Linotype" w:hAnsi="Palatino Linotype" w:cs="Palatino Linotype"/>
          <w:b/>
          <w:bCs/>
          <w:sz w:val="22"/>
          <w:szCs w:val="22"/>
        </w:rPr>
        <w:t xml:space="preserve">Cuarto y Quinto </w:t>
      </w:r>
      <w:r w:rsidRPr="00971C77">
        <w:rPr>
          <w:rFonts w:ascii="Palatino Linotype" w:eastAsia="Palatino Linotype" w:hAnsi="Palatino Linotype" w:cs="Palatino Linotype"/>
          <w:sz w:val="22"/>
          <w:szCs w:val="22"/>
        </w:rPr>
        <w:t xml:space="preserve">de esta resolución, </w:t>
      </w:r>
      <w:r w:rsidRPr="00971C77">
        <w:rPr>
          <w:rFonts w:ascii="Palatino Linotype" w:eastAsia="Palatino Linotype" w:hAnsi="Palatino Linotype" w:cs="Palatino Linotype"/>
          <w:b/>
          <w:bCs/>
          <w:sz w:val="22"/>
          <w:szCs w:val="22"/>
        </w:rPr>
        <w:t xml:space="preserve">haga entrega vía Sistema de Acceso a la Información Mexiquense (SAIMEX), previa búsqueda exhaustiva y razonable, de ser procedente en versión pública, </w:t>
      </w:r>
      <w:r w:rsidRPr="00971C77">
        <w:rPr>
          <w:rFonts w:ascii="Palatino Linotype" w:eastAsia="Palatino Linotype" w:hAnsi="Palatino Linotype" w:cs="Palatino Linotype"/>
          <w:sz w:val="22"/>
          <w:szCs w:val="22"/>
        </w:rPr>
        <w:t>lo siguiente:</w:t>
      </w:r>
    </w:p>
    <w:p w14:paraId="5A43AFEE"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71C1168C" w14:textId="77777777" w:rsidR="002F3380" w:rsidRPr="00971C77" w:rsidRDefault="006219FF">
      <w:pPr>
        <w:numPr>
          <w:ilvl w:val="0"/>
          <w:numId w:val="1"/>
        </w:numPr>
        <w:pBdr>
          <w:top w:val="nil"/>
          <w:left w:val="nil"/>
          <w:bottom w:val="nil"/>
          <w:right w:val="nil"/>
          <w:between w:val="nil"/>
        </w:pBdr>
        <w:jc w:val="both"/>
        <w:rPr>
          <w:rFonts w:ascii="Palatino Linotype" w:eastAsia="Palatino Linotype" w:hAnsi="Palatino Linotype" w:cs="Palatino Linotype"/>
          <w:b/>
          <w:bCs/>
          <w:sz w:val="22"/>
          <w:szCs w:val="22"/>
        </w:rPr>
      </w:pPr>
      <w:r w:rsidRPr="00971C77">
        <w:rPr>
          <w:rFonts w:ascii="Palatino Linotype" w:eastAsia="Palatino Linotype" w:hAnsi="Palatino Linotype" w:cs="Palatino Linotype"/>
          <w:b/>
          <w:bCs/>
          <w:sz w:val="22"/>
          <w:szCs w:val="22"/>
        </w:rPr>
        <w:t>La versión estenográfica y videograbada de la Vigésima Quinta Sesión Ordinaria de Cabildo celebrada el 15 de octubre de 2024.</w:t>
      </w:r>
    </w:p>
    <w:p w14:paraId="178AF7F1" w14:textId="77777777" w:rsidR="002F3380" w:rsidRPr="00971C77" w:rsidRDefault="002F3380">
      <w:pPr>
        <w:ind w:left="284"/>
        <w:jc w:val="both"/>
        <w:rPr>
          <w:rFonts w:ascii="Palatino Linotype" w:eastAsia="Palatino Linotype" w:hAnsi="Palatino Linotype" w:cs="Palatino Linotype"/>
          <w:b/>
          <w:bCs/>
          <w:sz w:val="22"/>
          <w:szCs w:val="22"/>
        </w:rPr>
      </w:pPr>
    </w:p>
    <w:p w14:paraId="49568E6D" w14:textId="77777777" w:rsidR="002F3380" w:rsidRPr="00971C77" w:rsidRDefault="006219FF">
      <w:pPr>
        <w:ind w:left="284"/>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Para la entrega en versión pública, se deberá emitir el Acuerdo del Comité de Transparencia de acuerdo con la Ley de Transparencia y Acceso a la Información Pública del Estado de México y Municipios, en el que funde y motive las razones sobre los datos que se supriman o eliminen de los soportes documentales objeto de las versiones públicas que se formulen y se pongan a disposición de </w:t>
      </w:r>
      <w:r w:rsidRPr="00971C77">
        <w:rPr>
          <w:rFonts w:ascii="Palatino Linotype" w:eastAsia="Palatino Linotype" w:hAnsi="Palatino Linotype" w:cs="Palatino Linotype"/>
          <w:b/>
          <w:bCs/>
          <w:i/>
          <w:iCs/>
          <w:sz w:val="22"/>
          <w:szCs w:val="22"/>
        </w:rPr>
        <w:t>la parte Recurrente</w:t>
      </w:r>
      <w:r w:rsidRPr="00971C77">
        <w:rPr>
          <w:rFonts w:ascii="Palatino Linotype" w:eastAsia="Palatino Linotype" w:hAnsi="Palatino Linotype" w:cs="Palatino Linotype"/>
          <w:i/>
          <w:iCs/>
          <w:sz w:val="22"/>
          <w:szCs w:val="22"/>
        </w:rPr>
        <w:t>, mismo que igualmente hará de su conocimiento.</w:t>
      </w:r>
    </w:p>
    <w:p w14:paraId="18A2B614" w14:textId="77777777" w:rsidR="002F3380" w:rsidRPr="00971C77" w:rsidRDefault="002F3380">
      <w:pPr>
        <w:ind w:left="284"/>
        <w:jc w:val="both"/>
        <w:rPr>
          <w:rFonts w:ascii="Palatino Linotype" w:eastAsia="Palatino Linotype" w:hAnsi="Palatino Linotype" w:cs="Palatino Linotype"/>
          <w:i/>
          <w:iCs/>
          <w:sz w:val="22"/>
          <w:szCs w:val="22"/>
        </w:rPr>
      </w:pPr>
    </w:p>
    <w:p w14:paraId="352FE5DF" w14:textId="77777777" w:rsidR="002F3380" w:rsidRPr="00971C77" w:rsidRDefault="006219FF">
      <w:pPr>
        <w:ind w:left="284"/>
        <w:jc w:val="both"/>
        <w:rPr>
          <w:rFonts w:ascii="Palatino Linotype" w:eastAsia="Palatino Linotype" w:hAnsi="Palatino Linotype" w:cs="Palatino Linotype"/>
          <w:i/>
          <w:iCs/>
          <w:sz w:val="22"/>
          <w:szCs w:val="22"/>
        </w:rPr>
      </w:pPr>
      <w:r w:rsidRPr="00971C77">
        <w:rPr>
          <w:rFonts w:ascii="Palatino Linotype" w:eastAsia="Palatino Linotype" w:hAnsi="Palatino Linotype" w:cs="Palatino Linotype"/>
          <w:i/>
          <w:iCs/>
          <w:sz w:val="22"/>
          <w:szCs w:val="22"/>
        </w:rPr>
        <w:t xml:space="preserve">No obstante, para el caso de que el </w:t>
      </w:r>
      <w:r w:rsidRPr="00971C77">
        <w:rPr>
          <w:rFonts w:ascii="Palatino Linotype" w:eastAsia="Palatino Linotype" w:hAnsi="Palatino Linotype" w:cs="Palatino Linotype"/>
          <w:b/>
          <w:bCs/>
          <w:i/>
          <w:iCs/>
          <w:sz w:val="22"/>
          <w:szCs w:val="22"/>
        </w:rPr>
        <w:t xml:space="preserve">Sujeto Obligado </w:t>
      </w:r>
      <w:r w:rsidRPr="00971C77">
        <w:rPr>
          <w:rFonts w:ascii="Palatino Linotype" w:eastAsia="Palatino Linotype" w:hAnsi="Palatino Linotype" w:cs="Palatino Linotype"/>
          <w:i/>
          <w:iCs/>
          <w:sz w:val="22"/>
          <w:szCs w:val="22"/>
        </w:rPr>
        <w:t>no localice</w:t>
      </w:r>
      <w:r w:rsidRPr="00971C77">
        <w:rPr>
          <w:rFonts w:ascii="Palatino Linotype" w:eastAsia="Palatino Linotype" w:hAnsi="Palatino Linotype" w:cs="Palatino Linotype"/>
          <w:b/>
          <w:bCs/>
          <w:i/>
          <w:iCs/>
          <w:sz w:val="22"/>
          <w:szCs w:val="22"/>
        </w:rPr>
        <w:t xml:space="preserve"> </w:t>
      </w:r>
      <w:r w:rsidRPr="00971C77">
        <w:rPr>
          <w:rFonts w:ascii="Palatino Linotype" w:eastAsia="Palatino Linotype" w:hAnsi="Palatino Linotype" w:cs="Palatino Linotype"/>
          <w:i/>
          <w:iCs/>
          <w:sz w:val="22"/>
          <w:szCs w:val="22"/>
        </w:rPr>
        <w:t xml:space="preserve">alguna de las dos versiones de la sesión de cabildo que se ordenan; bastará con que lo haga del conocimiento de la parte </w:t>
      </w:r>
      <w:r w:rsidRPr="00971C77">
        <w:rPr>
          <w:rFonts w:ascii="Palatino Linotype" w:eastAsia="Palatino Linotype" w:hAnsi="Palatino Linotype" w:cs="Palatino Linotype"/>
          <w:b/>
          <w:bCs/>
          <w:i/>
          <w:iCs/>
          <w:sz w:val="22"/>
          <w:szCs w:val="22"/>
        </w:rPr>
        <w:t xml:space="preserve">Recurrente </w:t>
      </w:r>
      <w:r w:rsidRPr="00971C77">
        <w:rPr>
          <w:rFonts w:ascii="Palatino Linotype" w:eastAsia="Palatino Linotype" w:hAnsi="Palatino Linotype" w:cs="Palatino Linotype"/>
          <w:i/>
          <w:iCs/>
          <w:sz w:val="22"/>
          <w:szCs w:val="22"/>
        </w:rPr>
        <w:t>y remita la que obre en sus archivos, para tener por cumplido el requerimiento de información.</w:t>
      </w:r>
    </w:p>
    <w:p w14:paraId="0992763B" w14:textId="77777777" w:rsidR="002F3380" w:rsidRPr="00971C77" w:rsidRDefault="002F3380">
      <w:pPr>
        <w:spacing w:line="360" w:lineRule="auto"/>
        <w:jc w:val="both"/>
        <w:rPr>
          <w:rFonts w:ascii="Palatino Linotype" w:eastAsia="Palatino Linotype" w:hAnsi="Palatino Linotype" w:cs="Palatino Linotype"/>
          <w:b/>
          <w:bCs/>
          <w:i/>
          <w:iCs/>
          <w:sz w:val="22"/>
          <w:szCs w:val="22"/>
        </w:rPr>
      </w:pPr>
    </w:p>
    <w:p w14:paraId="52CE5D38" w14:textId="77777777" w:rsidR="002F3380" w:rsidRPr="00971C77" w:rsidRDefault="006219FF">
      <w:pPr>
        <w:spacing w:line="360" w:lineRule="auto"/>
        <w:jc w:val="both"/>
        <w:rPr>
          <w:rFonts w:ascii="Palatino Linotype" w:eastAsia="Palatino Linotype" w:hAnsi="Palatino Linotype" w:cs="Palatino Linotype"/>
          <w:sz w:val="22"/>
          <w:szCs w:val="22"/>
        </w:rPr>
      </w:pPr>
      <w:bookmarkStart w:id="14" w:name="_heading=h.59npxyxpomjd" w:colFirst="0" w:colLast="0"/>
      <w:bookmarkEnd w:id="14"/>
      <w:r w:rsidRPr="00971C77">
        <w:rPr>
          <w:rFonts w:ascii="Palatino Linotype" w:eastAsia="Palatino Linotype" w:hAnsi="Palatino Linotype" w:cs="Palatino Linotype"/>
          <w:b/>
          <w:bCs/>
          <w:sz w:val="22"/>
          <w:szCs w:val="22"/>
        </w:rPr>
        <w:t xml:space="preserve">Tercero. Notifíquese, </w:t>
      </w:r>
      <w:r w:rsidRPr="00971C77">
        <w:rPr>
          <w:rFonts w:ascii="Palatino Linotype" w:eastAsia="Palatino Linotype" w:hAnsi="Palatino Linotype" w:cs="Palatino Linotype"/>
          <w:sz w:val="22"/>
          <w:szCs w:val="22"/>
        </w:rPr>
        <w:t xml:space="preserve">vía </w:t>
      </w:r>
      <w:r w:rsidRPr="00971C77">
        <w:rPr>
          <w:rFonts w:ascii="Palatino Linotype" w:eastAsia="Palatino Linotype" w:hAnsi="Palatino Linotype" w:cs="Palatino Linotype"/>
          <w:b/>
          <w:bCs/>
          <w:sz w:val="22"/>
          <w:szCs w:val="22"/>
        </w:rPr>
        <w:t>SAIMEX</w:t>
      </w:r>
      <w:r w:rsidRPr="00971C77">
        <w:rPr>
          <w:rFonts w:ascii="Palatino Linotype" w:eastAsia="Palatino Linotype" w:hAnsi="Palatino Linotype" w:cs="Palatino Linotype"/>
          <w:sz w:val="22"/>
          <w:szCs w:val="22"/>
        </w:rPr>
        <w:t xml:space="preserve">, al Titular de la Unidad de Transparencia del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la presente resolución para que conforme a los artículos 186, último párrafo y 189, párrafo segundo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1DB187E"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5D4769DF" w14:textId="77777777" w:rsidR="002F3380" w:rsidRPr="00971C77" w:rsidRDefault="006219FF">
      <w:pPr>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Cuarto.</w:t>
      </w:r>
      <w:r w:rsidRPr="00971C77">
        <w:rPr>
          <w:rFonts w:ascii="Palatino Linotype" w:eastAsia="Palatino Linotype" w:hAnsi="Palatino Linotype" w:cs="Palatino Linotype"/>
          <w:sz w:val="22"/>
          <w:szCs w:val="22"/>
        </w:rPr>
        <w:t xml:space="preserve"> </w:t>
      </w:r>
      <w:r w:rsidRPr="00971C77">
        <w:rPr>
          <w:rFonts w:ascii="Palatino Linotype" w:eastAsia="Palatino Linotype" w:hAnsi="Palatino Linotype" w:cs="Palatino Linotype"/>
          <w:b/>
          <w:bCs/>
          <w:sz w:val="22"/>
          <w:szCs w:val="22"/>
        </w:rPr>
        <w:t xml:space="preserve">Notifíquese, </w:t>
      </w:r>
      <w:r w:rsidRPr="00971C77">
        <w:rPr>
          <w:rFonts w:ascii="Palatino Linotype" w:eastAsia="Palatino Linotype" w:hAnsi="Palatino Linotype" w:cs="Palatino Linotype"/>
          <w:sz w:val="22"/>
          <w:szCs w:val="22"/>
        </w:rPr>
        <w:t xml:space="preserve">vía </w:t>
      </w:r>
      <w:r w:rsidRPr="00971C77">
        <w:rPr>
          <w:rFonts w:ascii="Palatino Linotype" w:eastAsia="Palatino Linotype" w:hAnsi="Palatino Linotype" w:cs="Palatino Linotype"/>
          <w:b/>
          <w:bCs/>
          <w:sz w:val="22"/>
          <w:szCs w:val="22"/>
        </w:rPr>
        <w:t>SAIMEX</w:t>
      </w:r>
      <w:r w:rsidRPr="00971C77">
        <w:rPr>
          <w:rFonts w:ascii="Palatino Linotype" w:eastAsia="Palatino Linotype" w:hAnsi="Palatino Linotype" w:cs="Palatino Linotype"/>
          <w:sz w:val="22"/>
          <w:szCs w:val="22"/>
        </w:rPr>
        <w:t xml:space="preserve">, al Titular de la Unidad de Transparencia del </w:t>
      </w:r>
      <w:r w:rsidRPr="00971C77">
        <w:rPr>
          <w:rFonts w:ascii="Palatino Linotype" w:eastAsia="Palatino Linotype" w:hAnsi="Palatino Linotype" w:cs="Palatino Linotype"/>
          <w:b/>
          <w:bCs/>
          <w:sz w:val="22"/>
          <w:szCs w:val="22"/>
        </w:rPr>
        <w:t>Sujeto Obligado,</w:t>
      </w:r>
      <w:r w:rsidRPr="00971C77">
        <w:rPr>
          <w:rFonts w:ascii="Palatino Linotype" w:eastAsia="Palatino Linotype" w:hAnsi="Palatino Linotype" w:cs="Palatino Linotype"/>
          <w:sz w:val="22"/>
          <w:szCs w:val="22"/>
        </w:rPr>
        <w:t xml:space="preserve"> que de conformidad con el artículo 198 de la Ley de Transparencia y Acceso a la Información Pública del Estado de México y Municipios, de considerarlo procedente, de manera fundada y motivada, podrá solicitar una ampliación de plazo para el cumplimiento de la presente resolución.</w:t>
      </w:r>
    </w:p>
    <w:p w14:paraId="17B57086" w14:textId="77777777" w:rsidR="002F3380" w:rsidRPr="00971C77" w:rsidRDefault="002F3380">
      <w:pPr>
        <w:spacing w:line="360" w:lineRule="auto"/>
        <w:ind w:right="49"/>
        <w:jc w:val="both"/>
        <w:rPr>
          <w:rFonts w:ascii="Palatino Linotype" w:eastAsia="Palatino Linotype" w:hAnsi="Palatino Linotype" w:cs="Palatino Linotype"/>
          <w:sz w:val="22"/>
          <w:szCs w:val="22"/>
        </w:rPr>
      </w:pPr>
    </w:p>
    <w:p w14:paraId="26AA765C" w14:textId="77777777" w:rsidR="002F3380" w:rsidRPr="00971C77" w:rsidRDefault="006219FF">
      <w:pPr>
        <w:spacing w:line="360" w:lineRule="auto"/>
        <w:ind w:right="49"/>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b/>
          <w:bCs/>
          <w:sz w:val="22"/>
          <w:szCs w:val="22"/>
        </w:rPr>
        <w:t xml:space="preserve">Quinto. Notifíquese vía SAIMEX, </w:t>
      </w:r>
      <w:r w:rsidRPr="00971C77">
        <w:rPr>
          <w:rFonts w:ascii="Palatino Linotype" w:eastAsia="Palatino Linotype" w:hAnsi="Palatino Linotype" w:cs="Palatino Linotype"/>
          <w:sz w:val="22"/>
          <w:szCs w:val="22"/>
        </w:rPr>
        <w:t xml:space="preserve">la presente resolución a la parte </w:t>
      </w:r>
      <w:r w:rsidRPr="00971C77">
        <w:rPr>
          <w:rFonts w:ascii="Palatino Linotype" w:eastAsia="Palatino Linotype" w:hAnsi="Palatino Linotype" w:cs="Palatino Linotype"/>
          <w:b/>
          <w:bCs/>
          <w:sz w:val="22"/>
          <w:szCs w:val="22"/>
        </w:rPr>
        <w:t>Recurrente</w:t>
      </w:r>
      <w:r w:rsidRPr="00971C77">
        <w:rPr>
          <w:rFonts w:ascii="Palatino Linotype" w:eastAsia="Palatino Linotype" w:hAnsi="Palatino Linotype" w:cs="Palatino Linotype"/>
          <w:sz w:val="22"/>
          <w:szCs w:val="22"/>
        </w:rPr>
        <w:t>, y hágase del conocimiento que en caso de que considere que la presente resolución le causa algún perjuicio, podrá promover el Juicio de Amparo en los términos de las leyes aplicables, de acuerdo a lo estipulado por el artículo 196 de la Ley de Transparencia y Acceso a la Información Pública del Estado de México y Municipios.</w:t>
      </w:r>
    </w:p>
    <w:p w14:paraId="748B6B4E" w14:textId="77777777" w:rsidR="002F3380" w:rsidRPr="00971C77" w:rsidRDefault="002F3380">
      <w:pPr>
        <w:spacing w:line="360" w:lineRule="auto"/>
        <w:ind w:right="49"/>
        <w:jc w:val="both"/>
        <w:rPr>
          <w:rFonts w:ascii="Palatino Linotype" w:eastAsia="Palatino Linotype" w:hAnsi="Palatino Linotype" w:cs="Palatino Linotype"/>
          <w:sz w:val="22"/>
          <w:szCs w:val="22"/>
        </w:rPr>
      </w:pPr>
    </w:p>
    <w:p w14:paraId="23A07EE8" w14:textId="77777777" w:rsidR="002F3380" w:rsidRPr="00971C77" w:rsidRDefault="006219FF">
      <w:pPr>
        <w:spacing w:line="360" w:lineRule="auto"/>
        <w:jc w:val="both"/>
        <w:rPr>
          <w:rFonts w:ascii="Palatino Linotype" w:eastAsia="Palatino Linotype" w:hAnsi="Palatino Linotype" w:cs="Palatino Linotype"/>
          <w:sz w:val="22"/>
          <w:szCs w:val="22"/>
        </w:rPr>
      </w:pPr>
      <w:r w:rsidRPr="00971C77">
        <w:rPr>
          <w:rFonts w:ascii="Palatino Linotype" w:eastAsia="Palatino Linotype" w:hAnsi="Palatino Linotype" w:cs="Palatino Linotype"/>
          <w:sz w:val="22"/>
          <w:szCs w:val="22"/>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 </w:t>
      </w:r>
    </w:p>
    <w:p w14:paraId="5F314F97"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1C72E5F" w14:textId="77777777" w:rsidR="002F3380" w:rsidRPr="00971C77" w:rsidRDefault="002F3380">
      <w:pPr>
        <w:rPr>
          <w:rFonts w:ascii="Palatino Linotype" w:eastAsia="Palatino Linotype" w:hAnsi="Palatino Linotype" w:cs="Palatino Linotype"/>
          <w:sz w:val="22"/>
          <w:szCs w:val="22"/>
        </w:rPr>
      </w:pPr>
      <w:bookmarkStart w:id="15" w:name="_heading=h.17dp8vu" w:colFirst="0" w:colLast="0"/>
      <w:bookmarkEnd w:id="15"/>
    </w:p>
    <w:p w14:paraId="514AB62C" w14:textId="77777777" w:rsidR="002F3380" w:rsidRPr="00971C77" w:rsidRDefault="002F3380">
      <w:pPr>
        <w:rPr>
          <w:rFonts w:ascii="Palatino Linotype" w:eastAsia="Palatino Linotype" w:hAnsi="Palatino Linotype" w:cs="Palatino Linotype"/>
          <w:sz w:val="22"/>
          <w:szCs w:val="22"/>
        </w:rPr>
      </w:pPr>
    </w:p>
    <w:p w14:paraId="3A3B90A7" w14:textId="77777777" w:rsidR="002F3380" w:rsidRPr="00971C77" w:rsidRDefault="002F3380">
      <w:pPr>
        <w:spacing w:line="360" w:lineRule="auto"/>
        <w:jc w:val="both"/>
        <w:rPr>
          <w:rFonts w:ascii="Palatino Linotype" w:eastAsia="Palatino Linotype" w:hAnsi="Palatino Linotype" w:cs="Palatino Linotype"/>
          <w:sz w:val="22"/>
          <w:szCs w:val="22"/>
        </w:rPr>
      </w:pPr>
      <w:bookmarkStart w:id="16" w:name="_heading=h.3rdcrjn" w:colFirst="0" w:colLast="0"/>
      <w:bookmarkEnd w:id="16"/>
    </w:p>
    <w:p w14:paraId="1A2918E8"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5AD45A3"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53555162" w14:textId="77777777" w:rsidR="002F3380" w:rsidRPr="00971C77" w:rsidRDefault="002F3380">
      <w:pPr>
        <w:spacing w:line="360" w:lineRule="auto"/>
        <w:jc w:val="both"/>
        <w:rPr>
          <w:rFonts w:ascii="Palatino Linotype" w:eastAsia="Palatino Linotype" w:hAnsi="Palatino Linotype" w:cs="Palatino Linotype"/>
          <w:sz w:val="22"/>
          <w:szCs w:val="22"/>
        </w:rPr>
      </w:pPr>
      <w:bookmarkStart w:id="17" w:name="_heading=h.1t3h5sf" w:colFirst="0" w:colLast="0"/>
      <w:bookmarkEnd w:id="17"/>
    </w:p>
    <w:p w14:paraId="0B200E45"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67D03598"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9A501D4"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A43F44A"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6BFF7F4A"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43C333DE"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2A99A66"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2F951139"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4C28D34"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6AFC108"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F8D3224"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6C94793"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62CBAA97"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3A5C5B0B"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041D75F7"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79432459"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1FD65D33"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7DC23288"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1E1996C6" w14:textId="77777777" w:rsidR="002F3380" w:rsidRPr="00971C77" w:rsidRDefault="002F3380">
      <w:pPr>
        <w:spacing w:line="360" w:lineRule="auto"/>
        <w:jc w:val="both"/>
        <w:rPr>
          <w:rFonts w:ascii="Palatino Linotype" w:eastAsia="Palatino Linotype" w:hAnsi="Palatino Linotype" w:cs="Palatino Linotype"/>
          <w:sz w:val="22"/>
          <w:szCs w:val="22"/>
        </w:rPr>
      </w:pPr>
    </w:p>
    <w:p w14:paraId="56B9FE13" w14:textId="77777777" w:rsidR="002F3380" w:rsidRPr="00971C77" w:rsidRDefault="002F3380">
      <w:pPr>
        <w:spacing w:line="360" w:lineRule="auto"/>
        <w:jc w:val="both"/>
        <w:rPr>
          <w:rFonts w:ascii="Palatino Linotype" w:eastAsia="Palatino Linotype" w:hAnsi="Palatino Linotype" w:cs="Palatino Linotype"/>
          <w:sz w:val="22"/>
          <w:szCs w:val="22"/>
        </w:rPr>
      </w:pPr>
    </w:p>
    <w:sectPr w:rsidR="002F3380" w:rsidRPr="00971C77">
      <w:headerReference w:type="default" r:id="rId11"/>
      <w:footerReference w:type="default" r:id="rId12"/>
      <w:headerReference w:type="first" r:id="rId13"/>
      <w:footerReference w:type="first" r:id="rId14"/>
      <w:pgSz w:w="12240" w:h="15840"/>
      <w:pgMar w:top="1985" w:right="1701" w:bottom="1701"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CC95B" w14:textId="77777777" w:rsidR="006219FF" w:rsidRDefault="006219FF">
      <w:r>
        <w:separator/>
      </w:r>
    </w:p>
  </w:endnote>
  <w:endnote w:type="continuationSeparator" w:id="0">
    <w:p w14:paraId="62898BC9" w14:textId="77777777" w:rsidR="006219FF" w:rsidRDefault="006219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embedRegular r:id="rId1" w:fontKey="{788CAB2A-86B6-4B2F-B329-10931D76AE39}"/>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5EC92AC-31D1-4101-87F5-2F9AA59C076B}"/>
    <w:embedBold r:id="rId3" w:fontKey="{FAFA9F35-DB30-4672-8064-7D18A5BC451D}"/>
  </w:font>
  <w:font w:name="Cambria">
    <w:panose1 w:val="02040503050406030204"/>
    <w:charset w:val="00"/>
    <w:family w:val="roman"/>
    <w:pitch w:val="variable"/>
    <w:sig w:usb0="E00006FF" w:usb1="420024FF" w:usb2="02000000" w:usb3="00000000" w:csb0="0000019F" w:csb1="00000000"/>
    <w:embedRegular r:id="rId4" w:fontKey="{C09BEE11-FD56-42A4-AC93-46693631FEAC}"/>
    <w:embedBold r:id="rId5" w:fontKey="{BD56F08A-AA99-4759-A828-CE02F9FB6592}"/>
    <w:embedBoldItalic r:id="rId6" w:fontKey="{62E95828-44B9-424E-B400-57D609D6D5CD}"/>
  </w:font>
  <w:font w:name="Segoe UI">
    <w:panose1 w:val="020B0502040204020203"/>
    <w:charset w:val="00"/>
    <w:family w:val="swiss"/>
    <w:pitch w:val="variable"/>
    <w:sig w:usb0="E4002EFF" w:usb1="C000E47F" w:usb2="00000009" w:usb3="00000000" w:csb0="000001FF" w:csb1="00000000"/>
    <w:embedRegular r:id="rId7" w:fontKey="{9F0D7063-773E-42B4-BB93-A9F51DEFE5CE}"/>
  </w:font>
  <w:font w:name="Georgia">
    <w:panose1 w:val="02040502050405020303"/>
    <w:charset w:val="00"/>
    <w:family w:val="roman"/>
    <w:pitch w:val="variable"/>
    <w:sig w:usb0="00000287" w:usb1="00000000" w:usb2="00000000" w:usb3="00000000" w:csb0="0000009F" w:csb1="00000000"/>
    <w:embedItalic r:id="rId8" w:fontKey="{24D5EF9C-AFC3-4ECE-8DD5-5D9A8EFCA945}"/>
  </w:font>
  <w:font w:name="Palatino Linotype">
    <w:panose1 w:val="02040502050505030304"/>
    <w:charset w:val="00"/>
    <w:family w:val="roman"/>
    <w:pitch w:val="variable"/>
    <w:sig w:usb0="E0000287" w:usb1="40000013" w:usb2="00000000" w:usb3="00000000" w:csb0="0000019F" w:csb1="00000000"/>
    <w:embedRegular r:id="rId9" w:fontKey="{860764C1-2726-40D1-A64D-144018C2F160}"/>
    <w:embedBold r:id="rId10" w:fontKey="{7A7226D4-4A26-4722-8F8B-01A944C11AA5}"/>
    <w:embedItalic r:id="rId11" w:fontKey="{C4331A0A-404B-4C87-80AD-63FC5090BBBA}"/>
    <w:embedBoldItalic r:id="rId12" w:fontKey="{8A670E32-1650-4A62-A512-08AACC1F90F9}"/>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BDD4D0" w14:textId="5620E273" w:rsidR="002F3380" w:rsidRDefault="006219F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616074">
      <w:rPr>
        <w:rFonts w:ascii="Palatino Linotype" w:eastAsia="Palatino Linotype" w:hAnsi="Palatino Linotype" w:cs="Palatino Linotype"/>
        <w:b/>
        <w:bCs/>
        <w:noProof/>
        <w:color w:val="000000"/>
        <w:sz w:val="20"/>
        <w:szCs w:val="20"/>
      </w:rPr>
      <w:t>22</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616074">
      <w:rPr>
        <w:rFonts w:ascii="Palatino Linotype" w:eastAsia="Palatino Linotype" w:hAnsi="Palatino Linotype" w:cs="Palatino Linotype"/>
        <w:b/>
        <w:bCs/>
        <w:noProof/>
        <w:color w:val="000000"/>
        <w:sz w:val="20"/>
        <w:szCs w:val="20"/>
      </w:rPr>
      <w:t>31</w:t>
    </w:r>
    <w:r>
      <w:rPr>
        <w:rFonts w:ascii="Palatino Linotype" w:eastAsia="Palatino Linotype" w:hAnsi="Palatino Linotype" w:cs="Palatino Linotype"/>
        <w:b/>
        <w:bCs/>
        <w:color w:val="000000"/>
        <w:sz w:val="20"/>
        <w:szCs w:val="20"/>
      </w:rPr>
      <w:fldChar w:fldCharType="end"/>
    </w:r>
  </w:p>
  <w:p w14:paraId="319A164A" w14:textId="77777777" w:rsidR="002F3380" w:rsidRDefault="002F3380">
    <w:pPr>
      <w:pBdr>
        <w:top w:val="nil"/>
        <w:left w:val="nil"/>
        <w:bottom w:val="nil"/>
        <w:right w:val="nil"/>
        <w:between w:val="nil"/>
      </w:pBdr>
      <w:tabs>
        <w:tab w:val="center" w:pos="4252"/>
        <w:tab w:val="right" w:pos="8504"/>
      </w:tabs>
      <w:ind w:firstLine="708"/>
      <w:rPr>
        <w:rFonts w:ascii="Cambria" w:eastAsia="Cambria" w:hAnsi="Cambria" w:cs="Cambria"/>
        <w:color w:val="000000"/>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0E462" w14:textId="74DD359B" w:rsidR="002F3380" w:rsidRDefault="006219FF">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b/>
        <w:bCs/>
        <w:color w:val="000000"/>
        <w:sz w:val="20"/>
        <w:szCs w:val="20"/>
      </w:rPr>
      <w:t xml:space="preserve">Página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PAGE</w:instrText>
    </w:r>
    <w:r>
      <w:rPr>
        <w:rFonts w:ascii="Palatino Linotype" w:eastAsia="Palatino Linotype" w:hAnsi="Palatino Linotype" w:cs="Palatino Linotype"/>
        <w:b/>
        <w:bCs/>
        <w:color w:val="000000"/>
        <w:sz w:val="20"/>
        <w:szCs w:val="20"/>
      </w:rPr>
      <w:fldChar w:fldCharType="separate"/>
    </w:r>
    <w:r w:rsidR="005748F5">
      <w:rPr>
        <w:rFonts w:ascii="Palatino Linotype" w:eastAsia="Palatino Linotype" w:hAnsi="Palatino Linotype" w:cs="Palatino Linotype"/>
        <w:b/>
        <w:bCs/>
        <w:noProof/>
        <w:color w:val="000000"/>
        <w:sz w:val="20"/>
        <w:szCs w:val="20"/>
      </w:rPr>
      <w:t>1</w:t>
    </w:r>
    <w:r>
      <w:rPr>
        <w:rFonts w:ascii="Palatino Linotype" w:eastAsia="Palatino Linotype" w:hAnsi="Palatino Linotype" w:cs="Palatino Linotype"/>
        <w:b/>
        <w:bCs/>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b/>
        <w:bCs/>
        <w:color w:val="000000"/>
        <w:sz w:val="20"/>
        <w:szCs w:val="20"/>
      </w:rPr>
      <w:fldChar w:fldCharType="begin"/>
    </w:r>
    <w:r>
      <w:rPr>
        <w:rFonts w:ascii="Palatino Linotype" w:eastAsia="Palatino Linotype" w:hAnsi="Palatino Linotype" w:cs="Palatino Linotype"/>
        <w:b/>
        <w:bCs/>
        <w:color w:val="000000"/>
        <w:sz w:val="20"/>
        <w:szCs w:val="20"/>
      </w:rPr>
      <w:instrText>NUMPAGES</w:instrText>
    </w:r>
    <w:r>
      <w:rPr>
        <w:rFonts w:ascii="Palatino Linotype" w:eastAsia="Palatino Linotype" w:hAnsi="Palatino Linotype" w:cs="Palatino Linotype"/>
        <w:b/>
        <w:bCs/>
        <w:color w:val="000000"/>
        <w:sz w:val="20"/>
        <w:szCs w:val="20"/>
      </w:rPr>
      <w:fldChar w:fldCharType="separate"/>
    </w:r>
    <w:r w:rsidR="005748F5">
      <w:rPr>
        <w:rFonts w:ascii="Palatino Linotype" w:eastAsia="Palatino Linotype" w:hAnsi="Palatino Linotype" w:cs="Palatino Linotype"/>
        <w:b/>
        <w:bCs/>
        <w:noProof/>
        <w:color w:val="000000"/>
        <w:sz w:val="20"/>
        <w:szCs w:val="20"/>
      </w:rPr>
      <w:t>31</w:t>
    </w:r>
    <w:r>
      <w:rPr>
        <w:rFonts w:ascii="Palatino Linotype" w:eastAsia="Palatino Linotype" w:hAnsi="Palatino Linotype" w:cs="Palatino Linotype"/>
        <w:b/>
        <w:bCs/>
        <w:color w:val="000000"/>
        <w:sz w:val="20"/>
        <w:szCs w:val="20"/>
      </w:rPr>
      <w:fldChar w:fldCharType="end"/>
    </w:r>
  </w:p>
  <w:p w14:paraId="053630F0" w14:textId="77777777" w:rsidR="002F3380" w:rsidRDefault="002F3380">
    <w:pPr>
      <w:pBdr>
        <w:top w:val="nil"/>
        <w:left w:val="nil"/>
        <w:bottom w:val="nil"/>
        <w:right w:val="nil"/>
        <w:between w:val="nil"/>
      </w:pBdr>
      <w:tabs>
        <w:tab w:val="center" w:pos="4252"/>
        <w:tab w:val="right" w:pos="8504"/>
      </w:tabs>
      <w:rPr>
        <w:rFonts w:ascii="Cambria" w:eastAsia="Cambria" w:hAnsi="Cambria" w:cs="Cambria"/>
        <w:color w:val="00000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E8DAC" w14:textId="77777777" w:rsidR="006219FF" w:rsidRDefault="006219FF">
      <w:r>
        <w:separator/>
      </w:r>
    </w:p>
  </w:footnote>
  <w:footnote w:type="continuationSeparator" w:id="0">
    <w:p w14:paraId="0AC1DDDE" w14:textId="77777777" w:rsidR="006219FF" w:rsidRDefault="006219FF">
      <w:r>
        <w:continuationSeparator/>
      </w:r>
    </w:p>
  </w:footnote>
  <w:footnote w:id="1">
    <w:p w14:paraId="355C7A5A" w14:textId="77777777" w:rsidR="002F3380" w:rsidRDefault="006219FF">
      <w:pPr>
        <w:pBdr>
          <w:top w:val="nil"/>
          <w:left w:val="nil"/>
          <w:bottom w:val="nil"/>
          <w:right w:val="nil"/>
          <w:between w:val="nil"/>
        </w:pBdr>
        <w:rPr>
          <w:rFonts w:ascii="Cambria" w:eastAsia="Cambria" w:hAnsi="Cambria" w:cs="Cambria"/>
          <w:color w:val="000000"/>
          <w:sz w:val="20"/>
          <w:szCs w:val="20"/>
        </w:rPr>
      </w:pPr>
      <w:r>
        <w:rPr>
          <w:vertAlign w:val="superscript"/>
        </w:rPr>
        <w:footnoteRef/>
      </w:r>
      <w:r>
        <w:rPr>
          <w:rFonts w:ascii="Cambria" w:eastAsia="Cambria" w:hAnsi="Cambria" w:cs="Cambria"/>
          <w:color w:val="000000"/>
          <w:sz w:val="20"/>
          <w:szCs w:val="20"/>
        </w:rPr>
        <w:t xml:space="preserve"> </w:t>
      </w:r>
      <w:r>
        <w:rPr>
          <w:rFonts w:ascii="Palatino Linotype" w:eastAsia="Palatino Linotype" w:hAnsi="Palatino Linotype" w:cs="Palatino Linotype"/>
          <w:color w:val="000000"/>
          <w:sz w:val="16"/>
          <w:szCs w:val="16"/>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r>
        <w:rPr>
          <w:rFonts w:ascii="Cambria" w:eastAsia="Cambria" w:hAnsi="Cambria" w:cs="Cambria"/>
          <w:color w:val="000000"/>
          <w:sz w:val="20"/>
          <w:szCs w:val="20"/>
        </w:rPr>
        <w:t xml:space="preserve"> (…)</w:t>
      </w:r>
    </w:p>
  </w:footnote>
  <w:footnote w:id="2">
    <w:p w14:paraId="37CEAC95" w14:textId="77777777" w:rsidR="002F3380" w:rsidRDefault="006219FF">
      <w:pPr>
        <w:pBdr>
          <w:top w:val="nil"/>
          <w:left w:val="nil"/>
          <w:bottom w:val="nil"/>
          <w:right w:val="nil"/>
          <w:between w:val="nil"/>
        </w:pBdr>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9"/>
          <w:szCs w:val="19"/>
        </w:rPr>
        <w:t xml:space="preserve"> </w:t>
      </w:r>
      <w:r>
        <w:rPr>
          <w:rFonts w:ascii="Palatino Linotype" w:eastAsia="Palatino Linotype" w:hAnsi="Palatino Linotype" w:cs="Palatino Linotype"/>
          <w:color w:val="000000"/>
          <w:sz w:val="16"/>
          <w:szCs w:val="16"/>
        </w:rPr>
        <w:t>“Artículo 3. Para los efectos de la presente Ley se entenderá por: (…) XXII. Información de interés público: Se refiere a la información que resulta relevante o beneficiosa para la sociedad y no simplemente de interés individual, cuya divulgación resulta útil para que el público comprenda las actividades que llevan a cabo los sujetos obligados…”</w:t>
      </w:r>
    </w:p>
  </w:footnote>
  <w:footnote w:id="3">
    <w:p w14:paraId="0EBF9A76" w14:textId="77777777" w:rsidR="002F3380" w:rsidRDefault="006219FF">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bCs/>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67955B89" w14:textId="77777777" w:rsidR="002F3380" w:rsidRDefault="006219FF">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A25CAC" w14:textId="77777777" w:rsidR="002F3380" w:rsidRDefault="002F3380">
    <w:pPr>
      <w:rPr>
        <w:rFonts w:ascii="Cambria" w:eastAsia="Cambria" w:hAnsi="Cambria" w:cs="Cambria"/>
        <w:color w:val="000000"/>
      </w:rPr>
    </w:pPr>
  </w:p>
  <w:tbl>
    <w:tblPr>
      <w:tblStyle w:val="a7"/>
      <w:tblW w:w="7087" w:type="dxa"/>
      <w:tblInd w:w="3261" w:type="dxa"/>
      <w:tblLayout w:type="fixed"/>
      <w:tblLook w:val="0400" w:firstRow="0" w:lastRow="0" w:firstColumn="0" w:lastColumn="0" w:noHBand="0" w:noVBand="1"/>
    </w:tblPr>
    <w:tblGrid>
      <w:gridCol w:w="2489"/>
      <w:gridCol w:w="4598"/>
    </w:tblGrid>
    <w:tr w:rsidR="002F3380" w14:paraId="75AEAD96" w14:textId="77777777">
      <w:tc>
        <w:tcPr>
          <w:tcW w:w="2489" w:type="dxa"/>
          <w:shd w:val="clear" w:color="auto" w:fill="auto"/>
        </w:tcPr>
        <w:p w14:paraId="1ECA323D" w14:textId="77777777" w:rsidR="002F3380" w:rsidRDefault="006219F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598" w:type="dxa"/>
          <w:shd w:val="clear" w:color="auto" w:fill="auto"/>
          <w:vAlign w:val="center"/>
        </w:tcPr>
        <w:p w14:paraId="4DF61C76" w14:textId="77777777" w:rsidR="002F3380" w:rsidRDefault="006219FF">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color w:val="000000"/>
              <w:sz w:val="22"/>
              <w:szCs w:val="22"/>
            </w:rPr>
            <w:t>00234/INFOEM/IP/RR/2026</w:t>
          </w:r>
          <w:r>
            <w:rPr>
              <w:noProof/>
            </w:rPr>
            <w:drawing>
              <wp:anchor distT="0" distB="0" distL="0" distR="0" simplePos="0" relativeHeight="251658240" behindDoc="1" locked="0" layoutInCell="1" hidden="0" allowOverlap="1" wp14:anchorId="124E3E5E" wp14:editId="5EBB55C4">
                <wp:simplePos x="0" y="0"/>
                <wp:positionH relativeFrom="column">
                  <wp:posOffset>-4305299</wp:posOffset>
                </wp:positionH>
                <wp:positionV relativeFrom="paragraph">
                  <wp:posOffset>-666114</wp:posOffset>
                </wp:positionV>
                <wp:extent cx="7809865" cy="10165715"/>
                <wp:effectExtent l="0" t="0" r="0" b="0"/>
                <wp:wrapNone/>
                <wp:docPr id="3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c>
    </w:tr>
    <w:tr w:rsidR="002F3380" w14:paraId="53A447BE" w14:textId="77777777">
      <w:trPr>
        <w:trHeight w:val="228"/>
      </w:trPr>
      <w:tc>
        <w:tcPr>
          <w:tcW w:w="2489" w:type="dxa"/>
          <w:shd w:val="clear" w:color="auto" w:fill="auto"/>
          <w:vAlign w:val="center"/>
        </w:tcPr>
        <w:p w14:paraId="494641B6" w14:textId="77777777" w:rsidR="002F3380" w:rsidRDefault="006219F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598" w:type="dxa"/>
          <w:shd w:val="clear" w:color="auto" w:fill="auto"/>
          <w:vAlign w:val="center"/>
        </w:tcPr>
        <w:p w14:paraId="2753C473" w14:textId="77777777" w:rsidR="002F3380" w:rsidRDefault="006219FF">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Tecámac</w:t>
          </w:r>
        </w:p>
      </w:tc>
    </w:tr>
    <w:tr w:rsidR="002F3380" w14:paraId="14AC469F" w14:textId="77777777">
      <w:tc>
        <w:tcPr>
          <w:tcW w:w="2489" w:type="dxa"/>
          <w:shd w:val="clear" w:color="auto" w:fill="auto"/>
          <w:vAlign w:val="center"/>
        </w:tcPr>
        <w:p w14:paraId="6061274D" w14:textId="77777777" w:rsidR="002F3380" w:rsidRDefault="006219FF">
          <w:pPr>
            <w:ind w:right="-108"/>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598" w:type="dxa"/>
          <w:shd w:val="clear" w:color="auto" w:fill="auto"/>
          <w:vAlign w:val="center"/>
        </w:tcPr>
        <w:p w14:paraId="0A2DA8AA" w14:textId="77777777" w:rsidR="002F3380" w:rsidRDefault="006219FF">
          <w:pPr>
            <w:ind w:right="17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301DF277" w14:textId="77777777" w:rsidR="002F3380" w:rsidRDefault="006219FF">
    <w:pPr>
      <w:rPr>
        <w:rFonts w:ascii="Cambria" w:eastAsia="Cambria" w:hAnsi="Cambria" w:cs="Cambria"/>
        <w:color w:val="000000"/>
      </w:rPr>
    </w:pPr>
    <w:r>
      <w:rPr>
        <w:rFonts w:ascii="Cambria" w:eastAsia="Cambria" w:hAnsi="Cambria" w:cs="Cambria"/>
        <w:color w:val="000000"/>
      </w:rPr>
      <w:tab/>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E1FED0" w14:textId="77777777" w:rsidR="002F3380" w:rsidRDefault="006219FF">
    <w:pPr>
      <w:widowControl w:val="0"/>
      <w:pBdr>
        <w:top w:val="nil"/>
        <w:left w:val="nil"/>
        <w:bottom w:val="nil"/>
        <w:right w:val="nil"/>
        <w:between w:val="nil"/>
      </w:pBdr>
      <w:spacing w:line="276" w:lineRule="auto"/>
      <w:rPr>
        <w:rFonts w:ascii="Palatino Linotype" w:eastAsia="Palatino Linotype" w:hAnsi="Palatino Linotype" w:cs="Palatino Linotype"/>
        <w:color w:val="000000"/>
        <w:sz w:val="16"/>
        <w:szCs w:val="16"/>
      </w:rPr>
    </w:pPr>
    <w:r>
      <w:rPr>
        <w:noProof/>
      </w:rPr>
      <w:drawing>
        <wp:anchor distT="0" distB="0" distL="0" distR="0" simplePos="0" relativeHeight="251659264" behindDoc="1" locked="0" layoutInCell="1" hidden="0" allowOverlap="1" wp14:anchorId="53D63431" wp14:editId="5B9D1C88">
          <wp:simplePos x="0" y="0"/>
          <wp:positionH relativeFrom="column">
            <wp:posOffset>-1079484</wp:posOffset>
          </wp:positionH>
          <wp:positionV relativeFrom="paragraph">
            <wp:posOffset>-328912</wp:posOffset>
          </wp:positionV>
          <wp:extent cx="7809865" cy="10165715"/>
          <wp:effectExtent l="0" t="0" r="0" b="0"/>
          <wp:wrapNone/>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7809865" cy="10165715"/>
                  </a:xfrm>
                  <a:prstGeom prst="rect">
                    <a:avLst/>
                  </a:prstGeom>
                  <a:ln/>
                </pic:spPr>
              </pic:pic>
            </a:graphicData>
          </a:graphic>
        </wp:anchor>
      </w:drawing>
    </w:r>
  </w:p>
  <w:tbl>
    <w:tblPr>
      <w:tblStyle w:val="a8"/>
      <w:tblW w:w="6945" w:type="dxa"/>
      <w:tblInd w:w="3261" w:type="dxa"/>
      <w:tblLayout w:type="fixed"/>
      <w:tblLook w:val="0400" w:firstRow="0" w:lastRow="0" w:firstColumn="0" w:lastColumn="0" w:noHBand="0" w:noVBand="1"/>
    </w:tblPr>
    <w:tblGrid>
      <w:gridCol w:w="2551"/>
      <w:gridCol w:w="4394"/>
    </w:tblGrid>
    <w:tr w:rsidR="002F3380" w14:paraId="7AC2EC6A" w14:textId="77777777">
      <w:tc>
        <w:tcPr>
          <w:tcW w:w="2551" w:type="dxa"/>
          <w:shd w:val="clear" w:color="auto" w:fill="auto"/>
          <w:vAlign w:val="center"/>
        </w:tcPr>
        <w:p w14:paraId="5EF92F87" w14:textId="77777777" w:rsidR="002F3380" w:rsidRDefault="006219F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Recurso de Revisión:</w:t>
          </w:r>
        </w:p>
      </w:tc>
      <w:tc>
        <w:tcPr>
          <w:tcW w:w="4394" w:type="dxa"/>
          <w:shd w:val="clear" w:color="auto" w:fill="auto"/>
          <w:vAlign w:val="center"/>
        </w:tcPr>
        <w:p w14:paraId="18A13034" w14:textId="77777777" w:rsidR="002F3380" w:rsidRDefault="006219FF">
          <w:pPr>
            <w:tabs>
              <w:tab w:val="left" w:pos="3153"/>
            </w:tabs>
            <w:ind w:left="-45"/>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00234/INFOEM/IP/RR/2026</w:t>
          </w:r>
        </w:p>
      </w:tc>
    </w:tr>
    <w:tr w:rsidR="002F3380" w14:paraId="0FEF2E2B" w14:textId="77777777">
      <w:trPr>
        <w:trHeight w:val="130"/>
      </w:trPr>
      <w:tc>
        <w:tcPr>
          <w:tcW w:w="2551" w:type="dxa"/>
          <w:shd w:val="clear" w:color="auto" w:fill="auto"/>
          <w:vAlign w:val="center"/>
        </w:tcPr>
        <w:p w14:paraId="22F4A12F" w14:textId="77777777" w:rsidR="002F3380" w:rsidRDefault="006219F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Recurrente:</w:t>
          </w:r>
        </w:p>
      </w:tc>
      <w:tc>
        <w:tcPr>
          <w:tcW w:w="4394" w:type="dxa"/>
          <w:shd w:val="clear" w:color="auto" w:fill="auto"/>
          <w:vAlign w:val="center"/>
        </w:tcPr>
        <w:p w14:paraId="1DD85986" w14:textId="1C26B955" w:rsidR="002F3380" w:rsidRDefault="005748F5" w:rsidP="005748F5">
          <w:pPr>
            <w:ind w:left="-45" w:right="1444"/>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XXXXXXX</w:t>
          </w:r>
        </w:p>
      </w:tc>
    </w:tr>
    <w:tr w:rsidR="002F3380" w14:paraId="49432B69" w14:textId="77777777">
      <w:trPr>
        <w:trHeight w:val="228"/>
      </w:trPr>
      <w:tc>
        <w:tcPr>
          <w:tcW w:w="2551" w:type="dxa"/>
          <w:shd w:val="clear" w:color="auto" w:fill="auto"/>
          <w:vAlign w:val="center"/>
        </w:tcPr>
        <w:p w14:paraId="65CADBD8" w14:textId="77777777" w:rsidR="002F3380" w:rsidRDefault="006219F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Sujeto Obligado:</w:t>
          </w:r>
        </w:p>
      </w:tc>
      <w:tc>
        <w:tcPr>
          <w:tcW w:w="4394" w:type="dxa"/>
          <w:shd w:val="clear" w:color="auto" w:fill="auto"/>
          <w:vAlign w:val="center"/>
        </w:tcPr>
        <w:p w14:paraId="3260DE76" w14:textId="77777777" w:rsidR="002F3380" w:rsidRDefault="006219FF">
          <w:pPr>
            <w:ind w:left="-45" w:right="1586"/>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Ayuntamiento de Tecámac</w:t>
          </w:r>
        </w:p>
      </w:tc>
    </w:tr>
    <w:tr w:rsidR="002F3380" w14:paraId="2B0BC437" w14:textId="77777777">
      <w:tc>
        <w:tcPr>
          <w:tcW w:w="2551" w:type="dxa"/>
          <w:shd w:val="clear" w:color="auto" w:fill="auto"/>
          <w:vAlign w:val="center"/>
        </w:tcPr>
        <w:p w14:paraId="30E52D1E" w14:textId="77777777" w:rsidR="002F3380" w:rsidRDefault="006219FF">
          <w:pPr>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Comisionada Ponente:</w:t>
          </w:r>
        </w:p>
      </w:tc>
      <w:tc>
        <w:tcPr>
          <w:tcW w:w="4394" w:type="dxa"/>
          <w:shd w:val="clear" w:color="auto" w:fill="auto"/>
          <w:vAlign w:val="center"/>
        </w:tcPr>
        <w:p w14:paraId="6300A6CC" w14:textId="77777777" w:rsidR="002F3380" w:rsidRDefault="006219FF">
          <w:pPr>
            <w:ind w:left="-45" w:right="-533"/>
            <w:jc w:val="both"/>
            <w:rPr>
              <w:rFonts w:ascii="Palatino Linotype" w:eastAsia="Palatino Linotype" w:hAnsi="Palatino Linotype" w:cs="Palatino Linotype"/>
              <w:b/>
              <w:bCs/>
              <w:sz w:val="22"/>
              <w:szCs w:val="22"/>
            </w:rPr>
          </w:pPr>
          <w:r>
            <w:rPr>
              <w:rFonts w:ascii="Palatino Linotype" w:eastAsia="Palatino Linotype" w:hAnsi="Palatino Linotype" w:cs="Palatino Linotype"/>
              <w:b/>
              <w:bCs/>
              <w:sz w:val="22"/>
              <w:szCs w:val="22"/>
            </w:rPr>
            <w:t>Guadalupe Ramírez Peña</w:t>
          </w:r>
        </w:p>
      </w:tc>
    </w:tr>
  </w:tbl>
  <w:p w14:paraId="7D733F3A" w14:textId="77777777" w:rsidR="002F3380" w:rsidRDefault="002F3380">
    <w:pPr>
      <w:pBdr>
        <w:top w:val="nil"/>
        <w:left w:val="nil"/>
        <w:bottom w:val="nil"/>
        <w:right w:val="nil"/>
        <w:between w:val="nil"/>
      </w:pBdr>
      <w:tabs>
        <w:tab w:val="center" w:pos="4252"/>
        <w:tab w:val="right" w:pos="8504"/>
      </w:tabs>
      <w:rPr>
        <w:rFonts w:ascii="Cambria" w:eastAsia="Cambria" w:hAnsi="Cambria" w:cs="Cambria"/>
        <w:color w:val="000000"/>
      </w:rPr>
    </w:pPr>
  </w:p>
  <w:p w14:paraId="494D9EB0" w14:textId="77777777" w:rsidR="002F3380" w:rsidRDefault="002F3380"/>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62E5151"/>
    <w:multiLevelType w:val="multilevel"/>
    <w:tmpl w:val="9F8E8CC2"/>
    <w:lvl w:ilvl="0">
      <w:start w:val="1"/>
      <w:numFmt w:val="bullet"/>
      <w:pStyle w:val="Listaconvietas3"/>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380"/>
    <w:rsid w:val="002F3380"/>
    <w:rsid w:val="005748F5"/>
    <w:rsid w:val="00616074"/>
    <w:rsid w:val="006219FF"/>
    <w:rsid w:val="00971C7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2B4C8"/>
  <w15:docId w15:val="{CDF783DD-9BD4-4A8F-B781-002F2DBABA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240"/>
      <w:outlineLvl w:val="0"/>
    </w:pPr>
    <w:rPr>
      <w:rFonts w:ascii="Calibri" w:eastAsia="Calibri" w:hAnsi="Calibri" w:cs="Calibri"/>
      <w:color w:val="366091"/>
      <w:sz w:val="32"/>
      <w:szCs w:val="32"/>
    </w:rPr>
  </w:style>
  <w:style w:type="paragraph" w:styleId="Ttulo2">
    <w:name w:val="heading 2"/>
    <w:basedOn w:val="Normal"/>
    <w:next w:val="Normal"/>
    <w:uiPriority w:val="9"/>
    <w:semiHidden/>
    <w:unhideWhenUsed/>
    <w:qFormat/>
    <w:pPr>
      <w:keepNext/>
      <w:keepLines/>
      <w:spacing w:before="40"/>
      <w:outlineLvl w:val="1"/>
    </w:pPr>
    <w:rPr>
      <w:rFonts w:ascii="Calibri" w:eastAsia="Calibri" w:hAnsi="Calibri" w:cs="Calibri"/>
      <w:color w:val="366091"/>
      <w:sz w:val="26"/>
      <w:szCs w:val="26"/>
    </w:rPr>
  </w:style>
  <w:style w:type="paragraph" w:styleId="Ttulo3">
    <w:name w:val="heading 3"/>
    <w:basedOn w:val="Normal"/>
    <w:next w:val="Normal"/>
    <w:uiPriority w:val="9"/>
    <w:semiHidden/>
    <w:unhideWhenUsed/>
    <w:qFormat/>
    <w:pPr>
      <w:keepNext/>
      <w:spacing w:before="240" w:after="60"/>
      <w:ind w:left="2160" w:hanging="720"/>
      <w:outlineLvl w:val="2"/>
    </w:pPr>
    <w:rPr>
      <w:rFonts w:ascii="Calibri" w:eastAsia="Calibri" w:hAnsi="Calibri" w:cs="Calibri"/>
      <w:b/>
      <w:bCs/>
      <w:sz w:val="26"/>
      <w:szCs w:val="26"/>
    </w:rPr>
  </w:style>
  <w:style w:type="paragraph" w:styleId="Ttulo4">
    <w:name w:val="heading 4"/>
    <w:basedOn w:val="Normal"/>
    <w:next w:val="Normal"/>
    <w:uiPriority w:val="9"/>
    <w:semiHidden/>
    <w:unhideWhenUsed/>
    <w:qFormat/>
    <w:pPr>
      <w:keepNext/>
      <w:spacing w:before="240" w:after="60"/>
      <w:ind w:left="2880" w:hanging="720"/>
      <w:outlineLvl w:val="3"/>
    </w:pPr>
    <w:rPr>
      <w:rFonts w:ascii="Cambria" w:eastAsia="Cambria" w:hAnsi="Cambria" w:cs="Cambria"/>
      <w:b/>
      <w:bCs/>
      <w:sz w:val="28"/>
      <w:szCs w:val="28"/>
    </w:rPr>
  </w:style>
  <w:style w:type="paragraph" w:styleId="Ttulo5">
    <w:name w:val="heading 5"/>
    <w:basedOn w:val="Normal"/>
    <w:next w:val="Normal"/>
    <w:uiPriority w:val="9"/>
    <w:semiHidden/>
    <w:unhideWhenUsed/>
    <w:qFormat/>
    <w:pPr>
      <w:spacing w:before="240" w:after="60"/>
      <w:ind w:left="3600" w:hanging="720"/>
      <w:outlineLvl w:val="4"/>
    </w:pPr>
    <w:rPr>
      <w:rFonts w:ascii="Cambria" w:eastAsia="Cambria" w:hAnsi="Cambria" w:cs="Cambria"/>
      <w:b/>
      <w:bCs/>
      <w:i/>
      <w:iCs/>
      <w:sz w:val="26"/>
      <w:szCs w:val="26"/>
    </w:rPr>
  </w:style>
  <w:style w:type="paragraph" w:styleId="Ttulo6">
    <w:name w:val="heading 6"/>
    <w:basedOn w:val="Normal"/>
    <w:next w:val="Normal"/>
    <w:uiPriority w:val="9"/>
    <w:semiHidden/>
    <w:unhideWhenUsed/>
    <w:qFormat/>
    <w:pPr>
      <w:spacing w:before="240" w:after="60"/>
      <w:ind w:left="4320" w:hanging="72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7">
    <w:name w:val="Table Normal7"/>
    <w:tblPr>
      <w:tblCellMar>
        <w:top w:w="0" w:type="dxa"/>
        <w:left w:w="0" w:type="dxa"/>
        <w:bottom w:w="0" w:type="dxa"/>
        <w:right w:w="0" w:type="dxa"/>
      </w:tblCellMar>
    </w:tblPr>
  </w:style>
  <w:style w:type="table" w:customStyle="1" w:styleId="TableNormal6">
    <w:name w:val="Table Normal6"/>
    <w:tblPr>
      <w:tblCellMar>
        <w:top w:w="0" w:type="dxa"/>
        <w:left w:w="0" w:type="dxa"/>
        <w:bottom w:w="0" w:type="dxa"/>
        <w:right w:w="0" w:type="dxa"/>
      </w:tblCellMar>
    </w:tblPr>
  </w:style>
  <w:style w:type="table" w:customStyle="1" w:styleId="TableNormal5">
    <w:name w:val="Table Normal5"/>
    <w:tblPr>
      <w:tblCellMar>
        <w:top w:w="0" w:type="dxa"/>
        <w:left w:w="0" w:type="dxa"/>
        <w:bottom w:w="0" w:type="dxa"/>
        <w:right w:w="0" w:type="dxa"/>
      </w:tblCellMar>
    </w:tblPr>
  </w:style>
  <w:style w:type="table" w:customStyle="1" w:styleId="TableNormal40">
    <w:name w:val="Table Normal4"/>
    <w:tblPr>
      <w:tblCellMar>
        <w:top w:w="0" w:type="dxa"/>
        <w:left w:w="0" w:type="dxa"/>
        <w:bottom w:w="0" w:type="dxa"/>
        <w:right w:w="0" w:type="dxa"/>
      </w:tblCellMar>
    </w:tblPr>
  </w:style>
  <w:style w:type="table" w:customStyle="1" w:styleId="TableNormal30">
    <w:name w:val="Table Normal3"/>
    <w:tblPr>
      <w:tblCellMar>
        <w:top w:w="0" w:type="dxa"/>
        <w:left w:w="0" w:type="dxa"/>
        <w:bottom w:w="0" w:type="dxa"/>
        <w:right w:w="0" w:type="dxa"/>
      </w:tblCellMar>
    </w:tblPr>
  </w:style>
  <w:style w:type="table" w:customStyle="1" w:styleId="TableNormal20">
    <w:name w:val="Table Normal2"/>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16">
    <w:name w:val="16"/>
    <w:basedOn w:val="TableNormal10"/>
    <w:tblPr>
      <w:tblStyleRowBandSize w:val="1"/>
      <w:tblStyleColBandSize w:val="1"/>
      <w:tblCellMar>
        <w:left w:w="115" w:type="dxa"/>
        <w:right w:w="115" w:type="dxa"/>
      </w:tblCellMar>
    </w:tblPr>
  </w:style>
  <w:style w:type="table" w:customStyle="1" w:styleId="15">
    <w:name w:val="15"/>
    <w:basedOn w:val="TableNormal10"/>
    <w:tblPr>
      <w:tblStyleRowBandSize w:val="1"/>
      <w:tblStyleColBandSize w:val="1"/>
      <w:tblCellMar>
        <w:left w:w="115" w:type="dxa"/>
        <w:right w:w="115" w:type="dxa"/>
      </w:tblCellMar>
    </w:tblPr>
  </w:style>
  <w:style w:type="paragraph" w:styleId="Encabezado">
    <w:name w:val="header"/>
    <w:basedOn w:val="Normal"/>
    <w:link w:val="EncabezadoCar"/>
    <w:uiPriority w:val="99"/>
    <w:unhideWhenUsed/>
    <w:rsid w:val="00FE2A5A"/>
    <w:pPr>
      <w:tabs>
        <w:tab w:val="center" w:pos="4419"/>
        <w:tab w:val="right" w:pos="8838"/>
      </w:tabs>
    </w:pPr>
    <w:rPr>
      <w:lang w:val="es-ES"/>
    </w:rPr>
  </w:style>
  <w:style w:type="character" w:customStyle="1" w:styleId="EncabezadoCar">
    <w:name w:val="Encabezado Car"/>
    <w:basedOn w:val="Fuentedeprrafopredeter"/>
    <w:link w:val="Encabezado"/>
    <w:uiPriority w:val="99"/>
    <w:rsid w:val="00FE2A5A"/>
  </w:style>
  <w:style w:type="paragraph" w:styleId="Piedepgina">
    <w:name w:val="footer"/>
    <w:basedOn w:val="Normal"/>
    <w:link w:val="PiedepginaCar"/>
    <w:uiPriority w:val="99"/>
    <w:unhideWhenUsed/>
    <w:rsid w:val="00FE2A5A"/>
    <w:pPr>
      <w:tabs>
        <w:tab w:val="center" w:pos="4419"/>
        <w:tab w:val="right" w:pos="8838"/>
      </w:tabs>
    </w:pPr>
    <w:rPr>
      <w:lang w:val="es-ES"/>
    </w:rPr>
  </w:style>
  <w:style w:type="character" w:customStyle="1" w:styleId="PiedepginaCar">
    <w:name w:val="Pie de página Car"/>
    <w:basedOn w:val="Fuentedeprrafopredeter"/>
    <w:link w:val="Piedepgina"/>
    <w:uiPriority w:val="99"/>
    <w:rsid w:val="00FE2A5A"/>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E2A5A"/>
    <w:pPr>
      <w:ind w:left="720"/>
      <w:contextualSpacing/>
    </w:pPr>
    <w:rPr>
      <w:lang w:val="es-ES"/>
    </w:rPr>
  </w:style>
  <w:style w:type="table" w:styleId="Tablaconcuadrcula">
    <w:name w:val="Table Grid"/>
    <w:basedOn w:val="Tablanormal"/>
    <w:uiPriority w:val="39"/>
    <w:rsid w:val="005135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12F5"/>
    <w:pPr>
      <w:spacing w:before="100" w:beforeAutospacing="1" w:after="100" w:afterAutospacing="1"/>
    </w:pPr>
    <w:rPr>
      <w:lang w:val="es-ES"/>
    </w:rPr>
  </w:style>
  <w:style w:type="table" w:customStyle="1" w:styleId="14">
    <w:name w:val="14"/>
    <w:basedOn w:val="TableNormal10"/>
    <w:tblPr>
      <w:tblStyleRowBandSize w:val="1"/>
      <w:tblStyleColBandSize w:val="1"/>
      <w:tblCellMar>
        <w:left w:w="115" w:type="dxa"/>
        <w:right w:w="115" w:type="dxa"/>
      </w:tblCellMar>
    </w:tblPr>
  </w:style>
  <w:style w:type="table" w:customStyle="1" w:styleId="13">
    <w:name w:val="13"/>
    <w:basedOn w:val="TableNormal10"/>
    <w:tblPr>
      <w:tblStyleRowBandSize w:val="1"/>
      <w:tblStyleColBandSize w:val="1"/>
      <w:tblCellMar>
        <w:left w:w="115" w:type="dxa"/>
        <w:right w:w="115" w:type="dxa"/>
      </w:tblCellMar>
    </w:tblPr>
  </w:style>
  <w:style w:type="character" w:customStyle="1" w:styleId="apple-tab-span">
    <w:name w:val="apple-tab-span"/>
    <w:basedOn w:val="Fuentedeprrafopredeter"/>
    <w:rsid w:val="00355FC9"/>
  </w:style>
  <w:style w:type="table" w:customStyle="1" w:styleId="12">
    <w:name w:val="12"/>
    <w:basedOn w:val="TableNormal20"/>
    <w:tblPr>
      <w:tblStyleRowBandSize w:val="1"/>
      <w:tblStyleColBandSize w:val="1"/>
      <w:tblCellMar>
        <w:left w:w="115" w:type="dxa"/>
        <w:right w:w="115" w:type="dxa"/>
      </w:tblCellMar>
    </w:tblPr>
  </w:style>
  <w:style w:type="table" w:customStyle="1" w:styleId="11">
    <w:name w:val="11"/>
    <w:basedOn w:val="TableNormal20"/>
    <w:tblPr>
      <w:tblStyleRowBandSize w:val="1"/>
      <w:tblStyleColBandSize w:val="1"/>
      <w:tblCellMar>
        <w:left w:w="115" w:type="dxa"/>
        <w:right w:w="115" w:type="dxa"/>
      </w:tblCellMar>
    </w:tblPr>
  </w:style>
  <w:style w:type="character" w:styleId="Hipervnculo">
    <w:name w:val="Hyperlink"/>
    <w:aliases w:val="Hipervínculo1,Hipervínculo11,Hipervínculo12,Hipervínculo13,Hipervínculo14,Hipervínculo15"/>
    <w:basedOn w:val="Fuentedeprrafopredeter"/>
    <w:uiPriority w:val="99"/>
    <w:unhideWhenUsed/>
    <w:rsid w:val="00043B73"/>
    <w:rPr>
      <w:color w:val="0000FF"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759CF"/>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F759CF"/>
    <w:rPr>
      <w:sz w:val="20"/>
      <w:szCs w:val="20"/>
    </w:rPr>
  </w:style>
  <w:style w:type="character" w:styleId="Refdenotaalpie">
    <w:name w:val="footnote reference"/>
    <w:aliases w:val="Ref. de nota al pie 2,Footnotes refss,Texto de nota al pie,Appel note de bas de page,referencia nota al pie,BVI fnr,Footnote number,4_G,16 Point,Superscript 6 Point,Texto nota al pie,Footnote Reference Char3,Ref,de nota al pie,註腳內容,f"/>
    <w:basedOn w:val="Fuentedeprrafopredeter"/>
    <w:uiPriority w:val="99"/>
    <w:unhideWhenUsed/>
    <w:qFormat/>
    <w:rsid w:val="00F759CF"/>
    <w:rPr>
      <w:vertAlign w:val="superscript"/>
    </w:rPr>
  </w:style>
  <w:style w:type="table" w:customStyle="1" w:styleId="10">
    <w:name w:val="10"/>
    <w:basedOn w:val="TableNormal30"/>
    <w:tblPr>
      <w:tblStyleRowBandSize w:val="1"/>
      <w:tblStyleColBandSize w:val="1"/>
      <w:tblCellMar>
        <w:left w:w="115" w:type="dxa"/>
        <w:right w:w="115" w:type="dxa"/>
      </w:tblCellMar>
    </w:tblPr>
  </w:style>
  <w:style w:type="table" w:customStyle="1" w:styleId="9">
    <w:name w:val="9"/>
    <w:basedOn w:val="TableNormal30"/>
    <w:tblPr>
      <w:tblStyleRowBandSize w:val="1"/>
      <w:tblStyleColBandSize w:val="1"/>
      <w:tblCellMar>
        <w:left w:w="115" w:type="dxa"/>
        <w:right w:w="115" w:type="dxa"/>
      </w:tblCellMar>
    </w:tbl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283BF5"/>
    <w:rPr>
      <w:lang w:val="es-ES"/>
    </w:rPr>
  </w:style>
  <w:style w:type="table" w:customStyle="1" w:styleId="8">
    <w:name w:val="8"/>
    <w:basedOn w:val="TableNormal40"/>
    <w:tblPr>
      <w:tblStyleRowBandSize w:val="1"/>
      <w:tblStyleColBandSize w:val="1"/>
      <w:tblCellMar>
        <w:left w:w="115" w:type="dxa"/>
        <w:right w:w="115" w:type="dxa"/>
      </w:tblCellMar>
    </w:tblPr>
  </w:style>
  <w:style w:type="table" w:customStyle="1" w:styleId="7">
    <w:name w:val="7"/>
    <w:basedOn w:val="TableNormal40"/>
    <w:tblPr>
      <w:tblStyleRowBandSize w:val="1"/>
      <w:tblStyleColBandSize w:val="1"/>
      <w:tblCellMar>
        <w:left w:w="115" w:type="dxa"/>
        <w:right w:w="115" w:type="dxa"/>
      </w:tblCellMar>
    </w:tblPr>
  </w:style>
  <w:style w:type="table" w:customStyle="1" w:styleId="6">
    <w:name w:val="6"/>
    <w:basedOn w:val="TableNormal5"/>
    <w:tblPr>
      <w:tblStyleRowBandSize w:val="1"/>
      <w:tblStyleColBandSize w:val="1"/>
      <w:tblCellMar>
        <w:left w:w="115" w:type="dxa"/>
        <w:right w:w="115" w:type="dxa"/>
      </w:tblCellMar>
    </w:tblPr>
  </w:style>
  <w:style w:type="table" w:customStyle="1" w:styleId="5">
    <w:name w:val="5"/>
    <w:basedOn w:val="TableNormal5"/>
    <w:tblPr>
      <w:tblStyleRowBandSize w:val="1"/>
      <w:tblStyleColBandSize w:val="1"/>
      <w:tblCellMar>
        <w:left w:w="115" w:type="dxa"/>
        <w:right w:w="115" w:type="dxa"/>
      </w:tblCellMar>
    </w:tblPr>
  </w:style>
  <w:style w:type="paragraph" w:styleId="Listaconvietas3">
    <w:name w:val="List Bullet 3"/>
    <w:basedOn w:val="Normal"/>
    <w:uiPriority w:val="99"/>
    <w:unhideWhenUsed/>
    <w:rsid w:val="0077142E"/>
    <w:pPr>
      <w:numPr>
        <w:numId w:val="1"/>
      </w:numPr>
      <w:contextualSpacing/>
    </w:pPr>
  </w:style>
  <w:style w:type="table" w:customStyle="1" w:styleId="4">
    <w:name w:val="4"/>
    <w:basedOn w:val="TableNormal6"/>
    <w:tblPr>
      <w:tblStyleRowBandSize w:val="1"/>
      <w:tblStyleColBandSize w:val="1"/>
      <w:tblCellMar>
        <w:left w:w="115" w:type="dxa"/>
        <w:right w:w="115" w:type="dxa"/>
      </w:tblCellMar>
    </w:tblPr>
  </w:style>
  <w:style w:type="table" w:customStyle="1" w:styleId="3">
    <w:name w:val="3"/>
    <w:basedOn w:val="TableNormal6"/>
    <w:tblPr>
      <w:tblStyleRowBandSize w:val="1"/>
      <w:tblStyleColBandSize w:val="1"/>
      <w:tblCellMar>
        <w:left w:w="115" w:type="dxa"/>
        <w:right w:w="115" w:type="dxa"/>
      </w:tblCellMar>
    </w:tblPr>
  </w:style>
  <w:style w:type="table" w:customStyle="1" w:styleId="2">
    <w:name w:val="2"/>
    <w:basedOn w:val="TableNormal7"/>
    <w:tblPr>
      <w:tblStyleRowBandSize w:val="1"/>
      <w:tblStyleColBandSize w:val="1"/>
      <w:tblCellMar>
        <w:left w:w="115" w:type="dxa"/>
        <w:right w:w="115" w:type="dxa"/>
      </w:tblCellMar>
    </w:tblPr>
  </w:style>
  <w:style w:type="table" w:customStyle="1" w:styleId="1">
    <w:name w:val="1"/>
    <w:basedOn w:val="TableNormal7"/>
    <w:tblPr>
      <w:tblStyleRowBandSize w:val="1"/>
      <w:tblStyleColBandSize w:val="1"/>
      <w:tblCellMar>
        <w:left w:w="115" w:type="dxa"/>
        <w:right w:w="115" w:type="dxa"/>
      </w:tblCellMar>
    </w:tblPr>
  </w:style>
  <w:style w:type="paragraph" w:styleId="Listaconvietas2">
    <w:name w:val="List Bullet 2"/>
    <w:basedOn w:val="Normal"/>
    <w:uiPriority w:val="99"/>
    <w:unhideWhenUsed/>
    <w:rsid w:val="00B910CA"/>
    <w:pPr>
      <w:tabs>
        <w:tab w:val="num" w:pos="720"/>
      </w:tabs>
      <w:ind w:left="720" w:hanging="720"/>
      <w:contextualSpacing/>
    </w:pPr>
  </w:style>
  <w:style w:type="paragraph" w:styleId="Textodeglobo">
    <w:name w:val="Balloon Text"/>
    <w:basedOn w:val="Normal"/>
    <w:link w:val="TextodegloboCar"/>
    <w:uiPriority w:val="99"/>
    <w:semiHidden/>
    <w:unhideWhenUsed/>
    <w:rsid w:val="003B3B2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B3B2A"/>
    <w:rPr>
      <w:rFonts w:ascii="Segoe UI" w:hAnsi="Segoe UI" w:cs="Segoe UI"/>
      <w:sz w:val="18"/>
      <w:szCs w:val="18"/>
    </w:rPr>
  </w:style>
  <w:style w:type="character" w:styleId="Hipervnculovisitado">
    <w:name w:val="FollowedHyperlink"/>
    <w:basedOn w:val="Fuentedeprrafopredeter"/>
    <w:uiPriority w:val="99"/>
    <w:semiHidden/>
    <w:unhideWhenUsed/>
    <w:rsid w:val="00E9311B"/>
    <w:rPr>
      <w:color w:val="800080" w:themeColor="followedHyperlink"/>
      <w:u w:val="single"/>
    </w:rPr>
  </w:style>
  <w:style w:type="table" w:customStyle="1" w:styleId="a">
    <w:basedOn w:val="TableNormal4"/>
    <w:tblPr>
      <w:tblStyleRowBandSize w:val="1"/>
      <w:tblStyleColBandSize w:val="1"/>
      <w:tblCellMar>
        <w:left w:w="115" w:type="dxa"/>
        <w:right w:w="115" w:type="dxa"/>
      </w:tblCellMar>
    </w:tblPr>
  </w:style>
  <w:style w:type="table" w:customStyle="1" w:styleId="a0">
    <w:basedOn w:val="TableNormal4"/>
    <w:tblPr>
      <w:tblStyleRowBandSize w:val="1"/>
      <w:tblStyleColBandSize w:val="1"/>
      <w:tblCellMar>
        <w:left w:w="115" w:type="dxa"/>
        <w:right w:w="115" w:type="dxa"/>
      </w:tblCellMar>
    </w:tblPr>
  </w:style>
  <w:style w:type="table" w:customStyle="1" w:styleId="a1">
    <w:basedOn w:val="TableNormal3"/>
    <w:tblPr>
      <w:tblStyleRowBandSize w:val="1"/>
      <w:tblStyleColBandSize w:val="1"/>
      <w:tblCellMar>
        <w:left w:w="115" w:type="dxa"/>
        <w:right w:w="115" w:type="dxa"/>
      </w:tblCellMar>
    </w:tblPr>
  </w:style>
  <w:style w:type="table" w:customStyle="1" w:styleId="a2">
    <w:basedOn w:val="TableNormal3"/>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1"/>
    <w:tblPr>
      <w:tblStyleRowBandSize w:val="1"/>
      <w:tblStyleColBandSize w:val="1"/>
      <w:tblCellMar>
        <w:left w:w="115" w:type="dxa"/>
        <w:right w:w="115" w:type="dxa"/>
      </w:tblCellMar>
    </w:tblPr>
  </w:style>
  <w:style w:type="table" w:customStyle="1" w:styleId="a6">
    <w:basedOn w:val="TableNormal1"/>
    <w:tblPr>
      <w:tblStyleRowBandSize w:val="1"/>
      <w:tblStyleColBandSize w:val="1"/>
      <w:tblCellMar>
        <w:left w:w="115" w:type="dxa"/>
        <w:right w:w="115"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tecamac.gob.mx/docs/Gacetas2024/GACETA%20No.%2032.pdf" TargetMode="Externa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kudS0oa8ZeUZEbwrqgDu+fO7g==">CgMxLjAyCWguNGQzNG9nODIIaC5namRneHMyCWguM2R5NnZrbTIJaC4zMGowemxsMgloLjJzOGV5bzEyCGgudHlqY3d0MgloLjN6bnlzaDcyCWguMXk4MTB0dzIOaC5kOThhcmE3anNnaWsyDmguaWp2OThwbnRjZDVzMgloLjI2aW4xcmcyDWguaDduemI3OXdscmEyCWguMmV0OTJwMDIOaC41OW5weHl4cG9tamQyCWguMTdkcDh2dTIJaC4zcmRjcmpuMgloLjF0M2g1c2Y4AHIhMTJzM2JhTDQxd3dRNmVkbUh6S2IxS1NmTVd2U01LQnU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8223</Words>
  <Characters>45227</Characters>
  <Application>Microsoft Office Word</Application>
  <DocSecurity>0</DocSecurity>
  <Lines>376</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Maricela Villagómez Martínez</cp:lastModifiedBy>
  <cp:revision>2</cp:revision>
  <dcterms:created xsi:type="dcterms:W3CDTF">2026-04-07T17:14:00Z</dcterms:created>
  <dcterms:modified xsi:type="dcterms:W3CDTF">2026-04-07T17:14:00Z</dcterms:modified>
</cp:coreProperties>
</file>