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176470" w:rsidRDefault="004C465F" w:rsidP="00614700">
      <w:pPr>
        <w:tabs>
          <w:tab w:val="left" w:pos="8931"/>
        </w:tabs>
        <w:spacing w:after="0" w:line="360" w:lineRule="auto"/>
        <w:rPr>
          <w:color w:val="auto"/>
        </w:rPr>
      </w:pPr>
    </w:p>
    <w:sdt>
      <w:sdtPr>
        <w:rPr>
          <w:rFonts w:ascii="Palatino Linotype" w:eastAsia="Palatino Linotype" w:hAnsi="Palatino Linotype" w:cs="Palatino Linotype"/>
          <w:color w:val="auto"/>
          <w:sz w:val="22"/>
          <w:szCs w:val="22"/>
          <w:lang w:val="es-ES"/>
        </w:rPr>
        <w:id w:val="789625836"/>
        <w:docPartObj>
          <w:docPartGallery w:val="Table of Contents"/>
          <w:docPartUnique/>
        </w:docPartObj>
      </w:sdtPr>
      <w:sdtEndPr>
        <w:rPr>
          <w:b/>
          <w:bCs/>
        </w:rPr>
      </w:sdtEndPr>
      <w:sdtContent>
        <w:p w14:paraId="7F182055" w14:textId="1EF6450A" w:rsidR="00C4052B" w:rsidRPr="00D56DE6" w:rsidRDefault="00C4052B" w:rsidP="00614700">
          <w:pPr>
            <w:pStyle w:val="TtuloTDC"/>
            <w:spacing w:before="0" w:line="360" w:lineRule="auto"/>
            <w:jc w:val="center"/>
            <w:rPr>
              <w:rFonts w:ascii="Palatino Linotype" w:hAnsi="Palatino Linotype"/>
              <w:color w:val="auto"/>
              <w:sz w:val="22"/>
              <w:szCs w:val="22"/>
            </w:rPr>
          </w:pPr>
          <w:r w:rsidRPr="00D56DE6">
            <w:rPr>
              <w:rFonts w:ascii="Palatino Linotype" w:hAnsi="Palatino Linotype"/>
              <w:color w:val="auto"/>
              <w:sz w:val="22"/>
              <w:szCs w:val="22"/>
              <w:lang w:val="es-ES"/>
            </w:rPr>
            <w:t xml:space="preserve">RESOLUCIÓN DEL RECURSO DE REVISIÓN </w:t>
          </w:r>
          <w:r w:rsidR="00F935DC" w:rsidRPr="00D56DE6">
            <w:rPr>
              <w:rFonts w:ascii="Palatino Linotype" w:hAnsi="Palatino Linotype"/>
              <w:color w:val="auto"/>
              <w:sz w:val="22"/>
              <w:szCs w:val="22"/>
            </w:rPr>
            <w:t>133</w:t>
          </w:r>
          <w:r w:rsidR="00227EC0" w:rsidRPr="00D56DE6">
            <w:rPr>
              <w:rFonts w:ascii="Palatino Linotype" w:hAnsi="Palatino Linotype"/>
              <w:color w:val="auto"/>
              <w:sz w:val="22"/>
              <w:szCs w:val="22"/>
            </w:rPr>
            <w:t>4</w:t>
          </w:r>
          <w:r w:rsidR="00F935DC" w:rsidRPr="00D56DE6">
            <w:rPr>
              <w:rFonts w:ascii="Palatino Linotype" w:hAnsi="Palatino Linotype"/>
              <w:color w:val="auto"/>
              <w:sz w:val="22"/>
              <w:szCs w:val="22"/>
            </w:rPr>
            <w:t>6</w:t>
          </w:r>
          <w:r w:rsidR="000D392E" w:rsidRPr="00D56DE6">
            <w:rPr>
              <w:rFonts w:ascii="Palatino Linotype" w:hAnsi="Palatino Linotype"/>
              <w:color w:val="auto"/>
              <w:sz w:val="22"/>
              <w:szCs w:val="22"/>
            </w:rPr>
            <w:t>/INFOEM/IP/RR/2025</w:t>
          </w:r>
        </w:p>
        <w:p w14:paraId="73933EFA" w14:textId="77777777" w:rsidR="00C4052B" w:rsidRPr="00D56DE6" w:rsidRDefault="00C4052B" w:rsidP="00614700">
          <w:pPr>
            <w:spacing w:after="0" w:line="360" w:lineRule="auto"/>
            <w:rPr>
              <w:color w:val="auto"/>
            </w:rPr>
          </w:pPr>
        </w:p>
        <w:p w14:paraId="0B9177EB" w14:textId="77777777" w:rsidR="00176470" w:rsidRPr="00D56DE6" w:rsidRDefault="00C4052B">
          <w:pPr>
            <w:pStyle w:val="TDC1"/>
            <w:tabs>
              <w:tab w:val="right" w:leader="dot" w:pos="8921"/>
            </w:tabs>
            <w:rPr>
              <w:rFonts w:asciiTheme="minorHAnsi" w:eastAsiaTheme="minorEastAsia" w:hAnsiTheme="minorHAnsi" w:cstheme="minorBidi"/>
              <w:noProof/>
              <w:color w:val="auto"/>
            </w:rPr>
          </w:pPr>
          <w:r w:rsidRPr="00D56DE6">
            <w:rPr>
              <w:color w:val="auto"/>
            </w:rPr>
            <w:fldChar w:fldCharType="begin"/>
          </w:r>
          <w:r w:rsidRPr="00D56DE6">
            <w:rPr>
              <w:color w:val="auto"/>
            </w:rPr>
            <w:instrText xml:space="preserve"> TOC \o "1-3" \h \z \u </w:instrText>
          </w:r>
          <w:r w:rsidRPr="00D56DE6">
            <w:rPr>
              <w:color w:val="auto"/>
            </w:rPr>
            <w:fldChar w:fldCharType="separate"/>
          </w:r>
          <w:hyperlink w:anchor="_Toc219385667" w:history="1">
            <w:r w:rsidR="00176470" w:rsidRPr="00D56DE6">
              <w:rPr>
                <w:rStyle w:val="Hipervnculo"/>
                <w:noProof/>
              </w:rPr>
              <w:t>A N T E C E D E N T E S</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_Toc219385667 \h </w:instrText>
            </w:r>
            <w:r w:rsidR="00176470" w:rsidRPr="00D56DE6">
              <w:rPr>
                <w:noProof/>
                <w:webHidden/>
              </w:rPr>
            </w:r>
            <w:r w:rsidR="00176470" w:rsidRPr="00D56DE6">
              <w:rPr>
                <w:noProof/>
                <w:webHidden/>
              </w:rPr>
              <w:fldChar w:fldCharType="separate"/>
            </w:r>
            <w:r w:rsidR="00D6328C">
              <w:rPr>
                <w:noProof/>
                <w:webHidden/>
              </w:rPr>
              <w:t>2</w:t>
            </w:r>
            <w:r w:rsidR="00176470" w:rsidRPr="00D56DE6">
              <w:rPr>
                <w:noProof/>
                <w:webHidden/>
              </w:rPr>
              <w:fldChar w:fldCharType="end"/>
            </w:r>
          </w:hyperlink>
        </w:p>
        <w:p w14:paraId="66B21775"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68" w:history="1">
            <w:r w:rsidR="00176470" w:rsidRPr="00D56DE6">
              <w:rPr>
                <w:rStyle w:val="Hipervnculo"/>
                <w:noProof/>
                <w:lang w:eastAsia="es-ES"/>
              </w:rPr>
              <w:t>I. Presentación de la solicitud de información</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_Toc219385668 \h </w:instrText>
            </w:r>
            <w:r w:rsidR="00176470" w:rsidRPr="00D56DE6">
              <w:rPr>
                <w:noProof/>
                <w:webHidden/>
              </w:rPr>
            </w:r>
            <w:r w:rsidR="00176470" w:rsidRPr="00D56DE6">
              <w:rPr>
                <w:noProof/>
                <w:webHidden/>
              </w:rPr>
              <w:fldChar w:fldCharType="separate"/>
            </w:r>
            <w:r w:rsidR="00D6328C">
              <w:rPr>
                <w:noProof/>
                <w:webHidden/>
              </w:rPr>
              <w:t>2</w:t>
            </w:r>
            <w:r w:rsidR="00176470" w:rsidRPr="00D56DE6">
              <w:rPr>
                <w:noProof/>
                <w:webHidden/>
              </w:rPr>
              <w:fldChar w:fldCharType="end"/>
            </w:r>
          </w:hyperlink>
        </w:p>
        <w:p w14:paraId="593AE055"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69" w:history="1">
            <w:r w:rsidR="00176470" w:rsidRPr="00D56DE6">
              <w:rPr>
                <w:rStyle w:val="Hipervnculo"/>
                <w:rFonts w:cs="Tahoma"/>
                <w:noProof/>
              </w:rPr>
              <w:t>II.</w:t>
            </w:r>
            <w:r w:rsidR="00176470" w:rsidRPr="00D56DE6">
              <w:rPr>
                <w:rStyle w:val="Hipervnculo"/>
                <w:noProof/>
              </w:rPr>
              <w:t xml:space="preserve"> Respuesta del Sujeto Obligado</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_Toc219385669 \h </w:instrText>
            </w:r>
            <w:r w:rsidR="00176470" w:rsidRPr="00D56DE6">
              <w:rPr>
                <w:noProof/>
                <w:webHidden/>
              </w:rPr>
            </w:r>
            <w:r w:rsidR="00176470" w:rsidRPr="00D56DE6">
              <w:rPr>
                <w:noProof/>
                <w:webHidden/>
              </w:rPr>
              <w:fldChar w:fldCharType="separate"/>
            </w:r>
            <w:r w:rsidR="00D6328C">
              <w:rPr>
                <w:noProof/>
                <w:webHidden/>
              </w:rPr>
              <w:t>3</w:t>
            </w:r>
            <w:r w:rsidR="00176470" w:rsidRPr="00D56DE6">
              <w:rPr>
                <w:noProof/>
                <w:webHidden/>
              </w:rPr>
              <w:fldChar w:fldCharType="end"/>
            </w:r>
          </w:hyperlink>
        </w:p>
        <w:p w14:paraId="42BD0E3F"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0" w:history="1">
            <w:r w:rsidR="00176470" w:rsidRPr="00D56DE6">
              <w:rPr>
                <w:rStyle w:val="Hipervnculo"/>
                <w:noProof/>
              </w:rPr>
              <w:t>III. Interposición del Recurso de Revisión</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_Toc219385670 \h </w:instrText>
            </w:r>
            <w:r w:rsidR="00176470" w:rsidRPr="00D56DE6">
              <w:rPr>
                <w:noProof/>
                <w:webHidden/>
              </w:rPr>
            </w:r>
            <w:r w:rsidR="00176470" w:rsidRPr="00D56DE6">
              <w:rPr>
                <w:noProof/>
                <w:webHidden/>
              </w:rPr>
              <w:fldChar w:fldCharType="separate"/>
            </w:r>
            <w:r w:rsidR="00D6328C">
              <w:rPr>
                <w:noProof/>
                <w:webHidden/>
              </w:rPr>
              <w:t>3</w:t>
            </w:r>
            <w:r w:rsidR="00176470" w:rsidRPr="00D56DE6">
              <w:rPr>
                <w:noProof/>
                <w:webHidden/>
              </w:rPr>
              <w:fldChar w:fldCharType="end"/>
            </w:r>
          </w:hyperlink>
        </w:p>
        <w:p w14:paraId="69D859E8"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1" w:history="1">
            <w:r w:rsidR="00176470" w:rsidRPr="00D56DE6">
              <w:rPr>
                <w:rStyle w:val="Hipervnculo"/>
                <w:noProof/>
              </w:rPr>
              <w:t>IV. Trámite del Recurso de Revisión ante este Instituto</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_Toc219385671 \h </w:instrText>
            </w:r>
            <w:r w:rsidR="00176470" w:rsidRPr="00D56DE6">
              <w:rPr>
                <w:noProof/>
                <w:webHidden/>
              </w:rPr>
            </w:r>
            <w:r w:rsidR="00176470" w:rsidRPr="00D56DE6">
              <w:rPr>
                <w:noProof/>
                <w:webHidden/>
              </w:rPr>
              <w:fldChar w:fldCharType="separate"/>
            </w:r>
            <w:r w:rsidR="00D6328C">
              <w:rPr>
                <w:noProof/>
                <w:webHidden/>
              </w:rPr>
              <w:t>5</w:t>
            </w:r>
            <w:r w:rsidR="00176470" w:rsidRPr="00D56DE6">
              <w:rPr>
                <w:noProof/>
                <w:webHidden/>
              </w:rPr>
              <w:fldChar w:fldCharType="end"/>
            </w:r>
          </w:hyperlink>
        </w:p>
        <w:p w14:paraId="2BFDFD03" w14:textId="77777777" w:rsidR="00176470" w:rsidRPr="00D56DE6" w:rsidRDefault="00000000">
          <w:pPr>
            <w:pStyle w:val="TDC1"/>
            <w:tabs>
              <w:tab w:val="right" w:leader="dot" w:pos="8921"/>
            </w:tabs>
            <w:rPr>
              <w:rFonts w:asciiTheme="minorHAnsi" w:eastAsiaTheme="minorEastAsia" w:hAnsiTheme="minorHAnsi" w:cstheme="minorBidi"/>
              <w:noProof/>
              <w:color w:val="auto"/>
            </w:rPr>
          </w:pPr>
          <w:hyperlink w:anchor="_Toc219385672" w:history="1">
            <w:r w:rsidR="00176470" w:rsidRPr="00D56DE6">
              <w:rPr>
                <w:rStyle w:val="Hipervnculo"/>
                <w:noProof/>
              </w:rPr>
              <w:t>C O N S I D E R A N D O S</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_Toc219385672 \h </w:instrText>
            </w:r>
            <w:r w:rsidR="00176470" w:rsidRPr="00D56DE6">
              <w:rPr>
                <w:noProof/>
                <w:webHidden/>
              </w:rPr>
            </w:r>
            <w:r w:rsidR="00176470" w:rsidRPr="00D56DE6">
              <w:rPr>
                <w:noProof/>
                <w:webHidden/>
              </w:rPr>
              <w:fldChar w:fldCharType="separate"/>
            </w:r>
            <w:r w:rsidR="00D6328C">
              <w:rPr>
                <w:noProof/>
                <w:webHidden/>
              </w:rPr>
              <w:t>7</w:t>
            </w:r>
            <w:r w:rsidR="00176470" w:rsidRPr="00D56DE6">
              <w:rPr>
                <w:noProof/>
                <w:webHidden/>
              </w:rPr>
              <w:fldChar w:fldCharType="end"/>
            </w:r>
          </w:hyperlink>
        </w:p>
        <w:p w14:paraId="49E02CDD"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3" w:history="1">
            <w:r w:rsidR="00176470" w:rsidRPr="00D56DE6">
              <w:rPr>
                <w:rStyle w:val="Hipervnculo"/>
                <w:noProof/>
              </w:rPr>
              <w:t>PRIMERO. Competencia</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_Toc219385673 \h </w:instrText>
            </w:r>
            <w:r w:rsidR="00176470" w:rsidRPr="00D56DE6">
              <w:rPr>
                <w:noProof/>
                <w:webHidden/>
              </w:rPr>
            </w:r>
            <w:r w:rsidR="00176470" w:rsidRPr="00D56DE6">
              <w:rPr>
                <w:noProof/>
                <w:webHidden/>
              </w:rPr>
              <w:fldChar w:fldCharType="separate"/>
            </w:r>
            <w:r w:rsidR="00D6328C">
              <w:rPr>
                <w:noProof/>
                <w:webHidden/>
              </w:rPr>
              <w:t>7</w:t>
            </w:r>
            <w:r w:rsidR="00176470" w:rsidRPr="00D56DE6">
              <w:rPr>
                <w:noProof/>
                <w:webHidden/>
              </w:rPr>
              <w:fldChar w:fldCharType="end"/>
            </w:r>
          </w:hyperlink>
        </w:p>
        <w:p w14:paraId="3825ECC8"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4" w:history="1">
            <w:r w:rsidR="00176470" w:rsidRPr="00D56DE6">
              <w:rPr>
                <w:rStyle w:val="Hipervnculo"/>
                <w:rFonts w:eastAsia="Calibri" w:cs="Times New Roman"/>
                <w:bCs/>
                <w:noProof/>
              </w:rPr>
              <w:t>SEGUNDO. Causales de improcedencia</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_Toc219385674 \h </w:instrText>
            </w:r>
            <w:r w:rsidR="00176470" w:rsidRPr="00D56DE6">
              <w:rPr>
                <w:noProof/>
                <w:webHidden/>
              </w:rPr>
            </w:r>
            <w:r w:rsidR="00176470" w:rsidRPr="00D56DE6">
              <w:rPr>
                <w:noProof/>
                <w:webHidden/>
              </w:rPr>
              <w:fldChar w:fldCharType="separate"/>
            </w:r>
            <w:r w:rsidR="00D6328C">
              <w:rPr>
                <w:noProof/>
                <w:webHidden/>
              </w:rPr>
              <w:t>8</w:t>
            </w:r>
            <w:r w:rsidR="00176470" w:rsidRPr="00D56DE6">
              <w:rPr>
                <w:noProof/>
                <w:webHidden/>
              </w:rPr>
              <w:fldChar w:fldCharType="end"/>
            </w:r>
          </w:hyperlink>
        </w:p>
        <w:p w14:paraId="21F98DF9"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5" w:history="1">
            <w:r w:rsidR="00176470" w:rsidRPr="00D56DE6">
              <w:rPr>
                <w:rStyle w:val="Hipervnculo"/>
                <w:rFonts w:eastAsia="Times New Roman" w:cs="Times New Roman"/>
                <w:noProof/>
                <w:lang w:val="es-ES" w:eastAsia="es-ES"/>
              </w:rPr>
              <w:t>TERCERO. Causales de sobreseimiento</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_Toc219385675 \h </w:instrText>
            </w:r>
            <w:r w:rsidR="00176470" w:rsidRPr="00D56DE6">
              <w:rPr>
                <w:noProof/>
                <w:webHidden/>
              </w:rPr>
            </w:r>
            <w:r w:rsidR="00176470" w:rsidRPr="00D56DE6">
              <w:rPr>
                <w:noProof/>
                <w:webHidden/>
              </w:rPr>
              <w:fldChar w:fldCharType="separate"/>
            </w:r>
            <w:r w:rsidR="00D6328C">
              <w:rPr>
                <w:noProof/>
                <w:webHidden/>
              </w:rPr>
              <w:t>8</w:t>
            </w:r>
            <w:r w:rsidR="00176470" w:rsidRPr="00D56DE6">
              <w:rPr>
                <w:noProof/>
                <w:webHidden/>
              </w:rPr>
              <w:fldChar w:fldCharType="end"/>
            </w:r>
          </w:hyperlink>
        </w:p>
        <w:p w14:paraId="7DC850B6" w14:textId="77777777" w:rsidR="00176470" w:rsidRPr="00D56DE6" w:rsidRDefault="00000000">
          <w:pPr>
            <w:pStyle w:val="TDC2"/>
            <w:tabs>
              <w:tab w:val="right" w:leader="dot" w:pos="8921"/>
            </w:tabs>
            <w:rPr>
              <w:rFonts w:asciiTheme="minorHAnsi" w:eastAsiaTheme="minorEastAsia" w:hAnsiTheme="minorHAnsi" w:cstheme="minorBidi"/>
              <w:noProof/>
              <w:color w:val="auto"/>
            </w:rPr>
          </w:pPr>
          <w:hyperlink w:anchor="_Toc219385676" w:history="1">
            <w:r w:rsidR="00176470" w:rsidRPr="00D56DE6">
              <w:rPr>
                <w:rStyle w:val="Hipervnculo"/>
                <w:rFonts w:eastAsia="Times New Roman" w:cs="Times New Roman"/>
                <w:noProof/>
                <w:lang w:val="es-ES" w:eastAsia="es-ES"/>
              </w:rPr>
              <w:t>CUARTO. Decisión</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_Toc219385676 \h </w:instrText>
            </w:r>
            <w:r w:rsidR="00176470" w:rsidRPr="00D56DE6">
              <w:rPr>
                <w:noProof/>
                <w:webHidden/>
              </w:rPr>
            </w:r>
            <w:r w:rsidR="00176470" w:rsidRPr="00D56DE6">
              <w:rPr>
                <w:noProof/>
                <w:webHidden/>
              </w:rPr>
              <w:fldChar w:fldCharType="separate"/>
            </w:r>
            <w:r w:rsidR="00D6328C">
              <w:rPr>
                <w:noProof/>
                <w:webHidden/>
              </w:rPr>
              <w:t>15</w:t>
            </w:r>
            <w:r w:rsidR="00176470" w:rsidRPr="00D56DE6">
              <w:rPr>
                <w:noProof/>
                <w:webHidden/>
              </w:rPr>
              <w:fldChar w:fldCharType="end"/>
            </w:r>
          </w:hyperlink>
        </w:p>
        <w:p w14:paraId="08CD4C5C" w14:textId="77777777" w:rsidR="00176470" w:rsidRPr="00D56DE6" w:rsidRDefault="00000000">
          <w:pPr>
            <w:pStyle w:val="TDC1"/>
            <w:tabs>
              <w:tab w:val="right" w:leader="dot" w:pos="8921"/>
            </w:tabs>
            <w:rPr>
              <w:rFonts w:asciiTheme="minorHAnsi" w:eastAsiaTheme="minorEastAsia" w:hAnsiTheme="minorHAnsi" w:cstheme="minorBidi"/>
              <w:noProof/>
              <w:color w:val="auto"/>
            </w:rPr>
          </w:pPr>
          <w:hyperlink w:anchor="_Toc219385677" w:history="1">
            <w:r w:rsidR="00176470" w:rsidRPr="00D56DE6">
              <w:rPr>
                <w:rStyle w:val="Hipervnculo"/>
                <w:rFonts w:eastAsia="Calibri" w:cs="Times New Roman"/>
                <w:noProof/>
                <w:lang w:eastAsia="en-US"/>
              </w:rPr>
              <w:t>R E S U E L V E</w:t>
            </w:r>
            <w:r w:rsidR="00176470" w:rsidRPr="00D56DE6">
              <w:rPr>
                <w:noProof/>
                <w:webHidden/>
              </w:rPr>
              <w:tab/>
            </w:r>
            <w:r w:rsidR="00176470" w:rsidRPr="00D56DE6">
              <w:rPr>
                <w:noProof/>
                <w:webHidden/>
              </w:rPr>
              <w:fldChar w:fldCharType="begin"/>
            </w:r>
            <w:r w:rsidR="00176470" w:rsidRPr="00D56DE6">
              <w:rPr>
                <w:noProof/>
                <w:webHidden/>
              </w:rPr>
              <w:instrText xml:space="preserve"> PAGEREF _Toc219385677 \h </w:instrText>
            </w:r>
            <w:r w:rsidR="00176470" w:rsidRPr="00D56DE6">
              <w:rPr>
                <w:noProof/>
                <w:webHidden/>
              </w:rPr>
            </w:r>
            <w:r w:rsidR="00176470" w:rsidRPr="00D56DE6">
              <w:rPr>
                <w:noProof/>
                <w:webHidden/>
              </w:rPr>
              <w:fldChar w:fldCharType="separate"/>
            </w:r>
            <w:r w:rsidR="00D6328C">
              <w:rPr>
                <w:noProof/>
                <w:webHidden/>
              </w:rPr>
              <w:t>16</w:t>
            </w:r>
            <w:r w:rsidR="00176470" w:rsidRPr="00D56DE6">
              <w:rPr>
                <w:noProof/>
                <w:webHidden/>
              </w:rPr>
              <w:fldChar w:fldCharType="end"/>
            </w:r>
          </w:hyperlink>
        </w:p>
        <w:p w14:paraId="5B9D6C11" w14:textId="331DCCD6" w:rsidR="00C4052B" w:rsidRPr="00D56DE6" w:rsidRDefault="00C4052B" w:rsidP="00614700">
          <w:pPr>
            <w:spacing w:after="0" w:line="360" w:lineRule="auto"/>
            <w:rPr>
              <w:color w:val="auto"/>
            </w:rPr>
          </w:pPr>
          <w:r w:rsidRPr="00D56DE6">
            <w:rPr>
              <w:bCs/>
              <w:color w:val="auto"/>
              <w:lang w:val="es-ES"/>
            </w:rPr>
            <w:fldChar w:fldCharType="end"/>
          </w:r>
        </w:p>
      </w:sdtContent>
    </w:sdt>
    <w:p w14:paraId="57481942" w14:textId="77777777" w:rsidR="00C4052B" w:rsidRPr="00D56DE6" w:rsidRDefault="00C4052B" w:rsidP="00614700">
      <w:pPr>
        <w:tabs>
          <w:tab w:val="left" w:pos="8931"/>
        </w:tabs>
        <w:spacing w:after="0" w:line="360" w:lineRule="auto"/>
        <w:rPr>
          <w:color w:val="auto"/>
        </w:rPr>
      </w:pPr>
    </w:p>
    <w:p w14:paraId="411B5995" w14:textId="77777777" w:rsidR="00C4052B" w:rsidRPr="00D56DE6" w:rsidRDefault="00C4052B" w:rsidP="00614700">
      <w:pPr>
        <w:tabs>
          <w:tab w:val="left" w:pos="8931"/>
        </w:tabs>
        <w:spacing w:after="0" w:line="360" w:lineRule="auto"/>
        <w:rPr>
          <w:color w:val="auto"/>
        </w:rPr>
      </w:pPr>
    </w:p>
    <w:p w14:paraId="6784625D" w14:textId="77777777" w:rsidR="00C4052B" w:rsidRPr="00D56DE6" w:rsidRDefault="00C4052B" w:rsidP="00614700">
      <w:pPr>
        <w:tabs>
          <w:tab w:val="left" w:pos="8931"/>
        </w:tabs>
        <w:spacing w:after="0" w:line="360" w:lineRule="auto"/>
        <w:rPr>
          <w:color w:val="auto"/>
        </w:rPr>
      </w:pPr>
    </w:p>
    <w:p w14:paraId="140888DD" w14:textId="77777777" w:rsidR="00C4052B" w:rsidRPr="00D56DE6" w:rsidRDefault="00C4052B" w:rsidP="00614700">
      <w:pPr>
        <w:tabs>
          <w:tab w:val="left" w:pos="8931"/>
        </w:tabs>
        <w:spacing w:after="0" w:line="360" w:lineRule="auto"/>
        <w:rPr>
          <w:color w:val="auto"/>
        </w:rPr>
      </w:pPr>
    </w:p>
    <w:p w14:paraId="46268890" w14:textId="77777777" w:rsidR="00C4052B" w:rsidRPr="00D56DE6" w:rsidRDefault="00C4052B" w:rsidP="00614700">
      <w:pPr>
        <w:tabs>
          <w:tab w:val="left" w:pos="8931"/>
        </w:tabs>
        <w:spacing w:after="0" w:line="360" w:lineRule="auto"/>
        <w:rPr>
          <w:color w:val="auto"/>
        </w:rPr>
      </w:pPr>
    </w:p>
    <w:p w14:paraId="147CC638" w14:textId="77777777" w:rsidR="00C4052B" w:rsidRPr="00D56DE6" w:rsidRDefault="00C4052B" w:rsidP="00614700">
      <w:pPr>
        <w:tabs>
          <w:tab w:val="left" w:pos="8931"/>
        </w:tabs>
        <w:spacing w:after="0" w:line="360" w:lineRule="auto"/>
        <w:rPr>
          <w:color w:val="auto"/>
        </w:rPr>
      </w:pPr>
    </w:p>
    <w:p w14:paraId="01BB5716" w14:textId="77777777" w:rsidR="00C4052B" w:rsidRPr="00D56DE6" w:rsidRDefault="00C4052B" w:rsidP="00614700">
      <w:pPr>
        <w:tabs>
          <w:tab w:val="left" w:pos="8931"/>
        </w:tabs>
        <w:spacing w:after="0" w:line="360" w:lineRule="auto"/>
        <w:rPr>
          <w:color w:val="auto"/>
        </w:rPr>
      </w:pPr>
    </w:p>
    <w:p w14:paraId="62C1CEC9" w14:textId="77777777" w:rsidR="00C4052B" w:rsidRPr="00D56DE6" w:rsidRDefault="00C4052B" w:rsidP="00614700">
      <w:pPr>
        <w:tabs>
          <w:tab w:val="left" w:pos="8931"/>
        </w:tabs>
        <w:spacing w:after="0" w:line="360" w:lineRule="auto"/>
        <w:rPr>
          <w:color w:val="auto"/>
        </w:rPr>
      </w:pPr>
    </w:p>
    <w:p w14:paraId="7F38981D" w14:textId="77777777" w:rsidR="00A55E82" w:rsidRPr="00D56DE6" w:rsidRDefault="00A55E82" w:rsidP="00614700">
      <w:pPr>
        <w:tabs>
          <w:tab w:val="left" w:pos="8931"/>
        </w:tabs>
        <w:spacing w:after="0" w:line="360" w:lineRule="auto"/>
        <w:rPr>
          <w:color w:val="auto"/>
        </w:rPr>
      </w:pPr>
    </w:p>
    <w:p w14:paraId="6E6C2561" w14:textId="77777777" w:rsidR="00D61CB8" w:rsidRPr="00D56DE6" w:rsidRDefault="00D61CB8" w:rsidP="00614700">
      <w:pPr>
        <w:tabs>
          <w:tab w:val="left" w:pos="8931"/>
        </w:tabs>
        <w:spacing w:after="0" w:line="360" w:lineRule="auto"/>
        <w:rPr>
          <w:color w:val="auto"/>
        </w:rPr>
      </w:pPr>
    </w:p>
    <w:p w14:paraId="5FEB8B33" w14:textId="77777777" w:rsidR="0078433E" w:rsidRPr="00D56DE6" w:rsidRDefault="0078433E" w:rsidP="00614700">
      <w:pPr>
        <w:tabs>
          <w:tab w:val="left" w:pos="8931"/>
        </w:tabs>
        <w:spacing w:after="0" w:line="360" w:lineRule="auto"/>
        <w:rPr>
          <w:color w:val="auto"/>
        </w:rPr>
      </w:pPr>
    </w:p>
    <w:p w14:paraId="5564AC26" w14:textId="77777777" w:rsidR="0078433E" w:rsidRPr="00D56DE6" w:rsidRDefault="0078433E" w:rsidP="00614700">
      <w:pPr>
        <w:tabs>
          <w:tab w:val="left" w:pos="8931"/>
        </w:tabs>
        <w:spacing w:after="0" w:line="360" w:lineRule="auto"/>
        <w:rPr>
          <w:color w:val="auto"/>
        </w:rPr>
      </w:pPr>
    </w:p>
    <w:p w14:paraId="3FB7EB5E" w14:textId="1E8FB624" w:rsidR="005C690F" w:rsidRPr="00D56DE6" w:rsidRDefault="007D6307" w:rsidP="00614700">
      <w:pPr>
        <w:tabs>
          <w:tab w:val="left" w:pos="8931"/>
        </w:tabs>
        <w:spacing w:after="0" w:line="360" w:lineRule="auto"/>
        <w:rPr>
          <w:color w:val="auto"/>
        </w:rPr>
      </w:pPr>
      <w:r w:rsidRPr="00D56DE6">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E30CE" w:rsidRPr="00D56DE6">
        <w:rPr>
          <w:color w:val="auto"/>
        </w:rPr>
        <w:t xml:space="preserve">fecha </w:t>
      </w:r>
      <w:r w:rsidR="00F935DC" w:rsidRPr="00D56DE6">
        <w:rPr>
          <w:color w:val="auto"/>
        </w:rPr>
        <w:t>catorce de enero de dos mil veintiséis</w:t>
      </w:r>
      <w:r w:rsidRPr="00D56DE6">
        <w:rPr>
          <w:color w:val="auto"/>
        </w:rPr>
        <w:t xml:space="preserve">. </w:t>
      </w:r>
    </w:p>
    <w:p w14:paraId="0DCD3B82" w14:textId="77777777" w:rsidR="005C690F" w:rsidRPr="00D56DE6" w:rsidRDefault="005C690F" w:rsidP="00614700">
      <w:pPr>
        <w:spacing w:after="0" w:line="360" w:lineRule="auto"/>
        <w:rPr>
          <w:b/>
          <w:color w:val="auto"/>
        </w:rPr>
      </w:pPr>
    </w:p>
    <w:p w14:paraId="1570B336" w14:textId="6D9F2C84" w:rsidR="005C690F" w:rsidRPr="00D56DE6" w:rsidRDefault="007D6307" w:rsidP="00614700">
      <w:pPr>
        <w:spacing w:after="0" w:line="360" w:lineRule="auto"/>
        <w:rPr>
          <w:color w:val="auto"/>
        </w:rPr>
      </w:pPr>
      <w:r w:rsidRPr="00D56DE6">
        <w:rPr>
          <w:b/>
          <w:color w:val="auto"/>
        </w:rPr>
        <w:t xml:space="preserve">VISTO </w:t>
      </w:r>
      <w:r w:rsidRPr="00D56DE6">
        <w:rPr>
          <w:color w:val="auto"/>
        </w:rPr>
        <w:t xml:space="preserve">el expediente electrónico conformado con motivo del Recurso de Revisión </w:t>
      </w:r>
      <w:r w:rsidR="00F935DC" w:rsidRPr="002D329C">
        <w:rPr>
          <w:b/>
          <w:bCs/>
          <w:color w:val="auto"/>
        </w:rPr>
        <w:t>133</w:t>
      </w:r>
      <w:r w:rsidR="00227EC0" w:rsidRPr="002D329C">
        <w:rPr>
          <w:b/>
          <w:bCs/>
          <w:color w:val="auto"/>
        </w:rPr>
        <w:t>4</w:t>
      </w:r>
      <w:r w:rsidR="00F935DC" w:rsidRPr="002D329C">
        <w:rPr>
          <w:b/>
          <w:bCs/>
          <w:color w:val="auto"/>
        </w:rPr>
        <w:t>6</w:t>
      </w:r>
      <w:r w:rsidR="000D392E" w:rsidRPr="002D329C">
        <w:rPr>
          <w:b/>
          <w:bCs/>
          <w:color w:val="auto"/>
        </w:rPr>
        <w:t>/INFOEM/IP/RR/2025</w:t>
      </w:r>
      <w:r w:rsidRPr="00D56DE6">
        <w:rPr>
          <w:bCs/>
          <w:color w:val="auto"/>
        </w:rPr>
        <w:t xml:space="preserve">, interpuesto </w:t>
      </w:r>
      <w:r w:rsidR="008415EA" w:rsidRPr="00D56DE6">
        <w:rPr>
          <w:bCs/>
          <w:color w:val="auto"/>
        </w:rPr>
        <w:t>por</w:t>
      </w:r>
      <w:r w:rsidR="00EE1006" w:rsidRPr="00D56DE6">
        <w:rPr>
          <w:bCs/>
          <w:color w:val="auto"/>
        </w:rPr>
        <w:t xml:space="preserve"> </w:t>
      </w:r>
      <w:r w:rsidR="00D90824" w:rsidRPr="00D90824">
        <w:rPr>
          <w:highlight w:val="black"/>
        </w:rPr>
        <w:t>XXXXXXXXXXXXXXXXXXXXXXXX</w:t>
      </w:r>
      <w:r w:rsidR="005E30CE" w:rsidRPr="00D56DE6">
        <w:rPr>
          <w:bCs/>
          <w:color w:val="auto"/>
        </w:rPr>
        <w:t xml:space="preserve">, quien será </w:t>
      </w:r>
      <w:r w:rsidR="00D906B2" w:rsidRPr="00D56DE6">
        <w:rPr>
          <w:bCs/>
          <w:color w:val="auto"/>
        </w:rPr>
        <w:t>la persona</w:t>
      </w:r>
      <w:r w:rsidRPr="00D56DE6">
        <w:rPr>
          <w:bCs/>
          <w:color w:val="auto"/>
        </w:rPr>
        <w:t xml:space="preserve"> Recurrente o Particular, en contra de la respuesta del Sujeto Obligado</w:t>
      </w:r>
      <w:r w:rsidR="00705FBB" w:rsidRPr="00D56DE6">
        <w:rPr>
          <w:bCs/>
          <w:color w:val="auto"/>
        </w:rPr>
        <w:t xml:space="preserve">, </w:t>
      </w:r>
      <w:r w:rsidR="00227EC0" w:rsidRPr="002D329C">
        <w:rPr>
          <w:b/>
          <w:bCs/>
          <w:color w:val="auto"/>
        </w:rPr>
        <w:t>Ayuntamiento de Tenango del Valle</w:t>
      </w:r>
      <w:r w:rsidR="00EF0C39" w:rsidRPr="00D56DE6">
        <w:rPr>
          <w:bCs/>
          <w:color w:val="auto"/>
        </w:rPr>
        <w:t>,</w:t>
      </w:r>
      <w:r w:rsidRPr="00D56DE6">
        <w:rPr>
          <w:bCs/>
          <w:color w:val="auto"/>
        </w:rPr>
        <w:t xml:space="preserve"> </w:t>
      </w:r>
      <w:r w:rsidRPr="00D56DE6">
        <w:rPr>
          <w:color w:val="auto"/>
        </w:rPr>
        <w:t>a la solicitud de acceso a la información pública</w:t>
      </w:r>
      <w:r w:rsidR="00800641" w:rsidRPr="00D56DE6">
        <w:rPr>
          <w:color w:val="auto"/>
        </w:rPr>
        <w:t xml:space="preserve"> </w:t>
      </w:r>
      <w:r w:rsidR="00227EC0" w:rsidRPr="00D56DE6">
        <w:rPr>
          <w:color w:val="auto"/>
        </w:rPr>
        <w:t>00111/TENAVALL/IP/2025</w:t>
      </w:r>
      <w:r w:rsidRPr="00D56DE6">
        <w:rPr>
          <w:color w:val="auto"/>
        </w:rPr>
        <w:t>, se emite la presente Resolución, con base en los Antecedentes y Considerandos que se exponen a continuación:</w:t>
      </w:r>
    </w:p>
    <w:p w14:paraId="1F97CEF3" w14:textId="77777777" w:rsidR="005C690F" w:rsidRPr="00D56DE6" w:rsidRDefault="005C690F" w:rsidP="00614700">
      <w:pPr>
        <w:spacing w:after="0" w:line="360" w:lineRule="auto"/>
        <w:rPr>
          <w:b/>
          <w:color w:val="auto"/>
        </w:rPr>
      </w:pPr>
    </w:p>
    <w:p w14:paraId="1DEAF9D3" w14:textId="24D35555" w:rsidR="005C690F" w:rsidRPr="00D56DE6" w:rsidRDefault="00CD6238" w:rsidP="00614700">
      <w:pPr>
        <w:pStyle w:val="Ttulo1"/>
        <w:spacing w:before="0" w:after="0" w:line="360" w:lineRule="auto"/>
        <w:jc w:val="center"/>
        <w:rPr>
          <w:color w:val="auto"/>
          <w:sz w:val="22"/>
          <w:szCs w:val="22"/>
        </w:rPr>
      </w:pPr>
      <w:bookmarkStart w:id="0" w:name="_Toc219385667"/>
      <w:r w:rsidRPr="00D56DE6">
        <w:rPr>
          <w:color w:val="auto"/>
          <w:sz w:val="22"/>
          <w:szCs w:val="22"/>
        </w:rPr>
        <w:t>A N T E C E D E N T E S</w:t>
      </w:r>
      <w:bookmarkEnd w:id="0"/>
    </w:p>
    <w:p w14:paraId="5A7EDA4F" w14:textId="77777777" w:rsidR="005C690F" w:rsidRPr="00D56DE6" w:rsidRDefault="005C690F" w:rsidP="00614700">
      <w:pPr>
        <w:spacing w:after="0" w:line="360" w:lineRule="auto"/>
        <w:jc w:val="center"/>
        <w:rPr>
          <w:b/>
          <w:color w:val="auto"/>
        </w:rPr>
      </w:pPr>
    </w:p>
    <w:p w14:paraId="4930DAB9" w14:textId="701611A7" w:rsidR="00E22EA8" w:rsidRPr="00D56DE6" w:rsidRDefault="009215C2" w:rsidP="00614700">
      <w:pPr>
        <w:pStyle w:val="Ttulo2"/>
        <w:spacing w:before="0" w:after="0" w:line="360" w:lineRule="auto"/>
        <w:rPr>
          <w:color w:val="auto"/>
          <w:sz w:val="22"/>
          <w:szCs w:val="22"/>
          <w:lang w:eastAsia="es-ES"/>
        </w:rPr>
      </w:pPr>
      <w:bookmarkStart w:id="1" w:name="_Toc219385668"/>
      <w:r w:rsidRPr="00D56DE6">
        <w:rPr>
          <w:color w:val="auto"/>
          <w:sz w:val="22"/>
          <w:szCs w:val="22"/>
          <w:lang w:eastAsia="es-ES"/>
        </w:rPr>
        <w:t xml:space="preserve">I. </w:t>
      </w:r>
      <w:r w:rsidR="00E22EA8" w:rsidRPr="00D56DE6">
        <w:rPr>
          <w:color w:val="auto"/>
          <w:sz w:val="22"/>
          <w:szCs w:val="22"/>
          <w:lang w:eastAsia="es-ES"/>
        </w:rPr>
        <w:t>Presentación de la solicitud de información</w:t>
      </w:r>
      <w:bookmarkEnd w:id="1"/>
    </w:p>
    <w:p w14:paraId="63A20E25" w14:textId="77777777" w:rsidR="009215C2" w:rsidRPr="00D56DE6" w:rsidRDefault="009215C2" w:rsidP="00614700">
      <w:pPr>
        <w:tabs>
          <w:tab w:val="left" w:pos="567"/>
        </w:tabs>
        <w:spacing w:after="0" w:line="360" w:lineRule="auto"/>
        <w:rPr>
          <w:rFonts w:eastAsia="Times New Roman" w:cs="Tahoma"/>
          <w:color w:val="auto"/>
          <w:lang w:eastAsia="es-ES"/>
        </w:rPr>
      </w:pPr>
    </w:p>
    <w:p w14:paraId="0CB95CB8" w14:textId="654B72A4" w:rsidR="00FD7497" w:rsidRPr="00D56DE6" w:rsidRDefault="005E30CE" w:rsidP="00614700">
      <w:pPr>
        <w:spacing w:after="0" w:line="360" w:lineRule="auto"/>
        <w:rPr>
          <w:rFonts w:eastAsia="Times New Roman" w:cs="Tahoma"/>
          <w:color w:val="auto"/>
          <w:lang w:eastAsia="es-ES"/>
        </w:rPr>
      </w:pPr>
      <w:r w:rsidRPr="00D56DE6">
        <w:rPr>
          <w:rFonts w:eastAsia="Times New Roman" w:cs="Tahoma"/>
          <w:color w:val="auto"/>
          <w:lang w:eastAsia="es-ES"/>
        </w:rPr>
        <w:t xml:space="preserve">El </w:t>
      </w:r>
      <w:r w:rsidR="00227EC0" w:rsidRPr="00D56DE6">
        <w:rPr>
          <w:rFonts w:eastAsia="Times New Roman" w:cs="Tahoma"/>
          <w:color w:val="auto"/>
          <w:lang w:eastAsia="es-ES"/>
        </w:rPr>
        <w:t>veinte</w:t>
      </w:r>
      <w:r w:rsidRPr="00D56DE6">
        <w:rPr>
          <w:rFonts w:eastAsia="Times New Roman" w:cs="Tahoma"/>
          <w:color w:val="auto"/>
          <w:lang w:eastAsia="es-ES"/>
        </w:rPr>
        <w:t xml:space="preserve"> de noviembre</w:t>
      </w:r>
      <w:r w:rsidR="000E499B" w:rsidRPr="00D56DE6">
        <w:rPr>
          <w:rFonts w:eastAsia="Times New Roman" w:cs="Tahoma"/>
          <w:color w:val="auto"/>
          <w:lang w:eastAsia="es-ES"/>
        </w:rPr>
        <w:t xml:space="preserve"> de dos mil veinticinco, </w:t>
      </w:r>
      <w:r w:rsidR="00FD7497" w:rsidRPr="00D56DE6">
        <w:rPr>
          <w:rFonts w:eastAsia="Times New Roman" w:cs="Tahoma"/>
          <w:color w:val="auto"/>
          <w:lang w:eastAsia="es-ES"/>
        </w:rPr>
        <w:t>el Particular presentó una solicitud de acceso a la información pública, a través del Sistema de Acceso a la Información Mexiquense (SAIMEX), ante el</w:t>
      </w:r>
      <w:r w:rsidRPr="00D56DE6">
        <w:rPr>
          <w:color w:val="auto"/>
        </w:rPr>
        <w:t xml:space="preserve"> </w:t>
      </w:r>
      <w:r w:rsidR="00227EC0" w:rsidRPr="00D56DE6">
        <w:rPr>
          <w:color w:val="auto"/>
        </w:rPr>
        <w:t>Ayuntamiento de Tenango del Valle</w:t>
      </w:r>
      <w:r w:rsidR="00FD7497" w:rsidRPr="00D56DE6">
        <w:rPr>
          <w:rFonts w:eastAsia="Calibri" w:cs="Times New Roman"/>
          <w:color w:val="auto"/>
        </w:rPr>
        <w:t>,</w:t>
      </w:r>
      <w:r w:rsidR="00FD7497" w:rsidRPr="00D56DE6">
        <w:rPr>
          <w:rFonts w:eastAsia="Calibri" w:cs="Tahoma"/>
          <w:color w:val="auto"/>
        </w:rPr>
        <w:t xml:space="preserve"> en los siguientes términos: </w:t>
      </w:r>
    </w:p>
    <w:p w14:paraId="3E26AFB3" w14:textId="77777777" w:rsidR="00FD7497" w:rsidRPr="00D56DE6" w:rsidRDefault="00FD7497" w:rsidP="00614700">
      <w:pPr>
        <w:spacing w:after="0" w:line="360" w:lineRule="auto"/>
        <w:rPr>
          <w:rFonts w:eastAsia="Calibri" w:cs="Tahoma"/>
          <w:color w:val="auto"/>
        </w:rPr>
      </w:pPr>
    </w:p>
    <w:p w14:paraId="6D2F29FC" w14:textId="77777777" w:rsidR="00FD7497" w:rsidRPr="00D56DE6" w:rsidRDefault="00FD7497" w:rsidP="00614700">
      <w:pPr>
        <w:tabs>
          <w:tab w:val="left" w:pos="4667"/>
        </w:tabs>
        <w:spacing w:after="0" w:line="360" w:lineRule="auto"/>
        <w:ind w:left="567" w:right="567"/>
        <w:rPr>
          <w:rFonts w:eastAsia="Times New Roman" w:cs="Tahoma"/>
          <w:b/>
          <w:i/>
          <w:iCs/>
          <w:color w:val="auto"/>
          <w:sz w:val="20"/>
          <w:szCs w:val="20"/>
          <w:lang w:eastAsia="es-ES"/>
        </w:rPr>
      </w:pPr>
      <w:r w:rsidRPr="00D56DE6">
        <w:rPr>
          <w:rFonts w:eastAsia="Times New Roman" w:cs="Tahoma"/>
          <w:b/>
          <w:i/>
          <w:iCs/>
          <w:color w:val="auto"/>
          <w:sz w:val="20"/>
          <w:szCs w:val="20"/>
          <w:lang w:eastAsia="es-ES"/>
        </w:rPr>
        <w:t>“DESCRIPCIÓN CLARA Y PRECISA DE LA INFORMACIÓN SOLICITADA</w:t>
      </w:r>
    </w:p>
    <w:p w14:paraId="456A9F15" w14:textId="5087999F" w:rsidR="00FD7497" w:rsidRPr="00D56DE6" w:rsidRDefault="00227EC0" w:rsidP="00614700">
      <w:pPr>
        <w:tabs>
          <w:tab w:val="left" w:pos="4667"/>
        </w:tabs>
        <w:spacing w:after="0" w:line="360" w:lineRule="auto"/>
        <w:ind w:left="567" w:right="567"/>
        <w:rPr>
          <w:rFonts w:eastAsia="Times New Roman" w:cs="Tahoma"/>
          <w:bCs/>
          <w:i/>
          <w:iCs/>
          <w:color w:val="auto"/>
          <w:sz w:val="20"/>
          <w:szCs w:val="20"/>
          <w:lang w:eastAsia="es-ES"/>
        </w:rPr>
      </w:pPr>
      <w:r w:rsidRPr="00D56DE6">
        <w:rPr>
          <w:i/>
          <w:iCs/>
          <w:color w:val="auto"/>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D56DE6">
        <w:rPr>
          <w:i/>
          <w:iCs/>
          <w:color w:val="auto"/>
          <w:sz w:val="20"/>
          <w:szCs w:val="20"/>
        </w:rPr>
        <w:t>” (Sic.)</w:t>
      </w:r>
    </w:p>
    <w:p w14:paraId="2665D042" w14:textId="77777777" w:rsidR="00FD7497" w:rsidRPr="00D56DE6" w:rsidRDefault="00FD7497" w:rsidP="00614700">
      <w:pPr>
        <w:tabs>
          <w:tab w:val="left" w:pos="4667"/>
        </w:tabs>
        <w:spacing w:after="0" w:line="360" w:lineRule="auto"/>
        <w:ind w:left="567" w:right="567"/>
        <w:rPr>
          <w:rFonts w:eastAsia="Times New Roman" w:cs="Tahoma"/>
          <w:b/>
          <w:bCs/>
          <w:i/>
          <w:iCs/>
          <w:color w:val="auto"/>
          <w:sz w:val="20"/>
          <w:lang w:eastAsia="es-ES"/>
        </w:rPr>
      </w:pPr>
    </w:p>
    <w:p w14:paraId="11FA280B" w14:textId="77777777" w:rsidR="00614700" w:rsidRPr="00D56DE6" w:rsidRDefault="00614700" w:rsidP="00614700">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D56DE6" w:rsidRDefault="00FD7497" w:rsidP="00614700">
      <w:pPr>
        <w:tabs>
          <w:tab w:val="left" w:pos="4667"/>
        </w:tabs>
        <w:spacing w:after="0" w:line="360" w:lineRule="auto"/>
        <w:ind w:left="567" w:right="567"/>
        <w:rPr>
          <w:rFonts w:eastAsia="Times New Roman" w:cs="Tahoma"/>
          <w:b/>
          <w:bCs/>
          <w:i/>
          <w:iCs/>
          <w:color w:val="auto"/>
          <w:sz w:val="20"/>
          <w:lang w:eastAsia="es-ES"/>
        </w:rPr>
      </w:pPr>
      <w:r w:rsidRPr="00D56DE6">
        <w:rPr>
          <w:rFonts w:eastAsia="Times New Roman" w:cs="Tahoma"/>
          <w:b/>
          <w:bCs/>
          <w:i/>
          <w:iCs/>
          <w:color w:val="auto"/>
          <w:sz w:val="20"/>
          <w:lang w:eastAsia="es-ES"/>
        </w:rPr>
        <w:lastRenderedPageBreak/>
        <w:t>“MODALIDAD DE ENTREGA</w:t>
      </w:r>
    </w:p>
    <w:p w14:paraId="5354E066" w14:textId="701EFA1E" w:rsidR="00FD7497" w:rsidRPr="00D56DE6" w:rsidRDefault="00FD7497" w:rsidP="00614700">
      <w:pPr>
        <w:tabs>
          <w:tab w:val="left" w:pos="4667"/>
        </w:tabs>
        <w:spacing w:after="0" w:line="360" w:lineRule="auto"/>
        <w:ind w:left="567" w:right="567"/>
        <w:rPr>
          <w:rFonts w:eastAsia="Times New Roman" w:cs="Tahoma"/>
          <w:b/>
          <w:bCs/>
          <w:i/>
          <w:iCs/>
          <w:color w:val="auto"/>
          <w:sz w:val="20"/>
          <w:lang w:eastAsia="es-ES"/>
        </w:rPr>
      </w:pPr>
      <w:r w:rsidRPr="00D56DE6">
        <w:rPr>
          <w:rFonts w:eastAsia="Times New Roman" w:cs="Arial"/>
          <w:bCs/>
          <w:i/>
          <w:iCs/>
          <w:color w:val="auto"/>
          <w:sz w:val="20"/>
          <w:lang w:eastAsia="es-ES"/>
        </w:rPr>
        <w:t>A través del SAIMEX”</w:t>
      </w:r>
    </w:p>
    <w:p w14:paraId="30DEEF95" w14:textId="285C5B15" w:rsidR="000E499B" w:rsidRPr="00D56DE6" w:rsidRDefault="000E499B" w:rsidP="00614700">
      <w:pPr>
        <w:spacing w:after="0" w:line="360" w:lineRule="auto"/>
        <w:rPr>
          <w:rFonts w:eastAsia="Times New Roman" w:cs="Tahoma"/>
          <w:color w:val="auto"/>
          <w:lang w:eastAsia="es-ES"/>
        </w:rPr>
      </w:pPr>
    </w:p>
    <w:p w14:paraId="0A604AAC" w14:textId="5EBA114E" w:rsidR="00E22EA8" w:rsidRPr="00D56DE6" w:rsidRDefault="000B3C56" w:rsidP="00614700">
      <w:pPr>
        <w:pStyle w:val="Ttulo2"/>
        <w:spacing w:before="0" w:after="0" w:line="360" w:lineRule="auto"/>
        <w:rPr>
          <w:color w:val="auto"/>
          <w:sz w:val="22"/>
          <w:szCs w:val="22"/>
        </w:rPr>
      </w:pPr>
      <w:bookmarkStart w:id="2" w:name="_Toc219385669"/>
      <w:r w:rsidRPr="00D56DE6">
        <w:rPr>
          <w:rFonts w:cs="Tahoma"/>
          <w:color w:val="auto"/>
          <w:sz w:val="22"/>
          <w:szCs w:val="22"/>
        </w:rPr>
        <w:t>I</w:t>
      </w:r>
      <w:r w:rsidR="002207FA" w:rsidRPr="00D56DE6">
        <w:rPr>
          <w:rFonts w:cs="Tahoma"/>
          <w:color w:val="auto"/>
          <w:sz w:val="22"/>
          <w:szCs w:val="22"/>
        </w:rPr>
        <w:t>I</w:t>
      </w:r>
      <w:r w:rsidR="00E22EA8" w:rsidRPr="00D56DE6">
        <w:rPr>
          <w:rFonts w:cs="Tahoma"/>
          <w:color w:val="auto"/>
          <w:sz w:val="22"/>
          <w:szCs w:val="22"/>
        </w:rPr>
        <w:t>.</w:t>
      </w:r>
      <w:r w:rsidR="00E22EA8" w:rsidRPr="00D56DE6">
        <w:rPr>
          <w:color w:val="auto"/>
          <w:sz w:val="22"/>
          <w:szCs w:val="22"/>
        </w:rPr>
        <w:t xml:space="preserve"> Respuesta del Sujeto Obligado</w:t>
      </w:r>
      <w:bookmarkEnd w:id="2"/>
    </w:p>
    <w:p w14:paraId="10CE94A9" w14:textId="77777777" w:rsidR="00C06004" w:rsidRPr="00D56DE6" w:rsidRDefault="00C06004" w:rsidP="00614700">
      <w:pPr>
        <w:autoSpaceDE w:val="0"/>
        <w:autoSpaceDN w:val="0"/>
        <w:adjustRightInd w:val="0"/>
        <w:spacing w:after="0" w:line="360" w:lineRule="auto"/>
        <w:rPr>
          <w:b/>
          <w:bCs/>
          <w:color w:val="auto"/>
        </w:rPr>
      </w:pPr>
    </w:p>
    <w:p w14:paraId="4C281EA8" w14:textId="759B84FC" w:rsidR="005E30CE" w:rsidRPr="00D56DE6" w:rsidRDefault="00EB386A" w:rsidP="00614700">
      <w:pPr>
        <w:spacing w:after="0" w:line="360" w:lineRule="auto"/>
        <w:rPr>
          <w:i/>
          <w:color w:val="auto"/>
          <w:sz w:val="20"/>
        </w:rPr>
      </w:pPr>
      <w:r w:rsidRPr="00D56DE6">
        <w:rPr>
          <w:color w:val="auto"/>
        </w:rPr>
        <w:t xml:space="preserve">El </w:t>
      </w:r>
      <w:r w:rsidR="00F935DC" w:rsidRPr="00D56DE6">
        <w:rPr>
          <w:color w:val="auto"/>
        </w:rPr>
        <w:t>veinti</w:t>
      </w:r>
      <w:r w:rsidR="00227EC0" w:rsidRPr="00D56DE6">
        <w:rPr>
          <w:color w:val="auto"/>
        </w:rPr>
        <w:t xml:space="preserve">cinco </w:t>
      </w:r>
      <w:r w:rsidR="00F935DC" w:rsidRPr="00D56DE6">
        <w:rPr>
          <w:color w:val="auto"/>
        </w:rPr>
        <w:t>de noviembre</w:t>
      </w:r>
      <w:r w:rsidR="00CD4DE8" w:rsidRPr="00D56DE6">
        <w:rPr>
          <w:color w:val="auto"/>
        </w:rPr>
        <w:t xml:space="preserve"> de dos mil veinticinco</w:t>
      </w:r>
      <w:r w:rsidR="00E22EA8" w:rsidRPr="00D56DE6">
        <w:rPr>
          <w:color w:val="auto"/>
        </w:rPr>
        <w:t xml:space="preserve">, el Sujeto Obligado notificó, a través del Sistema de Acceso a la Información Mexiquense (SAIMEX), la respuesta a la solicitud de acceso a la información pública, </w:t>
      </w:r>
      <w:r w:rsidR="00F935DC" w:rsidRPr="00D56DE6">
        <w:rPr>
          <w:color w:val="auto"/>
        </w:rPr>
        <w:t>por medio del</w:t>
      </w:r>
      <w:r w:rsidR="00227EC0" w:rsidRPr="00D56DE6">
        <w:rPr>
          <w:color w:val="auto"/>
        </w:rPr>
        <w:t xml:space="preserve"> cual el Director de Desarrollo Económico y Gobierno señaló que la información se encontraba publicada en el portal de IPOMEX. </w:t>
      </w:r>
    </w:p>
    <w:p w14:paraId="471F86A5" w14:textId="77777777" w:rsidR="005E30CE" w:rsidRPr="00D56DE6" w:rsidRDefault="005E30CE" w:rsidP="00614700">
      <w:pPr>
        <w:spacing w:after="0" w:line="360" w:lineRule="auto"/>
        <w:ind w:left="720"/>
        <w:rPr>
          <w:i/>
          <w:color w:val="auto"/>
          <w:sz w:val="20"/>
        </w:rPr>
      </w:pPr>
    </w:p>
    <w:p w14:paraId="7E7FBB31" w14:textId="68020061" w:rsidR="00E22EA8" w:rsidRPr="00D56DE6" w:rsidRDefault="002207FA" w:rsidP="00614700">
      <w:pPr>
        <w:pStyle w:val="Ttulo2"/>
        <w:spacing w:before="0" w:after="0" w:line="360" w:lineRule="auto"/>
        <w:rPr>
          <w:color w:val="auto"/>
          <w:sz w:val="22"/>
          <w:szCs w:val="22"/>
        </w:rPr>
      </w:pPr>
      <w:bookmarkStart w:id="3" w:name="_Toc219385670"/>
      <w:r w:rsidRPr="00D56DE6">
        <w:rPr>
          <w:color w:val="auto"/>
          <w:sz w:val="22"/>
          <w:szCs w:val="22"/>
        </w:rPr>
        <w:t>III</w:t>
      </w:r>
      <w:r w:rsidR="00E22EA8" w:rsidRPr="00D56DE6">
        <w:rPr>
          <w:color w:val="auto"/>
          <w:sz w:val="22"/>
          <w:szCs w:val="22"/>
        </w:rPr>
        <w:t>. Interposición del Recurso de Revisión</w:t>
      </w:r>
      <w:bookmarkEnd w:id="3"/>
    </w:p>
    <w:p w14:paraId="053D45CF" w14:textId="77777777" w:rsidR="00E22EA8" w:rsidRPr="00D56DE6" w:rsidRDefault="00E22EA8" w:rsidP="00614700">
      <w:pPr>
        <w:spacing w:after="0" w:line="360" w:lineRule="auto"/>
        <w:rPr>
          <w:b/>
          <w:color w:val="auto"/>
        </w:rPr>
      </w:pPr>
    </w:p>
    <w:p w14:paraId="355C8CC6" w14:textId="62066432" w:rsidR="009C5A71" w:rsidRPr="00D56DE6" w:rsidRDefault="00083169" w:rsidP="00614700">
      <w:pPr>
        <w:spacing w:after="0" w:line="360" w:lineRule="auto"/>
        <w:rPr>
          <w:bCs/>
          <w:color w:val="auto"/>
        </w:rPr>
      </w:pPr>
      <w:r w:rsidRPr="00D56DE6">
        <w:rPr>
          <w:bCs/>
          <w:color w:val="auto"/>
        </w:rPr>
        <w:t>El</w:t>
      </w:r>
      <w:r w:rsidR="008E5E71" w:rsidRPr="00D56DE6">
        <w:rPr>
          <w:bCs/>
          <w:color w:val="auto"/>
        </w:rPr>
        <w:t xml:space="preserve"> </w:t>
      </w:r>
      <w:r w:rsidR="00227EC0" w:rsidRPr="00D56DE6">
        <w:rPr>
          <w:color w:val="auto"/>
        </w:rPr>
        <w:t>primero</w:t>
      </w:r>
      <w:r w:rsidR="00234BAD" w:rsidRPr="00D56DE6">
        <w:rPr>
          <w:color w:val="auto"/>
        </w:rPr>
        <w:t xml:space="preserve"> de diciembre</w:t>
      </w:r>
      <w:r w:rsidR="00C2045C" w:rsidRPr="00D56DE6">
        <w:rPr>
          <w:color w:val="auto"/>
        </w:rPr>
        <w:t xml:space="preserve"> </w:t>
      </w:r>
      <w:r w:rsidR="008E5E71" w:rsidRPr="00D56DE6">
        <w:rPr>
          <w:color w:val="auto"/>
        </w:rPr>
        <w:t>de dos mil</w:t>
      </w:r>
      <w:r w:rsidR="00A51A71" w:rsidRPr="00D56DE6">
        <w:rPr>
          <w:color w:val="auto"/>
        </w:rPr>
        <w:t xml:space="preserve"> veinticinco</w:t>
      </w:r>
      <w:r w:rsidR="00E22EA8" w:rsidRPr="00D56DE6">
        <w:rPr>
          <w:bCs/>
          <w:color w:val="auto"/>
        </w:rPr>
        <w:t xml:space="preserve">, se recibió en este Instituto, a través del </w:t>
      </w:r>
      <w:r w:rsidR="00E22EA8" w:rsidRPr="00D56DE6">
        <w:rPr>
          <w:bCs/>
          <w:color w:val="auto"/>
          <w:lang w:val="es-ES"/>
        </w:rPr>
        <w:t>Sistema de Acceso a la Información Mexiquense (SAIMEX)</w:t>
      </w:r>
      <w:r w:rsidR="00E22EA8" w:rsidRPr="00D56DE6">
        <w:rPr>
          <w:bCs/>
          <w:color w:val="auto"/>
        </w:rPr>
        <w:t xml:space="preserve">, </w:t>
      </w:r>
      <w:r w:rsidR="009019A8" w:rsidRPr="00D56DE6">
        <w:rPr>
          <w:bCs/>
          <w:color w:val="auto"/>
        </w:rPr>
        <w:t xml:space="preserve">el </w:t>
      </w:r>
      <w:r w:rsidR="00E22EA8" w:rsidRPr="00D56DE6">
        <w:rPr>
          <w:bCs/>
          <w:color w:val="auto"/>
        </w:rPr>
        <w:t>Recurso de Revisión interpuesto por la p</w:t>
      </w:r>
      <w:r w:rsidRPr="00D56DE6">
        <w:rPr>
          <w:bCs/>
          <w:color w:val="auto"/>
        </w:rPr>
        <w:t>ersona</w:t>
      </w:r>
      <w:r w:rsidR="00E22EA8" w:rsidRPr="00D56DE6">
        <w:rPr>
          <w:bCs/>
          <w:color w:val="auto"/>
        </w:rPr>
        <w:t xml:space="preserve"> Recurrente, en contra de la respuesta por el Sujeto Obligado, a la solicitud de información</w:t>
      </w:r>
      <w:r w:rsidR="00F43789" w:rsidRPr="00D56DE6">
        <w:rPr>
          <w:rFonts w:eastAsia="Calibri" w:cs="Times New Roman"/>
          <w:color w:val="auto"/>
        </w:rPr>
        <w:t xml:space="preserve">, </w:t>
      </w:r>
      <w:r w:rsidR="00E22EA8" w:rsidRPr="00D56DE6">
        <w:rPr>
          <w:bCs/>
          <w:color w:val="auto"/>
        </w:rPr>
        <w:t>en los siguientes términos:</w:t>
      </w:r>
    </w:p>
    <w:p w14:paraId="499DDBDB" w14:textId="77777777" w:rsidR="008E5E71" w:rsidRPr="00D56DE6" w:rsidRDefault="008E5E71" w:rsidP="00614700">
      <w:pPr>
        <w:spacing w:after="0" w:line="360" w:lineRule="auto"/>
        <w:ind w:left="567" w:right="567"/>
        <w:rPr>
          <w:b/>
          <w:bCs/>
          <w:i/>
          <w:color w:val="auto"/>
          <w:sz w:val="20"/>
          <w:szCs w:val="20"/>
        </w:rPr>
      </w:pPr>
    </w:p>
    <w:p w14:paraId="1B2CCD45" w14:textId="1F34B3A9" w:rsidR="00E22EA8" w:rsidRPr="00D56DE6" w:rsidRDefault="00E12804" w:rsidP="00614700">
      <w:pPr>
        <w:spacing w:after="0" w:line="360" w:lineRule="auto"/>
        <w:ind w:left="567" w:right="567"/>
        <w:rPr>
          <w:bCs/>
          <w:i/>
          <w:color w:val="auto"/>
          <w:sz w:val="20"/>
          <w:szCs w:val="20"/>
        </w:rPr>
      </w:pPr>
      <w:r w:rsidRPr="00D56DE6">
        <w:rPr>
          <w:b/>
          <w:bCs/>
          <w:i/>
          <w:color w:val="auto"/>
          <w:sz w:val="20"/>
          <w:szCs w:val="20"/>
        </w:rPr>
        <w:t>‘’</w:t>
      </w:r>
      <w:r w:rsidR="00E22EA8" w:rsidRPr="00D56DE6">
        <w:rPr>
          <w:b/>
          <w:bCs/>
          <w:i/>
          <w:color w:val="auto"/>
          <w:sz w:val="20"/>
          <w:szCs w:val="20"/>
        </w:rPr>
        <w:t>ACTO IMPUGNADO</w:t>
      </w:r>
    </w:p>
    <w:p w14:paraId="20CB87D1" w14:textId="5F043C55" w:rsidR="00E22EA8" w:rsidRPr="00D56DE6" w:rsidRDefault="00227EC0" w:rsidP="00614700">
      <w:pPr>
        <w:spacing w:after="0" w:line="360" w:lineRule="auto"/>
        <w:ind w:left="567" w:right="567"/>
        <w:rPr>
          <w:i/>
          <w:color w:val="auto"/>
          <w:sz w:val="20"/>
          <w:szCs w:val="20"/>
        </w:rPr>
      </w:pPr>
      <w:r w:rsidRPr="00D56DE6">
        <w:rPr>
          <w:i/>
          <w:iCs/>
          <w:color w:val="auto"/>
          <w:sz w:val="20"/>
          <w:szCs w:val="20"/>
        </w:rPr>
        <w:t>Oficio TV/ST/UTAI/665/2025</w:t>
      </w:r>
      <w:r w:rsidR="00E22EA8" w:rsidRPr="00D56DE6">
        <w:rPr>
          <w:i/>
          <w:iCs/>
          <w:color w:val="auto"/>
          <w:sz w:val="20"/>
          <w:szCs w:val="20"/>
        </w:rPr>
        <w:t>”</w:t>
      </w:r>
      <w:r w:rsidR="002D6CA6" w:rsidRPr="00D56DE6">
        <w:rPr>
          <w:i/>
          <w:iCs/>
          <w:color w:val="auto"/>
          <w:sz w:val="20"/>
          <w:szCs w:val="20"/>
        </w:rPr>
        <w:t xml:space="preserve"> (Sic.)</w:t>
      </w:r>
    </w:p>
    <w:p w14:paraId="3B2615CC" w14:textId="77777777" w:rsidR="00E22EA8" w:rsidRPr="00D56DE6" w:rsidRDefault="00E22EA8" w:rsidP="00614700">
      <w:pPr>
        <w:spacing w:after="0" w:line="360" w:lineRule="auto"/>
        <w:ind w:left="567" w:right="567"/>
        <w:rPr>
          <w:i/>
          <w:color w:val="auto"/>
          <w:sz w:val="20"/>
          <w:szCs w:val="20"/>
        </w:rPr>
      </w:pPr>
    </w:p>
    <w:p w14:paraId="3F1F07C7" w14:textId="49F2AE96" w:rsidR="00E22EA8" w:rsidRPr="00D56DE6" w:rsidRDefault="00E12804" w:rsidP="00614700">
      <w:pPr>
        <w:spacing w:after="0" w:line="360" w:lineRule="auto"/>
        <w:ind w:left="567" w:right="567"/>
        <w:rPr>
          <w:b/>
          <w:i/>
          <w:color w:val="auto"/>
          <w:sz w:val="20"/>
          <w:szCs w:val="20"/>
        </w:rPr>
      </w:pPr>
      <w:r w:rsidRPr="00D56DE6">
        <w:rPr>
          <w:b/>
          <w:i/>
          <w:color w:val="auto"/>
          <w:sz w:val="20"/>
          <w:szCs w:val="20"/>
        </w:rPr>
        <w:t>‘’</w:t>
      </w:r>
      <w:r w:rsidR="00E22EA8" w:rsidRPr="00D56DE6">
        <w:rPr>
          <w:b/>
          <w:i/>
          <w:color w:val="auto"/>
          <w:sz w:val="20"/>
          <w:szCs w:val="20"/>
        </w:rPr>
        <w:t>RAZONES O MOTIVOS DE LA INCONFORMIDAD</w:t>
      </w:r>
    </w:p>
    <w:p w14:paraId="31B716B5" w14:textId="18D496F4" w:rsidR="00E12804" w:rsidRPr="00D56DE6" w:rsidRDefault="00227EC0" w:rsidP="00614700">
      <w:pPr>
        <w:spacing w:after="0" w:line="360" w:lineRule="auto"/>
        <w:ind w:left="567" w:right="567"/>
        <w:rPr>
          <w:i/>
          <w:iCs/>
          <w:color w:val="auto"/>
          <w:sz w:val="20"/>
          <w:szCs w:val="20"/>
        </w:rPr>
      </w:pPr>
      <w:r w:rsidRPr="00D56DE6">
        <w:rPr>
          <w:i/>
          <w:iCs/>
          <w:color w:val="auto"/>
          <w:sz w:val="20"/>
          <w:szCs w:val="20"/>
        </w:rPr>
        <w:t xml:space="preserve">VIOLACIONES A LA LEY DE TRANSPARENCIA Y ACCESO A LA INFORMACIÓN PÚBLICA DEL ESTADO DE MÉXICO Y MUNICIPIOS 1. Violación al Artículo 18 de la Ley de Transparencia y Acceso a la Información Pública del Estado de México y Municipios Este artículo establece: Los sujetos obligados deberán documentar todo acto derivado del ejercicio de sus facultades, competencias o funciones. Registrar empresas, giros comerciales, licencias, actividades industriales y económicas es una función obligatoria del municipio. Si no existe un padrón o registro interno de empresas metalmecánicas, el Ayuntamiento está reconociendo una falta </w:t>
      </w:r>
      <w:r w:rsidRPr="00D56DE6">
        <w:rPr>
          <w:i/>
          <w:iCs/>
          <w:color w:val="auto"/>
          <w:sz w:val="20"/>
          <w:szCs w:val="20"/>
        </w:rPr>
        <w:lastRenderedPageBreak/>
        <w:t xml:space="preserve">administrativa. La respuesta no explica: • si dicha información existe, • si se buscó adecuadamente, • si se encuentra parcialmente documentada, • ni por qué estaría ausente. Esto contraviene el artículo 18. ________________________________________ 2. Violación al Artículo 19 de la Ley de Transparencia y Acceso a la Información Pública del Estado de México y Municipios El artículo indica: Si la información debió generarse, poseerse o administrarse, pero no se encuentra, el Comité de Transparencia deberá emitir un acuerdo de inexistencia debidamente fundado y motivado. En la respuesta: • No hay resolución del Comité de Transparencia. • No hay análisis colegiado. • No hay acuerdo formal. • No se expone si la información “no existe” o solo “no fue localizada”. La Unidad únicamente remite al portal de obligaciones, sin aclarar si buscó, ni si existe o no la información solicitada. ________________________________________ 3. Uso incorrecto de las obligaciones de transparencia para evadir la entrega de información La Unidad indica en página 1: “La información que solicita se encuentra disponible al público en formatos electrónicos y está para su uso… en la siguiente liga electrónica.” </w:t>
      </w:r>
      <w:proofErr w:type="spellStart"/>
      <w:r w:rsidRPr="00D56DE6">
        <w:rPr>
          <w:i/>
          <w:iCs/>
          <w:color w:val="auto"/>
          <w:sz w:val="20"/>
          <w:szCs w:val="20"/>
        </w:rPr>
        <w:t>Contestacion</w:t>
      </w:r>
      <w:proofErr w:type="spellEnd"/>
      <w:r w:rsidRPr="00D56DE6">
        <w:rPr>
          <w:i/>
          <w:iCs/>
          <w:color w:val="auto"/>
          <w:sz w:val="20"/>
          <w:szCs w:val="20"/>
        </w:rPr>
        <w:t xml:space="preserve"> 111 (1) Esto es problemático porque: • Las obligaciones de transparencia (fracción 45/181/1) no siempre contienen el padrón solicitado, sino solo listas generales. • El Ayuntamiento debe indicar con precisión el documento, no solo un portal genérico. • La liga enviada obliga al solicitante a navegar por trimestres sin referencia exacta, lo cual la ley prohíbe. La Ley de Transparencia y Acceso a la Información Pública del Estado de México y Municipios exige que la autoridad entregue: • el documento solicitado, • o la ubicación exacta del archivo (no solo un portal), • o un acuerdo de inexistencia. Nada de esto se cumple. ________________________________________ 4. Violación al Artículo 169 de la Ley de Transparencia y Acceso a la Información Pública del Estado de México y Municipios Este artículo regula qué hacer cuando una unidad administrativa dice “no tengo la información”. Obliga a que el Comité de Transparencia: 1. Analice la situación. 2. Verifique si la información debió existir. 3. Determine si hubo omisión administrativa. 4. Ordene reponer o generar la información. 5. Emita resolución formal. La Unidad de Transparencia en el documento revisado: • No solicitó intervención del Comité. • No valoró si la información debió estar documentada. • No resolvió conforme al artículo 169. ________________________________________ 5. Violación al Artículo 170 de la Ley de Transparencia y Acceso a la Información Pública del Estado de México y Municipios El artículo 170 señala que la declaratoria de inexistencia debe permitir al </w:t>
      </w:r>
      <w:r w:rsidRPr="00D56DE6">
        <w:rPr>
          <w:i/>
          <w:iCs/>
          <w:color w:val="auto"/>
          <w:sz w:val="20"/>
          <w:szCs w:val="20"/>
        </w:rPr>
        <w:lastRenderedPageBreak/>
        <w:t>solicitante verificar que: • hubo una búsqueda exhaustiva, • se revisaron bases de datos, archivos, expedientes, • se indican circunstancias de tiempo, modo y lugar. Nada de esto aparece en la respuesta. La Unidad se limita a: • mencionar que se turnó la solicitud, • pero no explica cómo se buscó, • ni si se revisaron archivos físicos, electrónicos, expedientes o bases de datos. ________________________________________ 6. La respuesta es insuficiente según el Artículo 179 de la Ley de Transparencia y Acceso a la Información Pública del Estado de México y Municipios Este artículo establece como causa para interponer recurso de revisión: La falta, deficiencia o insuficiencia de fundamentación y/o motivación en la respuesta. La respuesta: • no explica la existencia o inexistencia real del padrón, • no acredita búsqueda, • no contiene fundamentación jurídica, • no emite acuerdo de inexistencia, • no justifica el uso del portal como sustituto de respuesta.</w:t>
      </w:r>
      <w:r w:rsidR="003C5F59" w:rsidRPr="00D56DE6">
        <w:rPr>
          <w:i/>
          <w:iCs/>
          <w:color w:val="auto"/>
          <w:sz w:val="20"/>
          <w:szCs w:val="20"/>
        </w:rPr>
        <w:t>”</w:t>
      </w:r>
      <w:r w:rsidR="002D6CA6" w:rsidRPr="00D56DE6">
        <w:rPr>
          <w:i/>
          <w:iCs/>
          <w:color w:val="auto"/>
          <w:sz w:val="20"/>
          <w:szCs w:val="20"/>
        </w:rPr>
        <w:t xml:space="preserve"> (Sic.)</w:t>
      </w:r>
    </w:p>
    <w:p w14:paraId="209B3848" w14:textId="77777777" w:rsidR="00F046C9" w:rsidRPr="00D56DE6" w:rsidRDefault="00F046C9" w:rsidP="00614700">
      <w:pPr>
        <w:spacing w:after="0" w:line="360" w:lineRule="auto"/>
        <w:ind w:right="567"/>
        <w:rPr>
          <w:color w:val="auto"/>
          <w:szCs w:val="20"/>
        </w:rPr>
      </w:pPr>
    </w:p>
    <w:p w14:paraId="46FB6323" w14:textId="7D96E0A2" w:rsidR="00234BAD" w:rsidRPr="00D56DE6" w:rsidRDefault="00234BAD" w:rsidP="00614700">
      <w:pPr>
        <w:spacing w:after="0" w:line="360" w:lineRule="auto"/>
        <w:ind w:right="567"/>
        <w:rPr>
          <w:color w:val="auto"/>
          <w:szCs w:val="20"/>
        </w:rPr>
      </w:pPr>
      <w:r w:rsidRPr="00D56DE6">
        <w:rPr>
          <w:color w:val="auto"/>
          <w:szCs w:val="20"/>
        </w:rPr>
        <w:t xml:space="preserve">La persona Solicitante anexó el documento </w:t>
      </w:r>
      <w:r w:rsidR="00227EC0" w:rsidRPr="00D56DE6">
        <w:rPr>
          <w:color w:val="auto"/>
          <w:szCs w:val="20"/>
        </w:rPr>
        <w:t>que le fue entregado en respuesta</w:t>
      </w:r>
      <w:r w:rsidRPr="00D56DE6">
        <w:rPr>
          <w:color w:val="auto"/>
          <w:szCs w:val="20"/>
        </w:rPr>
        <w:t>.</w:t>
      </w:r>
    </w:p>
    <w:p w14:paraId="52EA332B" w14:textId="77777777" w:rsidR="00234BAD" w:rsidRPr="00D56DE6" w:rsidRDefault="00234BAD" w:rsidP="00614700">
      <w:pPr>
        <w:spacing w:after="0" w:line="360" w:lineRule="auto"/>
        <w:ind w:right="567"/>
        <w:rPr>
          <w:color w:val="auto"/>
          <w:szCs w:val="20"/>
        </w:rPr>
      </w:pPr>
    </w:p>
    <w:p w14:paraId="009DB65C" w14:textId="2D236FF1" w:rsidR="00E22EA8" w:rsidRPr="00D56DE6" w:rsidRDefault="002207FA" w:rsidP="00614700">
      <w:pPr>
        <w:pStyle w:val="Ttulo2"/>
        <w:spacing w:before="0" w:after="0" w:line="360" w:lineRule="auto"/>
        <w:rPr>
          <w:color w:val="auto"/>
          <w:sz w:val="22"/>
          <w:szCs w:val="22"/>
        </w:rPr>
      </w:pPr>
      <w:bookmarkStart w:id="4" w:name="_Toc219385671"/>
      <w:r w:rsidRPr="00D56DE6">
        <w:rPr>
          <w:color w:val="auto"/>
          <w:sz w:val="22"/>
          <w:szCs w:val="22"/>
        </w:rPr>
        <w:t>I</w:t>
      </w:r>
      <w:r w:rsidR="00E22EA8" w:rsidRPr="00D56DE6">
        <w:rPr>
          <w:color w:val="auto"/>
          <w:sz w:val="22"/>
          <w:szCs w:val="22"/>
        </w:rPr>
        <w:t>V. Trámite del Recurso de Revisión ante este Instituto</w:t>
      </w:r>
      <w:bookmarkEnd w:id="4"/>
    </w:p>
    <w:p w14:paraId="5C9B63F8" w14:textId="77777777" w:rsidR="009B2DAB" w:rsidRPr="00D56DE6" w:rsidRDefault="009B2DAB" w:rsidP="00614700">
      <w:pPr>
        <w:spacing w:after="0" w:line="360" w:lineRule="auto"/>
        <w:rPr>
          <w:b/>
          <w:bCs/>
          <w:color w:val="auto"/>
        </w:rPr>
      </w:pPr>
    </w:p>
    <w:p w14:paraId="173768ED" w14:textId="1523783C" w:rsidR="00E22EA8" w:rsidRPr="00D56DE6" w:rsidRDefault="00E22EA8" w:rsidP="00614700">
      <w:pPr>
        <w:spacing w:after="0" w:line="360" w:lineRule="auto"/>
        <w:rPr>
          <w:bCs/>
          <w:color w:val="auto"/>
        </w:rPr>
      </w:pPr>
      <w:r w:rsidRPr="00D56DE6">
        <w:rPr>
          <w:b/>
          <w:bCs/>
          <w:color w:val="auto"/>
        </w:rPr>
        <w:t>a) Turno del Medio de Impugnación.</w:t>
      </w:r>
      <w:r w:rsidR="000A706F" w:rsidRPr="00D56DE6">
        <w:rPr>
          <w:bCs/>
          <w:color w:val="auto"/>
        </w:rPr>
        <w:t xml:space="preserve"> </w:t>
      </w:r>
      <w:r w:rsidR="003C5F59" w:rsidRPr="00D56DE6">
        <w:rPr>
          <w:bCs/>
          <w:color w:val="auto"/>
        </w:rPr>
        <w:t xml:space="preserve">El </w:t>
      </w:r>
      <w:r w:rsidR="00227EC0" w:rsidRPr="00D56DE6">
        <w:rPr>
          <w:bCs/>
          <w:color w:val="auto"/>
        </w:rPr>
        <w:t>primero</w:t>
      </w:r>
      <w:r w:rsidR="00234BAD" w:rsidRPr="00D56DE6">
        <w:rPr>
          <w:bCs/>
          <w:color w:val="auto"/>
        </w:rPr>
        <w:t xml:space="preserve"> de diciembre</w:t>
      </w:r>
      <w:r w:rsidR="00E64E18" w:rsidRPr="00D56DE6">
        <w:rPr>
          <w:color w:val="auto"/>
        </w:rPr>
        <w:t xml:space="preserve"> de dos mil veinticinco</w:t>
      </w:r>
      <w:r w:rsidRPr="00D56DE6">
        <w:rPr>
          <w:bCs/>
          <w:color w:val="auto"/>
        </w:rPr>
        <w:t xml:space="preserve">, el </w:t>
      </w:r>
      <w:r w:rsidRPr="00D56DE6">
        <w:rPr>
          <w:color w:val="auto"/>
          <w:lang w:val="es-ES"/>
        </w:rPr>
        <w:t>Sistema de Acceso a la Información Mexiquense (SAIMEX),</w:t>
      </w:r>
      <w:r w:rsidRPr="00D56DE6">
        <w:rPr>
          <w:bCs/>
          <w:color w:val="auto"/>
        </w:rPr>
        <w:t xml:space="preserve"> asignó el número de expediente </w:t>
      </w:r>
      <w:r w:rsidR="00F935DC" w:rsidRPr="00D56DE6">
        <w:rPr>
          <w:b/>
          <w:bCs/>
          <w:color w:val="auto"/>
        </w:rPr>
        <w:t>133</w:t>
      </w:r>
      <w:r w:rsidR="00227EC0" w:rsidRPr="00D56DE6">
        <w:rPr>
          <w:b/>
          <w:bCs/>
          <w:color w:val="auto"/>
        </w:rPr>
        <w:t>4</w:t>
      </w:r>
      <w:r w:rsidR="00F935DC" w:rsidRPr="00D56DE6">
        <w:rPr>
          <w:b/>
          <w:bCs/>
          <w:color w:val="auto"/>
        </w:rPr>
        <w:t>6</w:t>
      </w:r>
      <w:r w:rsidR="000D392E" w:rsidRPr="00D56DE6">
        <w:rPr>
          <w:b/>
          <w:bCs/>
          <w:color w:val="auto"/>
        </w:rPr>
        <w:t>/INFOEM/IP/RR/2025</w:t>
      </w:r>
      <w:r w:rsidRPr="00D56DE6">
        <w:rPr>
          <w:bCs/>
          <w:color w:val="auto"/>
        </w:rPr>
        <w:t xml:space="preserve">, al medio de impugnación que nos ocupa, con base en el sistema aprobado por el Pleno de este </w:t>
      </w:r>
      <w:r w:rsidR="00B65BCA" w:rsidRPr="00D56DE6">
        <w:rPr>
          <w:bCs/>
          <w:color w:val="auto"/>
        </w:rPr>
        <w:t>Organismo</w:t>
      </w:r>
      <w:r w:rsidRPr="00D56DE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56DE6" w:rsidRDefault="005914EE" w:rsidP="00614700">
      <w:pPr>
        <w:spacing w:after="0" w:line="360" w:lineRule="auto"/>
        <w:rPr>
          <w:b/>
          <w:bCs/>
          <w:color w:val="auto"/>
        </w:rPr>
      </w:pPr>
    </w:p>
    <w:p w14:paraId="61891480" w14:textId="556985C1" w:rsidR="00E22EA8" w:rsidRPr="00D56DE6" w:rsidRDefault="00E22EA8" w:rsidP="00614700">
      <w:pPr>
        <w:spacing w:after="0" w:line="360" w:lineRule="auto"/>
        <w:rPr>
          <w:color w:val="auto"/>
        </w:rPr>
      </w:pPr>
      <w:r w:rsidRPr="00D56DE6">
        <w:rPr>
          <w:b/>
          <w:bCs/>
          <w:color w:val="auto"/>
        </w:rPr>
        <w:t>b) Admisión del Recurso de Revisión</w:t>
      </w:r>
      <w:r w:rsidRPr="00D56DE6">
        <w:rPr>
          <w:b/>
          <w:bCs/>
          <w:color w:val="auto"/>
          <w:lang w:val="es-ES_tradnl"/>
        </w:rPr>
        <w:t xml:space="preserve">. </w:t>
      </w:r>
      <w:r w:rsidR="003C5F59" w:rsidRPr="00D56DE6">
        <w:rPr>
          <w:color w:val="auto"/>
        </w:rPr>
        <w:t xml:space="preserve">El </w:t>
      </w:r>
      <w:r w:rsidR="00227EC0" w:rsidRPr="00D56DE6">
        <w:rPr>
          <w:color w:val="auto"/>
        </w:rPr>
        <w:t>cuatro</w:t>
      </w:r>
      <w:r w:rsidR="00234BAD" w:rsidRPr="00D56DE6">
        <w:rPr>
          <w:color w:val="auto"/>
        </w:rPr>
        <w:t xml:space="preserve"> de diciembre</w:t>
      </w:r>
      <w:r w:rsidR="00E64E18" w:rsidRPr="00D56DE6">
        <w:rPr>
          <w:color w:val="auto"/>
        </w:rPr>
        <w:t xml:space="preserve"> de dos mil veinticinco</w:t>
      </w:r>
      <w:r w:rsidRPr="00D56DE6">
        <w:rPr>
          <w:bCs/>
          <w:color w:val="auto"/>
          <w:lang w:val="es-ES_tradnl"/>
        </w:rPr>
        <w:t xml:space="preserve">, se acordó la admisión del Recurso de Revisión interpuesto por </w:t>
      </w:r>
      <w:r w:rsidR="00261B92" w:rsidRPr="00D56DE6">
        <w:rPr>
          <w:bCs/>
          <w:color w:val="auto"/>
          <w:lang w:val="es-ES_tradnl"/>
        </w:rPr>
        <w:t>la persona</w:t>
      </w:r>
      <w:r w:rsidRPr="00D56DE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w:t>
      </w:r>
      <w:r w:rsidRPr="00D56DE6">
        <w:rPr>
          <w:bCs/>
          <w:color w:val="auto"/>
          <w:lang w:val="es-ES_tradnl"/>
        </w:rPr>
        <w:lastRenderedPageBreak/>
        <w:t xml:space="preserve">a las partes </w:t>
      </w:r>
      <w:r w:rsidR="00E10780" w:rsidRPr="00D56DE6">
        <w:rPr>
          <w:bCs/>
          <w:color w:val="auto"/>
          <w:lang w:val="es-ES_tradnl"/>
        </w:rPr>
        <w:t>el</w:t>
      </w:r>
      <w:r w:rsidR="007C4D4E" w:rsidRPr="00D56DE6">
        <w:rPr>
          <w:bCs/>
          <w:color w:val="auto"/>
          <w:lang w:val="es-ES_tradnl"/>
        </w:rPr>
        <w:t xml:space="preserve"> mismo día</w:t>
      </w:r>
      <w:r w:rsidRPr="00D56DE6">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56DE6" w:rsidRDefault="00E22EA8" w:rsidP="00614700">
      <w:pPr>
        <w:spacing w:after="0" w:line="360" w:lineRule="auto"/>
        <w:rPr>
          <w:rFonts w:cs="Tahoma"/>
          <w:color w:val="auto"/>
          <w:lang w:val="es-ES_tradnl"/>
        </w:rPr>
      </w:pPr>
    </w:p>
    <w:p w14:paraId="097E8B96" w14:textId="7E299D34" w:rsidR="00227EC0" w:rsidRPr="00D56DE6" w:rsidRDefault="00EE4815" w:rsidP="00614700">
      <w:pPr>
        <w:spacing w:after="0" w:line="360" w:lineRule="auto"/>
        <w:rPr>
          <w:rFonts w:eastAsia="Batang" w:cs="Tahoma"/>
          <w:bCs/>
          <w:color w:val="auto"/>
          <w:lang w:val="es-ES_tradnl" w:eastAsia="es-ES"/>
        </w:rPr>
      </w:pPr>
      <w:r w:rsidRPr="00D56DE6">
        <w:rPr>
          <w:b/>
          <w:color w:val="auto"/>
        </w:rPr>
        <w:t xml:space="preserve">c) Informe Justificado. </w:t>
      </w:r>
      <w:r w:rsidR="00227EC0" w:rsidRPr="00D56DE6">
        <w:rPr>
          <w:rFonts w:eastAsia="Batang" w:cs="Tahoma"/>
          <w:bCs/>
          <w:color w:val="auto"/>
          <w:lang w:val="es-ES_tradnl" w:eastAsia="es-ES"/>
        </w:rPr>
        <w:t xml:space="preserve">El </w:t>
      </w:r>
      <w:r w:rsidR="00227EC0" w:rsidRPr="00D56DE6">
        <w:rPr>
          <w:rFonts w:eastAsia="Times New Roman" w:cs="Tahoma"/>
          <w:color w:val="auto"/>
          <w:lang w:eastAsia="es-ES"/>
        </w:rPr>
        <w:t xml:space="preserve">quince de diciembre </w:t>
      </w:r>
      <w:r w:rsidR="00227EC0" w:rsidRPr="00D56DE6">
        <w:rPr>
          <w:rFonts w:eastAsia="Batang" w:cs="Tahoma"/>
          <w:bCs/>
          <w:color w:val="auto"/>
          <w:lang w:val="es-ES_tradnl" w:eastAsia="es-ES"/>
        </w:rPr>
        <w:t>de dos mil veinticinco, a través del SAIMEX, se recibió en este Instituto el informe justificado por parte del Sujeto Obligado en el que manifestó a través del Director de Desarrollo Económico y Gobierno lo siguiente:</w:t>
      </w:r>
    </w:p>
    <w:p w14:paraId="6F16B3EA" w14:textId="77777777" w:rsidR="00227EC0" w:rsidRPr="00D56DE6" w:rsidRDefault="00227EC0" w:rsidP="00614700">
      <w:pPr>
        <w:spacing w:after="0" w:line="360" w:lineRule="auto"/>
        <w:rPr>
          <w:rFonts w:eastAsia="Batang" w:cs="Tahoma"/>
          <w:bCs/>
          <w:color w:val="auto"/>
          <w:lang w:val="es-ES_tradnl" w:eastAsia="es-ES"/>
        </w:rPr>
      </w:pPr>
    </w:p>
    <w:p w14:paraId="36745E8F" w14:textId="6A213C23" w:rsidR="00227EC0" w:rsidRPr="00D56DE6" w:rsidRDefault="00227EC0" w:rsidP="00614700">
      <w:pPr>
        <w:spacing w:after="0" w:line="360" w:lineRule="auto"/>
        <w:ind w:left="567" w:right="426"/>
        <w:rPr>
          <w:rFonts w:eastAsia="Batang" w:cs="Tahoma"/>
          <w:i/>
          <w:iCs/>
          <w:color w:val="auto"/>
          <w:sz w:val="20"/>
          <w:szCs w:val="20"/>
          <w:lang w:eastAsia="es-ES"/>
        </w:rPr>
      </w:pPr>
      <w:r w:rsidRPr="00D56DE6">
        <w:rPr>
          <w:rFonts w:eastAsia="Batang" w:cs="Tahoma"/>
          <w:i/>
          <w:iCs/>
          <w:color w:val="auto"/>
          <w:sz w:val="20"/>
          <w:szCs w:val="20"/>
          <w:lang w:eastAsia="es-ES"/>
        </w:rPr>
        <w:t xml:space="preserve">“…se le comunica que toda la información de los años 2024 y 2025 que obra en la Dirección de Desarrollo Económico y Gobierno del Ayuntamiento de Tenango del Valle es archivo de trámite; también informo que se genera un padrón general de comercios establecidos que se encuentran dentro de la jurisdicción del Municipio de Tenango del Valle, es decir, no se genera un padrón por tipo de giro comercial, en ese sentido, se informa que después de realizar una búsqueda exhaustiva y razonable de la información que pide el solicitante en el archivo de trámite tanto físico como electrónico de esos años, notifico </w:t>
      </w:r>
      <w:r w:rsidRPr="00D56DE6">
        <w:rPr>
          <w:rFonts w:eastAsia="Batang" w:cs="Tahoma"/>
          <w:i/>
          <w:iCs/>
          <w:color w:val="auto"/>
          <w:sz w:val="20"/>
          <w:szCs w:val="20"/>
          <w:u w:val="single"/>
          <w:lang w:eastAsia="es-ES"/>
        </w:rPr>
        <w:t>que únicamente se identificó a la empresa Falco Latinoamericana S.A. de C.V. con la fabricación de productos de acero inoxidable, con domicilio en Calle de la Llama No. 115, Colonia Parque Industrial, Tenango de Arista, Municipio de Tenango del Valle ; de igual manera se hace del conocimiento que para la apertura de la negociación únicamente se ocupa el nombre del negocio y el domicilio, toda vez que no se requiere número telefónico ni correo electrónico</w:t>
      </w:r>
      <w:r w:rsidRPr="00D56DE6">
        <w:rPr>
          <w:rFonts w:eastAsia="Batang" w:cs="Tahoma"/>
          <w:i/>
          <w:iCs/>
          <w:color w:val="auto"/>
          <w:sz w:val="20"/>
          <w:szCs w:val="20"/>
          <w:lang w:eastAsia="es-ES"/>
        </w:rPr>
        <w:t>.</w:t>
      </w:r>
    </w:p>
    <w:p w14:paraId="474ECC35" w14:textId="63970124" w:rsidR="00227EC0" w:rsidRPr="00D56DE6" w:rsidRDefault="00227EC0" w:rsidP="00614700">
      <w:pPr>
        <w:spacing w:after="0" w:line="360" w:lineRule="auto"/>
        <w:ind w:left="567" w:right="426"/>
        <w:rPr>
          <w:rFonts w:eastAsia="Batang" w:cs="Tahoma"/>
          <w:i/>
          <w:iCs/>
          <w:color w:val="auto"/>
          <w:sz w:val="20"/>
          <w:szCs w:val="20"/>
          <w:lang w:eastAsia="es-ES"/>
        </w:rPr>
      </w:pPr>
      <w:r w:rsidRPr="00D56DE6">
        <w:rPr>
          <w:rFonts w:eastAsia="Batang" w:cs="Tahoma"/>
          <w:i/>
          <w:iCs/>
          <w:color w:val="auto"/>
          <w:sz w:val="20"/>
          <w:szCs w:val="20"/>
          <w:lang w:eastAsia="es-ES"/>
        </w:rPr>
        <w:t>…”</w:t>
      </w:r>
    </w:p>
    <w:p w14:paraId="4826EA9C" w14:textId="77777777" w:rsidR="00227EC0" w:rsidRPr="00D56DE6" w:rsidRDefault="00227EC0" w:rsidP="00614700">
      <w:pPr>
        <w:spacing w:after="0" w:line="360" w:lineRule="auto"/>
        <w:rPr>
          <w:rFonts w:eastAsia="Times New Roman" w:cs="Times New Roman"/>
          <w:b/>
          <w:color w:val="auto"/>
          <w:szCs w:val="24"/>
          <w:lang w:eastAsia="es-ES"/>
        </w:rPr>
      </w:pPr>
      <w:bookmarkStart w:id="5" w:name="_Toc190261914"/>
      <w:bookmarkStart w:id="6" w:name="_Toc196917718"/>
    </w:p>
    <w:p w14:paraId="18034821" w14:textId="76D40101" w:rsidR="00227EC0" w:rsidRPr="00D56DE6" w:rsidRDefault="00227EC0" w:rsidP="00614700">
      <w:pPr>
        <w:spacing w:after="0" w:line="360" w:lineRule="auto"/>
        <w:rPr>
          <w:rFonts w:eastAsia="Times New Roman" w:cs="Tahoma"/>
          <w:color w:val="auto"/>
          <w:lang w:eastAsia="es-ES"/>
        </w:rPr>
      </w:pPr>
      <w:bookmarkStart w:id="7" w:name="_Toc205306991"/>
      <w:r w:rsidRPr="00D56DE6">
        <w:rPr>
          <w:rFonts w:eastAsia="Times New Roman" w:cs="Times New Roman"/>
          <w:b/>
          <w:color w:val="auto"/>
          <w:szCs w:val="24"/>
          <w:lang w:eastAsia="es-ES"/>
        </w:rPr>
        <w:t>d) Vista del Informe Justificado.</w:t>
      </w:r>
      <w:bookmarkEnd w:id="5"/>
      <w:bookmarkEnd w:id="6"/>
      <w:bookmarkEnd w:id="7"/>
      <w:r w:rsidRPr="00D56DE6">
        <w:rPr>
          <w:rFonts w:eastAsia="Times New Roman" w:cs="Tahoma"/>
          <w:color w:val="auto"/>
          <w:sz w:val="18"/>
          <w:lang w:eastAsia="es-ES"/>
        </w:rPr>
        <w:t xml:space="preserve"> </w:t>
      </w:r>
      <w:r w:rsidRPr="00D56DE6">
        <w:rPr>
          <w:rFonts w:eastAsia="Times New Roman" w:cs="Tahoma"/>
          <w:color w:val="auto"/>
          <w:lang w:eastAsia="es-ES"/>
        </w:rPr>
        <w:t>El diecisiete de diciembre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A0D99D9" w14:textId="77777777" w:rsidR="00614700" w:rsidRPr="00D56DE6" w:rsidRDefault="00614700" w:rsidP="00614700">
      <w:pPr>
        <w:spacing w:after="0" w:line="360" w:lineRule="auto"/>
        <w:rPr>
          <w:rFonts w:eastAsia="Times New Roman" w:cs="Tahoma"/>
          <w:color w:val="auto"/>
          <w:lang w:eastAsia="es-ES"/>
        </w:rPr>
      </w:pPr>
    </w:p>
    <w:p w14:paraId="1220E37C" w14:textId="3C6E03CF" w:rsidR="003C5FE0" w:rsidRPr="00D56DE6" w:rsidRDefault="0029455B" w:rsidP="00614700">
      <w:pPr>
        <w:spacing w:after="0" w:line="360" w:lineRule="auto"/>
        <w:rPr>
          <w:rFonts w:eastAsia="Times New Roman" w:cs="Tahoma"/>
          <w:b/>
          <w:color w:val="auto"/>
          <w:szCs w:val="24"/>
          <w:lang w:eastAsia="es-ES"/>
        </w:rPr>
      </w:pPr>
      <w:r w:rsidRPr="00D56DE6">
        <w:rPr>
          <w:b/>
          <w:color w:val="auto"/>
        </w:rPr>
        <w:lastRenderedPageBreak/>
        <w:t>e</w:t>
      </w:r>
      <w:r w:rsidR="00EE4815" w:rsidRPr="00D56DE6">
        <w:rPr>
          <w:b/>
          <w:color w:val="auto"/>
        </w:rPr>
        <w:t xml:space="preserve">) </w:t>
      </w:r>
      <w:bookmarkStart w:id="8" w:name="_Hlk182976945"/>
      <w:r w:rsidR="00002B20" w:rsidRPr="00D56DE6">
        <w:rPr>
          <w:rFonts w:eastAsia="Times New Roman" w:cs="Tahoma"/>
          <w:b/>
          <w:color w:val="auto"/>
          <w:szCs w:val="24"/>
          <w:lang w:eastAsia="es-ES"/>
        </w:rPr>
        <w:t>Cierre de instrucción.</w:t>
      </w:r>
      <w:r w:rsidR="00C06C06" w:rsidRPr="00D56DE6">
        <w:rPr>
          <w:rFonts w:eastAsia="Times New Roman" w:cs="Tahoma"/>
          <w:color w:val="auto"/>
          <w:szCs w:val="24"/>
          <w:lang w:eastAsia="es-ES"/>
        </w:rPr>
        <w:t xml:space="preserve"> El </w:t>
      </w:r>
      <w:r w:rsidRPr="00D56DE6">
        <w:rPr>
          <w:rFonts w:eastAsia="Times New Roman" w:cs="Tahoma"/>
          <w:color w:val="auto"/>
          <w:szCs w:val="24"/>
          <w:lang w:eastAsia="es-ES"/>
        </w:rPr>
        <w:t>trece de enero</w:t>
      </w:r>
      <w:r w:rsidR="00002B20" w:rsidRPr="00D56DE6">
        <w:rPr>
          <w:rFonts w:eastAsia="Times New Roman" w:cs="Tahoma"/>
          <w:color w:val="auto"/>
          <w:szCs w:val="24"/>
          <w:lang w:eastAsia="es-ES"/>
        </w:rPr>
        <w:t xml:space="preserve"> de dos mil </w:t>
      </w:r>
      <w:r w:rsidRPr="00D56DE6">
        <w:rPr>
          <w:rFonts w:eastAsia="Times New Roman" w:cs="Tahoma"/>
          <w:color w:val="auto"/>
          <w:szCs w:val="24"/>
          <w:lang w:eastAsia="es-ES"/>
        </w:rPr>
        <w:t>veintiséis</w:t>
      </w:r>
      <w:r w:rsidR="00002B20" w:rsidRPr="00D56DE6">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56DE6">
        <w:rPr>
          <w:color w:val="auto"/>
          <w:lang w:val="es-ES"/>
        </w:rPr>
        <w:t>acto que fue notificado a las partes, mediante el Sistema de Acceso a la Información Mexiquense (SAIMEX), el mismo día.</w:t>
      </w:r>
    </w:p>
    <w:bookmarkEnd w:id="8"/>
    <w:p w14:paraId="08D98E1D" w14:textId="77777777" w:rsidR="000410E6" w:rsidRPr="00D56DE6" w:rsidRDefault="000410E6" w:rsidP="00614700">
      <w:pPr>
        <w:spacing w:after="0" w:line="360" w:lineRule="auto"/>
        <w:rPr>
          <w:b/>
          <w:bCs/>
          <w:color w:val="auto"/>
          <w:lang w:val="es-ES"/>
        </w:rPr>
      </w:pPr>
    </w:p>
    <w:p w14:paraId="1D2DAFCD" w14:textId="77777777" w:rsidR="000410E6" w:rsidRPr="00D56DE6" w:rsidRDefault="000410E6" w:rsidP="00614700">
      <w:pPr>
        <w:spacing w:after="0" w:line="360" w:lineRule="auto"/>
        <w:rPr>
          <w:color w:val="auto"/>
        </w:rPr>
      </w:pPr>
      <w:r w:rsidRPr="00D56DE6">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56DE6" w:rsidRDefault="00674DAF" w:rsidP="00614700">
      <w:pPr>
        <w:spacing w:after="0" w:line="360" w:lineRule="auto"/>
        <w:rPr>
          <w:color w:val="auto"/>
        </w:rPr>
      </w:pPr>
    </w:p>
    <w:p w14:paraId="250F6589" w14:textId="3F880C72" w:rsidR="005C690F" w:rsidRPr="00D56DE6" w:rsidRDefault="00CD6238" w:rsidP="00614700">
      <w:pPr>
        <w:pStyle w:val="Ttulo1"/>
        <w:spacing w:before="0" w:after="0" w:line="360" w:lineRule="auto"/>
        <w:jc w:val="center"/>
        <w:rPr>
          <w:color w:val="auto"/>
          <w:sz w:val="22"/>
          <w:szCs w:val="22"/>
        </w:rPr>
      </w:pPr>
      <w:bookmarkStart w:id="9" w:name="_Toc219385672"/>
      <w:r w:rsidRPr="00D56DE6">
        <w:rPr>
          <w:color w:val="auto"/>
          <w:sz w:val="22"/>
          <w:szCs w:val="22"/>
        </w:rPr>
        <w:t>C O N S I D E R A N D O S</w:t>
      </w:r>
      <w:bookmarkEnd w:id="9"/>
    </w:p>
    <w:p w14:paraId="5AB6ED71" w14:textId="77777777" w:rsidR="005C690F" w:rsidRPr="00D56DE6" w:rsidRDefault="005C690F" w:rsidP="00614700">
      <w:pPr>
        <w:spacing w:after="0" w:line="360" w:lineRule="auto"/>
        <w:jc w:val="center"/>
        <w:rPr>
          <w:b/>
          <w:color w:val="auto"/>
        </w:rPr>
      </w:pPr>
    </w:p>
    <w:p w14:paraId="36BFFC7E" w14:textId="2F0F17EA" w:rsidR="005C690F" w:rsidRPr="00D56DE6" w:rsidRDefault="007D6307" w:rsidP="00614700">
      <w:pPr>
        <w:pStyle w:val="Ttulo2"/>
        <w:spacing w:before="0" w:after="0" w:line="360" w:lineRule="auto"/>
        <w:rPr>
          <w:color w:val="auto"/>
          <w:sz w:val="22"/>
          <w:szCs w:val="22"/>
        </w:rPr>
      </w:pPr>
      <w:bookmarkStart w:id="10" w:name="_Toc219385673"/>
      <w:r w:rsidRPr="00D56DE6">
        <w:rPr>
          <w:color w:val="auto"/>
          <w:sz w:val="22"/>
          <w:szCs w:val="22"/>
        </w:rPr>
        <w:t xml:space="preserve">PRIMERO. </w:t>
      </w:r>
      <w:r w:rsidR="00CD6238" w:rsidRPr="00D56DE6">
        <w:rPr>
          <w:color w:val="auto"/>
          <w:sz w:val="22"/>
          <w:szCs w:val="22"/>
        </w:rPr>
        <w:t>Competencia</w:t>
      </w:r>
      <w:bookmarkEnd w:id="10"/>
    </w:p>
    <w:p w14:paraId="73715B67" w14:textId="77777777" w:rsidR="00614700" w:rsidRPr="00D56DE6" w:rsidRDefault="00614700" w:rsidP="00614700"/>
    <w:p w14:paraId="5C47E603" w14:textId="157A037D" w:rsidR="00ED51F8" w:rsidRPr="00D56DE6" w:rsidRDefault="00ED51F8" w:rsidP="00614700">
      <w:pPr>
        <w:spacing w:after="0" w:line="360" w:lineRule="auto"/>
        <w:contextualSpacing/>
        <w:rPr>
          <w:rFonts w:eastAsia="Times New Roman" w:cs="Tahoma"/>
          <w:bCs/>
          <w:color w:val="auto"/>
          <w:lang w:eastAsia="es-ES"/>
        </w:rPr>
      </w:pPr>
      <w:bookmarkStart w:id="11" w:name="_heading=h.30j0zll" w:colFirst="0" w:colLast="0"/>
      <w:bookmarkEnd w:id="11"/>
      <w:r w:rsidRPr="00D56DE6">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56DE6" w:rsidRDefault="005C690F" w:rsidP="00614700">
      <w:pPr>
        <w:spacing w:after="0" w:line="360" w:lineRule="auto"/>
        <w:rPr>
          <w:b/>
          <w:color w:val="auto"/>
        </w:rPr>
      </w:pPr>
    </w:p>
    <w:p w14:paraId="3F450F34" w14:textId="77777777" w:rsidR="00E36F8E" w:rsidRPr="00D56DE6" w:rsidRDefault="00E36F8E" w:rsidP="00614700">
      <w:pPr>
        <w:spacing w:after="0" w:line="360" w:lineRule="auto"/>
        <w:rPr>
          <w:b/>
          <w:color w:val="auto"/>
        </w:rPr>
      </w:pPr>
    </w:p>
    <w:p w14:paraId="69DDE78E" w14:textId="77777777" w:rsidR="00E36F8E" w:rsidRPr="00D56DE6" w:rsidRDefault="00E36F8E" w:rsidP="00614700">
      <w:pPr>
        <w:keepNext/>
        <w:keepLines/>
        <w:spacing w:after="0" w:line="360" w:lineRule="auto"/>
        <w:jc w:val="left"/>
        <w:outlineLvl w:val="1"/>
        <w:rPr>
          <w:rFonts w:eastAsia="Calibri" w:cs="Times New Roman"/>
          <w:b/>
          <w:bCs/>
          <w:color w:val="auto"/>
        </w:rPr>
      </w:pPr>
      <w:bookmarkStart w:id="12" w:name="_Toc194590230"/>
      <w:bookmarkStart w:id="13" w:name="_Toc210305128"/>
      <w:bookmarkStart w:id="14" w:name="_Toc219385674"/>
      <w:r w:rsidRPr="00D56DE6">
        <w:rPr>
          <w:rFonts w:eastAsia="Calibri" w:cs="Times New Roman"/>
          <w:b/>
          <w:bCs/>
          <w:color w:val="auto"/>
        </w:rPr>
        <w:t>SEGUNDO. Causales de improcedencia</w:t>
      </w:r>
      <w:bookmarkEnd w:id="12"/>
      <w:bookmarkEnd w:id="13"/>
      <w:bookmarkEnd w:id="14"/>
      <w:r w:rsidRPr="00D56DE6">
        <w:rPr>
          <w:rFonts w:eastAsia="Calibri" w:cs="Times New Roman"/>
          <w:b/>
          <w:bCs/>
          <w:color w:val="auto"/>
        </w:rPr>
        <w:t xml:space="preserve"> </w:t>
      </w:r>
    </w:p>
    <w:p w14:paraId="6087C063" w14:textId="77777777" w:rsidR="00D265BA" w:rsidRPr="00D56DE6" w:rsidRDefault="00D265BA" w:rsidP="00614700">
      <w:pPr>
        <w:keepNext/>
        <w:keepLines/>
        <w:spacing w:after="0" w:line="360" w:lineRule="auto"/>
        <w:jc w:val="left"/>
        <w:outlineLvl w:val="1"/>
        <w:rPr>
          <w:rFonts w:eastAsia="Calibri" w:cs="Times New Roman"/>
          <w:b/>
          <w:bCs/>
          <w:color w:val="auto"/>
        </w:rPr>
      </w:pPr>
    </w:p>
    <w:p w14:paraId="57983071" w14:textId="77777777" w:rsidR="00E36F8E" w:rsidRPr="00D56DE6" w:rsidRDefault="00E36F8E" w:rsidP="00614700">
      <w:pPr>
        <w:autoSpaceDE w:val="0"/>
        <w:autoSpaceDN w:val="0"/>
        <w:adjustRightInd w:val="0"/>
        <w:spacing w:after="0" w:line="360" w:lineRule="auto"/>
        <w:rPr>
          <w:rFonts w:eastAsia="Calibri" w:cs="Tahoma"/>
          <w:color w:val="auto"/>
        </w:rPr>
      </w:pPr>
      <w:r w:rsidRPr="00D56DE6">
        <w:rPr>
          <w:rFonts w:eastAsia="Calibri"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87567E" w14:textId="77777777" w:rsidR="00E36F8E" w:rsidRPr="00D56DE6" w:rsidRDefault="00E36F8E" w:rsidP="00614700">
      <w:pPr>
        <w:autoSpaceDE w:val="0"/>
        <w:autoSpaceDN w:val="0"/>
        <w:adjustRightInd w:val="0"/>
        <w:spacing w:after="0" w:line="360" w:lineRule="auto"/>
        <w:rPr>
          <w:rFonts w:eastAsia="Calibri" w:cs="Tahoma"/>
          <w:color w:val="auto"/>
        </w:rPr>
      </w:pPr>
    </w:p>
    <w:p w14:paraId="570DCCE1" w14:textId="77777777" w:rsidR="00E36F8E" w:rsidRPr="00D56DE6" w:rsidRDefault="00E36F8E" w:rsidP="00614700">
      <w:pPr>
        <w:autoSpaceDE w:val="0"/>
        <w:autoSpaceDN w:val="0"/>
        <w:adjustRightInd w:val="0"/>
        <w:spacing w:after="0" w:line="360" w:lineRule="auto"/>
        <w:rPr>
          <w:rFonts w:eastAsia="Calibri" w:cs="Tahoma"/>
          <w:color w:val="auto"/>
        </w:rPr>
      </w:pPr>
      <w:r w:rsidRPr="00D56DE6">
        <w:rPr>
          <w:rFonts w:eastAsia="Calibri" w:cs="Tahoma"/>
          <w:color w:val="auto"/>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779BAEA" w14:textId="77777777" w:rsidR="00E36F8E" w:rsidRPr="00D56DE6" w:rsidRDefault="00E36F8E" w:rsidP="00614700">
      <w:pPr>
        <w:spacing w:after="0" w:line="360" w:lineRule="auto"/>
        <w:rPr>
          <w:rFonts w:eastAsia="Calibri" w:cs="Tahoma"/>
          <w:b/>
          <w:color w:val="auto"/>
          <w:lang w:eastAsia="es-ES_tradnl"/>
        </w:rPr>
      </w:pPr>
    </w:p>
    <w:p w14:paraId="2404816B" w14:textId="77777777" w:rsidR="00E36F8E" w:rsidRPr="00D56DE6" w:rsidRDefault="00E36F8E" w:rsidP="00614700">
      <w:pPr>
        <w:keepNext/>
        <w:keepLines/>
        <w:spacing w:after="0" w:line="360" w:lineRule="auto"/>
        <w:jc w:val="left"/>
        <w:outlineLvl w:val="1"/>
        <w:rPr>
          <w:rFonts w:eastAsia="Times New Roman" w:cs="Times New Roman"/>
          <w:b/>
          <w:color w:val="auto"/>
          <w:szCs w:val="26"/>
          <w:lang w:val="es-ES" w:eastAsia="es-ES"/>
        </w:rPr>
      </w:pPr>
      <w:bookmarkStart w:id="15" w:name="_Toc194590231"/>
      <w:bookmarkStart w:id="16" w:name="_Toc210305129"/>
      <w:bookmarkStart w:id="17" w:name="_Toc219385675"/>
      <w:r w:rsidRPr="00D56DE6">
        <w:rPr>
          <w:rFonts w:eastAsia="Times New Roman" w:cs="Times New Roman"/>
          <w:b/>
          <w:color w:val="auto"/>
          <w:szCs w:val="26"/>
          <w:lang w:val="es-ES" w:eastAsia="es-ES"/>
        </w:rPr>
        <w:t>TERCERO. Causales de sobreseimiento</w:t>
      </w:r>
      <w:bookmarkEnd w:id="15"/>
      <w:bookmarkEnd w:id="16"/>
      <w:bookmarkEnd w:id="17"/>
    </w:p>
    <w:p w14:paraId="5BE5BA9D" w14:textId="77777777" w:rsidR="00E36F8E" w:rsidRPr="00D56DE6" w:rsidRDefault="00E36F8E" w:rsidP="00614700">
      <w:pPr>
        <w:spacing w:after="0" w:line="360" w:lineRule="auto"/>
        <w:rPr>
          <w:rFonts w:eastAsia="Times New Roman" w:cs="Tahoma"/>
          <w:color w:val="auto"/>
          <w:szCs w:val="24"/>
          <w:lang w:val="es-ES" w:eastAsia="es-ES"/>
        </w:rPr>
      </w:pPr>
    </w:p>
    <w:p w14:paraId="3684A24E" w14:textId="77777777" w:rsidR="00614700" w:rsidRPr="00D56DE6" w:rsidRDefault="00614700" w:rsidP="00614700">
      <w:pPr>
        <w:spacing w:line="360" w:lineRule="auto"/>
        <w:contextualSpacing/>
        <w:rPr>
          <w:rFonts w:cs="Tahoma"/>
        </w:rPr>
      </w:pPr>
      <w:r w:rsidRPr="00D56DE6">
        <w:rPr>
          <w:rFonts w:cs="Tahoma"/>
        </w:rPr>
        <w:t>Por ser de previo y especial pronunciamiento, este Instituto analiza si se actualiza alguna causal de sobreseimiento.</w:t>
      </w:r>
    </w:p>
    <w:p w14:paraId="195358CA" w14:textId="77777777" w:rsidR="00614700" w:rsidRPr="00D56DE6" w:rsidRDefault="00614700" w:rsidP="00614700">
      <w:pPr>
        <w:spacing w:line="360" w:lineRule="auto"/>
        <w:contextualSpacing/>
        <w:rPr>
          <w:rFonts w:cs="Tahoma"/>
        </w:rPr>
      </w:pPr>
    </w:p>
    <w:p w14:paraId="2D81F7AE" w14:textId="77777777" w:rsidR="00614700" w:rsidRPr="00D56DE6" w:rsidRDefault="00614700" w:rsidP="00614700">
      <w:pPr>
        <w:spacing w:line="360" w:lineRule="auto"/>
        <w:contextualSpacing/>
        <w:rPr>
          <w:rFonts w:cs="Tahoma"/>
          <w:bCs/>
          <w:color w:val="FF0000"/>
        </w:rPr>
      </w:pPr>
      <w:r w:rsidRPr="00D56DE6">
        <w:rPr>
          <w:rFonts w:eastAsia="Calibri"/>
          <w:color w:val="000000"/>
          <w:lang w:eastAsia="en-U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w:t>
      </w:r>
      <w:r w:rsidRPr="00D56DE6">
        <w:rPr>
          <w:rFonts w:eastAsia="Calibri"/>
          <w:b/>
          <w:color w:val="000000"/>
          <w:lang w:eastAsia="en-US"/>
        </w:rPr>
        <w:t>I, II, IV y V</w:t>
      </w:r>
      <w:r w:rsidRPr="00D56DE6">
        <w:rPr>
          <w:rFonts w:eastAsia="Calibri"/>
          <w:color w:val="000000"/>
          <w:lang w:eastAsia="en-US"/>
        </w:rPr>
        <w:t>, toda vez que no hay constancias en el expediente en que se actúa, de que el recurrente se haya desistido del recurso, haya fallecido, actualice alguna causal de improcedencia o bien, haya quedado sin materia.</w:t>
      </w:r>
    </w:p>
    <w:p w14:paraId="6E078DD3" w14:textId="77777777" w:rsidR="00614700" w:rsidRPr="00D56DE6" w:rsidRDefault="00614700" w:rsidP="00614700">
      <w:pPr>
        <w:spacing w:line="360" w:lineRule="auto"/>
        <w:contextualSpacing/>
        <w:rPr>
          <w:rFonts w:cs="Tahoma"/>
          <w:bCs/>
          <w:color w:val="FF0000"/>
        </w:rPr>
      </w:pPr>
    </w:p>
    <w:p w14:paraId="4A907822" w14:textId="5A1308A6" w:rsidR="00E36F8E" w:rsidRPr="00D56DE6" w:rsidRDefault="00614700" w:rsidP="00614700">
      <w:pPr>
        <w:spacing w:after="0" w:line="360" w:lineRule="auto"/>
        <w:rPr>
          <w:color w:val="auto"/>
        </w:rPr>
      </w:pPr>
      <w:r w:rsidRPr="00D56DE6">
        <w:rPr>
          <w:rFonts w:eastAsia="Calibri"/>
          <w:color w:val="000000"/>
          <w:lang w:eastAsia="en-US"/>
        </w:rPr>
        <w:t xml:space="preserve">Ahora bien, toda vez que, durante la sustanciación del Recurso de Revisión, el Ayuntamiento de </w:t>
      </w:r>
      <w:r w:rsidR="00FA157D" w:rsidRPr="00D56DE6">
        <w:rPr>
          <w:rFonts w:eastAsia="Calibri"/>
          <w:color w:val="000000"/>
          <w:lang w:eastAsia="en-US"/>
        </w:rPr>
        <w:t>Tenango del Valle</w:t>
      </w:r>
      <w:r w:rsidRPr="00D56DE6">
        <w:rPr>
          <w:rFonts w:eastAsia="Calibri"/>
          <w:color w:val="000000"/>
          <w:lang w:eastAsia="en-US"/>
        </w:rPr>
        <w:t xml:space="preserve">, modificó su respuesta a través del Informe Justificado, se estima procedente entrar al estudio de la causal de sobreseimiento prevista en la fracción III del precepto legal previamente señalado; para lo cual, </w:t>
      </w:r>
      <w:r w:rsidRPr="00D56DE6">
        <w:rPr>
          <w:rFonts w:eastAsia="Calibri" w:cs="Tahoma"/>
          <w:color w:val="000000"/>
          <w:lang w:val="es-ES"/>
        </w:rPr>
        <w:t xml:space="preserve">resulta </w:t>
      </w:r>
      <w:r w:rsidRPr="00D56DE6">
        <w:rPr>
          <w:rFonts w:eastAsia="Calibri" w:cs="Tahoma"/>
          <w:iCs/>
          <w:lang w:val="es-ES" w:eastAsia="es-ES_tradnl"/>
        </w:rPr>
        <w:t xml:space="preserve">necesario </w:t>
      </w:r>
      <w:r w:rsidRPr="00D56DE6">
        <w:rPr>
          <w:rFonts w:eastAsia="Calibri" w:cs="Tahoma"/>
        </w:rPr>
        <w:t xml:space="preserve">recordar que el ahora Recurrente solicitó </w:t>
      </w:r>
      <w:r w:rsidR="00E36F8E" w:rsidRPr="00D56DE6">
        <w:rPr>
          <w:rFonts w:cs="Tahoma"/>
          <w:color w:val="auto"/>
        </w:rPr>
        <w:t xml:space="preserve">el padrón de las Empresas que se dedican a la fabricación de productos metálicos, que contenga razón social, domicilio, número telefónico y correo electrónico; en respuesta </w:t>
      </w:r>
      <w:r w:rsidR="00E36F8E" w:rsidRPr="00D56DE6">
        <w:rPr>
          <w:color w:val="auto"/>
        </w:rPr>
        <w:t xml:space="preserve">el Director de Desarrollo Económico y Gobierno señaló que la información se encontraba publicada en el portal de IPOMEX. Derivado de lo anterior, el Particular se inconformó al considerar que la información le era negada. </w:t>
      </w:r>
    </w:p>
    <w:p w14:paraId="730B5FAB" w14:textId="77777777" w:rsidR="00E36F8E" w:rsidRPr="00D56DE6" w:rsidRDefault="00E36F8E" w:rsidP="00614700">
      <w:pPr>
        <w:spacing w:after="0" w:line="360" w:lineRule="auto"/>
        <w:rPr>
          <w:color w:val="auto"/>
        </w:rPr>
      </w:pPr>
    </w:p>
    <w:p w14:paraId="5DE128F5" w14:textId="77777777" w:rsidR="00E36F8E" w:rsidRPr="00D56DE6" w:rsidRDefault="00E36F8E" w:rsidP="00614700">
      <w:pPr>
        <w:spacing w:after="0" w:line="360" w:lineRule="auto"/>
        <w:rPr>
          <w:rFonts w:eastAsia="Calibri" w:cs="Tahoma"/>
          <w:bCs/>
          <w:color w:val="auto"/>
          <w:lang w:eastAsia="en-US"/>
        </w:rPr>
      </w:pPr>
      <w:r w:rsidRPr="00D56DE6">
        <w:rPr>
          <w:color w:val="auto"/>
        </w:rPr>
        <w:t xml:space="preserve">En ese sentido sobre el tema de la solicitud, </w:t>
      </w:r>
      <w:r w:rsidRPr="00D56DE6">
        <w:rPr>
          <w:rFonts w:eastAsia="Calibri" w:cs="Tahoma"/>
          <w:bCs/>
          <w:color w:val="auto"/>
          <w:lang w:eastAsia="en-US"/>
        </w:rPr>
        <w:t>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21ED1AB8" w14:textId="77777777" w:rsidR="00E36F8E" w:rsidRPr="00D56DE6" w:rsidRDefault="00E36F8E" w:rsidP="00614700">
      <w:pPr>
        <w:spacing w:after="0" w:line="360" w:lineRule="auto"/>
        <w:rPr>
          <w:rFonts w:eastAsia="Calibri" w:cs="Tahoma"/>
          <w:b/>
          <w:bCs/>
          <w:color w:val="auto"/>
          <w:lang w:eastAsia="en-US"/>
        </w:rPr>
      </w:pPr>
    </w:p>
    <w:p w14:paraId="2026C4E9" w14:textId="77777777" w:rsidR="00E36F8E" w:rsidRPr="00D56DE6" w:rsidRDefault="00E36F8E" w:rsidP="00614700">
      <w:pPr>
        <w:spacing w:after="0" w:line="360" w:lineRule="auto"/>
        <w:rPr>
          <w:rFonts w:eastAsia="Calibri" w:cs="Tahoma"/>
          <w:bCs/>
          <w:color w:val="auto"/>
          <w:lang w:eastAsia="en-US"/>
        </w:rPr>
      </w:pPr>
      <w:r w:rsidRPr="00D56DE6">
        <w:rPr>
          <w:rFonts w:eastAsia="Calibri" w:cs="Tahoma"/>
          <w:bCs/>
          <w:color w:val="auto"/>
          <w:lang w:eastAsia="en-US"/>
        </w:rPr>
        <w:lastRenderedPageBreak/>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0A5CDDBD" w14:textId="77777777" w:rsidR="00E36F8E" w:rsidRPr="00D56DE6" w:rsidRDefault="00E36F8E" w:rsidP="00614700">
      <w:pPr>
        <w:spacing w:after="0" w:line="360" w:lineRule="auto"/>
        <w:ind w:right="-28"/>
        <w:contextualSpacing/>
        <w:rPr>
          <w:rFonts w:eastAsia="Times New Roman" w:cs="Tahoma"/>
          <w:color w:val="auto"/>
          <w:lang w:eastAsia="es-ES"/>
        </w:rPr>
      </w:pPr>
    </w:p>
    <w:p w14:paraId="27B34CE4" w14:textId="77777777" w:rsidR="00E36F8E" w:rsidRPr="00D56DE6" w:rsidRDefault="00E36F8E" w:rsidP="00614700">
      <w:pPr>
        <w:spacing w:after="0" w:line="360" w:lineRule="auto"/>
        <w:rPr>
          <w:rFonts w:eastAsia="Calibri" w:cs="Times New Roman"/>
          <w:color w:val="auto"/>
          <w:lang w:eastAsia="en-US"/>
        </w:rPr>
      </w:pPr>
      <w:r w:rsidRPr="00D56DE6">
        <w:rPr>
          <w:rFonts w:eastAsia="Calibri" w:cs="Times New Roman"/>
          <w:color w:val="auto"/>
          <w:lang w:eastAsia="en-US"/>
        </w:rPr>
        <w:t xml:space="preserve">Además, los artículos 10 y 11 de la </w:t>
      </w:r>
      <w:r w:rsidRPr="00D56DE6">
        <w:rPr>
          <w:rFonts w:eastAsia="Times New Roman" w:cs="Tahoma"/>
          <w:iCs/>
          <w:color w:val="auto"/>
          <w:lang w:val="es-ES" w:eastAsia="es-ES"/>
        </w:rPr>
        <w:t>Ley de Competitividad y Ordenamiento Comercial del Estado de México</w:t>
      </w:r>
      <w:r w:rsidRPr="00D56DE6">
        <w:rPr>
          <w:rFonts w:eastAsia="Calibri" w:cs="Times New Roman"/>
          <w:color w:val="auto"/>
          <w:lang w:eastAsia="en-US"/>
        </w:rPr>
        <w:t xml:space="preserve">, mencionan que los registros tienen como finalidad crear una base de datos confiable, actualizada e integrada a nivel municipal de las unidades económicas que se apertura en el territorio, e incluirá al menos los datos siguientes: </w:t>
      </w:r>
    </w:p>
    <w:p w14:paraId="24998745" w14:textId="77777777" w:rsidR="00E36F8E" w:rsidRPr="00D56DE6" w:rsidRDefault="00E36F8E" w:rsidP="00614700">
      <w:pPr>
        <w:spacing w:after="0" w:line="360" w:lineRule="auto"/>
        <w:rPr>
          <w:rFonts w:eastAsia="Calibri" w:cs="Times New Roman"/>
          <w:b/>
          <w:bCs/>
          <w:color w:val="auto"/>
          <w:lang w:eastAsia="en-US"/>
        </w:rPr>
      </w:pPr>
    </w:p>
    <w:p w14:paraId="30E71DA3"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Clave única, que se integrará de una serie alfanumérica. </w:t>
      </w:r>
    </w:p>
    <w:p w14:paraId="2D68B934"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Nombre del municipio. </w:t>
      </w:r>
    </w:p>
    <w:p w14:paraId="2595C234"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Nombre del titular.</w:t>
      </w:r>
    </w:p>
    <w:p w14:paraId="7D481536"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Actividad económica. </w:t>
      </w:r>
    </w:p>
    <w:p w14:paraId="5162AE07"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Fecha de inicio de actividades. </w:t>
      </w:r>
    </w:p>
    <w:p w14:paraId="51BB34A8"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Tipo de impacto. </w:t>
      </w:r>
    </w:p>
    <w:p w14:paraId="15E00360"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Domicilio de la unidad económica. </w:t>
      </w:r>
    </w:p>
    <w:p w14:paraId="4DEE3465"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Visitas y procedimientos de verificación en su caso. </w:t>
      </w:r>
    </w:p>
    <w:p w14:paraId="465CDB36" w14:textId="77777777" w:rsidR="00E36F8E" w:rsidRPr="00D56DE6" w:rsidRDefault="00E36F8E" w:rsidP="00614700">
      <w:pPr>
        <w:numPr>
          <w:ilvl w:val="0"/>
          <w:numId w:val="29"/>
        </w:numPr>
        <w:spacing w:after="0" w:line="360" w:lineRule="auto"/>
        <w:rPr>
          <w:rFonts w:eastAsia="Calibri" w:cs="Tahoma"/>
          <w:bCs/>
          <w:color w:val="auto"/>
          <w:lang w:eastAsia="en-US"/>
        </w:rPr>
      </w:pPr>
      <w:r w:rsidRPr="00D56DE6">
        <w:rPr>
          <w:rFonts w:eastAsia="Calibri" w:cs="Tahoma"/>
          <w:bCs/>
          <w:color w:val="auto"/>
          <w:lang w:eastAsia="en-US"/>
        </w:rPr>
        <w:t xml:space="preserve">Sanciones en su caso. </w:t>
      </w:r>
    </w:p>
    <w:p w14:paraId="73527C42" w14:textId="77777777" w:rsidR="00E36F8E" w:rsidRPr="00D56DE6" w:rsidRDefault="00E36F8E" w:rsidP="00614700">
      <w:pPr>
        <w:spacing w:after="0" w:line="360" w:lineRule="auto"/>
        <w:rPr>
          <w:rFonts w:eastAsia="Calibri" w:cs="Tahoma"/>
          <w:bCs/>
          <w:color w:val="auto"/>
          <w:lang w:eastAsia="en-US"/>
        </w:rPr>
      </w:pPr>
    </w:p>
    <w:p w14:paraId="3E75E16B" w14:textId="77777777" w:rsidR="00E36F8E" w:rsidRPr="00D56DE6" w:rsidRDefault="00E36F8E" w:rsidP="00614700">
      <w:pPr>
        <w:spacing w:after="0" w:line="360" w:lineRule="auto"/>
        <w:rPr>
          <w:rFonts w:eastAsia="Calibri" w:cs="Tahoma"/>
          <w:bCs/>
          <w:color w:val="auto"/>
          <w:lang w:eastAsia="en-US"/>
        </w:rPr>
      </w:pPr>
      <w:r w:rsidRPr="00D56DE6">
        <w:rPr>
          <w:rFonts w:eastAsia="Times New Roman" w:cs="Tahoma"/>
          <w:color w:val="auto"/>
          <w:lang w:val="es-ES" w:eastAsia="es-ES"/>
        </w:rPr>
        <w:t xml:space="preserve">En ese sentido, </w:t>
      </w:r>
      <w:r w:rsidRPr="00D56DE6">
        <w:rPr>
          <w:rFonts w:eastAsia="Calibri" w:cs="Tahoma"/>
          <w:bCs/>
          <w:color w:val="auto"/>
          <w:lang w:eastAsia="en-US"/>
        </w:rPr>
        <w:t xml:space="preserve">el artículo 31, fracciones, XXIV </w:t>
      </w:r>
      <w:proofErr w:type="spellStart"/>
      <w:r w:rsidRPr="00D56DE6">
        <w:rPr>
          <w:rFonts w:eastAsia="Calibri" w:cs="Tahoma"/>
          <w:bCs/>
          <w:color w:val="auto"/>
          <w:lang w:eastAsia="en-US"/>
        </w:rPr>
        <w:t>Quáter</w:t>
      </w:r>
      <w:proofErr w:type="spellEnd"/>
      <w:r w:rsidRPr="00D56DE6">
        <w:rPr>
          <w:rFonts w:eastAsia="Calibri" w:cs="Tahoma"/>
          <w:bCs/>
          <w:color w:val="auto"/>
          <w:lang w:eastAsia="en-US"/>
        </w:rPr>
        <w:t xml:space="preserve"> y XLIV, de la Ley Orgánica Municipal el Estado de México, establece que los Ayuntamientos, entre los que se encuentra el Ayuntamiento de Tenango del Valle, son los encargados de crear </w:t>
      </w:r>
      <w:r w:rsidRPr="00D56DE6">
        <w:rPr>
          <w:rFonts w:eastAsia="Calibri" w:cs="Tahoma"/>
          <w:b/>
          <w:bCs/>
          <w:color w:val="auto"/>
          <w:lang w:eastAsia="en-US"/>
        </w:rPr>
        <w:t xml:space="preserve">el Registro Municipal de </w:t>
      </w:r>
      <w:r w:rsidRPr="00D56DE6">
        <w:rPr>
          <w:rFonts w:eastAsia="Calibri" w:cs="Tahoma"/>
          <w:b/>
          <w:bCs/>
          <w:color w:val="auto"/>
          <w:lang w:eastAsia="en-US"/>
        </w:rPr>
        <w:lastRenderedPageBreak/>
        <w:t>Unidades Económicas</w:t>
      </w:r>
      <w:r w:rsidRPr="00D56DE6">
        <w:rPr>
          <w:rFonts w:eastAsia="Calibri" w:cs="Tahoma"/>
          <w:bCs/>
          <w:color w:val="auto"/>
          <w:lang w:eastAsia="en-US"/>
        </w:rPr>
        <w:t xml:space="preserve">, así como, de otorgar licencias para el funcionamiento de esas unidades económicas. </w:t>
      </w:r>
    </w:p>
    <w:p w14:paraId="4B55A002" w14:textId="77777777" w:rsidR="00E36F8E" w:rsidRPr="00D56DE6" w:rsidRDefault="00E36F8E" w:rsidP="00614700">
      <w:pPr>
        <w:spacing w:after="0" w:line="360" w:lineRule="auto"/>
        <w:rPr>
          <w:rFonts w:eastAsia="Times New Roman" w:cs="Tahoma"/>
          <w:bCs/>
          <w:iCs/>
          <w:color w:val="auto"/>
          <w:lang w:eastAsia="es-ES"/>
        </w:rPr>
      </w:pPr>
    </w:p>
    <w:p w14:paraId="2EE85A46" w14:textId="77777777" w:rsidR="00E36F8E" w:rsidRPr="00D56DE6" w:rsidRDefault="00E36F8E" w:rsidP="00614700">
      <w:pPr>
        <w:spacing w:after="0" w:line="360" w:lineRule="auto"/>
        <w:rPr>
          <w:rFonts w:eastAsia="Calibri" w:cs="Tahoma"/>
          <w:bCs/>
          <w:color w:val="auto"/>
          <w:lang w:eastAsia="en-US"/>
        </w:rPr>
      </w:pPr>
      <w:r w:rsidRPr="00D56DE6">
        <w:rPr>
          <w:rFonts w:eastAsia="Calibri" w:cs="Tahoma"/>
          <w:bCs/>
          <w:color w:val="auto"/>
          <w:lang w:eastAsia="en-US"/>
        </w:rPr>
        <w:t xml:space="preserve">Para lograr lo anterior, los Ayuntamientos contarán con un </w:t>
      </w:r>
      <w:r w:rsidRPr="00D56DE6">
        <w:rPr>
          <w:rFonts w:eastAsia="Calibri" w:cs="Tahoma"/>
          <w:b/>
          <w:color w:val="auto"/>
          <w:lang w:eastAsia="en-US"/>
        </w:rPr>
        <w:t>Director de Desarrollo Económico o equivalente</w:t>
      </w:r>
      <w:r w:rsidRPr="00D56DE6">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D56DE6">
        <w:rPr>
          <w:rFonts w:eastAsia="Calibri" w:cs="Tahoma"/>
          <w:bCs/>
          <w:color w:val="auto"/>
          <w:lang w:eastAsia="en-US"/>
        </w:rPr>
        <w:t>Quáter</w:t>
      </w:r>
      <w:proofErr w:type="spellEnd"/>
      <w:r w:rsidRPr="00D56DE6">
        <w:rPr>
          <w:rFonts w:eastAsia="Calibri" w:cs="Tahoma"/>
          <w:bCs/>
          <w:color w:val="auto"/>
          <w:lang w:eastAsia="en-US"/>
        </w:rPr>
        <w:t xml:space="preserve"> de la Ley previamente señalada.</w:t>
      </w:r>
    </w:p>
    <w:p w14:paraId="22DBF856" w14:textId="77777777" w:rsidR="00E36F8E" w:rsidRPr="00D56DE6" w:rsidRDefault="00E36F8E" w:rsidP="00614700">
      <w:pPr>
        <w:spacing w:after="0" w:line="360" w:lineRule="auto"/>
        <w:ind w:left="720" w:hanging="720"/>
        <w:rPr>
          <w:rFonts w:eastAsia="Times New Roman" w:cs="Tahoma"/>
          <w:bCs/>
          <w:iCs/>
          <w:color w:val="auto"/>
          <w:lang w:eastAsia="es-ES"/>
        </w:rPr>
      </w:pPr>
    </w:p>
    <w:p w14:paraId="62378432" w14:textId="6EF3E07B" w:rsidR="00E36F8E" w:rsidRPr="00D56DE6" w:rsidRDefault="00E36F8E" w:rsidP="00614700">
      <w:pPr>
        <w:spacing w:after="0" w:line="360" w:lineRule="auto"/>
        <w:rPr>
          <w:rFonts w:eastAsia="Times New Roman" w:cs="Tahoma"/>
          <w:bCs/>
          <w:iCs/>
          <w:color w:val="auto"/>
          <w:lang w:eastAsia="es-ES"/>
        </w:rPr>
      </w:pPr>
      <w:r w:rsidRPr="00D56DE6">
        <w:rPr>
          <w:rFonts w:eastAsia="Times New Roman" w:cs="Tahoma"/>
          <w:bCs/>
          <w:iCs/>
          <w:color w:val="auto"/>
          <w:lang w:eastAsia="es-ES"/>
        </w:rPr>
        <w:t>Así, se logra vislumbrar que la pretensión de la persona Recurrente, es obtener, el padrón de las Empresas que se dediquen a la fabricación de productos metálicos al veinte de noviembre de dos mil veinticinco, que contenga razón social, domicilio, número telefónico y correo electrónico.</w:t>
      </w:r>
    </w:p>
    <w:p w14:paraId="06D76183" w14:textId="77777777" w:rsidR="00E36F8E" w:rsidRPr="00D56DE6" w:rsidRDefault="00E36F8E" w:rsidP="00614700">
      <w:pPr>
        <w:spacing w:after="0" w:line="360" w:lineRule="auto"/>
        <w:rPr>
          <w:rFonts w:eastAsia="Times New Roman" w:cs="Tahoma"/>
          <w:bCs/>
          <w:iCs/>
          <w:color w:val="auto"/>
          <w:lang w:eastAsia="es-ES"/>
        </w:rPr>
      </w:pPr>
    </w:p>
    <w:p w14:paraId="0FC48EEC" w14:textId="4248985A" w:rsidR="00E36F8E" w:rsidRPr="00D56DE6" w:rsidRDefault="00E36F8E" w:rsidP="00614700">
      <w:pPr>
        <w:spacing w:after="0" w:line="360" w:lineRule="auto"/>
        <w:rPr>
          <w:rFonts w:eastAsia="Times New Roman" w:cs="Tahoma"/>
          <w:bCs/>
          <w:iCs/>
          <w:color w:val="auto"/>
          <w:lang w:eastAsia="es-ES"/>
        </w:rPr>
      </w:pPr>
      <w:r w:rsidRPr="00D56DE6">
        <w:rPr>
          <w:rFonts w:eastAsia="Times New Roman" w:cs="Tahoma"/>
          <w:bCs/>
          <w:iCs/>
          <w:color w:val="auto"/>
          <w:lang w:eastAsia="es-ES"/>
        </w:rPr>
        <w:t>Establecida dicha circunstancia, de las constancias que obran en el expediente electrónico, se advierte que el Sujeto Obligado turno la solicitud de información a la Dirección de Desarrollo Económico y Gobierno;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2ABAD49" w14:textId="77777777" w:rsidR="00E36F8E" w:rsidRPr="00D56DE6" w:rsidRDefault="00E36F8E" w:rsidP="00614700">
      <w:pPr>
        <w:spacing w:after="0" w:line="360" w:lineRule="auto"/>
        <w:rPr>
          <w:rFonts w:eastAsia="Times New Roman" w:cs="Tahoma"/>
          <w:bCs/>
          <w:iCs/>
          <w:color w:val="auto"/>
          <w:lang w:eastAsia="es-ES"/>
        </w:rPr>
      </w:pPr>
    </w:p>
    <w:p w14:paraId="0F2369D1" w14:textId="6701C2E4" w:rsidR="00E36F8E" w:rsidRPr="00D56DE6" w:rsidRDefault="00E36F8E" w:rsidP="00614700">
      <w:pPr>
        <w:spacing w:after="0" w:line="360" w:lineRule="auto"/>
        <w:rPr>
          <w:rFonts w:eastAsia="Times New Roman" w:cs="Tahoma"/>
          <w:bCs/>
          <w:iCs/>
          <w:color w:val="auto"/>
          <w:lang w:eastAsia="es-ES"/>
        </w:rPr>
      </w:pPr>
      <w:r w:rsidRPr="00D56DE6">
        <w:rPr>
          <w:rFonts w:eastAsia="Times New Roman" w:cs="Tahoma"/>
          <w:bCs/>
          <w:iCs/>
          <w:color w:val="auto"/>
          <w:lang w:eastAsia="es-ES"/>
        </w:rPr>
        <w:lastRenderedPageBreak/>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la solicitud de información al área competente de conocer del padrón </w:t>
      </w:r>
      <w:r w:rsidR="00D10DD2" w:rsidRPr="00D56DE6">
        <w:rPr>
          <w:rFonts w:eastAsia="Times New Roman" w:cs="Tahoma"/>
          <w:bCs/>
          <w:iCs/>
          <w:color w:val="auto"/>
          <w:lang w:eastAsia="es-ES"/>
        </w:rPr>
        <w:t>solicitado</w:t>
      </w:r>
      <w:r w:rsidRPr="00D56DE6">
        <w:rPr>
          <w:rFonts w:eastAsia="Times New Roman" w:cs="Tahoma"/>
          <w:bCs/>
          <w:iCs/>
          <w:color w:val="auto"/>
          <w:lang w:eastAsia="es-ES"/>
        </w:rPr>
        <w:t xml:space="preserve">. </w:t>
      </w:r>
    </w:p>
    <w:p w14:paraId="5C9F356B" w14:textId="77777777" w:rsidR="00E36F8E" w:rsidRPr="00D56DE6" w:rsidRDefault="00E36F8E" w:rsidP="00614700">
      <w:pPr>
        <w:spacing w:after="0" w:line="360" w:lineRule="auto"/>
        <w:rPr>
          <w:rFonts w:eastAsia="Times New Roman" w:cs="Tahoma"/>
          <w:bCs/>
          <w:iCs/>
          <w:color w:val="auto"/>
          <w:lang w:eastAsia="es-ES"/>
        </w:rPr>
      </w:pPr>
    </w:p>
    <w:p w14:paraId="505DC07A" w14:textId="77777777" w:rsidR="00D10DD2" w:rsidRPr="00D56DE6" w:rsidRDefault="00E36F8E" w:rsidP="00614700">
      <w:pPr>
        <w:spacing w:after="0" w:line="360" w:lineRule="auto"/>
        <w:ind w:right="-93"/>
        <w:rPr>
          <w:rFonts w:eastAsia="Calibri" w:cs="Tahoma"/>
          <w:iCs/>
          <w:lang w:eastAsia="es-ES_tradnl"/>
        </w:rPr>
      </w:pPr>
      <w:r w:rsidRPr="00D56DE6">
        <w:rPr>
          <w:rFonts w:eastAsia="Times New Roman" w:cs="Tahoma"/>
          <w:bCs/>
          <w:iCs/>
          <w:color w:val="auto"/>
          <w:lang w:eastAsia="es-ES"/>
        </w:rPr>
        <w:t xml:space="preserve">Ahora bien, en respuesta, la Dirección de Desarrollo Económico </w:t>
      </w:r>
      <w:r w:rsidR="00D10DD2" w:rsidRPr="00D56DE6">
        <w:rPr>
          <w:rFonts w:eastAsia="Times New Roman" w:cs="Tahoma"/>
          <w:bCs/>
          <w:iCs/>
          <w:color w:val="auto"/>
          <w:lang w:eastAsia="es-ES"/>
        </w:rPr>
        <w:t xml:space="preserve">y Gobierno </w:t>
      </w:r>
      <w:r w:rsidRPr="00D56DE6">
        <w:rPr>
          <w:rFonts w:eastAsia="Times New Roman" w:cs="Tahoma"/>
          <w:bCs/>
          <w:iCs/>
          <w:color w:val="auto"/>
          <w:lang w:eastAsia="es-ES"/>
        </w:rPr>
        <w:t xml:space="preserve">señaló </w:t>
      </w:r>
      <w:r w:rsidR="00D10DD2" w:rsidRPr="00D56DE6">
        <w:rPr>
          <w:rFonts w:eastAsia="Times New Roman" w:cs="Tahoma"/>
          <w:bCs/>
          <w:iCs/>
          <w:color w:val="auto"/>
          <w:lang w:eastAsia="es-ES"/>
        </w:rPr>
        <w:t xml:space="preserve">que la información se encontraba publicada en IPOMEX, sin embargo dio la liga en datos cerrados, </w:t>
      </w:r>
      <w:r w:rsidR="00D10DD2" w:rsidRPr="00D56DE6">
        <w:rPr>
          <w:rFonts w:eastAsia="Calibri" w:cs="Tahoma"/>
          <w:iCs/>
          <w:lang w:eastAsia="es-ES_tradnl"/>
        </w:rPr>
        <w:t>esto implica que el Recurrente, para acceder a la información tenga que capturar cada carácter que integra la liga, lo que conlleva a que, con algún error, no acceda a la información.</w:t>
      </w:r>
    </w:p>
    <w:p w14:paraId="37ADD712" w14:textId="77777777" w:rsidR="00D10DD2" w:rsidRPr="00D56DE6" w:rsidRDefault="00D10DD2" w:rsidP="00614700">
      <w:pPr>
        <w:spacing w:after="0" w:line="360" w:lineRule="auto"/>
        <w:ind w:right="-93"/>
        <w:rPr>
          <w:rFonts w:eastAsia="Calibri" w:cs="Tahoma"/>
          <w:iCs/>
          <w:lang w:eastAsia="es-ES_tradnl"/>
        </w:rPr>
      </w:pPr>
    </w:p>
    <w:p w14:paraId="2320A3B5" w14:textId="7EEFC571" w:rsidR="00D10DD2" w:rsidRPr="00D56DE6" w:rsidRDefault="00614700" w:rsidP="00614700">
      <w:pPr>
        <w:spacing w:after="0" w:line="360" w:lineRule="auto"/>
        <w:ind w:right="-93"/>
        <w:rPr>
          <w:rFonts w:eastAsia="Calibri" w:cs="Tahoma"/>
          <w:iCs/>
          <w:lang w:val="es-ES" w:eastAsia="es-ES_tradnl"/>
        </w:rPr>
      </w:pPr>
      <w:r w:rsidRPr="00D56DE6">
        <w:rPr>
          <w:rFonts w:eastAsia="Calibri" w:cs="Tahoma"/>
          <w:iCs/>
          <w:lang w:eastAsia="es-ES_tradnl"/>
        </w:rPr>
        <w:t>Además</w:t>
      </w:r>
      <w:r w:rsidR="00D10DD2" w:rsidRPr="00D56DE6">
        <w:rPr>
          <w:rFonts w:eastAsia="Calibri" w:cs="Tahoma"/>
          <w:iCs/>
          <w:lang w:eastAsia="es-ES_tradnl"/>
        </w:rPr>
        <w:t xml:space="preserve">, es necesario precisar que, para tener acceso a la liga proporcionada por parte del </w:t>
      </w:r>
      <w:r w:rsidR="00D10DD2" w:rsidRPr="00D56DE6">
        <w:rPr>
          <w:rFonts w:eastAsia="Calibri" w:cs="Tahoma"/>
          <w:b/>
          <w:iCs/>
          <w:lang w:eastAsia="es-ES_tradnl"/>
        </w:rPr>
        <w:t>Sujeto Obligado</w:t>
      </w:r>
      <w:r w:rsidR="00D10DD2" w:rsidRPr="00D56DE6">
        <w:rPr>
          <w:rFonts w:eastAsia="Calibri" w:cs="Tahoma"/>
          <w:iCs/>
          <w:lang w:eastAsia="es-ES_tradnl"/>
        </w:rPr>
        <w:t xml:space="preserve">, es necesario capturar la dirección electrónica carácter por carácter, ya que el documento digitalizado a través del cual se proporcionó el link no permite editar, modificar o procesar su contenido. </w:t>
      </w:r>
      <w:r w:rsidR="00D10DD2" w:rsidRPr="00D56DE6">
        <w:rPr>
          <w:rFonts w:eastAsia="Calibri" w:cs="Tahoma"/>
          <w:iCs/>
          <w:lang w:val="es-ES" w:eastAsia="es-ES_tradnl"/>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3C3E2D37" w14:textId="77777777" w:rsidR="00D10DD2" w:rsidRPr="00D56DE6" w:rsidRDefault="00D10DD2" w:rsidP="00614700">
      <w:pPr>
        <w:spacing w:after="0" w:line="360" w:lineRule="auto"/>
        <w:ind w:right="-93"/>
        <w:rPr>
          <w:rFonts w:eastAsia="Calibri" w:cs="Tahoma"/>
          <w:iCs/>
          <w:lang w:val="es-ES" w:eastAsia="es-ES_tradnl"/>
        </w:rPr>
      </w:pPr>
    </w:p>
    <w:p w14:paraId="59ED9C27" w14:textId="4C4EA623" w:rsidR="00614700" w:rsidRPr="00D56DE6" w:rsidRDefault="00614700" w:rsidP="00614700">
      <w:pPr>
        <w:spacing w:after="0" w:line="360" w:lineRule="auto"/>
      </w:pPr>
      <w:r w:rsidRPr="00D56DE6">
        <w:rPr>
          <w:rFonts w:eastAsia="Times New Roman" w:cs="Tahoma"/>
          <w:bCs/>
          <w:color w:val="auto"/>
          <w:lang w:eastAsia="es-ES"/>
        </w:rPr>
        <w:t>No obstante</w:t>
      </w:r>
      <w:r w:rsidR="00D10DD2" w:rsidRPr="00D56DE6">
        <w:rPr>
          <w:rFonts w:eastAsia="Times New Roman" w:cs="Tahoma"/>
          <w:bCs/>
          <w:color w:val="auto"/>
          <w:lang w:eastAsia="es-ES"/>
        </w:rPr>
        <w:t>, en informe justificado</w:t>
      </w:r>
      <w:r w:rsidR="00E36F8E" w:rsidRPr="00D56DE6">
        <w:rPr>
          <w:rFonts w:eastAsia="Times New Roman" w:cs="Tahoma"/>
          <w:bCs/>
          <w:color w:val="auto"/>
          <w:lang w:eastAsia="es-ES"/>
        </w:rPr>
        <w:t xml:space="preserve">, la Dirección de Desarrollo Económico </w:t>
      </w:r>
      <w:r w:rsidR="00D10DD2" w:rsidRPr="00D56DE6">
        <w:rPr>
          <w:rFonts w:eastAsia="Times New Roman" w:cs="Tahoma"/>
          <w:bCs/>
          <w:color w:val="auto"/>
          <w:lang w:eastAsia="es-ES"/>
        </w:rPr>
        <w:t xml:space="preserve">y Gobierno </w:t>
      </w:r>
      <w:r w:rsidR="00E36F8E" w:rsidRPr="00D56DE6">
        <w:rPr>
          <w:rFonts w:eastAsia="Times New Roman" w:cs="Tahoma"/>
          <w:bCs/>
          <w:color w:val="auto"/>
          <w:lang w:eastAsia="es-ES"/>
        </w:rPr>
        <w:t>precisó que</w:t>
      </w:r>
      <w:r w:rsidR="00D10DD2" w:rsidRPr="00D56DE6">
        <w:rPr>
          <w:rFonts w:eastAsia="Times New Roman" w:cs="Tahoma"/>
          <w:bCs/>
          <w:color w:val="auto"/>
          <w:lang w:eastAsia="es-ES"/>
        </w:rPr>
        <w:t xml:space="preserve"> solo localizó una empresa de la cual proporcionó nombre y dirección</w:t>
      </w:r>
      <w:r w:rsidR="005B753A" w:rsidRPr="00D56DE6">
        <w:rPr>
          <w:rFonts w:eastAsia="Times New Roman" w:cs="Tahoma"/>
          <w:bCs/>
          <w:color w:val="auto"/>
          <w:lang w:eastAsia="es-ES"/>
        </w:rPr>
        <w:t xml:space="preserve">; por lo que, </w:t>
      </w:r>
      <w:r w:rsidRPr="00D56DE6">
        <w:rPr>
          <w:color w:val="000000"/>
        </w:rPr>
        <w:t>se logra vislumbrar, que el Sujeto Obligado realizó una búsqueda exhaustiva y proporcionó los datos de las empresas con las que contaba registradas a la fecha de la solicitud, tal y como obra en sus archivos</w:t>
      </w:r>
      <w:r w:rsidRPr="00D56DE6">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D56DE6">
        <w:lastRenderedPageBreak/>
        <w:t>procesamiento de la misma, ni presentarla conforme al interés del Solicitante, además, que tampoco deberá generarla, resumirla, efectuar cálculos o practicar investigaciones.</w:t>
      </w:r>
    </w:p>
    <w:p w14:paraId="0B8C7BAF" w14:textId="77777777" w:rsidR="00614700" w:rsidRPr="00D56DE6" w:rsidRDefault="00614700" w:rsidP="00614700">
      <w:pPr>
        <w:spacing w:after="0" w:line="360" w:lineRule="auto"/>
      </w:pPr>
    </w:p>
    <w:p w14:paraId="27719130" w14:textId="77777777" w:rsidR="00614700" w:rsidRPr="00D56DE6" w:rsidRDefault="00614700" w:rsidP="00614700">
      <w:pPr>
        <w:spacing w:after="0" w:line="360" w:lineRule="auto"/>
      </w:pPr>
      <w:r w:rsidRPr="00D56DE6">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4ADBA325" w14:textId="77777777" w:rsidR="00614700" w:rsidRPr="00D56DE6" w:rsidRDefault="00614700" w:rsidP="00614700">
      <w:pPr>
        <w:spacing w:after="0" w:line="360" w:lineRule="auto"/>
      </w:pPr>
    </w:p>
    <w:p w14:paraId="6D6B326C" w14:textId="337D3D9F" w:rsidR="00614700" w:rsidRPr="00D56DE6" w:rsidRDefault="00614700" w:rsidP="00614700">
      <w:pPr>
        <w:spacing w:after="0" w:line="360" w:lineRule="auto"/>
      </w:pPr>
      <w:r w:rsidRPr="00D56DE6">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w:t>
      </w:r>
      <w:r w:rsidR="005B753A" w:rsidRPr="00D56DE6">
        <w:t xml:space="preserve"> el nombre y dirección de la única empresa registrada en el Municipio, que fabrica productos metálicos, por lo que atendió parte de la solicitud de información.</w:t>
      </w:r>
    </w:p>
    <w:p w14:paraId="4E5D70CF" w14:textId="77777777" w:rsidR="005B753A" w:rsidRPr="00D56DE6" w:rsidRDefault="005B753A" w:rsidP="00614700">
      <w:pPr>
        <w:spacing w:after="0" w:line="360" w:lineRule="auto"/>
      </w:pPr>
    </w:p>
    <w:p w14:paraId="0F84C455" w14:textId="59EF3FE1" w:rsidR="005B753A" w:rsidRPr="00D56DE6" w:rsidRDefault="005B753A" w:rsidP="005B753A">
      <w:pPr>
        <w:spacing w:after="0" w:line="360" w:lineRule="auto"/>
        <w:rPr>
          <w:rFonts w:eastAsia="Times New Roman" w:cs="Tahoma"/>
          <w:color w:val="auto"/>
          <w:lang w:eastAsia="es-ES"/>
        </w:rPr>
      </w:pPr>
      <w:r w:rsidRPr="00D56DE6">
        <w:rPr>
          <w:rFonts w:eastAsia="Times New Roman" w:cs="Tahoma"/>
          <w:bCs/>
          <w:color w:val="auto"/>
          <w:lang w:eastAsia="es-ES"/>
        </w:rPr>
        <w:t>Ahora bien, respecto a</w:t>
      </w:r>
      <w:r w:rsidR="00D10DD2" w:rsidRPr="00D56DE6">
        <w:rPr>
          <w:rFonts w:eastAsia="Times New Roman" w:cs="Tahoma"/>
          <w:bCs/>
          <w:color w:val="auto"/>
          <w:lang w:eastAsia="es-ES"/>
        </w:rPr>
        <w:t>l número telefónico y correo electrónico</w:t>
      </w:r>
      <w:r w:rsidRPr="00D56DE6">
        <w:rPr>
          <w:rFonts w:eastAsia="Times New Roman" w:cs="Tahoma"/>
          <w:bCs/>
          <w:color w:val="auto"/>
          <w:lang w:eastAsia="es-ES"/>
        </w:rPr>
        <w:t xml:space="preserve"> señaló que no contaba con los mismos, al no ser solicitados para realizar el trámite dentro del Municipio, es decir, aludió a que la información era inexistente; </w:t>
      </w:r>
      <w:r w:rsidRPr="00D56DE6">
        <w:rPr>
          <w:rFonts w:eastAsia="Calibri" w:cs="Times New Roman"/>
          <w:bCs/>
          <w:iCs/>
          <w:color w:val="auto"/>
          <w:lang w:val="es-ES" w:eastAsia="en-US"/>
        </w:rPr>
        <w:t>sobre el tema,</w:t>
      </w:r>
      <w:r w:rsidRPr="00D56DE6">
        <w:rPr>
          <w:rFonts w:eastAsia="Times New Roman" w:cs="Tahoma"/>
          <w:color w:val="auto"/>
          <w:lang w:eastAsia="es-ES"/>
        </w:rPr>
        <w:t xml:space="preserve"> el </w:t>
      </w:r>
      <w:r w:rsidRPr="00D56DE6">
        <w:rPr>
          <w:rFonts w:eastAsia="Calibri" w:cs="Tahoma"/>
          <w:bCs/>
          <w:color w:val="auto"/>
          <w:lang w:val="es-ES" w:eastAsia="en-US"/>
        </w:rPr>
        <w:t>Criterio de Interpretación</w:t>
      </w:r>
      <w:r w:rsidRPr="00D56DE6">
        <w:rPr>
          <w:rFonts w:eastAsia="Calibri" w:cs="Tahoma"/>
          <w:bCs/>
          <w:color w:val="auto"/>
          <w:lang w:val="x-none" w:eastAsia="en-US"/>
        </w:rPr>
        <w:t xml:space="preserve">, con clave de control SO/014/2017, de la Segunda </w:t>
      </w:r>
      <w:r w:rsidRPr="00D56DE6">
        <w:rPr>
          <w:rFonts w:eastAsia="Calibri" w:cs="Tahoma"/>
          <w:bCs/>
          <w:color w:val="auto"/>
          <w:lang w:val="es-ES_tradnl" w:eastAsia="en-US"/>
        </w:rPr>
        <w:t>Época,</w:t>
      </w:r>
      <w:r w:rsidRPr="00D56DE6">
        <w:rPr>
          <w:rFonts w:eastAsia="Calibri" w:cs="Tahoma"/>
          <w:bCs/>
          <w:color w:val="auto"/>
          <w:lang w:val="x-none" w:eastAsia="en-US"/>
        </w:rPr>
        <w:t xml:space="preserve"> </w:t>
      </w:r>
      <w:r w:rsidRPr="00D56DE6">
        <w:rPr>
          <w:rFonts w:eastAsia="Calibri" w:cs="Tahoma"/>
          <w:bCs/>
          <w:color w:val="auto"/>
          <w:lang w:val="es-ES" w:eastAsia="en-US"/>
        </w:rPr>
        <w:t>emitido por el Instituto Nacional de Transparencia, Acceso a la Información y Protección de Datos Personales</w:t>
      </w:r>
      <w:r w:rsidRPr="00D56DE6">
        <w:rPr>
          <w:rFonts w:eastAsia="Times New Roman" w:cs="Tahoma"/>
          <w:color w:val="auto"/>
          <w:lang w:eastAsia="es-ES"/>
        </w:rPr>
        <w:t xml:space="preserve">, señala que la inexistencia de la información, es una cuestión de hecho que se le atribuye a la misma, cuando ésta no se encuentra en los archivos del Sujeto Obligado. </w:t>
      </w:r>
    </w:p>
    <w:p w14:paraId="736C9E22" w14:textId="77777777" w:rsidR="005B753A" w:rsidRPr="00D56DE6" w:rsidRDefault="005B753A" w:rsidP="005B753A">
      <w:pPr>
        <w:spacing w:after="0" w:line="360" w:lineRule="auto"/>
        <w:rPr>
          <w:rFonts w:eastAsia="Times New Roman" w:cs="Tahoma"/>
          <w:color w:val="auto"/>
          <w:lang w:eastAsia="es-ES"/>
        </w:rPr>
      </w:pPr>
    </w:p>
    <w:p w14:paraId="28FB7377" w14:textId="77777777" w:rsidR="005B753A" w:rsidRPr="00D56DE6" w:rsidRDefault="005B753A" w:rsidP="005B753A">
      <w:pPr>
        <w:spacing w:after="0" w:line="360" w:lineRule="auto"/>
        <w:rPr>
          <w:rFonts w:eastAsia="Times New Roman" w:cs="Tahoma"/>
          <w:color w:val="auto"/>
          <w:lang w:val="es-ES" w:eastAsia="es-ES"/>
        </w:rPr>
      </w:pPr>
      <w:r w:rsidRPr="00D56DE6">
        <w:rPr>
          <w:rFonts w:eastAsia="Times New Roman" w:cs="Tahoma"/>
          <w:color w:val="auto"/>
          <w:lang w:val="es-ES" w:eastAsia="es-ES"/>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1897279" w14:textId="77777777" w:rsidR="005B753A" w:rsidRPr="00D56DE6" w:rsidRDefault="005B753A" w:rsidP="005B753A">
      <w:pPr>
        <w:spacing w:after="0" w:line="360" w:lineRule="auto"/>
        <w:rPr>
          <w:rFonts w:eastAsia="Times New Roman" w:cs="Tahoma"/>
          <w:color w:val="auto"/>
          <w:lang w:val="es-ES" w:eastAsia="es-ES"/>
        </w:rPr>
      </w:pPr>
    </w:p>
    <w:p w14:paraId="20F9686C" w14:textId="77777777" w:rsidR="005B753A" w:rsidRPr="00D56DE6" w:rsidRDefault="005B753A" w:rsidP="005B753A">
      <w:pPr>
        <w:spacing w:after="0" w:line="360" w:lineRule="auto"/>
        <w:rPr>
          <w:rFonts w:eastAsia="Times New Roman" w:cs="Tahoma"/>
          <w:bCs/>
          <w:color w:val="auto"/>
          <w:lang w:eastAsia="es-ES"/>
        </w:rPr>
      </w:pPr>
      <w:r w:rsidRPr="00D56DE6">
        <w:rPr>
          <w:rFonts w:eastAsia="Times New Roman" w:cs="Tahoma"/>
          <w:color w:val="auto"/>
          <w:lang w:val="es-ES" w:eastAsia="es-ES"/>
        </w:rPr>
        <w:t>Así</w:t>
      </w:r>
      <w:r w:rsidRPr="00D56DE6">
        <w:rPr>
          <w:rFonts w:eastAsia="Times New Roman" w:cs="Tahoma"/>
          <w:color w:val="auto"/>
          <w:lang w:eastAsia="es-ES"/>
        </w:rPr>
        <w:t xml:space="preserve">, es posible concluir que la </w:t>
      </w:r>
      <w:r w:rsidRPr="00D56DE6">
        <w:rPr>
          <w:rFonts w:eastAsia="Times New Roman" w:cs="Tahoma"/>
          <w:b/>
          <w:color w:val="auto"/>
          <w:lang w:eastAsia="es-ES"/>
        </w:rPr>
        <w:t>inexistencia</w:t>
      </w:r>
      <w:r w:rsidRPr="00D56DE6">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D56DE6">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14:paraId="1B27B042" w14:textId="77777777" w:rsidR="005B753A" w:rsidRPr="00D56DE6" w:rsidRDefault="005B753A" w:rsidP="005B753A">
      <w:pPr>
        <w:spacing w:after="0" w:line="360" w:lineRule="auto"/>
        <w:rPr>
          <w:rFonts w:eastAsia="Times New Roman" w:cs="Tahoma"/>
          <w:bCs/>
          <w:color w:val="auto"/>
          <w:lang w:eastAsia="es-ES"/>
        </w:rPr>
      </w:pPr>
    </w:p>
    <w:p w14:paraId="5CA19038" w14:textId="28BA6694" w:rsidR="00407661" w:rsidRPr="00D56DE6" w:rsidRDefault="005B753A" w:rsidP="00407661">
      <w:pPr>
        <w:spacing w:after="0" w:line="360" w:lineRule="auto"/>
        <w:rPr>
          <w:rFonts w:eastAsia="Times New Roman" w:cs="Tahoma"/>
          <w:bCs/>
          <w:color w:val="auto"/>
          <w:lang w:eastAsia="es-ES"/>
        </w:rPr>
      </w:pPr>
      <w:r w:rsidRPr="00D56DE6">
        <w:rPr>
          <w:rFonts w:eastAsia="Times New Roman" w:cs="Tahoma"/>
          <w:bCs/>
          <w:color w:val="auto"/>
          <w:lang w:eastAsia="es-ES"/>
        </w:rPr>
        <w:t xml:space="preserve">En ese contexto, la Dirección de Desarrollo Económico precisó que no contaba en sus archivos con </w:t>
      </w:r>
      <w:r w:rsidR="00407661" w:rsidRPr="00D56DE6">
        <w:rPr>
          <w:rFonts w:eastAsia="Times New Roman" w:cs="Tahoma"/>
          <w:bCs/>
          <w:color w:val="auto"/>
          <w:lang w:eastAsia="es-ES"/>
        </w:rPr>
        <w:t>el teléfono y correo electrónico de la empresa, pues no eran datos solicitados para realizar el trámite</w:t>
      </w:r>
      <w:r w:rsidRPr="00D56DE6">
        <w:rPr>
          <w:rFonts w:eastAsia="Times New Roman" w:cs="Tahoma"/>
          <w:bCs/>
          <w:color w:val="auto"/>
          <w:lang w:eastAsia="es-ES"/>
        </w:rPr>
        <w:t xml:space="preserve">; situación que guarda relevancia pues este Instituto realizó una búsqueda en el Portal de Información Pública de Oficio Mexiquense del Ayuntamiento, su página oficial y sus cuentas en redes sociales y no se localizó algún indicio </w:t>
      </w:r>
      <w:r w:rsidR="00407661" w:rsidRPr="00D56DE6">
        <w:rPr>
          <w:rFonts w:eastAsia="Times New Roman" w:cs="Tahoma"/>
          <w:bCs/>
          <w:color w:val="auto"/>
          <w:lang w:eastAsia="es-ES"/>
        </w:rPr>
        <w:t>de que recabe los datos de contacto</w:t>
      </w:r>
    </w:p>
    <w:p w14:paraId="50BA8358" w14:textId="77777777" w:rsidR="00407661" w:rsidRPr="00D56DE6" w:rsidRDefault="00407661" w:rsidP="005B753A">
      <w:pPr>
        <w:spacing w:after="0" w:line="360" w:lineRule="auto"/>
        <w:rPr>
          <w:rFonts w:eastAsia="Calibri" w:cs="Times New Roman"/>
          <w:color w:val="000000"/>
          <w:lang w:eastAsia="en-US"/>
        </w:rPr>
      </w:pPr>
    </w:p>
    <w:p w14:paraId="4DB5FE93" w14:textId="69AE7E44" w:rsidR="005B753A" w:rsidRPr="00D56DE6" w:rsidRDefault="00407661" w:rsidP="005B753A">
      <w:pPr>
        <w:spacing w:after="0" w:line="360" w:lineRule="auto"/>
        <w:rPr>
          <w:rFonts w:eastAsia="Calibri" w:cs="Times New Roman"/>
          <w:color w:val="000000"/>
          <w:lang w:eastAsia="en-US"/>
        </w:rPr>
      </w:pPr>
      <w:r w:rsidRPr="00D56DE6">
        <w:rPr>
          <w:rFonts w:eastAsia="Calibri" w:cs="Times New Roman"/>
          <w:color w:val="000000"/>
          <w:lang w:eastAsia="en-US"/>
        </w:rPr>
        <w:t>A</w:t>
      </w:r>
      <w:r w:rsidR="005B753A" w:rsidRPr="00D56DE6">
        <w:rPr>
          <w:rFonts w:eastAsia="Calibri" w:cs="Times New Roman"/>
          <w:color w:val="000000"/>
          <w:lang w:eastAsia="en-US"/>
        </w:rPr>
        <w:t xml:space="preserve">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9F41F73" w14:textId="77777777" w:rsidR="005B753A" w:rsidRPr="00D56DE6" w:rsidRDefault="005B753A" w:rsidP="005B753A">
      <w:pPr>
        <w:spacing w:after="0" w:line="360" w:lineRule="auto"/>
        <w:rPr>
          <w:rFonts w:eastAsia="Times New Roman" w:cs="Tahoma"/>
          <w:color w:val="auto"/>
          <w:lang w:val="es-ES" w:eastAsia="es-ES"/>
        </w:rPr>
      </w:pPr>
    </w:p>
    <w:p w14:paraId="056754A6" w14:textId="77777777" w:rsidR="005B753A" w:rsidRPr="00D56DE6" w:rsidRDefault="005B753A" w:rsidP="005B753A">
      <w:pPr>
        <w:spacing w:after="0" w:line="360" w:lineRule="auto"/>
        <w:rPr>
          <w:rFonts w:eastAsia="Calibri" w:cs="Times New Roman"/>
          <w:color w:val="000000"/>
          <w:lang w:eastAsia="en-US"/>
        </w:rPr>
      </w:pPr>
      <w:r w:rsidRPr="00D56DE6">
        <w:rPr>
          <w:rFonts w:eastAsia="Calibri" w:cs="Times New Roman"/>
          <w:color w:val="000000"/>
          <w:lang w:eastAsia="en-US"/>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w:t>
      </w:r>
      <w:r w:rsidRPr="00D56DE6">
        <w:rPr>
          <w:rFonts w:eastAsia="Calibri" w:cs="Times New Roman"/>
          <w:color w:val="000000"/>
          <w:lang w:eastAsia="en-US"/>
        </w:rPr>
        <w:lastRenderedPageBreak/>
        <w:t>aplicables no se desprenda obligación alguna de contar con la información solicitada, ni se advierta algún otro elemento de convicción que apunto a su existencia.</w:t>
      </w:r>
    </w:p>
    <w:p w14:paraId="68271DEC" w14:textId="77777777" w:rsidR="005B753A" w:rsidRPr="00D56DE6" w:rsidRDefault="005B753A" w:rsidP="005B753A">
      <w:pPr>
        <w:spacing w:after="0" w:line="360" w:lineRule="auto"/>
        <w:rPr>
          <w:rFonts w:eastAsia="Calibri" w:cs="Times New Roman"/>
          <w:color w:val="000000"/>
          <w:lang w:eastAsia="en-US"/>
        </w:rPr>
      </w:pPr>
    </w:p>
    <w:p w14:paraId="5DA24120" w14:textId="0CC903A0" w:rsidR="005B753A" w:rsidRPr="00D56DE6" w:rsidRDefault="00407661" w:rsidP="005B753A">
      <w:pPr>
        <w:spacing w:after="0" w:line="360" w:lineRule="auto"/>
        <w:rPr>
          <w:rFonts w:eastAsia="Times New Roman" w:cs="Tahoma"/>
          <w:bCs/>
          <w:color w:val="auto"/>
          <w:lang w:eastAsia="es-ES"/>
        </w:rPr>
      </w:pPr>
      <w:r w:rsidRPr="00D56DE6">
        <w:rPr>
          <w:rFonts w:eastAsia="Calibri" w:cs="Times New Roman"/>
          <w:color w:val="000000"/>
          <w:lang w:eastAsia="en-US"/>
        </w:rPr>
        <w:t>Así</w:t>
      </w:r>
      <w:r w:rsidR="005B753A" w:rsidRPr="00D56DE6">
        <w:rPr>
          <w:rFonts w:eastAsia="Calibri" w:cs="Times New Roman"/>
          <w:color w:val="000000"/>
          <w:lang w:eastAsia="en-US"/>
        </w:rPr>
        <w:t xml:space="preserve">, dicho criterio aplica al caso en concreto, ya que, no se localizó algún indicio de que </w:t>
      </w:r>
      <w:r w:rsidRPr="00D56DE6">
        <w:rPr>
          <w:rFonts w:eastAsia="Calibri" w:cs="Times New Roman"/>
          <w:color w:val="000000"/>
          <w:lang w:eastAsia="en-US"/>
        </w:rPr>
        <w:t>se recaben los datos de contacto, para el registro de unidades económicas;</w:t>
      </w:r>
      <w:r w:rsidR="005B753A" w:rsidRPr="00D56DE6">
        <w:rPr>
          <w:rFonts w:eastAsia="Calibri" w:cs="Times New Roman"/>
          <w:color w:val="000000"/>
          <w:lang w:eastAsia="en-US"/>
        </w:rPr>
        <w:t xml:space="preserve"> </w:t>
      </w:r>
      <w:r w:rsidRPr="00D56DE6">
        <w:rPr>
          <w:rFonts w:eastAsia="Calibri" w:cs="Times New Roman"/>
          <w:color w:val="000000"/>
          <w:lang w:eastAsia="en-US"/>
        </w:rPr>
        <w:t>p</w:t>
      </w:r>
      <w:r w:rsidR="005B753A" w:rsidRPr="00D56DE6">
        <w:rPr>
          <w:rFonts w:eastAsia="Calibri" w:cs="Times New Roman"/>
          <w:color w:val="000000"/>
          <w:lang w:eastAsia="en-US"/>
        </w:rPr>
        <w:t>or lo cual, se considera que el Sujeto Obligado realizó una búsqueda exhaustiva y razonable, al tunar la solicitud a la unidad administrativa competente y esta señaló las razones por las cuales no contaba con lo requerido; por lo que, cumplió con el segundo párrafo, del artículo 19 de la Ley de Transparencia y Acceso a la Información Pública del Estado de México y Municipios</w:t>
      </w:r>
    </w:p>
    <w:p w14:paraId="60DA04B1" w14:textId="77777777" w:rsidR="005B753A" w:rsidRPr="00D56DE6" w:rsidRDefault="005B753A" w:rsidP="00614700">
      <w:pPr>
        <w:spacing w:after="0" w:line="360" w:lineRule="auto"/>
        <w:rPr>
          <w:rFonts w:eastAsia="Times New Roman" w:cs="Tahoma"/>
          <w:bCs/>
          <w:color w:val="auto"/>
          <w:lang w:eastAsia="es-ES"/>
        </w:rPr>
      </w:pPr>
    </w:p>
    <w:p w14:paraId="45935998" w14:textId="204201FA" w:rsidR="00E36F8E" w:rsidRPr="00D56DE6" w:rsidRDefault="00407661" w:rsidP="00614700">
      <w:pPr>
        <w:tabs>
          <w:tab w:val="left" w:pos="4962"/>
        </w:tabs>
        <w:spacing w:after="0" w:line="360" w:lineRule="auto"/>
        <w:contextualSpacing/>
        <w:rPr>
          <w:rFonts w:eastAsia="Calibri" w:cs="Tahoma"/>
          <w:iCs/>
          <w:color w:val="auto"/>
          <w:lang w:eastAsia="es-ES_tradnl"/>
        </w:rPr>
      </w:pPr>
      <w:r w:rsidRPr="00D56DE6">
        <w:rPr>
          <w:rFonts w:eastAsia="Calibri" w:cs="Tahoma"/>
          <w:iCs/>
          <w:color w:val="auto"/>
          <w:lang w:eastAsia="es-ES_tradnl"/>
        </w:rPr>
        <w:t>Conforme a lo anterior, durante la sustanciación del Medio de Impugnación, el Sujeto Obligado proporcionó la información que obraba en sus archivos y señaló las razones por las cuales no contaba con diversos datos, con lo cual dio cumplimiento a los artículos 12, 160 y 162 de la Ley de Transparencia y Acceso a la Información Pública del Estado de México y Municipios.</w:t>
      </w:r>
    </w:p>
    <w:p w14:paraId="1EF2C29D" w14:textId="77777777" w:rsidR="00407661" w:rsidRPr="00D56DE6" w:rsidRDefault="00407661" w:rsidP="00614700">
      <w:pPr>
        <w:tabs>
          <w:tab w:val="left" w:pos="4962"/>
        </w:tabs>
        <w:spacing w:after="0" w:line="360" w:lineRule="auto"/>
        <w:contextualSpacing/>
        <w:rPr>
          <w:rFonts w:eastAsia="Calibri" w:cs="Tahoma"/>
          <w:iCs/>
          <w:color w:val="auto"/>
          <w:lang w:eastAsia="es-ES_tradnl"/>
        </w:rPr>
      </w:pPr>
    </w:p>
    <w:p w14:paraId="40E0F1B6" w14:textId="77777777" w:rsidR="00E36F8E" w:rsidRPr="00D56DE6" w:rsidRDefault="00E36F8E" w:rsidP="00614700">
      <w:pPr>
        <w:keepNext/>
        <w:keepLines/>
        <w:spacing w:after="0" w:line="360" w:lineRule="auto"/>
        <w:jc w:val="left"/>
        <w:outlineLvl w:val="1"/>
        <w:rPr>
          <w:rFonts w:eastAsia="Times New Roman" w:cs="Times New Roman"/>
          <w:b/>
          <w:color w:val="auto"/>
          <w:szCs w:val="26"/>
          <w:lang w:val="es-ES" w:eastAsia="es-ES"/>
        </w:rPr>
      </w:pPr>
      <w:bookmarkStart w:id="18" w:name="_Toc194590232"/>
      <w:bookmarkStart w:id="19" w:name="_Toc210305130"/>
      <w:bookmarkStart w:id="20" w:name="_Toc219385676"/>
      <w:r w:rsidRPr="00D56DE6">
        <w:rPr>
          <w:rFonts w:eastAsia="Times New Roman" w:cs="Times New Roman"/>
          <w:b/>
          <w:color w:val="auto"/>
          <w:szCs w:val="26"/>
          <w:lang w:val="es-ES" w:eastAsia="es-ES"/>
        </w:rPr>
        <w:t>CUARTO. Decisión</w:t>
      </w:r>
      <w:bookmarkEnd w:id="18"/>
      <w:bookmarkEnd w:id="19"/>
      <w:bookmarkEnd w:id="20"/>
      <w:r w:rsidRPr="00D56DE6">
        <w:rPr>
          <w:rFonts w:eastAsia="Times New Roman" w:cs="Times New Roman"/>
          <w:b/>
          <w:color w:val="auto"/>
          <w:szCs w:val="26"/>
          <w:lang w:val="es-ES" w:eastAsia="es-ES"/>
        </w:rPr>
        <w:t xml:space="preserve"> </w:t>
      </w:r>
    </w:p>
    <w:p w14:paraId="10A5B6A0" w14:textId="77777777" w:rsidR="00E36F8E" w:rsidRPr="00D56DE6" w:rsidRDefault="00E36F8E" w:rsidP="00614700">
      <w:pPr>
        <w:spacing w:after="0" w:line="360" w:lineRule="auto"/>
        <w:rPr>
          <w:rFonts w:eastAsia="Times New Roman" w:cs="Tahoma"/>
          <w:b/>
          <w:color w:val="auto"/>
          <w:lang w:val="es-ES" w:eastAsia="es-ES"/>
        </w:rPr>
      </w:pPr>
    </w:p>
    <w:p w14:paraId="405BD3FE" w14:textId="537A4BE9" w:rsidR="00E36F8E" w:rsidRPr="00D56DE6" w:rsidRDefault="00E36F8E" w:rsidP="00614700">
      <w:pPr>
        <w:autoSpaceDE w:val="0"/>
        <w:autoSpaceDN w:val="0"/>
        <w:adjustRightInd w:val="0"/>
        <w:spacing w:after="0" w:line="360" w:lineRule="auto"/>
        <w:rPr>
          <w:rFonts w:eastAsia="Times New Roman" w:cs="Arial"/>
          <w:color w:val="auto"/>
          <w:lang w:eastAsia="es-ES"/>
        </w:rPr>
      </w:pPr>
      <w:r w:rsidRPr="00D56DE6">
        <w:rPr>
          <w:rFonts w:eastAsia="Times New Roman" w:cs="Arial"/>
          <w:color w:val="auto"/>
          <w:lang w:eastAsia="es-ES"/>
        </w:rPr>
        <w:t xml:space="preserve">Con fundamento en los artículos 186, fracción I y 192 fracción III, de la Ley de Transparencia y Acceso a la Información Pública del Estado de México y Municipios, es procedente </w:t>
      </w:r>
      <w:r w:rsidRPr="00D56DE6">
        <w:rPr>
          <w:rFonts w:eastAsia="Times New Roman" w:cs="Arial"/>
          <w:b/>
          <w:color w:val="auto"/>
          <w:lang w:eastAsia="es-ES"/>
        </w:rPr>
        <w:t>SOBRESEER</w:t>
      </w:r>
      <w:r w:rsidRPr="00D56DE6">
        <w:rPr>
          <w:rFonts w:eastAsia="Times New Roman" w:cs="Arial"/>
          <w:color w:val="auto"/>
          <w:lang w:eastAsia="es-ES"/>
        </w:rPr>
        <w:t xml:space="preserve"> el Recurso de Revisión </w:t>
      </w:r>
      <w:r w:rsidR="00D10DD2" w:rsidRPr="00D56DE6">
        <w:rPr>
          <w:rFonts w:eastAsia="Times New Roman" w:cs="Arial"/>
          <w:bCs/>
          <w:color w:val="auto"/>
          <w:lang w:eastAsia="es-ES"/>
        </w:rPr>
        <w:t>13346</w:t>
      </w:r>
      <w:r w:rsidRPr="00D56DE6">
        <w:rPr>
          <w:rFonts w:eastAsia="Times New Roman" w:cs="Arial"/>
          <w:bCs/>
          <w:color w:val="auto"/>
          <w:lang w:eastAsia="es-ES"/>
        </w:rPr>
        <w:t>/INFOEM/IP/RR/2025, porque</w:t>
      </w:r>
      <w:r w:rsidRPr="00D56DE6">
        <w:rPr>
          <w:rFonts w:eastAsia="Times New Roman" w:cs="Arial"/>
          <w:color w:val="auto"/>
          <w:lang w:eastAsia="es-ES"/>
        </w:rPr>
        <w:t xml:space="preserve"> al haber modificado el acto el Sujeto Obligado, el medio de impugnación quedó sin materia. </w:t>
      </w:r>
    </w:p>
    <w:p w14:paraId="1DE09623" w14:textId="77777777" w:rsidR="00E36F8E" w:rsidRPr="00D56DE6" w:rsidRDefault="00E36F8E" w:rsidP="00614700">
      <w:pPr>
        <w:spacing w:after="0" w:line="360" w:lineRule="auto"/>
        <w:rPr>
          <w:rFonts w:eastAsia="Times New Roman" w:cs="Tahoma"/>
          <w:bCs/>
          <w:color w:val="auto"/>
          <w:u w:val="single"/>
          <w:lang w:eastAsia="es-ES"/>
        </w:rPr>
      </w:pPr>
    </w:p>
    <w:p w14:paraId="4BEC6E8B" w14:textId="55E9B5B2" w:rsidR="00E36F8E" w:rsidRPr="00D56DE6" w:rsidRDefault="00E36F8E" w:rsidP="00614700">
      <w:pPr>
        <w:spacing w:after="0" w:line="360" w:lineRule="auto"/>
        <w:rPr>
          <w:rFonts w:eastAsia="Times New Roman" w:cs="Tahoma"/>
          <w:b/>
          <w:bCs/>
          <w:color w:val="auto"/>
          <w:lang w:eastAsia="es-ES"/>
        </w:rPr>
      </w:pPr>
      <w:r w:rsidRPr="00D56DE6">
        <w:rPr>
          <w:rFonts w:eastAsia="Times New Roman" w:cs="Tahoma"/>
          <w:b/>
          <w:bCs/>
          <w:color w:val="auto"/>
          <w:lang w:eastAsia="es-ES"/>
        </w:rPr>
        <w:t>Términos de l</w:t>
      </w:r>
      <w:r w:rsidR="00D56DE6" w:rsidRPr="00D56DE6">
        <w:rPr>
          <w:rFonts w:eastAsia="Times New Roman" w:cs="Tahoma"/>
          <w:b/>
          <w:bCs/>
          <w:color w:val="auto"/>
          <w:lang w:eastAsia="es-ES"/>
        </w:rPr>
        <w:t>a Resolución para el Recurrente</w:t>
      </w:r>
    </w:p>
    <w:p w14:paraId="48599C51" w14:textId="77777777" w:rsidR="00E36F8E" w:rsidRPr="00D56DE6" w:rsidRDefault="00E36F8E" w:rsidP="00614700">
      <w:pPr>
        <w:spacing w:after="0" w:line="360" w:lineRule="auto"/>
        <w:rPr>
          <w:rFonts w:eastAsia="Times New Roman" w:cs="Tahoma"/>
          <w:b/>
          <w:bCs/>
          <w:color w:val="auto"/>
          <w:lang w:eastAsia="es-ES"/>
        </w:rPr>
      </w:pPr>
    </w:p>
    <w:p w14:paraId="30CEB6C1" w14:textId="016448CB" w:rsidR="00E36F8E" w:rsidRPr="00D56DE6" w:rsidRDefault="00E36F8E" w:rsidP="00614700">
      <w:pPr>
        <w:spacing w:after="0" w:line="360" w:lineRule="auto"/>
        <w:rPr>
          <w:rFonts w:eastAsia="Times New Roman" w:cs="Tahoma"/>
          <w:bCs/>
          <w:color w:val="auto"/>
          <w:u w:val="single"/>
          <w:lang w:eastAsia="es-ES"/>
        </w:rPr>
      </w:pPr>
      <w:r w:rsidRPr="00D56DE6">
        <w:rPr>
          <w:rFonts w:eastAsia="Times New Roman" w:cs="Tahoma"/>
          <w:bCs/>
          <w:color w:val="auto"/>
          <w:u w:val="single"/>
          <w:lang w:eastAsia="es-ES"/>
        </w:rPr>
        <w:lastRenderedPageBreak/>
        <w:t xml:space="preserve">Este Instituto Garante, advirtió que, en informe justificado, se le </w:t>
      </w:r>
      <w:r w:rsidR="00D10DD2" w:rsidRPr="00D56DE6">
        <w:rPr>
          <w:rFonts w:eastAsia="Times New Roman" w:cs="Tahoma"/>
          <w:bCs/>
          <w:color w:val="auto"/>
          <w:u w:val="single"/>
          <w:lang w:eastAsia="es-ES"/>
        </w:rPr>
        <w:t>específico los datos de la única empresa que se encuentra dentro del municipio que realiza la actividad que es de su interés</w:t>
      </w:r>
      <w:r w:rsidRPr="00D56DE6">
        <w:rPr>
          <w:rFonts w:eastAsia="Times New Roman" w:cs="Tahoma"/>
          <w:bCs/>
          <w:color w:val="auto"/>
          <w:u w:val="single"/>
          <w:lang w:eastAsia="es-ES"/>
        </w:rPr>
        <w:t>.</w:t>
      </w:r>
    </w:p>
    <w:p w14:paraId="0545D01A" w14:textId="77777777" w:rsidR="00E36F8E" w:rsidRPr="00D56DE6" w:rsidRDefault="00E36F8E" w:rsidP="00614700">
      <w:pPr>
        <w:spacing w:after="0" w:line="360" w:lineRule="auto"/>
        <w:rPr>
          <w:rFonts w:eastAsia="Times New Roman" w:cs="Tahoma"/>
          <w:bCs/>
          <w:color w:val="auto"/>
          <w:u w:val="single"/>
          <w:lang w:eastAsia="es-ES"/>
        </w:rPr>
      </w:pPr>
    </w:p>
    <w:p w14:paraId="624D1B95" w14:textId="77777777" w:rsidR="00E36F8E" w:rsidRPr="00D56DE6" w:rsidRDefault="00E36F8E" w:rsidP="00614700">
      <w:pPr>
        <w:spacing w:after="0" w:line="360" w:lineRule="auto"/>
        <w:rPr>
          <w:rFonts w:eastAsia="Times New Roman" w:cs="Tahoma"/>
          <w:bCs/>
          <w:color w:val="auto"/>
          <w:u w:val="single"/>
          <w:lang w:eastAsia="es-ES"/>
        </w:rPr>
      </w:pPr>
      <w:r w:rsidRPr="00D56DE6">
        <w:rPr>
          <w:rFonts w:eastAsia="Times New Roman" w:cs="Tahoma"/>
          <w:bCs/>
          <w:color w:val="auto"/>
          <w:u w:val="single"/>
          <w:lang w:eastAsia="es-ES"/>
        </w:rPr>
        <w:t>La labor del INFOEM, es apoyar a la población para acceder a la información pública y garantizar la protección de sus datos personales.</w:t>
      </w:r>
    </w:p>
    <w:p w14:paraId="43280E6D" w14:textId="77777777" w:rsidR="00E36F8E" w:rsidRPr="00D56DE6" w:rsidRDefault="00E36F8E" w:rsidP="00614700">
      <w:pPr>
        <w:autoSpaceDE w:val="0"/>
        <w:autoSpaceDN w:val="0"/>
        <w:adjustRightInd w:val="0"/>
        <w:spacing w:after="0" w:line="360" w:lineRule="auto"/>
        <w:rPr>
          <w:rFonts w:eastAsia="Times New Roman" w:cs="Arial"/>
          <w:color w:val="auto"/>
          <w:lang w:eastAsia="es-ES"/>
        </w:rPr>
      </w:pPr>
    </w:p>
    <w:p w14:paraId="72BE49A1" w14:textId="77777777" w:rsidR="00E36F8E" w:rsidRPr="00D56DE6" w:rsidRDefault="00E36F8E" w:rsidP="00614700">
      <w:pPr>
        <w:spacing w:after="0" w:line="360" w:lineRule="auto"/>
        <w:rPr>
          <w:rFonts w:eastAsia="Calibri" w:cs="Tahoma"/>
          <w:bCs/>
          <w:color w:val="auto"/>
          <w:szCs w:val="20"/>
          <w:lang w:eastAsia="en-US"/>
        </w:rPr>
      </w:pPr>
      <w:r w:rsidRPr="00D56DE6">
        <w:rPr>
          <w:rFonts w:eastAsia="Calibri" w:cs="Tahoma"/>
          <w:bCs/>
          <w:color w:val="auto"/>
          <w:szCs w:val="20"/>
          <w:lang w:eastAsia="en-US"/>
        </w:rPr>
        <w:t>Por lo expuesto y fundado, este Pleno:</w:t>
      </w:r>
    </w:p>
    <w:p w14:paraId="091BA41F" w14:textId="77777777" w:rsidR="00E36F8E" w:rsidRPr="00D56DE6" w:rsidRDefault="00E36F8E" w:rsidP="00614700">
      <w:pPr>
        <w:spacing w:after="0" w:line="360" w:lineRule="auto"/>
        <w:ind w:right="-93"/>
        <w:rPr>
          <w:rFonts w:eastAsia="Times New Roman" w:cs="Tahoma"/>
          <w:color w:val="auto"/>
          <w:lang w:eastAsia="es-ES"/>
        </w:rPr>
      </w:pPr>
    </w:p>
    <w:p w14:paraId="0473EBD8" w14:textId="77777777" w:rsidR="00E36F8E" w:rsidRPr="00D56DE6" w:rsidRDefault="00E36F8E" w:rsidP="00614700">
      <w:pPr>
        <w:keepNext/>
        <w:keepLines/>
        <w:spacing w:after="0" w:line="360" w:lineRule="auto"/>
        <w:jc w:val="center"/>
        <w:outlineLvl w:val="0"/>
        <w:rPr>
          <w:rFonts w:eastAsia="Calibri" w:cs="Times New Roman"/>
          <w:b/>
          <w:color w:val="auto"/>
          <w:szCs w:val="32"/>
          <w:lang w:eastAsia="en-US"/>
        </w:rPr>
      </w:pPr>
      <w:bookmarkStart w:id="21" w:name="_Toc194590233"/>
      <w:bookmarkStart w:id="22" w:name="_Toc210305131"/>
      <w:bookmarkStart w:id="23" w:name="_Toc219385677"/>
      <w:r w:rsidRPr="00D56DE6">
        <w:rPr>
          <w:rFonts w:eastAsia="Calibri" w:cs="Times New Roman"/>
          <w:b/>
          <w:color w:val="auto"/>
          <w:szCs w:val="32"/>
          <w:lang w:eastAsia="en-US"/>
        </w:rPr>
        <w:t>R E S U E L V E</w:t>
      </w:r>
      <w:bookmarkEnd w:id="21"/>
      <w:bookmarkEnd w:id="22"/>
      <w:bookmarkEnd w:id="23"/>
    </w:p>
    <w:p w14:paraId="6E2B61E2" w14:textId="77777777" w:rsidR="00E36F8E" w:rsidRPr="00D56DE6" w:rsidRDefault="00E36F8E" w:rsidP="00614700">
      <w:pPr>
        <w:spacing w:after="0" w:line="360" w:lineRule="auto"/>
        <w:jc w:val="center"/>
        <w:rPr>
          <w:rFonts w:eastAsia="Times New Roman" w:cs="Tahoma"/>
          <w:b/>
          <w:bCs/>
          <w:color w:val="auto"/>
          <w:lang w:eastAsia="es-ES"/>
        </w:rPr>
      </w:pPr>
    </w:p>
    <w:p w14:paraId="1156FF95" w14:textId="2A6E2E3C" w:rsidR="00E36F8E" w:rsidRPr="00D56DE6" w:rsidRDefault="00E36F8E" w:rsidP="00614700">
      <w:pPr>
        <w:spacing w:after="0" w:line="360" w:lineRule="auto"/>
        <w:ind w:right="113"/>
        <w:rPr>
          <w:rFonts w:eastAsia="Times New Roman" w:cs="Arial"/>
          <w:color w:val="auto"/>
          <w:lang w:eastAsia="es-ES"/>
        </w:rPr>
      </w:pPr>
      <w:r w:rsidRPr="00D56DE6">
        <w:rPr>
          <w:rFonts w:eastAsia="Times New Roman" w:cs="Arial"/>
          <w:b/>
          <w:color w:val="auto"/>
          <w:lang w:eastAsia="es-ES"/>
        </w:rPr>
        <w:t xml:space="preserve">PRIMERO. </w:t>
      </w:r>
      <w:r w:rsidRPr="00D56DE6">
        <w:rPr>
          <w:rFonts w:eastAsia="Times New Roman" w:cs="Arial"/>
          <w:color w:val="auto"/>
          <w:lang w:eastAsia="es-ES"/>
        </w:rPr>
        <w:t xml:space="preserve">Se </w:t>
      </w:r>
      <w:r w:rsidRPr="00D56DE6">
        <w:rPr>
          <w:rFonts w:eastAsia="Times New Roman" w:cs="Arial"/>
          <w:b/>
          <w:color w:val="auto"/>
          <w:lang w:eastAsia="es-ES"/>
        </w:rPr>
        <w:t>SOBRESEE</w:t>
      </w:r>
      <w:r w:rsidRPr="00D56DE6">
        <w:rPr>
          <w:rFonts w:eastAsia="Times New Roman" w:cs="Arial"/>
          <w:color w:val="auto"/>
          <w:lang w:eastAsia="es-ES"/>
        </w:rPr>
        <w:t xml:space="preserve"> el Recurso de Revisión </w:t>
      </w:r>
      <w:r w:rsidR="00D10DD2" w:rsidRPr="00D56DE6">
        <w:rPr>
          <w:rFonts w:eastAsia="Times New Roman" w:cs="Arial"/>
          <w:b/>
          <w:bCs/>
          <w:color w:val="auto"/>
          <w:lang w:eastAsia="es-ES"/>
        </w:rPr>
        <w:t>13346</w:t>
      </w:r>
      <w:r w:rsidRPr="00D56DE6">
        <w:rPr>
          <w:rFonts w:eastAsia="Times New Roman" w:cs="Arial"/>
          <w:b/>
          <w:color w:val="auto"/>
          <w:lang w:eastAsia="es-ES"/>
        </w:rPr>
        <w:t>/INFOEM/IP/RR/2025</w:t>
      </w:r>
      <w:r w:rsidRPr="00D56DE6">
        <w:rPr>
          <w:rFonts w:eastAsia="Times New Roman" w:cs="Arial"/>
          <w:color w:val="auto"/>
          <w:lang w:eastAsia="es-ES"/>
        </w:rPr>
        <w:t xml:space="preserve">, </w:t>
      </w:r>
      <w:r w:rsidRPr="00D56DE6">
        <w:rPr>
          <w:rFonts w:eastAsia="Times New Roman" w:cs="Tahoma"/>
          <w:bCs/>
          <w:iCs/>
          <w:color w:val="auto"/>
          <w:lang w:eastAsia="en-US"/>
        </w:rPr>
        <w:t xml:space="preserve">de conformidad con el artículo 192, fracción III, </w:t>
      </w:r>
      <w:r w:rsidRPr="00D56DE6">
        <w:rPr>
          <w:rFonts w:eastAsia="Calibri" w:cs="Tahoma"/>
          <w:bCs/>
          <w:iCs/>
          <w:color w:val="auto"/>
          <w:lang w:eastAsia="en-US"/>
        </w:rPr>
        <w:t>de la Ley de Transparencia y Acceso a la Información Pública del Estado de México y Municipios,</w:t>
      </w:r>
      <w:r w:rsidRPr="00D56DE6">
        <w:rPr>
          <w:rFonts w:eastAsia="Times New Roman" w:cs="Arial"/>
          <w:color w:val="auto"/>
          <w:lang w:eastAsia="es-ES"/>
        </w:rPr>
        <w:t xml:space="preserve"> </w:t>
      </w:r>
      <w:r w:rsidRPr="00D56DE6">
        <w:rPr>
          <w:rFonts w:eastAsia="Times New Roman" w:cs="Arial"/>
          <w:b/>
          <w:color w:val="auto"/>
          <w:lang w:eastAsia="es-ES"/>
        </w:rPr>
        <w:t>porque el Sujeto Obligado al modificar la respuesta</w:t>
      </w:r>
      <w:r w:rsidRPr="00D56DE6">
        <w:rPr>
          <w:rFonts w:eastAsia="Times New Roman" w:cs="Arial"/>
          <w:color w:val="auto"/>
          <w:lang w:eastAsia="es-ES"/>
        </w:rPr>
        <w:t xml:space="preserve"> de la solicitud con número de folio </w:t>
      </w:r>
      <w:r w:rsidR="00D10DD2" w:rsidRPr="00D56DE6">
        <w:rPr>
          <w:rFonts w:eastAsia="Times New Roman" w:cs="Arial"/>
          <w:b/>
          <w:color w:val="auto"/>
          <w:lang w:eastAsia="es-ES"/>
        </w:rPr>
        <w:t>00111/TENAVALL/IP/2025</w:t>
      </w:r>
      <w:r w:rsidRPr="00D56DE6">
        <w:rPr>
          <w:rFonts w:eastAsia="Times New Roman" w:cs="Arial"/>
          <w:color w:val="auto"/>
          <w:lang w:eastAsia="es-ES"/>
        </w:rPr>
        <w:t>, el Recurso de Revisión</w:t>
      </w:r>
      <w:r w:rsidRPr="00D56DE6">
        <w:rPr>
          <w:rFonts w:eastAsia="Times New Roman" w:cs="Arial"/>
          <w:b/>
          <w:color w:val="auto"/>
          <w:lang w:eastAsia="es-ES"/>
        </w:rPr>
        <w:t xml:space="preserve"> quedó sin materia</w:t>
      </w:r>
      <w:r w:rsidRPr="00D56DE6">
        <w:rPr>
          <w:rFonts w:eastAsia="Times New Roman" w:cs="Arial"/>
          <w:color w:val="auto"/>
          <w:lang w:eastAsia="es-ES"/>
        </w:rPr>
        <w:t xml:space="preserve">, en términos de los Considerandos </w:t>
      </w:r>
      <w:r w:rsidR="00D10DD2" w:rsidRPr="00D56DE6">
        <w:rPr>
          <w:rFonts w:eastAsia="Times New Roman" w:cs="Arial"/>
          <w:b/>
          <w:color w:val="auto"/>
          <w:lang w:eastAsia="es-ES"/>
        </w:rPr>
        <w:t>TERCERO</w:t>
      </w:r>
      <w:r w:rsidRPr="00D56DE6">
        <w:rPr>
          <w:rFonts w:eastAsia="Times New Roman" w:cs="Arial"/>
          <w:b/>
          <w:color w:val="auto"/>
          <w:lang w:eastAsia="es-ES"/>
        </w:rPr>
        <w:t xml:space="preserve"> y </w:t>
      </w:r>
      <w:r w:rsidR="00D10DD2" w:rsidRPr="00D56DE6">
        <w:rPr>
          <w:rFonts w:eastAsia="Times New Roman" w:cs="Arial"/>
          <w:b/>
          <w:color w:val="auto"/>
          <w:lang w:eastAsia="es-ES"/>
        </w:rPr>
        <w:t xml:space="preserve">CUARTO </w:t>
      </w:r>
      <w:r w:rsidRPr="00D56DE6">
        <w:rPr>
          <w:rFonts w:eastAsia="Times New Roman" w:cs="Arial"/>
          <w:color w:val="auto"/>
          <w:lang w:eastAsia="es-ES"/>
        </w:rPr>
        <w:t>de la presente Resolución.</w:t>
      </w:r>
    </w:p>
    <w:p w14:paraId="5197C0EF" w14:textId="77777777" w:rsidR="00E36F8E" w:rsidRPr="00D56DE6" w:rsidRDefault="00E36F8E" w:rsidP="00614700">
      <w:pPr>
        <w:spacing w:after="0" w:line="360" w:lineRule="auto"/>
        <w:ind w:right="113"/>
        <w:rPr>
          <w:rFonts w:eastAsia="Times New Roman" w:cs="Times New Roman"/>
          <w:i/>
          <w:color w:val="auto"/>
          <w:lang w:val="es-ES_tradnl" w:eastAsia="es-ES"/>
        </w:rPr>
      </w:pPr>
    </w:p>
    <w:p w14:paraId="45D16771" w14:textId="77777777" w:rsidR="00E36F8E" w:rsidRPr="00D56DE6" w:rsidRDefault="00E36F8E" w:rsidP="00614700">
      <w:pPr>
        <w:spacing w:after="0" w:line="360" w:lineRule="auto"/>
        <w:ind w:right="113"/>
        <w:rPr>
          <w:rFonts w:eastAsia="Times New Roman" w:cs="Arial"/>
          <w:b/>
          <w:color w:val="auto"/>
          <w:lang w:eastAsia="es-ES"/>
        </w:rPr>
      </w:pPr>
      <w:r w:rsidRPr="00D56DE6">
        <w:rPr>
          <w:rFonts w:eastAsia="Times New Roman" w:cs="Times New Roman"/>
          <w:b/>
          <w:color w:val="auto"/>
          <w:lang w:eastAsia="es-ES"/>
        </w:rPr>
        <w:t>SEGUNDO.</w:t>
      </w:r>
      <w:r w:rsidRPr="00D56DE6">
        <w:rPr>
          <w:rFonts w:eastAsia="Times New Roman" w:cs="Arial"/>
          <w:color w:val="auto"/>
          <w:lang w:eastAsia="es-ES"/>
        </w:rPr>
        <w:t xml:space="preserve"> </w:t>
      </w:r>
      <w:r w:rsidRPr="00D56DE6">
        <w:rPr>
          <w:rFonts w:eastAsia="Times New Roman" w:cs="Arial"/>
          <w:b/>
          <w:color w:val="auto"/>
          <w:lang w:eastAsia="es-ES"/>
        </w:rPr>
        <w:t xml:space="preserve">NOTIFÍQUESE POR SAIMEX </w:t>
      </w:r>
      <w:r w:rsidRPr="00D56DE6">
        <w:rPr>
          <w:rFonts w:eastAsia="Times New Roman" w:cs="Arial"/>
          <w:color w:val="auto"/>
          <w:lang w:eastAsia="es-ES"/>
        </w:rPr>
        <w:t>la presente resolución</w:t>
      </w:r>
      <w:r w:rsidRPr="00D56DE6">
        <w:rPr>
          <w:rFonts w:eastAsia="Times New Roman" w:cs="Arial"/>
          <w:b/>
          <w:color w:val="auto"/>
          <w:lang w:eastAsia="es-ES"/>
        </w:rPr>
        <w:t xml:space="preserve"> </w:t>
      </w:r>
      <w:r w:rsidRPr="00D56DE6">
        <w:rPr>
          <w:rFonts w:eastAsia="Times New Roman" w:cs="Arial"/>
          <w:color w:val="auto"/>
          <w:lang w:eastAsia="es-ES"/>
        </w:rPr>
        <w:t xml:space="preserve">al Titular de la Unidad de Transparencia del </w:t>
      </w:r>
      <w:r w:rsidRPr="00D56DE6">
        <w:rPr>
          <w:rFonts w:eastAsia="Times New Roman" w:cs="Arial"/>
          <w:b/>
          <w:color w:val="auto"/>
          <w:lang w:eastAsia="es-ES"/>
        </w:rPr>
        <w:t>Sujeto Obligado</w:t>
      </w:r>
      <w:r w:rsidRPr="00D56DE6">
        <w:rPr>
          <w:rFonts w:eastAsia="Times New Roman" w:cs="Arial"/>
          <w:color w:val="auto"/>
          <w:lang w:eastAsia="es-ES"/>
        </w:rPr>
        <w:t>.</w:t>
      </w:r>
    </w:p>
    <w:p w14:paraId="0D7A32FE" w14:textId="77777777" w:rsidR="00E36F8E" w:rsidRPr="00D56DE6" w:rsidRDefault="00E36F8E" w:rsidP="00614700">
      <w:pPr>
        <w:spacing w:after="0" w:line="360" w:lineRule="auto"/>
        <w:ind w:right="333"/>
        <w:rPr>
          <w:rFonts w:eastAsia="Times New Roman" w:cs="Arial"/>
          <w:color w:val="auto"/>
          <w:lang w:eastAsia="es-ES"/>
        </w:rPr>
      </w:pPr>
    </w:p>
    <w:p w14:paraId="2403050E" w14:textId="77777777" w:rsidR="00E36F8E" w:rsidRPr="00D56DE6" w:rsidRDefault="00E36F8E" w:rsidP="00614700">
      <w:pPr>
        <w:spacing w:after="0" w:line="360" w:lineRule="auto"/>
        <w:rPr>
          <w:rFonts w:eastAsia="Times New Roman" w:cs="Tahoma"/>
          <w:color w:val="auto"/>
          <w:lang w:eastAsia="es-ES"/>
        </w:rPr>
      </w:pPr>
      <w:r w:rsidRPr="00D56DE6">
        <w:rPr>
          <w:rFonts w:eastAsia="Times New Roman" w:cs="Arial"/>
          <w:b/>
          <w:color w:val="auto"/>
          <w:lang w:eastAsia="es-ES"/>
        </w:rPr>
        <w:t>TERCERO.</w:t>
      </w:r>
      <w:r w:rsidRPr="00D56DE6">
        <w:rPr>
          <w:rFonts w:eastAsia="Times New Roman" w:cs="Arial"/>
          <w:color w:val="auto"/>
          <w:lang w:eastAsia="es-ES"/>
        </w:rPr>
        <w:t xml:space="preserve"> </w:t>
      </w:r>
      <w:r w:rsidRPr="00D56DE6">
        <w:rPr>
          <w:rFonts w:eastAsia="Times New Roman" w:cs="Arial"/>
          <w:b/>
          <w:color w:val="auto"/>
          <w:lang w:eastAsia="es-ES"/>
        </w:rPr>
        <w:t xml:space="preserve">NOTIFÍQUESE POR SAIMEX </w:t>
      </w:r>
      <w:r w:rsidRPr="00D56DE6">
        <w:rPr>
          <w:rFonts w:eastAsia="Times New Roman" w:cs="Arial"/>
          <w:color w:val="auto"/>
          <w:lang w:eastAsia="es-ES"/>
        </w:rPr>
        <w:t>la presente Resolución</w:t>
      </w:r>
      <w:r w:rsidRPr="00D56DE6">
        <w:rPr>
          <w:rFonts w:eastAsia="Times New Roman" w:cs="Arial"/>
          <w:b/>
          <w:color w:val="auto"/>
          <w:lang w:eastAsia="es-ES"/>
        </w:rPr>
        <w:t xml:space="preserve"> </w:t>
      </w:r>
      <w:r w:rsidRPr="00D56DE6">
        <w:rPr>
          <w:rFonts w:eastAsia="Times New Roman" w:cs="Arial"/>
          <w:color w:val="auto"/>
          <w:lang w:eastAsia="es-ES"/>
        </w:rPr>
        <w:t>al</w:t>
      </w:r>
      <w:r w:rsidRPr="00D56DE6">
        <w:rPr>
          <w:rFonts w:eastAsia="Times New Roman" w:cs="Arial"/>
          <w:b/>
          <w:color w:val="auto"/>
          <w:lang w:eastAsia="es-ES"/>
        </w:rPr>
        <w:t xml:space="preserve"> Recurrente</w:t>
      </w:r>
      <w:r w:rsidRPr="00D56DE6">
        <w:rPr>
          <w:rFonts w:eastAsia="Times New Roman" w:cs="Arial"/>
          <w:color w:val="auto"/>
          <w:lang w:eastAsia="es-ES"/>
        </w:rPr>
        <w:t xml:space="preserve">, </w:t>
      </w:r>
      <w:r w:rsidRPr="00D56DE6">
        <w:rPr>
          <w:rFonts w:eastAsia="Times New Roman" w:cs="Tahoma"/>
          <w:color w:val="auto"/>
          <w:lang w:eastAsia="es-E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56DE6" w:rsidRDefault="00D1318A" w:rsidP="00614700">
      <w:pPr>
        <w:spacing w:after="0" w:line="360" w:lineRule="auto"/>
        <w:contextualSpacing/>
        <w:rPr>
          <w:rFonts w:cs="Arial"/>
          <w:b/>
          <w:bCs/>
          <w:color w:val="auto"/>
        </w:rPr>
      </w:pPr>
    </w:p>
    <w:p w14:paraId="440D22CF" w14:textId="6839B6AF" w:rsidR="00D1318A" w:rsidRPr="00E36F8E" w:rsidRDefault="00D1318A" w:rsidP="00614700">
      <w:pPr>
        <w:spacing w:after="0" w:line="360" w:lineRule="auto"/>
        <w:contextualSpacing/>
        <w:rPr>
          <w:rFonts w:cs="Tahoma"/>
          <w:b/>
          <w:bCs/>
          <w:color w:val="auto"/>
        </w:rPr>
      </w:pPr>
      <w:r w:rsidRPr="00D56DE6">
        <w:rPr>
          <w:rFonts w:eastAsia="Calibri" w:cs="Tahoma"/>
          <w:bCs/>
          <w:color w:val="auto"/>
        </w:rPr>
        <w:lastRenderedPageBreak/>
        <w:t>ASÍ LO RESUELVE, POR </w:t>
      </w:r>
      <w:r w:rsidRPr="00D56DE6">
        <w:rPr>
          <w:rFonts w:eastAsia="Calibri" w:cs="Tahoma"/>
          <w:b/>
          <w:bCs/>
          <w:color w:val="auto"/>
        </w:rPr>
        <w:t>UNANIMIDAD</w:t>
      </w:r>
      <w:r w:rsidRPr="00D56DE6">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D56DE6">
        <w:rPr>
          <w:rFonts w:eastAsia="Calibri" w:cs="Tahoma"/>
          <w:bCs/>
          <w:color w:val="auto"/>
        </w:rPr>
        <w:t xml:space="preserve">, EN LA </w:t>
      </w:r>
      <w:r w:rsidR="00447576" w:rsidRPr="00D56DE6">
        <w:rPr>
          <w:rFonts w:eastAsia="Calibri" w:cs="Tahoma"/>
          <w:bCs/>
          <w:color w:val="auto"/>
        </w:rPr>
        <w:t>PRIMERA</w:t>
      </w:r>
      <w:r w:rsidR="00715343" w:rsidRPr="00D56DE6">
        <w:rPr>
          <w:rFonts w:eastAsia="Calibri" w:cs="Tahoma"/>
          <w:bCs/>
          <w:color w:val="auto"/>
        </w:rPr>
        <w:t xml:space="preserve"> </w:t>
      </w:r>
      <w:r w:rsidRPr="00D56DE6">
        <w:rPr>
          <w:rFonts w:eastAsia="Calibri" w:cs="Tahoma"/>
          <w:bCs/>
          <w:color w:val="auto"/>
        </w:rPr>
        <w:t>SESIÓN ORDINA</w:t>
      </w:r>
      <w:r w:rsidR="00715343" w:rsidRPr="00D56DE6">
        <w:rPr>
          <w:rFonts w:eastAsia="Calibri" w:cs="Tahoma"/>
          <w:bCs/>
          <w:color w:val="auto"/>
        </w:rPr>
        <w:t>RIA, C</w:t>
      </w:r>
      <w:r w:rsidR="0052714E" w:rsidRPr="00D56DE6">
        <w:rPr>
          <w:rFonts w:eastAsia="Calibri" w:cs="Tahoma"/>
          <w:bCs/>
          <w:color w:val="auto"/>
        </w:rPr>
        <w:t xml:space="preserve">ELEBRADA EL </w:t>
      </w:r>
      <w:r w:rsidR="00447576" w:rsidRPr="00D56DE6">
        <w:rPr>
          <w:rFonts w:eastAsia="Calibri" w:cs="Tahoma"/>
          <w:bCs/>
          <w:color w:val="auto"/>
        </w:rPr>
        <w:t>CATORCE DE ENERO</w:t>
      </w:r>
      <w:r w:rsidR="00655068" w:rsidRPr="00D56DE6">
        <w:rPr>
          <w:rFonts w:eastAsia="Calibri" w:cs="Tahoma"/>
          <w:bCs/>
          <w:color w:val="auto"/>
        </w:rPr>
        <w:t xml:space="preserve"> </w:t>
      </w:r>
      <w:r w:rsidRPr="00D56DE6">
        <w:rPr>
          <w:rFonts w:eastAsia="Calibri" w:cs="Tahoma"/>
          <w:bCs/>
          <w:color w:val="auto"/>
        </w:rPr>
        <w:t xml:space="preserve">DE DOS MIL </w:t>
      </w:r>
      <w:r w:rsidR="00B6260E" w:rsidRPr="00D56DE6">
        <w:rPr>
          <w:rFonts w:eastAsia="Calibri" w:cs="Tahoma"/>
          <w:bCs/>
          <w:color w:val="auto"/>
        </w:rPr>
        <w:t>VEINTISÉIS</w:t>
      </w:r>
      <w:r w:rsidRPr="00D56DE6">
        <w:rPr>
          <w:rFonts w:eastAsia="Calibri" w:cs="Tahoma"/>
          <w:bCs/>
          <w:color w:val="auto"/>
        </w:rPr>
        <w:t>, ANTE EL SECRETARIO TÉCNICO DEL PLENO, ALEXIS TAPIA RAMÍREZ.</w:t>
      </w:r>
    </w:p>
    <w:p w14:paraId="2BA380C7" w14:textId="77777777" w:rsidR="00D1318A" w:rsidRPr="00E36F8E" w:rsidRDefault="00D1318A" w:rsidP="00614700">
      <w:pPr>
        <w:spacing w:after="0" w:line="360" w:lineRule="auto"/>
        <w:ind w:right="-28"/>
        <w:rPr>
          <w:color w:val="auto"/>
        </w:rPr>
      </w:pPr>
    </w:p>
    <w:p w14:paraId="1FFCF4F3" w14:textId="77777777" w:rsidR="00B02499" w:rsidRPr="00E36F8E" w:rsidRDefault="00B02499" w:rsidP="00614700">
      <w:pPr>
        <w:spacing w:after="0" w:line="360" w:lineRule="auto"/>
        <w:rPr>
          <w:rFonts w:eastAsia="Calibri" w:cs="Times New Roman"/>
          <w:b/>
          <w:bCs/>
          <w:color w:val="auto"/>
        </w:rPr>
      </w:pPr>
    </w:p>
    <w:p w14:paraId="654C889D" w14:textId="77777777" w:rsidR="00B02499" w:rsidRPr="00E36F8E" w:rsidRDefault="00B02499" w:rsidP="00614700">
      <w:pPr>
        <w:spacing w:after="0" w:line="360" w:lineRule="auto"/>
        <w:rPr>
          <w:rFonts w:eastAsia="Calibri" w:cs="Times New Roman"/>
          <w:b/>
          <w:bCs/>
          <w:color w:val="auto"/>
        </w:rPr>
      </w:pPr>
    </w:p>
    <w:p w14:paraId="097C707A" w14:textId="77777777" w:rsidR="004A10B0" w:rsidRPr="00E36F8E" w:rsidRDefault="004A10B0" w:rsidP="00614700">
      <w:pPr>
        <w:spacing w:after="0" w:line="360" w:lineRule="auto"/>
        <w:contextualSpacing/>
        <w:rPr>
          <w:rFonts w:eastAsia="Calibri" w:cs="Times New Roman"/>
          <w:color w:val="auto"/>
        </w:rPr>
      </w:pPr>
    </w:p>
    <w:p w14:paraId="3677DBED" w14:textId="77777777" w:rsidR="004A10B0" w:rsidRPr="00E36F8E" w:rsidRDefault="004A10B0" w:rsidP="00614700">
      <w:pPr>
        <w:spacing w:after="0" w:line="360" w:lineRule="auto"/>
        <w:contextualSpacing/>
        <w:rPr>
          <w:color w:val="auto"/>
        </w:rPr>
      </w:pPr>
    </w:p>
    <w:p w14:paraId="74E8DB3F" w14:textId="77777777" w:rsidR="00C556AB" w:rsidRPr="00E36F8E" w:rsidRDefault="00C556AB" w:rsidP="00614700">
      <w:pPr>
        <w:spacing w:after="0" w:line="360" w:lineRule="auto"/>
        <w:rPr>
          <w:color w:val="auto"/>
        </w:rPr>
      </w:pPr>
    </w:p>
    <w:p w14:paraId="1A555613" w14:textId="77777777" w:rsidR="00023BBD" w:rsidRPr="00E36F8E" w:rsidRDefault="00023BBD" w:rsidP="00614700">
      <w:pPr>
        <w:spacing w:after="0" w:line="360" w:lineRule="auto"/>
        <w:rPr>
          <w:color w:val="auto"/>
        </w:rPr>
      </w:pPr>
    </w:p>
    <w:p w14:paraId="2DB71CAF" w14:textId="49BEE08C" w:rsidR="001D4F21" w:rsidRPr="00E36F8E" w:rsidRDefault="001D4F21" w:rsidP="00614700">
      <w:pPr>
        <w:spacing w:after="0" w:line="360" w:lineRule="auto"/>
        <w:rPr>
          <w:color w:val="auto"/>
        </w:rPr>
      </w:pPr>
    </w:p>
    <w:p w14:paraId="38B4EF2E" w14:textId="77777777" w:rsidR="001D4F21" w:rsidRPr="00E36F8E" w:rsidRDefault="001D4F21" w:rsidP="00614700">
      <w:pPr>
        <w:spacing w:after="0" w:line="360" w:lineRule="auto"/>
        <w:rPr>
          <w:color w:val="auto"/>
        </w:rPr>
      </w:pPr>
    </w:p>
    <w:p w14:paraId="4201A0A0" w14:textId="77777777" w:rsidR="00E864E9" w:rsidRPr="00E36F8E" w:rsidRDefault="00E864E9" w:rsidP="00614700">
      <w:pPr>
        <w:tabs>
          <w:tab w:val="right" w:pos="8931"/>
        </w:tabs>
        <w:spacing w:after="0" w:line="360" w:lineRule="auto"/>
        <w:rPr>
          <w:color w:val="auto"/>
        </w:rPr>
      </w:pPr>
    </w:p>
    <w:p w14:paraId="543728D1" w14:textId="77777777" w:rsidR="00E864E9" w:rsidRPr="00E36F8E" w:rsidRDefault="00E864E9" w:rsidP="00614700">
      <w:pPr>
        <w:tabs>
          <w:tab w:val="right" w:pos="8931"/>
        </w:tabs>
        <w:spacing w:after="0" w:line="360" w:lineRule="auto"/>
        <w:rPr>
          <w:color w:val="auto"/>
        </w:rPr>
      </w:pPr>
    </w:p>
    <w:p w14:paraId="0E4439D0" w14:textId="5248D3C9" w:rsidR="007B58B9" w:rsidRPr="00E36F8E" w:rsidRDefault="007B58B9" w:rsidP="00614700">
      <w:pPr>
        <w:spacing w:after="0" w:line="360" w:lineRule="auto"/>
        <w:rPr>
          <w:color w:val="auto"/>
        </w:rPr>
      </w:pPr>
    </w:p>
    <w:p w14:paraId="26916C77" w14:textId="77777777" w:rsidR="00A37EDE" w:rsidRDefault="00A37EDE" w:rsidP="00614700">
      <w:pPr>
        <w:spacing w:after="0" w:line="360" w:lineRule="auto"/>
        <w:rPr>
          <w:color w:val="auto"/>
        </w:rPr>
      </w:pPr>
    </w:p>
    <w:p w14:paraId="01EC5E36" w14:textId="77777777" w:rsidR="00D56DE6" w:rsidRDefault="00D56DE6" w:rsidP="00614700">
      <w:pPr>
        <w:spacing w:after="0" w:line="360" w:lineRule="auto"/>
        <w:rPr>
          <w:color w:val="auto"/>
        </w:rPr>
      </w:pPr>
    </w:p>
    <w:p w14:paraId="63E6EA59" w14:textId="77777777" w:rsidR="00D56DE6" w:rsidRDefault="00D56DE6" w:rsidP="00614700">
      <w:pPr>
        <w:spacing w:after="0" w:line="360" w:lineRule="auto"/>
        <w:rPr>
          <w:color w:val="auto"/>
        </w:rPr>
      </w:pPr>
    </w:p>
    <w:p w14:paraId="2CB94309" w14:textId="77777777" w:rsidR="00D56DE6" w:rsidRDefault="00D56DE6" w:rsidP="00614700">
      <w:pPr>
        <w:spacing w:after="0" w:line="360" w:lineRule="auto"/>
        <w:rPr>
          <w:color w:val="auto"/>
        </w:rPr>
      </w:pPr>
    </w:p>
    <w:p w14:paraId="5A4D6D8F" w14:textId="77777777" w:rsidR="00D56DE6" w:rsidRDefault="00D56DE6" w:rsidP="00614700">
      <w:pPr>
        <w:spacing w:after="0" w:line="360" w:lineRule="auto"/>
        <w:rPr>
          <w:color w:val="auto"/>
        </w:rPr>
      </w:pPr>
    </w:p>
    <w:p w14:paraId="6770F71D" w14:textId="77777777" w:rsidR="00D56DE6" w:rsidRDefault="00D56DE6" w:rsidP="00614700">
      <w:pPr>
        <w:spacing w:after="0" w:line="360" w:lineRule="auto"/>
        <w:rPr>
          <w:color w:val="auto"/>
        </w:rPr>
      </w:pPr>
    </w:p>
    <w:p w14:paraId="73C51083" w14:textId="77777777" w:rsidR="00D56DE6" w:rsidRPr="00E36F8E" w:rsidRDefault="00D56DE6" w:rsidP="00614700">
      <w:pPr>
        <w:spacing w:after="0" w:line="360" w:lineRule="auto"/>
        <w:rPr>
          <w:color w:val="auto"/>
        </w:rPr>
      </w:pPr>
    </w:p>
    <w:sectPr w:rsidR="00D56DE6" w:rsidRPr="00E36F8E"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DF45" w14:textId="77777777" w:rsidR="00604204" w:rsidRDefault="00604204">
      <w:pPr>
        <w:spacing w:after="0" w:line="240" w:lineRule="auto"/>
      </w:pPr>
      <w:r>
        <w:separator/>
      </w:r>
    </w:p>
  </w:endnote>
  <w:endnote w:type="continuationSeparator" w:id="0">
    <w:p w14:paraId="2CF834DD" w14:textId="77777777" w:rsidR="00604204" w:rsidRDefault="0060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28C">
      <w:rPr>
        <w:b/>
        <w:noProof/>
        <w:color w:val="000000"/>
        <w:sz w:val="24"/>
        <w:szCs w:val="24"/>
      </w:rPr>
      <w:t>18</w:t>
    </w:r>
    <w:r>
      <w:rPr>
        <w:b/>
        <w:color w:val="000000"/>
        <w:sz w:val="24"/>
        <w:szCs w:val="24"/>
      </w:rPr>
      <w:fldChar w:fldCharType="end"/>
    </w:r>
  </w:p>
  <w:p w14:paraId="7EB9860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28C">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28C">
      <w:rPr>
        <w:b/>
        <w:noProof/>
        <w:color w:val="000000"/>
        <w:sz w:val="24"/>
        <w:szCs w:val="24"/>
      </w:rPr>
      <w:t>18</w:t>
    </w:r>
    <w:r>
      <w:rPr>
        <w:b/>
        <w:color w:val="000000"/>
        <w:sz w:val="24"/>
        <w:szCs w:val="24"/>
      </w:rPr>
      <w:fldChar w:fldCharType="end"/>
    </w:r>
  </w:p>
  <w:p w14:paraId="0D7FA8D9"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28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28C">
      <w:rPr>
        <w:b/>
        <w:noProof/>
        <w:color w:val="000000"/>
        <w:sz w:val="24"/>
        <w:szCs w:val="24"/>
      </w:rPr>
      <w:t>18</w:t>
    </w:r>
    <w:r>
      <w:rPr>
        <w:b/>
        <w:color w:val="000000"/>
        <w:sz w:val="24"/>
        <w:szCs w:val="24"/>
      </w:rPr>
      <w:fldChar w:fldCharType="end"/>
    </w:r>
  </w:p>
  <w:p w14:paraId="6796AF5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C2370" w14:textId="77777777" w:rsidR="00604204" w:rsidRDefault="00604204">
      <w:pPr>
        <w:spacing w:after="0" w:line="240" w:lineRule="auto"/>
      </w:pPr>
      <w:r>
        <w:separator/>
      </w:r>
    </w:p>
  </w:footnote>
  <w:footnote w:type="continuationSeparator" w:id="0">
    <w:p w14:paraId="10F112EB" w14:textId="77777777" w:rsidR="00604204" w:rsidRDefault="0060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10C29E94" w14:textId="77777777">
      <w:trPr>
        <w:trHeight w:val="132"/>
      </w:trPr>
      <w:tc>
        <w:tcPr>
          <w:tcW w:w="2691" w:type="dxa"/>
        </w:tcPr>
        <w:p w14:paraId="7D85A4B8" w14:textId="77777777" w:rsidR="00462F64" w:rsidRDefault="00462F64">
          <w:pPr>
            <w:tabs>
              <w:tab w:val="right" w:pos="8838"/>
            </w:tabs>
            <w:ind w:right="-105"/>
            <w:rPr>
              <w:b/>
            </w:rPr>
          </w:pPr>
          <w:r>
            <w:rPr>
              <w:b/>
            </w:rPr>
            <w:t>Recurso de Revisión:</w:t>
          </w:r>
        </w:p>
      </w:tc>
      <w:tc>
        <w:tcPr>
          <w:tcW w:w="3405" w:type="dxa"/>
        </w:tcPr>
        <w:p w14:paraId="0B0D1A9D" w14:textId="77777777" w:rsidR="00462F64" w:rsidRDefault="00462F64">
          <w:pPr>
            <w:tabs>
              <w:tab w:val="right" w:pos="8838"/>
            </w:tabs>
            <w:ind w:left="-28" w:right="-32"/>
          </w:pPr>
          <w:r>
            <w:t>03846/INFOEM/IP/RR/2020</w:t>
          </w:r>
        </w:p>
      </w:tc>
    </w:tr>
    <w:tr w:rsidR="00462F64" w14:paraId="2F47AC72" w14:textId="77777777">
      <w:trPr>
        <w:trHeight w:val="261"/>
      </w:trPr>
      <w:tc>
        <w:tcPr>
          <w:tcW w:w="2691" w:type="dxa"/>
        </w:tcPr>
        <w:p w14:paraId="154A4752" w14:textId="77777777" w:rsidR="00462F64" w:rsidRDefault="00462F64">
          <w:pPr>
            <w:tabs>
              <w:tab w:val="right" w:pos="8838"/>
            </w:tabs>
            <w:ind w:right="-105"/>
            <w:rPr>
              <w:b/>
            </w:rPr>
          </w:pPr>
          <w:r>
            <w:rPr>
              <w:b/>
            </w:rPr>
            <w:t>Sujeto Obligado:</w:t>
          </w:r>
        </w:p>
      </w:tc>
      <w:tc>
        <w:tcPr>
          <w:tcW w:w="3405" w:type="dxa"/>
        </w:tcPr>
        <w:p w14:paraId="5D9EC711" w14:textId="77777777" w:rsidR="00462F64" w:rsidRDefault="00462F64">
          <w:pPr>
            <w:tabs>
              <w:tab w:val="right" w:pos="8838"/>
            </w:tabs>
            <w:ind w:right="-32"/>
          </w:pPr>
          <w:r>
            <w:t>Ayuntamiento de Temascalcingo</w:t>
          </w:r>
        </w:p>
      </w:tc>
    </w:tr>
    <w:tr w:rsidR="00462F64" w14:paraId="11FBB450" w14:textId="77777777">
      <w:trPr>
        <w:trHeight w:val="261"/>
      </w:trPr>
      <w:tc>
        <w:tcPr>
          <w:tcW w:w="2691" w:type="dxa"/>
        </w:tcPr>
        <w:p w14:paraId="6BAF6003" w14:textId="77777777" w:rsidR="00462F64" w:rsidRDefault="00462F64">
          <w:pPr>
            <w:tabs>
              <w:tab w:val="right" w:pos="8838"/>
            </w:tabs>
            <w:ind w:right="-105"/>
            <w:rPr>
              <w:b/>
            </w:rPr>
          </w:pPr>
          <w:r>
            <w:rPr>
              <w:b/>
            </w:rPr>
            <w:t>Comisionado Ponente:</w:t>
          </w:r>
        </w:p>
      </w:tc>
      <w:tc>
        <w:tcPr>
          <w:tcW w:w="3405" w:type="dxa"/>
        </w:tcPr>
        <w:p w14:paraId="420341AF" w14:textId="77777777" w:rsidR="00462F64" w:rsidRDefault="00462F64">
          <w:pPr>
            <w:tabs>
              <w:tab w:val="right" w:pos="8838"/>
            </w:tabs>
            <w:ind w:right="-32"/>
            <w:rPr>
              <w:b/>
            </w:rPr>
          </w:pPr>
          <w:r>
            <w:t>Luis Gustavo Parra Noriega</w:t>
          </w:r>
        </w:p>
      </w:tc>
    </w:tr>
  </w:tbl>
  <w:p w14:paraId="00411D75" w14:textId="77777777" w:rsidR="00462F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462F6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268"/>
      <w:gridCol w:w="3828"/>
    </w:tblGrid>
    <w:tr w:rsidR="00462F64" w14:paraId="40D5D5A3" w14:textId="77777777" w:rsidTr="00227EC0">
      <w:trPr>
        <w:trHeight w:val="138"/>
      </w:trPr>
      <w:tc>
        <w:tcPr>
          <w:tcW w:w="2268" w:type="dxa"/>
          <w:vAlign w:val="center"/>
        </w:tcPr>
        <w:p w14:paraId="43377EBE" w14:textId="77777777" w:rsidR="00462F64" w:rsidRDefault="00462F64" w:rsidP="008C266D">
          <w:pPr>
            <w:tabs>
              <w:tab w:val="right" w:pos="8838"/>
            </w:tabs>
            <w:ind w:left="-108" w:right="-105"/>
            <w:jc w:val="left"/>
            <w:rPr>
              <w:b/>
            </w:rPr>
          </w:pPr>
        </w:p>
        <w:p w14:paraId="1DB5C8D0" w14:textId="7E98B3D2" w:rsidR="00462F64" w:rsidRDefault="00462F64" w:rsidP="008C266D">
          <w:pPr>
            <w:tabs>
              <w:tab w:val="right" w:pos="8838"/>
            </w:tabs>
            <w:ind w:left="-108" w:right="-105"/>
            <w:jc w:val="left"/>
            <w:rPr>
              <w:b/>
            </w:rPr>
          </w:pPr>
          <w:r>
            <w:rPr>
              <w:b/>
            </w:rPr>
            <w:t>Recurso de Revisión:</w:t>
          </w:r>
        </w:p>
      </w:tc>
      <w:tc>
        <w:tcPr>
          <w:tcW w:w="3828" w:type="dxa"/>
        </w:tcPr>
        <w:p w14:paraId="5BCC69C4" w14:textId="77777777" w:rsidR="00462F64" w:rsidRPr="00EF0C39" w:rsidRDefault="00462F64" w:rsidP="008C266D">
          <w:pPr>
            <w:tabs>
              <w:tab w:val="right" w:pos="8838"/>
            </w:tabs>
            <w:ind w:right="57"/>
          </w:pPr>
        </w:p>
        <w:p w14:paraId="61E59D71" w14:textId="3CDEB7F6" w:rsidR="00462F64" w:rsidRPr="00EF0C39" w:rsidRDefault="00F935DC" w:rsidP="008C266D">
          <w:pPr>
            <w:tabs>
              <w:tab w:val="right" w:pos="8838"/>
            </w:tabs>
            <w:ind w:right="57"/>
          </w:pPr>
          <w:r>
            <w:t>133</w:t>
          </w:r>
          <w:r w:rsidR="00227EC0">
            <w:t>4</w:t>
          </w:r>
          <w:r>
            <w:t>6</w:t>
          </w:r>
          <w:r w:rsidR="00462F64">
            <w:t>/INFOEM/IP/RR/2025</w:t>
          </w:r>
        </w:p>
      </w:tc>
    </w:tr>
    <w:tr w:rsidR="00462F64" w:rsidRPr="00D56DE6" w14:paraId="7A281F30" w14:textId="77777777" w:rsidTr="00227EC0">
      <w:trPr>
        <w:trHeight w:val="273"/>
      </w:trPr>
      <w:tc>
        <w:tcPr>
          <w:tcW w:w="2268" w:type="dxa"/>
        </w:tcPr>
        <w:p w14:paraId="6671A308" w14:textId="77777777" w:rsidR="00462F64" w:rsidRDefault="00462F64" w:rsidP="008C266D">
          <w:pPr>
            <w:tabs>
              <w:tab w:val="right" w:pos="8838"/>
            </w:tabs>
            <w:ind w:left="-108" w:right="-105"/>
            <w:rPr>
              <w:b/>
            </w:rPr>
          </w:pPr>
          <w:r>
            <w:rPr>
              <w:b/>
            </w:rPr>
            <w:t>Sujeto Obligado:</w:t>
          </w:r>
        </w:p>
      </w:tc>
      <w:tc>
        <w:tcPr>
          <w:tcW w:w="3828" w:type="dxa"/>
        </w:tcPr>
        <w:p w14:paraId="30885B6D" w14:textId="49DE36B1" w:rsidR="00462F64" w:rsidRPr="00D56DE6" w:rsidRDefault="00227EC0" w:rsidP="00227EC0">
          <w:pPr>
            <w:tabs>
              <w:tab w:val="right" w:pos="8838"/>
            </w:tabs>
            <w:ind w:right="31"/>
          </w:pPr>
          <w:r w:rsidRPr="00D56DE6">
            <w:t>Ayuntamiento de Tenango del Valle</w:t>
          </w:r>
        </w:p>
      </w:tc>
    </w:tr>
    <w:tr w:rsidR="00462F64" w14:paraId="00C22F2F" w14:textId="77777777" w:rsidTr="00227EC0">
      <w:trPr>
        <w:trHeight w:val="273"/>
      </w:trPr>
      <w:tc>
        <w:tcPr>
          <w:tcW w:w="2268" w:type="dxa"/>
        </w:tcPr>
        <w:p w14:paraId="70417649" w14:textId="77777777" w:rsidR="00462F64" w:rsidRDefault="00462F64" w:rsidP="008C266D">
          <w:pPr>
            <w:tabs>
              <w:tab w:val="right" w:pos="8838"/>
            </w:tabs>
            <w:ind w:left="-108" w:right="-105"/>
            <w:rPr>
              <w:b/>
            </w:rPr>
          </w:pPr>
          <w:r>
            <w:rPr>
              <w:b/>
            </w:rPr>
            <w:t>Comisionado Ponente:</w:t>
          </w:r>
        </w:p>
      </w:tc>
      <w:tc>
        <w:tcPr>
          <w:tcW w:w="3828" w:type="dxa"/>
        </w:tcPr>
        <w:p w14:paraId="5E6EB38B" w14:textId="77777777" w:rsidR="00462F64" w:rsidRPr="00EF0C39" w:rsidRDefault="00462F64" w:rsidP="008C266D">
          <w:pPr>
            <w:tabs>
              <w:tab w:val="right" w:pos="8838"/>
            </w:tabs>
            <w:ind w:right="-170"/>
          </w:pPr>
          <w:r w:rsidRPr="00EF0C39">
            <w:t>Luis Gustavo Parra Noriega</w:t>
          </w:r>
        </w:p>
        <w:p w14:paraId="1A63C67B" w14:textId="77777777" w:rsidR="00462F64" w:rsidRPr="00EF0C39" w:rsidRDefault="00462F64" w:rsidP="008C266D">
          <w:pPr>
            <w:tabs>
              <w:tab w:val="right" w:pos="8838"/>
            </w:tabs>
            <w:ind w:right="-170"/>
            <w:rPr>
              <w:b/>
            </w:rPr>
          </w:pPr>
        </w:p>
      </w:tc>
    </w:tr>
  </w:tbl>
  <w:p w14:paraId="3498D107" w14:textId="7E17876C"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6B3232BD" w14:textId="77777777" w:rsidTr="005E30CE">
      <w:trPr>
        <w:trHeight w:val="132"/>
      </w:trPr>
      <w:tc>
        <w:tcPr>
          <w:tcW w:w="2551" w:type="dxa"/>
        </w:tcPr>
        <w:p w14:paraId="38F16E2F" w14:textId="77777777" w:rsidR="00462F64" w:rsidRDefault="00462F64">
          <w:pPr>
            <w:tabs>
              <w:tab w:val="right" w:pos="8838"/>
            </w:tabs>
            <w:ind w:right="-105"/>
            <w:rPr>
              <w:b/>
            </w:rPr>
          </w:pPr>
          <w:r>
            <w:rPr>
              <w:b/>
            </w:rPr>
            <w:t>Recurso de Revisión:</w:t>
          </w:r>
        </w:p>
      </w:tc>
      <w:tc>
        <w:tcPr>
          <w:tcW w:w="4253" w:type="dxa"/>
        </w:tcPr>
        <w:p w14:paraId="211CDC0A" w14:textId="7E981039" w:rsidR="00462F64" w:rsidRPr="00026C6B" w:rsidRDefault="00F935DC" w:rsidP="00026C6B">
          <w:r>
            <w:t>133</w:t>
          </w:r>
          <w:r w:rsidR="00227EC0">
            <w:t>4</w:t>
          </w:r>
          <w:r>
            <w:t>6</w:t>
          </w:r>
          <w:r w:rsidR="00462F64">
            <w:t>/INFOEM/IP/RR/2025</w:t>
          </w:r>
        </w:p>
      </w:tc>
    </w:tr>
    <w:tr w:rsidR="00462F64" w14:paraId="6AA3CC58" w14:textId="77777777" w:rsidTr="005E30CE">
      <w:trPr>
        <w:trHeight w:val="132"/>
      </w:trPr>
      <w:tc>
        <w:tcPr>
          <w:tcW w:w="2551" w:type="dxa"/>
        </w:tcPr>
        <w:p w14:paraId="7FD164F5" w14:textId="77777777" w:rsidR="00462F64" w:rsidRDefault="00462F64">
          <w:pPr>
            <w:tabs>
              <w:tab w:val="left" w:pos="1875"/>
            </w:tabs>
            <w:ind w:right="-105"/>
            <w:rPr>
              <w:b/>
            </w:rPr>
          </w:pPr>
          <w:r>
            <w:rPr>
              <w:b/>
            </w:rPr>
            <w:t>Recurrente:</w:t>
          </w:r>
          <w:r>
            <w:rPr>
              <w:b/>
            </w:rPr>
            <w:tab/>
          </w:r>
        </w:p>
      </w:tc>
      <w:tc>
        <w:tcPr>
          <w:tcW w:w="4253" w:type="dxa"/>
        </w:tcPr>
        <w:p w14:paraId="1F1B0537" w14:textId="42D2B7B2" w:rsidR="00462F64" w:rsidRPr="00EF0C39" w:rsidRDefault="00D90824" w:rsidP="006D7FDA">
          <w:pPr>
            <w:tabs>
              <w:tab w:val="right" w:pos="8838"/>
            </w:tabs>
            <w:ind w:right="-250"/>
          </w:pPr>
          <w:r w:rsidRPr="00D90824">
            <w:rPr>
              <w:highlight w:val="black"/>
            </w:rPr>
            <w:t>XXXXXXXXXXXXXXXXXXXXXXXX</w:t>
          </w:r>
        </w:p>
      </w:tc>
    </w:tr>
    <w:tr w:rsidR="00462F64" w14:paraId="5113CAA6" w14:textId="77777777" w:rsidTr="005E30CE">
      <w:trPr>
        <w:trHeight w:val="261"/>
      </w:trPr>
      <w:tc>
        <w:tcPr>
          <w:tcW w:w="2551" w:type="dxa"/>
        </w:tcPr>
        <w:p w14:paraId="28E3431B" w14:textId="30EC7C18" w:rsidR="00462F64" w:rsidRDefault="00462F64">
          <w:pPr>
            <w:tabs>
              <w:tab w:val="right" w:pos="8838"/>
            </w:tabs>
            <w:ind w:right="-105"/>
            <w:rPr>
              <w:b/>
            </w:rPr>
          </w:pPr>
          <w:r>
            <w:rPr>
              <w:b/>
            </w:rPr>
            <w:t>Sujeto Obligado:</w:t>
          </w:r>
        </w:p>
      </w:tc>
      <w:tc>
        <w:tcPr>
          <w:tcW w:w="4253" w:type="dxa"/>
        </w:tcPr>
        <w:p w14:paraId="3192354E" w14:textId="26920CCA" w:rsidR="00462F64" w:rsidRPr="00026C6B" w:rsidRDefault="00227EC0" w:rsidP="00FD7497">
          <w:pPr>
            <w:ind w:right="459"/>
          </w:pPr>
          <w:r>
            <w:t>Ayuntamiento de Tenango del Valle</w:t>
          </w:r>
        </w:p>
      </w:tc>
    </w:tr>
    <w:tr w:rsidR="00462F64" w14:paraId="5D4C2A35" w14:textId="77777777" w:rsidTr="005E30CE">
      <w:trPr>
        <w:trHeight w:val="261"/>
      </w:trPr>
      <w:tc>
        <w:tcPr>
          <w:tcW w:w="2551" w:type="dxa"/>
        </w:tcPr>
        <w:p w14:paraId="7F522FEC" w14:textId="77777777" w:rsidR="00462F64" w:rsidRDefault="00462F64">
          <w:pPr>
            <w:tabs>
              <w:tab w:val="right" w:pos="8838"/>
            </w:tabs>
            <w:ind w:right="-105"/>
            <w:rPr>
              <w:b/>
            </w:rPr>
          </w:pPr>
          <w:r>
            <w:rPr>
              <w:b/>
            </w:rPr>
            <w:t>Comisionado Ponente:</w:t>
          </w:r>
        </w:p>
      </w:tc>
      <w:tc>
        <w:tcPr>
          <w:tcW w:w="4253" w:type="dxa"/>
        </w:tcPr>
        <w:p w14:paraId="0F0566F9" w14:textId="77777777" w:rsidR="00462F64" w:rsidRPr="00EF0C39" w:rsidRDefault="00462F64" w:rsidP="00C46A25">
          <w:pPr>
            <w:tabs>
              <w:tab w:val="right" w:pos="8838"/>
            </w:tabs>
            <w:ind w:right="-32"/>
            <w:rPr>
              <w:b/>
            </w:rPr>
          </w:pPr>
          <w:r w:rsidRPr="00EF0C39">
            <w:t>Luis Gustavo Parra Noriega</w:t>
          </w:r>
        </w:p>
      </w:tc>
    </w:tr>
  </w:tbl>
  <w:p w14:paraId="4DFC2598" w14:textId="77777777" w:rsidR="00462F6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81440"/>
    <w:multiLevelType w:val="hybridMultilevel"/>
    <w:tmpl w:val="17A6A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9815848">
    <w:abstractNumId w:val="29"/>
  </w:num>
  <w:num w:numId="2" w16cid:durableId="626007286">
    <w:abstractNumId w:val="26"/>
  </w:num>
  <w:num w:numId="3" w16cid:durableId="1223323101">
    <w:abstractNumId w:val="6"/>
  </w:num>
  <w:num w:numId="4" w16cid:durableId="59377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019897">
    <w:abstractNumId w:val="16"/>
  </w:num>
  <w:num w:numId="6" w16cid:durableId="923801133">
    <w:abstractNumId w:val="4"/>
  </w:num>
  <w:num w:numId="7" w16cid:durableId="1874689488">
    <w:abstractNumId w:val="11"/>
  </w:num>
  <w:num w:numId="8" w16cid:durableId="1194686660">
    <w:abstractNumId w:val="24"/>
  </w:num>
  <w:num w:numId="9" w16cid:durableId="1249846365">
    <w:abstractNumId w:val="8"/>
  </w:num>
  <w:num w:numId="10" w16cid:durableId="1246261908">
    <w:abstractNumId w:val="20"/>
  </w:num>
  <w:num w:numId="11" w16cid:durableId="1270159202">
    <w:abstractNumId w:val="15"/>
  </w:num>
  <w:num w:numId="12" w16cid:durableId="868681932">
    <w:abstractNumId w:val="30"/>
  </w:num>
  <w:num w:numId="13" w16cid:durableId="309754547">
    <w:abstractNumId w:val="23"/>
  </w:num>
  <w:num w:numId="14" w16cid:durableId="1841501422">
    <w:abstractNumId w:val="7"/>
  </w:num>
  <w:num w:numId="15" w16cid:durableId="1734430684">
    <w:abstractNumId w:val="21"/>
  </w:num>
  <w:num w:numId="16" w16cid:durableId="786123730">
    <w:abstractNumId w:val="28"/>
  </w:num>
  <w:num w:numId="17" w16cid:durableId="147013795">
    <w:abstractNumId w:val="3"/>
  </w:num>
  <w:num w:numId="18" w16cid:durableId="1426464808">
    <w:abstractNumId w:val="1"/>
  </w:num>
  <w:num w:numId="19" w16cid:durableId="1159542286">
    <w:abstractNumId w:val="9"/>
  </w:num>
  <w:num w:numId="20" w16cid:durableId="1736119572">
    <w:abstractNumId w:val="22"/>
  </w:num>
  <w:num w:numId="21" w16cid:durableId="380399641">
    <w:abstractNumId w:val="27"/>
  </w:num>
  <w:num w:numId="22" w16cid:durableId="1239901157">
    <w:abstractNumId w:val="25"/>
  </w:num>
  <w:num w:numId="23" w16cid:durableId="539099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138863">
    <w:abstractNumId w:val="19"/>
  </w:num>
  <w:num w:numId="25" w16cid:durableId="895164896">
    <w:abstractNumId w:val="18"/>
  </w:num>
  <w:num w:numId="26" w16cid:durableId="1761566170">
    <w:abstractNumId w:val="12"/>
  </w:num>
  <w:num w:numId="27" w16cid:durableId="4213255">
    <w:abstractNumId w:val="14"/>
  </w:num>
  <w:num w:numId="28" w16cid:durableId="141852670">
    <w:abstractNumId w:val="0"/>
  </w:num>
  <w:num w:numId="29" w16cid:durableId="1257597542">
    <w:abstractNumId w:val="17"/>
  </w:num>
  <w:num w:numId="30" w16cid:durableId="1845823630">
    <w:abstractNumId w:val="13"/>
  </w:num>
  <w:num w:numId="31" w16cid:durableId="43975968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4D3"/>
    <w:rsid w:val="00023649"/>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76470"/>
    <w:rsid w:val="001805A9"/>
    <w:rsid w:val="00181D59"/>
    <w:rsid w:val="00184025"/>
    <w:rsid w:val="00184ED6"/>
    <w:rsid w:val="00185925"/>
    <w:rsid w:val="00192C48"/>
    <w:rsid w:val="00193CE3"/>
    <w:rsid w:val="00195EC3"/>
    <w:rsid w:val="00196075"/>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27EC0"/>
    <w:rsid w:val="002307F0"/>
    <w:rsid w:val="00230985"/>
    <w:rsid w:val="00230B8F"/>
    <w:rsid w:val="00234BAD"/>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55B"/>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329C"/>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833"/>
    <w:rsid w:val="003F2BF4"/>
    <w:rsid w:val="003F2C8E"/>
    <w:rsid w:val="003F4C6D"/>
    <w:rsid w:val="003F5F91"/>
    <w:rsid w:val="003F6C55"/>
    <w:rsid w:val="004034A4"/>
    <w:rsid w:val="0040398B"/>
    <w:rsid w:val="00404B15"/>
    <w:rsid w:val="004068E7"/>
    <w:rsid w:val="00407661"/>
    <w:rsid w:val="004076BD"/>
    <w:rsid w:val="0041096D"/>
    <w:rsid w:val="004111B6"/>
    <w:rsid w:val="00412689"/>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6FD5"/>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48FA"/>
    <w:rsid w:val="00585C29"/>
    <w:rsid w:val="005867A9"/>
    <w:rsid w:val="0058767A"/>
    <w:rsid w:val="00590FB7"/>
    <w:rsid w:val="005914EE"/>
    <w:rsid w:val="00595FCC"/>
    <w:rsid w:val="005A0A77"/>
    <w:rsid w:val="005A2704"/>
    <w:rsid w:val="005A3083"/>
    <w:rsid w:val="005A348B"/>
    <w:rsid w:val="005A381E"/>
    <w:rsid w:val="005A39F4"/>
    <w:rsid w:val="005A79D9"/>
    <w:rsid w:val="005A7C36"/>
    <w:rsid w:val="005B0203"/>
    <w:rsid w:val="005B142C"/>
    <w:rsid w:val="005B21C9"/>
    <w:rsid w:val="005B6BFA"/>
    <w:rsid w:val="005B753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4204"/>
    <w:rsid w:val="006059DA"/>
    <w:rsid w:val="00606B1A"/>
    <w:rsid w:val="00611A0B"/>
    <w:rsid w:val="0061303E"/>
    <w:rsid w:val="00614700"/>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33E"/>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11A"/>
    <w:rsid w:val="0097583D"/>
    <w:rsid w:val="00977989"/>
    <w:rsid w:val="00980877"/>
    <w:rsid w:val="00980C12"/>
    <w:rsid w:val="009816FF"/>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B6D65"/>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260E"/>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0DD2"/>
    <w:rsid w:val="00D1305D"/>
    <w:rsid w:val="00D1318A"/>
    <w:rsid w:val="00D13CEA"/>
    <w:rsid w:val="00D13F20"/>
    <w:rsid w:val="00D144B1"/>
    <w:rsid w:val="00D15014"/>
    <w:rsid w:val="00D15AA1"/>
    <w:rsid w:val="00D164BC"/>
    <w:rsid w:val="00D203E4"/>
    <w:rsid w:val="00D23481"/>
    <w:rsid w:val="00D25C63"/>
    <w:rsid w:val="00D265BA"/>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6DE6"/>
    <w:rsid w:val="00D579E6"/>
    <w:rsid w:val="00D61CB8"/>
    <w:rsid w:val="00D61FF9"/>
    <w:rsid w:val="00D62480"/>
    <w:rsid w:val="00D629E3"/>
    <w:rsid w:val="00D6328C"/>
    <w:rsid w:val="00D64273"/>
    <w:rsid w:val="00D64C4F"/>
    <w:rsid w:val="00D66DDB"/>
    <w:rsid w:val="00D70766"/>
    <w:rsid w:val="00D708AE"/>
    <w:rsid w:val="00D70CB6"/>
    <w:rsid w:val="00D72175"/>
    <w:rsid w:val="00D7252C"/>
    <w:rsid w:val="00D72D09"/>
    <w:rsid w:val="00D74D06"/>
    <w:rsid w:val="00D768A4"/>
    <w:rsid w:val="00D7768F"/>
    <w:rsid w:val="00D82691"/>
    <w:rsid w:val="00D837B0"/>
    <w:rsid w:val="00D839F9"/>
    <w:rsid w:val="00D83FBA"/>
    <w:rsid w:val="00D86931"/>
    <w:rsid w:val="00D906B2"/>
    <w:rsid w:val="00D90824"/>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3271"/>
    <w:rsid w:val="00E24F0F"/>
    <w:rsid w:val="00E2568A"/>
    <w:rsid w:val="00E25D40"/>
    <w:rsid w:val="00E275EC"/>
    <w:rsid w:val="00E319EF"/>
    <w:rsid w:val="00E31CB8"/>
    <w:rsid w:val="00E332FF"/>
    <w:rsid w:val="00E354BF"/>
    <w:rsid w:val="00E3591B"/>
    <w:rsid w:val="00E35B2A"/>
    <w:rsid w:val="00E361ED"/>
    <w:rsid w:val="00E368CF"/>
    <w:rsid w:val="00E36F8E"/>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55F5"/>
    <w:rsid w:val="00F97ADD"/>
    <w:rsid w:val="00FA03D1"/>
    <w:rsid w:val="00FA0E73"/>
    <w:rsid w:val="00FA157D"/>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1280611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191AAB2-505E-4ED7-B73D-794F136CC2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4328</Words>
  <Characters>23809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inf03m_31@outlook.com</cp:lastModifiedBy>
  <cp:revision>4</cp:revision>
  <cp:lastPrinted>2026-01-16T16:23:00Z</cp:lastPrinted>
  <dcterms:created xsi:type="dcterms:W3CDTF">2026-01-16T16:22:00Z</dcterms:created>
  <dcterms:modified xsi:type="dcterms:W3CDTF">2026-02-13T20:29:00Z</dcterms:modified>
</cp:coreProperties>
</file>