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F44" w:rsidRPr="00D869E9" w:rsidRDefault="00F74F44" w:rsidP="00F74F44">
      <w:pPr>
        <w:spacing w:before="240" w:after="240" w:line="360" w:lineRule="auto"/>
        <w:jc w:val="both"/>
        <w:rPr>
          <w:rFonts w:ascii="Palatino Linotype" w:eastAsia="Palatino Linotype" w:hAnsi="Palatino Linotype" w:cs="Palatino Linotype"/>
          <w:sz w:val="24"/>
          <w:szCs w:val="24"/>
        </w:rPr>
      </w:pPr>
      <w:bookmarkStart w:id="0" w:name="_GoBack"/>
      <w:bookmarkEnd w:id="0"/>
      <w:r w:rsidRPr="00D869E9">
        <w:rPr>
          <w:rFonts w:ascii="Palatino Linotype" w:eastAsia="Palatino Linotype" w:hAnsi="Palatino Linotype" w:cs="Palatino Linotype"/>
          <w:sz w:val="24"/>
          <w:szCs w:val="24"/>
        </w:rPr>
        <w:t>Resolución del Pleno del Instituto de Transparencia, Acceso a la</w:t>
      </w:r>
      <w:r w:rsidR="00E65275" w:rsidRPr="00D869E9">
        <w:rPr>
          <w:rFonts w:ascii="Palatino Linotype" w:eastAsia="Palatino Linotype" w:hAnsi="Palatino Linotype" w:cs="Palatino Linotype"/>
          <w:sz w:val="24"/>
          <w:szCs w:val="24"/>
        </w:rPr>
        <w:t xml:space="preserve"> </w:t>
      </w:r>
      <w:r w:rsidRPr="00D869E9">
        <w:rPr>
          <w:rFonts w:ascii="Palatino Linotype" w:eastAsia="Palatino Linotype" w:hAnsi="Palatino Linotype" w:cs="Palatino Linotype"/>
          <w:sz w:val="24"/>
          <w:szCs w:val="24"/>
        </w:rPr>
        <w:t xml:space="preserve"> Información Pública y Protección de Datos Personales del Estado de México y Municipios, con domicilio e</w:t>
      </w:r>
      <w:r w:rsidR="00D869E9" w:rsidRPr="00D869E9">
        <w:rPr>
          <w:rFonts w:ascii="Palatino Linotype" w:eastAsia="Palatino Linotype" w:hAnsi="Palatino Linotype" w:cs="Palatino Linotype"/>
          <w:sz w:val="24"/>
          <w:szCs w:val="24"/>
        </w:rPr>
        <w:t>n Metepec, Estado de México; de fecha</w:t>
      </w:r>
      <w:r w:rsidRPr="00D869E9">
        <w:rPr>
          <w:rFonts w:ascii="Palatino Linotype" w:eastAsia="Palatino Linotype" w:hAnsi="Palatino Linotype" w:cs="Palatino Linotype"/>
          <w:sz w:val="24"/>
          <w:szCs w:val="24"/>
        </w:rPr>
        <w:t xml:space="preserve"> </w:t>
      </w:r>
      <w:r w:rsidR="00D05242" w:rsidRPr="00D869E9">
        <w:rPr>
          <w:rFonts w:ascii="Palatino Linotype" w:eastAsia="Palatino Linotype" w:hAnsi="Palatino Linotype" w:cs="Palatino Linotype"/>
          <w:sz w:val="24"/>
          <w:szCs w:val="24"/>
        </w:rPr>
        <w:t>veintiocho</w:t>
      </w:r>
      <w:r w:rsidR="00E65275" w:rsidRPr="00D869E9">
        <w:rPr>
          <w:rFonts w:ascii="Palatino Linotype" w:eastAsia="Palatino Linotype" w:hAnsi="Palatino Linotype" w:cs="Palatino Linotype"/>
          <w:sz w:val="24"/>
          <w:szCs w:val="24"/>
        </w:rPr>
        <w:t xml:space="preserve"> </w:t>
      </w:r>
      <w:r w:rsidR="00D869E9" w:rsidRPr="00D869E9">
        <w:rPr>
          <w:rFonts w:ascii="Palatino Linotype" w:eastAsia="Palatino Linotype" w:hAnsi="Palatino Linotype" w:cs="Palatino Linotype"/>
          <w:sz w:val="24"/>
          <w:szCs w:val="24"/>
        </w:rPr>
        <w:t xml:space="preserve">(28) </w:t>
      </w:r>
      <w:r w:rsidR="00E65275" w:rsidRPr="00D869E9">
        <w:rPr>
          <w:rFonts w:ascii="Palatino Linotype" w:eastAsia="Palatino Linotype" w:hAnsi="Palatino Linotype" w:cs="Palatino Linotype"/>
          <w:sz w:val="24"/>
          <w:szCs w:val="24"/>
        </w:rPr>
        <w:t>de abril</w:t>
      </w:r>
      <w:r w:rsidRPr="00D869E9">
        <w:rPr>
          <w:rFonts w:ascii="Palatino Linotype" w:eastAsia="Palatino Linotype" w:hAnsi="Palatino Linotype" w:cs="Palatino Linotype"/>
          <w:sz w:val="24"/>
          <w:szCs w:val="24"/>
        </w:rPr>
        <w:t xml:space="preserve"> de dos mil veintiséis.  </w:t>
      </w:r>
    </w:p>
    <w:p w:rsidR="00F74F44" w:rsidRDefault="00F74F44" w:rsidP="00F74F44">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b/>
          <w:color w:val="000000"/>
          <w:sz w:val="24"/>
          <w:szCs w:val="24"/>
        </w:rPr>
        <w:t>VISTO el</w:t>
      </w:r>
      <w:r w:rsidRPr="00D869E9">
        <w:rPr>
          <w:rFonts w:ascii="Palatino Linotype" w:eastAsia="Palatino Linotype" w:hAnsi="Palatino Linotype" w:cs="Palatino Linotype"/>
          <w:color w:val="000000"/>
          <w:sz w:val="24"/>
          <w:szCs w:val="24"/>
        </w:rPr>
        <w:t xml:space="preserve"> expediente electrónico formado con motivo del recurso de revisión </w:t>
      </w:r>
      <w:r w:rsidR="00E65275" w:rsidRPr="00D869E9">
        <w:rPr>
          <w:rFonts w:ascii="Palatino Linotype" w:eastAsia="Palatino Linotype" w:hAnsi="Palatino Linotype" w:cs="Palatino Linotype"/>
          <w:b/>
          <w:color w:val="000000"/>
          <w:sz w:val="24"/>
          <w:szCs w:val="24"/>
        </w:rPr>
        <w:t>1938/INFOEM/IP/RR/2026</w:t>
      </w:r>
      <w:r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color w:val="000000"/>
          <w:sz w:val="24"/>
          <w:szCs w:val="24"/>
        </w:rPr>
        <w:t>promovido</w:t>
      </w:r>
      <w:r w:rsidR="00E65275" w:rsidRPr="00D869E9">
        <w:rPr>
          <w:rFonts w:ascii="Palatino Linotype" w:eastAsia="Palatino Linotype" w:hAnsi="Palatino Linotype" w:cs="Palatino Linotype"/>
          <w:color w:val="000000"/>
          <w:sz w:val="24"/>
          <w:szCs w:val="24"/>
        </w:rPr>
        <w:t xml:space="preserve"> por</w:t>
      </w:r>
      <w:r w:rsidRPr="00D869E9">
        <w:rPr>
          <w:rFonts w:ascii="Palatino Linotype" w:eastAsia="Palatino Linotype" w:hAnsi="Palatino Linotype" w:cs="Palatino Linotype"/>
          <w:color w:val="000000"/>
          <w:sz w:val="24"/>
          <w:szCs w:val="24"/>
        </w:rPr>
        <w:t xml:space="preserve"> </w:t>
      </w:r>
      <w:r w:rsidR="003E6A53">
        <w:rPr>
          <w:rFonts w:ascii="Palatino Linotype" w:eastAsia="Palatino Linotype" w:hAnsi="Palatino Linotype" w:cs="Palatino Linotype"/>
          <w:b/>
          <w:bCs/>
          <w:color w:val="000000"/>
          <w:sz w:val="24"/>
          <w:szCs w:val="24"/>
        </w:rPr>
        <w:t>XXXX</w:t>
      </w:r>
      <w:r w:rsidRPr="00D869E9">
        <w:rPr>
          <w:rFonts w:ascii="Palatino Linotype" w:eastAsia="Palatino Linotype" w:hAnsi="Palatino Linotype" w:cs="Palatino Linotype"/>
          <w:color w:val="000000"/>
          <w:sz w:val="24"/>
          <w:szCs w:val="24"/>
        </w:rPr>
        <w:t xml:space="preserve">, en su calidad de </w:t>
      </w:r>
      <w:r w:rsidRPr="00D869E9">
        <w:rPr>
          <w:rFonts w:ascii="Palatino Linotype" w:eastAsia="Palatino Linotype" w:hAnsi="Palatino Linotype" w:cs="Palatino Linotype"/>
          <w:b/>
          <w:color w:val="000000"/>
          <w:sz w:val="24"/>
          <w:szCs w:val="24"/>
        </w:rPr>
        <w:t>RECURRENTE</w:t>
      </w:r>
      <w:r w:rsidRPr="00D869E9">
        <w:rPr>
          <w:rFonts w:ascii="Palatino Linotype" w:eastAsia="Palatino Linotype" w:hAnsi="Palatino Linotype" w:cs="Palatino Linotype"/>
          <w:color w:val="000000"/>
          <w:sz w:val="24"/>
          <w:szCs w:val="24"/>
        </w:rPr>
        <w:t xml:space="preserve">, en contra de la falta de respuesta del </w:t>
      </w:r>
      <w:r w:rsidRPr="00D869E9">
        <w:rPr>
          <w:rFonts w:ascii="Palatino Linotype" w:eastAsia="Palatino Linotype" w:hAnsi="Palatino Linotype" w:cs="Palatino Linotype"/>
          <w:b/>
          <w:color w:val="000000"/>
          <w:sz w:val="24"/>
          <w:szCs w:val="24"/>
        </w:rPr>
        <w:t>Ayuntamient</w:t>
      </w:r>
      <w:r w:rsidR="00E65275" w:rsidRPr="00D869E9">
        <w:rPr>
          <w:rFonts w:ascii="Palatino Linotype" w:eastAsia="Palatino Linotype" w:hAnsi="Palatino Linotype" w:cs="Palatino Linotype"/>
          <w:b/>
          <w:color w:val="000000"/>
          <w:sz w:val="24"/>
          <w:szCs w:val="24"/>
        </w:rPr>
        <w:t>o de Tepotzotlán</w:t>
      </w:r>
      <w:r w:rsidRPr="00D869E9">
        <w:rPr>
          <w:rFonts w:ascii="Palatino Linotype" w:eastAsia="Palatino Linotype" w:hAnsi="Palatino Linotype" w:cs="Palatino Linotype"/>
          <w:color w:val="000000"/>
          <w:sz w:val="24"/>
          <w:szCs w:val="24"/>
        </w:rPr>
        <w:t>,</w:t>
      </w:r>
      <w:r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color w:val="000000"/>
          <w:sz w:val="24"/>
          <w:szCs w:val="24"/>
        </w:rPr>
        <w:t>en lo sucesivo el</w:t>
      </w:r>
      <w:r w:rsidRPr="00D869E9">
        <w:rPr>
          <w:rFonts w:ascii="Palatino Linotype" w:eastAsia="Palatino Linotype" w:hAnsi="Palatino Linotype" w:cs="Palatino Linotype"/>
          <w:b/>
          <w:color w:val="000000"/>
          <w:sz w:val="24"/>
          <w:szCs w:val="24"/>
        </w:rPr>
        <w:t xml:space="preserve"> SUJETO OBLIGADO, </w:t>
      </w:r>
      <w:r w:rsidRPr="00D869E9">
        <w:rPr>
          <w:rFonts w:ascii="Palatino Linotype" w:eastAsia="Palatino Linotype" w:hAnsi="Palatino Linotype" w:cs="Palatino Linotype"/>
          <w:color w:val="000000"/>
          <w:sz w:val="24"/>
          <w:szCs w:val="24"/>
        </w:rPr>
        <w:t>se procede a dictar la presente resolución, con base en los siguientes:</w:t>
      </w:r>
    </w:p>
    <w:p w:rsidR="003E6A53" w:rsidRPr="00D869E9" w:rsidRDefault="003E6A53" w:rsidP="00F74F44">
      <w:pPr>
        <w:pBdr>
          <w:top w:val="nil"/>
          <w:left w:val="nil"/>
          <w:bottom w:val="nil"/>
          <w:right w:val="nil"/>
          <w:between w:val="nil"/>
        </w:pBdr>
        <w:tabs>
          <w:tab w:val="center" w:pos="4419"/>
          <w:tab w:val="right" w:pos="8838"/>
        </w:tabs>
        <w:spacing w:line="360" w:lineRule="auto"/>
        <w:jc w:val="both"/>
        <w:rPr>
          <w:rFonts w:ascii="Palatino Linotype" w:eastAsia="Palatino Linotype" w:hAnsi="Palatino Linotype" w:cs="Palatino Linotype"/>
          <w:b/>
          <w:color w:val="000000"/>
          <w:sz w:val="24"/>
          <w:szCs w:val="24"/>
        </w:rPr>
      </w:pPr>
    </w:p>
    <w:p w:rsidR="00F74F44" w:rsidRPr="00D869E9" w:rsidRDefault="00F74F44" w:rsidP="00F74F44">
      <w:pPr>
        <w:pStyle w:val="Ttulo1"/>
        <w:jc w:val="center"/>
        <w:rPr>
          <w:rFonts w:ascii="Palatino Linotype" w:eastAsia="Palatino Linotype" w:hAnsi="Palatino Linotype" w:cs="Palatino Linotype"/>
          <w:b/>
          <w:color w:val="000000"/>
          <w:sz w:val="24"/>
          <w:szCs w:val="24"/>
        </w:rPr>
      </w:pPr>
      <w:bookmarkStart w:id="1" w:name="_heading=h.gjdgxs" w:colFirst="0" w:colLast="0"/>
      <w:bookmarkEnd w:id="1"/>
      <w:r w:rsidRPr="00D869E9">
        <w:rPr>
          <w:rFonts w:ascii="Palatino Linotype" w:eastAsia="Palatino Linotype" w:hAnsi="Palatino Linotype" w:cs="Palatino Linotype"/>
          <w:b/>
          <w:color w:val="000000"/>
          <w:sz w:val="24"/>
          <w:szCs w:val="24"/>
        </w:rPr>
        <w:t>A</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N</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T</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E</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C</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E</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D</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E</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N</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T</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E</w:t>
      </w:r>
      <w:r w:rsidR="00D869E9"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S</w:t>
      </w:r>
    </w:p>
    <w:p w:rsidR="00F74F44" w:rsidRPr="00D869E9" w:rsidRDefault="00F74F44" w:rsidP="00F74F44">
      <w:pPr>
        <w:rPr>
          <w:rFonts w:ascii="Palatino Linotype" w:eastAsia="Palatino Linotype" w:hAnsi="Palatino Linotype" w:cs="Palatino Linotype"/>
          <w:sz w:val="24"/>
          <w:szCs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 xml:space="preserve">El </w:t>
      </w:r>
      <w:r w:rsidR="00E65275" w:rsidRPr="00D869E9">
        <w:rPr>
          <w:rFonts w:ascii="Palatino Linotype" w:eastAsia="Palatino Linotype" w:hAnsi="Palatino Linotype" w:cs="Palatino Linotype"/>
          <w:b/>
          <w:color w:val="000000"/>
          <w:sz w:val="24"/>
          <w:szCs w:val="24"/>
        </w:rPr>
        <w:t>diecinueve de enero de dos mil veintiséis</w:t>
      </w:r>
      <w:r w:rsidRPr="00D869E9">
        <w:rPr>
          <w:rFonts w:ascii="Palatino Linotype" w:eastAsia="Palatino Linotype" w:hAnsi="Palatino Linotype" w:cs="Palatino Linotype"/>
          <w:b/>
          <w:color w:val="000000"/>
          <w:sz w:val="24"/>
          <w:szCs w:val="24"/>
        </w:rPr>
        <w:t>,</w:t>
      </w:r>
      <w:r w:rsidRPr="00D869E9">
        <w:rPr>
          <w:rFonts w:ascii="Palatino Linotype" w:eastAsia="Palatino Linotype" w:hAnsi="Palatino Linotype" w:cs="Palatino Linotype"/>
          <w:color w:val="000000"/>
          <w:sz w:val="24"/>
          <w:szCs w:val="24"/>
        </w:rPr>
        <w:t xml:space="preserve"> </w:t>
      </w:r>
      <w:r w:rsidRPr="00D869E9">
        <w:rPr>
          <w:rFonts w:ascii="Palatino Linotype" w:eastAsia="Palatino Linotype" w:hAnsi="Palatino Linotype" w:cs="Palatino Linotype"/>
          <w:b/>
          <w:color w:val="000000"/>
          <w:sz w:val="24"/>
          <w:szCs w:val="24"/>
        </w:rPr>
        <w:t xml:space="preserve">EL RECURRENTE </w:t>
      </w:r>
      <w:r w:rsidRPr="00D869E9">
        <w:rPr>
          <w:rFonts w:ascii="Palatino Linotype" w:eastAsia="Palatino Linotype" w:hAnsi="Palatino Linotype" w:cs="Palatino Linotype"/>
          <w:color w:val="000000"/>
          <w:sz w:val="24"/>
          <w:szCs w:val="24"/>
        </w:rPr>
        <w:t>presentó</w:t>
      </w:r>
      <w:r w:rsidRPr="00D869E9">
        <w:rPr>
          <w:rFonts w:ascii="Palatino Linotype" w:eastAsia="Palatino Linotype" w:hAnsi="Palatino Linotype" w:cs="Palatino Linotype"/>
          <w:b/>
          <w:color w:val="000000"/>
          <w:sz w:val="24"/>
          <w:szCs w:val="24"/>
        </w:rPr>
        <w:t>,</w:t>
      </w:r>
      <w:r w:rsidRPr="00D869E9">
        <w:rPr>
          <w:rFonts w:ascii="Palatino Linotype" w:eastAsia="Palatino Linotype" w:hAnsi="Palatino Linotype" w:cs="Palatino Linotype"/>
          <w:color w:val="000000"/>
          <w:sz w:val="24"/>
          <w:szCs w:val="24"/>
        </w:rPr>
        <w:t xml:space="preserve"> ante el </w:t>
      </w:r>
      <w:r w:rsidRPr="00D869E9">
        <w:rPr>
          <w:rFonts w:ascii="Palatino Linotype" w:eastAsia="Palatino Linotype" w:hAnsi="Palatino Linotype" w:cs="Palatino Linotype"/>
          <w:b/>
          <w:color w:val="000000"/>
          <w:sz w:val="24"/>
          <w:szCs w:val="24"/>
        </w:rPr>
        <w:t>SUJETO OBLIGADO</w:t>
      </w:r>
      <w:r w:rsidRPr="00D869E9">
        <w:rPr>
          <w:rFonts w:ascii="Palatino Linotype" w:eastAsia="Palatino Linotype" w:hAnsi="Palatino Linotype" w:cs="Palatino Linotype"/>
          <w:color w:val="000000"/>
          <w:sz w:val="24"/>
          <w:szCs w:val="24"/>
        </w:rPr>
        <w:t xml:space="preserve"> vía Sistema de Acceso a la Información Mexiquense (</w:t>
      </w:r>
      <w:r w:rsidRPr="00D869E9">
        <w:rPr>
          <w:rFonts w:ascii="Palatino Linotype" w:eastAsia="Palatino Linotype" w:hAnsi="Palatino Linotype" w:cs="Palatino Linotype"/>
          <w:b/>
          <w:color w:val="000000"/>
          <w:sz w:val="24"/>
          <w:szCs w:val="24"/>
        </w:rPr>
        <w:t>SAIMEX)</w:t>
      </w:r>
      <w:r w:rsidRPr="00D869E9">
        <w:rPr>
          <w:rFonts w:ascii="Palatino Linotype" w:eastAsia="Palatino Linotype" w:hAnsi="Palatino Linotype" w:cs="Palatino Linotype"/>
          <w:color w:val="000000"/>
          <w:sz w:val="24"/>
          <w:szCs w:val="24"/>
        </w:rPr>
        <w:t xml:space="preserve">, la solicitud de información pública registrada con el número </w:t>
      </w:r>
      <w:r w:rsidR="00E65275" w:rsidRPr="00D869E9">
        <w:rPr>
          <w:rFonts w:ascii="Palatino Linotype" w:eastAsia="Palatino Linotype" w:hAnsi="Palatino Linotype" w:cs="Palatino Linotype"/>
          <w:b/>
          <w:bCs/>
          <w:color w:val="000000"/>
          <w:sz w:val="24"/>
          <w:szCs w:val="24"/>
        </w:rPr>
        <w:t>00250/TEPOTZOT/IP/2026</w:t>
      </w:r>
      <w:r w:rsidRP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color w:val="000000"/>
          <w:sz w:val="24"/>
          <w:szCs w:val="24"/>
        </w:rPr>
        <w:t>mediante la cual solicitó lo siguiente:</w:t>
      </w:r>
    </w:p>
    <w:p w:rsidR="00F74F44" w:rsidRPr="00D869E9" w:rsidRDefault="00F74F44" w:rsidP="00F74F4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74F44" w:rsidRPr="00D869E9" w:rsidRDefault="00F74F44" w:rsidP="00F74F44">
      <w:pPr>
        <w:spacing w:line="276" w:lineRule="auto"/>
        <w:ind w:left="567" w:right="567"/>
        <w:jc w:val="both"/>
        <w:rPr>
          <w:rFonts w:ascii="Palatino Linotype" w:eastAsia="Palatino Linotype" w:hAnsi="Palatino Linotype" w:cs="Palatino Linotype"/>
          <w:i/>
          <w:sz w:val="24"/>
          <w:szCs w:val="24"/>
        </w:rPr>
      </w:pPr>
      <w:r w:rsidRPr="00D869E9">
        <w:rPr>
          <w:rFonts w:ascii="Palatino Linotype" w:eastAsia="Palatino Linotype" w:hAnsi="Palatino Linotype" w:cs="Palatino Linotype"/>
          <w:i/>
          <w:sz w:val="24"/>
          <w:szCs w:val="24"/>
        </w:rPr>
        <w:t>“</w:t>
      </w:r>
      <w:r w:rsidR="00E65275" w:rsidRPr="00D869E9">
        <w:rPr>
          <w:rFonts w:ascii="Palatino Linotype" w:eastAsia="Palatino Linotype" w:hAnsi="Palatino Linotype" w:cs="Palatino Linotype"/>
          <w:i/>
          <w:sz w:val="24"/>
          <w:szCs w:val="24"/>
        </w:rPr>
        <w:t>Solicito al Instituto Municipal de Cultura Física y Deporte de Tepotzotlán (IMCUFIDE) la relación completa de espacios deportivos que administra, opera o supervisa, durante los ejercicios 2023, 2024 y 2025. Para cada espacio solicito: a) Nombre b) Ubicación c) Tipo de espacio deportivo d) Si es propiedad municipal o se encuentra bajo otra figura jurídica e) Dependencia o área propietaria del inmueble En caso de que el Instituto opere espacios que no formen parte del patrimonio municipal, solicito se indique el fundamento jurídico correspondiente.</w:t>
      </w:r>
      <w:r w:rsidRPr="00D869E9">
        <w:rPr>
          <w:rFonts w:ascii="Palatino Linotype" w:eastAsia="Palatino Linotype" w:hAnsi="Palatino Linotype" w:cs="Palatino Linotype"/>
          <w:i/>
          <w:sz w:val="24"/>
          <w:szCs w:val="24"/>
        </w:rPr>
        <w:t>” (Sic)</w:t>
      </w:r>
    </w:p>
    <w:p w:rsidR="00F74F44" w:rsidRPr="00D869E9" w:rsidRDefault="00F74F44" w:rsidP="00F74F44">
      <w:pPr>
        <w:pBdr>
          <w:top w:val="nil"/>
          <w:left w:val="nil"/>
          <w:bottom w:val="nil"/>
          <w:right w:val="nil"/>
          <w:between w:val="nil"/>
        </w:pBdr>
        <w:ind w:right="567"/>
        <w:jc w:val="both"/>
        <w:rPr>
          <w:rFonts w:ascii="Palatino Linotype" w:eastAsia="Palatino Linotype" w:hAnsi="Palatino Linotype" w:cs="Palatino Linotype"/>
          <w:color w:val="000000"/>
          <w:sz w:val="24"/>
          <w:szCs w:val="24"/>
        </w:rPr>
      </w:pPr>
    </w:p>
    <w:p w:rsidR="00F74F44" w:rsidRPr="00D869E9" w:rsidRDefault="00F74F44" w:rsidP="00F74F44">
      <w:pPr>
        <w:ind w:right="567"/>
        <w:jc w:val="both"/>
        <w:rPr>
          <w:rFonts w:ascii="Palatino Linotype" w:eastAsia="Palatino Linotype" w:hAnsi="Palatino Linotype" w:cs="Palatino Linotype"/>
          <w:i/>
          <w:sz w:val="24"/>
          <w:szCs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lastRenderedPageBreak/>
        <w:t>Señaló como modalidad de entrega de la información a través de la Plataforma SAIMEX</w:t>
      </w:r>
      <w:r w:rsidRPr="00D869E9">
        <w:rPr>
          <w:rFonts w:ascii="Palatino Linotype" w:eastAsia="Palatino Linotype" w:hAnsi="Palatino Linotype" w:cs="Palatino Linotype"/>
          <w:b/>
          <w:color w:val="000000"/>
          <w:sz w:val="24"/>
          <w:szCs w:val="24"/>
        </w:rPr>
        <w:t>.</w:t>
      </w:r>
    </w:p>
    <w:p w:rsidR="00F74F44" w:rsidRPr="00D869E9" w:rsidRDefault="00F74F44" w:rsidP="00F74F4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 xml:space="preserve">El Sujeto Obligado no </w:t>
      </w:r>
      <w:r w:rsidR="00177C24" w:rsidRPr="00D869E9">
        <w:rPr>
          <w:rFonts w:ascii="Palatino Linotype" w:eastAsia="Palatino Linotype" w:hAnsi="Palatino Linotype" w:cs="Palatino Linotype"/>
          <w:color w:val="000000"/>
          <w:sz w:val="24"/>
          <w:szCs w:val="24"/>
        </w:rPr>
        <w:t xml:space="preserve">emitió respuesta a la solicitud de información. </w:t>
      </w:r>
    </w:p>
    <w:p w:rsidR="00F74F44" w:rsidRPr="00D869E9" w:rsidRDefault="00F74F44" w:rsidP="00F74F44">
      <w:pPr>
        <w:pBdr>
          <w:top w:val="nil"/>
          <w:left w:val="nil"/>
          <w:bottom w:val="nil"/>
          <w:right w:val="nil"/>
          <w:between w:val="nil"/>
        </w:pBdr>
        <w:ind w:left="720"/>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sz w:val="24"/>
          <w:szCs w:val="24"/>
        </w:rPr>
      </w:pPr>
      <w:bookmarkStart w:id="2" w:name="_heading=h.30j0zll" w:colFirst="0" w:colLast="0"/>
      <w:bookmarkEnd w:id="2"/>
      <w:r w:rsidRPr="00D869E9">
        <w:rPr>
          <w:rFonts w:ascii="Palatino Linotype" w:eastAsia="Palatino Linotype" w:hAnsi="Palatino Linotype" w:cs="Palatino Linotype"/>
          <w:color w:val="000000"/>
          <w:sz w:val="24"/>
          <w:szCs w:val="24"/>
        </w:rPr>
        <w:t xml:space="preserve">El </w:t>
      </w:r>
      <w:r w:rsidR="00177C24" w:rsidRPr="00D869E9">
        <w:rPr>
          <w:rFonts w:ascii="Palatino Linotype" w:eastAsia="Palatino Linotype" w:hAnsi="Palatino Linotype" w:cs="Palatino Linotype"/>
          <w:b/>
          <w:color w:val="000000"/>
          <w:sz w:val="24"/>
          <w:szCs w:val="24"/>
        </w:rPr>
        <w:t>dieciséis de febrero de dos mil veintiséis</w:t>
      </w:r>
      <w:r w:rsidRPr="00D869E9">
        <w:rPr>
          <w:rFonts w:ascii="Palatino Linotype" w:eastAsia="Palatino Linotype" w:hAnsi="Palatino Linotype" w:cs="Palatino Linotype"/>
          <w:color w:val="000000"/>
          <w:sz w:val="24"/>
          <w:szCs w:val="24"/>
        </w:rPr>
        <w:t xml:space="preserve">, </w:t>
      </w:r>
      <w:r w:rsidRPr="00D869E9">
        <w:rPr>
          <w:rFonts w:ascii="Palatino Linotype" w:eastAsia="Palatino Linotype" w:hAnsi="Palatino Linotype" w:cs="Palatino Linotype"/>
          <w:b/>
          <w:color w:val="000000"/>
          <w:sz w:val="24"/>
          <w:szCs w:val="24"/>
        </w:rPr>
        <w:t>EL RECURRENTE</w:t>
      </w:r>
      <w:r w:rsidRPr="00D869E9">
        <w:rPr>
          <w:rFonts w:ascii="Palatino Linotype" w:eastAsia="Palatino Linotype" w:hAnsi="Palatino Linotype" w:cs="Palatino Linotype"/>
          <w:color w:val="000000"/>
          <w:sz w:val="24"/>
          <w:szCs w:val="24"/>
        </w:rPr>
        <w:t xml:space="preserve"> interpuso el recurso de revisión, en contra de la falta de respuesta y, señaló como:</w:t>
      </w:r>
    </w:p>
    <w:p w:rsidR="00F74F44" w:rsidRPr="00D869E9" w:rsidRDefault="00F74F44" w:rsidP="00F74F44">
      <w:pPr>
        <w:pBdr>
          <w:top w:val="nil"/>
          <w:left w:val="nil"/>
          <w:bottom w:val="nil"/>
          <w:right w:val="nil"/>
          <w:between w:val="nil"/>
        </w:pBdr>
        <w:ind w:left="720"/>
        <w:rPr>
          <w:rFonts w:ascii="Palatino Linotype" w:eastAsia="Palatino Linotype" w:hAnsi="Palatino Linotype" w:cs="Palatino Linotype"/>
          <w:i/>
          <w:color w:val="000000"/>
          <w:sz w:val="24"/>
          <w:szCs w:val="24"/>
        </w:rPr>
      </w:pPr>
    </w:p>
    <w:p w:rsidR="00F74F44" w:rsidRPr="00D869E9" w:rsidRDefault="00F74F44" w:rsidP="00F74F44">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sz w:val="24"/>
          <w:szCs w:val="24"/>
        </w:rPr>
      </w:pPr>
      <w:r w:rsidRPr="00D869E9">
        <w:rPr>
          <w:rFonts w:ascii="Palatino Linotype" w:eastAsia="Palatino Linotype" w:hAnsi="Palatino Linotype" w:cs="Palatino Linotype"/>
          <w:b/>
          <w:color w:val="000000"/>
          <w:sz w:val="24"/>
          <w:szCs w:val="24"/>
        </w:rPr>
        <w:t xml:space="preserve">Acto impugnado: </w:t>
      </w:r>
      <w:r w:rsidRPr="00D869E9">
        <w:rPr>
          <w:rFonts w:ascii="Palatino Linotype" w:eastAsia="Palatino Linotype" w:hAnsi="Palatino Linotype" w:cs="Palatino Linotype"/>
          <w:i/>
          <w:color w:val="000000"/>
          <w:sz w:val="24"/>
          <w:szCs w:val="24"/>
        </w:rPr>
        <w:t>“</w:t>
      </w:r>
      <w:r w:rsidR="00177C24" w:rsidRPr="00D869E9">
        <w:rPr>
          <w:rFonts w:ascii="Palatino Linotype" w:eastAsia="Palatino Linotype" w:hAnsi="Palatino Linotype" w:cs="Palatino Linotype"/>
          <w:i/>
          <w:color w:val="000000"/>
          <w:sz w:val="24"/>
          <w:szCs w:val="24"/>
        </w:rPr>
        <w:t>Solicito al Instituto Municipal de Cultura Física y Deporte de Tepotzotlán (IMCUFIDE) la relación completa de espacios deportivos que administra, opera o supervisa, durante los ejercicios 2023, 2024 y 2025. Para cada espacio solicito: a) Nombre b) Ubicación c) Tipo de espacio deportivo d) Si es propiedad municipal o se encuentra bajo otra figura jurídica e) Dependencia o área propietaria del inmueble En caso de que el Instituto opere espacios que no formen parte del patrimonio municipal, solicito se indique el fundamento jurídico correspondiente.</w:t>
      </w:r>
      <w:r w:rsidRPr="00D869E9">
        <w:rPr>
          <w:rFonts w:ascii="Palatino Linotype" w:eastAsia="Palatino Linotype" w:hAnsi="Palatino Linotype" w:cs="Palatino Linotype"/>
          <w:i/>
          <w:color w:val="000000"/>
          <w:sz w:val="24"/>
          <w:szCs w:val="24"/>
        </w:rPr>
        <w:t>” (sic) y;</w:t>
      </w:r>
    </w:p>
    <w:p w:rsidR="00F74F44" w:rsidRPr="00D869E9" w:rsidRDefault="00F74F44" w:rsidP="00F74F44">
      <w:pPr>
        <w:pBdr>
          <w:top w:val="nil"/>
          <w:left w:val="nil"/>
          <w:bottom w:val="nil"/>
          <w:right w:val="nil"/>
          <w:between w:val="nil"/>
        </w:pBdr>
        <w:spacing w:line="360" w:lineRule="auto"/>
        <w:ind w:left="720" w:right="822"/>
        <w:jc w:val="both"/>
        <w:rPr>
          <w:rFonts w:ascii="Palatino Linotype" w:eastAsia="Palatino Linotype" w:hAnsi="Palatino Linotype" w:cs="Palatino Linotype"/>
          <w:i/>
          <w:color w:val="000000"/>
          <w:sz w:val="24"/>
          <w:szCs w:val="24"/>
        </w:rPr>
      </w:pPr>
    </w:p>
    <w:p w:rsidR="00F74F44" w:rsidRPr="00D869E9" w:rsidRDefault="00F74F44" w:rsidP="00F74F44">
      <w:pPr>
        <w:pBdr>
          <w:top w:val="nil"/>
          <w:left w:val="nil"/>
          <w:bottom w:val="nil"/>
          <w:right w:val="nil"/>
          <w:between w:val="nil"/>
        </w:pBdr>
        <w:spacing w:line="360" w:lineRule="auto"/>
        <w:ind w:left="720" w:right="822"/>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b/>
          <w:color w:val="000000"/>
          <w:sz w:val="24"/>
          <w:szCs w:val="24"/>
        </w:rPr>
        <w:t>Razones o Motivos de Inconformidad: “</w:t>
      </w:r>
      <w:r w:rsidR="00177C24" w:rsidRPr="00D869E9">
        <w:rPr>
          <w:rFonts w:ascii="Palatino Linotype" w:eastAsia="Palatino Linotype" w:hAnsi="Palatino Linotype" w:cs="Palatino Linotype"/>
          <w:i/>
          <w:color w:val="000000"/>
          <w:sz w:val="24"/>
          <w:szCs w:val="24"/>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w:t>
      </w:r>
      <w:r w:rsidR="00177C24" w:rsidRPr="00D869E9">
        <w:rPr>
          <w:rFonts w:ascii="Palatino Linotype" w:eastAsia="Palatino Linotype" w:hAnsi="Palatino Linotype" w:cs="Palatino Linotype"/>
          <w:i/>
          <w:color w:val="000000"/>
          <w:sz w:val="24"/>
          <w:szCs w:val="24"/>
        </w:rPr>
        <w:lastRenderedPageBreak/>
        <w:t xml:space="preserve">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w:t>
      </w:r>
      <w:r w:rsidR="00177C24" w:rsidRPr="00D869E9">
        <w:rPr>
          <w:rFonts w:ascii="Palatino Linotype" w:eastAsia="Palatino Linotype" w:hAnsi="Palatino Linotype" w:cs="Palatino Linotype"/>
          <w:i/>
          <w:color w:val="000000"/>
          <w:sz w:val="24"/>
          <w:szCs w:val="24"/>
        </w:rPr>
        <w:lastRenderedPageBreak/>
        <w:t>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aplicando un testado estricto, proporcional y debidamente justificado, acompañado del acta del Comité de Transparencia donde conste la determinación correspondiente.</w:t>
      </w:r>
      <w:r w:rsidRPr="00D869E9">
        <w:rPr>
          <w:rFonts w:ascii="Palatino Linotype" w:eastAsia="Palatino Linotype" w:hAnsi="Palatino Linotype" w:cs="Palatino Linotype"/>
          <w:i/>
          <w:color w:val="000000"/>
          <w:sz w:val="24"/>
          <w:szCs w:val="24"/>
        </w:rPr>
        <w:t>” (sic)</w:t>
      </w:r>
    </w:p>
    <w:p w:rsidR="00F74F44" w:rsidRPr="00D869E9" w:rsidRDefault="00F74F44" w:rsidP="00F74F4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 xml:space="preserve">Se registró el recurso de revisión bajo el número de expediente al rubro indicado, asimismo con fundamento en lo dispuesto por el artículo 185 fracción I de la </w:t>
      </w:r>
      <w:r w:rsidRPr="00D869E9">
        <w:rPr>
          <w:rFonts w:ascii="Palatino Linotype" w:eastAsia="Palatino Linotype" w:hAnsi="Palatino Linotype" w:cs="Palatino Linotype"/>
          <w:b/>
          <w:color w:val="000000"/>
          <w:sz w:val="24"/>
          <w:szCs w:val="24"/>
        </w:rPr>
        <w:t xml:space="preserve">Ley de Transparencia y Acceso a la Información Pública del Estado de México y Municipios </w:t>
      </w:r>
      <w:r w:rsidRPr="00D869E9">
        <w:rPr>
          <w:rFonts w:ascii="Palatino Linotype" w:eastAsia="Palatino Linotype" w:hAnsi="Palatino Linotype" w:cs="Palatino Linotype"/>
          <w:color w:val="000000"/>
          <w:sz w:val="24"/>
          <w:szCs w:val="24"/>
        </w:rPr>
        <w:t xml:space="preserve">se turnó a la </w:t>
      </w:r>
      <w:r w:rsidRPr="00D869E9">
        <w:rPr>
          <w:rFonts w:ascii="Palatino Linotype" w:eastAsia="Palatino Linotype" w:hAnsi="Palatino Linotype" w:cs="Palatino Linotype"/>
          <w:b/>
          <w:color w:val="000000"/>
          <w:sz w:val="24"/>
          <w:szCs w:val="24"/>
        </w:rPr>
        <w:t xml:space="preserve">Comisionada María del Rosario Mejía Ayala, </w:t>
      </w:r>
      <w:r w:rsidRPr="00D869E9">
        <w:rPr>
          <w:rFonts w:ascii="Palatino Linotype" w:eastAsia="Palatino Linotype" w:hAnsi="Palatino Linotype" w:cs="Palatino Linotype"/>
          <w:color w:val="000000"/>
          <w:sz w:val="24"/>
          <w:szCs w:val="24"/>
        </w:rPr>
        <w:t>con el objeto de su análisis.</w:t>
      </w:r>
    </w:p>
    <w:p w:rsidR="00F74F44" w:rsidRPr="00D869E9" w:rsidRDefault="00F74F44" w:rsidP="00F74F4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sz w:val="24"/>
          <w:szCs w:val="24"/>
        </w:rPr>
      </w:pPr>
      <w:r w:rsidRPr="00D869E9">
        <w:rPr>
          <w:rFonts w:ascii="Palatino Linotype" w:eastAsia="Palatino Linotype" w:hAnsi="Palatino Linotype" w:cs="Palatino Linotype"/>
          <w:color w:val="000000"/>
          <w:sz w:val="24"/>
          <w:szCs w:val="24"/>
        </w:rPr>
        <w:t>La Comisionada Ponente con fundamento en lo dispuesto por el artículo 185 fracción II de la ley de la materia, a través del acuerdo de admisión del</w:t>
      </w:r>
      <w:r w:rsidRPr="00D869E9">
        <w:rPr>
          <w:rFonts w:ascii="Palatino Linotype" w:eastAsia="Palatino Linotype" w:hAnsi="Palatino Linotype" w:cs="Palatino Linotype"/>
          <w:b/>
          <w:color w:val="000000"/>
          <w:sz w:val="24"/>
          <w:szCs w:val="24"/>
        </w:rPr>
        <w:t xml:space="preserve"> </w:t>
      </w:r>
      <w:r w:rsidR="00177C24" w:rsidRPr="00D869E9">
        <w:rPr>
          <w:rFonts w:ascii="Palatino Linotype" w:eastAsia="Palatino Linotype" w:hAnsi="Palatino Linotype" w:cs="Palatino Linotype"/>
          <w:b/>
          <w:color w:val="000000"/>
          <w:sz w:val="24"/>
          <w:szCs w:val="24"/>
        </w:rPr>
        <w:t>dieciocho de febrero de dos mil veintiséis</w:t>
      </w:r>
      <w:r w:rsidRPr="00D869E9">
        <w:rPr>
          <w:rFonts w:ascii="Palatino Linotype" w:eastAsia="Palatino Linotype" w:hAnsi="Palatino Linotype" w:cs="Palatino Linotype"/>
          <w:color w:val="000000"/>
          <w:sz w:val="24"/>
          <w:szCs w:val="24"/>
        </w:rPr>
        <w:t xml:space="preserve">, puso a disposición de las partes el expediente electrónico vía </w:t>
      </w:r>
      <w:r w:rsidRPr="00D869E9">
        <w:rPr>
          <w:rFonts w:ascii="Palatino Linotype" w:eastAsia="Palatino Linotype" w:hAnsi="Palatino Linotype" w:cs="Palatino Linotype"/>
          <w:b/>
          <w:color w:val="000000"/>
          <w:sz w:val="24"/>
          <w:szCs w:val="24"/>
        </w:rPr>
        <w:t xml:space="preserve">SAIMEX </w:t>
      </w:r>
      <w:r w:rsidRPr="00D869E9">
        <w:rPr>
          <w:rFonts w:ascii="Palatino Linotype" w:eastAsia="Palatino Linotype" w:hAnsi="Palatino Linotype" w:cs="Palatino Linotype"/>
          <w:color w:val="000000"/>
          <w:sz w:val="24"/>
          <w:szCs w:val="24"/>
        </w:rPr>
        <w:t xml:space="preserve">a efecto de que en un plazo máximo de siete días manifestaran lo que a derecho convinieran, </w:t>
      </w:r>
      <w:r w:rsidRPr="00D869E9">
        <w:rPr>
          <w:rFonts w:ascii="Palatino Linotype" w:eastAsia="Palatino Linotype" w:hAnsi="Palatino Linotype" w:cs="Palatino Linotype"/>
          <w:color w:val="000000"/>
          <w:sz w:val="24"/>
          <w:szCs w:val="24"/>
        </w:rPr>
        <w:lastRenderedPageBreak/>
        <w:t xml:space="preserve">ofrecieran pruebas y alegatos según corresponda al caso concreto, de esta forma para que el </w:t>
      </w:r>
      <w:r w:rsidRPr="00D869E9">
        <w:rPr>
          <w:rFonts w:ascii="Palatino Linotype" w:eastAsia="Palatino Linotype" w:hAnsi="Palatino Linotype" w:cs="Palatino Linotype"/>
          <w:b/>
          <w:color w:val="000000"/>
          <w:sz w:val="24"/>
          <w:szCs w:val="24"/>
        </w:rPr>
        <w:t>SUJETO OBLIGADO</w:t>
      </w:r>
      <w:r w:rsidRPr="00D869E9">
        <w:rPr>
          <w:rFonts w:ascii="Palatino Linotype" w:eastAsia="Palatino Linotype" w:hAnsi="Palatino Linotype" w:cs="Palatino Linotype"/>
          <w:color w:val="000000"/>
          <w:sz w:val="24"/>
          <w:szCs w:val="24"/>
        </w:rPr>
        <w:t xml:space="preserve"> presentara el informe justificado procedente.</w:t>
      </w:r>
    </w:p>
    <w:p w:rsidR="00F74F44" w:rsidRPr="00D869E9" w:rsidRDefault="00F74F44" w:rsidP="00F74F44">
      <w:pPr>
        <w:numPr>
          <w:ilvl w:val="0"/>
          <w:numId w:val="1"/>
        </w:numPr>
        <w:tabs>
          <w:tab w:val="left" w:pos="284"/>
        </w:tabs>
        <w:spacing w:before="240" w:line="360" w:lineRule="auto"/>
        <w:ind w:left="0" w:firstLine="0"/>
        <w:jc w:val="both"/>
        <w:rPr>
          <w:rFonts w:ascii="Palatino Linotype" w:eastAsia="Palatino Linotype" w:hAnsi="Palatino Linotype" w:cs="Palatino Linotype"/>
          <w:b/>
          <w:sz w:val="24"/>
          <w:szCs w:val="24"/>
        </w:rPr>
      </w:pPr>
      <w:r w:rsidRPr="00D869E9">
        <w:rPr>
          <w:rFonts w:ascii="Palatino Linotype" w:eastAsia="Palatino Linotype" w:hAnsi="Palatino Linotype" w:cs="Palatino Linotype"/>
          <w:sz w:val="24"/>
          <w:szCs w:val="24"/>
        </w:rPr>
        <w:t xml:space="preserve">De las constancias que integran el expediente electrónico, se advierte que el Recurrente no realizó manifestaciones; por su parte, el Sujeto Obligado entregó informe justificado el </w:t>
      </w:r>
      <w:r w:rsidR="00177C24" w:rsidRPr="00D869E9">
        <w:rPr>
          <w:rFonts w:ascii="Palatino Linotype" w:eastAsia="Palatino Linotype" w:hAnsi="Palatino Linotype" w:cs="Palatino Linotype"/>
          <w:b/>
          <w:sz w:val="24"/>
          <w:szCs w:val="24"/>
        </w:rPr>
        <w:t>veinticuatro de febrero de dos mil veintiséis</w:t>
      </w:r>
      <w:r w:rsidRPr="00D869E9">
        <w:rPr>
          <w:rFonts w:ascii="Palatino Linotype" w:eastAsia="Palatino Linotype" w:hAnsi="Palatino Linotype" w:cs="Palatino Linotype"/>
          <w:sz w:val="24"/>
          <w:szCs w:val="24"/>
        </w:rPr>
        <w:t xml:space="preserve">, mismo que se puso a la vista del Recurrente el </w:t>
      </w:r>
      <w:r w:rsidR="00177C24" w:rsidRPr="00D869E9">
        <w:rPr>
          <w:rFonts w:ascii="Palatino Linotype" w:eastAsia="Palatino Linotype" w:hAnsi="Palatino Linotype" w:cs="Palatino Linotype"/>
          <w:b/>
          <w:sz w:val="24"/>
          <w:szCs w:val="24"/>
        </w:rPr>
        <w:t>dieciséis de abril</w:t>
      </w:r>
      <w:r w:rsidRPr="00D869E9">
        <w:rPr>
          <w:rFonts w:ascii="Palatino Linotype" w:eastAsia="Palatino Linotype" w:hAnsi="Palatino Linotype" w:cs="Palatino Linotype"/>
          <w:b/>
          <w:sz w:val="24"/>
          <w:szCs w:val="24"/>
        </w:rPr>
        <w:t xml:space="preserve"> de dos mil veintiséis</w:t>
      </w:r>
      <w:r w:rsidRPr="00D869E9">
        <w:rPr>
          <w:rFonts w:ascii="Palatino Linotype" w:eastAsia="Palatino Linotype" w:hAnsi="Palatino Linotype" w:cs="Palatino Linotype"/>
          <w:sz w:val="24"/>
          <w:szCs w:val="24"/>
        </w:rPr>
        <w:t xml:space="preserve">, a través del archivo electrónico denominado </w:t>
      </w:r>
      <w:hyperlink r:id="rId7" w:history="1">
        <w:r w:rsidR="00177C24" w:rsidRPr="00D869E9">
          <w:rPr>
            <w:rStyle w:val="Hipervnculo"/>
            <w:rFonts w:ascii="Palatino Linotype" w:eastAsia="Palatino Linotype" w:hAnsi="Palatino Linotype" w:cs="Palatino Linotype"/>
            <w:b/>
            <w:bCs/>
            <w:sz w:val="24"/>
            <w:szCs w:val="24"/>
          </w:rPr>
          <w:t>HAT-UTAIP-2026-176 incompetencia.pdf</w:t>
        </w:r>
      </w:hyperlink>
      <w:r w:rsidR="00177C24" w:rsidRPr="00D869E9">
        <w:rPr>
          <w:rFonts w:ascii="Palatino Linotype" w:eastAsia="Palatino Linotype" w:hAnsi="Palatino Linotype" w:cs="Palatino Linotype"/>
          <w:b/>
          <w:bCs/>
          <w:color w:val="0563C1" w:themeColor="hyperlink"/>
          <w:sz w:val="24"/>
          <w:szCs w:val="24"/>
          <w:u w:val="single"/>
        </w:rPr>
        <w:t xml:space="preserve"> </w:t>
      </w:r>
      <w:r w:rsidRPr="00D869E9">
        <w:rPr>
          <w:rFonts w:ascii="Palatino Linotype" w:eastAsia="Palatino Linotype" w:hAnsi="Palatino Linotype" w:cs="Palatino Linotype"/>
          <w:sz w:val="24"/>
          <w:szCs w:val="24"/>
        </w:rPr>
        <w:t>, que se describe enseguida:</w:t>
      </w:r>
    </w:p>
    <w:p w:rsidR="00F74F44" w:rsidRPr="00D869E9" w:rsidRDefault="00F74F44" w:rsidP="00F74F44">
      <w:pPr>
        <w:pStyle w:val="Prrafodelista"/>
        <w:numPr>
          <w:ilvl w:val="0"/>
          <w:numId w:val="2"/>
        </w:numPr>
        <w:tabs>
          <w:tab w:val="left" w:pos="284"/>
        </w:tabs>
        <w:spacing w:before="240" w:line="360" w:lineRule="auto"/>
        <w:jc w:val="both"/>
        <w:rPr>
          <w:rFonts w:ascii="Palatino Linotype" w:eastAsia="Palatino Linotype" w:hAnsi="Palatino Linotype" w:cs="Palatino Linotype"/>
          <w:b/>
          <w:sz w:val="24"/>
        </w:rPr>
      </w:pPr>
      <w:r w:rsidRPr="00D869E9">
        <w:rPr>
          <w:rFonts w:ascii="Palatino Linotype" w:eastAsia="Palatino Linotype" w:hAnsi="Palatino Linotype" w:cs="Palatino Linotype"/>
          <w:sz w:val="24"/>
        </w:rPr>
        <w:t>Oficio número</w:t>
      </w:r>
      <w:r w:rsidRPr="00D869E9">
        <w:rPr>
          <w:rFonts w:ascii="Palatino Linotype" w:eastAsia="Palatino Linotype" w:hAnsi="Palatino Linotype" w:cs="Palatino Linotype"/>
          <w:b/>
          <w:sz w:val="24"/>
        </w:rPr>
        <w:t xml:space="preserve"> </w:t>
      </w:r>
      <w:r w:rsidR="00F344D4" w:rsidRPr="00D869E9">
        <w:rPr>
          <w:rFonts w:ascii="Palatino Linotype" w:eastAsia="Palatino Linotype" w:hAnsi="Palatino Linotype" w:cs="Palatino Linotype"/>
          <w:b/>
          <w:sz w:val="24"/>
        </w:rPr>
        <w:t xml:space="preserve">HAT/UTAIP/2026/176 </w:t>
      </w:r>
      <w:r w:rsidR="00F344D4" w:rsidRPr="00D869E9">
        <w:rPr>
          <w:rFonts w:ascii="Palatino Linotype" w:eastAsia="Palatino Linotype" w:hAnsi="Palatino Linotype" w:cs="Palatino Linotype"/>
          <w:sz w:val="24"/>
        </w:rPr>
        <w:t xml:space="preserve">de fecha veintidós de febrero de dos mil veintiséis., suscrito por el Titular de la Unidad de Transparencia y Acceso a la Información pública, quien declaró la incompetencia para conocer de la información. </w:t>
      </w:r>
      <w:r w:rsidR="00F344D4" w:rsidRPr="00D869E9">
        <w:rPr>
          <w:rFonts w:ascii="Palatino Linotype" w:eastAsia="Palatino Linotype" w:hAnsi="Palatino Linotype" w:cs="Palatino Linotype"/>
          <w:b/>
          <w:sz w:val="24"/>
        </w:rPr>
        <w:t xml:space="preserve"> </w:t>
      </w:r>
    </w:p>
    <w:p w:rsidR="00F74F44" w:rsidRPr="00D869E9" w:rsidRDefault="00F74F44" w:rsidP="00F74F44">
      <w:pPr>
        <w:pStyle w:val="Prrafodelista"/>
        <w:tabs>
          <w:tab w:val="left" w:pos="284"/>
        </w:tabs>
        <w:spacing w:before="240" w:line="360" w:lineRule="auto"/>
        <w:jc w:val="both"/>
        <w:rPr>
          <w:rFonts w:ascii="Palatino Linotype" w:eastAsia="Palatino Linotype" w:hAnsi="Palatino Linotype" w:cs="Palatino Linotype"/>
          <w:b/>
          <w:sz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El</w:t>
      </w:r>
      <w:r w:rsidRPr="00D869E9">
        <w:rPr>
          <w:rFonts w:ascii="Palatino Linotype" w:eastAsia="Palatino Linotype" w:hAnsi="Palatino Linotype" w:cs="Palatino Linotype"/>
          <w:b/>
          <w:color w:val="000000"/>
          <w:sz w:val="24"/>
          <w:szCs w:val="24"/>
        </w:rPr>
        <w:t xml:space="preserve"> </w:t>
      </w:r>
      <w:r w:rsidR="00F344D4" w:rsidRPr="00D869E9">
        <w:rPr>
          <w:rFonts w:ascii="Palatino Linotype" w:eastAsia="Palatino Linotype" w:hAnsi="Palatino Linotype" w:cs="Palatino Linotype"/>
          <w:b/>
          <w:color w:val="000000"/>
          <w:sz w:val="24"/>
          <w:szCs w:val="24"/>
        </w:rPr>
        <w:t>veinte de abril</w:t>
      </w:r>
      <w:r w:rsidRPr="00D869E9">
        <w:rPr>
          <w:rFonts w:ascii="Palatino Linotype" w:eastAsia="Palatino Linotype" w:hAnsi="Palatino Linotype" w:cs="Palatino Linotype"/>
          <w:b/>
          <w:color w:val="000000"/>
          <w:sz w:val="24"/>
          <w:szCs w:val="24"/>
        </w:rPr>
        <w:t xml:space="preserve"> de dos mil veintiséis</w:t>
      </w:r>
      <w:r w:rsidRPr="00D869E9">
        <w:rPr>
          <w:rFonts w:ascii="Palatino Linotype" w:eastAsia="Palatino Linotype" w:hAnsi="Palatino Linotype" w:cs="Palatino Linotype"/>
          <w:color w:val="000000"/>
          <w:sz w:val="24"/>
          <w:szCs w:val="24"/>
        </w:rPr>
        <w:t>, se notificó el acuerdo mediante el cual se amplió el plazo para emitir resolución.</w:t>
      </w:r>
    </w:p>
    <w:p w:rsidR="00F74F44" w:rsidRPr="00D869E9" w:rsidRDefault="00F74F44" w:rsidP="00F74F4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 xml:space="preserve">El </w:t>
      </w:r>
      <w:r w:rsidR="00F344D4" w:rsidRPr="00D869E9">
        <w:rPr>
          <w:rFonts w:ascii="Palatino Linotype" w:eastAsia="Palatino Linotype" w:hAnsi="Palatino Linotype" w:cs="Palatino Linotype"/>
          <w:b/>
          <w:color w:val="000000"/>
          <w:sz w:val="24"/>
          <w:szCs w:val="24"/>
        </w:rPr>
        <w:t>veintidós de abril</w:t>
      </w:r>
      <w:r w:rsidRPr="00D869E9">
        <w:rPr>
          <w:rFonts w:ascii="Palatino Linotype" w:eastAsia="Palatino Linotype" w:hAnsi="Palatino Linotype" w:cs="Palatino Linotype"/>
          <w:b/>
          <w:color w:val="000000"/>
          <w:sz w:val="24"/>
          <w:szCs w:val="24"/>
        </w:rPr>
        <w:t xml:space="preserve"> de dos mil veintiséis</w:t>
      </w:r>
      <w:r w:rsidRPr="00D869E9">
        <w:rPr>
          <w:rFonts w:ascii="Palatino Linotype" w:eastAsia="Palatino Linotype" w:hAnsi="Palatino Linotype" w:cs="Palatino Linotype"/>
          <w:color w:val="000000"/>
          <w:sz w:val="24"/>
          <w:szCs w:val="24"/>
        </w:rPr>
        <w:t>, la Comisionada Ponente notificó el acuerdo mediante el cual se decretó el cierre de instrucción. Por lo que turnó la presente resolución para su aprobación y</w:t>
      </w:r>
    </w:p>
    <w:p w:rsidR="00F74F44" w:rsidRPr="00D869E9" w:rsidRDefault="00F74F44" w:rsidP="00F74F44">
      <w:pPr>
        <w:pStyle w:val="Ttulo1"/>
        <w:jc w:val="center"/>
        <w:rPr>
          <w:rFonts w:ascii="Palatino Linotype" w:eastAsia="Palatino Linotype" w:hAnsi="Palatino Linotype" w:cs="Palatino Linotype"/>
          <w:b/>
          <w:color w:val="000000"/>
          <w:sz w:val="24"/>
          <w:szCs w:val="24"/>
        </w:rPr>
      </w:pPr>
      <w:bookmarkStart w:id="3" w:name="_heading=h.1fob9te" w:colFirst="0" w:colLast="0"/>
      <w:bookmarkEnd w:id="3"/>
      <w:r w:rsidRPr="00D869E9">
        <w:rPr>
          <w:rFonts w:ascii="Palatino Linotype" w:eastAsia="Palatino Linotype" w:hAnsi="Palatino Linotype" w:cs="Palatino Linotype"/>
          <w:b/>
          <w:color w:val="000000"/>
          <w:sz w:val="24"/>
          <w:szCs w:val="24"/>
        </w:rPr>
        <w:t>C</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O</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N</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S</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I</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D</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E</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R</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A</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N</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D</w:t>
      </w:r>
      <w:r w:rsidR="00D869E9">
        <w:rPr>
          <w:rFonts w:ascii="Palatino Linotype" w:eastAsia="Palatino Linotype" w:hAnsi="Palatino Linotype" w:cs="Palatino Linotype"/>
          <w:b/>
          <w:color w:val="000000"/>
          <w:sz w:val="24"/>
          <w:szCs w:val="24"/>
        </w:rPr>
        <w:t xml:space="preserve"> </w:t>
      </w:r>
      <w:r w:rsidRPr="00D869E9">
        <w:rPr>
          <w:rFonts w:ascii="Palatino Linotype" w:eastAsia="Palatino Linotype" w:hAnsi="Palatino Linotype" w:cs="Palatino Linotype"/>
          <w:b/>
          <w:color w:val="000000"/>
          <w:sz w:val="24"/>
          <w:szCs w:val="24"/>
        </w:rPr>
        <w:t xml:space="preserve">O </w:t>
      </w:r>
    </w:p>
    <w:p w:rsidR="00F74F44" w:rsidRPr="00D869E9" w:rsidRDefault="00F74F44" w:rsidP="00F74F44">
      <w:pPr>
        <w:rPr>
          <w:rFonts w:eastAsia="Palatino Linotype"/>
          <w:sz w:val="24"/>
          <w:szCs w:val="24"/>
        </w:rPr>
      </w:pPr>
    </w:p>
    <w:p w:rsidR="00F74F44" w:rsidRPr="00D869E9" w:rsidRDefault="00F74F44" w:rsidP="00F74F44">
      <w:pPr>
        <w:pStyle w:val="Ttulo2"/>
        <w:rPr>
          <w:rFonts w:ascii="Palatino Linotype" w:eastAsia="Palatino Linotype" w:hAnsi="Palatino Linotype" w:cs="Palatino Linotype"/>
          <w:b/>
          <w:color w:val="000000"/>
          <w:sz w:val="24"/>
          <w:szCs w:val="24"/>
        </w:rPr>
      </w:pPr>
      <w:bookmarkStart w:id="4" w:name="_heading=h.3znysh7" w:colFirst="0" w:colLast="0"/>
      <w:bookmarkEnd w:id="4"/>
      <w:r w:rsidRPr="00D869E9">
        <w:rPr>
          <w:rFonts w:ascii="Palatino Linotype" w:eastAsia="Palatino Linotype" w:hAnsi="Palatino Linotype" w:cs="Palatino Linotype"/>
          <w:b/>
          <w:color w:val="000000"/>
          <w:sz w:val="24"/>
          <w:szCs w:val="24"/>
        </w:rPr>
        <w:t>PRIMERO. De la competencia</w:t>
      </w:r>
    </w:p>
    <w:p w:rsidR="00F74F44" w:rsidRPr="00D869E9" w:rsidRDefault="00F74F44" w:rsidP="00F74F44">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del </w:t>
      </w:r>
      <w:r w:rsidRPr="00D869E9">
        <w:rPr>
          <w:rFonts w:ascii="Palatino Linotype" w:hAnsi="Palatino Linotype"/>
          <w:sz w:val="24"/>
          <w:szCs w:val="24"/>
        </w:rPr>
        <w:lastRenderedPageBreak/>
        <w:t xml:space="preserve">presente recurso de conformidad con el artículo: 6, apartado A, fracción IV de la </w:t>
      </w:r>
      <w:r w:rsidRPr="00D869E9">
        <w:rPr>
          <w:rFonts w:ascii="Palatino Linotype" w:hAnsi="Palatino Linotype"/>
          <w:b/>
          <w:sz w:val="24"/>
          <w:szCs w:val="24"/>
        </w:rPr>
        <w:t>Constitución Política de los Estados Unidos Mexicanos</w:t>
      </w:r>
      <w:r w:rsidRPr="00D869E9">
        <w:rPr>
          <w:rFonts w:ascii="Palatino Linotype" w:hAnsi="Palatino Linotype"/>
          <w:sz w:val="24"/>
          <w:szCs w:val="24"/>
        </w:rPr>
        <w:t xml:space="preserve">; 5, párrafos trigésimo séptimo, trigésimo octavo y trigésimo noveno, fracciones IV y V, de la </w:t>
      </w:r>
      <w:r w:rsidRPr="00D869E9">
        <w:rPr>
          <w:rFonts w:ascii="Palatino Linotype" w:hAnsi="Palatino Linotype"/>
          <w:b/>
          <w:sz w:val="24"/>
          <w:szCs w:val="24"/>
        </w:rPr>
        <w:t>Constitución Política del Estado Libre y Soberano de México</w:t>
      </w:r>
      <w:r w:rsidRPr="00D869E9">
        <w:rPr>
          <w:rFonts w:ascii="Palatino Linotype" w:hAnsi="Palatino Linotype"/>
          <w:sz w:val="24"/>
          <w:szCs w:val="24"/>
        </w:rPr>
        <w:t xml:space="preserve">; artículos 1, 2 fracción II, 13, 29, 36 fracciones I y II, 176, 178, 179, 181 párrafo tercero y 185 de la </w:t>
      </w:r>
      <w:r w:rsidRPr="00D869E9">
        <w:rPr>
          <w:rFonts w:ascii="Palatino Linotype" w:hAnsi="Palatino Linotype"/>
          <w:b/>
          <w:sz w:val="24"/>
          <w:szCs w:val="24"/>
        </w:rPr>
        <w:t>Ley de Transparencia y Acceso a la Información Pública del Estado de México y Municipios</w:t>
      </w:r>
      <w:r w:rsidRPr="00D869E9">
        <w:rPr>
          <w:rFonts w:ascii="Palatino Linotype" w:hAnsi="Palatino Linotype"/>
          <w:sz w:val="24"/>
          <w:szCs w:val="24"/>
        </w:rPr>
        <w:t xml:space="preserve">; y 7, 9 fracciones I y XXIII, y 11 del </w:t>
      </w:r>
      <w:r w:rsidRPr="00D869E9">
        <w:rPr>
          <w:rFonts w:ascii="Palatino Linotype" w:hAnsi="Palatino Linotype"/>
          <w:b/>
          <w:sz w:val="24"/>
          <w:szCs w:val="24"/>
        </w:rPr>
        <w:t>Reglamento Interior del Instituto de Transparencia, Acceso a la Información Pública y Protección de Datos Personales del Estado de México y Municipios.</w:t>
      </w:r>
    </w:p>
    <w:p w:rsidR="00F74F44" w:rsidRPr="00D869E9" w:rsidRDefault="00F74F44" w:rsidP="00F74F44">
      <w:pPr>
        <w:pStyle w:val="Ttulo2"/>
        <w:rPr>
          <w:rFonts w:ascii="Palatino Linotype" w:eastAsia="Palatino Linotype" w:hAnsi="Palatino Linotype" w:cs="Palatino Linotype"/>
          <w:b/>
          <w:color w:val="000000"/>
          <w:sz w:val="24"/>
          <w:szCs w:val="24"/>
        </w:rPr>
      </w:pPr>
      <w:bookmarkStart w:id="5" w:name="_heading=h.2et92p0" w:colFirst="0" w:colLast="0"/>
      <w:bookmarkEnd w:id="5"/>
      <w:r w:rsidRPr="00D869E9">
        <w:rPr>
          <w:rFonts w:ascii="Palatino Linotype" w:eastAsia="Palatino Linotype" w:hAnsi="Palatino Linotype" w:cs="Palatino Linotype"/>
          <w:b/>
          <w:color w:val="000000"/>
          <w:sz w:val="24"/>
          <w:szCs w:val="24"/>
        </w:rPr>
        <w:t>SEGUNDO. De la oportunidad y procedencia.</w:t>
      </w:r>
    </w:p>
    <w:p w:rsidR="00F74F44" w:rsidRPr="00D869E9" w:rsidRDefault="00F74F44" w:rsidP="00F74F44">
      <w:pPr>
        <w:rPr>
          <w:rFonts w:ascii="Palatino Linotype" w:eastAsia="Palatino Linotype" w:hAnsi="Palatino Linotype" w:cs="Palatino Linotype"/>
          <w:sz w:val="24"/>
          <w:szCs w:val="24"/>
        </w:rPr>
      </w:pPr>
    </w:p>
    <w:p w:rsidR="00F74F44" w:rsidRPr="00D869E9" w:rsidRDefault="00F74F44" w:rsidP="00F74F44">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sz w:val="24"/>
          <w:szCs w:val="24"/>
        </w:rPr>
        <w:t xml:space="preserve">Es de precisar, que la Ley de Transparencia y Acceso a la Información Pública del Estado de México y Municipios, en el artículo 178 describe la procedencia del recurso de revisión, asimismo señala que el plazo del </w:t>
      </w:r>
      <w:r w:rsidRPr="00D869E9">
        <w:rPr>
          <w:rFonts w:ascii="Palatino Linotype" w:eastAsia="Palatino Linotype" w:hAnsi="Palatino Linotype" w:cs="Palatino Linotype"/>
          <w:b/>
          <w:sz w:val="24"/>
          <w:szCs w:val="24"/>
        </w:rPr>
        <w:t>SUJETO OBLIGADO</w:t>
      </w:r>
      <w:r w:rsidRPr="00D869E9">
        <w:rPr>
          <w:rFonts w:ascii="Palatino Linotype" w:eastAsia="Palatino Linotype" w:hAnsi="Palatino Linotype" w:cs="Palatino Linotype"/>
          <w:sz w:val="24"/>
          <w:szCs w:val="24"/>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F74F44" w:rsidRPr="00D869E9" w:rsidRDefault="00F74F44" w:rsidP="00F74F44">
      <w:pPr>
        <w:tabs>
          <w:tab w:val="left" w:pos="284"/>
        </w:tabs>
        <w:spacing w:line="360" w:lineRule="auto"/>
        <w:jc w:val="both"/>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sz w:val="24"/>
          <w:szCs w:val="24"/>
        </w:rPr>
        <w:t xml:space="preserve">Por ende, se constituye la figura jurídica de la </w:t>
      </w:r>
      <w:r w:rsidRPr="00D869E9">
        <w:rPr>
          <w:rFonts w:ascii="Palatino Linotype" w:eastAsia="Palatino Linotype" w:hAnsi="Palatino Linotype" w:cs="Palatino Linotype"/>
          <w:i/>
          <w:sz w:val="24"/>
          <w:szCs w:val="24"/>
        </w:rPr>
        <w:t>negativa ficta</w:t>
      </w:r>
      <w:r w:rsidRPr="00D869E9">
        <w:rPr>
          <w:rFonts w:ascii="Palatino Linotype" w:eastAsia="Palatino Linotype" w:hAnsi="Palatino Linotype" w:cs="Palatino Linotype"/>
          <w:sz w:val="24"/>
          <w:szCs w:val="24"/>
        </w:rPr>
        <w:t xml:space="preserve">, cuya esencia es atribuir un efecto negativo al silencio de la autoridad administrativa frente a las instancias y solicitudes que hagan los particulares, lo cual encuentra sustento en lo que establece el artículo </w:t>
      </w:r>
      <w:r w:rsidRPr="00D869E9">
        <w:rPr>
          <w:rFonts w:ascii="Palatino Linotype" w:eastAsia="Palatino Linotype" w:hAnsi="Palatino Linotype" w:cs="Palatino Linotype"/>
          <w:b/>
          <w:sz w:val="24"/>
          <w:szCs w:val="24"/>
        </w:rPr>
        <w:t>178</w:t>
      </w:r>
      <w:r w:rsidRPr="00D869E9">
        <w:rPr>
          <w:rFonts w:ascii="Palatino Linotype" w:eastAsia="Palatino Linotype" w:hAnsi="Palatino Linotype" w:cs="Palatino Linotype"/>
          <w:sz w:val="24"/>
          <w:szCs w:val="24"/>
        </w:rPr>
        <w:t xml:space="preserve"> segundo párrafo de </w:t>
      </w:r>
      <w:r w:rsidRPr="00D869E9">
        <w:rPr>
          <w:rFonts w:ascii="Palatino Linotype" w:eastAsia="Palatino Linotype" w:hAnsi="Palatino Linotype" w:cs="Palatino Linotype"/>
          <w:b/>
          <w:sz w:val="24"/>
          <w:szCs w:val="24"/>
        </w:rPr>
        <w:t>Ley de Transparencia y Acceso a la Información Pública del Estado de México y Municipios</w:t>
      </w:r>
      <w:r w:rsidRPr="00D869E9">
        <w:rPr>
          <w:rFonts w:ascii="Palatino Linotype" w:eastAsia="Palatino Linotype" w:hAnsi="Palatino Linotype" w:cs="Palatino Linotype"/>
          <w:color w:val="000000"/>
          <w:sz w:val="24"/>
          <w:szCs w:val="24"/>
        </w:rPr>
        <w:t xml:space="preserve">, que dispone; ante la falta de respuesta del </w:t>
      </w:r>
      <w:r w:rsidRPr="00D869E9">
        <w:rPr>
          <w:rFonts w:ascii="Palatino Linotype" w:eastAsia="Palatino Linotype" w:hAnsi="Palatino Linotype" w:cs="Palatino Linotype"/>
          <w:b/>
          <w:color w:val="000000"/>
          <w:sz w:val="24"/>
          <w:szCs w:val="24"/>
        </w:rPr>
        <w:t>SUJETO OBLIGADO,</w:t>
      </w:r>
      <w:r w:rsidRPr="00D869E9">
        <w:rPr>
          <w:rFonts w:ascii="Palatino Linotype" w:eastAsia="Palatino Linotype" w:hAnsi="Palatino Linotype" w:cs="Palatino Linotype"/>
          <w:color w:val="000000"/>
          <w:sz w:val="24"/>
          <w:szCs w:val="24"/>
        </w:rPr>
        <w:t xml:space="preserve"> </w:t>
      </w:r>
      <w:r w:rsidRPr="00D869E9">
        <w:rPr>
          <w:rFonts w:ascii="Palatino Linotype" w:eastAsia="Palatino Linotype" w:hAnsi="Palatino Linotype" w:cs="Palatino Linotype"/>
          <w:color w:val="000000"/>
          <w:sz w:val="24"/>
          <w:szCs w:val="24"/>
        </w:rPr>
        <w:lastRenderedPageBreak/>
        <w:t xml:space="preserve">dentro de los plazos establecidos en esta Ley, a una solicitud de acceso a la información pública, el recurso </w:t>
      </w:r>
      <w:r w:rsidRPr="00D869E9">
        <w:rPr>
          <w:rFonts w:ascii="Palatino Linotype" w:eastAsia="Palatino Linotype" w:hAnsi="Palatino Linotype" w:cs="Palatino Linotype"/>
          <w:b/>
          <w:color w:val="000000"/>
          <w:sz w:val="24"/>
          <w:szCs w:val="24"/>
        </w:rPr>
        <w:t xml:space="preserve">podrá ser interpuesto en cualquier momento. </w:t>
      </w:r>
    </w:p>
    <w:p w:rsidR="00F74F44" w:rsidRPr="00D869E9" w:rsidRDefault="00F74F44" w:rsidP="00F74F44">
      <w:pPr>
        <w:tabs>
          <w:tab w:val="left" w:pos="284"/>
        </w:tabs>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tabs>
          <w:tab w:val="left" w:pos="284"/>
        </w:tabs>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sz w:val="24"/>
          <w:szCs w:val="24"/>
        </w:rPr>
        <w:t xml:space="preserve">Por lo que, tratándose de la </w:t>
      </w:r>
      <w:r w:rsidRPr="00D869E9">
        <w:rPr>
          <w:rFonts w:ascii="Palatino Linotype" w:eastAsia="Palatino Linotype" w:hAnsi="Palatino Linotype" w:cs="Palatino Linotype"/>
          <w:i/>
          <w:sz w:val="24"/>
          <w:szCs w:val="24"/>
        </w:rPr>
        <w:t>negativa ficta</w:t>
      </w:r>
      <w:r w:rsidRPr="00D869E9">
        <w:rPr>
          <w:rFonts w:ascii="Palatino Linotype" w:eastAsia="Palatino Linotype" w:hAnsi="Palatino Linotype" w:cs="Palatino Linotype"/>
          <w:sz w:val="24"/>
          <w:szCs w:val="24"/>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D869E9">
        <w:rPr>
          <w:rFonts w:ascii="Palatino Linotype" w:eastAsia="Palatino Linotype" w:hAnsi="Palatino Linotype" w:cs="Palatino Linotype"/>
          <w:i/>
          <w:sz w:val="24"/>
          <w:szCs w:val="24"/>
        </w:rPr>
        <w:t>negativa ficta</w:t>
      </w:r>
      <w:r w:rsidRPr="00D869E9">
        <w:rPr>
          <w:rFonts w:ascii="Palatino Linotype" w:eastAsia="Palatino Linotype" w:hAnsi="Palatino Linotype" w:cs="Palatino Linotype"/>
          <w:sz w:val="24"/>
          <w:szCs w:val="24"/>
        </w:rPr>
        <w:t>, que señala:</w:t>
      </w:r>
    </w:p>
    <w:p w:rsidR="00F74F44" w:rsidRPr="00D869E9" w:rsidRDefault="00F74F44" w:rsidP="00F74F44">
      <w:pPr>
        <w:tabs>
          <w:tab w:val="left" w:pos="284"/>
          <w:tab w:val="left" w:pos="7655"/>
        </w:tabs>
        <w:spacing w:after="240" w:line="360" w:lineRule="auto"/>
        <w:ind w:left="567" w:right="822"/>
        <w:jc w:val="center"/>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sz w:val="24"/>
          <w:szCs w:val="24"/>
        </w:rPr>
        <w:t>Criterio 0001-15</w:t>
      </w:r>
    </w:p>
    <w:p w:rsidR="00F74F44" w:rsidRPr="00D869E9" w:rsidRDefault="00F74F44" w:rsidP="00F74F44">
      <w:pPr>
        <w:tabs>
          <w:tab w:val="left" w:pos="284"/>
          <w:tab w:val="left" w:pos="7655"/>
        </w:tabs>
        <w:spacing w:before="240" w:after="240" w:line="360" w:lineRule="auto"/>
        <w:ind w:left="567" w:right="822"/>
        <w:jc w:val="both"/>
        <w:rPr>
          <w:rFonts w:ascii="Palatino Linotype" w:eastAsia="Palatino Linotype" w:hAnsi="Palatino Linotype" w:cs="Palatino Linotype"/>
          <w:i/>
          <w:sz w:val="24"/>
          <w:szCs w:val="24"/>
        </w:rPr>
      </w:pPr>
      <w:r w:rsidRPr="00D869E9">
        <w:rPr>
          <w:rFonts w:ascii="Palatino Linotype" w:eastAsia="Palatino Linotype" w:hAnsi="Palatino Linotype" w:cs="Palatino Linotype"/>
          <w:b/>
          <w:i/>
          <w:sz w:val="24"/>
          <w:szCs w:val="24"/>
        </w:rPr>
        <w:t>NEGATIVA FICTA. PLAZO PARA INTERPONER EL RECURSO DE REVISIÓN TRATÁNDOSE DE.</w:t>
      </w:r>
      <w:r w:rsidRPr="00D869E9">
        <w:rPr>
          <w:rFonts w:ascii="Palatino Linotype" w:eastAsia="Palatino Linotype" w:hAnsi="Palatino Linotype" w:cs="Palatino Linotype"/>
          <w:i/>
          <w:sz w:val="24"/>
          <w:szCs w:val="24"/>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w:t>
      </w:r>
      <w:r w:rsidRPr="00D869E9">
        <w:rPr>
          <w:rFonts w:ascii="Palatino Linotype" w:eastAsia="Palatino Linotype" w:hAnsi="Palatino Linotype" w:cs="Palatino Linotype"/>
          <w:i/>
          <w:sz w:val="24"/>
          <w:szCs w:val="24"/>
        </w:rPr>
        <w:lastRenderedPageBreak/>
        <w:t>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344D4" w:rsidRPr="00D869E9" w:rsidRDefault="00F74F44" w:rsidP="00F344D4">
      <w:pPr>
        <w:numPr>
          <w:ilvl w:val="0"/>
          <w:numId w:val="1"/>
        </w:numPr>
        <w:tabs>
          <w:tab w:val="left" w:pos="284"/>
        </w:tabs>
        <w:spacing w:before="240"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 xml:space="preserve">Lo anterior, se explica porque la </w:t>
      </w:r>
      <w:r w:rsidRPr="00D869E9">
        <w:rPr>
          <w:rFonts w:ascii="Palatino Linotype" w:eastAsia="Palatino Linotype" w:hAnsi="Palatino Linotype" w:cs="Palatino Linotype"/>
          <w:b/>
          <w:color w:val="000000"/>
          <w:sz w:val="24"/>
          <w:szCs w:val="24"/>
          <w:u w:val="single"/>
        </w:rPr>
        <w:t>posible ausencia</w:t>
      </w:r>
      <w:r w:rsidRPr="00D869E9">
        <w:rPr>
          <w:rFonts w:ascii="Palatino Linotype" w:eastAsia="Palatino Linotype" w:hAnsi="Palatino Linotype" w:cs="Palatino Linotype"/>
          <w:color w:val="000000"/>
          <w:sz w:val="24"/>
          <w:szCs w:val="24"/>
        </w:rPr>
        <w:t xml:space="preserve"> de una respuesta en la solicitud constituye un acto que vulnera el derecho de manera continua y actualizable cada día en tanto, no se emita la respuesta a la que esté impuesto el </w:t>
      </w:r>
      <w:r w:rsidRPr="00D869E9">
        <w:rPr>
          <w:rFonts w:ascii="Palatino Linotype" w:eastAsia="Palatino Linotype" w:hAnsi="Palatino Linotype" w:cs="Palatino Linotype"/>
          <w:b/>
          <w:color w:val="000000"/>
          <w:sz w:val="24"/>
          <w:szCs w:val="24"/>
        </w:rPr>
        <w:t>SUJETO OBLIGADO</w:t>
      </w:r>
      <w:r w:rsidRPr="00D869E9">
        <w:rPr>
          <w:rFonts w:ascii="Palatino Linotype" w:eastAsia="Palatino Linotype" w:hAnsi="Palatino Linotype" w:cs="Palatino Linotype"/>
          <w:color w:val="000000"/>
          <w:sz w:val="24"/>
          <w:szCs w:val="24"/>
        </w:rPr>
        <w:t>.</w:t>
      </w:r>
    </w:p>
    <w:p w:rsidR="00F74F44" w:rsidRPr="00D869E9" w:rsidRDefault="00F74F44" w:rsidP="00F74F44">
      <w:pPr>
        <w:tabs>
          <w:tab w:val="left" w:pos="284"/>
        </w:tabs>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tabs>
          <w:tab w:val="left" w:pos="284"/>
        </w:tabs>
        <w:spacing w:after="240" w:line="360" w:lineRule="auto"/>
        <w:ind w:left="0" w:right="49" w:firstLine="0"/>
        <w:jc w:val="both"/>
        <w:rPr>
          <w:rFonts w:ascii="Palatino Linotype" w:eastAsia="Palatino Linotype" w:hAnsi="Palatino Linotype" w:cs="Palatino Linotype"/>
          <w:b/>
          <w:sz w:val="24"/>
          <w:szCs w:val="24"/>
        </w:rPr>
      </w:pPr>
      <w:r w:rsidRPr="00D869E9">
        <w:rPr>
          <w:rFonts w:ascii="Palatino Linotype" w:eastAsia="Palatino Linotype" w:hAnsi="Palatino Linotype" w:cs="Palatino Linotype"/>
          <w:sz w:val="24"/>
          <w:szCs w:val="24"/>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 w:name="_heading=h.tyjcwt" w:colFirst="0" w:colLast="0"/>
      <w:bookmarkEnd w:id="6"/>
    </w:p>
    <w:p w:rsidR="00F74F44" w:rsidRPr="00D869E9" w:rsidRDefault="00F74F44" w:rsidP="00F74F44">
      <w:pPr>
        <w:pStyle w:val="Ttulo1"/>
        <w:spacing w:before="0" w:line="360" w:lineRule="auto"/>
        <w:rPr>
          <w:rFonts w:ascii="Palatino Linotype" w:eastAsia="Palatino Linotype" w:hAnsi="Palatino Linotype" w:cs="Palatino Linotype"/>
          <w:b/>
          <w:color w:val="000000"/>
          <w:sz w:val="24"/>
          <w:szCs w:val="24"/>
        </w:rPr>
      </w:pPr>
      <w:bookmarkStart w:id="7" w:name="_heading=h.3dy6vkm" w:colFirst="0" w:colLast="0"/>
      <w:bookmarkEnd w:id="7"/>
      <w:r w:rsidRPr="00D869E9">
        <w:rPr>
          <w:rFonts w:ascii="Palatino Linotype" w:eastAsia="Palatino Linotype" w:hAnsi="Palatino Linotype" w:cs="Palatino Linotype"/>
          <w:b/>
          <w:color w:val="000000"/>
          <w:sz w:val="24"/>
          <w:szCs w:val="24"/>
        </w:rPr>
        <w:t>CUARTO. Causales de Sobreseimiento</w:t>
      </w:r>
    </w:p>
    <w:p w:rsidR="00F74F44" w:rsidRPr="00D869E9" w:rsidRDefault="00F74F44" w:rsidP="00F74F4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rPr>
        <w:t xml:space="preserve">El recurso de revisión </w:t>
      </w:r>
      <w:r w:rsidRPr="00D869E9">
        <w:rPr>
          <w:rFonts w:ascii="Palatino Linotype" w:hAnsi="Palatino Linotype" w:cs="Arial"/>
          <w:sz w:val="24"/>
        </w:rPr>
        <w:t xml:space="preserve">tiene como finalidad reparar cualquier posible afectación al derecho de acceso a la información pública en términos del Título Octavo de la Ley de </w:t>
      </w:r>
      <w:r w:rsidRPr="00D869E9">
        <w:rPr>
          <w:rFonts w:ascii="Palatino Linotype" w:eastAsia="Calibri" w:hAnsi="Palatino Linotype" w:cs="Arial"/>
          <w:sz w:val="24"/>
        </w:rPr>
        <w:t>Transparencia, Acceso a la Información Pública del Estado de México y Municipios</w:t>
      </w:r>
      <w:r w:rsidRPr="00D869E9">
        <w:rPr>
          <w:rFonts w:ascii="Palatino Linotype" w:hAnsi="Palatino Linotype" w:cs="Arial"/>
          <w:sz w:val="24"/>
        </w:rPr>
        <w:t xml:space="preserve">, y determinar la confirmación; revocación o modificación; desechamiento o </w:t>
      </w:r>
      <w:r w:rsidRPr="00D869E9">
        <w:rPr>
          <w:rFonts w:ascii="Palatino Linotype" w:hAnsi="Palatino Linotype" w:cs="Arial"/>
          <w:b/>
          <w:sz w:val="24"/>
          <w:u w:val="single"/>
        </w:rPr>
        <w:t>sobreseimiento</w:t>
      </w:r>
      <w:r w:rsidRPr="00D869E9">
        <w:rPr>
          <w:rFonts w:ascii="Palatino Linotype" w:hAnsi="Palatino Linotype" w:cs="Arial"/>
          <w:sz w:val="24"/>
        </w:rPr>
        <w:t xml:space="preserve">; y en su caso ordenar la entrega de la información con respecto a la respuesta emitida por el </w:t>
      </w:r>
      <w:r w:rsidRPr="00D869E9">
        <w:rPr>
          <w:rFonts w:ascii="Palatino Linotype" w:hAnsi="Palatino Linotype" w:cs="Arial"/>
          <w:b/>
          <w:sz w:val="24"/>
        </w:rPr>
        <w:t>SUJETO</w:t>
      </w:r>
      <w:r w:rsidRPr="00D869E9">
        <w:rPr>
          <w:rFonts w:ascii="Palatino Linotype" w:hAnsi="Palatino Linotype" w:cs="Arial"/>
          <w:sz w:val="24"/>
        </w:rPr>
        <w:t xml:space="preserve"> </w:t>
      </w:r>
      <w:r w:rsidRPr="00D869E9">
        <w:rPr>
          <w:rFonts w:ascii="Palatino Linotype" w:hAnsi="Palatino Linotype" w:cs="Arial"/>
          <w:b/>
          <w:sz w:val="24"/>
        </w:rPr>
        <w:t>OBLIGADO</w:t>
      </w:r>
      <w:r w:rsidRPr="00D869E9">
        <w:rPr>
          <w:rFonts w:ascii="Palatino Linotype" w:hAnsi="Palatino Linotype" w:cs="Arial"/>
          <w:sz w:val="24"/>
        </w:rPr>
        <w:t>.</w:t>
      </w:r>
    </w:p>
    <w:p w:rsidR="00F74F44" w:rsidRPr="00D869E9" w:rsidRDefault="00F74F44" w:rsidP="00F74F4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74F44" w:rsidRPr="00D869E9" w:rsidRDefault="00F74F44" w:rsidP="00F74F4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rPr>
        <w:lastRenderedPageBreak/>
        <w:t xml:space="preserve">De </w:t>
      </w:r>
      <w:r w:rsidRPr="00D869E9">
        <w:rPr>
          <w:rFonts w:ascii="Palatino Linotype" w:eastAsia="Calibri" w:hAnsi="Palatino Linotype"/>
          <w:sz w:val="24"/>
        </w:rPr>
        <w:t xml:space="preserve">acuerdo al precepto legal contenido en la fracción III del artículo 192 de la </w:t>
      </w:r>
      <w:r w:rsidRPr="00D869E9">
        <w:rPr>
          <w:rFonts w:ascii="Palatino Linotype" w:eastAsia="Calibri" w:hAnsi="Palatino Linotype"/>
          <w:b/>
          <w:sz w:val="24"/>
        </w:rPr>
        <w:t>Ley de Transparencia y Acceso a la Información Pública del Estado de México y Municipios</w:t>
      </w:r>
      <w:r w:rsidRPr="00D869E9">
        <w:rPr>
          <w:rFonts w:ascii="Palatino Linotype" w:eastAsia="Calibri" w:hAnsi="Palatino Linotype"/>
          <w:sz w:val="24"/>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rsidR="00F74F44" w:rsidRPr="00D869E9" w:rsidRDefault="00F74F44" w:rsidP="00F74F44">
      <w:pPr>
        <w:pStyle w:val="Prrafodelista"/>
        <w:ind w:left="0"/>
        <w:rPr>
          <w:rFonts w:ascii="Palatino Linotype" w:eastAsia="Calibri" w:hAnsi="Palatino Linotype" w:cs="Arial"/>
          <w:color w:val="000000" w:themeColor="text1"/>
          <w:sz w:val="24"/>
          <w:lang w:val="es-ES"/>
        </w:rPr>
      </w:pPr>
    </w:p>
    <w:p w:rsidR="00F74F44" w:rsidRPr="00D869E9" w:rsidRDefault="00F74F44" w:rsidP="00F74F44">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lang w:val="es-ES"/>
        </w:rPr>
        <w:t xml:space="preserve">Para </w:t>
      </w:r>
      <w:r w:rsidRPr="00D869E9">
        <w:rPr>
          <w:rFonts w:ascii="Palatino Linotype" w:eastAsia="Calibri" w:hAnsi="Palatino Linotype"/>
          <w:sz w:val="24"/>
        </w:rPr>
        <w:t xml:space="preserve">los efectos de esta resolución, es oportuno precisar los alcances jurídicos de la fracción III de la disposición legal transcrita. Así, procede el sobreseimiento del recurso de revisión cuando el </w:t>
      </w:r>
      <w:r w:rsidRPr="00D869E9">
        <w:rPr>
          <w:rFonts w:ascii="Palatino Linotype" w:eastAsia="Calibri" w:hAnsi="Palatino Linotype"/>
          <w:b/>
          <w:sz w:val="24"/>
        </w:rPr>
        <w:t>SUJETO OBLIGADO</w:t>
      </w:r>
      <w:r w:rsidRPr="00D869E9">
        <w:rPr>
          <w:rFonts w:ascii="Palatino Linotype" w:eastAsia="Calibri" w:hAnsi="Palatino Linotype"/>
          <w:sz w:val="24"/>
        </w:rPr>
        <w:t>:</w:t>
      </w:r>
    </w:p>
    <w:p w:rsidR="00F74F44" w:rsidRPr="00D869E9" w:rsidRDefault="00F74F44" w:rsidP="00F74F44">
      <w:pPr>
        <w:rPr>
          <w:rFonts w:ascii="Palatino Linotype" w:eastAsia="Calibri" w:hAnsi="Palatino Linotype" w:cs="Arial"/>
          <w:color w:val="000000" w:themeColor="text1"/>
          <w:sz w:val="24"/>
          <w:szCs w:val="24"/>
          <w:lang w:val="es-ES"/>
        </w:rPr>
      </w:pPr>
    </w:p>
    <w:p w:rsidR="00F74F44" w:rsidRPr="00D869E9" w:rsidRDefault="00F74F44" w:rsidP="00F74F44">
      <w:pPr>
        <w:numPr>
          <w:ilvl w:val="0"/>
          <w:numId w:val="3"/>
        </w:numPr>
        <w:spacing w:line="360" w:lineRule="auto"/>
        <w:ind w:left="567" w:right="616" w:firstLine="0"/>
        <w:contextualSpacing/>
        <w:jc w:val="both"/>
        <w:rPr>
          <w:rFonts w:ascii="Palatino Linotype" w:hAnsi="Palatino Linotype" w:cs="Arial"/>
          <w:sz w:val="24"/>
          <w:szCs w:val="24"/>
        </w:rPr>
      </w:pPr>
      <w:r w:rsidRPr="00D869E9">
        <w:rPr>
          <w:rFonts w:ascii="Palatino Linotype" w:hAnsi="Palatino Linotype" w:cs="Arial"/>
          <w:b/>
          <w:sz w:val="24"/>
          <w:szCs w:val="24"/>
        </w:rPr>
        <w:t>Modifique el acto impugnado:</w:t>
      </w:r>
      <w:r w:rsidRPr="00D869E9">
        <w:rPr>
          <w:rFonts w:ascii="Palatino Linotype" w:hAnsi="Palatino Linotype" w:cs="Arial"/>
          <w:sz w:val="24"/>
          <w:szCs w:val="24"/>
        </w:rPr>
        <w:t xml:space="preserve"> Se actualiza cuando el </w:t>
      </w:r>
      <w:r w:rsidRPr="00D869E9">
        <w:rPr>
          <w:rFonts w:ascii="Palatino Linotype" w:hAnsi="Palatino Linotype" w:cs="Arial"/>
          <w:b/>
          <w:sz w:val="24"/>
          <w:szCs w:val="24"/>
        </w:rPr>
        <w:t>SUJETO OBLIGADO</w:t>
      </w:r>
      <w:r w:rsidRPr="00D869E9">
        <w:rPr>
          <w:rFonts w:ascii="Palatino Linotype" w:hAnsi="Palatino Linotype" w:cs="Arial"/>
          <w:sz w:val="24"/>
          <w:szCs w:val="24"/>
        </w:rPr>
        <w:t xml:space="preserve"> después de haber otorgado una respuesta y hasta antes de dictada la resolución del recurso de revisión, emite una diversa en la que subsane las deficiencias que hubiera tenido.</w:t>
      </w:r>
    </w:p>
    <w:p w:rsidR="00F74F44" w:rsidRPr="00D869E9" w:rsidRDefault="00F74F44" w:rsidP="00F74F44">
      <w:pPr>
        <w:spacing w:line="360" w:lineRule="auto"/>
        <w:ind w:left="567" w:right="616"/>
        <w:contextualSpacing/>
        <w:jc w:val="both"/>
        <w:rPr>
          <w:rFonts w:ascii="Palatino Linotype" w:hAnsi="Palatino Linotype" w:cs="Arial"/>
          <w:sz w:val="24"/>
          <w:szCs w:val="24"/>
        </w:rPr>
      </w:pPr>
    </w:p>
    <w:p w:rsidR="00F74F44" w:rsidRPr="00D869E9" w:rsidRDefault="00F74F44" w:rsidP="00F74F44">
      <w:pPr>
        <w:numPr>
          <w:ilvl w:val="0"/>
          <w:numId w:val="3"/>
        </w:numPr>
        <w:spacing w:line="360" w:lineRule="auto"/>
        <w:ind w:left="567" w:right="616" w:firstLine="0"/>
        <w:contextualSpacing/>
        <w:jc w:val="both"/>
        <w:rPr>
          <w:rFonts w:ascii="Palatino Linotype" w:hAnsi="Palatino Linotype" w:cs="Arial"/>
          <w:sz w:val="24"/>
          <w:szCs w:val="24"/>
        </w:rPr>
      </w:pPr>
      <w:r w:rsidRPr="00D869E9">
        <w:rPr>
          <w:rFonts w:ascii="Palatino Linotype" w:hAnsi="Palatino Linotype" w:cs="Arial"/>
          <w:b/>
          <w:sz w:val="24"/>
          <w:szCs w:val="24"/>
        </w:rPr>
        <w:t>Revoque el acto impugnado:</w:t>
      </w:r>
      <w:r w:rsidRPr="00D869E9">
        <w:rPr>
          <w:rFonts w:ascii="Palatino Linotype" w:hAnsi="Palatino Linotype" w:cs="Arial"/>
          <w:sz w:val="24"/>
          <w:szCs w:val="24"/>
        </w:rPr>
        <w:t xml:space="preserve"> En este supuesto, el </w:t>
      </w:r>
      <w:r w:rsidRPr="00D869E9">
        <w:rPr>
          <w:rFonts w:ascii="Palatino Linotype" w:hAnsi="Palatino Linotype" w:cs="Arial"/>
          <w:b/>
          <w:sz w:val="24"/>
          <w:szCs w:val="24"/>
        </w:rPr>
        <w:t>SUJETO OBLIGADO</w:t>
      </w:r>
      <w:r w:rsidRPr="00D869E9">
        <w:rPr>
          <w:rFonts w:ascii="Palatino Linotype" w:hAnsi="Palatino Linotype" w:cs="Arial"/>
          <w:sz w:val="24"/>
          <w:szCs w:val="24"/>
        </w:rPr>
        <w:t xml:space="preserve"> deja sin efectos la primera respuesta y en su lugar emite otra que satisfaga lo solicitado por el Particular en un primer momento.</w:t>
      </w:r>
    </w:p>
    <w:p w:rsidR="00F74F44" w:rsidRPr="00D869E9" w:rsidRDefault="00F74F44" w:rsidP="00F74F44">
      <w:pPr>
        <w:spacing w:line="360" w:lineRule="auto"/>
        <w:ind w:right="616"/>
        <w:contextualSpacing/>
        <w:jc w:val="both"/>
        <w:rPr>
          <w:rFonts w:ascii="Palatino Linotype" w:hAnsi="Palatino Linotype" w:cs="Arial"/>
          <w:sz w:val="24"/>
          <w:szCs w:val="24"/>
        </w:rPr>
      </w:pPr>
    </w:p>
    <w:p w:rsidR="00F74F44" w:rsidRPr="00D869E9" w:rsidRDefault="00F74F44" w:rsidP="00F74F44">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lang w:val="es-ES"/>
        </w:rPr>
        <w:t xml:space="preserve">Las </w:t>
      </w:r>
      <w:r w:rsidRPr="00D869E9">
        <w:rPr>
          <w:rFonts w:ascii="Palatino Linotype" w:eastAsia="Calibri" w:hAnsi="Palatino Linotype"/>
          <w:sz w:val="24"/>
        </w:rPr>
        <w:t xml:space="preserve">consecuencias jurídicas de esta modificación o revocación es que el recurso de revisión interpuesto quede sin efectos o sin materia. Un acto impugnado queda sin efectos, cuando aun existiendo jurídicamente, no genera consecuencia legal alguna; queda sin </w:t>
      </w:r>
      <w:r w:rsidRPr="00D869E9">
        <w:rPr>
          <w:rFonts w:ascii="Palatino Linotype" w:eastAsia="Calibri" w:hAnsi="Palatino Linotype"/>
          <w:sz w:val="24"/>
        </w:rPr>
        <w:lastRenderedPageBreak/>
        <w:t>materia, cuando ha sido satisfecha la pretensión del Particular, ya sea porque se hizo la entrega de la información solicitada o porque se completó la misma.</w:t>
      </w:r>
    </w:p>
    <w:p w:rsidR="00F74F44" w:rsidRPr="00D869E9" w:rsidRDefault="00F74F44" w:rsidP="00F74F44">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F344D4" w:rsidRPr="00D869E9" w:rsidRDefault="00F74F44" w:rsidP="00F344D4">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Palatino Linotype" w:hAnsi="Palatino Linotype" w:cs="Palatino Linotype"/>
          <w:color w:val="000000"/>
          <w:sz w:val="24"/>
        </w:rPr>
        <w:t xml:space="preserve">Recordemos que el Recurrente solicitó </w:t>
      </w:r>
      <w:r w:rsidR="00F344D4" w:rsidRPr="00D869E9">
        <w:rPr>
          <w:rFonts w:ascii="Palatino Linotype" w:hAnsi="Palatino Linotype"/>
          <w:color w:val="000000"/>
          <w:sz w:val="24"/>
        </w:rPr>
        <w:t xml:space="preserve">la relación completa de espacios deportivos que administra, opera o supervisa, el Instituto de Cultura Física y Deporte de Tepotzotlán (IMCUFIDE) de los ejercicios fiscales 2023, 2024 y 2025, en el que se advierta: </w:t>
      </w:r>
    </w:p>
    <w:p w:rsidR="00F344D4" w:rsidRPr="00D869E9" w:rsidRDefault="00F344D4" w:rsidP="00F344D4">
      <w:pPr>
        <w:pStyle w:val="Prrafodelista"/>
        <w:rPr>
          <w:rFonts w:ascii="Palatino Linotype" w:hAnsi="Palatino Linotype"/>
          <w:color w:val="000000"/>
          <w:sz w:val="24"/>
        </w:rPr>
      </w:pPr>
    </w:p>
    <w:p w:rsidR="00F344D4" w:rsidRPr="00D869E9" w:rsidRDefault="00F344D4" w:rsidP="00F344D4">
      <w:pPr>
        <w:pStyle w:val="Prrafodelista"/>
        <w:tabs>
          <w:tab w:val="left" w:pos="284"/>
          <w:tab w:val="left" w:pos="567"/>
        </w:tabs>
        <w:spacing w:line="360" w:lineRule="auto"/>
        <w:ind w:left="851" w:right="1389"/>
        <w:jc w:val="both"/>
        <w:rPr>
          <w:rFonts w:ascii="Palatino Linotype" w:hAnsi="Palatino Linotype"/>
          <w:color w:val="000000"/>
          <w:sz w:val="24"/>
        </w:rPr>
      </w:pPr>
      <w:r w:rsidRPr="00D869E9">
        <w:rPr>
          <w:rFonts w:ascii="Palatino Linotype" w:hAnsi="Palatino Linotype"/>
          <w:color w:val="000000"/>
          <w:sz w:val="24"/>
        </w:rPr>
        <w:t xml:space="preserve">a) Nombre </w:t>
      </w:r>
    </w:p>
    <w:p w:rsidR="00F344D4" w:rsidRPr="00D869E9" w:rsidRDefault="00F344D4" w:rsidP="00F344D4">
      <w:pPr>
        <w:pStyle w:val="Prrafodelista"/>
        <w:tabs>
          <w:tab w:val="left" w:pos="284"/>
          <w:tab w:val="left" w:pos="567"/>
        </w:tabs>
        <w:spacing w:line="360" w:lineRule="auto"/>
        <w:ind w:left="851" w:right="1389"/>
        <w:jc w:val="both"/>
        <w:rPr>
          <w:rFonts w:ascii="Palatino Linotype" w:hAnsi="Palatino Linotype"/>
          <w:color w:val="000000"/>
          <w:sz w:val="24"/>
        </w:rPr>
      </w:pPr>
      <w:r w:rsidRPr="00D869E9">
        <w:rPr>
          <w:rFonts w:ascii="Palatino Linotype" w:hAnsi="Palatino Linotype"/>
          <w:color w:val="000000"/>
          <w:sz w:val="24"/>
        </w:rPr>
        <w:t xml:space="preserve">b) Ubicación </w:t>
      </w:r>
    </w:p>
    <w:p w:rsidR="00F344D4" w:rsidRPr="00D869E9" w:rsidRDefault="00F344D4" w:rsidP="00F344D4">
      <w:pPr>
        <w:pStyle w:val="Prrafodelista"/>
        <w:tabs>
          <w:tab w:val="left" w:pos="284"/>
          <w:tab w:val="left" w:pos="567"/>
        </w:tabs>
        <w:spacing w:line="360" w:lineRule="auto"/>
        <w:ind w:left="851" w:right="1389"/>
        <w:jc w:val="both"/>
        <w:rPr>
          <w:rFonts w:ascii="Palatino Linotype" w:hAnsi="Palatino Linotype"/>
          <w:color w:val="000000"/>
          <w:sz w:val="24"/>
        </w:rPr>
      </w:pPr>
      <w:r w:rsidRPr="00D869E9">
        <w:rPr>
          <w:rFonts w:ascii="Palatino Linotype" w:hAnsi="Palatino Linotype"/>
          <w:color w:val="000000"/>
          <w:sz w:val="24"/>
        </w:rPr>
        <w:t xml:space="preserve">c) Tipo de espacio deportivo </w:t>
      </w:r>
    </w:p>
    <w:p w:rsidR="00F344D4" w:rsidRPr="00D869E9" w:rsidRDefault="00F344D4" w:rsidP="00F344D4">
      <w:pPr>
        <w:pStyle w:val="Prrafodelista"/>
        <w:tabs>
          <w:tab w:val="left" w:pos="284"/>
          <w:tab w:val="left" w:pos="567"/>
        </w:tabs>
        <w:spacing w:line="360" w:lineRule="auto"/>
        <w:ind w:left="851" w:right="1389"/>
        <w:jc w:val="both"/>
        <w:rPr>
          <w:rFonts w:ascii="Palatino Linotype" w:hAnsi="Palatino Linotype"/>
          <w:color w:val="000000"/>
          <w:sz w:val="24"/>
        </w:rPr>
      </w:pPr>
      <w:r w:rsidRPr="00D869E9">
        <w:rPr>
          <w:rFonts w:ascii="Palatino Linotype" w:hAnsi="Palatino Linotype"/>
          <w:color w:val="000000"/>
          <w:sz w:val="24"/>
        </w:rPr>
        <w:t xml:space="preserve">d) Si es propiedad municipal o se encuentra bajo otra figura jurídica </w:t>
      </w:r>
    </w:p>
    <w:p w:rsidR="00F344D4" w:rsidRPr="00D869E9" w:rsidRDefault="00F344D4" w:rsidP="00F344D4">
      <w:pPr>
        <w:pStyle w:val="Prrafodelista"/>
        <w:tabs>
          <w:tab w:val="left" w:pos="284"/>
          <w:tab w:val="left" w:pos="567"/>
        </w:tabs>
        <w:spacing w:line="360" w:lineRule="auto"/>
        <w:ind w:left="851" w:right="1389"/>
        <w:jc w:val="both"/>
        <w:rPr>
          <w:rFonts w:ascii="Palatino Linotype" w:hAnsi="Palatino Linotype"/>
          <w:color w:val="000000"/>
          <w:sz w:val="24"/>
        </w:rPr>
      </w:pPr>
      <w:r w:rsidRPr="00D869E9">
        <w:rPr>
          <w:rFonts w:ascii="Palatino Linotype" w:hAnsi="Palatino Linotype"/>
          <w:color w:val="000000"/>
          <w:sz w:val="24"/>
        </w:rPr>
        <w:t xml:space="preserve">e) Dependencia o área propietaria del inmueble </w:t>
      </w:r>
    </w:p>
    <w:p w:rsidR="00F344D4" w:rsidRPr="00D869E9" w:rsidRDefault="00F344D4" w:rsidP="00F344D4">
      <w:pPr>
        <w:pStyle w:val="Prrafodelista"/>
        <w:tabs>
          <w:tab w:val="left" w:pos="284"/>
          <w:tab w:val="left" w:pos="567"/>
        </w:tabs>
        <w:spacing w:line="360" w:lineRule="auto"/>
        <w:ind w:left="851" w:right="1389"/>
        <w:jc w:val="both"/>
        <w:rPr>
          <w:rFonts w:ascii="Palatino Linotype" w:eastAsia="Calibri" w:hAnsi="Palatino Linotype" w:cs="Arial"/>
          <w:color w:val="000000" w:themeColor="text1"/>
          <w:sz w:val="24"/>
          <w:lang w:val="es-ES"/>
        </w:rPr>
      </w:pPr>
      <w:r w:rsidRPr="00D869E9">
        <w:rPr>
          <w:rFonts w:ascii="Palatino Linotype" w:hAnsi="Palatino Linotype"/>
          <w:color w:val="000000"/>
          <w:sz w:val="24"/>
        </w:rPr>
        <w:t>f) En caso de que el Instituto opere espacios que no formen parte del patrimonio municipal, solicito se indique el fundamento jurídico correspondiente.</w:t>
      </w:r>
    </w:p>
    <w:p w:rsidR="00F74F44" w:rsidRPr="00D869E9" w:rsidRDefault="00F74F44" w:rsidP="00F74F44">
      <w:pPr>
        <w:pStyle w:val="Prrafodelista"/>
        <w:rPr>
          <w:rFonts w:ascii="Palatino Linotype" w:eastAsia="Palatino Linotype" w:hAnsi="Palatino Linotype" w:cs="Palatino Linotype"/>
          <w:color w:val="000000"/>
          <w:sz w:val="24"/>
        </w:rPr>
      </w:pPr>
    </w:p>
    <w:p w:rsidR="00D869E9" w:rsidRDefault="00F74F44" w:rsidP="00D869E9">
      <w:pPr>
        <w:pStyle w:val="Prrafodelista"/>
        <w:numPr>
          <w:ilvl w:val="0"/>
          <w:numId w:val="1"/>
        </w:numPr>
        <w:tabs>
          <w:tab w:val="left" w:pos="284"/>
          <w:tab w:val="left" w:pos="567"/>
        </w:tabs>
        <w:spacing w:line="360" w:lineRule="auto"/>
        <w:ind w:left="0" w:firstLine="0"/>
        <w:jc w:val="both"/>
        <w:rPr>
          <w:rFonts w:ascii="Palatino Linotype" w:eastAsia="Palatino Linotype" w:hAnsi="Palatino Linotype" w:cs="Palatino Linotype"/>
          <w:color w:val="000000"/>
          <w:sz w:val="24"/>
        </w:rPr>
      </w:pPr>
      <w:r w:rsidRPr="00D869E9">
        <w:rPr>
          <w:rFonts w:ascii="Palatino Linotype" w:eastAsia="Palatino Linotype" w:hAnsi="Palatino Linotype" w:cs="Palatino Linotype"/>
          <w:color w:val="000000"/>
          <w:sz w:val="24"/>
        </w:rPr>
        <w:t xml:space="preserve">Posteriormente, derivado de la falta de respuesta por parte del Sujeto Obligado, el Recurrente interpuso recurso de revisión por la negativa de la información. Ante ello, el Sujeto Obligado remitió informe justificado </w:t>
      </w:r>
      <w:r w:rsidR="00180BAF" w:rsidRPr="00D869E9">
        <w:rPr>
          <w:rFonts w:ascii="Palatino Linotype" w:eastAsia="Palatino Linotype" w:hAnsi="Palatino Linotype" w:cs="Palatino Linotype"/>
          <w:color w:val="000000"/>
          <w:sz w:val="24"/>
        </w:rPr>
        <w:t xml:space="preserve">en el que señaló su incompetencia para conocer de la información solicitada. </w:t>
      </w:r>
    </w:p>
    <w:p w:rsidR="00D869E9" w:rsidRPr="00D869E9" w:rsidRDefault="00D869E9" w:rsidP="00D869E9">
      <w:pPr>
        <w:pStyle w:val="Prrafodelista"/>
        <w:tabs>
          <w:tab w:val="left" w:pos="284"/>
          <w:tab w:val="left" w:pos="567"/>
        </w:tabs>
        <w:spacing w:line="360" w:lineRule="auto"/>
        <w:ind w:left="0"/>
        <w:jc w:val="both"/>
        <w:rPr>
          <w:rFonts w:ascii="Palatino Linotype" w:eastAsia="Palatino Linotype" w:hAnsi="Palatino Linotype" w:cs="Palatino Linotype"/>
          <w:color w:val="000000"/>
          <w:sz w:val="24"/>
        </w:rPr>
      </w:pPr>
    </w:p>
    <w:p w:rsidR="00180BAF" w:rsidRPr="00D869E9" w:rsidRDefault="00180BAF" w:rsidP="00180BAF">
      <w:pPr>
        <w:pStyle w:val="Prrafodelista"/>
        <w:numPr>
          <w:ilvl w:val="0"/>
          <w:numId w:val="1"/>
        </w:numPr>
        <w:tabs>
          <w:tab w:val="left" w:pos="284"/>
          <w:tab w:val="left" w:pos="567"/>
        </w:tabs>
        <w:spacing w:line="360" w:lineRule="auto"/>
        <w:ind w:left="0" w:firstLine="0"/>
        <w:jc w:val="both"/>
        <w:rPr>
          <w:rFonts w:ascii="Palatino Linotype" w:eastAsia="Palatino Linotype" w:hAnsi="Palatino Linotype" w:cs="Palatino Linotype"/>
          <w:color w:val="000000"/>
          <w:sz w:val="24"/>
        </w:rPr>
      </w:pPr>
      <w:r w:rsidRPr="00D869E9">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rsidR="00180BAF" w:rsidRPr="00D869E9" w:rsidRDefault="00180BAF" w:rsidP="00180BAF">
      <w:pPr>
        <w:autoSpaceDE w:val="0"/>
        <w:autoSpaceDN w:val="0"/>
        <w:adjustRightInd w:val="0"/>
        <w:spacing w:line="360" w:lineRule="auto"/>
        <w:ind w:left="851" w:right="822"/>
        <w:jc w:val="both"/>
        <w:rPr>
          <w:rFonts w:ascii="Palatino Linotype" w:hAnsi="Palatino Linotype" w:cs="Bookman Old Style"/>
          <w:i/>
          <w:sz w:val="24"/>
          <w:szCs w:val="24"/>
        </w:rPr>
      </w:pPr>
      <w:r w:rsidRPr="00D869E9">
        <w:rPr>
          <w:rFonts w:ascii="Palatino Linotype" w:hAnsi="Palatino Linotype" w:cs="Bookman Old Style,Bold"/>
          <w:b/>
          <w:bCs/>
          <w:i/>
          <w:sz w:val="24"/>
          <w:szCs w:val="24"/>
        </w:rPr>
        <w:lastRenderedPageBreak/>
        <w:t xml:space="preserve">Artículo 167. </w:t>
      </w:r>
      <w:r w:rsidRPr="00D869E9">
        <w:rPr>
          <w:rFonts w:ascii="Palatino Linotype" w:hAnsi="Palatino Linotype" w:cs="Bookman Old Style"/>
          <w:i/>
          <w:sz w:val="24"/>
          <w:szCs w:val="24"/>
        </w:rPr>
        <w:t xml:space="preserve">Cuando las </w:t>
      </w:r>
      <w:r w:rsidRPr="00D869E9">
        <w:rPr>
          <w:rFonts w:ascii="Palatino Linotype" w:hAnsi="Palatino Linotype" w:cs="Bookman Old Style"/>
          <w:b/>
          <w:i/>
          <w:sz w:val="24"/>
          <w:szCs w:val="24"/>
        </w:rPr>
        <w:t>unidades de transparencia determinen la notoria incompetencia por parte de los sujetos obligado</w:t>
      </w:r>
      <w:r w:rsidRPr="00D869E9">
        <w:rPr>
          <w:rFonts w:ascii="Palatino Linotype" w:hAnsi="Palatino Linotype" w:cs="Bookman Old Style"/>
          <w:i/>
          <w:sz w:val="24"/>
          <w:szCs w:val="24"/>
        </w:rPr>
        <w:t xml:space="preserve">s, dentro del ámbito de aplicación, para atender la solicitud de acceso a la información, deberán comunicarlo al solicitante, dentro de los </w:t>
      </w:r>
      <w:r w:rsidRPr="00D869E9">
        <w:rPr>
          <w:rFonts w:ascii="Palatino Linotype" w:hAnsi="Palatino Linotype" w:cs="Bookman Old Style"/>
          <w:b/>
          <w:i/>
          <w:sz w:val="24"/>
          <w:szCs w:val="24"/>
        </w:rPr>
        <w:t>tres días hábiles posteriores a la recepción de la solicitud</w:t>
      </w:r>
      <w:r w:rsidRPr="00D869E9">
        <w:rPr>
          <w:rFonts w:ascii="Palatino Linotype" w:hAnsi="Palatino Linotype" w:cs="Bookman Old Style"/>
          <w:i/>
          <w:sz w:val="24"/>
          <w:szCs w:val="24"/>
        </w:rPr>
        <w:t xml:space="preserve"> y, en su caso orientar al solicitante, el o los sujetos obligados competentes. </w:t>
      </w:r>
    </w:p>
    <w:p w:rsidR="00180BAF" w:rsidRPr="00D869E9" w:rsidRDefault="00180BAF" w:rsidP="00180BAF">
      <w:pPr>
        <w:pStyle w:val="Prrafodelista"/>
        <w:spacing w:line="360" w:lineRule="auto"/>
        <w:ind w:left="0"/>
        <w:jc w:val="both"/>
        <w:rPr>
          <w:rFonts w:ascii="Palatino Linotype" w:eastAsia="Calibri" w:hAnsi="Palatino Linotype" w:cs="Arial"/>
          <w:sz w:val="24"/>
        </w:rPr>
      </w:pPr>
    </w:p>
    <w:p w:rsidR="00180BAF" w:rsidRPr="00D869E9" w:rsidRDefault="00180BAF" w:rsidP="00180BAF">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D869E9">
        <w:rPr>
          <w:rFonts w:ascii="Palatino Linotype" w:eastAsia="Calibri" w:hAnsi="Palatino Linotype" w:cs="Arial"/>
          <w:sz w:val="24"/>
        </w:rPr>
        <w:t xml:space="preserve">Tal y como se aprecia, los Sujetos Obligados al detectar qué una solicitud de acceso a la información </w:t>
      </w:r>
      <w:r w:rsidRPr="00D869E9">
        <w:rPr>
          <w:rFonts w:ascii="Palatino Linotype" w:eastAsia="Calibri" w:hAnsi="Palatino Linotype" w:cs="Arial"/>
          <w:b/>
          <w:sz w:val="24"/>
        </w:rPr>
        <w:t>NO</w:t>
      </w:r>
      <w:r w:rsidRPr="00D869E9">
        <w:rPr>
          <w:rFonts w:ascii="Palatino Linotype" w:eastAsia="Calibri" w:hAnsi="Palatino Linotype" w:cs="Arial"/>
          <w:sz w:val="24"/>
        </w:rPr>
        <w:t xml:space="preserve"> es de su competencia, dentro de los 3 días posteriores a su recepción, deberán de comunicar tal situación al Recurrente y, en su caso orientarlo al Sujeto Obligado correspondiente, situación que no sucedió en el presente caso, sin embargo, a través de informe justificado señaló su incompetencia para conocer  de la información solicitada</w:t>
      </w:r>
      <w:r w:rsidR="00206264" w:rsidRPr="00D869E9">
        <w:rPr>
          <w:rFonts w:ascii="Palatino Linotype" w:eastAsia="Calibri" w:hAnsi="Palatino Linotype" w:cs="Arial"/>
          <w:sz w:val="24"/>
        </w:rPr>
        <w:t xml:space="preserve">, por tratarse de un Sujeto Obligado diverso. </w:t>
      </w:r>
    </w:p>
    <w:p w:rsidR="00180BAF" w:rsidRPr="00D869E9" w:rsidRDefault="00180BAF" w:rsidP="00180BAF">
      <w:pPr>
        <w:pStyle w:val="Prrafodelista"/>
        <w:spacing w:before="100" w:beforeAutospacing="1" w:after="100" w:afterAutospacing="1" w:line="360" w:lineRule="auto"/>
        <w:ind w:left="0"/>
        <w:jc w:val="both"/>
        <w:rPr>
          <w:rFonts w:ascii="Palatino Linotype" w:eastAsia="Calibri" w:hAnsi="Palatino Linotype" w:cs="Arial"/>
          <w:sz w:val="24"/>
        </w:rPr>
      </w:pPr>
    </w:p>
    <w:p w:rsidR="00D869E9" w:rsidRDefault="00180BAF" w:rsidP="00F22C5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 xml:space="preserve">En ese sentido, conviene </w:t>
      </w:r>
      <w:r w:rsidR="00F22C5A" w:rsidRPr="00D869E9">
        <w:rPr>
          <w:rFonts w:ascii="Palatino Linotype" w:eastAsia="Palatino Linotype" w:hAnsi="Palatino Linotype" w:cs="Palatino Linotype"/>
          <w:color w:val="000000"/>
          <w:sz w:val="24"/>
          <w:szCs w:val="24"/>
        </w:rPr>
        <w:t xml:space="preserve">traer a contexto que, de acuerdo al Padrón de Sujeto Obligados en Materia de Transparencia y Acceso a la Información Pública del Estado de México y Municipios, </w:t>
      </w:r>
      <w:r w:rsidR="00FA3CB1" w:rsidRPr="00D869E9">
        <w:rPr>
          <w:rFonts w:ascii="Palatino Linotype" w:eastAsia="Palatino Linotype" w:hAnsi="Palatino Linotype" w:cs="Palatino Linotype"/>
          <w:color w:val="000000"/>
          <w:sz w:val="24"/>
          <w:szCs w:val="24"/>
        </w:rPr>
        <w:t xml:space="preserve"> </w:t>
      </w:r>
      <w:r w:rsidR="00F22C5A" w:rsidRPr="00D869E9">
        <w:rPr>
          <w:rFonts w:ascii="Palatino Linotype" w:eastAsia="Palatino Linotype" w:hAnsi="Palatino Linotype" w:cs="Palatino Linotype"/>
          <w:color w:val="000000"/>
          <w:sz w:val="24"/>
          <w:szCs w:val="24"/>
        </w:rPr>
        <w:t>el Ayuntamiento de Tepotzotlán y el Instituto de Cultura Física y de Deporte de Tepotzotlán, son Sujeto Obligados diversos, es decir, que el Ayuntamiento de Tepotzotlán resulta incompetente para conocer de la información solicitada.</w:t>
      </w:r>
    </w:p>
    <w:p w:rsidR="00F344D4" w:rsidRPr="00D869E9" w:rsidRDefault="00F22C5A" w:rsidP="00D869E9">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 xml:space="preserve"> </w:t>
      </w:r>
    </w:p>
    <w:p w:rsidR="00F74F44" w:rsidRPr="00D869E9" w:rsidRDefault="00F74F44" w:rsidP="00F22C5A">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Palatino Linotype" w:hAnsi="Palatino Linotype" w:cs="Palatino Linotype"/>
          <w:color w:val="000000"/>
          <w:sz w:val="24"/>
          <w:szCs w:val="24"/>
        </w:rPr>
        <w:t>Como se advierte, la información remitida en informe justificado colma el r</w:t>
      </w:r>
      <w:r w:rsidR="00F22C5A" w:rsidRPr="00D869E9">
        <w:rPr>
          <w:rFonts w:ascii="Palatino Linotype" w:eastAsia="Palatino Linotype" w:hAnsi="Palatino Linotype" w:cs="Palatino Linotype"/>
          <w:color w:val="000000"/>
          <w:sz w:val="24"/>
          <w:szCs w:val="24"/>
        </w:rPr>
        <w:t>equerimiento referente, al referir que es incompetente para conocer de la información solicitada.</w:t>
      </w:r>
    </w:p>
    <w:p w:rsidR="00F22C5A" w:rsidRPr="00D869E9" w:rsidRDefault="00F22C5A" w:rsidP="00F22C5A">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Calibri" w:hAnsi="Palatino Linotype" w:cs="Arial"/>
          <w:color w:val="000000" w:themeColor="text1"/>
          <w:sz w:val="24"/>
          <w:szCs w:val="24"/>
          <w:lang w:val="es-ES"/>
        </w:rPr>
        <w:lastRenderedPageBreak/>
        <w:t xml:space="preserve">Así, </w:t>
      </w:r>
      <w:r w:rsidRPr="00D869E9">
        <w:rPr>
          <w:rFonts w:ascii="Palatino Linotype" w:eastAsia="Calibri" w:hAnsi="Palatino Linotype"/>
          <w:sz w:val="24"/>
          <w:szCs w:val="24"/>
        </w:rPr>
        <w:t xml:space="preserve">este Pleno advierte que el </w:t>
      </w:r>
      <w:r w:rsidRPr="00D869E9">
        <w:rPr>
          <w:rFonts w:ascii="Palatino Linotype" w:eastAsia="Calibri" w:hAnsi="Palatino Linotype"/>
          <w:b/>
          <w:sz w:val="24"/>
          <w:szCs w:val="24"/>
        </w:rPr>
        <w:t>SUJETO OBLIGADO</w:t>
      </w:r>
      <w:r w:rsidRPr="00D869E9">
        <w:rPr>
          <w:rFonts w:ascii="Palatino Linotype" w:eastAsia="Calibri" w:hAnsi="Palatino Linotype"/>
          <w:sz w:val="24"/>
          <w:szCs w:val="24"/>
        </w:rPr>
        <w:t xml:space="preserve"> </w:t>
      </w:r>
      <w:r w:rsidRPr="00D869E9">
        <w:rPr>
          <w:rFonts w:ascii="Palatino Linotype" w:eastAsia="Calibri" w:hAnsi="Palatino Linotype"/>
          <w:b/>
          <w:sz w:val="24"/>
          <w:szCs w:val="24"/>
        </w:rPr>
        <w:t xml:space="preserve">modificó </w:t>
      </w:r>
      <w:r w:rsidRPr="00D869E9">
        <w:rPr>
          <w:rFonts w:ascii="Palatino Linotype" w:eastAsia="Calibri" w:hAnsi="Palatino Linotype"/>
          <w:sz w:val="24"/>
          <w:szCs w:val="24"/>
        </w:rPr>
        <w:t>el acto que le dio origen a al recurso de revisión y que, a través de informe justificado entregó el organigrama solicitado, lo que trae como consecuencia que el mismo quede sin materia, actualizándose de este modo, la hipótesis jurídica contenida en la fracción III del artículo 192 de la Ley de Transparencia Local.</w:t>
      </w:r>
    </w:p>
    <w:p w:rsidR="00F74F44" w:rsidRPr="00D869E9" w:rsidRDefault="00F74F44" w:rsidP="00F74F44">
      <w:pPr>
        <w:pStyle w:val="Prrafodelista"/>
        <w:rPr>
          <w:rFonts w:ascii="Palatino Linotype" w:eastAsia="Calibri" w:hAnsi="Palatino Linotype" w:cs="Arial"/>
          <w:color w:val="000000" w:themeColor="text1"/>
          <w:sz w:val="24"/>
          <w:lang w:val="es-ES"/>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Calibri" w:hAnsi="Palatino Linotype" w:cs="Arial"/>
          <w:color w:val="000000" w:themeColor="text1"/>
          <w:sz w:val="24"/>
          <w:szCs w:val="24"/>
          <w:lang w:val="es-ES"/>
        </w:rPr>
        <w:t xml:space="preserve">Ahora bien, </w:t>
      </w:r>
      <w:r w:rsidRPr="00D869E9">
        <w:rPr>
          <w:rFonts w:ascii="Palatino Linotype" w:eastAsia="Calibri" w:hAnsi="Palatino Linotype"/>
          <w:sz w:val="24"/>
          <w:szCs w:val="24"/>
        </w:rPr>
        <w:t xml:space="preserve">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D869E9">
        <w:rPr>
          <w:rFonts w:ascii="Palatino Linotype" w:eastAsia="Calibri" w:hAnsi="Palatino Linotype"/>
          <w:b/>
          <w:sz w:val="24"/>
          <w:szCs w:val="24"/>
        </w:rPr>
        <w:t>SUJETOS OBLIGADOS</w:t>
      </w:r>
      <w:r w:rsidRPr="00D869E9">
        <w:rPr>
          <w:rFonts w:ascii="Palatino Linotype" w:eastAsia="Calibri" w:hAnsi="Palatino Linotype"/>
          <w:sz w:val="24"/>
          <w:szCs w:val="24"/>
        </w:rPr>
        <w:t xml:space="preserve"> o la negativa de entrega de esta, derivada de la solicitud de información pública.</w:t>
      </w:r>
    </w:p>
    <w:p w:rsidR="00F74F44" w:rsidRPr="00D869E9" w:rsidRDefault="00F74F44" w:rsidP="00F74F44">
      <w:pPr>
        <w:pStyle w:val="Prrafodelista"/>
        <w:rPr>
          <w:rFonts w:ascii="Palatino Linotype" w:eastAsia="Calibri" w:hAnsi="Palatino Linotype" w:cs="Arial"/>
          <w:color w:val="000000" w:themeColor="text1"/>
          <w:sz w:val="24"/>
          <w:lang w:val="es-ES"/>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Calibri" w:hAnsi="Palatino Linotype" w:cs="Arial"/>
          <w:color w:val="000000" w:themeColor="text1"/>
          <w:sz w:val="24"/>
          <w:szCs w:val="24"/>
          <w:lang w:val="es-ES"/>
        </w:rPr>
        <w:t xml:space="preserve">De </w:t>
      </w:r>
      <w:r w:rsidRPr="00D869E9">
        <w:rPr>
          <w:rFonts w:ascii="Palatino Linotype" w:eastAsia="Calibri" w:hAnsi="Palatino Linotype"/>
          <w:sz w:val="24"/>
          <w:szCs w:val="24"/>
        </w:rPr>
        <w:t xml:space="preserve">este modo, cuando el </w:t>
      </w:r>
      <w:r w:rsidRPr="00D869E9">
        <w:rPr>
          <w:rFonts w:ascii="Palatino Linotype" w:eastAsia="Calibri" w:hAnsi="Palatino Linotype"/>
          <w:b/>
          <w:sz w:val="24"/>
          <w:szCs w:val="24"/>
        </w:rPr>
        <w:t xml:space="preserve">SUJETO OBLIGADO, </w:t>
      </w:r>
      <w:r w:rsidRPr="00D869E9">
        <w:rPr>
          <w:rFonts w:ascii="Palatino Linotype" w:eastAsia="Calibri" w:hAnsi="Palatino Linotype"/>
          <w:sz w:val="24"/>
          <w:szCs w:val="24"/>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D869E9">
        <w:rPr>
          <w:rFonts w:ascii="Palatino Linotype" w:eastAsia="Calibri" w:hAnsi="Palatino Linotype"/>
          <w:i/>
          <w:sz w:val="24"/>
          <w:szCs w:val="24"/>
        </w:rPr>
        <w:t>litis</w:t>
      </w:r>
      <w:r w:rsidRPr="00D869E9">
        <w:rPr>
          <w:rFonts w:ascii="Palatino Linotype" w:eastAsia="Calibri" w:hAnsi="Palatino Linotype"/>
          <w:sz w:val="24"/>
          <w:szCs w:val="24"/>
        </w:rPr>
        <w:t xml:space="preserve"> planteada, debido a que la afectación en su esfera de derechos fue restituida por la propia autoridad que emitió el acto motivo de impugnación.</w:t>
      </w:r>
    </w:p>
    <w:p w:rsidR="00F74F44" w:rsidRPr="00D869E9" w:rsidRDefault="00F74F44" w:rsidP="00F74F44">
      <w:pPr>
        <w:pStyle w:val="Prrafodelista"/>
        <w:rPr>
          <w:rFonts w:ascii="Palatino Linotype" w:eastAsia="Calibri" w:hAnsi="Palatino Linotype" w:cs="Arial"/>
          <w:color w:val="000000" w:themeColor="text1"/>
          <w:sz w:val="24"/>
          <w:lang w:val="es-ES"/>
        </w:rPr>
      </w:pPr>
    </w:p>
    <w:p w:rsidR="00F74F44" w:rsidRPr="00D869E9" w:rsidRDefault="00F74F44" w:rsidP="00F74F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szCs w:val="24"/>
        </w:rPr>
      </w:pPr>
      <w:r w:rsidRPr="00D869E9">
        <w:rPr>
          <w:rFonts w:ascii="Palatino Linotype" w:eastAsia="Calibri" w:hAnsi="Palatino Linotype" w:cs="Arial"/>
          <w:color w:val="000000" w:themeColor="text1"/>
          <w:sz w:val="24"/>
          <w:szCs w:val="24"/>
          <w:lang w:val="es-ES"/>
        </w:rPr>
        <w:t xml:space="preserve">Sirve </w:t>
      </w:r>
      <w:r w:rsidRPr="00D869E9">
        <w:rPr>
          <w:rFonts w:ascii="Palatino Linotype" w:eastAsia="Calibri" w:hAnsi="Palatino Linotype"/>
          <w:sz w:val="24"/>
          <w:szCs w:val="24"/>
        </w:rPr>
        <w:t>de sustento a lo anterior la siguiente jurisprudencia por contradicción, cuyo rubro, texto y datos de identificación son los siguientes:</w:t>
      </w:r>
    </w:p>
    <w:p w:rsidR="00F74F44" w:rsidRPr="00D869E9" w:rsidRDefault="00F74F44" w:rsidP="00F74F44">
      <w:pPr>
        <w:rPr>
          <w:rFonts w:ascii="Palatino Linotype" w:eastAsia="Calibri" w:hAnsi="Palatino Linotype" w:cs="Arial"/>
          <w:color w:val="000000" w:themeColor="text1"/>
          <w:sz w:val="24"/>
          <w:szCs w:val="24"/>
          <w:lang w:val="es-ES"/>
        </w:rPr>
      </w:pPr>
    </w:p>
    <w:p w:rsidR="00F74F44" w:rsidRPr="00D869E9" w:rsidRDefault="00F74F44" w:rsidP="00F74F44">
      <w:pPr>
        <w:pStyle w:val="Prrafodelista"/>
        <w:tabs>
          <w:tab w:val="left" w:pos="709"/>
          <w:tab w:val="left" w:pos="851"/>
        </w:tabs>
        <w:spacing w:line="360" w:lineRule="auto"/>
        <w:ind w:left="851" w:right="822"/>
        <w:jc w:val="both"/>
        <w:rPr>
          <w:rFonts w:ascii="Palatino Linotype" w:eastAsia="Calibri" w:hAnsi="Palatino Linotype" w:cs="Arial"/>
          <w:color w:val="000000" w:themeColor="text1"/>
          <w:sz w:val="24"/>
          <w:lang w:val="es-ES"/>
        </w:rPr>
      </w:pPr>
      <w:r w:rsidRPr="00D869E9">
        <w:rPr>
          <w:rFonts w:ascii="Palatino Linotype" w:eastAsia="Calibri" w:hAnsi="Palatino Linotype"/>
          <w:b/>
          <w:i/>
          <w:sz w:val="24"/>
        </w:rPr>
        <w:t xml:space="preserve">CESACIÓN DE EFECTOS DEL ACTO RECLAMADO POR VIOLACIÓN AL ARTÍCULO 8o. DE LA CONSTITUCIÓN POLÍTICA DE LOS ESTADOS </w:t>
      </w:r>
      <w:r w:rsidRPr="00D869E9">
        <w:rPr>
          <w:rFonts w:ascii="Palatino Linotype" w:eastAsia="Calibri" w:hAnsi="Palatino Linotype"/>
          <w:b/>
          <w:i/>
          <w:sz w:val="24"/>
        </w:rPr>
        <w:lastRenderedPageBreak/>
        <w:t>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D869E9">
        <w:rPr>
          <w:rFonts w:ascii="Palatino Linotype" w:eastAsia="Calibri" w:hAnsi="Palatino Linotype"/>
          <w:i/>
          <w:sz w:val="24"/>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F74F44" w:rsidRPr="00D869E9" w:rsidRDefault="00F74F44" w:rsidP="00F74F44">
      <w:pPr>
        <w:pStyle w:val="Prrafodelista"/>
        <w:tabs>
          <w:tab w:val="left" w:pos="284"/>
          <w:tab w:val="left" w:pos="567"/>
        </w:tabs>
        <w:spacing w:line="360" w:lineRule="auto"/>
        <w:ind w:left="0"/>
        <w:jc w:val="both"/>
        <w:rPr>
          <w:rFonts w:ascii="Palatino Linotype" w:eastAsia="Calibri" w:hAnsi="Palatino Linotype" w:cs="Arial"/>
          <w:color w:val="000000" w:themeColor="text1"/>
          <w:sz w:val="24"/>
          <w:lang w:val="es-ES"/>
        </w:rPr>
      </w:pPr>
    </w:p>
    <w:p w:rsidR="00F74F44" w:rsidRPr="00D869E9" w:rsidRDefault="00F74F44" w:rsidP="00F74F44">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lang w:val="es-ES"/>
        </w:rPr>
        <w:t xml:space="preserve">La </w:t>
      </w:r>
      <w:r w:rsidRPr="00D869E9">
        <w:rPr>
          <w:rFonts w:ascii="Palatino Linotype" w:eastAsia="Calibri" w:hAnsi="Palatino Linotype"/>
          <w:sz w:val="24"/>
        </w:rPr>
        <w:t xml:space="preserve">anterior jurisprudencia resulta aplicable al presente asunto, en dos aspectos: </w:t>
      </w:r>
    </w:p>
    <w:p w:rsidR="00F74F44" w:rsidRPr="00D869E9" w:rsidRDefault="00F74F44" w:rsidP="00F74F44">
      <w:pPr>
        <w:pStyle w:val="Prrafodelista"/>
        <w:tabs>
          <w:tab w:val="left" w:pos="426"/>
          <w:tab w:val="left" w:pos="567"/>
        </w:tabs>
        <w:spacing w:line="360" w:lineRule="auto"/>
        <w:ind w:left="0"/>
        <w:jc w:val="both"/>
        <w:rPr>
          <w:rFonts w:ascii="Palatino Linotype" w:eastAsia="Calibri" w:hAnsi="Palatino Linotype"/>
          <w:sz w:val="24"/>
        </w:rPr>
      </w:pPr>
    </w:p>
    <w:p w:rsidR="00F74F44" w:rsidRPr="00D869E9" w:rsidRDefault="00F74F44" w:rsidP="00F74F44">
      <w:pPr>
        <w:numPr>
          <w:ilvl w:val="0"/>
          <w:numId w:val="4"/>
        </w:numPr>
        <w:spacing w:line="360" w:lineRule="auto"/>
        <w:ind w:left="567" w:right="616" w:firstLine="0"/>
        <w:contextualSpacing/>
        <w:jc w:val="both"/>
        <w:rPr>
          <w:rFonts w:ascii="Palatino Linotype" w:eastAsia="Calibri" w:hAnsi="Palatino Linotype"/>
          <w:sz w:val="24"/>
          <w:szCs w:val="24"/>
        </w:rPr>
      </w:pPr>
      <w:r w:rsidRPr="00D869E9">
        <w:rPr>
          <w:rFonts w:ascii="Palatino Linotype" w:eastAsia="Calibri" w:hAnsi="Palatino Linotype"/>
          <w:b/>
          <w:sz w:val="24"/>
          <w:szCs w:val="24"/>
        </w:rPr>
        <w:lastRenderedPageBreak/>
        <w:t>La cesación de los efectos perniciosos del acto de autoridad:</w:t>
      </w:r>
      <w:r w:rsidRPr="00D869E9">
        <w:rPr>
          <w:rFonts w:ascii="Palatino Linotype" w:eastAsia="Calibri" w:hAnsi="Palatino Linotype"/>
          <w:sz w:val="24"/>
          <w:szCs w:val="24"/>
        </w:rPr>
        <w:t xml:space="preserve"> Al respecto, la Ley de Transparencia contempla la figura jurídica del sobreseimiento cuando el </w:t>
      </w:r>
      <w:r w:rsidRPr="00D869E9">
        <w:rPr>
          <w:rFonts w:ascii="Palatino Linotype" w:eastAsia="Calibri" w:hAnsi="Palatino Linotype"/>
          <w:b/>
          <w:sz w:val="24"/>
          <w:szCs w:val="24"/>
        </w:rPr>
        <w:t>SUJETO OBLIGADO</w:t>
      </w:r>
      <w:r w:rsidRPr="00D869E9">
        <w:rPr>
          <w:rFonts w:ascii="Palatino Linotype" w:eastAsia="Calibri" w:hAnsi="Palatino Linotype"/>
          <w:sz w:val="24"/>
          <w:szCs w:val="24"/>
        </w:rPr>
        <w:t xml:space="preserve"> de </w:t>
      </w:r>
      <w:r w:rsidRPr="00D869E9">
        <w:rPr>
          <w:rFonts w:ascii="Palatino Linotype" w:eastAsia="Calibri" w:hAnsi="Palatino Linotype"/>
          <w:i/>
          <w:sz w:val="24"/>
          <w:szCs w:val="24"/>
        </w:rPr>
        <w:t>motu proprio</w:t>
      </w:r>
      <w:r w:rsidRPr="00D869E9">
        <w:rPr>
          <w:rFonts w:ascii="Palatino Linotype" w:eastAsia="Calibri" w:hAnsi="Palatino Linotype"/>
          <w:sz w:val="24"/>
          <w:szCs w:val="24"/>
        </w:rPr>
        <w:t xml:space="preserve"> modifica o revoca de tal manera el acto motivo de la impugnación que lo deja sin materia; es decir, cesan los efectos de éste y el derecho de acceso a la información pública se encuentra satisfecho.</w:t>
      </w:r>
    </w:p>
    <w:p w:rsidR="00F74F44" w:rsidRPr="00D869E9" w:rsidRDefault="00F74F44" w:rsidP="00F74F44">
      <w:pPr>
        <w:spacing w:line="360" w:lineRule="auto"/>
        <w:ind w:left="567" w:right="616"/>
        <w:contextualSpacing/>
        <w:rPr>
          <w:rFonts w:ascii="Palatino Linotype" w:eastAsia="Calibri" w:hAnsi="Palatino Linotype"/>
          <w:sz w:val="24"/>
          <w:szCs w:val="24"/>
        </w:rPr>
      </w:pPr>
    </w:p>
    <w:p w:rsidR="00F74F44" w:rsidRPr="00D869E9" w:rsidRDefault="00F74F44" w:rsidP="00F74F44">
      <w:pPr>
        <w:numPr>
          <w:ilvl w:val="0"/>
          <w:numId w:val="4"/>
        </w:numPr>
        <w:spacing w:line="360" w:lineRule="auto"/>
        <w:ind w:left="567" w:right="616" w:firstLine="0"/>
        <w:contextualSpacing/>
        <w:jc w:val="both"/>
        <w:rPr>
          <w:rFonts w:ascii="Palatino Linotype" w:eastAsia="Calibri" w:hAnsi="Palatino Linotype"/>
          <w:sz w:val="24"/>
          <w:szCs w:val="24"/>
        </w:rPr>
      </w:pPr>
      <w:r w:rsidRPr="00D869E9">
        <w:rPr>
          <w:rFonts w:ascii="Palatino Linotype" w:eastAsia="Calibri" w:hAnsi="Palatino Linotype"/>
          <w:b/>
          <w:sz w:val="24"/>
          <w:szCs w:val="24"/>
        </w:rPr>
        <w:t>El momento procesal para modificar el acto impugnado:</w:t>
      </w:r>
      <w:r w:rsidRPr="00D869E9">
        <w:rPr>
          <w:rFonts w:ascii="Palatino Linotype" w:eastAsia="Calibri" w:hAnsi="Palatino Linotype"/>
          <w:sz w:val="24"/>
          <w:szCs w:val="24"/>
        </w:rPr>
        <w:t xml:space="preserve"> Para que se actualice el sobreseimiento de un recurso de revisión, el </w:t>
      </w:r>
      <w:r w:rsidRPr="00D869E9">
        <w:rPr>
          <w:rFonts w:ascii="Palatino Linotype" w:eastAsia="Calibri" w:hAnsi="Palatino Linotype"/>
          <w:b/>
          <w:sz w:val="24"/>
          <w:szCs w:val="24"/>
        </w:rPr>
        <w:t>SUJETO OBLIGADO</w:t>
      </w:r>
      <w:r w:rsidRPr="00D869E9">
        <w:rPr>
          <w:rFonts w:ascii="Palatino Linotype" w:eastAsia="Calibri" w:hAnsi="Palatino Linotype"/>
          <w:sz w:val="24"/>
          <w:szCs w:val="24"/>
        </w:rPr>
        <w:t xml:space="preserve"> puede entregar o completar la información al momento de rendir su informe de justificación o </w:t>
      </w:r>
      <w:r w:rsidRPr="00D869E9">
        <w:rPr>
          <w:rFonts w:ascii="Palatino Linotype" w:eastAsia="Calibri" w:hAnsi="Palatino Linotype"/>
          <w:b/>
          <w:sz w:val="24"/>
          <w:szCs w:val="24"/>
          <w:u w:val="single"/>
        </w:rPr>
        <w:t>posteriormente</w:t>
      </w:r>
      <w:r w:rsidRPr="00D869E9">
        <w:rPr>
          <w:rFonts w:ascii="Palatino Linotype" w:eastAsia="Calibri" w:hAnsi="Palatino Linotype"/>
          <w:sz w:val="24"/>
          <w:szCs w:val="24"/>
        </w:rPr>
        <w:t xml:space="preserve"> a éste, siempre y cuando el Pleno del Instituto no haya dictado resolución definitiva.</w:t>
      </w:r>
    </w:p>
    <w:p w:rsidR="00F74F44" w:rsidRPr="00D869E9" w:rsidRDefault="00F74F44" w:rsidP="00F74F44">
      <w:pPr>
        <w:pStyle w:val="Prrafodelista"/>
        <w:tabs>
          <w:tab w:val="left" w:pos="426"/>
          <w:tab w:val="left" w:pos="567"/>
        </w:tabs>
        <w:spacing w:line="360" w:lineRule="auto"/>
        <w:ind w:left="0"/>
        <w:jc w:val="both"/>
        <w:rPr>
          <w:rFonts w:ascii="Palatino Linotype" w:eastAsia="Calibri" w:hAnsi="Palatino Linotype" w:cs="Arial"/>
          <w:color w:val="000000" w:themeColor="text1"/>
          <w:sz w:val="24"/>
          <w:lang w:val="es-ES"/>
        </w:rPr>
      </w:pPr>
    </w:p>
    <w:p w:rsidR="00F74F44" w:rsidRPr="00D869E9" w:rsidRDefault="00F74F44" w:rsidP="00F74F4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lang w:val="es-ES"/>
        </w:rPr>
        <w:t xml:space="preserve">Eduardo Pallares, </w:t>
      </w:r>
      <w:r w:rsidRPr="00D869E9">
        <w:rPr>
          <w:rFonts w:ascii="Palatino Linotype" w:eastAsia="Calibri" w:hAnsi="Palatino Linotype"/>
          <w:sz w:val="24"/>
        </w:rPr>
        <w:t xml:space="preserve">en su artículo </w:t>
      </w:r>
      <w:r w:rsidRPr="00D869E9">
        <w:rPr>
          <w:rFonts w:ascii="Palatino Linotype" w:eastAsia="Calibri" w:hAnsi="Palatino Linotype"/>
          <w:i/>
          <w:sz w:val="24"/>
        </w:rPr>
        <w:t>“La caducidad y el sobreseimiento en el amparo”</w:t>
      </w:r>
      <w:r w:rsidRPr="00D869E9">
        <w:rPr>
          <w:rFonts w:ascii="Palatino Linotype" w:eastAsia="Calibri" w:hAnsi="Palatino Linotype"/>
          <w:sz w:val="24"/>
        </w:rPr>
        <w:t xml:space="preserve">, cita la definición de Aguilera Paz, aduciendo que se </w:t>
      </w:r>
      <w:r w:rsidRPr="00D869E9">
        <w:rPr>
          <w:rFonts w:ascii="Palatino Linotype" w:eastAsia="Calibri" w:hAnsi="Palatino Linotype"/>
          <w:i/>
          <w:sz w:val="24"/>
        </w:rPr>
        <w:t>“...entiende por sobreseimiento en el tecnicismo forense, el hecho de cesar en el procedimiento o curso de la causa, por no existir méritos bastantes para entrar en un juicio o para entablar la contienda judicial que debe ser objeto del mismo...”</w:t>
      </w:r>
      <w:r w:rsidRPr="00D869E9">
        <w:rPr>
          <w:rFonts w:ascii="Palatino Linotype" w:eastAsia="Calibri" w:hAnsi="Palatino Linotype"/>
          <w:sz w:val="24"/>
        </w:rPr>
        <w:t>. Asimismo, señala que existe el sobreseimiento provisional y el definitivo</w:t>
      </w:r>
      <w:r w:rsidRPr="00D869E9">
        <w:rPr>
          <w:rFonts w:ascii="Palatino Linotype" w:eastAsia="Calibri" w:hAnsi="Palatino Linotype"/>
          <w:i/>
          <w:sz w:val="24"/>
        </w:rPr>
        <w:t>: “...el definitivo es una verdadera sentencia que pone fin al juicio, y que una vez dictada, produce cosa juzgada, mientras que el provisorio tiene por efectos suspender la prosecución de la causa...”</w:t>
      </w:r>
    </w:p>
    <w:p w:rsidR="00F74F44" w:rsidRPr="00D869E9" w:rsidRDefault="00F74F44" w:rsidP="00F74F44">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F74F44" w:rsidRPr="00D869E9" w:rsidRDefault="00F74F44" w:rsidP="00F74F4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lang w:val="es-ES"/>
        </w:rPr>
        <w:t xml:space="preserve">Así, </w:t>
      </w:r>
      <w:r w:rsidRPr="00D869E9">
        <w:rPr>
          <w:rFonts w:ascii="Palatino Linotype" w:eastAsia="Calibri" w:hAnsi="Palatino Linotype"/>
          <w:sz w:val="24"/>
        </w:rPr>
        <w:t xml:space="preserve">para la doctrina el sobreseimiento provoca que un procedimiento se suspenda o se resuelva en definitiva </w:t>
      </w:r>
      <w:r w:rsidRPr="00D869E9">
        <w:rPr>
          <w:rFonts w:ascii="Palatino Linotype" w:eastAsia="Calibri" w:hAnsi="Palatino Linotype"/>
          <w:b/>
          <w:sz w:val="24"/>
          <w:u w:val="single"/>
        </w:rPr>
        <w:t xml:space="preserve">sin que se entre al estudio de los agravios o motivos de inconformidad. </w:t>
      </w:r>
      <w:r w:rsidRPr="00D869E9">
        <w:rPr>
          <w:rFonts w:ascii="Palatino Linotype" w:eastAsia="Calibri" w:hAnsi="Palatino Linotype"/>
          <w:sz w:val="24"/>
        </w:rPr>
        <w:t xml:space="preserve">Este mismo criterio es compartido por el más alto tribunal del país en </w:t>
      </w:r>
      <w:r w:rsidRPr="00D869E9">
        <w:rPr>
          <w:rFonts w:ascii="Palatino Linotype" w:eastAsia="Calibri" w:hAnsi="Palatino Linotype"/>
          <w:sz w:val="24"/>
        </w:rPr>
        <w:lastRenderedPageBreak/>
        <w:t>múltiples jurisprudencias, por lo que a continuación se agrega una de ellas que sirve como orientador en esta resolución:</w:t>
      </w:r>
    </w:p>
    <w:p w:rsidR="00F74F44" w:rsidRPr="00D869E9" w:rsidRDefault="00F74F44" w:rsidP="00F74F44">
      <w:pPr>
        <w:rPr>
          <w:rFonts w:ascii="Palatino Linotype" w:eastAsia="Calibri" w:hAnsi="Palatino Linotype" w:cs="Arial"/>
          <w:color w:val="000000" w:themeColor="text1"/>
          <w:sz w:val="24"/>
          <w:szCs w:val="24"/>
          <w:lang w:val="es-ES"/>
        </w:rPr>
      </w:pPr>
    </w:p>
    <w:p w:rsidR="00F74F44" w:rsidRPr="00D869E9" w:rsidRDefault="00F74F44" w:rsidP="00F74F44">
      <w:pPr>
        <w:spacing w:line="360" w:lineRule="auto"/>
        <w:ind w:left="851" w:right="822"/>
        <w:contextualSpacing/>
        <w:jc w:val="both"/>
        <w:rPr>
          <w:rFonts w:ascii="Palatino Linotype" w:eastAsia="Calibri" w:hAnsi="Palatino Linotype"/>
          <w:i/>
          <w:sz w:val="24"/>
          <w:szCs w:val="24"/>
          <w:lang w:val="es-AR"/>
        </w:rPr>
      </w:pPr>
      <w:r w:rsidRPr="00D869E9">
        <w:rPr>
          <w:rFonts w:ascii="Palatino Linotype" w:eastAsia="Calibri" w:hAnsi="Palatino Linotype"/>
          <w:b/>
          <w:i/>
          <w:sz w:val="24"/>
          <w:szCs w:val="24"/>
          <w:lang w:val="es-AR"/>
        </w:rPr>
        <w:t>SOBRESEIMIENTO EN EL JUICIO DE AMPARO DIRECTO. IMPIDE EL ESTUDIO DE LAS VIOLACIONES PROCESALES PLANTEADAS EN LOS CONCEPTOS DE VIOLACIÓN. El sobreseimiento</w:t>
      </w:r>
      <w:r w:rsidRPr="00D869E9">
        <w:rPr>
          <w:rFonts w:ascii="Palatino Linotype" w:eastAsia="Calibri" w:hAnsi="Palatino Linotype"/>
          <w:i/>
          <w:sz w:val="24"/>
          <w:szCs w:val="24"/>
          <w:lang w:val="es-AR"/>
        </w:rPr>
        <w:t xml:space="preserve"> en el juicio de amparo directo </w:t>
      </w:r>
      <w:r w:rsidRPr="00D869E9">
        <w:rPr>
          <w:rFonts w:ascii="Palatino Linotype" w:eastAsia="Calibri" w:hAnsi="Palatino Linotype"/>
          <w:b/>
          <w:i/>
          <w:sz w:val="24"/>
          <w:szCs w:val="24"/>
          <w:lang w:val="es-AR"/>
        </w:rPr>
        <w:t>provoca la terminación de la controversia planteada</w:t>
      </w:r>
      <w:r w:rsidRPr="00D869E9">
        <w:rPr>
          <w:rFonts w:ascii="Palatino Linotype" w:eastAsia="Calibri" w:hAnsi="Palatino Linotype"/>
          <w:i/>
          <w:sz w:val="24"/>
          <w:szCs w:val="24"/>
          <w:lang w:val="es-AR"/>
        </w:rPr>
        <w:t xml:space="preserve"> por el quejoso en la demanda de amparo</w:t>
      </w:r>
      <w:r w:rsidRPr="00D869E9">
        <w:rPr>
          <w:rFonts w:ascii="Palatino Linotype" w:eastAsia="Calibri" w:hAnsi="Palatino Linotype"/>
          <w:b/>
          <w:i/>
          <w:sz w:val="24"/>
          <w:szCs w:val="24"/>
          <w:lang w:val="es-AR"/>
        </w:rPr>
        <w:t>, sin hacer un pronunciamiento de fondo sobre la legalidad o ilegalidad de la sentencia reclamada</w:t>
      </w:r>
      <w:r w:rsidRPr="00D869E9">
        <w:rPr>
          <w:rFonts w:ascii="Palatino Linotype" w:eastAsia="Calibri" w:hAnsi="Palatino Linotype"/>
          <w:i/>
          <w:sz w:val="24"/>
          <w:szCs w:val="24"/>
          <w:lang w:val="es-AR"/>
        </w:rPr>
        <w:t xml:space="preserve">. </w:t>
      </w:r>
      <w:r w:rsidRPr="00D869E9">
        <w:rPr>
          <w:rFonts w:ascii="Palatino Linotype" w:eastAsia="Calibri" w:hAnsi="Palatino Linotype"/>
          <w:b/>
          <w:i/>
          <w:sz w:val="24"/>
          <w:szCs w:val="24"/>
          <w:lang w:val="es-AR"/>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869E9">
        <w:rPr>
          <w:rFonts w:ascii="Palatino Linotype" w:eastAsia="Calibri" w:hAnsi="Palatino Linotype"/>
          <w:i/>
          <w:sz w:val="24"/>
          <w:szCs w:val="24"/>
          <w:lang w:val="es-AR"/>
        </w:rPr>
        <w:t>.</w:t>
      </w:r>
    </w:p>
    <w:p w:rsidR="00F74F44" w:rsidRPr="00D869E9" w:rsidRDefault="00F74F44" w:rsidP="00F74F44">
      <w:pPr>
        <w:spacing w:line="360" w:lineRule="auto"/>
        <w:ind w:left="851" w:right="822"/>
        <w:contextualSpacing/>
        <w:jc w:val="both"/>
        <w:rPr>
          <w:rFonts w:ascii="Palatino Linotype" w:eastAsia="Calibri" w:hAnsi="Palatino Linotype"/>
          <w:i/>
          <w:sz w:val="24"/>
          <w:szCs w:val="24"/>
          <w:lang w:val="es-AR"/>
        </w:rPr>
      </w:pPr>
      <w:r w:rsidRPr="00D869E9">
        <w:rPr>
          <w:rFonts w:ascii="Palatino Linotype" w:eastAsia="Calibri" w:hAnsi="Palatino Linotype"/>
          <w:i/>
          <w:sz w:val="24"/>
          <w:szCs w:val="24"/>
          <w:lang w:val="es-AR"/>
        </w:rPr>
        <w:t>SÉPTIMO TRIBUNAL COLEGIADO EN MATERIA CIVIL DEL PRIMER CIRCUITO.</w:t>
      </w:r>
    </w:p>
    <w:p w:rsidR="00F74F44" w:rsidRPr="00D869E9" w:rsidRDefault="00F74F44" w:rsidP="00F74F44">
      <w:pPr>
        <w:spacing w:line="360" w:lineRule="auto"/>
        <w:ind w:left="851" w:right="822"/>
        <w:contextualSpacing/>
        <w:jc w:val="both"/>
        <w:rPr>
          <w:rFonts w:ascii="Palatino Linotype" w:eastAsia="Calibri" w:hAnsi="Palatino Linotype"/>
          <w:b/>
          <w:i/>
          <w:sz w:val="24"/>
          <w:szCs w:val="24"/>
          <w:lang w:val="es-AR"/>
        </w:rPr>
      </w:pPr>
      <w:r w:rsidRPr="00D869E9">
        <w:rPr>
          <w:rFonts w:ascii="Palatino Linotype" w:eastAsia="Calibri" w:hAnsi="Palatino Linotype"/>
          <w:i/>
          <w:sz w:val="24"/>
          <w:szCs w:val="24"/>
          <w:lang w:val="es-AR"/>
        </w:rPr>
        <w:t>Amparo directo 699/2008. Mariana Leticia González Steele. 13 de noviembre de 2008. Unanimidad de votos. Ponente: Sara Judith Montalvo Trejo. Secretario: Arnulfo Mateos García.</w:t>
      </w:r>
    </w:p>
    <w:p w:rsidR="00F74F44" w:rsidRPr="00D869E9" w:rsidRDefault="00F74F44" w:rsidP="00F74F44">
      <w:pPr>
        <w:spacing w:line="360" w:lineRule="auto"/>
        <w:ind w:right="565"/>
        <w:contextualSpacing/>
        <w:jc w:val="both"/>
        <w:rPr>
          <w:rFonts w:ascii="Palatino Linotype" w:eastAsia="Calibri" w:hAnsi="Palatino Linotype"/>
          <w:b/>
          <w:i/>
          <w:sz w:val="24"/>
          <w:szCs w:val="24"/>
          <w:lang w:val="es-AR"/>
        </w:rPr>
      </w:pPr>
    </w:p>
    <w:p w:rsidR="00F74F44" w:rsidRPr="00D869E9" w:rsidRDefault="00F74F44" w:rsidP="00F74F4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cs="Arial"/>
          <w:color w:val="000000" w:themeColor="text1"/>
          <w:sz w:val="24"/>
          <w:lang w:val="es-ES"/>
        </w:rPr>
        <w:t xml:space="preserve">Consecuentemente, </w:t>
      </w:r>
      <w:r w:rsidRPr="00D869E9">
        <w:rPr>
          <w:rFonts w:ascii="Palatino Linotype" w:eastAsia="Calibri" w:hAnsi="Palatino Linotype"/>
          <w:sz w:val="24"/>
        </w:rPr>
        <w:t xml:space="preserve">por lo que hace a los motivos de inconformidad, los mismos devienen inatendibles por actualizarse la figura del sobreseimiento, misma que impide el </w:t>
      </w:r>
      <w:r w:rsidRPr="00D869E9">
        <w:rPr>
          <w:rFonts w:ascii="Palatino Linotype" w:eastAsia="Calibri" w:hAnsi="Palatino Linotype"/>
          <w:sz w:val="24"/>
        </w:rPr>
        <w:lastRenderedPageBreak/>
        <w:t>estudio de los agravios planteados, máxime que se ha dado cumplimiento al derecho de acceso a la información.</w:t>
      </w:r>
    </w:p>
    <w:p w:rsidR="00F74F44" w:rsidRPr="00D869E9" w:rsidRDefault="00F74F44" w:rsidP="00F74F44">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F74F44" w:rsidRPr="00D869E9" w:rsidRDefault="00F74F44" w:rsidP="00F74F44">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D869E9">
        <w:rPr>
          <w:rFonts w:ascii="Palatino Linotype" w:eastAsia="Calibri" w:hAnsi="Palatino Linotype"/>
          <w:sz w:val="24"/>
        </w:rPr>
        <w:t xml:space="preserve">Bajo </w:t>
      </w:r>
      <w:r w:rsidRPr="00D869E9">
        <w:rPr>
          <w:rFonts w:ascii="Palatino Linotype" w:eastAsia="Calibri" w:hAnsi="Palatino Linotype"/>
          <w:sz w:val="24"/>
          <w:lang w:val="es-CO"/>
        </w:rPr>
        <w:t xml:space="preserve">ese tenor y en términos del artículo 186 fracción I este Pleno determina el </w:t>
      </w:r>
      <w:r w:rsidRPr="00D869E9">
        <w:rPr>
          <w:rFonts w:ascii="Palatino Linotype" w:eastAsia="Calibri" w:hAnsi="Palatino Linotype"/>
          <w:b/>
          <w:sz w:val="24"/>
          <w:lang w:val="es-CO"/>
        </w:rPr>
        <w:t xml:space="preserve">SOBRESEIMIENTO </w:t>
      </w:r>
      <w:r w:rsidRPr="00D869E9">
        <w:rPr>
          <w:rFonts w:ascii="Palatino Linotype" w:eastAsia="Calibri" w:hAnsi="Palatino Linotype"/>
          <w:sz w:val="24"/>
          <w:lang w:val="es-CO"/>
        </w:rPr>
        <w:t xml:space="preserve">del recurso de revisión </w:t>
      </w:r>
      <w:r w:rsidR="00377DB6" w:rsidRPr="00D869E9">
        <w:rPr>
          <w:rFonts w:ascii="Palatino Linotype" w:hAnsi="Palatino Linotype" w:cs="Arial"/>
          <w:b/>
          <w:bCs/>
          <w:sz w:val="24"/>
        </w:rPr>
        <w:t>1938/INFOEM/IP/RR/2026</w:t>
      </w:r>
      <w:r w:rsidRPr="00D869E9">
        <w:rPr>
          <w:rFonts w:ascii="Palatino Linotype" w:eastAsia="Calibri" w:hAnsi="Palatino Linotype"/>
          <w:sz w:val="24"/>
          <w:lang w:val="es-CO"/>
        </w:rPr>
        <w:t>, toda vez que la afectación al derecho de acceso a la información pública establecido constitucionalmente a favor del Particular ha sido resarcida.</w:t>
      </w:r>
    </w:p>
    <w:p w:rsidR="00F74F44" w:rsidRPr="00D869E9" w:rsidRDefault="00F74F44" w:rsidP="00F74F44">
      <w:pPr>
        <w:pStyle w:val="Prrafodelista"/>
        <w:shd w:val="clear" w:color="auto" w:fill="FFFFFF"/>
        <w:tabs>
          <w:tab w:val="left" w:pos="284"/>
        </w:tabs>
        <w:spacing w:line="360" w:lineRule="auto"/>
        <w:ind w:left="0"/>
        <w:jc w:val="both"/>
        <w:rPr>
          <w:rFonts w:ascii="Palatino Linotype" w:hAnsi="Palatino Linotype" w:cs="Arial"/>
          <w:sz w:val="24"/>
        </w:rPr>
      </w:pPr>
    </w:p>
    <w:p w:rsidR="00F74F44" w:rsidRPr="00D869E9" w:rsidRDefault="00F74F44" w:rsidP="00F74F44">
      <w:pPr>
        <w:pStyle w:val="Sinespaciado"/>
        <w:numPr>
          <w:ilvl w:val="0"/>
          <w:numId w:val="1"/>
        </w:numPr>
        <w:tabs>
          <w:tab w:val="left" w:pos="284"/>
        </w:tabs>
        <w:spacing w:line="360" w:lineRule="auto"/>
        <w:ind w:left="0" w:firstLine="0"/>
        <w:contextualSpacing/>
        <w:jc w:val="both"/>
        <w:rPr>
          <w:rFonts w:ascii="Palatino Linotype" w:eastAsia="Calibri" w:hAnsi="Palatino Linotype"/>
        </w:rPr>
      </w:pPr>
      <w:r w:rsidRPr="00D869E9">
        <w:rPr>
          <w:rFonts w:ascii="Palatino Linotype" w:eastAsia="Calibri" w:hAnsi="Palatino Linotype"/>
        </w:rPr>
        <w:t xml:space="preserve">Por lo anteriormente expuesto y fundado, este </w:t>
      </w:r>
      <w:r w:rsidRPr="00D869E9">
        <w:rPr>
          <w:rFonts w:ascii="Palatino Linotype" w:eastAsia="Calibri" w:hAnsi="Palatino Linotype"/>
          <w:b/>
          <w:bCs/>
        </w:rPr>
        <w:t>ÓRGANO GARANTE</w:t>
      </w:r>
      <w:r w:rsidRPr="00D869E9">
        <w:rPr>
          <w:rFonts w:ascii="Palatino Linotype" w:eastAsia="Calibri" w:hAnsi="Palatino Linotype"/>
        </w:rPr>
        <w:t xml:space="preserve"> emite los siguientes:</w:t>
      </w:r>
    </w:p>
    <w:p w:rsidR="00F74F44" w:rsidRPr="00D869E9" w:rsidRDefault="00F74F44" w:rsidP="00F74F44">
      <w:pPr>
        <w:pStyle w:val="Sinespaciado"/>
        <w:tabs>
          <w:tab w:val="left" w:pos="284"/>
        </w:tabs>
        <w:spacing w:line="360" w:lineRule="auto"/>
        <w:contextualSpacing/>
        <w:jc w:val="both"/>
        <w:rPr>
          <w:rFonts w:ascii="Palatino Linotype" w:eastAsia="Calibri" w:hAnsi="Palatino Linotype"/>
        </w:rPr>
      </w:pPr>
    </w:p>
    <w:p w:rsidR="00F74F44" w:rsidRPr="00D869E9" w:rsidRDefault="00F74F44" w:rsidP="00F74F44">
      <w:pPr>
        <w:spacing w:line="360" w:lineRule="auto"/>
        <w:jc w:val="center"/>
        <w:rPr>
          <w:rFonts w:ascii="Palatino Linotype" w:hAnsi="Palatino Linotype"/>
          <w:b/>
          <w:sz w:val="24"/>
          <w:szCs w:val="24"/>
          <w:lang w:val="es-ES"/>
        </w:rPr>
      </w:pPr>
      <w:r w:rsidRPr="00D869E9">
        <w:rPr>
          <w:rFonts w:ascii="Palatino Linotype" w:hAnsi="Palatino Linotype"/>
          <w:b/>
          <w:sz w:val="24"/>
          <w:szCs w:val="24"/>
          <w:lang w:val="es-ES"/>
        </w:rPr>
        <w:t>R E S O L U T I V O S</w:t>
      </w:r>
    </w:p>
    <w:p w:rsidR="00F74F44" w:rsidRPr="00D869E9" w:rsidRDefault="00F74F44" w:rsidP="00F74F44">
      <w:pPr>
        <w:pStyle w:val="Sinespaciado"/>
        <w:spacing w:line="360" w:lineRule="auto"/>
        <w:jc w:val="both"/>
        <w:rPr>
          <w:rFonts w:ascii="Palatino Linotype" w:hAnsi="Palatino Linotype"/>
        </w:rPr>
      </w:pPr>
    </w:p>
    <w:p w:rsidR="00F74F44" w:rsidRPr="00D869E9" w:rsidRDefault="00F74F44" w:rsidP="00F74F44">
      <w:pPr>
        <w:spacing w:line="360" w:lineRule="auto"/>
        <w:jc w:val="both"/>
        <w:rPr>
          <w:rFonts w:ascii="Palatino Linotype" w:eastAsiaTheme="minorHAnsi" w:hAnsi="Palatino Linotype" w:cstheme="minorBidi"/>
          <w:sz w:val="24"/>
          <w:szCs w:val="24"/>
          <w:lang w:eastAsia="en-US"/>
        </w:rPr>
      </w:pPr>
      <w:r w:rsidRPr="00D869E9">
        <w:rPr>
          <w:rFonts w:ascii="Palatino Linotype" w:eastAsiaTheme="minorHAnsi" w:hAnsi="Palatino Linotype" w:cstheme="minorBidi"/>
          <w:b/>
          <w:sz w:val="24"/>
          <w:szCs w:val="24"/>
          <w:lang w:eastAsia="en-US"/>
        </w:rPr>
        <w:t xml:space="preserve">PRIMERO. </w:t>
      </w:r>
      <w:r w:rsidRPr="00D869E9">
        <w:rPr>
          <w:rFonts w:ascii="Palatino Linotype" w:eastAsia="MS Mincho" w:hAnsi="Palatino Linotype"/>
          <w:sz w:val="24"/>
          <w:szCs w:val="24"/>
          <w:lang w:val="es-ES_tradnl"/>
        </w:rPr>
        <w:t xml:space="preserve">Se </w:t>
      </w:r>
      <w:r w:rsidRPr="00D869E9">
        <w:rPr>
          <w:rFonts w:ascii="Palatino Linotype" w:eastAsia="MS Mincho" w:hAnsi="Palatino Linotype"/>
          <w:b/>
          <w:sz w:val="24"/>
          <w:szCs w:val="24"/>
          <w:lang w:val="es-ES_tradnl"/>
        </w:rPr>
        <w:t>SOBRESEE</w:t>
      </w:r>
      <w:r w:rsidRPr="00D869E9">
        <w:rPr>
          <w:rFonts w:ascii="Palatino Linotype" w:eastAsia="MS Mincho" w:hAnsi="Palatino Linotype"/>
          <w:sz w:val="24"/>
          <w:szCs w:val="24"/>
          <w:lang w:val="es-ES_tradnl"/>
        </w:rPr>
        <w:t xml:space="preserve"> el recurso de revisión número </w:t>
      </w:r>
      <w:r w:rsidR="00377DB6" w:rsidRPr="00D869E9">
        <w:rPr>
          <w:rFonts w:ascii="Palatino Linotype" w:eastAsia="MS Mincho" w:hAnsi="Palatino Linotype"/>
          <w:b/>
          <w:sz w:val="24"/>
          <w:szCs w:val="24"/>
          <w:lang w:val="es-ES_tradnl"/>
        </w:rPr>
        <w:t>1938/INFOEM/IP/RR/2026</w:t>
      </w:r>
      <w:r w:rsidRPr="00D869E9">
        <w:rPr>
          <w:rFonts w:ascii="Palatino Linotype" w:eastAsia="MS Mincho" w:hAnsi="Palatino Linotype"/>
          <w:b/>
          <w:sz w:val="24"/>
          <w:szCs w:val="24"/>
          <w:lang w:val="es-ES_tradnl"/>
        </w:rPr>
        <w:t xml:space="preserve"> </w:t>
      </w:r>
      <w:r w:rsidRPr="00D869E9">
        <w:rPr>
          <w:rFonts w:ascii="Palatino Linotype" w:eastAsia="MS Mincho" w:hAnsi="Palatino Linotype"/>
          <w:bCs/>
          <w:sz w:val="24"/>
          <w:szCs w:val="24"/>
          <w:lang w:val="es-ES_tradnl"/>
        </w:rPr>
        <w:t>conforme al artículo 192</w:t>
      </w:r>
      <w:r w:rsidR="00D05242" w:rsidRPr="00D869E9">
        <w:rPr>
          <w:rFonts w:ascii="Palatino Linotype" w:eastAsia="MS Mincho" w:hAnsi="Palatino Linotype"/>
          <w:bCs/>
          <w:sz w:val="24"/>
          <w:szCs w:val="24"/>
          <w:lang w:val="es-ES_tradnl"/>
        </w:rPr>
        <w:t>,</w:t>
      </w:r>
      <w:r w:rsidRPr="00D869E9">
        <w:rPr>
          <w:rFonts w:ascii="Palatino Linotype" w:eastAsia="MS Mincho" w:hAnsi="Palatino Linotype"/>
          <w:bCs/>
          <w:sz w:val="24"/>
          <w:szCs w:val="24"/>
          <w:lang w:val="es-ES_tradnl"/>
        </w:rPr>
        <w:t xml:space="preserve"> fracción III</w:t>
      </w:r>
      <w:r w:rsidR="00D05242" w:rsidRPr="00D869E9">
        <w:rPr>
          <w:rFonts w:ascii="Palatino Linotype" w:eastAsia="MS Mincho" w:hAnsi="Palatino Linotype"/>
          <w:bCs/>
          <w:sz w:val="24"/>
          <w:szCs w:val="24"/>
          <w:lang w:val="es-ES_tradnl"/>
        </w:rPr>
        <w:t>,</w:t>
      </w:r>
      <w:r w:rsidRPr="00D869E9">
        <w:rPr>
          <w:rFonts w:ascii="Palatino Linotype" w:eastAsia="MS Mincho" w:hAnsi="Palatino Linotype"/>
          <w:bCs/>
          <w:sz w:val="24"/>
          <w:szCs w:val="24"/>
          <w:lang w:val="es-ES_tradnl"/>
        </w:rPr>
        <w:t xml:space="preserve"> de la Ley de Transparencia y Acceso a la Información Pública del Estado de México y Municipios,</w:t>
      </w:r>
      <w:r w:rsidRPr="00D869E9">
        <w:rPr>
          <w:rFonts w:ascii="Palatino Linotype" w:eastAsia="MS Mincho" w:hAnsi="Palatino Linotype"/>
          <w:sz w:val="24"/>
          <w:szCs w:val="24"/>
          <w:lang w:val="es-ES_tradnl"/>
        </w:rPr>
        <w:t xml:space="preserve"> porque al </w:t>
      </w:r>
      <w:r w:rsidRPr="00D869E9">
        <w:rPr>
          <w:rFonts w:ascii="Palatino Linotype" w:eastAsia="MS Mincho" w:hAnsi="Palatino Linotype"/>
          <w:b/>
          <w:bCs/>
          <w:sz w:val="24"/>
          <w:szCs w:val="24"/>
          <w:lang w:val="es-ES_tradnl"/>
        </w:rPr>
        <w:t>modificar la respuesta a través del informe justificado y atender lo solicitado</w:t>
      </w:r>
      <w:r w:rsidRPr="00D869E9">
        <w:rPr>
          <w:rFonts w:ascii="Palatino Linotype" w:eastAsia="MS Mincho" w:hAnsi="Palatino Linotype"/>
          <w:sz w:val="24"/>
          <w:szCs w:val="24"/>
          <w:lang w:val="es-ES_tradnl"/>
        </w:rPr>
        <w:t xml:space="preserve">, el recurso de revisión quedó sin materia en términos del Considerando </w:t>
      </w:r>
      <w:r w:rsidRPr="00D869E9">
        <w:rPr>
          <w:rFonts w:ascii="Palatino Linotype" w:eastAsia="MS Mincho" w:hAnsi="Palatino Linotype"/>
          <w:b/>
          <w:sz w:val="24"/>
          <w:szCs w:val="24"/>
          <w:lang w:val="es-ES_tradnl"/>
        </w:rPr>
        <w:t>TERCERO</w:t>
      </w:r>
      <w:r w:rsidRPr="00D869E9">
        <w:rPr>
          <w:rFonts w:ascii="Palatino Linotype" w:eastAsia="MS Mincho" w:hAnsi="Palatino Linotype"/>
          <w:sz w:val="24"/>
          <w:szCs w:val="24"/>
          <w:lang w:val="es-ES_tradnl"/>
        </w:rPr>
        <w:t xml:space="preserve"> de la presente resolución.</w:t>
      </w:r>
    </w:p>
    <w:p w:rsidR="00F74F44" w:rsidRPr="00D869E9" w:rsidRDefault="00F74F44" w:rsidP="00F74F44">
      <w:pPr>
        <w:spacing w:line="360" w:lineRule="auto"/>
        <w:jc w:val="both"/>
        <w:rPr>
          <w:rFonts w:ascii="Palatino Linotype" w:eastAsiaTheme="minorHAnsi" w:hAnsi="Palatino Linotype" w:cstheme="minorBidi"/>
          <w:sz w:val="24"/>
          <w:szCs w:val="24"/>
          <w:lang w:eastAsia="en-US"/>
        </w:rPr>
      </w:pPr>
    </w:p>
    <w:p w:rsidR="00F74F44" w:rsidRPr="00D869E9" w:rsidRDefault="00D05242" w:rsidP="00F74F44">
      <w:pPr>
        <w:spacing w:line="360" w:lineRule="auto"/>
        <w:jc w:val="both"/>
        <w:rPr>
          <w:rFonts w:ascii="Palatino Linotype" w:eastAsia="Calibri" w:hAnsi="Palatino Linotype" w:cs="Arial"/>
          <w:b/>
          <w:bCs/>
          <w:sz w:val="24"/>
          <w:szCs w:val="24"/>
          <w:lang w:val="es-ES" w:eastAsia="en-US"/>
        </w:rPr>
      </w:pPr>
      <w:r w:rsidRPr="00D869E9">
        <w:rPr>
          <w:rFonts w:ascii="Palatino Linotype" w:eastAsia="Calibri" w:hAnsi="Palatino Linotype" w:cs="Arial"/>
          <w:b/>
          <w:bCs/>
          <w:sz w:val="24"/>
          <w:szCs w:val="24"/>
          <w:lang w:val="es-ES" w:eastAsia="en-US"/>
        </w:rPr>
        <w:t>SEGUNDO. Notifíquese</w:t>
      </w:r>
      <w:r w:rsidR="00F74F44" w:rsidRPr="00D869E9">
        <w:rPr>
          <w:rFonts w:ascii="Palatino Linotype" w:eastAsia="Calibri" w:hAnsi="Palatino Linotype" w:cs="Arial"/>
          <w:b/>
          <w:bCs/>
          <w:sz w:val="24"/>
          <w:szCs w:val="24"/>
          <w:lang w:val="es-ES" w:eastAsia="en-US"/>
        </w:rPr>
        <w:t xml:space="preserve"> </w:t>
      </w:r>
      <w:r w:rsidR="00F74F44" w:rsidRPr="00D869E9">
        <w:rPr>
          <w:rFonts w:ascii="Palatino Linotype" w:eastAsia="Calibri" w:hAnsi="Palatino Linotype" w:cs="Arial"/>
          <w:bCs/>
          <w:sz w:val="24"/>
          <w:szCs w:val="24"/>
          <w:lang w:val="es-ES" w:eastAsia="en-US"/>
        </w:rPr>
        <w:t xml:space="preserve">a través del Sistema de Acceso a la Información Mexiquense </w:t>
      </w:r>
      <w:r w:rsidR="00F74F44" w:rsidRPr="00D869E9">
        <w:rPr>
          <w:rFonts w:ascii="Palatino Linotype" w:eastAsia="Calibri" w:hAnsi="Palatino Linotype" w:cs="Arial"/>
          <w:b/>
          <w:bCs/>
          <w:sz w:val="24"/>
          <w:szCs w:val="24"/>
          <w:lang w:val="es-ES" w:eastAsia="en-US"/>
        </w:rPr>
        <w:t xml:space="preserve">(SAIMEX) </w:t>
      </w:r>
      <w:r w:rsidR="00F74F44" w:rsidRPr="00D869E9">
        <w:rPr>
          <w:rFonts w:ascii="Palatino Linotype" w:eastAsia="Calibri" w:hAnsi="Palatino Linotype" w:cs="Arial"/>
          <w:bCs/>
          <w:sz w:val="24"/>
          <w:szCs w:val="24"/>
          <w:lang w:val="es-ES" w:eastAsia="en-US"/>
        </w:rPr>
        <w:t>la presente resolución al Titular de la Unidad de Transparencia del</w:t>
      </w:r>
      <w:r w:rsidR="00F74F44" w:rsidRPr="00D869E9">
        <w:rPr>
          <w:rFonts w:ascii="Palatino Linotype" w:eastAsia="Calibri" w:hAnsi="Palatino Linotype" w:cs="Arial"/>
          <w:b/>
          <w:bCs/>
          <w:sz w:val="24"/>
          <w:szCs w:val="24"/>
          <w:lang w:val="es-ES" w:eastAsia="en-US"/>
        </w:rPr>
        <w:t xml:space="preserve"> SUJETO OBLIGADO. </w:t>
      </w:r>
    </w:p>
    <w:p w:rsidR="00F74F44" w:rsidRPr="00D869E9" w:rsidRDefault="00F74F44" w:rsidP="00F74F44">
      <w:pPr>
        <w:tabs>
          <w:tab w:val="left" w:pos="3263"/>
        </w:tabs>
        <w:spacing w:line="360" w:lineRule="auto"/>
        <w:jc w:val="both"/>
        <w:rPr>
          <w:rFonts w:ascii="Palatino Linotype" w:eastAsia="Palatino Linotype" w:hAnsi="Palatino Linotype" w:cs="Palatino Linotype"/>
          <w:b/>
          <w:sz w:val="24"/>
          <w:szCs w:val="24"/>
          <w:lang w:eastAsia="en-US"/>
        </w:rPr>
      </w:pPr>
      <w:r w:rsidRPr="00D869E9">
        <w:rPr>
          <w:rFonts w:ascii="Palatino Linotype" w:eastAsia="Palatino Linotype" w:hAnsi="Palatino Linotype" w:cs="Palatino Linotype"/>
          <w:b/>
          <w:sz w:val="24"/>
          <w:szCs w:val="24"/>
          <w:lang w:eastAsia="en-US"/>
        </w:rPr>
        <w:tab/>
      </w:r>
    </w:p>
    <w:p w:rsidR="00F74F44" w:rsidRPr="00D869E9" w:rsidRDefault="00F74F44" w:rsidP="00F74F44">
      <w:pPr>
        <w:spacing w:line="360" w:lineRule="auto"/>
        <w:jc w:val="both"/>
        <w:rPr>
          <w:rFonts w:ascii="Palatino Linotype" w:hAnsi="Palatino Linotype"/>
          <w:color w:val="222222"/>
          <w:sz w:val="24"/>
          <w:szCs w:val="24"/>
          <w:lang w:val="es-ES"/>
        </w:rPr>
      </w:pPr>
      <w:r w:rsidRPr="00D869E9">
        <w:rPr>
          <w:rFonts w:ascii="Palatino Linotype" w:hAnsi="Palatino Linotype" w:cs="Arial"/>
          <w:b/>
          <w:sz w:val="24"/>
          <w:szCs w:val="24"/>
          <w:lang w:eastAsia="en-US"/>
        </w:rPr>
        <w:lastRenderedPageBreak/>
        <w:t xml:space="preserve">TERCERO. </w:t>
      </w:r>
      <w:r w:rsidRPr="00D869E9">
        <w:rPr>
          <w:rFonts w:ascii="Palatino Linotype" w:hAnsi="Palatino Linotype"/>
          <w:b/>
          <w:bCs/>
          <w:sz w:val="24"/>
          <w:szCs w:val="24"/>
          <w:lang w:val="es-ES" w:eastAsia="en-US"/>
        </w:rPr>
        <w:t xml:space="preserve">Notifíquese </w:t>
      </w:r>
      <w:r w:rsidRPr="00D869E9">
        <w:rPr>
          <w:rFonts w:ascii="Palatino Linotype" w:hAnsi="Palatino Linotype"/>
          <w:bCs/>
          <w:sz w:val="24"/>
          <w:szCs w:val="24"/>
          <w:lang w:val="es-ES" w:eastAsia="en-US"/>
        </w:rPr>
        <w:t xml:space="preserve">al </w:t>
      </w:r>
      <w:r w:rsidRPr="00D869E9">
        <w:rPr>
          <w:rFonts w:ascii="Palatino Linotype" w:hAnsi="Palatino Linotype"/>
          <w:b/>
          <w:bCs/>
          <w:sz w:val="24"/>
          <w:szCs w:val="24"/>
          <w:lang w:val="es-ES" w:eastAsia="en-US"/>
        </w:rPr>
        <w:t>RECURRENTE</w:t>
      </w:r>
      <w:r w:rsidRPr="00D869E9">
        <w:rPr>
          <w:rFonts w:ascii="Palatino Linotype" w:eastAsiaTheme="minorHAnsi" w:hAnsi="Palatino Linotype" w:cstheme="minorBidi"/>
          <w:sz w:val="24"/>
          <w:szCs w:val="24"/>
          <w:lang w:eastAsia="en-US"/>
        </w:rPr>
        <w:t xml:space="preserve"> </w:t>
      </w:r>
      <w:r w:rsidRPr="00D869E9">
        <w:rPr>
          <w:rFonts w:ascii="Palatino Linotype" w:hAnsi="Palatino Linotype"/>
          <w:sz w:val="24"/>
          <w:szCs w:val="24"/>
          <w:lang w:val="es-ES"/>
        </w:rPr>
        <w:t>la presente resolución vía SAIMEX.</w:t>
      </w:r>
    </w:p>
    <w:p w:rsidR="00F74F44" w:rsidRPr="00D869E9" w:rsidRDefault="00F74F44" w:rsidP="00F74F44">
      <w:pPr>
        <w:spacing w:line="360" w:lineRule="auto"/>
        <w:jc w:val="both"/>
        <w:rPr>
          <w:rFonts w:ascii="Palatino Linotype" w:hAnsi="Palatino Linotype"/>
          <w:color w:val="222222"/>
          <w:sz w:val="24"/>
          <w:szCs w:val="24"/>
          <w:lang w:val="es-ES"/>
        </w:rPr>
      </w:pPr>
    </w:p>
    <w:p w:rsidR="00F74F44" w:rsidRPr="00D869E9" w:rsidRDefault="00F74F44" w:rsidP="00F74F44">
      <w:pPr>
        <w:spacing w:line="360" w:lineRule="auto"/>
        <w:jc w:val="both"/>
        <w:rPr>
          <w:rFonts w:ascii="Palatino Linotype" w:eastAsia="MS Mincho" w:hAnsi="Palatino Linotype"/>
          <w:sz w:val="24"/>
          <w:szCs w:val="24"/>
          <w:lang w:val="es-ES"/>
        </w:rPr>
      </w:pPr>
      <w:r w:rsidRPr="00D869E9">
        <w:rPr>
          <w:rFonts w:ascii="Palatino Linotype" w:eastAsia="MS Mincho" w:hAnsi="Palatino Linotype"/>
          <w:b/>
          <w:sz w:val="24"/>
          <w:szCs w:val="24"/>
        </w:rPr>
        <w:t>CUARTO.</w:t>
      </w:r>
      <w:r w:rsidRPr="00D869E9">
        <w:rPr>
          <w:rFonts w:ascii="Palatino Linotype" w:eastAsia="MS Mincho" w:hAnsi="Palatino Linotype"/>
          <w:sz w:val="24"/>
          <w:szCs w:val="24"/>
        </w:rPr>
        <w:t xml:space="preserve"> </w:t>
      </w:r>
      <w:r w:rsidRPr="00D869E9">
        <w:rPr>
          <w:rFonts w:ascii="Palatino Linotype" w:eastAsia="MS Mincho" w:hAnsi="Palatino Linotype"/>
          <w:sz w:val="24"/>
          <w:szCs w:val="24"/>
          <w:lang w:val="es-ES"/>
        </w:rPr>
        <w:t xml:space="preserve">Se hace del conocimiento del </w:t>
      </w:r>
      <w:r w:rsidRPr="00D869E9">
        <w:rPr>
          <w:rFonts w:ascii="Palatino Linotype" w:hAnsi="Palatino Linotype"/>
          <w:b/>
          <w:bCs/>
          <w:sz w:val="24"/>
          <w:szCs w:val="24"/>
          <w:lang w:val="es-ES"/>
        </w:rPr>
        <w:t>RECURRENTE</w:t>
      </w:r>
      <w:r w:rsidRPr="00D869E9">
        <w:rPr>
          <w:rFonts w:ascii="Palatino Linotype" w:eastAsiaTheme="minorEastAsia" w:hAnsi="Palatino Linotype" w:cstheme="minorBidi"/>
          <w:sz w:val="24"/>
          <w:szCs w:val="24"/>
          <w:lang w:val="es-ES_tradnl"/>
        </w:rPr>
        <w:t xml:space="preserve"> que</w:t>
      </w:r>
      <w:r w:rsidRPr="00D869E9">
        <w:rPr>
          <w:rFonts w:ascii="Palatino Linotype" w:eastAsia="MS Mincho" w:hAnsi="Palatino Linotype"/>
          <w:sz w:val="24"/>
          <w:szCs w:val="24"/>
          <w:lang w:val="es-ES"/>
        </w:rPr>
        <w:t>, de conformidad con lo establecido en el artículo 196 de la Ley de Transparencia y Acceso a la Información Pública del Estado de México y Municipios, en caso de que considere que la resolución le cause algún perjuicio podrá impugnarla </w:t>
      </w:r>
      <w:r w:rsidRPr="00D869E9">
        <w:rPr>
          <w:rFonts w:ascii="Palatino Linotype" w:eastAsia="MS Mincho" w:hAnsi="Palatino Linotype"/>
          <w:bCs/>
          <w:sz w:val="24"/>
          <w:szCs w:val="24"/>
          <w:lang w:val="es-ES"/>
        </w:rPr>
        <w:t>vía juicio de amparo</w:t>
      </w:r>
      <w:r w:rsidRPr="00D869E9">
        <w:rPr>
          <w:rFonts w:ascii="Palatino Linotype" w:eastAsia="MS Mincho" w:hAnsi="Palatino Linotype"/>
          <w:sz w:val="24"/>
          <w:szCs w:val="24"/>
          <w:lang w:val="es-ES"/>
        </w:rPr>
        <w:t> en los términos de las leyes aplicables.</w:t>
      </w:r>
    </w:p>
    <w:p w:rsidR="00F74F44" w:rsidRPr="00D869E9" w:rsidRDefault="00F74F44" w:rsidP="00F74F44">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D05242" w:rsidRPr="00D869E9" w:rsidRDefault="00D05242" w:rsidP="00D05242">
      <w:pPr>
        <w:spacing w:before="240" w:after="240" w:line="360" w:lineRule="auto"/>
        <w:ind w:firstLine="1"/>
        <w:jc w:val="both"/>
        <w:rPr>
          <w:rFonts w:ascii="Palatino Linotype" w:hAnsi="Palatino Linotype"/>
          <w:sz w:val="24"/>
          <w:szCs w:val="24"/>
        </w:rPr>
      </w:pPr>
      <w:bookmarkStart w:id="8" w:name="_Hlk99014733"/>
      <w:r w:rsidRPr="00D869E9">
        <w:rPr>
          <w:rFonts w:ascii="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VEINTIOCHO (28) DE ABRIL DE DOS MIL VEINTISÉIS, ANTE EL SECRETARIO TÉCNICO DEL PLENO </w:t>
      </w:r>
      <w:r w:rsidRPr="00D869E9">
        <w:rPr>
          <w:rFonts w:ascii="Palatino Linotype" w:hAnsi="Palatino Linotype" w:cs="Palatino Linotype"/>
          <w:color w:val="000000" w:themeColor="text1"/>
          <w:sz w:val="24"/>
          <w:szCs w:val="24"/>
        </w:rPr>
        <w:t>ALEXIS TAPIA RAMÍREZ.</w:t>
      </w:r>
    </w:p>
    <w:bookmarkEnd w:id="8"/>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spacing w:before="240" w:after="360" w:line="360" w:lineRule="auto"/>
        <w:jc w:val="both"/>
        <w:rPr>
          <w:rFonts w:ascii="Palatino Linotype" w:eastAsia="Palatino Linotype" w:hAnsi="Palatino Linotype" w:cs="Palatino Linotype"/>
          <w:color w:val="222222"/>
          <w:sz w:val="24"/>
          <w:szCs w:val="24"/>
        </w:rPr>
      </w:pPr>
    </w:p>
    <w:p w:rsidR="00F74F44" w:rsidRPr="00D869E9" w:rsidRDefault="00F74F44" w:rsidP="00F74F44">
      <w:pPr>
        <w:rPr>
          <w:rFonts w:ascii="Palatino Linotype" w:eastAsia="Palatino Linotype" w:hAnsi="Palatino Linotype" w:cs="Palatino Linotype"/>
          <w:sz w:val="24"/>
          <w:szCs w:val="24"/>
        </w:rPr>
      </w:pPr>
    </w:p>
    <w:p w:rsidR="00F74F44" w:rsidRPr="00D869E9" w:rsidRDefault="00F74F44" w:rsidP="00F74F44">
      <w:pPr>
        <w:rPr>
          <w:sz w:val="24"/>
          <w:szCs w:val="24"/>
        </w:rPr>
      </w:pPr>
    </w:p>
    <w:p w:rsidR="00F74F44" w:rsidRPr="00D869E9" w:rsidRDefault="00F74F44" w:rsidP="00F74F44">
      <w:pPr>
        <w:rPr>
          <w:sz w:val="24"/>
          <w:szCs w:val="24"/>
        </w:rPr>
      </w:pPr>
    </w:p>
    <w:p w:rsidR="00F74F44" w:rsidRPr="00D869E9" w:rsidRDefault="00F74F44" w:rsidP="00F74F44">
      <w:pPr>
        <w:rPr>
          <w:sz w:val="24"/>
          <w:szCs w:val="24"/>
        </w:rPr>
      </w:pPr>
    </w:p>
    <w:p w:rsidR="00F74F44" w:rsidRPr="00D869E9" w:rsidRDefault="00F74F44" w:rsidP="00F74F44">
      <w:pPr>
        <w:rPr>
          <w:sz w:val="24"/>
          <w:szCs w:val="24"/>
        </w:rPr>
      </w:pPr>
    </w:p>
    <w:p w:rsidR="00F74F44" w:rsidRPr="00D869E9" w:rsidRDefault="00F74F44" w:rsidP="00F74F44">
      <w:pPr>
        <w:rPr>
          <w:sz w:val="24"/>
          <w:szCs w:val="24"/>
        </w:rPr>
      </w:pPr>
      <w:r w:rsidRPr="00D869E9">
        <w:rPr>
          <w:sz w:val="24"/>
          <w:szCs w:val="24"/>
        </w:rPr>
        <w:t xml:space="preserve"> </w:t>
      </w:r>
    </w:p>
    <w:p w:rsidR="00F74F44" w:rsidRPr="00D869E9" w:rsidRDefault="00F74F44" w:rsidP="00F74F44">
      <w:pPr>
        <w:rPr>
          <w:sz w:val="24"/>
          <w:szCs w:val="24"/>
        </w:rPr>
      </w:pPr>
    </w:p>
    <w:p w:rsidR="001137E5" w:rsidRPr="00D869E9" w:rsidRDefault="001137E5">
      <w:pPr>
        <w:rPr>
          <w:sz w:val="24"/>
          <w:szCs w:val="24"/>
        </w:rPr>
      </w:pPr>
    </w:p>
    <w:sectPr w:rsidR="001137E5" w:rsidRPr="00D869E9" w:rsidSect="00D869E9">
      <w:headerReference w:type="even" r:id="rId8"/>
      <w:headerReference w:type="default" r:id="rId9"/>
      <w:footerReference w:type="default" r:id="rId10"/>
      <w:headerReference w:type="first" r:id="rId11"/>
      <w:footerReference w:type="first" r:id="rId12"/>
      <w:pgSz w:w="12240" w:h="15840"/>
      <w:pgMar w:top="80" w:right="900" w:bottom="1418" w:left="1588" w:header="709" w:footer="73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1641" w:rsidRDefault="007E1641" w:rsidP="00E65275">
      <w:r>
        <w:separator/>
      </w:r>
    </w:p>
  </w:endnote>
  <w:endnote w:type="continuationSeparator" w:id="0">
    <w:p w:rsidR="007E1641" w:rsidRDefault="007E1641" w:rsidP="00E65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4D4" w:rsidRDefault="00F344D4">
    <w:pPr>
      <w:pBdr>
        <w:top w:val="nil"/>
        <w:left w:val="nil"/>
        <w:bottom w:val="nil"/>
        <w:right w:val="nil"/>
        <w:between w:val="nil"/>
      </w:pBdr>
      <w:tabs>
        <w:tab w:val="center" w:pos="4419"/>
        <w:tab w:val="right" w:pos="8838"/>
      </w:tabs>
      <w:jc w:val="right"/>
      <w:rPr>
        <w:color w:val="000000"/>
      </w:rPr>
    </w:pPr>
  </w:p>
  <w:p w:rsidR="00F344D4" w:rsidRPr="00D869E9" w:rsidRDefault="00F344D4">
    <w:pPr>
      <w:pBdr>
        <w:top w:val="nil"/>
        <w:left w:val="nil"/>
        <w:bottom w:val="nil"/>
        <w:right w:val="nil"/>
        <w:between w:val="nil"/>
      </w:pBdr>
      <w:tabs>
        <w:tab w:val="center" w:pos="4419"/>
        <w:tab w:val="right" w:pos="8838"/>
      </w:tabs>
      <w:jc w:val="right"/>
      <w:rPr>
        <w:rFonts w:ascii="Palatino Linotype" w:hAnsi="Palatino Linotype"/>
        <w:color w:val="000000"/>
        <w:sz w:val="24"/>
        <w:szCs w:val="24"/>
      </w:rPr>
    </w:pPr>
    <w:r w:rsidRPr="00D869E9">
      <w:rPr>
        <w:rFonts w:ascii="Palatino Linotype" w:hAnsi="Palatino Linotype"/>
        <w:color w:val="000000"/>
        <w:sz w:val="24"/>
        <w:szCs w:val="24"/>
      </w:rPr>
      <w:t xml:space="preserve">Página </w:t>
    </w:r>
    <w:r w:rsidRPr="00D869E9">
      <w:rPr>
        <w:rFonts w:ascii="Palatino Linotype" w:hAnsi="Palatino Linotype"/>
        <w:b/>
        <w:color w:val="000000"/>
        <w:sz w:val="24"/>
        <w:szCs w:val="24"/>
      </w:rPr>
      <w:fldChar w:fldCharType="begin"/>
    </w:r>
    <w:r w:rsidRPr="00D869E9">
      <w:rPr>
        <w:rFonts w:ascii="Palatino Linotype" w:hAnsi="Palatino Linotype"/>
        <w:b/>
        <w:color w:val="000000"/>
        <w:sz w:val="24"/>
        <w:szCs w:val="24"/>
      </w:rPr>
      <w:instrText>PAGE</w:instrText>
    </w:r>
    <w:r w:rsidRPr="00D869E9">
      <w:rPr>
        <w:rFonts w:ascii="Palatino Linotype" w:hAnsi="Palatino Linotype"/>
        <w:b/>
        <w:color w:val="000000"/>
        <w:sz w:val="24"/>
        <w:szCs w:val="24"/>
      </w:rPr>
      <w:fldChar w:fldCharType="separate"/>
    </w:r>
    <w:r w:rsidR="003E6A53">
      <w:rPr>
        <w:rFonts w:ascii="Palatino Linotype" w:hAnsi="Palatino Linotype"/>
        <w:b/>
        <w:noProof/>
        <w:color w:val="000000"/>
        <w:sz w:val="24"/>
        <w:szCs w:val="24"/>
      </w:rPr>
      <w:t>18</w:t>
    </w:r>
    <w:r w:rsidRPr="00D869E9">
      <w:rPr>
        <w:rFonts w:ascii="Palatino Linotype" w:hAnsi="Palatino Linotype"/>
        <w:b/>
        <w:color w:val="000000"/>
        <w:sz w:val="24"/>
        <w:szCs w:val="24"/>
      </w:rPr>
      <w:fldChar w:fldCharType="end"/>
    </w:r>
    <w:r w:rsidRPr="00D869E9">
      <w:rPr>
        <w:rFonts w:ascii="Palatino Linotype" w:hAnsi="Palatino Linotype"/>
        <w:color w:val="000000"/>
        <w:sz w:val="24"/>
        <w:szCs w:val="24"/>
      </w:rPr>
      <w:t xml:space="preserve"> de </w:t>
    </w:r>
    <w:r w:rsidRPr="00D869E9">
      <w:rPr>
        <w:rFonts w:ascii="Palatino Linotype" w:hAnsi="Palatino Linotype"/>
        <w:b/>
        <w:color w:val="000000"/>
        <w:sz w:val="24"/>
        <w:szCs w:val="24"/>
      </w:rPr>
      <w:fldChar w:fldCharType="begin"/>
    </w:r>
    <w:r w:rsidRPr="00D869E9">
      <w:rPr>
        <w:rFonts w:ascii="Palatino Linotype" w:hAnsi="Palatino Linotype"/>
        <w:b/>
        <w:color w:val="000000"/>
        <w:sz w:val="24"/>
        <w:szCs w:val="24"/>
      </w:rPr>
      <w:instrText>NUMPAGES</w:instrText>
    </w:r>
    <w:r w:rsidRPr="00D869E9">
      <w:rPr>
        <w:rFonts w:ascii="Palatino Linotype" w:hAnsi="Palatino Linotype"/>
        <w:b/>
        <w:color w:val="000000"/>
        <w:sz w:val="24"/>
        <w:szCs w:val="24"/>
      </w:rPr>
      <w:fldChar w:fldCharType="separate"/>
    </w:r>
    <w:r w:rsidR="003E6A53">
      <w:rPr>
        <w:rFonts w:ascii="Palatino Linotype" w:hAnsi="Palatino Linotype"/>
        <w:b/>
        <w:noProof/>
        <w:color w:val="000000"/>
        <w:sz w:val="24"/>
        <w:szCs w:val="24"/>
      </w:rPr>
      <w:t>18</w:t>
    </w:r>
    <w:r w:rsidRPr="00D869E9">
      <w:rPr>
        <w:rFonts w:ascii="Palatino Linotype" w:hAnsi="Palatino Linotype"/>
        <w:b/>
        <w:color w:val="000000"/>
        <w:sz w:val="24"/>
        <w:szCs w:val="24"/>
      </w:rPr>
      <w:fldChar w:fldCharType="end"/>
    </w:r>
  </w:p>
  <w:p w:rsidR="00F344D4" w:rsidRDefault="00F344D4">
    <w:pPr>
      <w:pBdr>
        <w:top w:val="nil"/>
        <w:left w:val="nil"/>
        <w:bottom w:val="nil"/>
        <w:right w:val="nil"/>
        <w:between w:val="nil"/>
      </w:pBdr>
      <w:tabs>
        <w:tab w:val="center" w:pos="4419"/>
        <w:tab w:val="right" w:pos="8838"/>
      </w:tabs>
      <w:rPr>
        <w:color w:val="000000"/>
      </w:rPr>
    </w:pPr>
  </w:p>
  <w:p w:rsidR="00F344D4" w:rsidRDefault="00F344D4"/>
  <w:p w:rsidR="00F344D4" w:rsidRDefault="00F344D4"/>
  <w:p w:rsidR="00F344D4" w:rsidRDefault="00F344D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4D4" w:rsidRPr="00D869E9" w:rsidRDefault="00F344D4">
    <w:pPr>
      <w:pBdr>
        <w:top w:val="nil"/>
        <w:left w:val="nil"/>
        <w:bottom w:val="nil"/>
        <w:right w:val="nil"/>
        <w:between w:val="nil"/>
      </w:pBdr>
      <w:tabs>
        <w:tab w:val="center" w:pos="4419"/>
        <w:tab w:val="right" w:pos="8838"/>
      </w:tabs>
      <w:jc w:val="right"/>
      <w:rPr>
        <w:rFonts w:ascii="Palatino Linotype" w:hAnsi="Palatino Linotype"/>
        <w:color w:val="000000"/>
        <w:sz w:val="24"/>
        <w:szCs w:val="24"/>
      </w:rPr>
    </w:pPr>
    <w:r w:rsidRPr="00D869E9">
      <w:rPr>
        <w:rFonts w:ascii="Palatino Linotype" w:hAnsi="Palatino Linotype"/>
        <w:color w:val="000000"/>
        <w:sz w:val="24"/>
        <w:szCs w:val="24"/>
      </w:rPr>
      <w:t xml:space="preserve">Página </w:t>
    </w:r>
    <w:r w:rsidRPr="00D869E9">
      <w:rPr>
        <w:rFonts w:ascii="Palatino Linotype" w:hAnsi="Palatino Linotype"/>
        <w:b/>
        <w:color w:val="000000"/>
        <w:sz w:val="24"/>
        <w:szCs w:val="24"/>
      </w:rPr>
      <w:fldChar w:fldCharType="begin"/>
    </w:r>
    <w:r w:rsidRPr="00D869E9">
      <w:rPr>
        <w:rFonts w:ascii="Palatino Linotype" w:hAnsi="Palatino Linotype"/>
        <w:b/>
        <w:color w:val="000000"/>
        <w:sz w:val="24"/>
        <w:szCs w:val="24"/>
      </w:rPr>
      <w:instrText>PAGE</w:instrText>
    </w:r>
    <w:r w:rsidRPr="00D869E9">
      <w:rPr>
        <w:rFonts w:ascii="Palatino Linotype" w:hAnsi="Palatino Linotype"/>
        <w:b/>
        <w:color w:val="000000"/>
        <w:sz w:val="24"/>
        <w:szCs w:val="24"/>
      </w:rPr>
      <w:fldChar w:fldCharType="separate"/>
    </w:r>
    <w:r w:rsidR="003E6A53">
      <w:rPr>
        <w:rFonts w:ascii="Palatino Linotype" w:hAnsi="Palatino Linotype"/>
        <w:b/>
        <w:noProof/>
        <w:color w:val="000000"/>
        <w:sz w:val="24"/>
        <w:szCs w:val="24"/>
      </w:rPr>
      <w:t>1</w:t>
    </w:r>
    <w:r w:rsidRPr="00D869E9">
      <w:rPr>
        <w:rFonts w:ascii="Palatino Linotype" w:hAnsi="Palatino Linotype"/>
        <w:b/>
        <w:color w:val="000000"/>
        <w:sz w:val="24"/>
        <w:szCs w:val="24"/>
      </w:rPr>
      <w:fldChar w:fldCharType="end"/>
    </w:r>
    <w:r w:rsidRPr="00D869E9">
      <w:rPr>
        <w:rFonts w:ascii="Palatino Linotype" w:hAnsi="Palatino Linotype"/>
        <w:color w:val="000000"/>
        <w:sz w:val="24"/>
        <w:szCs w:val="24"/>
      </w:rPr>
      <w:t xml:space="preserve"> de </w:t>
    </w:r>
    <w:r w:rsidRPr="00D869E9">
      <w:rPr>
        <w:rFonts w:ascii="Palatino Linotype" w:hAnsi="Palatino Linotype"/>
        <w:b/>
        <w:color w:val="000000"/>
        <w:sz w:val="24"/>
        <w:szCs w:val="24"/>
      </w:rPr>
      <w:fldChar w:fldCharType="begin"/>
    </w:r>
    <w:r w:rsidRPr="00D869E9">
      <w:rPr>
        <w:rFonts w:ascii="Palatino Linotype" w:hAnsi="Palatino Linotype"/>
        <w:b/>
        <w:color w:val="000000"/>
        <w:sz w:val="24"/>
        <w:szCs w:val="24"/>
      </w:rPr>
      <w:instrText>NUMPAGES</w:instrText>
    </w:r>
    <w:r w:rsidRPr="00D869E9">
      <w:rPr>
        <w:rFonts w:ascii="Palatino Linotype" w:hAnsi="Palatino Linotype"/>
        <w:b/>
        <w:color w:val="000000"/>
        <w:sz w:val="24"/>
        <w:szCs w:val="24"/>
      </w:rPr>
      <w:fldChar w:fldCharType="separate"/>
    </w:r>
    <w:r w:rsidR="003E6A53">
      <w:rPr>
        <w:rFonts w:ascii="Palatino Linotype" w:hAnsi="Palatino Linotype"/>
        <w:b/>
        <w:noProof/>
        <w:color w:val="000000"/>
        <w:sz w:val="24"/>
        <w:szCs w:val="24"/>
      </w:rPr>
      <w:t>18</w:t>
    </w:r>
    <w:r w:rsidRPr="00D869E9">
      <w:rPr>
        <w:rFonts w:ascii="Palatino Linotype" w:hAnsi="Palatino Linotype"/>
        <w:b/>
        <w:color w:val="000000"/>
        <w:sz w:val="24"/>
        <w:szCs w:val="24"/>
      </w:rPr>
      <w:fldChar w:fldCharType="end"/>
    </w:r>
  </w:p>
  <w:p w:rsidR="00F344D4" w:rsidRDefault="00F344D4">
    <w:pPr>
      <w:pBdr>
        <w:top w:val="nil"/>
        <w:left w:val="nil"/>
        <w:bottom w:val="nil"/>
        <w:right w:val="nil"/>
        <w:between w:val="nil"/>
      </w:pBdr>
      <w:tabs>
        <w:tab w:val="center" w:pos="4419"/>
        <w:tab w:val="right" w:pos="8838"/>
      </w:tabs>
      <w:rPr>
        <w:color w:val="000000"/>
      </w:rPr>
    </w:pPr>
  </w:p>
  <w:p w:rsidR="00F344D4" w:rsidRDefault="00F344D4"/>
  <w:p w:rsidR="00F344D4" w:rsidRDefault="00F344D4"/>
  <w:p w:rsidR="00F344D4" w:rsidRDefault="00F344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1641" w:rsidRDefault="007E1641" w:rsidP="00E65275">
      <w:r>
        <w:separator/>
      </w:r>
    </w:p>
  </w:footnote>
  <w:footnote w:type="continuationSeparator" w:id="0">
    <w:p w:rsidR="007E1641" w:rsidRDefault="007E1641" w:rsidP="00E65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4D4" w:rsidRDefault="007E164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63.5pt;height:12in;z-index:-251657216;mso-position-horizontal:center;mso-position-horizontal-relative:margin;mso-position-vertical:center;mso-position-vertical-relative:margin">
          <v:imagedata r:id="rId1" o:title="image1"/>
          <w10:wrap anchorx="margin" anchory="margin"/>
        </v:shape>
      </w:pict>
    </w:r>
  </w:p>
  <w:p w:rsidR="00F344D4" w:rsidRDefault="00F344D4"/>
  <w:p w:rsidR="00F344D4" w:rsidRDefault="00F344D4"/>
  <w:p w:rsidR="00F344D4" w:rsidRDefault="00F344D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Layout w:type="fixed"/>
      <w:tblLook w:val="0400" w:firstRow="0" w:lastRow="0" w:firstColumn="0" w:lastColumn="0" w:noHBand="0" w:noVBand="1"/>
    </w:tblPr>
    <w:tblGrid>
      <w:gridCol w:w="1843"/>
      <w:gridCol w:w="8505"/>
    </w:tblGrid>
    <w:tr w:rsidR="00F344D4" w:rsidTr="00D869E9">
      <w:trPr>
        <w:trHeight w:val="1435"/>
      </w:trPr>
      <w:tc>
        <w:tcPr>
          <w:tcW w:w="1843" w:type="dxa"/>
          <w:shd w:val="clear" w:color="auto" w:fill="auto"/>
        </w:tcPr>
        <w:p w:rsidR="00F344D4" w:rsidRDefault="00F344D4">
          <w:pPr>
            <w:tabs>
              <w:tab w:val="right" w:pos="4273"/>
            </w:tabs>
            <w:rPr>
              <w:rFonts w:ascii="Garamond" w:eastAsia="Garamond" w:hAnsi="Garamond" w:cs="Garamond"/>
              <w:sz w:val="16"/>
              <w:szCs w:val="16"/>
            </w:rPr>
          </w:pPr>
          <w:r>
            <w:rPr>
              <w:rFonts w:ascii="Garamond" w:eastAsia="Garamond" w:hAnsi="Garamond" w:cs="Garamond"/>
              <w:sz w:val="16"/>
              <w:szCs w:val="16"/>
            </w:rPr>
            <w:t xml:space="preserve"> </w:t>
          </w:r>
        </w:p>
      </w:tc>
      <w:tc>
        <w:tcPr>
          <w:tcW w:w="8505" w:type="dxa"/>
          <w:shd w:val="clear" w:color="auto" w:fill="auto"/>
        </w:tcPr>
        <w:tbl>
          <w:tblPr>
            <w:tblW w:w="7378" w:type="dxa"/>
            <w:tblInd w:w="1594" w:type="dxa"/>
            <w:tblBorders>
              <w:top w:val="nil"/>
              <w:left w:val="nil"/>
              <w:bottom w:val="nil"/>
              <w:right w:val="nil"/>
              <w:insideH w:val="nil"/>
              <w:insideV w:val="nil"/>
            </w:tblBorders>
            <w:tblLayout w:type="fixed"/>
            <w:tblLook w:val="0400" w:firstRow="0" w:lastRow="0" w:firstColumn="0" w:lastColumn="0" w:noHBand="0" w:noVBand="1"/>
          </w:tblPr>
          <w:tblGrid>
            <w:gridCol w:w="2834"/>
            <w:gridCol w:w="4544"/>
          </w:tblGrid>
          <w:tr w:rsidR="00F344D4" w:rsidRPr="00D869E9" w:rsidTr="00D869E9">
            <w:trPr>
              <w:trHeight w:val="338"/>
            </w:trPr>
            <w:tc>
              <w:tcPr>
                <w:tcW w:w="2834" w:type="dxa"/>
              </w:tcPr>
              <w:p w:rsidR="00F344D4" w:rsidRPr="00D869E9" w:rsidRDefault="00F344D4">
                <w:pPr>
                  <w:tabs>
                    <w:tab w:val="right" w:pos="8838"/>
                  </w:tabs>
                  <w:ind w:right="-10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sz w:val="24"/>
                    <w:szCs w:val="24"/>
                  </w:rPr>
                  <w:t>Recurso de Revisión:</w:t>
                </w:r>
              </w:p>
            </w:tc>
            <w:tc>
              <w:tcPr>
                <w:tcW w:w="4544" w:type="dxa"/>
              </w:tcPr>
              <w:p w:rsidR="00F344D4" w:rsidRPr="00D869E9" w:rsidRDefault="00D869E9" w:rsidP="00D869E9">
                <w:pPr>
                  <w:tabs>
                    <w:tab w:val="right" w:pos="8838"/>
                  </w:tabs>
                  <w:ind w:left="-108" w:right="-105"/>
                  <w:rPr>
                    <w:rFonts w:ascii="Palatino Linotype" w:eastAsia="Palatino Linotype" w:hAnsi="Palatino Linotype" w:cs="Palatino Linotype"/>
                    <w:sz w:val="24"/>
                    <w:szCs w:val="24"/>
                  </w:rPr>
                </w:pPr>
                <w:r w:rsidRPr="00D869E9">
                  <w:rPr>
                    <w:rFonts w:ascii="Palatino Linotype" w:eastAsia="Palatino Linotype" w:hAnsi="Palatino Linotype" w:cs="Palatino Linotype"/>
                    <w:b/>
                    <w:sz w:val="24"/>
                    <w:szCs w:val="24"/>
                  </w:rPr>
                  <w:t>1</w:t>
                </w:r>
                <w:r w:rsidR="00F344D4" w:rsidRPr="00D869E9">
                  <w:rPr>
                    <w:rFonts w:ascii="Palatino Linotype" w:eastAsia="Palatino Linotype" w:hAnsi="Palatino Linotype" w:cs="Palatino Linotype"/>
                    <w:b/>
                    <w:sz w:val="24"/>
                    <w:szCs w:val="24"/>
                  </w:rPr>
                  <w:t>938/INFOEM/IP/RR/2026</w:t>
                </w:r>
              </w:p>
            </w:tc>
          </w:tr>
          <w:tr w:rsidR="00F344D4" w:rsidRPr="00D869E9" w:rsidTr="00D869E9">
            <w:trPr>
              <w:trHeight w:val="283"/>
            </w:trPr>
            <w:tc>
              <w:tcPr>
                <w:tcW w:w="2834" w:type="dxa"/>
              </w:tcPr>
              <w:p w:rsidR="00F344D4" w:rsidRPr="00D869E9" w:rsidRDefault="00F344D4">
                <w:pPr>
                  <w:tabs>
                    <w:tab w:val="right" w:pos="8838"/>
                  </w:tabs>
                  <w:ind w:right="-105"/>
                  <w:rPr>
                    <w:rFonts w:ascii="Palatino Linotype" w:eastAsia="Palatino Linotype" w:hAnsi="Palatino Linotype" w:cs="Palatino Linotype"/>
                    <w:b/>
                    <w:sz w:val="24"/>
                    <w:szCs w:val="24"/>
                  </w:rPr>
                </w:pPr>
                <w:bookmarkStart w:id="9" w:name="_heading=h.3rdcrjn" w:colFirst="0" w:colLast="0"/>
                <w:bookmarkEnd w:id="9"/>
                <w:r w:rsidRPr="00D869E9">
                  <w:rPr>
                    <w:rFonts w:ascii="Palatino Linotype" w:eastAsia="Palatino Linotype" w:hAnsi="Palatino Linotype" w:cs="Palatino Linotype"/>
                    <w:b/>
                    <w:sz w:val="24"/>
                    <w:szCs w:val="24"/>
                  </w:rPr>
                  <w:t>Sujeto Obligado:</w:t>
                </w:r>
              </w:p>
            </w:tc>
            <w:tc>
              <w:tcPr>
                <w:tcW w:w="4544" w:type="dxa"/>
              </w:tcPr>
              <w:p w:rsidR="00F344D4" w:rsidRPr="00D869E9" w:rsidRDefault="00F344D4" w:rsidP="00D869E9">
                <w:pPr>
                  <w:tabs>
                    <w:tab w:val="right" w:pos="8838"/>
                  </w:tabs>
                  <w:ind w:left="-113" w:right="32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bCs/>
                    <w:sz w:val="24"/>
                    <w:szCs w:val="24"/>
                  </w:rPr>
                  <w:t>Ayuntamiento de Tepotzotlán</w:t>
                </w:r>
              </w:p>
            </w:tc>
          </w:tr>
          <w:tr w:rsidR="00F344D4" w:rsidRPr="00D869E9" w:rsidTr="00D869E9">
            <w:trPr>
              <w:trHeight w:val="283"/>
            </w:trPr>
            <w:tc>
              <w:tcPr>
                <w:tcW w:w="2834" w:type="dxa"/>
              </w:tcPr>
              <w:p w:rsidR="00F344D4" w:rsidRPr="00D869E9" w:rsidRDefault="00F344D4">
                <w:pPr>
                  <w:tabs>
                    <w:tab w:val="right" w:pos="8838"/>
                  </w:tabs>
                  <w:ind w:right="-10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sz w:val="24"/>
                    <w:szCs w:val="24"/>
                  </w:rPr>
                  <w:t>Comisionada Ponente:</w:t>
                </w:r>
              </w:p>
            </w:tc>
            <w:tc>
              <w:tcPr>
                <w:tcW w:w="4544" w:type="dxa"/>
              </w:tcPr>
              <w:p w:rsidR="00F344D4" w:rsidRPr="00D869E9" w:rsidRDefault="00F344D4" w:rsidP="00D869E9">
                <w:pPr>
                  <w:tabs>
                    <w:tab w:val="right" w:pos="8838"/>
                  </w:tabs>
                  <w:ind w:left="-113" w:right="-10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sz w:val="24"/>
                    <w:szCs w:val="24"/>
                  </w:rPr>
                  <w:t>María del Rosario Mejía Ayala</w:t>
                </w:r>
              </w:p>
            </w:tc>
          </w:tr>
        </w:tbl>
        <w:p w:rsidR="00F344D4" w:rsidRDefault="00F344D4">
          <w:pPr>
            <w:tabs>
              <w:tab w:val="right" w:pos="8838"/>
            </w:tabs>
            <w:ind w:left="-28"/>
            <w:jc w:val="both"/>
            <w:rPr>
              <w:rFonts w:ascii="Arial" w:eastAsia="Arial" w:hAnsi="Arial" w:cs="Arial"/>
              <w:b/>
              <w:sz w:val="22"/>
              <w:szCs w:val="22"/>
            </w:rPr>
          </w:pPr>
        </w:p>
      </w:tc>
    </w:tr>
  </w:tbl>
  <w:p w:rsidR="00F344D4" w:rsidRPr="00D869E9" w:rsidRDefault="007E1641" w:rsidP="00D869E9">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1pt;margin-top:-131pt;width:663.5pt;height:12in;z-index:-251656192;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Layout w:type="fixed"/>
      <w:tblLook w:val="0400" w:firstRow="0" w:lastRow="0" w:firstColumn="0" w:lastColumn="0" w:noHBand="0" w:noVBand="1"/>
    </w:tblPr>
    <w:tblGrid>
      <w:gridCol w:w="1560"/>
      <w:gridCol w:w="9072"/>
    </w:tblGrid>
    <w:tr w:rsidR="00F344D4" w:rsidTr="00D869E9">
      <w:trPr>
        <w:trHeight w:val="1435"/>
      </w:trPr>
      <w:tc>
        <w:tcPr>
          <w:tcW w:w="1560" w:type="dxa"/>
          <w:shd w:val="clear" w:color="auto" w:fill="auto"/>
        </w:tcPr>
        <w:p w:rsidR="00F344D4" w:rsidRDefault="00F344D4">
          <w:pPr>
            <w:tabs>
              <w:tab w:val="right" w:pos="4273"/>
            </w:tabs>
            <w:rPr>
              <w:rFonts w:ascii="Garamond" w:eastAsia="Garamond" w:hAnsi="Garamond" w:cs="Garamond"/>
              <w:sz w:val="22"/>
              <w:szCs w:val="22"/>
            </w:rPr>
          </w:pPr>
        </w:p>
      </w:tc>
      <w:tc>
        <w:tcPr>
          <w:tcW w:w="9072" w:type="dxa"/>
          <w:shd w:val="clear" w:color="auto" w:fill="auto"/>
        </w:tcPr>
        <w:tbl>
          <w:tblPr>
            <w:tblW w:w="11904" w:type="dxa"/>
            <w:tblInd w:w="1879" w:type="dxa"/>
            <w:tblBorders>
              <w:top w:val="nil"/>
              <w:left w:val="nil"/>
              <w:bottom w:val="nil"/>
              <w:right w:val="nil"/>
              <w:insideH w:val="nil"/>
              <w:insideV w:val="nil"/>
            </w:tblBorders>
            <w:tblLayout w:type="fixed"/>
            <w:tblLook w:val="0400" w:firstRow="0" w:lastRow="0" w:firstColumn="0" w:lastColumn="0" w:noHBand="0" w:noVBand="1"/>
          </w:tblPr>
          <w:tblGrid>
            <w:gridCol w:w="2690"/>
            <w:gridCol w:w="5812"/>
            <w:gridCol w:w="3402"/>
          </w:tblGrid>
          <w:tr w:rsidR="00F344D4" w:rsidTr="00D869E9">
            <w:trPr>
              <w:trHeight w:val="144"/>
            </w:trPr>
            <w:tc>
              <w:tcPr>
                <w:tcW w:w="2690" w:type="dxa"/>
              </w:tcPr>
              <w:p w:rsidR="00F344D4" w:rsidRPr="00D869E9" w:rsidRDefault="00F344D4">
                <w:pPr>
                  <w:tabs>
                    <w:tab w:val="right" w:pos="8838"/>
                  </w:tabs>
                  <w:ind w:left="-74" w:right="-105"/>
                  <w:rPr>
                    <w:rFonts w:ascii="Palatino Linotype" w:eastAsia="Palatino Linotype" w:hAnsi="Palatino Linotype" w:cs="Palatino Linotype"/>
                    <w:b/>
                    <w:sz w:val="24"/>
                    <w:szCs w:val="24"/>
                  </w:rPr>
                </w:pPr>
                <w:bookmarkStart w:id="10" w:name="_heading=h.26in1rg" w:colFirst="0" w:colLast="0"/>
                <w:bookmarkEnd w:id="10"/>
                <w:r w:rsidRPr="00D869E9">
                  <w:rPr>
                    <w:rFonts w:ascii="Palatino Linotype" w:eastAsia="Palatino Linotype" w:hAnsi="Palatino Linotype" w:cs="Palatino Linotype"/>
                    <w:b/>
                    <w:sz w:val="24"/>
                    <w:szCs w:val="24"/>
                  </w:rPr>
                  <w:t>Recurso de Revisión:</w:t>
                </w:r>
              </w:p>
            </w:tc>
            <w:tc>
              <w:tcPr>
                <w:tcW w:w="5812" w:type="dxa"/>
              </w:tcPr>
              <w:p w:rsidR="00F344D4" w:rsidRPr="00D869E9" w:rsidRDefault="00F344D4" w:rsidP="00D869E9">
                <w:pPr>
                  <w:tabs>
                    <w:tab w:val="right" w:pos="8838"/>
                  </w:tabs>
                  <w:ind w:left="-3" w:right="-105"/>
                  <w:rPr>
                    <w:rFonts w:ascii="Palatino Linotype" w:eastAsia="Palatino Linotype" w:hAnsi="Palatino Linotype" w:cs="Palatino Linotype"/>
                    <w:sz w:val="24"/>
                    <w:szCs w:val="24"/>
                  </w:rPr>
                </w:pPr>
                <w:r w:rsidRPr="00D869E9">
                  <w:rPr>
                    <w:rFonts w:ascii="Palatino Linotype" w:eastAsia="Palatino Linotype" w:hAnsi="Palatino Linotype" w:cs="Palatino Linotype"/>
                    <w:b/>
                    <w:sz w:val="24"/>
                    <w:szCs w:val="24"/>
                  </w:rPr>
                  <w:t>1938/INFOEM/IP/RR/2026</w:t>
                </w:r>
              </w:p>
            </w:tc>
            <w:tc>
              <w:tcPr>
                <w:tcW w:w="3402" w:type="dxa"/>
              </w:tcPr>
              <w:p w:rsidR="00F344D4" w:rsidRDefault="00F344D4">
                <w:pPr>
                  <w:tabs>
                    <w:tab w:val="right" w:pos="8838"/>
                  </w:tabs>
                  <w:ind w:left="-74" w:right="-105"/>
                  <w:jc w:val="both"/>
                  <w:rPr>
                    <w:rFonts w:ascii="Palatino Linotype" w:eastAsia="Palatino Linotype" w:hAnsi="Palatino Linotype" w:cs="Palatino Linotype"/>
                    <w:sz w:val="22"/>
                    <w:szCs w:val="22"/>
                  </w:rPr>
                </w:pPr>
              </w:p>
            </w:tc>
          </w:tr>
          <w:tr w:rsidR="00F344D4" w:rsidTr="00D869E9">
            <w:trPr>
              <w:trHeight w:val="144"/>
            </w:trPr>
            <w:tc>
              <w:tcPr>
                <w:tcW w:w="2690" w:type="dxa"/>
              </w:tcPr>
              <w:p w:rsidR="00F344D4" w:rsidRPr="00D869E9" w:rsidRDefault="00F344D4">
                <w:pPr>
                  <w:tabs>
                    <w:tab w:val="right" w:pos="8838"/>
                  </w:tabs>
                  <w:ind w:left="-74" w:right="-105"/>
                  <w:rPr>
                    <w:rFonts w:ascii="Palatino Linotype" w:eastAsia="Palatino Linotype" w:hAnsi="Palatino Linotype" w:cs="Palatino Linotype"/>
                    <w:b/>
                    <w:sz w:val="24"/>
                    <w:szCs w:val="24"/>
                  </w:rPr>
                </w:pPr>
                <w:bookmarkStart w:id="11" w:name="_heading=h.lnxbz9" w:colFirst="0" w:colLast="0"/>
                <w:bookmarkEnd w:id="11"/>
                <w:r w:rsidRPr="00D869E9">
                  <w:rPr>
                    <w:rFonts w:ascii="Palatino Linotype" w:eastAsia="Palatino Linotype" w:hAnsi="Palatino Linotype" w:cs="Palatino Linotype"/>
                    <w:b/>
                    <w:sz w:val="24"/>
                    <w:szCs w:val="24"/>
                  </w:rPr>
                  <w:t>Recurrente:</w:t>
                </w:r>
              </w:p>
            </w:tc>
            <w:tc>
              <w:tcPr>
                <w:tcW w:w="5812" w:type="dxa"/>
              </w:tcPr>
              <w:p w:rsidR="00F344D4" w:rsidRPr="00D869E9" w:rsidRDefault="003E6A53" w:rsidP="00D869E9">
                <w:pPr>
                  <w:tabs>
                    <w:tab w:val="left" w:pos="3122"/>
                    <w:tab w:val="right" w:pos="8838"/>
                  </w:tabs>
                  <w:ind w:right="1457"/>
                  <w:rPr>
                    <w:rFonts w:ascii="Palatino Linotype" w:eastAsia="Palatino Linotype" w:hAnsi="Palatino Linotype" w:cs="Palatino Linotype"/>
                    <w:b/>
                    <w:sz w:val="24"/>
                    <w:szCs w:val="24"/>
                  </w:rPr>
                </w:pPr>
                <w:r>
                  <w:rPr>
                    <w:rFonts w:ascii="Palatino Linotype" w:eastAsia="Palatino Linotype" w:hAnsi="Palatino Linotype" w:cs="Palatino Linotype"/>
                    <w:b/>
                    <w:bCs/>
                    <w:sz w:val="24"/>
                    <w:szCs w:val="24"/>
                  </w:rPr>
                  <w:t>XXXX</w:t>
                </w:r>
              </w:p>
            </w:tc>
            <w:tc>
              <w:tcPr>
                <w:tcW w:w="3402" w:type="dxa"/>
              </w:tcPr>
              <w:p w:rsidR="00F344D4" w:rsidRDefault="00F344D4">
                <w:pPr>
                  <w:tabs>
                    <w:tab w:val="left" w:pos="3122"/>
                    <w:tab w:val="right" w:pos="8838"/>
                  </w:tabs>
                  <w:ind w:right="-105"/>
                  <w:jc w:val="both"/>
                  <w:rPr>
                    <w:rFonts w:ascii="Palatino Linotype" w:eastAsia="Palatino Linotype" w:hAnsi="Palatino Linotype" w:cs="Palatino Linotype"/>
                    <w:sz w:val="22"/>
                    <w:szCs w:val="22"/>
                  </w:rPr>
                </w:pPr>
              </w:p>
            </w:tc>
          </w:tr>
          <w:tr w:rsidR="00F344D4" w:rsidTr="00D869E9">
            <w:trPr>
              <w:trHeight w:val="283"/>
            </w:trPr>
            <w:tc>
              <w:tcPr>
                <w:tcW w:w="2690" w:type="dxa"/>
              </w:tcPr>
              <w:p w:rsidR="00F344D4" w:rsidRPr="00D869E9" w:rsidRDefault="00F344D4">
                <w:pPr>
                  <w:tabs>
                    <w:tab w:val="right" w:pos="8838"/>
                  </w:tabs>
                  <w:ind w:left="-74" w:right="-10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sz w:val="24"/>
                    <w:szCs w:val="24"/>
                  </w:rPr>
                  <w:t>Sujeto Obligado:</w:t>
                </w:r>
              </w:p>
            </w:tc>
            <w:tc>
              <w:tcPr>
                <w:tcW w:w="5812" w:type="dxa"/>
              </w:tcPr>
              <w:p w:rsidR="00F344D4" w:rsidRPr="00D869E9" w:rsidRDefault="00F344D4" w:rsidP="00D869E9">
                <w:pPr>
                  <w:tabs>
                    <w:tab w:val="left" w:pos="2834"/>
                    <w:tab w:val="right" w:pos="8838"/>
                  </w:tabs>
                  <w:ind w:left="-3" w:right="131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bCs/>
                    <w:sz w:val="24"/>
                    <w:szCs w:val="24"/>
                  </w:rPr>
                  <w:t xml:space="preserve">Ayuntamiento de Tepotzotlán </w:t>
                </w:r>
              </w:p>
            </w:tc>
            <w:tc>
              <w:tcPr>
                <w:tcW w:w="3402" w:type="dxa"/>
              </w:tcPr>
              <w:p w:rsidR="00F344D4" w:rsidRDefault="00F344D4">
                <w:pPr>
                  <w:tabs>
                    <w:tab w:val="left" w:pos="2834"/>
                    <w:tab w:val="right" w:pos="8838"/>
                  </w:tabs>
                  <w:ind w:left="-74" w:right="-105"/>
                  <w:jc w:val="both"/>
                  <w:rPr>
                    <w:rFonts w:ascii="Palatino Linotype" w:eastAsia="Palatino Linotype" w:hAnsi="Palatino Linotype" w:cs="Palatino Linotype"/>
                    <w:sz w:val="22"/>
                    <w:szCs w:val="22"/>
                  </w:rPr>
                </w:pPr>
              </w:p>
            </w:tc>
          </w:tr>
          <w:tr w:rsidR="00F344D4" w:rsidTr="00D869E9">
            <w:trPr>
              <w:trHeight w:val="283"/>
            </w:trPr>
            <w:tc>
              <w:tcPr>
                <w:tcW w:w="2690" w:type="dxa"/>
              </w:tcPr>
              <w:p w:rsidR="00F344D4" w:rsidRPr="00D869E9" w:rsidRDefault="00F344D4">
                <w:pPr>
                  <w:tabs>
                    <w:tab w:val="right" w:pos="8838"/>
                  </w:tabs>
                  <w:ind w:left="-74" w:right="-10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sz w:val="24"/>
                    <w:szCs w:val="24"/>
                  </w:rPr>
                  <w:t>Comisionada Ponente:</w:t>
                </w:r>
              </w:p>
            </w:tc>
            <w:tc>
              <w:tcPr>
                <w:tcW w:w="5812" w:type="dxa"/>
              </w:tcPr>
              <w:p w:rsidR="00F344D4" w:rsidRPr="00D869E9" w:rsidRDefault="00F344D4" w:rsidP="00D869E9">
                <w:pPr>
                  <w:tabs>
                    <w:tab w:val="right" w:pos="8838"/>
                  </w:tabs>
                  <w:ind w:left="-3" w:right="-105"/>
                  <w:rPr>
                    <w:rFonts w:ascii="Palatino Linotype" w:eastAsia="Palatino Linotype" w:hAnsi="Palatino Linotype" w:cs="Palatino Linotype"/>
                    <w:b/>
                    <w:sz w:val="24"/>
                    <w:szCs w:val="24"/>
                  </w:rPr>
                </w:pPr>
                <w:r w:rsidRPr="00D869E9">
                  <w:rPr>
                    <w:rFonts w:ascii="Palatino Linotype" w:eastAsia="Palatino Linotype" w:hAnsi="Palatino Linotype" w:cs="Palatino Linotype"/>
                    <w:b/>
                    <w:sz w:val="24"/>
                    <w:szCs w:val="24"/>
                  </w:rPr>
                  <w:t>María del Rosario Mejía Ayala</w:t>
                </w:r>
              </w:p>
            </w:tc>
            <w:tc>
              <w:tcPr>
                <w:tcW w:w="3402" w:type="dxa"/>
              </w:tcPr>
              <w:p w:rsidR="00F344D4" w:rsidRDefault="00F344D4">
                <w:pPr>
                  <w:tabs>
                    <w:tab w:val="right" w:pos="8838"/>
                  </w:tabs>
                  <w:ind w:left="-74" w:right="-105"/>
                  <w:jc w:val="both"/>
                  <w:rPr>
                    <w:rFonts w:ascii="Palatino Linotype" w:eastAsia="Palatino Linotype" w:hAnsi="Palatino Linotype" w:cs="Palatino Linotype"/>
                    <w:sz w:val="22"/>
                    <w:szCs w:val="22"/>
                  </w:rPr>
                </w:pPr>
              </w:p>
            </w:tc>
          </w:tr>
        </w:tbl>
        <w:p w:rsidR="00F344D4" w:rsidRDefault="00F344D4">
          <w:pPr>
            <w:tabs>
              <w:tab w:val="right" w:pos="8838"/>
            </w:tabs>
            <w:ind w:left="-28"/>
            <w:jc w:val="both"/>
            <w:rPr>
              <w:rFonts w:ascii="Arial" w:eastAsia="Arial" w:hAnsi="Arial" w:cs="Arial"/>
              <w:b/>
              <w:sz w:val="22"/>
              <w:szCs w:val="22"/>
            </w:rPr>
          </w:pPr>
        </w:p>
      </w:tc>
    </w:tr>
  </w:tbl>
  <w:p w:rsidR="00F344D4" w:rsidRPr="00D869E9" w:rsidRDefault="007E1641" w:rsidP="00D869E9">
    <w:pPr>
      <w:pBdr>
        <w:top w:val="nil"/>
        <w:left w:val="nil"/>
        <w:bottom w:val="nil"/>
        <w:right w:val="nil"/>
        <w:between w:val="nil"/>
      </w:pBdr>
      <w:tabs>
        <w:tab w:val="center" w:pos="4419"/>
        <w:tab w:val="right" w:pos="8838"/>
        <w:tab w:val="center" w:pos="4522"/>
      </w:tabs>
      <w:rPr>
        <w:color w:val="000000"/>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75.8pt;margin-top:-134.3pt;width:663.5pt;height:12in;z-index:-25165516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21923"/>
    <w:multiLevelType w:val="hybridMultilevel"/>
    <w:tmpl w:val="13C86742"/>
    <w:lvl w:ilvl="0" w:tplc="0E4AAF5C">
      <w:numFmt w:val="bullet"/>
      <w:lvlText w:val="-"/>
      <w:lvlJc w:val="left"/>
      <w:pPr>
        <w:ind w:left="720" w:hanging="360"/>
      </w:pPr>
      <w:rPr>
        <w:rFonts w:ascii="Palatino Linotype" w:eastAsia="Palatino Linotype" w:hAnsi="Palatino Linotype" w:cs="Palatino Linotype" w:hint="default"/>
        <w:b w:val="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94046A8"/>
    <w:multiLevelType w:val="multilevel"/>
    <w:tmpl w:val="9C4C8BD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DD95CB9"/>
    <w:multiLevelType w:val="multilevel"/>
    <w:tmpl w:val="DD72E26C"/>
    <w:lvl w:ilvl="0">
      <w:start w:val="1"/>
      <w:numFmt w:val="decimal"/>
      <w:lvlText w:val="%1."/>
      <w:lvlJc w:val="left"/>
      <w:pPr>
        <w:ind w:left="36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F44"/>
    <w:rsid w:val="001137E5"/>
    <w:rsid w:val="00155E29"/>
    <w:rsid w:val="00177C24"/>
    <w:rsid w:val="00180BAF"/>
    <w:rsid w:val="00206264"/>
    <w:rsid w:val="00265CAF"/>
    <w:rsid w:val="00360AD4"/>
    <w:rsid w:val="00377DB6"/>
    <w:rsid w:val="003E6A53"/>
    <w:rsid w:val="007E1641"/>
    <w:rsid w:val="007F3DEA"/>
    <w:rsid w:val="00961B3F"/>
    <w:rsid w:val="0097779B"/>
    <w:rsid w:val="00A17998"/>
    <w:rsid w:val="00B8165B"/>
    <w:rsid w:val="00D05242"/>
    <w:rsid w:val="00D869E9"/>
    <w:rsid w:val="00E65275"/>
    <w:rsid w:val="00F22C5A"/>
    <w:rsid w:val="00F344D4"/>
    <w:rsid w:val="00F74F44"/>
    <w:rsid w:val="00FA3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6E640-AECB-432C-9E48-12ECAB619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F4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F74F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74F4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74F44"/>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F74F44"/>
    <w:rPr>
      <w:rFonts w:asciiTheme="majorHAnsi" w:eastAsiaTheme="majorEastAsia" w:hAnsiTheme="majorHAnsi" w:cstheme="majorBidi"/>
      <w:color w:val="2E74B5" w:themeColor="accent1" w:themeShade="BF"/>
      <w:sz w:val="26"/>
      <w:szCs w:val="26"/>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74F44"/>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74F44"/>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F74F44"/>
    <w:rPr>
      <w:color w:val="0563C1" w:themeColor="hyperlink"/>
      <w:u w:val="single"/>
    </w:rPr>
  </w:style>
  <w:style w:type="paragraph" w:styleId="Sinespaciado">
    <w:name w:val="No Spacing"/>
    <w:aliases w:val="Francesa,INAI"/>
    <w:link w:val="SinespaciadoCar"/>
    <w:uiPriority w:val="1"/>
    <w:qFormat/>
    <w:rsid w:val="00F74F4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74F44"/>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E65275"/>
    <w:pPr>
      <w:tabs>
        <w:tab w:val="center" w:pos="4419"/>
        <w:tab w:val="right" w:pos="8838"/>
      </w:tabs>
    </w:pPr>
  </w:style>
  <w:style w:type="character" w:customStyle="1" w:styleId="PiedepginaCar">
    <w:name w:val="Pie de página Car"/>
    <w:basedOn w:val="Fuentedeprrafopredeter"/>
    <w:link w:val="Piedepgina"/>
    <w:uiPriority w:val="99"/>
    <w:rsid w:val="00E65275"/>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695358.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18</Pages>
  <Words>3875</Words>
  <Characters>21318</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INFOEM549</dc:creator>
  <cp:keywords/>
  <dc:description/>
  <cp:lastModifiedBy>Cuenta Microsoft</cp:lastModifiedBy>
  <cp:revision>7</cp:revision>
  <cp:lastPrinted>2026-04-29T18:01:00Z</cp:lastPrinted>
  <dcterms:created xsi:type="dcterms:W3CDTF">2026-04-20T17:22:00Z</dcterms:created>
  <dcterms:modified xsi:type="dcterms:W3CDTF">2026-05-08T00:10:00Z</dcterms:modified>
</cp:coreProperties>
</file>