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F69" w:rsidRDefault="00C9368C" w:rsidP="001271AD">
      <w:pPr>
        <w:spacing w:line="360" w:lineRule="auto"/>
        <w:ind w:right="-283"/>
        <w:jc w:val="both"/>
        <w:rPr>
          <w:rFonts w:ascii="Palatino Linotype" w:eastAsia="Palatino Linotype" w:hAnsi="Palatino Linotype" w:cs="Palatino Linotype"/>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1271AD">
        <w:rPr>
          <w:rFonts w:ascii="Palatino Linotype" w:eastAsia="Palatino Linotype" w:hAnsi="Palatino Linotype" w:cs="Palatino Linotype"/>
          <w:b/>
          <w:bCs/>
        </w:rPr>
        <w:t>uno</w:t>
      </w:r>
      <w:r w:rsidR="00FA59BD">
        <w:rPr>
          <w:rFonts w:ascii="Palatino Linotype" w:eastAsia="Palatino Linotype" w:hAnsi="Palatino Linotype" w:cs="Palatino Linotype"/>
          <w:b/>
          <w:bCs/>
        </w:rPr>
        <w:t xml:space="preserve"> (01)</w:t>
      </w:r>
      <w:r w:rsidR="001271AD">
        <w:rPr>
          <w:rFonts w:ascii="Palatino Linotype" w:eastAsia="Palatino Linotype" w:hAnsi="Palatino Linotype" w:cs="Palatino Linotype"/>
          <w:b/>
          <w:bCs/>
        </w:rPr>
        <w:t xml:space="preserve"> </w:t>
      </w:r>
      <w:r>
        <w:rPr>
          <w:rFonts w:ascii="Palatino Linotype" w:eastAsia="Palatino Linotype" w:hAnsi="Palatino Linotype" w:cs="Palatino Linotype"/>
          <w:b/>
          <w:bCs/>
        </w:rPr>
        <w:t>de julio de dos mil veintiséis</w:t>
      </w:r>
      <w:r>
        <w:rPr>
          <w:rFonts w:ascii="Palatino Linotype" w:eastAsia="Palatino Linotype" w:hAnsi="Palatino Linotype" w:cs="Palatino Linotype"/>
        </w:rPr>
        <w:t>.</w:t>
      </w:r>
    </w:p>
    <w:p w:rsidR="00807F69" w:rsidRDefault="00807F69" w:rsidP="001271AD">
      <w:pPr>
        <w:ind w:right="-283"/>
        <w:jc w:val="both"/>
        <w:rPr>
          <w:rFonts w:ascii="Palatino Linotype" w:eastAsia="Palatino Linotype" w:hAnsi="Palatino Linotype" w:cs="Palatino Linotype"/>
        </w:rPr>
      </w:pPr>
    </w:p>
    <w:p w:rsidR="00807F69" w:rsidRDefault="00C9368C" w:rsidP="001271AD">
      <w:pPr>
        <w:spacing w:line="360" w:lineRule="auto"/>
        <w:ind w:right="-283"/>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03788/INFOEM/IP/RR/2026, </w:t>
      </w:r>
      <w:r>
        <w:rPr>
          <w:rFonts w:ascii="Palatino Linotype" w:eastAsia="Palatino Linotype" w:hAnsi="Palatino Linotype" w:cs="Palatino Linotype"/>
        </w:rPr>
        <w:t xml:space="preserve">promovido por </w:t>
      </w:r>
      <w:r>
        <w:rPr>
          <w:rFonts w:ascii="Palatino Linotype" w:eastAsia="Palatino Linotype" w:hAnsi="Palatino Linotype" w:cs="Palatino Linotype"/>
          <w:b/>
          <w:bCs/>
        </w:rPr>
        <w:t>una persona que no proporcionó datos de identificación,</w:t>
      </w:r>
      <w:r>
        <w:rPr>
          <w:rFonts w:ascii="Palatino Linotype" w:eastAsia="Palatino Linotype" w:hAnsi="Palatino Linotype" w:cs="Palatino Linotype"/>
        </w:rPr>
        <w:t xml:space="preserve"> en lo sucesivo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Tribunal de Justicia Administrativa del Estado de México,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807F69" w:rsidRDefault="00807F69" w:rsidP="001271AD">
      <w:pPr>
        <w:ind w:right="-283"/>
        <w:jc w:val="both"/>
        <w:rPr>
          <w:rFonts w:ascii="Palatino Linotype" w:eastAsia="Palatino Linotype" w:hAnsi="Palatino Linotype" w:cs="Palatino Linotype"/>
        </w:rPr>
      </w:pPr>
    </w:p>
    <w:p w:rsidR="00807F69" w:rsidRDefault="00C9368C" w:rsidP="001271AD">
      <w:pPr>
        <w:keepNext/>
        <w:keepLines/>
        <w:spacing w:line="360" w:lineRule="auto"/>
        <w:ind w:right="-283"/>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807F69" w:rsidRDefault="00807F69" w:rsidP="001271AD">
      <w:pPr>
        <w:ind w:right="-283"/>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diez de marzo de dos mil veintiséis</w:t>
      </w:r>
      <w:r>
        <w:rPr>
          <w:rFonts w:ascii="Palatino Linotype" w:eastAsia="Palatino Linotype" w:hAnsi="Palatino Linotype" w:cs="Palatino Linotype"/>
        </w:rPr>
        <w:t>, la</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 </w:t>
      </w:r>
      <w:r>
        <w:rPr>
          <w:rFonts w:ascii="Palatino Linotype" w:eastAsia="Palatino Linotype" w:hAnsi="Palatino Linotype" w:cs="Palatino Linotype"/>
          <w:b/>
          <w:bCs/>
        </w:rPr>
        <w:t>00089/TRIJAEM/IP/2026</w:t>
      </w:r>
      <w:r>
        <w:rPr>
          <w:rFonts w:ascii="Palatino Linotype" w:eastAsia="Palatino Linotype" w:hAnsi="Palatino Linotype" w:cs="Palatino Linotype"/>
        </w:rPr>
        <w:t>, en la que solicitó:</w:t>
      </w:r>
    </w:p>
    <w:p w:rsidR="00807F69" w:rsidRDefault="00807F69" w:rsidP="001271AD">
      <w:pPr>
        <w:ind w:right="-283"/>
        <w:jc w:val="both"/>
        <w:rPr>
          <w:rFonts w:ascii="Palatino Linotype" w:eastAsia="Palatino Linotype" w:hAnsi="Palatino Linotype" w:cs="Palatino Linotype"/>
        </w:rPr>
      </w:pPr>
    </w:p>
    <w:p w:rsidR="00807F69" w:rsidRDefault="00C9368C" w:rsidP="001271AD">
      <w:pP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 fundamento en la Lay de Transparencia Local se solicita la siguiente información pública: número de multas emitidas a Servidores Públicos del Instituto de Seguridad Social del Estado de México y Municipios (ISSEMYM).” (Sic) </w:t>
      </w:r>
    </w:p>
    <w:p w:rsidR="00807F69" w:rsidRDefault="00807F69" w:rsidP="001271AD">
      <w:pPr>
        <w:pBdr>
          <w:top w:val="nil"/>
          <w:left w:val="nil"/>
          <w:bottom w:val="nil"/>
          <w:right w:val="nil"/>
          <w:between w:val="nil"/>
        </w:pBdr>
        <w:ind w:right="-283"/>
        <w:jc w:val="both"/>
        <w:rPr>
          <w:rFonts w:ascii="Palatino Linotype" w:eastAsia="Palatino Linotype" w:hAnsi="Palatino Linotype" w:cs="Palatino Linotype"/>
        </w:rPr>
      </w:pPr>
    </w:p>
    <w:p w:rsidR="00807F69" w:rsidRDefault="00807F69" w:rsidP="001271AD">
      <w:pPr>
        <w:pBdr>
          <w:top w:val="nil"/>
          <w:left w:val="nil"/>
          <w:bottom w:val="nil"/>
          <w:right w:val="nil"/>
          <w:between w:val="nil"/>
        </w:pBdr>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Se hace constar que se señaló como modalidad de entrega de la información a través del </w:t>
      </w:r>
      <w:r>
        <w:rPr>
          <w:rFonts w:ascii="Palatino Linotype" w:eastAsia="Palatino Linotype" w:hAnsi="Palatino Linotype" w:cs="Palatino Linotype"/>
          <w:b/>
          <w:bCs/>
        </w:rPr>
        <w:t>SAIMEX.</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veinticuatro de marzo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en los siguientes términos:</w:t>
      </w:r>
    </w:p>
    <w:p w:rsidR="00807F69" w:rsidRDefault="00C9368C" w:rsidP="001271AD">
      <w:pP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rsidR="00807F69" w:rsidRDefault="00807F69" w:rsidP="001271AD">
      <w:pPr>
        <w:ind w:left="567" w:right="-283"/>
        <w:jc w:val="both"/>
        <w:rPr>
          <w:rFonts w:ascii="Palatino Linotype" w:eastAsia="Palatino Linotype" w:hAnsi="Palatino Linotype" w:cs="Palatino Linotype"/>
          <w:i/>
          <w:iCs/>
          <w:color w:val="000000"/>
        </w:rPr>
      </w:pPr>
    </w:p>
    <w:p w:rsidR="00807F69" w:rsidRDefault="00C9368C" w:rsidP="001271AD">
      <w:pPr>
        <w:ind w:right="-283"/>
        <w:jc w:val="both"/>
        <w:rPr>
          <w:rFonts w:ascii="Palatino Linotype" w:eastAsia="Palatino Linotype" w:hAnsi="Palatino Linotype" w:cs="Palatino Linotype"/>
        </w:rPr>
      </w:pPr>
      <w:r>
        <w:rPr>
          <w:rFonts w:ascii="Palatino Linotype" w:eastAsia="Palatino Linotype" w:hAnsi="Palatino Linotype" w:cs="Palatino Linotype"/>
        </w:rPr>
        <w:t>A la respuesta adjunto los siguientes documentos:</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7"/>
        </w:num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 Sol 89.2026 U. Informatica.pdf: </w:t>
      </w:r>
      <w:r>
        <w:rPr>
          <w:rFonts w:ascii="Palatino Linotype" w:eastAsia="Palatino Linotype" w:hAnsi="Palatino Linotype" w:cs="Palatino Linotype"/>
          <w:color w:val="000000"/>
        </w:rPr>
        <w:t>Oficio TRIJAEM-UI-204/2026 de fecha doce de marzo de dos mil veintiséis, suscrito por la Jefa de la Unidad de Informática del Tribunal de Justicia Administrativa del Estado de México, a través del cual informa que esa Unidad no cuenta con la información solicitada por el particular.</w:t>
      </w:r>
    </w:p>
    <w:p w:rsidR="00807F69" w:rsidRDefault="00C9368C" w:rsidP="001271AD">
      <w:pPr>
        <w:numPr>
          <w:ilvl w:val="0"/>
          <w:numId w:val="7"/>
        </w:num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ACUERDO DE RESPUESTA SOL 089.2026 U. Informatica.docx: </w:t>
      </w:r>
      <w:r>
        <w:rPr>
          <w:rFonts w:ascii="Palatino Linotype" w:eastAsia="Palatino Linotype" w:hAnsi="Palatino Linotype" w:cs="Palatino Linotype"/>
          <w:color w:val="000000"/>
        </w:rPr>
        <w:t xml:space="preserve">Documento en formato Word, consistente en el Acuerdo 00089/TRIJAEM/IP/2026 de fecha veintitrés de marzo de dos mil veintiséis, suscrito por la Jefa de la Unidad de información, Planeación, Programación y Evaluación, a través del cual refiere que una vez analizada la solicitud de información y de la </w:t>
      </w:r>
      <w:r>
        <w:rPr>
          <w:rFonts w:ascii="Palatino Linotype" w:eastAsia="Palatino Linotype" w:hAnsi="Palatino Linotype" w:cs="Palatino Linotype"/>
        </w:rPr>
        <w:t>respuesta</w:t>
      </w:r>
      <w:r>
        <w:rPr>
          <w:rFonts w:ascii="Palatino Linotype" w:eastAsia="Palatino Linotype" w:hAnsi="Palatino Linotype" w:cs="Palatino Linotype"/>
          <w:color w:val="000000"/>
        </w:rPr>
        <w:t xml:space="preserve"> emitida por la Unidad de Informática, </w:t>
      </w:r>
      <w:r>
        <w:rPr>
          <w:rFonts w:ascii="Palatino Linotype" w:eastAsia="Palatino Linotype" w:hAnsi="Palatino Linotype" w:cs="Palatino Linotype"/>
        </w:rPr>
        <w:t>reiteró</w:t>
      </w:r>
      <w:r>
        <w:rPr>
          <w:rFonts w:ascii="Palatino Linotype" w:eastAsia="Palatino Linotype" w:hAnsi="Palatino Linotype" w:cs="Palatino Linotype"/>
          <w:color w:val="000000"/>
        </w:rPr>
        <w:t xml:space="preserve"> que ese Tribunal no cuenta con la información requerida a ese grado de detalle, ello aunado a que no existe obligación normativa que lo obligue a poseer un método o medio a través del cual pueda localizar datos precisos como lo requeridos por el particular, toda vez que dentro de las funciones de ese Tribunal n se encuentra la de contar con la información al grado de desagregación que la persona solicitante requiere, no obstante orienta al particular a que consulte la información que pueda ser de utilidad dentro del Portal de Sentencias de ese Tribunal, proporcionando el link de acceso; así como las indicaciones para estar en posibilidad de consultar información.</w:t>
      </w:r>
    </w:p>
    <w:p w:rsidR="00807F69" w:rsidRDefault="00C9368C" w:rsidP="001271AD">
      <w:pPr>
        <w:numPr>
          <w:ilvl w:val="0"/>
          <w:numId w:val="7"/>
        </w:num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ACUERDO DE RESPUESTA SOL 089.2026.pdf: </w:t>
      </w:r>
      <w:r>
        <w:rPr>
          <w:rFonts w:ascii="Palatino Linotype" w:eastAsia="Palatino Linotype" w:hAnsi="Palatino Linotype" w:cs="Palatino Linotype"/>
          <w:color w:val="000000"/>
        </w:rPr>
        <w:t>Documento en versión pdf: constante del Acuerdo descrito en el punto que antecede.</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ocho de abril de dos mil veintiséis</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como:</w:t>
      </w:r>
    </w:p>
    <w:p w:rsidR="00807F69" w:rsidRDefault="00807F69" w:rsidP="001271AD">
      <w:pPr>
        <w:ind w:right="-283"/>
        <w:jc w:val="both"/>
        <w:rPr>
          <w:rFonts w:ascii="Palatino Linotype" w:eastAsia="Palatino Linotype" w:hAnsi="Palatino Linotype" w:cs="Palatino Linotype"/>
        </w:rPr>
      </w:pPr>
    </w:p>
    <w:p w:rsidR="00807F69" w:rsidRDefault="00C9368C" w:rsidP="001271AD">
      <w:pPr>
        <w:numPr>
          <w:ilvl w:val="0"/>
          <w:numId w:val="1"/>
        </w:numPr>
        <w:ind w:right="-283"/>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“la respuesta emitida” (Sic)</w:t>
      </w:r>
    </w:p>
    <w:p w:rsidR="00807F69" w:rsidRDefault="00807F69" w:rsidP="001271AD">
      <w:pPr>
        <w:ind w:left="720" w:right="-283"/>
        <w:jc w:val="both"/>
        <w:rPr>
          <w:rFonts w:ascii="Palatino Linotype" w:eastAsia="Palatino Linotype" w:hAnsi="Palatino Linotype" w:cs="Palatino Linotype"/>
        </w:rPr>
      </w:pPr>
    </w:p>
    <w:p w:rsidR="00807F69" w:rsidRDefault="00C9368C" w:rsidP="001271AD">
      <w:pPr>
        <w:numPr>
          <w:ilvl w:val="0"/>
          <w:numId w:val="1"/>
        </w:numPr>
        <w:ind w:right="-283"/>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color w:val="000000"/>
        </w:rPr>
        <w:t>“No entrega la información solicitada.” (Sic)</w:t>
      </w:r>
    </w:p>
    <w:p w:rsidR="00807F69" w:rsidRDefault="00807F69" w:rsidP="001271AD">
      <w:pPr>
        <w:ind w:right="-283"/>
        <w:jc w:val="both"/>
        <w:rPr>
          <w:rFonts w:ascii="Palatino Linotype" w:eastAsia="Palatino Linotype" w:hAnsi="Palatino Linotype" w:cs="Palatino Linotype"/>
          <w:b/>
          <w:bCs/>
        </w:rPr>
      </w:pPr>
    </w:p>
    <w:p w:rsidR="00FA59BD" w:rsidRDefault="00FA59BD"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807F69" w:rsidRDefault="00807F69" w:rsidP="001271AD">
      <w:pPr>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w:t>
      </w:r>
      <w:r>
        <w:rPr>
          <w:rFonts w:ascii="Palatino Linotype" w:eastAsia="Palatino Linotype" w:hAnsi="Palatino Linotype" w:cs="Palatino Linotype"/>
          <w:b/>
          <w:bCs/>
        </w:rPr>
        <w:t>acuerdo de admisión del nueve de abril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807F69" w:rsidRDefault="00807F69" w:rsidP="001271AD">
      <w:pPr>
        <w:ind w:right="-283"/>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y veinticuatro de abril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por medio de los siguientes documentos: </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8"/>
        </w:num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Informe Justificado RR 03788.2026 Sol 89.pdf: </w:t>
      </w:r>
      <w:r>
        <w:rPr>
          <w:rFonts w:ascii="Palatino Linotype" w:eastAsia="Palatino Linotype" w:hAnsi="Palatino Linotype" w:cs="Palatino Linotype"/>
          <w:color w:val="000000"/>
        </w:rPr>
        <w:t xml:space="preserve">Oficio TJA/UIPPE/319/2026 de fecha veintiuno de abril de dos mil veintiséis, suscrito por la Jefa de la Unidad de Información, Planeación, Programación y Evaluación, mediante el cual hace alusión al oficio TRIJAEM-UI-311/2026, signado por la Jefa de la Unidad de Informática, por medio del cual refiere que a efecto de proporcionar la información requerida conlleva un desagregado de información por multa emitida, a un grado de detalle con la cual esa Unidad no cuenta con facultad normativa que lo obligue a administrar la información a ese grado de detalle y con las especificaciones requeridas, ya que dentro de sus atribuciones solo está la de generar estadísticas de los juicios; así como lo recursos de revisión tramitados y resueltos por las Salas y Secciones del Tribunal; sin embargo se realizan de manera generalizada y no al grado de detalle, con las especificaciones señaladas por el particular, (ejemplifica las estadísticas generadas); por tanto insiste informar al particular sobre la falta de información, debido a que con cuentan con atribuciones y/o competencia para generala, por lo que para brindar contestación a su requerimiento tendría que elaborar un documento </w:t>
      </w:r>
      <w:r>
        <w:rPr>
          <w:rFonts w:ascii="Palatino Linotype" w:eastAsia="Palatino Linotype" w:hAnsi="Palatino Linotype" w:cs="Palatino Linotype"/>
          <w:i/>
          <w:iCs/>
          <w:color w:val="000000"/>
        </w:rPr>
        <w:t xml:space="preserve">ad hoc </w:t>
      </w:r>
      <w:r>
        <w:rPr>
          <w:rFonts w:ascii="Palatino Linotype" w:eastAsia="Palatino Linotype" w:hAnsi="Palatino Linotype" w:cs="Palatino Linotype"/>
          <w:b/>
          <w:bCs/>
          <w:color w:val="000000"/>
        </w:rPr>
        <w:t xml:space="preserve">y llevar a cabo una búsqueda en el cúmulo de expedientes generados por los Órganos Jurisdiccionales, </w:t>
      </w:r>
      <w:r>
        <w:rPr>
          <w:rFonts w:ascii="Palatino Linotype" w:eastAsia="Palatino Linotype" w:hAnsi="Palatino Linotype" w:cs="Palatino Linotype"/>
          <w:color w:val="000000"/>
        </w:rPr>
        <w:t>situación contraria a lo establecido en la Ley de la materia.</w:t>
      </w:r>
    </w:p>
    <w:p w:rsidR="00807F69" w:rsidRDefault="00C9368C" w:rsidP="001271AD">
      <w:pPr>
        <w:numPr>
          <w:ilvl w:val="0"/>
          <w:numId w:val="8"/>
        </w:num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Alcance al Informe Justificado RR 03788.2026 Sol 89_pdf: </w:t>
      </w:r>
      <w:r>
        <w:rPr>
          <w:rFonts w:ascii="Palatino Linotype" w:eastAsia="Palatino Linotype" w:hAnsi="Palatino Linotype" w:cs="Palatino Linotype"/>
          <w:color w:val="000000"/>
        </w:rPr>
        <w:t xml:space="preserve">Oficio TJA/UIPPE/352/2026 de fecha veintiuno de abril de dos mil veintiséis, suscrito por la Jefa de la Unidad de Información, Planeación, Programación y Evaluación, misma que hace referencia al oficio TRIJAEM-UI-311/2026, descrito en el punto que antecede y además advierte que el Sujeto Obligado ante el cual se formuló la petición, no es el competente para generar o poseer estadísticas con ese nivel de especificidad, por lo que al considerar el Principio de Límite de las Atribuciones, el cual establece que las </w:t>
      </w:r>
      <w:r>
        <w:rPr>
          <w:rFonts w:ascii="Palatino Linotype" w:eastAsia="Palatino Linotype" w:hAnsi="Palatino Linotype" w:cs="Palatino Linotype"/>
          <w:color w:val="000000"/>
        </w:rPr>
        <w:lastRenderedPageBreak/>
        <w:t xml:space="preserve">autoridades, funcionarios y Organismos Públicos solo pueden actuar dentro del marco de las facultades que les confiere la ley por lo que ese Tribunal solo está obligado a proporcionar información de la manera en que obre en sus archivos y en el estado en que está se encuentre, posea, genere o administre; es así que tomando en consideración que es un Órgano jurisdiccional y que en su caso las multas pagadas o cobradas por un ente gubernamental son actos de ejecución administrativa que ocurren en la esfera de otros sujetos obligados con facultades de recaudación, destacando que ese Tribunal conoce con certeza de la legalidad del acto que se pretende en cada juicio, o en su caso los juicios tramitados o resueltos; sin embargo el seguimiento del cumplimiento del pago de la multa en el supuesto de que sea confirmada su legalidad o el </w:t>
      </w:r>
      <w:r>
        <w:rPr>
          <w:rFonts w:ascii="Palatino Linotype" w:eastAsia="Palatino Linotype" w:hAnsi="Palatino Linotype" w:cs="Palatino Linotype"/>
          <w:b/>
          <w:bCs/>
          <w:color w:val="000000"/>
        </w:rPr>
        <w:t>monto acumulado por concepto de multas pagadas por una autoridad específica, no forma parte del proceso administrativo jurisdiccional.</w:t>
      </w:r>
      <w:r>
        <w:rPr>
          <w:rFonts w:ascii="Palatino Linotype" w:eastAsia="Palatino Linotype" w:hAnsi="Palatino Linotype" w:cs="Palatino Linotype"/>
          <w:color w:val="000000"/>
        </w:rPr>
        <w:t xml:space="preserve"> </w:t>
      </w:r>
    </w:p>
    <w:p w:rsidR="00807F69" w:rsidRDefault="00807F69" w:rsidP="001271AD">
      <w:pPr>
        <w:pBdr>
          <w:top w:val="nil"/>
          <w:left w:val="nil"/>
          <w:bottom w:val="nil"/>
          <w:right w:val="nil"/>
          <w:between w:val="nil"/>
        </w:pBdr>
        <w:spacing w:line="360" w:lineRule="auto"/>
        <w:ind w:left="720" w:right="-283"/>
        <w:jc w:val="both"/>
        <w:rPr>
          <w:rFonts w:ascii="Palatino Linotype" w:eastAsia="Palatino Linotype" w:hAnsi="Palatino Linotype" w:cs="Palatino Linotype"/>
          <w:color w:val="000000"/>
        </w:rPr>
      </w:pPr>
    </w:p>
    <w:p w:rsidR="00807F69" w:rsidRDefault="00C9368C" w:rsidP="001271AD">
      <w:pPr>
        <w:pBdr>
          <w:top w:val="nil"/>
          <w:left w:val="nil"/>
          <w:bottom w:val="nil"/>
          <w:right w:val="nil"/>
          <w:between w:val="nil"/>
        </w:pBdr>
        <w:spacing w:line="360" w:lineRule="auto"/>
        <w:ind w:left="720" w:right="-28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 destaca que el hecho de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realizara un procesamiento de minería de datos de miles de expedientes para extraer montos pagados excedería sus funciones de ley, por la falta de obligación de generarla de manera en que ha sido requerido por el particular; resaltando que el no presentar la información al grado de detalle requerido, dista mucho de tratarse de una negativa arbitraria, sino de una imposibilidad jurídica y material, toda vez que al no ser autoridad recaudadora no cuenta con registros de comprobantes de pago ni de cuentas públicas de los entes demandados, insistiendo en que los montos pagados por entes gubernamentales atañen a diverso sujeto obligado, ello aunado a que se refiere a una acto jurídico posterior y externo al juicio administrativo; ya que una vez que el Tribunal determina que una multa es legal, el proceso de pago o cobro ocurre </w:t>
      </w:r>
      <w:r>
        <w:rPr>
          <w:rFonts w:ascii="Palatino Linotype" w:eastAsia="Palatino Linotype" w:hAnsi="Palatino Linotype" w:cs="Palatino Linotype"/>
          <w:color w:val="000000"/>
        </w:rPr>
        <w:lastRenderedPageBreak/>
        <w:t xml:space="preserve">en la esfera administrativa de otra autoridad y para el supuesto de que la autoridad demandada informara al Tribunal que la multa ya fue pagada, ese dato es incidental y no se sistematiza en una base de datos estadísticos ya que su sistema estadístico se encuentra diseñado únicamente para el seguimiento procesal, no para la fiscalización financiera de los entes gubernamentales; agregando el análisis de la normatividad que rige ese Tribunal. </w:t>
      </w:r>
    </w:p>
    <w:p w:rsidR="00807F69" w:rsidRDefault="00807F69" w:rsidP="001271AD">
      <w:pPr>
        <w:ind w:left="567" w:right="-283"/>
        <w:jc w:val="both"/>
        <w:rPr>
          <w:rFonts w:ascii="Palatino Linotype" w:eastAsia="Palatino Linotype" w:hAnsi="Palatino Linotype" w:cs="Palatino Linotype"/>
        </w:rPr>
      </w:pPr>
    </w:p>
    <w:p w:rsidR="00807F69" w:rsidRDefault="00C9368C" w:rsidP="001271AD">
      <w:pPr>
        <w:numPr>
          <w:ilvl w:val="0"/>
          <w:numId w:val="2"/>
        </w:numPr>
        <w:pBdr>
          <w:top w:val="nil"/>
          <w:left w:val="nil"/>
          <w:bottom w:val="nil"/>
          <w:right w:val="nil"/>
          <w:between w:val="nil"/>
        </w:pBdr>
        <w:ind w:left="0" w:right="-283" w:firstLine="0"/>
        <w:jc w:val="both"/>
        <w:rPr>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 </w:t>
      </w:r>
    </w:p>
    <w:p w:rsidR="00807F69" w:rsidRDefault="00807F69" w:rsidP="001271AD">
      <w:pPr>
        <w:pBdr>
          <w:top w:val="nil"/>
          <w:left w:val="nil"/>
          <w:bottom w:val="nil"/>
          <w:right w:val="nil"/>
          <w:between w:val="nil"/>
        </w:pBdr>
        <w:ind w:right="-283"/>
        <w:jc w:val="both"/>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spacing w:line="360" w:lineRule="auto"/>
        <w:ind w:left="0" w:right="-283"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junio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veintinueve de junio de dos mil veintiséis</w:t>
      </w:r>
      <w:r>
        <w:rPr>
          <w:rFonts w:ascii="Palatino Linotype" w:eastAsia="Palatino Linotype" w:hAnsi="Palatino Linotype" w:cs="Palatino Linotype"/>
        </w:rPr>
        <w:t>.</w:t>
      </w:r>
    </w:p>
    <w:p w:rsidR="00807F69" w:rsidRDefault="00807F69" w:rsidP="001271AD">
      <w:pPr>
        <w:ind w:right="-283"/>
        <w:rPr>
          <w:rFonts w:ascii="Palatino Linotype" w:eastAsia="Palatino Linotype" w:hAnsi="Palatino Linotype" w:cs="Palatino Linotype"/>
          <w:b/>
          <w:bCs/>
        </w:rPr>
      </w:pPr>
    </w:p>
    <w:p w:rsidR="00807F69" w:rsidRDefault="00C9368C" w:rsidP="001271AD">
      <w:pPr>
        <w:keepNext/>
        <w:keepLines/>
        <w:spacing w:line="360" w:lineRule="auto"/>
        <w:ind w:right="-283"/>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807F69" w:rsidRDefault="00807F69" w:rsidP="001271AD">
      <w:pPr>
        <w:keepNext/>
        <w:keepLines/>
        <w:ind w:right="-283"/>
        <w:rPr>
          <w:rFonts w:ascii="Palatino Linotype" w:eastAsia="Palatino Linotype" w:hAnsi="Palatino Linotype" w:cs="Palatino Linotype"/>
        </w:rPr>
      </w:pPr>
    </w:p>
    <w:p w:rsidR="00807F69" w:rsidRDefault="00C9368C" w:rsidP="001271AD">
      <w:pPr>
        <w:keepNext/>
        <w:keepLines/>
        <w:spacing w:line="360" w:lineRule="auto"/>
        <w:ind w:right="-283"/>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bookmarkStart w:id="1" w:name="_heading=h.3znysh7" w:colFirst="0" w:colLast="0"/>
      <w:bookmarkEnd w:id="1"/>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 xml:space="preserve">Reglamento Interior </w:t>
      </w:r>
      <w:r>
        <w:rPr>
          <w:rFonts w:ascii="Palatino Linotype" w:eastAsia="Palatino Linotype" w:hAnsi="Palatino Linotype" w:cs="Palatino Linotype"/>
          <w:b/>
          <w:bCs/>
          <w:color w:val="000000"/>
          <w:highlight w:val="white"/>
        </w:rPr>
        <w:lastRenderedPageBreak/>
        <w:t>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r>
        <w:rPr>
          <w:rFonts w:ascii="Palatino Linotype" w:eastAsia="Palatino Linotype" w:hAnsi="Palatino Linotype" w:cs="Palatino Linotype"/>
          <w:b/>
          <w:bCs/>
        </w:rPr>
        <w:t>.</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bookmarkStart w:id="2" w:name="_heading=h.3dy6vkm" w:colFirst="0" w:colLast="0"/>
      <w:bookmarkEnd w:id="2"/>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veinticuatro de marzo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veinticinco de marzo al veintiuno de marzo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ocho de abril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07F69" w:rsidRDefault="00C9368C" w:rsidP="001271AD">
      <w:pPr>
        <w:pBdr>
          <w:top w:val="nil"/>
          <w:left w:val="nil"/>
          <w:bottom w:val="nil"/>
          <w:right w:val="nil"/>
          <w:between w:val="nil"/>
        </w:pBdr>
        <w:tabs>
          <w:tab w:val="left" w:pos="7655"/>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spacing w:line="360" w:lineRule="auto"/>
        <w:ind w:left="0" w:right="-283" w:firstLine="0"/>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w:t>
      </w:r>
      <w:r>
        <w:rPr>
          <w:rFonts w:ascii="Palatino Linotype" w:eastAsia="Palatino Linotype" w:hAnsi="Palatino Linotype" w:cs="Palatino Linotype"/>
          <w:i/>
          <w:iCs/>
          <w:color w:val="000000"/>
        </w:rPr>
        <w:lastRenderedPageBreak/>
        <w:t>terceros, provoque algún delito, o perturbe el orden público; el derecho de réplica será ejercido en los términos dispuestos por la ley. El derecho a la información será garantizado por el Estado.</w:t>
      </w:r>
    </w:p>
    <w:p w:rsidR="00807F69" w:rsidRDefault="00807F69"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807F69" w:rsidRDefault="00807F69"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807F69" w:rsidRDefault="00807F69"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color w:val="000000"/>
        </w:rPr>
        <w:t>(Sic)</w:t>
      </w:r>
    </w:p>
    <w:p w:rsidR="00807F69" w:rsidRDefault="00807F69" w:rsidP="001271AD">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spacing w:line="360" w:lineRule="auto"/>
        <w:ind w:left="0" w:right="-283" w:firstLine="0"/>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III. Toda persona, sin necesidad de acreditar interés alguno o justificar su utilización, tendrá acceso gratuito a la información pública, a sus datos personales o a la rectificación de éstos;</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rsidR="00807F69" w:rsidRDefault="00807F69" w:rsidP="001271AD">
      <w:pPr>
        <w:tabs>
          <w:tab w:val="left" w:pos="7655"/>
        </w:tabs>
        <w:ind w:left="567" w:right="-283"/>
        <w:jc w:val="both"/>
        <w:rPr>
          <w:rFonts w:ascii="Palatino Linotype" w:eastAsia="Palatino Linotype" w:hAnsi="Palatino Linotype" w:cs="Palatino Linotype"/>
          <w:i/>
          <w:iCs/>
        </w:rPr>
      </w:pPr>
    </w:p>
    <w:p w:rsidR="00807F69" w:rsidRDefault="00C9368C" w:rsidP="001271AD">
      <w:pPr>
        <w:numPr>
          <w:ilvl w:val="0"/>
          <w:numId w:val="2"/>
        </w:numPr>
        <w:pBdr>
          <w:top w:val="nil"/>
          <w:left w:val="nil"/>
          <w:bottom w:val="nil"/>
          <w:right w:val="nil"/>
          <w:between w:val="nil"/>
        </w:pBdr>
        <w:spacing w:line="360" w:lineRule="auto"/>
        <w:ind w:left="0" w:right="-283" w:firstLine="0"/>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807F69" w:rsidRDefault="00C9368C" w:rsidP="001271AD">
      <w:pPr>
        <w:pBdr>
          <w:top w:val="nil"/>
          <w:left w:val="nil"/>
          <w:bottom w:val="nil"/>
          <w:right w:val="nil"/>
          <w:between w:val="nil"/>
        </w:pBdr>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xml:space="preserve">, de acreditar su legitimación en la causa o su interés en el asunto, lo que permite la posibilidad de que, incluso, la solicitud de acceso a la información pueda ser anónima o no </w:t>
      </w:r>
      <w:r>
        <w:rPr>
          <w:rFonts w:ascii="Palatino Linotype" w:eastAsia="Palatino Linotype" w:hAnsi="Palatino Linotype" w:cs="Palatino Linotype"/>
        </w:rPr>
        <w:lastRenderedPageBreak/>
        <w:t>contener un nombre que identifique al solicitante o que permita tener certeza sobre su identidad.</w:t>
      </w:r>
    </w:p>
    <w:p w:rsidR="00807F69" w:rsidRDefault="00807F69" w:rsidP="001271AD">
      <w:pPr>
        <w:spacing w:line="360" w:lineRule="auto"/>
        <w:ind w:right="-283"/>
        <w:jc w:val="both"/>
        <w:rPr>
          <w:rFonts w:ascii="Palatino Linotype" w:eastAsia="Palatino Linotype" w:hAnsi="Palatino Linotype" w:cs="Palatino Linotype"/>
          <w:b/>
          <w:bCs/>
        </w:rPr>
      </w:pPr>
    </w:p>
    <w:p w:rsidR="00807F69" w:rsidRPr="00FA59BD"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FA59BD" w:rsidRDefault="00FA59BD" w:rsidP="00FA59BD">
      <w:pPr>
        <w:spacing w:line="360" w:lineRule="auto"/>
        <w:ind w:right="-283"/>
        <w:jc w:val="both"/>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spacing w:line="360" w:lineRule="auto"/>
        <w:ind w:right="-283"/>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000000"/>
        </w:rPr>
        <w:t>De las causales del sobreseimiento.</w:t>
      </w: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recurso de revisión tiene como finalidad reparar cualquier posible afectación al derecho de acceso a la información pública en términos del Título Octavo de la Ley de Transparencia, Acceso a la Información Pública del Estado de México y Municipios, y </w:t>
      </w:r>
      <w:r>
        <w:rPr>
          <w:rFonts w:ascii="Palatino Linotype" w:eastAsia="Palatino Linotype" w:hAnsi="Palatino Linotype" w:cs="Palatino Linotype"/>
          <w:color w:val="000000"/>
        </w:rPr>
        <w:lastRenderedPageBreak/>
        <w:t xml:space="preserve">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con respecto a la respuesta emitida por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acuerdo al precepto legal contenido en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807F69" w:rsidRDefault="00807F69" w:rsidP="001271AD">
      <w:pPr>
        <w:ind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Para los efectos de esta resolución, es oportuno precisar los alcances jurídicos de la fracción III de la disposición legal transcrita. Así, procede el sobreseimiento del recurso de revisión cuando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807F69" w:rsidRDefault="00C9368C" w:rsidP="001271AD">
      <w:pPr>
        <w:numPr>
          <w:ilvl w:val="0"/>
          <w:numId w:val="3"/>
        </w:numPr>
        <w:spacing w:line="360" w:lineRule="auto"/>
        <w:ind w:left="567" w:right="-283" w:firstLine="0"/>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807F69" w:rsidRDefault="00C9368C" w:rsidP="001271AD">
      <w:pPr>
        <w:numPr>
          <w:ilvl w:val="0"/>
          <w:numId w:val="3"/>
        </w:numPr>
        <w:spacing w:line="360" w:lineRule="auto"/>
        <w:ind w:left="567" w:right="-283" w:firstLine="0"/>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Las consecuencias jurídicas de esta modificación o revocación es que el recurso de revisión interpuesto quede sin efectos o sin materia. Un acto impugnado queda sin efectos, </w:t>
      </w:r>
      <w:r>
        <w:rPr>
          <w:rFonts w:ascii="Palatino Linotype" w:eastAsia="Palatino Linotype" w:hAnsi="Palatino Linotype" w:cs="Palatino Linotype"/>
          <w:color w:val="000000"/>
        </w:rPr>
        <w:lastRenderedPageBreak/>
        <w:t>cuando aun existiendo jurídicamente, no genera consecuencia legal alguna; queda sin materia, cuando ha sido satisfecha la pretensión del Particular, ya sea porque se hizo la entrega de la información solicitada o porque se completó la misma.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el presente caso,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solicitó</w:t>
      </w:r>
      <w:r>
        <w:rPr>
          <w:rFonts w:ascii="Palatino Linotype" w:eastAsia="Palatino Linotype" w:hAnsi="Palatino Linotype" w:cs="Palatino Linotype"/>
          <w:b/>
          <w:bCs/>
        </w:rPr>
        <w:t xml:space="preserve"> el número de multas emitidas a servidores públicos adscritos al Instituto de Seguridad Social del Estado de México y Municipios ISSEMYM.</w:t>
      </w:r>
    </w:p>
    <w:p w:rsidR="00807F69" w:rsidRDefault="00807F69" w:rsidP="001271AD">
      <w:pPr>
        <w:ind w:right="-283"/>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medio de la Unidad de informática del Tribunal, indicaron que esa Unidad no cuenta con la información solicitada; así mismo la Unidad de Información, Planeación, Programación y Evaluación reiteró que ese Tribunal no cuenta con la información al grado de detalle solicitado, ello aunado a que no existe fuente obligacional para poseer un media a través del cual pueda localizar datos precisos como los requeridos por el particular, toda vez que dentro de las funciones de ese Tribunal no se encuentra la de contar con la información al grado de desagregación que requiere el particular.</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b/>
          <w:bCs/>
          <w:color w:val="000000"/>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Al respecto,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interpuso el recurso de revisión en contra de la respuesta, por medio del cual, manifestó que </w:t>
      </w:r>
      <w:r>
        <w:rPr>
          <w:rFonts w:ascii="Palatino Linotype" w:eastAsia="Palatino Linotype" w:hAnsi="Palatino Linotype" w:cs="Palatino Linotype"/>
          <w:b/>
          <w:bCs/>
        </w:rPr>
        <w:t>no entrega la información solicitada.</w:t>
      </w:r>
    </w:p>
    <w:p w:rsidR="00807F69" w:rsidRDefault="00807F69" w:rsidP="001271AD">
      <w:pPr>
        <w:ind w:right="-283"/>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En consecuencia, por medio de un acto jurídico posterior como lo es el informe justificado,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 la Unidad de Informática informa que a efecto de proporcionar la información requerida conlleva un desagregado de información por multa emitida, a un grado de detalle con la cual esa Unidad no cuenta con facultad normativa que lo obligue a administrar la información a ese grado de detalle y con las especificaciones requeridas, ya que dentro de sus atribuciones sólo está la de generar </w:t>
      </w:r>
      <w:r>
        <w:rPr>
          <w:rFonts w:ascii="Palatino Linotype" w:eastAsia="Palatino Linotype" w:hAnsi="Palatino Linotype" w:cs="Palatino Linotype"/>
        </w:rPr>
        <w:lastRenderedPageBreak/>
        <w:t xml:space="preserve">estadísticas de los juicios; así como lo recursos de revisión tramitados y resueltos por las Salas y Secciones del Tribunal; sin embargo se realizan de manera generalizada y no al grado de detalle, con las especificaciones señaladas por el particular, lo que vislumbra la falta de la información requerida, debido a que no cuentan con atribuciones y/o competencia para generarla; ello aunado a que proporcionar respuesta a la solicitud al grado de detalle solicitado implicaría elaborar un documento </w:t>
      </w:r>
      <w:r>
        <w:rPr>
          <w:rFonts w:ascii="Palatino Linotype" w:eastAsia="Palatino Linotype" w:hAnsi="Palatino Linotype" w:cs="Palatino Linotype"/>
          <w:i/>
          <w:iCs/>
        </w:rPr>
        <w:t xml:space="preserve">ad hoc </w:t>
      </w:r>
      <w:r>
        <w:rPr>
          <w:rFonts w:ascii="Palatino Linotype" w:eastAsia="Palatino Linotype" w:hAnsi="Palatino Linotype" w:cs="Palatino Linotype"/>
          <w:b/>
          <w:bCs/>
        </w:rPr>
        <w:t xml:space="preserve">y llevar a cabo una búsqueda en el cúmulo de expedientes generados por los Órganos Jurisdiccionales, </w:t>
      </w:r>
      <w:r>
        <w:rPr>
          <w:rFonts w:ascii="Palatino Linotype" w:eastAsia="Palatino Linotype" w:hAnsi="Palatino Linotype" w:cs="Palatino Linotype"/>
        </w:rPr>
        <w:t>situación contraria a lo establecido en la Ley de la materia.</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Así mismo, el servidor público de la Unidad de Información, Planeación, Programación y Evaluación indicó que no es competente para generar y/o poseer estadísticas con el nivel solicitado, toda vez que los sujetos obligados están impuestos a proporcionar la información de la manera en que obre en sus archivos y en el estado en que está se encuentre, posea, genere o administre; empero tomando en consideración que es un Órgano Jurisdiccional y que en su caso las multas pagadas o cobradas por un ente gubernamental son actos de ejecución administrativa que ocurren en la esfera de otros sujetos obligados con facultades de recaudación, destacando que ese Tribunal conoce con certeza de la legalidad del acto que se pretende en cada juicio, o en su caso los juicios tramitados o resueltos, sin embargo el seguimiento del cumplimiento del pago de la multa en el supuesto de que sea confirmada su legalidad o el </w:t>
      </w:r>
      <w:r>
        <w:rPr>
          <w:rFonts w:ascii="Palatino Linotype" w:eastAsia="Palatino Linotype" w:hAnsi="Palatino Linotype" w:cs="Palatino Linotype"/>
          <w:b/>
          <w:bCs/>
        </w:rPr>
        <w:t xml:space="preserve">monto acumulado por concepto de multas pagadas por una autoridad específica, no forma parte del proceso administrativo jurisdiccional; </w:t>
      </w:r>
      <w:r>
        <w:rPr>
          <w:rFonts w:ascii="Palatino Linotype" w:eastAsia="Palatino Linotype" w:hAnsi="Palatino Linotype" w:cs="Palatino Linotype"/>
        </w:rPr>
        <w:t xml:space="preserve">por tanto destaca que el hecho de realizar un procesamiento de información, implicaría la búsqueda en miles de expedientes a fin de extraer los montos pagados, lo cual excedería sus funciones, ello debido a la falta de obligación de generarla, , toda vez que al no ser autoridad recaudadora no cuenta con registros de comprobantes de pago ni de </w:t>
      </w:r>
      <w:r>
        <w:rPr>
          <w:rFonts w:ascii="Palatino Linotype" w:eastAsia="Palatino Linotype" w:hAnsi="Palatino Linotype" w:cs="Palatino Linotype"/>
        </w:rPr>
        <w:lastRenderedPageBreak/>
        <w:t>cuentas públicas de los entes demandados, insistiendo en que los montos pagados por entes gubernamentales atañen a diverso sujeto obligado , ello aunado a que se refiere a una acto jurídico posterior y externo al juicio administrativo; ya que una vez que el Tribunal determina que una multa es legal, el proceso de pago o cobro ocurre en la esfera administrativa de otra autoridad y para el supuesto de que la autoridad demandada informara al Tribunal que la multa ya fue pagada, ese dato es incidental y no se sistematiza en una base de datos estadísticos ya que su sistema estadístico se encuentra diseñado únicamente para el seguimiento procesal, no para la fiscalización financiera de los entes gubernamentales.</w:t>
      </w:r>
      <w:r>
        <w:rPr>
          <w:rFonts w:ascii="Palatino Linotype" w:eastAsia="Palatino Linotype" w:hAnsi="Palatino Linotype" w:cs="Palatino Linotype"/>
          <w:b/>
          <w:bCs/>
        </w:rPr>
        <w:t xml:space="preserve"> </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1"/>
      </w:r>
      <w:r>
        <w:rPr>
          <w:rFonts w:ascii="Palatino Linotype" w:eastAsia="Palatino Linotype" w:hAnsi="Palatino Linotype" w:cs="Palatino Linotype"/>
          <w:color w:val="000000"/>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w:t>
      </w:r>
      <w:r>
        <w:rPr>
          <w:rFonts w:ascii="Palatino Linotype" w:eastAsia="Palatino Linotype" w:hAnsi="Palatino Linotype" w:cs="Palatino Linotype"/>
          <w:color w:val="000000"/>
        </w:rPr>
        <w:lastRenderedPageBreak/>
        <w:t>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w:t>
      </w:r>
    </w:p>
    <w:p w:rsidR="00807F69" w:rsidRDefault="00807F69" w:rsidP="001271AD">
      <w:pPr>
        <w:ind w:right="-283"/>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rPr>
          <w:color w:val="000000"/>
        </w:rPr>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807F69" w:rsidRDefault="00C9368C" w:rsidP="001271AD">
      <w:pPr>
        <w:numPr>
          <w:ilvl w:val="1"/>
          <w:numId w:val="5"/>
        </w:numPr>
        <w:pBdr>
          <w:top w:val="nil"/>
          <w:left w:val="nil"/>
          <w:bottom w:val="nil"/>
          <w:right w:val="nil"/>
          <w:between w:val="nil"/>
        </w:pBdr>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Recibir, tramitar y dar respuesta a las solicitudes de acceso a la información;</w:t>
      </w:r>
    </w:p>
    <w:p w:rsidR="00807F69" w:rsidRDefault="00C9368C" w:rsidP="001271AD">
      <w:pPr>
        <w:numPr>
          <w:ilvl w:val="1"/>
          <w:numId w:val="5"/>
        </w:numPr>
        <w:pBdr>
          <w:top w:val="nil"/>
          <w:left w:val="nil"/>
          <w:bottom w:val="nil"/>
          <w:right w:val="nil"/>
          <w:between w:val="nil"/>
        </w:pBdr>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807F69" w:rsidRDefault="00C9368C" w:rsidP="001271AD">
      <w:pPr>
        <w:numPr>
          <w:ilvl w:val="1"/>
          <w:numId w:val="5"/>
        </w:numPr>
        <w:pBdr>
          <w:top w:val="nil"/>
          <w:left w:val="nil"/>
          <w:bottom w:val="nil"/>
          <w:right w:val="nil"/>
          <w:between w:val="nil"/>
        </w:pBdr>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rsidR="00807F69" w:rsidRDefault="00C9368C" w:rsidP="001271AD">
      <w:pPr>
        <w:numPr>
          <w:ilvl w:val="1"/>
          <w:numId w:val="5"/>
        </w:numPr>
        <w:pBdr>
          <w:top w:val="nil"/>
          <w:left w:val="nil"/>
          <w:bottom w:val="nil"/>
          <w:right w:val="nil"/>
          <w:between w:val="nil"/>
        </w:pBdr>
        <w:spacing w:after="240"/>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propuesta del responsable de la Unidad de Transparencia</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4"/>
      </w:r>
      <w:r>
        <w:rPr>
          <w:rFonts w:ascii="Palatino Linotype" w:eastAsia="Palatino Linotype" w:hAnsi="Palatino Linotype" w:cs="Palatino Linotype"/>
          <w:color w:val="000000"/>
        </w:rPr>
        <w:t>:</w:t>
      </w:r>
    </w:p>
    <w:p w:rsidR="00807F69" w:rsidRDefault="00C9368C" w:rsidP="001271AD">
      <w:pPr>
        <w:numPr>
          <w:ilvl w:val="1"/>
          <w:numId w:val="6"/>
        </w:numPr>
        <w:pBdr>
          <w:top w:val="nil"/>
          <w:left w:val="nil"/>
          <w:bottom w:val="nil"/>
          <w:right w:val="nil"/>
          <w:between w:val="nil"/>
        </w:pBdr>
        <w:spacing w:before="240"/>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rsidR="00807F69" w:rsidRDefault="00C9368C" w:rsidP="001271AD">
      <w:pPr>
        <w:numPr>
          <w:ilvl w:val="1"/>
          <w:numId w:val="6"/>
        </w:numPr>
        <w:pBdr>
          <w:top w:val="nil"/>
          <w:left w:val="nil"/>
          <w:bottom w:val="nil"/>
          <w:right w:val="nil"/>
          <w:between w:val="nil"/>
        </w:pBdr>
        <w:spacing w:after="240"/>
        <w:ind w:left="709" w:right="-283"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rsidR="00807F69" w:rsidRDefault="00807F69" w:rsidP="001271AD">
      <w:pPr>
        <w:tabs>
          <w:tab w:val="left" w:pos="426"/>
          <w:tab w:val="left" w:pos="567"/>
        </w:tabs>
        <w:ind w:right="-283"/>
        <w:jc w:val="both"/>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w:t>
      </w:r>
      <w:r>
        <w:rPr>
          <w:rFonts w:ascii="Palatino Linotype" w:eastAsia="Palatino Linotype" w:hAnsi="Palatino Linotype" w:cs="Palatino Linotype"/>
          <w:color w:val="000000"/>
        </w:rPr>
        <w:lastRenderedPageBreak/>
        <w:t>Unidad de Transparencia y el área administrativa, y se encargará de buscar, localizar y proporcionar la información que se requiera a través de las solicitudes de acceso a la información.</w:t>
      </w:r>
    </w:p>
    <w:p w:rsidR="00807F69" w:rsidRDefault="00807F69" w:rsidP="001271AD">
      <w:pPr>
        <w:ind w:right="-283"/>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pPr>
      <w:r>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rsidR="00807F69" w:rsidRDefault="00807F69"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tramitar y dar respuesta a las solicitudes de acceso a la información;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XIII. Hacer del conocimiento de la instancia competente la probable responsabilidad por el incumplimiento de las obligaciones previstas en la presente Ley; y</w:t>
      </w:r>
    </w:p>
    <w:p w:rsidR="00807F69" w:rsidRDefault="00C9368C" w:rsidP="001271AD">
      <w:pPr>
        <w:pBdr>
          <w:top w:val="nil"/>
          <w:left w:val="nil"/>
          <w:bottom w:val="nil"/>
          <w:right w:val="nil"/>
          <w:between w:val="nil"/>
        </w:pBdr>
        <w:tabs>
          <w:tab w:val="left" w:pos="426"/>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807F69" w:rsidRDefault="00C9368C" w:rsidP="001271AD">
      <w:pPr>
        <w:pBdr>
          <w:top w:val="nil"/>
          <w:left w:val="nil"/>
          <w:bottom w:val="nil"/>
          <w:right w:val="nil"/>
          <w:between w:val="nil"/>
        </w:pBdr>
        <w:tabs>
          <w:tab w:val="left" w:pos="426"/>
        </w:tabs>
        <w:spacing w:after="240"/>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FA59BD" w:rsidRDefault="00FA59BD" w:rsidP="001271AD">
      <w:pPr>
        <w:pBdr>
          <w:top w:val="nil"/>
          <w:left w:val="nil"/>
          <w:bottom w:val="nil"/>
          <w:right w:val="nil"/>
          <w:between w:val="nil"/>
        </w:pBdr>
        <w:tabs>
          <w:tab w:val="left" w:pos="426"/>
        </w:tabs>
        <w:spacing w:after="240"/>
        <w:ind w:left="567" w:right="-283"/>
        <w:jc w:val="both"/>
        <w:rPr>
          <w:rFonts w:ascii="Palatino Linotype" w:eastAsia="Palatino Linotype" w:hAnsi="Palatino Linotype" w:cs="Palatino Linotype"/>
          <w:i/>
          <w:iCs/>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pPr>
      <w:r>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807F69" w:rsidRDefault="00807F69" w:rsidP="001271AD">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Ahora bien , resulta conveniente referir que la Ley Orgánica del Tribunal de Justicia Administrativa del Estado de México, refiere las atribuciones de la Unidad de informática; así como de la Unidad de Información, Planeación, Programación y Evaluación, estableciendo lo siguiente:</w:t>
      </w:r>
    </w:p>
    <w:p w:rsidR="00807F69" w:rsidRDefault="00C9368C" w:rsidP="001271AD">
      <w:pPr>
        <w:pBdr>
          <w:top w:val="nil"/>
          <w:left w:val="nil"/>
          <w:bottom w:val="nil"/>
          <w:right w:val="nil"/>
          <w:between w:val="nil"/>
        </w:pBdr>
        <w:ind w:left="567" w:right="-283"/>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CAPÍTULO VII </w:t>
      </w:r>
    </w:p>
    <w:p w:rsidR="00807F69" w:rsidRDefault="00C9368C" w:rsidP="001271AD">
      <w:pPr>
        <w:pBdr>
          <w:top w:val="nil"/>
          <w:left w:val="nil"/>
          <w:bottom w:val="nil"/>
          <w:right w:val="nil"/>
          <w:between w:val="nil"/>
        </w:pBdr>
        <w:ind w:left="567" w:right="-283"/>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UNIDAD DE INFORMÁTICA</w:t>
      </w:r>
    </w:p>
    <w:p w:rsidR="00807F69" w:rsidRDefault="00807F69" w:rsidP="001271AD">
      <w:pPr>
        <w:ind w:left="567" w:right="-283"/>
        <w:jc w:val="both"/>
        <w:rPr>
          <w:rFonts w:ascii="Palatino Linotype" w:eastAsia="Palatino Linotype" w:hAnsi="Palatino Linotype" w:cs="Palatino Linotype"/>
          <w:i/>
          <w:iCs/>
        </w:rPr>
      </w:pPr>
    </w:p>
    <w:p w:rsidR="00807F69" w:rsidRDefault="00C9368C" w:rsidP="001271AD">
      <w:pPr>
        <w:ind w:left="567" w:right="-283"/>
        <w:jc w:val="both"/>
        <w:rPr>
          <w:i/>
          <w:iCs/>
        </w:rPr>
      </w:pPr>
      <w:r>
        <w:rPr>
          <w:b/>
          <w:bCs/>
          <w:i/>
          <w:iCs/>
        </w:rPr>
        <w:t>Artículo 79.</w:t>
      </w:r>
      <w:r>
        <w:rPr>
          <w:i/>
          <w:iCs/>
        </w:rPr>
        <w:t xml:space="preserve"> La o el Jefe de la Unidad de Informática tendrá las atribuciones y deberes siguientes:</w:t>
      </w:r>
    </w:p>
    <w:p w:rsidR="00807F69" w:rsidRDefault="00C9368C" w:rsidP="001271AD">
      <w:pPr>
        <w:ind w:left="567" w:right="-283"/>
        <w:jc w:val="both"/>
        <w:rPr>
          <w:i/>
          <w:iCs/>
        </w:rPr>
      </w:pPr>
      <w:r>
        <w:rPr>
          <w:i/>
          <w:iCs/>
        </w:rPr>
        <w:t>(…)</w:t>
      </w:r>
    </w:p>
    <w:p w:rsidR="00807F69" w:rsidRDefault="00C9368C" w:rsidP="001271AD">
      <w:pPr>
        <w:ind w:left="567" w:right="-283"/>
        <w:jc w:val="both"/>
        <w:rPr>
          <w:b/>
          <w:bCs/>
          <w:i/>
          <w:iCs/>
          <w:u w:val="single"/>
        </w:rPr>
      </w:pPr>
      <w:r>
        <w:rPr>
          <w:b/>
          <w:bCs/>
          <w:i/>
          <w:iCs/>
          <w:u w:val="single"/>
        </w:rPr>
        <w:t xml:space="preserve">II. Formular la estadística de los juicios, así como de los recursos de revisión tramitados y resueltos por las Salas y Secciones del Tribunal; </w:t>
      </w:r>
    </w:p>
    <w:p w:rsidR="00807F69" w:rsidRDefault="00C9368C" w:rsidP="001271AD">
      <w:pPr>
        <w:ind w:left="567" w:right="-283"/>
        <w:jc w:val="both"/>
        <w:rPr>
          <w:b/>
          <w:bCs/>
          <w:i/>
          <w:iCs/>
          <w:u w:val="single"/>
        </w:rPr>
      </w:pPr>
      <w:r>
        <w:rPr>
          <w:b/>
          <w:bCs/>
          <w:i/>
          <w:iCs/>
          <w:u w:val="single"/>
        </w:rPr>
        <w:t xml:space="preserve">III. Coordinar con las diferentes áreas del Tribunal los sistemas de información y estadística; </w:t>
      </w:r>
    </w:p>
    <w:p w:rsidR="00807F69" w:rsidRDefault="00C9368C" w:rsidP="001271AD">
      <w:pPr>
        <w:ind w:left="567" w:right="-283"/>
        <w:jc w:val="both"/>
        <w:rPr>
          <w:i/>
          <w:iCs/>
        </w:rPr>
      </w:pPr>
      <w:r>
        <w:rPr>
          <w:i/>
          <w:iCs/>
        </w:rPr>
        <w:t xml:space="preserve">IV. Auxiliar a las Salas y unidades administrativas del Tribunal en la automatización de sus tareas; </w:t>
      </w:r>
    </w:p>
    <w:p w:rsidR="00807F69" w:rsidRDefault="00C9368C" w:rsidP="001271AD">
      <w:pPr>
        <w:ind w:left="567" w:right="-283"/>
        <w:jc w:val="both"/>
        <w:rPr>
          <w:rFonts w:ascii="Palatino Linotype" w:eastAsia="Palatino Linotype" w:hAnsi="Palatino Linotype" w:cs="Palatino Linotype"/>
          <w:i/>
          <w:iCs/>
        </w:rPr>
      </w:pPr>
      <w:r>
        <w:rPr>
          <w:i/>
          <w:iCs/>
        </w:rPr>
        <w:lastRenderedPageBreak/>
        <w:t>V. Diseñar, organizar, actualizar mensualmente y eficientar los compendios informáticoestadísticos del Tribunal;</w:t>
      </w:r>
    </w:p>
    <w:p w:rsidR="00807F69" w:rsidRDefault="00C9368C" w:rsidP="001271AD">
      <w:pPr>
        <w:ind w:left="567" w:right="-283"/>
        <w:jc w:val="both"/>
        <w:rPr>
          <w:i/>
          <w:iCs/>
        </w:rPr>
      </w:pPr>
      <w:r>
        <w:rPr>
          <w:i/>
          <w:iCs/>
        </w:rPr>
        <w:t>(…)</w:t>
      </w:r>
    </w:p>
    <w:p w:rsidR="00807F69" w:rsidRDefault="00C9368C" w:rsidP="001271AD">
      <w:pPr>
        <w:ind w:left="567" w:right="-283"/>
        <w:jc w:val="both"/>
        <w:rPr>
          <w:b/>
          <w:bCs/>
          <w:i/>
          <w:iCs/>
        </w:rPr>
      </w:pPr>
      <w:r>
        <w:rPr>
          <w:b/>
          <w:bCs/>
          <w:i/>
          <w:iCs/>
        </w:rPr>
        <w:t xml:space="preserve">IX. Realizar la actualización bimestral de la información estadística, gráfica y documental del portal informativo del Tribunal; </w:t>
      </w:r>
    </w:p>
    <w:p w:rsidR="00807F69" w:rsidRDefault="00C9368C" w:rsidP="001271AD">
      <w:pPr>
        <w:ind w:left="567" w:right="-283"/>
        <w:jc w:val="both"/>
        <w:rPr>
          <w:i/>
          <w:iCs/>
        </w:rPr>
      </w:pPr>
      <w:r>
        <w:rPr>
          <w:i/>
          <w:iCs/>
        </w:rPr>
        <w:t xml:space="preserve">X. Impartir los programas de actualización en materia de informática para el personal jurídico y administrativo del Tribunal, que en forma periódica le solicite la Dirección del Instituto de Justicia Administrativa; </w:t>
      </w:r>
    </w:p>
    <w:p w:rsidR="00807F69" w:rsidRDefault="00C9368C" w:rsidP="001271AD">
      <w:pPr>
        <w:ind w:left="567" w:right="-283"/>
        <w:jc w:val="both"/>
        <w:rPr>
          <w:i/>
          <w:iCs/>
        </w:rPr>
      </w:pPr>
      <w:r>
        <w:rPr>
          <w:i/>
          <w:iCs/>
        </w:rPr>
        <w:t>(…)</w:t>
      </w:r>
    </w:p>
    <w:p w:rsidR="00807F69" w:rsidRDefault="00807F69" w:rsidP="001271AD">
      <w:pPr>
        <w:spacing w:line="360" w:lineRule="auto"/>
        <w:ind w:right="-283"/>
        <w:jc w:val="center"/>
        <w:rPr>
          <w:rFonts w:ascii="Palatino Linotype" w:eastAsia="Palatino Linotype" w:hAnsi="Palatino Linotype" w:cs="Palatino Linotype"/>
        </w:rPr>
      </w:pPr>
    </w:p>
    <w:p w:rsidR="00807F69" w:rsidRDefault="00C9368C" w:rsidP="001271AD">
      <w:pPr>
        <w:ind w:left="567" w:right="-28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VI</w:t>
      </w:r>
    </w:p>
    <w:p w:rsidR="00807F69" w:rsidRDefault="00C9368C" w:rsidP="001271AD">
      <w:pPr>
        <w:ind w:left="567" w:right="-28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UNIDAD DE INFORMACIÓN, PLANEACIÓN, PROGRAMACIÓN Y EVALUACIÓN</w:t>
      </w:r>
    </w:p>
    <w:p w:rsidR="00807F69" w:rsidRDefault="00C9368C" w:rsidP="001271AD">
      <w:pPr>
        <w:ind w:left="567" w:right="-283"/>
        <w:jc w:val="both"/>
        <w:rPr>
          <w:i/>
          <w:iCs/>
        </w:rPr>
      </w:pPr>
      <w:r>
        <w:rPr>
          <w:b/>
          <w:bCs/>
          <w:i/>
          <w:iCs/>
        </w:rPr>
        <w:t>Artículo 78.</w:t>
      </w:r>
      <w:r>
        <w:rPr>
          <w:i/>
          <w:iCs/>
        </w:rPr>
        <w:t xml:space="preserve"> La o el Jefe de la Unidad de Información, Planeación, Programación y Evaluación, tendrá las atribuciones y deberes siguientes: </w:t>
      </w:r>
    </w:p>
    <w:p w:rsidR="00807F69" w:rsidRDefault="00807F69" w:rsidP="001271AD">
      <w:pPr>
        <w:ind w:left="567" w:right="-283"/>
        <w:jc w:val="both"/>
        <w:rPr>
          <w:i/>
          <w:iCs/>
        </w:rPr>
      </w:pPr>
    </w:p>
    <w:p w:rsidR="00807F69" w:rsidRDefault="00C9368C" w:rsidP="001271AD">
      <w:pPr>
        <w:ind w:left="567" w:right="-283"/>
        <w:jc w:val="both"/>
        <w:rPr>
          <w:i/>
          <w:iCs/>
        </w:rPr>
      </w:pPr>
      <w:r>
        <w:rPr>
          <w:i/>
          <w:iCs/>
        </w:rPr>
        <w:t>I. Colaborar en el diseño y la implementación de los procesos de planeación, programación, presupuestación y de evaluación del Tribunal;</w:t>
      </w:r>
    </w:p>
    <w:p w:rsidR="00807F69" w:rsidRDefault="00C9368C" w:rsidP="001271AD">
      <w:pPr>
        <w:ind w:left="567" w:right="-283"/>
        <w:jc w:val="both"/>
        <w:rPr>
          <w:i/>
          <w:iCs/>
        </w:rPr>
      </w:pPr>
      <w:r>
        <w:rPr>
          <w:i/>
          <w:iCs/>
        </w:rPr>
        <w:t>(…)</w:t>
      </w:r>
    </w:p>
    <w:p w:rsidR="00807F69" w:rsidRDefault="00C9368C" w:rsidP="001271AD">
      <w:pPr>
        <w:ind w:left="567" w:right="-283"/>
        <w:jc w:val="both"/>
        <w:rPr>
          <w:b/>
          <w:bCs/>
          <w:i/>
          <w:iCs/>
        </w:rPr>
      </w:pPr>
      <w:r>
        <w:rPr>
          <w:b/>
          <w:bCs/>
          <w:i/>
          <w:iCs/>
        </w:rPr>
        <w:t xml:space="preserve">III. Diseñar y establecer sistemas de información con fines estadísticos para llevar el control respecto a la evolución de las actividades del Tribunal; </w:t>
      </w:r>
    </w:p>
    <w:p w:rsidR="00807F69" w:rsidRDefault="00C9368C" w:rsidP="001271AD">
      <w:pPr>
        <w:ind w:left="567" w:right="-283"/>
        <w:jc w:val="both"/>
        <w:rPr>
          <w:i/>
          <w:iCs/>
        </w:rPr>
      </w:pPr>
      <w:r>
        <w:rPr>
          <w:i/>
          <w:iCs/>
        </w:rPr>
        <w:t xml:space="preserve">IV. Solicitar información a las direcciones, unidades administrativas y órganos jurisdiccionales del Tribunal, sobre la ejecución de programas, planes y proyectos institucionales; </w:t>
      </w:r>
    </w:p>
    <w:p w:rsidR="00807F69" w:rsidRDefault="00C9368C" w:rsidP="001271AD">
      <w:pPr>
        <w:ind w:left="567" w:right="-283"/>
        <w:jc w:val="both"/>
        <w:rPr>
          <w:b/>
          <w:bCs/>
          <w:i/>
          <w:iCs/>
        </w:rPr>
      </w:pPr>
      <w:r>
        <w:rPr>
          <w:b/>
          <w:bCs/>
          <w:i/>
          <w:iCs/>
        </w:rPr>
        <w:t xml:space="preserve">V. Sistematizar y dar seguimiento a la información que emitan las direcciones y unidades administrativas del Tribunal sobre el cumplimiento de objetivos, metas y avances; </w:t>
      </w:r>
    </w:p>
    <w:p w:rsidR="00807F69" w:rsidRDefault="00C9368C" w:rsidP="001271AD">
      <w:pPr>
        <w:ind w:left="567" w:right="-283"/>
        <w:jc w:val="both"/>
        <w:rPr>
          <w:i/>
          <w:iCs/>
        </w:rPr>
      </w:pPr>
      <w:r>
        <w:rPr>
          <w:i/>
          <w:iCs/>
        </w:rPr>
        <w:t xml:space="preserve">VI. Coadyuvar en la elaboración del informe anual de actividades de la Presidencia, así como en el proyecto de Plan Rector de Gestión del Tribunal; </w:t>
      </w:r>
    </w:p>
    <w:p w:rsidR="00807F69" w:rsidRDefault="00C9368C" w:rsidP="001271AD">
      <w:pPr>
        <w:ind w:left="567" w:right="-283"/>
        <w:jc w:val="both"/>
        <w:rPr>
          <w:i/>
          <w:iCs/>
        </w:rPr>
      </w:pPr>
      <w:r>
        <w:rPr>
          <w:i/>
          <w:iCs/>
        </w:rPr>
        <w:t xml:space="preserve">VII. Coordinar con las direcciones y unidades administrativas del Tribunal la elaboración del Plan Anual de Trabajo; </w:t>
      </w:r>
    </w:p>
    <w:p w:rsidR="00807F69" w:rsidRDefault="00C9368C" w:rsidP="001271AD">
      <w:pPr>
        <w:ind w:left="567" w:right="-283"/>
        <w:jc w:val="both"/>
        <w:rPr>
          <w:i/>
          <w:iCs/>
        </w:rPr>
      </w:pPr>
      <w:r>
        <w:rPr>
          <w:i/>
          <w:iCs/>
        </w:rPr>
        <w:t xml:space="preserve">VIII.Proponer y ejecutar en su caso, lineamientos, reglas y criterios en materia de información y actualización de la página web del Tribunal; </w:t>
      </w:r>
    </w:p>
    <w:p w:rsidR="00807F69" w:rsidRDefault="00C9368C" w:rsidP="001271AD">
      <w:pPr>
        <w:ind w:left="567" w:right="-283"/>
        <w:jc w:val="both"/>
        <w:rPr>
          <w:i/>
          <w:iCs/>
        </w:rPr>
      </w:pPr>
      <w:r>
        <w:rPr>
          <w:i/>
          <w:iCs/>
        </w:rPr>
        <w:t xml:space="preserve">IX. Proponer y ejecutar, en su caso, lineamientos, reglas, criterios y metodología en materia de información, planeación, programación y evaluación; </w:t>
      </w:r>
    </w:p>
    <w:p w:rsidR="00807F69" w:rsidRDefault="00C9368C" w:rsidP="001271AD">
      <w:pPr>
        <w:ind w:left="567" w:right="-283"/>
        <w:jc w:val="both"/>
        <w:rPr>
          <w:i/>
          <w:iCs/>
        </w:rPr>
      </w:pPr>
      <w:r>
        <w:rPr>
          <w:i/>
          <w:iCs/>
        </w:rPr>
        <w:t xml:space="preserve">X. Llevar a cabo un sistema de evaluación de resultados de la gestión; </w:t>
      </w:r>
    </w:p>
    <w:p w:rsidR="00807F69" w:rsidRDefault="00C9368C" w:rsidP="001271AD">
      <w:pPr>
        <w:ind w:left="567" w:right="-283"/>
        <w:jc w:val="both"/>
        <w:rPr>
          <w:rFonts w:ascii="Palatino Linotype" w:eastAsia="Palatino Linotype" w:hAnsi="Palatino Linotype" w:cs="Palatino Linotype"/>
          <w:i/>
          <w:iCs/>
        </w:rPr>
      </w:pPr>
      <w:r>
        <w:rPr>
          <w:i/>
          <w:iCs/>
        </w:rPr>
        <w:t>XI. Realizar las funciones relativas a las obligaciones en materia de transparencia, información pública y protección de datos personales, establecidas en las leyes de la materia; (…)</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lastRenderedPageBreak/>
        <w:t xml:space="preserve">De los preceptos descritos, se advierte que las Unidades Administrativas de establecer sistemas de información con fines estadísticos, son las que se pronunciaron en respuesta y en informe justificado; no obstante señalaron que no cuentan con la información al grado desagregación solicitada, toda vez que no existe fuente obligacional que le exija poseer la información detallada tal como lo solicita el particular. </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En este sentido,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cumplió con el procedimiento de búsqueda exhaustiva y razonable, pues gestionó la solicitud de información en la unidad administrativa en donde </w:t>
      </w:r>
      <w:r>
        <w:rPr>
          <w:rFonts w:ascii="Palatino Linotype" w:eastAsia="Palatino Linotype" w:hAnsi="Palatino Linotype" w:cs="Palatino Linotype"/>
          <w:color w:val="000000"/>
          <w:u w:val="single"/>
        </w:rPr>
        <w:t>pudiera</w:t>
      </w:r>
      <w:r>
        <w:rPr>
          <w:rFonts w:ascii="Palatino Linotype" w:eastAsia="Palatino Linotype" w:hAnsi="Palatino Linotype" w:cs="Palatino Linotype"/>
          <w:color w:val="000000"/>
        </w:rPr>
        <w:t xml:space="preserve"> obrar lo peticionado, siendo estas </w:t>
      </w:r>
      <w:r>
        <w:rPr>
          <w:rFonts w:ascii="Palatino Linotype" w:eastAsia="Palatino Linotype" w:hAnsi="Palatino Linotype" w:cs="Palatino Linotype"/>
          <w:b/>
          <w:bCs/>
          <w:color w:val="000000"/>
        </w:rPr>
        <w:t>las Unidades de Informática y de Información, Planeación, Programación y Evaluación.</w:t>
      </w:r>
    </w:p>
    <w:p w:rsidR="00807F69" w:rsidRDefault="00807F69" w:rsidP="001271AD">
      <w:pPr>
        <w:ind w:right="-283"/>
        <w:rPr>
          <w:rFonts w:ascii="Palatino Linotype" w:eastAsia="Palatino Linotype" w:hAnsi="Palatino Linotype" w:cs="Palatino Linotype"/>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Ahora bien, conviene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al informar que la i</w:t>
      </w:r>
      <w:r>
        <w:rPr>
          <w:rFonts w:ascii="Palatino Linotype" w:eastAsia="Palatino Linotype" w:hAnsi="Palatino Linotype" w:cs="Palatino Linotype"/>
        </w:rPr>
        <w:t xml:space="preserve">nformación requerida conlleva a un grado de detalle con la cual no cuenta con facultad normativa que lo obligue a administrar la información a ese grado de detalle y con las especificaciones requeridas, toda vez que dentro de sus atribuciones sólo está la de generar estadísticas de los juicios; así como lo recursos de revisión tramitados y resueltos por las Salas y Secciones del Tribunal; sin embargo se realizan de manera generalizada y no con las especificaciones requeridas por el particular, debido a que con cuenta con atribuciones y/o competencia para generarla, por lo que para brindar contestación a su requerimiento tendría que elaborar un documento </w:t>
      </w:r>
      <w:r>
        <w:rPr>
          <w:rFonts w:ascii="Palatino Linotype" w:eastAsia="Palatino Linotype" w:hAnsi="Palatino Linotype" w:cs="Palatino Linotype"/>
          <w:i/>
          <w:iCs/>
        </w:rPr>
        <w:t xml:space="preserve">ad hoc </w:t>
      </w:r>
      <w:r>
        <w:rPr>
          <w:rFonts w:ascii="Palatino Linotype" w:eastAsia="Palatino Linotype" w:hAnsi="Palatino Linotype" w:cs="Palatino Linotype"/>
          <w:b/>
          <w:bCs/>
        </w:rPr>
        <w:t xml:space="preserve">y llevar a cabo una búsqueda en el cúmulo de expedientes generados por los Órganos Jurisdiccionales, </w:t>
      </w:r>
      <w:r>
        <w:rPr>
          <w:rFonts w:ascii="Palatino Linotype" w:eastAsia="Palatino Linotype" w:hAnsi="Palatino Linotype" w:cs="Palatino Linotype"/>
        </w:rPr>
        <w:t>situación contraria a lo establecido en la Ley de la materia.</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pBdr>
          <w:top w:val="nil"/>
          <w:left w:val="nil"/>
          <w:bottom w:val="nil"/>
          <w:right w:val="nil"/>
          <w:between w:val="nil"/>
        </w:pBdr>
        <w:tabs>
          <w:tab w:val="left" w:pos="426"/>
          <w:tab w:val="left" w:pos="567"/>
        </w:tabs>
        <w:spacing w:line="360" w:lineRule="auto"/>
        <w:ind w:left="0" w:right="-283" w:firstLine="0"/>
        <w:jc w:val="both"/>
      </w:pPr>
      <w:bookmarkStart w:id="3" w:name="_heading=h.1t87y6ps33h7" w:colFirst="0" w:colLast="0"/>
      <w:bookmarkEnd w:id="3"/>
      <w:r>
        <w:rPr>
          <w:rFonts w:ascii="Palatino Linotype" w:eastAsia="Palatino Linotype" w:hAnsi="Palatino Linotype" w:cs="Palatino Linotype"/>
        </w:rPr>
        <w:t xml:space="preserve">Por lo anterior reitera que sólo está obligado a proporcionar información de la manera en que obre en sus archivos y en el estado en que está se encuentre, posea, genere o </w:t>
      </w:r>
      <w:r>
        <w:rPr>
          <w:rFonts w:ascii="Palatino Linotype" w:eastAsia="Palatino Linotype" w:hAnsi="Palatino Linotype" w:cs="Palatino Linotype"/>
        </w:rPr>
        <w:lastRenderedPageBreak/>
        <w:t xml:space="preserve">administre; es así que tomando en consideración que es un Órgano jurisdiccional y que en su caso las multas pagadas o cobradas por un ente gubernamental son actos de ejecución administrativa que ocurren en la esfera de otros sujetos obligados con facultades de recaudación, toda vez que  ese Tribunal solo conoce con certeza de la legalidad del acto que se pretende en cada juicio, o en su caso los juicios tramitados y resueltos; sin embargo el seguimiento del cumplimiento del pago de la multa en el supuesto de que sea confirmada su legalidad o el </w:t>
      </w:r>
      <w:r>
        <w:rPr>
          <w:rFonts w:ascii="Palatino Linotype" w:eastAsia="Palatino Linotype" w:hAnsi="Palatino Linotype" w:cs="Palatino Linotype"/>
          <w:b/>
          <w:bCs/>
        </w:rPr>
        <w:t xml:space="preserve">monto acumulado por concepto de multas pagadas por una autoridad específica, no forma parte del proceso administrativo jurisdiccional; </w:t>
      </w:r>
      <w:r>
        <w:rPr>
          <w:rFonts w:ascii="Palatino Linotype" w:eastAsia="Palatino Linotype" w:hAnsi="Palatino Linotype" w:cs="Palatino Linotype"/>
        </w:rPr>
        <w:t>toda vez que al no ser autoridad recaudadora no cuenta con registros de comprobantes de pago ni de cuentas públicas de los entes demandados, insistiendo en que los montos pagados por entes gubernamentales atañen a diverso sujeto obligado, ello aunado a que se refiere a una acto jurídico posterior y externo al juicio administrativo.</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 xml:space="preserve">Por lo que, </w:t>
      </w:r>
      <w:r>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rsidR="00807F69" w:rsidRDefault="00C9368C" w:rsidP="001271AD">
      <w:pPr>
        <w:pBdr>
          <w:top w:val="nil"/>
          <w:left w:val="nil"/>
          <w:bottom w:val="nil"/>
          <w:right w:val="nil"/>
          <w:between w:val="nil"/>
        </w:pBdr>
        <w:tabs>
          <w:tab w:val="left" w:pos="426"/>
          <w:tab w:val="left" w:pos="567"/>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4. …</w:t>
      </w:r>
    </w:p>
    <w:p w:rsidR="00807F69" w:rsidRDefault="00C9368C" w:rsidP="001271AD">
      <w:pPr>
        <w:pBdr>
          <w:top w:val="nil"/>
          <w:left w:val="nil"/>
          <w:bottom w:val="nil"/>
          <w:right w:val="nil"/>
          <w:between w:val="nil"/>
        </w:pBdr>
        <w:tabs>
          <w:tab w:val="left" w:pos="426"/>
          <w:tab w:val="left" w:pos="567"/>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 xml:space="preserve">De lo anterior, se desprende </w:t>
      </w:r>
      <w:r>
        <w:rPr>
          <w:rFonts w:ascii="Palatino Linotype" w:eastAsia="Palatino Linotype" w:hAnsi="Palatino Linotype" w:cs="Palatino Linotype"/>
        </w:rPr>
        <w:t xml:space="preserve">que la información generada, obtenida, adquirida, transmitida, administrada o en posesión de los Sujetos Obligados, será accesible de manera </w:t>
      </w:r>
      <w:r>
        <w:rPr>
          <w:rFonts w:ascii="Palatino Linotype" w:eastAsia="Palatino Linotype" w:hAnsi="Palatino Linotype" w:cs="Palatino Linotype"/>
        </w:rPr>
        <w:lastRenderedPageBreak/>
        <w:t>permanente a cualquier persona, privilegiando el principio de máxima publicidad de la información.</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rsidR="00807F69" w:rsidRDefault="00C9368C" w:rsidP="001271AD">
      <w:pPr>
        <w:pBdr>
          <w:top w:val="nil"/>
          <w:left w:val="nil"/>
          <w:bottom w:val="nil"/>
          <w:right w:val="nil"/>
          <w:between w:val="nil"/>
        </w:pBdr>
        <w:tabs>
          <w:tab w:val="left" w:pos="1134"/>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12.</w:t>
      </w:r>
      <w:r>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w:t>
      </w:r>
    </w:p>
    <w:p w:rsidR="00807F69" w:rsidRDefault="00807F69" w:rsidP="001271AD">
      <w:pPr>
        <w:pBdr>
          <w:top w:val="nil"/>
          <w:left w:val="nil"/>
          <w:bottom w:val="nil"/>
          <w:right w:val="nil"/>
          <w:between w:val="nil"/>
        </w:pBdr>
        <w:tabs>
          <w:tab w:val="left" w:pos="1134"/>
        </w:tabs>
        <w:ind w:left="567" w:right="-283"/>
        <w:jc w:val="both"/>
        <w:rPr>
          <w:rFonts w:ascii="Palatino Linotype" w:eastAsia="Palatino Linotype" w:hAnsi="Palatino Linotype" w:cs="Palatino Linotype"/>
          <w:i/>
          <w:iCs/>
          <w:color w:val="000000"/>
        </w:rPr>
      </w:pPr>
    </w:p>
    <w:p w:rsidR="00807F69" w:rsidRDefault="00C9368C" w:rsidP="001271AD">
      <w:pPr>
        <w:tabs>
          <w:tab w:val="left" w:pos="1134"/>
        </w:tabs>
        <w:ind w:left="567" w:right="-283"/>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 xml:space="preserve">En síntesis, </w:t>
      </w:r>
      <w:r>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807F69" w:rsidRDefault="00C9368C" w:rsidP="001271AD">
      <w:pPr>
        <w:pBdr>
          <w:top w:val="nil"/>
          <w:left w:val="nil"/>
          <w:bottom w:val="nil"/>
          <w:right w:val="nil"/>
          <w:between w:val="nil"/>
        </w:pBdr>
        <w:tabs>
          <w:tab w:val="left" w:pos="709"/>
          <w:tab w:val="left" w:pos="1985"/>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“No existe obligación de elaborar documentos ad hoc para atender las solicitudes de acceso a la información.</w:t>
      </w:r>
      <w:r>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807F69" w:rsidRDefault="00807F69" w:rsidP="001271AD">
      <w:pPr>
        <w:pBdr>
          <w:top w:val="nil"/>
          <w:left w:val="nil"/>
          <w:bottom w:val="nil"/>
          <w:right w:val="nil"/>
          <w:between w:val="nil"/>
        </w:pBdr>
        <w:tabs>
          <w:tab w:val="left" w:pos="709"/>
          <w:tab w:val="left" w:pos="1985"/>
        </w:tabs>
        <w:ind w:left="567" w:right="-283"/>
        <w:jc w:val="both"/>
        <w:rPr>
          <w:rFonts w:ascii="Palatino Linotype" w:eastAsia="Palatino Linotype" w:hAnsi="Palatino Linotype" w:cs="Palatino Linotype"/>
          <w:i/>
          <w:iCs/>
          <w:color w:val="000000"/>
        </w:rPr>
      </w:pPr>
    </w:p>
    <w:p w:rsidR="00807F69" w:rsidRDefault="00C9368C" w:rsidP="001271AD">
      <w:pPr>
        <w:pBdr>
          <w:top w:val="nil"/>
          <w:left w:val="nil"/>
          <w:bottom w:val="nil"/>
          <w:right w:val="nil"/>
          <w:between w:val="nil"/>
        </w:pBdr>
        <w:tabs>
          <w:tab w:val="left" w:pos="709"/>
          <w:tab w:val="left" w:pos="1985"/>
        </w:tabs>
        <w:ind w:left="567" w:right="-28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Resoluciones: </w:t>
      </w:r>
    </w:p>
    <w:p w:rsidR="00807F69" w:rsidRDefault="00C9368C" w:rsidP="001271AD">
      <w:pPr>
        <w:pBdr>
          <w:top w:val="nil"/>
          <w:left w:val="nil"/>
          <w:bottom w:val="nil"/>
          <w:right w:val="nil"/>
          <w:between w:val="nil"/>
        </w:pBdr>
        <w:tabs>
          <w:tab w:val="left" w:pos="709"/>
          <w:tab w:val="left" w:pos="1985"/>
        </w:tabs>
        <w:ind w:left="567" w:right="-283"/>
        <w:jc w:val="both"/>
        <w:rPr>
          <w:rFonts w:ascii="Palatino Linotype" w:eastAsia="Palatino Linotype" w:hAnsi="Palatino Linotype" w:cs="Palatino Linotype"/>
          <w:i/>
          <w:iCs/>
          <w:color w:val="000000"/>
        </w:rPr>
      </w:pPr>
      <w:r>
        <w:rPr>
          <w:rFonts w:ascii="Symbol" w:eastAsia="Symbol" w:hAnsi="Symbol" w:cs="Symbol"/>
          <w:i/>
          <w:iCs/>
          <w:color w:val="000000"/>
        </w:rPr>
        <w:t>∙</w:t>
      </w:r>
      <w:r>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rsidR="00807F69" w:rsidRDefault="00C9368C" w:rsidP="001271AD">
      <w:pPr>
        <w:pBdr>
          <w:top w:val="nil"/>
          <w:left w:val="nil"/>
          <w:bottom w:val="nil"/>
          <w:right w:val="nil"/>
          <w:between w:val="nil"/>
        </w:pBdr>
        <w:tabs>
          <w:tab w:val="left" w:pos="709"/>
          <w:tab w:val="left" w:pos="1985"/>
        </w:tabs>
        <w:ind w:left="567" w:right="-283"/>
        <w:jc w:val="both"/>
        <w:rPr>
          <w:rFonts w:ascii="Palatino Linotype" w:eastAsia="Palatino Linotype" w:hAnsi="Palatino Linotype" w:cs="Palatino Linotype"/>
          <w:i/>
          <w:iCs/>
          <w:color w:val="000000"/>
        </w:rPr>
      </w:pPr>
      <w:r>
        <w:rPr>
          <w:rFonts w:ascii="Symbol" w:eastAsia="Symbol" w:hAnsi="Symbol" w:cs="Symbol"/>
          <w:i/>
          <w:iCs/>
          <w:color w:val="000000"/>
        </w:rPr>
        <w:t>∙</w:t>
      </w:r>
      <w:r>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rsidR="00807F69" w:rsidRDefault="00C9368C" w:rsidP="001271AD">
      <w:pPr>
        <w:tabs>
          <w:tab w:val="left" w:pos="709"/>
          <w:tab w:val="left" w:pos="1985"/>
        </w:tabs>
        <w:ind w:left="567" w:right="-283"/>
        <w:jc w:val="both"/>
        <w:rPr>
          <w:rFonts w:ascii="Palatino Linotype" w:eastAsia="Palatino Linotype" w:hAnsi="Palatino Linotype" w:cs="Palatino Linotype"/>
          <w:color w:val="000000"/>
        </w:rPr>
      </w:pPr>
      <w:r>
        <w:rPr>
          <w:rFonts w:ascii="Symbol" w:eastAsia="Symbol" w:hAnsi="Symbol" w:cs="Symbol"/>
          <w:i/>
          <w:iCs/>
        </w:rPr>
        <w:t>∙</w:t>
      </w:r>
      <w:r>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 xml:space="preserve">Asimismo, </w:t>
      </w:r>
      <w:r>
        <w:rPr>
          <w:rFonts w:ascii="Palatino Linotype" w:eastAsia="Palatino Linotype" w:hAnsi="Palatino Linotype" w:cs="Palatino Linotype"/>
        </w:rPr>
        <w:t>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Expuesto lo anterior, se tiene que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modificó la respuesta inicial y aportó información novedosa.</w:t>
      </w:r>
    </w:p>
    <w:p w:rsidR="00807F69" w:rsidRDefault="00807F69" w:rsidP="001271AD">
      <w:pPr>
        <w:ind w:right="-283"/>
        <w:jc w:val="both"/>
        <w:rPr>
          <w:rFonts w:ascii="Palatino Linotype" w:eastAsia="Palatino Linotype" w:hAnsi="Palatino Linotype" w:cs="Palatino Linotype"/>
        </w:rPr>
      </w:pPr>
    </w:p>
    <w:p w:rsidR="00807F69" w:rsidRPr="00FA59BD" w:rsidRDefault="00C9368C" w:rsidP="001271AD">
      <w:pPr>
        <w:numPr>
          <w:ilvl w:val="0"/>
          <w:numId w:val="2"/>
        </w:numPr>
        <w:spacing w:line="360" w:lineRule="auto"/>
        <w:ind w:left="0" w:right="-283" w:firstLine="0"/>
        <w:jc w:val="both"/>
      </w:pPr>
      <w:r>
        <w:rPr>
          <w:rFonts w:ascii="Palatino Linotype" w:eastAsia="Palatino Linotype" w:hAnsi="Palatino Linotype" w:cs="Palatino Linotype"/>
          <w:color w:val="000000"/>
        </w:rPr>
        <w:t xml:space="preserve">En este sentido, </w:t>
      </w:r>
      <w:r>
        <w:rPr>
          <w:rFonts w:ascii="Palatino Linotype" w:eastAsia="Palatino Linotype" w:hAnsi="Palatino Linotype" w:cs="Palatino Linotype"/>
        </w:rPr>
        <w:t xml:space="preserve">es dable sostener que, al haber existido un pronunciamiento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este Instituto no está facultado para manifestarse sobre la </w:t>
      </w:r>
      <w:r>
        <w:rPr>
          <w:rFonts w:ascii="Palatino Linotype" w:eastAsia="Palatino Linotype" w:hAnsi="Palatino Linotype" w:cs="Palatino Linotype"/>
        </w:rPr>
        <w:lastRenderedPageBreak/>
        <w:t>veracidad de este, pues no existe precepto legal alguno en la Ley de la materia que lo faculte para que, vía recurso de revisión, pueda pronunciarse al respecto.</w:t>
      </w:r>
    </w:p>
    <w:p w:rsidR="00FA59BD" w:rsidRDefault="00FA59BD" w:rsidP="00FA59BD">
      <w:pPr>
        <w:spacing w:line="360" w:lineRule="auto"/>
        <w:ind w:right="-283"/>
        <w:jc w:val="both"/>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Así, este Pleno advierte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modificó </w:t>
      </w:r>
      <w:r>
        <w:rPr>
          <w:rFonts w:ascii="Palatino Linotype" w:eastAsia="Palatino Linotype" w:hAnsi="Palatino Linotype" w:cs="Palatino Linotype"/>
        </w:rPr>
        <w:t>el acto que le dio origen al recurso de revisión, lo que trae como consecuencia que el mismo quede sin materia, actualizándose de este modo, la hipótesis jurídica contenida en la fracción III del artículo 192 de la Ley de Transparencia Local.</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bien, </w:t>
      </w:r>
      <w:r>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o la negativa de entrega de la misma, derivada de la solicitud de información pública.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 xml:space="preserve">este modo, cuando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Sirve </w:t>
      </w:r>
      <w:r>
        <w:rPr>
          <w:rFonts w:ascii="Palatino Linotype" w:eastAsia="Palatino Linotype" w:hAnsi="Palatino Linotype" w:cs="Palatino Linotype"/>
        </w:rPr>
        <w:t>de sustento a lo anterior la siguiente jurisprudencia por contradicción, cuyo rubro, texto y datos de identificación son los siguientes:</w:t>
      </w:r>
    </w:p>
    <w:p w:rsidR="00807F69" w:rsidRDefault="00C9368C" w:rsidP="001271AD">
      <w:pPr>
        <w:ind w:left="567" w:right="-283"/>
        <w:jc w:val="both"/>
        <w:rPr>
          <w:rFonts w:ascii="Palatino Linotype" w:eastAsia="Palatino Linotype" w:hAnsi="Palatino Linotype" w:cs="Palatino Linotype"/>
          <w:b/>
          <w:bCs/>
        </w:rPr>
      </w:pPr>
      <w:r>
        <w:rPr>
          <w:rFonts w:ascii="Palatino Linotype" w:eastAsia="Palatino Linotype" w:hAnsi="Palatino Linotype" w:cs="Palatino Linotype"/>
          <w:b/>
          <w:bCs/>
          <w:i/>
          <w:iCs/>
        </w:rPr>
        <w:t xml:space="preserve">CESACIÓN DE EFECTOS DEL ACTO RECLAMADO POR VIOLACIÓN AL ARTÍCULO 8o. DE LA CONSTITUCIÓN POLÍTICA DE LOS ESTADOS UNIDOS MEXICANOS. OPERA CUANDO LA AUTORIDAD RESPONSABLE AL RENDIR SU INFORME JUSTIFICADO EXHIBE LA CONTESTACIÓN A LA PETICIÓN </w:t>
      </w:r>
      <w:r>
        <w:rPr>
          <w:rFonts w:ascii="Palatino Linotype" w:eastAsia="Palatino Linotype" w:hAnsi="Palatino Linotype" w:cs="Palatino Linotype"/>
          <w:b/>
          <w:bCs/>
          <w:i/>
          <w:iCs/>
        </w:rPr>
        <w:lastRenderedPageBreak/>
        <w:t>FORMULADA, QUEDANDO EXPEDITOS LOS DERECHOS DEL QUEJOSO PARA AMPLIAR SU DEMANDA INICIAL, PROMOVER OTRO JUICIO DE AMPARO O EL MEDIO ORDINARIO DE DEFENSA QUE PROCEDA.</w:t>
      </w:r>
      <w:r>
        <w:rPr>
          <w:rFonts w:ascii="Palatino Linotype" w:eastAsia="Palatino Linotype" w:hAnsi="Palatino Linotype" w:cs="Palatino Linotype"/>
          <w:i/>
          <w:iCs/>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807F69" w:rsidRDefault="00807F69" w:rsidP="001271AD">
      <w:pPr>
        <w:ind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rPr>
        <w:t>anterior jurisprudencia resulta aplicable al presente asunto, en dos aspectos:</w:t>
      </w:r>
    </w:p>
    <w:p w:rsidR="00807F69" w:rsidRDefault="00C9368C" w:rsidP="001271AD">
      <w:pPr>
        <w:numPr>
          <w:ilvl w:val="0"/>
          <w:numId w:val="4"/>
        </w:numPr>
        <w:ind w:left="567" w:right="-283" w:firstLine="0"/>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807F69" w:rsidRDefault="00C9368C" w:rsidP="001271AD">
      <w:pPr>
        <w:numPr>
          <w:ilvl w:val="0"/>
          <w:numId w:val="4"/>
        </w:numPr>
        <w:ind w:left="567" w:right="-283" w:firstLine="0"/>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Eduardo Pallares, </w:t>
      </w:r>
      <w:r>
        <w:rPr>
          <w:rFonts w:ascii="Palatino Linotype" w:eastAsia="Palatino Linotype" w:hAnsi="Palatino Linotype" w:cs="Palatino Linotype"/>
        </w:rPr>
        <w:t xml:space="preserve">en su artículo </w:t>
      </w:r>
      <w:r>
        <w:rPr>
          <w:rFonts w:ascii="Palatino Linotype" w:eastAsia="Palatino Linotype" w:hAnsi="Palatino Linotype" w:cs="Palatino Linotype"/>
          <w:i/>
          <w:iCs/>
        </w:rPr>
        <w:t>“La caducidad y el sobreseimiento en el amparo”</w:t>
      </w:r>
      <w:r>
        <w:rPr>
          <w:rFonts w:ascii="Palatino Linotype" w:eastAsia="Palatino Linotype" w:hAnsi="Palatino Linotype" w:cs="Palatino Linotype"/>
        </w:rPr>
        <w:t xml:space="preserve">, cita la definición de Aguilera Paz, aduciendo que se </w:t>
      </w:r>
      <w:r>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Pr>
          <w:rFonts w:ascii="Palatino Linotype" w:eastAsia="Palatino Linotype" w:hAnsi="Palatino Linotype" w:cs="Palatino Linotype"/>
        </w:rPr>
        <w:t>. Asimismo, señala que existe el sobreseimiento provisional y el definitivo</w:t>
      </w:r>
      <w:r>
        <w:rPr>
          <w:rFonts w:ascii="Palatino Linotype" w:eastAsia="Palatino Linotype" w:hAnsi="Palatino Linotype" w:cs="Palatino Linotype"/>
          <w:i/>
          <w:iCs/>
        </w:rPr>
        <w:t xml:space="preserve">: “...el definitivo es una verdadera </w:t>
      </w:r>
      <w:r>
        <w:rPr>
          <w:rFonts w:ascii="Palatino Linotype" w:eastAsia="Palatino Linotype" w:hAnsi="Palatino Linotype" w:cs="Palatino Linotype"/>
          <w:i/>
          <w:iCs/>
        </w:rPr>
        <w:lastRenderedPageBreak/>
        <w:t>sentencia que pone fin al juicio, y que una vez dictada, produce cosa juzgada, mientras que el provisorio tiene por efectos suspender la prosecución de la causa...”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para la doctrina el sobreseimiento provoca que un procedimiento se suspenda o se resuelva en definitiva </w:t>
      </w:r>
      <w:r>
        <w:rPr>
          <w:rFonts w:ascii="Palatino Linotype" w:eastAsia="Palatino Linotype" w:hAnsi="Palatino Linotype" w:cs="Palatino Linotype"/>
          <w:b/>
          <w:bCs/>
        </w:rPr>
        <w:t>sin que se entre al estudio de los agravios o motivos de inconformidad.</w:t>
      </w:r>
    </w:p>
    <w:p w:rsidR="00807F69" w:rsidRDefault="00807F69" w:rsidP="001271AD">
      <w:pPr>
        <w:pBdr>
          <w:top w:val="nil"/>
          <w:left w:val="nil"/>
          <w:bottom w:val="nil"/>
          <w:right w:val="nil"/>
          <w:between w:val="nil"/>
        </w:pBdr>
        <w:ind w:left="720" w:right="-283"/>
        <w:rPr>
          <w:rFonts w:ascii="Palatino Linotype" w:eastAsia="Palatino Linotype" w:hAnsi="Palatino Linotype" w:cs="Palatino Linotype"/>
          <w:color w:val="000000"/>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rsidR="00807F69" w:rsidRDefault="00C9368C" w:rsidP="001271AD">
      <w:pPr>
        <w:ind w:left="567" w:right="-283"/>
        <w:jc w:val="both"/>
        <w:rPr>
          <w:rFonts w:ascii="Palatino Linotype" w:eastAsia="Palatino Linotype" w:hAnsi="Palatino Linotype" w:cs="Palatino Linotype"/>
          <w:i/>
          <w:iCs/>
        </w:rPr>
      </w:pPr>
      <w:r>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Pr>
          <w:rFonts w:ascii="Palatino Linotype" w:eastAsia="Palatino Linotype" w:hAnsi="Palatino Linotype" w:cs="Palatino Linotype"/>
          <w:i/>
          <w:iCs/>
        </w:rPr>
        <w:t xml:space="preserve"> en el juicio de amparo directo </w:t>
      </w:r>
      <w:r>
        <w:rPr>
          <w:rFonts w:ascii="Palatino Linotype" w:eastAsia="Palatino Linotype" w:hAnsi="Palatino Linotype" w:cs="Palatino Linotype"/>
          <w:b/>
          <w:bCs/>
          <w:i/>
          <w:iCs/>
        </w:rPr>
        <w:t>provoca la terminación de la controversia planteada</w:t>
      </w:r>
      <w:r>
        <w:rPr>
          <w:rFonts w:ascii="Palatino Linotype" w:eastAsia="Palatino Linotype" w:hAnsi="Palatino Linotype" w:cs="Palatino Linotype"/>
          <w:i/>
          <w:iCs/>
        </w:rPr>
        <w:t xml:space="preserve"> por el quejoso en la demanda de amparo</w:t>
      </w:r>
      <w:r>
        <w:rPr>
          <w:rFonts w:ascii="Palatino Linotype" w:eastAsia="Palatino Linotype" w:hAnsi="Palatino Linotype" w:cs="Palatino Linotype"/>
          <w:b/>
          <w:bCs/>
          <w:i/>
          <w:iCs/>
        </w:rPr>
        <w:t>, sin hacer un pronunciamiento de fondo sobre la legalidad o ilegalidad de la sentencia reclamada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Pr>
          <w:rFonts w:ascii="Palatino Linotype" w:eastAsia="Palatino Linotype" w:hAnsi="Palatino Linotype" w:cs="Palatino Linotype"/>
          <w:i/>
          <w:iCs/>
        </w:rPr>
        <w:t>.</w:t>
      </w:r>
    </w:p>
    <w:p w:rsidR="00807F69" w:rsidRDefault="00C9368C" w:rsidP="001271AD">
      <w:pPr>
        <w:ind w:left="567" w:right="-283"/>
        <w:jc w:val="both"/>
        <w:rPr>
          <w:rFonts w:ascii="Palatino Linotype" w:eastAsia="Palatino Linotype" w:hAnsi="Palatino Linotype" w:cs="Palatino Linotype"/>
          <w:i/>
          <w:iCs/>
        </w:rPr>
      </w:pPr>
      <w:r>
        <w:rPr>
          <w:rFonts w:ascii="Palatino Linotype" w:eastAsia="Palatino Linotype" w:hAnsi="Palatino Linotype" w:cs="Palatino Linotype"/>
          <w:i/>
          <w:iCs/>
        </w:rPr>
        <w:t>SÉPTIMO TRIBUNAL COLEGIADO EN MATERIA CIVIL DEL PRIMER CIRCUITO.</w:t>
      </w:r>
    </w:p>
    <w:p w:rsidR="00807F69" w:rsidRDefault="00C9368C" w:rsidP="001271AD">
      <w:pPr>
        <w:ind w:left="567" w:right="-283"/>
        <w:jc w:val="both"/>
        <w:rPr>
          <w:rFonts w:ascii="Palatino Linotype" w:eastAsia="Palatino Linotype" w:hAnsi="Palatino Linotype" w:cs="Palatino Linotype"/>
          <w:b/>
          <w:bCs/>
          <w:i/>
          <w:iCs/>
        </w:rPr>
      </w:pPr>
      <w:r>
        <w:rPr>
          <w:rFonts w:ascii="Palatino Linotype" w:eastAsia="Palatino Linotype" w:hAnsi="Palatino Linotype" w:cs="Palatino Linotype"/>
          <w:i/>
          <w:iCs/>
        </w:rPr>
        <w:t>Amparo directo 699/2008. Mariana Leticia González Steele. 13 de noviembre de 2008. Unanimidad de votos. Ponente: Sara Judith Montalvo Trejo. Secretario: Arnulfo Mateos García.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Consecuentemente, </w:t>
      </w:r>
      <w:r>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Bajo </w:t>
      </w:r>
      <w:r>
        <w:rPr>
          <w:rFonts w:ascii="Palatino Linotype" w:eastAsia="Palatino Linotype" w:hAnsi="Palatino Linotype" w:cs="Palatino Linotype"/>
        </w:rPr>
        <w:t xml:space="preserve">ese tenor y en términos del artículo 186 fracción I este Pleno determina el </w:t>
      </w:r>
      <w:r>
        <w:rPr>
          <w:rFonts w:ascii="Palatino Linotype" w:eastAsia="Palatino Linotype" w:hAnsi="Palatino Linotype" w:cs="Palatino Linotype"/>
          <w:b/>
          <w:bCs/>
        </w:rPr>
        <w:t xml:space="preserve">SOBRESEIMIENTO </w:t>
      </w:r>
      <w:r>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numPr>
          <w:ilvl w:val="0"/>
          <w:numId w:val="2"/>
        </w:numPr>
        <w:spacing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w:t>
      </w:r>
    </w:p>
    <w:p w:rsidR="00807F69" w:rsidRDefault="00807F69" w:rsidP="001271AD">
      <w:pPr>
        <w:ind w:right="-283"/>
        <w:jc w:val="both"/>
        <w:rPr>
          <w:rFonts w:ascii="Palatino Linotype" w:eastAsia="Palatino Linotype" w:hAnsi="Palatino Linotype" w:cs="Palatino Linotype"/>
          <w:b/>
          <w:bCs/>
        </w:rPr>
      </w:pPr>
    </w:p>
    <w:p w:rsidR="00807F69" w:rsidRDefault="00C9368C" w:rsidP="001271AD">
      <w:pPr>
        <w:keepNext/>
        <w:keepLines/>
        <w:spacing w:line="360" w:lineRule="auto"/>
        <w:ind w:right="-283"/>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807F69" w:rsidRDefault="00807F69" w:rsidP="001271AD">
      <w:pPr>
        <w:keepNext/>
        <w:keepLines/>
        <w:ind w:right="-283"/>
        <w:rPr>
          <w:rFonts w:ascii="Palatino Linotype" w:eastAsia="Palatino Linotype" w:hAnsi="Palatino Linotype" w:cs="Palatino Linotype"/>
          <w:b/>
          <w:bCs/>
          <w:color w:val="000000"/>
        </w:rPr>
      </w:pPr>
    </w:p>
    <w:p w:rsidR="00807F69" w:rsidRDefault="00C9368C" w:rsidP="001271AD">
      <w:pPr>
        <w:spacing w:line="360" w:lineRule="auto"/>
        <w:ind w:right="-283"/>
        <w:jc w:val="both"/>
        <w:rPr>
          <w:rFonts w:ascii="Palatino Linotype" w:eastAsia="Palatino Linotype" w:hAnsi="Palatino Linotype" w:cs="Palatino Linotype"/>
        </w:rPr>
      </w:pPr>
      <w:r>
        <w:rPr>
          <w:rFonts w:ascii="Palatino Linotype" w:eastAsia="Palatino Linotype" w:hAnsi="Palatino Linotype" w:cs="Palatino Linotype"/>
          <w:b/>
          <w:bCs/>
          <w:color w:val="000000"/>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03788/INFOEM/IP/RR/2026 </w:t>
      </w:r>
      <w:r>
        <w:rPr>
          <w:rFonts w:ascii="Palatino Linotype" w:eastAsia="Palatino Linotype" w:hAnsi="Palatino Linotype" w:cs="Palatino Linotype"/>
        </w:rPr>
        <w:t>conforme al artículo 192</w:t>
      </w:r>
      <w:r w:rsidR="001271AD">
        <w:rPr>
          <w:rFonts w:ascii="Palatino Linotype" w:eastAsia="Palatino Linotype" w:hAnsi="Palatino Linotype" w:cs="Palatino Linotype"/>
        </w:rPr>
        <w:t>,</w:t>
      </w:r>
      <w:r>
        <w:rPr>
          <w:rFonts w:ascii="Palatino Linotype" w:eastAsia="Palatino Linotype" w:hAnsi="Palatino Linotype" w:cs="Palatino Linotype"/>
        </w:rPr>
        <w:t xml:space="preserve"> fracción III</w:t>
      </w:r>
      <w:r w:rsidR="001271AD">
        <w:rPr>
          <w:rFonts w:ascii="Palatino Linotype" w:eastAsia="Palatino Linotype" w:hAnsi="Palatino Linotype" w:cs="Palatino Linotype"/>
        </w:rPr>
        <w:t>,</w:t>
      </w:r>
      <w:r>
        <w:rPr>
          <w:rFonts w:ascii="Palatino Linotype" w:eastAsia="Palatino Linotype" w:hAnsi="Palatino Linotype" w:cs="Palatino Linotype"/>
        </w:rPr>
        <w:t xml:space="preserve"> de la Ley de Transparencia y Acceso a la Información Pública del Estado de México y Municipios, porque al </w:t>
      </w:r>
      <w:r>
        <w:rPr>
          <w:rFonts w:ascii="Palatino Linotype" w:eastAsia="Palatino Linotype" w:hAnsi="Palatino Linotype" w:cs="Palatino Linotype"/>
          <w:b/>
          <w:bCs/>
        </w:rPr>
        <w:t>modificar la respuesta a través del informe justificado</w:t>
      </w:r>
      <w:r>
        <w:rPr>
          <w:rFonts w:ascii="Palatino Linotype" w:eastAsia="Palatino Linotype" w:hAnsi="Palatino Linotype" w:cs="Palatino Linotype"/>
        </w:rPr>
        <w:t xml:space="preserve">, el recurso de revisión quedó sin materia en términos del Considerando </w:t>
      </w:r>
      <w:r>
        <w:rPr>
          <w:rFonts w:ascii="Palatino Linotype" w:eastAsia="Palatino Linotype" w:hAnsi="Palatino Linotype" w:cs="Palatino Linotype"/>
          <w:b/>
          <w:bCs/>
        </w:rPr>
        <w:t>TERCERO</w:t>
      </w:r>
      <w:r>
        <w:rPr>
          <w:rFonts w:ascii="Palatino Linotype" w:eastAsia="Palatino Linotype" w:hAnsi="Palatino Linotype" w:cs="Palatino Linotype"/>
        </w:rPr>
        <w:t xml:space="preserve"> de la presente resolución.</w:t>
      </w:r>
    </w:p>
    <w:p w:rsidR="00807F69" w:rsidRDefault="00C9368C" w:rsidP="001271AD">
      <w:pPr>
        <w:spacing w:before="240" w:after="240" w:line="360" w:lineRule="auto"/>
        <w:ind w:right="-283"/>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SEGUNDO.</w:t>
      </w:r>
      <w:r>
        <w:rPr>
          <w:rFonts w:ascii="Palatino Linotype" w:eastAsia="Palatino Linotype" w:hAnsi="Palatino Linotype" w:cs="Palatino Linotype"/>
          <w:color w:val="000000"/>
        </w:rPr>
        <w:t xml:space="preserve"> </w:t>
      </w:r>
      <w:r w:rsidR="001271AD">
        <w:rPr>
          <w:rFonts w:ascii="Palatino Linotype" w:eastAsia="Palatino Linotype" w:hAnsi="Palatino Linotype" w:cs="Palatino Linotype"/>
          <w:b/>
          <w:bCs/>
        </w:rPr>
        <w:t>Notifíquese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la presente resolución al Titular de la Unidad de Transparencia del</w:t>
      </w:r>
      <w:r>
        <w:rPr>
          <w:rFonts w:ascii="Palatino Linotype" w:eastAsia="Palatino Linotype" w:hAnsi="Palatino Linotype" w:cs="Palatino Linotype"/>
          <w:b/>
          <w:bCs/>
        </w:rPr>
        <w:t xml:space="preserve"> SUJETO OBLIGADO.</w:t>
      </w:r>
    </w:p>
    <w:p w:rsidR="00807F69" w:rsidRDefault="00C9368C" w:rsidP="001271AD">
      <w:pPr>
        <w:shd w:val="clear" w:color="auto" w:fill="FFFFFF"/>
        <w:spacing w:before="240" w:line="360" w:lineRule="auto"/>
        <w:ind w:right="-28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TERCERO.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a través del Sistema de Acceso a la Información Mexiquense </w:t>
      </w:r>
      <w:r>
        <w:rPr>
          <w:rFonts w:ascii="Palatino Linotype" w:eastAsia="Palatino Linotype" w:hAnsi="Palatino Linotype" w:cs="Palatino Linotype"/>
          <w:b/>
          <w:bCs/>
        </w:rPr>
        <w:t>(SAIMEX).</w:t>
      </w:r>
    </w:p>
    <w:p w:rsidR="00FA59BD" w:rsidRDefault="00FA59BD" w:rsidP="001271AD">
      <w:pPr>
        <w:spacing w:line="360" w:lineRule="auto"/>
        <w:ind w:right="-283"/>
        <w:jc w:val="both"/>
        <w:rPr>
          <w:rFonts w:ascii="Palatino Linotype" w:eastAsia="Palatino Linotype" w:hAnsi="Palatino Linotype" w:cs="Palatino Linotype"/>
          <w:b/>
          <w:bCs/>
          <w:color w:val="000000"/>
        </w:rPr>
      </w:pPr>
    </w:p>
    <w:p w:rsidR="00807F69" w:rsidRDefault="00C9368C" w:rsidP="001271AD">
      <w:pPr>
        <w:spacing w:line="360" w:lineRule="auto"/>
        <w:ind w:right="-283"/>
        <w:jc w:val="both"/>
        <w:rPr>
          <w:rFonts w:ascii="Palatino Linotype" w:eastAsia="Palatino Linotype" w:hAnsi="Palatino Linotype" w:cs="Palatino Linotype"/>
        </w:rPr>
      </w:pP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w:t>
      </w:r>
      <w:r>
        <w:rPr>
          <w:rFonts w:ascii="Palatino Linotype" w:eastAsia="Palatino Linotype" w:hAnsi="Palatino Linotype" w:cs="Palatino Linotype"/>
        </w:rPr>
        <w:lastRenderedPageBreak/>
        <w:t>del Estado de México y Municipios, en caso de que considere que la resolución le cause algún perjuicio podrá impugnar vía juicio de amparo en los términos de las leyes aplicables.</w:t>
      </w:r>
    </w:p>
    <w:p w:rsidR="001271AD" w:rsidRDefault="001271AD" w:rsidP="001271AD">
      <w:pPr>
        <w:spacing w:line="360" w:lineRule="auto"/>
        <w:ind w:right="-283"/>
        <w:jc w:val="both"/>
        <w:rPr>
          <w:rFonts w:ascii="Palatino Linotype" w:eastAsia="Palatino Linotype" w:hAnsi="Palatino Linotype" w:cs="Palatino Linotype"/>
        </w:rPr>
      </w:pPr>
    </w:p>
    <w:p w:rsidR="001271AD" w:rsidRPr="003E2295" w:rsidRDefault="001271AD" w:rsidP="001271AD">
      <w:pPr>
        <w:spacing w:before="240" w:after="240" w:line="360" w:lineRule="auto"/>
        <w:ind w:right="-283" w:firstLine="1"/>
        <w:jc w:val="both"/>
        <w:rPr>
          <w:rFonts w:ascii="Palatino Linotype" w:hAnsi="Palatino Linotype"/>
        </w:rPr>
      </w:pPr>
      <w:bookmarkStart w:id="4"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4"/>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jc w:val="both"/>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spacing w:line="360" w:lineRule="auto"/>
        <w:ind w:right="-283"/>
        <w:rPr>
          <w:rFonts w:ascii="Palatino Linotype" w:eastAsia="Palatino Linotype" w:hAnsi="Palatino Linotype" w:cs="Palatino Linotype"/>
        </w:rPr>
      </w:pPr>
    </w:p>
    <w:p w:rsidR="00807F69" w:rsidRDefault="00807F69" w:rsidP="001271AD">
      <w:pPr>
        <w:ind w:right="-283"/>
        <w:rPr>
          <w:rFonts w:ascii="Palatino Linotype" w:eastAsia="Palatino Linotype" w:hAnsi="Palatino Linotype" w:cs="Palatino Linotype"/>
        </w:rPr>
      </w:pPr>
    </w:p>
    <w:p w:rsidR="00807F69" w:rsidRDefault="00807F69" w:rsidP="001271AD">
      <w:pPr>
        <w:ind w:right="-283"/>
        <w:rPr>
          <w:rFonts w:ascii="Palatino Linotype" w:eastAsia="Palatino Linotype" w:hAnsi="Palatino Linotype" w:cs="Palatino Linotype"/>
        </w:rPr>
      </w:pPr>
    </w:p>
    <w:p w:rsidR="00807F69" w:rsidRDefault="00807F69" w:rsidP="001271AD">
      <w:pPr>
        <w:ind w:right="-283"/>
        <w:rPr>
          <w:rFonts w:ascii="Palatino Linotype" w:eastAsia="Palatino Linotype" w:hAnsi="Palatino Linotype" w:cs="Palatino Linotype"/>
        </w:rPr>
      </w:pPr>
    </w:p>
    <w:p w:rsidR="00807F69" w:rsidRDefault="00807F69" w:rsidP="001271AD">
      <w:pPr>
        <w:ind w:right="-283"/>
        <w:rPr>
          <w:rFonts w:ascii="Palatino Linotype" w:eastAsia="Palatino Linotype" w:hAnsi="Palatino Linotype" w:cs="Palatino Linotype"/>
        </w:rPr>
      </w:pPr>
    </w:p>
    <w:sectPr w:rsidR="00807F69">
      <w:headerReference w:type="even" r:id="rId8"/>
      <w:headerReference w:type="default" r:id="rId9"/>
      <w:footerReference w:type="default" r:id="rId10"/>
      <w:headerReference w:type="first" r:id="rId11"/>
      <w:footerReference w:type="first" r:id="rId12"/>
      <w:pgSz w:w="12240" w:h="15840"/>
      <w:pgMar w:top="80" w:right="129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A65" w:rsidRDefault="005E5A65">
      <w:r>
        <w:separator/>
      </w:r>
    </w:p>
  </w:endnote>
  <w:endnote w:type="continuationSeparator" w:id="0">
    <w:p w:rsidR="005E5A65" w:rsidRDefault="005E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1BC0BFB-4C88-458C-BDC9-2EFF0E7C89D2}"/>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C875A07B-B4CA-4A28-A343-7DBBDCF57B03}"/>
    <w:embedBold r:id="rId3" w:fontKey="{29B60882-89D0-4A57-87B9-74A157741D49}"/>
    <w:embedItalic r:id="rId4" w:fontKey="{836E9454-7D54-4148-AAD9-4B2315D6A20B}"/>
    <w:embedBoldItalic r:id="rId5" w:fontKey="{A06171BD-1A18-4741-8AF7-EABD06856C7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2D84FF8-7475-4A37-ACE8-A1323C9F5DCA}"/>
  </w:font>
  <w:font w:name="Georgia">
    <w:panose1 w:val="02040502050405020303"/>
    <w:charset w:val="00"/>
    <w:family w:val="roman"/>
    <w:pitch w:val="variable"/>
    <w:sig w:usb0="00000287" w:usb1="00000000" w:usb2="00000000" w:usb3="00000000" w:csb0="0000009F" w:csb1="00000000"/>
    <w:embedItalic r:id="rId7" w:fontKey="{8F1069FE-1DC1-4113-804D-99F2990898BB}"/>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8" w:fontKey="{6D8291D3-A5A7-4138-90A2-EF5CF077404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08006336-EE17-4FDC-B70B-187D9713E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F69" w:rsidRDefault="00C9368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A59BD">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A59BD">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807F69" w:rsidRDefault="00807F6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F69" w:rsidRDefault="00C9368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A59BD">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A59BD">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807F69" w:rsidRDefault="00807F6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A65" w:rsidRDefault="005E5A65">
      <w:r>
        <w:separator/>
      </w:r>
    </w:p>
  </w:footnote>
  <w:footnote w:type="continuationSeparator" w:id="0">
    <w:p w:rsidR="005E5A65" w:rsidRDefault="005E5A65">
      <w:r>
        <w:continuationSeparator/>
      </w:r>
    </w:p>
  </w:footnote>
  <w:footnote w:id="1">
    <w:p w:rsidR="00807F69" w:rsidRDefault="00C936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rsidR="00807F69" w:rsidRDefault="00C936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rsidR="00807F69" w:rsidRDefault="00C936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rsidR="00807F69" w:rsidRDefault="00C9368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F69" w:rsidRDefault="005E5A6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468" w:type="dxa"/>
      <w:tblInd w:w="2720" w:type="dxa"/>
      <w:tblLayout w:type="fixed"/>
      <w:tblLook w:val="0400" w:firstRow="0" w:lastRow="0" w:firstColumn="0" w:lastColumn="0" w:noHBand="0" w:noVBand="1"/>
    </w:tblPr>
    <w:tblGrid>
      <w:gridCol w:w="2965"/>
      <w:gridCol w:w="4503"/>
    </w:tblGrid>
    <w:tr w:rsidR="001271AD" w:rsidTr="001271AD">
      <w:trPr>
        <w:trHeight w:val="95"/>
      </w:trPr>
      <w:tc>
        <w:tcPr>
          <w:tcW w:w="2965" w:type="dxa"/>
          <w:shd w:val="clear" w:color="auto" w:fill="auto"/>
        </w:tcPr>
        <w:p w:rsidR="001271AD" w:rsidRDefault="001271AD" w:rsidP="001271AD">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03" w:type="dxa"/>
          <w:shd w:val="clear" w:color="auto" w:fill="auto"/>
        </w:tcPr>
        <w:p w:rsidR="001271AD" w:rsidRDefault="001271AD" w:rsidP="001271AD">
          <w:pPr>
            <w:tabs>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03788/INFOEM/IP/RR/2026</w:t>
          </w:r>
        </w:p>
      </w:tc>
    </w:tr>
    <w:tr w:rsidR="001271AD" w:rsidTr="001271AD">
      <w:trPr>
        <w:trHeight w:val="53"/>
      </w:trPr>
      <w:tc>
        <w:tcPr>
          <w:tcW w:w="2965" w:type="dxa"/>
          <w:shd w:val="clear" w:color="auto" w:fill="auto"/>
        </w:tcPr>
        <w:p w:rsidR="001271AD" w:rsidRDefault="001271AD" w:rsidP="001271A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03" w:type="dxa"/>
          <w:shd w:val="clear" w:color="auto" w:fill="auto"/>
        </w:tcPr>
        <w:p w:rsidR="001271AD" w:rsidRDefault="001271AD" w:rsidP="001271AD">
          <w:pPr>
            <w:tabs>
              <w:tab w:val="left" w:pos="2834"/>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Tribunal de Justicia Administrativa del Estado de México</w:t>
          </w:r>
        </w:p>
      </w:tc>
    </w:tr>
    <w:tr w:rsidR="001271AD" w:rsidTr="001271AD">
      <w:trPr>
        <w:trHeight w:val="188"/>
      </w:trPr>
      <w:tc>
        <w:tcPr>
          <w:tcW w:w="2965" w:type="dxa"/>
          <w:shd w:val="clear" w:color="auto" w:fill="auto"/>
        </w:tcPr>
        <w:p w:rsidR="001271AD" w:rsidRDefault="001271AD" w:rsidP="001271AD">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03" w:type="dxa"/>
          <w:shd w:val="clear" w:color="auto" w:fill="auto"/>
        </w:tcPr>
        <w:p w:rsidR="001271AD" w:rsidRDefault="001271AD" w:rsidP="001271AD">
          <w:pPr>
            <w:tabs>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tbl>
    <w:tblPr>
      <w:tblStyle w:val="a"/>
      <w:tblW w:w="9132" w:type="dxa"/>
      <w:tblInd w:w="0" w:type="dxa"/>
      <w:tblLayout w:type="fixed"/>
      <w:tblLook w:val="0400" w:firstRow="0" w:lastRow="0" w:firstColumn="0" w:lastColumn="0" w:noHBand="0" w:noVBand="1"/>
    </w:tblPr>
    <w:tblGrid>
      <w:gridCol w:w="2108"/>
      <w:gridCol w:w="7024"/>
    </w:tblGrid>
    <w:tr w:rsidR="00807F69" w:rsidTr="001271AD">
      <w:trPr>
        <w:trHeight w:val="266"/>
      </w:trPr>
      <w:tc>
        <w:tcPr>
          <w:tcW w:w="2108" w:type="dxa"/>
          <w:shd w:val="clear" w:color="auto" w:fill="auto"/>
        </w:tcPr>
        <w:p w:rsidR="00807F69" w:rsidRDefault="00807F69">
          <w:pPr>
            <w:tabs>
              <w:tab w:val="right" w:pos="4273"/>
            </w:tabs>
            <w:rPr>
              <w:rFonts w:ascii="Garamond" w:eastAsia="Garamond" w:hAnsi="Garamond" w:cs="Garamond"/>
              <w:sz w:val="16"/>
              <w:szCs w:val="16"/>
            </w:rPr>
          </w:pPr>
        </w:p>
      </w:tc>
      <w:tc>
        <w:tcPr>
          <w:tcW w:w="7024" w:type="dxa"/>
          <w:shd w:val="clear" w:color="auto" w:fill="auto"/>
        </w:tcPr>
        <w:p w:rsidR="00807F69" w:rsidRDefault="00807F69" w:rsidP="00FA59BD">
          <w:pPr>
            <w:tabs>
              <w:tab w:val="right" w:pos="8838"/>
            </w:tabs>
            <w:ind w:right="-681"/>
            <w:jc w:val="both"/>
            <w:rPr>
              <w:rFonts w:ascii="Arial" w:eastAsia="Arial" w:hAnsi="Arial" w:cs="Arial"/>
              <w:b/>
              <w:bCs/>
              <w:sz w:val="18"/>
              <w:szCs w:val="18"/>
            </w:rPr>
          </w:pPr>
        </w:p>
      </w:tc>
    </w:tr>
  </w:tbl>
  <w:p w:rsidR="00807F69" w:rsidRDefault="00FA59BD">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2.8pt;margin-top:-132.4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560" w:type="dxa"/>
      <w:tblInd w:w="0" w:type="dxa"/>
      <w:tblLayout w:type="fixed"/>
      <w:tblLook w:val="0400" w:firstRow="0" w:lastRow="0" w:firstColumn="0" w:lastColumn="0" w:noHBand="0" w:noVBand="1"/>
    </w:tblPr>
    <w:tblGrid>
      <w:gridCol w:w="2265"/>
      <w:gridCol w:w="8295"/>
    </w:tblGrid>
    <w:tr w:rsidR="00807F69">
      <w:trPr>
        <w:trHeight w:val="1435"/>
      </w:trPr>
      <w:tc>
        <w:tcPr>
          <w:tcW w:w="2265" w:type="dxa"/>
          <w:shd w:val="clear" w:color="auto" w:fill="auto"/>
        </w:tcPr>
        <w:p w:rsidR="00807F69" w:rsidRDefault="00807F69">
          <w:pPr>
            <w:tabs>
              <w:tab w:val="right" w:pos="4273"/>
            </w:tabs>
            <w:rPr>
              <w:rFonts w:ascii="Garamond" w:eastAsia="Garamond" w:hAnsi="Garamond" w:cs="Garamond"/>
              <w:sz w:val="22"/>
              <w:szCs w:val="22"/>
            </w:rPr>
          </w:pPr>
        </w:p>
      </w:tc>
      <w:tc>
        <w:tcPr>
          <w:tcW w:w="8295" w:type="dxa"/>
          <w:shd w:val="clear" w:color="auto" w:fill="auto"/>
        </w:tcPr>
        <w:tbl>
          <w:tblPr>
            <w:tblStyle w:val="a2"/>
            <w:tblW w:w="7410" w:type="dxa"/>
            <w:tblInd w:w="858" w:type="dxa"/>
            <w:tblLayout w:type="fixed"/>
            <w:tblLook w:val="0400" w:firstRow="0" w:lastRow="0" w:firstColumn="0" w:lastColumn="0" w:noHBand="0" w:noVBand="1"/>
          </w:tblPr>
          <w:tblGrid>
            <w:gridCol w:w="2942"/>
            <w:gridCol w:w="4468"/>
          </w:tblGrid>
          <w:tr w:rsidR="00807F69">
            <w:trPr>
              <w:trHeight w:val="144"/>
            </w:trPr>
            <w:tc>
              <w:tcPr>
                <w:tcW w:w="2942" w:type="dxa"/>
                <w:shd w:val="clear" w:color="auto" w:fill="auto"/>
              </w:tcPr>
              <w:p w:rsidR="00807F69" w:rsidRDefault="00C9368C">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68" w:type="dxa"/>
                <w:shd w:val="clear" w:color="auto" w:fill="auto"/>
              </w:tcPr>
              <w:p w:rsidR="00807F69" w:rsidRDefault="00C9368C">
                <w:pPr>
                  <w:tabs>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03788/INFOEM/IP/RR/202</w:t>
                </w:r>
                <w:r w:rsidR="001271AD">
                  <w:rPr>
                    <w:rFonts w:ascii="Palatino Linotype" w:eastAsia="Palatino Linotype" w:hAnsi="Palatino Linotype" w:cs="Palatino Linotype"/>
                  </w:rPr>
                  <w:t>6</w:t>
                </w:r>
              </w:p>
            </w:tc>
          </w:tr>
          <w:tr w:rsidR="00807F69">
            <w:trPr>
              <w:trHeight w:val="144"/>
            </w:trPr>
            <w:tc>
              <w:tcPr>
                <w:tcW w:w="2942" w:type="dxa"/>
                <w:shd w:val="clear" w:color="auto" w:fill="auto"/>
              </w:tcPr>
              <w:p w:rsidR="00807F69" w:rsidRDefault="00C9368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468" w:type="dxa"/>
                <w:shd w:val="clear" w:color="auto" w:fill="auto"/>
              </w:tcPr>
              <w:p w:rsidR="00807F69" w:rsidRDefault="00807F69">
                <w:pPr>
                  <w:tabs>
                    <w:tab w:val="left" w:pos="3122"/>
                    <w:tab w:val="right" w:pos="8838"/>
                  </w:tabs>
                  <w:ind w:right="119"/>
                  <w:rPr>
                    <w:rFonts w:ascii="Palatino Linotype" w:eastAsia="Palatino Linotype" w:hAnsi="Palatino Linotype" w:cs="Palatino Linotype"/>
                  </w:rPr>
                </w:pPr>
              </w:p>
            </w:tc>
          </w:tr>
          <w:tr w:rsidR="00807F69">
            <w:trPr>
              <w:trHeight w:val="80"/>
            </w:trPr>
            <w:tc>
              <w:tcPr>
                <w:tcW w:w="2942" w:type="dxa"/>
                <w:shd w:val="clear" w:color="auto" w:fill="auto"/>
              </w:tcPr>
              <w:p w:rsidR="00807F69" w:rsidRDefault="00C9368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68" w:type="dxa"/>
                <w:shd w:val="clear" w:color="auto" w:fill="auto"/>
              </w:tcPr>
              <w:p w:rsidR="00807F69" w:rsidRDefault="00C9368C">
                <w:pPr>
                  <w:tabs>
                    <w:tab w:val="left" w:pos="2834"/>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Tribunal de Justicia Administrativa del Estado de México</w:t>
                </w:r>
              </w:p>
            </w:tc>
          </w:tr>
          <w:tr w:rsidR="00807F69">
            <w:trPr>
              <w:trHeight w:val="283"/>
            </w:trPr>
            <w:tc>
              <w:tcPr>
                <w:tcW w:w="2942" w:type="dxa"/>
                <w:shd w:val="clear" w:color="auto" w:fill="auto"/>
              </w:tcPr>
              <w:p w:rsidR="00807F69" w:rsidRDefault="00C9368C">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68" w:type="dxa"/>
                <w:shd w:val="clear" w:color="auto" w:fill="auto"/>
              </w:tcPr>
              <w:p w:rsidR="00807F69" w:rsidRDefault="00C9368C">
                <w:pPr>
                  <w:tabs>
                    <w:tab w:val="right" w:pos="8838"/>
                  </w:tabs>
                  <w:ind w:right="11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807F69" w:rsidRDefault="00807F69">
                <w:pPr>
                  <w:tabs>
                    <w:tab w:val="right" w:pos="8838"/>
                  </w:tabs>
                  <w:ind w:right="119"/>
                  <w:rPr>
                    <w:rFonts w:ascii="Palatino Linotype" w:eastAsia="Palatino Linotype" w:hAnsi="Palatino Linotype" w:cs="Palatino Linotype"/>
                  </w:rPr>
                </w:pPr>
              </w:p>
            </w:tc>
          </w:tr>
        </w:tbl>
        <w:p w:rsidR="00807F69" w:rsidRDefault="00807F69">
          <w:pPr>
            <w:tabs>
              <w:tab w:val="right" w:pos="8838"/>
            </w:tabs>
            <w:ind w:left="-28"/>
            <w:jc w:val="both"/>
            <w:rPr>
              <w:rFonts w:ascii="Arial" w:eastAsia="Arial" w:hAnsi="Arial" w:cs="Arial"/>
              <w:b/>
              <w:bCs/>
              <w:sz w:val="22"/>
              <w:szCs w:val="22"/>
            </w:rPr>
          </w:pPr>
        </w:p>
      </w:tc>
    </w:tr>
  </w:tbl>
  <w:p w:rsidR="00807F69" w:rsidRDefault="005E5A6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536F2"/>
    <w:multiLevelType w:val="multilevel"/>
    <w:tmpl w:val="3DA44A6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1" w15:restartNumberingAfterBreak="0">
    <w:nsid w:val="159C3D65"/>
    <w:multiLevelType w:val="multilevel"/>
    <w:tmpl w:val="1C788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72497E"/>
    <w:multiLevelType w:val="multilevel"/>
    <w:tmpl w:val="60086696"/>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205787"/>
    <w:multiLevelType w:val="multilevel"/>
    <w:tmpl w:val="411AF74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5CE45D3B"/>
    <w:multiLevelType w:val="multilevel"/>
    <w:tmpl w:val="C9D821E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143831"/>
    <w:multiLevelType w:val="multilevel"/>
    <w:tmpl w:val="F132928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73C63DB7"/>
    <w:multiLevelType w:val="multilevel"/>
    <w:tmpl w:val="CEA67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8B4103"/>
    <w:multiLevelType w:val="multilevel"/>
    <w:tmpl w:val="B832F1A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69"/>
    <w:rsid w:val="001271AD"/>
    <w:rsid w:val="005E5A65"/>
    <w:rsid w:val="00807F69"/>
    <w:rsid w:val="00C86382"/>
    <w:rsid w:val="00C9368C"/>
    <w:rsid w:val="00E662F4"/>
    <w:rsid w:val="00FA59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F009FA2-CF5F-4537-85D7-0DD1EA96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1271AD"/>
    <w:pPr>
      <w:tabs>
        <w:tab w:val="center" w:pos="4419"/>
        <w:tab w:val="right" w:pos="8838"/>
      </w:tabs>
    </w:pPr>
  </w:style>
  <w:style w:type="character" w:customStyle="1" w:styleId="PiedepginaCar">
    <w:name w:val="Pie de página Car"/>
    <w:basedOn w:val="Fuentedeprrafopredeter"/>
    <w:link w:val="Piedepgina"/>
    <w:uiPriority w:val="99"/>
    <w:rsid w:val="001271AD"/>
  </w:style>
  <w:style w:type="paragraph" w:styleId="Prrafodelista">
    <w:name w:val="List Paragraph"/>
    <w:basedOn w:val="Normal"/>
    <w:uiPriority w:val="34"/>
    <w:qFormat/>
    <w:rsid w:val="00FA5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TA/VxXGraZhL41oZjyAFuQg8mA==">CgMxLjAyCWguM3pueXNoNzIJaC4zZHk2dmttMg5oLjF0ODd5NnBzMzNoNzgAciExWTFDZzhLaWJibkRXUllaZ3JXMzNmVE9jM2EtMTBscUk=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7484</Words>
  <Characters>41168</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2026-07-03T16:03:00Z</cp:lastPrinted>
  <dcterms:created xsi:type="dcterms:W3CDTF">2026-07-01T22:07:00Z</dcterms:created>
  <dcterms:modified xsi:type="dcterms:W3CDTF">2026-07-07T00:00:00Z</dcterms:modified>
</cp:coreProperties>
</file>