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3F34" w:rsidRDefault="009655C8" w:rsidP="00A63C01">
      <w:pPr>
        <w:tabs>
          <w:tab w:val="left" w:pos="3465"/>
        </w:tabs>
        <w:spacing w:line="360" w:lineRule="auto"/>
        <w:ind w:right="-518"/>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t>Resolución del Pleno del Instituto de Transparencia, Acceso a la Información Pública y Protección de Datos Personales del Estado de México y Municipios, con domicilio en Metepec, Estado de México; de</w:t>
      </w:r>
      <w:r>
        <w:rPr>
          <w:rFonts w:ascii="Palatino Linotype" w:eastAsia="Palatino Linotype" w:hAnsi="Palatino Linotype" w:cs="Palatino Linotype"/>
        </w:rPr>
        <w:t xml:space="preserve"> </w:t>
      </w:r>
      <w:r w:rsidR="00A63C01">
        <w:rPr>
          <w:rFonts w:ascii="Palatino Linotype" w:eastAsia="Palatino Linotype" w:hAnsi="Palatino Linotype" w:cs="Palatino Linotype"/>
          <w:b/>
          <w:bCs/>
        </w:rPr>
        <w:t>fecha</w:t>
      </w:r>
      <w:r w:rsidR="00A63C01">
        <w:rPr>
          <w:rFonts w:ascii="Palatino Linotype" w:eastAsia="Palatino Linotype" w:hAnsi="Palatino Linotype" w:cs="Palatino Linotype"/>
          <w:b/>
          <w:bCs/>
          <w:color w:val="000000"/>
        </w:rPr>
        <w:t xml:space="preserve"> uno</w:t>
      </w:r>
      <w:r w:rsidR="007E2DA7">
        <w:rPr>
          <w:rFonts w:ascii="Palatino Linotype" w:eastAsia="Palatino Linotype" w:hAnsi="Palatino Linotype" w:cs="Palatino Linotype"/>
          <w:b/>
          <w:bCs/>
          <w:color w:val="000000"/>
        </w:rPr>
        <w:t xml:space="preserve"> (01) </w:t>
      </w:r>
      <w:r>
        <w:rPr>
          <w:rFonts w:ascii="Palatino Linotype" w:eastAsia="Palatino Linotype" w:hAnsi="Palatino Linotype" w:cs="Palatino Linotype"/>
          <w:b/>
          <w:bCs/>
          <w:color w:val="000000"/>
        </w:rPr>
        <w:t>de ju</w:t>
      </w:r>
      <w:r>
        <w:rPr>
          <w:rFonts w:ascii="Palatino Linotype" w:eastAsia="Palatino Linotype" w:hAnsi="Palatino Linotype" w:cs="Palatino Linotype"/>
          <w:b/>
          <w:bCs/>
        </w:rPr>
        <w:t>l</w:t>
      </w:r>
      <w:r>
        <w:rPr>
          <w:rFonts w:ascii="Palatino Linotype" w:eastAsia="Palatino Linotype" w:hAnsi="Palatino Linotype" w:cs="Palatino Linotype"/>
          <w:b/>
          <w:bCs/>
          <w:color w:val="000000"/>
        </w:rPr>
        <w:t>io de dos mil veintiséis.</w:t>
      </w:r>
    </w:p>
    <w:p w:rsidR="00133F34" w:rsidRDefault="00133F34" w:rsidP="00A63C01">
      <w:pPr>
        <w:tabs>
          <w:tab w:val="left" w:pos="3465"/>
        </w:tabs>
        <w:spacing w:line="360" w:lineRule="auto"/>
        <w:ind w:right="-518"/>
        <w:jc w:val="both"/>
        <w:rPr>
          <w:rFonts w:ascii="Palatino Linotype" w:eastAsia="Palatino Linotype" w:hAnsi="Palatino Linotype" w:cs="Palatino Linotype"/>
          <w:color w:val="000000"/>
        </w:rPr>
      </w:pPr>
    </w:p>
    <w:p w:rsidR="00133F34" w:rsidRDefault="009655C8" w:rsidP="00A63C01">
      <w:pPr>
        <w:spacing w:line="360" w:lineRule="auto"/>
        <w:ind w:right="-518"/>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VISTO</w:t>
      </w:r>
      <w:r>
        <w:rPr>
          <w:rFonts w:ascii="Palatino Linotype" w:eastAsia="Palatino Linotype" w:hAnsi="Palatino Linotype" w:cs="Palatino Linotype"/>
          <w:color w:val="000000"/>
        </w:rPr>
        <w:t xml:space="preserve"> el expediente formado con motivo del recurso de revisión </w:t>
      </w:r>
      <w:r>
        <w:rPr>
          <w:rFonts w:ascii="Palatino Linotype" w:eastAsia="Palatino Linotype" w:hAnsi="Palatino Linotype" w:cs="Palatino Linotype"/>
          <w:b/>
          <w:bCs/>
          <w:color w:val="000000"/>
        </w:rPr>
        <w:t xml:space="preserve">03318/INFOEM/IP/RR/2026 </w:t>
      </w:r>
      <w:r>
        <w:rPr>
          <w:rFonts w:ascii="Palatino Linotype" w:eastAsia="Palatino Linotype" w:hAnsi="Palatino Linotype" w:cs="Palatino Linotype"/>
          <w:color w:val="000000"/>
        </w:rPr>
        <w:t xml:space="preserve">interpuesto por </w:t>
      </w:r>
      <w:r w:rsidR="000231B5">
        <w:rPr>
          <w:rFonts w:ascii="Palatino Linotype" w:eastAsia="Palatino Linotype" w:hAnsi="Palatino Linotype" w:cs="Palatino Linotype"/>
          <w:b/>
          <w:bCs/>
          <w:color w:val="000000"/>
        </w:rPr>
        <w:t>XXXX</w:t>
      </w:r>
      <w:r>
        <w:rPr>
          <w:rFonts w:ascii="Palatino Linotype" w:eastAsia="Palatino Linotype" w:hAnsi="Palatino Linotype" w:cs="Palatino Linotype"/>
          <w:color w:val="000000"/>
        </w:rPr>
        <w:t xml:space="preserve">, en lo sucesivo el </w:t>
      </w:r>
      <w:r>
        <w:rPr>
          <w:rFonts w:ascii="Palatino Linotype" w:eastAsia="Palatino Linotype" w:hAnsi="Palatino Linotype" w:cs="Palatino Linotype"/>
          <w:b/>
          <w:bCs/>
          <w:color w:val="000000"/>
        </w:rPr>
        <w:t>RECURRENTE</w:t>
      </w:r>
      <w:r>
        <w:rPr>
          <w:rFonts w:ascii="Palatino Linotype" w:eastAsia="Palatino Linotype" w:hAnsi="Palatino Linotype" w:cs="Palatino Linotype"/>
          <w:color w:val="000000"/>
        </w:rPr>
        <w:t xml:space="preserve">, en contra de la respuesta </w:t>
      </w:r>
      <w:r>
        <w:rPr>
          <w:rFonts w:ascii="Palatino Linotype" w:eastAsia="Palatino Linotype" w:hAnsi="Palatino Linotype" w:cs="Palatino Linotype"/>
        </w:rPr>
        <w:t xml:space="preserve">otorgada a la solicitud de información </w:t>
      </w:r>
      <w:r>
        <w:rPr>
          <w:rFonts w:ascii="Palatino Linotype" w:eastAsia="Palatino Linotype" w:hAnsi="Palatino Linotype" w:cs="Palatino Linotype"/>
          <w:b/>
          <w:bCs/>
        </w:rPr>
        <w:t xml:space="preserve">00195/PJUDICI/IP/2026 </w:t>
      </w:r>
      <w:r>
        <w:rPr>
          <w:rFonts w:ascii="Palatino Linotype" w:eastAsia="Palatino Linotype" w:hAnsi="Palatino Linotype" w:cs="Palatino Linotype"/>
        </w:rPr>
        <w:t>del</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b/>
          <w:bCs/>
          <w:color w:val="000000"/>
        </w:rPr>
        <w:t>Poder Judicial</w:t>
      </w:r>
      <w:r>
        <w:rPr>
          <w:rFonts w:ascii="Palatino Linotype" w:eastAsia="Palatino Linotype" w:hAnsi="Palatino Linotype" w:cs="Palatino Linotype"/>
          <w:color w:val="000000"/>
        </w:rPr>
        <w:t>, en adelante el</w:t>
      </w:r>
      <w:r>
        <w:rPr>
          <w:rFonts w:ascii="Palatino Linotype" w:eastAsia="Palatino Linotype" w:hAnsi="Palatino Linotype" w:cs="Palatino Linotype"/>
          <w:b/>
          <w:bCs/>
          <w:color w:val="000000"/>
        </w:rPr>
        <w:t xml:space="preserve"> SUJETO OBLIGADO</w:t>
      </w:r>
      <w:r>
        <w:rPr>
          <w:rFonts w:ascii="Palatino Linotype" w:eastAsia="Palatino Linotype" w:hAnsi="Palatino Linotype" w:cs="Palatino Linotype"/>
          <w:color w:val="000000"/>
        </w:rPr>
        <w:t>, se procede a dictar la presente resolución, con base en los siguientes:</w:t>
      </w:r>
    </w:p>
    <w:p w:rsidR="00133F34" w:rsidRDefault="00133F34" w:rsidP="00A63C01">
      <w:pPr>
        <w:spacing w:line="360" w:lineRule="auto"/>
        <w:ind w:right="-518"/>
        <w:jc w:val="both"/>
        <w:rPr>
          <w:rFonts w:ascii="Palatino Linotype" w:eastAsia="Palatino Linotype" w:hAnsi="Palatino Linotype" w:cs="Palatino Linotype"/>
          <w:b/>
          <w:bCs/>
          <w:color w:val="000000"/>
        </w:rPr>
      </w:pPr>
    </w:p>
    <w:p w:rsidR="00133F34" w:rsidRDefault="009655C8" w:rsidP="00A63C01">
      <w:pPr>
        <w:pStyle w:val="Ttulo1"/>
        <w:spacing w:before="0" w:line="360" w:lineRule="auto"/>
        <w:ind w:right="-518"/>
        <w:jc w:val="center"/>
        <w:rPr>
          <w:b/>
          <w:bCs/>
          <w:color w:val="000000"/>
        </w:rPr>
      </w:pPr>
      <w:bookmarkStart w:id="0" w:name="_heading=h.baflmkq9ge1f" w:colFirst="0" w:colLast="0"/>
      <w:bookmarkEnd w:id="0"/>
      <w:r>
        <w:rPr>
          <w:b/>
          <w:bCs/>
          <w:color w:val="000000"/>
        </w:rPr>
        <w:t>A N T E C E D E N T E S</w:t>
      </w:r>
    </w:p>
    <w:p w:rsidR="00133F34" w:rsidRDefault="00133F34" w:rsidP="00A63C01">
      <w:pPr>
        <w:pBdr>
          <w:top w:val="nil"/>
          <w:left w:val="nil"/>
          <w:bottom w:val="nil"/>
          <w:right w:val="nil"/>
          <w:between w:val="nil"/>
        </w:pBdr>
        <w:tabs>
          <w:tab w:val="left" w:pos="426"/>
        </w:tabs>
        <w:spacing w:line="360" w:lineRule="auto"/>
        <w:ind w:right="-518"/>
        <w:jc w:val="both"/>
        <w:rPr>
          <w:rFonts w:ascii="Palatino Linotype" w:eastAsia="Palatino Linotype" w:hAnsi="Palatino Linotype" w:cs="Palatino Linotype"/>
          <w:color w:val="000000"/>
        </w:rPr>
      </w:pPr>
    </w:p>
    <w:p w:rsidR="00133F34" w:rsidRDefault="009655C8" w:rsidP="00A63C01">
      <w:pPr>
        <w:numPr>
          <w:ilvl w:val="0"/>
          <w:numId w:val="3"/>
        </w:numPr>
        <w:pBdr>
          <w:top w:val="nil"/>
          <w:left w:val="nil"/>
          <w:bottom w:val="nil"/>
          <w:right w:val="nil"/>
          <w:between w:val="nil"/>
        </w:pBdr>
        <w:tabs>
          <w:tab w:val="left" w:pos="0"/>
        </w:tabs>
        <w:spacing w:line="360" w:lineRule="auto"/>
        <w:ind w:left="0" w:right="-518"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diez de marzo de dos mil veintiséis</w:t>
      </w:r>
      <w:r>
        <w:rPr>
          <w:rFonts w:ascii="Palatino Linotype" w:eastAsia="Palatino Linotype" w:hAnsi="Palatino Linotype" w:cs="Palatino Linotype"/>
          <w:color w:val="000000"/>
        </w:rPr>
        <w:t xml:space="preserve">, el Recurrente presentó ante el Sujeto Obligado vía Sistema de Acceso a la Información Mexiquense, en adelante SAIMEX, la siguiente </w:t>
      </w:r>
      <w:r>
        <w:rPr>
          <w:rFonts w:ascii="Palatino Linotype" w:eastAsia="Palatino Linotype" w:hAnsi="Palatino Linotype" w:cs="Palatino Linotype"/>
          <w:b/>
          <w:bCs/>
          <w:color w:val="000000"/>
        </w:rPr>
        <w:t>solicitud de información</w:t>
      </w:r>
      <w:r>
        <w:rPr>
          <w:rFonts w:ascii="Palatino Linotype" w:eastAsia="Palatino Linotype" w:hAnsi="Palatino Linotype" w:cs="Palatino Linotype"/>
          <w:color w:val="000000"/>
        </w:rPr>
        <w:t xml:space="preserve"> pública:</w:t>
      </w:r>
    </w:p>
    <w:p w:rsidR="00133F34" w:rsidRDefault="00133F34" w:rsidP="00A63C01">
      <w:pPr>
        <w:pBdr>
          <w:top w:val="nil"/>
          <w:left w:val="nil"/>
          <w:bottom w:val="nil"/>
          <w:right w:val="nil"/>
          <w:between w:val="nil"/>
        </w:pBdr>
        <w:tabs>
          <w:tab w:val="left" w:pos="426"/>
        </w:tabs>
        <w:spacing w:line="360" w:lineRule="auto"/>
        <w:ind w:right="-518"/>
        <w:jc w:val="both"/>
        <w:rPr>
          <w:rFonts w:ascii="Palatino Linotype" w:eastAsia="Palatino Linotype" w:hAnsi="Palatino Linotype" w:cs="Palatino Linotype"/>
          <w:color w:val="000000"/>
        </w:rPr>
      </w:pPr>
    </w:p>
    <w:p w:rsidR="00133F34" w:rsidRDefault="009655C8" w:rsidP="00A63C01">
      <w:pPr>
        <w:pBdr>
          <w:top w:val="nil"/>
          <w:left w:val="nil"/>
          <w:bottom w:val="nil"/>
          <w:right w:val="nil"/>
          <w:between w:val="nil"/>
        </w:pBdr>
        <w:ind w:left="851" w:right="-518"/>
        <w:jc w:val="both"/>
        <w:rPr>
          <w:rFonts w:ascii="Palatino Linotype" w:eastAsia="Palatino Linotype" w:hAnsi="Palatino Linotype" w:cs="Palatino Linotype"/>
          <w:color w:val="000000"/>
        </w:rPr>
      </w:pPr>
      <w:r>
        <w:rPr>
          <w:rFonts w:ascii="Palatino Linotype" w:eastAsia="Palatino Linotype" w:hAnsi="Palatino Linotype" w:cs="Palatino Linotype"/>
          <w:i/>
          <w:iCs/>
          <w:color w:val="000000"/>
        </w:rPr>
        <w:t xml:space="preserve"> “Solicito informar el estado procesal de la causa penal iniciada contra policías municipales de Acambay detenidos en noviembre de 2025 por su presunta participación en el homicidio de un elemento de la Secretaría de Seguridad del Estado de México durante un enfrentamiento armado con fuerzas estatales y federales. En caso de existir sentencia, solicito informar: fecha de la resolución tipo de resolución (sentencia condenatoria o absolutoria) años de pena impuestos.”</w:t>
      </w:r>
      <w:r>
        <w:rPr>
          <w:rFonts w:ascii="Palatino Linotype" w:eastAsia="Palatino Linotype" w:hAnsi="Palatino Linotype" w:cs="Palatino Linotype"/>
          <w:color w:val="000000"/>
        </w:rPr>
        <w:t xml:space="preserve"> (Sic)</w:t>
      </w:r>
    </w:p>
    <w:p w:rsidR="00133F34" w:rsidRDefault="00133F34" w:rsidP="00A63C01">
      <w:pPr>
        <w:pBdr>
          <w:top w:val="nil"/>
          <w:left w:val="nil"/>
          <w:bottom w:val="nil"/>
          <w:right w:val="nil"/>
          <w:between w:val="nil"/>
        </w:pBdr>
        <w:ind w:right="-518"/>
        <w:jc w:val="both"/>
        <w:rPr>
          <w:rFonts w:ascii="Palatino Linotype" w:eastAsia="Palatino Linotype" w:hAnsi="Palatino Linotype" w:cs="Palatino Linotype"/>
          <w:i/>
          <w:iCs/>
        </w:rPr>
      </w:pPr>
    </w:p>
    <w:p w:rsidR="00133F34" w:rsidRDefault="00133F34" w:rsidP="00A63C01">
      <w:pPr>
        <w:pBdr>
          <w:top w:val="nil"/>
          <w:left w:val="nil"/>
          <w:bottom w:val="nil"/>
          <w:right w:val="nil"/>
          <w:between w:val="nil"/>
        </w:pBdr>
        <w:ind w:right="-518"/>
        <w:jc w:val="both"/>
        <w:rPr>
          <w:rFonts w:ascii="Palatino Linotype" w:eastAsia="Palatino Linotype" w:hAnsi="Palatino Linotype" w:cs="Palatino Linotype"/>
          <w:i/>
          <w:iCs/>
        </w:rPr>
      </w:pPr>
    </w:p>
    <w:p w:rsidR="00133F34" w:rsidRDefault="009655C8" w:rsidP="00A63C01">
      <w:pPr>
        <w:numPr>
          <w:ilvl w:val="0"/>
          <w:numId w:val="4"/>
        </w:numPr>
        <w:pBdr>
          <w:top w:val="nil"/>
          <w:left w:val="nil"/>
          <w:bottom w:val="nil"/>
          <w:right w:val="nil"/>
          <w:between w:val="nil"/>
        </w:pBdr>
        <w:tabs>
          <w:tab w:val="left" w:pos="0"/>
        </w:tabs>
        <w:spacing w:line="360" w:lineRule="auto"/>
        <w:ind w:left="709" w:right="-518"/>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Se eligió como modalidad de entrega de la información: A través del </w:t>
      </w:r>
      <w:r>
        <w:rPr>
          <w:rFonts w:ascii="Palatino Linotype" w:eastAsia="Palatino Linotype" w:hAnsi="Palatino Linotype" w:cs="Palatino Linotype"/>
          <w:b/>
          <w:bCs/>
          <w:color w:val="000000"/>
        </w:rPr>
        <w:t>SAIMEX.</w:t>
      </w:r>
    </w:p>
    <w:p w:rsidR="00133F34" w:rsidRDefault="00133F34" w:rsidP="00A63C01">
      <w:pPr>
        <w:ind w:right="-518"/>
        <w:rPr>
          <w:rFonts w:ascii="Palatino Linotype" w:eastAsia="Palatino Linotype" w:hAnsi="Palatino Linotype" w:cs="Palatino Linotype"/>
          <w:color w:val="000000"/>
        </w:rPr>
      </w:pPr>
    </w:p>
    <w:p w:rsidR="00133F34" w:rsidRDefault="009655C8" w:rsidP="00A63C01">
      <w:pPr>
        <w:numPr>
          <w:ilvl w:val="0"/>
          <w:numId w:val="3"/>
        </w:numPr>
        <w:pBdr>
          <w:top w:val="nil"/>
          <w:left w:val="nil"/>
          <w:bottom w:val="nil"/>
          <w:right w:val="nil"/>
          <w:between w:val="nil"/>
        </w:pBdr>
        <w:tabs>
          <w:tab w:val="left" w:pos="0"/>
        </w:tabs>
        <w:spacing w:line="360" w:lineRule="auto"/>
        <w:ind w:left="0" w:right="-518"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once de marzo de dos mil veintiséis</w:t>
      </w:r>
      <w:r>
        <w:rPr>
          <w:rFonts w:ascii="Palatino Linotype" w:eastAsia="Palatino Linotype" w:hAnsi="Palatino Linotype" w:cs="Palatino Linotype"/>
          <w:color w:val="000000"/>
        </w:rPr>
        <w:t xml:space="preserve">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dio </w:t>
      </w:r>
      <w:r>
        <w:rPr>
          <w:rFonts w:ascii="Palatino Linotype" w:eastAsia="Palatino Linotype" w:hAnsi="Palatino Linotype" w:cs="Palatino Linotype"/>
          <w:b/>
          <w:bCs/>
          <w:color w:val="000000"/>
        </w:rPr>
        <w:t>respuesta</w:t>
      </w:r>
      <w:r>
        <w:rPr>
          <w:rFonts w:ascii="Palatino Linotype" w:eastAsia="Palatino Linotype" w:hAnsi="Palatino Linotype" w:cs="Palatino Linotype"/>
          <w:color w:val="000000"/>
        </w:rPr>
        <w:t xml:space="preserve"> adjuntando el archivo digital siguiente:</w:t>
      </w:r>
    </w:p>
    <w:p w:rsidR="00133F34" w:rsidRDefault="009655C8" w:rsidP="00A63C01">
      <w:pPr>
        <w:pBdr>
          <w:top w:val="nil"/>
          <w:left w:val="nil"/>
          <w:bottom w:val="nil"/>
          <w:right w:val="nil"/>
          <w:between w:val="nil"/>
        </w:pBdr>
        <w:tabs>
          <w:tab w:val="left" w:pos="284"/>
          <w:tab w:val="left" w:pos="426"/>
        </w:tabs>
        <w:ind w:right="-518"/>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lastRenderedPageBreak/>
        <w:t>RESPUESTA 00195-2026.pdf</w:t>
      </w:r>
    </w:p>
    <w:p w:rsidR="00133F34" w:rsidRDefault="009655C8" w:rsidP="00A63C01">
      <w:pPr>
        <w:pBdr>
          <w:top w:val="nil"/>
          <w:left w:val="nil"/>
          <w:bottom w:val="nil"/>
          <w:right w:val="nil"/>
          <w:between w:val="nil"/>
        </w:pBdr>
        <w:tabs>
          <w:tab w:val="left" w:pos="284"/>
          <w:tab w:val="left" w:pos="426"/>
        </w:tabs>
        <w:ind w:right="-518"/>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Escrito de fecha 11 de marzo de 2026, firmado por el Titular de la Unidad de Transparencia a través del cual refiere:</w:t>
      </w:r>
    </w:p>
    <w:p w:rsidR="00133F34" w:rsidRDefault="00133F34" w:rsidP="00A63C01">
      <w:pPr>
        <w:pBdr>
          <w:top w:val="nil"/>
          <w:left w:val="nil"/>
          <w:bottom w:val="nil"/>
          <w:right w:val="nil"/>
          <w:between w:val="nil"/>
        </w:pBdr>
        <w:tabs>
          <w:tab w:val="left" w:pos="284"/>
          <w:tab w:val="left" w:pos="426"/>
        </w:tabs>
        <w:ind w:right="-518"/>
        <w:jc w:val="both"/>
        <w:rPr>
          <w:rFonts w:ascii="Palatino Linotype" w:eastAsia="Palatino Linotype" w:hAnsi="Palatino Linotype" w:cs="Palatino Linotype"/>
          <w:color w:val="000000"/>
        </w:rPr>
      </w:pPr>
    </w:p>
    <w:p w:rsidR="00133F34" w:rsidRDefault="009655C8" w:rsidP="00A63C01">
      <w:pPr>
        <w:pBdr>
          <w:top w:val="nil"/>
          <w:left w:val="nil"/>
          <w:bottom w:val="nil"/>
          <w:right w:val="nil"/>
          <w:between w:val="nil"/>
        </w:pBdr>
        <w:tabs>
          <w:tab w:val="left" w:pos="284"/>
          <w:tab w:val="left" w:pos="426"/>
        </w:tabs>
        <w:ind w:right="-518"/>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 se precisa que al realizar un pronunciamiento sobre la existencia de juicio o del estado procesal aun cuando no cuente con una sentencia firme podría beneficiar a alguna de las partes involucradas afectando el debido proceso. </w:t>
      </w:r>
    </w:p>
    <w:p w:rsidR="00133F34" w:rsidRDefault="00133F34" w:rsidP="00A63C01">
      <w:pPr>
        <w:pBdr>
          <w:top w:val="nil"/>
          <w:left w:val="nil"/>
          <w:bottom w:val="nil"/>
          <w:right w:val="nil"/>
          <w:between w:val="nil"/>
        </w:pBdr>
        <w:tabs>
          <w:tab w:val="left" w:pos="284"/>
          <w:tab w:val="left" w:pos="426"/>
        </w:tabs>
        <w:ind w:right="-518"/>
        <w:jc w:val="both"/>
        <w:rPr>
          <w:rFonts w:ascii="Palatino Linotype" w:eastAsia="Palatino Linotype" w:hAnsi="Palatino Linotype" w:cs="Palatino Linotype"/>
          <w:i/>
          <w:iCs/>
          <w:color w:val="000000"/>
        </w:rPr>
      </w:pPr>
    </w:p>
    <w:p w:rsidR="00133F34" w:rsidRDefault="009655C8" w:rsidP="00A63C01">
      <w:pPr>
        <w:pBdr>
          <w:top w:val="nil"/>
          <w:left w:val="nil"/>
          <w:bottom w:val="nil"/>
          <w:right w:val="nil"/>
          <w:between w:val="nil"/>
        </w:pBdr>
        <w:tabs>
          <w:tab w:val="left" w:pos="284"/>
          <w:tab w:val="left" w:pos="426"/>
        </w:tabs>
        <w:ind w:right="-518"/>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Además, proporcionar la información requerida, relacionada con el nombre de las personas, se estaría vinculando una situación jurídica de las personas identificadas en el requerimiento como participantes de un juicio de cualquier naturaleza, así como, el estado procesal del mismo.</w:t>
      </w:r>
    </w:p>
    <w:p w:rsidR="00133F34" w:rsidRDefault="00133F34" w:rsidP="00A63C01">
      <w:pPr>
        <w:pBdr>
          <w:top w:val="nil"/>
          <w:left w:val="nil"/>
          <w:bottom w:val="nil"/>
          <w:right w:val="nil"/>
          <w:between w:val="nil"/>
        </w:pBdr>
        <w:tabs>
          <w:tab w:val="left" w:pos="284"/>
          <w:tab w:val="left" w:pos="426"/>
        </w:tabs>
        <w:ind w:right="-518"/>
        <w:jc w:val="both"/>
        <w:rPr>
          <w:rFonts w:ascii="Palatino Linotype" w:eastAsia="Palatino Linotype" w:hAnsi="Palatino Linotype" w:cs="Palatino Linotype"/>
          <w:i/>
          <w:iCs/>
          <w:color w:val="000000"/>
        </w:rPr>
      </w:pPr>
    </w:p>
    <w:p w:rsidR="00133F34" w:rsidRDefault="009655C8" w:rsidP="00A63C01">
      <w:pPr>
        <w:pBdr>
          <w:top w:val="nil"/>
          <w:left w:val="nil"/>
          <w:bottom w:val="nil"/>
          <w:right w:val="nil"/>
          <w:between w:val="nil"/>
        </w:pBdr>
        <w:tabs>
          <w:tab w:val="left" w:pos="284"/>
          <w:tab w:val="left" w:pos="426"/>
        </w:tabs>
        <w:ind w:right="-518"/>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No se omite mencionar que, la búsqueda de expedientes se realiza de acuerdo al número y juzgado de radicación, no así por la descripción del asunto jurisdiccional.</w:t>
      </w:r>
    </w:p>
    <w:p w:rsidR="00133F34" w:rsidRDefault="00133F34" w:rsidP="00A63C01">
      <w:pPr>
        <w:pBdr>
          <w:top w:val="nil"/>
          <w:left w:val="nil"/>
          <w:bottom w:val="nil"/>
          <w:right w:val="nil"/>
          <w:between w:val="nil"/>
        </w:pBdr>
        <w:tabs>
          <w:tab w:val="left" w:pos="284"/>
          <w:tab w:val="left" w:pos="426"/>
        </w:tabs>
        <w:ind w:right="-518"/>
        <w:jc w:val="both"/>
        <w:rPr>
          <w:rFonts w:ascii="Palatino Linotype" w:eastAsia="Palatino Linotype" w:hAnsi="Palatino Linotype" w:cs="Palatino Linotype"/>
          <w:i/>
          <w:iCs/>
          <w:color w:val="000000"/>
        </w:rPr>
      </w:pPr>
    </w:p>
    <w:p w:rsidR="00133F34" w:rsidRDefault="009655C8" w:rsidP="00A63C01">
      <w:pPr>
        <w:pBdr>
          <w:top w:val="nil"/>
          <w:left w:val="nil"/>
          <w:bottom w:val="nil"/>
          <w:right w:val="nil"/>
          <w:between w:val="nil"/>
        </w:pBdr>
        <w:tabs>
          <w:tab w:val="left" w:pos="284"/>
          <w:tab w:val="left" w:pos="426"/>
        </w:tabs>
        <w:ind w:right="-518"/>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Asimismo, le hace saber al solicitante la liga de internet para consultar los avisos de privacidad sobre expedientes judiciales.</w:t>
      </w:r>
    </w:p>
    <w:p w:rsidR="00133F34" w:rsidRDefault="009655C8" w:rsidP="00A63C01">
      <w:pPr>
        <w:pBdr>
          <w:top w:val="nil"/>
          <w:left w:val="nil"/>
          <w:bottom w:val="nil"/>
          <w:right w:val="nil"/>
          <w:between w:val="nil"/>
        </w:pBdr>
        <w:tabs>
          <w:tab w:val="left" w:pos="284"/>
          <w:tab w:val="left" w:pos="426"/>
        </w:tabs>
        <w:ind w:right="-518"/>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También refiere que en caso de ser persona autorizada en autos del expediente, podrá acceder a él a través del órgano jurisdiccional competente; en el supuesto de ser el titular de los datos personales, representante legal debidamente acreditado o tener interés jurídico y legítimo, puede ejercer su derecho de acceso a datos personales mediante sus derechos ARCO a través de la plataforma SARCOEM, se señala el link para acceder a los datos requeridos.</w:t>
      </w:r>
    </w:p>
    <w:p w:rsidR="00133F34" w:rsidRDefault="00133F34" w:rsidP="00A63C01">
      <w:pPr>
        <w:pBdr>
          <w:top w:val="nil"/>
          <w:left w:val="nil"/>
          <w:bottom w:val="nil"/>
          <w:right w:val="nil"/>
          <w:between w:val="nil"/>
        </w:pBdr>
        <w:tabs>
          <w:tab w:val="left" w:pos="284"/>
          <w:tab w:val="left" w:pos="426"/>
        </w:tabs>
        <w:ind w:right="-518"/>
        <w:jc w:val="both"/>
        <w:rPr>
          <w:rFonts w:ascii="Palatino Linotype" w:eastAsia="Palatino Linotype" w:hAnsi="Palatino Linotype" w:cs="Palatino Linotype"/>
          <w:color w:val="000000"/>
        </w:rPr>
      </w:pPr>
    </w:p>
    <w:p w:rsidR="00133F34" w:rsidRDefault="00133F34" w:rsidP="00A63C01">
      <w:pPr>
        <w:pBdr>
          <w:top w:val="nil"/>
          <w:left w:val="nil"/>
          <w:bottom w:val="nil"/>
          <w:right w:val="nil"/>
          <w:between w:val="nil"/>
        </w:pBdr>
        <w:tabs>
          <w:tab w:val="left" w:pos="284"/>
          <w:tab w:val="left" w:pos="426"/>
        </w:tabs>
        <w:ind w:right="-518"/>
        <w:jc w:val="both"/>
        <w:rPr>
          <w:rFonts w:ascii="Palatino Linotype" w:eastAsia="Palatino Linotype" w:hAnsi="Palatino Linotype" w:cs="Palatino Linotype"/>
          <w:color w:val="000000"/>
        </w:rPr>
      </w:pPr>
    </w:p>
    <w:p w:rsidR="00133F34" w:rsidRDefault="009655C8" w:rsidP="00A63C01">
      <w:pPr>
        <w:numPr>
          <w:ilvl w:val="0"/>
          <w:numId w:val="3"/>
        </w:numPr>
        <w:pBdr>
          <w:top w:val="nil"/>
          <w:left w:val="nil"/>
          <w:bottom w:val="nil"/>
          <w:right w:val="nil"/>
          <w:between w:val="nil"/>
        </w:pBdr>
        <w:tabs>
          <w:tab w:val="left" w:pos="0"/>
        </w:tabs>
        <w:spacing w:line="360" w:lineRule="auto"/>
        <w:ind w:left="0" w:right="-518"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El</w:t>
      </w:r>
      <w:r>
        <w:rPr>
          <w:rFonts w:ascii="Palatino Linotype" w:eastAsia="Palatino Linotype" w:hAnsi="Palatino Linotype" w:cs="Palatino Linotype"/>
          <w:b/>
          <w:bCs/>
          <w:color w:val="000000"/>
        </w:rPr>
        <w:t xml:space="preserve"> diecisiete de marzo de dos mil veintiséis</w:t>
      </w:r>
      <w:r>
        <w:rPr>
          <w:rFonts w:ascii="Palatino Linotype" w:eastAsia="Palatino Linotype" w:hAnsi="Palatino Linotype" w:cs="Palatino Linotype"/>
          <w:color w:val="000000"/>
        </w:rPr>
        <w:t xml:space="preserve">, el particular interpuso </w:t>
      </w:r>
      <w:r>
        <w:rPr>
          <w:rFonts w:ascii="Palatino Linotype" w:eastAsia="Palatino Linotype" w:hAnsi="Palatino Linotype" w:cs="Palatino Linotype"/>
          <w:b/>
          <w:bCs/>
          <w:color w:val="000000"/>
        </w:rPr>
        <w:t>recurso de revisión</w:t>
      </w:r>
      <w:r>
        <w:rPr>
          <w:rFonts w:ascii="Palatino Linotype" w:eastAsia="Palatino Linotype" w:hAnsi="Palatino Linotype" w:cs="Palatino Linotype"/>
          <w:color w:val="000000"/>
        </w:rPr>
        <w:t xml:space="preserve"> al que se le asignó el folio </w:t>
      </w:r>
      <w:r>
        <w:rPr>
          <w:rFonts w:ascii="Palatino Linotype" w:eastAsia="Palatino Linotype" w:hAnsi="Palatino Linotype" w:cs="Palatino Linotype"/>
          <w:b/>
          <w:bCs/>
          <w:color w:val="000000"/>
        </w:rPr>
        <w:t xml:space="preserve">03318/INFOEM/IP/RR/2026, </w:t>
      </w:r>
      <w:r>
        <w:rPr>
          <w:rFonts w:ascii="Palatino Linotype" w:eastAsia="Palatino Linotype" w:hAnsi="Palatino Linotype" w:cs="Palatino Linotype"/>
          <w:color w:val="000000"/>
        </w:rPr>
        <w:t>en contra de la respuesta emitida por el sujeto obligado, realizando las siguientes manifestaciones como acto impugnado y razones o motivos de inconformidad:</w:t>
      </w:r>
    </w:p>
    <w:p w:rsidR="00133F34" w:rsidRDefault="00133F34" w:rsidP="00A63C01">
      <w:pPr>
        <w:pBdr>
          <w:top w:val="nil"/>
          <w:left w:val="nil"/>
          <w:bottom w:val="nil"/>
          <w:right w:val="nil"/>
          <w:between w:val="nil"/>
        </w:pBdr>
        <w:tabs>
          <w:tab w:val="left" w:pos="0"/>
        </w:tabs>
        <w:ind w:right="-518"/>
        <w:jc w:val="both"/>
        <w:rPr>
          <w:rFonts w:ascii="Palatino Linotype" w:eastAsia="Palatino Linotype" w:hAnsi="Palatino Linotype" w:cs="Palatino Linotype"/>
          <w:color w:val="000000"/>
        </w:rPr>
      </w:pPr>
    </w:p>
    <w:p w:rsidR="00133F34" w:rsidRDefault="009655C8" w:rsidP="007E2DA7">
      <w:pPr>
        <w:numPr>
          <w:ilvl w:val="0"/>
          <w:numId w:val="5"/>
        </w:numPr>
        <w:pBdr>
          <w:top w:val="nil"/>
          <w:left w:val="nil"/>
          <w:bottom w:val="nil"/>
          <w:right w:val="nil"/>
          <w:between w:val="nil"/>
        </w:pBdr>
        <w:ind w:right="-518"/>
        <w:jc w:val="both"/>
        <w:rPr>
          <w:rFonts w:ascii="Palatino Linotype" w:eastAsia="Palatino Linotype" w:hAnsi="Palatino Linotype" w:cs="Palatino Linotype"/>
          <w:color w:val="000000"/>
        </w:rPr>
      </w:pPr>
      <w:bookmarkStart w:id="1" w:name="_heading=h.1fob9te" w:colFirst="0" w:colLast="0"/>
      <w:bookmarkEnd w:id="1"/>
      <w:r>
        <w:rPr>
          <w:rFonts w:ascii="Palatino Linotype" w:eastAsia="Palatino Linotype" w:hAnsi="Palatino Linotype" w:cs="Palatino Linotype"/>
          <w:b/>
          <w:bCs/>
          <w:color w:val="000000"/>
        </w:rPr>
        <w:t xml:space="preserve">Acto impugnado: </w:t>
      </w:r>
      <w:r>
        <w:rPr>
          <w:rFonts w:ascii="Palatino Linotype" w:eastAsia="Palatino Linotype" w:hAnsi="Palatino Linotype" w:cs="Palatino Linotype"/>
          <w:i/>
          <w:iCs/>
          <w:color w:val="000000"/>
        </w:rPr>
        <w:t xml:space="preserve">“Se impugna la respuesta emitida por el Poder Judicial del Estado de México dentro de la solicitud de acceso a la información con folio 00195/PJUDICI/IP/2026, mediante la cual se niega proporcionar la información solicitada, argumentando la supuesta confidencialidad del estado procesal y la imposibilidad de realizar la búsqueda sin número de causa penal. Lo anterior, toda vez que el sujeto obligado no realizó una búsqueda exhaustiva ni aplicó el principio de máxima publicidad, limitando indebidamente el derecho </w:t>
      </w:r>
      <w:r>
        <w:rPr>
          <w:rFonts w:ascii="Palatino Linotype" w:eastAsia="Palatino Linotype" w:hAnsi="Palatino Linotype" w:cs="Palatino Linotype"/>
          <w:i/>
          <w:iCs/>
          <w:color w:val="000000"/>
        </w:rPr>
        <w:lastRenderedPageBreak/>
        <w:t>de acceso a la información. Se trata de un hecho notorio y de interés público relacionado con la actuación de servidores públicos y un delito grave”” (Sic)</w:t>
      </w:r>
    </w:p>
    <w:p w:rsidR="00133F34" w:rsidRDefault="00133F34" w:rsidP="00A63C01">
      <w:pPr>
        <w:pBdr>
          <w:top w:val="nil"/>
          <w:left w:val="nil"/>
          <w:bottom w:val="nil"/>
          <w:right w:val="nil"/>
          <w:between w:val="nil"/>
        </w:pBdr>
        <w:ind w:left="567" w:right="-518"/>
        <w:jc w:val="both"/>
        <w:rPr>
          <w:rFonts w:ascii="Palatino Linotype" w:eastAsia="Palatino Linotype" w:hAnsi="Palatino Linotype" w:cs="Palatino Linotype"/>
          <w:b/>
          <w:bCs/>
          <w:color w:val="000000"/>
        </w:rPr>
      </w:pPr>
    </w:p>
    <w:p w:rsidR="00133F34" w:rsidRDefault="009655C8" w:rsidP="00A63C01">
      <w:pPr>
        <w:numPr>
          <w:ilvl w:val="0"/>
          <w:numId w:val="6"/>
        </w:numPr>
        <w:pBdr>
          <w:top w:val="nil"/>
          <w:left w:val="nil"/>
          <w:bottom w:val="nil"/>
          <w:right w:val="nil"/>
          <w:between w:val="nil"/>
        </w:pBdr>
        <w:ind w:right="-518"/>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 xml:space="preserve">Razones o Motivos de inconformidad: </w:t>
      </w:r>
      <w:r>
        <w:rPr>
          <w:rFonts w:ascii="Palatino Linotype" w:eastAsia="Palatino Linotype" w:hAnsi="Palatino Linotype" w:cs="Palatino Linotype"/>
          <w:i/>
          <w:iCs/>
          <w:color w:val="000000"/>
        </w:rPr>
        <w:t>“La respuesta del sujeto obligado resulta improcedente, ya que no realizó una búsqueda exhaustiva de la información solicitada. Se proporcionaron elementos suficientes para identificar el hecho (fecha, municipio, tipo de delito y número de imputados), por lo que el sujeto obligado estaba en posibilidad de realizar una búsqueda razonable en sus sistemas. Asimismo, el estado procesal de un expediente judicial no constituye un dato personal por sí mismo, sino información de carácter público, especialmente tratándose de hechos de alto interés público relacionados con la actuación de servidores públicos y la comisión de delitos graves. Por lo anterior, se solicita se ordene al sujeto obligado realizar una búsqueda exhaustiva y entregar la información solicitada en versión pública.” (Sic)</w:t>
      </w:r>
    </w:p>
    <w:p w:rsidR="00133F34" w:rsidRDefault="00133F34" w:rsidP="00A63C01">
      <w:pPr>
        <w:pBdr>
          <w:top w:val="nil"/>
          <w:left w:val="nil"/>
          <w:bottom w:val="nil"/>
          <w:right w:val="nil"/>
          <w:between w:val="nil"/>
        </w:pBdr>
        <w:tabs>
          <w:tab w:val="left" w:pos="426"/>
        </w:tabs>
        <w:spacing w:line="360" w:lineRule="auto"/>
        <w:ind w:right="-518"/>
        <w:jc w:val="both"/>
        <w:rPr>
          <w:rFonts w:ascii="Palatino Linotype" w:eastAsia="Palatino Linotype" w:hAnsi="Palatino Linotype" w:cs="Palatino Linotype"/>
          <w:color w:val="000000"/>
        </w:rPr>
      </w:pPr>
    </w:p>
    <w:p w:rsidR="00133F34" w:rsidRDefault="009655C8" w:rsidP="00A63C01">
      <w:pPr>
        <w:numPr>
          <w:ilvl w:val="0"/>
          <w:numId w:val="3"/>
        </w:numPr>
        <w:pBdr>
          <w:top w:val="nil"/>
          <w:left w:val="nil"/>
          <w:bottom w:val="nil"/>
          <w:right w:val="nil"/>
          <w:between w:val="nil"/>
        </w:pBdr>
        <w:tabs>
          <w:tab w:val="left" w:pos="0"/>
        </w:tabs>
        <w:spacing w:line="360" w:lineRule="auto"/>
        <w:ind w:left="0" w:right="-518" w:firstLine="0"/>
        <w:jc w:val="both"/>
        <w:rPr>
          <w:color w:val="000000"/>
        </w:rPr>
      </w:pPr>
      <w:bookmarkStart w:id="2" w:name="_heading=h.f533cyqfbsa2" w:colFirst="0" w:colLast="0"/>
      <w:bookmarkEnd w:id="2"/>
      <w:r>
        <w:rPr>
          <w:rFonts w:ascii="Palatino Linotype" w:eastAsia="Palatino Linotype" w:hAnsi="Palatino Linotype" w:cs="Palatino Linotype"/>
          <w:color w:val="000000"/>
        </w:rPr>
        <w:t xml:space="preserve">La Comisionada Ponente con fundamento en lo dispuesto por el artículo 185, fracción II, de la ley de la materia, a través del </w:t>
      </w:r>
      <w:r>
        <w:rPr>
          <w:rFonts w:ascii="Palatino Linotype" w:eastAsia="Palatino Linotype" w:hAnsi="Palatino Linotype" w:cs="Palatino Linotype"/>
          <w:b/>
          <w:bCs/>
          <w:color w:val="000000"/>
        </w:rPr>
        <w:t xml:space="preserve">acuerdo de admisión </w:t>
      </w:r>
      <w:r>
        <w:rPr>
          <w:rFonts w:ascii="Palatino Linotype" w:eastAsia="Palatino Linotype" w:hAnsi="Palatino Linotype" w:cs="Palatino Linotype"/>
          <w:color w:val="000000"/>
        </w:rPr>
        <w:t xml:space="preserve">de fecha </w:t>
      </w:r>
      <w:r>
        <w:rPr>
          <w:rFonts w:ascii="Palatino Linotype" w:eastAsia="Palatino Linotype" w:hAnsi="Palatino Linotype" w:cs="Palatino Linotype"/>
          <w:b/>
          <w:bCs/>
          <w:color w:val="000000"/>
        </w:rPr>
        <w:t xml:space="preserve">diecinueve de marzo de dos mil veintiséis, </w:t>
      </w:r>
      <w:r>
        <w:rPr>
          <w:rFonts w:ascii="Palatino Linotype" w:eastAsia="Palatino Linotype" w:hAnsi="Palatino Linotype" w:cs="Palatino Linotype"/>
          <w:color w:val="000000"/>
        </w:rPr>
        <w:t xml:space="preserve">puso a disposición de las partes el expediente electrónico vía SAIMEX a efecto de que en un plazo máximo de siete días </w:t>
      </w:r>
      <w:r>
        <w:rPr>
          <w:rFonts w:ascii="Palatino Linotype" w:eastAsia="Palatino Linotype" w:hAnsi="Palatino Linotype" w:cs="Palatino Linotype"/>
        </w:rPr>
        <w:t>manifestara</w:t>
      </w:r>
      <w:r>
        <w:rPr>
          <w:rFonts w:ascii="Palatino Linotype" w:eastAsia="Palatino Linotype" w:hAnsi="Palatino Linotype" w:cs="Palatino Linotype"/>
          <w:color w:val="000000"/>
        </w:rPr>
        <w:t xml:space="preserve"> lo que a su derecho conviniera, </w:t>
      </w:r>
      <w:r>
        <w:rPr>
          <w:rFonts w:ascii="Palatino Linotype" w:eastAsia="Palatino Linotype" w:hAnsi="Palatino Linotype" w:cs="Palatino Linotype"/>
        </w:rPr>
        <w:t>ofreciera</w:t>
      </w:r>
      <w:r>
        <w:rPr>
          <w:rFonts w:ascii="Palatino Linotype" w:eastAsia="Palatino Linotype" w:hAnsi="Palatino Linotype" w:cs="Palatino Linotype"/>
          <w:color w:val="000000"/>
        </w:rPr>
        <w:t xml:space="preserve"> pruebas y alegatos según corresponda al caso concreto, de esta forma para que 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rPr>
        <w:t>presentará</w:t>
      </w:r>
      <w:r>
        <w:rPr>
          <w:rFonts w:ascii="Palatino Linotype" w:eastAsia="Palatino Linotype" w:hAnsi="Palatino Linotype" w:cs="Palatino Linotype"/>
          <w:color w:val="000000"/>
        </w:rPr>
        <w:t xml:space="preserve"> el Informe Justificado procedente.</w:t>
      </w:r>
    </w:p>
    <w:p w:rsidR="00133F34" w:rsidRDefault="00133F34" w:rsidP="00A63C01">
      <w:pPr>
        <w:pBdr>
          <w:top w:val="nil"/>
          <w:left w:val="nil"/>
          <w:bottom w:val="nil"/>
          <w:right w:val="nil"/>
          <w:between w:val="nil"/>
        </w:pBdr>
        <w:tabs>
          <w:tab w:val="left" w:pos="0"/>
        </w:tabs>
        <w:spacing w:line="360" w:lineRule="auto"/>
        <w:ind w:right="-518"/>
        <w:jc w:val="both"/>
        <w:rPr>
          <w:rFonts w:ascii="Palatino Linotype" w:eastAsia="Palatino Linotype" w:hAnsi="Palatino Linotype" w:cs="Palatino Linotype"/>
          <w:i/>
          <w:iCs/>
          <w:color w:val="000000"/>
          <w:u w:val="single"/>
        </w:rPr>
      </w:pPr>
    </w:p>
    <w:p w:rsidR="00133F34" w:rsidRDefault="009655C8" w:rsidP="00A63C01">
      <w:pPr>
        <w:numPr>
          <w:ilvl w:val="0"/>
          <w:numId w:val="3"/>
        </w:numPr>
        <w:pBdr>
          <w:top w:val="nil"/>
          <w:left w:val="nil"/>
          <w:bottom w:val="nil"/>
          <w:right w:val="nil"/>
          <w:between w:val="nil"/>
        </w:pBdr>
        <w:tabs>
          <w:tab w:val="left" w:pos="0"/>
        </w:tabs>
        <w:spacing w:line="360" w:lineRule="auto"/>
        <w:ind w:left="0" w:right="-518"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El Recurrente</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 xml:space="preserve">en fecha </w:t>
      </w:r>
      <w:r>
        <w:rPr>
          <w:rFonts w:ascii="Palatino Linotype" w:eastAsia="Palatino Linotype" w:hAnsi="Palatino Linotype" w:cs="Palatino Linotype"/>
          <w:b/>
          <w:bCs/>
          <w:color w:val="000000"/>
        </w:rPr>
        <w:t>veinticuatro de marzo de dos mil veintiséis</w:t>
      </w:r>
      <w:r>
        <w:rPr>
          <w:rFonts w:ascii="Palatino Linotype" w:eastAsia="Palatino Linotype" w:hAnsi="Palatino Linotype" w:cs="Palatino Linotype"/>
          <w:color w:val="000000"/>
        </w:rPr>
        <w:t xml:space="preserve"> realizó las manifestaciones que a su derecho conviniera y asistiera, adjuntando la respuesta proporcionada por el Sujeto Obligado, señalando como comentarios los siguientes:</w:t>
      </w:r>
    </w:p>
    <w:p w:rsidR="00133F34" w:rsidRDefault="009655C8" w:rsidP="00A63C01">
      <w:pPr>
        <w:pBdr>
          <w:top w:val="nil"/>
          <w:left w:val="nil"/>
          <w:bottom w:val="nil"/>
          <w:right w:val="nil"/>
          <w:between w:val="nil"/>
        </w:pBdr>
        <w:ind w:left="720" w:right="-518"/>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MANIFESTACIONES DEL RECURRENTE En relación con la solicitud de información con folio 00195/PJUDICI/IP/2026, presentada ante el Poder Judicial del Estado de México, se manifiesta lo siguiente: El sujeto obligado negó el acceso a la información solicitada bajo el argumento de que no es posible realizar la búsqueda sin el número de causa penal, así como por tratarse de información confidencial. No obstante, en la solicitud se proporcionaron elementos suficientes para la localización de la información, tales como la fecha de los hechos (noviembre de 2025), el municipio (Acambay), el tipo de delito </w:t>
      </w:r>
      <w:r>
        <w:rPr>
          <w:rFonts w:ascii="Palatino Linotype" w:eastAsia="Palatino Linotype" w:hAnsi="Palatino Linotype" w:cs="Palatino Linotype"/>
          <w:i/>
          <w:iCs/>
          <w:color w:val="000000"/>
        </w:rPr>
        <w:lastRenderedPageBreak/>
        <w:t>(homicidio de un elemento de la Secretaría de Seguridad del Estado de México) y la referencia a múltiples imputados (policías municipales). Por lo anterior, el sujeto obligado se encontraba en posibilidad de realizar una búsqueda razonable en sus sistemas, sin que fuera indispensable contar con el número de causa penal. Asimismo, la clasificación del estado procesal como información confidencial resulta indebida, toda vez que no constituye un dato personal por sí mismo, sino información de carácter público, especialmente tratándose de hechos de alto interés público relacionados con servidores públicos y la comisión de delitos graves. En consecuencia, la respuesta impugnada vulnera el derecho de acceso a la información pública, así como el principio de máxima publicidad. Por lo anterior, se solicita se revoque la respuesta emitida y se ordene al sujeto obligado realizar una búsqueda exhaustiva y entregar la información solicitada en versión pública.</w:t>
      </w:r>
    </w:p>
    <w:p w:rsidR="00133F34" w:rsidRDefault="00133F34" w:rsidP="00A63C01">
      <w:pPr>
        <w:pBdr>
          <w:top w:val="nil"/>
          <w:left w:val="nil"/>
          <w:bottom w:val="nil"/>
          <w:right w:val="nil"/>
          <w:between w:val="nil"/>
        </w:pBdr>
        <w:tabs>
          <w:tab w:val="left" w:pos="0"/>
        </w:tabs>
        <w:spacing w:line="360" w:lineRule="auto"/>
        <w:ind w:right="-518"/>
        <w:jc w:val="both"/>
        <w:rPr>
          <w:rFonts w:ascii="Palatino Linotype" w:eastAsia="Palatino Linotype" w:hAnsi="Palatino Linotype" w:cs="Palatino Linotype"/>
          <w:color w:val="000000"/>
        </w:rPr>
      </w:pPr>
    </w:p>
    <w:p w:rsidR="00133F34" w:rsidRDefault="009655C8" w:rsidP="00A63C01">
      <w:pPr>
        <w:numPr>
          <w:ilvl w:val="0"/>
          <w:numId w:val="3"/>
        </w:numPr>
        <w:pBdr>
          <w:top w:val="nil"/>
          <w:left w:val="nil"/>
          <w:bottom w:val="nil"/>
          <w:right w:val="nil"/>
          <w:between w:val="nil"/>
        </w:pBdr>
        <w:tabs>
          <w:tab w:val="left" w:pos="0"/>
        </w:tabs>
        <w:spacing w:line="360" w:lineRule="auto"/>
        <w:ind w:left="0" w:right="-518"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 Por su parte, el Sujeto Obligado en fecha </w:t>
      </w:r>
      <w:r>
        <w:rPr>
          <w:rFonts w:ascii="Palatino Linotype" w:eastAsia="Palatino Linotype" w:hAnsi="Palatino Linotype" w:cs="Palatino Linotype"/>
          <w:b/>
          <w:bCs/>
          <w:color w:val="000000"/>
        </w:rPr>
        <w:t>veintisiete de marzo de dos mil veintiséis,</w:t>
      </w:r>
      <w:r>
        <w:rPr>
          <w:b/>
          <w:bCs/>
        </w:rPr>
        <w:t xml:space="preserve"> </w:t>
      </w:r>
      <w:r>
        <w:rPr>
          <w:rFonts w:ascii="Palatino Linotype" w:eastAsia="Palatino Linotype" w:hAnsi="Palatino Linotype" w:cs="Palatino Linotype"/>
          <w:color w:val="000000"/>
        </w:rPr>
        <w:t xml:space="preserve">rindió el </w:t>
      </w:r>
      <w:r>
        <w:rPr>
          <w:rFonts w:ascii="Palatino Linotype" w:eastAsia="Palatino Linotype" w:hAnsi="Palatino Linotype" w:cs="Palatino Linotype"/>
          <w:b/>
          <w:bCs/>
          <w:color w:val="000000"/>
        </w:rPr>
        <w:t>Informe Justificado</w:t>
      </w:r>
      <w:r>
        <w:rPr>
          <w:rFonts w:ascii="Palatino Linotype" w:eastAsia="Palatino Linotype" w:hAnsi="Palatino Linotype" w:cs="Palatino Linotype"/>
          <w:color w:val="000000"/>
        </w:rPr>
        <w:t xml:space="preserve"> a través del siguiente archivo electrónico:</w:t>
      </w:r>
    </w:p>
    <w:p w:rsidR="00133F34" w:rsidRDefault="009655C8" w:rsidP="00A63C01">
      <w:pPr>
        <w:pBdr>
          <w:top w:val="nil"/>
          <w:left w:val="nil"/>
          <w:bottom w:val="nil"/>
          <w:right w:val="nil"/>
          <w:between w:val="nil"/>
        </w:pBdr>
        <w:ind w:left="567" w:right="-518"/>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INFORME JUST RR03318.pdf</w:t>
      </w:r>
    </w:p>
    <w:p w:rsidR="00133F34" w:rsidRDefault="009655C8" w:rsidP="00A63C01">
      <w:pPr>
        <w:pBdr>
          <w:top w:val="nil"/>
          <w:left w:val="nil"/>
          <w:bottom w:val="nil"/>
          <w:right w:val="nil"/>
          <w:between w:val="nil"/>
        </w:pBdr>
        <w:ind w:left="567" w:right="-518"/>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Escrito de fecha 27 de marzo de 2026, firmado por el Titular de la Unidad de Transparencia, a través del cual de manera general ratifica su respuesta primigenia, refiriendo que </w:t>
      </w:r>
      <w:r>
        <w:rPr>
          <w:rFonts w:ascii="Palatino Linotype" w:eastAsia="Palatino Linotype" w:hAnsi="Palatino Linotype" w:cs="Palatino Linotype"/>
          <w:i/>
          <w:iCs/>
          <w:color w:val="000000"/>
        </w:rPr>
        <w:t>dar a conocer el estatus del expediente en comento se puede desprender que la información que dé cuenta respecto a que una persona es actor o demandado, en un procedimiento administrativo seguido en forma de juicio o jurisdiccional, en cualquier materia, corresponde a un dato personal que afecta su esfera privada.</w:t>
      </w:r>
      <w:r>
        <w:rPr>
          <w:rFonts w:ascii="Palatino Linotype" w:eastAsia="Palatino Linotype" w:hAnsi="Palatino Linotype" w:cs="Palatino Linotype"/>
          <w:color w:val="000000"/>
        </w:rPr>
        <w:t xml:space="preserve"> Asimismo, refirió que </w:t>
      </w:r>
      <w:r>
        <w:rPr>
          <w:rFonts w:ascii="Palatino Linotype" w:eastAsia="Palatino Linotype" w:hAnsi="Palatino Linotype" w:cs="Palatino Linotype"/>
          <w:i/>
          <w:iCs/>
          <w:color w:val="000000"/>
        </w:rPr>
        <w:t>la búsqueda realizada conforme a los criterios institucionales (número de expediente) constituye una búsqueda razonable, suficiente y acorde a la organización archivística, por lo que no puede exigirse una búsqueda distinta que implique: • rastrear por nombres de personas (datos personales), • reconstruir hechos notorios, • o generar inferencias.</w:t>
      </w:r>
    </w:p>
    <w:p w:rsidR="00133F34" w:rsidRDefault="00133F34" w:rsidP="00A63C01">
      <w:pPr>
        <w:pBdr>
          <w:top w:val="nil"/>
          <w:left w:val="nil"/>
          <w:bottom w:val="nil"/>
          <w:right w:val="nil"/>
          <w:between w:val="nil"/>
        </w:pBdr>
        <w:ind w:right="-518"/>
        <w:rPr>
          <w:rFonts w:ascii="Palatino Linotype" w:eastAsia="Palatino Linotype" w:hAnsi="Palatino Linotype" w:cs="Palatino Linotype"/>
        </w:rPr>
      </w:pPr>
    </w:p>
    <w:p w:rsidR="00133F34" w:rsidRDefault="00133F34" w:rsidP="00A63C01">
      <w:pPr>
        <w:pBdr>
          <w:top w:val="nil"/>
          <w:left w:val="nil"/>
          <w:bottom w:val="nil"/>
          <w:right w:val="nil"/>
          <w:between w:val="nil"/>
        </w:pBdr>
        <w:ind w:right="-518"/>
        <w:rPr>
          <w:rFonts w:ascii="Palatino Linotype" w:eastAsia="Palatino Linotype" w:hAnsi="Palatino Linotype" w:cs="Palatino Linotype"/>
        </w:rPr>
      </w:pPr>
    </w:p>
    <w:p w:rsidR="00133F34" w:rsidRDefault="009655C8" w:rsidP="00A63C01">
      <w:pPr>
        <w:numPr>
          <w:ilvl w:val="0"/>
          <w:numId w:val="3"/>
        </w:numPr>
        <w:pBdr>
          <w:top w:val="nil"/>
          <w:left w:val="nil"/>
          <w:bottom w:val="nil"/>
          <w:right w:val="nil"/>
          <w:between w:val="nil"/>
        </w:pBdr>
        <w:tabs>
          <w:tab w:val="left" w:pos="0"/>
        </w:tabs>
        <w:spacing w:line="360" w:lineRule="auto"/>
        <w:ind w:left="0" w:right="-518" w:firstLine="0"/>
        <w:jc w:val="both"/>
        <w:rPr>
          <w:color w:val="000000"/>
        </w:rPr>
      </w:pPr>
      <w:r>
        <w:rPr>
          <w:rFonts w:ascii="Palatino Linotype" w:eastAsia="Palatino Linotype" w:hAnsi="Palatino Linotype" w:cs="Palatino Linotype"/>
          <w:color w:val="000000"/>
        </w:rPr>
        <w:t>El</w:t>
      </w:r>
      <w:r>
        <w:rPr>
          <w:rFonts w:ascii="Palatino Linotype" w:eastAsia="Palatino Linotype" w:hAnsi="Palatino Linotype" w:cs="Palatino Linotype"/>
          <w:b/>
          <w:bCs/>
          <w:color w:val="000000"/>
        </w:rPr>
        <w:t xml:space="preserve"> catorce de mayo de dos mil veintiséis</w:t>
      </w:r>
      <w:r>
        <w:rPr>
          <w:rFonts w:ascii="Palatino Linotype" w:eastAsia="Palatino Linotype" w:hAnsi="Palatino Linotype" w:cs="Palatino Linotype"/>
          <w:color w:val="000000"/>
        </w:rPr>
        <w:t xml:space="preserve"> se acordó </w:t>
      </w:r>
      <w:r>
        <w:rPr>
          <w:rFonts w:ascii="Palatino Linotype" w:eastAsia="Palatino Linotype" w:hAnsi="Palatino Linotype" w:cs="Palatino Linotype"/>
          <w:b/>
          <w:bCs/>
          <w:color w:val="000000"/>
        </w:rPr>
        <w:t>ampliar el término para resolver</w:t>
      </w:r>
      <w:r>
        <w:rPr>
          <w:rFonts w:ascii="Palatino Linotype" w:eastAsia="Palatino Linotype" w:hAnsi="Palatino Linotype" w:cs="Palatino Linotype"/>
          <w:color w:val="000000"/>
        </w:rPr>
        <w:t xml:space="preserve"> el presente asunto.</w:t>
      </w:r>
    </w:p>
    <w:p w:rsidR="00133F34" w:rsidRDefault="00133F34" w:rsidP="00A63C01">
      <w:pPr>
        <w:pBdr>
          <w:top w:val="nil"/>
          <w:left w:val="nil"/>
          <w:bottom w:val="nil"/>
          <w:right w:val="nil"/>
          <w:between w:val="nil"/>
        </w:pBdr>
        <w:spacing w:line="360" w:lineRule="auto"/>
        <w:ind w:right="-518"/>
        <w:rPr>
          <w:rFonts w:ascii="Palatino Linotype" w:eastAsia="Palatino Linotype" w:hAnsi="Palatino Linotype" w:cs="Palatino Linotype"/>
          <w:color w:val="000000"/>
        </w:rPr>
      </w:pPr>
    </w:p>
    <w:p w:rsidR="00133F34" w:rsidRDefault="009655C8" w:rsidP="00A63C01">
      <w:pPr>
        <w:numPr>
          <w:ilvl w:val="0"/>
          <w:numId w:val="3"/>
        </w:numPr>
        <w:pBdr>
          <w:top w:val="nil"/>
          <w:left w:val="nil"/>
          <w:bottom w:val="nil"/>
          <w:right w:val="nil"/>
          <w:between w:val="nil"/>
        </w:pBdr>
        <w:tabs>
          <w:tab w:val="left" w:pos="0"/>
        </w:tabs>
        <w:spacing w:line="360" w:lineRule="auto"/>
        <w:ind w:left="0" w:right="-518" w:firstLine="0"/>
        <w:jc w:val="both"/>
        <w:rPr>
          <w:rFonts w:ascii="Palatino Linotype" w:eastAsia="Palatino Linotype" w:hAnsi="Palatino Linotype" w:cs="Palatino Linotype"/>
          <w:b/>
          <w:bCs/>
          <w:color w:val="000000"/>
        </w:rPr>
      </w:pPr>
      <w:bookmarkStart w:id="3" w:name="_heading=h.3znysh7" w:colFirst="0" w:colLast="0"/>
      <w:bookmarkEnd w:id="3"/>
      <w:r>
        <w:rPr>
          <w:rFonts w:ascii="Palatino Linotype" w:eastAsia="Palatino Linotype" w:hAnsi="Palatino Linotype" w:cs="Palatino Linotype"/>
          <w:color w:val="000000"/>
        </w:rPr>
        <w:t xml:space="preserve">Seguidamente, en fecha </w:t>
      </w:r>
      <w:r>
        <w:rPr>
          <w:rFonts w:ascii="Palatino Linotype" w:eastAsia="Palatino Linotype" w:hAnsi="Palatino Linotype" w:cs="Palatino Linotype"/>
          <w:b/>
          <w:bCs/>
          <w:color w:val="000000"/>
        </w:rPr>
        <w:t>veintitrés de junio de dos mil veintiséis</w:t>
      </w:r>
      <w:r>
        <w:rPr>
          <w:rFonts w:ascii="Palatino Linotype" w:eastAsia="Palatino Linotype" w:hAnsi="Palatino Linotype" w:cs="Palatino Linotype"/>
          <w:color w:val="000000"/>
        </w:rPr>
        <w:t xml:space="preserve">, la Comisionada Ponente dictó el </w:t>
      </w:r>
      <w:r>
        <w:rPr>
          <w:rFonts w:ascii="Palatino Linotype" w:eastAsia="Palatino Linotype" w:hAnsi="Palatino Linotype" w:cs="Palatino Linotype"/>
          <w:b/>
          <w:bCs/>
          <w:color w:val="000000"/>
        </w:rPr>
        <w:t>cierre del periodo de instrucción</w:t>
      </w:r>
      <w:r>
        <w:rPr>
          <w:rFonts w:ascii="Palatino Linotype" w:eastAsia="Palatino Linotype" w:hAnsi="Palatino Linotype" w:cs="Palatino Linotype"/>
          <w:color w:val="000000"/>
        </w:rPr>
        <w:t xml:space="preserve"> y, ordenó la resolución que conforme a Derecho proceda:</w:t>
      </w:r>
      <w:r w:rsidR="007E2DA7">
        <w:rPr>
          <w:rFonts w:ascii="Palatino Linotype" w:eastAsia="Palatino Linotype" w:hAnsi="Palatino Linotype" w:cs="Palatino Linotype"/>
          <w:color w:val="000000"/>
        </w:rPr>
        <w:t xml:space="preserve"> -------------------------------------------------------------------------------------------</w:t>
      </w:r>
    </w:p>
    <w:p w:rsidR="00133F34" w:rsidRDefault="009655C8" w:rsidP="00A63C01">
      <w:pPr>
        <w:keepNext/>
        <w:keepLines/>
        <w:spacing w:line="360" w:lineRule="auto"/>
        <w:ind w:right="-518"/>
        <w:jc w:val="center"/>
        <w:rPr>
          <w:rFonts w:ascii="Palatino Linotype" w:eastAsia="Palatino Linotype" w:hAnsi="Palatino Linotype" w:cs="Palatino Linotype"/>
          <w:b/>
          <w:bCs/>
        </w:rPr>
      </w:pPr>
      <w:r>
        <w:rPr>
          <w:rFonts w:ascii="Palatino Linotype" w:eastAsia="Palatino Linotype" w:hAnsi="Palatino Linotype" w:cs="Palatino Linotype"/>
          <w:b/>
          <w:bCs/>
        </w:rPr>
        <w:lastRenderedPageBreak/>
        <w:t xml:space="preserve">C O N S I D E R A N D O </w:t>
      </w:r>
    </w:p>
    <w:p w:rsidR="00133F34" w:rsidRDefault="00133F34" w:rsidP="00A63C01">
      <w:pPr>
        <w:spacing w:line="360" w:lineRule="auto"/>
        <w:ind w:right="-518"/>
        <w:rPr>
          <w:rFonts w:ascii="Palatino Linotype" w:eastAsia="Palatino Linotype" w:hAnsi="Palatino Linotype" w:cs="Palatino Linotype"/>
        </w:rPr>
      </w:pPr>
    </w:p>
    <w:p w:rsidR="00133F34" w:rsidRDefault="009655C8" w:rsidP="00A63C01">
      <w:pPr>
        <w:keepNext/>
        <w:keepLines/>
        <w:spacing w:line="360" w:lineRule="auto"/>
        <w:ind w:right="-518"/>
        <w:rPr>
          <w:rFonts w:ascii="Palatino Linotype" w:eastAsia="Palatino Linotype" w:hAnsi="Palatino Linotype" w:cs="Palatino Linotype"/>
          <w:b/>
          <w:bCs/>
        </w:rPr>
      </w:pPr>
      <w:r>
        <w:rPr>
          <w:rFonts w:ascii="Palatino Linotype" w:eastAsia="Palatino Linotype" w:hAnsi="Palatino Linotype" w:cs="Palatino Linotype"/>
          <w:b/>
          <w:bCs/>
        </w:rPr>
        <w:t>PRIMERO. De la competencia</w:t>
      </w:r>
    </w:p>
    <w:p w:rsidR="00133F34" w:rsidRDefault="009655C8" w:rsidP="00A63C01">
      <w:pPr>
        <w:numPr>
          <w:ilvl w:val="0"/>
          <w:numId w:val="3"/>
        </w:numPr>
        <w:pBdr>
          <w:top w:val="nil"/>
          <w:left w:val="nil"/>
          <w:bottom w:val="nil"/>
          <w:right w:val="nil"/>
          <w:between w:val="nil"/>
        </w:pBdr>
        <w:tabs>
          <w:tab w:val="left" w:pos="0"/>
        </w:tabs>
        <w:spacing w:line="360" w:lineRule="auto"/>
        <w:ind w:left="0" w:right="-518"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Este Instituto de Transparencia, Acceso a la Información Pública y Protección de Datos Personales del Estado de México, es competente para conocer y resolver el presente recurso de revisión interpuesto por el Recurrente conforme a lo dispuesto en los artículos 6, apartado A, fracción IV de la Constitución Política de los Estados Unidos Mexicanos; 5, párrafos cuadragésimo cuarto, cuadragésimo quinto y cuadragésimo sexto,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rsidR="00133F34" w:rsidRDefault="00133F34" w:rsidP="00A63C01">
      <w:pPr>
        <w:tabs>
          <w:tab w:val="left" w:pos="426"/>
        </w:tabs>
        <w:spacing w:line="360" w:lineRule="auto"/>
        <w:ind w:right="-518"/>
        <w:jc w:val="both"/>
        <w:rPr>
          <w:rFonts w:ascii="Palatino Linotype" w:eastAsia="Palatino Linotype" w:hAnsi="Palatino Linotype" w:cs="Palatino Linotype"/>
          <w:color w:val="000000"/>
        </w:rPr>
      </w:pPr>
    </w:p>
    <w:p w:rsidR="00133F34" w:rsidRDefault="009655C8" w:rsidP="00A63C01">
      <w:pPr>
        <w:keepNext/>
        <w:keepLines/>
        <w:spacing w:line="360" w:lineRule="auto"/>
        <w:ind w:right="-518"/>
        <w:rPr>
          <w:rFonts w:ascii="Palatino Linotype" w:eastAsia="Palatino Linotype" w:hAnsi="Palatino Linotype" w:cs="Palatino Linotype"/>
          <w:b/>
          <w:bCs/>
        </w:rPr>
      </w:pPr>
      <w:r>
        <w:rPr>
          <w:rFonts w:ascii="Palatino Linotype" w:eastAsia="Palatino Linotype" w:hAnsi="Palatino Linotype" w:cs="Palatino Linotype"/>
          <w:b/>
          <w:bCs/>
        </w:rPr>
        <w:t>SEGUNDO. De la oportunidad y procedencia.</w:t>
      </w:r>
    </w:p>
    <w:p w:rsidR="00133F34" w:rsidRDefault="009655C8" w:rsidP="00A63C01">
      <w:pPr>
        <w:numPr>
          <w:ilvl w:val="0"/>
          <w:numId w:val="3"/>
        </w:numPr>
        <w:pBdr>
          <w:top w:val="nil"/>
          <w:left w:val="nil"/>
          <w:bottom w:val="nil"/>
          <w:right w:val="nil"/>
          <w:between w:val="nil"/>
        </w:pBdr>
        <w:tabs>
          <w:tab w:val="left" w:pos="0"/>
        </w:tabs>
        <w:spacing w:line="360" w:lineRule="auto"/>
        <w:ind w:left="0" w:right="-518" w:firstLine="0"/>
        <w:jc w:val="both"/>
        <w:rPr>
          <w:rFonts w:ascii="Palatino Linotype" w:eastAsia="Palatino Linotype" w:hAnsi="Palatino Linotype" w:cs="Palatino Linotype"/>
        </w:rPr>
      </w:pPr>
      <w:bookmarkStart w:id="4" w:name="_heading=h.2et92p0" w:colFirst="0" w:colLast="0"/>
      <w:bookmarkEnd w:id="4"/>
      <w:r>
        <w:rPr>
          <w:rFonts w:ascii="Palatino Linotype" w:eastAsia="Palatino Linotype" w:hAnsi="Palatino Linotype" w:cs="Palatino Linotype"/>
        </w:rPr>
        <w:t xml:space="preserve">El medio de impugnación fue presentado a través del </w:t>
      </w:r>
      <w:r>
        <w:rPr>
          <w:rFonts w:ascii="Palatino Linotype" w:eastAsia="Palatino Linotype" w:hAnsi="Palatino Linotype" w:cs="Palatino Linotype"/>
          <w:b/>
          <w:bCs/>
        </w:rPr>
        <w:t>SAIMEX,</w:t>
      </w:r>
      <w:r>
        <w:rPr>
          <w:rFonts w:ascii="Palatino Linotype" w:eastAsia="Palatino Linotype" w:hAnsi="Palatino Linotype" w:cs="Palatino Linotype"/>
        </w:rPr>
        <w:t xml:space="preserve"> en el formato previamente aprobado para tal efecto y dentro del plazo legal de quince días hábiles otorgados; para el caso en particular es de señalar que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entregó respuesta el </w:t>
      </w:r>
      <w:r>
        <w:rPr>
          <w:rFonts w:ascii="Palatino Linotype" w:eastAsia="Palatino Linotype" w:hAnsi="Palatino Linotype" w:cs="Palatino Linotype"/>
          <w:b/>
          <w:bCs/>
        </w:rPr>
        <w:t>once de marzo de dos mil veintiséis</w:t>
      </w:r>
      <w:r>
        <w:rPr>
          <w:rFonts w:ascii="Palatino Linotype" w:eastAsia="Palatino Linotype" w:hAnsi="Palatino Linotype" w:cs="Palatino Linotype"/>
        </w:rPr>
        <w:t xml:space="preserve">, de tal forma que el plazo para interponer el recurso transcurrió del </w:t>
      </w:r>
      <w:r>
        <w:rPr>
          <w:rFonts w:ascii="Palatino Linotype" w:eastAsia="Palatino Linotype" w:hAnsi="Palatino Linotype" w:cs="Palatino Linotype"/>
          <w:b/>
          <w:bCs/>
        </w:rPr>
        <w:t xml:space="preserve">doce de marzo al nueve de abril de dos mil veintiséis, </w:t>
      </w:r>
      <w:r>
        <w:rPr>
          <w:rFonts w:ascii="Palatino Linotype" w:eastAsia="Palatino Linotype" w:hAnsi="Palatino Linotype" w:cs="Palatino Linotype"/>
        </w:rPr>
        <w:t xml:space="preserve">en consecuencia, si el </w:t>
      </w:r>
      <w:r>
        <w:rPr>
          <w:rFonts w:ascii="Palatino Linotype" w:eastAsia="Palatino Linotype" w:hAnsi="Palatino Linotype" w:cs="Palatino Linotype"/>
          <w:b/>
          <w:bCs/>
        </w:rPr>
        <w:t>PARTICULAR</w:t>
      </w:r>
      <w:r>
        <w:rPr>
          <w:rFonts w:ascii="Palatino Linotype" w:eastAsia="Palatino Linotype" w:hAnsi="Palatino Linotype" w:cs="Palatino Linotype"/>
        </w:rPr>
        <w:t xml:space="preserve"> presentó su inconformidad el </w:t>
      </w:r>
      <w:r>
        <w:rPr>
          <w:rFonts w:ascii="Palatino Linotype" w:eastAsia="Palatino Linotype" w:hAnsi="Palatino Linotype" w:cs="Palatino Linotype"/>
          <w:b/>
          <w:bCs/>
        </w:rPr>
        <w:t>diecisiete de marzo de dos mil veintiséis</w:t>
      </w:r>
      <w:r>
        <w:rPr>
          <w:rFonts w:ascii="Palatino Linotype" w:eastAsia="Palatino Linotype" w:hAnsi="Palatino Linotype" w:cs="Palatino Linotype"/>
        </w:rPr>
        <w:t xml:space="preserve">, este  se encuentra dentro de los márgenes temporales previstos en el artículo 178 de la </w:t>
      </w:r>
      <w:r>
        <w:rPr>
          <w:rFonts w:ascii="Palatino Linotype" w:eastAsia="Palatino Linotype" w:hAnsi="Palatino Linotype" w:cs="Palatino Linotype"/>
          <w:b/>
          <w:bCs/>
        </w:rPr>
        <w:t xml:space="preserve">Ley de Transparencia y Acceso a la Información Pública del Estado de México y Municipios </w:t>
      </w:r>
      <w:r>
        <w:rPr>
          <w:rFonts w:ascii="Palatino Linotype" w:eastAsia="Palatino Linotype" w:hAnsi="Palatino Linotype" w:cs="Palatino Linotype"/>
        </w:rPr>
        <w:t xml:space="preserve">vigente. </w:t>
      </w:r>
    </w:p>
    <w:p w:rsidR="00133F34" w:rsidRDefault="00133F34" w:rsidP="00A63C01">
      <w:pPr>
        <w:spacing w:line="360" w:lineRule="auto"/>
        <w:ind w:right="-518"/>
        <w:jc w:val="both"/>
        <w:rPr>
          <w:rFonts w:ascii="Palatino Linotype" w:eastAsia="Palatino Linotype" w:hAnsi="Palatino Linotype" w:cs="Palatino Linotype"/>
        </w:rPr>
      </w:pPr>
    </w:p>
    <w:p w:rsidR="00133F34" w:rsidRDefault="009655C8" w:rsidP="00A63C01">
      <w:pPr>
        <w:pStyle w:val="Ttulo2"/>
        <w:ind w:right="-518"/>
        <w:rPr>
          <w:rFonts w:ascii="Palatino Linotype" w:eastAsia="Palatino Linotype" w:hAnsi="Palatino Linotype" w:cs="Palatino Linotype"/>
          <w:b/>
          <w:bCs/>
          <w:i/>
          <w:iCs/>
          <w:color w:val="000000"/>
          <w:sz w:val="24"/>
          <w:szCs w:val="24"/>
        </w:rPr>
      </w:pPr>
      <w:r>
        <w:rPr>
          <w:rFonts w:ascii="Palatino Linotype" w:eastAsia="Palatino Linotype" w:hAnsi="Palatino Linotype" w:cs="Palatino Linotype"/>
          <w:b/>
          <w:bCs/>
          <w:color w:val="000000"/>
          <w:sz w:val="24"/>
          <w:szCs w:val="24"/>
        </w:rPr>
        <w:lastRenderedPageBreak/>
        <w:t xml:space="preserve">TERCERO. Del planteamiento de la </w:t>
      </w:r>
      <w:r>
        <w:rPr>
          <w:rFonts w:ascii="Palatino Linotype" w:eastAsia="Palatino Linotype" w:hAnsi="Palatino Linotype" w:cs="Palatino Linotype"/>
          <w:b/>
          <w:bCs/>
          <w:i/>
          <w:iCs/>
          <w:color w:val="000000"/>
          <w:sz w:val="24"/>
          <w:szCs w:val="24"/>
        </w:rPr>
        <w:t>Litis.</w:t>
      </w:r>
    </w:p>
    <w:p w:rsidR="00133F34" w:rsidRDefault="009655C8" w:rsidP="00A63C01">
      <w:pPr>
        <w:numPr>
          <w:ilvl w:val="0"/>
          <w:numId w:val="3"/>
        </w:numPr>
        <w:pBdr>
          <w:top w:val="nil"/>
          <w:left w:val="nil"/>
          <w:bottom w:val="nil"/>
          <w:right w:val="nil"/>
          <w:between w:val="nil"/>
        </w:pBdr>
        <w:tabs>
          <w:tab w:val="left" w:pos="0"/>
        </w:tabs>
        <w:spacing w:line="360" w:lineRule="auto"/>
        <w:ind w:left="0" w:right="-518"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Se solicitó tener acceso, a la información que a continuación se simplifica:</w:t>
      </w:r>
    </w:p>
    <w:p w:rsidR="00133F34" w:rsidRDefault="009655C8" w:rsidP="00A63C01">
      <w:pPr>
        <w:numPr>
          <w:ilvl w:val="0"/>
          <w:numId w:val="2"/>
        </w:numPr>
        <w:pBdr>
          <w:top w:val="nil"/>
          <w:left w:val="nil"/>
          <w:bottom w:val="nil"/>
          <w:right w:val="nil"/>
          <w:between w:val="nil"/>
        </w:pBdr>
        <w:ind w:right="-518"/>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Estado procesal de la causa penal iniciada contra policías municipales de Acambay detenidos en noviembre de 2025 por su presunta participación en el homicidio de un elemento de la Secretaría de Seguridad del Estado de México durante un enfrentamiento armado con fuerzas estatales y federales.</w:t>
      </w:r>
    </w:p>
    <w:p w:rsidR="00133F34" w:rsidRDefault="009655C8" w:rsidP="00A63C01">
      <w:pPr>
        <w:numPr>
          <w:ilvl w:val="0"/>
          <w:numId w:val="2"/>
        </w:numPr>
        <w:pBdr>
          <w:top w:val="nil"/>
          <w:left w:val="nil"/>
          <w:bottom w:val="nil"/>
          <w:right w:val="nil"/>
          <w:between w:val="nil"/>
        </w:pBdr>
        <w:ind w:right="-518"/>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En caso de existir sentencia:</w:t>
      </w:r>
    </w:p>
    <w:p w:rsidR="00133F34" w:rsidRDefault="009655C8" w:rsidP="00A63C01">
      <w:pPr>
        <w:numPr>
          <w:ilvl w:val="1"/>
          <w:numId w:val="2"/>
        </w:numPr>
        <w:pBdr>
          <w:top w:val="nil"/>
          <w:left w:val="nil"/>
          <w:bottom w:val="nil"/>
          <w:right w:val="nil"/>
          <w:between w:val="nil"/>
        </w:pBdr>
        <w:ind w:right="-518"/>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Fecha de la resolución</w:t>
      </w:r>
    </w:p>
    <w:p w:rsidR="00133F34" w:rsidRDefault="009655C8" w:rsidP="00A63C01">
      <w:pPr>
        <w:numPr>
          <w:ilvl w:val="1"/>
          <w:numId w:val="2"/>
        </w:numPr>
        <w:pBdr>
          <w:top w:val="nil"/>
          <w:left w:val="nil"/>
          <w:bottom w:val="nil"/>
          <w:right w:val="nil"/>
          <w:between w:val="nil"/>
        </w:pBdr>
        <w:ind w:right="-518"/>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Tipo de resolución (sentencia condenatoria o absolutoria) </w:t>
      </w:r>
    </w:p>
    <w:p w:rsidR="00133F34" w:rsidRDefault="009655C8" w:rsidP="00A63C01">
      <w:pPr>
        <w:numPr>
          <w:ilvl w:val="1"/>
          <w:numId w:val="2"/>
        </w:numPr>
        <w:pBdr>
          <w:top w:val="nil"/>
          <w:left w:val="nil"/>
          <w:bottom w:val="nil"/>
          <w:right w:val="nil"/>
          <w:between w:val="nil"/>
        </w:pBdr>
        <w:ind w:right="-518"/>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Años de pena impuestos</w:t>
      </w:r>
    </w:p>
    <w:p w:rsidR="00133F34" w:rsidRDefault="00133F34" w:rsidP="00A63C01">
      <w:pPr>
        <w:ind w:left="709" w:right="-518"/>
        <w:jc w:val="both"/>
        <w:rPr>
          <w:rFonts w:ascii="Palatino Linotype" w:eastAsia="Palatino Linotype" w:hAnsi="Palatino Linotype" w:cs="Palatino Linotype"/>
          <w:b/>
          <w:bCs/>
        </w:rPr>
      </w:pPr>
    </w:p>
    <w:p w:rsidR="00133F34" w:rsidRDefault="009655C8" w:rsidP="00A63C01">
      <w:pPr>
        <w:numPr>
          <w:ilvl w:val="0"/>
          <w:numId w:val="3"/>
        </w:numPr>
        <w:spacing w:line="360" w:lineRule="auto"/>
        <w:ind w:left="0" w:right="-518" w:firstLine="0"/>
        <w:jc w:val="both"/>
        <w:rPr>
          <w:rFonts w:ascii="Palatino Linotype" w:eastAsia="Palatino Linotype" w:hAnsi="Palatino Linotype" w:cs="Palatino Linotype"/>
          <w:color w:val="000000"/>
        </w:rPr>
      </w:pPr>
      <w:r>
        <w:rPr>
          <w:rFonts w:ascii="Palatino Linotype" w:eastAsia="Palatino Linotype" w:hAnsi="Palatino Linotype" w:cs="Palatino Linotype"/>
        </w:rPr>
        <w:t>En respuesta, el Sujeto Obligado</w:t>
      </w:r>
      <w:r>
        <w:rPr>
          <w:rFonts w:ascii="Palatino Linotype" w:eastAsia="Palatino Linotype" w:hAnsi="Palatino Linotype" w:cs="Palatino Linotype"/>
          <w:b/>
          <w:bCs/>
        </w:rPr>
        <w:t xml:space="preserve"> </w:t>
      </w:r>
      <w:r>
        <w:rPr>
          <w:rFonts w:ascii="Palatino Linotype" w:eastAsia="Palatino Linotype" w:hAnsi="Palatino Linotype" w:cs="Palatino Linotype"/>
        </w:rPr>
        <w:t>remitió el archivo ya descrito en el párrafo 2, inconforme con la respuesta, se interpuso recurso de revisión argumentando sustancialmente la entrega de información incompleta.</w:t>
      </w:r>
    </w:p>
    <w:p w:rsidR="00133F34" w:rsidRDefault="00133F34" w:rsidP="00A63C01">
      <w:pPr>
        <w:spacing w:line="360" w:lineRule="auto"/>
        <w:ind w:right="-518"/>
        <w:jc w:val="both"/>
        <w:rPr>
          <w:rFonts w:ascii="Palatino Linotype" w:eastAsia="Palatino Linotype" w:hAnsi="Palatino Linotype" w:cs="Palatino Linotype"/>
          <w:i/>
          <w:iCs/>
          <w:color w:val="000000"/>
        </w:rPr>
      </w:pPr>
    </w:p>
    <w:p w:rsidR="00133F34" w:rsidRDefault="009655C8" w:rsidP="00A63C01">
      <w:pPr>
        <w:numPr>
          <w:ilvl w:val="0"/>
          <w:numId w:val="3"/>
        </w:numPr>
        <w:spacing w:line="360" w:lineRule="auto"/>
        <w:ind w:left="0" w:right="-518"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En dichas condiciones, la controversia a resolver en el presente proveído, corresponde a determinar si se actualiza la causal de procedencia prevista en el artículo </w:t>
      </w:r>
      <w:r>
        <w:rPr>
          <w:rFonts w:ascii="Palatino Linotype" w:eastAsia="Palatino Linotype" w:hAnsi="Palatino Linotype" w:cs="Palatino Linotype"/>
          <w:b/>
          <w:bCs/>
        </w:rPr>
        <w:t>179, fracción I, de la Ley de Transparencia y Acceso a la Información Pública del Estado de México y Municipios</w:t>
      </w:r>
      <w:r>
        <w:rPr>
          <w:rFonts w:ascii="Palatino Linotype" w:eastAsia="Palatino Linotype" w:hAnsi="Palatino Linotype" w:cs="Palatino Linotype"/>
        </w:rPr>
        <w:t xml:space="preserve">; </w:t>
      </w:r>
      <w:r>
        <w:rPr>
          <w:rFonts w:ascii="Palatino Linotype" w:eastAsia="Palatino Linotype" w:hAnsi="Palatino Linotype" w:cs="Palatino Linotype"/>
          <w:color w:val="000000"/>
        </w:rPr>
        <w:t xml:space="preserve">fracción que determina la hipótesis relativa a </w:t>
      </w:r>
      <w:r>
        <w:rPr>
          <w:rFonts w:ascii="Palatino Linotype" w:eastAsia="Palatino Linotype" w:hAnsi="Palatino Linotype" w:cs="Palatino Linotype"/>
          <w:b/>
          <w:bCs/>
          <w:color w:val="000000"/>
        </w:rPr>
        <w:t>la negativa a la información solicitada,</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rPr>
        <w:t>contexto del cual se dolió el Recurrente al momento de interponer su inconformidad.</w:t>
      </w:r>
      <w:r>
        <w:rPr>
          <w:rFonts w:ascii="Palatino Linotype" w:eastAsia="Palatino Linotype" w:hAnsi="Palatino Linotype" w:cs="Palatino Linotype"/>
          <w:color w:val="000000"/>
        </w:rPr>
        <w:t xml:space="preserve"> De modo tal que el presente recurso de revisión se </w:t>
      </w:r>
      <w:r>
        <w:rPr>
          <w:rFonts w:ascii="Palatino Linotype" w:eastAsia="Palatino Linotype" w:hAnsi="Palatino Linotype" w:cs="Palatino Linotype"/>
        </w:rPr>
        <w:t>abocará</w:t>
      </w:r>
      <w:r>
        <w:rPr>
          <w:rFonts w:ascii="Palatino Linotype" w:eastAsia="Palatino Linotype" w:hAnsi="Palatino Linotype" w:cs="Palatino Linotype"/>
          <w:color w:val="000000"/>
        </w:rPr>
        <w:t xml:space="preserve"> en determinar si el Sujeto Obligado con su respuesta ciertamente actualiza la causal de procedencia</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 xml:space="preserve">señalada. </w:t>
      </w:r>
    </w:p>
    <w:p w:rsidR="00133F34" w:rsidRDefault="00133F34" w:rsidP="00A63C01">
      <w:pPr>
        <w:spacing w:line="360" w:lineRule="auto"/>
        <w:ind w:right="-518"/>
        <w:rPr>
          <w:rFonts w:ascii="Palatino Linotype" w:eastAsia="Palatino Linotype" w:hAnsi="Palatino Linotype" w:cs="Palatino Linotype"/>
        </w:rPr>
      </w:pPr>
    </w:p>
    <w:p w:rsidR="00133F34" w:rsidRDefault="009655C8" w:rsidP="00A63C01">
      <w:pPr>
        <w:pStyle w:val="Ttulo2"/>
        <w:ind w:right="-518"/>
        <w:rPr>
          <w:rFonts w:ascii="Palatino Linotype" w:eastAsia="Palatino Linotype" w:hAnsi="Palatino Linotype" w:cs="Palatino Linotype"/>
          <w:b/>
          <w:bCs/>
          <w:color w:val="000000"/>
          <w:sz w:val="24"/>
          <w:szCs w:val="24"/>
        </w:rPr>
      </w:pPr>
      <w:bookmarkStart w:id="5" w:name="_heading=h.1t3h5sf" w:colFirst="0" w:colLast="0"/>
      <w:bookmarkEnd w:id="5"/>
      <w:r>
        <w:rPr>
          <w:rFonts w:ascii="Palatino Linotype" w:eastAsia="Palatino Linotype" w:hAnsi="Palatino Linotype" w:cs="Palatino Linotype"/>
          <w:b/>
          <w:bCs/>
          <w:color w:val="000000"/>
          <w:sz w:val="24"/>
          <w:szCs w:val="24"/>
        </w:rPr>
        <w:t>CUARTO. Del estudio y resolución del asunto.</w:t>
      </w:r>
    </w:p>
    <w:p w:rsidR="00133F34" w:rsidRDefault="009655C8" w:rsidP="00A63C01">
      <w:pPr>
        <w:numPr>
          <w:ilvl w:val="0"/>
          <w:numId w:val="3"/>
        </w:numPr>
        <w:spacing w:line="360" w:lineRule="auto"/>
        <w:ind w:left="0" w:right="-518"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Determinado lo anterior; revisaremos la atención otorgada por el Sujeto Obligado a la solicitud que dio origen a este recurso, considerando imprescindible establecer lo que la regulación determina, por ello, en primer lugar, vamos a revisar lo que mandata nuestra Ley de Transparencia local, en su artículo 12, el cual establece que quienes </w:t>
      </w:r>
      <w:r>
        <w:rPr>
          <w:rFonts w:ascii="Palatino Linotype" w:eastAsia="Palatino Linotype" w:hAnsi="Palatino Linotype" w:cs="Palatino Linotype"/>
        </w:rPr>
        <w:lastRenderedPageBreak/>
        <w:t>generen, recopilen, administren, manejen, procesen, archiven o conserven información pública serán responsables de la misma, del mismo modo, el artículo 18, establece que los Sujetos Obligados deberán documentar todo acto que derive del ejercicio de sus facultades, competencias o funciones desde su origen la eventual publicidad y reutilización de la información que generen.</w:t>
      </w:r>
    </w:p>
    <w:p w:rsidR="00133F34" w:rsidRDefault="00133F34" w:rsidP="00A63C01">
      <w:pPr>
        <w:spacing w:line="360" w:lineRule="auto"/>
        <w:ind w:right="-518"/>
        <w:jc w:val="both"/>
        <w:rPr>
          <w:rFonts w:ascii="Palatino Linotype" w:eastAsia="Palatino Linotype" w:hAnsi="Palatino Linotype" w:cs="Palatino Linotype"/>
        </w:rPr>
      </w:pPr>
    </w:p>
    <w:p w:rsidR="00133F34" w:rsidRDefault="009655C8" w:rsidP="00A63C01">
      <w:pPr>
        <w:numPr>
          <w:ilvl w:val="0"/>
          <w:numId w:val="3"/>
        </w:numPr>
        <w:spacing w:line="360" w:lineRule="auto"/>
        <w:ind w:left="0" w:right="-518" w:firstLine="0"/>
        <w:jc w:val="both"/>
        <w:rPr>
          <w:rFonts w:ascii="Palatino Linotype" w:eastAsia="Palatino Linotype" w:hAnsi="Palatino Linotype" w:cs="Palatino Linotype"/>
        </w:rPr>
      </w:pPr>
      <w:r>
        <w:rPr>
          <w:rFonts w:ascii="Palatino Linotype" w:eastAsia="Palatino Linotype" w:hAnsi="Palatino Linotype" w:cs="Palatino Linotype"/>
        </w:rPr>
        <w:t>Asimismo, es relevante mencionar que el artículo 19, del ordenamiento local de la materia señala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rsidR="00133F34" w:rsidRDefault="00133F34" w:rsidP="00A63C01">
      <w:pPr>
        <w:pBdr>
          <w:top w:val="nil"/>
          <w:left w:val="nil"/>
          <w:bottom w:val="nil"/>
          <w:right w:val="nil"/>
          <w:between w:val="nil"/>
        </w:pBdr>
        <w:spacing w:line="360" w:lineRule="auto"/>
        <w:ind w:left="720" w:right="-518"/>
        <w:rPr>
          <w:rFonts w:ascii="Palatino Linotype" w:eastAsia="Palatino Linotype" w:hAnsi="Palatino Linotype" w:cs="Palatino Linotype"/>
          <w:color w:val="000000"/>
        </w:rPr>
      </w:pPr>
    </w:p>
    <w:p w:rsidR="00133F34" w:rsidRDefault="009655C8" w:rsidP="00A63C01">
      <w:pPr>
        <w:numPr>
          <w:ilvl w:val="0"/>
          <w:numId w:val="3"/>
        </w:numPr>
        <w:spacing w:line="360" w:lineRule="auto"/>
        <w:ind w:left="0" w:right="-518" w:firstLine="0"/>
        <w:jc w:val="both"/>
        <w:rPr>
          <w:rFonts w:ascii="Palatino Linotype" w:eastAsia="Palatino Linotype" w:hAnsi="Palatino Linotype" w:cs="Palatino Linotype"/>
        </w:rPr>
      </w:pPr>
      <w:r>
        <w:rPr>
          <w:rFonts w:ascii="Palatino Linotype" w:eastAsia="Palatino Linotype" w:hAnsi="Palatino Linotype" w:cs="Palatino Linotype"/>
        </w:rPr>
        <w:t>Los artículos antes citados, refieren que el derecho de acceso a la información pública es un derecho humano que abarca el solicitar, investigar, difundir y buscar información que se encuentre en los archivos de los sujetos obligados, ya sea porque estos las generaron o la poseen en atención a sus funciones, por lo que se le considera un bien común de dominio público, toda vez que al tratarse de acciones ejercidas por un servidor público, este lo hace en representación del Estado, por lo que le pertenece a todos y debe ser accesible a cualquier persona, ya sea que los particulares la puedan consultar por encontrarse publicada en cualquier medio de difusión o porque la requieren a través de una solicitud de acceso a la información, siempre y cuando no encuadre en una de las excepciones contempladas por la ley.</w:t>
      </w:r>
    </w:p>
    <w:p w:rsidR="00133F34" w:rsidRDefault="00133F34" w:rsidP="00A63C01">
      <w:pPr>
        <w:spacing w:line="360" w:lineRule="auto"/>
        <w:ind w:right="-518"/>
        <w:jc w:val="both"/>
        <w:rPr>
          <w:rFonts w:ascii="Palatino Linotype" w:eastAsia="Palatino Linotype" w:hAnsi="Palatino Linotype" w:cs="Palatino Linotype"/>
        </w:rPr>
      </w:pPr>
    </w:p>
    <w:p w:rsidR="00133F34" w:rsidRDefault="009655C8" w:rsidP="00A63C01">
      <w:pPr>
        <w:numPr>
          <w:ilvl w:val="0"/>
          <w:numId w:val="3"/>
        </w:numPr>
        <w:spacing w:line="360" w:lineRule="auto"/>
        <w:ind w:left="0" w:right="-518" w:firstLine="0"/>
        <w:jc w:val="both"/>
        <w:rPr>
          <w:color w:val="000000"/>
        </w:rPr>
      </w:pPr>
      <w:r>
        <w:rPr>
          <w:rFonts w:ascii="Palatino Linotype" w:eastAsia="Palatino Linotype" w:hAnsi="Palatino Linotype" w:cs="Palatino Linotype"/>
          <w:color w:val="000000"/>
        </w:rPr>
        <w:t xml:space="preserve">Es de subrayar que el derecho de acceso a la información pública, consiste en que la información </w:t>
      </w:r>
      <w:r>
        <w:rPr>
          <w:rFonts w:ascii="Palatino Linotype" w:eastAsia="Palatino Linotype" w:hAnsi="Palatino Linotype" w:cs="Palatino Linotype"/>
        </w:rPr>
        <w:t>solicitada</w:t>
      </w:r>
      <w:r>
        <w:rPr>
          <w:rFonts w:ascii="Palatino Linotype" w:eastAsia="Palatino Linotype" w:hAnsi="Palatino Linotype" w:cs="Palatino Linotype"/>
          <w:color w:val="000000"/>
        </w:rPr>
        <w:t xml:space="preserve"> conste en un soporte documental en cualquiera de sus formas, a saber: expedientes, reportes, estudios, actas, resoluciones, oficios, correspondencia, </w:t>
      </w:r>
      <w:r>
        <w:rPr>
          <w:rFonts w:ascii="Palatino Linotype" w:eastAsia="Palatino Linotype" w:hAnsi="Palatino Linotype" w:cs="Palatino Linotype"/>
          <w:color w:val="000000"/>
        </w:rPr>
        <w:lastRenderedPageBreak/>
        <w:t xml:space="preserve">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dispone lo siguiente: </w:t>
      </w:r>
    </w:p>
    <w:p w:rsidR="00133F34" w:rsidRDefault="009655C8" w:rsidP="00A63C01">
      <w:pPr>
        <w:ind w:left="1134" w:right="-518"/>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r>
        <w:rPr>
          <w:rFonts w:ascii="Palatino Linotype" w:eastAsia="Palatino Linotype" w:hAnsi="Palatino Linotype" w:cs="Palatino Linotype"/>
          <w:b/>
          <w:bCs/>
          <w:i/>
          <w:iCs/>
          <w:color w:val="000000"/>
        </w:rPr>
        <w:t xml:space="preserve">Artículo 3. </w:t>
      </w:r>
      <w:r>
        <w:rPr>
          <w:rFonts w:ascii="Palatino Linotype" w:eastAsia="Palatino Linotype" w:hAnsi="Palatino Linotype" w:cs="Palatino Linotype"/>
          <w:i/>
          <w:iCs/>
          <w:color w:val="000000"/>
        </w:rPr>
        <w:t>Para los efectos de la presente Ley se entenderá por:</w:t>
      </w:r>
    </w:p>
    <w:p w:rsidR="00133F34" w:rsidRDefault="009655C8" w:rsidP="00A63C01">
      <w:pPr>
        <w:ind w:left="1134" w:right="-518"/>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p>
    <w:p w:rsidR="00133F34" w:rsidRDefault="009655C8" w:rsidP="00A63C01">
      <w:pPr>
        <w:ind w:left="1134" w:right="-518"/>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XI. Documento:</w:t>
      </w:r>
      <w:r>
        <w:rPr>
          <w:rFonts w:ascii="Palatino Linotype" w:eastAsia="Palatino Linotype" w:hAnsi="Palatino Linotype" w:cs="Palatino Linotype"/>
          <w:i/>
          <w:iCs/>
          <w:color w:val="000000"/>
        </w:rPr>
        <w:t xml:space="preserve">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rsidR="00133F34" w:rsidRDefault="009655C8" w:rsidP="00A63C01">
      <w:pPr>
        <w:spacing w:line="360" w:lineRule="auto"/>
        <w:ind w:left="1134" w:right="-518"/>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p>
    <w:p w:rsidR="00133F34" w:rsidRDefault="00133F34" w:rsidP="00A63C01">
      <w:pPr>
        <w:ind w:right="-518"/>
        <w:jc w:val="both"/>
        <w:rPr>
          <w:rFonts w:ascii="Palatino Linotype" w:eastAsia="Palatino Linotype" w:hAnsi="Palatino Linotype" w:cs="Palatino Linotype"/>
        </w:rPr>
      </w:pPr>
    </w:p>
    <w:p w:rsidR="00133F34" w:rsidRDefault="009655C8" w:rsidP="00A63C01">
      <w:pPr>
        <w:numPr>
          <w:ilvl w:val="0"/>
          <w:numId w:val="3"/>
        </w:numPr>
        <w:spacing w:line="360" w:lineRule="auto"/>
        <w:ind w:left="0" w:right="-518" w:firstLine="0"/>
        <w:jc w:val="both"/>
        <w:rPr>
          <w:color w:val="000000"/>
        </w:rPr>
      </w:pPr>
      <w:r>
        <w:rPr>
          <w:rFonts w:ascii="Palatino Linotype" w:eastAsia="Palatino Linotype" w:hAnsi="Palatino Linotype" w:cs="Palatino Linotype"/>
          <w:color w:val="000000"/>
        </w:rPr>
        <w:t xml:space="preserve">Siendo aplicable el Criterio de interpretación en el orden administrativo número 0002-11, emitido por </w:t>
      </w:r>
      <w:r>
        <w:rPr>
          <w:rFonts w:ascii="Palatino Linotype" w:eastAsia="Palatino Linotype" w:hAnsi="Palatino Linotype" w:cs="Palatino Linotype"/>
        </w:rPr>
        <w:t>Acuerdo</w:t>
      </w:r>
      <w:r>
        <w:rPr>
          <w:rFonts w:ascii="Palatino Linotype" w:eastAsia="Palatino Linotype" w:hAnsi="Palatino Linotype" w:cs="Palatino Linotype"/>
          <w:color w:val="000000"/>
        </w:rPr>
        <w:t xml:space="preserve"> del Pleno del Instituto de Transparencia y Acceso a la Información Pública del Estado de México y Municipios; publicado en el Periódico Oficial del Gobierno del Estado Libre y Soberano de México “Gaceta del Gobierno”, el diecinueve de octubre de dos mil once, cuyo rubro y texto dispone:</w:t>
      </w:r>
    </w:p>
    <w:p w:rsidR="00133F34" w:rsidRDefault="009655C8" w:rsidP="00A63C01">
      <w:pPr>
        <w:ind w:left="850" w:right="-518"/>
        <w:jc w:val="both"/>
        <w:rPr>
          <w:rFonts w:ascii="Palatino Linotype" w:eastAsia="Palatino Linotype" w:hAnsi="Palatino Linotype" w:cs="Palatino Linotype"/>
          <w:b/>
          <w:bCs/>
          <w:i/>
          <w:iCs/>
        </w:rPr>
      </w:pPr>
      <w:r>
        <w:rPr>
          <w:rFonts w:ascii="Palatino Linotype" w:eastAsia="Palatino Linotype" w:hAnsi="Palatino Linotype" w:cs="Palatino Linotype"/>
          <w:b/>
          <w:bCs/>
        </w:rPr>
        <w:t>“</w:t>
      </w:r>
      <w:r>
        <w:rPr>
          <w:rFonts w:ascii="Palatino Linotype" w:eastAsia="Palatino Linotype" w:hAnsi="Palatino Linotype" w:cs="Palatino Linotype"/>
          <w:b/>
          <w:bCs/>
          <w:i/>
          <w:iCs/>
        </w:rPr>
        <w:t>CRITERIO 0002-11</w:t>
      </w:r>
    </w:p>
    <w:p w:rsidR="00133F34" w:rsidRDefault="009655C8" w:rsidP="00A63C01">
      <w:pPr>
        <w:ind w:left="850" w:right="-518"/>
        <w:jc w:val="both"/>
        <w:rPr>
          <w:rFonts w:ascii="Palatino Linotype" w:eastAsia="Palatino Linotype" w:hAnsi="Palatino Linotype" w:cs="Palatino Linotype"/>
          <w:i/>
          <w:iCs/>
        </w:rPr>
      </w:pPr>
      <w:r>
        <w:rPr>
          <w:rFonts w:ascii="Palatino Linotype" w:eastAsia="Palatino Linotype" w:hAnsi="Palatino Linotype" w:cs="Palatino Linotype"/>
          <w:b/>
          <w:bCs/>
          <w:i/>
          <w:iCs/>
        </w:rPr>
        <w:t>INFORMACIÓN PÚBLICA, CONCEPTO DE, EN MATERIA DE TRANSPARENCIA. INTERPRETACIÓN SISTEMÁTICA DE LOS ARTÍCULOS 2°, FRACCIÓN V, XV, Y XVI, 3°, 4°, 11 Y 41.</w:t>
      </w:r>
      <w:r>
        <w:rPr>
          <w:rFonts w:ascii="Palatino Linotype" w:eastAsia="Palatino Linotype" w:hAnsi="Palatino Linotype" w:cs="Palatino Linotype"/>
          <w:i/>
          <w:iCs/>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rsidR="00133F34" w:rsidRDefault="009655C8" w:rsidP="00A63C01">
      <w:pPr>
        <w:ind w:left="850" w:right="-518"/>
        <w:jc w:val="both"/>
        <w:rPr>
          <w:rFonts w:ascii="Palatino Linotype" w:eastAsia="Palatino Linotype" w:hAnsi="Palatino Linotype" w:cs="Palatino Linotype"/>
          <w:i/>
          <w:iCs/>
        </w:rPr>
      </w:pPr>
      <w:r>
        <w:rPr>
          <w:rFonts w:ascii="Palatino Linotype" w:eastAsia="Palatino Linotype" w:hAnsi="Palatino Linotype" w:cs="Palatino Linotype"/>
          <w:i/>
          <w:iCs/>
        </w:rPr>
        <w:lastRenderedPageBreak/>
        <w:t>En consecuencia el acceso a la información se refiere a que se cumplan cualquiera de los siguientes tres supuestos:</w:t>
      </w:r>
    </w:p>
    <w:p w:rsidR="00133F34" w:rsidRDefault="009655C8" w:rsidP="00A63C01">
      <w:pPr>
        <w:ind w:left="850" w:right="-518"/>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1) </w:t>
      </w:r>
      <w:r>
        <w:rPr>
          <w:rFonts w:ascii="Palatino Linotype" w:eastAsia="Palatino Linotype" w:hAnsi="Palatino Linotype" w:cs="Palatino Linotype"/>
          <w:b/>
          <w:bCs/>
          <w:i/>
          <w:iCs/>
          <w:u w:val="single"/>
        </w:rPr>
        <w:t>Que se trate de información registrada en cualquier soporte documental, que en ejercicio de las atribuciones conferidas, sea generada por los Sujetos Obligados;</w:t>
      </w:r>
    </w:p>
    <w:p w:rsidR="00133F34" w:rsidRDefault="009655C8" w:rsidP="00A63C01">
      <w:pPr>
        <w:ind w:left="850" w:right="-518"/>
        <w:jc w:val="both"/>
        <w:rPr>
          <w:rFonts w:ascii="Palatino Linotype" w:eastAsia="Palatino Linotype" w:hAnsi="Palatino Linotype" w:cs="Palatino Linotype"/>
          <w:i/>
          <w:iCs/>
        </w:rPr>
      </w:pPr>
      <w:r>
        <w:rPr>
          <w:rFonts w:ascii="Palatino Linotype" w:eastAsia="Palatino Linotype" w:hAnsi="Palatino Linotype" w:cs="Palatino Linotype"/>
          <w:i/>
          <w:iCs/>
        </w:rPr>
        <w:t>2) Que se trate de información registrada en cualquier soporte documental, que en ejercicio de las atribuciones conferidas, sea administrada por los Sujetos Obligados, y</w:t>
      </w:r>
    </w:p>
    <w:p w:rsidR="00133F34" w:rsidRDefault="009655C8" w:rsidP="00A63C01">
      <w:pPr>
        <w:ind w:left="850" w:right="-518"/>
        <w:jc w:val="both"/>
        <w:rPr>
          <w:rFonts w:ascii="Palatino Linotype" w:eastAsia="Palatino Linotype" w:hAnsi="Palatino Linotype" w:cs="Palatino Linotype"/>
          <w:i/>
          <w:iCs/>
        </w:rPr>
      </w:pPr>
      <w:r>
        <w:rPr>
          <w:rFonts w:ascii="Palatino Linotype" w:eastAsia="Palatino Linotype" w:hAnsi="Palatino Linotype" w:cs="Palatino Linotype"/>
          <w:i/>
          <w:iCs/>
        </w:rPr>
        <w:t>3) Que se trate de información registrada en cualquier soporte documental, que en ejercicio de las atribuciones conferidas, se encuentre en posesión de los Sujetos Obligados.”</w:t>
      </w:r>
    </w:p>
    <w:p w:rsidR="00133F34" w:rsidRDefault="009655C8" w:rsidP="00A63C01">
      <w:pPr>
        <w:tabs>
          <w:tab w:val="left" w:pos="851"/>
        </w:tabs>
        <w:spacing w:line="360" w:lineRule="auto"/>
        <w:ind w:left="850" w:right="-518"/>
        <w:rPr>
          <w:rFonts w:ascii="Palatino Linotype" w:eastAsia="Palatino Linotype" w:hAnsi="Palatino Linotype" w:cs="Palatino Linotype"/>
        </w:rPr>
      </w:pPr>
      <w:r>
        <w:rPr>
          <w:rFonts w:ascii="Palatino Linotype" w:eastAsia="Palatino Linotype" w:hAnsi="Palatino Linotype" w:cs="Palatino Linotype"/>
        </w:rPr>
        <w:t>(Énfasis Añadido)</w:t>
      </w:r>
    </w:p>
    <w:p w:rsidR="00133F34" w:rsidRDefault="00133F34" w:rsidP="00A63C01">
      <w:pPr>
        <w:pBdr>
          <w:top w:val="nil"/>
          <w:left w:val="nil"/>
          <w:bottom w:val="nil"/>
          <w:right w:val="nil"/>
          <w:between w:val="nil"/>
        </w:pBdr>
        <w:ind w:right="-518"/>
        <w:jc w:val="both"/>
        <w:rPr>
          <w:rFonts w:ascii="Palatino Linotype" w:eastAsia="Palatino Linotype" w:hAnsi="Palatino Linotype" w:cs="Palatino Linotype"/>
          <w:color w:val="000000"/>
        </w:rPr>
      </w:pPr>
    </w:p>
    <w:p w:rsidR="00133F34" w:rsidRDefault="009655C8" w:rsidP="00A63C01">
      <w:pPr>
        <w:numPr>
          <w:ilvl w:val="0"/>
          <w:numId w:val="3"/>
        </w:numPr>
        <w:spacing w:line="360" w:lineRule="auto"/>
        <w:ind w:left="0" w:right="-518" w:firstLine="0"/>
        <w:jc w:val="both"/>
        <w:rPr>
          <w:color w:val="000000"/>
        </w:rPr>
      </w:pPr>
      <w:r>
        <w:rPr>
          <w:rFonts w:ascii="Palatino Linotype" w:eastAsia="Palatino Linotype" w:hAnsi="Palatino Linotype" w:cs="Palatino Linotype"/>
          <w:color w:val="000000"/>
        </w:rPr>
        <w:t xml:space="preserve">Por su parte </w:t>
      </w:r>
      <w:r>
        <w:rPr>
          <w:rFonts w:ascii="Palatino Linotype" w:eastAsia="Palatino Linotype" w:hAnsi="Palatino Linotype" w:cs="Palatino Linotype"/>
        </w:rPr>
        <w:t>los</w:t>
      </w:r>
      <w:r>
        <w:rPr>
          <w:rFonts w:ascii="Palatino Linotype" w:eastAsia="Palatino Linotype" w:hAnsi="Palatino Linotype" w:cs="Palatino Linotype"/>
          <w:color w:val="000000"/>
        </w:rPr>
        <w:t xml:space="preserve"> artículos 160 y 166, de la Ley local en la materia, que se reproduce de la siguiente forma:</w:t>
      </w:r>
    </w:p>
    <w:p w:rsidR="00133F34" w:rsidRDefault="009655C8" w:rsidP="00A63C01">
      <w:pPr>
        <w:ind w:left="566" w:right="-518"/>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Artículo 160.</w:t>
      </w:r>
      <w:r>
        <w:rPr>
          <w:rFonts w:ascii="Palatino Linotype" w:eastAsia="Palatino Linotype" w:hAnsi="Palatino Linotype" w:cs="Palatino Linotype"/>
          <w:i/>
          <w:iCs/>
        </w:rPr>
        <w:t xml:space="preserve"> </w:t>
      </w:r>
      <w:r>
        <w:rPr>
          <w:rFonts w:ascii="Palatino Linotype" w:eastAsia="Palatino Linotype" w:hAnsi="Palatino Linotype" w:cs="Palatino Linotype"/>
          <w:i/>
          <w:iCs/>
          <w:u w:val="single"/>
        </w:rPr>
        <w:t>Los sujetos obligados deberán otorgar acceso a los documentos que se 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r>
        <w:rPr>
          <w:rFonts w:ascii="Palatino Linotype" w:eastAsia="Palatino Linotype" w:hAnsi="Palatino Linotype" w:cs="Palatino Linotype"/>
          <w:i/>
          <w:iCs/>
        </w:rPr>
        <w:t>.</w:t>
      </w:r>
    </w:p>
    <w:p w:rsidR="00133F34" w:rsidRDefault="00133F34" w:rsidP="00A63C01">
      <w:pPr>
        <w:ind w:left="566" w:right="-518"/>
        <w:jc w:val="both"/>
        <w:rPr>
          <w:rFonts w:ascii="Palatino Linotype" w:eastAsia="Palatino Linotype" w:hAnsi="Palatino Linotype" w:cs="Palatino Linotype"/>
          <w:i/>
          <w:iCs/>
        </w:rPr>
      </w:pPr>
    </w:p>
    <w:p w:rsidR="00133F34" w:rsidRDefault="009655C8" w:rsidP="00A63C01">
      <w:pPr>
        <w:ind w:left="566" w:right="-518"/>
        <w:jc w:val="both"/>
        <w:rPr>
          <w:rFonts w:ascii="Palatino Linotype" w:eastAsia="Palatino Linotype" w:hAnsi="Palatino Linotype" w:cs="Palatino Linotype"/>
          <w:i/>
          <w:iCs/>
        </w:rPr>
      </w:pPr>
      <w:r>
        <w:rPr>
          <w:rFonts w:ascii="Palatino Linotype" w:eastAsia="Palatino Linotype" w:hAnsi="Palatino Linotype" w:cs="Palatino Linotype"/>
          <w:i/>
          <w:iCs/>
        </w:rPr>
        <w:t>En caso que la información solicitada consista en bases de datos se deberá privilegiar la entrega de la misma en formatos abiertos.</w:t>
      </w:r>
    </w:p>
    <w:p w:rsidR="00133F34" w:rsidRDefault="009655C8" w:rsidP="00A63C01">
      <w:pPr>
        <w:ind w:left="566" w:right="-518"/>
        <w:jc w:val="both"/>
        <w:rPr>
          <w:rFonts w:ascii="Palatino Linotype" w:eastAsia="Palatino Linotype" w:hAnsi="Palatino Linotype" w:cs="Palatino Linotype"/>
          <w:i/>
          <w:iCs/>
          <w:u w:val="single"/>
        </w:rPr>
      </w:pPr>
      <w:r>
        <w:rPr>
          <w:rFonts w:ascii="Palatino Linotype" w:eastAsia="Palatino Linotype" w:hAnsi="Palatino Linotype" w:cs="Palatino Linotype"/>
          <w:b/>
          <w:bCs/>
          <w:i/>
          <w:iCs/>
        </w:rPr>
        <w:t>Artículo 166.</w:t>
      </w:r>
      <w:r>
        <w:rPr>
          <w:rFonts w:ascii="Palatino Linotype" w:eastAsia="Palatino Linotype" w:hAnsi="Palatino Linotype" w:cs="Palatino Linotype"/>
          <w:i/>
          <w:iCs/>
        </w:rPr>
        <w:t xml:space="preserve"> </w:t>
      </w:r>
      <w:r>
        <w:rPr>
          <w:rFonts w:ascii="Palatino Linotype" w:eastAsia="Palatino Linotype" w:hAnsi="Palatino Linotype" w:cs="Palatino Linotype"/>
          <w:i/>
          <w:iCs/>
          <w:u w:val="single"/>
        </w:rPr>
        <w:t>La obligación de acceso a la información pública se tendrá por cumplida cuando el solicitante tenga a su disposición la información requerida, o cuando realice la consulta de la misma en el lugar en el que ésta se localice.</w:t>
      </w:r>
    </w:p>
    <w:p w:rsidR="00133F34" w:rsidRDefault="009655C8" w:rsidP="00A63C01">
      <w:pPr>
        <w:spacing w:line="360" w:lineRule="auto"/>
        <w:ind w:left="566" w:right="-518"/>
        <w:jc w:val="both"/>
        <w:rPr>
          <w:rFonts w:ascii="Palatino Linotype" w:eastAsia="Palatino Linotype" w:hAnsi="Palatino Linotype" w:cs="Palatino Linotype"/>
        </w:rPr>
      </w:pPr>
      <w:r>
        <w:rPr>
          <w:rFonts w:ascii="Palatino Linotype" w:eastAsia="Palatino Linotype" w:hAnsi="Palatino Linotype" w:cs="Palatino Linotype"/>
        </w:rPr>
        <w:t>(Énfasis añadido)</w:t>
      </w:r>
    </w:p>
    <w:p w:rsidR="00133F34" w:rsidRDefault="00133F34" w:rsidP="00A63C01">
      <w:pPr>
        <w:ind w:right="-518"/>
        <w:jc w:val="both"/>
        <w:rPr>
          <w:rFonts w:ascii="Palatino Linotype" w:eastAsia="Palatino Linotype" w:hAnsi="Palatino Linotype" w:cs="Palatino Linotype"/>
        </w:rPr>
      </w:pPr>
    </w:p>
    <w:p w:rsidR="00133F34" w:rsidRDefault="009655C8" w:rsidP="00A63C01">
      <w:pPr>
        <w:numPr>
          <w:ilvl w:val="0"/>
          <w:numId w:val="3"/>
        </w:numPr>
        <w:spacing w:line="360" w:lineRule="auto"/>
        <w:ind w:left="0" w:right="-518" w:firstLine="0"/>
        <w:jc w:val="both"/>
        <w:rPr>
          <w:color w:val="000000"/>
        </w:rPr>
      </w:pPr>
      <w:r>
        <w:rPr>
          <w:rFonts w:ascii="Palatino Linotype" w:eastAsia="Palatino Linotype" w:hAnsi="Palatino Linotype" w:cs="Palatino Linotype"/>
          <w:color w:val="000000"/>
        </w:rPr>
        <w:t xml:space="preserve">Así que la obligación de los Sujetos Obligados de dar acceso a la información pública que generen, </w:t>
      </w:r>
      <w:r>
        <w:rPr>
          <w:rFonts w:ascii="Palatino Linotype" w:eastAsia="Palatino Linotype" w:hAnsi="Palatino Linotype" w:cs="Palatino Linotype"/>
        </w:rPr>
        <w:t>administren</w:t>
      </w:r>
      <w:r>
        <w:rPr>
          <w:rFonts w:ascii="Palatino Linotype" w:eastAsia="Palatino Linotype" w:hAnsi="Palatino Linotype" w:cs="Palatino Linotype"/>
          <w:color w:val="000000"/>
        </w:rPr>
        <w:t xml:space="preserve"> o posean, se tendrá por cumplida cuando el solicitante tenga a su disposición la información requerida, o cuando realice la consulta de la misma en el lugar que ésta se localice, siempre y cuando así resultare procedente.</w:t>
      </w:r>
    </w:p>
    <w:p w:rsidR="00133F34" w:rsidRDefault="00133F34" w:rsidP="00A63C01">
      <w:pPr>
        <w:spacing w:line="360" w:lineRule="auto"/>
        <w:ind w:right="-518"/>
        <w:jc w:val="both"/>
        <w:rPr>
          <w:rFonts w:ascii="Palatino Linotype" w:eastAsia="Palatino Linotype" w:hAnsi="Palatino Linotype" w:cs="Palatino Linotype"/>
        </w:rPr>
      </w:pPr>
    </w:p>
    <w:p w:rsidR="007E2DA7" w:rsidRDefault="007E2DA7" w:rsidP="00A63C01">
      <w:pPr>
        <w:spacing w:line="360" w:lineRule="auto"/>
        <w:ind w:right="-518"/>
        <w:jc w:val="both"/>
        <w:rPr>
          <w:rFonts w:ascii="Palatino Linotype" w:eastAsia="Palatino Linotype" w:hAnsi="Palatino Linotype" w:cs="Palatino Linotype"/>
        </w:rPr>
      </w:pPr>
    </w:p>
    <w:p w:rsidR="00133F34" w:rsidRDefault="009655C8" w:rsidP="00A63C01">
      <w:pPr>
        <w:numPr>
          <w:ilvl w:val="0"/>
          <w:numId w:val="1"/>
        </w:numPr>
        <w:pBdr>
          <w:top w:val="nil"/>
          <w:left w:val="nil"/>
          <w:bottom w:val="nil"/>
          <w:right w:val="nil"/>
          <w:between w:val="nil"/>
        </w:pBdr>
        <w:spacing w:line="360" w:lineRule="auto"/>
        <w:ind w:right="-518"/>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lastRenderedPageBreak/>
        <w:t>Del Sujeto Obligado.</w:t>
      </w:r>
    </w:p>
    <w:p w:rsidR="00133F34" w:rsidRDefault="009655C8" w:rsidP="00A63C01">
      <w:pPr>
        <w:numPr>
          <w:ilvl w:val="0"/>
          <w:numId w:val="3"/>
        </w:numPr>
        <w:spacing w:line="360" w:lineRule="auto"/>
        <w:ind w:left="0" w:right="-518" w:firstLine="0"/>
        <w:jc w:val="both"/>
        <w:rPr>
          <w:rFonts w:ascii="Palatino Linotype" w:eastAsia="Palatino Linotype" w:hAnsi="Palatino Linotype" w:cs="Palatino Linotype"/>
        </w:rPr>
      </w:pPr>
      <w:r>
        <w:rPr>
          <w:rFonts w:ascii="Palatino Linotype" w:eastAsia="Palatino Linotype" w:hAnsi="Palatino Linotype" w:cs="Palatino Linotype"/>
        </w:rPr>
        <w:t>El ejercicio de la función jurisdiccional corresponde a los órganos del Poder Judicial en los términos que establece la Constitución y se deposita de la siguiente manera, tal como la Ley Orgánica del Poder Judicial del Estado de México:</w:t>
      </w:r>
    </w:p>
    <w:p w:rsidR="00133F34" w:rsidRDefault="009655C8" w:rsidP="00A63C01">
      <w:pPr>
        <w:pBdr>
          <w:top w:val="nil"/>
          <w:left w:val="nil"/>
          <w:bottom w:val="nil"/>
          <w:right w:val="nil"/>
          <w:between w:val="nil"/>
        </w:pBdr>
        <w:tabs>
          <w:tab w:val="left" w:pos="426"/>
        </w:tabs>
        <w:ind w:left="567" w:right="-518"/>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Artículo 1</w:t>
      </w:r>
      <w:r>
        <w:rPr>
          <w:rFonts w:ascii="Palatino Linotype" w:eastAsia="Palatino Linotype" w:hAnsi="Palatino Linotype" w:cs="Palatino Linotype"/>
          <w:i/>
          <w:iCs/>
          <w:color w:val="000000"/>
        </w:rPr>
        <w:t xml:space="preserve">. El ejercicio de la función jurisdiccional corresponde a los órganos del Poder Judicial en los términos que establece la Constitución y se deposita en: </w:t>
      </w:r>
    </w:p>
    <w:p w:rsidR="00133F34" w:rsidRDefault="009655C8" w:rsidP="00A63C01">
      <w:pPr>
        <w:pBdr>
          <w:top w:val="nil"/>
          <w:left w:val="nil"/>
          <w:bottom w:val="nil"/>
          <w:right w:val="nil"/>
          <w:between w:val="nil"/>
        </w:pBdr>
        <w:tabs>
          <w:tab w:val="left" w:pos="426"/>
        </w:tabs>
        <w:ind w:left="567" w:right="-518"/>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a) El Tribunal Superior de Justicia, que funcionará en Pleno y en Salas; </w:t>
      </w:r>
    </w:p>
    <w:p w:rsidR="00133F34" w:rsidRDefault="009655C8" w:rsidP="00A63C01">
      <w:pPr>
        <w:pBdr>
          <w:top w:val="nil"/>
          <w:left w:val="nil"/>
          <w:bottom w:val="nil"/>
          <w:right w:val="nil"/>
          <w:between w:val="nil"/>
        </w:pBdr>
        <w:tabs>
          <w:tab w:val="left" w:pos="426"/>
        </w:tabs>
        <w:ind w:left="567" w:right="-518"/>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b) La Presidenta o Presidente del Tribunal Superior de Justicia; </w:t>
      </w:r>
    </w:p>
    <w:p w:rsidR="00133F34" w:rsidRDefault="009655C8" w:rsidP="00A63C01">
      <w:pPr>
        <w:pBdr>
          <w:top w:val="nil"/>
          <w:left w:val="nil"/>
          <w:bottom w:val="nil"/>
          <w:right w:val="nil"/>
          <w:between w:val="nil"/>
        </w:pBdr>
        <w:tabs>
          <w:tab w:val="left" w:pos="426"/>
        </w:tabs>
        <w:ind w:left="567" w:right="-518"/>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c) Una Sala Constitucional; </w:t>
      </w:r>
    </w:p>
    <w:p w:rsidR="00133F34" w:rsidRDefault="009655C8" w:rsidP="00A63C01">
      <w:pPr>
        <w:pBdr>
          <w:top w:val="nil"/>
          <w:left w:val="nil"/>
          <w:bottom w:val="nil"/>
          <w:right w:val="nil"/>
          <w:between w:val="nil"/>
        </w:pBdr>
        <w:tabs>
          <w:tab w:val="left" w:pos="426"/>
        </w:tabs>
        <w:ind w:left="567" w:right="-518"/>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d) Una Sala de Asuntos Indígenas; </w:t>
      </w:r>
    </w:p>
    <w:p w:rsidR="00133F34" w:rsidRDefault="009655C8" w:rsidP="00A63C01">
      <w:pPr>
        <w:pBdr>
          <w:top w:val="nil"/>
          <w:left w:val="nil"/>
          <w:bottom w:val="nil"/>
          <w:right w:val="nil"/>
          <w:between w:val="nil"/>
        </w:pBdr>
        <w:tabs>
          <w:tab w:val="left" w:pos="426"/>
        </w:tabs>
        <w:ind w:left="567" w:right="-518"/>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e) Salas colegiadas y unitarias; </w:t>
      </w:r>
    </w:p>
    <w:p w:rsidR="00133F34" w:rsidRDefault="009655C8" w:rsidP="00A63C01">
      <w:pPr>
        <w:pBdr>
          <w:top w:val="nil"/>
          <w:left w:val="nil"/>
          <w:bottom w:val="nil"/>
          <w:right w:val="nil"/>
          <w:between w:val="nil"/>
        </w:pBdr>
        <w:tabs>
          <w:tab w:val="left" w:pos="426"/>
        </w:tabs>
        <w:ind w:left="567" w:right="-518"/>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f) Tribunales de alzada; </w:t>
      </w:r>
    </w:p>
    <w:p w:rsidR="00133F34" w:rsidRDefault="009655C8" w:rsidP="00A63C01">
      <w:pPr>
        <w:pBdr>
          <w:top w:val="nil"/>
          <w:left w:val="nil"/>
          <w:bottom w:val="nil"/>
          <w:right w:val="nil"/>
          <w:between w:val="nil"/>
        </w:pBdr>
        <w:tabs>
          <w:tab w:val="left" w:pos="426"/>
        </w:tabs>
        <w:ind w:left="567" w:right="-518"/>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g) Tribunales de enjuiciamiento, juzgados de primera instancia y juzgados de ejecución; </w:t>
      </w:r>
    </w:p>
    <w:p w:rsidR="00133F34" w:rsidRDefault="009655C8" w:rsidP="00A63C01">
      <w:pPr>
        <w:pBdr>
          <w:top w:val="nil"/>
          <w:left w:val="nil"/>
          <w:bottom w:val="nil"/>
          <w:right w:val="nil"/>
          <w:between w:val="nil"/>
        </w:pBdr>
        <w:tabs>
          <w:tab w:val="left" w:pos="426"/>
        </w:tabs>
        <w:ind w:left="567" w:right="-518"/>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h) Juzgados de cuantía menor y juzgados de control; y </w:t>
      </w:r>
    </w:p>
    <w:p w:rsidR="00133F34" w:rsidRDefault="009655C8" w:rsidP="00A63C01">
      <w:pPr>
        <w:pBdr>
          <w:top w:val="nil"/>
          <w:left w:val="nil"/>
          <w:bottom w:val="nil"/>
          <w:right w:val="nil"/>
          <w:between w:val="nil"/>
        </w:pBdr>
        <w:tabs>
          <w:tab w:val="left" w:pos="426"/>
        </w:tabs>
        <w:ind w:left="567" w:right="-518"/>
        <w:jc w:val="both"/>
        <w:rPr>
          <w:rFonts w:ascii="Palatino Linotype" w:eastAsia="Palatino Linotype" w:hAnsi="Palatino Linotype" w:cs="Palatino Linotype"/>
        </w:rPr>
      </w:pPr>
      <w:r>
        <w:rPr>
          <w:rFonts w:ascii="Palatino Linotype" w:eastAsia="Palatino Linotype" w:hAnsi="Palatino Linotype" w:cs="Palatino Linotype"/>
          <w:i/>
          <w:iCs/>
          <w:color w:val="000000"/>
        </w:rPr>
        <w:t>i) Tribunales laborales</w:t>
      </w:r>
      <w:r>
        <w:rPr>
          <w:rFonts w:ascii="Palatino Linotype" w:eastAsia="Palatino Linotype" w:hAnsi="Palatino Linotype" w:cs="Palatino Linotype"/>
        </w:rPr>
        <w:t>.</w:t>
      </w:r>
    </w:p>
    <w:p w:rsidR="00133F34" w:rsidRDefault="00133F34" w:rsidP="00A63C01">
      <w:pPr>
        <w:pBdr>
          <w:top w:val="nil"/>
          <w:left w:val="nil"/>
          <w:bottom w:val="nil"/>
          <w:right w:val="nil"/>
          <w:between w:val="nil"/>
        </w:pBdr>
        <w:tabs>
          <w:tab w:val="left" w:pos="426"/>
        </w:tabs>
        <w:ind w:left="567" w:right="-518"/>
        <w:jc w:val="both"/>
        <w:rPr>
          <w:rFonts w:ascii="Palatino Linotype" w:eastAsia="Palatino Linotype" w:hAnsi="Palatino Linotype" w:cs="Palatino Linotype"/>
          <w:i/>
          <w:iCs/>
          <w:color w:val="000000"/>
        </w:rPr>
      </w:pPr>
    </w:p>
    <w:p w:rsidR="00133F34" w:rsidRDefault="009655C8" w:rsidP="00A63C01">
      <w:pPr>
        <w:pBdr>
          <w:top w:val="nil"/>
          <w:left w:val="nil"/>
          <w:bottom w:val="nil"/>
          <w:right w:val="nil"/>
          <w:between w:val="nil"/>
        </w:pBdr>
        <w:tabs>
          <w:tab w:val="left" w:pos="426"/>
        </w:tabs>
        <w:ind w:left="567" w:right="-518"/>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El Poder Judicial contará con un Tribunal de Disciplina Judicial, un Órgano de Administración Judicial, una Contraloría Interna, la Escuela Judicial y el Centro Estatal de Mediación, Conciliación y Justicia Restaurativa del Estado de México, así como las demás unidades administrativas que determine el Órgano de Administración Judicial para el adecuado ejercicio de sus funciones.</w:t>
      </w:r>
    </w:p>
    <w:p w:rsidR="00133F34" w:rsidRDefault="009655C8" w:rsidP="00A63C01">
      <w:pPr>
        <w:pBdr>
          <w:top w:val="nil"/>
          <w:left w:val="nil"/>
          <w:bottom w:val="nil"/>
          <w:right w:val="nil"/>
          <w:between w:val="nil"/>
        </w:pBdr>
        <w:tabs>
          <w:tab w:val="left" w:pos="426"/>
        </w:tabs>
        <w:ind w:left="567" w:right="-518"/>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p>
    <w:p w:rsidR="00133F34" w:rsidRDefault="00133F34" w:rsidP="00A63C01">
      <w:pPr>
        <w:pBdr>
          <w:top w:val="nil"/>
          <w:left w:val="nil"/>
          <w:bottom w:val="nil"/>
          <w:right w:val="nil"/>
          <w:between w:val="nil"/>
        </w:pBdr>
        <w:tabs>
          <w:tab w:val="left" w:pos="426"/>
        </w:tabs>
        <w:ind w:left="567" w:right="-518"/>
        <w:jc w:val="both"/>
        <w:rPr>
          <w:rFonts w:ascii="Palatino Linotype" w:eastAsia="Palatino Linotype" w:hAnsi="Palatino Linotype" w:cs="Palatino Linotype"/>
          <w:i/>
          <w:iCs/>
          <w:color w:val="000000"/>
        </w:rPr>
      </w:pPr>
    </w:p>
    <w:p w:rsidR="00133F34" w:rsidRDefault="00133F34" w:rsidP="00A63C01">
      <w:pPr>
        <w:pBdr>
          <w:top w:val="nil"/>
          <w:left w:val="nil"/>
          <w:bottom w:val="nil"/>
          <w:right w:val="nil"/>
          <w:between w:val="nil"/>
        </w:pBdr>
        <w:tabs>
          <w:tab w:val="left" w:pos="426"/>
        </w:tabs>
        <w:ind w:right="-518"/>
        <w:jc w:val="both"/>
        <w:rPr>
          <w:rFonts w:ascii="Palatino Linotype" w:eastAsia="Palatino Linotype" w:hAnsi="Palatino Linotype" w:cs="Palatino Linotype"/>
          <w:i/>
          <w:iCs/>
          <w:color w:val="000000"/>
        </w:rPr>
      </w:pPr>
    </w:p>
    <w:p w:rsidR="00133F34" w:rsidRDefault="009655C8" w:rsidP="00A63C01">
      <w:pPr>
        <w:numPr>
          <w:ilvl w:val="0"/>
          <w:numId w:val="3"/>
        </w:numPr>
        <w:spacing w:line="360" w:lineRule="auto"/>
        <w:ind w:left="0" w:right="-518"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Dentro de las unidades administrativas que integran el Consejo de la Judicatura del Poder Judicial del Estado de México, se encuentra la </w:t>
      </w:r>
      <w:r>
        <w:rPr>
          <w:rFonts w:ascii="Palatino Linotype" w:eastAsia="Palatino Linotype" w:hAnsi="Palatino Linotype" w:cs="Palatino Linotype"/>
          <w:b/>
          <w:bCs/>
          <w:color w:val="000000"/>
        </w:rPr>
        <w:t xml:space="preserve">Unidad de Transparencia </w:t>
      </w:r>
      <w:r>
        <w:rPr>
          <w:rFonts w:ascii="Palatino Linotype" w:eastAsia="Palatino Linotype" w:hAnsi="Palatino Linotype" w:cs="Palatino Linotype"/>
          <w:color w:val="000000"/>
        </w:rPr>
        <w:t xml:space="preserve">misma que tiene como objetivo coadyuvar en transparentar la gestión pública de impartición de justicia, mediante el ingreso y actualización de la información pública de oficio y la relativa a las obligaciones comunes y específicas en los portales de transparencia institucional, la rendición de cuentas y la participación ciudadana; así como coordinar la recepción, atención y trámite de solicitudes de acceso a la información y del ejercicio de los derechos de Acceso, Rectificación, Cancelación y Oposición de datos personales, y </w:t>
      </w:r>
      <w:r>
        <w:rPr>
          <w:rFonts w:ascii="Palatino Linotype" w:eastAsia="Palatino Linotype" w:hAnsi="Palatino Linotype" w:cs="Palatino Linotype"/>
          <w:color w:val="000000"/>
        </w:rPr>
        <w:lastRenderedPageBreak/>
        <w:t>tiene dentro de sus funciones las señaladas en el Manual General de Organización del Consejo de la Judicatura del Poder Judicial del Estado de México, siguientes:</w:t>
      </w:r>
    </w:p>
    <w:p w:rsidR="00133F34" w:rsidRDefault="009655C8" w:rsidP="00A63C01">
      <w:pPr>
        <w:pBdr>
          <w:top w:val="nil"/>
          <w:left w:val="nil"/>
          <w:bottom w:val="nil"/>
          <w:right w:val="nil"/>
          <w:between w:val="nil"/>
        </w:pBdr>
        <w:tabs>
          <w:tab w:val="left" w:pos="426"/>
        </w:tabs>
        <w:ind w:left="567" w:right="-518"/>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FUNCIONES</w:t>
      </w:r>
      <w:r>
        <w:rPr>
          <w:rFonts w:ascii="Palatino Linotype" w:eastAsia="Palatino Linotype" w:hAnsi="Palatino Linotype" w:cs="Palatino Linotype"/>
          <w:i/>
          <w:iCs/>
          <w:color w:val="000000"/>
        </w:rPr>
        <w:t xml:space="preserve">: </w:t>
      </w:r>
    </w:p>
    <w:p w:rsidR="00133F34" w:rsidRDefault="00133F34" w:rsidP="00A63C01">
      <w:pPr>
        <w:pBdr>
          <w:top w:val="nil"/>
          <w:left w:val="nil"/>
          <w:bottom w:val="nil"/>
          <w:right w:val="nil"/>
          <w:between w:val="nil"/>
        </w:pBdr>
        <w:tabs>
          <w:tab w:val="left" w:pos="426"/>
        </w:tabs>
        <w:ind w:left="567" w:right="-518"/>
        <w:jc w:val="both"/>
        <w:rPr>
          <w:rFonts w:ascii="Palatino Linotype" w:eastAsia="Palatino Linotype" w:hAnsi="Palatino Linotype" w:cs="Palatino Linotype"/>
          <w:i/>
          <w:iCs/>
          <w:color w:val="000000"/>
        </w:rPr>
      </w:pPr>
    </w:p>
    <w:p w:rsidR="00133F34" w:rsidRDefault="009655C8" w:rsidP="00A63C01">
      <w:pPr>
        <w:pBdr>
          <w:top w:val="nil"/>
          <w:left w:val="nil"/>
          <w:bottom w:val="nil"/>
          <w:right w:val="nil"/>
          <w:between w:val="nil"/>
        </w:pBdr>
        <w:tabs>
          <w:tab w:val="left" w:pos="426"/>
        </w:tabs>
        <w:ind w:left="567" w:right="-518"/>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p>
    <w:p w:rsidR="00133F34" w:rsidRDefault="009655C8" w:rsidP="00A63C01">
      <w:pPr>
        <w:pBdr>
          <w:top w:val="nil"/>
          <w:left w:val="nil"/>
          <w:bottom w:val="nil"/>
          <w:right w:val="nil"/>
          <w:between w:val="nil"/>
        </w:pBdr>
        <w:tabs>
          <w:tab w:val="left" w:pos="426"/>
        </w:tabs>
        <w:ind w:left="567" w:right="-518"/>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II. Coordinar el trámite y seguimiento, hasta su conclusión, de las solicitudes de acceso a la información y del ejercicio de los derechos de Acceso, Rectificación, Cancelación y Oposición de datos personales, cumpliendo con las formalidades y plazos señalados en las disposiciones aplicables. </w:t>
      </w:r>
    </w:p>
    <w:p w:rsidR="00133F34" w:rsidRDefault="009655C8" w:rsidP="00A63C01">
      <w:pPr>
        <w:pBdr>
          <w:top w:val="nil"/>
          <w:left w:val="nil"/>
          <w:bottom w:val="nil"/>
          <w:right w:val="nil"/>
          <w:between w:val="nil"/>
        </w:pBdr>
        <w:tabs>
          <w:tab w:val="left" w:pos="426"/>
        </w:tabs>
        <w:ind w:left="567" w:right="-518"/>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III. Orientar a las y los particulares en la elaboración de solicitudes de información y del ejercicio de los derechos de Acceso, Rectificación, Cancelación y Oposición de datos personales, así como, proporcionar asesoría para consultar los sistemas que integran la Plataforma Nacional de Transparencia. </w:t>
      </w:r>
    </w:p>
    <w:p w:rsidR="00133F34" w:rsidRDefault="009655C8" w:rsidP="00A63C01">
      <w:pPr>
        <w:pBdr>
          <w:top w:val="nil"/>
          <w:left w:val="nil"/>
          <w:bottom w:val="nil"/>
          <w:right w:val="nil"/>
          <w:between w:val="nil"/>
        </w:pBdr>
        <w:tabs>
          <w:tab w:val="left" w:pos="426"/>
        </w:tabs>
        <w:ind w:left="567" w:right="-518"/>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p>
    <w:p w:rsidR="00133F34" w:rsidRDefault="009655C8" w:rsidP="00A63C01">
      <w:pPr>
        <w:pBdr>
          <w:top w:val="nil"/>
          <w:left w:val="nil"/>
          <w:bottom w:val="nil"/>
          <w:right w:val="nil"/>
          <w:between w:val="nil"/>
        </w:pBdr>
        <w:tabs>
          <w:tab w:val="left" w:pos="426"/>
        </w:tabs>
        <w:ind w:left="567" w:right="-518"/>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XIV. Realizar los trámites internos necesarios para atender de manera oportuna, los requerimientos, observaciones y recomendaciones que en materia de transparencia y acceso a la información realice el Instituto de Transparencia, Acceso a la Información Pública y Protección de Datos Personales del Estado de México; así como, acatar sus resoluciones. </w:t>
      </w:r>
    </w:p>
    <w:p w:rsidR="00133F34" w:rsidRDefault="009655C8" w:rsidP="00A63C01">
      <w:pPr>
        <w:pBdr>
          <w:top w:val="nil"/>
          <w:left w:val="nil"/>
          <w:bottom w:val="nil"/>
          <w:right w:val="nil"/>
          <w:between w:val="nil"/>
        </w:pBdr>
        <w:tabs>
          <w:tab w:val="left" w:pos="426"/>
        </w:tabs>
        <w:ind w:left="567" w:right="-518"/>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p>
    <w:p w:rsidR="00133F34" w:rsidRDefault="009655C8" w:rsidP="00A63C01">
      <w:pPr>
        <w:pBdr>
          <w:top w:val="nil"/>
          <w:left w:val="nil"/>
          <w:bottom w:val="nil"/>
          <w:right w:val="nil"/>
          <w:between w:val="nil"/>
        </w:pBdr>
        <w:tabs>
          <w:tab w:val="left" w:pos="426"/>
        </w:tabs>
        <w:ind w:left="567" w:right="-518"/>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XVI. Coordinar los trabajos relacionados con la elaboración y publicación en el Portal de Transparencia Institucional de las versiones públicas de sentencias, de conformidad con la normatividad de la materia. </w:t>
      </w:r>
    </w:p>
    <w:p w:rsidR="00133F34" w:rsidRDefault="009655C8" w:rsidP="00A63C01">
      <w:pPr>
        <w:pBdr>
          <w:top w:val="nil"/>
          <w:left w:val="nil"/>
          <w:bottom w:val="nil"/>
          <w:right w:val="nil"/>
          <w:between w:val="nil"/>
        </w:pBdr>
        <w:tabs>
          <w:tab w:val="left" w:pos="426"/>
        </w:tabs>
        <w:ind w:left="567" w:right="-518"/>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p>
    <w:p w:rsidR="00133F34" w:rsidRDefault="009655C8" w:rsidP="00A63C01">
      <w:pPr>
        <w:pBdr>
          <w:top w:val="nil"/>
          <w:left w:val="nil"/>
          <w:bottom w:val="nil"/>
          <w:right w:val="nil"/>
          <w:between w:val="nil"/>
        </w:pBdr>
        <w:tabs>
          <w:tab w:val="left" w:pos="426"/>
        </w:tabs>
        <w:ind w:left="567" w:right="-518"/>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XXII. Desarrollar las demás funciones inherentes al área de su competencia.</w:t>
      </w:r>
    </w:p>
    <w:p w:rsidR="00133F34" w:rsidRDefault="00133F34" w:rsidP="00A63C01">
      <w:pPr>
        <w:pBdr>
          <w:top w:val="nil"/>
          <w:left w:val="nil"/>
          <w:bottom w:val="nil"/>
          <w:right w:val="nil"/>
          <w:between w:val="nil"/>
        </w:pBdr>
        <w:tabs>
          <w:tab w:val="left" w:pos="426"/>
        </w:tabs>
        <w:spacing w:line="360" w:lineRule="auto"/>
        <w:ind w:right="-518"/>
        <w:jc w:val="both"/>
        <w:rPr>
          <w:rFonts w:ascii="Palatino Linotype" w:eastAsia="Palatino Linotype" w:hAnsi="Palatino Linotype" w:cs="Palatino Linotype"/>
        </w:rPr>
      </w:pPr>
    </w:p>
    <w:p w:rsidR="00133F34" w:rsidRDefault="009655C8" w:rsidP="00A63C01">
      <w:pPr>
        <w:numPr>
          <w:ilvl w:val="0"/>
          <w:numId w:val="3"/>
        </w:numPr>
        <w:spacing w:line="360" w:lineRule="auto"/>
        <w:ind w:left="0" w:right="-518" w:firstLine="0"/>
        <w:jc w:val="both"/>
        <w:rPr>
          <w:rFonts w:ascii="Palatino Linotype" w:eastAsia="Palatino Linotype" w:hAnsi="Palatino Linotype" w:cs="Palatino Linotype"/>
          <w:color w:val="000000"/>
        </w:rPr>
      </w:pPr>
      <w:r>
        <w:rPr>
          <w:rFonts w:ascii="Palatino Linotype" w:eastAsia="Palatino Linotype" w:hAnsi="Palatino Linotype" w:cs="Palatino Linotype"/>
        </w:rPr>
        <w:t xml:space="preserve">De lo expuesto es de precisar que la respuesta fue proporcionada por la </w:t>
      </w:r>
      <w:r>
        <w:rPr>
          <w:rFonts w:ascii="Palatino Linotype" w:eastAsia="Palatino Linotype" w:hAnsi="Palatino Linotype" w:cs="Palatino Linotype"/>
          <w:b/>
          <w:bCs/>
          <w:color w:val="000000"/>
        </w:rPr>
        <w:t xml:space="preserve">Unidad de Transparencia, </w:t>
      </w:r>
      <w:r>
        <w:rPr>
          <w:rFonts w:ascii="Palatino Linotype" w:eastAsia="Palatino Linotype" w:hAnsi="Palatino Linotype" w:cs="Palatino Linotype"/>
          <w:color w:val="000000"/>
        </w:rPr>
        <w:t xml:space="preserve">quien refirió de manera medular que </w:t>
      </w:r>
      <w:r>
        <w:rPr>
          <w:rFonts w:ascii="Palatino Linotype" w:eastAsia="Palatino Linotype" w:hAnsi="Palatino Linotype" w:cs="Palatino Linotype"/>
          <w:i/>
          <w:iCs/>
          <w:color w:val="000000"/>
        </w:rPr>
        <w:t xml:space="preserve">“…realizar un pronunciamiento sobre la existencia de juicio o del estado procesal aun cuando no cuente con una sentencia firme podría beneficiar a alguna de las partes involucradas afectando el debido proceso. Además, proporcionar la información requerida, relacionada con el nombre de las personas, se estaría vinculando una situación jurídica de las personas identificadas en el requerimiento como participantes de un juicio de cualquier naturaleza, así como, el estado procesal del mismo. No se omite mencionar que, </w:t>
      </w:r>
      <w:r>
        <w:rPr>
          <w:rFonts w:ascii="Palatino Linotype" w:eastAsia="Palatino Linotype" w:hAnsi="Palatino Linotype" w:cs="Palatino Linotype"/>
          <w:b/>
          <w:bCs/>
          <w:i/>
          <w:iCs/>
          <w:color w:val="000000"/>
          <w:u w:val="single"/>
        </w:rPr>
        <w:t xml:space="preserve">la búsqueda de expedientes se realiza de acuerdo al número y juzgado </w:t>
      </w:r>
      <w:r>
        <w:rPr>
          <w:rFonts w:ascii="Palatino Linotype" w:eastAsia="Palatino Linotype" w:hAnsi="Palatino Linotype" w:cs="Palatino Linotype"/>
          <w:b/>
          <w:bCs/>
          <w:i/>
          <w:iCs/>
          <w:color w:val="000000"/>
          <w:u w:val="single"/>
        </w:rPr>
        <w:lastRenderedPageBreak/>
        <w:t>de radicación, no así por la descripción del asunto jurisdiccional</w:t>
      </w:r>
      <w:r>
        <w:rPr>
          <w:rFonts w:ascii="Palatino Linotype" w:eastAsia="Palatino Linotype" w:hAnsi="Palatino Linotype" w:cs="Palatino Linotype"/>
          <w:color w:val="000000"/>
        </w:rPr>
        <w:t>, circunstancia de la cual se dolió el particular por la negativa a la información solicitada, posteriormente a través de Informe Justificado, el Sujeto Obligado a través de la Unidad de Transparencia, ratificó su respuesta inicial, reiterando también, en atención al motivo de inconformidad sobre “</w:t>
      </w:r>
      <w:r>
        <w:rPr>
          <w:rFonts w:ascii="Palatino Linotype" w:eastAsia="Palatino Linotype" w:hAnsi="Palatino Linotype" w:cs="Palatino Linotype"/>
          <w:i/>
          <w:iCs/>
          <w:color w:val="000000"/>
        </w:rPr>
        <w:t xml:space="preserve">no realizó una búsqueda exhaustiva”, </w:t>
      </w:r>
      <w:r>
        <w:rPr>
          <w:rFonts w:ascii="Palatino Linotype" w:eastAsia="Palatino Linotype" w:hAnsi="Palatino Linotype" w:cs="Palatino Linotype"/>
          <w:color w:val="000000"/>
        </w:rPr>
        <w:t xml:space="preserve">que </w:t>
      </w:r>
      <w:r>
        <w:rPr>
          <w:rFonts w:ascii="Palatino Linotype" w:eastAsia="Palatino Linotype" w:hAnsi="Palatino Linotype" w:cs="Palatino Linotype"/>
          <w:i/>
          <w:iCs/>
          <w:color w:val="000000"/>
        </w:rPr>
        <w:t xml:space="preserve">la búsqueda realizada conforme a los criterios institucionales (número de expediente) constituye una búsqueda razonable, suficiente y acorde a la organización archivística, por lo que </w:t>
      </w:r>
      <w:r>
        <w:rPr>
          <w:rFonts w:ascii="Palatino Linotype" w:eastAsia="Palatino Linotype" w:hAnsi="Palatino Linotype" w:cs="Palatino Linotype"/>
          <w:i/>
          <w:iCs/>
          <w:color w:val="000000"/>
          <w:u w:val="single"/>
        </w:rPr>
        <w:t>no puede exigirse una búsqueda distinta que implique: • rastrear por nombres de personas (datos personales), • reconstruir hechos notorios, • o generar inferencias</w:t>
      </w:r>
      <w:r>
        <w:rPr>
          <w:rFonts w:ascii="Palatino Linotype" w:eastAsia="Palatino Linotype" w:hAnsi="Palatino Linotype" w:cs="Palatino Linotype"/>
          <w:color w:val="000000"/>
          <w:u w:val="single"/>
        </w:rPr>
        <w:t>,</w:t>
      </w:r>
      <w:r>
        <w:rPr>
          <w:rFonts w:ascii="Palatino Linotype" w:eastAsia="Palatino Linotype" w:hAnsi="Palatino Linotype" w:cs="Palatino Linotype"/>
          <w:color w:val="000000"/>
        </w:rPr>
        <w:t xml:space="preserve"> en ambos pronunciamientos manifestó que en caso de ser persona autorizada en autos del expediente, podrá acceder a él a través del órgano jurisdiccional competente; en el supuesto de ser el titular de los datos personales, representante legal debidamente acreditado o tener interés jurídico y legítimo, puede ejercer su derecho de acceso a datos personales mediante sus derechos ARCO a través de la plataforma SARCOEM, se señala el link para acceder a los datos requeridos.</w:t>
      </w:r>
    </w:p>
    <w:p w:rsidR="00133F34" w:rsidRDefault="00133F34" w:rsidP="00A63C01">
      <w:pPr>
        <w:spacing w:line="360" w:lineRule="auto"/>
        <w:ind w:right="-518"/>
        <w:jc w:val="both"/>
        <w:rPr>
          <w:rFonts w:ascii="Palatino Linotype" w:eastAsia="Palatino Linotype" w:hAnsi="Palatino Linotype" w:cs="Palatino Linotype"/>
          <w:i/>
          <w:iCs/>
          <w:color w:val="000000"/>
        </w:rPr>
      </w:pPr>
    </w:p>
    <w:p w:rsidR="00133F34" w:rsidRDefault="009655C8" w:rsidP="00A63C01">
      <w:pPr>
        <w:numPr>
          <w:ilvl w:val="0"/>
          <w:numId w:val="3"/>
        </w:numPr>
        <w:spacing w:line="360" w:lineRule="auto"/>
        <w:ind w:left="0" w:right="-518" w:firstLine="0"/>
        <w:jc w:val="both"/>
        <w:rPr>
          <w:rFonts w:ascii="Palatino Linotype" w:eastAsia="Palatino Linotype" w:hAnsi="Palatino Linotype" w:cs="Palatino Linotype"/>
        </w:rPr>
      </w:pPr>
      <w:r>
        <w:rPr>
          <w:rFonts w:ascii="Palatino Linotype" w:eastAsia="Palatino Linotype" w:hAnsi="Palatino Linotype" w:cs="Palatino Linotype"/>
        </w:rPr>
        <w:t>En razón de lo expuesto es de precisar lo establecido en la Ley de Transparencia local:</w:t>
      </w:r>
    </w:p>
    <w:p w:rsidR="00133F34" w:rsidRDefault="009655C8" w:rsidP="00A63C01">
      <w:pPr>
        <w:pBdr>
          <w:top w:val="nil"/>
          <w:left w:val="nil"/>
          <w:bottom w:val="nil"/>
          <w:right w:val="nil"/>
          <w:between w:val="nil"/>
        </w:pBdr>
        <w:tabs>
          <w:tab w:val="left" w:pos="426"/>
        </w:tabs>
        <w:ind w:left="567" w:right="-518"/>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Artículo 155</w:t>
      </w:r>
      <w:r>
        <w:rPr>
          <w:rFonts w:ascii="Palatino Linotype" w:eastAsia="Palatino Linotype" w:hAnsi="Palatino Linotype" w:cs="Palatino Linotype"/>
          <w:i/>
          <w:iCs/>
          <w:color w:val="000000"/>
        </w:rPr>
        <w:t>. Para presentar una solicitud por escrito, no se podrán exigir mayores requisitos que los siguientes:</w:t>
      </w:r>
    </w:p>
    <w:p w:rsidR="00133F34" w:rsidRDefault="009655C8" w:rsidP="00A63C01">
      <w:pPr>
        <w:pBdr>
          <w:top w:val="nil"/>
          <w:left w:val="nil"/>
          <w:bottom w:val="nil"/>
          <w:right w:val="nil"/>
          <w:between w:val="nil"/>
        </w:pBdr>
        <w:tabs>
          <w:tab w:val="left" w:pos="426"/>
        </w:tabs>
        <w:ind w:left="567" w:right="-518"/>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p>
    <w:p w:rsidR="00133F34" w:rsidRDefault="009655C8" w:rsidP="00A63C01">
      <w:pPr>
        <w:pBdr>
          <w:top w:val="nil"/>
          <w:left w:val="nil"/>
          <w:bottom w:val="nil"/>
          <w:right w:val="nil"/>
          <w:between w:val="nil"/>
        </w:pBdr>
        <w:tabs>
          <w:tab w:val="left" w:pos="426"/>
        </w:tabs>
        <w:ind w:left="567" w:right="-518"/>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III. La descripción de la información solicitada;</w:t>
      </w:r>
    </w:p>
    <w:p w:rsidR="00133F34" w:rsidRDefault="009655C8" w:rsidP="00A63C01">
      <w:pPr>
        <w:pBdr>
          <w:top w:val="nil"/>
          <w:left w:val="nil"/>
          <w:bottom w:val="nil"/>
          <w:right w:val="nil"/>
          <w:between w:val="nil"/>
        </w:pBdr>
        <w:tabs>
          <w:tab w:val="left" w:pos="426"/>
        </w:tabs>
        <w:ind w:left="567" w:right="-518"/>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IV. Cualquier otro dato que facilite la búsqueda y eventual localización de la información; y</w:t>
      </w:r>
    </w:p>
    <w:p w:rsidR="00133F34" w:rsidRDefault="009655C8" w:rsidP="00A63C01">
      <w:pPr>
        <w:pBdr>
          <w:top w:val="nil"/>
          <w:left w:val="nil"/>
          <w:bottom w:val="nil"/>
          <w:right w:val="nil"/>
          <w:between w:val="nil"/>
        </w:pBdr>
        <w:tabs>
          <w:tab w:val="left" w:pos="426"/>
        </w:tabs>
        <w:ind w:left="567" w:right="-518"/>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p>
    <w:p w:rsidR="00133F34" w:rsidRDefault="00133F34" w:rsidP="00A63C01">
      <w:pPr>
        <w:pBdr>
          <w:top w:val="nil"/>
          <w:left w:val="nil"/>
          <w:bottom w:val="nil"/>
          <w:right w:val="nil"/>
          <w:between w:val="nil"/>
        </w:pBdr>
        <w:tabs>
          <w:tab w:val="left" w:pos="426"/>
        </w:tabs>
        <w:ind w:left="567" w:right="-518"/>
        <w:jc w:val="both"/>
        <w:rPr>
          <w:rFonts w:ascii="Palatino Linotype" w:eastAsia="Palatino Linotype" w:hAnsi="Palatino Linotype" w:cs="Palatino Linotype"/>
          <w:i/>
          <w:iCs/>
          <w:color w:val="000000"/>
        </w:rPr>
      </w:pPr>
    </w:p>
    <w:p w:rsidR="00133F34" w:rsidRDefault="009655C8" w:rsidP="00A63C01">
      <w:pPr>
        <w:pBdr>
          <w:top w:val="nil"/>
          <w:left w:val="nil"/>
          <w:bottom w:val="nil"/>
          <w:right w:val="nil"/>
          <w:between w:val="nil"/>
        </w:pBdr>
        <w:tabs>
          <w:tab w:val="left" w:pos="426"/>
        </w:tabs>
        <w:ind w:left="567" w:right="-518"/>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Artículo 162</w:t>
      </w:r>
      <w:r>
        <w:rPr>
          <w:rFonts w:ascii="Palatino Linotype" w:eastAsia="Palatino Linotype" w:hAnsi="Palatino Linotype" w:cs="Palatino Linotype"/>
          <w:i/>
          <w:iCs/>
          <w:color w:val="000000"/>
        </w:rPr>
        <w:t>. Las unidades de transparencia deberán garantizar que las solicitudes se turnen a todas las Áreas competentes que cuenten con la información o deban tenerla de acuerdo a sus facultades, competencias y funciones, con el objeto de que realicen una búsqueda exhaustiva y razonable de la información solicitada.</w:t>
      </w:r>
    </w:p>
    <w:p w:rsidR="00133F34" w:rsidRDefault="00133F34" w:rsidP="00A63C01">
      <w:pPr>
        <w:pBdr>
          <w:top w:val="nil"/>
          <w:left w:val="nil"/>
          <w:bottom w:val="nil"/>
          <w:right w:val="nil"/>
          <w:between w:val="nil"/>
        </w:pBdr>
        <w:tabs>
          <w:tab w:val="left" w:pos="426"/>
        </w:tabs>
        <w:ind w:left="567" w:right="-518"/>
        <w:jc w:val="both"/>
        <w:rPr>
          <w:rFonts w:ascii="Palatino Linotype" w:eastAsia="Palatino Linotype" w:hAnsi="Palatino Linotype" w:cs="Palatino Linotype"/>
          <w:i/>
          <w:iCs/>
          <w:color w:val="000000"/>
        </w:rPr>
      </w:pPr>
    </w:p>
    <w:p w:rsidR="00133F34" w:rsidRDefault="00133F34" w:rsidP="00A63C01">
      <w:pPr>
        <w:pBdr>
          <w:top w:val="nil"/>
          <w:left w:val="nil"/>
          <w:bottom w:val="nil"/>
          <w:right w:val="nil"/>
          <w:between w:val="nil"/>
        </w:pBdr>
        <w:tabs>
          <w:tab w:val="left" w:pos="426"/>
        </w:tabs>
        <w:ind w:right="-518"/>
        <w:jc w:val="both"/>
        <w:rPr>
          <w:rFonts w:ascii="Palatino Linotype" w:eastAsia="Palatino Linotype" w:hAnsi="Palatino Linotype" w:cs="Palatino Linotype"/>
          <w:b/>
          <w:bCs/>
          <w:color w:val="000000"/>
        </w:rPr>
      </w:pPr>
    </w:p>
    <w:p w:rsidR="00133F34" w:rsidRDefault="009655C8" w:rsidP="00A63C01">
      <w:pPr>
        <w:numPr>
          <w:ilvl w:val="0"/>
          <w:numId w:val="3"/>
        </w:numPr>
        <w:spacing w:line="360" w:lineRule="auto"/>
        <w:ind w:left="0" w:right="-518"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De la normatividad en estudio es de resaltar que una solicitud de información tiene como requisito la descripción de la información solicitada y los datos que faciliten su búsqueda, en consecuencia, la unidad de transparencia la turnará a las unidades administrativas competentes, a fin de realizar una búsqueda exhaustiva y razonable de la información solicitada.</w:t>
      </w:r>
    </w:p>
    <w:p w:rsidR="00133F34" w:rsidRDefault="00133F34" w:rsidP="00A63C01">
      <w:pPr>
        <w:spacing w:line="360" w:lineRule="auto"/>
        <w:ind w:right="-518"/>
        <w:jc w:val="both"/>
        <w:rPr>
          <w:rFonts w:ascii="Palatino Linotype" w:eastAsia="Palatino Linotype" w:hAnsi="Palatino Linotype" w:cs="Palatino Linotype"/>
          <w:color w:val="000000"/>
        </w:rPr>
      </w:pPr>
    </w:p>
    <w:p w:rsidR="00133F34" w:rsidRDefault="009655C8" w:rsidP="00A63C01">
      <w:pPr>
        <w:numPr>
          <w:ilvl w:val="0"/>
          <w:numId w:val="3"/>
        </w:numPr>
        <w:spacing w:line="360" w:lineRule="auto"/>
        <w:ind w:left="0" w:right="-518"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De ello, es de recordar que el particular requirió </w:t>
      </w:r>
      <w:r>
        <w:rPr>
          <w:rFonts w:ascii="Palatino Linotype" w:eastAsia="Palatino Linotype" w:hAnsi="Palatino Linotype" w:cs="Palatino Linotype"/>
          <w:i/>
          <w:iCs/>
          <w:color w:val="000000"/>
          <w:u w:val="single"/>
        </w:rPr>
        <w:t>Estado procesal de la causa penal iniciada contra policías municipales de Acambay detenidos en noviembre de 2025 por su presunta participación en el homicidio de un elemento de la Secretaría de Seguridad del Estado de México durante un enfrentamiento armado con fuerzas estatales y federales. En caso de existir sentencia: Fecha de la resolución, Tipo de resolución (sentencia condenatoria o absolutoria) y Años de pena impuestos</w:t>
      </w:r>
      <w:r>
        <w:rPr>
          <w:rFonts w:ascii="Palatino Linotype" w:eastAsia="Palatino Linotype" w:hAnsi="Palatino Linotype" w:cs="Palatino Linotype"/>
          <w:color w:val="000000"/>
        </w:rPr>
        <w:t xml:space="preserve">, a lo que el Sujeto Obligado a través de la Unidad de Transparencia consideró no contar con los elementos suficientes para turnar la solicitud a las Áreas competentes que deban tener la información de acuerdo a sus facultades, competencias y funciones, al señalar que </w:t>
      </w:r>
      <w:r>
        <w:rPr>
          <w:rFonts w:ascii="Palatino Linotype" w:eastAsia="Palatino Linotype" w:hAnsi="Palatino Linotype" w:cs="Palatino Linotype"/>
          <w:i/>
          <w:iCs/>
          <w:color w:val="000000"/>
        </w:rPr>
        <w:t>la búsqueda de expedientes se realiza de acuerdo al número y juzgado de radicación, no así por la descripción del asunto jurisdiccional</w:t>
      </w:r>
      <w:r>
        <w:rPr>
          <w:rFonts w:ascii="Palatino Linotype" w:eastAsia="Palatino Linotype" w:hAnsi="Palatino Linotype" w:cs="Palatino Linotype"/>
          <w:color w:val="000000"/>
        </w:rPr>
        <w:t xml:space="preserve">¸ reiterando en Informe Justificado que </w:t>
      </w:r>
      <w:r>
        <w:rPr>
          <w:rFonts w:ascii="Palatino Linotype" w:eastAsia="Palatino Linotype" w:hAnsi="Palatino Linotype" w:cs="Palatino Linotype"/>
          <w:i/>
          <w:iCs/>
          <w:color w:val="000000"/>
        </w:rPr>
        <w:t>no puede exigirse una búsqueda distinta que implique: • rastrear por nombres de personas (datos personales), • reconstruir hechos notorios, • o generar inferencias.</w:t>
      </w:r>
    </w:p>
    <w:p w:rsidR="00133F34" w:rsidRDefault="00133F34" w:rsidP="00A63C01">
      <w:pPr>
        <w:spacing w:line="360" w:lineRule="auto"/>
        <w:ind w:right="-518"/>
        <w:jc w:val="both"/>
        <w:rPr>
          <w:rFonts w:ascii="Palatino Linotype" w:eastAsia="Palatino Linotype" w:hAnsi="Palatino Linotype" w:cs="Palatino Linotype"/>
          <w:i/>
          <w:iCs/>
          <w:color w:val="000000"/>
        </w:rPr>
      </w:pPr>
    </w:p>
    <w:p w:rsidR="00133F34" w:rsidRDefault="009655C8" w:rsidP="00A63C01">
      <w:pPr>
        <w:numPr>
          <w:ilvl w:val="0"/>
          <w:numId w:val="3"/>
        </w:numPr>
        <w:spacing w:line="360" w:lineRule="auto"/>
        <w:ind w:left="0" w:right="-518"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Ahora bien, como fue señalado por el Sujeto Obligado, su normativa limita la localización de expedientes estrictamente a su </w:t>
      </w:r>
      <w:r>
        <w:rPr>
          <w:rFonts w:ascii="Palatino Linotype" w:eastAsia="Palatino Linotype" w:hAnsi="Palatino Linotype" w:cs="Palatino Linotype"/>
          <w:b/>
          <w:bCs/>
          <w:color w:val="000000"/>
        </w:rPr>
        <w:t>número de causa penal</w:t>
      </w:r>
      <w:r>
        <w:rPr>
          <w:rFonts w:ascii="Palatino Linotype" w:eastAsia="Palatino Linotype" w:hAnsi="Palatino Linotype" w:cs="Palatino Linotype"/>
          <w:color w:val="000000"/>
        </w:rPr>
        <w:t> y </w:t>
      </w:r>
      <w:r>
        <w:rPr>
          <w:rFonts w:ascii="Palatino Linotype" w:eastAsia="Palatino Linotype" w:hAnsi="Palatino Linotype" w:cs="Palatino Linotype"/>
          <w:b/>
          <w:bCs/>
          <w:color w:val="000000"/>
        </w:rPr>
        <w:t>juzgado de radicación</w:t>
      </w:r>
      <w:r>
        <w:rPr>
          <w:rFonts w:ascii="Palatino Linotype" w:eastAsia="Palatino Linotype" w:hAnsi="Palatino Linotype" w:cs="Palatino Linotype"/>
          <w:color w:val="000000"/>
        </w:rPr>
        <w:t xml:space="preserve">, inexistiendo bases de datos distintas para realizar búsquedas por alias, nombres, presuntos delitos o por los hechos narrados. Buscar por nombre de presuntos responsables y extraer su situación jurídica (condenatoria/absolutoria, años de pena) implica procesar datos de carácter confidencial. Al no contar con el número de expediente exacto, la Unidad de Transparencia está materialmente imposibilitada para turnar la </w:t>
      </w:r>
      <w:r>
        <w:rPr>
          <w:rFonts w:ascii="Palatino Linotype" w:eastAsia="Palatino Linotype" w:hAnsi="Palatino Linotype" w:cs="Palatino Linotype"/>
          <w:color w:val="000000"/>
        </w:rPr>
        <w:lastRenderedPageBreak/>
        <w:t xml:space="preserve">solicitud a las áreas competentes, robustece lo anterior el artículo 12 </w:t>
      </w:r>
      <w:r>
        <w:rPr>
          <w:rFonts w:ascii="Palatino Linotype" w:eastAsia="Palatino Linotype" w:hAnsi="Palatino Linotype" w:cs="Palatino Linotype"/>
        </w:rPr>
        <w:t>de la Ley de Transparencia y Acceso a la Información Pública del Estado de México y Municipios.</w:t>
      </w:r>
    </w:p>
    <w:p w:rsidR="00133F34" w:rsidRDefault="009655C8" w:rsidP="00A63C01">
      <w:pPr>
        <w:tabs>
          <w:tab w:val="left" w:pos="8505"/>
        </w:tabs>
        <w:ind w:left="709" w:right="-518"/>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Artículo 12.</w:t>
      </w:r>
      <w:r>
        <w:rPr>
          <w:rFonts w:ascii="Palatino Linotype" w:eastAsia="Palatino Linotype" w:hAnsi="Palatino Linotype" w:cs="Palatino Linotype"/>
          <w:i/>
          <w:iCs/>
        </w:rPr>
        <w:t> Quienes generen, recopilen, administren, manejen, procesen, archiven o conserven información pública serán responsables de la misma en los términos de las disposiciones jurídicas aplicables.</w:t>
      </w:r>
    </w:p>
    <w:p w:rsidR="00133F34" w:rsidRDefault="00133F34" w:rsidP="00A63C01">
      <w:pPr>
        <w:tabs>
          <w:tab w:val="left" w:pos="8505"/>
        </w:tabs>
        <w:ind w:left="709" w:right="-518"/>
        <w:jc w:val="both"/>
        <w:rPr>
          <w:rFonts w:ascii="Palatino Linotype" w:eastAsia="Palatino Linotype" w:hAnsi="Palatino Linotype" w:cs="Palatino Linotype"/>
          <w:i/>
          <w:iCs/>
        </w:rPr>
      </w:pPr>
    </w:p>
    <w:p w:rsidR="00133F34" w:rsidRDefault="009655C8" w:rsidP="00A63C01">
      <w:pPr>
        <w:tabs>
          <w:tab w:val="left" w:pos="8505"/>
        </w:tabs>
        <w:ind w:left="709" w:right="-518"/>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Los sujetos obligados sólo proporcionarán la información pública que se les requiera y que obre en sus archivos y en el estado en que ésta se encuentre. </w:t>
      </w:r>
      <w:r>
        <w:rPr>
          <w:rFonts w:ascii="Palatino Linotype" w:eastAsia="Palatino Linotype" w:hAnsi="Palatino Linotype" w:cs="Palatino Linotype"/>
          <w:b/>
          <w:bCs/>
          <w:i/>
          <w:iCs/>
          <w:u w:val="single"/>
        </w:rPr>
        <w:t>La obligación de proporcionar información no comprende</w:t>
      </w:r>
      <w:r>
        <w:rPr>
          <w:rFonts w:ascii="Palatino Linotype" w:eastAsia="Palatino Linotype" w:hAnsi="Palatino Linotype" w:cs="Palatino Linotype"/>
          <w:b/>
          <w:bCs/>
          <w:i/>
          <w:iCs/>
        </w:rPr>
        <w:t xml:space="preserve"> el procesamiento de la misma, ni el presentarla conforme al interés del solicitante; no estarán obligados a generarla, resumirla, efectuar cálculos o </w:t>
      </w:r>
      <w:r>
        <w:rPr>
          <w:rFonts w:ascii="Palatino Linotype" w:eastAsia="Palatino Linotype" w:hAnsi="Palatino Linotype" w:cs="Palatino Linotype"/>
          <w:b/>
          <w:bCs/>
          <w:i/>
          <w:iCs/>
          <w:u w:val="single"/>
        </w:rPr>
        <w:t>practicar investigaciones</w:t>
      </w:r>
      <w:r>
        <w:rPr>
          <w:rFonts w:ascii="Palatino Linotype" w:eastAsia="Palatino Linotype" w:hAnsi="Palatino Linotype" w:cs="Palatino Linotype"/>
          <w:i/>
          <w:iCs/>
        </w:rPr>
        <w:t>.”</w:t>
      </w:r>
    </w:p>
    <w:p w:rsidR="00133F34" w:rsidRDefault="00133F34" w:rsidP="00A63C01">
      <w:pPr>
        <w:tabs>
          <w:tab w:val="left" w:pos="8505"/>
        </w:tabs>
        <w:ind w:left="709" w:right="-518"/>
        <w:jc w:val="both"/>
        <w:rPr>
          <w:rFonts w:ascii="Palatino Linotype" w:eastAsia="Palatino Linotype" w:hAnsi="Palatino Linotype" w:cs="Palatino Linotype"/>
          <w:i/>
          <w:iCs/>
        </w:rPr>
      </w:pPr>
    </w:p>
    <w:p w:rsidR="00133F34" w:rsidRDefault="00133F34" w:rsidP="00A63C01">
      <w:pPr>
        <w:pBdr>
          <w:top w:val="nil"/>
          <w:left w:val="nil"/>
          <w:bottom w:val="nil"/>
          <w:right w:val="nil"/>
          <w:between w:val="nil"/>
        </w:pBdr>
        <w:ind w:left="-566" w:right="-518"/>
        <w:rPr>
          <w:rFonts w:ascii="Palatino Linotype" w:eastAsia="Palatino Linotype" w:hAnsi="Palatino Linotype" w:cs="Palatino Linotype"/>
          <w:color w:val="000000"/>
        </w:rPr>
      </w:pPr>
    </w:p>
    <w:p w:rsidR="00133F34" w:rsidRDefault="009655C8" w:rsidP="00A63C01">
      <w:pPr>
        <w:numPr>
          <w:ilvl w:val="0"/>
          <w:numId w:val="3"/>
        </w:numPr>
        <w:spacing w:line="360" w:lineRule="auto"/>
        <w:ind w:left="0" w:right="-518" w:firstLine="0"/>
        <w:jc w:val="both"/>
        <w:rPr>
          <w:rFonts w:ascii="Palatino Linotype" w:eastAsia="Palatino Linotype" w:hAnsi="Palatino Linotype" w:cs="Palatino Linotype"/>
        </w:rPr>
      </w:pPr>
      <w:bookmarkStart w:id="6" w:name="_heading=h.h4h1mg42k7fi" w:colFirst="0" w:colLast="0"/>
      <w:bookmarkEnd w:id="6"/>
      <w:r>
        <w:rPr>
          <w:rFonts w:ascii="Palatino Linotype" w:eastAsia="Palatino Linotype" w:hAnsi="Palatino Linotype" w:cs="Palatino Linotype"/>
        </w:rPr>
        <w:t>Es así que los Sujetos Obligados no tienen el deber de realizar investigaciones, ni sintetizar, ni construir inferencias a partir de notas periodísticas o datos imprecisos proporcionados por el particular, toda vez que la presente solicitud pretende obligar al Poder Judicial a  realizar una investigación y un cruce de datos para identificar qué carpeta de investigación cumple con las características referidas en la solicitud de información, lo cual rebasa el alcance del derecho de acceso a la información.</w:t>
      </w:r>
    </w:p>
    <w:p w:rsidR="00133F34" w:rsidRDefault="00133F34" w:rsidP="00A63C01">
      <w:pPr>
        <w:spacing w:line="360" w:lineRule="auto"/>
        <w:ind w:right="-518"/>
        <w:jc w:val="both"/>
        <w:rPr>
          <w:rFonts w:ascii="Palatino Linotype" w:eastAsia="Palatino Linotype" w:hAnsi="Palatino Linotype" w:cs="Palatino Linotype"/>
        </w:rPr>
      </w:pPr>
    </w:p>
    <w:p w:rsidR="00133F34" w:rsidRDefault="009655C8" w:rsidP="00A63C01">
      <w:pPr>
        <w:numPr>
          <w:ilvl w:val="0"/>
          <w:numId w:val="3"/>
        </w:numPr>
        <w:spacing w:line="360" w:lineRule="auto"/>
        <w:ind w:left="0" w:right="-518"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Así </w:t>
      </w:r>
      <w:r>
        <w:rPr>
          <w:rFonts w:ascii="Palatino Linotype" w:eastAsia="Palatino Linotype" w:hAnsi="Palatino Linotype" w:cs="Palatino Linotype"/>
          <w:color w:val="000000"/>
        </w:rPr>
        <w:t>mismo</w:t>
      </w:r>
      <w:r>
        <w:rPr>
          <w:rFonts w:ascii="Palatino Linotype" w:eastAsia="Palatino Linotype" w:hAnsi="Palatino Linotype" w:cs="Palatino Linotype"/>
        </w:rPr>
        <w:t xml:space="preserve">, la Ley de Transparencia y Acceso a la Información Pública del Estado de México y Municipios establece que la información pública generada, administrada o en posesión de los Sujetos Obligados en ejercicio de sus atribuciones, será accesible de manera permanente a cualquier persona, privilegiando el principio de máxima publicidad de la información, por lo que deberán apegarse en todo momento a los criterios de publicidad, </w:t>
      </w:r>
      <w:r>
        <w:rPr>
          <w:rFonts w:ascii="Palatino Linotype" w:eastAsia="Palatino Linotype" w:hAnsi="Palatino Linotype" w:cs="Palatino Linotype"/>
          <w:b/>
          <w:bCs/>
        </w:rPr>
        <w:t>veracidad</w:t>
      </w:r>
      <w:r>
        <w:rPr>
          <w:rFonts w:ascii="Palatino Linotype" w:eastAsia="Palatino Linotype" w:hAnsi="Palatino Linotype" w:cs="Palatino Linotype"/>
        </w:rPr>
        <w:t>, oportunidad entre otros, numeral en comento que a la letra señala:</w:t>
      </w:r>
    </w:p>
    <w:p w:rsidR="00133F34" w:rsidRDefault="009655C8" w:rsidP="00A63C01">
      <w:pPr>
        <w:pBdr>
          <w:top w:val="nil"/>
          <w:left w:val="nil"/>
          <w:bottom w:val="nil"/>
          <w:right w:val="nil"/>
          <w:between w:val="nil"/>
        </w:pBdr>
        <w:ind w:left="646" w:right="-518"/>
        <w:jc w:val="both"/>
        <w:rPr>
          <w:rFonts w:ascii="Palatino Linotype" w:eastAsia="Palatino Linotype" w:hAnsi="Palatino Linotype" w:cs="Palatino Linotype"/>
          <w:b/>
          <w:bCs/>
          <w:i/>
          <w:iCs/>
          <w:color w:val="000000"/>
          <w:sz w:val="22"/>
          <w:szCs w:val="22"/>
        </w:rPr>
      </w:pPr>
      <w:r>
        <w:rPr>
          <w:rFonts w:ascii="Palatino Linotype" w:eastAsia="Palatino Linotype" w:hAnsi="Palatino Linotype" w:cs="Palatino Linotype"/>
          <w:i/>
          <w:iCs/>
          <w:color w:val="000000"/>
          <w:sz w:val="22"/>
          <w:szCs w:val="22"/>
        </w:rPr>
        <w:t xml:space="preserve">Artículo 3.- La información pública generada, administrada o en posesión de los Sujetos Obligados en ejercicio de sus atribuciones, será accesible de manera permanente a cualquier persona, privilegiando el </w:t>
      </w:r>
      <w:bookmarkStart w:id="7" w:name="_GoBack"/>
      <w:bookmarkEnd w:id="7"/>
      <w:r>
        <w:rPr>
          <w:rFonts w:ascii="Palatino Linotype" w:eastAsia="Palatino Linotype" w:hAnsi="Palatino Linotype" w:cs="Palatino Linotype"/>
          <w:i/>
          <w:iCs/>
          <w:color w:val="000000"/>
          <w:sz w:val="22"/>
          <w:szCs w:val="22"/>
        </w:rPr>
        <w:t xml:space="preserve">principio de máxima publicidad de la información. </w:t>
      </w:r>
      <w:r>
        <w:rPr>
          <w:rFonts w:ascii="Palatino Linotype" w:eastAsia="Palatino Linotype" w:hAnsi="Palatino Linotype" w:cs="Palatino Linotype"/>
          <w:b/>
          <w:bCs/>
          <w:i/>
          <w:iCs/>
          <w:color w:val="000000"/>
          <w:sz w:val="22"/>
          <w:szCs w:val="22"/>
        </w:rPr>
        <w:t xml:space="preserve">Los Sujetos Obligados deben </w:t>
      </w:r>
      <w:r>
        <w:rPr>
          <w:rFonts w:ascii="Palatino Linotype" w:eastAsia="Palatino Linotype" w:hAnsi="Palatino Linotype" w:cs="Palatino Linotype"/>
          <w:b/>
          <w:bCs/>
          <w:i/>
          <w:iCs/>
          <w:color w:val="000000"/>
          <w:sz w:val="22"/>
          <w:szCs w:val="22"/>
        </w:rPr>
        <w:lastRenderedPageBreak/>
        <w:t>poner en práctica, políticas y programas de acceso a la información que se apeguen a criterios de publicidad, veracidad, oportunidad, precisión y suficiencia en beneficio de los solicitantes.</w:t>
      </w:r>
    </w:p>
    <w:p w:rsidR="00133F34" w:rsidRDefault="00133F34" w:rsidP="00A63C01">
      <w:pPr>
        <w:spacing w:line="360" w:lineRule="auto"/>
        <w:ind w:right="-518"/>
        <w:jc w:val="both"/>
      </w:pPr>
    </w:p>
    <w:p w:rsidR="00133F34" w:rsidRDefault="009655C8" w:rsidP="00A63C01">
      <w:pPr>
        <w:numPr>
          <w:ilvl w:val="0"/>
          <w:numId w:val="3"/>
        </w:numPr>
        <w:spacing w:line="360" w:lineRule="auto"/>
        <w:ind w:left="0" w:right="-518" w:firstLine="0"/>
        <w:jc w:val="both"/>
      </w:pPr>
      <w:r>
        <w:rPr>
          <w:rFonts w:ascii="Palatino Linotype" w:eastAsia="Palatino Linotype" w:hAnsi="Palatino Linotype" w:cs="Palatino Linotype"/>
        </w:rPr>
        <w:t>Por lo anterior, éste Órgano Protector del Derecho de Acceso a la Información no está facultado para pronunciarse sobre la veracidad de la información que los Sujetos Obligados ponen a disposición de los solicitantes; situación que se aleja de las atribuciones de este Instituto.</w:t>
      </w:r>
    </w:p>
    <w:p w:rsidR="00133F34" w:rsidRDefault="00133F34" w:rsidP="00A63C01">
      <w:pPr>
        <w:spacing w:line="360" w:lineRule="auto"/>
        <w:ind w:right="-518"/>
        <w:jc w:val="both"/>
        <w:rPr>
          <w:rFonts w:ascii="Palatino Linotype" w:eastAsia="Palatino Linotype" w:hAnsi="Palatino Linotype" w:cs="Palatino Linotype"/>
        </w:rPr>
      </w:pPr>
    </w:p>
    <w:p w:rsidR="00133F34" w:rsidRDefault="009655C8" w:rsidP="00A63C01">
      <w:pPr>
        <w:numPr>
          <w:ilvl w:val="0"/>
          <w:numId w:val="3"/>
        </w:numPr>
        <w:spacing w:line="360" w:lineRule="auto"/>
        <w:ind w:left="0" w:right="-518"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De lo expuesto se concluye que resultan </w:t>
      </w:r>
      <w:r>
        <w:rPr>
          <w:rFonts w:ascii="Palatino Linotype" w:eastAsia="Palatino Linotype" w:hAnsi="Palatino Linotype" w:cs="Palatino Linotype"/>
          <w:b/>
          <w:bCs/>
        </w:rPr>
        <w:t>INFUNDADAS</w:t>
      </w:r>
      <w:r>
        <w:rPr>
          <w:rFonts w:ascii="Palatino Linotype" w:eastAsia="Palatino Linotype" w:hAnsi="Palatino Linotype" w:cs="Palatino Linotype"/>
        </w:rPr>
        <w:t xml:space="preserve">, las razones o motivos de inconformidad hechos valer por el Recurrente, siendo procedente </w:t>
      </w:r>
      <w:r>
        <w:rPr>
          <w:rFonts w:ascii="Palatino Linotype" w:eastAsia="Palatino Linotype" w:hAnsi="Palatino Linotype" w:cs="Palatino Linotype"/>
          <w:b/>
          <w:bCs/>
        </w:rPr>
        <w:t>CONFIRMAR</w:t>
      </w:r>
      <w:r>
        <w:rPr>
          <w:rFonts w:ascii="Palatino Linotype" w:eastAsia="Palatino Linotype" w:hAnsi="Palatino Linotype" w:cs="Palatino Linotype"/>
        </w:rPr>
        <w:t xml:space="preserve"> la respuesta otorgada por el </w:t>
      </w:r>
      <w:r>
        <w:rPr>
          <w:rFonts w:ascii="Palatino Linotype" w:eastAsia="Palatino Linotype" w:hAnsi="Palatino Linotype" w:cs="Palatino Linotype"/>
          <w:b/>
          <w:bCs/>
        </w:rPr>
        <w:t xml:space="preserve">Poder Judicial </w:t>
      </w:r>
      <w:r>
        <w:rPr>
          <w:rFonts w:ascii="Palatino Linotype" w:eastAsia="Palatino Linotype" w:hAnsi="Palatino Linotype" w:cs="Palatino Linotype"/>
        </w:rPr>
        <w:t xml:space="preserve">a la solicitud de información </w:t>
      </w:r>
      <w:r>
        <w:rPr>
          <w:rFonts w:ascii="Palatino Linotype" w:eastAsia="Palatino Linotype" w:hAnsi="Palatino Linotype" w:cs="Palatino Linotype"/>
          <w:b/>
          <w:bCs/>
        </w:rPr>
        <w:t>00195/PJUDICI/IP/2026.</w:t>
      </w:r>
    </w:p>
    <w:p w:rsidR="00133F34" w:rsidRDefault="00133F34" w:rsidP="00A63C01">
      <w:pPr>
        <w:spacing w:line="360" w:lineRule="auto"/>
        <w:ind w:right="-518"/>
        <w:jc w:val="both"/>
        <w:rPr>
          <w:color w:val="000000"/>
        </w:rPr>
      </w:pPr>
    </w:p>
    <w:p w:rsidR="00133F34" w:rsidRDefault="009655C8" w:rsidP="00A63C01">
      <w:pPr>
        <w:numPr>
          <w:ilvl w:val="0"/>
          <w:numId w:val="3"/>
        </w:numPr>
        <w:spacing w:line="360" w:lineRule="auto"/>
        <w:ind w:left="0" w:right="-518"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Por lo expuesto, y con fundamento en lo prescrito en los artículos </w:t>
      </w:r>
      <w:r>
        <w:rPr>
          <w:rFonts w:ascii="Palatino Linotype" w:eastAsia="Palatino Linotype" w:hAnsi="Palatino Linotype" w:cs="Palatino Linotype"/>
          <w:color w:val="000000"/>
        </w:rPr>
        <w:t>5, párrafos cuadragésimo cuarto, cuadragésimo quinto y cuadragésimo sexto, fracciones IV y V, de la Constitución Política del Estado Libre y Soberano de México</w:t>
      </w:r>
      <w:r>
        <w:rPr>
          <w:rFonts w:ascii="Palatino Linotype" w:eastAsia="Palatino Linotype" w:hAnsi="Palatino Linotype" w:cs="Palatino Linotype"/>
        </w:rPr>
        <w:t>; 2, fracción II; 29, 36 fracciones I y II; 176, 178, 179, 181 y 185 de la Ley de Transparencia y Acceso a la Información Pública del Estado de México y Municipios, este pleno:</w:t>
      </w:r>
      <w:r w:rsidR="00A63C01">
        <w:rPr>
          <w:rFonts w:ascii="Palatino Linotype" w:eastAsia="Palatino Linotype" w:hAnsi="Palatino Linotype" w:cs="Palatino Linotype"/>
        </w:rPr>
        <w:t xml:space="preserve"> </w:t>
      </w:r>
    </w:p>
    <w:p w:rsidR="00A63C01" w:rsidRDefault="00A63C01" w:rsidP="00A63C01">
      <w:pPr>
        <w:pStyle w:val="Prrafodelista"/>
        <w:rPr>
          <w:rFonts w:ascii="Palatino Linotype" w:eastAsia="Palatino Linotype" w:hAnsi="Palatino Linotype" w:cs="Palatino Linotype"/>
        </w:rPr>
      </w:pPr>
    </w:p>
    <w:p w:rsidR="00A63C01" w:rsidRPr="00A63C01" w:rsidRDefault="00A63C01" w:rsidP="00A63C01">
      <w:pPr>
        <w:spacing w:line="360" w:lineRule="auto"/>
        <w:ind w:right="-518"/>
        <w:jc w:val="both"/>
        <w:rPr>
          <w:rFonts w:ascii="Palatino Linotype" w:eastAsia="Palatino Linotype" w:hAnsi="Palatino Linotype" w:cs="Palatino Linotype"/>
        </w:rPr>
      </w:pPr>
    </w:p>
    <w:p w:rsidR="00133F34" w:rsidRDefault="009655C8" w:rsidP="00A63C01">
      <w:pPr>
        <w:spacing w:line="360" w:lineRule="auto"/>
        <w:ind w:right="-518"/>
        <w:jc w:val="center"/>
        <w:rPr>
          <w:rFonts w:ascii="Palatino Linotype" w:eastAsia="Palatino Linotype" w:hAnsi="Palatino Linotype" w:cs="Palatino Linotype"/>
          <w:b/>
          <w:bCs/>
        </w:rPr>
      </w:pPr>
      <w:r>
        <w:rPr>
          <w:rFonts w:ascii="Palatino Linotype" w:eastAsia="Palatino Linotype" w:hAnsi="Palatino Linotype" w:cs="Palatino Linotype"/>
          <w:b/>
          <w:bCs/>
        </w:rPr>
        <w:t>R E S U E L V E</w:t>
      </w:r>
    </w:p>
    <w:p w:rsidR="00133F34" w:rsidRDefault="00133F34" w:rsidP="00A63C01">
      <w:pPr>
        <w:spacing w:line="360" w:lineRule="auto"/>
        <w:ind w:right="-518"/>
        <w:jc w:val="center"/>
        <w:rPr>
          <w:rFonts w:ascii="Palatino Linotype" w:eastAsia="Palatino Linotype" w:hAnsi="Palatino Linotype" w:cs="Palatino Linotype"/>
          <w:b/>
          <w:bCs/>
        </w:rPr>
      </w:pPr>
    </w:p>
    <w:p w:rsidR="00133F34" w:rsidRDefault="009655C8" w:rsidP="00A63C01">
      <w:pPr>
        <w:spacing w:line="360" w:lineRule="auto"/>
        <w:ind w:right="-518"/>
        <w:jc w:val="both"/>
        <w:rPr>
          <w:rFonts w:ascii="Palatino Linotype" w:eastAsia="Palatino Linotype" w:hAnsi="Palatino Linotype" w:cs="Palatino Linotype"/>
        </w:rPr>
      </w:pPr>
      <w:r>
        <w:rPr>
          <w:rFonts w:ascii="Palatino Linotype" w:eastAsia="Palatino Linotype" w:hAnsi="Palatino Linotype" w:cs="Palatino Linotype"/>
          <w:b/>
          <w:bCs/>
        </w:rPr>
        <w:t>PRIMERO</w:t>
      </w:r>
      <w:r>
        <w:rPr>
          <w:rFonts w:ascii="Palatino Linotype" w:eastAsia="Palatino Linotype" w:hAnsi="Palatino Linotype" w:cs="Palatino Linotype"/>
        </w:rPr>
        <w:t xml:space="preserve">. Resultan </w:t>
      </w:r>
      <w:r>
        <w:rPr>
          <w:rFonts w:ascii="Palatino Linotype" w:eastAsia="Palatino Linotype" w:hAnsi="Palatino Linotype" w:cs="Palatino Linotype"/>
          <w:b/>
          <w:bCs/>
        </w:rPr>
        <w:t>INFUNDADAS</w:t>
      </w:r>
      <w:r>
        <w:rPr>
          <w:rFonts w:ascii="Palatino Linotype" w:eastAsia="Palatino Linotype" w:hAnsi="Palatino Linotype" w:cs="Palatino Linotype"/>
        </w:rPr>
        <w:t xml:space="preserve"> las</w:t>
      </w:r>
      <w:r>
        <w:rPr>
          <w:rFonts w:ascii="Palatino Linotype" w:eastAsia="Palatino Linotype" w:hAnsi="Palatino Linotype" w:cs="Palatino Linotype"/>
          <w:b/>
          <w:bCs/>
        </w:rPr>
        <w:t xml:space="preserve"> </w:t>
      </w:r>
      <w:r>
        <w:rPr>
          <w:rFonts w:ascii="Palatino Linotype" w:eastAsia="Palatino Linotype" w:hAnsi="Palatino Linotype" w:cs="Palatino Linotype"/>
        </w:rPr>
        <w:t xml:space="preserve">razones o motivos de inconformidad hechos valer en </w:t>
      </w:r>
      <w:r>
        <w:rPr>
          <w:rFonts w:ascii="Palatino Linotype" w:eastAsia="Palatino Linotype" w:hAnsi="Palatino Linotype" w:cs="Palatino Linotype"/>
          <w:color w:val="000000"/>
        </w:rPr>
        <w:t xml:space="preserve">el Recurso de Revisión </w:t>
      </w:r>
      <w:r>
        <w:rPr>
          <w:rFonts w:ascii="Palatino Linotype" w:eastAsia="Palatino Linotype" w:hAnsi="Palatino Linotype" w:cs="Palatino Linotype"/>
          <w:b/>
          <w:bCs/>
          <w:color w:val="000000"/>
        </w:rPr>
        <w:t>03318/INFOEM/IP/RR/2026</w:t>
      </w:r>
      <w:r>
        <w:rPr>
          <w:rFonts w:ascii="Palatino Linotype" w:eastAsia="Palatino Linotype" w:hAnsi="Palatino Linotype" w:cs="Palatino Linotype"/>
          <w:color w:val="000000"/>
        </w:rPr>
        <w:t>,</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rPr>
        <w:t xml:space="preserve">en términos del </w:t>
      </w:r>
      <w:r>
        <w:rPr>
          <w:rFonts w:ascii="Palatino Linotype" w:eastAsia="Palatino Linotype" w:hAnsi="Palatino Linotype" w:cs="Palatino Linotype"/>
          <w:b/>
          <w:bCs/>
        </w:rPr>
        <w:t>Considerando</w:t>
      </w:r>
      <w:r>
        <w:rPr>
          <w:rFonts w:ascii="Palatino Linotype" w:eastAsia="Palatino Linotype" w:hAnsi="Palatino Linotype" w:cs="Palatino Linotype"/>
        </w:rPr>
        <w:t xml:space="preserve"> </w:t>
      </w:r>
      <w:r>
        <w:rPr>
          <w:rFonts w:ascii="Palatino Linotype" w:eastAsia="Palatino Linotype" w:hAnsi="Palatino Linotype" w:cs="Palatino Linotype"/>
          <w:b/>
          <w:bCs/>
        </w:rPr>
        <w:t>CUARTO</w:t>
      </w:r>
      <w:r>
        <w:rPr>
          <w:rFonts w:ascii="Palatino Linotype" w:eastAsia="Palatino Linotype" w:hAnsi="Palatino Linotype" w:cs="Palatino Linotype"/>
        </w:rPr>
        <w:t xml:space="preserve"> de la presente Resolución.</w:t>
      </w:r>
    </w:p>
    <w:p w:rsidR="00133F34" w:rsidRDefault="00133F34" w:rsidP="00A63C01">
      <w:pPr>
        <w:spacing w:line="360" w:lineRule="auto"/>
        <w:ind w:right="-518"/>
        <w:jc w:val="both"/>
        <w:rPr>
          <w:rFonts w:ascii="Palatino Linotype" w:eastAsia="Palatino Linotype" w:hAnsi="Palatino Linotype" w:cs="Palatino Linotype"/>
        </w:rPr>
      </w:pPr>
    </w:p>
    <w:p w:rsidR="00133F34" w:rsidRDefault="009655C8" w:rsidP="00A63C01">
      <w:pPr>
        <w:spacing w:line="360" w:lineRule="auto"/>
        <w:ind w:right="-518"/>
        <w:jc w:val="both"/>
        <w:rPr>
          <w:rFonts w:ascii="Palatino Linotype" w:eastAsia="Palatino Linotype" w:hAnsi="Palatino Linotype" w:cs="Palatino Linotype"/>
          <w:b/>
          <w:bCs/>
        </w:rPr>
      </w:pPr>
      <w:bookmarkStart w:id="8" w:name="_heading=h.1ksv4uv" w:colFirst="0" w:colLast="0"/>
      <w:bookmarkEnd w:id="8"/>
      <w:r>
        <w:rPr>
          <w:rFonts w:ascii="Palatino Linotype" w:eastAsia="Palatino Linotype" w:hAnsi="Palatino Linotype" w:cs="Palatino Linotype"/>
          <w:b/>
          <w:bCs/>
        </w:rPr>
        <w:lastRenderedPageBreak/>
        <w:t>SEGUNDO</w:t>
      </w:r>
      <w:r>
        <w:rPr>
          <w:rFonts w:ascii="Palatino Linotype" w:eastAsia="Palatino Linotype" w:hAnsi="Palatino Linotype" w:cs="Palatino Linotype"/>
        </w:rPr>
        <w:t xml:space="preserve">. Se </w:t>
      </w:r>
      <w:r>
        <w:rPr>
          <w:rFonts w:ascii="Palatino Linotype" w:eastAsia="Palatino Linotype" w:hAnsi="Palatino Linotype" w:cs="Palatino Linotype"/>
          <w:b/>
          <w:bCs/>
        </w:rPr>
        <w:t xml:space="preserve">CONFIRMA </w:t>
      </w:r>
      <w:r>
        <w:rPr>
          <w:rFonts w:ascii="Palatino Linotype" w:eastAsia="Palatino Linotype" w:hAnsi="Palatino Linotype" w:cs="Palatino Linotype"/>
        </w:rPr>
        <w:t xml:space="preserve">la respuesta del </w:t>
      </w:r>
      <w:r>
        <w:rPr>
          <w:rFonts w:ascii="Palatino Linotype" w:eastAsia="Palatino Linotype" w:hAnsi="Palatino Linotype" w:cs="Palatino Linotype"/>
          <w:b/>
          <w:bCs/>
        </w:rPr>
        <w:t>Poder Judicial,</w:t>
      </w:r>
      <w:r>
        <w:rPr>
          <w:rFonts w:ascii="Palatino Linotype" w:eastAsia="Palatino Linotype" w:hAnsi="Palatino Linotype" w:cs="Palatino Linotype"/>
        </w:rPr>
        <w:t xml:space="preserve"> emitida en la solicitud de información </w:t>
      </w:r>
      <w:r>
        <w:rPr>
          <w:rFonts w:ascii="Palatino Linotype" w:eastAsia="Palatino Linotype" w:hAnsi="Palatino Linotype" w:cs="Palatino Linotype"/>
          <w:b/>
          <w:bCs/>
        </w:rPr>
        <w:t>00195/PJUDICI/IP/2026.</w:t>
      </w:r>
    </w:p>
    <w:p w:rsidR="00133F34" w:rsidRDefault="00133F34" w:rsidP="00A63C01">
      <w:pPr>
        <w:spacing w:line="360" w:lineRule="auto"/>
        <w:ind w:right="-518"/>
        <w:jc w:val="both"/>
        <w:rPr>
          <w:rFonts w:ascii="Palatino Linotype" w:eastAsia="Palatino Linotype" w:hAnsi="Palatino Linotype" w:cs="Palatino Linotype"/>
          <w:b/>
          <w:bCs/>
        </w:rPr>
      </w:pPr>
    </w:p>
    <w:p w:rsidR="00133F34" w:rsidRDefault="009655C8" w:rsidP="00A63C01">
      <w:pPr>
        <w:spacing w:line="360" w:lineRule="auto"/>
        <w:ind w:right="-518"/>
        <w:jc w:val="both"/>
        <w:rPr>
          <w:rFonts w:ascii="Palatino Linotype" w:eastAsia="Palatino Linotype" w:hAnsi="Palatino Linotype" w:cs="Palatino Linotype"/>
        </w:rPr>
      </w:pPr>
      <w:r>
        <w:rPr>
          <w:rFonts w:ascii="Palatino Linotype" w:eastAsia="Palatino Linotype" w:hAnsi="Palatino Linotype" w:cs="Palatino Linotype"/>
          <w:b/>
          <w:bCs/>
        </w:rPr>
        <w:t>TERCERO. Notifíquese</w:t>
      </w:r>
      <w:r>
        <w:rPr>
          <w:rFonts w:ascii="Palatino Linotype" w:eastAsia="Palatino Linotype" w:hAnsi="Palatino Linotype" w:cs="Palatino Linotype"/>
        </w:rPr>
        <w:t xml:space="preserve"> al Titular de la Unidad de Transparencia del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vía SAIMEX, para su conocimiento.</w:t>
      </w:r>
    </w:p>
    <w:p w:rsidR="00133F34" w:rsidRDefault="00133F34" w:rsidP="00A63C01">
      <w:pPr>
        <w:spacing w:line="360" w:lineRule="auto"/>
        <w:ind w:right="-518"/>
        <w:jc w:val="both"/>
        <w:rPr>
          <w:rFonts w:ascii="Palatino Linotype" w:eastAsia="Palatino Linotype" w:hAnsi="Palatino Linotype" w:cs="Palatino Linotype"/>
        </w:rPr>
      </w:pPr>
    </w:p>
    <w:p w:rsidR="00133F34" w:rsidRDefault="009655C8" w:rsidP="00A63C01">
      <w:pPr>
        <w:tabs>
          <w:tab w:val="left" w:pos="8080"/>
        </w:tabs>
        <w:spacing w:line="360" w:lineRule="auto"/>
        <w:ind w:right="-518"/>
        <w:jc w:val="both"/>
        <w:rPr>
          <w:rFonts w:ascii="Palatino Linotype" w:eastAsia="Palatino Linotype" w:hAnsi="Palatino Linotype" w:cs="Palatino Linotype"/>
        </w:rPr>
      </w:pPr>
      <w:bookmarkStart w:id="9" w:name="_heading=h.3rdcrjn" w:colFirst="0" w:colLast="0"/>
      <w:bookmarkEnd w:id="9"/>
      <w:r>
        <w:rPr>
          <w:rFonts w:ascii="Palatino Linotype" w:eastAsia="Palatino Linotype" w:hAnsi="Palatino Linotype" w:cs="Palatino Linotype"/>
          <w:b/>
          <w:bCs/>
        </w:rPr>
        <w:t xml:space="preserve">CUARTO. </w:t>
      </w:r>
      <w:r>
        <w:rPr>
          <w:rFonts w:ascii="Palatino Linotype" w:eastAsia="Palatino Linotype" w:hAnsi="Palatino Linotype" w:cs="Palatino Linotype"/>
          <w:b/>
          <w:bCs/>
          <w:color w:val="222222"/>
        </w:rPr>
        <w:t xml:space="preserve">Notifíquese </w:t>
      </w:r>
      <w:r>
        <w:rPr>
          <w:rFonts w:ascii="Palatino Linotype" w:eastAsia="Palatino Linotype" w:hAnsi="Palatino Linotype" w:cs="Palatino Linotype"/>
          <w:color w:val="222222"/>
        </w:rPr>
        <w:t xml:space="preserve">a </w:t>
      </w:r>
      <w:r>
        <w:rPr>
          <w:rFonts w:ascii="Palatino Linotype" w:eastAsia="Palatino Linotype" w:hAnsi="Palatino Linotype" w:cs="Palatino Linotype"/>
          <w:b/>
          <w:bCs/>
          <w:color w:val="222222"/>
        </w:rPr>
        <w:t>EL RECURRENTE</w:t>
      </w:r>
      <w:r>
        <w:rPr>
          <w:rFonts w:ascii="Palatino Linotype" w:eastAsia="Palatino Linotype" w:hAnsi="Palatino Linotype" w:cs="Palatino Linotype"/>
          <w:color w:val="222222"/>
        </w:rPr>
        <w:t xml:space="preserve"> la presente resolución vía SAIMEX</w:t>
      </w:r>
      <w:r>
        <w:rPr>
          <w:rFonts w:ascii="Palatino Linotype" w:eastAsia="Palatino Linotype" w:hAnsi="Palatino Linotype" w:cs="Palatino Linotype"/>
        </w:rPr>
        <w:t>.</w:t>
      </w:r>
    </w:p>
    <w:p w:rsidR="00133F34" w:rsidRDefault="00133F34" w:rsidP="00A63C01">
      <w:pPr>
        <w:tabs>
          <w:tab w:val="left" w:pos="8080"/>
        </w:tabs>
        <w:spacing w:line="360" w:lineRule="auto"/>
        <w:ind w:right="-518"/>
        <w:jc w:val="both"/>
        <w:rPr>
          <w:rFonts w:ascii="Palatino Linotype" w:eastAsia="Palatino Linotype" w:hAnsi="Palatino Linotype" w:cs="Palatino Linotype"/>
        </w:rPr>
      </w:pPr>
    </w:p>
    <w:p w:rsidR="00133F34" w:rsidRDefault="009655C8" w:rsidP="00A63C01">
      <w:pPr>
        <w:shd w:val="clear" w:color="auto" w:fill="FFFFFF"/>
        <w:spacing w:line="360" w:lineRule="auto"/>
        <w:ind w:right="-518"/>
        <w:jc w:val="both"/>
        <w:rPr>
          <w:rFonts w:ascii="Palatino Linotype" w:eastAsia="Palatino Linotype" w:hAnsi="Palatino Linotype" w:cs="Palatino Linotype"/>
          <w:color w:val="000000"/>
        </w:rPr>
      </w:pPr>
      <w:r>
        <w:rPr>
          <w:rFonts w:ascii="Palatino Linotype" w:eastAsia="Palatino Linotype" w:hAnsi="Palatino Linotype" w:cs="Palatino Linotype"/>
          <w:b/>
          <w:bCs/>
        </w:rPr>
        <w:t xml:space="preserve">QUINTO. </w:t>
      </w:r>
      <w:r>
        <w:rPr>
          <w:rFonts w:ascii="Palatino Linotype" w:eastAsia="Palatino Linotype" w:hAnsi="Palatino Linotype" w:cs="Palatino Linotype"/>
          <w:color w:val="000000"/>
        </w:rPr>
        <w:t xml:space="preserve">Se hace del conocimiento de </w:t>
      </w:r>
      <w:r>
        <w:rPr>
          <w:rFonts w:ascii="Palatino Linotype" w:eastAsia="Palatino Linotype" w:hAnsi="Palatino Linotype" w:cs="Palatino Linotype"/>
          <w:b/>
          <w:bCs/>
          <w:color w:val="000000"/>
        </w:rPr>
        <w:t>EL RECURRENTE</w:t>
      </w:r>
      <w:r>
        <w:rPr>
          <w:rFonts w:ascii="Palatino Linotype" w:eastAsia="Palatino Linotype" w:hAnsi="Palatino Linotype" w:cs="Palatino Linotype"/>
          <w:color w:val="000000"/>
        </w:rPr>
        <w:t xml:space="preserve"> que, de conformidad con lo establecido en el artículo 196 de la Ley de Transparencia y Acceso a la Información Pública del Estado de México y Municipios, en caso de que considere que la resolución le cause algún perjuicio podrá </w:t>
      </w:r>
      <w:r>
        <w:rPr>
          <w:rFonts w:ascii="Palatino Linotype" w:eastAsia="Palatino Linotype" w:hAnsi="Palatino Linotype" w:cs="Palatino Linotype"/>
        </w:rPr>
        <w:t>impugnar vía</w:t>
      </w:r>
      <w:r>
        <w:rPr>
          <w:rFonts w:ascii="Palatino Linotype" w:eastAsia="Palatino Linotype" w:hAnsi="Palatino Linotype" w:cs="Palatino Linotype"/>
          <w:color w:val="000000"/>
        </w:rPr>
        <w:t xml:space="preserve"> Juicio de Amparo en los términos de las leyes aplicables.</w:t>
      </w:r>
    </w:p>
    <w:p w:rsidR="00A63C01" w:rsidRDefault="00A63C01" w:rsidP="00A63C01">
      <w:pPr>
        <w:shd w:val="clear" w:color="auto" w:fill="FFFFFF"/>
        <w:spacing w:line="360" w:lineRule="auto"/>
        <w:ind w:right="-518"/>
        <w:jc w:val="both"/>
        <w:rPr>
          <w:rFonts w:ascii="Palatino Linotype" w:eastAsia="Palatino Linotype" w:hAnsi="Palatino Linotype" w:cs="Palatino Linotype"/>
          <w:color w:val="000000"/>
        </w:rPr>
      </w:pPr>
    </w:p>
    <w:p w:rsidR="00A63C01" w:rsidRPr="003E2295" w:rsidRDefault="00A63C01" w:rsidP="00A63C01">
      <w:pPr>
        <w:spacing w:before="240" w:after="240" w:line="360" w:lineRule="auto"/>
        <w:ind w:right="-518" w:firstLine="1"/>
        <w:jc w:val="both"/>
        <w:rPr>
          <w:rFonts w:ascii="Palatino Linotype" w:hAnsi="Palatino Linotype"/>
        </w:rPr>
      </w:pPr>
      <w:bookmarkStart w:id="10" w:name="_heading=h.oa51i0a36u8w" w:colFirst="0" w:colLast="0"/>
      <w:bookmarkStart w:id="11" w:name="_Hlk99014733"/>
      <w:bookmarkEnd w:id="10"/>
      <w:r w:rsidRPr="003E2295">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w:t>
      </w:r>
      <w:r>
        <w:rPr>
          <w:rFonts w:ascii="Palatino Linotype" w:hAnsi="Palatino Linotype" w:cs="Palatino Linotype"/>
        </w:rPr>
        <w:t xml:space="preserve">VIGÉSIMA CUARTA </w:t>
      </w:r>
      <w:r w:rsidRPr="003E2295">
        <w:rPr>
          <w:rFonts w:ascii="Palatino Linotype" w:hAnsi="Palatino Linotype" w:cs="Palatino Linotype"/>
        </w:rPr>
        <w:t>SESIÓN O</w:t>
      </w:r>
      <w:r>
        <w:rPr>
          <w:rFonts w:ascii="Palatino Linotype" w:hAnsi="Palatino Linotype" w:cs="Palatino Linotype"/>
        </w:rPr>
        <w:t>RDINARIA, CELEBRADA EL UNO (01</w:t>
      </w:r>
      <w:r w:rsidRPr="003E2295">
        <w:rPr>
          <w:rFonts w:ascii="Palatino Linotype" w:hAnsi="Palatino Linotype" w:cs="Palatino Linotype"/>
        </w:rPr>
        <w:t xml:space="preserve">) DE </w:t>
      </w:r>
      <w:r>
        <w:rPr>
          <w:rFonts w:ascii="Palatino Linotype" w:hAnsi="Palatino Linotype" w:cs="Palatino Linotype"/>
        </w:rPr>
        <w:t>JULIO</w:t>
      </w:r>
      <w:r w:rsidRPr="003E2295">
        <w:rPr>
          <w:rFonts w:ascii="Palatino Linotype" w:hAnsi="Palatino Linotype" w:cs="Palatino Linotype"/>
        </w:rPr>
        <w:t xml:space="preserve"> DE DOS MIL VEINTISÉIS, ANTE EL SECRETARIO TÉCNICO DEL PLENO </w:t>
      </w:r>
      <w:r w:rsidRPr="003E2295">
        <w:rPr>
          <w:rFonts w:ascii="Palatino Linotype" w:hAnsi="Palatino Linotype" w:cs="Palatino Linotype"/>
          <w:color w:val="000000" w:themeColor="text1"/>
        </w:rPr>
        <w:t>ALEXIS TAPIA RAMÍREZ.</w:t>
      </w:r>
    </w:p>
    <w:bookmarkEnd w:id="11"/>
    <w:p w:rsidR="00133F34" w:rsidRDefault="00133F34" w:rsidP="00A63C01">
      <w:pPr>
        <w:ind w:right="-518"/>
        <w:rPr>
          <w:rFonts w:ascii="Palatino Linotype" w:eastAsia="Palatino Linotype" w:hAnsi="Palatino Linotype" w:cs="Palatino Linotype"/>
        </w:rPr>
      </w:pPr>
    </w:p>
    <w:p w:rsidR="00C05753" w:rsidRDefault="00C05753" w:rsidP="00A63C01">
      <w:pPr>
        <w:ind w:right="-518"/>
        <w:rPr>
          <w:rFonts w:ascii="Palatino Linotype" w:eastAsia="Palatino Linotype" w:hAnsi="Palatino Linotype" w:cs="Palatino Linotype"/>
        </w:rPr>
      </w:pPr>
    </w:p>
    <w:p w:rsidR="00C05753" w:rsidRDefault="00C05753" w:rsidP="00A63C01">
      <w:pPr>
        <w:ind w:right="-518"/>
        <w:rPr>
          <w:rFonts w:ascii="Palatino Linotype" w:eastAsia="Palatino Linotype" w:hAnsi="Palatino Linotype" w:cs="Palatino Linotype"/>
        </w:rPr>
      </w:pPr>
    </w:p>
    <w:p w:rsidR="00C05753" w:rsidRDefault="00C05753" w:rsidP="00A63C01">
      <w:pPr>
        <w:ind w:right="-518"/>
        <w:rPr>
          <w:rFonts w:ascii="Palatino Linotype" w:eastAsia="Palatino Linotype" w:hAnsi="Palatino Linotype" w:cs="Palatino Linotype"/>
        </w:rPr>
      </w:pPr>
    </w:p>
    <w:p w:rsidR="00C05753" w:rsidRDefault="00C05753" w:rsidP="00A63C01">
      <w:pPr>
        <w:ind w:right="-518"/>
        <w:rPr>
          <w:rFonts w:ascii="Palatino Linotype" w:eastAsia="Palatino Linotype" w:hAnsi="Palatino Linotype" w:cs="Palatino Linotype"/>
        </w:rPr>
      </w:pPr>
    </w:p>
    <w:p w:rsidR="00C05753" w:rsidRDefault="00C05753" w:rsidP="00A63C01">
      <w:pPr>
        <w:ind w:right="-518"/>
        <w:rPr>
          <w:rFonts w:ascii="Palatino Linotype" w:eastAsia="Palatino Linotype" w:hAnsi="Palatino Linotype" w:cs="Palatino Linotype"/>
        </w:rPr>
      </w:pPr>
    </w:p>
    <w:p w:rsidR="00C05753" w:rsidRDefault="00C05753" w:rsidP="00A63C01">
      <w:pPr>
        <w:ind w:right="-518"/>
        <w:rPr>
          <w:rFonts w:ascii="Palatino Linotype" w:eastAsia="Palatino Linotype" w:hAnsi="Palatino Linotype" w:cs="Palatino Linotype"/>
        </w:rPr>
      </w:pPr>
    </w:p>
    <w:p w:rsidR="00C05753" w:rsidRDefault="00C05753" w:rsidP="00A63C01">
      <w:pPr>
        <w:ind w:right="-518"/>
        <w:rPr>
          <w:rFonts w:ascii="Palatino Linotype" w:eastAsia="Palatino Linotype" w:hAnsi="Palatino Linotype" w:cs="Palatino Linotype"/>
        </w:rPr>
      </w:pPr>
    </w:p>
    <w:p w:rsidR="00C05753" w:rsidRDefault="00C05753" w:rsidP="00A63C01">
      <w:pPr>
        <w:ind w:right="-518"/>
        <w:rPr>
          <w:rFonts w:ascii="Palatino Linotype" w:eastAsia="Palatino Linotype" w:hAnsi="Palatino Linotype" w:cs="Palatino Linotype"/>
        </w:rPr>
      </w:pPr>
    </w:p>
    <w:p w:rsidR="00C05753" w:rsidRDefault="00C05753" w:rsidP="00A63C01">
      <w:pPr>
        <w:ind w:right="-518"/>
        <w:rPr>
          <w:rFonts w:ascii="Palatino Linotype" w:eastAsia="Palatino Linotype" w:hAnsi="Palatino Linotype" w:cs="Palatino Linotype"/>
        </w:rPr>
      </w:pPr>
    </w:p>
    <w:p w:rsidR="00C05753" w:rsidRDefault="00C05753" w:rsidP="00A63C01">
      <w:pPr>
        <w:ind w:right="-518"/>
        <w:rPr>
          <w:rFonts w:ascii="Palatino Linotype" w:eastAsia="Palatino Linotype" w:hAnsi="Palatino Linotype" w:cs="Palatino Linotype"/>
        </w:rPr>
      </w:pPr>
    </w:p>
    <w:p w:rsidR="00C05753" w:rsidRDefault="00C05753" w:rsidP="00A63C01">
      <w:pPr>
        <w:ind w:right="-518"/>
        <w:rPr>
          <w:rFonts w:ascii="Palatino Linotype" w:eastAsia="Palatino Linotype" w:hAnsi="Palatino Linotype" w:cs="Palatino Linotype"/>
        </w:rPr>
      </w:pPr>
    </w:p>
    <w:p w:rsidR="00C05753" w:rsidRDefault="00C05753" w:rsidP="00A63C01">
      <w:pPr>
        <w:ind w:right="-518"/>
        <w:rPr>
          <w:rFonts w:ascii="Palatino Linotype" w:eastAsia="Palatino Linotype" w:hAnsi="Palatino Linotype" w:cs="Palatino Linotype"/>
        </w:rPr>
      </w:pPr>
    </w:p>
    <w:p w:rsidR="00C05753" w:rsidRDefault="00C05753" w:rsidP="00A63C01">
      <w:pPr>
        <w:ind w:right="-518"/>
        <w:rPr>
          <w:rFonts w:ascii="Palatino Linotype" w:eastAsia="Palatino Linotype" w:hAnsi="Palatino Linotype" w:cs="Palatino Linotype"/>
        </w:rPr>
      </w:pPr>
    </w:p>
    <w:p w:rsidR="00C05753" w:rsidRDefault="00C05753" w:rsidP="00A63C01">
      <w:pPr>
        <w:ind w:right="-518"/>
        <w:rPr>
          <w:rFonts w:ascii="Palatino Linotype" w:eastAsia="Palatino Linotype" w:hAnsi="Palatino Linotype" w:cs="Palatino Linotype"/>
        </w:rPr>
      </w:pPr>
    </w:p>
    <w:p w:rsidR="00C05753" w:rsidRDefault="00C05753" w:rsidP="00A63C01">
      <w:pPr>
        <w:ind w:right="-518"/>
        <w:rPr>
          <w:rFonts w:ascii="Palatino Linotype" w:eastAsia="Palatino Linotype" w:hAnsi="Palatino Linotype" w:cs="Palatino Linotype"/>
        </w:rPr>
      </w:pPr>
    </w:p>
    <w:p w:rsidR="00C05753" w:rsidRDefault="00C05753" w:rsidP="00A63C01">
      <w:pPr>
        <w:ind w:right="-518"/>
        <w:rPr>
          <w:rFonts w:ascii="Palatino Linotype" w:eastAsia="Palatino Linotype" w:hAnsi="Palatino Linotype" w:cs="Palatino Linotype"/>
        </w:rPr>
      </w:pPr>
    </w:p>
    <w:p w:rsidR="00C05753" w:rsidRDefault="00C05753" w:rsidP="00A63C01">
      <w:pPr>
        <w:ind w:right="-518"/>
        <w:rPr>
          <w:rFonts w:ascii="Palatino Linotype" w:eastAsia="Palatino Linotype" w:hAnsi="Palatino Linotype" w:cs="Palatino Linotype"/>
        </w:rPr>
      </w:pPr>
    </w:p>
    <w:p w:rsidR="00C05753" w:rsidRDefault="00C05753" w:rsidP="00A63C01">
      <w:pPr>
        <w:ind w:right="-518"/>
        <w:rPr>
          <w:rFonts w:ascii="Palatino Linotype" w:eastAsia="Palatino Linotype" w:hAnsi="Palatino Linotype" w:cs="Palatino Linotype"/>
        </w:rPr>
      </w:pPr>
    </w:p>
    <w:p w:rsidR="00C05753" w:rsidRDefault="00C05753" w:rsidP="00A63C01">
      <w:pPr>
        <w:ind w:right="-518"/>
        <w:rPr>
          <w:rFonts w:ascii="Palatino Linotype" w:eastAsia="Palatino Linotype" w:hAnsi="Palatino Linotype" w:cs="Palatino Linotype"/>
        </w:rPr>
      </w:pPr>
    </w:p>
    <w:sectPr w:rsidR="00C05753">
      <w:headerReference w:type="default" r:id="rId8"/>
      <w:footerReference w:type="default" r:id="rId9"/>
      <w:headerReference w:type="first" r:id="rId10"/>
      <w:footerReference w:type="first" r:id="rId11"/>
      <w:pgSz w:w="12240" w:h="15840"/>
      <w:pgMar w:top="1574" w:right="1701" w:bottom="1417"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190E" w:rsidRDefault="00F2190E">
      <w:r>
        <w:separator/>
      </w:r>
    </w:p>
  </w:endnote>
  <w:endnote w:type="continuationSeparator" w:id="0">
    <w:p w:rsidR="00F2190E" w:rsidRDefault="00F219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embedRegular r:id="rId1" w:fontKey="{296F90A7-8C01-4A99-ABC8-1E33BE220532}"/>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embedRegular r:id="rId2" w:fontKey="{5F4D5B58-2F4E-4147-B4E9-45BC176F5B51}"/>
    <w:embedBold r:id="rId3" w:fontKey="{7D0E5097-161A-4CE1-A665-A920A0727A2F}"/>
    <w:embedItalic r:id="rId4" w:fontKey="{07AED621-8658-4DE1-A600-78251CE3F2E5}"/>
    <w:embedBoldItalic r:id="rId5" w:fontKey="{E506F7A9-C5EA-449E-9A57-CCDF6F32D1EA}"/>
  </w:font>
  <w:font w:name="Calibri">
    <w:panose1 w:val="020F0502020204030204"/>
    <w:charset w:val="00"/>
    <w:family w:val="swiss"/>
    <w:pitch w:val="variable"/>
    <w:sig w:usb0="E4002EFF" w:usb1="C200247B" w:usb2="00000009" w:usb3="00000000" w:csb0="000001FF" w:csb1="00000000"/>
    <w:embedRegular r:id="rId6" w:fontKey="{A5D56E81-BC62-4C2F-9E32-0CDBA7DB7E90}"/>
  </w:font>
  <w:font w:name="Georgia">
    <w:panose1 w:val="02040502050405020303"/>
    <w:charset w:val="00"/>
    <w:family w:val="roman"/>
    <w:pitch w:val="variable"/>
    <w:sig w:usb0="00000287" w:usb1="00000000" w:usb2="00000000" w:usb3="00000000" w:csb0="0000009F" w:csb1="00000000"/>
    <w:embedItalic r:id="rId7" w:fontKey="{9CB77121-C628-4C5F-86BA-40920CFA8459}"/>
  </w:font>
  <w:font w:name="Cambria">
    <w:panose1 w:val="02040503050406030204"/>
    <w:charset w:val="00"/>
    <w:family w:val="roman"/>
    <w:pitch w:val="variable"/>
    <w:sig w:usb0="E00006FF" w:usb1="420024FF" w:usb2="02000000" w:usb3="00000000" w:csb0="0000019F" w:csb1="00000000"/>
    <w:embedRegular r:id="rId8" w:fontKey="{CC236CE3-08D0-46C6-BEE0-20DD3D8C11A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3F34" w:rsidRDefault="009655C8">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PAGE</w:instrText>
    </w:r>
    <w:r>
      <w:rPr>
        <w:rFonts w:ascii="Palatino Linotype" w:eastAsia="Palatino Linotype" w:hAnsi="Palatino Linotype" w:cs="Palatino Linotype"/>
        <w:b/>
        <w:bCs/>
        <w:color w:val="000000"/>
        <w:sz w:val="22"/>
        <w:szCs w:val="22"/>
      </w:rPr>
      <w:fldChar w:fldCharType="separate"/>
    </w:r>
    <w:r w:rsidR="000231B5">
      <w:rPr>
        <w:rFonts w:ascii="Palatino Linotype" w:eastAsia="Palatino Linotype" w:hAnsi="Palatino Linotype" w:cs="Palatino Linotype"/>
        <w:b/>
        <w:bCs/>
        <w:noProof/>
        <w:color w:val="000000"/>
        <w:sz w:val="22"/>
        <w:szCs w:val="22"/>
      </w:rPr>
      <w:t>17</w:t>
    </w:r>
    <w:r>
      <w:rPr>
        <w:rFonts w:ascii="Palatino Linotype" w:eastAsia="Palatino Linotype" w:hAnsi="Palatino Linotype" w:cs="Palatino Linotype"/>
        <w:b/>
        <w:bCs/>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NUMPAGES</w:instrText>
    </w:r>
    <w:r>
      <w:rPr>
        <w:rFonts w:ascii="Palatino Linotype" w:eastAsia="Palatino Linotype" w:hAnsi="Palatino Linotype" w:cs="Palatino Linotype"/>
        <w:b/>
        <w:bCs/>
        <w:color w:val="000000"/>
        <w:sz w:val="22"/>
        <w:szCs w:val="22"/>
      </w:rPr>
      <w:fldChar w:fldCharType="separate"/>
    </w:r>
    <w:r w:rsidR="000231B5">
      <w:rPr>
        <w:rFonts w:ascii="Palatino Linotype" w:eastAsia="Palatino Linotype" w:hAnsi="Palatino Linotype" w:cs="Palatino Linotype"/>
        <w:b/>
        <w:bCs/>
        <w:noProof/>
        <w:color w:val="000000"/>
        <w:sz w:val="22"/>
        <w:szCs w:val="22"/>
      </w:rPr>
      <w:t>17</w:t>
    </w:r>
    <w:r>
      <w:rPr>
        <w:rFonts w:ascii="Palatino Linotype" w:eastAsia="Palatino Linotype" w:hAnsi="Palatino Linotype" w:cs="Palatino Linotype"/>
        <w:b/>
        <w:bCs/>
        <w:color w:val="000000"/>
        <w:sz w:val="22"/>
        <w:szCs w:val="22"/>
      </w:rPr>
      <w:fldChar w:fldCharType="end"/>
    </w:r>
  </w:p>
  <w:p w:rsidR="00133F34" w:rsidRDefault="00133F34">
    <w:pPr>
      <w:pBdr>
        <w:top w:val="nil"/>
        <w:left w:val="nil"/>
        <w:bottom w:val="nil"/>
        <w:right w:val="nil"/>
        <w:between w:val="nil"/>
      </w:pBdr>
      <w:tabs>
        <w:tab w:val="center" w:pos="4252"/>
        <w:tab w:val="right" w:pos="8504"/>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3F34" w:rsidRDefault="009655C8">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PAGE</w:instrText>
    </w:r>
    <w:r>
      <w:rPr>
        <w:rFonts w:ascii="Palatino Linotype" w:eastAsia="Palatino Linotype" w:hAnsi="Palatino Linotype" w:cs="Palatino Linotype"/>
        <w:color w:val="000000"/>
        <w:sz w:val="22"/>
        <w:szCs w:val="22"/>
      </w:rPr>
      <w:fldChar w:fldCharType="separate"/>
    </w:r>
    <w:r w:rsidR="000231B5">
      <w:rPr>
        <w:rFonts w:ascii="Palatino Linotype" w:eastAsia="Palatino Linotype" w:hAnsi="Palatino Linotype" w:cs="Palatino Linotype"/>
        <w:noProof/>
        <w:color w:val="000000"/>
        <w:sz w:val="22"/>
        <w:szCs w:val="22"/>
      </w:rPr>
      <w:t>1</w:t>
    </w:r>
    <w:r>
      <w:rPr>
        <w:rFonts w:ascii="Palatino Linotype" w:eastAsia="Palatino Linotype" w:hAnsi="Palatino Linotype" w:cs="Palatino Linotype"/>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NUMPAGES</w:instrText>
    </w:r>
    <w:r>
      <w:rPr>
        <w:rFonts w:ascii="Palatino Linotype" w:eastAsia="Palatino Linotype" w:hAnsi="Palatino Linotype" w:cs="Palatino Linotype"/>
        <w:color w:val="000000"/>
        <w:sz w:val="22"/>
        <w:szCs w:val="22"/>
      </w:rPr>
      <w:fldChar w:fldCharType="separate"/>
    </w:r>
    <w:r w:rsidR="000231B5">
      <w:rPr>
        <w:rFonts w:ascii="Palatino Linotype" w:eastAsia="Palatino Linotype" w:hAnsi="Palatino Linotype" w:cs="Palatino Linotype"/>
        <w:noProof/>
        <w:color w:val="000000"/>
        <w:sz w:val="22"/>
        <w:szCs w:val="22"/>
      </w:rPr>
      <w:t>17</w:t>
    </w:r>
    <w:r>
      <w:rPr>
        <w:rFonts w:ascii="Palatino Linotype" w:eastAsia="Palatino Linotype" w:hAnsi="Palatino Linotype" w:cs="Palatino Linotype"/>
        <w:color w:val="000000"/>
        <w:sz w:val="22"/>
        <w:szCs w:val="22"/>
      </w:rPr>
      <w:fldChar w:fldCharType="end"/>
    </w:r>
  </w:p>
  <w:p w:rsidR="00133F34" w:rsidRDefault="00133F34">
    <w:pPr>
      <w:pBdr>
        <w:top w:val="nil"/>
        <w:left w:val="nil"/>
        <w:bottom w:val="nil"/>
        <w:right w:val="nil"/>
        <w:between w:val="nil"/>
      </w:pBdr>
      <w:tabs>
        <w:tab w:val="center" w:pos="4252"/>
        <w:tab w:val="right" w:pos="8504"/>
      </w:tabs>
      <w:rPr>
        <w:rFonts w:ascii="Palatino Linotype" w:eastAsia="Palatino Linotype" w:hAnsi="Palatino Linotype" w:cs="Palatino Linotype"/>
        <w:color w:val="000000"/>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190E" w:rsidRDefault="00F2190E">
      <w:r>
        <w:separator/>
      </w:r>
    </w:p>
  </w:footnote>
  <w:footnote w:type="continuationSeparator" w:id="0">
    <w:p w:rsidR="00F2190E" w:rsidRDefault="00F2190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
      <w:tblW w:w="8370" w:type="dxa"/>
      <w:tblInd w:w="1985" w:type="dxa"/>
      <w:tblBorders>
        <w:top w:val="nil"/>
        <w:left w:val="nil"/>
        <w:bottom w:val="nil"/>
        <w:right w:val="nil"/>
        <w:insideH w:val="nil"/>
        <w:insideV w:val="nil"/>
      </w:tblBorders>
      <w:tblLayout w:type="fixed"/>
      <w:tblLook w:val="0400" w:firstRow="0" w:lastRow="0" w:firstColumn="0" w:lastColumn="0" w:noHBand="0" w:noVBand="1"/>
    </w:tblPr>
    <w:tblGrid>
      <w:gridCol w:w="4485"/>
      <w:gridCol w:w="3885"/>
    </w:tblGrid>
    <w:tr w:rsidR="00133F34" w:rsidTr="007E2DA7">
      <w:trPr>
        <w:trHeight w:val="138"/>
      </w:trPr>
      <w:tc>
        <w:tcPr>
          <w:tcW w:w="4485" w:type="dxa"/>
          <w:vAlign w:val="center"/>
        </w:tcPr>
        <w:p w:rsidR="00133F34" w:rsidRDefault="009655C8">
          <w:pPr>
            <w:ind w:firstLine="425"/>
            <w:jc w:val="right"/>
            <w:rPr>
              <w:rFonts w:ascii="Palatino Linotype" w:eastAsia="Palatino Linotype" w:hAnsi="Palatino Linotype" w:cs="Palatino Linotype"/>
              <w:b/>
              <w:bCs/>
            </w:rPr>
          </w:pPr>
          <w:r>
            <w:rPr>
              <w:rFonts w:ascii="Palatino Linotype" w:eastAsia="Palatino Linotype" w:hAnsi="Palatino Linotype" w:cs="Palatino Linotype"/>
            </w:rPr>
            <w:tab/>
          </w:r>
          <w:r>
            <w:rPr>
              <w:rFonts w:ascii="Palatino Linotype" w:eastAsia="Palatino Linotype" w:hAnsi="Palatino Linotype" w:cs="Palatino Linotype"/>
              <w:b/>
              <w:bCs/>
            </w:rPr>
            <w:t>RECURSO DE REVISIÓN:</w:t>
          </w:r>
        </w:p>
      </w:tc>
      <w:tc>
        <w:tcPr>
          <w:tcW w:w="3885" w:type="dxa"/>
          <w:vAlign w:val="center"/>
        </w:tcPr>
        <w:p w:rsidR="00133F34" w:rsidRDefault="009655C8">
          <w:pPr>
            <w:pBdr>
              <w:top w:val="nil"/>
              <w:left w:val="nil"/>
              <w:bottom w:val="nil"/>
              <w:right w:val="nil"/>
              <w:between w:val="nil"/>
            </w:pBdr>
            <w:tabs>
              <w:tab w:val="center" w:pos="4494"/>
              <w:tab w:val="right" w:pos="8504"/>
            </w:tabs>
            <w:ind w:right="-1566"/>
            <w:rPr>
              <w:rFonts w:ascii="Palatino Linotype" w:eastAsia="Palatino Linotype" w:hAnsi="Palatino Linotype" w:cs="Palatino Linotype"/>
              <w:color w:val="000000"/>
            </w:rPr>
          </w:pPr>
          <w:r>
            <w:rPr>
              <w:rFonts w:ascii="Palatino Linotype" w:eastAsia="Palatino Linotype" w:hAnsi="Palatino Linotype" w:cs="Palatino Linotype"/>
              <w:color w:val="000000"/>
            </w:rPr>
            <w:t>03318/INFOEM/IP/RR/2026</w:t>
          </w:r>
        </w:p>
      </w:tc>
    </w:tr>
    <w:tr w:rsidR="00133F34" w:rsidTr="007E2DA7">
      <w:trPr>
        <w:trHeight w:val="321"/>
      </w:trPr>
      <w:tc>
        <w:tcPr>
          <w:tcW w:w="4485" w:type="dxa"/>
          <w:vAlign w:val="center"/>
        </w:tcPr>
        <w:p w:rsidR="00133F34" w:rsidRDefault="009655C8">
          <w:pPr>
            <w:ind w:firstLine="425"/>
            <w:jc w:val="right"/>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3885" w:type="dxa"/>
          <w:vAlign w:val="center"/>
        </w:tcPr>
        <w:p w:rsidR="00133F34" w:rsidRDefault="009655C8">
          <w:pPr>
            <w:pBdr>
              <w:top w:val="nil"/>
              <w:left w:val="nil"/>
              <w:bottom w:val="nil"/>
              <w:right w:val="nil"/>
              <w:between w:val="nil"/>
            </w:pBdr>
            <w:tabs>
              <w:tab w:val="center" w:pos="4494"/>
              <w:tab w:val="right" w:pos="8504"/>
            </w:tabs>
            <w:ind w:right="-1566"/>
            <w:rPr>
              <w:rFonts w:ascii="Palatino Linotype" w:eastAsia="Palatino Linotype" w:hAnsi="Palatino Linotype" w:cs="Palatino Linotype"/>
              <w:color w:val="000000"/>
            </w:rPr>
          </w:pPr>
          <w:r>
            <w:rPr>
              <w:rFonts w:ascii="Palatino Linotype" w:eastAsia="Palatino Linotype" w:hAnsi="Palatino Linotype" w:cs="Palatino Linotype"/>
              <w:color w:val="000000"/>
            </w:rPr>
            <w:t>Poder Judicial</w:t>
          </w:r>
        </w:p>
      </w:tc>
    </w:tr>
    <w:tr w:rsidR="00133F34" w:rsidTr="007E2DA7">
      <w:trPr>
        <w:trHeight w:val="321"/>
      </w:trPr>
      <w:tc>
        <w:tcPr>
          <w:tcW w:w="4485" w:type="dxa"/>
          <w:vAlign w:val="center"/>
        </w:tcPr>
        <w:p w:rsidR="00133F34" w:rsidRDefault="009655C8">
          <w:pPr>
            <w:ind w:firstLine="425"/>
            <w:jc w:val="right"/>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3885" w:type="dxa"/>
          <w:vAlign w:val="center"/>
        </w:tcPr>
        <w:p w:rsidR="00133F34" w:rsidRDefault="009655C8">
          <w:pPr>
            <w:pBdr>
              <w:top w:val="nil"/>
              <w:left w:val="nil"/>
              <w:bottom w:val="nil"/>
              <w:right w:val="nil"/>
              <w:between w:val="nil"/>
            </w:pBdr>
            <w:tabs>
              <w:tab w:val="center" w:pos="4494"/>
              <w:tab w:val="right" w:pos="8504"/>
            </w:tabs>
            <w:ind w:left="33" w:right="-1566" w:hanging="33"/>
            <w:rPr>
              <w:rFonts w:ascii="Palatino Linotype" w:eastAsia="Palatino Linotype" w:hAnsi="Palatino Linotype" w:cs="Palatino Linotype"/>
              <w:color w:val="000000"/>
            </w:rPr>
          </w:pPr>
          <w:r>
            <w:rPr>
              <w:rFonts w:ascii="Palatino Linotype" w:eastAsia="Palatino Linotype" w:hAnsi="Palatino Linotype" w:cs="Palatino Linotype"/>
              <w:color w:val="000000"/>
            </w:rPr>
            <w:t>María del Rosario Mejía Ayala</w:t>
          </w:r>
        </w:p>
      </w:tc>
    </w:tr>
  </w:tbl>
  <w:p w:rsidR="00133F34" w:rsidRDefault="007E2DA7">
    <w:pPr>
      <w:pBdr>
        <w:top w:val="nil"/>
        <w:left w:val="nil"/>
        <w:bottom w:val="nil"/>
        <w:right w:val="nil"/>
        <w:between w:val="nil"/>
      </w:pBdr>
      <w:tabs>
        <w:tab w:val="center" w:pos="4252"/>
        <w:tab w:val="right" w:pos="8504"/>
      </w:tabs>
      <w:rPr>
        <w:color w:val="000000"/>
      </w:rPr>
    </w:pPr>
    <w:r>
      <w:rPr>
        <w:noProof/>
        <w:color w:val="000000"/>
      </w:rPr>
      <w:drawing>
        <wp:anchor distT="0" distB="0" distL="0" distR="0" simplePos="0" relativeHeight="251657216" behindDoc="1" locked="0" layoutInCell="1" hidden="0" allowOverlap="1">
          <wp:simplePos x="0" y="0"/>
          <wp:positionH relativeFrom="page">
            <wp:posOffset>322939</wp:posOffset>
          </wp:positionH>
          <wp:positionV relativeFrom="page">
            <wp:posOffset>-224370</wp:posOffset>
          </wp:positionV>
          <wp:extent cx="7694930" cy="10020300"/>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694930" cy="10020300"/>
                  </a:xfrm>
                  <a:prstGeom prst="rect">
                    <a:avLst/>
                  </a:prstGeom>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8370" w:type="dxa"/>
      <w:tblInd w:w="1985" w:type="dxa"/>
      <w:tblBorders>
        <w:top w:val="nil"/>
        <w:left w:val="nil"/>
        <w:bottom w:val="nil"/>
        <w:right w:val="nil"/>
        <w:insideH w:val="nil"/>
        <w:insideV w:val="nil"/>
      </w:tblBorders>
      <w:tblLayout w:type="fixed"/>
      <w:tblLook w:val="0400" w:firstRow="0" w:lastRow="0" w:firstColumn="0" w:lastColumn="0" w:noHBand="0" w:noVBand="1"/>
    </w:tblPr>
    <w:tblGrid>
      <w:gridCol w:w="4485"/>
      <w:gridCol w:w="3885"/>
    </w:tblGrid>
    <w:tr w:rsidR="00133F34" w:rsidTr="00A63C01">
      <w:trPr>
        <w:trHeight w:val="138"/>
      </w:trPr>
      <w:tc>
        <w:tcPr>
          <w:tcW w:w="4485" w:type="dxa"/>
          <w:vAlign w:val="center"/>
        </w:tcPr>
        <w:p w:rsidR="00133F34" w:rsidRDefault="009655C8">
          <w:pPr>
            <w:ind w:firstLine="425"/>
            <w:jc w:val="right"/>
            <w:rPr>
              <w:rFonts w:ascii="Palatino Linotype" w:eastAsia="Palatino Linotype" w:hAnsi="Palatino Linotype" w:cs="Palatino Linotype"/>
              <w:b/>
              <w:bCs/>
            </w:rPr>
          </w:pPr>
          <w:r>
            <w:rPr>
              <w:rFonts w:ascii="Palatino Linotype" w:eastAsia="Palatino Linotype" w:hAnsi="Palatino Linotype" w:cs="Palatino Linotype"/>
            </w:rPr>
            <w:tab/>
          </w:r>
          <w:r>
            <w:rPr>
              <w:rFonts w:ascii="Palatino Linotype" w:eastAsia="Palatino Linotype" w:hAnsi="Palatino Linotype" w:cs="Palatino Linotype"/>
              <w:b/>
              <w:bCs/>
            </w:rPr>
            <w:t>RECURSO DE REVISIÓN:</w:t>
          </w:r>
        </w:p>
      </w:tc>
      <w:tc>
        <w:tcPr>
          <w:tcW w:w="3885" w:type="dxa"/>
          <w:vAlign w:val="center"/>
        </w:tcPr>
        <w:p w:rsidR="00133F34" w:rsidRDefault="009655C8">
          <w:pPr>
            <w:pBdr>
              <w:top w:val="nil"/>
              <w:left w:val="nil"/>
              <w:bottom w:val="nil"/>
              <w:right w:val="nil"/>
              <w:between w:val="nil"/>
            </w:pBdr>
            <w:tabs>
              <w:tab w:val="center" w:pos="4494"/>
              <w:tab w:val="right" w:pos="8504"/>
            </w:tabs>
            <w:ind w:right="-1566"/>
            <w:rPr>
              <w:rFonts w:ascii="Palatino Linotype" w:eastAsia="Palatino Linotype" w:hAnsi="Palatino Linotype" w:cs="Palatino Linotype"/>
              <w:color w:val="000000"/>
            </w:rPr>
          </w:pPr>
          <w:r>
            <w:rPr>
              <w:rFonts w:ascii="Palatino Linotype" w:eastAsia="Palatino Linotype" w:hAnsi="Palatino Linotype" w:cs="Palatino Linotype"/>
              <w:color w:val="000000"/>
            </w:rPr>
            <w:t>03318/INFOEM/IP/RR/2026</w:t>
          </w:r>
        </w:p>
      </w:tc>
    </w:tr>
    <w:tr w:rsidR="00133F34" w:rsidTr="00A63C01">
      <w:trPr>
        <w:trHeight w:val="233"/>
      </w:trPr>
      <w:tc>
        <w:tcPr>
          <w:tcW w:w="4485" w:type="dxa"/>
          <w:vAlign w:val="center"/>
        </w:tcPr>
        <w:p w:rsidR="00133F34" w:rsidRDefault="009655C8">
          <w:pPr>
            <w:ind w:firstLine="425"/>
            <w:jc w:val="right"/>
            <w:rPr>
              <w:rFonts w:ascii="Palatino Linotype" w:eastAsia="Palatino Linotype" w:hAnsi="Palatino Linotype" w:cs="Palatino Linotype"/>
              <w:b/>
              <w:bCs/>
            </w:rPr>
          </w:pPr>
          <w:r>
            <w:rPr>
              <w:rFonts w:ascii="Palatino Linotype" w:eastAsia="Palatino Linotype" w:hAnsi="Palatino Linotype" w:cs="Palatino Linotype"/>
              <w:b/>
              <w:bCs/>
            </w:rPr>
            <w:t>RECURRENTE:</w:t>
          </w:r>
        </w:p>
      </w:tc>
      <w:tc>
        <w:tcPr>
          <w:tcW w:w="3885" w:type="dxa"/>
        </w:tcPr>
        <w:p w:rsidR="00133F34" w:rsidRDefault="000231B5">
          <w:pPr>
            <w:pBdr>
              <w:top w:val="nil"/>
              <w:left w:val="nil"/>
              <w:bottom w:val="nil"/>
              <w:right w:val="nil"/>
              <w:between w:val="nil"/>
            </w:pBdr>
            <w:tabs>
              <w:tab w:val="center" w:pos="4494"/>
              <w:tab w:val="right" w:pos="8504"/>
            </w:tabs>
            <w:ind w:right="-1566"/>
            <w:rPr>
              <w:rFonts w:ascii="Palatino Linotype" w:eastAsia="Palatino Linotype" w:hAnsi="Palatino Linotype" w:cs="Palatino Linotype"/>
              <w:color w:val="000000"/>
            </w:rPr>
          </w:pPr>
          <w:r>
            <w:rPr>
              <w:rFonts w:ascii="Palatino Linotype" w:eastAsia="Palatino Linotype" w:hAnsi="Palatino Linotype" w:cs="Palatino Linotype"/>
              <w:color w:val="000000"/>
            </w:rPr>
            <w:t>XXXX</w:t>
          </w:r>
        </w:p>
      </w:tc>
    </w:tr>
    <w:tr w:rsidR="00133F34" w:rsidTr="00A63C01">
      <w:trPr>
        <w:trHeight w:val="321"/>
      </w:trPr>
      <w:tc>
        <w:tcPr>
          <w:tcW w:w="4485" w:type="dxa"/>
          <w:vAlign w:val="center"/>
        </w:tcPr>
        <w:p w:rsidR="00133F34" w:rsidRDefault="009655C8">
          <w:pPr>
            <w:ind w:firstLine="425"/>
            <w:jc w:val="right"/>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3885" w:type="dxa"/>
          <w:vAlign w:val="center"/>
        </w:tcPr>
        <w:p w:rsidR="00133F34" w:rsidRDefault="009655C8">
          <w:pPr>
            <w:pBdr>
              <w:top w:val="nil"/>
              <w:left w:val="nil"/>
              <w:bottom w:val="nil"/>
              <w:right w:val="nil"/>
              <w:between w:val="nil"/>
            </w:pBdr>
            <w:tabs>
              <w:tab w:val="center" w:pos="4494"/>
              <w:tab w:val="right" w:pos="8504"/>
            </w:tabs>
            <w:ind w:right="-1566"/>
            <w:rPr>
              <w:rFonts w:ascii="Palatino Linotype" w:eastAsia="Palatino Linotype" w:hAnsi="Palatino Linotype" w:cs="Palatino Linotype"/>
              <w:color w:val="000000"/>
            </w:rPr>
          </w:pPr>
          <w:r>
            <w:rPr>
              <w:rFonts w:ascii="Palatino Linotype" w:eastAsia="Palatino Linotype" w:hAnsi="Palatino Linotype" w:cs="Palatino Linotype"/>
              <w:color w:val="000000"/>
            </w:rPr>
            <w:t>Poder Judicial</w:t>
          </w:r>
        </w:p>
      </w:tc>
    </w:tr>
    <w:tr w:rsidR="00133F34" w:rsidTr="00A63C01">
      <w:trPr>
        <w:trHeight w:val="321"/>
      </w:trPr>
      <w:tc>
        <w:tcPr>
          <w:tcW w:w="4485" w:type="dxa"/>
          <w:vAlign w:val="center"/>
        </w:tcPr>
        <w:p w:rsidR="00133F34" w:rsidRDefault="009655C8">
          <w:pPr>
            <w:ind w:firstLine="425"/>
            <w:jc w:val="right"/>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3885" w:type="dxa"/>
          <w:vAlign w:val="center"/>
        </w:tcPr>
        <w:p w:rsidR="00133F34" w:rsidRDefault="009655C8">
          <w:pPr>
            <w:pBdr>
              <w:top w:val="nil"/>
              <w:left w:val="nil"/>
              <w:bottom w:val="nil"/>
              <w:right w:val="nil"/>
              <w:between w:val="nil"/>
            </w:pBdr>
            <w:tabs>
              <w:tab w:val="center" w:pos="4494"/>
              <w:tab w:val="right" w:pos="8504"/>
            </w:tabs>
            <w:ind w:left="33" w:right="-1566" w:hanging="33"/>
            <w:rPr>
              <w:rFonts w:ascii="Palatino Linotype" w:eastAsia="Palatino Linotype" w:hAnsi="Palatino Linotype" w:cs="Palatino Linotype"/>
              <w:color w:val="000000"/>
            </w:rPr>
          </w:pPr>
          <w:r>
            <w:rPr>
              <w:rFonts w:ascii="Palatino Linotype" w:eastAsia="Palatino Linotype" w:hAnsi="Palatino Linotype" w:cs="Palatino Linotype"/>
              <w:color w:val="000000"/>
            </w:rPr>
            <w:t>María del Rosario Mejía Ayala</w:t>
          </w:r>
        </w:p>
      </w:tc>
    </w:tr>
  </w:tbl>
  <w:p w:rsidR="00133F34" w:rsidRDefault="00F2190E">
    <w:pPr>
      <w:pBdr>
        <w:top w:val="nil"/>
        <w:left w:val="nil"/>
        <w:bottom w:val="nil"/>
        <w:right w:val="nil"/>
        <w:between w:val="nil"/>
      </w:pBdr>
      <w:tabs>
        <w:tab w:val="center" w:pos="4252"/>
        <w:tab w:val="right" w:pos="8504"/>
        <w:tab w:val="left" w:pos="3103"/>
      </w:tabs>
      <w:rPr>
        <w:color w:val="000000"/>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70.85pt;margin-top:-121.95pt;width:615.75pt;height:12in;z-index:-251658240;mso-position-horizontal-relative:margin;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3C0AD2"/>
    <w:multiLevelType w:val="multilevel"/>
    <w:tmpl w:val="8F2E46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7D90664"/>
    <w:multiLevelType w:val="multilevel"/>
    <w:tmpl w:val="CE2AB8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9BB4F80"/>
    <w:multiLevelType w:val="multilevel"/>
    <w:tmpl w:val="70864B30"/>
    <w:lvl w:ilvl="0">
      <w:start w:val="1"/>
      <w:numFmt w:val="bullet"/>
      <w:lvlText w:val="●"/>
      <w:lvlJc w:val="left"/>
      <w:pPr>
        <w:ind w:left="778" w:hanging="360"/>
      </w:pPr>
      <w:rPr>
        <w:rFonts w:ascii="Noto Sans Symbols" w:eastAsia="Noto Sans Symbols" w:hAnsi="Noto Sans Symbols" w:cs="Noto Sans Symbols"/>
      </w:rPr>
    </w:lvl>
    <w:lvl w:ilvl="1">
      <w:start w:val="1"/>
      <w:numFmt w:val="bullet"/>
      <w:lvlText w:val="o"/>
      <w:lvlJc w:val="left"/>
      <w:pPr>
        <w:ind w:left="1498" w:hanging="360"/>
      </w:pPr>
      <w:rPr>
        <w:rFonts w:ascii="Courier New" w:eastAsia="Courier New" w:hAnsi="Courier New" w:cs="Courier New"/>
      </w:rPr>
    </w:lvl>
    <w:lvl w:ilvl="2">
      <w:start w:val="1"/>
      <w:numFmt w:val="bullet"/>
      <w:lvlText w:val="▪"/>
      <w:lvlJc w:val="left"/>
      <w:pPr>
        <w:ind w:left="2218" w:hanging="360"/>
      </w:pPr>
      <w:rPr>
        <w:rFonts w:ascii="Noto Sans Symbols" w:eastAsia="Noto Sans Symbols" w:hAnsi="Noto Sans Symbols" w:cs="Noto Sans Symbols"/>
      </w:rPr>
    </w:lvl>
    <w:lvl w:ilvl="3">
      <w:start w:val="1"/>
      <w:numFmt w:val="bullet"/>
      <w:lvlText w:val="●"/>
      <w:lvlJc w:val="left"/>
      <w:pPr>
        <w:ind w:left="2938" w:hanging="360"/>
      </w:pPr>
      <w:rPr>
        <w:rFonts w:ascii="Noto Sans Symbols" w:eastAsia="Noto Sans Symbols" w:hAnsi="Noto Sans Symbols" w:cs="Noto Sans Symbols"/>
      </w:rPr>
    </w:lvl>
    <w:lvl w:ilvl="4">
      <w:start w:val="1"/>
      <w:numFmt w:val="bullet"/>
      <w:lvlText w:val="o"/>
      <w:lvlJc w:val="left"/>
      <w:pPr>
        <w:ind w:left="3658" w:hanging="360"/>
      </w:pPr>
      <w:rPr>
        <w:rFonts w:ascii="Courier New" w:eastAsia="Courier New" w:hAnsi="Courier New" w:cs="Courier New"/>
      </w:rPr>
    </w:lvl>
    <w:lvl w:ilvl="5">
      <w:start w:val="1"/>
      <w:numFmt w:val="bullet"/>
      <w:lvlText w:val="▪"/>
      <w:lvlJc w:val="left"/>
      <w:pPr>
        <w:ind w:left="4378" w:hanging="360"/>
      </w:pPr>
      <w:rPr>
        <w:rFonts w:ascii="Noto Sans Symbols" w:eastAsia="Noto Sans Symbols" w:hAnsi="Noto Sans Symbols" w:cs="Noto Sans Symbols"/>
      </w:rPr>
    </w:lvl>
    <w:lvl w:ilvl="6">
      <w:start w:val="1"/>
      <w:numFmt w:val="bullet"/>
      <w:lvlText w:val="●"/>
      <w:lvlJc w:val="left"/>
      <w:pPr>
        <w:ind w:left="5098" w:hanging="360"/>
      </w:pPr>
      <w:rPr>
        <w:rFonts w:ascii="Noto Sans Symbols" w:eastAsia="Noto Sans Symbols" w:hAnsi="Noto Sans Symbols" w:cs="Noto Sans Symbols"/>
      </w:rPr>
    </w:lvl>
    <w:lvl w:ilvl="7">
      <w:start w:val="1"/>
      <w:numFmt w:val="bullet"/>
      <w:lvlText w:val="o"/>
      <w:lvlJc w:val="left"/>
      <w:pPr>
        <w:ind w:left="5818" w:hanging="360"/>
      </w:pPr>
      <w:rPr>
        <w:rFonts w:ascii="Courier New" w:eastAsia="Courier New" w:hAnsi="Courier New" w:cs="Courier New"/>
      </w:rPr>
    </w:lvl>
    <w:lvl w:ilvl="8">
      <w:start w:val="1"/>
      <w:numFmt w:val="bullet"/>
      <w:lvlText w:val="▪"/>
      <w:lvlJc w:val="left"/>
      <w:pPr>
        <w:ind w:left="6538" w:hanging="360"/>
      </w:pPr>
      <w:rPr>
        <w:rFonts w:ascii="Noto Sans Symbols" w:eastAsia="Noto Sans Symbols" w:hAnsi="Noto Sans Symbols" w:cs="Noto Sans Symbols"/>
      </w:rPr>
    </w:lvl>
  </w:abstractNum>
  <w:abstractNum w:abstractNumId="3" w15:restartNumberingAfterBreak="0">
    <w:nsid w:val="50E479F2"/>
    <w:multiLevelType w:val="multilevel"/>
    <w:tmpl w:val="F9969B70"/>
    <w:lvl w:ilvl="0">
      <w:start w:val="1"/>
      <w:numFmt w:val="bullet"/>
      <w:lvlText w:val="●"/>
      <w:lvlJc w:val="left"/>
      <w:pPr>
        <w:ind w:left="1069" w:hanging="360"/>
      </w:pPr>
      <w:rPr>
        <w:rFonts w:ascii="Noto Sans Symbols" w:eastAsia="Noto Sans Symbols" w:hAnsi="Noto Sans Symbols" w:cs="Noto Sans Symbols"/>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abstractNum w:abstractNumId="4" w15:restartNumberingAfterBreak="0">
    <w:nsid w:val="63AA4BE2"/>
    <w:multiLevelType w:val="multilevel"/>
    <w:tmpl w:val="AED23744"/>
    <w:lvl w:ilvl="0">
      <w:start w:val="1"/>
      <w:numFmt w:val="decimal"/>
      <w:lvlText w:val="%1."/>
      <w:lvlJc w:val="left"/>
      <w:pPr>
        <w:ind w:left="360"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746F04EE"/>
    <w:multiLevelType w:val="multilevel"/>
    <w:tmpl w:val="A7CCB98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num w:numId="1">
    <w:abstractNumId w:val="2"/>
  </w:num>
  <w:num w:numId="2">
    <w:abstractNumId w:val="5"/>
  </w:num>
  <w:num w:numId="3">
    <w:abstractNumId w:val="4"/>
  </w:num>
  <w:num w:numId="4">
    <w:abstractNumId w:val="3"/>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TrueTypeFonts/>
  <w:proofState w:spelling="clean" w:grammar="clean"/>
  <w:defaultTabStop w:val="720"/>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3F34"/>
    <w:rsid w:val="000231B5"/>
    <w:rsid w:val="0008582B"/>
    <w:rsid w:val="00133F34"/>
    <w:rsid w:val="006F6B1A"/>
    <w:rsid w:val="007E2DA7"/>
    <w:rsid w:val="009230B0"/>
    <w:rsid w:val="009655C8"/>
    <w:rsid w:val="009669C3"/>
    <w:rsid w:val="00A63C01"/>
    <w:rsid w:val="00C05753"/>
    <w:rsid w:val="00E41D96"/>
    <w:rsid w:val="00E767E9"/>
    <w:rsid w:val="00F2190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A94B84EF-211B-415C-AF64-967A2418E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line="259" w:lineRule="auto"/>
      <w:outlineLvl w:val="0"/>
    </w:pPr>
    <w:rPr>
      <w:rFonts w:ascii="Palatino Linotype" w:eastAsia="Palatino Linotype" w:hAnsi="Palatino Linotype" w:cs="Palatino Linotype"/>
    </w:rPr>
  </w:style>
  <w:style w:type="paragraph" w:styleId="Ttulo2">
    <w:name w:val="heading 2"/>
    <w:basedOn w:val="Normal"/>
    <w:next w:val="Normal"/>
    <w:pPr>
      <w:keepNext/>
      <w:keepLines/>
      <w:spacing w:before="40" w:line="259" w:lineRule="auto"/>
      <w:outlineLvl w:val="1"/>
    </w:pPr>
    <w:rPr>
      <w:rFonts w:ascii="Calibri" w:eastAsia="Calibri" w:hAnsi="Calibri" w:cs="Calibri"/>
      <w:color w:val="2E75B5"/>
      <w:sz w:val="26"/>
      <w:szCs w:val="2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108" w:type="dxa"/>
        <w:bottom w:w="0" w:type="dxa"/>
        <w:right w:w="108" w:type="dxa"/>
      </w:tblCellMar>
    </w:tblPr>
  </w:style>
  <w:style w:type="paragraph" w:styleId="Encabezado">
    <w:name w:val="header"/>
    <w:basedOn w:val="Normal"/>
    <w:link w:val="EncabezadoCar"/>
    <w:uiPriority w:val="99"/>
    <w:unhideWhenUsed/>
    <w:rsid w:val="00A63C01"/>
    <w:pPr>
      <w:tabs>
        <w:tab w:val="center" w:pos="4419"/>
        <w:tab w:val="right" w:pos="8838"/>
      </w:tabs>
    </w:pPr>
  </w:style>
  <w:style w:type="character" w:customStyle="1" w:styleId="EncabezadoCar">
    <w:name w:val="Encabezado Car"/>
    <w:basedOn w:val="Fuentedeprrafopredeter"/>
    <w:link w:val="Encabezado"/>
    <w:uiPriority w:val="99"/>
    <w:rsid w:val="00A63C01"/>
  </w:style>
  <w:style w:type="paragraph" w:styleId="Piedepgina">
    <w:name w:val="footer"/>
    <w:basedOn w:val="Normal"/>
    <w:link w:val="PiedepginaCar"/>
    <w:uiPriority w:val="99"/>
    <w:unhideWhenUsed/>
    <w:rsid w:val="00A63C01"/>
    <w:pPr>
      <w:tabs>
        <w:tab w:val="center" w:pos="4419"/>
        <w:tab w:val="right" w:pos="8838"/>
      </w:tabs>
    </w:pPr>
  </w:style>
  <w:style w:type="character" w:customStyle="1" w:styleId="PiedepginaCar">
    <w:name w:val="Pie de página Car"/>
    <w:basedOn w:val="Fuentedeprrafopredeter"/>
    <w:link w:val="Piedepgina"/>
    <w:uiPriority w:val="99"/>
    <w:rsid w:val="00A63C01"/>
  </w:style>
  <w:style w:type="paragraph" w:styleId="Prrafodelista">
    <w:name w:val="List Paragraph"/>
    <w:basedOn w:val="Normal"/>
    <w:uiPriority w:val="34"/>
    <w:qFormat/>
    <w:rsid w:val="00A63C0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rhahn3920R7Si8vIGNUGNHscdAQ==">CgMxLjAyDmguYmFmbG1rcTlnZTFmMgloLjFmb2I5dGUyDmguZjUzM2N5cWZic2EyMgloLjN6bnlzaDcyCWguMmV0OTJwMDIJaC4xdDNoNXNmMg5oLmg0aDFtZzQyazdmaTIJaC4xa3N2NHV2MgloLjNyZGNyam4yDmgub2E1MWkwYTM2dTh3OAByITFMNEFYeFd3c3ZUa0tOVTAzcy1BNDhFQTVDUTl4Z3FkZA==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17</Pages>
  <Words>4677</Words>
  <Characters>25724</Characters>
  <Application>Microsoft Office Word</Application>
  <DocSecurity>0</DocSecurity>
  <Lines>214</Lines>
  <Paragraphs>60</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30341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INFOEM574</dc:creator>
  <cp:lastModifiedBy>Cuenta Microsoft</cp:lastModifiedBy>
  <cp:revision>9</cp:revision>
  <cp:lastPrinted>2026-07-03T16:01:00Z</cp:lastPrinted>
  <dcterms:created xsi:type="dcterms:W3CDTF">2026-07-01T20:45:00Z</dcterms:created>
  <dcterms:modified xsi:type="dcterms:W3CDTF">2026-07-07T23:16:00Z</dcterms:modified>
</cp:coreProperties>
</file>